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rPr>
        <w:t>自贡市</w:t>
      </w:r>
      <w:r>
        <w:rPr>
          <w:rFonts w:hint="eastAsia" w:ascii="方正小标宋简体" w:hAnsi="方正小标宋简体" w:eastAsia="方正小标宋简体" w:cs="方正小标宋简体"/>
          <w:b w:val="0"/>
          <w:bCs/>
          <w:sz w:val="44"/>
          <w:szCs w:val="44"/>
          <w:lang w:eastAsia="zh-CN"/>
        </w:rPr>
        <w:t>自流井区社会福利院</w:t>
      </w:r>
      <w:r>
        <w:rPr>
          <w:rFonts w:hint="eastAsia" w:ascii="方正小标宋简体" w:hAnsi="方正小标宋简体" w:eastAsia="方正小标宋简体" w:cs="方正小标宋简体"/>
          <w:b w:val="0"/>
          <w:bCs/>
          <w:sz w:val="44"/>
          <w:szCs w:val="44"/>
          <w:lang w:val="en-US" w:eastAsia="zh-CN"/>
        </w:rPr>
        <w:t>(单位）</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2022年</w:t>
      </w:r>
      <w:bookmarkStart w:id="25" w:name="_GoBack"/>
      <w:bookmarkEnd w:id="25"/>
      <w:r>
        <w:rPr>
          <w:rFonts w:hint="eastAsia" w:ascii="方正小标宋简体" w:hAnsi="方正小标宋简体" w:eastAsia="方正小标宋简体" w:cs="方正小标宋简体"/>
          <w:b w:val="0"/>
          <w:bCs/>
          <w:sz w:val="44"/>
          <w:szCs w:val="44"/>
        </w:rPr>
        <w:t>预算编制的说明</w:t>
      </w:r>
    </w:p>
    <w:p>
      <w:pPr>
        <w:widowControl/>
        <w:jc w:val="center"/>
        <w:rPr>
          <w:rFonts w:ascii="黑体" w:hAnsi="黑体" w:eastAsia="黑体"/>
          <w:color w:val="000000"/>
          <w:sz w:val="48"/>
          <w:szCs w:val="48"/>
        </w:rPr>
      </w:pPr>
    </w:p>
    <w:p>
      <w:pPr>
        <w:widowControl/>
        <w:jc w:val="center"/>
        <w:rPr>
          <w:rFonts w:hint="eastAsia" w:ascii="黑体" w:hAnsi="黑体" w:eastAsia="黑体"/>
          <w:color w:val="000000"/>
          <w:sz w:val="48"/>
          <w:szCs w:val="48"/>
        </w:rPr>
      </w:pPr>
      <w:bookmarkStart w:id="0" w:name="_Hlk72430755"/>
      <w:r>
        <w:rPr>
          <w:rFonts w:hint="eastAsia" w:ascii="黑体" w:hAnsi="黑体" w:eastAsia="黑体"/>
          <w:color w:val="000000"/>
          <w:sz w:val="48"/>
          <w:szCs w:val="48"/>
        </w:rPr>
        <w:t>目录</w:t>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TOC \o "1-3" \h \z \u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"_Toc72430477"</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一、基本职能及主要工作</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_Toc72430477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1</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"_Toc72430478"</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（一）</w:t>
      </w:r>
      <w:r>
        <w:rPr>
          <w:rStyle w:val="13"/>
          <w:rFonts w:hint="eastAsia" w:ascii="仿宋_GB2312" w:eastAsia="仿宋_GB2312"/>
          <w:b w:val="0"/>
          <w:bCs w:val="0"/>
          <w:sz w:val="28"/>
          <w:szCs w:val="28"/>
          <w:lang w:eastAsia="zh-CN"/>
        </w:rPr>
        <w:t>自贡市自流井区社会福利院</w:t>
      </w:r>
      <w:r>
        <w:rPr>
          <w:rStyle w:val="13"/>
          <w:rFonts w:hint="eastAsia" w:ascii="仿宋_GB2312" w:eastAsia="仿宋_GB2312"/>
          <w:b w:val="0"/>
          <w:bCs w:val="0"/>
          <w:sz w:val="28"/>
          <w:szCs w:val="28"/>
        </w:rPr>
        <w:t>职能简介</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_Toc72430478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1</w:t>
      </w:r>
      <w:r>
        <w:rPr>
          <w:rFonts w:hint="eastAsia" w:ascii="仿宋_GB2312" w:eastAsia="仿宋_GB2312"/>
          <w:b w:val="0"/>
          <w:bCs w:val="0"/>
          <w:sz w:val="28"/>
          <w:szCs w:val="28"/>
        </w:rPr>
        <w:fldChar w:fldCharType="end"/>
      </w:r>
      <w:r>
        <w:rPr>
          <w:rStyle w:val="13"/>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"_Toc72430479"</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（二）</w:t>
      </w:r>
      <w:r>
        <w:rPr>
          <w:rStyle w:val="13"/>
          <w:rFonts w:hint="eastAsia" w:ascii="仿宋_GB2312" w:eastAsia="仿宋_GB2312"/>
          <w:b w:val="0"/>
          <w:bCs w:val="0"/>
          <w:sz w:val="28"/>
          <w:szCs w:val="28"/>
          <w:lang w:eastAsia="zh-CN"/>
        </w:rPr>
        <w:t>自贡市自流井区社会福利院</w:t>
      </w:r>
      <w:r>
        <w:rPr>
          <w:rStyle w:val="13"/>
          <w:rFonts w:hint="eastAsia" w:ascii="仿宋_GB2312" w:eastAsia="仿宋_GB2312"/>
          <w:b w:val="0"/>
          <w:bCs w:val="0"/>
          <w:sz w:val="28"/>
          <w:szCs w:val="28"/>
        </w:rPr>
        <w:t>2022年重点工作</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_Toc72430479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1</w:t>
      </w:r>
      <w:r>
        <w:rPr>
          <w:rFonts w:hint="eastAsia" w:ascii="仿宋_GB2312" w:eastAsia="仿宋_GB2312"/>
          <w:b w:val="0"/>
          <w:bCs w:val="0"/>
          <w:sz w:val="28"/>
          <w:szCs w:val="28"/>
        </w:rPr>
        <w:fldChar w:fldCharType="end"/>
      </w:r>
      <w:r>
        <w:rPr>
          <w:rStyle w:val="13"/>
          <w:rFonts w:hint="eastAsia" w:ascii="仿宋_GB2312" w:eastAsia="仿宋_GB2312"/>
          <w:b w:val="0"/>
          <w:b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"_Toc72430480"</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二、部门概况</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_Toc72430480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1</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"_Toc72430481"</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三、收支预算情况说明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_Toc72430481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2</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"_Toc72430482"</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（一）收入预算情况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_Toc72430482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3</w:t>
      </w:r>
      <w:r>
        <w:rPr>
          <w:rFonts w:hint="eastAsia" w:ascii="仿宋_GB2312" w:eastAsia="仿宋_GB2312"/>
          <w:b w:val="0"/>
          <w:bCs w:val="0"/>
          <w:sz w:val="28"/>
          <w:szCs w:val="28"/>
        </w:rPr>
        <w:fldChar w:fldCharType="end"/>
      </w:r>
      <w:r>
        <w:rPr>
          <w:rStyle w:val="13"/>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"_Toc72430483"</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（二）支出预算情况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_Toc72430483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3</w:t>
      </w:r>
      <w:r>
        <w:rPr>
          <w:rFonts w:hint="eastAsia" w:ascii="仿宋_GB2312" w:eastAsia="仿宋_GB2312"/>
          <w:b w:val="0"/>
          <w:bCs w:val="0"/>
          <w:sz w:val="28"/>
          <w:szCs w:val="28"/>
        </w:rPr>
        <w:fldChar w:fldCharType="end"/>
      </w:r>
      <w:r>
        <w:rPr>
          <w:rStyle w:val="13"/>
          <w:rFonts w:hint="eastAsia" w:ascii="仿宋_GB2312" w:eastAsia="仿宋_GB2312"/>
          <w:b w:val="0"/>
          <w:b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"_Toc72430484"</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四、财政拨款收支预算情况说明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_Toc72430484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4</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"_Toc72430485"</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五、一般公共预算当年拨款情况说明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_Toc72430485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5</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"_Toc72430486"</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（一）一般公共预算当年拨款规模变化情况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_Toc72430486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5</w:t>
      </w:r>
      <w:r>
        <w:rPr>
          <w:rFonts w:hint="eastAsia" w:ascii="仿宋_GB2312" w:eastAsia="仿宋_GB2312"/>
          <w:b w:val="0"/>
          <w:bCs w:val="0"/>
          <w:sz w:val="28"/>
          <w:szCs w:val="28"/>
        </w:rPr>
        <w:fldChar w:fldCharType="end"/>
      </w:r>
      <w:r>
        <w:rPr>
          <w:rStyle w:val="13"/>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"_Toc72430487"</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（二）一般公共预算当年拨款结构情况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_Toc72430487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6</w:t>
      </w:r>
      <w:r>
        <w:rPr>
          <w:rFonts w:hint="eastAsia" w:ascii="仿宋_GB2312" w:eastAsia="仿宋_GB2312"/>
          <w:b w:val="0"/>
          <w:bCs w:val="0"/>
          <w:sz w:val="28"/>
          <w:szCs w:val="28"/>
        </w:rPr>
        <w:fldChar w:fldCharType="end"/>
      </w:r>
      <w:r>
        <w:rPr>
          <w:rStyle w:val="13"/>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"_Toc72430488"</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（三）一般公共预算当年拨款具体使用情况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_Toc72430488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6</w:t>
      </w:r>
      <w:r>
        <w:rPr>
          <w:rFonts w:hint="eastAsia" w:ascii="仿宋_GB2312" w:eastAsia="仿宋_GB2312"/>
          <w:b w:val="0"/>
          <w:bCs w:val="0"/>
          <w:sz w:val="28"/>
          <w:szCs w:val="28"/>
        </w:rPr>
        <w:fldChar w:fldCharType="end"/>
      </w:r>
      <w:r>
        <w:rPr>
          <w:rStyle w:val="13"/>
          <w:rFonts w:hint="eastAsia" w:ascii="仿宋_GB2312" w:eastAsia="仿宋_GB2312"/>
          <w:b w:val="0"/>
          <w:b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"_Toc72430489"</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六、一般公共预算基本支出情况说明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_Toc72430489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7</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lang w:val="en-US" w:eastAsia="zh-CN"/>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"_Toc72430490"</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七、“三公”经费财政拨款预算安排情况</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_Toc72430490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7</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7"/>
        <w:keepNext w:val="0"/>
        <w:keepLines w:val="0"/>
        <w:pageBreakBefore w:val="0"/>
        <w:widowControl w:val="0"/>
        <w:tabs>
          <w:tab w:val="right" w:leader="dot" w:pos="8296"/>
        </w:tabs>
        <w:kinsoku/>
        <w:wordWrap/>
        <w:overflowPunct/>
        <w:topLinePunct w:val="0"/>
        <w:autoSpaceDE/>
        <w:autoSpaceDN/>
        <w:bidi w:val="0"/>
        <w:adjustRightInd/>
        <w:snapToGrid/>
        <w:spacing w:line="600" w:lineRule="exact"/>
        <w:textAlignment w:val="auto"/>
        <w:rPr>
          <w:rFonts w:hint="eastAsia" w:ascii="仿宋_GB2312" w:hAnsi="Calibri" w:eastAsia="仿宋_GB2312"/>
          <w:b w:val="0"/>
          <w:bCs w:val="0"/>
          <w:i w:val="0"/>
          <w:iCs w:val="0"/>
          <w:sz w:val="28"/>
          <w:szCs w:val="28"/>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"_Toc72430491"</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八、政府性基金预算支出情况说明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_Toc72430491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9</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7"/>
        <w:keepNext w:val="0"/>
        <w:keepLines w:val="0"/>
        <w:pageBreakBefore w:val="0"/>
        <w:widowControl w:val="0"/>
        <w:tabs>
          <w:tab w:val="right" w:leader="dot" w:pos="8296"/>
        </w:tabs>
        <w:kinsoku/>
        <w:wordWrap/>
        <w:overflowPunct/>
        <w:topLinePunct w:val="0"/>
        <w:autoSpaceDE/>
        <w:autoSpaceDN/>
        <w:bidi w:val="0"/>
        <w:adjustRightInd/>
        <w:snapToGrid/>
        <w:spacing w:line="600" w:lineRule="exact"/>
        <w:textAlignment w:val="auto"/>
        <w:rPr>
          <w:rFonts w:hint="eastAsia" w:ascii="仿宋_GB2312" w:hAnsi="Calibri" w:eastAsia="仿宋_GB2312"/>
          <w:b w:val="0"/>
          <w:bCs w:val="0"/>
          <w:i w:val="0"/>
          <w:iCs w:val="0"/>
          <w:sz w:val="28"/>
          <w:szCs w:val="28"/>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"_Toc72430492"</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九、国有资本经营预算支出情况说明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_Toc72430492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9</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"_Toc72430493"</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十、其他重要事项的情况说明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_Toc72430493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9</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"_Toc72430494"</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（一）机关运行经费情况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_Toc72430494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9</w:t>
      </w:r>
      <w:r>
        <w:rPr>
          <w:rFonts w:hint="eastAsia" w:ascii="仿宋_GB2312" w:eastAsia="仿宋_GB2312"/>
          <w:b w:val="0"/>
          <w:bCs w:val="0"/>
          <w:sz w:val="28"/>
          <w:szCs w:val="28"/>
        </w:rPr>
        <w:fldChar w:fldCharType="end"/>
      </w:r>
      <w:r>
        <w:rPr>
          <w:rStyle w:val="13"/>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"_Toc72430495"</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（二）政府采购情况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_Toc72430495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9</w:t>
      </w:r>
      <w:r>
        <w:rPr>
          <w:rFonts w:hint="eastAsia" w:ascii="仿宋_GB2312" w:eastAsia="仿宋_GB2312"/>
          <w:b w:val="0"/>
          <w:bCs w:val="0"/>
          <w:sz w:val="28"/>
          <w:szCs w:val="28"/>
        </w:rPr>
        <w:fldChar w:fldCharType="end"/>
      </w:r>
      <w:r>
        <w:rPr>
          <w:rStyle w:val="13"/>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"_Toc72430496"</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（三）国有资产占有使用情况</w:t>
      </w:r>
      <w:r>
        <w:rPr>
          <w:rFonts w:hint="eastAsia" w:ascii="仿宋_GB2312" w:eastAsia="仿宋_GB2312"/>
          <w:b w:val="0"/>
          <w:bCs w:val="0"/>
          <w:sz w:val="28"/>
          <w:szCs w:val="28"/>
        </w:rPr>
        <w:tab/>
      </w:r>
      <w:r>
        <w:rPr>
          <w:rFonts w:hint="eastAsia" w:ascii="仿宋_GB2312" w:eastAsia="仿宋_GB2312"/>
          <w:b w:val="0"/>
          <w:bCs w:val="0"/>
          <w:sz w:val="28"/>
          <w:szCs w:val="28"/>
          <w:lang w:val="en-US" w:eastAsia="zh-CN"/>
        </w:rPr>
        <w:t>9</w:t>
      </w:r>
      <w:r>
        <w:rPr>
          <w:rStyle w:val="13"/>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Style w:val="13"/>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"_Toc72430497"</w:instrText>
      </w:r>
      <w:r>
        <w:rPr>
          <w:rStyle w:val="13"/>
          <w:rFonts w:hint="eastAsia" w:ascii="仿宋_GB2312" w:eastAsia="仿宋_GB2312"/>
          <w:b w:val="0"/>
          <w:bCs w:val="0"/>
          <w:sz w:val="28"/>
          <w:szCs w:val="28"/>
        </w:rPr>
        <w:instrText xml:space="preserve"> </w:instrText>
      </w:r>
      <w:r>
        <w:rPr>
          <w:rStyle w:val="13"/>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（四）绩效目标设置情况</w:t>
      </w:r>
      <w:r>
        <w:rPr>
          <w:rFonts w:hint="eastAsia" w:ascii="仿宋_GB2312" w:eastAsia="仿宋_GB2312"/>
          <w:b w:val="0"/>
          <w:bCs w:val="0"/>
          <w:sz w:val="28"/>
          <w:szCs w:val="28"/>
        </w:rPr>
        <w:tab/>
      </w:r>
      <w:r>
        <w:rPr>
          <w:rFonts w:hint="eastAsia" w:ascii="仿宋_GB2312" w:eastAsia="仿宋_GB2312"/>
          <w:b w:val="0"/>
          <w:bCs w:val="0"/>
          <w:sz w:val="28"/>
          <w:szCs w:val="28"/>
          <w:lang w:val="en-US" w:eastAsia="zh-CN"/>
        </w:rPr>
        <w:t>9</w:t>
      </w:r>
      <w:r>
        <w:rPr>
          <w:rStyle w:val="13"/>
          <w:rFonts w:hint="eastAsia" w:ascii="仿宋_GB2312" w:eastAsia="仿宋_GB2312"/>
          <w:b w:val="0"/>
          <w:b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Style w:val="13"/>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"_Toc72430498"</w:instrText>
      </w:r>
      <w:r>
        <w:rPr>
          <w:rStyle w:val="13"/>
          <w:rFonts w:hint="eastAsia" w:ascii="仿宋_GB2312" w:eastAsia="仿宋_GB2312"/>
          <w:b w:val="0"/>
          <w:bCs w:val="0"/>
          <w:i w:val="0"/>
          <w:iCs w:val="0"/>
          <w:sz w:val="28"/>
          <w:szCs w:val="28"/>
        </w:rPr>
        <w:instrText xml:space="preserve"> </w:instrText>
      </w:r>
      <w:r>
        <w:rPr>
          <w:rStyle w:val="13"/>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十一、名词解释</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_Toc72430498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10</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sz w:val="28"/>
          <w:szCs w:val="28"/>
        </w:rPr>
        <w:fldChar w:fldCharType="end"/>
      </w:r>
    </w:p>
    <w:p>
      <w:pPr>
        <w:spacing w:line="500" w:lineRule="exact"/>
        <w:ind w:firstLine="2100" w:firstLineChars="750"/>
        <w:rPr>
          <w:rFonts w:ascii="仿宋_GB2312" w:hAnsi="仿宋"/>
          <w:color w:val="FF0000"/>
          <w:szCs w:val="32"/>
        </w:rPr>
      </w:pPr>
      <w:r>
        <w:rPr>
          <w:rFonts w:hint="eastAsia" w:ascii="仿宋_GB2312" w:eastAsia="仿宋_GB2312"/>
          <w:sz w:val="28"/>
          <w:szCs w:val="28"/>
          <w:lang w:val="zh-CN"/>
        </w:rPr>
        <w:fldChar w:fldCharType="end"/>
      </w:r>
      <w:bookmarkEnd w:id="0"/>
      <w:bookmarkStart w:id="1" w:name="_Hlk72430788"/>
    </w:p>
    <w:bookmarkEnd w:id="1"/>
    <w:p>
      <w:pPr>
        <w:spacing w:line="600" w:lineRule="exact"/>
        <w:rPr>
          <w:sz w:val="30"/>
          <w:szCs w:val="30"/>
        </w:rPr>
      </w:pPr>
    </w:p>
    <w:p>
      <w:pPr>
        <w:jc w:val="center"/>
        <w:rPr>
          <w:rFonts w:ascii="黑体" w:eastAsia="黑体"/>
          <w:sz w:val="30"/>
          <w:szCs w:val="30"/>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both"/>
        <w:rPr>
          <w:rFonts w:hint="eastAsia" w:ascii="黑体" w:eastAsia="黑体"/>
          <w:sz w:val="32"/>
          <w:szCs w:val="32"/>
        </w:rPr>
      </w:pPr>
    </w:p>
    <w:p>
      <w:pPr>
        <w:pStyle w:val="3"/>
        <w:pageBreakBefore w:val="0"/>
        <w:widowControl w:val="0"/>
        <w:kinsoku/>
        <w:wordWrap/>
        <w:overflowPunct/>
        <w:topLinePunct w:val="0"/>
        <w:autoSpaceDE/>
        <w:autoSpaceDN/>
        <w:bidi w:val="0"/>
        <w:adjustRightInd w:val="0"/>
        <w:snapToGrid w:val="0"/>
        <w:spacing w:before="0" w:after="157" w:afterLines="50" w:line="570" w:lineRule="exact"/>
        <w:ind w:firstLine="640" w:firstLineChars="200"/>
        <w:textAlignment w:val="auto"/>
        <w:rPr>
          <w:rFonts w:hint="eastAsia" w:ascii="黑体" w:hAnsi="Cambria" w:eastAsia="黑体" w:cs="Times New Roman"/>
          <w:b w:val="0"/>
          <w:bCs/>
          <w:color w:val="000000"/>
          <w:lang w:val="en-US" w:eastAsia="zh-CN"/>
        </w:rPr>
        <w:sectPr>
          <w:footerReference r:id="rId3" w:type="default"/>
          <w:footerReference r:id="rId4" w:type="even"/>
          <w:pgSz w:w="11906" w:h="16838"/>
          <w:pgMar w:top="2098" w:right="1474" w:bottom="1984" w:left="1587" w:header="851" w:footer="992" w:gutter="0"/>
          <w:pgNumType w:fmt="numberInDash" w:start="1"/>
          <w:cols w:space="720" w:num="1"/>
          <w:docGrid w:type="lines" w:linePitch="312" w:charSpace="0"/>
        </w:sectPr>
      </w:pPr>
      <w:bookmarkStart w:id="2" w:name="_Toc72430477"/>
      <w:bookmarkStart w:id="3" w:name="_Hlk72429058"/>
    </w:p>
    <w:p>
      <w:pPr>
        <w:pStyle w:val="3"/>
        <w:pageBreakBefore w:val="0"/>
        <w:widowControl w:val="0"/>
        <w:kinsoku/>
        <w:wordWrap/>
        <w:overflowPunct/>
        <w:topLinePunct w:val="0"/>
        <w:autoSpaceDE/>
        <w:autoSpaceDN/>
        <w:bidi w:val="0"/>
        <w:adjustRightInd w:val="0"/>
        <w:snapToGrid w:val="0"/>
        <w:spacing w:before="0" w:after="157" w:afterLines="50" w:line="600" w:lineRule="exact"/>
        <w:ind w:firstLine="640" w:firstLineChars="200"/>
        <w:textAlignment w:val="auto"/>
        <w:rPr>
          <w:rFonts w:hint="eastAsia" w:ascii="黑体" w:hAnsi="Cambria" w:eastAsia="黑体" w:cs="Times New Roman"/>
          <w:b w:val="0"/>
          <w:bCs/>
          <w:color w:val="000000"/>
          <w:lang w:val="en-US" w:eastAsia="zh-CN"/>
        </w:rPr>
      </w:pPr>
      <w:r>
        <w:rPr>
          <w:rFonts w:hint="eastAsia" w:ascii="黑体" w:hAnsi="Cambria" w:eastAsia="黑体" w:cs="Times New Roman"/>
          <w:b w:val="0"/>
          <w:bCs/>
          <w:color w:val="000000"/>
          <w:lang w:val="en-US" w:eastAsia="zh-CN"/>
        </w:rPr>
        <w:t>一、基本职能及主要工作</w:t>
      </w:r>
      <w:bookmarkEnd w:id="2"/>
    </w:p>
    <w:bookmarkEnd w:id="3"/>
    <w:p>
      <w:pPr>
        <w:pStyle w:val="4"/>
        <w:pageBreakBefore w:val="0"/>
        <w:widowControl w:val="0"/>
        <w:kinsoku/>
        <w:wordWrap/>
        <w:overflowPunct/>
        <w:topLinePunct w:val="0"/>
        <w:autoSpaceDE/>
        <w:autoSpaceDN/>
        <w:bidi w:val="0"/>
        <w:adjustRightInd w:val="0"/>
        <w:snapToGrid w:val="0"/>
        <w:spacing w:line="600" w:lineRule="exact"/>
        <w:ind w:firstLine="643" w:firstLineChars="200"/>
        <w:textAlignment w:val="auto"/>
        <w:outlineLvl w:val="1"/>
        <w:rPr>
          <w:rFonts w:hint="eastAsia" w:hAnsi="Times New Roman" w:cs="Times New Roman"/>
          <w:b/>
          <w:bCs/>
          <w:sz w:val="32"/>
          <w:szCs w:val="32"/>
          <w:lang w:val="en-US" w:eastAsia="zh-CN"/>
        </w:rPr>
      </w:pPr>
      <w:bookmarkStart w:id="4" w:name="_Toc72430478"/>
      <w:r>
        <w:rPr>
          <w:rFonts w:hint="eastAsia" w:hAnsi="Times New Roman" w:cs="Times New Roman"/>
          <w:b/>
          <w:bCs/>
          <w:sz w:val="32"/>
          <w:szCs w:val="32"/>
          <w:lang w:val="en-US" w:eastAsia="zh-CN"/>
        </w:rPr>
        <w:t>（一）自贡市自流井区社会福利院职能简介</w:t>
      </w:r>
      <w:bookmarkEnd w:id="4"/>
    </w:p>
    <w:p>
      <w:pPr>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Times New Roman" w:eastAsia="仿宋_GB2312" w:cs="Times New Roman"/>
          <w:sz w:val="32"/>
          <w:szCs w:val="32"/>
        </w:rPr>
      </w:pPr>
      <w:bookmarkStart w:id="5" w:name="_Toc72430479"/>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rPr>
        <w:t>.贯彻执行党和政府关于收养“三无”人员的方针、政策。</w:t>
      </w:r>
    </w:p>
    <w:p>
      <w:pPr>
        <w:pageBreakBefore w:val="0"/>
        <w:widowControl w:val="0"/>
        <w:kinsoku/>
        <w:wordWrap/>
        <w:overflowPunct/>
        <w:topLinePunct w:val="0"/>
        <w:autoSpaceDE/>
        <w:autoSpaceDN/>
        <w:bidi w:val="0"/>
        <w:spacing w:line="600" w:lineRule="exact"/>
        <w:ind w:firstLine="640" w:firstLineChars="200"/>
        <w:textAlignment w:val="auto"/>
        <w:rPr>
          <w:rFonts w:hint="eastAsia" w:ascii="仿宋_GB2312" w:eastAsia="仿宋_GB2312"/>
          <w:sz w:val="32"/>
          <w:szCs w:val="32"/>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.按政策规定接收供养“三无”人员及社会老人，并提供医疗、护理、康复等服务。</w:t>
      </w:r>
    </w:p>
    <w:p>
      <w:pPr>
        <w:pStyle w:val="4"/>
        <w:pageBreakBefore w:val="0"/>
        <w:widowControl w:val="0"/>
        <w:kinsoku/>
        <w:wordWrap/>
        <w:overflowPunct/>
        <w:topLinePunct w:val="0"/>
        <w:autoSpaceDE/>
        <w:autoSpaceDN/>
        <w:bidi w:val="0"/>
        <w:adjustRightInd w:val="0"/>
        <w:snapToGrid w:val="0"/>
        <w:spacing w:line="600" w:lineRule="exact"/>
        <w:ind w:firstLine="643" w:firstLineChars="200"/>
        <w:textAlignment w:val="auto"/>
        <w:outlineLvl w:val="1"/>
        <w:rPr>
          <w:rFonts w:hint="eastAsia" w:hAnsi="Times New Roman" w:cs="Times New Roman"/>
          <w:b/>
          <w:bCs/>
          <w:sz w:val="32"/>
          <w:szCs w:val="32"/>
          <w:lang w:val="en-US" w:eastAsia="zh-CN"/>
        </w:rPr>
      </w:pPr>
      <w:r>
        <w:rPr>
          <w:rFonts w:hint="eastAsia" w:hAnsi="Times New Roman" w:cs="Times New Roman"/>
          <w:b/>
          <w:bCs/>
          <w:sz w:val="32"/>
          <w:szCs w:val="32"/>
          <w:lang w:val="en-US" w:eastAsia="zh-CN"/>
        </w:rPr>
        <w:t>（二）自贡市自流井区社会福利院2022年重点工作</w:t>
      </w:r>
      <w:bookmarkEnd w:id="5"/>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Times New Roman" w:eastAsia="仿宋_GB2312" w:cs="Times New Roman"/>
          <w:sz w:val="32"/>
          <w:szCs w:val="32"/>
        </w:rPr>
      </w:pPr>
      <w:bookmarkStart w:id="6" w:name="_Toc72430480"/>
      <w:r>
        <w:rPr>
          <w:rFonts w:hint="eastAsia" w:ascii="仿宋_GB2312" w:hAnsi="Times New Roman" w:eastAsia="仿宋_GB2312" w:cs="Times New Roman"/>
          <w:sz w:val="32"/>
          <w:szCs w:val="32"/>
          <w:lang w:val="en-US" w:eastAsia="zh-CN"/>
        </w:rPr>
        <w:t>2022</w:t>
      </w:r>
      <w:r>
        <w:rPr>
          <w:rFonts w:hint="eastAsia" w:ascii="仿宋_GB2312" w:hAnsi="Times New Roman" w:eastAsia="仿宋_GB2312" w:cs="Times New Roman"/>
          <w:sz w:val="32"/>
          <w:szCs w:val="32"/>
        </w:rPr>
        <w:t>年，我院</w:t>
      </w:r>
      <w:r>
        <w:rPr>
          <w:rFonts w:hint="eastAsia" w:ascii="仿宋_GB2312" w:eastAsia="仿宋_GB2312" w:cs="Times New Roman"/>
          <w:sz w:val="32"/>
          <w:szCs w:val="32"/>
          <w:lang w:eastAsia="zh-CN"/>
        </w:rPr>
        <w:t>坚持</w:t>
      </w:r>
      <w:r>
        <w:rPr>
          <w:rFonts w:hint="eastAsia" w:ascii="仿宋_GB2312" w:hAnsi="Times New Roman" w:eastAsia="仿宋_GB2312" w:cs="Times New Roman"/>
          <w:sz w:val="32"/>
          <w:szCs w:val="32"/>
        </w:rPr>
        <w:t>“科学化、人性化、精益化”为工作导向，以“促进老龄事业健康发展，提高老年人生活质量”为工作重点，以加强安全</w:t>
      </w:r>
      <w:r>
        <w:rPr>
          <w:rFonts w:hint="eastAsia" w:ascii="仿宋_GB2312" w:eastAsia="仿宋_GB2312" w:cs="Times New Roman"/>
          <w:sz w:val="32"/>
          <w:szCs w:val="32"/>
          <w:lang w:eastAsia="zh-CN"/>
        </w:rPr>
        <w:t>和项目</w:t>
      </w:r>
      <w:r>
        <w:rPr>
          <w:rFonts w:hint="eastAsia" w:ascii="仿宋_GB2312" w:hAnsi="Times New Roman" w:eastAsia="仿宋_GB2312" w:cs="Times New Roman"/>
          <w:sz w:val="32"/>
          <w:szCs w:val="32"/>
        </w:rPr>
        <w:t>建设为工作核心，全体干部职工齐心协力完成院内各项工作。</w:t>
      </w:r>
    </w:p>
    <w:p>
      <w:pPr>
        <w:pageBreakBefore w:val="0"/>
        <w:widowControl w:val="0"/>
        <w:kinsoku/>
        <w:wordWrap/>
        <w:overflowPunct/>
        <w:topLinePunct w:val="0"/>
        <w:autoSpaceDE/>
        <w:autoSpaceDN/>
        <w:bidi w:val="0"/>
        <w:spacing w:line="600" w:lineRule="exact"/>
        <w:ind w:firstLine="643" w:firstLineChars="200"/>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b/>
          <w:bCs/>
          <w:sz w:val="32"/>
          <w:szCs w:val="32"/>
          <w:lang w:val="en-US" w:eastAsia="zh-CN"/>
        </w:rPr>
        <w:t>1</w:t>
      </w:r>
      <w:r>
        <w:rPr>
          <w:rFonts w:ascii="仿宋_GB2312" w:eastAsia="仿宋_GB2312"/>
          <w:b/>
          <w:bCs/>
          <w:sz w:val="32"/>
          <w:szCs w:val="32"/>
        </w:rPr>
        <w:t>.</w:t>
      </w:r>
      <w:r>
        <w:rPr>
          <w:rFonts w:hint="eastAsia" w:ascii="仿宋_GB2312" w:hAnsi="宋体" w:eastAsia="仿宋_GB2312" w:cs="仿宋_GB2312"/>
          <w:b/>
          <w:bCs/>
          <w:sz w:val="32"/>
          <w:szCs w:val="32"/>
          <w:lang w:eastAsia="zh-CN"/>
        </w:rPr>
        <w:t>抓好队伍建设</w:t>
      </w:r>
      <w:r>
        <w:rPr>
          <w:rFonts w:hint="eastAsia" w:ascii="仿宋_GB2312" w:hAnsi="宋体" w:cs="仿宋_GB2312"/>
          <w:b/>
          <w:bCs/>
          <w:sz w:val="32"/>
          <w:szCs w:val="32"/>
          <w:lang w:eastAsia="zh-CN"/>
        </w:rPr>
        <w:t>。</w:t>
      </w:r>
      <w:r>
        <w:rPr>
          <w:rFonts w:hint="eastAsia" w:ascii="仿宋_GB2312" w:hAnsi="宋体" w:eastAsia="仿宋_GB2312" w:cs="仿宋_GB2312"/>
          <w:sz w:val="32"/>
          <w:szCs w:val="32"/>
          <w:lang w:val="en-US" w:eastAsia="zh-CN"/>
        </w:rPr>
        <w:t>不断加强党员干部和职工队伍建设，</w:t>
      </w:r>
      <w:r>
        <w:rPr>
          <w:rFonts w:ascii="仿宋_GB2312" w:hAnsi="宋体" w:eastAsia="仿宋_GB2312" w:cs="仿宋_GB2312"/>
          <w:sz w:val="32"/>
          <w:szCs w:val="32"/>
        </w:rPr>
        <w:t>加强政治思想和专业技术学习，全面提高职工综合素质和业务素质。</w:t>
      </w:r>
      <w:r>
        <w:rPr>
          <w:rFonts w:hint="eastAsia" w:ascii="仿宋_GB2312" w:hAnsi="宋体" w:eastAsia="仿宋_GB2312" w:cs="仿宋_GB2312"/>
          <w:sz w:val="32"/>
          <w:szCs w:val="32"/>
          <w:lang w:eastAsia="zh-CN"/>
        </w:rPr>
        <w:t>通过院务会，认真组织职工学习党的各项政策、方针。</w:t>
      </w:r>
      <w:r>
        <w:rPr>
          <w:rFonts w:hint="eastAsia" w:ascii="仿宋_GB2312" w:hAnsi="宋体" w:eastAsia="仿宋_GB2312" w:cs="仿宋_GB2312"/>
          <w:sz w:val="32"/>
          <w:szCs w:val="32"/>
          <w:lang w:val="en-US" w:eastAsia="zh-CN"/>
        </w:rPr>
        <w:t>继续探索工作新思路、新办法，全面推进福利院发展。</w:t>
      </w:r>
    </w:p>
    <w:p>
      <w:pPr>
        <w:pageBreakBefore w:val="0"/>
        <w:widowControl w:val="0"/>
        <w:kinsoku/>
        <w:wordWrap/>
        <w:overflowPunct/>
        <w:topLinePunct w:val="0"/>
        <w:autoSpaceDE/>
        <w:autoSpaceDN/>
        <w:bidi w:val="0"/>
        <w:spacing w:line="600" w:lineRule="exact"/>
        <w:ind w:firstLine="643" w:firstLineChars="200"/>
        <w:textAlignment w:val="auto"/>
        <w:rPr>
          <w:rFonts w:ascii="仿宋_GB2312" w:hAnsi="宋体" w:eastAsia="仿宋_GB2312" w:cs="仿宋_GB2312"/>
          <w:sz w:val="32"/>
          <w:szCs w:val="32"/>
        </w:rPr>
      </w:pPr>
      <w:r>
        <w:rPr>
          <w:rFonts w:hint="eastAsia" w:ascii="仿宋_GB2312" w:hAnsi="宋体" w:eastAsia="仿宋_GB2312" w:cs="仿宋_GB2312"/>
          <w:b/>
          <w:bCs/>
          <w:sz w:val="32"/>
          <w:szCs w:val="32"/>
          <w:lang w:val="en-US" w:eastAsia="zh-CN"/>
        </w:rPr>
        <w:t>2</w:t>
      </w:r>
      <w:r>
        <w:rPr>
          <w:rFonts w:ascii="仿宋_GB2312" w:eastAsia="仿宋_GB2312"/>
          <w:b/>
          <w:bCs/>
          <w:sz w:val="32"/>
          <w:szCs w:val="32"/>
        </w:rPr>
        <w:t>.</w:t>
      </w:r>
      <w:r>
        <w:rPr>
          <w:rFonts w:hint="eastAsia" w:ascii="仿宋_GB2312" w:hAnsi="宋体" w:eastAsia="仿宋_GB2312" w:cs="仿宋_GB2312"/>
          <w:b/>
          <w:bCs/>
          <w:sz w:val="32"/>
          <w:szCs w:val="32"/>
          <w:lang w:eastAsia="zh-CN"/>
        </w:rPr>
        <w:t>强化制度</w:t>
      </w:r>
      <w:r>
        <w:rPr>
          <w:rFonts w:hint="eastAsia" w:ascii="仿宋_GB2312" w:hAnsi="宋体" w:eastAsia="仿宋_GB2312" w:cs="仿宋_GB2312"/>
          <w:b/>
          <w:bCs/>
          <w:sz w:val="32"/>
          <w:szCs w:val="32"/>
        </w:rPr>
        <w:t>管理</w:t>
      </w:r>
      <w:r>
        <w:rPr>
          <w:rFonts w:hint="eastAsia" w:ascii="仿宋_GB2312" w:hAnsi="宋体" w:cs="仿宋_GB2312"/>
          <w:b/>
          <w:bCs/>
          <w:sz w:val="32"/>
          <w:szCs w:val="32"/>
          <w:lang w:eastAsia="zh-CN"/>
        </w:rPr>
        <w:t>。</w:t>
      </w:r>
      <w:r>
        <w:rPr>
          <w:rFonts w:hint="eastAsia" w:ascii="仿宋_GB2312" w:hAnsi="宋体" w:eastAsia="仿宋_GB2312" w:cs="仿宋_GB2312"/>
          <w:sz w:val="32"/>
          <w:szCs w:val="32"/>
          <w:lang w:eastAsia="zh-CN"/>
        </w:rPr>
        <w:t>加强制度管理，提高科学化、规范化、人性化的管理服务，</w:t>
      </w:r>
      <w:r>
        <w:rPr>
          <w:rFonts w:ascii="仿宋_GB2312" w:hAnsi="宋体" w:eastAsia="仿宋_GB2312" w:cs="仿宋_GB2312"/>
          <w:sz w:val="32"/>
          <w:szCs w:val="32"/>
        </w:rPr>
        <w:t>严格落实年度目标责任制，切实形成年度目标任务件件有着落，事事有人管，层层抓落实的良好局面。</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仿宋_GB2312" w:hAnsi="宋体" w:eastAsia="仿宋_GB2312" w:cs="仿宋_GB2312"/>
          <w:sz w:val="32"/>
          <w:szCs w:val="32"/>
        </w:rPr>
      </w:pPr>
      <w:r>
        <w:rPr>
          <w:rFonts w:hint="eastAsia" w:ascii="仿宋_GB2312" w:hAnsi="宋体" w:eastAsia="仿宋_GB2312" w:cs="仿宋_GB2312"/>
          <w:b/>
          <w:bCs/>
          <w:sz w:val="32"/>
          <w:szCs w:val="32"/>
          <w:lang w:val="en-US" w:eastAsia="zh-CN"/>
        </w:rPr>
        <w:t>3</w:t>
      </w:r>
      <w:r>
        <w:rPr>
          <w:rFonts w:ascii="仿宋_GB2312" w:eastAsia="仿宋_GB2312"/>
          <w:b/>
          <w:bCs/>
          <w:sz w:val="32"/>
          <w:szCs w:val="32"/>
        </w:rPr>
        <w:t>.</w:t>
      </w:r>
      <w:r>
        <w:rPr>
          <w:rFonts w:hint="eastAsia" w:ascii="仿宋_GB2312" w:hAnsi="宋体" w:eastAsia="仿宋_GB2312" w:cs="仿宋_GB2312"/>
          <w:b/>
          <w:bCs/>
          <w:sz w:val="32"/>
          <w:szCs w:val="32"/>
        </w:rPr>
        <w:t>提</w:t>
      </w:r>
      <w:r>
        <w:rPr>
          <w:rFonts w:hint="eastAsia" w:ascii="仿宋_GB2312" w:hAnsi="宋体" w:eastAsia="仿宋_GB2312" w:cs="仿宋_GB2312"/>
          <w:b/>
          <w:bCs/>
          <w:sz w:val="32"/>
          <w:szCs w:val="32"/>
          <w:lang w:eastAsia="zh-CN"/>
        </w:rPr>
        <w:t>升</w:t>
      </w:r>
      <w:r>
        <w:rPr>
          <w:rFonts w:hint="eastAsia" w:ascii="仿宋_GB2312" w:hAnsi="宋体" w:eastAsia="仿宋_GB2312" w:cs="仿宋_GB2312"/>
          <w:b/>
          <w:bCs/>
          <w:sz w:val="32"/>
          <w:szCs w:val="32"/>
        </w:rPr>
        <w:t>服务质量</w:t>
      </w:r>
      <w:r>
        <w:rPr>
          <w:rFonts w:hint="eastAsia" w:ascii="仿宋_GB2312" w:hAnsi="宋体" w:cs="仿宋_GB2312"/>
          <w:b/>
          <w:bCs/>
          <w:sz w:val="32"/>
          <w:szCs w:val="32"/>
          <w:lang w:eastAsia="zh-CN"/>
        </w:rPr>
        <w:t>。</w:t>
      </w:r>
      <w:r>
        <w:rPr>
          <w:rFonts w:ascii="仿宋_GB2312" w:hAnsi="宋体" w:eastAsia="仿宋_GB2312" w:cs="仿宋_GB2312"/>
          <w:sz w:val="32"/>
          <w:szCs w:val="32"/>
        </w:rPr>
        <w:t>紧紧围绕老有所养、老有所居</w:t>
      </w:r>
      <w:r>
        <w:rPr>
          <w:rFonts w:hint="eastAsia" w:ascii="仿宋_GB2312" w:hAnsi="宋体" w:cs="仿宋_GB2312"/>
          <w:sz w:val="32"/>
          <w:szCs w:val="32"/>
          <w:lang w:eastAsia="zh-CN"/>
        </w:rPr>
        <w:t>、</w:t>
      </w:r>
      <w:r>
        <w:rPr>
          <w:rFonts w:ascii="仿宋_GB2312" w:hAnsi="宋体" w:eastAsia="仿宋_GB2312" w:cs="仿宋_GB2312"/>
          <w:sz w:val="32"/>
          <w:szCs w:val="32"/>
        </w:rPr>
        <w:t>老有所乐、病有所治开展工作。努力打造建设一个宜居福利院，在全社会中树立良好的福利机构形象。共同努力把福利院建成老人得实惠、院受益、设备齐全、生活就医方便的一个</w:t>
      </w:r>
      <w:r>
        <w:rPr>
          <w:rFonts w:hint="eastAsia" w:ascii="仿宋_GB2312" w:hAnsi="宋体" w:eastAsia="仿宋_GB2312" w:cs="仿宋_GB2312"/>
          <w:sz w:val="32"/>
          <w:szCs w:val="32"/>
          <w:lang w:eastAsia="zh-CN"/>
        </w:rPr>
        <w:t>令</w:t>
      </w:r>
      <w:r>
        <w:rPr>
          <w:rFonts w:ascii="仿宋_GB2312" w:hAnsi="宋体" w:eastAsia="仿宋_GB2312" w:cs="仿宋_GB2312"/>
          <w:sz w:val="32"/>
          <w:szCs w:val="32"/>
        </w:rPr>
        <w:t>人向往的精神家园。</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default" w:ascii="仿宋_GB2312" w:hAnsi="宋体" w:eastAsia="仿宋_GB2312" w:cs="仿宋_GB2312"/>
          <w:b w:val="0"/>
          <w:bCs w:val="0"/>
          <w:sz w:val="32"/>
          <w:szCs w:val="32"/>
          <w:lang w:val="en-US" w:eastAsia="zh-CN"/>
        </w:rPr>
      </w:pPr>
      <w:r>
        <w:rPr>
          <w:rFonts w:hint="eastAsia" w:ascii="仿宋_GB2312" w:hAnsi="宋体" w:eastAsia="仿宋_GB2312" w:cs="仿宋_GB2312"/>
          <w:b/>
          <w:bCs/>
          <w:sz w:val="32"/>
          <w:szCs w:val="32"/>
          <w:lang w:val="en-US" w:eastAsia="zh-CN"/>
        </w:rPr>
        <w:t>4.加快项目进程。</w:t>
      </w:r>
      <w:r>
        <w:rPr>
          <w:rFonts w:hint="eastAsia" w:ascii="仿宋_GB2312" w:hAnsi="宋体" w:eastAsia="仿宋_GB2312" w:cs="仿宋_GB2312"/>
          <w:b w:val="0"/>
          <w:bCs w:val="0"/>
          <w:sz w:val="32"/>
          <w:szCs w:val="32"/>
          <w:lang w:val="en-US" w:eastAsia="zh-CN"/>
        </w:rPr>
        <w:t>2022年要积极向上争取资金，整合资源，行成合力，加快养护楼设施设备购置、消防管道、天然气、自来水等安装进程。</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b/>
          <w:bCs/>
          <w:sz w:val="32"/>
          <w:szCs w:val="32"/>
          <w:lang w:val="en-US" w:eastAsia="zh-CN"/>
        </w:rPr>
        <w:t>5.提高安全意识。</w:t>
      </w:r>
      <w:r>
        <w:rPr>
          <w:rFonts w:hint="eastAsia" w:ascii="仿宋_GB2312" w:hAnsi="宋体" w:eastAsia="仿宋_GB2312" w:cs="仿宋_GB2312"/>
          <w:sz w:val="32"/>
          <w:szCs w:val="32"/>
          <w:lang w:val="en-US" w:eastAsia="zh-CN"/>
        </w:rPr>
        <w:t>组织老人和职工开展常规性的消防、安全应急疏散演练，让老人和职工的安全意识和应急自救能力提高。定期和不定期开展全院安全隐患排查。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b/>
          <w:bCs/>
          <w:sz w:val="32"/>
          <w:szCs w:val="32"/>
          <w:lang w:val="en-US" w:eastAsia="zh-CN"/>
        </w:rPr>
        <w:t>6.其他日常工作。</w:t>
      </w:r>
      <w:r>
        <w:rPr>
          <w:rFonts w:hint="eastAsia" w:ascii="仿宋_GB2312" w:hAnsi="宋体" w:eastAsia="仿宋_GB2312" w:cs="仿宋_GB2312"/>
          <w:sz w:val="32"/>
          <w:szCs w:val="32"/>
          <w:lang w:val="en-US" w:eastAsia="zh-CN"/>
        </w:rPr>
        <w:t>做好各项日常工作。</w:t>
      </w:r>
    </w:p>
    <w:p>
      <w:pPr>
        <w:pStyle w:val="2"/>
        <w:pageBreakBefore w:val="0"/>
        <w:widowControl w:val="0"/>
        <w:kinsoku/>
        <w:wordWrap/>
        <w:overflowPunct/>
        <w:topLinePunct w:val="0"/>
        <w:autoSpaceDE/>
        <w:autoSpaceDN/>
        <w:bidi w:val="0"/>
        <w:adjustRightInd w:val="0"/>
        <w:snapToGrid w:val="0"/>
        <w:spacing w:before="0" w:after="0" w:line="600" w:lineRule="exact"/>
        <w:ind w:firstLine="640" w:firstLineChars="200"/>
        <w:textAlignment w:val="auto"/>
        <w:rPr>
          <w:rFonts w:hint="eastAsia" w:ascii="黑体" w:eastAsia="黑体"/>
          <w:b w:val="0"/>
          <w:bCs w:val="0"/>
          <w:sz w:val="32"/>
          <w:szCs w:val="32"/>
        </w:rPr>
      </w:pPr>
      <w:r>
        <w:rPr>
          <w:rFonts w:hint="eastAsia" w:ascii="黑体" w:eastAsia="黑体"/>
          <w:b w:val="0"/>
          <w:bCs w:val="0"/>
          <w:sz w:val="32"/>
          <w:szCs w:val="32"/>
        </w:rPr>
        <w:t>二、部门概况</w:t>
      </w:r>
      <w:bookmarkEnd w:id="6"/>
    </w:p>
    <w:p>
      <w:pPr>
        <w:pStyle w:val="4"/>
        <w:pageBreakBefore w:val="0"/>
        <w:widowControl w:val="0"/>
        <w:kinsoku/>
        <w:wordWrap/>
        <w:overflowPunct/>
        <w:topLinePunct w:val="0"/>
        <w:autoSpaceDE/>
        <w:autoSpaceDN/>
        <w:bidi w:val="0"/>
        <w:adjustRightInd w:val="0"/>
        <w:snapToGrid w:val="0"/>
        <w:spacing w:before="0" w:beforeLines="0" w:line="600" w:lineRule="exact"/>
        <w:ind w:firstLine="640" w:firstLineChars="200"/>
        <w:textAlignment w:val="auto"/>
        <w:rPr>
          <w:rFonts w:hint="eastAsia"/>
          <w:sz w:val="32"/>
          <w:szCs w:val="32"/>
          <w:lang w:eastAsia="zh-CN"/>
        </w:rPr>
      </w:pPr>
      <w:r>
        <w:rPr>
          <w:rFonts w:hint="eastAsia"/>
          <w:sz w:val="32"/>
          <w:szCs w:val="32"/>
          <w:lang w:eastAsia="zh-CN"/>
        </w:rPr>
        <w:t>自贡市自流井区社会福利院是自贡市自流井区民政局下属二级预算单位，单位基本性质为财政全额拨款事业单位。纳入2022年部门预算编制范围的独立核算机构共1个。其中行政单位0个，参照公务员法管理的事业单位0个，其他事业单位1个。主要包括：自贡市自流井区社会福利院。</w:t>
      </w:r>
    </w:p>
    <w:p>
      <w:pPr>
        <w:pStyle w:val="2"/>
        <w:pageBreakBefore w:val="0"/>
        <w:widowControl w:val="0"/>
        <w:kinsoku/>
        <w:wordWrap/>
        <w:overflowPunct/>
        <w:topLinePunct w:val="0"/>
        <w:autoSpaceDE/>
        <w:autoSpaceDN/>
        <w:bidi w:val="0"/>
        <w:adjustRightInd w:val="0"/>
        <w:snapToGrid w:val="0"/>
        <w:spacing w:before="0" w:after="0" w:line="600" w:lineRule="exact"/>
        <w:ind w:firstLine="640" w:firstLineChars="200"/>
        <w:textAlignment w:val="auto"/>
        <w:rPr>
          <w:rFonts w:hint="eastAsia" w:ascii="黑体" w:eastAsia="黑体"/>
          <w:b w:val="0"/>
          <w:bCs w:val="0"/>
          <w:sz w:val="32"/>
          <w:szCs w:val="32"/>
        </w:rPr>
      </w:pPr>
      <w:bookmarkStart w:id="7" w:name="_Toc72430481"/>
      <w:r>
        <w:rPr>
          <w:rFonts w:hint="eastAsia" w:ascii="黑体" w:eastAsia="黑体"/>
          <w:b w:val="0"/>
          <w:bCs w:val="0"/>
          <w:sz w:val="32"/>
          <w:szCs w:val="32"/>
        </w:rPr>
        <w:t>三、收支预算情况说明</w:t>
      </w:r>
      <w:bookmarkEnd w:id="7"/>
    </w:p>
    <w:p>
      <w:pPr>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按照综合预算的原则，</w:t>
      </w:r>
      <w:r>
        <w:rPr>
          <w:rFonts w:hint="eastAsia" w:ascii="仿宋_GB2312" w:eastAsia="仿宋_GB2312"/>
          <w:sz w:val="32"/>
          <w:szCs w:val="32"/>
          <w:lang w:eastAsia="zh-CN"/>
        </w:rPr>
        <w:t>自贡市自流井区社会福利院</w:t>
      </w:r>
      <w:r>
        <w:rPr>
          <w:rFonts w:hint="eastAsia" w:ascii="仿宋_GB2312" w:eastAsia="仿宋_GB2312"/>
          <w:sz w:val="32"/>
          <w:szCs w:val="32"/>
        </w:rPr>
        <w:t>所有收入和支出均纳入部门预算管理。收入包括：一般公共预算拨款收入、上年结转；支出包括：社会保障和就业支出、</w:t>
      </w:r>
      <w:r>
        <w:rPr>
          <w:rFonts w:hint="eastAsia" w:ascii="仿宋_GB2312" w:eastAsia="仿宋_GB2312"/>
          <w:sz w:val="32"/>
          <w:szCs w:val="32"/>
          <w:lang w:eastAsia="zh-CN"/>
        </w:rPr>
        <w:t>卫生健康支出</w:t>
      </w:r>
      <w:r>
        <w:rPr>
          <w:rFonts w:hint="eastAsia" w:ascii="仿宋_GB2312" w:eastAsia="仿宋_GB2312"/>
          <w:sz w:val="32"/>
          <w:szCs w:val="32"/>
        </w:rPr>
        <w:t>、住房保障支出。</w:t>
      </w:r>
      <w:r>
        <w:rPr>
          <w:rFonts w:hint="eastAsia" w:ascii="仿宋_GB2312" w:eastAsia="仿宋_GB2312"/>
          <w:sz w:val="32"/>
          <w:szCs w:val="32"/>
          <w:lang w:eastAsia="zh-CN"/>
        </w:rPr>
        <w:t>自贡市自流井区社会福利院</w:t>
      </w:r>
      <w:r>
        <w:rPr>
          <w:rFonts w:hint="eastAsia" w:ascii="仿宋_GB2312" w:eastAsia="仿宋_GB2312"/>
          <w:sz w:val="32"/>
          <w:szCs w:val="32"/>
        </w:rPr>
        <w:t>2022年收支总预算</w:t>
      </w:r>
      <w:r>
        <w:rPr>
          <w:rFonts w:hint="eastAsia" w:ascii="仿宋_GB2312" w:eastAsia="仿宋_GB2312"/>
          <w:sz w:val="32"/>
          <w:szCs w:val="32"/>
          <w:lang w:val="en-US" w:eastAsia="zh-CN"/>
        </w:rPr>
        <w:t>103.74</w:t>
      </w:r>
      <w:r>
        <w:rPr>
          <w:rFonts w:hint="eastAsia" w:ascii="仿宋_GB2312" w:eastAsia="仿宋_GB2312"/>
          <w:sz w:val="32"/>
          <w:szCs w:val="32"/>
        </w:rPr>
        <w:t>万元，比2021年收支预算总数增加</w:t>
      </w:r>
      <w:r>
        <w:rPr>
          <w:rFonts w:hint="eastAsia" w:ascii="仿宋_GB2312" w:eastAsia="仿宋_GB2312"/>
          <w:sz w:val="32"/>
          <w:szCs w:val="32"/>
          <w:lang w:val="en-US" w:eastAsia="zh-CN"/>
        </w:rPr>
        <w:t>15.76</w:t>
      </w:r>
      <w:r>
        <w:rPr>
          <w:rFonts w:hint="eastAsia" w:ascii="仿宋_GB2312" w:eastAsia="仿宋_GB2312"/>
          <w:sz w:val="32"/>
          <w:szCs w:val="32"/>
        </w:rPr>
        <w:t>万元，主要原因是</w:t>
      </w:r>
      <w:r>
        <w:rPr>
          <w:rFonts w:hint="eastAsia" w:ascii="仿宋_GB2312" w:eastAsia="仿宋_GB2312"/>
          <w:sz w:val="32"/>
          <w:szCs w:val="32"/>
          <w:lang w:eastAsia="zh-CN"/>
        </w:rPr>
        <w:t>新增</w:t>
      </w:r>
      <w:r>
        <w:rPr>
          <w:rFonts w:hint="eastAsia" w:ascii="仿宋_GB2312" w:eastAsia="仿宋_GB2312"/>
          <w:sz w:val="32"/>
          <w:szCs w:val="32"/>
          <w:lang w:val="en-US" w:eastAsia="zh-CN"/>
        </w:rPr>
        <w:t>2名职工</w:t>
      </w:r>
      <w:r>
        <w:rPr>
          <w:rFonts w:hint="eastAsia" w:ascii="仿宋_GB2312" w:eastAsia="仿宋_GB2312"/>
          <w:sz w:val="32"/>
          <w:szCs w:val="32"/>
        </w:rPr>
        <w:t>。</w:t>
      </w:r>
    </w:p>
    <w:p>
      <w:pPr>
        <w:pStyle w:val="3"/>
        <w:pageBreakBefore w:val="0"/>
        <w:widowControl w:val="0"/>
        <w:kinsoku/>
        <w:wordWrap/>
        <w:overflowPunct/>
        <w:topLinePunct w:val="0"/>
        <w:autoSpaceDE/>
        <w:autoSpaceDN/>
        <w:bidi w:val="0"/>
        <w:spacing w:before="0" w:after="0" w:line="600" w:lineRule="exact"/>
        <w:ind w:firstLine="643" w:firstLineChars="200"/>
        <w:textAlignment w:val="auto"/>
        <w:rPr>
          <w:rFonts w:hint="eastAsia" w:ascii="仿宋_GB2312" w:eastAsia="仿宋_GB2312"/>
          <w:b/>
          <w:bCs/>
        </w:rPr>
      </w:pPr>
      <w:bookmarkStart w:id="8" w:name="_Toc72430482"/>
      <w:r>
        <w:rPr>
          <w:rFonts w:hint="eastAsia" w:ascii="仿宋_GB2312" w:eastAsia="仿宋_GB2312"/>
          <w:b/>
          <w:bCs/>
        </w:rPr>
        <w:t>（一）收入预算情况</w:t>
      </w:r>
      <w:bookmarkEnd w:id="8"/>
    </w:p>
    <w:p>
      <w:pPr>
        <w:pageBreakBefore w:val="0"/>
        <w:widowControl w:val="0"/>
        <w:kinsoku/>
        <w:wordWrap/>
        <w:overflowPunct/>
        <w:topLinePunct w:val="0"/>
        <w:autoSpaceDE/>
        <w:autoSpaceDN/>
        <w:bidi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自贡市自流井区社会福利院</w:t>
      </w:r>
      <w:r>
        <w:rPr>
          <w:rFonts w:hint="eastAsia" w:ascii="仿宋_GB2312" w:eastAsia="仿宋_GB2312"/>
          <w:sz w:val="32"/>
          <w:szCs w:val="32"/>
        </w:rPr>
        <w:t>2022年收入预算</w:t>
      </w:r>
      <w:r>
        <w:rPr>
          <w:rFonts w:hint="eastAsia" w:ascii="仿宋_GB2312" w:eastAsia="仿宋_GB2312"/>
          <w:sz w:val="32"/>
          <w:szCs w:val="32"/>
          <w:lang w:val="en-US" w:eastAsia="zh-CN"/>
        </w:rPr>
        <w:t>103.74</w:t>
      </w:r>
      <w:r>
        <w:rPr>
          <w:rFonts w:hint="eastAsia" w:ascii="仿宋_GB2312" w:eastAsia="仿宋_GB2312"/>
          <w:sz w:val="32"/>
          <w:szCs w:val="32"/>
        </w:rPr>
        <w:t>万元，其中：上年结转</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%；一般公共预算拨款收入</w:t>
      </w:r>
      <w:r>
        <w:rPr>
          <w:rFonts w:hint="eastAsia" w:ascii="仿宋_GB2312" w:eastAsia="仿宋_GB2312"/>
          <w:sz w:val="32"/>
          <w:szCs w:val="32"/>
          <w:lang w:val="en-US" w:eastAsia="zh-CN"/>
        </w:rPr>
        <w:t>103.74</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sz w:val="32"/>
          <w:szCs w:val="32"/>
          <w:lang w:eastAsia="zh-CN"/>
        </w:rPr>
      </w:pPr>
      <w:r>
        <w:rPr>
          <w:rFonts w:hint="eastAsia" w:ascii="仿宋_GB2312" w:eastAsia="仿宋_GB2312"/>
          <w:b/>
          <w:sz w:val="32"/>
          <w:szCs w:val="32"/>
          <w:lang w:eastAsia="zh-CN"/>
        </w:rPr>
        <w:drawing>
          <wp:anchor distT="0" distB="0" distL="114300" distR="114300" simplePos="0" relativeHeight="251660288" behindDoc="1" locked="0" layoutInCell="1" allowOverlap="1">
            <wp:simplePos x="0" y="0"/>
            <wp:positionH relativeFrom="column">
              <wp:posOffset>526415</wp:posOffset>
            </wp:positionH>
            <wp:positionV relativeFrom="paragraph">
              <wp:posOffset>81280</wp:posOffset>
            </wp:positionV>
            <wp:extent cx="4460240" cy="3634105"/>
            <wp:effectExtent l="4445" t="4445" r="12065" b="19050"/>
            <wp:wrapTight wrapText="bothSides">
              <wp:wrapPolygon>
                <wp:start x="-22" y="-26"/>
                <wp:lineTo x="-22" y="21487"/>
                <wp:lineTo x="21566" y="21487"/>
                <wp:lineTo x="21566" y="-26"/>
                <wp:lineTo x="-22" y="-26"/>
              </wp:wrapPolygon>
            </wp:wrapTight>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b/>
          <w:sz w:val="32"/>
          <w:szCs w:val="32"/>
        </w:rPr>
      </w:pP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b/>
          <w:sz w:val="32"/>
          <w:szCs w:val="32"/>
          <w:lang w:eastAsia="zh-CN"/>
        </w:rPr>
      </w:pP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b/>
          <w:sz w:val="32"/>
          <w:szCs w:val="32"/>
          <w:lang w:eastAsia="zh-CN"/>
        </w:rPr>
      </w:pP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b/>
          <w:sz w:val="32"/>
          <w:szCs w:val="32"/>
          <w:lang w:eastAsia="zh-CN"/>
        </w:rPr>
      </w:pP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b/>
          <w:sz w:val="32"/>
          <w:szCs w:val="32"/>
          <w:lang w:eastAsia="zh-CN"/>
        </w:rPr>
      </w:pP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b/>
          <w:sz w:val="32"/>
          <w:szCs w:val="32"/>
          <w:lang w:eastAsia="zh-CN"/>
        </w:rPr>
      </w:pPr>
    </w:p>
    <w:p>
      <w:pPr>
        <w:pageBreakBefore w:val="0"/>
        <w:widowControl w:val="0"/>
        <w:kinsoku/>
        <w:wordWrap/>
        <w:overflowPunct/>
        <w:topLinePunct w:val="0"/>
        <w:bidi w:val="0"/>
        <w:spacing w:line="600" w:lineRule="exact"/>
        <w:textAlignment w:val="auto"/>
        <w:rPr>
          <w:rFonts w:hint="eastAsia" w:ascii="仿宋_GB2312" w:eastAsia="仿宋_GB2312"/>
          <w:b/>
          <w:sz w:val="32"/>
          <w:szCs w:val="32"/>
        </w:rPr>
      </w:pPr>
    </w:p>
    <w:p>
      <w:pPr>
        <w:pageBreakBefore w:val="0"/>
        <w:widowControl w:val="0"/>
        <w:kinsoku/>
        <w:wordWrap/>
        <w:overflowPunct/>
        <w:topLinePunct w:val="0"/>
        <w:bidi w:val="0"/>
        <w:spacing w:line="600" w:lineRule="exact"/>
        <w:ind w:firstLine="1285" w:firstLineChars="400"/>
        <w:textAlignment w:val="auto"/>
        <w:rPr>
          <w:rFonts w:hint="eastAsia" w:ascii="仿宋_GB2312" w:eastAsia="仿宋_GB2312"/>
          <w:b w:val="0"/>
          <w:bCs w:val="0"/>
        </w:rPr>
      </w:pPr>
      <w:r>
        <w:rPr>
          <w:rFonts w:hint="eastAsia" w:ascii="仿宋_GB2312" w:eastAsia="仿宋_GB2312"/>
          <w:b/>
          <w:sz w:val="32"/>
          <w:szCs w:val="32"/>
        </w:rPr>
        <w:t>（图1：收入预算结构图）（饼状图）</w:t>
      </w:r>
      <w:bookmarkStart w:id="9" w:name="_Toc72430483"/>
    </w:p>
    <w:p>
      <w:pPr>
        <w:pStyle w:val="3"/>
        <w:pageBreakBefore w:val="0"/>
        <w:widowControl w:val="0"/>
        <w:kinsoku/>
        <w:wordWrap/>
        <w:overflowPunct/>
        <w:topLinePunct w:val="0"/>
        <w:bidi w:val="0"/>
        <w:spacing w:before="0" w:after="0" w:line="600" w:lineRule="exact"/>
        <w:ind w:firstLine="643" w:firstLineChars="200"/>
        <w:textAlignment w:val="auto"/>
        <w:rPr>
          <w:rFonts w:hint="eastAsia" w:ascii="仿宋_GB2312" w:eastAsia="仿宋_GB2312"/>
          <w:b/>
          <w:bCs/>
        </w:rPr>
      </w:pPr>
      <w:r>
        <w:rPr>
          <w:rFonts w:hint="eastAsia" w:ascii="仿宋_GB2312" w:eastAsia="仿宋_GB2312"/>
          <w:b/>
          <w:bCs/>
        </w:rPr>
        <w:t>（二）支出预算情况</w:t>
      </w:r>
      <w:bookmarkEnd w:id="9"/>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自贡市自流井区社会福利院</w:t>
      </w:r>
      <w:r>
        <w:rPr>
          <w:rFonts w:hint="eastAsia" w:ascii="仿宋_GB2312" w:eastAsia="仿宋_GB2312"/>
          <w:sz w:val="32"/>
          <w:szCs w:val="32"/>
        </w:rPr>
        <w:t>2022年支出预算</w:t>
      </w:r>
      <w:r>
        <w:rPr>
          <w:rFonts w:hint="eastAsia" w:ascii="仿宋_GB2312" w:eastAsia="仿宋_GB2312"/>
          <w:sz w:val="32"/>
          <w:szCs w:val="32"/>
          <w:lang w:val="en-US" w:eastAsia="zh-CN"/>
        </w:rPr>
        <w:t>103.74</w:t>
      </w:r>
      <w:r>
        <w:rPr>
          <w:rFonts w:hint="eastAsia" w:ascii="仿宋_GB2312" w:eastAsia="仿宋_GB2312"/>
          <w:sz w:val="32"/>
          <w:szCs w:val="32"/>
        </w:rPr>
        <w:t>万元，其中：基本支出</w:t>
      </w:r>
      <w:r>
        <w:rPr>
          <w:rFonts w:hint="eastAsia" w:ascii="仿宋_GB2312" w:eastAsia="仿宋_GB2312"/>
          <w:sz w:val="32"/>
          <w:szCs w:val="32"/>
          <w:lang w:val="en-US" w:eastAsia="zh-CN"/>
        </w:rPr>
        <w:t>103.74</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%；项目支出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1312" behindDoc="1" locked="0" layoutInCell="1" allowOverlap="1">
            <wp:simplePos x="0" y="0"/>
            <wp:positionH relativeFrom="column">
              <wp:posOffset>395605</wp:posOffset>
            </wp:positionH>
            <wp:positionV relativeFrom="paragraph">
              <wp:posOffset>110490</wp:posOffset>
            </wp:positionV>
            <wp:extent cx="4537710" cy="2787015"/>
            <wp:effectExtent l="4445" t="4445" r="67945" b="66040"/>
            <wp:wrapTight wrapText="bothSides">
              <wp:wrapPolygon>
                <wp:start x="-21" y="-34"/>
                <wp:lineTo x="-21" y="21521"/>
                <wp:lineTo x="21561" y="21521"/>
                <wp:lineTo x="21561" y="-34"/>
                <wp:lineTo x="-21" y="-34"/>
              </wp:wrapPolygon>
            </wp:wrapTight>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lang w:eastAsia="zh-CN"/>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lang w:eastAsia="zh-CN"/>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lang w:eastAsia="zh-CN"/>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lang w:eastAsia="zh-CN"/>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lang w:eastAsia="zh-CN"/>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lang w:eastAsia="zh-CN"/>
        </w:rPr>
      </w:pPr>
    </w:p>
    <w:p>
      <w:pPr>
        <w:pageBreakBefore w:val="0"/>
        <w:widowControl w:val="0"/>
        <w:kinsoku/>
        <w:wordWrap/>
        <w:overflowPunct/>
        <w:topLinePunct w:val="0"/>
        <w:bidi w:val="0"/>
        <w:spacing w:line="600" w:lineRule="exact"/>
        <w:ind w:firstLine="1285" w:firstLineChars="400"/>
        <w:textAlignment w:val="auto"/>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1606" w:firstLineChars="500"/>
        <w:textAlignment w:val="auto"/>
        <w:rPr>
          <w:rFonts w:hint="eastAsia" w:ascii="仿宋_GB2312" w:eastAsia="仿宋_GB2312"/>
          <w:b/>
          <w:sz w:val="32"/>
          <w:szCs w:val="32"/>
        </w:rPr>
      </w:pPr>
      <w:r>
        <w:rPr>
          <w:rFonts w:hint="eastAsia" w:ascii="仿宋_GB2312" w:eastAsia="仿宋_GB2312"/>
          <w:b/>
          <w:sz w:val="32"/>
          <w:szCs w:val="32"/>
        </w:rPr>
        <w:t>（图2：支出预算结构图）（饼状图）</w:t>
      </w:r>
    </w:p>
    <w:p>
      <w:pPr>
        <w:pStyle w:val="2"/>
        <w:pageBreakBefore w:val="0"/>
        <w:widowControl w:val="0"/>
        <w:kinsoku/>
        <w:wordWrap/>
        <w:overflowPunct/>
        <w:topLinePunct w:val="0"/>
        <w:autoSpaceDE/>
        <w:autoSpaceDN/>
        <w:bidi w:val="0"/>
        <w:adjustRightInd/>
        <w:snapToGrid/>
        <w:spacing w:before="0" w:after="0" w:line="600" w:lineRule="exact"/>
        <w:ind w:firstLine="640" w:firstLineChars="200"/>
        <w:textAlignment w:val="auto"/>
        <w:rPr>
          <w:rFonts w:hint="eastAsia" w:ascii="仿宋_GB2312" w:eastAsia="仿宋_GB2312"/>
          <w:b w:val="0"/>
          <w:bCs w:val="0"/>
          <w:color w:val="333333"/>
          <w:sz w:val="32"/>
          <w:szCs w:val="32"/>
        </w:rPr>
      </w:pPr>
      <w:bookmarkStart w:id="10" w:name="_Toc72430484"/>
      <w:r>
        <w:rPr>
          <w:rFonts w:hint="eastAsia" w:ascii="黑体" w:eastAsia="黑体"/>
          <w:b w:val="0"/>
          <w:bCs w:val="0"/>
          <w:color w:val="333333"/>
          <w:sz w:val="32"/>
          <w:szCs w:val="32"/>
        </w:rPr>
        <w:t>四、财政拨款收支预算情况说明</w:t>
      </w:r>
      <w:bookmarkEnd w:id="10"/>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自贡市自流井区社会福利院</w:t>
      </w:r>
      <w:r>
        <w:rPr>
          <w:rFonts w:hint="eastAsia" w:ascii="仿宋_GB2312" w:eastAsia="仿宋_GB2312"/>
          <w:color w:val="333333"/>
          <w:sz w:val="32"/>
          <w:szCs w:val="32"/>
        </w:rPr>
        <w:t>2022年财政拨款收支总预算</w:t>
      </w:r>
      <w:r>
        <w:rPr>
          <w:rFonts w:hint="eastAsia" w:ascii="仿宋_GB2312" w:eastAsia="仿宋_GB2312"/>
          <w:sz w:val="32"/>
          <w:szCs w:val="32"/>
          <w:lang w:val="en-US" w:eastAsia="zh-CN"/>
        </w:rPr>
        <w:t>103.74</w:t>
      </w:r>
      <w:r>
        <w:rPr>
          <w:rFonts w:hint="eastAsia" w:ascii="仿宋_GB2312" w:eastAsia="仿宋_GB2312"/>
          <w:color w:val="333333"/>
          <w:sz w:val="32"/>
          <w:szCs w:val="32"/>
        </w:rPr>
        <w:t>万元，比2021年财政拨款收支总预算增加</w:t>
      </w:r>
      <w:r>
        <w:rPr>
          <w:rFonts w:hint="eastAsia" w:ascii="仿宋_GB2312" w:eastAsia="仿宋_GB2312"/>
          <w:color w:val="333333"/>
          <w:sz w:val="32"/>
          <w:szCs w:val="32"/>
          <w:lang w:val="en-US" w:eastAsia="zh-CN"/>
        </w:rPr>
        <w:t>15.76</w:t>
      </w:r>
      <w:r>
        <w:rPr>
          <w:rFonts w:hint="eastAsia" w:ascii="仿宋_GB2312" w:eastAsia="仿宋_GB2312"/>
          <w:color w:val="333333"/>
          <w:sz w:val="32"/>
          <w:szCs w:val="32"/>
        </w:rPr>
        <w:t>万元，主要原因是</w:t>
      </w:r>
      <w:r>
        <w:rPr>
          <w:rFonts w:hint="eastAsia" w:ascii="仿宋_GB2312" w:eastAsia="仿宋_GB2312"/>
          <w:sz w:val="32"/>
          <w:szCs w:val="32"/>
          <w:lang w:eastAsia="zh-CN"/>
        </w:rPr>
        <w:t>新增</w:t>
      </w:r>
      <w:r>
        <w:rPr>
          <w:rFonts w:hint="eastAsia" w:ascii="仿宋_GB2312" w:eastAsia="仿宋_GB2312"/>
          <w:sz w:val="32"/>
          <w:szCs w:val="32"/>
          <w:lang w:val="en-US" w:eastAsia="zh-CN"/>
        </w:rPr>
        <w:t>2名职工</w:t>
      </w:r>
      <w:r>
        <w:rPr>
          <w:rFonts w:hint="eastAsia" w:ascii="仿宋_GB2312" w:eastAsia="仿宋_GB2312"/>
          <w:sz w:val="32"/>
          <w:szCs w:val="32"/>
        </w:rPr>
        <w:t>。</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drawing>
          <wp:anchor distT="0" distB="0" distL="114300" distR="114300" simplePos="0" relativeHeight="251662336" behindDoc="1" locked="0" layoutInCell="1" allowOverlap="1">
            <wp:simplePos x="0" y="0"/>
            <wp:positionH relativeFrom="column">
              <wp:posOffset>1029335</wp:posOffset>
            </wp:positionH>
            <wp:positionV relativeFrom="paragraph">
              <wp:posOffset>158115</wp:posOffset>
            </wp:positionV>
            <wp:extent cx="3585210" cy="2679065"/>
            <wp:effectExtent l="4445" t="4445" r="10795" b="21590"/>
            <wp:wrapTight wrapText="bothSides">
              <wp:wrapPolygon>
                <wp:start x="-27" y="-36"/>
                <wp:lineTo x="-27" y="21467"/>
                <wp:lineTo x="21550" y="21467"/>
                <wp:lineTo x="21550" y="-36"/>
                <wp:lineTo x="-27" y="-36"/>
              </wp:wrapPolygon>
            </wp:wrapTight>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lang w:eastAsia="zh-CN"/>
        </w:rPr>
      </w:pP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b/>
          <w:sz w:val="32"/>
          <w:szCs w:val="32"/>
        </w:rPr>
      </w:pPr>
    </w:p>
    <w:p>
      <w:pPr>
        <w:pageBreakBefore w:val="0"/>
        <w:widowControl w:val="0"/>
        <w:kinsoku/>
        <w:wordWrap/>
        <w:overflowPunct/>
        <w:topLinePunct w:val="0"/>
        <w:bidi w:val="0"/>
        <w:spacing w:line="600" w:lineRule="exact"/>
        <w:ind w:firstLine="964" w:firstLineChars="300"/>
        <w:textAlignment w:val="auto"/>
        <w:rPr>
          <w:rFonts w:hint="eastAsia" w:ascii="仿宋_GB2312" w:eastAsia="仿宋_GB2312"/>
          <w:b/>
          <w:sz w:val="32"/>
          <w:szCs w:val="32"/>
        </w:rPr>
      </w:pPr>
      <w:r>
        <w:rPr>
          <w:rFonts w:hint="eastAsia" w:ascii="仿宋_GB2312" w:eastAsia="仿宋_GB2312"/>
          <w:b/>
          <w:sz w:val="32"/>
          <w:szCs w:val="32"/>
        </w:rPr>
        <w:t>（图3：财政拨款收支总预算变动情况）（柱状图）</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eastAsia" w:ascii="仿宋_GB2312" w:eastAsia="仿宋_GB2312"/>
          <w:color w:val="333333"/>
          <w:sz w:val="32"/>
          <w:szCs w:val="32"/>
        </w:rPr>
        <w:t>收入包括：本年一般公共预算拨款收入</w:t>
      </w:r>
      <w:r>
        <w:rPr>
          <w:rFonts w:hint="eastAsia" w:ascii="仿宋_GB2312" w:eastAsia="仿宋_GB2312"/>
          <w:sz w:val="32"/>
          <w:szCs w:val="32"/>
          <w:lang w:val="en-US" w:eastAsia="zh-CN"/>
        </w:rPr>
        <w:t>103.74</w:t>
      </w:r>
      <w:r>
        <w:rPr>
          <w:rFonts w:hint="eastAsia" w:ascii="仿宋_GB2312" w:eastAsia="仿宋_GB2312"/>
          <w:color w:val="333333"/>
          <w:sz w:val="32"/>
          <w:szCs w:val="32"/>
        </w:rPr>
        <w:t>万元，本年</w:t>
      </w:r>
      <w:r>
        <w:rPr>
          <w:rFonts w:hint="eastAsia" w:ascii="仿宋_GB2312" w:eastAsia="仿宋_GB2312"/>
          <w:sz w:val="32"/>
          <w:szCs w:val="32"/>
        </w:rPr>
        <w:t>政府性基金收入</w:t>
      </w:r>
      <w:r>
        <w:rPr>
          <w:rFonts w:hint="eastAsia" w:ascii="仿宋_GB2312" w:eastAsia="仿宋_GB2312"/>
          <w:sz w:val="32"/>
          <w:szCs w:val="32"/>
          <w:lang w:val="en-US" w:eastAsia="zh-CN"/>
        </w:rPr>
        <w:t>0</w:t>
      </w:r>
      <w:r>
        <w:rPr>
          <w:rFonts w:hint="eastAsia" w:ascii="仿宋_GB2312" w:eastAsia="仿宋_GB2312"/>
          <w:color w:val="333333"/>
          <w:sz w:val="32"/>
          <w:szCs w:val="32"/>
        </w:rPr>
        <w:t>万元，上年结转一般公共预算拨款收入</w:t>
      </w:r>
      <w:r>
        <w:rPr>
          <w:rFonts w:hint="eastAsia" w:ascii="仿宋_GB2312" w:eastAsia="仿宋_GB2312"/>
          <w:sz w:val="32"/>
          <w:szCs w:val="32"/>
          <w:lang w:val="en-US" w:eastAsia="zh-CN"/>
        </w:rPr>
        <w:t>0</w:t>
      </w:r>
      <w:r>
        <w:rPr>
          <w:rFonts w:hint="eastAsia" w:ascii="仿宋_GB2312" w:eastAsia="仿宋_GB2312"/>
          <w:color w:val="333333"/>
          <w:sz w:val="32"/>
          <w:szCs w:val="32"/>
        </w:rPr>
        <w:t>万元；支出包括：一般公共服务支出</w:t>
      </w:r>
      <w:r>
        <w:rPr>
          <w:rFonts w:hint="eastAsia" w:ascii="仿宋_GB2312" w:eastAsia="仿宋_GB2312"/>
          <w:sz w:val="32"/>
          <w:szCs w:val="32"/>
          <w:lang w:val="en-US" w:eastAsia="zh-CN"/>
        </w:rPr>
        <w:t>0</w:t>
      </w:r>
      <w:r>
        <w:rPr>
          <w:rFonts w:hint="eastAsia" w:ascii="仿宋_GB2312" w:eastAsia="仿宋_GB2312"/>
          <w:color w:val="333333"/>
          <w:sz w:val="32"/>
          <w:szCs w:val="32"/>
        </w:rPr>
        <w:t>万元、社会保障和就业支出</w:t>
      </w:r>
      <w:r>
        <w:rPr>
          <w:rFonts w:hint="eastAsia" w:ascii="仿宋_GB2312" w:eastAsia="仿宋_GB2312"/>
          <w:sz w:val="32"/>
          <w:szCs w:val="32"/>
          <w:lang w:val="en-US" w:eastAsia="zh-CN"/>
        </w:rPr>
        <w:t>88.83</w:t>
      </w:r>
      <w:r>
        <w:rPr>
          <w:rFonts w:hint="eastAsia" w:ascii="仿宋_GB2312" w:eastAsia="仿宋_GB2312"/>
          <w:color w:val="333333"/>
          <w:sz w:val="32"/>
          <w:szCs w:val="32"/>
        </w:rPr>
        <w:t>万元、卫生健康支出</w:t>
      </w:r>
      <w:r>
        <w:rPr>
          <w:rFonts w:hint="eastAsia" w:ascii="仿宋_GB2312" w:eastAsia="仿宋_GB2312"/>
          <w:sz w:val="32"/>
          <w:szCs w:val="32"/>
          <w:lang w:val="en-US" w:eastAsia="zh-CN"/>
        </w:rPr>
        <w:t>6.6</w:t>
      </w:r>
      <w:r>
        <w:rPr>
          <w:rFonts w:hint="eastAsia" w:ascii="仿宋_GB2312" w:eastAsia="仿宋_GB2312"/>
          <w:color w:val="333333"/>
          <w:sz w:val="32"/>
          <w:szCs w:val="32"/>
        </w:rPr>
        <w:t>万元、住房保障支出</w:t>
      </w:r>
      <w:r>
        <w:rPr>
          <w:rFonts w:hint="eastAsia" w:ascii="仿宋_GB2312" w:eastAsia="仿宋_GB2312"/>
          <w:sz w:val="32"/>
          <w:szCs w:val="32"/>
          <w:lang w:val="en-US" w:eastAsia="zh-CN"/>
        </w:rPr>
        <w:t>8.30</w:t>
      </w:r>
      <w:r>
        <w:rPr>
          <w:rFonts w:hint="eastAsia" w:ascii="仿宋_GB2312" w:eastAsia="仿宋_GB2312"/>
          <w:color w:val="333333"/>
          <w:sz w:val="32"/>
          <w:szCs w:val="32"/>
        </w:rPr>
        <w:t>万元。</w:t>
      </w:r>
    </w:p>
    <w:p>
      <w:pPr>
        <w:pStyle w:val="2"/>
        <w:pageBreakBefore w:val="0"/>
        <w:widowControl w:val="0"/>
        <w:kinsoku/>
        <w:wordWrap/>
        <w:overflowPunct/>
        <w:topLinePunct w:val="0"/>
        <w:bidi w:val="0"/>
        <w:spacing w:before="0" w:after="0" w:line="600" w:lineRule="exact"/>
        <w:ind w:firstLine="640" w:firstLineChars="200"/>
        <w:textAlignment w:val="auto"/>
        <w:rPr>
          <w:rFonts w:hint="eastAsia" w:ascii="仿宋_GB2312" w:eastAsia="仿宋_GB2312"/>
          <w:b w:val="0"/>
          <w:bCs w:val="0"/>
          <w:color w:val="333333"/>
          <w:sz w:val="32"/>
          <w:szCs w:val="32"/>
        </w:rPr>
      </w:pPr>
      <w:bookmarkStart w:id="11" w:name="_Toc72430485"/>
      <w:r>
        <w:rPr>
          <w:rFonts w:hint="eastAsia" w:ascii="黑体" w:eastAsia="黑体"/>
          <w:b w:val="0"/>
          <w:bCs w:val="0"/>
          <w:color w:val="333333"/>
          <w:sz w:val="32"/>
          <w:szCs w:val="32"/>
        </w:rPr>
        <w:t>五、一般公共预算当年拨款情况说明</w:t>
      </w:r>
      <w:bookmarkEnd w:id="11"/>
      <w:r>
        <w:rPr>
          <w:rFonts w:hint="eastAsia" w:ascii="仿宋_GB2312" w:eastAsia="仿宋_GB2312"/>
          <w:b w:val="0"/>
          <w:bCs w:val="0"/>
          <w:color w:val="333333"/>
          <w:sz w:val="32"/>
          <w:szCs w:val="32"/>
        </w:rPr>
        <w:t>　　</w:t>
      </w:r>
    </w:p>
    <w:p>
      <w:pPr>
        <w:pStyle w:val="3"/>
        <w:pageBreakBefore w:val="0"/>
        <w:widowControl w:val="0"/>
        <w:kinsoku/>
        <w:wordWrap/>
        <w:overflowPunct/>
        <w:topLinePunct w:val="0"/>
        <w:bidi w:val="0"/>
        <w:spacing w:before="0" w:after="0" w:line="600" w:lineRule="exact"/>
        <w:ind w:firstLine="643" w:firstLineChars="200"/>
        <w:textAlignment w:val="auto"/>
        <w:rPr>
          <w:rFonts w:hint="eastAsia" w:ascii="仿宋_GB2312" w:eastAsia="仿宋_GB2312"/>
          <w:b/>
          <w:bCs/>
          <w:color w:val="333333"/>
        </w:rPr>
      </w:pPr>
      <w:bookmarkStart w:id="12" w:name="_Toc72430486"/>
      <w:r>
        <w:rPr>
          <w:rStyle w:val="11"/>
          <w:rFonts w:hint="eastAsia" w:ascii="仿宋_GB2312" w:eastAsia="仿宋_GB2312"/>
          <w:b/>
          <w:bCs/>
          <w:color w:val="333333"/>
        </w:rPr>
        <w:t>（一）一般公共预算当年拨款规模变化情况</w:t>
      </w:r>
      <w:bookmarkEnd w:id="12"/>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eastAsia" w:ascii="仿宋_GB2312" w:eastAsia="仿宋_GB2312"/>
          <w:sz w:val="32"/>
          <w:szCs w:val="32"/>
          <w:lang w:eastAsia="zh-CN"/>
        </w:rPr>
        <w:t>自贡市自流井区社会福利院</w:t>
      </w:r>
      <w:r>
        <w:rPr>
          <w:rFonts w:hint="eastAsia" w:ascii="仿宋_GB2312" w:eastAsia="仿宋_GB2312"/>
          <w:color w:val="333333"/>
          <w:sz w:val="32"/>
          <w:szCs w:val="32"/>
        </w:rPr>
        <w:t>2022年一般公共预算当年拨款</w:t>
      </w:r>
      <w:r>
        <w:rPr>
          <w:rFonts w:hint="eastAsia" w:ascii="仿宋_GB2312" w:eastAsia="仿宋_GB2312"/>
          <w:sz w:val="32"/>
          <w:szCs w:val="32"/>
          <w:lang w:val="en-US" w:eastAsia="zh-CN"/>
        </w:rPr>
        <w:t>103.74</w:t>
      </w:r>
      <w:r>
        <w:rPr>
          <w:rFonts w:hint="eastAsia" w:ascii="仿宋_GB2312" w:eastAsia="仿宋_GB2312"/>
          <w:color w:val="333333"/>
          <w:sz w:val="32"/>
          <w:szCs w:val="32"/>
        </w:rPr>
        <w:t>万元，比2021年预算数增加</w:t>
      </w:r>
      <w:r>
        <w:rPr>
          <w:rFonts w:hint="eastAsia" w:ascii="仿宋_GB2312" w:eastAsia="仿宋_GB2312"/>
          <w:color w:val="333333"/>
          <w:sz w:val="32"/>
          <w:szCs w:val="32"/>
          <w:lang w:val="en-US" w:eastAsia="zh-CN"/>
        </w:rPr>
        <w:t>15.76</w:t>
      </w:r>
      <w:r>
        <w:rPr>
          <w:rFonts w:hint="eastAsia" w:ascii="仿宋_GB2312" w:eastAsia="仿宋_GB2312"/>
          <w:color w:val="333333"/>
          <w:sz w:val="32"/>
          <w:szCs w:val="32"/>
        </w:rPr>
        <w:t>万元。主要是</w:t>
      </w:r>
      <w:r>
        <w:rPr>
          <w:rFonts w:hint="eastAsia" w:ascii="仿宋_GB2312" w:eastAsia="仿宋_GB2312"/>
          <w:sz w:val="32"/>
          <w:szCs w:val="32"/>
          <w:lang w:eastAsia="zh-CN"/>
        </w:rPr>
        <w:t>新增</w:t>
      </w:r>
      <w:r>
        <w:rPr>
          <w:rFonts w:hint="eastAsia" w:ascii="仿宋_GB2312" w:eastAsia="仿宋_GB2312"/>
          <w:sz w:val="32"/>
          <w:szCs w:val="32"/>
          <w:lang w:val="en-US" w:eastAsia="zh-CN"/>
        </w:rPr>
        <w:t>2名职工</w:t>
      </w:r>
      <w:r>
        <w:rPr>
          <w:rFonts w:hint="eastAsia" w:ascii="仿宋_GB2312" w:eastAsia="仿宋_GB2312"/>
          <w:color w:val="333333"/>
          <w:sz w:val="32"/>
          <w:szCs w:val="32"/>
        </w:rPr>
        <w:t>。</w:t>
      </w:r>
    </w:p>
    <w:p>
      <w:pPr>
        <w:pageBreakBefore w:val="0"/>
        <w:widowControl w:val="0"/>
        <w:kinsoku/>
        <w:wordWrap/>
        <w:overflowPunct/>
        <w:topLinePunct w:val="0"/>
        <w:bidi w:val="0"/>
        <w:spacing w:line="600" w:lineRule="exact"/>
        <w:textAlignment w:val="auto"/>
        <w:rPr>
          <w:rFonts w:hint="eastAsia" w:ascii="仿宋_GB2312" w:eastAsia="仿宋_GB2312"/>
          <w:color w:val="333333"/>
          <w:sz w:val="32"/>
          <w:szCs w:val="32"/>
        </w:rPr>
      </w:pPr>
      <w:r>
        <w:rPr>
          <w:rFonts w:hint="eastAsia" w:ascii="仿宋_GB2312" w:eastAsia="仿宋_GB2312"/>
          <w:color w:val="333333"/>
          <w:sz w:val="32"/>
          <w:szCs w:val="32"/>
          <w:lang w:eastAsia="zh-CN"/>
        </w:rPr>
        <w:drawing>
          <wp:anchor distT="0" distB="0" distL="114300" distR="114300" simplePos="0" relativeHeight="251663360" behindDoc="1" locked="0" layoutInCell="1" allowOverlap="1">
            <wp:simplePos x="0" y="0"/>
            <wp:positionH relativeFrom="column">
              <wp:posOffset>784860</wp:posOffset>
            </wp:positionH>
            <wp:positionV relativeFrom="paragraph">
              <wp:posOffset>44450</wp:posOffset>
            </wp:positionV>
            <wp:extent cx="4134485" cy="3049270"/>
            <wp:effectExtent l="4445" t="4445" r="71120" b="70485"/>
            <wp:wrapTight wrapText="bothSides">
              <wp:wrapPolygon>
                <wp:start x="-23" y="-31"/>
                <wp:lineTo x="-23" y="21560"/>
                <wp:lineTo x="21573" y="21560"/>
                <wp:lineTo x="21573" y="-31"/>
                <wp:lineTo x="-23" y="-31"/>
              </wp:wrapPolygon>
            </wp:wrapTight>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lang w:eastAsia="zh-CN"/>
        </w:rPr>
      </w:pP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b/>
          <w:sz w:val="32"/>
          <w:szCs w:val="32"/>
        </w:rPr>
      </w:pP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b/>
          <w:sz w:val="32"/>
          <w:szCs w:val="32"/>
        </w:rPr>
      </w:pPr>
      <w:r>
        <w:rPr>
          <w:rFonts w:hint="eastAsia" w:ascii="仿宋_GB2312" w:eastAsia="仿宋_GB2312"/>
          <w:b/>
          <w:sz w:val="32"/>
          <w:szCs w:val="32"/>
        </w:rPr>
        <w:t>（图4：一般公共预算财政拨款支出预算变动情况）（柱状图）</w:t>
      </w:r>
    </w:p>
    <w:p>
      <w:pPr>
        <w:pStyle w:val="3"/>
        <w:pageBreakBefore w:val="0"/>
        <w:widowControl w:val="0"/>
        <w:kinsoku/>
        <w:wordWrap/>
        <w:overflowPunct/>
        <w:topLinePunct w:val="0"/>
        <w:autoSpaceDE/>
        <w:autoSpaceDN/>
        <w:bidi w:val="0"/>
        <w:adjustRightInd/>
        <w:snapToGrid/>
        <w:spacing w:before="0" w:after="0" w:line="600" w:lineRule="exact"/>
        <w:ind w:firstLine="643" w:firstLineChars="200"/>
        <w:textAlignment w:val="auto"/>
        <w:rPr>
          <w:rFonts w:hint="eastAsia" w:ascii="仿宋_GB2312" w:eastAsia="仿宋_GB2312"/>
          <w:b/>
          <w:bCs/>
          <w:color w:val="333333"/>
        </w:rPr>
      </w:pPr>
      <w:bookmarkStart w:id="13" w:name="_Toc72430487"/>
      <w:r>
        <w:rPr>
          <w:rStyle w:val="11"/>
          <w:rFonts w:hint="eastAsia" w:ascii="仿宋_GB2312" w:eastAsia="仿宋_GB2312"/>
          <w:b/>
          <w:bCs/>
          <w:color w:val="333333"/>
        </w:rPr>
        <w:t>（二）一般公共预算当年拨款结构情况</w:t>
      </w:r>
      <w:bookmarkEnd w:id="1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333333"/>
          <w:sz w:val="32"/>
          <w:szCs w:val="32"/>
        </w:rPr>
      </w:pPr>
      <w:r>
        <w:rPr>
          <w:rFonts w:hint="eastAsia" w:ascii="仿宋_GB2312" w:eastAsia="仿宋_GB2312"/>
          <w:color w:val="333333"/>
          <w:sz w:val="32"/>
          <w:szCs w:val="32"/>
        </w:rPr>
        <w:t>社会保障和就业支出</w:t>
      </w:r>
      <w:r>
        <w:rPr>
          <w:rFonts w:hint="eastAsia" w:ascii="仿宋_GB2312" w:eastAsia="仿宋_GB2312"/>
          <w:sz w:val="32"/>
          <w:szCs w:val="32"/>
          <w:lang w:val="en-US" w:eastAsia="zh-CN"/>
        </w:rPr>
        <w:t>88.83</w:t>
      </w:r>
      <w:r>
        <w:rPr>
          <w:rFonts w:hint="eastAsia" w:ascii="仿宋_GB2312" w:eastAsia="仿宋_GB2312"/>
          <w:color w:val="333333"/>
          <w:sz w:val="32"/>
          <w:szCs w:val="32"/>
        </w:rPr>
        <w:t>万元，占</w:t>
      </w:r>
      <w:r>
        <w:rPr>
          <w:rFonts w:hint="eastAsia" w:ascii="仿宋_GB2312" w:eastAsia="仿宋_GB2312"/>
          <w:sz w:val="32"/>
          <w:szCs w:val="32"/>
          <w:lang w:val="en-US" w:eastAsia="zh-CN"/>
        </w:rPr>
        <w:t>85.64</w:t>
      </w:r>
      <w:r>
        <w:rPr>
          <w:rFonts w:hint="eastAsia" w:ascii="仿宋_GB2312" w:eastAsia="仿宋_GB2312"/>
          <w:color w:val="333333"/>
          <w:sz w:val="32"/>
          <w:szCs w:val="32"/>
        </w:rPr>
        <w:t>%；卫生健康支出</w:t>
      </w:r>
      <w:r>
        <w:rPr>
          <w:rFonts w:hint="eastAsia" w:ascii="仿宋_GB2312" w:eastAsia="仿宋_GB2312"/>
          <w:sz w:val="32"/>
          <w:szCs w:val="32"/>
          <w:lang w:val="en-US" w:eastAsia="zh-CN"/>
        </w:rPr>
        <w:t>6.60</w:t>
      </w:r>
      <w:r>
        <w:rPr>
          <w:rFonts w:hint="eastAsia" w:ascii="仿宋_GB2312" w:eastAsia="仿宋_GB2312"/>
          <w:color w:val="333333"/>
          <w:sz w:val="32"/>
          <w:szCs w:val="32"/>
        </w:rPr>
        <w:t>万元，占</w:t>
      </w:r>
      <w:r>
        <w:rPr>
          <w:rFonts w:hint="eastAsia" w:ascii="仿宋_GB2312" w:eastAsia="仿宋_GB2312"/>
          <w:sz w:val="32"/>
          <w:szCs w:val="32"/>
          <w:lang w:val="en-US" w:eastAsia="zh-CN"/>
        </w:rPr>
        <w:t>6.36</w:t>
      </w:r>
      <w:r>
        <w:rPr>
          <w:rFonts w:hint="eastAsia" w:ascii="仿宋_GB2312" w:eastAsia="仿宋_GB2312"/>
          <w:color w:val="333333"/>
          <w:sz w:val="32"/>
          <w:szCs w:val="32"/>
        </w:rPr>
        <w:t>%；住房保障支出</w:t>
      </w:r>
      <w:r>
        <w:rPr>
          <w:rFonts w:hint="eastAsia" w:ascii="仿宋_GB2312" w:eastAsia="仿宋_GB2312"/>
          <w:sz w:val="32"/>
          <w:szCs w:val="32"/>
          <w:lang w:val="en-US" w:eastAsia="zh-CN"/>
        </w:rPr>
        <w:t>8.30</w:t>
      </w:r>
      <w:r>
        <w:rPr>
          <w:rFonts w:hint="eastAsia" w:ascii="仿宋_GB2312" w:eastAsia="仿宋_GB2312"/>
          <w:color w:val="333333"/>
          <w:sz w:val="32"/>
          <w:szCs w:val="32"/>
        </w:rPr>
        <w:t>万元，占</w:t>
      </w:r>
      <w:r>
        <w:rPr>
          <w:rFonts w:hint="eastAsia" w:ascii="仿宋_GB2312" w:eastAsia="仿宋_GB2312"/>
          <w:sz w:val="32"/>
          <w:szCs w:val="32"/>
          <w:lang w:val="en-US" w:eastAsia="zh-CN"/>
        </w:rPr>
        <w:t>8</w:t>
      </w:r>
      <w:r>
        <w:rPr>
          <w:rFonts w:hint="eastAsia" w:ascii="仿宋_GB2312" w:eastAsia="仿宋_GB2312"/>
          <w:color w:val="333333"/>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333333"/>
          <w:sz w:val="32"/>
          <w:szCs w:val="32"/>
        </w:rPr>
      </w:pPr>
      <w:r>
        <w:rPr>
          <w:rFonts w:hint="eastAsia" w:ascii="仿宋_GB2312" w:eastAsia="仿宋_GB2312"/>
          <w:color w:val="333333"/>
          <w:sz w:val="32"/>
          <w:szCs w:val="32"/>
          <w:lang w:eastAsia="zh-CN"/>
        </w:rPr>
        <w:drawing>
          <wp:anchor distT="0" distB="0" distL="114300" distR="114300" simplePos="0" relativeHeight="251664384" behindDoc="1" locked="0" layoutInCell="1" allowOverlap="1">
            <wp:simplePos x="0" y="0"/>
            <wp:positionH relativeFrom="column">
              <wp:posOffset>680720</wp:posOffset>
            </wp:positionH>
            <wp:positionV relativeFrom="paragraph">
              <wp:posOffset>194945</wp:posOffset>
            </wp:positionV>
            <wp:extent cx="4128770" cy="2800985"/>
            <wp:effectExtent l="4445" t="4445" r="19685" b="13970"/>
            <wp:wrapTight wrapText="bothSides">
              <wp:wrapPolygon>
                <wp:start x="-23" y="-34"/>
                <wp:lineTo x="-23" y="21561"/>
                <wp:lineTo x="21504" y="21561"/>
                <wp:lineTo x="21504" y="-34"/>
                <wp:lineTo x="-23" y="-34"/>
              </wp:wrapPolygon>
            </wp:wrapTight>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333333"/>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333333"/>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333333"/>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eastAsia="仿宋_GB2312"/>
          <w:color w:val="333333"/>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b/>
          <w:bCs/>
          <w:color w:val="000000"/>
          <w:sz w:val="32"/>
          <w:szCs w:val="32"/>
        </w:rPr>
      </w:pPr>
      <w:r>
        <w:rPr>
          <w:rFonts w:hint="eastAsia" w:ascii="仿宋" w:hAnsi="仿宋" w:eastAsia="仿宋"/>
          <w:b/>
          <w:bCs/>
          <w:color w:val="000000"/>
          <w:sz w:val="32"/>
          <w:szCs w:val="32"/>
        </w:rPr>
        <w:t>（图5：一般公共预算财政拨款支出预算结构）（饼状图）</w:t>
      </w:r>
    </w:p>
    <w:p>
      <w:pPr>
        <w:pStyle w:val="3"/>
        <w:pageBreakBefore w:val="0"/>
        <w:widowControl w:val="0"/>
        <w:kinsoku/>
        <w:wordWrap/>
        <w:overflowPunct/>
        <w:topLinePunct w:val="0"/>
        <w:bidi w:val="0"/>
        <w:spacing w:before="0" w:after="0" w:line="600" w:lineRule="exact"/>
        <w:ind w:firstLine="643" w:firstLineChars="200"/>
        <w:textAlignment w:val="auto"/>
        <w:rPr>
          <w:rFonts w:hint="eastAsia" w:ascii="仿宋_GB2312" w:eastAsia="仿宋_GB2312"/>
          <w:color w:val="333333"/>
        </w:rPr>
      </w:pPr>
      <w:bookmarkStart w:id="14" w:name="_Toc72430488"/>
      <w:r>
        <w:rPr>
          <w:rStyle w:val="11"/>
          <w:rFonts w:hint="eastAsia" w:ascii="仿宋_GB2312" w:eastAsia="仿宋_GB2312"/>
          <w:b/>
          <w:bCs/>
          <w:color w:val="333333"/>
        </w:rPr>
        <w:t>（三）一般公共预算当年拨款具体使用情况</w:t>
      </w:r>
      <w:bookmarkEnd w:id="14"/>
      <w:r>
        <w:rPr>
          <w:rFonts w:hint="eastAsia" w:ascii="仿宋_GB2312" w:eastAsia="仿宋_GB2312"/>
          <w:b/>
          <w:bCs/>
          <w:color w:val="333333"/>
        </w:rPr>
        <w:t>　</w:t>
      </w:r>
      <w:r>
        <w:rPr>
          <w:rFonts w:hint="eastAsia" w:ascii="仿宋_GB2312" w:eastAsia="仿宋_GB2312"/>
          <w:color w:val="333333"/>
        </w:rPr>
        <w:t>　</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lang w:val="en-US" w:eastAsia="zh-CN"/>
        </w:rPr>
      </w:pPr>
      <w:r>
        <w:rPr>
          <w:rFonts w:hint="eastAsia" w:ascii="仿宋_GB2312" w:eastAsia="仿宋_GB2312"/>
          <w:color w:val="333333"/>
          <w:sz w:val="32"/>
          <w:szCs w:val="32"/>
          <w:lang w:val="en-US" w:eastAsia="zh-CN"/>
        </w:rPr>
        <w:t>1.社会保障和就业支出（类）行政事业单位养老支出（款）机关事业单位基本养老保险缴费支出（项）:2022年预算数为11.07万元，主要用于：部门实施养老保险制度由单位缴纳的养老保险费的支出。</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default" w:ascii="仿宋_GB2312" w:eastAsia="仿宋_GB2312"/>
          <w:color w:val="333333"/>
          <w:sz w:val="32"/>
          <w:szCs w:val="32"/>
          <w:lang w:eastAsia="zh-CN"/>
        </w:rPr>
        <w:t>2.</w:t>
      </w:r>
      <w:r>
        <w:rPr>
          <w:rFonts w:hint="eastAsia" w:ascii="仿宋_GB2312" w:eastAsia="仿宋_GB2312"/>
          <w:color w:val="333333"/>
          <w:sz w:val="32"/>
          <w:szCs w:val="32"/>
        </w:rPr>
        <w:t>社会保障和就业</w:t>
      </w:r>
      <w:r>
        <w:rPr>
          <w:rFonts w:hint="eastAsia" w:ascii="仿宋_GB2312" w:eastAsia="仿宋_GB2312"/>
          <w:color w:val="333333"/>
          <w:sz w:val="32"/>
          <w:szCs w:val="32"/>
          <w:lang w:eastAsia="zh-CN"/>
        </w:rPr>
        <w:t>支出</w:t>
      </w:r>
      <w:r>
        <w:rPr>
          <w:rFonts w:hint="eastAsia" w:ascii="仿宋_GB2312" w:eastAsia="仿宋_GB2312"/>
          <w:color w:val="333333"/>
          <w:sz w:val="32"/>
          <w:szCs w:val="32"/>
        </w:rPr>
        <w:t>（类）社会福利（款）社会福利事业单位（项）</w:t>
      </w:r>
      <w:r>
        <w:rPr>
          <w:rFonts w:hint="eastAsia" w:ascii="仿宋_GB2312" w:eastAsia="仿宋_GB2312"/>
          <w:color w:val="333333"/>
          <w:sz w:val="32"/>
          <w:szCs w:val="32"/>
          <w:lang w:val="en-US" w:eastAsia="zh-CN"/>
        </w:rPr>
        <w:t>:2022年预算数为</w:t>
      </w:r>
      <w:r>
        <w:rPr>
          <w:rFonts w:hint="default" w:ascii="仿宋_GB2312" w:eastAsia="仿宋_GB2312"/>
          <w:color w:val="333333"/>
          <w:sz w:val="32"/>
          <w:szCs w:val="32"/>
          <w:lang w:eastAsia="zh-CN"/>
        </w:rPr>
        <w:t>76.</w:t>
      </w:r>
      <w:r>
        <w:rPr>
          <w:rFonts w:hint="eastAsia" w:ascii="仿宋_GB2312" w:eastAsia="仿宋_GB2312"/>
          <w:color w:val="333333"/>
          <w:sz w:val="32"/>
          <w:szCs w:val="32"/>
          <w:lang w:val="en-US" w:eastAsia="zh-CN"/>
        </w:rPr>
        <w:t>19万元，主要用于：</w:t>
      </w:r>
      <w:r>
        <w:rPr>
          <w:rFonts w:hint="eastAsia" w:ascii="仿宋_GB2312" w:eastAsia="仿宋_GB2312"/>
          <w:color w:val="333333"/>
          <w:sz w:val="32"/>
          <w:szCs w:val="32"/>
        </w:rPr>
        <w:t>事业单位正常运转的基本支出，包括基本工资、津贴补贴等人员经费以及办公费、印刷费、水电费等日常公用经费,保障部门正常运转。　</w:t>
      </w:r>
    </w:p>
    <w:p>
      <w:pPr>
        <w:pageBreakBefore w:val="0"/>
        <w:widowControl w:val="0"/>
        <w:kinsoku/>
        <w:wordWrap/>
        <w:overflowPunct/>
        <w:topLinePunct w:val="0"/>
        <w:bidi w:val="0"/>
        <w:spacing w:line="600" w:lineRule="exact"/>
        <w:ind w:firstLine="640" w:firstLineChars="200"/>
        <w:textAlignment w:val="auto"/>
        <w:rPr>
          <w:rFonts w:hint="default" w:ascii="仿宋_GB2312" w:eastAsia="仿宋_GB2312"/>
          <w:color w:val="333333"/>
          <w:sz w:val="32"/>
          <w:szCs w:val="32"/>
        </w:rPr>
      </w:pPr>
      <w:r>
        <w:rPr>
          <w:rFonts w:hint="default" w:ascii="仿宋_GB2312" w:eastAsia="仿宋_GB2312"/>
          <w:color w:val="333333"/>
          <w:sz w:val="32"/>
          <w:szCs w:val="32"/>
          <w:lang w:eastAsia="zh-CN"/>
        </w:rPr>
        <w:t>3.</w:t>
      </w:r>
      <w:r>
        <w:rPr>
          <w:rFonts w:hint="eastAsia" w:ascii="仿宋_GB2312" w:eastAsia="仿宋_GB2312"/>
          <w:color w:val="333333"/>
          <w:sz w:val="32"/>
          <w:szCs w:val="32"/>
        </w:rPr>
        <w:t>社会保障和就业</w:t>
      </w:r>
      <w:r>
        <w:rPr>
          <w:rFonts w:hint="eastAsia" w:ascii="仿宋_GB2312" w:eastAsia="仿宋_GB2312"/>
          <w:color w:val="333333"/>
          <w:sz w:val="32"/>
          <w:szCs w:val="32"/>
          <w:lang w:eastAsia="zh-CN"/>
        </w:rPr>
        <w:t>支出</w:t>
      </w:r>
      <w:r>
        <w:rPr>
          <w:rFonts w:hint="eastAsia" w:ascii="仿宋_GB2312" w:eastAsia="仿宋_GB2312"/>
          <w:color w:val="333333"/>
          <w:sz w:val="32"/>
          <w:szCs w:val="32"/>
        </w:rPr>
        <w:t>（类）</w:t>
      </w:r>
      <w:r>
        <w:rPr>
          <w:rFonts w:hint="eastAsia" w:ascii="仿宋_GB2312" w:eastAsia="仿宋_GB2312"/>
          <w:color w:val="333333"/>
          <w:sz w:val="32"/>
          <w:szCs w:val="32"/>
          <w:lang w:eastAsia="zh-CN"/>
        </w:rPr>
        <w:t>其他社会保障和就业支出</w:t>
      </w:r>
      <w:r>
        <w:rPr>
          <w:rFonts w:hint="eastAsia" w:ascii="仿宋_GB2312" w:eastAsia="仿宋_GB2312"/>
          <w:color w:val="333333"/>
          <w:sz w:val="32"/>
          <w:szCs w:val="32"/>
        </w:rPr>
        <w:t>（款）</w:t>
      </w:r>
      <w:r>
        <w:rPr>
          <w:rFonts w:hint="eastAsia" w:ascii="仿宋_GB2312" w:eastAsia="仿宋_GB2312"/>
          <w:color w:val="333333"/>
          <w:sz w:val="32"/>
          <w:szCs w:val="32"/>
          <w:lang w:eastAsia="zh-CN"/>
        </w:rPr>
        <w:t>其他社会保障和就业支出</w:t>
      </w:r>
      <w:r>
        <w:rPr>
          <w:rFonts w:hint="eastAsia" w:ascii="仿宋_GB2312" w:eastAsia="仿宋_GB2312"/>
          <w:color w:val="333333"/>
          <w:sz w:val="32"/>
          <w:szCs w:val="32"/>
        </w:rPr>
        <w:t>（项）</w:t>
      </w:r>
      <w:r>
        <w:rPr>
          <w:rFonts w:hint="eastAsia" w:ascii="仿宋_GB2312" w:eastAsia="仿宋_GB2312"/>
          <w:color w:val="333333"/>
          <w:sz w:val="32"/>
          <w:szCs w:val="32"/>
          <w:lang w:val="en-US" w:eastAsia="zh-CN"/>
        </w:rPr>
        <w:t>:2022年预算数为</w:t>
      </w:r>
      <w:r>
        <w:rPr>
          <w:rFonts w:hint="default" w:ascii="仿宋_GB2312" w:eastAsia="仿宋_GB2312"/>
          <w:color w:val="333333"/>
          <w:sz w:val="32"/>
          <w:szCs w:val="32"/>
          <w:lang w:eastAsia="zh-CN"/>
        </w:rPr>
        <w:t>1.57</w:t>
      </w:r>
      <w:r>
        <w:rPr>
          <w:rFonts w:hint="eastAsia" w:ascii="仿宋_GB2312" w:eastAsia="仿宋_GB2312"/>
          <w:color w:val="333333"/>
          <w:sz w:val="32"/>
          <w:szCs w:val="32"/>
          <w:lang w:val="en-US" w:eastAsia="zh-CN"/>
        </w:rPr>
        <w:t>万元，主要用于：工伤保险、生育保险等支出</w:t>
      </w:r>
      <w:r>
        <w:rPr>
          <w:rFonts w:hint="default" w:ascii="仿宋_GB2312" w:eastAsia="仿宋_GB2312"/>
          <w:color w:val="333333"/>
          <w:sz w:val="32"/>
          <w:szCs w:val="32"/>
        </w:rPr>
        <w:t>。</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default" w:ascii="仿宋_GB2312" w:eastAsia="仿宋_GB2312"/>
          <w:color w:val="333333"/>
          <w:sz w:val="32"/>
          <w:szCs w:val="32"/>
          <w:lang w:eastAsia="zh-CN"/>
        </w:rPr>
        <w:t>4.</w:t>
      </w:r>
      <w:r>
        <w:rPr>
          <w:rFonts w:hint="eastAsia" w:ascii="仿宋_GB2312" w:eastAsia="仿宋_GB2312"/>
          <w:color w:val="333333"/>
          <w:sz w:val="32"/>
          <w:szCs w:val="32"/>
        </w:rPr>
        <w:t>卫生健康支出（类）行政事业单位医疗（款）</w:t>
      </w:r>
      <w:r>
        <w:rPr>
          <w:rFonts w:hint="eastAsia" w:ascii="仿宋_GB2312" w:eastAsia="仿宋_GB2312"/>
          <w:color w:val="333333"/>
          <w:sz w:val="32"/>
          <w:szCs w:val="32"/>
          <w:lang w:eastAsia="zh-CN"/>
        </w:rPr>
        <w:t>事业</w:t>
      </w:r>
      <w:r>
        <w:rPr>
          <w:rFonts w:hint="eastAsia" w:ascii="仿宋_GB2312" w:eastAsia="仿宋_GB2312"/>
          <w:color w:val="333333"/>
          <w:sz w:val="32"/>
          <w:szCs w:val="32"/>
        </w:rPr>
        <w:t>单位医疗（项）:2022年预算数为</w:t>
      </w:r>
      <w:r>
        <w:rPr>
          <w:rFonts w:hint="default" w:ascii="仿宋_GB2312" w:eastAsia="仿宋_GB2312"/>
          <w:color w:val="333333"/>
          <w:sz w:val="32"/>
          <w:szCs w:val="32"/>
        </w:rPr>
        <w:t>6.60</w:t>
      </w:r>
      <w:r>
        <w:rPr>
          <w:rFonts w:hint="eastAsia" w:ascii="仿宋_GB2312" w:eastAsia="仿宋_GB2312"/>
          <w:color w:val="333333"/>
          <w:sz w:val="32"/>
          <w:szCs w:val="32"/>
        </w:rPr>
        <w:t>万元，主要用于：机关及事业单位基本医疗保险缴费支出。</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default" w:ascii="仿宋_GB2312" w:eastAsia="仿宋_GB2312"/>
          <w:color w:val="333333"/>
          <w:sz w:val="32"/>
          <w:szCs w:val="32"/>
        </w:rPr>
        <w:t>5.</w:t>
      </w:r>
      <w:r>
        <w:rPr>
          <w:rFonts w:hint="eastAsia" w:ascii="仿宋_GB2312" w:eastAsia="仿宋_GB2312"/>
          <w:color w:val="333333"/>
          <w:sz w:val="32"/>
          <w:szCs w:val="32"/>
        </w:rPr>
        <w:t>住房保障</w:t>
      </w:r>
      <w:r>
        <w:rPr>
          <w:rFonts w:hint="eastAsia" w:ascii="仿宋_GB2312" w:eastAsia="仿宋_GB2312"/>
          <w:color w:val="333333"/>
          <w:sz w:val="32"/>
          <w:szCs w:val="32"/>
          <w:lang w:eastAsia="zh-CN"/>
        </w:rPr>
        <w:t>支出</w:t>
      </w:r>
      <w:r>
        <w:rPr>
          <w:rFonts w:hint="eastAsia" w:ascii="仿宋_GB2312" w:eastAsia="仿宋_GB2312"/>
          <w:color w:val="333333"/>
          <w:sz w:val="32"/>
          <w:szCs w:val="32"/>
        </w:rPr>
        <w:t>（类）住房改革支出（款）住房公积金（项）:2022年预算数为</w:t>
      </w:r>
      <w:r>
        <w:rPr>
          <w:rFonts w:hint="default" w:ascii="仿宋_GB2312" w:eastAsia="仿宋_GB2312"/>
          <w:color w:val="333333"/>
          <w:sz w:val="32"/>
          <w:szCs w:val="32"/>
        </w:rPr>
        <w:t>8.30</w:t>
      </w:r>
      <w:r>
        <w:rPr>
          <w:rFonts w:hint="eastAsia" w:ascii="仿宋_GB2312" w:eastAsia="仿宋_GB2312"/>
          <w:color w:val="333333"/>
          <w:sz w:val="32"/>
          <w:szCs w:val="32"/>
        </w:rPr>
        <w:t>万元，主要用于：部门按人力资源和社会保障部、财政部规定的基本工资和津贴补贴以及规定比例为职工缴纳的住房公积金支出。</w:t>
      </w:r>
    </w:p>
    <w:p>
      <w:pPr>
        <w:pageBreakBefore w:val="0"/>
        <w:widowControl w:val="0"/>
        <w:kinsoku/>
        <w:wordWrap/>
        <w:overflowPunct/>
        <w:topLinePunct w:val="0"/>
        <w:bidi w:val="0"/>
        <w:spacing w:line="600" w:lineRule="exact"/>
        <w:ind w:firstLine="640" w:firstLineChars="200"/>
        <w:textAlignment w:val="auto"/>
        <w:rPr>
          <w:rFonts w:hint="eastAsia" w:ascii="黑体" w:eastAsia="黑体"/>
          <w:color w:val="333333"/>
          <w:sz w:val="32"/>
          <w:szCs w:val="32"/>
        </w:rPr>
      </w:pPr>
      <w:bookmarkStart w:id="15" w:name="_Toc72430489"/>
      <w:r>
        <w:rPr>
          <w:rFonts w:hint="eastAsia" w:ascii="黑体" w:eastAsia="黑体"/>
          <w:color w:val="333333"/>
          <w:sz w:val="32"/>
          <w:szCs w:val="32"/>
        </w:rPr>
        <w:t>六、一般公共预算基本支出情况说明</w:t>
      </w:r>
      <w:bookmarkEnd w:id="15"/>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default" w:ascii="仿宋_GB2312" w:eastAsia="仿宋_GB2312"/>
          <w:sz w:val="32"/>
          <w:szCs w:val="32"/>
        </w:rPr>
        <w:t>自贡市自流井区社会福利院</w:t>
      </w:r>
      <w:r>
        <w:rPr>
          <w:rFonts w:hint="eastAsia" w:ascii="仿宋_GB2312" w:eastAsia="仿宋_GB2312"/>
          <w:color w:val="333333"/>
          <w:sz w:val="32"/>
          <w:szCs w:val="32"/>
        </w:rPr>
        <w:t>2022年一般公共预算基本支出</w:t>
      </w:r>
      <w:r>
        <w:rPr>
          <w:rFonts w:hint="default" w:ascii="仿宋_GB2312" w:eastAsia="仿宋_GB2312"/>
          <w:sz w:val="32"/>
          <w:szCs w:val="32"/>
        </w:rPr>
        <w:t>103.74</w:t>
      </w:r>
      <w:r>
        <w:rPr>
          <w:rFonts w:hint="eastAsia" w:ascii="仿宋_GB2312" w:eastAsia="仿宋_GB2312"/>
          <w:color w:val="333333"/>
          <w:sz w:val="32"/>
          <w:szCs w:val="32"/>
        </w:rPr>
        <w:t>万元，其中：</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eastAsia" w:ascii="仿宋_GB2312" w:eastAsia="仿宋_GB2312"/>
          <w:color w:val="333333"/>
          <w:sz w:val="32"/>
          <w:szCs w:val="32"/>
        </w:rPr>
        <w:t>人员经费</w:t>
      </w:r>
      <w:r>
        <w:rPr>
          <w:rFonts w:hint="default" w:ascii="仿宋_GB2312" w:eastAsia="仿宋_GB2312"/>
          <w:sz w:val="32"/>
          <w:szCs w:val="32"/>
        </w:rPr>
        <w:t>90.21</w:t>
      </w:r>
      <w:r>
        <w:rPr>
          <w:rFonts w:hint="eastAsia" w:ascii="仿宋_GB2312" w:eastAsia="仿宋_GB2312"/>
          <w:color w:val="333333"/>
          <w:sz w:val="32"/>
          <w:szCs w:val="32"/>
        </w:rPr>
        <w:t>万元，主要包括：基本工资、津贴补贴、奖金、社会保险缴费、绩效工资等支出。</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eastAsia" w:ascii="仿宋_GB2312" w:eastAsia="仿宋_GB2312"/>
          <w:color w:val="333333"/>
          <w:sz w:val="32"/>
          <w:szCs w:val="32"/>
        </w:rPr>
        <w:t>公用经费</w:t>
      </w:r>
      <w:r>
        <w:rPr>
          <w:rFonts w:hint="default" w:ascii="仿宋_GB2312" w:eastAsia="仿宋_GB2312"/>
          <w:sz w:val="32"/>
          <w:szCs w:val="32"/>
        </w:rPr>
        <w:t>13.53</w:t>
      </w:r>
      <w:r>
        <w:rPr>
          <w:rFonts w:hint="eastAsia" w:ascii="仿宋_GB2312" w:eastAsia="仿宋_GB2312"/>
          <w:color w:val="333333"/>
          <w:sz w:val="32"/>
          <w:szCs w:val="32"/>
        </w:rPr>
        <w:t>万元，主要包括：办公费</w:t>
      </w:r>
      <w:r>
        <w:rPr>
          <w:rFonts w:hint="default" w:ascii="仿宋_GB2312" w:eastAsia="仿宋_GB2312"/>
          <w:color w:val="333333"/>
          <w:sz w:val="32"/>
          <w:szCs w:val="32"/>
        </w:rPr>
        <w:t>、差旅费、公务接待费、公务用车运行维护费、其他商品和服务</w:t>
      </w:r>
      <w:r>
        <w:rPr>
          <w:rFonts w:hint="eastAsia" w:ascii="仿宋_GB2312" w:eastAsia="仿宋_GB2312"/>
          <w:color w:val="333333"/>
          <w:sz w:val="32"/>
          <w:szCs w:val="32"/>
        </w:rPr>
        <w:t>支出。</w:t>
      </w:r>
    </w:p>
    <w:p>
      <w:pPr>
        <w:pStyle w:val="2"/>
        <w:pageBreakBefore w:val="0"/>
        <w:widowControl w:val="0"/>
        <w:kinsoku/>
        <w:wordWrap/>
        <w:overflowPunct/>
        <w:topLinePunct w:val="0"/>
        <w:bidi w:val="0"/>
        <w:spacing w:before="0" w:after="0" w:line="600" w:lineRule="exact"/>
        <w:ind w:firstLine="640" w:firstLineChars="200"/>
        <w:textAlignment w:val="auto"/>
        <w:rPr>
          <w:rFonts w:hint="eastAsia" w:ascii="黑体" w:eastAsia="黑体"/>
          <w:b w:val="0"/>
          <w:bCs w:val="0"/>
          <w:sz w:val="32"/>
          <w:szCs w:val="32"/>
        </w:rPr>
      </w:pPr>
      <w:bookmarkStart w:id="16" w:name="_Toc72430490"/>
      <w:r>
        <w:rPr>
          <w:rFonts w:hint="eastAsia" w:ascii="黑体" w:eastAsia="黑体"/>
          <w:b w:val="0"/>
          <w:bCs w:val="0"/>
          <w:sz w:val="32"/>
          <w:szCs w:val="32"/>
        </w:rPr>
        <w:t>七、“三公”经费财政拨款预算安排情况</w:t>
      </w:r>
      <w:bookmarkEnd w:id="16"/>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default" w:ascii="仿宋_GB2312" w:eastAsia="仿宋_GB2312"/>
          <w:sz w:val="32"/>
          <w:szCs w:val="32"/>
          <w:highlight w:val="none"/>
        </w:rPr>
        <w:t>自贡市自流井</w:t>
      </w:r>
      <w:r>
        <w:rPr>
          <w:rFonts w:hint="default" w:ascii="仿宋_GB2312" w:eastAsia="仿宋_GB2312"/>
          <w:color w:val="333333"/>
          <w:sz w:val="32"/>
          <w:szCs w:val="32"/>
        </w:rPr>
        <w:t>区社会福利院</w:t>
      </w:r>
      <w:r>
        <w:rPr>
          <w:rFonts w:hint="eastAsia" w:ascii="仿宋_GB2312" w:eastAsia="仿宋_GB2312"/>
          <w:color w:val="333333"/>
          <w:sz w:val="32"/>
          <w:szCs w:val="32"/>
        </w:rPr>
        <w:t>2022年“三公”经费财政拨款预算数</w:t>
      </w:r>
      <w:r>
        <w:rPr>
          <w:rFonts w:hint="default" w:ascii="仿宋_GB2312" w:eastAsia="仿宋_GB2312"/>
          <w:color w:val="333333"/>
          <w:sz w:val="32"/>
          <w:szCs w:val="32"/>
        </w:rPr>
        <w:t>1.55</w:t>
      </w:r>
      <w:r>
        <w:rPr>
          <w:rFonts w:hint="eastAsia" w:ascii="仿宋_GB2312" w:eastAsia="仿宋_GB2312"/>
          <w:color w:val="333333"/>
          <w:sz w:val="32"/>
          <w:szCs w:val="32"/>
        </w:rPr>
        <w:t>万元，较2021年预算下降</w:t>
      </w:r>
      <w:r>
        <w:rPr>
          <w:rFonts w:hint="eastAsia" w:ascii="仿宋_GB2312" w:eastAsia="仿宋_GB2312"/>
          <w:color w:val="333333"/>
          <w:sz w:val="32"/>
          <w:szCs w:val="32"/>
          <w:lang w:val="en-US" w:eastAsia="zh-CN"/>
        </w:rPr>
        <w:t>29.03</w:t>
      </w:r>
      <w:r>
        <w:rPr>
          <w:rFonts w:hint="eastAsia" w:ascii="仿宋_GB2312" w:eastAsia="仿宋_GB2312"/>
          <w:color w:val="333333"/>
          <w:sz w:val="32"/>
          <w:szCs w:val="32"/>
        </w:rPr>
        <w:t>%，其中：因公出国（境）经费</w:t>
      </w:r>
      <w:r>
        <w:rPr>
          <w:rFonts w:hint="eastAsia" w:ascii="仿宋_GB2312" w:eastAsia="仿宋_GB2312"/>
          <w:color w:val="333333"/>
          <w:sz w:val="32"/>
          <w:szCs w:val="32"/>
          <w:lang w:val="en-US" w:eastAsia="zh-CN"/>
        </w:rPr>
        <w:t>0</w:t>
      </w:r>
      <w:r>
        <w:rPr>
          <w:rFonts w:hint="eastAsia" w:ascii="仿宋_GB2312" w:eastAsia="仿宋_GB2312"/>
          <w:color w:val="333333"/>
          <w:sz w:val="32"/>
          <w:szCs w:val="32"/>
        </w:rPr>
        <w:t>万元，公务接待费</w:t>
      </w:r>
      <w:r>
        <w:rPr>
          <w:rFonts w:hint="eastAsia" w:ascii="仿宋_GB2312" w:eastAsia="仿宋_GB2312"/>
          <w:color w:val="333333"/>
          <w:sz w:val="32"/>
          <w:szCs w:val="32"/>
          <w:lang w:val="en-US" w:eastAsia="zh-CN"/>
        </w:rPr>
        <w:t>0.15</w:t>
      </w:r>
      <w:r>
        <w:rPr>
          <w:rFonts w:hint="eastAsia" w:ascii="仿宋_GB2312" w:eastAsia="仿宋_GB2312"/>
          <w:color w:val="333333"/>
          <w:sz w:val="32"/>
          <w:szCs w:val="32"/>
        </w:rPr>
        <w:t>万元，公务用车购置及运行维护费</w:t>
      </w:r>
      <w:r>
        <w:rPr>
          <w:rFonts w:hint="eastAsia" w:ascii="仿宋_GB2312" w:eastAsia="仿宋_GB2312"/>
          <w:color w:val="333333"/>
          <w:sz w:val="32"/>
          <w:szCs w:val="32"/>
          <w:lang w:val="en-US" w:eastAsia="zh-CN"/>
        </w:rPr>
        <w:t>1.40</w:t>
      </w:r>
      <w:r>
        <w:rPr>
          <w:rFonts w:hint="eastAsia" w:ascii="仿宋_GB2312" w:eastAsia="仿宋_GB2312"/>
          <w:color w:val="333333"/>
          <w:sz w:val="32"/>
          <w:szCs w:val="32"/>
        </w:rPr>
        <w:t>万元（其中：公务用车购置费</w:t>
      </w:r>
      <w:r>
        <w:rPr>
          <w:rFonts w:hint="eastAsia" w:ascii="仿宋_GB2312" w:eastAsia="仿宋_GB2312"/>
          <w:color w:val="333333"/>
          <w:sz w:val="32"/>
          <w:szCs w:val="32"/>
          <w:lang w:val="en-US" w:eastAsia="zh-CN"/>
        </w:rPr>
        <w:t>0</w:t>
      </w:r>
      <w:r>
        <w:rPr>
          <w:rFonts w:hint="eastAsia" w:ascii="仿宋_GB2312" w:eastAsia="仿宋_GB2312"/>
          <w:color w:val="333333"/>
          <w:sz w:val="32"/>
          <w:szCs w:val="32"/>
        </w:rPr>
        <w:t>万元，公务用车运行费</w:t>
      </w:r>
      <w:r>
        <w:rPr>
          <w:rFonts w:hint="eastAsia" w:ascii="仿宋_GB2312" w:eastAsia="仿宋_GB2312"/>
          <w:color w:val="333333"/>
          <w:sz w:val="32"/>
          <w:szCs w:val="32"/>
          <w:lang w:val="en-US" w:eastAsia="zh-CN"/>
        </w:rPr>
        <w:t>1.40</w:t>
      </w:r>
      <w:r>
        <w:rPr>
          <w:rFonts w:hint="eastAsia" w:ascii="仿宋_GB2312" w:eastAsia="仿宋_GB2312"/>
          <w:color w:val="333333"/>
          <w:sz w:val="32"/>
          <w:szCs w:val="32"/>
        </w:rPr>
        <w:t>万元）。</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eastAsia" w:ascii="仿宋_GB2312" w:eastAsia="仿宋_GB2312"/>
          <w:color w:val="333333"/>
          <w:sz w:val="32"/>
          <w:szCs w:val="32"/>
          <w:lang w:eastAsia="zh-CN"/>
        </w:rPr>
        <w:drawing>
          <wp:anchor distT="0" distB="0" distL="114300" distR="114300" simplePos="0" relativeHeight="251665408" behindDoc="1" locked="0" layoutInCell="1" allowOverlap="1">
            <wp:simplePos x="0" y="0"/>
            <wp:positionH relativeFrom="column">
              <wp:posOffset>773430</wp:posOffset>
            </wp:positionH>
            <wp:positionV relativeFrom="paragraph">
              <wp:posOffset>109855</wp:posOffset>
            </wp:positionV>
            <wp:extent cx="4026535" cy="2764155"/>
            <wp:effectExtent l="4445" t="4445" r="7620" b="12700"/>
            <wp:wrapTight wrapText="bothSides">
              <wp:wrapPolygon>
                <wp:start x="-24" y="-35"/>
                <wp:lineTo x="-24" y="21550"/>
                <wp:lineTo x="21539" y="21550"/>
                <wp:lineTo x="21539" y="-35"/>
                <wp:lineTo x="-24" y="-35"/>
              </wp:wrapPolygon>
            </wp:wrapTight>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lang w:eastAsia="zh-CN"/>
        </w:rPr>
      </w:pPr>
    </w:p>
    <w:p>
      <w:pPr>
        <w:pageBreakBefore w:val="0"/>
        <w:widowControl w:val="0"/>
        <w:kinsoku/>
        <w:wordWrap/>
        <w:overflowPunct/>
        <w:topLinePunct w:val="0"/>
        <w:bidi w:val="0"/>
        <w:spacing w:line="600" w:lineRule="exact"/>
        <w:ind w:firstLine="640" w:firstLineChars="200"/>
        <w:textAlignment w:val="auto"/>
        <w:rPr>
          <w:rFonts w:hint="eastAsia" w:ascii="仿宋" w:hAnsi="仿宋" w:eastAsia="仿宋"/>
          <w:color w:val="000000"/>
          <w:sz w:val="32"/>
          <w:szCs w:val="32"/>
          <w:highlight w:val="none"/>
        </w:rPr>
      </w:pPr>
    </w:p>
    <w:p>
      <w:pPr>
        <w:pageBreakBefore w:val="0"/>
        <w:widowControl w:val="0"/>
        <w:kinsoku/>
        <w:wordWrap/>
        <w:overflowPunct/>
        <w:topLinePunct w:val="0"/>
        <w:bidi w:val="0"/>
        <w:spacing w:line="600" w:lineRule="exact"/>
        <w:ind w:firstLine="640" w:firstLineChars="200"/>
        <w:textAlignment w:val="auto"/>
        <w:rPr>
          <w:rFonts w:hint="eastAsia" w:ascii="仿宋" w:hAnsi="仿宋" w:eastAsia="仿宋"/>
          <w:color w:val="000000"/>
          <w:sz w:val="32"/>
          <w:szCs w:val="32"/>
          <w:highlight w:val="none"/>
        </w:rPr>
      </w:pPr>
    </w:p>
    <w:p>
      <w:pPr>
        <w:pageBreakBefore w:val="0"/>
        <w:widowControl w:val="0"/>
        <w:kinsoku/>
        <w:wordWrap/>
        <w:overflowPunct/>
        <w:topLinePunct w:val="0"/>
        <w:bidi w:val="0"/>
        <w:spacing w:line="600" w:lineRule="exact"/>
        <w:ind w:firstLine="640" w:firstLineChars="200"/>
        <w:textAlignment w:val="auto"/>
        <w:rPr>
          <w:rFonts w:hint="eastAsia" w:ascii="仿宋" w:hAnsi="仿宋" w:eastAsia="仿宋"/>
          <w:color w:val="000000"/>
          <w:sz w:val="32"/>
          <w:szCs w:val="32"/>
          <w:highlight w:val="none"/>
        </w:rPr>
      </w:pPr>
    </w:p>
    <w:p>
      <w:pPr>
        <w:pageBreakBefore w:val="0"/>
        <w:widowControl w:val="0"/>
        <w:kinsoku/>
        <w:wordWrap/>
        <w:overflowPunct/>
        <w:topLinePunct w:val="0"/>
        <w:bidi w:val="0"/>
        <w:spacing w:line="600" w:lineRule="exact"/>
        <w:ind w:firstLine="643" w:firstLineChars="200"/>
        <w:textAlignment w:val="auto"/>
        <w:rPr>
          <w:rFonts w:hint="eastAsia" w:ascii="仿宋_GB2312" w:eastAsia="仿宋_GB2312"/>
          <w:sz w:val="32"/>
          <w:szCs w:val="32"/>
          <w:highlight w:val="none"/>
          <w:lang w:val="en-US" w:eastAsia="zh-CN"/>
        </w:rPr>
      </w:pPr>
      <w:r>
        <w:rPr>
          <w:rFonts w:hint="eastAsia" w:ascii="仿宋" w:hAnsi="仿宋" w:eastAsia="仿宋"/>
          <w:b/>
          <w:bCs/>
          <w:color w:val="000000"/>
          <w:sz w:val="32"/>
          <w:szCs w:val="32"/>
          <w:highlight w:val="none"/>
        </w:rPr>
        <w:t>（图6：“三公”经费财政拨款支出结构）（饼状图）</w:t>
      </w:r>
      <w:r>
        <w:rPr>
          <w:rFonts w:hint="eastAsia" w:ascii="仿宋_GB2312" w:eastAsia="仿宋_GB2312"/>
          <w:sz w:val="32"/>
          <w:szCs w:val="32"/>
          <w:highlight w:val="none"/>
          <w:lang w:val="en-US" w:eastAsia="zh-CN"/>
        </w:rPr>
        <w:t xml:space="preserve"> </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lang w:val="en-US" w:eastAsia="zh-CN"/>
        </w:rPr>
      </w:pPr>
      <w:r>
        <w:rPr>
          <w:rFonts w:hint="eastAsia" w:ascii="仿宋_GB2312" w:eastAsia="仿宋_GB2312"/>
          <w:color w:val="333333"/>
          <w:sz w:val="32"/>
          <w:szCs w:val="32"/>
          <w:lang w:val="en-US" w:eastAsia="zh-CN"/>
        </w:rPr>
        <w:t>1.因公出国（境）经费0万元，较2021年预算持平。主要原因是2022年无因公出国（境）安排。</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lang w:val="en-US" w:eastAsia="zh-CN"/>
        </w:rPr>
      </w:pPr>
      <w:r>
        <w:rPr>
          <w:rFonts w:hint="eastAsia" w:ascii="仿宋_GB2312" w:eastAsia="仿宋_GB2312"/>
          <w:color w:val="333333"/>
          <w:sz w:val="32"/>
          <w:szCs w:val="32"/>
          <w:lang w:val="en-US" w:eastAsia="zh-CN"/>
        </w:rPr>
        <w:t>2022年拟安排出国（境）0人次。</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lang w:val="en-US" w:eastAsia="zh-CN"/>
        </w:rPr>
      </w:pPr>
      <w:r>
        <w:rPr>
          <w:rFonts w:hint="eastAsia" w:ascii="仿宋_GB2312" w:eastAsia="仿宋_GB2312"/>
          <w:color w:val="333333"/>
          <w:sz w:val="32"/>
          <w:szCs w:val="32"/>
          <w:lang w:val="en-US" w:eastAsia="zh-CN"/>
        </w:rPr>
        <w:t>2.公务接待费0.15万元，较2021年预算下降50%。主要原因是厉行节约。</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highlight w:val="none"/>
        </w:rPr>
      </w:pPr>
      <w:r>
        <w:rPr>
          <w:rFonts w:hint="eastAsia" w:ascii="仿宋_GB2312" w:eastAsia="仿宋_GB2312"/>
          <w:color w:val="333333"/>
          <w:sz w:val="32"/>
          <w:szCs w:val="32"/>
          <w:lang w:val="en-US" w:eastAsia="zh-CN"/>
        </w:rPr>
        <w:t>2022年公务接待</w:t>
      </w:r>
      <w:r>
        <w:rPr>
          <w:rFonts w:hint="eastAsia" w:ascii="仿宋_GB2312" w:eastAsia="仿宋_GB2312"/>
          <w:sz w:val="32"/>
          <w:szCs w:val="32"/>
          <w:highlight w:val="none"/>
        </w:rPr>
        <w:t>费计划用于执行公务、考察调研、检查指导等公务活动开支。</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lang w:val="en-US" w:eastAsia="zh-CN"/>
        </w:rPr>
      </w:pPr>
      <w:r>
        <w:rPr>
          <w:rFonts w:hint="eastAsia" w:ascii="仿宋_GB2312" w:eastAsia="仿宋_GB2312"/>
          <w:color w:val="333333"/>
          <w:sz w:val="32"/>
          <w:szCs w:val="32"/>
          <w:lang w:val="en-US" w:eastAsia="zh-CN"/>
        </w:rPr>
        <w:t>3.公务用车购置及运行维护费1.4万元，较2021年预算下降21.43%。主要原因是厉行节约。</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highlight w:val="none"/>
        </w:rPr>
      </w:pPr>
      <w:r>
        <w:rPr>
          <w:rFonts w:hint="eastAsia" w:ascii="仿宋_GB2312" w:eastAsia="仿宋_GB2312"/>
          <w:color w:val="333333"/>
          <w:sz w:val="32"/>
          <w:szCs w:val="32"/>
          <w:lang w:val="en-US" w:eastAsia="zh-CN"/>
        </w:rPr>
        <w:t>单位现有公务用车1辆，其中：轿车0</w:t>
      </w:r>
      <w:r>
        <w:rPr>
          <w:rFonts w:hint="eastAsia" w:ascii="仿宋_GB2312" w:eastAsia="仿宋_GB2312"/>
          <w:sz w:val="32"/>
          <w:szCs w:val="32"/>
          <w:highlight w:val="none"/>
        </w:rPr>
        <w:t>辆，</w:t>
      </w:r>
      <w:r>
        <w:rPr>
          <w:rFonts w:hint="eastAsia" w:ascii="仿宋_GB2312" w:eastAsia="仿宋_GB2312"/>
          <w:sz w:val="32"/>
          <w:szCs w:val="32"/>
          <w:highlight w:val="none"/>
          <w:lang w:eastAsia="zh-CN"/>
        </w:rPr>
        <w:t>面包车</w:t>
      </w:r>
      <w:r>
        <w:rPr>
          <w:rFonts w:hint="eastAsia" w:ascii="仿宋_GB2312" w:eastAsia="仿宋_GB2312"/>
          <w:sz w:val="32"/>
          <w:szCs w:val="32"/>
          <w:highlight w:val="none"/>
          <w:lang w:val="en-US" w:eastAsia="zh-CN"/>
        </w:rPr>
        <w:t>1辆，</w:t>
      </w:r>
      <w:r>
        <w:rPr>
          <w:rFonts w:hint="eastAsia" w:ascii="仿宋_GB2312" w:eastAsia="仿宋_GB2312"/>
          <w:sz w:val="32"/>
          <w:szCs w:val="32"/>
          <w:highlight w:val="none"/>
        </w:rPr>
        <w:t>越野车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辆，多功能乘用车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2022年安排公务用车购置费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万元，较2021年预算持平，主要</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lang w:val="en-US" w:eastAsia="zh-CN"/>
        </w:rPr>
        <w:t>2022年无公车购置需求</w:t>
      </w:r>
      <w:r>
        <w:rPr>
          <w:rFonts w:hint="eastAsia" w:ascii="仿宋_GB2312" w:eastAsia="仿宋_GB2312"/>
          <w:sz w:val="32"/>
          <w:szCs w:val="32"/>
          <w:highlight w:val="none"/>
        </w:rPr>
        <w:t>。</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2022年安排公务用车运行维护费</w:t>
      </w:r>
      <w:r>
        <w:rPr>
          <w:rFonts w:hint="eastAsia" w:ascii="仿宋_GB2312" w:eastAsia="仿宋_GB2312"/>
          <w:sz w:val="32"/>
          <w:szCs w:val="32"/>
          <w:highlight w:val="none"/>
          <w:lang w:val="en-US" w:eastAsia="zh-CN"/>
        </w:rPr>
        <w:t>1.40</w:t>
      </w:r>
      <w:r>
        <w:rPr>
          <w:rFonts w:hint="eastAsia" w:ascii="仿宋_GB2312" w:eastAsia="仿宋_GB2312"/>
          <w:sz w:val="32"/>
          <w:szCs w:val="32"/>
          <w:highlight w:val="none"/>
        </w:rPr>
        <w:t>万元，较2021年预算下降</w:t>
      </w:r>
      <w:r>
        <w:rPr>
          <w:rFonts w:hint="eastAsia" w:ascii="仿宋_GB2312" w:eastAsia="仿宋_GB2312"/>
          <w:sz w:val="32"/>
          <w:szCs w:val="32"/>
          <w:highlight w:val="none"/>
          <w:lang w:val="en-US" w:eastAsia="zh-CN"/>
        </w:rPr>
        <w:t>21.43</w:t>
      </w:r>
      <w:r>
        <w:rPr>
          <w:rFonts w:hint="eastAsia" w:ascii="仿宋_GB2312" w:eastAsia="仿宋_GB2312"/>
          <w:sz w:val="32"/>
          <w:szCs w:val="32"/>
          <w:highlight w:val="none"/>
        </w:rPr>
        <w:t>%，用于</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辆公务用车燃油、维修、保险等方面支出。主要保障</w:t>
      </w:r>
      <w:r>
        <w:rPr>
          <w:rFonts w:hint="eastAsia" w:ascii="仿宋_GB2312" w:eastAsia="仿宋_GB2312"/>
          <w:sz w:val="32"/>
          <w:szCs w:val="32"/>
          <w:highlight w:val="none"/>
          <w:lang w:eastAsia="zh-CN"/>
        </w:rPr>
        <w:t>集中供养</w:t>
      </w:r>
      <w:r>
        <w:rPr>
          <w:rFonts w:hint="eastAsia" w:ascii="仿宋_GB2312" w:eastAsia="仿宋_GB2312"/>
          <w:sz w:val="32"/>
          <w:szCs w:val="32"/>
          <w:highlight w:val="none"/>
          <w:lang w:val="en-US" w:eastAsia="zh-CN"/>
        </w:rPr>
        <w:t>特困人员日常生活购物、买菜、看病就医、处置应急事件</w:t>
      </w:r>
      <w:r>
        <w:rPr>
          <w:rFonts w:hint="eastAsia" w:ascii="仿宋_GB2312" w:eastAsia="仿宋_GB2312"/>
          <w:sz w:val="32"/>
          <w:szCs w:val="32"/>
          <w:highlight w:val="none"/>
        </w:rPr>
        <w:t>等工作开展。</w:t>
      </w:r>
    </w:p>
    <w:p>
      <w:pPr>
        <w:pStyle w:val="2"/>
        <w:pageBreakBefore w:val="0"/>
        <w:widowControl w:val="0"/>
        <w:kinsoku/>
        <w:wordWrap/>
        <w:overflowPunct/>
        <w:topLinePunct w:val="0"/>
        <w:bidi w:val="0"/>
        <w:spacing w:before="0" w:after="0" w:line="600" w:lineRule="exact"/>
        <w:ind w:firstLine="640" w:firstLineChars="200"/>
        <w:textAlignment w:val="auto"/>
        <w:rPr>
          <w:rFonts w:hint="eastAsia" w:ascii="仿宋_GB2312" w:eastAsia="仿宋_GB2312"/>
          <w:b w:val="0"/>
          <w:bCs w:val="0"/>
          <w:color w:val="333333"/>
          <w:sz w:val="32"/>
          <w:szCs w:val="32"/>
        </w:rPr>
      </w:pPr>
      <w:bookmarkStart w:id="17" w:name="_Toc72430491"/>
      <w:r>
        <w:rPr>
          <w:rFonts w:hint="eastAsia" w:ascii="黑体" w:eastAsia="黑体"/>
          <w:b w:val="0"/>
          <w:bCs w:val="0"/>
          <w:color w:val="333333"/>
          <w:sz w:val="32"/>
          <w:szCs w:val="32"/>
        </w:rPr>
        <w:t>八、政府性基金预算支出情况说明</w:t>
      </w:r>
      <w:bookmarkEnd w:id="17"/>
      <w:r>
        <w:rPr>
          <w:rFonts w:hint="eastAsia" w:ascii="仿宋_GB2312" w:eastAsia="仿宋_GB2312"/>
          <w:b w:val="0"/>
          <w:bCs w:val="0"/>
          <w:color w:val="333333"/>
          <w:sz w:val="32"/>
          <w:szCs w:val="32"/>
        </w:rPr>
        <w:t>　</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eastAsia" w:ascii="仿宋_GB2312" w:eastAsia="仿宋_GB2312"/>
          <w:sz w:val="32"/>
          <w:szCs w:val="32"/>
          <w:lang w:eastAsia="zh-CN"/>
        </w:rPr>
        <w:t>自贡市自流井区社会福利院</w:t>
      </w:r>
      <w:r>
        <w:rPr>
          <w:rFonts w:hint="eastAsia" w:ascii="仿宋_GB2312" w:eastAsia="仿宋_GB2312"/>
          <w:color w:val="333333"/>
          <w:sz w:val="32"/>
          <w:szCs w:val="32"/>
        </w:rPr>
        <w:t>2022年使用政府性基金预算拨款安排</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color w:val="333333"/>
          <w:sz w:val="32"/>
          <w:szCs w:val="32"/>
        </w:rPr>
        <w:t>。</w:t>
      </w:r>
      <w:bookmarkStart w:id="18" w:name="_Toc72430492"/>
    </w:p>
    <w:p>
      <w:pPr>
        <w:pageBreakBefore w:val="0"/>
        <w:widowControl w:val="0"/>
        <w:kinsoku/>
        <w:wordWrap/>
        <w:overflowPunct/>
        <w:topLinePunct w:val="0"/>
        <w:bidi w:val="0"/>
        <w:spacing w:line="600" w:lineRule="exact"/>
        <w:ind w:firstLine="640" w:firstLineChars="200"/>
        <w:textAlignment w:val="auto"/>
        <w:rPr>
          <w:rFonts w:hint="eastAsia" w:ascii="黑体" w:eastAsia="黑体"/>
          <w:b w:val="0"/>
          <w:bCs w:val="0"/>
          <w:color w:val="333333"/>
          <w:sz w:val="32"/>
          <w:szCs w:val="32"/>
        </w:rPr>
      </w:pPr>
      <w:r>
        <w:rPr>
          <w:rFonts w:hint="eastAsia" w:ascii="黑体" w:eastAsia="黑体"/>
          <w:b w:val="0"/>
          <w:bCs w:val="0"/>
          <w:color w:val="333333"/>
          <w:sz w:val="32"/>
          <w:szCs w:val="32"/>
        </w:rPr>
        <w:t>九、国有资本经营预算支出情况说明</w:t>
      </w:r>
      <w:bookmarkEnd w:id="18"/>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333333"/>
          <w:sz w:val="32"/>
          <w:szCs w:val="32"/>
        </w:rPr>
      </w:pPr>
      <w:r>
        <w:rPr>
          <w:rFonts w:hint="eastAsia" w:ascii="仿宋_GB2312" w:eastAsia="仿宋_GB2312"/>
          <w:sz w:val="32"/>
          <w:szCs w:val="32"/>
          <w:lang w:eastAsia="zh-CN"/>
        </w:rPr>
        <w:t>自贡市自流井区社会福利院</w:t>
      </w:r>
      <w:r>
        <w:rPr>
          <w:rFonts w:hint="eastAsia" w:ascii="仿宋_GB2312" w:eastAsia="仿宋_GB2312"/>
          <w:color w:val="333333"/>
          <w:sz w:val="32"/>
          <w:szCs w:val="32"/>
        </w:rPr>
        <w:t>2022年没有使用国有资本经营预算拨款安排的支出。</w:t>
      </w:r>
      <w:bookmarkStart w:id="19" w:name="_Toc72430493"/>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eastAsia="黑体"/>
          <w:b w:val="0"/>
          <w:bCs w:val="0"/>
          <w:sz w:val="32"/>
          <w:szCs w:val="32"/>
        </w:rPr>
      </w:pPr>
      <w:r>
        <w:rPr>
          <w:rFonts w:hint="eastAsia" w:ascii="黑体" w:eastAsia="黑体"/>
          <w:b w:val="0"/>
          <w:bCs w:val="0"/>
          <w:sz w:val="32"/>
          <w:szCs w:val="32"/>
        </w:rPr>
        <w:t>十、其他重要事项的情况说明</w:t>
      </w:r>
      <w:bookmarkEnd w:id="19"/>
    </w:p>
    <w:p>
      <w:pPr>
        <w:pStyle w:val="3"/>
        <w:pageBreakBefore w:val="0"/>
        <w:widowControl w:val="0"/>
        <w:kinsoku/>
        <w:wordWrap/>
        <w:overflowPunct/>
        <w:topLinePunct w:val="0"/>
        <w:autoSpaceDE/>
        <w:autoSpaceDN/>
        <w:bidi w:val="0"/>
        <w:adjustRightInd/>
        <w:snapToGrid/>
        <w:spacing w:before="0" w:after="0" w:line="600" w:lineRule="exact"/>
        <w:ind w:firstLine="643" w:firstLineChars="200"/>
        <w:textAlignment w:val="auto"/>
        <w:rPr>
          <w:rFonts w:hint="eastAsia" w:ascii="仿宋_GB2312" w:eastAsia="仿宋_GB2312"/>
        </w:rPr>
      </w:pPr>
      <w:bookmarkStart w:id="20" w:name="_Toc72430494"/>
      <w:r>
        <w:rPr>
          <w:rFonts w:hint="eastAsia" w:ascii="仿宋_GB2312" w:eastAsia="仿宋_GB2312"/>
        </w:rPr>
        <w:t>（一）机关运行经费情况</w:t>
      </w:r>
      <w:bookmarkEnd w:id="20"/>
    </w:p>
    <w:p>
      <w:pPr>
        <w:pageBreakBefore w:val="0"/>
        <w:widowControl w:val="0"/>
        <w:kinsoku/>
        <w:wordWrap/>
        <w:overflowPunct/>
        <w:topLinePunct w:val="0"/>
        <w:bidi w:val="0"/>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自贡市自流井区社会福利院20</w:t>
      </w:r>
      <w:r>
        <w:rPr>
          <w:rFonts w:hint="eastAsia" w:ascii="仿宋_GB2312" w:eastAsia="仿宋_GB2312"/>
          <w:sz w:val="32"/>
          <w:szCs w:val="32"/>
          <w:lang w:val="en-US" w:eastAsia="zh-CN"/>
        </w:rPr>
        <w:t>22</w:t>
      </w:r>
      <w:r>
        <w:rPr>
          <w:rFonts w:hint="eastAsia" w:ascii="仿宋_GB2312" w:eastAsia="仿宋_GB2312"/>
          <w:sz w:val="32"/>
          <w:szCs w:val="32"/>
          <w:lang w:eastAsia="zh-CN"/>
        </w:rPr>
        <w:t>年无机关运行经费</w:t>
      </w:r>
      <w:r>
        <w:rPr>
          <w:rFonts w:hint="eastAsia" w:ascii="仿宋_GB2312" w:eastAsia="仿宋_GB2312"/>
          <w:sz w:val="32"/>
          <w:szCs w:val="32"/>
        </w:rPr>
        <w:t>。</w:t>
      </w:r>
    </w:p>
    <w:p>
      <w:pPr>
        <w:pStyle w:val="3"/>
        <w:pageBreakBefore w:val="0"/>
        <w:widowControl w:val="0"/>
        <w:kinsoku/>
        <w:wordWrap/>
        <w:overflowPunct/>
        <w:topLinePunct w:val="0"/>
        <w:bidi w:val="0"/>
        <w:spacing w:before="0" w:after="0" w:line="600" w:lineRule="exact"/>
        <w:ind w:firstLine="643" w:firstLineChars="200"/>
        <w:textAlignment w:val="auto"/>
        <w:rPr>
          <w:rFonts w:hint="eastAsia" w:ascii="仿宋_GB2312" w:eastAsia="仿宋_GB2312"/>
        </w:rPr>
      </w:pPr>
      <w:bookmarkStart w:id="21" w:name="_Toc72430495"/>
      <w:r>
        <w:rPr>
          <w:rFonts w:hint="eastAsia" w:ascii="仿宋_GB2312" w:eastAsia="仿宋_GB2312"/>
        </w:rPr>
        <w:t>（二）政府采购情况</w:t>
      </w:r>
      <w:bookmarkEnd w:id="21"/>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自贡市自流井区社会福利院</w:t>
      </w:r>
      <w:r>
        <w:rPr>
          <w:rFonts w:hint="eastAsia" w:ascii="仿宋_GB2312" w:eastAsia="仿宋_GB2312"/>
          <w:sz w:val="32"/>
          <w:szCs w:val="32"/>
        </w:rPr>
        <w:t>安排政府采购预算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pStyle w:val="3"/>
        <w:pageBreakBefore w:val="0"/>
        <w:widowControl w:val="0"/>
        <w:kinsoku/>
        <w:wordWrap/>
        <w:overflowPunct/>
        <w:topLinePunct w:val="0"/>
        <w:bidi w:val="0"/>
        <w:spacing w:before="0" w:after="0" w:line="600" w:lineRule="exact"/>
        <w:ind w:firstLine="643" w:firstLineChars="200"/>
        <w:textAlignment w:val="auto"/>
        <w:rPr>
          <w:rFonts w:hint="eastAsia" w:ascii="仿宋_GB2312" w:eastAsia="仿宋_GB2312"/>
        </w:rPr>
      </w:pPr>
      <w:bookmarkStart w:id="22" w:name="_Toc72430496"/>
      <w:r>
        <w:rPr>
          <w:rFonts w:hint="eastAsia" w:ascii="仿宋_GB2312" w:eastAsia="仿宋_GB2312"/>
        </w:rPr>
        <w:t>（三）国有资产占有使用情况</w:t>
      </w:r>
      <w:bookmarkEnd w:id="22"/>
    </w:p>
    <w:p>
      <w:pPr>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截至2021年底，</w:t>
      </w:r>
      <w:r>
        <w:rPr>
          <w:rFonts w:hint="eastAsia" w:ascii="仿宋_GB2312" w:eastAsia="仿宋_GB2312"/>
          <w:sz w:val="32"/>
          <w:szCs w:val="32"/>
          <w:lang w:eastAsia="zh-CN"/>
        </w:rPr>
        <w:t>自贡市自流井区社会福利院</w:t>
      </w:r>
      <w:r>
        <w:rPr>
          <w:rFonts w:hint="eastAsia" w:ascii="仿宋_GB2312" w:eastAsia="仿宋_GB2312"/>
          <w:sz w:val="32"/>
          <w:szCs w:val="32"/>
        </w:rPr>
        <w:t>所属各预算单位共有车辆</w:t>
      </w:r>
      <w:r>
        <w:rPr>
          <w:rFonts w:hint="eastAsia" w:ascii="仿宋_GB2312" w:eastAsia="仿宋_GB2312"/>
          <w:sz w:val="32"/>
          <w:szCs w:val="32"/>
          <w:lang w:val="en-US" w:eastAsia="zh-CN"/>
        </w:rPr>
        <w:t>1</w:t>
      </w:r>
      <w:r>
        <w:rPr>
          <w:rFonts w:hint="eastAsia" w:ascii="仿宋_GB2312" w:eastAsia="仿宋_GB2312"/>
          <w:sz w:val="32"/>
          <w:szCs w:val="32"/>
        </w:rPr>
        <w:t>辆，其中，一般公务用车</w:t>
      </w:r>
      <w:r>
        <w:rPr>
          <w:rFonts w:hint="eastAsia" w:ascii="仿宋_GB2312" w:eastAsia="仿宋_GB2312"/>
          <w:sz w:val="32"/>
          <w:szCs w:val="32"/>
          <w:lang w:val="en-US" w:eastAsia="zh-CN"/>
        </w:rPr>
        <w:t>1</w:t>
      </w:r>
      <w:r>
        <w:rPr>
          <w:rFonts w:hint="eastAsia" w:ascii="仿宋_GB2312" w:eastAsia="仿宋_GB2312"/>
          <w:sz w:val="32"/>
          <w:szCs w:val="32"/>
        </w:rPr>
        <w:t>辆、执法执勤用车</w:t>
      </w:r>
      <w:r>
        <w:rPr>
          <w:rFonts w:hint="eastAsia" w:ascii="仿宋_GB2312" w:eastAsia="仿宋_GB2312"/>
          <w:sz w:val="32"/>
          <w:szCs w:val="32"/>
          <w:lang w:val="en-US" w:eastAsia="zh-CN"/>
        </w:rPr>
        <w:t>0</w:t>
      </w:r>
      <w:r>
        <w:rPr>
          <w:rFonts w:hint="eastAsia" w:ascii="仿宋_GB2312" w:eastAsia="仿宋_GB2312"/>
          <w:sz w:val="32"/>
          <w:szCs w:val="32"/>
        </w:rPr>
        <w:t>辆。单位价值100万元以上大型设备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2022年部门预算安排购置一般公务用车</w:t>
      </w:r>
      <w:r>
        <w:rPr>
          <w:rFonts w:hint="eastAsia" w:ascii="仿宋_GB2312" w:eastAsia="仿宋_GB2312"/>
          <w:sz w:val="32"/>
          <w:szCs w:val="32"/>
          <w:lang w:val="en-US" w:eastAsia="zh-CN"/>
        </w:rPr>
        <w:t>0</w:t>
      </w:r>
      <w:r>
        <w:rPr>
          <w:rFonts w:hint="eastAsia" w:ascii="仿宋_GB2312" w:eastAsia="仿宋_GB2312"/>
          <w:sz w:val="32"/>
          <w:szCs w:val="32"/>
        </w:rPr>
        <w:t>辆、执法执勤用车</w:t>
      </w:r>
      <w:r>
        <w:rPr>
          <w:rFonts w:hint="eastAsia" w:ascii="仿宋_GB2312" w:eastAsia="仿宋_GB2312"/>
          <w:sz w:val="32"/>
          <w:szCs w:val="32"/>
          <w:lang w:val="en-US" w:eastAsia="zh-CN"/>
        </w:rPr>
        <w:t>0</w:t>
      </w:r>
      <w:r>
        <w:rPr>
          <w:rFonts w:hint="eastAsia" w:ascii="仿宋_GB2312" w:eastAsia="仿宋_GB2312"/>
          <w:sz w:val="32"/>
          <w:szCs w:val="32"/>
        </w:rPr>
        <w:t>辆，单位价值100万元以上大型设备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pStyle w:val="3"/>
        <w:pageBreakBefore w:val="0"/>
        <w:widowControl w:val="0"/>
        <w:numPr>
          <w:ilvl w:val="0"/>
          <w:numId w:val="1"/>
        </w:numPr>
        <w:kinsoku/>
        <w:wordWrap/>
        <w:overflowPunct/>
        <w:topLinePunct w:val="0"/>
        <w:bidi w:val="0"/>
        <w:spacing w:before="0" w:after="0" w:line="600" w:lineRule="exact"/>
        <w:ind w:firstLine="643" w:firstLineChars="200"/>
        <w:textAlignment w:val="auto"/>
        <w:rPr>
          <w:rFonts w:hint="eastAsia" w:ascii="仿宋_GB2312" w:eastAsia="仿宋_GB2312"/>
        </w:rPr>
      </w:pPr>
      <w:bookmarkStart w:id="23" w:name="_Toc72430497"/>
      <w:r>
        <w:rPr>
          <w:rFonts w:hint="eastAsia" w:ascii="仿宋_GB2312" w:eastAsia="仿宋_GB2312"/>
        </w:rPr>
        <w:t>绩效目标设置情况</w:t>
      </w:r>
      <w:bookmarkEnd w:id="23"/>
    </w:p>
    <w:p>
      <w:pPr>
        <w:keepNext w:val="0"/>
        <w:keepLines w:val="0"/>
        <w:pageBreakBefore w:val="0"/>
        <w:widowControl w:val="0"/>
        <w:kinsoku/>
        <w:wordWrap/>
        <w:overflowPunct/>
        <w:topLinePunct w:val="0"/>
        <w:bidi w:val="0"/>
        <w:snapToGrid/>
        <w:spacing w:line="600" w:lineRule="exact"/>
        <w:ind w:firstLine="570"/>
        <w:textAlignment w:val="auto"/>
        <w:rPr>
          <w:rFonts w:hint="eastAsia"/>
          <w:highlight w:val="none"/>
        </w:rPr>
      </w:pPr>
      <w:r>
        <w:rPr>
          <w:rFonts w:hint="eastAsia" w:ascii="仿宋_GB2312" w:eastAsia="仿宋_GB2312"/>
          <w:sz w:val="32"/>
          <w:szCs w:val="32"/>
          <w:highlight w:val="none"/>
        </w:rPr>
        <w:t>绩效目标是预算编制的前提和基础，按照“费随事定”的原则，2022年</w:t>
      </w:r>
      <w:r>
        <w:rPr>
          <w:rFonts w:hint="eastAsia" w:ascii="仿宋_GB2312" w:eastAsia="仿宋_GB2312"/>
          <w:sz w:val="32"/>
          <w:szCs w:val="32"/>
          <w:highlight w:val="none"/>
          <w:lang w:eastAsia="zh-CN"/>
        </w:rPr>
        <w:t>自贡市自流井区社会福利院</w:t>
      </w:r>
      <w:r>
        <w:rPr>
          <w:rFonts w:hint="eastAsia" w:ascii="仿宋_GB2312" w:eastAsia="仿宋_GB2312"/>
          <w:sz w:val="32"/>
          <w:szCs w:val="32"/>
          <w:highlight w:val="none"/>
        </w:rPr>
        <w:t>所有专项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自贡市自流井区社会福利院</w:t>
      </w:r>
      <w:r>
        <w:rPr>
          <w:rFonts w:hint="eastAsia" w:ascii="仿宋_GB2312" w:hAnsi="Times New Roman" w:eastAsia="仿宋_GB2312" w:cs="Times New Roman"/>
          <w:sz w:val="32"/>
          <w:szCs w:val="32"/>
          <w:lang w:val="en-US" w:eastAsia="zh-CN"/>
        </w:rPr>
        <w:t>2022</w:t>
      </w:r>
      <w:r>
        <w:rPr>
          <w:rFonts w:hint="eastAsia" w:ascii="仿宋_GB2312" w:hAnsi="Times New Roman" w:eastAsia="仿宋_GB2312" w:cs="Times New Roman"/>
          <w:sz w:val="32"/>
          <w:szCs w:val="32"/>
        </w:rPr>
        <w:t>年部门预算无重点项目。</w:t>
      </w:r>
    </w:p>
    <w:p>
      <w:pPr>
        <w:pStyle w:val="2"/>
        <w:keepNext/>
        <w:keepLines/>
        <w:pageBreakBefore w:val="0"/>
        <w:widowControl w:val="0"/>
        <w:kinsoku/>
        <w:wordWrap/>
        <w:overflowPunct/>
        <w:topLinePunct w:val="0"/>
        <w:autoSpaceDE/>
        <w:autoSpaceDN/>
        <w:bidi w:val="0"/>
        <w:adjustRightInd/>
        <w:snapToGrid/>
        <w:spacing w:before="0" w:after="0" w:line="600" w:lineRule="exact"/>
        <w:ind w:firstLine="640" w:firstLineChars="200"/>
        <w:textAlignment w:val="auto"/>
        <w:rPr>
          <w:rFonts w:hint="eastAsia" w:ascii="黑体" w:eastAsia="黑体"/>
          <w:b w:val="0"/>
          <w:bCs w:val="0"/>
          <w:color w:val="000000"/>
          <w:sz w:val="32"/>
          <w:szCs w:val="32"/>
        </w:rPr>
      </w:pPr>
      <w:bookmarkStart w:id="24" w:name="_Toc72430498"/>
      <w:r>
        <w:rPr>
          <w:rFonts w:hint="eastAsia" w:ascii="黑体" w:eastAsia="黑体"/>
          <w:b w:val="0"/>
          <w:bCs w:val="0"/>
          <w:color w:val="000000"/>
          <w:sz w:val="32"/>
          <w:szCs w:val="32"/>
        </w:rPr>
        <w:t>十一、名词解释</w:t>
      </w:r>
      <w:bookmarkEnd w:id="24"/>
    </w:p>
    <w:p>
      <w:pPr>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1.一般公共预算拨款收入：指</w:t>
      </w:r>
      <w:r>
        <w:rPr>
          <w:rFonts w:hint="eastAsia" w:ascii="仿宋_GB2312" w:eastAsia="仿宋_GB2312"/>
          <w:sz w:val="32"/>
          <w:szCs w:val="32"/>
          <w:lang w:eastAsia="zh-CN"/>
        </w:rPr>
        <w:t>区</w:t>
      </w:r>
      <w:r>
        <w:rPr>
          <w:rFonts w:hint="eastAsia" w:ascii="仿宋_GB2312" w:eastAsia="仿宋_GB2312"/>
          <w:sz w:val="32"/>
          <w:szCs w:val="32"/>
        </w:rPr>
        <w:t>级财政当年拨付的资金。</w:t>
      </w:r>
    </w:p>
    <w:p>
      <w:pPr>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.上年结转：指以前年度尚未完成，结转到本年仍按原规定用途继续使用的资金。</w:t>
      </w:r>
    </w:p>
    <w:p>
      <w:pPr>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3.社会保障和就业支出（类）行政事业单位养老支出（款）机关事业单位基本养老保险缴费支出（项）:指部门实施养老保险制度由单位缴纳的养老保险费的支出。</w:t>
      </w:r>
    </w:p>
    <w:p>
      <w:pPr>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lang w:val="en-US" w:eastAsia="zh-CN"/>
        </w:rPr>
        <w:t>4</w:t>
      </w:r>
      <w:r>
        <w:rPr>
          <w:rFonts w:hint="default" w:ascii="仿宋_GB2312" w:eastAsia="仿宋_GB2312"/>
          <w:sz w:val="32"/>
          <w:szCs w:val="32"/>
          <w:lang w:eastAsia="zh-CN"/>
        </w:rPr>
        <w:t>.</w:t>
      </w:r>
      <w:r>
        <w:rPr>
          <w:rFonts w:hint="eastAsia" w:ascii="仿宋_GB2312" w:eastAsia="仿宋_GB2312"/>
          <w:sz w:val="32"/>
          <w:szCs w:val="32"/>
        </w:rPr>
        <w:t>社会保障和就业</w:t>
      </w:r>
      <w:r>
        <w:rPr>
          <w:rFonts w:hint="eastAsia" w:ascii="仿宋_GB2312" w:eastAsia="仿宋_GB2312"/>
          <w:sz w:val="32"/>
          <w:szCs w:val="32"/>
          <w:lang w:eastAsia="zh-CN"/>
        </w:rPr>
        <w:t>支出</w:t>
      </w:r>
      <w:r>
        <w:rPr>
          <w:rFonts w:hint="eastAsia" w:ascii="仿宋_GB2312" w:eastAsia="仿宋_GB2312"/>
          <w:sz w:val="32"/>
          <w:szCs w:val="32"/>
        </w:rPr>
        <w:t>（类）社会福利（款）社会福利事业单位（项）</w:t>
      </w:r>
      <w:r>
        <w:rPr>
          <w:rFonts w:hint="eastAsia" w:ascii="仿宋_GB2312" w:eastAsia="仿宋_GB2312"/>
          <w:sz w:val="32"/>
          <w:szCs w:val="32"/>
          <w:lang w:val="en-US" w:eastAsia="zh-CN"/>
        </w:rPr>
        <w:t>:指</w:t>
      </w:r>
      <w:r>
        <w:rPr>
          <w:rFonts w:hint="eastAsia" w:ascii="仿宋_GB2312" w:eastAsia="仿宋_GB2312"/>
          <w:sz w:val="32"/>
          <w:szCs w:val="32"/>
        </w:rPr>
        <w:t>事业单位正常运转的基本支出，包括基本工资、津贴补贴等人员经费以及办公费、印刷费、水电费等日常公用经费,保障部门正常运转。　</w:t>
      </w:r>
    </w:p>
    <w:p>
      <w:pPr>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default" w:ascii="仿宋_GB2312" w:eastAsia="仿宋_GB2312"/>
          <w:sz w:val="32"/>
          <w:szCs w:val="32"/>
        </w:rPr>
      </w:pPr>
      <w:r>
        <w:rPr>
          <w:rFonts w:hint="eastAsia" w:ascii="仿宋_GB2312" w:eastAsia="仿宋_GB2312"/>
          <w:sz w:val="32"/>
          <w:szCs w:val="32"/>
          <w:lang w:val="en-US" w:eastAsia="zh-CN"/>
        </w:rPr>
        <w:t>5</w:t>
      </w:r>
      <w:r>
        <w:rPr>
          <w:rFonts w:hint="default" w:ascii="仿宋_GB2312" w:eastAsia="仿宋_GB2312"/>
          <w:sz w:val="32"/>
          <w:szCs w:val="32"/>
          <w:lang w:eastAsia="zh-CN"/>
        </w:rPr>
        <w:t>.</w:t>
      </w:r>
      <w:r>
        <w:rPr>
          <w:rFonts w:hint="eastAsia" w:ascii="仿宋_GB2312" w:eastAsia="仿宋_GB2312"/>
          <w:sz w:val="32"/>
          <w:szCs w:val="32"/>
        </w:rPr>
        <w:t>社会保障和就业（类）</w:t>
      </w:r>
      <w:r>
        <w:rPr>
          <w:rFonts w:hint="eastAsia" w:ascii="仿宋_GB2312" w:eastAsia="仿宋_GB2312"/>
          <w:sz w:val="32"/>
          <w:szCs w:val="32"/>
          <w:lang w:eastAsia="zh-CN"/>
        </w:rPr>
        <w:t>其他社会保障和就业支出</w:t>
      </w:r>
      <w:r>
        <w:rPr>
          <w:rFonts w:hint="eastAsia" w:ascii="仿宋_GB2312" w:eastAsia="仿宋_GB2312"/>
          <w:sz w:val="32"/>
          <w:szCs w:val="32"/>
        </w:rPr>
        <w:t>（款）</w:t>
      </w:r>
      <w:r>
        <w:rPr>
          <w:rFonts w:hint="eastAsia" w:ascii="仿宋_GB2312" w:eastAsia="仿宋_GB2312"/>
          <w:sz w:val="32"/>
          <w:szCs w:val="32"/>
          <w:lang w:eastAsia="zh-CN"/>
        </w:rPr>
        <w:t>其他社会保障和就业支出</w:t>
      </w:r>
      <w:r>
        <w:rPr>
          <w:rFonts w:hint="eastAsia" w:ascii="仿宋_GB2312" w:eastAsia="仿宋_GB2312"/>
          <w:sz w:val="32"/>
          <w:szCs w:val="32"/>
        </w:rPr>
        <w:t>（项）</w:t>
      </w:r>
      <w:r>
        <w:rPr>
          <w:rFonts w:hint="eastAsia" w:ascii="仿宋_GB2312" w:eastAsia="仿宋_GB2312"/>
          <w:sz w:val="32"/>
          <w:szCs w:val="32"/>
          <w:lang w:val="en-US" w:eastAsia="zh-CN"/>
        </w:rPr>
        <w:t>:指工伤保险、生育保险等支出</w:t>
      </w:r>
      <w:r>
        <w:rPr>
          <w:rFonts w:hint="default" w:ascii="仿宋_GB2312" w:eastAsia="仿宋_GB2312"/>
          <w:sz w:val="32"/>
          <w:szCs w:val="32"/>
        </w:rPr>
        <w:t>。</w:t>
      </w:r>
    </w:p>
    <w:p>
      <w:pPr>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lang w:val="en-US" w:eastAsia="zh-CN"/>
        </w:rPr>
        <w:t>6</w:t>
      </w:r>
      <w:r>
        <w:rPr>
          <w:rFonts w:hint="default" w:ascii="仿宋_GB2312" w:eastAsia="仿宋_GB2312"/>
          <w:sz w:val="32"/>
          <w:szCs w:val="32"/>
          <w:lang w:eastAsia="zh-CN"/>
        </w:rPr>
        <w:t>.</w:t>
      </w:r>
      <w:r>
        <w:rPr>
          <w:rFonts w:hint="eastAsia" w:ascii="仿宋_GB2312" w:eastAsia="仿宋_GB2312"/>
          <w:sz w:val="32"/>
          <w:szCs w:val="32"/>
        </w:rPr>
        <w:t>卫生健康支出（类）行政事业单位医疗（款）</w:t>
      </w:r>
      <w:r>
        <w:rPr>
          <w:rFonts w:hint="eastAsia" w:ascii="仿宋_GB2312" w:eastAsia="仿宋_GB2312"/>
          <w:sz w:val="32"/>
          <w:szCs w:val="32"/>
          <w:lang w:eastAsia="zh-CN"/>
        </w:rPr>
        <w:t>事业</w:t>
      </w:r>
      <w:r>
        <w:rPr>
          <w:rFonts w:hint="eastAsia" w:ascii="仿宋_GB2312" w:eastAsia="仿宋_GB2312"/>
          <w:sz w:val="32"/>
          <w:szCs w:val="32"/>
        </w:rPr>
        <w:t>单位医疗（项）</w:t>
      </w:r>
      <w:r>
        <w:rPr>
          <w:rFonts w:hint="eastAsia" w:ascii="仿宋_GB2312" w:eastAsia="仿宋_GB2312"/>
          <w:sz w:val="32"/>
          <w:szCs w:val="32"/>
          <w:lang w:eastAsia="zh-CN"/>
        </w:rPr>
        <w:t>：指</w:t>
      </w:r>
      <w:r>
        <w:rPr>
          <w:rFonts w:hint="eastAsia" w:ascii="仿宋_GB2312" w:eastAsia="仿宋_GB2312"/>
          <w:sz w:val="32"/>
          <w:szCs w:val="32"/>
        </w:rPr>
        <w:t>机关及事业单位基本医疗保险缴费支出。</w:t>
      </w:r>
    </w:p>
    <w:p>
      <w:pPr>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lang w:val="en-US" w:eastAsia="zh-CN"/>
        </w:rPr>
        <w:t>7</w:t>
      </w:r>
      <w:r>
        <w:rPr>
          <w:rFonts w:hint="default" w:ascii="仿宋_GB2312" w:eastAsia="仿宋_GB2312"/>
          <w:sz w:val="32"/>
          <w:szCs w:val="32"/>
        </w:rPr>
        <w:t>.</w:t>
      </w:r>
      <w:r>
        <w:rPr>
          <w:rFonts w:hint="eastAsia" w:ascii="仿宋_GB2312" w:eastAsia="仿宋_GB2312"/>
          <w:sz w:val="32"/>
          <w:szCs w:val="32"/>
        </w:rPr>
        <w:t>住房保障</w:t>
      </w:r>
      <w:r>
        <w:rPr>
          <w:rFonts w:hint="eastAsia" w:ascii="仿宋_GB2312" w:eastAsia="仿宋_GB2312"/>
          <w:sz w:val="32"/>
          <w:szCs w:val="32"/>
          <w:lang w:eastAsia="zh-CN"/>
        </w:rPr>
        <w:t>支出</w:t>
      </w:r>
      <w:r>
        <w:rPr>
          <w:rFonts w:hint="eastAsia" w:ascii="仿宋_GB2312" w:eastAsia="仿宋_GB2312"/>
          <w:sz w:val="32"/>
          <w:szCs w:val="32"/>
        </w:rPr>
        <w:t>（类）住房改革支出（款）住房公积金（项）:</w:t>
      </w:r>
      <w:r>
        <w:rPr>
          <w:rFonts w:hint="eastAsia" w:ascii="仿宋_GB2312" w:eastAsia="仿宋_GB2312"/>
          <w:sz w:val="32"/>
          <w:szCs w:val="32"/>
          <w:lang w:eastAsia="zh-CN"/>
        </w:rPr>
        <w:t>指</w:t>
      </w:r>
      <w:r>
        <w:rPr>
          <w:rFonts w:hint="eastAsia" w:ascii="仿宋_GB2312" w:eastAsia="仿宋_GB2312"/>
          <w:sz w:val="32"/>
          <w:szCs w:val="32"/>
        </w:rPr>
        <w:t>部门按人力资源和社会保障部、财政部规定的基本工资和津贴补贴以及规定比例为职工缴纳的住房公积金支出。</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.基本支出：指为保证机构正常运转，完成日常工作任务而发生的人员支出和公用支出。</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.项目支出：指在基本支出之外为完成特定行政任务和事业发展目标所发生的支出。</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11</w:t>
      </w:r>
      <w:r>
        <w:rPr>
          <w:rFonts w:hint="eastAsia" w:ascii="仿宋_GB2312" w:eastAsia="仿宋_GB2312"/>
          <w:color w:val="000000"/>
          <w:sz w:val="32"/>
          <w:szCs w:val="32"/>
        </w:rPr>
        <w:t>.机关运行经费：为保障行政单位（包含参照公务员法管理的事业单位）运行用于购买货物和服务的各项资金。包括办公及印刷费、邮电费、差旅费、会议费等费用开支。</w:t>
      </w:r>
    </w:p>
    <w:p>
      <w:pPr>
        <w:pageBreakBefore w:val="0"/>
        <w:widowControl w:val="0"/>
        <w:kinsoku/>
        <w:wordWrap/>
        <w:overflowPunct/>
        <w:topLinePunct w:val="0"/>
        <w:bidi w:val="0"/>
        <w:spacing w:line="600" w:lineRule="exact"/>
        <w:ind w:firstLine="640" w:firstLineChars="200"/>
        <w:textAlignment w:val="auto"/>
        <w:rPr>
          <w:rFonts w:hint="eastAsia" w:ascii="仿宋_GB2312" w:eastAsia="仿宋_GB2312"/>
          <w:color w:val="000000"/>
          <w:sz w:val="32"/>
          <w:szCs w:val="32"/>
        </w:rPr>
      </w:pPr>
    </w:p>
    <w:p>
      <w:pPr>
        <w:rPr>
          <w:rFonts w:hint="eastAsia" w:ascii="仿宋_GB2312" w:eastAsia="仿宋_GB2312"/>
          <w:color w:val="000000"/>
          <w:sz w:val="32"/>
          <w:szCs w:val="32"/>
        </w:rPr>
      </w:pPr>
      <w:r>
        <w:rPr>
          <w:rFonts w:hint="eastAsia" w:ascii="仿宋_GB2312" w:eastAsia="仿宋_GB2312"/>
          <w:color w:val="000000"/>
          <w:sz w:val="32"/>
          <w:szCs w:val="32"/>
        </w:rPr>
        <w:t>附件</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表1.</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收支总表</w:t>
      </w:r>
      <w:r>
        <w:rPr>
          <w:rFonts w:hint="eastAsia" w:ascii="仿宋_GB2312" w:eastAsia="仿宋_GB2312"/>
          <w:color w:val="000000"/>
          <w:sz w:val="32"/>
          <w:szCs w:val="32"/>
        </w:rPr>
        <w:br w:type="textWrapping"/>
      </w:r>
      <w:r>
        <w:rPr>
          <w:rFonts w:hint="eastAsia" w:ascii="仿宋_GB2312" w:eastAsia="仿宋_GB2312"/>
          <w:color w:val="000000"/>
          <w:sz w:val="32"/>
          <w:szCs w:val="32"/>
        </w:rPr>
        <w:t>　　　    表1-1.</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收入总表</w:t>
      </w:r>
      <w:r>
        <w:rPr>
          <w:rFonts w:hint="eastAsia" w:ascii="仿宋_GB2312" w:eastAsia="仿宋_GB2312"/>
          <w:color w:val="000000"/>
          <w:sz w:val="32"/>
          <w:szCs w:val="32"/>
        </w:rPr>
        <w:br w:type="textWrapping"/>
      </w:r>
      <w:r>
        <w:rPr>
          <w:rFonts w:hint="eastAsia" w:ascii="仿宋_GB2312" w:eastAsia="仿宋_GB2312"/>
          <w:color w:val="000000"/>
          <w:sz w:val="32"/>
          <w:szCs w:val="32"/>
        </w:rPr>
        <w:t>　　　　　表1-2.</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支出总表</w:t>
      </w:r>
      <w:r>
        <w:rPr>
          <w:rFonts w:hint="eastAsia" w:ascii="仿宋_GB2312" w:eastAsia="仿宋_GB2312"/>
          <w:color w:val="000000"/>
          <w:sz w:val="32"/>
          <w:szCs w:val="32"/>
        </w:rPr>
        <w:br w:type="textWrapping"/>
      </w:r>
      <w:r>
        <w:rPr>
          <w:rFonts w:hint="eastAsia" w:ascii="仿宋_GB2312" w:eastAsia="仿宋_GB2312"/>
          <w:color w:val="000000"/>
          <w:sz w:val="32"/>
          <w:szCs w:val="32"/>
        </w:rPr>
        <w:t>　　　　　表2.财政拨款收支预算总表</w:t>
      </w:r>
    </w:p>
    <w:p>
      <w:pPr>
        <w:ind w:firstLine="1600" w:firstLineChars="500"/>
        <w:rPr>
          <w:rFonts w:ascii="仿宋_GB2312" w:eastAsia="仿宋_GB2312"/>
          <w:color w:val="000000"/>
          <w:sz w:val="32"/>
          <w:szCs w:val="32"/>
        </w:rPr>
      </w:pPr>
      <w:r>
        <w:rPr>
          <w:rFonts w:hint="eastAsia" w:ascii="仿宋_GB2312" w:eastAsia="仿宋_GB2312"/>
          <w:color w:val="000000"/>
          <w:sz w:val="32"/>
          <w:szCs w:val="32"/>
        </w:rPr>
        <w:t>表2-1.财政拨款支出预算表</w:t>
      </w:r>
      <w:r>
        <w:rPr>
          <w:rFonts w:hint="eastAsia" w:ascii="仿宋_GB2312" w:eastAsia="仿宋_GB2312"/>
          <w:color w:val="000000"/>
          <w:sz w:val="28"/>
          <w:szCs w:val="28"/>
        </w:rPr>
        <w:t>（政府经济分类科目）</w:t>
      </w:r>
      <w:r>
        <w:rPr>
          <w:rFonts w:hint="eastAsia" w:ascii="仿宋_GB2312" w:eastAsia="仿宋_GB2312"/>
          <w:color w:val="000000"/>
          <w:sz w:val="32"/>
          <w:szCs w:val="32"/>
        </w:rPr>
        <w:br w:type="textWrapping"/>
      </w:r>
      <w:r>
        <w:rPr>
          <w:rFonts w:hint="eastAsia" w:ascii="仿宋_GB2312" w:eastAsia="仿宋_GB2312"/>
          <w:color w:val="000000"/>
          <w:sz w:val="32"/>
          <w:szCs w:val="32"/>
        </w:rPr>
        <w:t>　　　　　表3.一般公共预算支出预算表</w:t>
      </w:r>
      <w:r>
        <w:rPr>
          <w:rFonts w:hint="eastAsia" w:ascii="仿宋_GB2312" w:eastAsia="仿宋_GB2312"/>
          <w:color w:val="000000"/>
          <w:sz w:val="32"/>
          <w:szCs w:val="32"/>
        </w:rPr>
        <w:br w:type="textWrapping"/>
      </w:r>
      <w:r>
        <w:rPr>
          <w:rFonts w:hint="eastAsia" w:ascii="仿宋_GB2312" w:eastAsia="仿宋_GB2312"/>
          <w:color w:val="000000"/>
          <w:sz w:val="32"/>
          <w:szCs w:val="32"/>
        </w:rPr>
        <w:t>　　　　　表3-1.一般公共预算基本支出预算表</w:t>
      </w:r>
      <w:r>
        <w:rPr>
          <w:rFonts w:hint="eastAsia" w:ascii="仿宋_GB2312" w:eastAsia="仿宋_GB2312"/>
          <w:color w:val="000000"/>
          <w:sz w:val="32"/>
          <w:szCs w:val="32"/>
        </w:rPr>
        <w:br w:type="textWrapping"/>
      </w:r>
      <w:r>
        <w:rPr>
          <w:rFonts w:hint="eastAsia" w:ascii="仿宋_GB2312" w:eastAsia="仿宋_GB2312"/>
          <w:color w:val="000000"/>
          <w:sz w:val="32"/>
          <w:szCs w:val="32"/>
        </w:rPr>
        <w:t>　　　　　表3-2.一般公共预算项目支出预算表</w:t>
      </w:r>
      <w:r>
        <w:rPr>
          <w:rFonts w:hint="eastAsia" w:ascii="仿宋_GB2312" w:eastAsia="仿宋_GB2312"/>
          <w:color w:val="000000"/>
          <w:sz w:val="32"/>
          <w:szCs w:val="32"/>
        </w:rPr>
        <w:br w:type="textWrapping"/>
      </w:r>
      <w:r>
        <w:rPr>
          <w:rFonts w:hint="eastAsia" w:ascii="仿宋_GB2312" w:eastAsia="仿宋_GB2312"/>
          <w:color w:val="000000"/>
          <w:sz w:val="32"/>
          <w:szCs w:val="32"/>
        </w:rPr>
        <w:t>　　　　　表3-3.一般公共预算“三公”经费支出预算表</w:t>
      </w:r>
      <w:r>
        <w:rPr>
          <w:rFonts w:hint="eastAsia" w:ascii="仿宋_GB2312" w:eastAsia="仿宋_GB2312"/>
          <w:color w:val="000000"/>
          <w:sz w:val="32"/>
          <w:szCs w:val="32"/>
        </w:rPr>
        <w:br w:type="textWrapping"/>
      </w:r>
      <w:r>
        <w:rPr>
          <w:rFonts w:hint="eastAsia" w:ascii="仿宋_GB2312" w:eastAsia="仿宋_GB2312"/>
          <w:color w:val="000000"/>
          <w:sz w:val="32"/>
          <w:szCs w:val="32"/>
        </w:rPr>
        <w:t>　　　　　表4.政府性基金支出预算表</w:t>
      </w:r>
      <w:r>
        <w:rPr>
          <w:rFonts w:hint="eastAsia" w:ascii="仿宋_GB2312" w:eastAsia="仿宋_GB2312"/>
          <w:color w:val="000000"/>
          <w:sz w:val="32"/>
          <w:szCs w:val="32"/>
        </w:rPr>
        <w:br w:type="textWrapping"/>
      </w:r>
      <w:r>
        <w:rPr>
          <w:rFonts w:hint="eastAsia" w:ascii="仿宋_GB2312" w:eastAsia="仿宋_GB2312"/>
          <w:color w:val="000000"/>
          <w:sz w:val="32"/>
          <w:szCs w:val="32"/>
        </w:rPr>
        <w:t>　　　　　表4-1.政府性基金预算“三公”经费支出预算表</w:t>
      </w:r>
      <w:r>
        <w:rPr>
          <w:rFonts w:hint="eastAsia" w:ascii="仿宋_GB2312" w:eastAsia="仿宋_GB2312"/>
          <w:color w:val="000000"/>
          <w:sz w:val="32"/>
          <w:szCs w:val="32"/>
        </w:rPr>
        <w:br w:type="textWrapping"/>
      </w:r>
      <w:r>
        <w:rPr>
          <w:rFonts w:hint="eastAsia" w:ascii="仿宋_GB2312" w:eastAsia="仿宋_GB2312"/>
          <w:color w:val="000000"/>
          <w:sz w:val="32"/>
          <w:szCs w:val="32"/>
        </w:rPr>
        <w:t>　　　　　表5.国有资本经营预算支出预算表</w:t>
      </w:r>
    </w:p>
    <w:p>
      <w:pPr>
        <w:ind w:firstLine="1600" w:firstLineChars="500"/>
        <w:rPr>
          <w:rFonts w:hint="eastAsia" w:ascii="仿宋_GB2312" w:eastAsia="仿宋_GB2312"/>
          <w:color w:val="000000"/>
          <w:sz w:val="32"/>
          <w:szCs w:val="32"/>
        </w:rPr>
      </w:pPr>
      <w:r>
        <w:rPr>
          <w:rFonts w:hint="eastAsia" w:ascii="仿宋_GB2312" w:eastAsia="仿宋_GB2312"/>
          <w:color w:val="000000"/>
          <w:sz w:val="32"/>
          <w:szCs w:val="32"/>
        </w:rPr>
        <w:t>表6</w:t>
      </w:r>
      <w:r>
        <w:rPr>
          <w:rFonts w:ascii="仿宋_GB2312" w:eastAsia="仿宋_GB2312"/>
          <w:color w:val="000000"/>
          <w:sz w:val="32"/>
          <w:szCs w:val="32"/>
        </w:rPr>
        <w:t>.</w:t>
      </w:r>
      <w:r>
        <w:rPr>
          <w:rFonts w:hint="eastAsia" w:ascii="仿宋_GB2312" w:eastAsia="仿宋_GB2312"/>
          <w:color w:val="000000"/>
          <w:sz w:val="32"/>
          <w:szCs w:val="32"/>
        </w:rPr>
        <w:t>单位预算项目绩效目标表</w:t>
      </w:r>
    </w:p>
    <w:p>
      <w:pPr>
        <w:pageBreakBefore w:val="0"/>
        <w:widowControl w:val="0"/>
        <w:kinsoku/>
        <w:wordWrap/>
        <w:overflowPunct/>
        <w:topLinePunct w:val="0"/>
        <w:bidi w:val="0"/>
        <w:spacing w:line="600" w:lineRule="exact"/>
        <w:ind w:firstLine="420" w:firstLineChars="200"/>
        <w:textAlignment w:val="auto"/>
      </w:pPr>
    </w:p>
    <w:sectPr>
      <w:footerReference r:id="rId5" w:type="default"/>
      <w:pgSz w:w="11906" w:h="16838"/>
      <w:pgMar w:top="2098" w:right="1474" w:bottom="1984" w:left="158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宋体-方正超大字符集"/>
    <w:panose1 w:val="02000000000000000000"/>
    <w:charset w:val="86"/>
    <w:family w:val="auto"/>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val="en-US" w:eastAsia="zh-CN"/>
                      </w:rPr>
                    </w:pPr>
                  </w:p>
                </w:txbxContent>
              </v:textbox>
            </v:shape>
          </w:pict>
        </mc:Fallback>
      </mc:AlternateContent>
    </w:r>
    <w:r>
      <w:rPr>
        <w:rFonts w:hint="eastAsia"/>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- 7 -</w:t>
    </w:r>
    <w:r>
      <w:rPr>
        <w:rStyle w:val="12"/>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eastAsia="宋体"/>
        <w:lang w:val="en-US" w:eastAsia="zh-CN"/>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宋体"/>
                        <w:lang w:val="en-US" w:eastAsia="zh-CN"/>
                      </w:rPr>
                    </w:pPr>
                  </w:p>
                </w:txbxContent>
              </v:textbox>
            </v:shape>
          </w:pict>
        </mc:Fallback>
      </mc:AlternateContent>
    </w:r>
    <w:r>
      <w:rPr>
        <w:rFonts w:hint="eastAsia"/>
        <w:lang w:val="en-US" w:eastAsia="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CD2186"/>
    <w:multiLevelType w:val="singleLevel"/>
    <w:tmpl w:val="7FCD218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YmYwMmYxYmNmZWM0MjU3MTFkOTU2MmIxMmVjOWUifQ=="/>
  </w:docVars>
  <w:rsids>
    <w:rsidRoot w:val="00000000"/>
    <w:rsid w:val="04B86DBD"/>
    <w:rsid w:val="084F183F"/>
    <w:rsid w:val="09A72050"/>
    <w:rsid w:val="0E8536A2"/>
    <w:rsid w:val="11EA4563"/>
    <w:rsid w:val="139E4E63"/>
    <w:rsid w:val="1488364C"/>
    <w:rsid w:val="175925AB"/>
    <w:rsid w:val="179A7C8B"/>
    <w:rsid w:val="1A2667A8"/>
    <w:rsid w:val="1D48246B"/>
    <w:rsid w:val="1D521C03"/>
    <w:rsid w:val="22A80EA8"/>
    <w:rsid w:val="230449B4"/>
    <w:rsid w:val="289F20EC"/>
    <w:rsid w:val="29486A97"/>
    <w:rsid w:val="2C745E9D"/>
    <w:rsid w:val="2D1C3420"/>
    <w:rsid w:val="2FFD034B"/>
    <w:rsid w:val="30B153E8"/>
    <w:rsid w:val="33C069FE"/>
    <w:rsid w:val="357654F8"/>
    <w:rsid w:val="3C717A7A"/>
    <w:rsid w:val="3D533CC1"/>
    <w:rsid w:val="3EA132AC"/>
    <w:rsid w:val="41F22F77"/>
    <w:rsid w:val="426B25DB"/>
    <w:rsid w:val="42982AD7"/>
    <w:rsid w:val="44E24DB2"/>
    <w:rsid w:val="46626EF2"/>
    <w:rsid w:val="494D3301"/>
    <w:rsid w:val="4A1214C4"/>
    <w:rsid w:val="4C2A13AC"/>
    <w:rsid w:val="52392F70"/>
    <w:rsid w:val="52F220A8"/>
    <w:rsid w:val="581A7817"/>
    <w:rsid w:val="5B611B88"/>
    <w:rsid w:val="5CCF4138"/>
    <w:rsid w:val="67002597"/>
    <w:rsid w:val="69753FD3"/>
    <w:rsid w:val="6B483D8E"/>
    <w:rsid w:val="6EE81A6E"/>
    <w:rsid w:val="6F2411D6"/>
    <w:rsid w:val="701B22BE"/>
    <w:rsid w:val="71951A4B"/>
    <w:rsid w:val="72DA7865"/>
    <w:rsid w:val="75D04F7E"/>
    <w:rsid w:val="775E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等线 Light" w:hAnsi="等线 Light" w:eastAsia="等线 Light"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before="93" w:beforeLines="30"/>
    </w:pPr>
    <w:rPr>
      <w:rFonts w:ascii="仿宋_GB2312" w:eastAsia="仿宋_GB2312"/>
      <w:sz w:val="3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character" w:styleId="11">
    <w:name w:val="Strong"/>
    <w:basedOn w:val="10"/>
    <w:qFormat/>
    <w:uiPriority w:val="0"/>
    <w:rPr>
      <w:b/>
      <w:bCs/>
    </w:rPr>
  </w:style>
  <w:style w:type="character" w:styleId="12">
    <w:name w:val="page number"/>
    <w:basedOn w:val="10"/>
    <w:qFormat/>
    <w:uiPriority w:val="0"/>
  </w:style>
  <w:style w:type="character" w:styleId="13">
    <w:name w:val="Hyperlink"/>
    <w:unhideWhenUsed/>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收入预算结构图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上年结转</c:v>
                </c:pt>
                <c:pt idx="1">
                  <c:v>一般公共预算拨款收入</c:v>
                </c:pt>
              </c:strCache>
            </c:strRef>
          </c:cat>
          <c:val>
            <c:numRef>
              <c:f>Sheet1!$B$2:$B$3</c:f>
              <c:numCache>
                <c:formatCode>General</c:formatCode>
                <c:ptCount val="2"/>
                <c:pt idx="0">
                  <c:v>0</c:v>
                </c:pt>
                <c:pt idx="1">
                  <c:v>103.74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支出预算结构图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103.74</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19263238679969"/>
          <c:y val="0.100961334905352"/>
          <c:w val="0.927925"/>
          <c:h val="0.716566666666667"/>
        </c:manualLayout>
      </c:layout>
      <c:barChart>
        <c:barDir val="col"/>
        <c:grouping val="clustered"/>
        <c:varyColors val="0"/>
        <c:ser>
          <c:idx val="0"/>
          <c:order val="0"/>
          <c:tx>
            <c:strRef>
              <c:f>Sheet1!$B$1</c:f>
              <c:strCache>
                <c:ptCount val="1"/>
                <c:pt idx="0">
                  <c:v>财政拨款收支总预算变动情况</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87.98</c:v>
                </c:pt>
                <c:pt idx="1">
                  <c:v>103.74</c:v>
                </c:pt>
              </c:numCache>
            </c:numRef>
          </c:val>
        </c:ser>
        <c:dLbls>
          <c:showLegendKey val="0"/>
          <c:showVal val="1"/>
          <c:showCatName val="0"/>
          <c:showSerName val="0"/>
          <c:showPercent val="0"/>
          <c:showBubbleSize val="0"/>
        </c:dLbls>
        <c:gapWidth val="219"/>
        <c:overlap val="-27"/>
        <c:axId val="282452978"/>
        <c:axId val="754528641"/>
      </c:barChart>
      <c:catAx>
        <c:axId val="28245297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4528641"/>
        <c:crosses val="autoZero"/>
        <c:auto val="1"/>
        <c:lblAlgn val="ctr"/>
        <c:lblOffset val="100"/>
        <c:noMultiLvlLbl val="0"/>
      </c:catAx>
      <c:valAx>
        <c:axId val="75452864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2452978"/>
        <c:crosses val="autoZero"/>
        <c:crossBetween val="between"/>
      </c:valAx>
      <c:spPr>
        <a:noFill/>
        <a:ln>
          <a:noFill/>
        </a:ln>
        <a:effectLst/>
      </c:spPr>
    </c:plotArea>
    <c:legend>
      <c:legendPos val="b"/>
      <c:layout>
        <c:manualLayout>
          <c:xMode val="edge"/>
          <c:yMode val="edge"/>
          <c:x val="0.312816577129701"/>
          <c:y val="0.913146001179014"/>
          <c:w val="0.436991557943208"/>
          <c:h val="0.080958931027706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06836883571637"/>
          <c:y val="0.144170780062998"/>
          <c:w val="0.927925"/>
          <c:h val="0.716566666666667"/>
        </c:manualLayout>
      </c:layout>
      <c:barChart>
        <c:barDir val="col"/>
        <c:grouping val="clustered"/>
        <c:varyColors val="0"/>
        <c:ser>
          <c:idx val="0"/>
          <c:order val="0"/>
          <c:tx>
            <c:strRef>
              <c:f>Sheet1!$B$1</c:f>
              <c:strCache>
                <c:ptCount val="1"/>
                <c:pt idx="0">
                  <c:v>一般公共预算财政拨款支出预算变动情况</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87.98</c:v>
                </c:pt>
                <c:pt idx="1">
                  <c:v>103.74</c:v>
                </c:pt>
              </c:numCache>
            </c:numRef>
          </c:val>
        </c:ser>
        <c:dLbls>
          <c:showLegendKey val="0"/>
          <c:showVal val="1"/>
          <c:showCatName val="0"/>
          <c:showSerName val="0"/>
          <c:showPercent val="0"/>
          <c:showBubbleSize val="0"/>
        </c:dLbls>
        <c:gapWidth val="219"/>
        <c:overlap val="-27"/>
        <c:axId val="215334316"/>
        <c:axId val="914286904"/>
      </c:barChart>
      <c:catAx>
        <c:axId val="21533431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4286904"/>
        <c:crosses val="autoZero"/>
        <c:auto val="1"/>
        <c:lblAlgn val="ctr"/>
        <c:lblOffset val="100"/>
        <c:noMultiLvlLbl val="0"/>
      </c:catAx>
      <c:valAx>
        <c:axId val="914286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533431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一般公共预算财政拨款支出预算结构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社会保障和就业支出</c:v>
                </c:pt>
                <c:pt idx="1">
                  <c:v>卫生健康支出</c:v>
                </c:pt>
                <c:pt idx="2">
                  <c:v>住房保障支出</c:v>
                </c:pt>
              </c:strCache>
            </c:strRef>
          </c:cat>
          <c:val>
            <c:numRef>
              <c:f>Sheet1!$B$2:$B$4</c:f>
              <c:numCache>
                <c:formatCode>General</c:formatCode>
                <c:ptCount val="3"/>
                <c:pt idx="0">
                  <c:v>88.84</c:v>
                </c:pt>
                <c:pt idx="1">
                  <c:v>6.6</c:v>
                </c:pt>
                <c:pt idx="2">
                  <c:v>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因公出国（境）经费</c:v>
                </c:pt>
                <c:pt idx="1">
                  <c:v>公务接待费</c:v>
                </c:pt>
                <c:pt idx="2">
                  <c:v>公务用车购置及运行维护费</c:v>
                </c:pt>
              </c:strCache>
            </c:strRef>
          </c:cat>
          <c:val>
            <c:numRef>
              <c:f>Sheet1!$B$2:$B$4</c:f>
              <c:numCache>
                <c:formatCode>General</c:formatCode>
                <c:ptCount val="3"/>
                <c:pt idx="0">
                  <c:v>0</c:v>
                </c:pt>
                <c:pt idx="1">
                  <c:v>0.15</c:v>
                </c:pt>
                <c:pt idx="2">
                  <c:v>1.4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4276</Words>
  <Characters>4621</Characters>
  <Lines>0</Lines>
  <Paragraphs>0</Paragraphs>
  <TotalTime>40</TotalTime>
  <ScaleCrop>false</ScaleCrop>
  <LinksUpToDate>false</LinksUpToDate>
  <CharactersWithSpaces>4707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2022-04-20T00:57:00Z</cp:lastPrinted>
  <dcterms:modified xsi:type="dcterms:W3CDTF">2022-05-07T07:01:07Z</dcterms:modified>
  <dc:title>自贡市自流井区社会福利院（单位）2021年预算编制的说明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862296E1C9244D58BB2D8A7B4B71834F</vt:lpwstr>
  </property>
  <property fmtid="{D5CDD505-2E9C-101B-9397-08002B2CF9AE}" pid="4" name="commondata">
    <vt:lpwstr>eyJoZGlkIjoiNmFhNWI5NGY0YjgwZTBjZjAzMmFhNmQ4NTI5YjRhNTMifQ==</vt:lpwstr>
  </property>
</Properties>
</file>