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592" w:lineRule="exact"/>
        <w:jc w:val="center"/>
        <w:textAlignment w:val="auto"/>
        <w:rPr>
          <w:rFonts w:hint="default" w:ascii="Times New Roman" w:hAnsi="Times New Roman" w:cs="Times New Roman"/>
          <w:b/>
          <w:sz w:val="44"/>
          <w:szCs w:val="44"/>
        </w:rPr>
      </w:pPr>
      <w:r>
        <w:rPr>
          <w:rFonts w:hint="default" w:ascii="Times New Roman" w:hAnsi="Times New Roman" w:cs="Times New Roman"/>
          <w:b/>
          <w:sz w:val="44"/>
          <w:szCs w:val="44"/>
        </w:rPr>
        <w:t>自贡市</w:t>
      </w:r>
      <w:r>
        <w:rPr>
          <w:rFonts w:hint="default" w:ascii="Times New Roman" w:hAnsi="Times New Roman" w:cs="Times New Roman"/>
          <w:b/>
          <w:sz w:val="44"/>
          <w:szCs w:val="44"/>
          <w:lang w:eastAsia="zh-CN"/>
        </w:rPr>
        <w:t>自流井区人民政府五星街街道办事处</w:t>
      </w:r>
      <w:r>
        <w:rPr>
          <w:rFonts w:hint="eastAsia" w:cs="Times New Roman"/>
          <w:b/>
          <w:sz w:val="44"/>
          <w:szCs w:val="44"/>
          <w:lang w:eastAsia="zh-CN"/>
        </w:rPr>
        <w:t>（部门）</w:t>
      </w:r>
      <w:r>
        <w:rPr>
          <w:rFonts w:hint="default" w:ascii="Times New Roman" w:hAnsi="Times New Roman" w:cs="Times New Roman"/>
          <w:b/>
          <w:sz w:val="44"/>
          <w:szCs w:val="44"/>
        </w:rPr>
        <w:t>2022年预算编制的说明</w:t>
      </w:r>
    </w:p>
    <w:p>
      <w:pPr>
        <w:pageBreakBefore w:val="0"/>
        <w:widowControl/>
        <w:kinsoku/>
        <w:wordWrap/>
        <w:overflowPunct/>
        <w:topLinePunct w:val="0"/>
        <w:bidi w:val="0"/>
        <w:spacing w:line="592" w:lineRule="exact"/>
        <w:jc w:val="center"/>
        <w:textAlignment w:val="auto"/>
        <w:rPr>
          <w:rFonts w:hint="default" w:ascii="Times New Roman" w:hAnsi="Times New Roman" w:eastAsia="黑体" w:cs="Times New Roman"/>
          <w:color w:val="000000"/>
          <w:sz w:val="48"/>
          <w:szCs w:val="48"/>
        </w:rPr>
      </w:pPr>
    </w:p>
    <w:p>
      <w:pPr>
        <w:pageBreakBefore w:val="0"/>
        <w:widowControl/>
        <w:kinsoku/>
        <w:wordWrap/>
        <w:overflowPunct/>
        <w:topLinePunct w:val="0"/>
        <w:bidi w:val="0"/>
        <w:spacing w:line="592" w:lineRule="exact"/>
        <w:jc w:val="center"/>
        <w:textAlignment w:val="auto"/>
        <w:rPr>
          <w:rFonts w:hint="default" w:ascii="Times New Roman" w:hAnsi="Times New Roman" w:eastAsia="黑体" w:cs="Times New Roman"/>
          <w:color w:val="000000"/>
          <w:sz w:val="48"/>
          <w:szCs w:val="48"/>
        </w:rPr>
      </w:pPr>
      <w:bookmarkStart w:id="0" w:name="_Hlk72430755"/>
      <w:r>
        <w:rPr>
          <w:rFonts w:hint="default" w:ascii="Times New Roman" w:hAnsi="Times New Roman" w:eastAsia="黑体" w:cs="Times New Roman"/>
          <w:color w:val="000000"/>
          <w:sz w:val="48"/>
          <w:szCs w:val="48"/>
        </w:rPr>
        <w:t>目录</w:t>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TOC \o "1-3" \h \z \u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"_Toc72430477"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一、基本职能及主要工作</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_Toc72430477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- 3 -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"_Toc72430478"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（一）</w:t>
      </w:r>
      <w:r>
        <w:rPr>
          <w:rStyle w:val="19"/>
          <w:rFonts w:hint="default" w:ascii="Times New Roman" w:hAnsi="Times New Roman" w:eastAsia="仿宋_GB2312" w:cs="Times New Roman"/>
          <w:b w:val="0"/>
          <w:bCs w:val="0"/>
          <w:sz w:val="28"/>
          <w:szCs w:val="28"/>
          <w:lang w:eastAsia="zh-CN"/>
        </w:rPr>
        <w:t>五星街办事处</w:t>
      </w:r>
      <w:r>
        <w:rPr>
          <w:rStyle w:val="19"/>
          <w:rFonts w:hint="default" w:ascii="Times New Roman" w:hAnsi="Times New Roman" w:eastAsia="仿宋_GB2312" w:cs="Times New Roman"/>
          <w:b w:val="0"/>
          <w:bCs w:val="0"/>
          <w:sz w:val="28"/>
          <w:szCs w:val="28"/>
        </w:rPr>
        <w:t>职能简介。</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_Toc72430478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- 3 -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"_Toc72430479"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（二）</w:t>
      </w:r>
      <w:r>
        <w:rPr>
          <w:rStyle w:val="19"/>
          <w:rFonts w:hint="default" w:ascii="Times New Roman" w:hAnsi="Times New Roman" w:eastAsia="仿宋_GB2312" w:cs="Times New Roman"/>
          <w:b w:val="0"/>
          <w:bCs w:val="0"/>
          <w:sz w:val="28"/>
          <w:szCs w:val="28"/>
          <w:lang w:eastAsia="zh-CN"/>
        </w:rPr>
        <w:t>五星街办事处</w:t>
      </w:r>
      <w:r>
        <w:rPr>
          <w:rStyle w:val="19"/>
          <w:rFonts w:hint="default" w:ascii="Times New Roman" w:hAnsi="Times New Roman" w:eastAsia="仿宋_GB2312" w:cs="Times New Roman"/>
          <w:b w:val="0"/>
          <w:bCs w:val="0"/>
          <w:sz w:val="28"/>
          <w:szCs w:val="28"/>
        </w:rPr>
        <w:t>2022年重点工作。</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_Toc72430479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- 3 -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"_Toc72430480"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二、部门概况</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_Toc72430480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- 4 -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"_Toc72430481"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三、收支预算情况说明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_Toc72430481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- 5 -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"_Toc72430482"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（一）收入预算情况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_Toc72430482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- 5 -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"_Toc72430483"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（二）支出预算情况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_Toc72430483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- 5 -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"_Toc72430484"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四、财政拨款收支预算情况说明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_Toc72430484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- 6 -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"_Toc72430485"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五、一般公共预算当年拨款情况说明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_Toc72430485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- 7 -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"_Toc72430486"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（一）一般公共预算当年拨款规模变化情况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_Toc72430486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- 7 -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"_Toc72430487"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（二）一般公共预算当年拨款结构情况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_Toc72430487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- 7 -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"_Toc72430488"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（三）一般公共预算当年拨款具体使用情况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_Toc72430488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- 8 -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"_Toc72430489"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六、一般公共预算基本支出情况说明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_Toc72430489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- 9 -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"_Toc72430490"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七、“三公”经费财政拨款预算安排情况</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_Toc72430490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- 9 -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"_Toc72430491"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八、政府性基金预算支出情况说明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_Toc72430491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- 10 -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"_Toc72430492"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九、国有资本经营预算支出情况说明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_Toc72430492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- 11 -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"_Toc72430493"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十、其他重要事项的情况说明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_Toc72430493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- 11 -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"_Toc72430494"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（一）机关运行经费情况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_Toc72430494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- 11 -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"_Toc72430495"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（二）政府采购情况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_Toc72430495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- 11 -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"_Toc72430496"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（三）国有资产占有使用情况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_Toc72430496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- 11 -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"_Toc72430497"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（四）绩效目标设置情况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_Toc72430497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- 11 -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"_Toc72430498"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十一、名词解释</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_Toc72430498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- 12 -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ageBreakBefore w:val="0"/>
        <w:kinsoku/>
        <w:wordWrap/>
        <w:overflowPunct/>
        <w:topLinePunct w:val="0"/>
        <w:bidi w:val="0"/>
        <w:spacing w:line="592" w:lineRule="exact"/>
        <w:ind w:firstLine="2100" w:firstLineChars="750"/>
        <w:textAlignment w:val="auto"/>
        <w:rPr>
          <w:rFonts w:hint="default" w:ascii="Times New Roman" w:hAnsi="Times New Roman" w:cs="Times New Roman"/>
          <w:color w:val="FF0000"/>
          <w:szCs w:val="32"/>
        </w:rPr>
      </w:pPr>
      <w:r>
        <w:rPr>
          <w:rFonts w:hint="default" w:ascii="Times New Roman" w:hAnsi="Times New Roman" w:eastAsia="仿宋_GB2312" w:cs="Times New Roman"/>
          <w:sz w:val="28"/>
          <w:szCs w:val="28"/>
          <w:lang w:val="zh-CN"/>
        </w:rPr>
        <w:fldChar w:fldCharType="end"/>
      </w:r>
      <w:bookmarkEnd w:id="0"/>
      <w:bookmarkStart w:id="1" w:name="_Hlk72430788"/>
    </w:p>
    <w:bookmarkEnd w:id="1"/>
    <w:p>
      <w:pPr>
        <w:pageBreakBefore w:val="0"/>
        <w:kinsoku/>
        <w:wordWrap/>
        <w:overflowPunct/>
        <w:topLinePunct w:val="0"/>
        <w:bidi w:val="0"/>
        <w:spacing w:line="592" w:lineRule="exact"/>
        <w:textAlignment w:val="auto"/>
        <w:rPr>
          <w:rFonts w:hint="default" w:ascii="Times New Roman" w:hAnsi="Times New Roman" w:cs="Times New Roman"/>
          <w:sz w:val="30"/>
          <w:szCs w:val="30"/>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0"/>
          <w:szCs w:val="30"/>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Style w:val="3"/>
        <w:keepNext/>
        <w:keepLines w:val="0"/>
        <w:pageBreakBefore w:val="0"/>
        <w:widowControl w:val="0"/>
        <w:numPr>
          <w:ilvl w:val="0"/>
          <w:numId w:val="0"/>
        </w:numPr>
        <w:kinsoku/>
        <w:wordWrap/>
        <w:overflowPunct/>
        <w:topLinePunct w:val="0"/>
        <w:autoSpaceDE/>
        <w:autoSpaceDN/>
        <w:bidi w:val="0"/>
        <w:adjustRightInd/>
        <w:snapToGrid/>
        <w:spacing w:before="0" w:after="0" w:line="592" w:lineRule="exact"/>
        <w:jc w:val="left"/>
        <w:textAlignment w:val="auto"/>
        <w:rPr>
          <w:rFonts w:hint="default" w:ascii="Times New Roman" w:hAnsi="Times New Roman" w:eastAsia="黑体" w:cs="Times New Roman"/>
          <w:sz w:val="32"/>
          <w:szCs w:val="32"/>
        </w:rPr>
      </w:pPr>
      <w:bookmarkStart w:id="2" w:name="_Hlk72429058"/>
      <w:bookmarkStart w:id="3" w:name="_Toc72430477"/>
      <w:r>
        <w:rPr>
          <w:rFonts w:hint="default" w:ascii="Times New Roman" w:hAnsi="Times New Roman" w:eastAsia="黑体" w:cs="Times New Roman"/>
          <w:sz w:val="32"/>
          <w:szCs w:val="32"/>
          <w:lang w:eastAsia="zh-CN"/>
        </w:rPr>
        <w:t>一、</w:t>
      </w:r>
      <w:r>
        <w:rPr>
          <w:rFonts w:hint="default" w:ascii="Times New Roman" w:hAnsi="Times New Roman" w:eastAsia="黑体" w:cs="Times New Roman"/>
          <w:sz w:val="32"/>
          <w:szCs w:val="32"/>
        </w:rPr>
        <w:t>基本职能及主要工作</w:t>
      </w:r>
      <w:bookmarkEnd w:id="2"/>
      <w:bookmarkEnd w:id="3"/>
      <w:bookmarkStart w:id="4" w:name="_Toc72430478"/>
    </w:p>
    <w:p>
      <w:pPr>
        <w:pStyle w:val="3"/>
        <w:keepNext/>
        <w:keepLines w:val="0"/>
        <w:pageBreakBefore w:val="0"/>
        <w:widowControl w:val="0"/>
        <w:numPr>
          <w:ilvl w:val="0"/>
          <w:numId w:val="0"/>
        </w:numPr>
        <w:kinsoku/>
        <w:wordWrap/>
        <w:overflowPunct/>
        <w:topLinePunct w:val="0"/>
        <w:autoSpaceDE/>
        <w:autoSpaceDN/>
        <w:bidi w:val="0"/>
        <w:adjustRightInd/>
        <w:snapToGrid/>
        <w:spacing w:before="0" w:after="0" w:line="592" w:lineRule="exact"/>
        <w:ind w:firstLine="321" w:firstLineChars="100"/>
        <w:jc w:val="left"/>
        <w:textAlignment w:val="auto"/>
        <w:rPr>
          <w:rFonts w:hint="default" w:ascii="Times New Roman" w:hAnsi="Times New Roman" w:eastAsia="楷体_GB2312" w:cs="Times New Roman"/>
          <w:b/>
          <w:bCs/>
          <w:kern w:val="2"/>
          <w:sz w:val="32"/>
          <w:szCs w:val="30"/>
          <w:lang w:val="en-US" w:eastAsia="zh-CN" w:bidi="ar-SA"/>
        </w:rPr>
      </w:pPr>
      <w:r>
        <w:rPr>
          <w:rFonts w:hint="default" w:ascii="Times New Roman" w:hAnsi="Times New Roman" w:eastAsia="楷体_GB2312" w:cs="Times New Roman"/>
          <w:b/>
          <w:bCs/>
          <w:kern w:val="2"/>
          <w:sz w:val="32"/>
          <w:szCs w:val="30"/>
          <w:lang w:val="en-US" w:eastAsia="zh-CN" w:bidi="ar-SA"/>
        </w:rPr>
        <w:t>（一）五星街办事处职能简介</w:t>
      </w:r>
      <w:bookmarkEnd w:id="4"/>
    </w:p>
    <w:p>
      <w:pPr>
        <w:keepLines w:val="0"/>
        <w:pageBreakBefore w:val="0"/>
        <w:widowControl w:val="0"/>
        <w:kinsoku/>
        <w:wordWrap/>
        <w:overflowPunct/>
        <w:topLinePunct w:val="0"/>
        <w:autoSpaceDE/>
        <w:autoSpaceDN/>
        <w:bidi w:val="0"/>
        <w:spacing w:line="592" w:lineRule="exact"/>
        <w:ind w:firstLine="640" w:firstLineChars="200"/>
        <w:jc w:val="left"/>
        <w:textAlignment w:val="auto"/>
        <w:rPr>
          <w:rFonts w:hint="default" w:ascii="Times New Roman" w:hAnsi="Times New Roman" w:cs="Times New Roman"/>
          <w:sz w:val="32"/>
          <w:szCs w:val="32"/>
        </w:rPr>
      </w:pPr>
      <w:bookmarkStart w:id="5" w:name="_Toc72430479"/>
      <w:r>
        <w:rPr>
          <w:rFonts w:hint="default" w:ascii="Times New Roman" w:hAnsi="Times New Roman" w:eastAsia="仿宋_GB2312" w:cs="Times New Roman"/>
          <w:sz w:val="32"/>
          <w:szCs w:val="32"/>
        </w:rPr>
        <w:t>在区委、区政府的领导下，贯彻执行党路线、方针、政策和国家的各项法律、法规;负责街辖区内的地区性、群众性、公益性、社会性工作。按照职责范围，负责街辖区内的城市建设和管理、市容环境卫生等服务工作。负责民事调解，法律服务工作，维护居民的合法权益。发展街道经济，管理街道自有国有资产和集体资产，为街道经济组织提供人才、科技、信息和各种服务，以经济、法律和必要的行政手段推动街道经济发展和维护市场经济秩序。配合有关部门做好防汛、防风、防火、防震、防灾和抢险工作。向区人民政府反映居民群众的意见和要求，办理人民群众来信来访事项。承办区委、区政府和上级部门交办的其他事项。</w:t>
      </w:r>
    </w:p>
    <w:p>
      <w:pPr>
        <w:pStyle w:val="2"/>
        <w:keepNext w:val="0"/>
        <w:keepLines w:val="0"/>
        <w:pageBreakBefore w:val="0"/>
        <w:widowControl w:val="0"/>
        <w:kinsoku/>
        <w:wordWrap/>
        <w:overflowPunct/>
        <w:topLinePunct w:val="0"/>
        <w:autoSpaceDE/>
        <w:autoSpaceDN/>
        <w:bidi w:val="0"/>
        <w:adjustRightInd w:val="0"/>
        <w:snapToGrid w:val="0"/>
        <w:spacing w:before="0" w:beforeLines="0" w:line="592" w:lineRule="exact"/>
        <w:ind w:firstLine="321" w:firstLineChars="100"/>
        <w:textAlignment w:val="auto"/>
        <w:outlineLvl w:val="1"/>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（二）五星街办事处2022年重点工作</w:t>
      </w:r>
      <w:bookmarkEnd w:id="5"/>
    </w:p>
    <w:p>
      <w:pPr>
        <w:keepNext w:val="0"/>
        <w:keepLines w:val="0"/>
        <w:pageBreakBefore w:val="0"/>
        <w:widowControl w:val="0"/>
        <w:kinsoku/>
        <w:wordWrap/>
        <w:overflowPunct/>
        <w:topLinePunct w:val="0"/>
        <w:autoSpaceDE/>
        <w:autoSpaceDN/>
        <w:bidi w:val="0"/>
        <w:adjustRightInd/>
        <w:snapToGrid w:val="0"/>
        <w:spacing w:line="592"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val="0"/>
          <w:bCs w:val="0"/>
          <w:sz w:val="32"/>
          <w:szCs w:val="32"/>
          <w:lang w:val="en-US" w:eastAsia="zh-CN"/>
        </w:rPr>
        <w:t>1.创新</w:t>
      </w:r>
      <w:r>
        <w:rPr>
          <w:rFonts w:hint="default" w:ascii="Times New Roman" w:hAnsi="Times New Roman" w:eastAsia="仿宋_GB2312" w:cs="Times New Roman"/>
          <w:b w:val="0"/>
          <w:bCs w:val="0"/>
          <w:sz w:val="32"/>
          <w:szCs w:val="32"/>
        </w:rPr>
        <w:t>党建引领，深化服务意识</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sz w:val="32"/>
          <w:szCs w:val="32"/>
        </w:rPr>
        <w:t>坚持“党要管党、从严治党”思想，强化党建工作考核结果运用。</w:t>
      </w:r>
      <w:r>
        <w:rPr>
          <w:rFonts w:hint="default" w:ascii="Times New Roman" w:hAnsi="Times New Roman" w:eastAsia="仿宋_GB2312" w:cs="Times New Roman"/>
          <w:b w:val="0"/>
          <w:bCs w:val="0"/>
          <w:sz w:val="32"/>
          <w:szCs w:val="32"/>
          <w:lang w:val="en-US" w:eastAsia="zh-CN"/>
        </w:rPr>
        <w:t>紧握“老旧小区改造”契机，</w:t>
      </w:r>
      <w:r>
        <w:rPr>
          <w:rFonts w:hint="default" w:ascii="Times New Roman" w:hAnsi="Times New Roman" w:eastAsia="仿宋_GB2312" w:cs="Times New Roman"/>
          <w:sz w:val="32"/>
          <w:szCs w:val="32"/>
        </w:rPr>
        <w:t>坚持</w:t>
      </w:r>
      <w:r>
        <w:rPr>
          <w:rFonts w:hint="default" w:ascii="Times New Roman" w:hAnsi="Times New Roman" w:eastAsia="仿宋_GB2312" w:cs="Times New Roman"/>
          <w:sz w:val="32"/>
          <w:szCs w:val="32"/>
          <w:lang w:val="en-US" w:eastAsia="zh-CN"/>
        </w:rPr>
        <w:t>基层党建</w:t>
      </w:r>
      <w:r>
        <w:rPr>
          <w:rFonts w:hint="default" w:ascii="Times New Roman" w:hAnsi="Times New Roman" w:eastAsia="仿宋_GB2312" w:cs="Times New Roman"/>
          <w:sz w:val="32"/>
          <w:szCs w:val="32"/>
        </w:rPr>
        <w:t>创新实践，加快基层治理体系和治理能力现代化进程</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强组织、激热情、聚群力、谋长远，</w:t>
      </w:r>
      <w:r>
        <w:rPr>
          <w:rFonts w:hint="default" w:ascii="Times New Roman" w:hAnsi="Times New Roman" w:eastAsia="仿宋_GB2312" w:cs="Times New Roman"/>
          <w:sz w:val="32"/>
          <w:szCs w:val="32"/>
        </w:rPr>
        <w:t>让小区党建融入小区治理</w:t>
      </w:r>
      <w:r>
        <w:rPr>
          <w:rFonts w:hint="default" w:ascii="Times New Roman" w:hAnsi="Times New Roman" w:eastAsia="仿宋_GB2312" w:cs="Times New Roman"/>
          <w:sz w:val="32"/>
          <w:szCs w:val="32"/>
          <w:lang w:val="en-US" w:eastAsia="zh-CN"/>
        </w:rPr>
        <w:t>继续激发群众热情，着力打造“共建、共治、共享”的社会治理新格局。着力</w:t>
      </w:r>
      <w:r>
        <w:rPr>
          <w:rFonts w:hint="default" w:ascii="Times New Roman" w:hAnsi="Times New Roman" w:eastAsia="仿宋_GB2312" w:cs="Times New Roman"/>
          <w:sz w:val="32"/>
          <w:szCs w:val="32"/>
        </w:rPr>
        <w:t>党建引领商圈，借鉴周边商圈党委先进经验，</w:t>
      </w:r>
      <w:r>
        <w:rPr>
          <w:rFonts w:hint="default" w:ascii="Times New Roman" w:hAnsi="Times New Roman" w:eastAsia="仿宋_GB2312" w:cs="Times New Roman"/>
          <w:sz w:val="32"/>
          <w:szCs w:val="32"/>
          <w:lang w:val="en-US" w:eastAsia="zh-CN"/>
        </w:rPr>
        <w:t>发挥</w:t>
      </w:r>
      <w:r>
        <w:rPr>
          <w:rFonts w:hint="default" w:ascii="Times New Roman" w:hAnsi="Times New Roman" w:eastAsia="仿宋_GB2312" w:cs="Times New Roman"/>
          <w:sz w:val="32"/>
          <w:szCs w:val="32"/>
        </w:rPr>
        <w:t>东方广场特色，发挥好功能性党委促进作用，促进东方广场商圈</w:t>
      </w:r>
      <w:r>
        <w:rPr>
          <w:rFonts w:hint="default" w:ascii="Times New Roman" w:hAnsi="Times New Roman" w:eastAsia="仿宋_GB2312" w:cs="Times New Roman"/>
          <w:sz w:val="32"/>
          <w:szCs w:val="32"/>
          <w:lang w:val="en-US" w:eastAsia="zh-CN"/>
        </w:rPr>
        <w:t>融入</w:t>
      </w:r>
      <w:r>
        <w:rPr>
          <w:rFonts w:hint="default" w:ascii="Times New Roman" w:hAnsi="Times New Roman" w:eastAsia="仿宋_GB2312" w:cs="Times New Roman"/>
          <w:b w:val="0"/>
          <w:i w:val="0"/>
          <w:caps w:val="0"/>
          <w:smallCaps w:val="0"/>
          <w:color w:val="auto"/>
          <w:spacing w:val="12"/>
          <w:kern w:val="2"/>
          <w:sz w:val="32"/>
          <w:szCs w:val="32"/>
          <w:lang w:val="en-US" w:eastAsia="zh-CN" w:bidi="ar-SA"/>
        </w:rPr>
        <w:t>“筑三圈建双城”</w:t>
      </w:r>
      <w:r>
        <w:rPr>
          <w:rFonts w:hint="default" w:ascii="Times New Roman" w:hAnsi="Times New Roman" w:eastAsia="仿宋_GB2312" w:cs="Times New Roman"/>
          <w:sz w:val="32"/>
          <w:szCs w:val="32"/>
          <w:lang w:val="en-US" w:eastAsia="zh-CN"/>
        </w:rPr>
        <w:t>布局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b w:val="0"/>
          <w:bCs w:val="0"/>
          <w:sz w:val="32"/>
          <w:szCs w:val="32"/>
        </w:rPr>
        <w:t>把握</w:t>
      </w:r>
      <w:r>
        <w:rPr>
          <w:rFonts w:hint="default" w:ascii="Times New Roman" w:hAnsi="Times New Roman" w:eastAsia="仿宋_GB2312" w:cs="Times New Roman"/>
          <w:b w:val="0"/>
          <w:bCs w:val="0"/>
          <w:sz w:val="32"/>
          <w:szCs w:val="32"/>
          <w:lang w:val="en-US" w:eastAsia="zh-CN"/>
        </w:rPr>
        <w:t>改造</w:t>
      </w:r>
      <w:r>
        <w:rPr>
          <w:rFonts w:hint="default" w:ascii="Times New Roman" w:hAnsi="Times New Roman" w:eastAsia="仿宋_GB2312" w:cs="Times New Roman"/>
          <w:b w:val="0"/>
          <w:bCs w:val="0"/>
          <w:sz w:val="32"/>
          <w:szCs w:val="32"/>
        </w:rPr>
        <w:t>契机，改善城区风貌</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深入贯彻区</w:t>
      </w:r>
      <w:r>
        <w:rPr>
          <w:rFonts w:hint="default" w:ascii="Times New Roman" w:hAnsi="Times New Roman" w:eastAsia="仿宋_GB2312" w:cs="Times New Roman"/>
          <w:b w:val="0"/>
          <w:bCs w:val="0"/>
          <w:color w:val="auto"/>
          <w:spacing w:val="0"/>
          <w:kern w:val="0"/>
          <w:sz w:val="32"/>
          <w:szCs w:val="32"/>
          <w:lang w:val="en-US" w:eastAsia="zh-CN"/>
        </w:rPr>
        <w:t>第十二届党代会提出的高质量筑牢主城功能核心圈</w:t>
      </w:r>
      <w:r>
        <w:rPr>
          <w:rFonts w:hint="default" w:ascii="Times New Roman" w:hAnsi="Times New Roman" w:eastAsia="仿宋_GB2312" w:cs="Times New Roman"/>
          <w:b w:val="0"/>
          <w:bCs w:val="0"/>
          <w:sz w:val="32"/>
          <w:szCs w:val="32"/>
        </w:rPr>
        <w:t>，</w:t>
      </w:r>
      <w:r>
        <w:rPr>
          <w:rStyle w:val="24"/>
          <w:rFonts w:hint="default" w:ascii="Times New Roman" w:hAnsi="Times New Roman" w:eastAsia="仿宋_GB2312" w:cs="Times New Roman"/>
          <w:b w:val="0"/>
          <w:bCs w:val="0"/>
          <w:color w:val="auto"/>
          <w:sz w:val="32"/>
          <w:szCs w:val="32"/>
          <w:u w:val="none" w:color="FFFFFF"/>
          <w:lang w:val="en-US" w:eastAsia="zh-CN"/>
        </w:rPr>
        <w:t>加快老旧小区改造项目推进，</w:t>
      </w:r>
      <w:r>
        <w:rPr>
          <w:rStyle w:val="24"/>
          <w:rFonts w:hint="default" w:ascii="Times New Roman" w:hAnsi="Times New Roman" w:eastAsia="仿宋_GB2312" w:cs="Times New Roman"/>
          <w:b w:val="0"/>
          <w:bCs w:val="0"/>
          <w:i w:val="0"/>
          <w:caps w:val="0"/>
          <w:color w:val="auto"/>
          <w:spacing w:val="0"/>
          <w:w w:val="100"/>
          <w:sz w:val="32"/>
          <w:szCs w:val="32"/>
          <w:highlight w:val="none"/>
          <w:lang w:val="en-US" w:eastAsia="zh-CN"/>
        </w:rPr>
        <w:t>积极推动五星街特色街区打造、五星街农贸市场升级改造、彩灯公园改造升级等项目尽快启动实施</w:t>
      </w:r>
      <w:r>
        <w:rPr>
          <w:rFonts w:hint="default" w:ascii="Times New Roman" w:hAnsi="Times New Roman" w:eastAsia="仿宋_GB2312" w:cs="Times New Roman"/>
          <w:b w:val="0"/>
          <w:bCs w:val="0"/>
          <w:sz w:val="32"/>
          <w:szCs w:val="32"/>
          <w:highlight w:val="none"/>
          <w:lang w:val="en-US" w:eastAsia="zh-CN"/>
        </w:rPr>
        <w:t>，提升城市活力</w:t>
      </w:r>
      <w:r>
        <w:rPr>
          <w:rStyle w:val="24"/>
          <w:rFonts w:hint="default" w:ascii="Times New Roman" w:hAnsi="Times New Roman" w:eastAsia="仿宋_GB2312" w:cs="Times New Roman"/>
          <w:b w:val="0"/>
          <w:bCs w:val="0"/>
          <w:color w:val="auto"/>
          <w:sz w:val="32"/>
          <w:szCs w:val="32"/>
          <w:u w:val="none" w:color="FFFFFF"/>
          <w:lang w:val="en-US" w:eastAsia="zh-CN"/>
        </w:rPr>
        <w:t>重塑文化根魂、丰富新兴业态，</w:t>
      </w:r>
      <w:r>
        <w:rPr>
          <w:rStyle w:val="24"/>
          <w:rFonts w:hint="default" w:ascii="Times New Roman" w:hAnsi="Times New Roman" w:eastAsia="仿宋_GB2312" w:cs="Times New Roman"/>
          <w:b w:val="0"/>
          <w:bCs w:val="0"/>
          <w:color w:val="auto"/>
          <w:sz w:val="32"/>
          <w:szCs w:val="32"/>
          <w:u w:val="none" w:color="FFFFFF"/>
        </w:rPr>
        <w:t>推进老城复兴</w:t>
      </w:r>
      <w:r>
        <w:rPr>
          <w:rStyle w:val="24"/>
          <w:rFonts w:hint="default" w:ascii="Times New Roman" w:hAnsi="Times New Roman" w:eastAsia="仿宋_GB2312" w:cs="Times New Roman"/>
          <w:b w:val="0"/>
          <w:bCs w:val="0"/>
          <w:color w:val="auto"/>
          <w:sz w:val="32"/>
          <w:szCs w:val="32"/>
          <w:u w:val="none" w:color="FFFFFF"/>
          <w:lang w:val="en-US" w:eastAsia="zh-CN"/>
        </w:rPr>
        <w:t>。</w:t>
      </w:r>
      <w:r>
        <w:rPr>
          <w:rFonts w:hint="default" w:ascii="Times New Roman" w:hAnsi="Times New Roman" w:eastAsia="仿宋_GB2312" w:cs="Times New Roman"/>
          <w:b w:val="0"/>
          <w:bCs w:val="0"/>
          <w:sz w:val="32"/>
          <w:szCs w:val="32"/>
        </w:rPr>
        <w:t>强力推进“六乱”治理工程，重点抓好占道经营取缔、乱张乱贴清除、背街小巷清扫、违章建筑拆除及农贸市场周边环境整治等工作。</w:t>
      </w:r>
      <w:r>
        <w:rPr>
          <w:rFonts w:hint="default" w:ascii="Times New Roman" w:hAnsi="Times New Roman" w:eastAsia="仿宋_GB2312" w:cs="Times New Roman"/>
          <w:b w:val="0"/>
          <w:bCs w:val="0"/>
          <w:sz w:val="32"/>
          <w:szCs w:val="32"/>
          <w:lang w:val="en-US" w:eastAsia="zh-CN"/>
        </w:rPr>
        <w:t>3.</w:t>
      </w:r>
      <w:r>
        <w:rPr>
          <w:rFonts w:hint="default" w:ascii="Times New Roman" w:hAnsi="Times New Roman" w:eastAsia="仿宋_GB2312" w:cs="Times New Roman"/>
          <w:b w:val="0"/>
          <w:bCs w:val="0"/>
          <w:sz w:val="32"/>
          <w:szCs w:val="32"/>
        </w:rPr>
        <w:t>科学民主管理，维护社会和谐</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进一步健全应急管理机制和治安防控体系，提高</w:t>
      </w:r>
      <w:r>
        <w:rPr>
          <w:rFonts w:hint="default" w:ascii="Times New Roman" w:hAnsi="Times New Roman" w:eastAsia="仿宋_GB2312" w:cs="Times New Roman"/>
          <w:b w:val="0"/>
          <w:bCs w:val="0"/>
        </w:rPr>
        <w:fldChar w:fldCharType="begin"/>
      </w:r>
      <w:r>
        <w:rPr>
          <w:rFonts w:hint="default" w:ascii="Times New Roman" w:hAnsi="Times New Roman" w:eastAsia="仿宋_GB2312" w:cs="Times New Roman"/>
          <w:b w:val="0"/>
          <w:bCs w:val="0"/>
        </w:rPr>
        <w:instrText xml:space="preserve"> HYPERLINK "http://www.baidu.com/s?wd=%E7%BE%A4%E4%BC%97%E5%B7%A5%E4%BD%9C&amp;hl_tag=textlink&amp;tn=SE_hldp01350_v6v6zkg6" \t "http://zhidao.baidu.com/_blank" </w:instrText>
      </w:r>
      <w:r>
        <w:rPr>
          <w:rFonts w:hint="default" w:ascii="Times New Roman" w:hAnsi="Times New Roman" w:eastAsia="仿宋_GB2312" w:cs="Times New Roman"/>
          <w:b w:val="0"/>
          <w:bCs w:val="0"/>
        </w:rPr>
        <w:fldChar w:fldCharType="separate"/>
      </w:r>
      <w:r>
        <w:rPr>
          <w:rFonts w:hint="default" w:ascii="Times New Roman" w:hAnsi="Times New Roman" w:eastAsia="仿宋_GB2312" w:cs="Times New Roman"/>
          <w:b w:val="0"/>
          <w:bCs w:val="0"/>
          <w:sz w:val="32"/>
          <w:szCs w:val="32"/>
        </w:rPr>
        <w:t>群众工作</w:t>
      </w:r>
      <w:r>
        <w:rPr>
          <w:rFonts w:hint="default" w:ascii="Times New Roman" w:hAnsi="Times New Roman" w:eastAsia="仿宋_GB2312" w:cs="Times New Roman"/>
          <w:b w:val="0"/>
          <w:bCs w:val="0"/>
          <w:sz w:val="32"/>
          <w:szCs w:val="32"/>
        </w:rPr>
        <w:fldChar w:fldCharType="end"/>
      </w:r>
      <w:r>
        <w:rPr>
          <w:rFonts w:hint="default" w:ascii="Times New Roman" w:hAnsi="Times New Roman" w:eastAsia="仿宋_GB2312" w:cs="Times New Roman"/>
          <w:b w:val="0"/>
          <w:bCs w:val="0"/>
          <w:sz w:val="32"/>
          <w:szCs w:val="32"/>
        </w:rPr>
        <w:t>和网格化管理水平。以网格化的方式继续整合社区资源，加强社区“院落自治”，</w:t>
      </w:r>
      <w:r>
        <w:rPr>
          <w:rFonts w:hint="default" w:ascii="Times New Roman" w:hAnsi="Times New Roman" w:eastAsia="仿宋_GB2312" w:cs="Times New Roman"/>
          <w:b w:val="0"/>
          <w:bCs w:val="0"/>
          <w:sz w:val="32"/>
          <w:szCs w:val="32"/>
          <w:lang w:val="en-US" w:eastAsia="zh-CN"/>
        </w:rPr>
        <w:t>加强网格员业务培训，完成社会心理化服务体系建设目标，</w:t>
      </w:r>
      <w:r>
        <w:rPr>
          <w:rFonts w:hint="default" w:ascii="Times New Roman" w:hAnsi="Times New Roman" w:eastAsia="仿宋_GB2312" w:cs="Times New Roman"/>
          <w:b w:val="0"/>
          <w:bCs w:val="0"/>
          <w:sz w:val="32"/>
          <w:szCs w:val="32"/>
        </w:rPr>
        <w:t>实现“缩小管理范围、增加管理内容、提高管理效率”的精细化管理模式，进一步促进辖区社会安定有序、和谐稳定。</w:t>
      </w: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统筹社会事务，着力改善民生</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积极为居民提供较为完备的生活服务、劳动就业服务、医疗卫生和计划生育服务、居住安全服务</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进一步创新措施</w:t>
      </w:r>
      <w:r>
        <w:rPr>
          <w:rFonts w:hint="default" w:ascii="Times New Roman" w:hAnsi="Times New Roman" w:eastAsia="仿宋_GB2312" w:cs="Times New Roman"/>
          <w:bCs/>
          <w:sz w:val="32"/>
          <w:szCs w:val="32"/>
        </w:rPr>
        <w:t>推进居民自治，切实做到居民学有所教、劳有所得、病有所医、老有所养、住有所居，促进经济社会协调发展，形成人民幸福安康、社会和谐进步的良好局面。</w:t>
      </w:r>
      <w:bookmarkStart w:id="6" w:name="_Toc72430480"/>
    </w:p>
    <w:p>
      <w:pPr>
        <w:keepNext w:val="0"/>
        <w:keepLines w:val="0"/>
        <w:pageBreakBefore w:val="0"/>
        <w:widowControl w:val="0"/>
        <w:kinsoku/>
        <w:wordWrap/>
        <w:overflowPunct/>
        <w:topLinePunct w:val="0"/>
        <w:autoSpaceDE/>
        <w:autoSpaceDN/>
        <w:bidi w:val="0"/>
        <w:adjustRightInd/>
        <w:snapToGrid w:val="0"/>
        <w:spacing w:line="592"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二、部门概况</w:t>
      </w:r>
      <w:bookmarkEnd w:id="6"/>
    </w:p>
    <w:p>
      <w:pPr>
        <w:pStyle w:val="2"/>
        <w:keepNext w:val="0"/>
        <w:keepLines w:val="0"/>
        <w:pageBreakBefore w:val="0"/>
        <w:widowControl w:val="0"/>
        <w:kinsoku/>
        <w:wordWrap/>
        <w:overflowPunct/>
        <w:topLinePunct w:val="0"/>
        <w:autoSpaceDE/>
        <w:autoSpaceDN/>
        <w:bidi w:val="0"/>
        <w:adjustRightInd w:val="0"/>
        <w:snapToGrid w:val="0"/>
        <w:spacing w:before="0" w:beforeLines="0" w:line="592" w:lineRule="exact"/>
        <w:ind w:firstLine="672" w:firstLineChars="210"/>
        <w:textAlignment w:val="auto"/>
        <w:rPr>
          <w:rFonts w:hint="default" w:ascii="Times New Roman" w:hAnsi="Times New Roman" w:cs="Times New Roman"/>
          <w:sz w:val="32"/>
          <w:szCs w:val="32"/>
        </w:rPr>
      </w:pPr>
      <w:r>
        <w:rPr>
          <w:rFonts w:hint="default" w:ascii="Times New Roman" w:hAnsi="Times New Roman" w:cs="Times New Roman"/>
          <w:sz w:val="32"/>
          <w:szCs w:val="32"/>
        </w:rPr>
        <w:t>自贡市自流井区人民政府五星街街道办事处</w:t>
      </w:r>
      <w:r>
        <w:rPr>
          <w:rFonts w:hint="eastAsia" w:ascii="Times New Roman" w:cs="Times New Roman"/>
          <w:sz w:val="32"/>
          <w:szCs w:val="32"/>
          <w:lang w:eastAsia="zh-CN"/>
        </w:rPr>
        <w:t>（部门）</w:t>
      </w:r>
      <w:r>
        <w:rPr>
          <w:rFonts w:hint="default" w:ascii="Times New Roman" w:hAnsi="Times New Roman" w:cs="Times New Roman"/>
          <w:sz w:val="32"/>
          <w:szCs w:val="32"/>
        </w:rPr>
        <w:t>下属二级预算单位0个，其中行政单位0个，参照公务员法管理的事业单位</w:t>
      </w:r>
      <w:r>
        <w:rPr>
          <w:rFonts w:hint="default" w:ascii="Times New Roman" w:hAnsi="Times New Roman" w:cs="Times New Roman"/>
          <w:bCs/>
          <w:sz w:val="32"/>
          <w:szCs w:val="32"/>
        </w:rPr>
        <w:t>0</w:t>
      </w:r>
      <w:r>
        <w:rPr>
          <w:rFonts w:hint="default" w:ascii="Times New Roman" w:hAnsi="Times New Roman" w:cs="Times New Roman"/>
          <w:sz w:val="32"/>
          <w:szCs w:val="32"/>
        </w:rPr>
        <w:t>个，其他事业单位0个。</w:t>
      </w:r>
    </w:p>
    <w:p>
      <w:pPr>
        <w:pStyle w:val="3"/>
        <w:keepNext/>
        <w:keepLines w:val="0"/>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sz w:val="32"/>
          <w:szCs w:val="32"/>
        </w:rPr>
      </w:pPr>
      <w:bookmarkStart w:id="7" w:name="_Toc72430481"/>
      <w:r>
        <w:rPr>
          <w:rFonts w:hint="default" w:ascii="Times New Roman" w:hAnsi="Times New Roman" w:eastAsia="黑体" w:cs="Times New Roman"/>
          <w:sz w:val="32"/>
          <w:szCs w:val="32"/>
        </w:rPr>
        <w:t>三、收支预算情况说明</w:t>
      </w:r>
      <w:bookmarkEnd w:id="7"/>
    </w:p>
    <w:p>
      <w:pPr>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综合预算的原则，自贡市自流井区人民政府五星街街道办事处所有收入和支出均纳入部门预算管理。收入包括：一般公共预算拨款收入、上年结转、政府性基金收入；支出包括：一般公共服务支出、教育支出、社会保障和就业支出、医疗卫生与计划生育支出、住房保障支出等。自贡市自流井区人民政府五星街街道办事处2022年收支总预算607.84万元，比2021年收支预算总数增加35.91万元，主要原因是社区两委干部生活补助提高，基本医疗和养老保险基本缴费标准提升。</w:t>
      </w:r>
    </w:p>
    <w:p>
      <w:pPr>
        <w:pStyle w:val="4"/>
        <w:keepNext/>
        <w:keepLines w:val="0"/>
        <w:pageBreakBefore w:val="0"/>
        <w:widowControl w:val="0"/>
        <w:kinsoku/>
        <w:wordWrap/>
        <w:overflowPunct/>
        <w:topLinePunct w:val="0"/>
        <w:autoSpaceDE/>
        <w:autoSpaceDN/>
        <w:bidi w:val="0"/>
        <w:adjustRightInd/>
        <w:snapToGrid/>
        <w:spacing w:before="0" w:after="0" w:line="592" w:lineRule="exact"/>
        <w:ind w:firstLine="643" w:firstLineChars="200"/>
        <w:jc w:val="left"/>
        <w:textAlignment w:val="auto"/>
        <w:rPr>
          <w:rFonts w:hint="default" w:ascii="Times New Roman" w:hAnsi="Times New Roman" w:eastAsia="楷体_GB2312" w:cs="Times New Roman"/>
          <w:b/>
          <w:bCs/>
        </w:rPr>
      </w:pPr>
      <w:bookmarkStart w:id="8" w:name="_Toc72430482"/>
      <w:r>
        <w:rPr>
          <w:rFonts w:hint="default" w:ascii="Times New Roman" w:hAnsi="Times New Roman" w:eastAsia="楷体_GB2312" w:cs="Times New Roman"/>
          <w:b/>
          <w:bCs/>
        </w:rPr>
        <w:t>（一）收入预算情况</w:t>
      </w:r>
      <w:bookmarkEnd w:id="8"/>
    </w:p>
    <w:p>
      <w:pPr>
        <w:keepLines w:val="0"/>
        <w:pageBreakBefore w:val="0"/>
        <w:widowControl w:val="0"/>
        <w:kinsoku/>
        <w:wordWrap/>
        <w:overflowPunct/>
        <w:topLinePunct w:val="0"/>
        <w:autoSpaceDE/>
        <w:autoSpaceDN/>
        <w:bidi w:val="0"/>
        <w:adjustRightInd/>
        <w:snapToGrid/>
        <w:spacing w:line="592" w:lineRule="exact"/>
        <w:ind w:firstLine="645"/>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自贡市自流井区人民政府五星街街道办事处2022年收入预算607.84万元，其中：上年结转0万元，占0%；一般公共预算拨款收入607.84万元，占100%。</w:t>
      </w:r>
    </w:p>
    <w:p>
      <w:pPr>
        <w:pStyle w:val="14"/>
        <w:pageBreakBefore w:val="0"/>
        <w:widowControl w:val="0"/>
        <w:kinsoku/>
        <w:wordWrap/>
        <w:overflowPunct/>
        <w:topLinePunct w:val="0"/>
        <w:autoSpaceDE/>
        <w:autoSpaceDN/>
        <w:bidi w:val="0"/>
        <w:spacing w:line="592" w:lineRule="exact"/>
        <w:ind w:left="0" w:leftChars="0" w:firstLine="0" w:firstLineChars="0"/>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pict>
          <v:shape id="Object 2" o:spid="_x0000_s2050" o:spt="75" type="#_x0000_t75" style="position:absolute;left:0pt;margin-left:89.4pt;margin-top:0.75pt;height:136.7pt;width:264.2pt;mso-wrap-distance-left:9pt;mso-wrap-distance-right:9pt;z-index:-251657216;mso-width-relative:page;mso-height-relative:page;" o:ole="t" filled="f" o:preferrelative="t" stroked="f" coordsize="21600,21600" wrapcoords="21592 -2 0 0 0 21599 21592 21601 8 21601 21600 21599 21600 0 8 -2 21592 -2">
            <v:path/>
            <v:fill on="f" focussize="0,0"/>
            <v:stroke on="f"/>
            <v:imagedata r:id="rId7" o:title=""/>
            <o:lock v:ext="edit" aspectratio="t"/>
            <v:shadow on="t" obscured="f" color="#FFFFFF" opacity="65536f" offset="2pt,2pt" offset2="-2pt,-2pt" origin="0f,0f" matrix="65536f,0f,0f,65536f,0,0"/>
            <w10:wrap type="tight"/>
          </v:shape>
          <o:OLEObject Type="Embed" ProgID="Excel.Chart.8" ShapeID="Object 2" DrawAspect="Content" ObjectID="_1468075725" r:id="rId6">
            <o:LockedField>false</o:LockedField>
          </o:OLEObject>
        </w:pict>
      </w:r>
    </w:p>
    <w:p>
      <w:pPr>
        <w:pStyle w:val="14"/>
        <w:pageBreakBefore w:val="0"/>
        <w:widowControl w:val="0"/>
        <w:kinsoku/>
        <w:wordWrap/>
        <w:overflowPunct/>
        <w:topLinePunct w:val="0"/>
        <w:autoSpaceDE/>
        <w:autoSpaceDN/>
        <w:bidi w:val="0"/>
        <w:spacing w:line="592" w:lineRule="exact"/>
        <w:textAlignment w:val="auto"/>
        <w:rPr>
          <w:rFonts w:hint="default" w:ascii="Times New Roman" w:hAnsi="Times New Roman" w:eastAsia="仿宋_GB2312" w:cs="Times New Roman"/>
          <w:sz w:val="32"/>
          <w:szCs w:val="32"/>
        </w:rPr>
      </w:pPr>
    </w:p>
    <w:p>
      <w:pPr>
        <w:pageBreakBefore w:val="0"/>
        <w:widowControl w:val="0"/>
        <w:kinsoku/>
        <w:wordWrap/>
        <w:overflowPunct/>
        <w:topLinePunct w:val="0"/>
        <w:autoSpaceDE/>
        <w:autoSpaceDN/>
        <w:bidi w:val="0"/>
        <w:spacing w:line="592" w:lineRule="exact"/>
        <w:jc w:val="both"/>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autoSpaceDE/>
        <w:autoSpaceDN/>
        <w:bidi w:val="0"/>
        <w:spacing w:line="592" w:lineRule="exact"/>
        <w:jc w:val="center"/>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autoSpaceDE/>
        <w:autoSpaceDN/>
        <w:bidi w:val="0"/>
        <w:spacing w:line="592" w:lineRule="exact"/>
        <w:jc w:val="center"/>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图1：收入预算结构图</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楷体_GB2312" w:cs="Times New Roman"/>
          <w:b/>
          <w:bCs/>
        </w:rPr>
      </w:pPr>
      <w:bookmarkStart w:id="9" w:name="_Toc72430483"/>
      <w:r>
        <w:rPr>
          <w:rFonts w:hint="default" w:ascii="Times New Roman" w:hAnsi="Times New Roman" w:eastAsia="楷体_GB2312" w:cs="Times New Roman"/>
          <w:b/>
          <w:bCs/>
        </w:rPr>
        <w:t>（二）支出预算情况</w:t>
      </w:r>
      <w:bookmarkEnd w:id="9"/>
    </w:p>
    <w:p>
      <w:pPr>
        <w:pageBreakBefore w:val="0"/>
        <w:widowControl w:val="0"/>
        <w:kinsoku/>
        <w:wordWrap/>
        <w:overflowPunct/>
        <w:topLinePunct w:val="0"/>
        <w:autoSpaceDE/>
        <w:autoSpaceDN/>
        <w:bidi w:val="0"/>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自贡市自流井区人民政府五星街街道办事处2022年支出预算607.84万元，其中：基本支出577.84万元，占95.06%；项目支出30万元，占4.94%。</w:t>
      </w:r>
    </w:p>
    <w:p>
      <w:pPr>
        <w:pageBreakBefore w:val="0"/>
        <w:kinsoku/>
        <w:wordWrap/>
        <w:overflowPunct/>
        <w:topLinePunct w:val="0"/>
        <w:bidi w:val="0"/>
        <w:spacing w:line="592" w:lineRule="exact"/>
        <w:textAlignment w:val="auto"/>
        <w:rPr>
          <w:rFonts w:hint="default" w:ascii="Times New Roman" w:hAnsi="Times New Roman" w:cs="Times New Roman"/>
        </w:rPr>
      </w:pPr>
      <w:r>
        <w:rPr>
          <w:rFonts w:hint="default" w:ascii="Times New Roman" w:hAnsi="Times New Roman" w:eastAsia="仿宋_GB2312" w:cs="Times New Roman"/>
          <w:sz w:val="32"/>
          <w:szCs w:val="32"/>
          <w:lang w:eastAsia="zh-CN"/>
        </w:rPr>
        <w:pict>
          <v:shape id="Object 4" o:spid="_x0000_s2051" o:spt="75" type="#_x0000_t75" style="position:absolute;left:0pt;margin-top:1.55pt;height:141.85pt;width:216.6pt;mso-position-horizontal:center;mso-wrap-distance-left:9pt;mso-wrap-distance-right:9pt;z-index:-251656192;mso-width-relative:page;mso-height-relative:page;" o:ole="t" filled="f" o:preferrelative="t" stroked="f" coordsize="21600,21600" wrapcoords="21592 -2 0 0 0 21600 21592 21602 8 21602 21600 21600 21600 0 8 -2 21592 -2">
            <v:path/>
            <v:fill on="f" focussize="0,0"/>
            <v:stroke on="f"/>
            <v:imagedata r:id="rId9" o:title=""/>
            <o:lock v:ext="edit" aspectratio="t"/>
            <w10:wrap type="tight"/>
          </v:shape>
          <o:OLEObject Type="Embed" ProgID="Excel.Chart.8" ShapeID="Object 4" DrawAspect="Content" ObjectID="_1468075726" r:id="rId8">
            <o:LockedField>false</o:LockedField>
          </o:OLEObject>
        </w:pict>
      </w:r>
    </w:p>
    <w:p>
      <w:pPr>
        <w:pageBreakBefore w:val="0"/>
        <w:kinsoku/>
        <w:wordWrap/>
        <w:overflowPunct/>
        <w:topLinePunct w:val="0"/>
        <w:bidi w:val="0"/>
        <w:spacing w:line="592" w:lineRule="exact"/>
        <w:ind w:firstLine="643" w:firstLineChars="200"/>
        <w:textAlignment w:val="auto"/>
        <w:rPr>
          <w:rFonts w:hint="default" w:ascii="Times New Roman" w:hAnsi="Times New Roman" w:eastAsia="仿宋_GB2312" w:cs="Times New Roman"/>
          <w:b/>
          <w:sz w:val="32"/>
          <w:szCs w:val="32"/>
        </w:rPr>
      </w:pPr>
    </w:p>
    <w:p>
      <w:pPr>
        <w:pageBreakBefore w:val="0"/>
        <w:kinsoku/>
        <w:wordWrap/>
        <w:overflowPunct/>
        <w:topLinePunct w:val="0"/>
        <w:bidi w:val="0"/>
        <w:spacing w:line="592" w:lineRule="exact"/>
        <w:ind w:firstLine="643" w:firstLineChars="200"/>
        <w:textAlignment w:val="auto"/>
        <w:rPr>
          <w:rFonts w:hint="default" w:ascii="Times New Roman" w:hAnsi="Times New Roman" w:eastAsia="仿宋_GB2312" w:cs="Times New Roman"/>
          <w:b/>
          <w:sz w:val="32"/>
          <w:szCs w:val="32"/>
        </w:rPr>
      </w:pPr>
    </w:p>
    <w:p>
      <w:pPr>
        <w:pageBreakBefore w:val="0"/>
        <w:kinsoku/>
        <w:wordWrap/>
        <w:overflowPunct/>
        <w:topLinePunct w:val="0"/>
        <w:bidi w:val="0"/>
        <w:spacing w:line="592" w:lineRule="exact"/>
        <w:ind w:firstLine="643" w:firstLineChars="200"/>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autoSpaceDE/>
        <w:autoSpaceDN/>
        <w:bidi w:val="0"/>
        <w:adjustRightInd/>
        <w:snapToGrid/>
        <w:spacing w:line="592" w:lineRule="exact"/>
        <w:jc w:val="both"/>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autoSpaceDE/>
        <w:autoSpaceDN/>
        <w:bidi w:val="0"/>
        <w:adjustRightInd/>
        <w:snapToGrid/>
        <w:spacing w:line="592" w:lineRule="exact"/>
        <w:jc w:val="center"/>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图2：支出预算结构图</w:t>
      </w:r>
      <w:bookmarkStart w:id="10" w:name="_Toc72430484"/>
    </w:p>
    <w:p>
      <w:pPr>
        <w:pageBreakBefore w:val="0"/>
        <w:widowControl w:val="0"/>
        <w:kinsoku/>
        <w:wordWrap/>
        <w:overflowPunct/>
        <w:topLinePunct w:val="0"/>
        <w:autoSpaceDE/>
        <w:autoSpaceDN/>
        <w:bidi w:val="0"/>
        <w:adjustRightInd/>
        <w:snapToGrid/>
        <w:spacing w:line="592" w:lineRule="exact"/>
        <w:jc w:val="both"/>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color w:val="333333"/>
          <w:sz w:val="32"/>
          <w:szCs w:val="32"/>
          <w:lang w:val="en-US" w:eastAsia="zh-CN"/>
        </w:rPr>
        <w:t>四、</w:t>
      </w:r>
      <w:r>
        <w:rPr>
          <w:rFonts w:hint="default" w:ascii="Times New Roman" w:hAnsi="Times New Roman" w:eastAsia="黑体" w:cs="Times New Roman"/>
          <w:color w:val="333333"/>
          <w:sz w:val="32"/>
          <w:szCs w:val="32"/>
        </w:rPr>
        <w:t>财政拨款收支预算情况说明</w:t>
      </w:r>
      <w:bookmarkEnd w:id="10"/>
    </w:p>
    <w:p>
      <w:pPr>
        <w:pageBreakBefore w:val="0"/>
        <w:widowControl w:val="0"/>
        <w:numPr>
          <w:ilvl w:val="0"/>
          <w:numId w:val="0"/>
        </w:numPr>
        <w:kinsoku/>
        <w:wordWrap/>
        <w:overflowPunct/>
        <w:topLinePunct w:val="0"/>
        <w:autoSpaceDE/>
        <w:autoSpaceDN/>
        <w:bidi w:val="0"/>
        <w:adjustRightInd/>
        <w:snapToGrid/>
        <w:spacing w:line="592" w:lineRule="exact"/>
        <w:ind w:firstLine="640" w:firstLineChars="200"/>
        <w:jc w:val="both"/>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自贡市自流井区人民政府五星街街道办事处2022年财政拨款收支总预算607.84万元，比2021年财政拨款收支总预算增加35.91万元，主要原因是社区两委干部生活补助提高，基本医疗和养老保险基本缴费标准提升。</w:t>
      </w:r>
    </w:p>
    <w:p>
      <w:pPr>
        <w:pStyle w:val="14"/>
        <w:pageBreakBefore w:val="0"/>
        <w:kinsoku/>
        <w:wordWrap/>
        <w:overflowPunct/>
        <w:topLinePunct w:val="0"/>
        <w:bidi w:val="0"/>
        <w:spacing w:line="592" w:lineRule="exact"/>
        <w:ind w:left="0" w:leftChars="0" w:firstLine="0" w:firstLineChars="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b/>
          <w:sz w:val="32"/>
          <w:szCs w:val="32"/>
          <w:lang w:eastAsia="zh-CN"/>
        </w:rPr>
        <w:drawing>
          <wp:anchor distT="0" distB="0" distL="114935" distR="114935" simplePos="0" relativeHeight="251661312" behindDoc="1" locked="0" layoutInCell="1" allowOverlap="1">
            <wp:simplePos x="0" y="0"/>
            <wp:positionH relativeFrom="column">
              <wp:posOffset>1329055</wp:posOffset>
            </wp:positionH>
            <wp:positionV relativeFrom="paragraph">
              <wp:posOffset>120015</wp:posOffset>
            </wp:positionV>
            <wp:extent cx="2924175" cy="1612900"/>
            <wp:effectExtent l="4445" t="4445" r="5080" b="20955"/>
            <wp:wrapTight wrapText="bothSides">
              <wp:wrapPolygon>
                <wp:start x="-33" y="-60"/>
                <wp:lineTo x="-33" y="21370"/>
                <wp:lineTo x="21497" y="21370"/>
                <wp:lineTo x="21497" y="-60"/>
                <wp:lineTo x="-33" y="-60"/>
              </wp:wrapPolygon>
            </wp:wrapTight>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default" w:ascii="Times New Roman" w:hAnsi="Times New Roman" w:eastAsia="仿宋_GB2312" w:cs="Times New Roman"/>
          <w:sz w:val="32"/>
          <w:szCs w:val="32"/>
          <w:lang w:val="en-US" w:eastAsia="zh-CN"/>
        </w:rPr>
        <w:t xml:space="preserve">  </w:t>
      </w: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rPr>
      </w:pPr>
    </w:p>
    <w:p>
      <w:pPr>
        <w:pageBreakBefore w:val="0"/>
        <w:kinsoku/>
        <w:wordWrap/>
        <w:overflowPunct/>
        <w:topLinePunct w:val="0"/>
        <w:bidi w:val="0"/>
        <w:spacing w:line="592" w:lineRule="exact"/>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图3：财政拨款收支总预算变动情况</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收入包括：本年一般公共预算拨款收入</w:t>
      </w:r>
      <w:r>
        <w:rPr>
          <w:rFonts w:hint="default" w:ascii="Times New Roman" w:hAnsi="Times New Roman" w:eastAsia="仿宋_GB2312" w:cs="Times New Roman"/>
          <w:sz w:val="32"/>
          <w:szCs w:val="32"/>
        </w:rPr>
        <w:t>607.84</w:t>
      </w:r>
      <w:r>
        <w:rPr>
          <w:rFonts w:hint="default" w:ascii="Times New Roman" w:hAnsi="Times New Roman" w:eastAsia="仿宋_GB2312" w:cs="Times New Roman"/>
          <w:color w:val="333333"/>
          <w:sz w:val="32"/>
          <w:szCs w:val="32"/>
        </w:rPr>
        <w:t>万元，本年政府性基金收入0万元，上年结转一般公共预算拨款收入</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万元；支出包括：一般公共服务支出</w:t>
      </w:r>
      <w:r>
        <w:rPr>
          <w:rFonts w:hint="default" w:ascii="Times New Roman" w:hAnsi="Times New Roman" w:eastAsia="仿宋_GB2312" w:cs="Times New Roman"/>
          <w:sz w:val="32"/>
          <w:szCs w:val="32"/>
        </w:rPr>
        <w:t>252.36</w:t>
      </w:r>
      <w:r>
        <w:rPr>
          <w:rFonts w:hint="default" w:ascii="Times New Roman" w:hAnsi="Times New Roman" w:eastAsia="仿宋_GB2312" w:cs="Times New Roman"/>
          <w:color w:val="333333"/>
          <w:sz w:val="32"/>
          <w:szCs w:val="32"/>
        </w:rPr>
        <w:t>万元、社会保障和就业支出</w:t>
      </w:r>
      <w:r>
        <w:rPr>
          <w:rFonts w:hint="default" w:ascii="Times New Roman" w:hAnsi="Times New Roman" w:eastAsia="仿宋_GB2312" w:cs="Times New Roman"/>
          <w:sz w:val="32"/>
          <w:szCs w:val="32"/>
        </w:rPr>
        <w:t>344.76</w:t>
      </w:r>
      <w:r>
        <w:rPr>
          <w:rFonts w:hint="default" w:ascii="Times New Roman" w:hAnsi="Times New Roman" w:eastAsia="仿宋_GB2312" w:cs="Times New Roman"/>
          <w:color w:val="333333"/>
          <w:sz w:val="32"/>
          <w:szCs w:val="32"/>
        </w:rPr>
        <w:t>万元、卫生健康支出</w:t>
      </w:r>
      <w:r>
        <w:rPr>
          <w:rFonts w:hint="default" w:ascii="Times New Roman" w:hAnsi="Times New Roman" w:eastAsia="仿宋_GB2312" w:cs="Times New Roman"/>
          <w:sz w:val="32"/>
          <w:szCs w:val="32"/>
        </w:rPr>
        <w:t>10.72</w:t>
      </w:r>
      <w:r>
        <w:rPr>
          <w:rFonts w:hint="default" w:ascii="Times New Roman" w:hAnsi="Times New Roman" w:eastAsia="仿宋_GB2312" w:cs="Times New Roman"/>
          <w:color w:val="333333"/>
          <w:sz w:val="32"/>
          <w:szCs w:val="32"/>
        </w:rPr>
        <w:t>万元、住房保障支出</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万元。</w:t>
      </w:r>
      <w:bookmarkStart w:id="11" w:name="_Toc72430485"/>
    </w:p>
    <w:p>
      <w:pPr>
        <w:pageBreakBefore w:val="0"/>
        <w:widowControl w:val="0"/>
        <w:kinsoku/>
        <w:wordWrap/>
        <w:overflowPunct/>
        <w:topLinePunct w:val="0"/>
        <w:autoSpaceDE/>
        <w:autoSpaceDN/>
        <w:bidi w:val="0"/>
        <w:adjustRightInd/>
        <w:snapToGrid/>
        <w:spacing w:line="592" w:lineRule="exact"/>
        <w:textAlignment w:val="auto"/>
        <w:rPr>
          <w:rFonts w:hint="default" w:ascii="Times New Roman" w:hAnsi="Times New Roman" w:eastAsia="仿宋_GB2312" w:cs="Times New Roman"/>
          <w:color w:val="333333"/>
          <w:sz w:val="32"/>
          <w:szCs w:val="32"/>
        </w:rPr>
      </w:pPr>
      <w:r>
        <w:rPr>
          <w:rFonts w:hint="default" w:ascii="Times New Roman" w:hAnsi="Times New Roman" w:eastAsia="黑体" w:cs="Times New Roman"/>
          <w:color w:val="333333"/>
          <w:sz w:val="32"/>
          <w:szCs w:val="32"/>
        </w:rPr>
        <w:t>五、一般公共预算当年拨款情况说明</w:t>
      </w:r>
      <w:bookmarkEnd w:id="11"/>
      <w:r>
        <w:rPr>
          <w:rFonts w:hint="default" w:ascii="Times New Roman" w:hAnsi="Times New Roman" w:eastAsia="仿宋_GB2312" w:cs="Times New Roman"/>
          <w:color w:val="333333"/>
          <w:sz w:val="32"/>
          <w:szCs w:val="32"/>
        </w:rPr>
        <w:t>　　</w:t>
      </w:r>
    </w:p>
    <w:p>
      <w:pPr>
        <w:pStyle w:val="4"/>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楷体_GB2312" w:cs="Times New Roman"/>
          <w:b/>
          <w:bCs/>
          <w:color w:val="333333"/>
        </w:rPr>
      </w:pPr>
      <w:bookmarkStart w:id="12" w:name="_Toc72430486"/>
      <w:r>
        <w:rPr>
          <w:rStyle w:val="17"/>
          <w:rFonts w:hint="default" w:ascii="Times New Roman" w:hAnsi="Times New Roman" w:eastAsia="楷体_GB2312" w:cs="Times New Roman"/>
          <w:b/>
          <w:bCs/>
          <w:color w:val="333333"/>
        </w:rPr>
        <w:t>（一）一般公共预算当年拨款规模变化情况</w:t>
      </w:r>
      <w:bookmarkEnd w:id="12"/>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自贡市自流井区人民政府五星街街道办事处2022年一般公共预算当年拨款60</w:t>
      </w:r>
      <w:r>
        <w:rPr>
          <w:rFonts w:hint="default" w:ascii="Times New Roman" w:hAnsi="Times New Roman" w:eastAsia="仿宋_GB2312" w:cs="Times New Roman"/>
          <w:color w:val="333333"/>
          <w:sz w:val="32"/>
          <w:szCs w:val="32"/>
          <w:lang w:val="en-US" w:eastAsia="zh-CN"/>
        </w:rPr>
        <w:t>7</w:t>
      </w:r>
      <w:r>
        <w:rPr>
          <w:rFonts w:hint="default" w:ascii="Times New Roman" w:hAnsi="Times New Roman" w:eastAsia="仿宋_GB2312" w:cs="Times New Roman"/>
          <w:color w:val="333333"/>
          <w:sz w:val="32"/>
          <w:szCs w:val="32"/>
        </w:rPr>
        <w:t>.84万元，比2021年预算数增加35.91万元。主要是社区两委干部生活补助提高，基本医疗和养老保险基本缴费标准提升。</w:t>
      </w: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drawing>
          <wp:anchor distT="0" distB="0" distL="114300" distR="114300" simplePos="0" relativeHeight="251662336" behindDoc="0" locked="0" layoutInCell="1" allowOverlap="1">
            <wp:simplePos x="0" y="0"/>
            <wp:positionH relativeFrom="column">
              <wp:posOffset>1085215</wp:posOffset>
            </wp:positionH>
            <wp:positionV relativeFrom="paragraph">
              <wp:posOffset>138430</wp:posOffset>
            </wp:positionV>
            <wp:extent cx="3616325" cy="1965325"/>
            <wp:effectExtent l="4445" t="4445" r="17780" b="11430"/>
            <wp:wrapNone/>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rPr>
      </w:pP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rPr>
      </w:pP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图4：一般公共预算财政拨款支出预算变动情况</w:t>
      </w:r>
    </w:p>
    <w:p>
      <w:pPr>
        <w:pStyle w:val="4"/>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楷体_GB2312" w:cs="Times New Roman"/>
          <w:b/>
          <w:bCs/>
          <w:color w:val="333333"/>
        </w:rPr>
      </w:pPr>
      <w:bookmarkStart w:id="13" w:name="_Toc72430487"/>
      <w:r>
        <w:rPr>
          <w:rStyle w:val="17"/>
          <w:rFonts w:hint="default" w:ascii="Times New Roman" w:hAnsi="Times New Roman" w:eastAsia="楷体_GB2312" w:cs="Times New Roman"/>
          <w:b/>
          <w:bCs/>
          <w:color w:val="333333"/>
        </w:rPr>
        <w:t>（二）一般公共预算当年拨款结构情况</w:t>
      </w:r>
      <w:bookmarkEnd w:id="13"/>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default" w:ascii="Times New Roman" w:hAnsi="Times New Roman" w:eastAsia="仿宋" w:cs="Times New Roman"/>
          <w:color w:val="000000"/>
          <w:sz w:val="32"/>
          <w:szCs w:val="32"/>
        </w:rPr>
      </w:pPr>
      <w:r>
        <w:rPr>
          <w:rFonts w:hint="default" w:ascii="Times New Roman" w:hAnsi="Times New Roman" w:eastAsia="仿宋_GB2312" w:cs="Times New Roman"/>
          <w:color w:val="333333"/>
          <w:sz w:val="32"/>
          <w:szCs w:val="32"/>
        </w:rPr>
        <w:t>一般公共服务支出</w:t>
      </w:r>
      <w:r>
        <w:rPr>
          <w:rFonts w:hint="default" w:ascii="Times New Roman" w:hAnsi="Times New Roman" w:eastAsia="仿宋_GB2312" w:cs="Times New Roman"/>
          <w:sz w:val="32"/>
          <w:szCs w:val="32"/>
        </w:rPr>
        <w:t>252.36</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41.52%</w:t>
      </w:r>
      <w:r>
        <w:rPr>
          <w:rFonts w:hint="default" w:ascii="Times New Roman" w:hAnsi="Times New Roman" w:eastAsia="仿宋_GB2312" w:cs="Times New Roman"/>
          <w:color w:val="333333"/>
          <w:sz w:val="32"/>
          <w:szCs w:val="32"/>
        </w:rPr>
        <w:t>；教育支出</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；社会保障和就业支出</w:t>
      </w:r>
      <w:r>
        <w:rPr>
          <w:rFonts w:hint="default" w:ascii="Times New Roman" w:hAnsi="Times New Roman" w:eastAsia="仿宋_GB2312" w:cs="Times New Roman"/>
          <w:sz w:val="32"/>
          <w:szCs w:val="32"/>
        </w:rPr>
        <w:t>344.76</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56.72%</w:t>
      </w:r>
      <w:r>
        <w:rPr>
          <w:rFonts w:hint="default" w:ascii="Times New Roman" w:hAnsi="Times New Roman" w:eastAsia="仿宋_GB2312" w:cs="Times New Roman"/>
          <w:color w:val="333333"/>
          <w:sz w:val="32"/>
          <w:szCs w:val="32"/>
        </w:rPr>
        <w:t>；卫生健康支出</w:t>
      </w:r>
      <w:r>
        <w:rPr>
          <w:rFonts w:hint="default" w:ascii="Times New Roman" w:hAnsi="Times New Roman" w:eastAsia="仿宋_GB2312" w:cs="Times New Roman"/>
          <w:sz w:val="32"/>
          <w:szCs w:val="32"/>
        </w:rPr>
        <w:t>10.72</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1.76%</w:t>
      </w:r>
      <w:r>
        <w:rPr>
          <w:rFonts w:hint="default" w:ascii="Times New Roman" w:hAnsi="Times New Roman" w:eastAsia="仿宋_GB2312" w:cs="Times New Roman"/>
          <w:color w:val="333333"/>
          <w:sz w:val="32"/>
          <w:szCs w:val="32"/>
        </w:rPr>
        <w:t>；住房保障支出</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0%。</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drawing>
          <wp:anchor distT="0" distB="0" distL="114300" distR="114300" simplePos="0" relativeHeight="251663360" behindDoc="1" locked="0" layoutInCell="1" allowOverlap="1">
            <wp:simplePos x="0" y="0"/>
            <wp:positionH relativeFrom="column">
              <wp:posOffset>901700</wp:posOffset>
            </wp:positionH>
            <wp:positionV relativeFrom="paragraph">
              <wp:posOffset>125095</wp:posOffset>
            </wp:positionV>
            <wp:extent cx="3676015" cy="2049145"/>
            <wp:effectExtent l="4445" t="4445" r="38100" b="49530"/>
            <wp:wrapThrough wrapText="bothSides">
              <wp:wrapPolygon>
                <wp:start x="-26" y="-47"/>
                <wp:lineTo x="-26" y="21480"/>
                <wp:lineTo x="21555" y="21480"/>
                <wp:lineTo x="21555" y="-47"/>
                <wp:lineTo x="-26" y="-47"/>
              </wp:wrapPolygon>
            </wp:wrapThrough>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lang w:val="en-US" w:eastAsia="zh-CN"/>
        </w:rPr>
      </w:pPr>
      <w:r>
        <w:rPr>
          <w:rFonts w:hint="default" w:ascii="Times New Roman" w:hAnsi="Times New Roman" w:eastAsia="仿宋" w:cs="Times New Roman"/>
          <w:color w:val="000000"/>
          <w:sz w:val="32"/>
          <w:szCs w:val="32"/>
          <w:lang w:val="en-US" w:eastAsia="zh-CN"/>
        </w:rPr>
        <w:t xml:space="preserve">   </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图5：一般公共预算财政拨款支出预算结构</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eastAsia" w:ascii="楷体_GB2312" w:hAnsi="楷体_GB2312" w:eastAsia="楷体_GB2312" w:cs="楷体_GB2312"/>
          <w:b/>
          <w:bCs/>
          <w:color w:val="333333"/>
        </w:rPr>
      </w:pPr>
      <w:bookmarkStart w:id="14" w:name="_Toc72430488"/>
      <w:r>
        <w:rPr>
          <w:rStyle w:val="17"/>
          <w:rFonts w:hint="eastAsia" w:ascii="楷体_GB2312" w:hAnsi="楷体_GB2312" w:eastAsia="楷体_GB2312" w:cs="楷体_GB2312"/>
          <w:b/>
          <w:bCs/>
          <w:color w:val="333333"/>
        </w:rPr>
        <w:t>（三）一般公共预算当年拨款具体使用情况</w:t>
      </w:r>
      <w:r>
        <w:rPr>
          <w:rFonts w:hint="eastAsia" w:ascii="楷体_GB2312" w:hAnsi="楷体_GB2312" w:eastAsia="楷体_GB2312" w:cs="楷体_GB2312"/>
          <w:b/>
          <w:bCs/>
          <w:color w:val="333333"/>
        </w:rPr>
        <w:t>：</w:t>
      </w:r>
      <w:bookmarkEnd w:id="14"/>
      <w:r>
        <w:rPr>
          <w:rFonts w:hint="eastAsia" w:ascii="楷体_GB2312" w:hAnsi="楷体_GB2312" w:eastAsia="楷体_GB2312" w:cs="楷体_GB2312"/>
          <w:b/>
          <w:bCs/>
          <w:color w:val="333333"/>
        </w:rPr>
        <w:t>　　</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1.一般公共服务（类）</w:t>
      </w:r>
      <w:r>
        <w:rPr>
          <w:rFonts w:hint="default" w:ascii="Times New Roman" w:hAnsi="Times New Roman" w:eastAsia="仿宋_GB2312" w:cs="Times New Roman"/>
          <w:sz w:val="32"/>
          <w:szCs w:val="32"/>
        </w:rPr>
        <w:t>政府办公厅（室）及相关机构事物</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行政运行</w:t>
      </w:r>
      <w:r>
        <w:rPr>
          <w:rFonts w:hint="default" w:ascii="Times New Roman" w:hAnsi="Times New Roman" w:eastAsia="仿宋_GB2312" w:cs="Times New Roman"/>
          <w:color w:val="333333"/>
          <w:sz w:val="32"/>
          <w:szCs w:val="32"/>
        </w:rPr>
        <w:t>（项）:2022年预算数为236.62万元，主要用于：保障机关事业单位的基本运行，包括基本工资、津补贴、办公费、水电费等基本公共经费和人员经费的开支。</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2.一般公共服务（类）</w:t>
      </w:r>
      <w:r>
        <w:rPr>
          <w:rFonts w:hint="default" w:ascii="Times New Roman" w:hAnsi="Times New Roman" w:eastAsia="仿宋_GB2312" w:cs="Times New Roman"/>
          <w:sz w:val="32"/>
          <w:szCs w:val="32"/>
        </w:rPr>
        <w:t>政府办公厅（室）及相关机构事务</w:t>
      </w:r>
      <w:r>
        <w:rPr>
          <w:rFonts w:hint="default" w:ascii="Times New Roman" w:hAnsi="Times New Roman" w:eastAsia="仿宋_GB2312" w:cs="Times New Roman"/>
          <w:color w:val="333333"/>
          <w:sz w:val="32"/>
          <w:szCs w:val="32"/>
        </w:rPr>
        <w:t>（款）其他</w:t>
      </w:r>
      <w:r>
        <w:rPr>
          <w:rFonts w:hint="default" w:ascii="Times New Roman" w:hAnsi="Times New Roman" w:eastAsia="仿宋_GB2312" w:cs="Times New Roman"/>
          <w:sz w:val="32"/>
          <w:szCs w:val="32"/>
        </w:rPr>
        <w:t>政府办公厅（室）及相关机构事务支出</w:t>
      </w:r>
      <w:r>
        <w:rPr>
          <w:rFonts w:hint="default" w:ascii="Times New Roman" w:hAnsi="Times New Roman" w:eastAsia="仿宋_GB2312" w:cs="Times New Roman"/>
          <w:color w:val="333333"/>
          <w:sz w:val="32"/>
          <w:szCs w:val="32"/>
        </w:rPr>
        <w:t>（项）:2022年预算数为15.74万元，主要用于：街道安全、经济发展、基层社会治理等方面的开支。</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3.社会保障和就业（类）</w:t>
      </w:r>
      <w:r>
        <w:rPr>
          <w:rFonts w:hint="default" w:ascii="Times New Roman" w:hAnsi="Times New Roman" w:eastAsia="仿宋_GB2312" w:cs="Times New Roman"/>
          <w:sz w:val="32"/>
          <w:szCs w:val="32"/>
        </w:rPr>
        <w:t>民政管理事务</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基层政权建设和社区治理</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314.86</w:t>
      </w:r>
      <w:r>
        <w:rPr>
          <w:rFonts w:hint="default" w:ascii="Times New Roman" w:hAnsi="Times New Roman" w:eastAsia="仿宋_GB2312" w:cs="Times New Roman"/>
          <w:color w:val="333333"/>
          <w:sz w:val="32"/>
          <w:szCs w:val="32"/>
        </w:rPr>
        <w:t>万元，主要用于：保障街道6个社区正常运转的基本支出，包括社区干部的生活补助以及社区办公经费等。</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4.社会保障和就业（类）</w:t>
      </w:r>
      <w:r>
        <w:rPr>
          <w:rFonts w:hint="default" w:ascii="Times New Roman" w:hAnsi="Times New Roman" w:eastAsia="仿宋_GB2312" w:cs="Times New Roman"/>
          <w:sz w:val="32"/>
          <w:szCs w:val="32"/>
        </w:rPr>
        <w:t>行政事业单位养老支出</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行政单位离退休</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0.45</w:t>
      </w:r>
      <w:r>
        <w:rPr>
          <w:rFonts w:hint="default" w:ascii="Times New Roman" w:hAnsi="Times New Roman" w:eastAsia="仿宋_GB2312" w:cs="Times New Roman"/>
          <w:color w:val="333333"/>
          <w:sz w:val="32"/>
          <w:szCs w:val="32"/>
        </w:rPr>
        <w:t>万元，主要用于：保障单位离退休人员2022年全年活动经费。</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5.社会保障和就业（类）</w:t>
      </w:r>
      <w:r>
        <w:rPr>
          <w:rFonts w:hint="default" w:ascii="Times New Roman" w:hAnsi="Times New Roman" w:eastAsia="仿宋_GB2312" w:cs="Times New Roman"/>
          <w:sz w:val="32"/>
          <w:szCs w:val="32"/>
        </w:rPr>
        <w:t>行政事业单位养老支出</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机关事业单位基本养老保险缴费支出</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16.1</w:t>
      </w:r>
      <w:r>
        <w:rPr>
          <w:rFonts w:hint="default" w:ascii="Times New Roman" w:hAnsi="Times New Roman" w:eastAsia="仿宋_GB2312" w:cs="Times New Roman"/>
          <w:color w:val="333333"/>
          <w:sz w:val="32"/>
          <w:szCs w:val="32"/>
        </w:rPr>
        <w:t>万元，主要用于：机关事业单位人员基本养老保险缴费支出。</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6.社会保障和就业（类）</w:t>
      </w:r>
      <w:r>
        <w:rPr>
          <w:rFonts w:hint="default" w:ascii="Times New Roman" w:hAnsi="Times New Roman" w:eastAsia="仿宋_GB2312" w:cs="Times New Roman"/>
          <w:sz w:val="32"/>
          <w:szCs w:val="32"/>
        </w:rPr>
        <w:t>其他社会保障和就业支出</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其他社会保障和就业支出</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13.35</w:t>
      </w:r>
      <w:r>
        <w:rPr>
          <w:rFonts w:hint="default" w:ascii="Times New Roman" w:hAnsi="Times New Roman" w:eastAsia="仿宋_GB2312" w:cs="Times New Roman"/>
          <w:color w:val="333333"/>
          <w:sz w:val="32"/>
          <w:szCs w:val="32"/>
        </w:rPr>
        <w:t>万元，主要用于：部门按人力资源和社会保障部、财政部规定的基本工资和津贴补贴按照规定比例为职工缴纳的住房公积金支出和事业单位人员的工伤、失业、生育等保险缴费支出。</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7.卫生健康（类）</w:t>
      </w:r>
      <w:r>
        <w:rPr>
          <w:rFonts w:hint="default" w:ascii="Times New Roman" w:hAnsi="Times New Roman" w:eastAsia="仿宋_GB2312" w:cs="Times New Roman"/>
          <w:sz w:val="32"/>
          <w:szCs w:val="32"/>
        </w:rPr>
        <w:t>行政事业单位医疗</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行政单位医疗</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10.72</w:t>
      </w:r>
      <w:r>
        <w:rPr>
          <w:rFonts w:hint="default" w:ascii="Times New Roman" w:hAnsi="Times New Roman" w:eastAsia="仿宋_GB2312" w:cs="Times New Roman"/>
          <w:color w:val="333333"/>
          <w:sz w:val="32"/>
          <w:szCs w:val="32"/>
        </w:rPr>
        <w:t>万元，主要用于：机关事业人员基本医疗保险缴费支出。</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color w:val="333333"/>
          <w:sz w:val="32"/>
          <w:szCs w:val="32"/>
        </w:rPr>
      </w:pPr>
      <w:bookmarkStart w:id="15" w:name="_Toc72430489"/>
      <w:r>
        <w:rPr>
          <w:rFonts w:hint="default" w:ascii="Times New Roman" w:hAnsi="Times New Roman" w:eastAsia="黑体" w:cs="Times New Roman"/>
          <w:color w:val="333333"/>
          <w:sz w:val="32"/>
          <w:szCs w:val="32"/>
        </w:rPr>
        <w:t>六、一般公共预算基本支出情况说明</w:t>
      </w:r>
      <w:bookmarkEnd w:id="15"/>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sz w:val="32"/>
          <w:szCs w:val="32"/>
        </w:rPr>
        <w:t>自贡市自流井区人民政府五星街街道办事处</w:t>
      </w:r>
      <w:r>
        <w:rPr>
          <w:rFonts w:hint="default" w:ascii="Times New Roman" w:hAnsi="Times New Roman" w:eastAsia="仿宋_GB2312" w:cs="Times New Roman"/>
          <w:color w:val="333333"/>
          <w:sz w:val="32"/>
          <w:szCs w:val="32"/>
        </w:rPr>
        <w:t>2022年一般公共预算基本支出</w:t>
      </w:r>
      <w:r>
        <w:rPr>
          <w:rFonts w:hint="default" w:ascii="Times New Roman" w:hAnsi="Times New Roman" w:eastAsia="仿宋_GB2312" w:cs="Times New Roman"/>
          <w:sz w:val="32"/>
          <w:szCs w:val="32"/>
        </w:rPr>
        <w:t>577.84</w:t>
      </w:r>
      <w:r>
        <w:rPr>
          <w:rFonts w:hint="default" w:ascii="Times New Roman" w:hAnsi="Times New Roman" w:eastAsia="仿宋_GB2312" w:cs="Times New Roman"/>
          <w:color w:val="333333"/>
          <w:sz w:val="32"/>
          <w:szCs w:val="32"/>
        </w:rPr>
        <w:t>万元，其中：</w:t>
      </w:r>
    </w:p>
    <w:p>
      <w:pPr>
        <w:pageBreakBefore w:val="0"/>
        <w:widowControl w:val="0"/>
        <w:kinsoku/>
        <w:wordWrap/>
        <w:overflowPunct/>
        <w:topLinePunct w:val="0"/>
        <w:bidi w:val="0"/>
        <w:snapToGrid/>
        <w:spacing w:line="592" w:lineRule="exac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　　人员经费</w:t>
      </w:r>
      <w:r>
        <w:rPr>
          <w:rFonts w:hint="default" w:ascii="Times New Roman" w:hAnsi="Times New Roman" w:eastAsia="仿宋_GB2312" w:cs="Times New Roman"/>
          <w:sz w:val="32"/>
          <w:szCs w:val="32"/>
        </w:rPr>
        <w:t>468.45</w:t>
      </w:r>
      <w:r>
        <w:rPr>
          <w:rFonts w:hint="default" w:ascii="Times New Roman" w:hAnsi="Times New Roman" w:eastAsia="仿宋_GB2312" w:cs="Times New Roman"/>
          <w:color w:val="333333"/>
          <w:sz w:val="32"/>
          <w:szCs w:val="32"/>
        </w:rPr>
        <w:t>万元，主要包括：基本工资、津贴补贴、奖金、社会保险缴费、绩效工资等支出。</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公用经费109.39万元，主要包括：办公费、印刷费、手续费、水费、电费、邮电费、差旅费、维修（护）费、会议费、培训费、劳务费等支出。</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sz w:val="32"/>
          <w:szCs w:val="32"/>
        </w:rPr>
      </w:pPr>
      <w:bookmarkStart w:id="16" w:name="_Toc72430490"/>
      <w:r>
        <w:rPr>
          <w:rFonts w:hint="default" w:ascii="Times New Roman" w:hAnsi="Times New Roman" w:eastAsia="黑体" w:cs="Times New Roman"/>
          <w:sz w:val="32"/>
          <w:szCs w:val="32"/>
        </w:rPr>
        <w:t>七、“三公”经费财政拨款预算安排情况</w:t>
      </w:r>
      <w:bookmarkEnd w:id="16"/>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自贡市自流井区人民政府五星街街道办事处2022年“三公”经费财政拨款预算数0万元，较2021年预算增持平，其中：因公出国（境）经费0万元，公务接待费0万元，公务用车购置及运行维护费0万元（其中：公务用车购置费0万元，公务用车运行费0万元）。</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（一）因公出国（境）经费0万元，较2021年预算持平。主要原因是2021年和2022年均无计划安排人员出国（境）。</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2022年拟安排出国（境）0人次。</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b/>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（二）公务接待费0万元，较2021年预算持平。主要原因是2021年和2022年没有公务接待计划。</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b/>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（三）公务用车购置及运行维护费0万元，较2021年预算持平。主要原因是目前我单位没有公务用车且2022年没有计划购买公务用车。</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单位现有公务用车0辆，其中：轿车0辆，越野车0辆，多功能乘用车0辆。</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2022年安排公务用车购置费0万元，较2021年预算持平。</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2022年安排公务用车运行维护费0万元，较2021年预算持平。</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仿宋_GB2312" w:cs="Times New Roman"/>
          <w:color w:val="333333"/>
          <w:sz w:val="32"/>
          <w:szCs w:val="32"/>
        </w:rPr>
      </w:pPr>
      <w:bookmarkStart w:id="17" w:name="_Toc72430491"/>
      <w:r>
        <w:rPr>
          <w:rFonts w:hint="default" w:ascii="Times New Roman" w:hAnsi="Times New Roman" w:eastAsia="黑体" w:cs="Times New Roman"/>
          <w:color w:val="333333"/>
          <w:sz w:val="32"/>
          <w:szCs w:val="32"/>
        </w:rPr>
        <w:t>八、政府性基金预算支出情况说明</w:t>
      </w:r>
      <w:bookmarkEnd w:id="17"/>
      <w:r>
        <w:rPr>
          <w:rFonts w:hint="default" w:ascii="Times New Roman" w:hAnsi="Times New Roman" w:eastAsia="仿宋_GB2312" w:cs="Times New Roman"/>
          <w:color w:val="333333"/>
          <w:sz w:val="32"/>
          <w:szCs w:val="32"/>
        </w:rPr>
        <w:t>　</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自贡市自流井区人民政府五星街街道办事处</w:t>
      </w:r>
      <w:r>
        <w:rPr>
          <w:rFonts w:hint="default" w:ascii="Times New Roman" w:hAnsi="Times New Roman" w:eastAsia="仿宋_GB2312" w:cs="Times New Roman"/>
          <w:color w:val="333333"/>
          <w:sz w:val="32"/>
          <w:szCs w:val="32"/>
        </w:rPr>
        <w:t>2022年使用政府性基金预算拨款安排</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color w:val="333333"/>
          <w:sz w:val="32"/>
          <w:szCs w:val="32"/>
        </w:rPr>
        <w:t>。</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b/>
          <w:bCs/>
          <w:color w:val="333333"/>
          <w:sz w:val="32"/>
          <w:szCs w:val="32"/>
        </w:rPr>
      </w:pPr>
      <w:bookmarkStart w:id="18" w:name="_Toc72430492"/>
      <w:r>
        <w:rPr>
          <w:rFonts w:hint="default" w:ascii="Times New Roman" w:hAnsi="Times New Roman" w:eastAsia="黑体" w:cs="Times New Roman"/>
          <w:b/>
          <w:bCs/>
          <w:color w:val="333333"/>
          <w:sz w:val="32"/>
          <w:szCs w:val="32"/>
        </w:rPr>
        <w:t>九、国有资本经营预算支出情况说明</w:t>
      </w:r>
      <w:bookmarkEnd w:id="18"/>
    </w:p>
    <w:p>
      <w:pPr>
        <w:pageBreakBefore w:val="0"/>
        <w:widowControl w:val="0"/>
        <w:kinsoku/>
        <w:wordWrap/>
        <w:overflowPunct/>
        <w:topLinePunct w:val="0"/>
        <w:bidi w:val="0"/>
        <w:snapToGrid/>
        <w:spacing w:line="592" w:lineRule="exact"/>
        <w:textAlignment w:val="auto"/>
        <w:rPr>
          <w:rFonts w:hint="default" w:ascii="Times New Roman" w:hAnsi="Times New Roman" w:eastAsia="仿宋_GB2312" w:cs="Times New Roman"/>
          <w:color w:val="333333"/>
          <w:sz w:val="28"/>
          <w:szCs w:val="28"/>
        </w:rPr>
      </w:pPr>
      <w:r>
        <w:rPr>
          <w:rFonts w:hint="default" w:ascii="Times New Roman" w:hAnsi="Times New Roman" w:eastAsia="仿宋_GB2312" w:cs="Times New Roman"/>
          <w:color w:val="333333"/>
          <w:sz w:val="32"/>
          <w:szCs w:val="32"/>
        </w:rPr>
        <w:t>　　</w:t>
      </w:r>
      <w:r>
        <w:rPr>
          <w:rFonts w:hint="default" w:ascii="Times New Roman" w:hAnsi="Times New Roman" w:eastAsia="仿宋_GB2312" w:cs="Times New Roman"/>
          <w:sz w:val="32"/>
          <w:szCs w:val="32"/>
        </w:rPr>
        <w:t>自贡市自流井区人民政府五星街街道办事处</w:t>
      </w:r>
      <w:r>
        <w:rPr>
          <w:rFonts w:hint="default" w:ascii="Times New Roman" w:hAnsi="Times New Roman" w:eastAsia="仿宋_GB2312" w:cs="Times New Roman"/>
          <w:color w:val="333333"/>
          <w:sz w:val="32"/>
          <w:szCs w:val="32"/>
        </w:rPr>
        <w:t>2022年没有使用国有资本经营预算拨款安排的支出。</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b/>
          <w:bCs/>
          <w:sz w:val="32"/>
          <w:szCs w:val="32"/>
        </w:rPr>
      </w:pPr>
      <w:bookmarkStart w:id="19" w:name="_Toc72430493"/>
      <w:r>
        <w:rPr>
          <w:rFonts w:hint="default" w:ascii="Times New Roman" w:hAnsi="Times New Roman" w:eastAsia="黑体" w:cs="Times New Roman"/>
          <w:b/>
          <w:bCs/>
          <w:sz w:val="32"/>
          <w:szCs w:val="32"/>
        </w:rPr>
        <w:t>十、其他重要事项的情况说明</w:t>
      </w:r>
      <w:bookmarkEnd w:id="19"/>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eastAsia" w:ascii="楷体_GB2312" w:hAnsi="楷体_GB2312" w:eastAsia="楷体_GB2312" w:cs="楷体_GB2312"/>
        </w:rPr>
      </w:pPr>
      <w:bookmarkStart w:id="20" w:name="_Toc72430494"/>
      <w:r>
        <w:rPr>
          <w:rFonts w:hint="eastAsia" w:ascii="楷体_GB2312" w:hAnsi="楷体_GB2312" w:eastAsia="楷体_GB2312" w:cs="楷体_GB2312"/>
        </w:rPr>
        <w:t>（一）机关运行经费情况</w:t>
      </w:r>
      <w:bookmarkEnd w:id="20"/>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2022年，自贡市自流井区人民政府五星街街道办事处履行一般行政管理职能、维持机关日常运转而开支的机关运行经费财政拨款预算为109.39万元，比2021年预算增加0.53万元，增长0.48%，</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rPr>
        <w:t>：街道办事处人员增加，日常公用经费开支增加。</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eastAsia" w:ascii="楷体_GB2312" w:hAnsi="楷体_GB2312" w:eastAsia="楷体_GB2312" w:cs="楷体_GB2312"/>
        </w:rPr>
      </w:pPr>
      <w:bookmarkStart w:id="21" w:name="_Toc72430495"/>
      <w:r>
        <w:rPr>
          <w:rFonts w:hint="eastAsia" w:ascii="楷体_GB2312" w:hAnsi="楷体_GB2312" w:eastAsia="楷体_GB2312" w:cs="楷体_GB2312"/>
        </w:rPr>
        <w:t>（二）政府采购情况</w:t>
      </w:r>
      <w:bookmarkEnd w:id="21"/>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2022年，自贡市自流井区人民政府五星街街道办事处安排政府采购预算2.86万元，主要用于采购办公设备等。</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仿宋_GB2312" w:cs="Times New Roman"/>
        </w:rPr>
      </w:pPr>
      <w:bookmarkStart w:id="22" w:name="_Toc72430496"/>
      <w:r>
        <w:rPr>
          <w:rFonts w:hint="default" w:ascii="Times New Roman" w:hAnsi="Times New Roman" w:eastAsia="仿宋_GB2312" w:cs="Times New Roman"/>
        </w:rPr>
        <w:t>（三）国有资产占有使用情况</w:t>
      </w:r>
      <w:bookmarkEnd w:id="22"/>
    </w:p>
    <w:p>
      <w:pPr>
        <w:pageBreakBefore w:val="0"/>
        <w:widowControl w:val="0"/>
        <w:kinsoku/>
        <w:wordWrap/>
        <w:overflowPunct/>
        <w:topLinePunct w:val="0"/>
        <w:autoSpaceDE w:val="0"/>
        <w:autoSpaceDN w:val="0"/>
        <w:bidi w:val="0"/>
        <w:adjustRightInd w:val="0"/>
        <w:snapToGrid/>
        <w:spacing w:line="592"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　　</w:t>
      </w:r>
      <w:r>
        <w:rPr>
          <w:rFonts w:hint="default" w:ascii="Times New Roman" w:hAnsi="Times New Roman" w:eastAsia="仿宋_GB2312" w:cs="Times New Roman"/>
          <w:sz w:val="32"/>
          <w:szCs w:val="32"/>
        </w:rPr>
        <w:t>截至2021年底，自贡市自流井区人民政府五星街街道办事处所属各预算单位共有车辆0辆，其中，一般公务用车0辆、执法执勤用车0辆。单位价值100万元以上大型设备0台（套）。</w:t>
      </w:r>
    </w:p>
    <w:p>
      <w:pPr>
        <w:pageBreakBefore w:val="0"/>
        <w:widowControl w:val="0"/>
        <w:kinsoku/>
        <w:wordWrap/>
        <w:overflowPunct/>
        <w:topLinePunct w:val="0"/>
        <w:autoSpaceDE w:val="0"/>
        <w:autoSpaceDN w:val="0"/>
        <w:bidi w:val="0"/>
        <w:adjustRightInd w:val="0"/>
        <w:snapToGrid/>
        <w:spacing w:line="592"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2022年部门预算安排购置一般公务用车0辆、执法执勤用车0辆，单位价值100万元以上大型设备0台（套）。</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楷体_GB2312" w:cs="Times New Roman"/>
          <w:b w:val="0"/>
          <w:bCs w:val="0"/>
          <w:color w:val="333333"/>
          <w:sz w:val="28"/>
          <w:szCs w:val="28"/>
        </w:rPr>
      </w:pPr>
      <w:bookmarkStart w:id="23" w:name="_Toc72430497"/>
      <w:r>
        <w:rPr>
          <w:rFonts w:hint="default" w:ascii="Times New Roman" w:hAnsi="Times New Roman" w:eastAsia="仿宋_GB2312" w:cs="Times New Roman"/>
        </w:rPr>
        <w:t>（四）绩效目标设置情况</w:t>
      </w:r>
      <w:bookmarkEnd w:id="23"/>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目标是预算编制的前提和基础，按照“费随事定”的原则，2022年自贡市自流井区人民政府五星街街道办事处所有专项项目均按要求编制了绩效目标,从项目完成、项目效益、满意度等方面设置了绩效指标，综合反映项目预期完成的数量、成本、时效、质量，预期达到的社会效益、经济效益、生态效益、可持续影响以及服务对象满意度等情况。</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楷体_GB2312" w:cs="Times New Roman"/>
          <w:b/>
          <w:bCs/>
          <w:color w:val="333333"/>
          <w:sz w:val="28"/>
          <w:szCs w:val="28"/>
        </w:rPr>
      </w:pPr>
      <w:r>
        <w:rPr>
          <w:rFonts w:hint="default" w:ascii="Times New Roman" w:hAnsi="Times New Roman" w:eastAsia="仿宋_GB2312" w:cs="Times New Roman"/>
          <w:sz w:val="32"/>
          <w:szCs w:val="32"/>
        </w:rPr>
        <w:t>本</w:t>
      </w:r>
      <w:r>
        <w:rPr>
          <w:rFonts w:hint="eastAsia" w:eastAsia="仿宋_GB2312" w:cs="Times New Roman"/>
          <w:sz w:val="32"/>
          <w:szCs w:val="32"/>
          <w:lang w:eastAsia="zh-CN"/>
        </w:rPr>
        <w:t>部门</w:t>
      </w:r>
      <w:r>
        <w:rPr>
          <w:rFonts w:hint="default" w:ascii="Times New Roman" w:hAnsi="Times New Roman" w:eastAsia="仿宋_GB2312" w:cs="Times New Roman"/>
          <w:sz w:val="32"/>
          <w:szCs w:val="32"/>
        </w:rPr>
        <w:t>2022年部门预算无重点项目。</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color w:val="000000"/>
          <w:sz w:val="32"/>
          <w:szCs w:val="32"/>
        </w:rPr>
      </w:pPr>
      <w:bookmarkStart w:id="24" w:name="_Toc72430498"/>
      <w:r>
        <w:rPr>
          <w:rFonts w:hint="default" w:ascii="Times New Roman" w:hAnsi="Times New Roman" w:eastAsia="黑体" w:cs="Times New Roman"/>
          <w:color w:val="000000"/>
          <w:sz w:val="32"/>
          <w:szCs w:val="32"/>
        </w:rPr>
        <w:t>十一、名词解释</w:t>
      </w:r>
      <w:bookmarkEnd w:id="24"/>
    </w:p>
    <w:p>
      <w:pPr>
        <w:pageBreakBefore w:val="0"/>
        <w:widowControl w:val="0"/>
        <w:kinsoku/>
        <w:wordWrap/>
        <w:overflowPunct/>
        <w:topLinePunct w:val="0"/>
        <w:bidi w:val="0"/>
        <w:snapToGrid/>
        <w:spacing w:line="592" w:lineRule="exact"/>
        <w:ind w:firstLine="729" w:firstLineChars="228"/>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1.一般公共预算拨款收入：指</w:t>
      </w:r>
      <w:r>
        <w:rPr>
          <w:rFonts w:hint="eastAsia" w:eastAsia="仿宋_GB2312" w:cs="Times New Roman"/>
          <w:color w:val="000000"/>
          <w:sz w:val="32"/>
          <w:szCs w:val="32"/>
          <w:lang w:eastAsia="zh-CN"/>
        </w:rPr>
        <w:t>区</w:t>
      </w:r>
      <w:r>
        <w:rPr>
          <w:rFonts w:hint="default" w:ascii="Times New Roman" w:hAnsi="Times New Roman" w:eastAsia="仿宋_GB2312" w:cs="Times New Roman"/>
          <w:color w:val="000000"/>
          <w:sz w:val="32"/>
          <w:szCs w:val="32"/>
        </w:rPr>
        <w:t>级财政当年拨付的资金。</w:t>
      </w:r>
    </w:p>
    <w:p>
      <w:pPr>
        <w:pageBreakBefore w:val="0"/>
        <w:widowControl w:val="0"/>
        <w:kinsoku/>
        <w:wordWrap/>
        <w:overflowPunct/>
        <w:topLinePunct w:val="0"/>
        <w:bidi w:val="0"/>
        <w:snapToGrid/>
        <w:spacing w:line="592" w:lineRule="exact"/>
        <w:ind w:firstLine="729" w:firstLineChars="228"/>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2.事业收入：指事业单位开展专业业务活动及辅助活动所取得的收入。</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3.上年结转：指以前年度尚未完成，结转到本年仍按原规定用途继续使用的资金。</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4.</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color w:val="333333"/>
          <w:sz w:val="32"/>
          <w:szCs w:val="32"/>
        </w:rPr>
        <w:t>一般公共服务（类）</w:t>
      </w:r>
      <w:r>
        <w:rPr>
          <w:rFonts w:hint="default" w:ascii="Times New Roman" w:hAnsi="Times New Roman" w:eastAsia="仿宋_GB2312" w:cs="Times New Roman"/>
          <w:sz w:val="32"/>
          <w:szCs w:val="32"/>
        </w:rPr>
        <w:t>政府办公厅（室）及相关机构事务</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行政运行</w:t>
      </w:r>
      <w:r>
        <w:rPr>
          <w:rFonts w:hint="default" w:ascii="Times New Roman" w:hAnsi="Times New Roman" w:eastAsia="仿宋_GB2312" w:cs="Times New Roman"/>
          <w:color w:val="333333"/>
          <w:sz w:val="32"/>
          <w:szCs w:val="32"/>
        </w:rPr>
        <w:t>（项）：指</w:t>
      </w:r>
      <w:r>
        <w:rPr>
          <w:rFonts w:hint="default" w:ascii="Times New Roman" w:hAnsi="Times New Roman" w:eastAsia="仿宋_GB2312" w:cs="Times New Roman"/>
          <w:color w:val="000000"/>
          <w:sz w:val="32"/>
          <w:szCs w:val="32"/>
        </w:rPr>
        <w:t>机关事业单位行政单位用于保障机构正常运行、开展日常工作的基本支出</w:t>
      </w:r>
      <w:r>
        <w:rPr>
          <w:rFonts w:hint="default" w:ascii="Times New Roman" w:hAnsi="Times New Roman" w:eastAsia="仿宋_GB2312" w:cs="Times New Roman"/>
          <w:sz w:val="32"/>
          <w:szCs w:val="32"/>
        </w:rPr>
        <w:t>，包括基本工资、津补贴、办公经费、水电费等。</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5.</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color w:val="333333"/>
          <w:sz w:val="32"/>
          <w:szCs w:val="32"/>
        </w:rPr>
        <w:t>一般公共服务（类）</w:t>
      </w:r>
      <w:r>
        <w:rPr>
          <w:rFonts w:hint="default" w:ascii="Times New Roman" w:hAnsi="Times New Roman" w:eastAsia="仿宋_GB2312" w:cs="Times New Roman"/>
          <w:sz w:val="32"/>
          <w:szCs w:val="32"/>
        </w:rPr>
        <w:t>政府办公厅（室）及相关机构事务</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一般行政管理事务</w:t>
      </w:r>
      <w:r>
        <w:rPr>
          <w:rFonts w:hint="default" w:ascii="Times New Roman" w:hAnsi="Times New Roman" w:eastAsia="仿宋_GB2312" w:cs="Times New Roman"/>
          <w:color w:val="333333"/>
          <w:sz w:val="32"/>
          <w:szCs w:val="32"/>
        </w:rPr>
        <w:t>（项）：指用于辖区经济发展、社区基层社会治理、安全生产等工作开展的支出。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6.一般公共服务（类）政府办公厅（室）及相关机构事务（款）其他政府办公厅（室）及相关机构事务支出（项）:指用于保障机构正常运行、开展日常工作的其他项目支出。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7.社会保障和就业支出（类）民政管理事务（款）基层政权和社区建设（项）：指用于保障社区运转的基本支出，包括办公费及干部补助等。</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8.社会保障和就业（类）行政事业单位养老支出（款）行政事业单位离退休（项）:保障机关离休人员基本离休费、生活补助及活动费支出。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9.社会保障和就业支出（类）行政事业单位养老支出（款）机关事业单位基本养老保险缴费支出（项）：机关事业单位养老保险缴费。</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 社会保障和就业（类）其他社会保障和就业支出（款）其他社会保障和就业支出（项）：保障事业单位人员的工伤、生育等保险缴费。</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 卫生健康支出（类）行政事业单位医疗（款）行政单位医疗（项）：机关及事业单位基本医疗保险缴费支出。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12.住房保障（类）住房改革支出（款）住房公积金（项）：部门按人力资源和社会保障部、财政部规定的基本工资和津贴补贴以及规定比例为职工缴纳的住房公积金支出。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13.基本支出：指为保证机构正常运转，完成日常工作任务而发生的人员支出和公用支出。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14.项目支出：指在基本支出之外为完成特定行政任务和事业发展目标所发生的支出。</w:t>
      </w:r>
    </w:p>
    <w:p>
      <w:pPr>
        <w:pageBreakBefore w:val="0"/>
        <w:widowControl w:val="0"/>
        <w:kinsoku/>
        <w:wordWrap/>
        <w:overflowPunct/>
        <w:topLinePunct w:val="0"/>
        <w:bidi w:val="0"/>
        <w:snapToGrid/>
        <w:spacing w:line="592" w:lineRule="exact"/>
        <w:ind w:firstLine="66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15.“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16.机关运行经费：为保障行政单位（包含参照公务员法管理的事业单位）运行用于购买货物和服务的各项资金。包括办公及印刷费、邮电费、差旅费、会议费等费用开支。</w:t>
      </w:r>
    </w:p>
    <w:p>
      <w:pPr>
        <w:pageBreakBefore w:val="0"/>
        <w:widowControl w:val="0"/>
        <w:kinsoku/>
        <w:wordWrap/>
        <w:overflowPunct/>
        <w:topLinePunct w:val="0"/>
        <w:bidi w:val="0"/>
        <w:snapToGrid/>
        <w:spacing w:line="592" w:lineRule="exact"/>
        <w:textAlignment w:val="auto"/>
        <w:rPr>
          <w:rFonts w:hint="default" w:ascii="Times New Roman" w:hAnsi="Times New Roman" w:eastAsia="仿宋_GB2312" w:cs="Times New Roman"/>
          <w:color w:val="000000"/>
          <w:sz w:val="32"/>
          <w:szCs w:val="32"/>
        </w:rPr>
      </w:pPr>
    </w:p>
    <w:p>
      <w:pPr>
        <w:rPr>
          <w:rFonts w:hint="eastAsia" w:ascii="仿宋_GB2312" w:eastAsia="仿宋_GB2312"/>
          <w:color w:val="000000"/>
          <w:sz w:val="32"/>
          <w:szCs w:val="32"/>
          <w:lang w:eastAsia="zh-CN"/>
        </w:rPr>
      </w:pPr>
      <w:r>
        <w:rPr>
          <w:rFonts w:hint="default" w:ascii="Times New Roman" w:hAnsi="Times New Roman" w:eastAsia="仿宋_GB2312" w:cs="Times New Roman"/>
          <w:color w:val="333333"/>
          <w:sz w:val="28"/>
          <w:szCs w:val="28"/>
        </w:rPr>
        <w:t>　</w:t>
      </w:r>
      <w:r>
        <w:rPr>
          <w:rFonts w:hint="default" w:ascii="Times New Roman" w:hAnsi="Times New Roman" w:eastAsia="仿宋_GB2312" w:cs="Times New Roman"/>
          <w:color w:val="000000"/>
          <w:sz w:val="32"/>
          <w:szCs w:val="32"/>
        </w:rPr>
        <w:t>附件：</w:t>
      </w:r>
      <w:r>
        <w:rPr>
          <w:rFonts w:hint="eastAsia" w:ascii="仿宋_GB2312" w:eastAsia="仿宋_GB2312"/>
          <w:color w:val="000000"/>
          <w:sz w:val="32"/>
          <w:szCs w:val="32"/>
        </w:rPr>
        <w:t>表1.部门收支总表</w:t>
      </w:r>
    </w:p>
    <w:p>
      <w:pPr>
        <w:rPr>
          <w:rFonts w:hint="eastAsia" w:ascii="仿宋_GB2312" w:eastAsia="仿宋_GB2312"/>
          <w:color w:val="000000"/>
          <w:sz w:val="32"/>
          <w:szCs w:val="32"/>
          <w:lang w:eastAsia="zh-CN"/>
        </w:rPr>
      </w:pPr>
      <w:r>
        <w:rPr>
          <w:rFonts w:hint="eastAsia" w:ascii="仿宋_GB2312" w:eastAsia="仿宋_GB2312"/>
          <w:color w:val="000000"/>
          <w:sz w:val="32"/>
          <w:szCs w:val="32"/>
        </w:rPr>
        <w:t>　　　    表1-1.部门收入总表</w:t>
      </w:r>
    </w:p>
    <w:p>
      <w:pPr>
        <w:rPr>
          <w:rFonts w:hint="eastAsia" w:ascii="仿宋_GB2312" w:eastAsia="仿宋_GB2312"/>
          <w:color w:val="000000"/>
          <w:sz w:val="32"/>
          <w:szCs w:val="32"/>
          <w:lang w:eastAsia="zh-CN"/>
        </w:rPr>
      </w:pPr>
      <w:r>
        <w:rPr>
          <w:rFonts w:hint="eastAsia" w:ascii="仿宋_GB2312" w:eastAsia="仿宋_GB2312"/>
          <w:color w:val="000000"/>
          <w:sz w:val="32"/>
          <w:szCs w:val="32"/>
        </w:rPr>
        <w:t>　　　　　表1-2.部门支出总表</w:t>
      </w:r>
    </w:p>
    <w:p>
      <w:pPr>
        <w:rPr>
          <w:rFonts w:hint="eastAsia" w:ascii="仿宋_GB2312" w:eastAsia="仿宋_GB2312"/>
          <w:color w:val="000000"/>
          <w:sz w:val="32"/>
          <w:szCs w:val="32"/>
        </w:rPr>
      </w:pPr>
      <w:r>
        <w:rPr>
          <w:rFonts w:hint="eastAsia" w:ascii="仿宋_GB2312" w:eastAsia="仿宋_GB2312"/>
          <w:color w:val="000000"/>
          <w:sz w:val="32"/>
          <w:szCs w:val="32"/>
        </w:rPr>
        <w:t>　　　　　表2.财政拨款收支</w:t>
      </w:r>
      <w:r>
        <w:rPr>
          <w:rFonts w:hint="eastAsia" w:ascii="仿宋_GB2312" w:eastAsia="仿宋_GB2312"/>
          <w:color w:val="000000"/>
          <w:sz w:val="32"/>
          <w:szCs w:val="32"/>
          <w:lang w:eastAsia="zh-CN"/>
        </w:rPr>
        <w:t>预算</w:t>
      </w:r>
      <w:r>
        <w:rPr>
          <w:rFonts w:hint="eastAsia" w:ascii="仿宋_GB2312" w:eastAsia="仿宋_GB2312"/>
          <w:color w:val="000000"/>
          <w:sz w:val="32"/>
          <w:szCs w:val="32"/>
        </w:rPr>
        <w:t>总表</w:t>
      </w:r>
    </w:p>
    <w:p>
      <w:pPr>
        <w:ind w:firstLine="1600" w:firstLineChars="500"/>
        <w:rPr>
          <w:rFonts w:hint="eastAsia" w:ascii="仿宋_GB2312" w:eastAsia="仿宋_GB2312"/>
          <w:color w:val="000000"/>
          <w:sz w:val="28"/>
          <w:szCs w:val="28"/>
          <w:lang w:eastAsia="zh-CN"/>
        </w:rPr>
      </w:pPr>
      <w:r>
        <w:rPr>
          <w:rFonts w:hint="eastAsia" w:ascii="仿宋_GB2312" w:eastAsia="仿宋_GB2312"/>
          <w:color w:val="000000"/>
          <w:sz w:val="32"/>
          <w:szCs w:val="32"/>
        </w:rPr>
        <w:t>表2-1. 财政拨款支出预算表</w:t>
      </w:r>
      <w:r>
        <w:rPr>
          <w:rFonts w:hint="eastAsia" w:ascii="仿宋_GB2312" w:eastAsia="仿宋_GB2312"/>
          <w:color w:val="000000"/>
          <w:sz w:val="28"/>
          <w:szCs w:val="28"/>
        </w:rPr>
        <w:t>（</w:t>
      </w:r>
      <w:r>
        <w:rPr>
          <w:rFonts w:hint="eastAsia" w:ascii="仿宋_GB2312" w:eastAsia="仿宋_GB2312"/>
          <w:color w:val="000000"/>
          <w:sz w:val="28"/>
          <w:szCs w:val="28"/>
          <w:lang w:eastAsia="zh-CN"/>
        </w:rPr>
        <w:t>部门</w:t>
      </w:r>
      <w:r>
        <w:rPr>
          <w:rFonts w:hint="eastAsia" w:ascii="仿宋_GB2312" w:eastAsia="仿宋_GB2312"/>
          <w:color w:val="000000"/>
          <w:sz w:val="28"/>
          <w:szCs w:val="28"/>
        </w:rPr>
        <w:t>经济分类科目）</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表3.一般公共预算支出预算表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表3-1.一般公共预算基本支出预算表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表3-2.一般公共预算项目支出预算表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表3-3.一般公共预算“三公”经费支出预算表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表4.政府性基金支出预算表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表4-1.政府性基金预算“三公”经费支出预算表</w:t>
      </w:r>
    </w:p>
    <w:p>
      <w:pPr>
        <w:ind w:firstLine="1600" w:firstLineChars="500"/>
        <w:rPr>
          <w:rFonts w:ascii="仿宋_GB2312" w:eastAsia="仿宋_GB2312"/>
          <w:color w:val="000000"/>
          <w:sz w:val="32"/>
          <w:szCs w:val="32"/>
        </w:rPr>
      </w:pPr>
      <w:r>
        <w:rPr>
          <w:rFonts w:hint="eastAsia" w:ascii="仿宋_GB2312" w:eastAsia="仿宋_GB2312"/>
          <w:color w:val="000000"/>
          <w:sz w:val="32"/>
          <w:szCs w:val="32"/>
        </w:rPr>
        <w:t>表5.国有资本经营预算支出预算表</w:t>
      </w:r>
    </w:p>
    <w:p>
      <w:pPr>
        <w:ind w:firstLine="1600" w:firstLineChars="500"/>
        <w:rPr>
          <w:rFonts w:hint="eastAsia" w:ascii="仿宋_GB2312" w:eastAsia="仿宋_GB2312"/>
          <w:color w:val="000000"/>
          <w:sz w:val="32"/>
          <w:szCs w:val="32"/>
          <w:lang w:val="en-US" w:eastAsia="zh-CN"/>
        </w:rPr>
      </w:pPr>
      <w:r>
        <w:rPr>
          <w:rFonts w:hint="eastAsia" w:ascii="仿宋_GB2312" w:eastAsia="仿宋_GB2312"/>
          <w:color w:val="000000"/>
          <w:sz w:val="32"/>
          <w:szCs w:val="32"/>
        </w:rPr>
        <w:t>表</w:t>
      </w:r>
      <w:r>
        <w:rPr>
          <w:rFonts w:hint="eastAsia" w:ascii="仿宋_GB2312" w:eastAsia="仿宋_GB2312"/>
          <w:color w:val="000000"/>
          <w:sz w:val="32"/>
          <w:szCs w:val="32"/>
          <w:lang w:val="en-US" w:eastAsia="zh-CN"/>
        </w:rPr>
        <w:t>13</w:t>
      </w:r>
      <w:r>
        <w:rPr>
          <w:rFonts w:ascii="仿宋_GB2312" w:eastAsia="仿宋_GB2312"/>
          <w:color w:val="000000"/>
          <w:sz w:val="32"/>
          <w:szCs w:val="32"/>
        </w:rPr>
        <w:t>.</w:t>
      </w:r>
      <w:r>
        <w:rPr>
          <w:rFonts w:hint="eastAsia" w:ascii="仿宋_GB2312" w:eastAsia="仿宋_GB2312"/>
          <w:color w:val="000000"/>
          <w:sz w:val="32"/>
          <w:szCs w:val="32"/>
        </w:rPr>
        <w:t>部门预算项目绩效目标表</w:t>
      </w:r>
      <w:r>
        <w:rPr>
          <w:rFonts w:hint="eastAsia" w:ascii="仿宋_GB2312" w:eastAsia="仿宋_GB2312"/>
          <w:color w:val="000000"/>
          <w:sz w:val="32"/>
          <w:szCs w:val="32"/>
          <w:lang w:val="en-US" w:eastAsia="zh-CN"/>
        </w:rPr>
        <w:t xml:space="preserve"> </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w:t>
      </w:r>
      <w:r>
        <w:rPr>
          <w:rFonts w:hint="eastAsia" w:ascii="仿宋_GB2312" w:eastAsia="仿宋_GB2312"/>
          <w:color w:val="000000"/>
          <w:sz w:val="32"/>
          <w:szCs w:val="32"/>
          <w:lang w:val="en-US" w:eastAsia="zh-CN"/>
        </w:rPr>
        <w:t>14</w:t>
      </w:r>
      <w:r>
        <w:rPr>
          <w:rFonts w:ascii="仿宋_GB2312" w:eastAsia="仿宋_GB2312"/>
          <w:color w:val="000000"/>
          <w:sz w:val="32"/>
          <w:szCs w:val="32"/>
        </w:rPr>
        <w:t>.</w:t>
      </w:r>
      <w:r>
        <w:rPr>
          <w:rFonts w:hint="eastAsia" w:ascii="仿宋_GB2312" w:eastAsia="仿宋_GB2312"/>
          <w:color w:val="000000"/>
          <w:sz w:val="32"/>
          <w:szCs w:val="32"/>
          <w:lang w:val="en-US" w:eastAsia="zh-CN"/>
        </w:rPr>
        <w:t>部门整体支出绩效目标表</w:t>
      </w:r>
    </w:p>
    <w:p>
      <w:pPr>
        <w:pageBreakBefore w:val="0"/>
        <w:widowControl w:val="0"/>
        <w:kinsoku/>
        <w:wordWrap/>
        <w:overflowPunct/>
        <w:topLinePunct w:val="0"/>
        <w:bidi w:val="0"/>
        <w:snapToGrid/>
        <w:spacing w:line="592" w:lineRule="exact"/>
        <w:ind w:firstLine="1600" w:firstLineChars="500"/>
        <w:textAlignment w:val="auto"/>
        <w:rPr>
          <w:rFonts w:hint="default" w:ascii="Times New Roman" w:hAnsi="Times New Roman" w:eastAsia="仿宋_GB2312" w:cs="Times New Roman"/>
          <w:color w:val="000000"/>
          <w:sz w:val="32"/>
          <w:szCs w:val="32"/>
        </w:rPr>
      </w:pPr>
    </w:p>
    <w:p>
      <w:pPr>
        <w:pageBreakBefore w:val="0"/>
        <w:kinsoku/>
        <w:wordWrap/>
        <w:overflowPunct/>
        <w:topLinePunct w:val="0"/>
        <w:bidi w:val="0"/>
        <w:spacing w:line="592" w:lineRule="exact"/>
        <w:ind w:firstLine="640" w:firstLineChars="200"/>
        <w:textAlignment w:val="auto"/>
        <w:rPr>
          <w:rFonts w:hint="default" w:ascii="Times New Roman" w:hAnsi="Times New Roman" w:eastAsia="仿宋_GB2312" w:cs="Times New Roman"/>
          <w:color w:val="000000"/>
          <w:sz w:val="32"/>
          <w:szCs w:val="32"/>
        </w:rPr>
      </w:pPr>
      <w:bookmarkStart w:id="25" w:name="_GoBack"/>
      <w:bookmarkEnd w:id="25"/>
    </w:p>
    <w:sectPr>
      <w:footerReference r:id="rId3" w:type="default"/>
      <w:footerReference r:id="rId4" w:type="even"/>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ngXian">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Fonts w:ascii="宋体" w:hAnsi="宋体"/>
        <w:sz w:val="30"/>
        <w:szCs w:val="30"/>
      </w:rPr>
    </w:pPr>
    <w:r>
      <w:rPr>
        <w:rStyle w:val="18"/>
        <w:rFonts w:ascii="宋体" w:hAnsi="宋体"/>
        <w:sz w:val="30"/>
        <w:szCs w:val="30"/>
      </w:rPr>
      <w:fldChar w:fldCharType="begin"/>
    </w:r>
    <w:r>
      <w:rPr>
        <w:rStyle w:val="18"/>
        <w:rFonts w:ascii="宋体" w:hAnsi="宋体"/>
        <w:sz w:val="30"/>
        <w:szCs w:val="30"/>
      </w:rPr>
      <w:instrText xml:space="preserve">PAGE  </w:instrText>
    </w:r>
    <w:r>
      <w:rPr>
        <w:rStyle w:val="18"/>
        <w:rFonts w:ascii="宋体" w:hAnsi="宋体"/>
        <w:sz w:val="30"/>
        <w:szCs w:val="30"/>
      </w:rPr>
      <w:fldChar w:fldCharType="separate"/>
    </w:r>
    <w:r>
      <w:rPr>
        <w:rStyle w:val="18"/>
        <w:rFonts w:ascii="宋体" w:hAnsi="宋体"/>
        <w:sz w:val="30"/>
        <w:szCs w:val="30"/>
      </w:rPr>
      <w:t>- 13 -</w:t>
    </w:r>
    <w:r>
      <w:rPr>
        <w:rStyle w:val="18"/>
        <w:rFonts w:ascii="宋体" w:hAnsi="宋体"/>
        <w:sz w:val="30"/>
        <w:szCs w:val="30"/>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- 7 -</w:t>
    </w:r>
    <w:r>
      <w:rPr>
        <w:rStyle w:val="18"/>
      </w:rPr>
      <w:fldChar w:fldCharType="end"/>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wODA1NjViYmQ4YzQ5M2JjMGIxYTMxNjJmMWU5OWMifQ=="/>
  </w:docVars>
  <w:rsids>
    <w:rsidRoot w:val="0060005D"/>
    <w:rsid w:val="0000338F"/>
    <w:rsid w:val="00025C94"/>
    <w:rsid w:val="00033E7D"/>
    <w:rsid w:val="00034C24"/>
    <w:rsid w:val="00036790"/>
    <w:rsid w:val="0004088F"/>
    <w:rsid w:val="00042256"/>
    <w:rsid w:val="00043AB0"/>
    <w:rsid w:val="00043C45"/>
    <w:rsid w:val="000441BE"/>
    <w:rsid w:val="00051E4D"/>
    <w:rsid w:val="0005393A"/>
    <w:rsid w:val="00070D0F"/>
    <w:rsid w:val="000778C1"/>
    <w:rsid w:val="0008782A"/>
    <w:rsid w:val="000A1822"/>
    <w:rsid w:val="000B0519"/>
    <w:rsid w:val="000B6532"/>
    <w:rsid w:val="000D49AE"/>
    <w:rsid w:val="000F2796"/>
    <w:rsid w:val="000F7222"/>
    <w:rsid w:val="000F77FC"/>
    <w:rsid w:val="001020B0"/>
    <w:rsid w:val="0012109F"/>
    <w:rsid w:val="00133907"/>
    <w:rsid w:val="00135827"/>
    <w:rsid w:val="00140AA5"/>
    <w:rsid w:val="00165253"/>
    <w:rsid w:val="001673C5"/>
    <w:rsid w:val="00192E46"/>
    <w:rsid w:val="0019621A"/>
    <w:rsid w:val="001B4FE7"/>
    <w:rsid w:val="001B5567"/>
    <w:rsid w:val="001C39A3"/>
    <w:rsid w:val="001E7CC8"/>
    <w:rsid w:val="00202C84"/>
    <w:rsid w:val="00220A1B"/>
    <w:rsid w:val="00222CD7"/>
    <w:rsid w:val="00224170"/>
    <w:rsid w:val="00227719"/>
    <w:rsid w:val="002331D1"/>
    <w:rsid w:val="00234AF9"/>
    <w:rsid w:val="00254517"/>
    <w:rsid w:val="002602E0"/>
    <w:rsid w:val="002737F6"/>
    <w:rsid w:val="00290B6E"/>
    <w:rsid w:val="00295E13"/>
    <w:rsid w:val="002A4026"/>
    <w:rsid w:val="002B20A7"/>
    <w:rsid w:val="002C28AA"/>
    <w:rsid w:val="002C75D8"/>
    <w:rsid w:val="002C7C28"/>
    <w:rsid w:val="002D006C"/>
    <w:rsid w:val="002D228F"/>
    <w:rsid w:val="002D33D6"/>
    <w:rsid w:val="002D6490"/>
    <w:rsid w:val="002E393B"/>
    <w:rsid w:val="002E796E"/>
    <w:rsid w:val="002F650D"/>
    <w:rsid w:val="003015F0"/>
    <w:rsid w:val="00304F1F"/>
    <w:rsid w:val="00317C7A"/>
    <w:rsid w:val="00317F59"/>
    <w:rsid w:val="00320413"/>
    <w:rsid w:val="00325AA6"/>
    <w:rsid w:val="0033216A"/>
    <w:rsid w:val="003418B3"/>
    <w:rsid w:val="00354CE6"/>
    <w:rsid w:val="003601BC"/>
    <w:rsid w:val="003658E5"/>
    <w:rsid w:val="00372986"/>
    <w:rsid w:val="00383846"/>
    <w:rsid w:val="0038402E"/>
    <w:rsid w:val="00395972"/>
    <w:rsid w:val="003B0E66"/>
    <w:rsid w:val="003B443F"/>
    <w:rsid w:val="003C2144"/>
    <w:rsid w:val="003D02B3"/>
    <w:rsid w:val="003D099E"/>
    <w:rsid w:val="003D48EE"/>
    <w:rsid w:val="003E20B0"/>
    <w:rsid w:val="003F0B3F"/>
    <w:rsid w:val="003F2E80"/>
    <w:rsid w:val="003F7431"/>
    <w:rsid w:val="0041651E"/>
    <w:rsid w:val="0041654D"/>
    <w:rsid w:val="004224F8"/>
    <w:rsid w:val="004241E0"/>
    <w:rsid w:val="00430A44"/>
    <w:rsid w:val="00434441"/>
    <w:rsid w:val="004351DB"/>
    <w:rsid w:val="00441E3A"/>
    <w:rsid w:val="00445034"/>
    <w:rsid w:val="0046107D"/>
    <w:rsid w:val="00464BEB"/>
    <w:rsid w:val="004651F5"/>
    <w:rsid w:val="004732A1"/>
    <w:rsid w:val="00494F4F"/>
    <w:rsid w:val="0049553A"/>
    <w:rsid w:val="00497E30"/>
    <w:rsid w:val="004A1563"/>
    <w:rsid w:val="004A6F4E"/>
    <w:rsid w:val="004B36F0"/>
    <w:rsid w:val="004C0D56"/>
    <w:rsid w:val="004C18B2"/>
    <w:rsid w:val="004D235D"/>
    <w:rsid w:val="004D376E"/>
    <w:rsid w:val="004D4D61"/>
    <w:rsid w:val="004F23E4"/>
    <w:rsid w:val="005009A7"/>
    <w:rsid w:val="00512F38"/>
    <w:rsid w:val="00514FAE"/>
    <w:rsid w:val="00525BF0"/>
    <w:rsid w:val="005326E1"/>
    <w:rsid w:val="00540DEA"/>
    <w:rsid w:val="005415C0"/>
    <w:rsid w:val="00551093"/>
    <w:rsid w:val="00552240"/>
    <w:rsid w:val="00552C80"/>
    <w:rsid w:val="00553930"/>
    <w:rsid w:val="00563C1D"/>
    <w:rsid w:val="00570B5C"/>
    <w:rsid w:val="0057689C"/>
    <w:rsid w:val="005A6A6E"/>
    <w:rsid w:val="005C6AD2"/>
    <w:rsid w:val="005D1217"/>
    <w:rsid w:val="005D6EAA"/>
    <w:rsid w:val="005E53E8"/>
    <w:rsid w:val="005E6CE5"/>
    <w:rsid w:val="005F2CA2"/>
    <w:rsid w:val="005F406C"/>
    <w:rsid w:val="005F4C66"/>
    <w:rsid w:val="0060005D"/>
    <w:rsid w:val="00604511"/>
    <w:rsid w:val="00607234"/>
    <w:rsid w:val="0061011D"/>
    <w:rsid w:val="00670F6B"/>
    <w:rsid w:val="006842EA"/>
    <w:rsid w:val="0068633F"/>
    <w:rsid w:val="00686726"/>
    <w:rsid w:val="00686EA0"/>
    <w:rsid w:val="006939E5"/>
    <w:rsid w:val="006B2A40"/>
    <w:rsid w:val="006B4CA6"/>
    <w:rsid w:val="006B505B"/>
    <w:rsid w:val="006C086C"/>
    <w:rsid w:val="006C151A"/>
    <w:rsid w:val="006D2767"/>
    <w:rsid w:val="006F0B1A"/>
    <w:rsid w:val="007006B9"/>
    <w:rsid w:val="00701FF7"/>
    <w:rsid w:val="0070439A"/>
    <w:rsid w:val="007056F5"/>
    <w:rsid w:val="007416D2"/>
    <w:rsid w:val="007461A7"/>
    <w:rsid w:val="00754A14"/>
    <w:rsid w:val="0076200E"/>
    <w:rsid w:val="007639C0"/>
    <w:rsid w:val="00764BD6"/>
    <w:rsid w:val="00770454"/>
    <w:rsid w:val="007741C2"/>
    <w:rsid w:val="00777781"/>
    <w:rsid w:val="007863B0"/>
    <w:rsid w:val="007922C1"/>
    <w:rsid w:val="00794482"/>
    <w:rsid w:val="0079680D"/>
    <w:rsid w:val="0079750E"/>
    <w:rsid w:val="00797A78"/>
    <w:rsid w:val="007A5222"/>
    <w:rsid w:val="007A5F38"/>
    <w:rsid w:val="007A5FBE"/>
    <w:rsid w:val="007C1E6E"/>
    <w:rsid w:val="007C30FF"/>
    <w:rsid w:val="007D34E9"/>
    <w:rsid w:val="007D4E9C"/>
    <w:rsid w:val="007E2169"/>
    <w:rsid w:val="007E2C25"/>
    <w:rsid w:val="007F2112"/>
    <w:rsid w:val="007F2349"/>
    <w:rsid w:val="007F7D2B"/>
    <w:rsid w:val="00802450"/>
    <w:rsid w:val="00803D41"/>
    <w:rsid w:val="00804938"/>
    <w:rsid w:val="00806F83"/>
    <w:rsid w:val="008118B3"/>
    <w:rsid w:val="00812A91"/>
    <w:rsid w:val="00812D97"/>
    <w:rsid w:val="00814891"/>
    <w:rsid w:val="00821B5D"/>
    <w:rsid w:val="00823FF4"/>
    <w:rsid w:val="008331F1"/>
    <w:rsid w:val="00845994"/>
    <w:rsid w:val="008541A5"/>
    <w:rsid w:val="00855FBB"/>
    <w:rsid w:val="00872155"/>
    <w:rsid w:val="008730B6"/>
    <w:rsid w:val="00873D41"/>
    <w:rsid w:val="0087674B"/>
    <w:rsid w:val="00882095"/>
    <w:rsid w:val="00883A74"/>
    <w:rsid w:val="00884D64"/>
    <w:rsid w:val="00885B8D"/>
    <w:rsid w:val="00887A24"/>
    <w:rsid w:val="0089276A"/>
    <w:rsid w:val="00893DA5"/>
    <w:rsid w:val="00893EFA"/>
    <w:rsid w:val="008A16B8"/>
    <w:rsid w:val="008A36A2"/>
    <w:rsid w:val="008D157C"/>
    <w:rsid w:val="008E1134"/>
    <w:rsid w:val="008F3850"/>
    <w:rsid w:val="00902687"/>
    <w:rsid w:val="00906727"/>
    <w:rsid w:val="0091135A"/>
    <w:rsid w:val="00916E95"/>
    <w:rsid w:val="00925AE5"/>
    <w:rsid w:val="00926342"/>
    <w:rsid w:val="009333FC"/>
    <w:rsid w:val="00933815"/>
    <w:rsid w:val="00944249"/>
    <w:rsid w:val="00950D25"/>
    <w:rsid w:val="00956E1E"/>
    <w:rsid w:val="009572F9"/>
    <w:rsid w:val="00961121"/>
    <w:rsid w:val="0096640C"/>
    <w:rsid w:val="00967D9D"/>
    <w:rsid w:val="0097041D"/>
    <w:rsid w:val="00994264"/>
    <w:rsid w:val="009B3343"/>
    <w:rsid w:val="009B581B"/>
    <w:rsid w:val="009C0512"/>
    <w:rsid w:val="009D2390"/>
    <w:rsid w:val="009D58E5"/>
    <w:rsid w:val="009E6371"/>
    <w:rsid w:val="009E65F7"/>
    <w:rsid w:val="009E7A28"/>
    <w:rsid w:val="009F6462"/>
    <w:rsid w:val="00A117E2"/>
    <w:rsid w:val="00A3642E"/>
    <w:rsid w:val="00A41095"/>
    <w:rsid w:val="00A50705"/>
    <w:rsid w:val="00A6051A"/>
    <w:rsid w:val="00A6096B"/>
    <w:rsid w:val="00A746BA"/>
    <w:rsid w:val="00A8477A"/>
    <w:rsid w:val="00A9259A"/>
    <w:rsid w:val="00A92CD8"/>
    <w:rsid w:val="00AA3E31"/>
    <w:rsid w:val="00AA4999"/>
    <w:rsid w:val="00AA774F"/>
    <w:rsid w:val="00AB7543"/>
    <w:rsid w:val="00AE658E"/>
    <w:rsid w:val="00AE7611"/>
    <w:rsid w:val="00AF1278"/>
    <w:rsid w:val="00AF1508"/>
    <w:rsid w:val="00AF3F9F"/>
    <w:rsid w:val="00AF5969"/>
    <w:rsid w:val="00AF5CCF"/>
    <w:rsid w:val="00B04EC6"/>
    <w:rsid w:val="00B14071"/>
    <w:rsid w:val="00B2221D"/>
    <w:rsid w:val="00B277EA"/>
    <w:rsid w:val="00B30C8E"/>
    <w:rsid w:val="00B32B40"/>
    <w:rsid w:val="00B50FD8"/>
    <w:rsid w:val="00B611D2"/>
    <w:rsid w:val="00B62C5D"/>
    <w:rsid w:val="00B639CB"/>
    <w:rsid w:val="00B85D4E"/>
    <w:rsid w:val="00B861F7"/>
    <w:rsid w:val="00B90385"/>
    <w:rsid w:val="00BB095E"/>
    <w:rsid w:val="00BB4C49"/>
    <w:rsid w:val="00BB4FDB"/>
    <w:rsid w:val="00BC2340"/>
    <w:rsid w:val="00BE1F1A"/>
    <w:rsid w:val="00BF3C5A"/>
    <w:rsid w:val="00BF3F02"/>
    <w:rsid w:val="00BF59D0"/>
    <w:rsid w:val="00BF78E0"/>
    <w:rsid w:val="00C102F1"/>
    <w:rsid w:val="00C11C2C"/>
    <w:rsid w:val="00C12E5F"/>
    <w:rsid w:val="00C1377D"/>
    <w:rsid w:val="00C3756B"/>
    <w:rsid w:val="00C405BA"/>
    <w:rsid w:val="00C416C5"/>
    <w:rsid w:val="00C43420"/>
    <w:rsid w:val="00C5171E"/>
    <w:rsid w:val="00C524B7"/>
    <w:rsid w:val="00C52ADF"/>
    <w:rsid w:val="00C52D69"/>
    <w:rsid w:val="00C545FD"/>
    <w:rsid w:val="00C61C0F"/>
    <w:rsid w:val="00C64220"/>
    <w:rsid w:val="00C74AC7"/>
    <w:rsid w:val="00C91727"/>
    <w:rsid w:val="00CB0218"/>
    <w:rsid w:val="00CB4341"/>
    <w:rsid w:val="00CB4387"/>
    <w:rsid w:val="00CC3046"/>
    <w:rsid w:val="00CC36FE"/>
    <w:rsid w:val="00CC4D8E"/>
    <w:rsid w:val="00CC4EAA"/>
    <w:rsid w:val="00CC6639"/>
    <w:rsid w:val="00CC6B8C"/>
    <w:rsid w:val="00CD0E1E"/>
    <w:rsid w:val="00CD5486"/>
    <w:rsid w:val="00CE2BFC"/>
    <w:rsid w:val="00CF004A"/>
    <w:rsid w:val="00D011F1"/>
    <w:rsid w:val="00D1521F"/>
    <w:rsid w:val="00D263A4"/>
    <w:rsid w:val="00D35BC9"/>
    <w:rsid w:val="00D601DE"/>
    <w:rsid w:val="00D63C87"/>
    <w:rsid w:val="00D70718"/>
    <w:rsid w:val="00D75B9C"/>
    <w:rsid w:val="00DA2193"/>
    <w:rsid w:val="00DA2767"/>
    <w:rsid w:val="00DA27A2"/>
    <w:rsid w:val="00DB1766"/>
    <w:rsid w:val="00DB6335"/>
    <w:rsid w:val="00DC04EF"/>
    <w:rsid w:val="00DC28A8"/>
    <w:rsid w:val="00DE3A32"/>
    <w:rsid w:val="00DF1635"/>
    <w:rsid w:val="00DF463A"/>
    <w:rsid w:val="00E058E9"/>
    <w:rsid w:val="00E1481A"/>
    <w:rsid w:val="00E25D3A"/>
    <w:rsid w:val="00E27F75"/>
    <w:rsid w:val="00E331F3"/>
    <w:rsid w:val="00E33EF2"/>
    <w:rsid w:val="00E40521"/>
    <w:rsid w:val="00E56615"/>
    <w:rsid w:val="00E569B1"/>
    <w:rsid w:val="00E71F6B"/>
    <w:rsid w:val="00E82037"/>
    <w:rsid w:val="00E923A7"/>
    <w:rsid w:val="00EB5E3F"/>
    <w:rsid w:val="00EC27EB"/>
    <w:rsid w:val="00EC4D7A"/>
    <w:rsid w:val="00EC7190"/>
    <w:rsid w:val="00EC7634"/>
    <w:rsid w:val="00ED6069"/>
    <w:rsid w:val="00EE29A6"/>
    <w:rsid w:val="00EE75AF"/>
    <w:rsid w:val="00EF16C0"/>
    <w:rsid w:val="00EF3961"/>
    <w:rsid w:val="00EF3E06"/>
    <w:rsid w:val="00F07C54"/>
    <w:rsid w:val="00F31DEB"/>
    <w:rsid w:val="00F34596"/>
    <w:rsid w:val="00F42D2E"/>
    <w:rsid w:val="00F4320E"/>
    <w:rsid w:val="00F43C3F"/>
    <w:rsid w:val="00F51398"/>
    <w:rsid w:val="00F52BEB"/>
    <w:rsid w:val="00F636F0"/>
    <w:rsid w:val="00F665B1"/>
    <w:rsid w:val="00F7250C"/>
    <w:rsid w:val="00F77209"/>
    <w:rsid w:val="00F85DC6"/>
    <w:rsid w:val="00F91F5D"/>
    <w:rsid w:val="00F948EC"/>
    <w:rsid w:val="00FA1409"/>
    <w:rsid w:val="00FA479F"/>
    <w:rsid w:val="00FB22FD"/>
    <w:rsid w:val="00FC030C"/>
    <w:rsid w:val="00FE7E80"/>
    <w:rsid w:val="06E2177C"/>
    <w:rsid w:val="169052DA"/>
    <w:rsid w:val="17DC3DCC"/>
    <w:rsid w:val="1A7269A4"/>
    <w:rsid w:val="1DED1A76"/>
    <w:rsid w:val="21DC62A6"/>
    <w:rsid w:val="2B3F1751"/>
    <w:rsid w:val="2B423FE4"/>
    <w:rsid w:val="49DE120D"/>
    <w:rsid w:val="4BB94634"/>
    <w:rsid w:val="4CD02AB5"/>
    <w:rsid w:val="4E45303D"/>
    <w:rsid w:val="5176028E"/>
    <w:rsid w:val="59D95AAA"/>
    <w:rsid w:val="626D11D6"/>
    <w:rsid w:val="734170D1"/>
    <w:rsid w:val="76E332E5"/>
    <w:rsid w:val="7C775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2"/>
    <w:qFormat/>
    <w:uiPriority w:val="0"/>
    <w:pPr>
      <w:keepNext/>
      <w:keepLines/>
      <w:spacing w:before="260" w:after="260" w:line="416" w:lineRule="auto"/>
      <w:outlineLvl w:val="1"/>
    </w:pPr>
    <w:rPr>
      <w:rFonts w:ascii="DengXian Light" w:hAnsi="DengXian Light" w:eastAsia="DengXian Light"/>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93" w:beforeLines="30"/>
    </w:pPr>
    <w:rPr>
      <w:rFonts w:ascii="仿宋_GB2312" w:eastAsia="仿宋_GB2312"/>
      <w:sz w:val="30"/>
    </w:rPr>
  </w:style>
  <w:style w:type="paragraph" w:styleId="5">
    <w:name w:val="index 5"/>
    <w:basedOn w:val="1"/>
    <w:next w:val="1"/>
    <w:qFormat/>
    <w:uiPriority w:val="0"/>
    <w:pPr>
      <w:ind w:left="800" w:leftChars="800"/>
    </w:pPr>
  </w:style>
  <w:style w:type="paragraph" w:styleId="6">
    <w:name w:val="Body Text Indent"/>
    <w:basedOn w:val="1"/>
    <w:qFormat/>
    <w:uiPriority w:val="0"/>
    <w:pPr>
      <w:spacing w:line="640" w:lineRule="exact"/>
      <w:ind w:firstLine="645"/>
    </w:pPr>
    <w:rPr>
      <w:rFonts w:ascii="Times New Roman" w:hAnsi="Times New Roman"/>
    </w:rPr>
  </w:style>
  <w:style w:type="paragraph" w:styleId="7">
    <w:name w:val="toc 5"/>
    <w:basedOn w:val="1"/>
    <w:next w:val="1"/>
    <w:qFormat/>
    <w:uiPriority w:val="0"/>
    <w:pPr>
      <w:ind w:left="1680"/>
    </w:pPr>
    <w:rPr>
      <w:rFonts w:ascii="黑体" w:eastAsia="黑体"/>
      <w:sz w:val="32"/>
      <w:szCs w:val="32"/>
    </w:rPr>
  </w:style>
  <w:style w:type="paragraph" w:styleId="8">
    <w:name w:val="toc 3"/>
    <w:basedOn w:val="1"/>
    <w:next w:val="1"/>
    <w:unhideWhenUsed/>
    <w:qFormat/>
    <w:uiPriority w:val="39"/>
    <w:pPr>
      <w:widowControl/>
      <w:spacing w:after="100" w:line="259" w:lineRule="auto"/>
      <w:ind w:left="440"/>
      <w:jc w:val="left"/>
    </w:pPr>
    <w:rPr>
      <w:rFonts w:ascii="Calibri" w:hAnsi="Calibri"/>
      <w:kern w:val="0"/>
      <w:sz w:val="22"/>
      <w:szCs w:val="22"/>
    </w:rPr>
  </w:style>
  <w:style w:type="paragraph" w:styleId="9">
    <w:name w:val="Balloon Text"/>
    <w:basedOn w:val="1"/>
    <w:semiHidden/>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spacing w:before="120"/>
      <w:jc w:val="left"/>
    </w:pPr>
    <w:rPr>
      <w:rFonts w:ascii="DengXian" w:eastAsia="DengXian"/>
      <w:b/>
      <w:bCs/>
      <w:i/>
      <w:iCs/>
      <w:sz w:val="24"/>
    </w:rPr>
  </w:style>
  <w:style w:type="paragraph" w:styleId="13">
    <w:name w:val="toc 2"/>
    <w:basedOn w:val="1"/>
    <w:next w:val="1"/>
    <w:unhideWhenUsed/>
    <w:qFormat/>
    <w:uiPriority w:val="39"/>
    <w:pPr>
      <w:spacing w:before="120"/>
      <w:ind w:left="300"/>
      <w:jc w:val="left"/>
    </w:pPr>
    <w:rPr>
      <w:rFonts w:ascii="DengXian" w:eastAsia="DengXian"/>
      <w:b/>
      <w:bCs/>
      <w:sz w:val="22"/>
      <w:szCs w:val="22"/>
    </w:rPr>
  </w:style>
  <w:style w:type="paragraph" w:styleId="14">
    <w:name w:val="Body Text First Indent 2"/>
    <w:basedOn w:val="6"/>
    <w:qFormat/>
    <w:uiPriority w:val="99"/>
    <w:pPr>
      <w:spacing w:after="120"/>
      <w:ind w:left="420" w:leftChars="200" w:firstLine="420"/>
    </w:pPr>
  </w:style>
  <w:style w:type="character" w:styleId="17">
    <w:name w:val="Strong"/>
    <w:qFormat/>
    <w:uiPriority w:val="0"/>
    <w:rPr>
      <w:b/>
      <w:bCs/>
    </w:rPr>
  </w:style>
  <w:style w:type="character" w:styleId="18">
    <w:name w:val="page number"/>
    <w:basedOn w:val="16"/>
    <w:qFormat/>
    <w:uiPriority w:val="0"/>
  </w:style>
  <w:style w:type="character" w:styleId="19">
    <w:name w:val="Hyperlink"/>
    <w:unhideWhenUsed/>
    <w:qFormat/>
    <w:uiPriority w:val="99"/>
    <w:rPr>
      <w:color w:val="0000FF"/>
      <w:u w:val="single"/>
    </w:rPr>
  </w:style>
  <w:style w:type="paragraph" w:customStyle="1" w:styleId="20">
    <w:name w:val="Char Char Char Char Char Char Char Char Char Char Char Char"/>
    <w:basedOn w:val="1"/>
    <w:semiHidden/>
    <w:qFormat/>
    <w:uiPriority w:val="0"/>
    <w:rPr>
      <w:szCs w:val="21"/>
    </w:rPr>
  </w:style>
  <w:style w:type="character" w:customStyle="1" w:styleId="21">
    <w:name w:val="标题 1 字符"/>
    <w:link w:val="3"/>
    <w:qFormat/>
    <w:uiPriority w:val="0"/>
    <w:rPr>
      <w:b/>
      <w:bCs/>
      <w:kern w:val="44"/>
      <w:sz w:val="44"/>
      <w:szCs w:val="44"/>
    </w:rPr>
  </w:style>
  <w:style w:type="character" w:customStyle="1" w:styleId="22">
    <w:name w:val="标题 2 字符"/>
    <w:link w:val="4"/>
    <w:semiHidden/>
    <w:qFormat/>
    <w:uiPriority w:val="0"/>
    <w:rPr>
      <w:rFonts w:ascii="DengXian Light" w:hAnsi="DengXian Light" w:eastAsia="DengXian Light" w:cs="Times New Roman"/>
      <w:b/>
      <w:bCs/>
      <w:kern w:val="2"/>
      <w:sz w:val="32"/>
      <w:szCs w:val="32"/>
    </w:rPr>
  </w:style>
  <w:style w:type="paragraph" w:customStyle="1" w:styleId="23">
    <w:name w:val="TOC Heading"/>
    <w:basedOn w:val="3"/>
    <w:next w:val="1"/>
    <w:qFormat/>
    <w:uiPriority w:val="39"/>
    <w:pPr>
      <w:widowControl/>
      <w:spacing w:before="480" w:after="0" w:line="276" w:lineRule="auto"/>
      <w:jc w:val="left"/>
      <w:outlineLvl w:val="9"/>
    </w:pPr>
    <w:rPr>
      <w:rFonts w:ascii="Calibri Light" w:hAnsi="Calibri Light"/>
      <w:color w:val="2E74B5"/>
      <w:kern w:val="0"/>
      <w:sz w:val="28"/>
      <w:szCs w:val="28"/>
    </w:rPr>
  </w:style>
  <w:style w:type="character" w:customStyle="1" w:styleId="24">
    <w:name w:val="NormalCharacter"/>
    <w:semiHidden/>
    <w:qFormat/>
    <w:uiPriority w:val="0"/>
    <w:rPr>
      <w:kern w:val="2"/>
      <w:sz w:val="21"/>
      <w:szCs w:val="24"/>
      <w:lang w:val="en-US" w:eastAsia="zh-CN" w:bidi="ar-SA"/>
    </w:rPr>
  </w:style>
  <w:style w:type="paragraph" w:customStyle="1" w:styleId="25">
    <w:name w:val="无间隔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Sheet1!$B$1</c:f>
              <c:strCache>
                <c:ptCount val="1"/>
                <c:pt idx="0">
                  <c:v>财政拨款收支总预算变动情况</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c:v>
                </c:pt>
                <c:pt idx="1">
                  <c:v>2022年</c:v>
                </c:pt>
              </c:strCache>
            </c:strRef>
          </c:cat>
          <c:val>
            <c:numRef>
              <c:f>Sheet1!$B$2:$B$3</c:f>
              <c:numCache>
                <c:formatCode>General</c:formatCode>
                <c:ptCount val="2"/>
                <c:pt idx="0">
                  <c:v>571.93</c:v>
                </c:pt>
                <c:pt idx="1">
                  <c:v>607.84</c:v>
                </c:pt>
              </c:numCache>
            </c:numRef>
          </c:val>
        </c:ser>
        <c:dLbls>
          <c:showLegendKey val="0"/>
          <c:showVal val="1"/>
          <c:showCatName val="0"/>
          <c:showSerName val="0"/>
          <c:showPercent val="0"/>
          <c:showBubbleSize val="0"/>
        </c:dLbls>
        <c:gapWidth val="219"/>
        <c:overlap val="-27"/>
        <c:axId val="396525136"/>
        <c:axId val="836537964"/>
      </c:barChart>
      <c:catAx>
        <c:axId val="39652513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36537964"/>
        <c:crosses val="autoZero"/>
        <c:auto val="1"/>
        <c:lblAlgn val="ctr"/>
        <c:lblOffset val="100"/>
        <c:noMultiLvlLbl val="0"/>
      </c:catAx>
      <c:valAx>
        <c:axId val="8365379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6525136"/>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一般公共预算财政拨款支出预算</a:t>
            </a:r>
          </a:p>
          <a:p>
            <a:pPr defTabSz="914400">
              <a:defRPr lang="zh-CN" sz="1400" b="0" i="0" u="none" strike="noStrike" kern="1200" spc="0" baseline="0">
                <a:solidFill>
                  <a:schemeClr val="tx1">
                    <a:lumMod val="65000"/>
                    <a:lumOff val="35000"/>
                  </a:schemeClr>
                </a:solidFill>
                <a:latin typeface="+mn-lt"/>
                <a:ea typeface="+mn-ea"/>
                <a:cs typeface="+mn-cs"/>
              </a:defRPr>
            </a:pPr>
            <a:r>
              <a:t>变动情况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一般公共预算财政拨款支出预算变动情况</c:v>
                </c:pt>
              </c:strCache>
            </c:strRef>
          </c:tx>
          <c:spPr>
            <a:solidFill>
              <a:schemeClr val="accent1"/>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c:v>
                </c:pt>
                <c:pt idx="1">
                  <c:v>2022年</c:v>
                </c:pt>
              </c:strCache>
            </c:strRef>
          </c:cat>
          <c:val>
            <c:numRef>
              <c:f>Sheet1!$B$2:$B$3</c:f>
              <c:numCache>
                <c:formatCode>General</c:formatCode>
                <c:ptCount val="2"/>
                <c:pt idx="0">
                  <c:v>571.93</c:v>
                </c:pt>
                <c:pt idx="1">
                  <c:v>607.84</c:v>
                </c:pt>
              </c:numCache>
            </c:numRef>
          </c:val>
        </c:ser>
        <c:dLbls>
          <c:showLegendKey val="0"/>
          <c:showVal val="0"/>
          <c:showCatName val="0"/>
          <c:showSerName val="0"/>
          <c:showPercent val="0"/>
          <c:showBubbleSize val="0"/>
        </c:dLbls>
        <c:gapWidth val="219"/>
        <c:overlap val="-27"/>
        <c:axId val="210709558"/>
        <c:axId val="873992135"/>
      </c:barChart>
      <c:catAx>
        <c:axId val="21070955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3992135"/>
        <c:crosses val="autoZero"/>
        <c:auto val="1"/>
        <c:lblAlgn val="ctr"/>
        <c:lblOffset val="100"/>
        <c:noMultiLvlLbl val="0"/>
      </c:catAx>
      <c:valAx>
        <c:axId val="8739921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070955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一般公共预算财政拨款支出预算结构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一般公共服务支出</c:v>
                </c:pt>
                <c:pt idx="1">
                  <c:v>教育支出</c:v>
                </c:pt>
                <c:pt idx="2">
                  <c:v>社会保障和就业支出</c:v>
                </c:pt>
                <c:pt idx="3">
                  <c:v>卫生健康支出</c:v>
                </c:pt>
              </c:strCache>
            </c:strRef>
          </c:cat>
          <c:val>
            <c:numRef>
              <c:f>Sheet1!$B$2:$B$5</c:f>
              <c:numCache>
                <c:formatCode>General</c:formatCode>
                <c:ptCount val="4"/>
                <c:pt idx="0">
                  <c:v>252.36</c:v>
                </c:pt>
                <c:pt idx="1">
                  <c:v>0</c:v>
                </c:pt>
                <c:pt idx="2">
                  <c:v>344.76</c:v>
                </c:pt>
                <c:pt idx="3">
                  <c:v>10.72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1928125"/>
          <c:y val="0.93666666666666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5223</Words>
  <Characters>5588</Characters>
  <Lines>16</Lines>
  <Paragraphs>12</Paragraphs>
  <TotalTime>0</TotalTime>
  <ScaleCrop>false</ScaleCrop>
  <LinksUpToDate>false</LinksUpToDate>
  <CharactersWithSpaces>5699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2021-12-02T06:40:00Z</dcterms:created>
  <dc:creator>赵树子</dc:creator>
  <cp:lastModifiedBy>王英雄</cp:lastModifiedBy>
  <cp:lastPrinted>2022-05-05T01:32:00Z</cp:lastPrinted>
  <dcterms:modified xsi:type="dcterms:W3CDTF">2022-05-05T05:29:18Z</dcterms:modified>
  <dc:title>四川省财政厅2011年部门预算编制说明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3CFCAAF0D0E84A05AC522EDDD46B3D5A</vt:lpwstr>
  </property>
</Properties>
</file>