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drawings/drawing1.xml" ContentType="application/vnd.openxmlformats-officedocument.drawingml.chartshap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firstLineChars="0"/>
        <w:jc w:val="center"/>
        <w:rPr>
          <w:rFonts w:hint="eastAsia" w:ascii="宋体" w:hAnsi="宋体"/>
          <w:b/>
          <w:sz w:val="44"/>
          <w:szCs w:val="44"/>
        </w:rPr>
      </w:pPr>
      <w:r>
        <w:rPr>
          <w:rFonts w:hint="eastAsia" w:ascii="宋体" w:hAnsi="宋体"/>
          <w:b/>
          <w:sz w:val="44"/>
          <w:szCs w:val="44"/>
        </w:rPr>
        <w:t>自贡市自流井区文化馆2021年</w:t>
      </w:r>
    </w:p>
    <w:p>
      <w:pPr>
        <w:ind w:firstLine="420" w:firstLineChars="0"/>
        <w:jc w:val="center"/>
        <w:rPr>
          <w:rFonts w:ascii="宋体" w:hAnsi="宋体"/>
          <w:b/>
          <w:sz w:val="44"/>
          <w:szCs w:val="44"/>
        </w:rPr>
      </w:pPr>
      <w:bookmarkStart w:id="23" w:name="_GoBack"/>
      <w:bookmarkEnd w:id="23"/>
      <w:r>
        <w:rPr>
          <w:rFonts w:hint="eastAsia" w:ascii="宋体" w:hAnsi="宋体"/>
          <w:b/>
          <w:sz w:val="44"/>
          <w:szCs w:val="44"/>
        </w:rPr>
        <w:t>部门预算编制说明</w:t>
      </w:r>
    </w:p>
    <w:p>
      <w:pPr>
        <w:widowControl/>
        <w:jc w:val="center"/>
        <w:rPr>
          <w:rFonts w:ascii="黑体" w:hAnsi="黑体" w:eastAsia="黑体"/>
          <w:color w:val="000000"/>
          <w:sz w:val="48"/>
          <w:szCs w:val="48"/>
        </w:rPr>
      </w:pPr>
    </w:p>
    <w:p>
      <w:pPr>
        <w:widowControl/>
        <w:jc w:val="center"/>
        <w:rPr>
          <w:rFonts w:ascii="黑体" w:hAnsi="黑体" w:eastAsia="黑体"/>
          <w:color w:val="000000"/>
          <w:sz w:val="48"/>
          <w:szCs w:val="48"/>
        </w:rPr>
      </w:pPr>
      <w:bookmarkStart w:id="0" w:name="_Hlk72430755"/>
      <w:r>
        <w:rPr>
          <w:rFonts w:hint="eastAsia" w:ascii="黑体" w:hAnsi="黑体" w:eastAsia="黑体"/>
          <w:color w:val="000000"/>
          <w:sz w:val="48"/>
          <w:szCs w:val="48"/>
        </w:rPr>
        <w:t>目录</w:t>
      </w:r>
    </w:p>
    <w:p>
      <w:pPr>
        <w:pStyle w:val="9"/>
        <w:tabs>
          <w:tab w:val="right" w:leader="dot" w:pos="8296"/>
        </w:tabs>
        <w:spacing w:line="600" w:lineRule="exact"/>
        <w:rPr>
          <w:rFonts w:ascii="仿宋_GB2312" w:hAnsi="Calibri" w:eastAsia="仿宋_GB2312"/>
          <w:b w:val="0"/>
          <w:bCs w:val="0"/>
          <w:i w:val="0"/>
          <w:iCs w:val="0"/>
          <w:sz w:val="28"/>
          <w:szCs w:val="28"/>
        </w:rPr>
      </w:pP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TOC \o "1-3" \h \z \u </w:instrText>
      </w:r>
      <w:r>
        <w:rPr>
          <w:rFonts w:hint="eastAsia" w:ascii="仿宋_GB2312" w:eastAsia="仿宋_GB2312"/>
          <w:b w:val="0"/>
          <w:bCs w:val="0"/>
          <w:i w:val="0"/>
          <w:iCs w:val="0"/>
          <w:sz w:val="28"/>
          <w:szCs w:val="28"/>
        </w:rPr>
        <w:fldChar w:fldCharType="separate"/>
      </w:r>
      <w:r>
        <w:fldChar w:fldCharType="begin"/>
      </w:r>
      <w:r>
        <w:instrText xml:space="preserve"> HYPERLINK \l "_Toc72430477" </w:instrText>
      </w:r>
      <w:r>
        <w:fldChar w:fldCharType="separate"/>
      </w:r>
      <w:r>
        <w:rPr>
          <w:rStyle w:val="15"/>
          <w:rFonts w:hint="eastAsia" w:ascii="仿宋_GB2312" w:eastAsia="仿宋_GB2312"/>
          <w:b w:val="0"/>
          <w:bCs w:val="0"/>
          <w:i w:val="0"/>
          <w:iCs w:val="0"/>
          <w:sz w:val="28"/>
          <w:szCs w:val="28"/>
        </w:rPr>
        <w:t>一、基本职能及主要工作</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_Toc72430477 \h </w:instrText>
      </w:r>
      <w:r>
        <w:rPr>
          <w:rFonts w:hint="eastAsia" w:ascii="仿宋_GB2312" w:eastAsia="仿宋_GB2312"/>
          <w:b w:val="0"/>
          <w:bCs w:val="0"/>
          <w:i w:val="0"/>
          <w:iCs w:val="0"/>
          <w:sz w:val="28"/>
          <w:szCs w:val="28"/>
        </w:rPr>
        <w:fldChar w:fldCharType="separate"/>
      </w:r>
      <w:r>
        <w:rPr>
          <w:rFonts w:ascii="仿宋_GB2312" w:eastAsia="仿宋_GB2312"/>
          <w:b w:val="0"/>
          <w:bCs w:val="0"/>
          <w:i w:val="0"/>
          <w:iCs w:val="0"/>
          <w:sz w:val="28"/>
          <w:szCs w:val="28"/>
        </w:rPr>
        <w:t>- 3 -</w:t>
      </w:r>
      <w:r>
        <w:rPr>
          <w:rFonts w:hint="eastAsia" w:ascii="仿宋_GB2312" w:eastAsia="仿宋_GB2312"/>
          <w:b w:val="0"/>
          <w:bCs w:val="0"/>
          <w:i w:val="0"/>
          <w:iCs w:val="0"/>
          <w:sz w:val="28"/>
          <w:szCs w:val="28"/>
        </w:rPr>
        <w:fldChar w:fldCharType="end"/>
      </w:r>
      <w:r>
        <w:rPr>
          <w:rFonts w:hint="eastAsia" w:ascii="仿宋_GB2312" w:eastAsia="仿宋_GB2312"/>
          <w:b w:val="0"/>
          <w:bCs w:val="0"/>
          <w:i w:val="0"/>
          <w:iCs w:val="0"/>
          <w:sz w:val="28"/>
          <w:szCs w:val="28"/>
        </w:rPr>
        <w:fldChar w:fldCharType="end"/>
      </w:r>
    </w:p>
    <w:p>
      <w:pPr>
        <w:pStyle w:val="10"/>
        <w:tabs>
          <w:tab w:val="right" w:leader="dot" w:pos="8296"/>
        </w:tabs>
        <w:spacing w:line="600" w:lineRule="exact"/>
        <w:rPr>
          <w:rFonts w:ascii="仿宋_GB2312" w:hAnsi="Calibri" w:eastAsia="仿宋_GB2312"/>
          <w:b w:val="0"/>
          <w:bCs w:val="0"/>
          <w:sz w:val="28"/>
          <w:szCs w:val="28"/>
        </w:rPr>
      </w:pPr>
      <w:r>
        <w:fldChar w:fldCharType="begin"/>
      </w:r>
      <w:r>
        <w:instrText xml:space="preserve"> HYPERLINK \l "_Toc72430478" </w:instrText>
      </w:r>
      <w:r>
        <w:fldChar w:fldCharType="separate"/>
      </w:r>
      <w:r>
        <w:rPr>
          <w:rStyle w:val="15"/>
          <w:rFonts w:hint="eastAsia" w:ascii="仿宋_GB2312" w:eastAsia="仿宋_GB2312"/>
          <w:b w:val="0"/>
          <w:bCs w:val="0"/>
          <w:sz w:val="28"/>
          <w:szCs w:val="28"/>
        </w:rPr>
        <w:t>（一）自贡市自流井区文化馆职能简介。</w:t>
      </w:r>
      <w:r>
        <w:rPr>
          <w:rFonts w:hint="eastAsia" w:ascii="仿宋_GB2312" w:eastAsia="仿宋_GB2312"/>
          <w:b w:val="0"/>
          <w:bCs w:val="0"/>
          <w:sz w:val="28"/>
          <w:szCs w:val="28"/>
        </w:rPr>
        <w:tab/>
      </w:r>
      <w:r>
        <w:rPr>
          <w:rFonts w:hint="eastAsia" w:ascii="仿宋_GB2312" w:eastAsia="仿宋_GB2312"/>
          <w:b w:val="0"/>
          <w:bCs w:val="0"/>
          <w:sz w:val="28"/>
          <w:szCs w:val="28"/>
        </w:rPr>
        <w:fldChar w:fldCharType="begin"/>
      </w:r>
      <w:r>
        <w:rPr>
          <w:rFonts w:hint="eastAsia" w:ascii="仿宋_GB2312" w:eastAsia="仿宋_GB2312"/>
          <w:b w:val="0"/>
          <w:bCs w:val="0"/>
          <w:sz w:val="28"/>
          <w:szCs w:val="28"/>
        </w:rPr>
        <w:instrText xml:space="preserve"> PAGEREF _Toc72430478 \h </w:instrText>
      </w:r>
      <w:r>
        <w:rPr>
          <w:rFonts w:hint="eastAsia" w:ascii="仿宋_GB2312" w:eastAsia="仿宋_GB2312"/>
          <w:b w:val="0"/>
          <w:bCs w:val="0"/>
          <w:sz w:val="28"/>
          <w:szCs w:val="28"/>
        </w:rPr>
        <w:fldChar w:fldCharType="separate"/>
      </w:r>
      <w:r>
        <w:rPr>
          <w:rFonts w:ascii="仿宋_GB2312" w:eastAsia="仿宋_GB2312"/>
          <w:b w:val="0"/>
          <w:bCs w:val="0"/>
          <w:sz w:val="28"/>
          <w:szCs w:val="28"/>
        </w:rPr>
        <w:t>- 3 -</w:t>
      </w:r>
      <w:r>
        <w:rPr>
          <w:rFonts w:hint="eastAsia" w:ascii="仿宋_GB2312" w:eastAsia="仿宋_GB2312"/>
          <w:b w:val="0"/>
          <w:bCs w:val="0"/>
          <w:sz w:val="28"/>
          <w:szCs w:val="28"/>
        </w:rPr>
        <w:fldChar w:fldCharType="end"/>
      </w:r>
      <w:r>
        <w:rPr>
          <w:rFonts w:hint="eastAsia" w:ascii="仿宋_GB2312" w:eastAsia="仿宋_GB2312"/>
          <w:b w:val="0"/>
          <w:bCs w:val="0"/>
          <w:sz w:val="28"/>
          <w:szCs w:val="28"/>
        </w:rPr>
        <w:fldChar w:fldCharType="end"/>
      </w:r>
    </w:p>
    <w:p>
      <w:pPr>
        <w:pStyle w:val="10"/>
        <w:tabs>
          <w:tab w:val="right" w:leader="dot" w:pos="8296"/>
        </w:tabs>
        <w:spacing w:line="600" w:lineRule="exact"/>
        <w:rPr>
          <w:rFonts w:ascii="仿宋_GB2312" w:hAnsi="Calibri" w:eastAsia="仿宋_GB2312"/>
          <w:b w:val="0"/>
          <w:bCs w:val="0"/>
          <w:sz w:val="28"/>
          <w:szCs w:val="28"/>
        </w:rPr>
      </w:pPr>
      <w:r>
        <w:fldChar w:fldCharType="begin"/>
      </w:r>
      <w:r>
        <w:instrText xml:space="preserve"> HYPERLINK \l "_Toc72430479" </w:instrText>
      </w:r>
      <w:r>
        <w:fldChar w:fldCharType="separate"/>
      </w:r>
      <w:r>
        <w:rPr>
          <w:rStyle w:val="15"/>
          <w:rFonts w:hint="eastAsia" w:ascii="仿宋_GB2312" w:eastAsia="仿宋_GB2312"/>
          <w:b w:val="0"/>
          <w:bCs w:val="0"/>
          <w:sz w:val="28"/>
          <w:szCs w:val="28"/>
        </w:rPr>
        <w:t>（二）自贡市自流井区文化馆2021年重点工作。</w:t>
      </w:r>
      <w:r>
        <w:rPr>
          <w:rFonts w:hint="eastAsia" w:ascii="仿宋_GB2312" w:eastAsia="仿宋_GB2312"/>
          <w:b w:val="0"/>
          <w:bCs w:val="0"/>
          <w:sz w:val="28"/>
          <w:szCs w:val="28"/>
        </w:rPr>
        <w:tab/>
      </w:r>
      <w:r>
        <w:rPr>
          <w:rFonts w:hint="eastAsia" w:ascii="仿宋_GB2312" w:eastAsia="仿宋_GB2312"/>
          <w:b w:val="0"/>
          <w:bCs w:val="0"/>
          <w:sz w:val="28"/>
          <w:szCs w:val="28"/>
        </w:rPr>
        <w:fldChar w:fldCharType="begin"/>
      </w:r>
      <w:r>
        <w:rPr>
          <w:rFonts w:hint="eastAsia" w:ascii="仿宋_GB2312" w:eastAsia="仿宋_GB2312"/>
          <w:b w:val="0"/>
          <w:bCs w:val="0"/>
          <w:sz w:val="28"/>
          <w:szCs w:val="28"/>
        </w:rPr>
        <w:instrText xml:space="preserve"> PAGEREF _Toc72430479 \h </w:instrText>
      </w:r>
      <w:r>
        <w:rPr>
          <w:rFonts w:hint="eastAsia" w:ascii="仿宋_GB2312" w:eastAsia="仿宋_GB2312"/>
          <w:b w:val="0"/>
          <w:bCs w:val="0"/>
          <w:sz w:val="28"/>
          <w:szCs w:val="28"/>
        </w:rPr>
        <w:fldChar w:fldCharType="separate"/>
      </w:r>
      <w:r>
        <w:rPr>
          <w:rFonts w:ascii="仿宋_GB2312" w:eastAsia="仿宋_GB2312"/>
          <w:b w:val="0"/>
          <w:bCs w:val="0"/>
          <w:sz w:val="28"/>
          <w:szCs w:val="28"/>
        </w:rPr>
        <w:t>- 3 -</w:t>
      </w:r>
      <w:r>
        <w:rPr>
          <w:rFonts w:hint="eastAsia" w:ascii="仿宋_GB2312" w:eastAsia="仿宋_GB2312"/>
          <w:b w:val="0"/>
          <w:bCs w:val="0"/>
          <w:sz w:val="28"/>
          <w:szCs w:val="28"/>
        </w:rPr>
        <w:fldChar w:fldCharType="end"/>
      </w:r>
      <w:r>
        <w:rPr>
          <w:rFonts w:hint="eastAsia" w:ascii="仿宋_GB2312" w:eastAsia="仿宋_GB2312"/>
          <w:b w:val="0"/>
          <w:bCs w:val="0"/>
          <w:sz w:val="28"/>
          <w:szCs w:val="28"/>
        </w:rPr>
        <w:fldChar w:fldCharType="end"/>
      </w:r>
    </w:p>
    <w:p>
      <w:pPr>
        <w:pStyle w:val="9"/>
        <w:tabs>
          <w:tab w:val="right" w:leader="dot" w:pos="8296"/>
        </w:tabs>
        <w:spacing w:line="600" w:lineRule="exact"/>
        <w:rPr>
          <w:rFonts w:ascii="仿宋_GB2312" w:hAnsi="Calibri" w:eastAsia="仿宋_GB2312"/>
          <w:b w:val="0"/>
          <w:bCs w:val="0"/>
          <w:i w:val="0"/>
          <w:iCs w:val="0"/>
          <w:sz w:val="28"/>
          <w:szCs w:val="28"/>
        </w:rPr>
      </w:pPr>
      <w:r>
        <w:fldChar w:fldCharType="begin"/>
      </w:r>
      <w:r>
        <w:instrText xml:space="preserve"> HYPERLINK \l "_Toc72430480" </w:instrText>
      </w:r>
      <w:r>
        <w:fldChar w:fldCharType="separate"/>
      </w:r>
      <w:r>
        <w:rPr>
          <w:rStyle w:val="15"/>
          <w:rFonts w:hint="eastAsia" w:ascii="仿宋_GB2312" w:eastAsia="仿宋_GB2312"/>
          <w:b w:val="0"/>
          <w:bCs w:val="0"/>
          <w:i w:val="0"/>
          <w:iCs w:val="0"/>
          <w:sz w:val="28"/>
          <w:szCs w:val="28"/>
        </w:rPr>
        <w:t>二、部门概况</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_Toc72430480 \h </w:instrText>
      </w:r>
      <w:r>
        <w:rPr>
          <w:rFonts w:hint="eastAsia" w:ascii="仿宋_GB2312" w:eastAsia="仿宋_GB2312"/>
          <w:b w:val="0"/>
          <w:bCs w:val="0"/>
          <w:i w:val="0"/>
          <w:iCs w:val="0"/>
          <w:sz w:val="28"/>
          <w:szCs w:val="28"/>
        </w:rPr>
        <w:fldChar w:fldCharType="separate"/>
      </w:r>
      <w:r>
        <w:rPr>
          <w:rFonts w:ascii="仿宋_GB2312" w:eastAsia="仿宋_GB2312"/>
          <w:b w:val="0"/>
          <w:bCs w:val="0"/>
          <w:i w:val="0"/>
          <w:iCs w:val="0"/>
          <w:sz w:val="28"/>
          <w:szCs w:val="28"/>
        </w:rPr>
        <w:t>- 3 -</w:t>
      </w:r>
      <w:r>
        <w:rPr>
          <w:rFonts w:hint="eastAsia" w:ascii="仿宋_GB2312" w:eastAsia="仿宋_GB2312"/>
          <w:b w:val="0"/>
          <w:bCs w:val="0"/>
          <w:i w:val="0"/>
          <w:iCs w:val="0"/>
          <w:sz w:val="28"/>
          <w:szCs w:val="28"/>
        </w:rPr>
        <w:fldChar w:fldCharType="end"/>
      </w:r>
      <w:r>
        <w:rPr>
          <w:rFonts w:hint="eastAsia" w:ascii="仿宋_GB2312" w:eastAsia="仿宋_GB2312"/>
          <w:b w:val="0"/>
          <w:bCs w:val="0"/>
          <w:i w:val="0"/>
          <w:iCs w:val="0"/>
          <w:sz w:val="28"/>
          <w:szCs w:val="28"/>
        </w:rPr>
        <w:fldChar w:fldCharType="end"/>
      </w:r>
    </w:p>
    <w:p>
      <w:pPr>
        <w:pStyle w:val="9"/>
        <w:tabs>
          <w:tab w:val="right" w:leader="dot" w:pos="8296"/>
        </w:tabs>
        <w:spacing w:line="600" w:lineRule="exact"/>
        <w:rPr>
          <w:rFonts w:ascii="仿宋_GB2312" w:hAnsi="Calibri" w:eastAsia="仿宋_GB2312"/>
          <w:b w:val="0"/>
          <w:bCs w:val="0"/>
          <w:i w:val="0"/>
          <w:iCs w:val="0"/>
          <w:sz w:val="28"/>
          <w:szCs w:val="28"/>
        </w:rPr>
      </w:pPr>
      <w:r>
        <w:fldChar w:fldCharType="begin"/>
      </w:r>
      <w:r>
        <w:instrText xml:space="preserve"> HYPERLINK \l "_Toc72430481" </w:instrText>
      </w:r>
      <w:r>
        <w:fldChar w:fldCharType="separate"/>
      </w:r>
      <w:r>
        <w:rPr>
          <w:rStyle w:val="15"/>
          <w:rFonts w:hint="eastAsia" w:ascii="仿宋_GB2312" w:eastAsia="仿宋_GB2312"/>
          <w:b w:val="0"/>
          <w:bCs w:val="0"/>
          <w:i w:val="0"/>
          <w:iCs w:val="0"/>
          <w:sz w:val="28"/>
          <w:szCs w:val="28"/>
        </w:rPr>
        <w:t>三、收支预算情况说明</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_Toc72430481 \h </w:instrText>
      </w:r>
      <w:r>
        <w:rPr>
          <w:rFonts w:hint="eastAsia" w:ascii="仿宋_GB2312" w:eastAsia="仿宋_GB2312"/>
          <w:b w:val="0"/>
          <w:bCs w:val="0"/>
          <w:i w:val="0"/>
          <w:iCs w:val="0"/>
          <w:sz w:val="28"/>
          <w:szCs w:val="28"/>
        </w:rPr>
        <w:fldChar w:fldCharType="separate"/>
      </w:r>
      <w:r>
        <w:rPr>
          <w:rFonts w:ascii="仿宋_GB2312" w:eastAsia="仿宋_GB2312"/>
          <w:b w:val="0"/>
          <w:bCs w:val="0"/>
          <w:i w:val="0"/>
          <w:iCs w:val="0"/>
          <w:sz w:val="28"/>
          <w:szCs w:val="28"/>
        </w:rPr>
        <w:t>- 4 -</w:t>
      </w:r>
      <w:r>
        <w:rPr>
          <w:rFonts w:hint="eastAsia" w:ascii="仿宋_GB2312" w:eastAsia="仿宋_GB2312"/>
          <w:b w:val="0"/>
          <w:bCs w:val="0"/>
          <w:i w:val="0"/>
          <w:iCs w:val="0"/>
          <w:sz w:val="28"/>
          <w:szCs w:val="28"/>
        </w:rPr>
        <w:fldChar w:fldCharType="end"/>
      </w:r>
      <w:r>
        <w:rPr>
          <w:rFonts w:hint="eastAsia" w:ascii="仿宋_GB2312" w:eastAsia="仿宋_GB2312"/>
          <w:b w:val="0"/>
          <w:bCs w:val="0"/>
          <w:i w:val="0"/>
          <w:iCs w:val="0"/>
          <w:sz w:val="28"/>
          <w:szCs w:val="28"/>
        </w:rPr>
        <w:fldChar w:fldCharType="end"/>
      </w:r>
    </w:p>
    <w:p>
      <w:pPr>
        <w:pStyle w:val="10"/>
        <w:tabs>
          <w:tab w:val="right" w:leader="dot" w:pos="8296"/>
        </w:tabs>
        <w:spacing w:line="600" w:lineRule="exact"/>
        <w:rPr>
          <w:rFonts w:ascii="仿宋_GB2312" w:hAnsi="Calibri" w:eastAsia="仿宋_GB2312"/>
          <w:b w:val="0"/>
          <w:bCs w:val="0"/>
          <w:sz w:val="28"/>
          <w:szCs w:val="28"/>
        </w:rPr>
      </w:pPr>
      <w:r>
        <w:fldChar w:fldCharType="begin"/>
      </w:r>
      <w:r>
        <w:instrText xml:space="preserve"> HYPERLINK \l "_Toc72430482" </w:instrText>
      </w:r>
      <w:r>
        <w:fldChar w:fldCharType="separate"/>
      </w:r>
      <w:r>
        <w:rPr>
          <w:rStyle w:val="15"/>
          <w:rFonts w:hint="eastAsia" w:ascii="仿宋_GB2312" w:eastAsia="仿宋_GB2312"/>
          <w:b w:val="0"/>
          <w:bCs w:val="0"/>
          <w:sz w:val="28"/>
          <w:szCs w:val="28"/>
        </w:rPr>
        <w:t>（一）收入预算情况</w:t>
      </w:r>
      <w:r>
        <w:rPr>
          <w:rFonts w:hint="eastAsia" w:ascii="仿宋_GB2312" w:eastAsia="仿宋_GB2312"/>
          <w:b w:val="0"/>
          <w:bCs w:val="0"/>
          <w:sz w:val="28"/>
          <w:szCs w:val="28"/>
        </w:rPr>
        <w:tab/>
      </w:r>
      <w:r>
        <w:rPr>
          <w:rFonts w:hint="eastAsia" w:ascii="仿宋_GB2312" w:eastAsia="仿宋_GB2312"/>
          <w:b w:val="0"/>
          <w:bCs w:val="0"/>
          <w:sz w:val="28"/>
          <w:szCs w:val="28"/>
        </w:rPr>
        <w:fldChar w:fldCharType="begin"/>
      </w:r>
      <w:r>
        <w:rPr>
          <w:rFonts w:hint="eastAsia" w:ascii="仿宋_GB2312" w:eastAsia="仿宋_GB2312"/>
          <w:b w:val="0"/>
          <w:bCs w:val="0"/>
          <w:sz w:val="28"/>
          <w:szCs w:val="28"/>
        </w:rPr>
        <w:instrText xml:space="preserve"> PAGEREF _Toc72430482 \h </w:instrText>
      </w:r>
      <w:r>
        <w:rPr>
          <w:rFonts w:hint="eastAsia" w:ascii="仿宋_GB2312" w:eastAsia="仿宋_GB2312"/>
          <w:b w:val="0"/>
          <w:bCs w:val="0"/>
          <w:sz w:val="28"/>
          <w:szCs w:val="28"/>
        </w:rPr>
        <w:fldChar w:fldCharType="separate"/>
      </w:r>
      <w:r>
        <w:rPr>
          <w:rFonts w:ascii="仿宋_GB2312" w:eastAsia="仿宋_GB2312"/>
          <w:b w:val="0"/>
          <w:bCs w:val="0"/>
          <w:sz w:val="28"/>
          <w:szCs w:val="28"/>
        </w:rPr>
        <w:t>- 4 -</w:t>
      </w:r>
      <w:r>
        <w:rPr>
          <w:rFonts w:hint="eastAsia" w:ascii="仿宋_GB2312" w:eastAsia="仿宋_GB2312"/>
          <w:b w:val="0"/>
          <w:bCs w:val="0"/>
          <w:sz w:val="28"/>
          <w:szCs w:val="28"/>
        </w:rPr>
        <w:fldChar w:fldCharType="end"/>
      </w:r>
      <w:r>
        <w:rPr>
          <w:rFonts w:hint="eastAsia" w:ascii="仿宋_GB2312" w:eastAsia="仿宋_GB2312"/>
          <w:b w:val="0"/>
          <w:bCs w:val="0"/>
          <w:sz w:val="28"/>
          <w:szCs w:val="28"/>
        </w:rPr>
        <w:fldChar w:fldCharType="end"/>
      </w:r>
    </w:p>
    <w:p>
      <w:pPr>
        <w:pStyle w:val="10"/>
        <w:tabs>
          <w:tab w:val="right" w:leader="dot" w:pos="8296"/>
        </w:tabs>
        <w:spacing w:line="600" w:lineRule="exact"/>
        <w:rPr>
          <w:rFonts w:ascii="仿宋_GB2312" w:hAnsi="Calibri" w:eastAsia="仿宋_GB2312"/>
          <w:b w:val="0"/>
          <w:bCs w:val="0"/>
          <w:sz w:val="28"/>
          <w:szCs w:val="28"/>
        </w:rPr>
      </w:pPr>
      <w:r>
        <w:fldChar w:fldCharType="begin"/>
      </w:r>
      <w:r>
        <w:instrText xml:space="preserve"> HYPERLINK \l "_Toc72430483" </w:instrText>
      </w:r>
      <w:r>
        <w:fldChar w:fldCharType="separate"/>
      </w:r>
      <w:r>
        <w:rPr>
          <w:rStyle w:val="15"/>
          <w:rFonts w:hint="eastAsia" w:ascii="仿宋_GB2312" w:eastAsia="仿宋_GB2312"/>
          <w:b w:val="0"/>
          <w:bCs w:val="0"/>
          <w:sz w:val="28"/>
          <w:szCs w:val="28"/>
        </w:rPr>
        <w:t>（二）支出预算情况</w:t>
      </w:r>
      <w:r>
        <w:rPr>
          <w:rFonts w:hint="eastAsia" w:ascii="仿宋_GB2312" w:eastAsia="仿宋_GB2312"/>
          <w:b w:val="0"/>
          <w:bCs w:val="0"/>
          <w:sz w:val="28"/>
          <w:szCs w:val="28"/>
        </w:rPr>
        <w:tab/>
      </w:r>
      <w:r>
        <w:rPr>
          <w:rFonts w:hint="eastAsia" w:ascii="仿宋_GB2312" w:eastAsia="仿宋_GB2312"/>
          <w:b w:val="0"/>
          <w:bCs w:val="0"/>
          <w:sz w:val="28"/>
          <w:szCs w:val="28"/>
        </w:rPr>
        <w:fldChar w:fldCharType="begin"/>
      </w:r>
      <w:r>
        <w:rPr>
          <w:rFonts w:hint="eastAsia" w:ascii="仿宋_GB2312" w:eastAsia="仿宋_GB2312"/>
          <w:b w:val="0"/>
          <w:bCs w:val="0"/>
          <w:sz w:val="28"/>
          <w:szCs w:val="28"/>
        </w:rPr>
        <w:instrText xml:space="preserve"> PAGEREF _Toc72430483 \h </w:instrText>
      </w:r>
      <w:r>
        <w:rPr>
          <w:rFonts w:hint="eastAsia" w:ascii="仿宋_GB2312" w:eastAsia="仿宋_GB2312"/>
          <w:b w:val="0"/>
          <w:bCs w:val="0"/>
          <w:sz w:val="28"/>
          <w:szCs w:val="28"/>
        </w:rPr>
        <w:fldChar w:fldCharType="separate"/>
      </w:r>
      <w:r>
        <w:rPr>
          <w:rFonts w:ascii="仿宋_GB2312" w:eastAsia="仿宋_GB2312"/>
          <w:b w:val="0"/>
          <w:bCs w:val="0"/>
          <w:sz w:val="28"/>
          <w:szCs w:val="28"/>
        </w:rPr>
        <w:t>- 5 -</w:t>
      </w:r>
      <w:r>
        <w:rPr>
          <w:rFonts w:hint="eastAsia" w:ascii="仿宋_GB2312" w:eastAsia="仿宋_GB2312"/>
          <w:b w:val="0"/>
          <w:bCs w:val="0"/>
          <w:sz w:val="28"/>
          <w:szCs w:val="28"/>
        </w:rPr>
        <w:fldChar w:fldCharType="end"/>
      </w:r>
      <w:r>
        <w:rPr>
          <w:rFonts w:hint="eastAsia" w:ascii="仿宋_GB2312" w:eastAsia="仿宋_GB2312"/>
          <w:b w:val="0"/>
          <w:bCs w:val="0"/>
          <w:sz w:val="28"/>
          <w:szCs w:val="28"/>
        </w:rPr>
        <w:fldChar w:fldCharType="end"/>
      </w:r>
    </w:p>
    <w:p>
      <w:pPr>
        <w:pStyle w:val="9"/>
        <w:tabs>
          <w:tab w:val="right" w:leader="dot" w:pos="8296"/>
        </w:tabs>
        <w:spacing w:line="600" w:lineRule="exact"/>
        <w:rPr>
          <w:rFonts w:ascii="仿宋_GB2312" w:hAnsi="Calibri" w:eastAsia="仿宋_GB2312"/>
          <w:b w:val="0"/>
          <w:bCs w:val="0"/>
          <w:i w:val="0"/>
          <w:iCs w:val="0"/>
          <w:sz w:val="28"/>
          <w:szCs w:val="28"/>
        </w:rPr>
      </w:pPr>
      <w:r>
        <w:fldChar w:fldCharType="begin"/>
      </w:r>
      <w:r>
        <w:instrText xml:space="preserve"> HYPERLINK \l "_Toc72430484" </w:instrText>
      </w:r>
      <w:r>
        <w:fldChar w:fldCharType="separate"/>
      </w:r>
      <w:r>
        <w:rPr>
          <w:rStyle w:val="15"/>
          <w:rFonts w:hint="eastAsia" w:ascii="仿宋_GB2312" w:eastAsia="仿宋_GB2312"/>
          <w:b w:val="0"/>
          <w:bCs w:val="0"/>
          <w:i w:val="0"/>
          <w:iCs w:val="0"/>
          <w:sz w:val="28"/>
          <w:szCs w:val="28"/>
        </w:rPr>
        <w:t>四、财政拨款收支预算情况说明</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_Toc72430484 \h </w:instrText>
      </w:r>
      <w:r>
        <w:rPr>
          <w:rFonts w:hint="eastAsia" w:ascii="仿宋_GB2312" w:eastAsia="仿宋_GB2312"/>
          <w:b w:val="0"/>
          <w:bCs w:val="0"/>
          <w:i w:val="0"/>
          <w:iCs w:val="0"/>
          <w:sz w:val="28"/>
          <w:szCs w:val="28"/>
        </w:rPr>
        <w:fldChar w:fldCharType="separate"/>
      </w:r>
      <w:r>
        <w:rPr>
          <w:rFonts w:ascii="仿宋_GB2312" w:eastAsia="仿宋_GB2312"/>
          <w:b w:val="0"/>
          <w:bCs w:val="0"/>
          <w:i w:val="0"/>
          <w:iCs w:val="0"/>
          <w:sz w:val="28"/>
          <w:szCs w:val="28"/>
        </w:rPr>
        <w:t>- 5 -</w:t>
      </w:r>
      <w:r>
        <w:rPr>
          <w:rFonts w:hint="eastAsia" w:ascii="仿宋_GB2312" w:eastAsia="仿宋_GB2312"/>
          <w:b w:val="0"/>
          <w:bCs w:val="0"/>
          <w:i w:val="0"/>
          <w:iCs w:val="0"/>
          <w:sz w:val="28"/>
          <w:szCs w:val="28"/>
        </w:rPr>
        <w:fldChar w:fldCharType="end"/>
      </w:r>
      <w:r>
        <w:rPr>
          <w:rFonts w:hint="eastAsia" w:ascii="仿宋_GB2312" w:eastAsia="仿宋_GB2312"/>
          <w:b w:val="0"/>
          <w:bCs w:val="0"/>
          <w:i w:val="0"/>
          <w:iCs w:val="0"/>
          <w:sz w:val="28"/>
          <w:szCs w:val="28"/>
        </w:rPr>
        <w:fldChar w:fldCharType="end"/>
      </w:r>
    </w:p>
    <w:p>
      <w:pPr>
        <w:pStyle w:val="9"/>
        <w:tabs>
          <w:tab w:val="right" w:leader="dot" w:pos="8296"/>
        </w:tabs>
        <w:spacing w:line="600" w:lineRule="exact"/>
        <w:rPr>
          <w:rFonts w:ascii="仿宋_GB2312" w:hAnsi="Calibri" w:eastAsia="仿宋_GB2312"/>
          <w:b w:val="0"/>
          <w:bCs w:val="0"/>
          <w:i w:val="0"/>
          <w:iCs w:val="0"/>
          <w:sz w:val="28"/>
          <w:szCs w:val="28"/>
        </w:rPr>
      </w:pPr>
      <w:r>
        <w:fldChar w:fldCharType="begin"/>
      </w:r>
      <w:r>
        <w:instrText xml:space="preserve"> HYPERLINK \l "_Toc72430485" </w:instrText>
      </w:r>
      <w:r>
        <w:fldChar w:fldCharType="separate"/>
      </w:r>
      <w:r>
        <w:rPr>
          <w:rStyle w:val="15"/>
          <w:rFonts w:hint="eastAsia" w:ascii="仿宋_GB2312" w:eastAsia="仿宋_GB2312"/>
          <w:b w:val="0"/>
          <w:bCs w:val="0"/>
          <w:i w:val="0"/>
          <w:iCs w:val="0"/>
          <w:sz w:val="28"/>
          <w:szCs w:val="28"/>
        </w:rPr>
        <w:t>五、一般公共预算当年拨款情况说明</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_Toc72430485 \h </w:instrText>
      </w:r>
      <w:r>
        <w:rPr>
          <w:rFonts w:hint="eastAsia" w:ascii="仿宋_GB2312" w:eastAsia="仿宋_GB2312"/>
          <w:b w:val="0"/>
          <w:bCs w:val="0"/>
          <w:i w:val="0"/>
          <w:iCs w:val="0"/>
          <w:sz w:val="28"/>
          <w:szCs w:val="28"/>
        </w:rPr>
        <w:fldChar w:fldCharType="separate"/>
      </w:r>
      <w:r>
        <w:rPr>
          <w:rFonts w:ascii="仿宋_GB2312" w:eastAsia="仿宋_GB2312"/>
          <w:b w:val="0"/>
          <w:bCs w:val="0"/>
          <w:i w:val="0"/>
          <w:iCs w:val="0"/>
          <w:sz w:val="28"/>
          <w:szCs w:val="28"/>
        </w:rPr>
        <w:t>- 6 -</w:t>
      </w:r>
      <w:r>
        <w:rPr>
          <w:rFonts w:hint="eastAsia" w:ascii="仿宋_GB2312" w:eastAsia="仿宋_GB2312"/>
          <w:b w:val="0"/>
          <w:bCs w:val="0"/>
          <w:i w:val="0"/>
          <w:iCs w:val="0"/>
          <w:sz w:val="28"/>
          <w:szCs w:val="28"/>
        </w:rPr>
        <w:fldChar w:fldCharType="end"/>
      </w:r>
      <w:r>
        <w:rPr>
          <w:rFonts w:hint="eastAsia" w:ascii="仿宋_GB2312" w:eastAsia="仿宋_GB2312"/>
          <w:b w:val="0"/>
          <w:bCs w:val="0"/>
          <w:i w:val="0"/>
          <w:iCs w:val="0"/>
          <w:sz w:val="28"/>
          <w:szCs w:val="28"/>
        </w:rPr>
        <w:fldChar w:fldCharType="end"/>
      </w:r>
    </w:p>
    <w:p>
      <w:pPr>
        <w:pStyle w:val="10"/>
        <w:tabs>
          <w:tab w:val="right" w:leader="dot" w:pos="8296"/>
        </w:tabs>
        <w:spacing w:line="600" w:lineRule="exact"/>
        <w:rPr>
          <w:rFonts w:ascii="仿宋_GB2312" w:hAnsi="Calibri" w:eastAsia="仿宋_GB2312"/>
          <w:b w:val="0"/>
          <w:bCs w:val="0"/>
          <w:sz w:val="28"/>
          <w:szCs w:val="28"/>
        </w:rPr>
      </w:pPr>
      <w:r>
        <w:fldChar w:fldCharType="begin"/>
      </w:r>
      <w:r>
        <w:instrText xml:space="preserve"> HYPERLINK \l "_Toc72430486" </w:instrText>
      </w:r>
      <w:r>
        <w:fldChar w:fldCharType="separate"/>
      </w:r>
      <w:r>
        <w:rPr>
          <w:rStyle w:val="15"/>
          <w:rFonts w:hint="eastAsia" w:ascii="仿宋_GB2312" w:eastAsia="仿宋_GB2312"/>
          <w:b w:val="0"/>
          <w:bCs w:val="0"/>
          <w:sz w:val="28"/>
          <w:szCs w:val="28"/>
        </w:rPr>
        <w:t>（一）一般公共预算当年拨款规模变化情况</w:t>
      </w:r>
      <w:r>
        <w:rPr>
          <w:rFonts w:hint="eastAsia" w:ascii="仿宋_GB2312" w:eastAsia="仿宋_GB2312"/>
          <w:b w:val="0"/>
          <w:bCs w:val="0"/>
          <w:sz w:val="28"/>
          <w:szCs w:val="28"/>
        </w:rPr>
        <w:tab/>
      </w:r>
      <w:r>
        <w:rPr>
          <w:rFonts w:hint="eastAsia" w:ascii="仿宋_GB2312" w:eastAsia="仿宋_GB2312"/>
          <w:b w:val="0"/>
          <w:bCs w:val="0"/>
          <w:sz w:val="28"/>
          <w:szCs w:val="28"/>
        </w:rPr>
        <w:fldChar w:fldCharType="begin"/>
      </w:r>
      <w:r>
        <w:rPr>
          <w:rFonts w:hint="eastAsia" w:ascii="仿宋_GB2312" w:eastAsia="仿宋_GB2312"/>
          <w:b w:val="0"/>
          <w:bCs w:val="0"/>
          <w:sz w:val="28"/>
          <w:szCs w:val="28"/>
        </w:rPr>
        <w:instrText xml:space="preserve"> PAGEREF _Toc72430486 \h </w:instrText>
      </w:r>
      <w:r>
        <w:rPr>
          <w:rFonts w:hint="eastAsia" w:ascii="仿宋_GB2312" w:eastAsia="仿宋_GB2312"/>
          <w:b w:val="0"/>
          <w:bCs w:val="0"/>
          <w:sz w:val="28"/>
          <w:szCs w:val="28"/>
        </w:rPr>
        <w:fldChar w:fldCharType="separate"/>
      </w:r>
      <w:r>
        <w:rPr>
          <w:rFonts w:ascii="仿宋_GB2312" w:eastAsia="仿宋_GB2312"/>
          <w:b w:val="0"/>
          <w:bCs w:val="0"/>
          <w:sz w:val="28"/>
          <w:szCs w:val="28"/>
        </w:rPr>
        <w:t>- 6 -</w:t>
      </w:r>
      <w:r>
        <w:rPr>
          <w:rFonts w:hint="eastAsia" w:ascii="仿宋_GB2312" w:eastAsia="仿宋_GB2312"/>
          <w:b w:val="0"/>
          <w:bCs w:val="0"/>
          <w:sz w:val="28"/>
          <w:szCs w:val="28"/>
        </w:rPr>
        <w:fldChar w:fldCharType="end"/>
      </w:r>
      <w:r>
        <w:rPr>
          <w:rFonts w:hint="eastAsia" w:ascii="仿宋_GB2312" w:eastAsia="仿宋_GB2312"/>
          <w:b w:val="0"/>
          <w:bCs w:val="0"/>
          <w:sz w:val="28"/>
          <w:szCs w:val="28"/>
        </w:rPr>
        <w:fldChar w:fldCharType="end"/>
      </w:r>
    </w:p>
    <w:p>
      <w:pPr>
        <w:pStyle w:val="10"/>
        <w:tabs>
          <w:tab w:val="right" w:leader="dot" w:pos="8296"/>
        </w:tabs>
        <w:spacing w:line="600" w:lineRule="exact"/>
        <w:rPr>
          <w:rFonts w:ascii="仿宋_GB2312" w:hAnsi="Calibri" w:eastAsia="仿宋_GB2312"/>
          <w:b w:val="0"/>
          <w:bCs w:val="0"/>
          <w:sz w:val="28"/>
          <w:szCs w:val="28"/>
        </w:rPr>
      </w:pPr>
      <w:r>
        <w:fldChar w:fldCharType="begin"/>
      </w:r>
      <w:r>
        <w:instrText xml:space="preserve"> HYPERLINK \l "_Toc72430487" </w:instrText>
      </w:r>
      <w:r>
        <w:fldChar w:fldCharType="separate"/>
      </w:r>
      <w:r>
        <w:rPr>
          <w:rStyle w:val="15"/>
          <w:rFonts w:hint="eastAsia" w:ascii="仿宋_GB2312" w:eastAsia="仿宋_GB2312"/>
          <w:b w:val="0"/>
          <w:bCs w:val="0"/>
          <w:sz w:val="28"/>
          <w:szCs w:val="28"/>
        </w:rPr>
        <w:t>（二）一般公共预算当年拨款结构情况</w:t>
      </w:r>
      <w:r>
        <w:rPr>
          <w:rFonts w:hint="eastAsia" w:ascii="仿宋_GB2312" w:eastAsia="仿宋_GB2312"/>
          <w:b w:val="0"/>
          <w:bCs w:val="0"/>
          <w:sz w:val="28"/>
          <w:szCs w:val="28"/>
        </w:rPr>
        <w:tab/>
      </w:r>
      <w:r>
        <w:rPr>
          <w:rFonts w:hint="eastAsia" w:ascii="仿宋_GB2312" w:eastAsia="仿宋_GB2312"/>
          <w:b w:val="0"/>
          <w:bCs w:val="0"/>
          <w:sz w:val="28"/>
          <w:szCs w:val="28"/>
        </w:rPr>
        <w:fldChar w:fldCharType="begin"/>
      </w:r>
      <w:r>
        <w:rPr>
          <w:rFonts w:hint="eastAsia" w:ascii="仿宋_GB2312" w:eastAsia="仿宋_GB2312"/>
          <w:b w:val="0"/>
          <w:bCs w:val="0"/>
          <w:sz w:val="28"/>
          <w:szCs w:val="28"/>
        </w:rPr>
        <w:instrText xml:space="preserve"> PAGEREF _Toc72430487 \h </w:instrText>
      </w:r>
      <w:r>
        <w:rPr>
          <w:rFonts w:hint="eastAsia" w:ascii="仿宋_GB2312" w:eastAsia="仿宋_GB2312"/>
          <w:b w:val="0"/>
          <w:bCs w:val="0"/>
          <w:sz w:val="28"/>
          <w:szCs w:val="28"/>
        </w:rPr>
        <w:fldChar w:fldCharType="separate"/>
      </w:r>
      <w:r>
        <w:rPr>
          <w:rFonts w:ascii="仿宋_GB2312" w:eastAsia="仿宋_GB2312"/>
          <w:b w:val="0"/>
          <w:bCs w:val="0"/>
          <w:sz w:val="28"/>
          <w:szCs w:val="28"/>
        </w:rPr>
        <w:t>- 7 -</w:t>
      </w:r>
      <w:r>
        <w:rPr>
          <w:rFonts w:hint="eastAsia" w:ascii="仿宋_GB2312" w:eastAsia="仿宋_GB2312"/>
          <w:b w:val="0"/>
          <w:bCs w:val="0"/>
          <w:sz w:val="28"/>
          <w:szCs w:val="28"/>
        </w:rPr>
        <w:fldChar w:fldCharType="end"/>
      </w:r>
      <w:r>
        <w:rPr>
          <w:rFonts w:hint="eastAsia" w:ascii="仿宋_GB2312" w:eastAsia="仿宋_GB2312"/>
          <w:b w:val="0"/>
          <w:bCs w:val="0"/>
          <w:sz w:val="28"/>
          <w:szCs w:val="28"/>
        </w:rPr>
        <w:fldChar w:fldCharType="end"/>
      </w:r>
    </w:p>
    <w:p>
      <w:pPr>
        <w:pStyle w:val="10"/>
        <w:tabs>
          <w:tab w:val="right" w:leader="dot" w:pos="8296"/>
        </w:tabs>
        <w:spacing w:line="600" w:lineRule="exact"/>
        <w:rPr>
          <w:rFonts w:ascii="仿宋_GB2312" w:hAnsi="Calibri" w:eastAsia="仿宋_GB2312"/>
          <w:b w:val="0"/>
          <w:bCs w:val="0"/>
          <w:sz w:val="28"/>
          <w:szCs w:val="28"/>
        </w:rPr>
      </w:pPr>
      <w:r>
        <w:fldChar w:fldCharType="begin"/>
      </w:r>
      <w:r>
        <w:instrText xml:space="preserve"> HYPERLINK \l "_Toc72430488" </w:instrText>
      </w:r>
      <w:r>
        <w:fldChar w:fldCharType="separate"/>
      </w:r>
      <w:r>
        <w:rPr>
          <w:rStyle w:val="15"/>
          <w:rFonts w:hint="eastAsia" w:ascii="仿宋_GB2312" w:eastAsia="仿宋_GB2312"/>
          <w:b w:val="0"/>
          <w:bCs w:val="0"/>
          <w:sz w:val="28"/>
          <w:szCs w:val="28"/>
        </w:rPr>
        <w:t>（三）一般公共预算当年拨款具体使用情况</w:t>
      </w:r>
      <w:r>
        <w:rPr>
          <w:rStyle w:val="15"/>
          <w:rFonts w:hint="eastAsia" w:ascii="仿宋_GB2312" w:eastAsia="仿宋_GB2312"/>
          <w:b w:val="0"/>
          <w:bCs w:val="0"/>
          <w:sz w:val="28"/>
          <w:szCs w:val="28"/>
        </w:rPr>
        <w:fldChar w:fldCharType="end"/>
      </w:r>
      <w:r>
        <w:rPr>
          <w:rFonts w:hint="eastAsia" w:ascii="仿宋_GB2312" w:eastAsia="仿宋_GB2312"/>
          <w:b w:val="0"/>
          <w:bCs w:val="0"/>
          <w:sz w:val="28"/>
          <w:szCs w:val="28"/>
        </w:rPr>
        <w:tab/>
      </w:r>
      <w:r>
        <w:rPr>
          <w:rFonts w:hint="eastAsia" w:ascii="仿宋_GB2312" w:eastAsia="仿宋_GB2312"/>
          <w:b w:val="0"/>
          <w:bCs w:val="0"/>
          <w:sz w:val="28"/>
          <w:szCs w:val="28"/>
        </w:rPr>
        <w:fldChar w:fldCharType="begin"/>
      </w:r>
      <w:r>
        <w:rPr>
          <w:rFonts w:hint="eastAsia" w:ascii="仿宋_GB2312" w:eastAsia="仿宋_GB2312"/>
          <w:b w:val="0"/>
          <w:bCs w:val="0"/>
          <w:sz w:val="28"/>
          <w:szCs w:val="28"/>
        </w:rPr>
        <w:instrText xml:space="preserve"> PAGEREF _Toc72430487 \h </w:instrText>
      </w:r>
      <w:r>
        <w:rPr>
          <w:rFonts w:hint="eastAsia" w:ascii="仿宋_GB2312" w:eastAsia="仿宋_GB2312"/>
          <w:b w:val="0"/>
          <w:bCs w:val="0"/>
          <w:sz w:val="28"/>
          <w:szCs w:val="28"/>
        </w:rPr>
        <w:fldChar w:fldCharType="separate"/>
      </w:r>
      <w:r>
        <w:rPr>
          <w:rFonts w:ascii="仿宋_GB2312" w:eastAsia="仿宋_GB2312"/>
          <w:b w:val="0"/>
          <w:bCs w:val="0"/>
          <w:sz w:val="28"/>
          <w:szCs w:val="28"/>
        </w:rPr>
        <w:t xml:space="preserve">- </w:t>
      </w:r>
      <w:r>
        <w:rPr>
          <w:rFonts w:hint="eastAsia" w:ascii="仿宋_GB2312" w:eastAsia="仿宋_GB2312"/>
          <w:b w:val="0"/>
          <w:bCs w:val="0"/>
          <w:sz w:val="28"/>
          <w:szCs w:val="28"/>
        </w:rPr>
        <w:t>8</w:t>
      </w:r>
      <w:r>
        <w:rPr>
          <w:rFonts w:ascii="仿宋_GB2312" w:eastAsia="仿宋_GB2312"/>
          <w:b w:val="0"/>
          <w:bCs w:val="0"/>
          <w:sz w:val="28"/>
          <w:szCs w:val="28"/>
        </w:rPr>
        <w:t xml:space="preserve"> -</w:t>
      </w:r>
      <w:r>
        <w:rPr>
          <w:rFonts w:hint="eastAsia" w:ascii="仿宋_GB2312" w:eastAsia="仿宋_GB2312"/>
          <w:b w:val="0"/>
          <w:bCs w:val="0"/>
          <w:sz w:val="28"/>
          <w:szCs w:val="28"/>
        </w:rPr>
        <w:fldChar w:fldCharType="end"/>
      </w:r>
    </w:p>
    <w:p>
      <w:pPr>
        <w:pStyle w:val="9"/>
        <w:tabs>
          <w:tab w:val="right" w:leader="dot" w:pos="8296"/>
        </w:tabs>
        <w:spacing w:line="600" w:lineRule="exact"/>
        <w:rPr>
          <w:rFonts w:ascii="仿宋_GB2312" w:hAnsi="Calibri" w:eastAsia="仿宋_GB2312"/>
          <w:b w:val="0"/>
          <w:bCs w:val="0"/>
          <w:i w:val="0"/>
          <w:iCs w:val="0"/>
          <w:sz w:val="28"/>
          <w:szCs w:val="28"/>
        </w:rPr>
      </w:pPr>
      <w:r>
        <w:fldChar w:fldCharType="begin"/>
      </w:r>
      <w:r>
        <w:instrText xml:space="preserve"> HYPERLINK \l "_Toc72430489" </w:instrText>
      </w:r>
      <w:r>
        <w:fldChar w:fldCharType="separate"/>
      </w:r>
      <w:r>
        <w:rPr>
          <w:rStyle w:val="15"/>
          <w:rFonts w:hint="eastAsia" w:ascii="仿宋_GB2312" w:eastAsia="仿宋_GB2312"/>
          <w:b w:val="0"/>
          <w:bCs w:val="0"/>
          <w:i w:val="0"/>
          <w:iCs w:val="0"/>
          <w:sz w:val="28"/>
          <w:szCs w:val="28"/>
        </w:rPr>
        <w:t>六、一般公共预算基本支出情况说明</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_Toc72430489 \h </w:instrText>
      </w:r>
      <w:r>
        <w:rPr>
          <w:rFonts w:hint="eastAsia" w:ascii="仿宋_GB2312" w:eastAsia="仿宋_GB2312"/>
          <w:b w:val="0"/>
          <w:bCs w:val="0"/>
          <w:i w:val="0"/>
          <w:iCs w:val="0"/>
          <w:sz w:val="28"/>
          <w:szCs w:val="28"/>
        </w:rPr>
        <w:fldChar w:fldCharType="separate"/>
      </w:r>
      <w:r>
        <w:rPr>
          <w:rFonts w:ascii="仿宋_GB2312" w:eastAsia="仿宋_GB2312"/>
          <w:b w:val="0"/>
          <w:bCs w:val="0"/>
          <w:i w:val="0"/>
          <w:iCs w:val="0"/>
          <w:sz w:val="28"/>
          <w:szCs w:val="28"/>
        </w:rPr>
        <w:t>- 9 -</w:t>
      </w:r>
      <w:r>
        <w:rPr>
          <w:rFonts w:hint="eastAsia" w:ascii="仿宋_GB2312" w:eastAsia="仿宋_GB2312"/>
          <w:b w:val="0"/>
          <w:bCs w:val="0"/>
          <w:i w:val="0"/>
          <w:iCs w:val="0"/>
          <w:sz w:val="28"/>
          <w:szCs w:val="28"/>
        </w:rPr>
        <w:fldChar w:fldCharType="end"/>
      </w:r>
      <w:r>
        <w:rPr>
          <w:rFonts w:hint="eastAsia" w:ascii="仿宋_GB2312" w:eastAsia="仿宋_GB2312"/>
          <w:b w:val="0"/>
          <w:bCs w:val="0"/>
          <w:i w:val="0"/>
          <w:iCs w:val="0"/>
          <w:sz w:val="28"/>
          <w:szCs w:val="28"/>
        </w:rPr>
        <w:fldChar w:fldCharType="end"/>
      </w:r>
    </w:p>
    <w:p>
      <w:pPr>
        <w:pStyle w:val="9"/>
        <w:tabs>
          <w:tab w:val="right" w:leader="dot" w:pos="8296"/>
        </w:tabs>
        <w:spacing w:line="600" w:lineRule="exact"/>
        <w:rPr>
          <w:rFonts w:ascii="仿宋_GB2312" w:hAnsi="Calibri" w:eastAsia="仿宋_GB2312"/>
          <w:b w:val="0"/>
          <w:bCs w:val="0"/>
          <w:i w:val="0"/>
          <w:iCs w:val="0"/>
          <w:sz w:val="28"/>
          <w:szCs w:val="28"/>
        </w:rPr>
      </w:pPr>
      <w:r>
        <w:fldChar w:fldCharType="begin"/>
      </w:r>
      <w:r>
        <w:instrText xml:space="preserve"> HYPERLINK \l "_Toc72430490" </w:instrText>
      </w:r>
      <w:r>
        <w:fldChar w:fldCharType="separate"/>
      </w:r>
      <w:r>
        <w:rPr>
          <w:rStyle w:val="15"/>
          <w:rFonts w:hint="eastAsia" w:ascii="仿宋_GB2312" w:eastAsia="仿宋_GB2312"/>
          <w:b w:val="0"/>
          <w:bCs w:val="0"/>
          <w:i w:val="0"/>
          <w:iCs w:val="0"/>
          <w:sz w:val="28"/>
          <w:szCs w:val="28"/>
        </w:rPr>
        <w:t>七、“三公”经费财政拨款预算安排情况</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_Toc72430490 \h </w:instrText>
      </w:r>
      <w:r>
        <w:rPr>
          <w:rFonts w:hint="eastAsia" w:ascii="仿宋_GB2312" w:eastAsia="仿宋_GB2312"/>
          <w:b w:val="0"/>
          <w:bCs w:val="0"/>
          <w:i w:val="0"/>
          <w:iCs w:val="0"/>
          <w:sz w:val="28"/>
          <w:szCs w:val="28"/>
        </w:rPr>
        <w:fldChar w:fldCharType="separate"/>
      </w:r>
      <w:r>
        <w:rPr>
          <w:rFonts w:ascii="仿宋_GB2312" w:eastAsia="仿宋_GB2312"/>
          <w:b w:val="0"/>
          <w:bCs w:val="0"/>
          <w:i w:val="0"/>
          <w:iCs w:val="0"/>
          <w:sz w:val="28"/>
          <w:szCs w:val="28"/>
        </w:rPr>
        <w:t>- 9 -</w:t>
      </w:r>
      <w:r>
        <w:rPr>
          <w:rFonts w:hint="eastAsia" w:ascii="仿宋_GB2312" w:eastAsia="仿宋_GB2312"/>
          <w:b w:val="0"/>
          <w:bCs w:val="0"/>
          <w:i w:val="0"/>
          <w:iCs w:val="0"/>
          <w:sz w:val="28"/>
          <w:szCs w:val="28"/>
        </w:rPr>
        <w:fldChar w:fldCharType="end"/>
      </w:r>
      <w:r>
        <w:rPr>
          <w:rFonts w:hint="eastAsia" w:ascii="仿宋_GB2312" w:eastAsia="仿宋_GB2312"/>
          <w:b w:val="0"/>
          <w:bCs w:val="0"/>
          <w:i w:val="0"/>
          <w:iCs w:val="0"/>
          <w:sz w:val="28"/>
          <w:szCs w:val="28"/>
        </w:rPr>
        <w:fldChar w:fldCharType="end"/>
      </w:r>
    </w:p>
    <w:p>
      <w:pPr>
        <w:pStyle w:val="9"/>
        <w:tabs>
          <w:tab w:val="right" w:leader="dot" w:pos="8296"/>
        </w:tabs>
        <w:spacing w:line="600" w:lineRule="exact"/>
        <w:rPr>
          <w:rFonts w:ascii="仿宋_GB2312" w:hAnsi="Calibri" w:eastAsia="仿宋_GB2312"/>
          <w:b w:val="0"/>
          <w:bCs w:val="0"/>
          <w:i w:val="0"/>
          <w:iCs w:val="0"/>
          <w:sz w:val="28"/>
          <w:szCs w:val="28"/>
        </w:rPr>
      </w:pPr>
      <w:r>
        <w:fldChar w:fldCharType="begin"/>
      </w:r>
      <w:r>
        <w:instrText xml:space="preserve"> HYPERLINK \l "_Toc72430491" </w:instrText>
      </w:r>
      <w:r>
        <w:fldChar w:fldCharType="separate"/>
      </w:r>
      <w:r>
        <w:rPr>
          <w:rStyle w:val="15"/>
          <w:rFonts w:hint="eastAsia" w:ascii="仿宋_GB2312" w:eastAsia="仿宋_GB2312"/>
          <w:b w:val="0"/>
          <w:bCs w:val="0"/>
          <w:i w:val="0"/>
          <w:iCs w:val="0"/>
          <w:sz w:val="28"/>
          <w:szCs w:val="28"/>
        </w:rPr>
        <w:t>八、政府性基金预算支出情况说明</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_Toc72430491 \h </w:instrText>
      </w:r>
      <w:r>
        <w:rPr>
          <w:rFonts w:hint="eastAsia" w:ascii="仿宋_GB2312" w:eastAsia="仿宋_GB2312"/>
          <w:b w:val="0"/>
          <w:bCs w:val="0"/>
          <w:i w:val="0"/>
          <w:iCs w:val="0"/>
          <w:sz w:val="28"/>
          <w:szCs w:val="28"/>
        </w:rPr>
        <w:fldChar w:fldCharType="separate"/>
      </w:r>
      <w:r>
        <w:rPr>
          <w:rFonts w:ascii="仿宋_GB2312" w:eastAsia="仿宋_GB2312"/>
          <w:b w:val="0"/>
          <w:bCs w:val="0"/>
          <w:i w:val="0"/>
          <w:iCs w:val="0"/>
          <w:sz w:val="28"/>
          <w:szCs w:val="28"/>
        </w:rPr>
        <w:t>- 1</w:t>
      </w:r>
      <w:r>
        <w:rPr>
          <w:rFonts w:hint="eastAsia" w:ascii="仿宋_GB2312" w:eastAsia="仿宋_GB2312"/>
          <w:b w:val="0"/>
          <w:bCs w:val="0"/>
          <w:i w:val="0"/>
          <w:iCs w:val="0"/>
          <w:sz w:val="28"/>
          <w:szCs w:val="28"/>
        </w:rPr>
        <w:t>0</w:t>
      </w:r>
      <w:r>
        <w:rPr>
          <w:rFonts w:ascii="仿宋_GB2312" w:eastAsia="仿宋_GB2312"/>
          <w:b w:val="0"/>
          <w:bCs w:val="0"/>
          <w:i w:val="0"/>
          <w:iCs w:val="0"/>
          <w:sz w:val="28"/>
          <w:szCs w:val="28"/>
        </w:rPr>
        <w:t xml:space="preserve"> -</w:t>
      </w:r>
      <w:r>
        <w:rPr>
          <w:rFonts w:hint="eastAsia" w:ascii="仿宋_GB2312" w:eastAsia="仿宋_GB2312"/>
          <w:b w:val="0"/>
          <w:bCs w:val="0"/>
          <w:i w:val="0"/>
          <w:iCs w:val="0"/>
          <w:sz w:val="28"/>
          <w:szCs w:val="28"/>
        </w:rPr>
        <w:fldChar w:fldCharType="end"/>
      </w:r>
      <w:r>
        <w:rPr>
          <w:rFonts w:hint="eastAsia" w:ascii="仿宋_GB2312" w:eastAsia="仿宋_GB2312"/>
          <w:b w:val="0"/>
          <w:bCs w:val="0"/>
          <w:i w:val="0"/>
          <w:iCs w:val="0"/>
          <w:sz w:val="28"/>
          <w:szCs w:val="28"/>
        </w:rPr>
        <w:fldChar w:fldCharType="end"/>
      </w:r>
    </w:p>
    <w:p>
      <w:pPr>
        <w:pStyle w:val="9"/>
        <w:tabs>
          <w:tab w:val="right" w:leader="dot" w:pos="8296"/>
        </w:tabs>
        <w:spacing w:line="600" w:lineRule="exact"/>
        <w:rPr>
          <w:rFonts w:ascii="仿宋_GB2312" w:hAnsi="Calibri" w:eastAsia="仿宋_GB2312"/>
          <w:b w:val="0"/>
          <w:bCs w:val="0"/>
          <w:i w:val="0"/>
          <w:iCs w:val="0"/>
          <w:sz w:val="28"/>
          <w:szCs w:val="28"/>
        </w:rPr>
      </w:pPr>
      <w:r>
        <w:fldChar w:fldCharType="begin"/>
      </w:r>
      <w:r>
        <w:instrText xml:space="preserve"> HYPERLINK \l "_Toc72430492" </w:instrText>
      </w:r>
      <w:r>
        <w:fldChar w:fldCharType="separate"/>
      </w:r>
      <w:r>
        <w:rPr>
          <w:rStyle w:val="15"/>
          <w:rFonts w:hint="eastAsia" w:ascii="仿宋_GB2312" w:eastAsia="仿宋_GB2312"/>
          <w:b w:val="0"/>
          <w:bCs w:val="0"/>
          <w:i w:val="0"/>
          <w:iCs w:val="0"/>
          <w:sz w:val="28"/>
          <w:szCs w:val="28"/>
        </w:rPr>
        <w:t>九、国有资本经营预算支出情况说明</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_Toc72430492 \h </w:instrText>
      </w:r>
      <w:r>
        <w:rPr>
          <w:rFonts w:hint="eastAsia" w:ascii="仿宋_GB2312" w:eastAsia="仿宋_GB2312"/>
          <w:b w:val="0"/>
          <w:bCs w:val="0"/>
          <w:i w:val="0"/>
          <w:iCs w:val="0"/>
          <w:sz w:val="28"/>
          <w:szCs w:val="28"/>
        </w:rPr>
        <w:fldChar w:fldCharType="separate"/>
      </w:r>
      <w:r>
        <w:rPr>
          <w:rFonts w:ascii="仿宋_GB2312" w:eastAsia="仿宋_GB2312"/>
          <w:b w:val="0"/>
          <w:bCs w:val="0"/>
          <w:i w:val="0"/>
          <w:iCs w:val="0"/>
          <w:sz w:val="28"/>
          <w:szCs w:val="28"/>
        </w:rPr>
        <w:t>- 1</w:t>
      </w:r>
      <w:r>
        <w:rPr>
          <w:rFonts w:hint="eastAsia" w:ascii="仿宋_GB2312" w:eastAsia="仿宋_GB2312"/>
          <w:b w:val="0"/>
          <w:bCs w:val="0"/>
          <w:i w:val="0"/>
          <w:iCs w:val="0"/>
          <w:sz w:val="28"/>
          <w:szCs w:val="28"/>
        </w:rPr>
        <w:t>0</w:t>
      </w:r>
      <w:r>
        <w:rPr>
          <w:rFonts w:ascii="仿宋_GB2312" w:eastAsia="仿宋_GB2312"/>
          <w:b w:val="0"/>
          <w:bCs w:val="0"/>
          <w:i w:val="0"/>
          <w:iCs w:val="0"/>
          <w:sz w:val="28"/>
          <w:szCs w:val="28"/>
        </w:rPr>
        <w:t xml:space="preserve"> -</w:t>
      </w:r>
      <w:r>
        <w:rPr>
          <w:rFonts w:hint="eastAsia" w:ascii="仿宋_GB2312" w:eastAsia="仿宋_GB2312"/>
          <w:b w:val="0"/>
          <w:bCs w:val="0"/>
          <w:i w:val="0"/>
          <w:iCs w:val="0"/>
          <w:sz w:val="28"/>
          <w:szCs w:val="28"/>
        </w:rPr>
        <w:fldChar w:fldCharType="end"/>
      </w:r>
      <w:r>
        <w:rPr>
          <w:rFonts w:hint="eastAsia" w:ascii="仿宋_GB2312" w:eastAsia="仿宋_GB2312"/>
          <w:b w:val="0"/>
          <w:bCs w:val="0"/>
          <w:i w:val="0"/>
          <w:iCs w:val="0"/>
          <w:sz w:val="28"/>
          <w:szCs w:val="28"/>
        </w:rPr>
        <w:fldChar w:fldCharType="end"/>
      </w:r>
    </w:p>
    <w:p>
      <w:pPr>
        <w:pStyle w:val="9"/>
        <w:tabs>
          <w:tab w:val="right" w:leader="dot" w:pos="8296"/>
        </w:tabs>
        <w:spacing w:line="600" w:lineRule="exact"/>
        <w:rPr>
          <w:rFonts w:ascii="仿宋_GB2312" w:hAnsi="Calibri" w:eastAsia="仿宋_GB2312"/>
          <w:b w:val="0"/>
          <w:bCs w:val="0"/>
          <w:i w:val="0"/>
          <w:iCs w:val="0"/>
          <w:sz w:val="28"/>
          <w:szCs w:val="28"/>
        </w:rPr>
      </w:pPr>
      <w:r>
        <w:fldChar w:fldCharType="begin"/>
      </w:r>
      <w:r>
        <w:instrText xml:space="preserve"> HYPERLINK \l "_Toc72430493" </w:instrText>
      </w:r>
      <w:r>
        <w:fldChar w:fldCharType="separate"/>
      </w:r>
      <w:r>
        <w:rPr>
          <w:rStyle w:val="15"/>
          <w:rFonts w:hint="eastAsia" w:ascii="仿宋_GB2312" w:eastAsia="仿宋_GB2312"/>
          <w:b w:val="0"/>
          <w:bCs w:val="0"/>
          <w:i w:val="0"/>
          <w:iCs w:val="0"/>
          <w:sz w:val="28"/>
          <w:szCs w:val="28"/>
        </w:rPr>
        <w:t>十、其他重要事项的情况说明</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_Toc72430493 \h </w:instrText>
      </w:r>
      <w:r>
        <w:rPr>
          <w:rFonts w:hint="eastAsia" w:ascii="仿宋_GB2312" w:eastAsia="仿宋_GB2312"/>
          <w:b w:val="0"/>
          <w:bCs w:val="0"/>
          <w:i w:val="0"/>
          <w:iCs w:val="0"/>
          <w:sz w:val="28"/>
          <w:szCs w:val="28"/>
        </w:rPr>
        <w:fldChar w:fldCharType="separate"/>
      </w:r>
      <w:r>
        <w:rPr>
          <w:rFonts w:ascii="仿宋_GB2312" w:eastAsia="仿宋_GB2312"/>
          <w:b w:val="0"/>
          <w:bCs w:val="0"/>
          <w:i w:val="0"/>
          <w:iCs w:val="0"/>
          <w:sz w:val="28"/>
          <w:szCs w:val="28"/>
        </w:rPr>
        <w:t>- 11 -</w:t>
      </w:r>
      <w:r>
        <w:rPr>
          <w:rFonts w:hint="eastAsia" w:ascii="仿宋_GB2312" w:eastAsia="仿宋_GB2312"/>
          <w:b w:val="0"/>
          <w:bCs w:val="0"/>
          <w:i w:val="0"/>
          <w:iCs w:val="0"/>
          <w:sz w:val="28"/>
          <w:szCs w:val="28"/>
        </w:rPr>
        <w:fldChar w:fldCharType="end"/>
      </w:r>
      <w:r>
        <w:rPr>
          <w:rFonts w:hint="eastAsia" w:ascii="仿宋_GB2312" w:eastAsia="仿宋_GB2312"/>
          <w:b w:val="0"/>
          <w:bCs w:val="0"/>
          <w:i w:val="0"/>
          <w:iCs w:val="0"/>
          <w:sz w:val="28"/>
          <w:szCs w:val="28"/>
        </w:rPr>
        <w:fldChar w:fldCharType="end"/>
      </w:r>
    </w:p>
    <w:p>
      <w:pPr>
        <w:pStyle w:val="10"/>
        <w:tabs>
          <w:tab w:val="right" w:leader="dot" w:pos="8296"/>
        </w:tabs>
        <w:spacing w:line="600" w:lineRule="exact"/>
        <w:rPr>
          <w:rFonts w:ascii="仿宋_GB2312" w:hAnsi="Calibri" w:eastAsia="仿宋_GB2312"/>
          <w:b w:val="0"/>
          <w:bCs w:val="0"/>
          <w:sz w:val="28"/>
          <w:szCs w:val="28"/>
        </w:rPr>
      </w:pPr>
      <w:r>
        <w:fldChar w:fldCharType="begin"/>
      </w:r>
      <w:r>
        <w:instrText xml:space="preserve"> HYPERLINK \l "_Toc72430494" </w:instrText>
      </w:r>
      <w:r>
        <w:fldChar w:fldCharType="separate"/>
      </w:r>
      <w:r>
        <w:rPr>
          <w:rStyle w:val="15"/>
          <w:rFonts w:hint="eastAsia" w:ascii="仿宋_GB2312" w:eastAsia="仿宋_GB2312"/>
          <w:b w:val="0"/>
          <w:bCs w:val="0"/>
          <w:sz w:val="28"/>
          <w:szCs w:val="28"/>
        </w:rPr>
        <w:t>（一）机关运行经费情况</w:t>
      </w:r>
      <w:r>
        <w:rPr>
          <w:rFonts w:hint="eastAsia" w:ascii="仿宋_GB2312" w:eastAsia="仿宋_GB2312"/>
          <w:b w:val="0"/>
          <w:bCs w:val="0"/>
          <w:sz w:val="28"/>
          <w:szCs w:val="28"/>
        </w:rPr>
        <w:tab/>
      </w:r>
      <w:r>
        <w:rPr>
          <w:rFonts w:hint="eastAsia" w:ascii="仿宋_GB2312" w:eastAsia="仿宋_GB2312"/>
          <w:b w:val="0"/>
          <w:bCs w:val="0"/>
          <w:sz w:val="28"/>
          <w:szCs w:val="28"/>
        </w:rPr>
        <w:fldChar w:fldCharType="begin"/>
      </w:r>
      <w:r>
        <w:rPr>
          <w:rFonts w:hint="eastAsia" w:ascii="仿宋_GB2312" w:eastAsia="仿宋_GB2312"/>
          <w:b w:val="0"/>
          <w:bCs w:val="0"/>
          <w:sz w:val="28"/>
          <w:szCs w:val="28"/>
        </w:rPr>
        <w:instrText xml:space="preserve"> PAGEREF _Toc72430494 \h </w:instrText>
      </w:r>
      <w:r>
        <w:rPr>
          <w:rFonts w:hint="eastAsia" w:ascii="仿宋_GB2312" w:eastAsia="仿宋_GB2312"/>
          <w:b w:val="0"/>
          <w:bCs w:val="0"/>
          <w:sz w:val="28"/>
          <w:szCs w:val="28"/>
        </w:rPr>
        <w:fldChar w:fldCharType="separate"/>
      </w:r>
      <w:r>
        <w:rPr>
          <w:rFonts w:ascii="仿宋_GB2312" w:eastAsia="仿宋_GB2312"/>
          <w:b w:val="0"/>
          <w:bCs w:val="0"/>
          <w:sz w:val="28"/>
          <w:szCs w:val="28"/>
        </w:rPr>
        <w:t>- 11 -</w:t>
      </w:r>
      <w:r>
        <w:rPr>
          <w:rFonts w:hint="eastAsia" w:ascii="仿宋_GB2312" w:eastAsia="仿宋_GB2312"/>
          <w:b w:val="0"/>
          <w:bCs w:val="0"/>
          <w:sz w:val="28"/>
          <w:szCs w:val="28"/>
        </w:rPr>
        <w:fldChar w:fldCharType="end"/>
      </w:r>
      <w:r>
        <w:rPr>
          <w:rFonts w:hint="eastAsia" w:ascii="仿宋_GB2312" w:eastAsia="仿宋_GB2312"/>
          <w:b w:val="0"/>
          <w:bCs w:val="0"/>
          <w:sz w:val="28"/>
          <w:szCs w:val="28"/>
        </w:rPr>
        <w:fldChar w:fldCharType="end"/>
      </w:r>
    </w:p>
    <w:p>
      <w:pPr>
        <w:pStyle w:val="10"/>
        <w:tabs>
          <w:tab w:val="right" w:leader="dot" w:pos="8296"/>
        </w:tabs>
        <w:spacing w:line="600" w:lineRule="exact"/>
        <w:rPr>
          <w:rFonts w:ascii="仿宋_GB2312" w:hAnsi="Calibri" w:eastAsia="仿宋_GB2312"/>
          <w:b w:val="0"/>
          <w:bCs w:val="0"/>
          <w:sz w:val="28"/>
          <w:szCs w:val="28"/>
        </w:rPr>
      </w:pPr>
      <w:r>
        <w:fldChar w:fldCharType="begin"/>
      </w:r>
      <w:r>
        <w:instrText xml:space="preserve"> HYPERLINK \l "_Toc72430495" </w:instrText>
      </w:r>
      <w:r>
        <w:fldChar w:fldCharType="separate"/>
      </w:r>
      <w:r>
        <w:rPr>
          <w:rStyle w:val="15"/>
          <w:rFonts w:hint="eastAsia" w:ascii="仿宋_GB2312" w:eastAsia="仿宋_GB2312"/>
          <w:b w:val="0"/>
          <w:bCs w:val="0"/>
          <w:sz w:val="28"/>
          <w:szCs w:val="28"/>
        </w:rPr>
        <w:t>（二）政府采购情况</w:t>
      </w:r>
      <w:r>
        <w:rPr>
          <w:rFonts w:hint="eastAsia" w:ascii="仿宋_GB2312" w:eastAsia="仿宋_GB2312"/>
          <w:b w:val="0"/>
          <w:bCs w:val="0"/>
          <w:sz w:val="28"/>
          <w:szCs w:val="28"/>
        </w:rPr>
        <w:tab/>
      </w:r>
      <w:r>
        <w:rPr>
          <w:rFonts w:hint="eastAsia" w:ascii="仿宋_GB2312" w:eastAsia="仿宋_GB2312"/>
          <w:b w:val="0"/>
          <w:bCs w:val="0"/>
          <w:sz w:val="28"/>
          <w:szCs w:val="28"/>
        </w:rPr>
        <w:fldChar w:fldCharType="begin"/>
      </w:r>
      <w:r>
        <w:rPr>
          <w:rFonts w:hint="eastAsia" w:ascii="仿宋_GB2312" w:eastAsia="仿宋_GB2312"/>
          <w:b w:val="0"/>
          <w:bCs w:val="0"/>
          <w:sz w:val="28"/>
          <w:szCs w:val="28"/>
        </w:rPr>
        <w:instrText xml:space="preserve"> PAGEREF _Toc72430495 \h </w:instrText>
      </w:r>
      <w:r>
        <w:rPr>
          <w:rFonts w:hint="eastAsia" w:ascii="仿宋_GB2312" w:eastAsia="仿宋_GB2312"/>
          <w:b w:val="0"/>
          <w:bCs w:val="0"/>
          <w:sz w:val="28"/>
          <w:szCs w:val="28"/>
        </w:rPr>
        <w:fldChar w:fldCharType="separate"/>
      </w:r>
      <w:r>
        <w:rPr>
          <w:rFonts w:ascii="仿宋_GB2312" w:eastAsia="仿宋_GB2312"/>
          <w:b w:val="0"/>
          <w:bCs w:val="0"/>
          <w:sz w:val="28"/>
          <w:szCs w:val="28"/>
        </w:rPr>
        <w:t>- 1</w:t>
      </w:r>
      <w:r>
        <w:rPr>
          <w:rFonts w:hint="eastAsia" w:ascii="仿宋_GB2312" w:eastAsia="仿宋_GB2312"/>
          <w:b w:val="0"/>
          <w:bCs w:val="0"/>
          <w:sz w:val="28"/>
          <w:szCs w:val="28"/>
        </w:rPr>
        <w:t>1</w:t>
      </w:r>
      <w:r>
        <w:rPr>
          <w:rFonts w:ascii="仿宋_GB2312" w:eastAsia="仿宋_GB2312"/>
          <w:b w:val="0"/>
          <w:bCs w:val="0"/>
          <w:sz w:val="28"/>
          <w:szCs w:val="28"/>
        </w:rPr>
        <w:t xml:space="preserve"> -</w:t>
      </w:r>
      <w:r>
        <w:rPr>
          <w:rFonts w:hint="eastAsia" w:ascii="仿宋_GB2312" w:eastAsia="仿宋_GB2312"/>
          <w:b w:val="0"/>
          <w:bCs w:val="0"/>
          <w:sz w:val="28"/>
          <w:szCs w:val="28"/>
        </w:rPr>
        <w:fldChar w:fldCharType="end"/>
      </w:r>
      <w:r>
        <w:rPr>
          <w:rFonts w:hint="eastAsia" w:ascii="仿宋_GB2312" w:eastAsia="仿宋_GB2312"/>
          <w:b w:val="0"/>
          <w:bCs w:val="0"/>
          <w:sz w:val="28"/>
          <w:szCs w:val="28"/>
        </w:rPr>
        <w:fldChar w:fldCharType="end"/>
      </w:r>
    </w:p>
    <w:p>
      <w:pPr>
        <w:pStyle w:val="10"/>
        <w:tabs>
          <w:tab w:val="right" w:leader="dot" w:pos="8296"/>
        </w:tabs>
        <w:spacing w:line="600" w:lineRule="exact"/>
        <w:rPr>
          <w:rFonts w:ascii="仿宋_GB2312" w:hAnsi="Calibri" w:eastAsia="仿宋_GB2312"/>
          <w:b w:val="0"/>
          <w:bCs w:val="0"/>
          <w:sz w:val="28"/>
          <w:szCs w:val="28"/>
        </w:rPr>
      </w:pPr>
      <w:r>
        <w:fldChar w:fldCharType="begin"/>
      </w:r>
      <w:r>
        <w:instrText xml:space="preserve"> HYPERLINK \l "_Toc72430496" </w:instrText>
      </w:r>
      <w:r>
        <w:fldChar w:fldCharType="separate"/>
      </w:r>
      <w:r>
        <w:rPr>
          <w:rStyle w:val="15"/>
          <w:rFonts w:hint="eastAsia" w:ascii="仿宋_GB2312" w:eastAsia="仿宋_GB2312"/>
          <w:b w:val="0"/>
          <w:bCs w:val="0"/>
          <w:sz w:val="28"/>
          <w:szCs w:val="28"/>
        </w:rPr>
        <w:t>（三）国有资产占有使用情况</w:t>
      </w:r>
      <w:r>
        <w:rPr>
          <w:rFonts w:hint="eastAsia" w:ascii="仿宋_GB2312" w:eastAsia="仿宋_GB2312"/>
          <w:b w:val="0"/>
          <w:bCs w:val="0"/>
          <w:sz w:val="28"/>
          <w:szCs w:val="28"/>
        </w:rPr>
        <w:tab/>
      </w:r>
      <w:r>
        <w:rPr>
          <w:rFonts w:hint="eastAsia" w:ascii="仿宋_GB2312" w:eastAsia="仿宋_GB2312"/>
          <w:b w:val="0"/>
          <w:bCs w:val="0"/>
          <w:sz w:val="28"/>
          <w:szCs w:val="28"/>
        </w:rPr>
        <w:fldChar w:fldCharType="begin"/>
      </w:r>
      <w:r>
        <w:rPr>
          <w:rFonts w:hint="eastAsia" w:ascii="仿宋_GB2312" w:eastAsia="仿宋_GB2312"/>
          <w:b w:val="0"/>
          <w:bCs w:val="0"/>
          <w:sz w:val="28"/>
          <w:szCs w:val="28"/>
        </w:rPr>
        <w:instrText xml:space="preserve"> PAGEREF _Toc72430496 \h </w:instrText>
      </w:r>
      <w:r>
        <w:rPr>
          <w:rFonts w:hint="eastAsia" w:ascii="仿宋_GB2312" w:eastAsia="仿宋_GB2312"/>
          <w:b w:val="0"/>
          <w:bCs w:val="0"/>
          <w:sz w:val="28"/>
          <w:szCs w:val="28"/>
        </w:rPr>
        <w:fldChar w:fldCharType="separate"/>
      </w:r>
      <w:r>
        <w:rPr>
          <w:rFonts w:ascii="仿宋_GB2312" w:eastAsia="仿宋_GB2312"/>
          <w:b w:val="0"/>
          <w:bCs w:val="0"/>
          <w:sz w:val="28"/>
          <w:szCs w:val="28"/>
        </w:rPr>
        <w:t>- 1</w:t>
      </w:r>
      <w:r>
        <w:rPr>
          <w:rFonts w:hint="eastAsia" w:ascii="仿宋_GB2312" w:eastAsia="仿宋_GB2312"/>
          <w:b w:val="0"/>
          <w:bCs w:val="0"/>
          <w:sz w:val="28"/>
          <w:szCs w:val="28"/>
        </w:rPr>
        <w:t>1</w:t>
      </w:r>
      <w:r>
        <w:rPr>
          <w:rFonts w:ascii="仿宋_GB2312" w:eastAsia="仿宋_GB2312"/>
          <w:b w:val="0"/>
          <w:bCs w:val="0"/>
          <w:sz w:val="28"/>
          <w:szCs w:val="28"/>
        </w:rPr>
        <w:t xml:space="preserve"> -</w:t>
      </w:r>
      <w:r>
        <w:rPr>
          <w:rFonts w:hint="eastAsia" w:ascii="仿宋_GB2312" w:eastAsia="仿宋_GB2312"/>
          <w:b w:val="0"/>
          <w:bCs w:val="0"/>
          <w:sz w:val="28"/>
          <w:szCs w:val="28"/>
        </w:rPr>
        <w:fldChar w:fldCharType="end"/>
      </w:r>
      <w:r>
        <w:rPr>
          <w:rFonts w:hint="eastAsia" w:ascii="仿宋_GB2312" w:eastAsia="仿宋_GB2312"/>
          <w:b w:val="0"/>
          <w:bCs w:val="0"/>
          <w:sz w:val="28"/>
          <w:szCs w:val="28"/>
        </w:rPr>
        <w:fldChar w:fldCharType="end"/>
      </w:r>
    </w:p>
    <w:p>
      <w:pPr>
        <w:pStyle w:val="10"/>
        <w:tabs>
          <w:tab w:val="right" w:leader="dot" w:pos="8296"/>
        </w:tabs>
        <w:spacing w:line="600" w:lineRule="exact"/>
        <w:rPr>
          <w:rFonts w:ascii="仿宋_GB2312" w:hAnsi="Calibri" w:eastAsia="仿宋_GB2312"/>
          <w:b w:val="0"/>
          <w:bCs w:val="0"/>
          <w:sz w:val="28"/>
          <w:szCs w:val="28"/>
        </w:rPr>
      </w:pPr>
      <w:r>
        <w:fldChar w:fldCharType="begin"/>
      </w:r>
      <w:r>
        <w:instrText xml:space="preserve"> HYPERLINK \l "_Toc72430497" </w:instrText>
      </w:r>
      <w:r>
        <w:fldChar w:fldCharType="separate"/>
      </w:r>
      <w:r>
        <w:rPr>
          <w:rStyle w:val="15"/>
          <w:rFonts w:hint="eastAsia" w:ascii="仿宋_GB2312" w:eastAsia="仿宋_GB2312"/>
          <w:b w:val="0"/>
          <w:bCs w:val="0"/>
          <w:sz w:val="28"/>
          <w:szCs w:val="28"/>
        </w:rPr>
        <w:t>（四）绩效目标设置情况</w:t>
      </w:r>
      <w:r>
        <w:rPr>
          <w:rFonts w:hint="eastAsia" w:ascii="仿宋_GB2312" w:eastAsia="仿宋_GB2312"/>
          <w:b w:val="0"/>
          <w:bCs w:val="0"/>
          <w:sz w:val="28"/>
          <w:szCs w:val="28"/>
        </w:rPr>
        <w:tab/>
      </w:r>
      <w:r>
        <w:rPr>
          <w:rFonts w:hint="eastAsia" w:ascii="仿宋_GB2312" w:eastAsia="仿宋_GB2312"/>
          <w:b w:val="0"/>
          <w:bCs w:val="0"/>
          <w:sz w:val="28"/>
          <w:szCs w:val="28"/>
        </w:rPr>
        <w:fldChar w:fldCharType="begin"/>
      </w:r>
      <w:r>
        <w:rPr>
          <w:rFonts w:hint="eastAsia" w:ascii="仿宋_GB2312" w:eastAsia="仿宋_GB2312"/>
          <w:b w:val="0"/>
          <w:bCs w:val="0"/>
          <w:sz w:val="28"/>
          <w:szCs w:val="28"/>
        </w:rPr>
        <w:instrText xml:space="preserve"> PAGEREF _Toc72430497 \h </w:instrText>
      </w:r>
      <w:r>
        <w:rPr>
          <w:rFonts w:hint="eastAsia" w:ascii="仿宋_GB2312" w:eastAsia="仿宋_GB2312"/>
          <w:b w:val="0"/>
          <w:bCs w:val="0"/>
          <w:sz w:val="28"/>
          <w:szCs w:val="28"/>
        </w:rPr>
        <w:fldChar w:fldCharType="separate"/>
      </w:r>
      <w:r>
        <w:rPr>
          <w:rFonts w:ascii="仿宋_GB2312" w:eastAsia="仿宋_GB2312"/>
          <w:b w:val="0"/>
          <w:bCs w:val="0"/>
          <w:sz w:val="28"/>
          <w:szCs w:val="28"/>
        </w:rPr>
        <w:t>- 1</w:t>
      </w:r>
      <w:r>
        <w:rPr>
          <w:rFonts w:hint="eastAsia" w:ascii="仿宋_GB2312" w:eastAsia="仿宋_GB2312"/>
          <w:b w:val="0"/>
          <w:bCs w:val="0"/>
          <w:sz w:val="28"/>
          <w:szCs w:val="28"/>
        </w:rPr>
        <w:t>1</w:t>
      </w:r>
      <w:r>
        <w:rPr>
          <w:rFonts w:ascii="仿宋_GB2312" w:eastAsia="仿宋_GB2312"/>
          <w:b w:val="0"/>
          <w:bCs w:val="0"/>
          <w:sz w:val="28"/>
          <w:szCs w:val="28"/>
        </w:rPr>
        <w:t>-</w:t>
      </w:r>
      <w:r>
        <w:rPr>
          <w:rFonts w:hint="eastAsia" w:ascii="仿宋_GB2312" w:eastAsia="仿宋_GB2312"/>
          <w:b w:val="0"/>
          <w:bCs w:val="0"/>
          <w:sz w:val="28"/>
          <w:szCs w:val="28"/>
        </w:rPr>
        <w:fldChar w:fldCharType="end"/>
      </w:r>
      <w:r>
        <w:rPr>
          <w:rFonts w:hint="eastAsia" w:ascii="仿宋_GB2312" w:eastAsia="仿宋_GB2312"/>
          <w:b w:val="0"/>
          <w:bCs w:val="0"/>
          <w:sz w:val="28"/>
          <w:szCs w:val="28"/>
        </w:rPr>
        <w:fldChar w:fldCharType="end"/>
      </w:r>
    </w:p>
    <w:p>
      <w:pPr>
        <w:pStyle w:val="9"/>
        <w:tabs>
          <w:tab w:val="right" w:leader="dot" w:pos="8296"/>
        </w:tabs>
        <w:spacing w:line="600" w:lineRule="exact"/>
        <w:rPr>
          <w:rFonts w:ascii="仿宋_GB2312" w:hAnsi="Calibri" w:eastAsia="仿宋_GB2312"/>
          <w:b w:val="0"/>
          <w:bCs w:val="0"/>
          <w:i w:val="0"/>
          <w:iCs w:val="0"/>
          <w:sz w:val="28"/>
          <w:szCs w:val="28"/>
        </w:rPr>
      </w:pPr>
      <w:r>
        <w:fldChar w:fldCharType="begin"/>
      </w:r>
      <w:r>
        <w:instrText xml:space="preserve"> HYPERLINK \l "_Toc72430498" </w:instrText>
      </w:r>
      <w:r>
        <w:fldChar w:fldCharType="separate"/>
      </w:r>
      <w:r>
        <w:rPr>
          <w:rStyle w:val="15"/>
          <w:rFonts w:hint="eastAsia" w:ascii="仿宋_GB2312" w:eastAsia="仿宋_GB2312"/>
          <w:b w:val="0"/>
          <w:bCs w:val="0"/>
          <w:i w:val="0"/>
          <w:iCs w:val="0"/>
          <w:sz w:val="28"/>
          <w:szCs w:val="28"/>
        </w:rPr>
        <w:t>十一、名词解释</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_Toc72430498 \h </w:instrText>
      </w:r>
      <w:r>
        <w:rPr>
          <w:rFonts w:hint="eastAsia" w:ascii="仿宋_GB2312" w:eastAsia="仿宋_GB2312"/>
          <w:b w:val="0"/>
          <w:bCs w:val="0"/>
          <w:i w:val="0"/>
          <w:iCs w:val="0"/>
          <w:sz w:val="28"/>
          <w:szCs w:val="28"/>
        </w:rPr>
        <w:fldChar w:fldCharType="separate"/>
      </w:r>
      <w:r>
        <w:rPr>
          <w:rFonts w:ascii="仿宋_GB2312" w:eastAsia="仿宋_GB2312"/>
          <w:b w:val="0"/>
          <w:bCs w:val="0"/>
          <w:i w:val="0"/>
          <w:iCs w:val="0"/>
          <w:sz w:val="28"/>
          <w:szCs w:val="28"/>
        </w:rPr>
        <w:t>- 12 -</w:t>
      </w:r>
      <w:r>
        <w:rPr>
          <w:rFonts w:hint="eastAsia" w:ascii="仿宋_GB2312" w:eastAsia="仿宋_GB2312"/>
          <w:b w:val="0"/>
          <w:bCs w:val="0"/>
          <w:i w:val="0"/>
          <w:iCs w:val="0"/>
          <w:sz w:val="28"/>
          <w:szCs w:val="28"/>
        </w:rPr>
        <w:fldChar w:fldCharType="end"/>
      </w:r>
      <w:r>
        <w:rPr>
          <w:rFonts w:hint="eastAsia" w:ascii="仿宋_GB2312" w:eastAsia="仿宋_GB2312"/>
          <w:b w:val="0"/>
          <w:bCs w:val="0"/>
          <w:i w:val="0"/>
          <w:iCs w:val="0"/>
          <w:sz w:val="28"/>
          <w:szCs w:val="28"/>
        </w:rPr>
        <w:fldChar w:fldCharType="end"/>
      </w:r>
    </w:p>
    <w:p>
      <w:pPr>
        <w:spacing w:line="500" w:lineRule="exact"/>
        <w:ind w:firstLine="2100" w:firstLineChars="750"/>
        <w:rPr>
          <w:sz w:val="30"/>
          <w:szCs w:val="30"/>
        </w:rPr>
      </w:pPr>
      <w:r>
        <w:rPr>
          <w:rFonts w:hint="eastAsia" w:ascii="仿宋_GB2312" w:eastAsia="仿宋_GB2312"/>
          <w:sz w:val="28"/>
          <w:szCs w:val="28"/>
          <w:lang w:val="zh-CN"/>
        </w:rPr>
        <w:fldChar w:fldCharType="end"/>
      </w:r>
      <w:bookmarkEnd w:id="0"/>
    </w:p>
    <w:p>
      <w:pPr>
        <w:jc w:val="center"/>
        <w:rPr>
          <w:rFonts w:ascii="黑体" w:eastAsia="黑体"/>
          <w:sz w:val="30"/>
          <w:szCs w:val="30"/>
        </w:rPr>
      </w:pPr>
    </w:p>
    <w:p>
      <w:pPr>
        <w:jc w:val="center"/>
        <w:rPr>
          <w:rFonts w:ascii="黑体" w:eastAsia="黑体"/>
          <w:sz w:val="32"/>
          <w:szCs w:val="32"/>
        </w:rPr>
      </w:pPr>
    </w:p>
    <w:p>
      <w:pPr>
        <w:jc w:val="center"/>
        <w:rPr>
          <w:rFonts w:ascii="黑体" w:eastAsia="黑体"/>
          <w:sz w:val="32"/>
          <w:szCs w:val="32"/>
        </w:rPr>
      </w:pPr>
    </w:p>
    <w:p>
      <w:pPr>
        <w:jc w:val="center"/>
        <w:rPr>
          <w:rFonts w:ascii="黑体" w:eastAsia="黑体"/>
          <w:sz w:val="32"/>
          <w:szCs w:val="32"/>
        </w:rPr>
      </w:pPr>
    </w:p>
    <w:p>
      <w:pPr>
        <w:jc w:val="center"/>
        <w:rPr>
          <w:rFonts w:ascii="黑体" w:eastAsia="黑体"/>
          <w:sz w:val="32"/>
          <w:szCs w:val="32"/>
        </w:rPr>
      </w:pPr>
    </w:p>
    <w:p>
      <w:pPr>
        <w:jc w:val="center"/>
        <w:rPr>
          <w:rFonts w:ascii="黑体" w:eastAsia="黑体"/>
          <w:sz w:val="32"/>
          <w:szCs w:val="32"/>
        </w:rPr>
      </w:pPr>
    </w:p>
    <w:p>
      <w:pPr>
        <w:jc w:val="center"/>
        <w:rPr>
          <w:rFonts w:ascii="黑体" w:eastAsia="黑体"/>
          <w:sz w:val="32"/>
          <w:szCs w:val="32"/>
        </w:rPr>
      </w:pPr>
    </w:p>
    <w:p>
      <w:pPr>
        <w:jc w:val="center"/>
        <w:rPr>
          <w:rFonts w:ascii="黑体" w:eastAsia="黑体"/>
          <w:sz w:val="32"/>
          <w:szCs w:val="32"/>
        </w:rPr>
      </w:pPr>
    </w:p>
    <w:p>
      <w:pPr>
        <w:jc w:val="center"/>
        <w:rPr>
          <w:rFonts w:ascii="黑体" w:eastAsia="黑体"/>
          <w:sz w:val="32"/>
          <w:szCs w:val="32"/>
        </w:rPr>
      </w:pPr>
    </w:p>
    <w:p>
      <w:pPr>
        <w:jc w:val="center"/>
        <w:rPr>
          <w:rFonts w:ascii="黑体" w:eastAsia="黑体"/>
          <w:sz w:val="32"/>
          <w:szCs w:val="32"/>
        </w:rPr>
      </w:pPr>
    </w:p>
    <w:p>
      <w:pPr>
        <w:jc w:val="center"/>
        <w:rPr>
          <w:rFonts w:ascii="黑体" w:eastAsia="黑体"/>
          <w:sz w:val="32"/>
          <w:szCs w:val="32"/>
        </w:rPr>
      </w:pPr>
    </w:p>
    <w:p>
      <w:pPr>
        <w:pStyle w:val="2"/>
        <w:rPr>
          <w:rFonts w:ascii="黑体" w:eastAsia="黑体"/>
          <w:sz w:val="32"/>
          <w:szCs w:val="32"/>
        </w:rPr>
      </w:pPr>
      <w:bookmarkStart w:id="1" w:name="_Toc72430477"/>
      <w:bookmarkStart w:id="2" w:name="_Hlk72429058"/>
      <w:r>
        <w:rPr>
          <w:rFonts w:hint="eastAsia" w:ascii="黑体" w:eastAsia="黑体"/>
          <w:sz w:val="32"/>
          <w:szCs w:val="32"/>
        </w:rPr>
        <w:t>一、基本职能及主要工作</w:t>
      </w:r>
      <w:bookmarkEnd w:id="1"/>
      <w:bookmarkEnd w:id="2"/>
      <w:bookmarkStart w:id="3" w:name="_Toc72430478"/>
    </w:p>
    <w:p>
      <w:pPr>
        <w:pStyle w:val="2"/>
        <w:rPr>
          <w:rFonts w:ascii="黑体" w:eastAsia="黑体"/>
          <w:sz w:val="32"/>
          <w:szCs w:val="32"/>
        </w:rPr>
      </w:pPr>
      <w:r>
        <w:rPr>
          <w:rFonts w:hint="eastAsia"/>
          <w:sz w:val="32"/>
          <w:szCs w:val="32"/>
        </w:rPr>
        <w:t>（一）自贡市自流井区文化馆职能简介。</w:t>
      </w:r>
      <w:bookmarkEnd w:id="3"/>
    </w:p>
    <w:p>
      <w:pPr>
        <w:widowControl/>
        <w:ind w:firstLine="787" w:firstLineChars="246"/>
        <w:jc w:val="left"/>
        <w:rPr>
          <w:rFonts w:ascii="仿宋_GB2312" w:eastAsia="仿宋_GB2312"/>
          <w:bCs/>
          <w:sz w:val="32"/>
          <w:szCs w:val="32"/>
        </w:rPr>
      </w:pPr>
      <w:r>
        <w:rPr>
          <w:rFonts w:hint="eastAsia" w:ascii="仿宋_GB2312" w:eastAsia="仿宋_GB2312"/>
          <w:bCs/>
          <w:sz w:val="32"/>
          <w:szCs w:val="32"/>
        </w:rPr>
        <w:t>1、举办各类展览、讲座、培训等，普及科学文化知识，开展社会教育，提高群众文化素质，促进当地精神文明建设。</w:t>
      </w:r>
    </w:p>
    <w:p>
      <w:pPr>
        <w:widowControl/>
        <w:ind w:firstLine="787" w:firstLineChars="246"/>
        <w:jc w:val="left"/>
        <w:rPr>
          <w:rFonts w:ascii="仿宋_GB2312" w:eastAsia="仿宋_GB2312"/>
          <w:bCs/>
          <w:sz w:val="32"/>
          <w:szCs w:val="32"/>
        </w:rPr>
      </w:pPr>
      <w:r>
        <w:rPr>
          <w:rFonts w:hint="eastAsia" w:ascii="仿宋_GB2312" w:eastAsia="仿宋_GB2312"/>
          <w:bCs/>
          <w:sz w:val="32"/>
          <w:szCs w:val="32"/>
        </w:rPr>
        <w:t>2、组织开展丰富多彩的、群众喜闻乐见的文化活动；开展流动文化服务；指导群众业余文艺团队建设，辅导和培训群众文艺骨干。</w:t>
      </w:r>
    </w:p>
    <w:p>
      <w:pPr>
        <w:widowControl/>
        <w:ind w:firstLine="787" w:firstLineChars="246"/>
        <w:jc w:val="left"/>
        <w:rPr>
          <w:rFonts w:ascii="仿宋_GB2312" w:eastAsia="仿宋_GB2312"/>
          <w:bCs/>
          <w:sz w:val="32"/>
          <w:szCs w:val="32"/>
        </w:rPr>
      </w:pPr>
      <w:r>
        <w:rPr>
          <w:rFonts w:hint="eastAsia" w:ascii="仿宋_GB2312" w:eastAsia="仿宋_GB2312"/>
          <w:bCs/>
          <w:sz w:val="32"/>
          <w:szCs w:val="32"/>
        </w:rPr>
        <w:t>3、组织并指导群众文艺创作，开展群众文化工作理论研究。</w:t>
      </w:r>
    </w:p>
    <w:p>
      <w:pPr>
        <w:pStyle w:val="4"/>
        <w:adjustRightInd w:val="0"/>
        <w:snapToGrid w:val="0"/>
        <w:spacing w:before="93" w:line="580" w:lineRule="exact"/>
        <w:rPr>
          <w:sz w:val="32"/>
          <w:szCs w:val="32"/>
        </w:rPr>
      </w:pPr>
      <w:r>
        <w:rPr>
          <w:rFonts w:hint="eastAsia" w:hAnsi="仿宋"/>
          <w:szCs w:val="32"/>
        </w:rPr>
        <w:t xml:space="preserve">     </w:t>
      </w:r>
      <w:r>
        <w:rPr>
          <w:rFonts w:hAnsi="仿宋"/>
          <w:szCs w:val="32"/>
        </w:rPr>
        <w:t>4</w:t>
      </w:r>
      <w:r>
        <w:rPr>
          <w:rFonts w:hint="eastAsia" w:hAnsi="仿宋"/>
          <w:szCs w:val="32"/>
        </w:rPr>
        <w:t>、收集、整理、研究非物质文化遗产，开展非物质文化遗产的普查、展示、宣传活动，指导传承人开展传习活动。</w:t>
      </w:r>
    </w:p>
    <w:p>
      <w:pPr>
        <w:pStyle w:val="4"/>
        <w:adjustRightInd w:val="0"/>
        <w:snapToGrid w:val="0"/>
        <w:spacing w:before="93" w:line="580" w:lineRule="exact"/>
        <w:ind w:firstLine="630" w:firstLineChars="196"/>
        <w:outlineLvl w:val="1"/>
        <w:rPr>
          <w:b/>
          <w:bCs/>
          <w:sz w:val="32"/>
          <w:szCs w:val="32"/>
        </w:rPr>
      </w:pPr>
      <w:bookmarkStart w:id="4" w:name="_Toc72430479"/>
      <w:r>
        <w:rPr>
          <w:rFonts w:hint="eastAsia"/>
          <w:b/>
          <w:bCs/>
          <w:sz w:val="32"/>
          <w:szCs w:val="32"/>
        </w:rPr>
        <w:t>（二）自贡市自流井区文化馆2021年重点工作。</w:t>
      </w:r>
      <w:bookmarkEnd w:id="4"/>
    </w:p>
    <w:p>
      <w:pPr>
        <w:pStyle w:val="4"/>
        <w:adjustRightInd w:val="0"/>
        <w:snapToGrid w:val="0"/>
        <w:spacing w:before="93" w:line="580" w:lineRule="exact"/>
        <w:rPr>
          <w:bCs/>
          <w:sz w:val="32"/>
          <w:szCs w:val="32"/>
        </w:rPr>
      </w:pPr>
      <w:r>
        <w:rPr>
          <w:rFonts w:hint="eastAsia"/>
          <w:sz w:val="32"/>
          <w:szCs w:val="32"/>
        </w:rPr>
        <w:t xml:space="preserve">    2021年重点工作任务</w:t>
      </w:r>
      <w:r>
        <w:rPr>
          <w:rFonts w:hint="eastAsia"/>
          <w:bCs/>
          <w:sz w:val="32"/>
          <w:szCs w:val="32"/>
        </w:rPr>
        <w:t>：开展全区文艺展演活动，举办送文化下乡，到农村学校社区进行文化培训，开展舞蹈、民俗文化、合唱等培训，开展非遗传承系列活动，编辑出版有地方特色的《釜溪河》刊物，招募第十六批志愿者200余人，到农村学校乡镇等文化站从事公益活动。</w:t>
      </w:r>
    </w:p>
    <w:p>
      <w:pPr>
        <w:pStyle w:val="2"/>
        <w:rPr>
          <w:rFonts w:ascii="黑体" w:eastAsia="黑体"/>
          <w:sz w:val="32"/>
          <w:szCs w:val="32"/>
        </w:rPr>
      </w:pPr>
      <w:bookmarkStart w:id="5" w:name="_Toc72430480"/>
      <w:r>
        <w:rPr>
          <w:rFonts w:hint="eastAsia" w:ascii="黑体" w:eastAsia="黑体"/>
          <w:sz w:val="32"/>
          <w:szCs w:val="32"/>
        </w:rPr>
        <w:t>二、部门概况</w:t>
      </w:r>
      <w:bookmarkEnd w:id="5"/>
    </w:p>
    <w:p>
      <w:pPr>
        <w:pStyle w:val="4"/>
        <w:adjustRightInd w:val="0"/>
        <w:snapToGrid w:val="0"/>
        <w:spacing w:before="93" w:line="600" w:lineRule="exact"/>
        <w:ind w:firstLine="640" w:firstLineChars="200"/>
        <w:outlineLvl w:val="2"/>
        <w:rPr>
          <w:sz w:val="32"/>
          <w:szCs w:val="32"/>
        </w:rPr>
      </w:pPr>
      <w:r>
        <w:rPr>
          <w:rFonts w:hint="eastAsia"/>
          <w:bCs/>
          <w:sz w:val="32"/>
          <w:szCs w:val="32"/>
        </w:rPr>
        <w:t>自贡市自流井区文化馆为自贡市自流井区文化广播电视和旅游局下属二级事业单位。</w:t>
      </w:r>
    </w:p>
    <w:p>
      <w:pPr>
        <w:pStyle w:val="2"/>
        <w:rPr>
          <w:rFonts w:ascii="黑体" w:eastAsia="黑体"/>
          <w:sz w:val="32"/>
          <w:szCs w:val="32"/>
        </w:rPr>
      </w:pPr>
      <w:bookmarkStart w:id="6" w:name="_Toc72430481"/>
      <w:r>
        <w:rPr>
          <w:rFonts w:hint="eastAsia" w:ascii="黑体" w:eastAsia="黑体"/>
          <w:sz w:val="32"/>
          <w:szCs w:val="32"/>
        </w:rPr>
        <w:t>三、收支预算情况说明</w:t>
      </w:r>
      <w:bookmarkEnd w:id="6"/>
    </w:p>
    <w:p>
      <w:pPr>
        <w:spacing w:line="580" w:lineRule="exact"/>
        <w:ind w:firstLine="645"/>
        <w:rPr>
          <w:rFonts w:ascii="仿宋_GB2312" w:eastAsia="仿宋_GB2312"/>
          <w:sz w:val="32"/>
          <w:szCs w:val="32"/>
        </w:rPr>
      </w:pPr>
      <w:r>
        <w:rPr>
          <w:rFonts w:hint="eastAsia" w:ascii="仿宋_GB2312" w:eastAsia="仿宋_GB2312"/>
          <w:sz w:val="32"/>
          <w:szCs w:val="32"/>
        </w:rPr>
        <w:t>按照综合预算的原则，自贡市自流井区文化馆所有收入和支出均纳入部门预算管理。收入包括：一般公共预算拨款收入；支出包括：文化旅游体育与传媒支出、社会保障和就业支出、医疗卫生与计划生育支出、住房保障支出。自贡市自流井区文化馆2021年收支总预算78.81万元，比2020年收支预算总数增加16.85万元，主要原因是：工资晋升、增人增资、保险基数调增、提高项目缴费预算，四因素共同作用的结果。</w:t>
      </w:r>
    </w:p>
    <w:p>
      <w:pPr>
        <w:pStyle w:val="3"/>
        <w:rPr>
          <w:rFonts w:ascii="仿宋_GB2312" w:eastAsia="仿宋_GB2312"/>
        </w:rPr>
      </w:pPr>
      <w:bookmarkStart w:id="7" w:name="_Toc72430482"/>
      <w:r>
        <w:rPr>
          <w:rFonts w:hint="eastAsia" w:ascii="仿宋_GB2312" w:eastAsia="仿宋_GB2312"/>
          <w:b w:val="0"/>
          <w:bCs w:val="0"/>
        </w:rPr>
        <w:t>（一）收入预算情况</w:t>
      </w:r>
      <w:bookmarkEnd w:id="7"/>
    </w:p>
    <w:p>
      <w:pPr>
        <w:spacing w:line="580" w:lineRule="exact"/>
        <w:ind w:firstLine="645"/>
        <w:rPr>
          <w:rFonts w:ascii="仿宋_GB2312" w:eastAsia="仿宋_GB2312"/>
          <w:sz w:val="32"/>
          <w:szCs w:val="32"/>
        </w:rPr>
      </w:pPr>
      <w:r>
        <w:rPr>
          <w:rFonts w:hint="eastAsia" w:ascii="仿宋_GB2312" w:eastAsia="仿宋_GB2312"/>
          <w:sz w:val="32"/>
          <w:szCs w:val="32"/>
        </w:rPr>
        <w:t>自贡市自流井区文化馆2021年收入预算78.81万元，其中：一般公共预算拨款收入78.81万元，占预算100%。</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（图1：收入预算结构图）（饼状图）</w:t>
      </w:r>
    </w:p>
    <w:p>
      <w:pPr>
        <w:jc w:val="center"/>
        <w:rPr>
          <w:rFonts w:ascii="仿宋_GB2312" w:eastAsia="仿宋_GB2312"/>
          <w:b/>
          <w:sz w:val="32"/>
          <w:szCs w:val="32"/>
        </w:rPr>
      </w:pPr>
      <w:r>
        <w:rPr>
          <w:rFonts w:ascii="仿宋_GB2312" w:eastAsia="仿宋_GB2312"/>
          <w:b/>
          <w:sz w:val="32"/>
          <w:szCs w:val="32"/>
        </w:rPr>
        <w:object>
          <v:shape id="_x0000_i1025" o:spt="75" type="#_x0000_t75" style="height:181.4pt;width:294.7pt;" o:ole="t" filled="f" o:preferrelative="t" stroked="f" coordsize="21600,21600">
            <v:path/>
            <v:fill on="f" focussize="0,0"/>
            <v:stroke on="f" joinstyle="miter"/>
            <v:imagedata r:id="rId7" o:title=""/>
            <o:lock v:ext="edit" aspectratio="t"/>
            <w10:wrap type="none"/>
            <w10:anchorlock/>
          </v:shape>
          <o:OLEObject Type="Embed" ProgID="Excel.Sheet.12" ShapeID="_x0000_i1025" DrawAspect="Content" ObjectID="_1468075725" r:id="rId6">
            <o:LockedField>false</o:LockedField>
          </o:OLEObject>
        </w:object>
      </w:r>
    </w:p>
    <w:p>
      <w:pPr>
        <w:ind w:firstLine="643" w:firstLineChars="200"/>
        <w:rPr>
          <w:rFonts w:ascii="仿宋_GB2312" w:eastAsia="仿宋_GB2312"/>
          <w:b/>
          <w:sz w:val="32"/>
          <w:szCs w:val="32"/>
        </w:rPr>
      </w:pPr>
    </w:p>
    <w:p>
      <w:pPr>
        <w:pStyle w:val="3"/>
        <w:rPr>
          <w:rFonts w:ascii="仿宋_GB2312" w:eastAsia="仿宋_GB2312"/>
        </w:rPr>
      </w:pPr>
      <w:bookmarkStart w:id="8" w:name="_Toc72430483"/>
      <w:r>
        <w:rPr>
          <w:rFonts w:hint="eastAsia" w:ascii="仿宋_GB2312" w:eastAsia="仿宋_GB2312"/>
          <w:b w:val="0"/>
          <w:bCs w:val="0"/>
        </w:rPr>
        <w:t>（二）支出预算情况</w:t>
      </w:r>
      <w:bookmarkEnd w:id="8"/>
    </w:p>
    <w:p>
      <w:pPr>
        <w:spacing w:line="580" w:lineRule="exact"/>
        <w:ind w:firstLine="645"/>
        <w:rPr>
          <w:rFonts w:ascii="仿宋_GB2312" w:eastAsia="仿宋_GB2312"/>
          <w:sz w:val="32"/>
          <w:szCs w:val="32"/>
        </w:rPr>
      </w:pPr>
      <w:r>
        <w:rPr>
          <w:rFonts w:hint="eastAsia" w:ascii="仿宋_GB2312" w:eastAsia="仿宋_GB2312"/>
          <w:sz w:val="32"/>
          <w:szCs w:val="32"/>
        </w:rPr>
        <w:t>自贡市自流井区文化馆2021年支出预算78.81万元，其中：基本支出67.85万元，占86.09%；项目支出10.96万元，占13.91%。</w:t>
      </w:r>
    </w:p>
    <w:p>
      <w:pPr>
        <w:spacing w:line="580" w:lineRule="exact"/>
        <w:jc w:val="center"/>
        <w:rPr>
          <w:rFonts w:ascii="仿宋_GB2312" w:eastAsia="仿宋_GB2312"/>
          <w:b/>
          <w:sz w:val="32"/>
          <w:szCs w:val="32"/>
        </w:rPr>
      </w:pPr>
      <w:r>
        <w:rPr>
          <w:rFonts w:hint="eastAsia" w:ascii="仿宋_GB2312" w:eastAsia="仿宋_GB2312"/>
          <w:b/>
          <w:sz w:val="32"/>
          <w:szCs w:val="32"/>
        </w:rPr>
        <w:t>（图2：支出预算结构图）（饼状图）</w:t>
      </w:r>
      <w:bookmarkStart w:id="9" w:name="_Toc72430484"/>
    </w:p>
    <w:p>
      <w:pPr>
        <w:tabs>
          <w:tab w:val="left" w:pos="4903"/>
        </w:tabs>
        <w:jc w:val="center"/>
        <w:rPr>
          <w:rFonts w:ascii="仿宋_GB2312" w:eastAsia="仿宋_GB2312"/>
          <w:b/>
          <w:sz w:val="32"/>
          <w:szCs w:val="32"/>
        </w:rPr>
      </w:pPr>
      <w:r>
        <w:rPr>
          <w:rFonts w:ascii="黑体" w:eastAsia="黑体"/>
          <w:color w:val="333333"/>
          <w:sz w:val="32"/>
          <w:szCs w:val="32"/>
        </w:rPr>
        <w:pict>
          <v:shape id="_x0000_s2055" o:spid="_x0000_s2055" o:spt="75" type="#_x0000_t75" style="position:absolute;left:0pt;margin-left:43.75pt;margin-top:31.05pt;height:204.75pt;width:339.25pt;mso-wrap-distance-bottom:0pt;mso-wrap-distance-left:9pt;mso-wrap-distance-right:9pt;mso-wrap-distance-top:0pt;z-index:251660288;mso-width-relative:page;mso-height-relative:page;" o:ole="t" filled="f" o:preferrelative="t" stroked="t" coordsize="21600,21600">
            <v:path/>
            <v:fill on="f" focussize="0,0"/>
            <v:stroke weight="0.5pt" joinstyle="miter"/>
            <v:imagedata r:id="rId9" o:title=""/>
            <o:lock v:ext="edit" aspectratio="t"/>
            <w10:wrap type="square" side="right"/>
          </v:shape>
          <o:OLEObject Type="Embed" ProgID="Excel.Sheet.12" ShapeID="_x0000_s2055" DrawAspect="Content" ObjectID="_1468075726" r:id="rId8">
            <o:LockedField>false</o:LockedField>
          </o:OLEObject>
        </w:pict>
      </w:r>
      <w:r>
        <w:rPr>
          <w:rFonts w:ascii="仿宋_GB2312" w:eastAsia="仿宋_GB2312"/>
          <w:b/>
          <w:sz w:val="32"/>
          <w:szCs w:val="32"/>
        </w:rPr>
        <w:tab/>
      </w:r>
    </w:p>
    <w:p>
      <w:pPr>
        <w:spacing w:line="580" w:lineRule="exact"/>
        <w:jc w:val="left"/>
        <w:rPr>
          <w:rFonts w:ascii="仿宋_GB2312" w:eastAsia="仿宋_GB2312"/>
          <w:b/>
          <w:sz w:val="32"/>
          <w:szCs w:val="32"/>
        </w:rPr>
      </w:pPr>
    </w:p>
    <w:p>
      <w:pPr>
        <w:spacing w:line="580" w:lineRule="exact"/>
        <w:jc w:val="left"/>
        <w:rPr>
          <w:rFonts w:ascii="仿宋_GB2312" w:eastAsia="仿宋_GB2312"/>
          <w:b/>
          <w:sz w:val="32"/>
          <w:szCs w:val="32"/>
        </w:rPr>
      </w:pPr>
    </w:p>
    <w:p>
      <w:pPr>
        <w:pStyle w:val="2"/>
        <w:rPr>
          <w:rFonts w:ascii="仿宋_GB2312" w:eastAsia="仿宋_GB2312"/>
          <w:color w:val="333333"/>
          <w:sz w:val="32"/>
          <w:szCs w:val="32"/>
        </w:rPr>
      </w:pPr>
      <w:r>
        <w:rPr>
          <w:rFonts w:hint="eastAsia" w:ascii="黑体" w:eastAsia="黑体"/>
          <w:color w:val="333333"/>
          <w:sz w:val="32"/>
          <w:szCs w:val="32"/>
        </w:rPr>
        <w:t>四、财政拨款收支预算情况说明</w:t>
      </w:r>
      <w:bookmarkEnd w:id="9"/>
    </w:p>
    <w:p>
      <w:pPr>
        <w:spacing w:line="580" w:lineRule="exact"/>
        <w:ind w:firstLine="645"/>
        <w:rPr>
          <w:rFonts w:ascii="仿宋_GB2312" w:eastAsia="仿宋_GB2312"/>
          <w:sz w:val="32"/>
          <w:szCs w:val="32"/>
        </w:rPr>
      </w:pPr>
      <w:r>
        <w:rPr>
          <w:rFonts w:hint="eastAsia" w:ascii="仿宋_GB2312" w:eastAsia="仿宋_GB2312"/>
          <w:sz w:val="32"/>
          <w:szCs w:val="32"/>
        </w:rPr>
        <w:t>自贡市自流井区文化馆</w:t>
      </w:r>
      <w:r>
        <w:rPr>
          <w:rFonts w:hint="eastAsia" w:ascii="仿宋_GB2312" w:eastAsia="仿宋_GB2312"/>
          <w:color w:val="333333"/>
          <w:sz w:val="32"/>
          <w:szCs w:val="32"/>
        </w:rPr>
        <w:t>2021年财政拨款收支总预算</w:t>
      </w:r>
      <w:r>
        <w:rPr>
          <w:rFonts w:hint="eastAsia" w:ascii="仿宋_GB2312" w:eastAsia="仿宋_GB2312"/>
          <w:sz w:val="32"/>
          <w:szCs w:val="32"/>
        </w:rPr>
        <w:t>78.81</w:t>
      </w:r>
      <w:r>
        <w:rPr>
          <w:rFonts w:hint="eastAsia" w:ascii="仿宋_GB2312" w:eastAsia="仿宋_GB2312"/>
          <w:color w:val="333333"/>
          <w:sz w:val="32"/>
          <w:szCs w:val="32"/>
        </w:rPr>
        <w:t>万元，比2020年财政拨款收支总预算</w:t>
      </w:r>
      <w:r>
        <w:rPr>
          <w:rFonts w:hint="eastAsia" w:ascii="仿宋_GB2312" w:eastAsia="仿宋_GB2312"/>
          <w:sz w:val="32"/>
          <w:szCs w:val="32"/>
        </w:rPr>
        <w:t>增加16.85万元，主要原因是：工资晋升、增人增资、保险基数调增、提高项目缴费预算，四因素共同作用的结果。</w:t>
      </w:r>
    </w:p>
    <w:p>
      <w:pPr>
        <w:spacing w:line="600" w:lineRule="exact"/>
        <w:rPr>
          <w:rFonts w:ascii="仿宋_GB2312" w:eastAsia="仿宋_GB2312"/>
          <w:b/>
          <w:sz w:val="32"/>
          <w:szCs w:val="32"/>
        </w:rPr>
      </w:pPr>
      <w:r>
        <w:rPr>
          <w:rFonts w:hint="eastAsia" w:ascii="仿宋_GB2312" w:eastAsia="仿宋_GB2312"/>
          <w:b/>
          <w:sz w:val="32"/>
          <w:szCs w:val="32"/>
        </w:rPr>
        <w:t>（图3：财政拨款收支总预算变动情况）（柱状图）</w:t>
      </w:r>
    </w:p>
    <w:p>
      <w:pPr>
        <w:jc w:val="center"/>
        <w:rPr>
          <w:rFonts w:ascii="仿宋_GB2312" w:eastAsia="仿宋_GB2312"/>
          <w:b/>
          <w:sz w:val="32"/>
          <w:szCs w:val="32"/>
        </w:rPr>
      </w:pPr>
      <w:r>
        <w:rPr>
          <w:rFonts w:ascii="仿宋_GB2312" w:eastAsia="仿宋_GB2312"/>
          <w:b/>
          <w:sz w:val="32"/>
          <w:szCs w:val="32"/>
        </w:rPr>
        <w:object>
          <v:shape id="_x0000_i1026" o:spt="75" type="#_x0000_t75" style="height:231.65pt;width:348.3pt;" o:ole="t" filled="f" o:preferrelative="t" stroked="f" coordsize="21600,21600">
            <v:path/>
            <v:fill on="f" focussize="0,0"/>
            <v:stroke on="f" joinstyle="miter"/>
            <v:imagedata r:id="rId11" o:title=""/>
            <o:lock v:ext="edit" aspectratio="t"/>
            <w10:wrap type="none"/>
            <w10:anchorlock/>
          </v:shape>
          <o:OLEObject Type="Embed" ProgID="Excel.Sheet.12" ShapeID="_x0000_i1026" DrawAspect="Content" ObjectID="_1468075727" r:id="rId10">
            <o:LockedField>false</o:LockedField>
          </o:OLEObject>
        </w:object>
      </w:r>
    </w:p>
    <w:p>
      <w:pPr>
        <w:jc w:val="center"/>
        <w:rPr>
          <w:rFonts w:ascii="仿宋_GB2312" w:eastAsia="仿宋_GB2312"/>
          <w:b/>
          <w:sz w:val="32"/>
          <w:szCs w:val="32"/>
        </w:rPr>
      </w:pPr>
    </w:p>
    <w:p>
      <w:pPr>
        <w:spacing w:line="580" w:lineRule="exact"/>
        <w:ind w:firstLine="640" w:firstLineChars="200"/>
        <w:rPr>
          <w:rFonts w:ascii="仿宋_GB2312" w:eastAsia="仿宋_GB2312"/>
          <w:color w:val="333333"/>
          <w:sz w:val="32"/>
          <w:szCs w:val="32"/>
        </w:rPr>
      </w:pPr>
      <w:r>
        <w:rPr>
          <w:rFonts w:hint="eastAsia" w:ascii="仿宋_GB2312" w:eastAsia="仿宋_GB2312"/>
          <w:color w:val="333333"/>
          <w:sz w:val="32"/>
          <w:szCs w:val="32"/>
        </w:rPr>
        <w:t>收入包括：本年一般公共预算拨款收入</w:t>
      </w:r>
      <w:r>
        <w:rPr>
          <w:rFonts w:hint="eastAsia" w:ascii="仿宋_GB2312" w:eastAsia="仿宋_GB2312"/>
          <w:sz w:val="32"/>
          <w:szCs w:val="32"/>
        </w:rPr>
        <w:t>78.81</w:t>
      </w:r>
      <w:r>
        <w:rPr>
          <w:rFonts w:hint="eastAsia" w:ascii="仿宋_GB2312" w:eastAsia="仿宋_GB2312"/>
          <w:color w:val="333333"/>
          <w:sz w:val="32"/>
          <w:szCs w:val="32"/>
        </w:rPr>
        <w:t>万元，本年政府性基金收入0万元，上年结转一般公共预算拨款收入0万元；支出包括：文化旅游体育与传媒支出</w:t>
      </w:r>
      <w:r>
        <w:rPr>
          <w:rFonts w:hint="eastAsia" w:ascii="仿宋_GB2312" w:eastAsia="仿宋_GB2312"/>
          <w:sz w:val="32"/>
          <w:szCs w:val="32"/>
        </w:rPr>
        <w:t>62.07</w:t>
      </w:r>
      <w:r>
        <w:rPr>
          <w:rFonts w:hint="eastAsia" w:ascii="仿宋_GB2312" w:eastAsia="仿宋_GB2312"/>
          <w:color w:val="333333"/>
          <w:sz w:val="32"/>
          <w:szCs w:val="32"/>
        </w:rPr>
        <w:t>万元、社会保障和就业支出</w:t>
      </w:r>
      <w:r>
        <w:rPr>
          <w:rFonts w:hint="eastAsia" w:ascii="仿宋_GB2312" w:eastAsia="仿宋_GB2312"/>
          <w:sz w:val="32"/>
          <w:szCs w:val="32"/>
        </w:rPr>
        <w:t>7.93</w:t>
      </w:r>
      <w:r>
        <w:rPr>
          <w:rFonts w:hint="eastAsia" w:ascii="仿宋_GB2312" w:eastAsia="仿宋_GB2312"/>
          <w:color w:val="333333"/>
          <w:sz w:val="32"/>
          <w:szCs w:val="32"/>
        </w:rPr>
        <w:t>万元、卫生健康支出</w:t>
      </w:r>
      <w:r>
        <w:rPr>
          <w:rFonts w:hint="eastAsia" w:ascii="仿宋_GB2312" w:eastAsia="仿宋_GB2312"/>
          <w:sz w:val="32"/>
          <w:szCs w:val="32"/>
        </w:rPr>
        <w:t>3.49</w:t>
      </w:r>
      <w:r>
        <w:rPr>
          <w:rFonts w:hint="eastAsia" w:ascii="仿宋_GB2312" w:eastAsia="仿宋_GB2312"/>
          <w:color w:val="333333"/>
          <w:sz w:val="32"/>
          <w:szCs w:val="32"/>
        </w:rPr>
        <w:t>万元、住房保障支出</w:t>
      </w:r>
      <w:r>
        <w:rPr>
          <w:rFonts w:hint="eastAsia" w:ascii="仿宋_GB2312" w:eastAsia="仿宋_GB2312"/>
          <w:sz w:val="32"/>
          <w:szCs w:val="32"/>
        </w:rPr>
        <w:t>5.32</w:t>
      </w:r>
      <w:r>
        <w:rPr>
          <w:rFonts w:hint="eastAsia" w:ascii="仿宋_GB2312" w:eastAsia="仿宋_GB2312"/>
          <w:color w:val="333333"/>
          <w:sz w:val="32"/>
          <w:szCs w:val="32"/>
        </w:rPr>
        <w:t>万元。</w:t>
      </w:r>
    </w:p>
    <w:p>
      <w:pPr>
        <w:pStyle w:val="2"/>
        <w:rPr>
          <w:rFonts w:ascii="仿宋_GB2312" w:eastAsia="仿宋_GB2312"/>
          <w:color w:val="333333"/>
          <w:sz w:val="32"/>
          <w:szCs w:val="32"/>
        </w:rPr>
      </w:pPr>
      <w:bookmarkStart w:id="10" w:name="_Toc72430485"/>
      <w:r>
        <w:rPr>
          <w:rFonts w:hint="eastAsia" w:ascii="黑体" w:eastAsia="黑体"/>
          <w:color w:val="333333"/>
          <w:sz w:val="32"/>
          <w:szCs w:val="32"/>
        </w:rPr>
        <w:t>五、一般公共预算当年拨款情况说明</w:t>
      </w:r>
      <w:bookmarkEnd w:id="10"/>
      <w:r>
        <w:rPr>
          <w:rFonts w:hint="eastAsia" w:ascii="仿宋_GB2312" w:eastAsia="仿宋_GB2312"/>
          <w:color w:val="333333"/>
          <w:sz w:val="32"/>
          <w:szCs w:val="32"/>
        </w:rPr>
        <w:t>　　</w:t>
      </w:r>
    </w:p>
    <w:p>
      <w:pPr>
        <w:pStyle w:val="3"/>
        <w:rPr>
          <w:rFonts w:ascii="仿宋_GB2312" w:eastAsia="仿宋_GB2312"/>
          <w:color w:val="333333"/>
        </w:rPr>
      </w:pPr>
      <w:bookmarkStart w:id="11" w:name="_Toc72430486"/>
      <w:r>
        <w:rPr>
          <w:rStyle w:val="13"/>
          <w:rFonts w:hint="eastAsia" w:ascii="仿宋_GB2312" w:eastAsia="仿宋_GB2312"/>
          <w:b w:val="0"/>
          <w:bCs w:val="0"/>
          <w:color w:val="333333"/>
        </w:rPr>
        <w:t>（一）一般公共预算当年拨款规模变化情况</w:t>
      </w:r>
      <w:bookmarkEnd w:id="11"/>
    </w:p>
    <w:p>
      <w:pPr>
        <w:spacing w:line="580" w:lineRule="exact"/>
        <w:ind w:firstLine="645"/>
        <w:rPr>
          <w:rFonts w:ascii="仿宋_GB2312" w:eastAsia="仿宋_GB2312"/>
          <w:color w:val="333333"/>
          <w:sz w:val="32"/>
          <w:szCs w:val="32"/>
        </w:rPr>
      </w:pPr>
      <w:r>
        <w:rPr>
          <w:rFonts w:hint="eastAsia" w:ascii="仿宋_GB2312" w:eastAsia="仿宋_GB2312"/>
          <w:sz w:val="32"/>
          <w:szCs w:val="32"/>
        </w:rPr>
        <w:t>自贡市自流井区文化馆</w:t>
      </w:r>
      <w:r>
        <w:rPr>
          <w:rFonts w:hint="eastAsia" w:ascii="仿宋_GB2312" w:eastAsia="仿宋_GB2312"/>
          <w:color w:val="333333"/>
          <w:sz w:val="32"/>
          <w:szCs w:val="32"/>
        </w:rPr>
        <w:t>2021年一般公共预算当年拨款</w:t>
      </w:r>
      <w:r>
        <w:rPr>
          <w:rFonts w:hint="eastAsia" w:ascii="仿宋_GB2312" w:eastAsia="仿宋_GB2312"/>
          <w:sz w:val="32"/>
          <w:szCs w:val="32"/>
        </w:rPr>
        <w:t>78.81</w:t>
      </w:r>
      <w:r>
        <w:rPr>
          <w:rFonts w:hint="eastAsia" w:ascii="仿宋_GB2312" w:eastAsia="仿宋_GB2312"/>
          <w:color w:val="333333"/>
          <w:sz w:val="32"/>
          <w:szCs w:val="32"/>
        </w:rPr>
        <w:t>万元，比2020年预算数</w:t>
      </w:r>
      <w:r>
        <w:rPr>
          <w:rFonts w:hint="eastAsia" w:ascii="仿宋_GB2312" w:eastAsia="仿宋_GB2312"/>
          <w:sz w:val="32"/>
          <w:szCs w:val="32"/>
        </w:rPr>
        <w:t>增加16.85万元，主要原因是：工资晋升、增人增资、保险基数调增、提高项目缴费预算，四因素共同作用的结果。</w:t>
      </w:r>
    </w:p>
    <w:p>
      <w:pPr>
        <w:spacing w:line="600" w:lineRule="exact"/>
        <w:jc w:val="center"/>
        <w:rPr>
          <w:rFonts w:ascii="仿宋_GB2312" w:eastAsia="仿宋_GB2312"/>
          <w:b/>
          <w:sz w:val="32"/>
          <w:szCs w:val="32"/>
        </w:rPr>
      </w:pPr>
      <w:r>
        <w:rPr>
          <w:rFonts w:hint="eastAsia" w:ascii="仿宋_GB2312" w:eastAsia="仿宋_GB2312"/>
          <w:b/>
          <w:sz w:val="32"/>
          <w:szCs w:val="32"/>
        </w:rPr>
        <w:t>（图4：一般公共预算财政拨款支出预算变动情况）</w:t>
      </w:r>
    </w:p>
    <w:p>
      <w:pPr>
        <w:spacing w:line="600" w:lineRule="exact"/>
        <w:jc w:val="center"/>
        <w:rPr>
          <w:rFonts w:ascii="仿宋_GB2312" w:eastAsia="仿宋_GB2312"/>
          <w:b/>
          <w:sz w:val="32"/>
          <w:szCs w:val="32"/>
        </w:rPr>
      </w:pPr>
      <w:r>
        <w:rPr>
          <w:rFonts w:hint="eastAsia" w:ascii="仿宋_GB2312" w:eastAsia="仿宋_GB2312"/>
          <w:b/>
          <w:sz w:val="32"/>
          <w:szCs w:val="32"/>
        </w:rPr>
        <w:t>（柱状图）</w:t>
      </w:r>
    </w:p>
    <w:p>
      <w:pPr>
        <w:ind w:firstLine="643" w:firstLineChars="200"/>
        <w:rPr>
          <w:rFonts w:ascii="仿宋_GB2312" w:eastAsia="仿宋_GB2312"/>
          <w:b/>
          <w:sz w:val="32"/>
          <w:szCs w:val="32"/>
        </w:rPr>
      </w:pPr>
      <w:r>
        <w:rPr>
          <w:rFonts w:ascii="仿宋_GB2312" w:eastAsia="仿宋_GB2312"/>
          <w:b/>
          <w:sz w:val="32"/>
          <w:szCs w:val="32"/>
        </w:rPr>
        <w:object>
          <v:shape id="_x0000_i1027" o:spt="75" type="#_x0000_t75" style="height:217.65pt;width:348.3pt;" o:ole="t" filled="f" o:preferrelative="t" stroked="f" coordsize="21600,21600">
            <v:path/>
            <v:fill on="f" focussize="0,0"/>
            <v:stroke on="f" joinstyle="miter"/>
            <v:imagedata r:id="rId13" o:title=""/>
            <o:lock v:ext="edit" aspectratio="t"/>
            <w10:wrap type="none"/>
            <w10:anchorlock/>
          </v:shape>
          <o:OLEObject Type="Embed" ProgID="Excel.Sheet.12" ShapeID="_x0000_i1027" DrawAspect="Content" ObjectID="_1468075728" r:id="rId12">
            <o:LockedField>false</o:LockedField>
          </o:OLEObject>
        </w:object>
      </w:r>
    </w:p>
    <w:p>
      <w:pPr>
        <w:pStyle w:val="3"/>
        <w:rPr>
          <w:rFonts w:ascii="仿宋_GB2312" w:eastAsia="仿宋_GB2312"/>
          <w:color w:val="333333"/>
        </w:rPr>
      </w:pPr>
      <w:bookmarkStart w:id="12" w:name="_Toc72430487"/>
      <w:r>
        <w:rPr>
          <w:rStyle w:val="13"/>
          <w:rFonts w:hint="eastAsia" w:ascii="仿宋_GB2312" w:eastAsia="仿宋_GB2312"/>
          <w:b w:val="0"/>
          <w:bCs w:val="0"/>
          <w:color w:val="333333"/>
        </w:rPr>
        <w:t>（二）一般公共预算当年拨款结构情况</w:t>
      </w:r>
      <w:bookmarkEnd w:id="12"/>
    </w:p>
    <w:p>
      <w:pPr>
        <w:ind w:firstLine="640" w:firstLineChars="200"/>
        <w:rPr>
          <w:rFonts w:ascii="仿宋" w:hAnsi="仿宋" w:eastAsia="仿宋"/>
          <w:color w:val="000000"/>
          <w:sz w:val="32"/>
          <w:szCs w:val="32"/>
        </w:rPr>
      </w:pPr>
      <w:r>
        <w:rPr>
          <w:rFonts w:hint="eastAsia" w:ascii="仿宋_GB2312" w:eastAsia="仿宋_GB2312"/>
          <w:color w:val="333333"/>
          <w:sz w:val="32"/>
          <w:szCs w:val="32"/>
        </w:rPr>
        <w:t>文化旅游体育与传媒支出</w:t>
      </w:r>
      <w:r>
        <w:rPr>
          <w:rFonts w:hint="eastAsia" w:ascii="仿宋_GB2312" w:eastAsia="仿宋_GB2312"/>
          <w:sz w:val="32"/>
          <w:szCs w:val="32"/>
        </w:rPr>
        <w:t>62.07</w:t>
      </w:r>
      <w:r>
        <w:rPr>
          <w:rFonts w:hint="eastAsia" w:ascii="仿宋_GB2312" w:eastAsia="仿宋_GB2312"/>
          <w:color w:val="333333"/>
          <w:sz w:val="32"/>
          <w:szCs w:val="32"/>
        </w:rPr>
        <w:t>万元，占</w:t>
      </w:r>
      <w:r>
        <w:rPr>
          <w:rFonts w:hint="eastAsia" w:ascii="仿宋_GB2312" w:eastAsia="仿宋_GB2312"/>
          <w:sz w:val="32"/>
          <w:szCs w:val="32"/>
        </w:rPr>
        <w:t>78.76</w:t>
      </w:r>
      <w:r>
        <w:rPr>
          <w:rFonts w:hint="eastAsia" w:ascii="仿宋_GB2312" w:eastAsia="仿宋_GB2312"/>
          <w:color w:val="333333"/>
          <w:sz w:val="32"/>
          <w:szCs w:val="32"/>
        </w:rPr>
        <w:t>%；社会保障和就业支出</w:t>
      </w:r>
      <w:r>
        <w:rPr>
          <w:rFonts w:hint="eastAsia" w:ascii="仿宋_GB2312" w:eastAsia="仿宋_GB2312"/>
          <w:sz w:val="32"/>
          <w:szCs w:val="32"/>
        </w:rPr>
        <w:t>7.93</w:t>
      </w:r>
      <w:r>
        <w:rPr>
          <w:rFonts w:hint="eastAsia" w:ascii="仿宋_GB2312" w:eastAsia="仿宋_GB2312"/>
          <w:color w:val="333333"/>
          <w:sz w:val="32"/>
          <w:szCs w:val="32"/>
        </w:rPr>
        <w:t>万元，占</w:t>
      </w:r>
      <w:r>
        <w:rPr>
          <w:rFonts w:hint="eastAsia" w:ascii="仿宋_GB2312" w:eastAsia="仿宋_GB2312"/>
          <w:sz w:val="32"/>
          <w:szCs w:val="32"/>
        </w:rPr>
        <w:t>10.06</w:t>
      </w:r>
      <w:r>
        <w:rPr>
          <w:rFonts w:hint="eastAsia" w:ascii="仿宋_GB2312" w:eastAsia="仿宋_GB2312"/>
          <w:color w:val="333333"/>
          <w:sz w:val="32"/>
          <w:szCs w:val="32"/>
        </w:rPr>
        <w:t>%；卫生健康支出</w:t>
      </w:r>
      <w:r>
        <w:rPr>
          <w:rFonts w:hint="eastAsia" w:ascii="仿宋_GB2312" w:eastAsia="仿宋_GB2312"/>
          <w:sz w:val="32"/>
          <w:szCs w:val="32"/>
        </w:rPr>
        <w:t>3.49</w:t>
      </w:r>
      <w:r>
        <w:rPr>
          <w:rFonts w:hint="eastAsia" w:ascii="仿宋_GB2312" w:eastAsia="仿宋_GB2312"/>
          <w:color w:val="333333"/>
          <w:sz w:val="32"/>
          <w:szCs w:val="32"/>
        </w:rPr>
        <w:t>万元，占4.43%；住房保障支出</w:t>
      </w:r>
      <w:r>
        <w:rPr>
          <w:rFonts w:hint="eastAsia" w:ascii="仿宋_GB2312" w:eastAsia="仿宋_GB2312"/>
          <w:sz w:val="32"/>
          <w:szCs w:val="32"/>
        </w:rPr>
        <w:t>5.32</w:t>
      </w:r>
      <w:r>
        <w:rPr>
          <w:rFonts w:hint="eastAsia" w:ascii="仿宋_GB2312" w:eastAsia="仿宋_GB2312"/>
          <w:color w:val="333333"/>
          <w:sz w:val="32"/>
          <w:szCs w:val="32"/>
        </w:rPr>
        <w:t>万元，占</w:t>
      </w:r>
      <w:r>
        <w:rPr>
          <w:rFonts w:hint="eastAsia" w:ascii="仿宋_GB2312" w:eastAsia="仿宋_GB2312"/>
          <w:sz w:val="32"/>
          <w:szCs w:val="32"/>
        </w:rPr>
        <w:t>6.75</w:t>
      </w:r>
      <w:r>
        <w:rPr>
          <w:rFonts w:hint="eastAsia" w:ascii="仿宋_GB2312" w:eastAsia="仿宋_GB2312"/>
          <w:color w:val="333333"/>
          <w:sz w:val="32"/>
          <w:szCs w:val="32"/>
        </w:rPr>
        <w:t>%。</w:t>
      </w:r>
    </w:p>
    <w:p>
      <w:pPr>
        <w:spacing w:line="600" w:lineRule="exact"/>
        <w:jc w:val="center"/>
        <w:rPr>
          <w:rFonts w:ascii="仿宋_GB2312" w:eastAsia="仿宋_GB2312"/>
          <w:b/>
          <w:sz w:val="32"/>
          <w:szCs w:val="32"/>
        </w:rPr>
      </w:pPr>
      <w:r>
        <w:rPr>
          <w:rFonts w:hint="eastAsia" w:ascii="仿宋_GB2312" w:eastAsia="仿宋_GB2312"/>
          <w:b/>
          <w:sz w:val="32"/>
          <w:szCs w:val="32"/>
        </w:rPr>
        <w:t>（图5：一般公共预算当年拨款结构情况）（饼状图）</w:t>
      </w:r>
    </w:p>
    <w:p>
      <w:pPr>
        <w:jc w:val="center"/>
        <w:rPr>
          <w:rFonts w:ascii="仿宋_GB2312" w:eastAsia="仿宋_GB2312"/>
          <w:b/>
          <w:sz w:val="32"/>
          <w:szCs w:val="32"/>
        </w:rPr>
      </w:pPr>
      <w:r>
        <w:object>
          <v:shape id="_x0000_i1028" o:spt="75" type="#_x0000_t75" style="height:232.75pt;width:319.8pt;" o:ole="t" filled="f" o:preferrelative="t" stroked="f" coordsize="21600,21600">
            <v:path/>
            <v:fill on="f" focussize="0,0"/>
            <v:stroke on="f" joinstyle="miter"/>
            <v:imagedata r:id="rId15" o:title=""/>
            <o:lock v:ext="edit" aspectratio="t"/>
            <w10:wrap type="none"/>
            <w10:anchorlock/>
          </v:shape>
          <o:OLEObject Type="Embed" ProgID="Excel.Sheet.12" ShapeID="_x0000_i1028" DrawAspect="Content" ObjectID="_1468075729" r:id="rId14">
            <o:LockedField>false</o:LockedField>
          </o:OLEObject>
        </w:object>
      </w:r>
    </w:p>
    <w:p>
      <w:pPr>
        <w:spacing w:line="600" w:lineRule="exact"/>
        <w:jc w:val="center"/>
        <w:rPr>
          <w:rFonts w:ascii="仿宋_GB2312" w:eastAsia="仿宋_GB2312"/>
          <w:b/>
          <w:sz w:val="32"/>
          <w:szCs w:val="32"/>
        </w:rPr>
      </w:pPr>
    </w:p>
    <w:p>
      <w:pPr>
        <w:pStyle w:val="3"/>
        <w:rPr>
          <w:rFonts w:ascii="仿宋_GB2312" w:eastAsia="仿宋_GB2312"/>
          <w:color w:val="333333"/>
        </w:rPr>
      </w:pPr>
      <w:r>
        <w:rPr>
          <w:rStyle w:val="13"/>
          <w:rFonts w:hint="eastAsia" w:ascii="仿宋_GB2312" w:eastAsia="仿宋_GB2312"/>
          <w:b w:val="0"/>
          <w:bCs w:val="0"/>
          <w:color w:val="333333"/>
        </w:rPr>
        <w:t>（三）一般公共预算当年拨款具体使用情况</w:t>
      </w:r>
      <w:r>
        <w:rPr>
          <w:rFonts w:hint="eastAsia" w:ascii="仿宋_GB2312" w:eastAsia="仿宋_GB2312"/>
          <w:b w:val="0"/>
          <w:bCs w:val="0"/>
          <w:color w:val="333333"/>
        </w:rPr>
        <w:t>：</w:t>
      </w:r>
      <w:r>
        <w:rPr>
          <w:rFonts w:hint="eastAsia" w:ascii="仿宋_GB2312" w:eastAsia="仿宋_GB2312"/>
          <w:color w:val="333333"/>
        </w:rPr>
        <w:t>　　</w:t>
      </w:r>
    </w:p>
    <w:p>
      <w:pPr>
        <w:spacing w:line="580" w:lineRule="exact"/>
        <w:ind w:firstLine="640" w:firstLineChars="200"/>
        <w:rPr>
          <w:rFonts w:ascii="仿宋_GB2312" w:eastAsia="仿宋_GB2312"/>
          <w:color w:val="333333"/>
          <w:sz w:val="32"/>
          <w:szCs w:val="32"/>
        </w:rPr>
      </w:pPr>
      <w:r>
        <w:rPr>
          <w:rFonts w:hint="eastAsia" w:ascii="仿宋_GB2312" w:eastAsia="仿宋_GB2312"/>
          <w:color w:val="333333"/>
          <w:sz w:val="32"/>
          <w:szCs w:val="32"/>
        </w:rPr>
        <w:t>1.文化旅游体育与传媒（207类）</w:t>
      </w:r>
      <w:r>
        <w:rPr>
          <w:rFonts w:hint="eastAsia" w:ascii="仿宋_GB2312" w:eastAsia="仿宋_GB2312"/>
          <w:sz w:val="32"/>
          <w:szCs w:val="32"/>
        </w:rPr>
        <w:t>文化和旅游</w:t>
      </w:r>
      <w:r>
        <w:rPr>
          <w:rFonts w:hint="eastAsia" w:ascii="仿宋_GB2312" w:eastAsia="仿宋_GB2312"/>
          <w:color w:val="333333"/>
          <w:sz w:val="32"/>
          <w:szCs w:val="32"/>
        </w:rPr>
        <w:t>（01款）</w:t>
      </w:r>
      <w:r>
        <w:rPr>
          <w:rFonts w:hint="eastAsia" w:ascii="仿宋_GB2312" w:eastAsia="仿宋_GB2312"/>
          <w:sz w:val="32"/>
          <w:szCs w:val="32"/>
        </w:rPr>
        <w:t>群众文化</w:t>
      </w:r>
      <w:r>
        <w:rPr>
          <w:rFonts w:hint="eastAsia" w:ascii="仿宋_GB2312" w:eastAsia="仿宋_GB2312"/>
          <w:color w:val="333333"/>
          <w:sz w:val="32"/>
          <w:szCs w:val="32"/>
        </w:rPr>
        <w:t>（09项）:2021年预算数为</w:t>
      </w:r>
      <w:r>
        <w:rPr>
          <w:rFonts w:hint="eastAsia" w:ascii="仿宋_GB2312" w:eastAsia="仿宋_GB2312"/>
          <w:sz w:val="32"/>
          <w:szCs w:val="32"/>
        </w:rPr>
        <w:t>62.07</w:t>
      </w:r>
      <w:r>
        <w:rPr>
          <w:rFonts w:hint="eastAsia" w:ascii="仿宋_GB2312" w:eastAsia="仿宋_GB2312"/>
          <w:color w:val="333333"/>
          <w:sz w:val="32"/>
          <w:szCs w:val="32"/>
        </w:rPr>
        <w:t>万元，主要用于：</w:t>
      </w:r>
      <w:r>
        <w:rPr>
          <w:rFonts w:hint="eastAsia" w:ascii="仿宋_GB2312" w:eastAsia="仿宋_GB2312"/>
          <w:sz w:val="32"/>
          <w:szCs w:val="32"/>
        </w:rPr>
        <w:t>保障全馆工作的正常运行及人员工资福利费用</w:t>
      </w:r>
      <w:r>
        <w:rPr>
          <w:rFonts w:hint="eastAsia" w:ascii="仿宋_GB2312" w:eastAsia="仿宋_GB2312"/>
          <w:color w:val="333333"/>
          <w:sz w:val="32"/>
          <w:szCs w:val="32"/>
        </w:rPr>
        <w:t>。</w:t>
      </w:r>
    </w:p>
    <w:p>
      <w:pPr>
        <w:ind w:firstLine="645"/>
        <w:rPr>
          <w:sz w:val="22"/>
          <w:szCs w:val="22"/>
        </w:rPr>
      </w:pPr>
      <w:r>
        <w:rPr>
          <w:rFonts w:hint="eastAsia" w:ascii="仿宋_GB2312" w:eastAsia="仿宋_GB2312"/>
          <w:color w:val="333333"/>
          <w:sz w:val="32"/>
          <w:szCs w:val="32"/>
        </w:rPr>
        <w:t>2.社会保障和就业（208类）</w:t>
      </w:r>
      <w:r>
        <w:rPr>
          <w:rFonts w:hint="eastAsia" w:ascii="仿宋_GB2312" w:eastAsia="仿宋_GB2312"/>
          <w:sz w:val="32"/>
          <w:szCs w:val="32"/>
        </w:rPr>
        <w:t>行政事业单位养老支出</w:t>
      </w:r>
      <w:r>
        <w:rPr>
          <w:rFonts w:hint="eastAsia" w:ascii="仿宋_GB2312" w:eastAsia="仿宋_GB2312"/>
          <w:color w:val="333333"/>
          <w:sz w:val="32"/>
          <w:szCs w:val="32"/>
        </w:rPr>
        <w:t>（05款）</w:t>
      </w:r>
      <w:r>
        <w:rPr>
          <w:rFonts w:hint="eastAsia" w:ascii="仿宋_GB2312" w:eastAsia="仿宋_GB2312"/>
          <w:sz w:val="32"/>
          <w:szCs w:val="32"/>
        </w:rPr>
        <w:t>机关事业单位基本养老保险缴费支出</w:t>
      </w:r>
      <w:r>
        <w:rPr>
          <w:rFonts w:hint="eastAsia" w:ascii="仿宋_GB2312" w:eastAsia="仿宋_GB2312"/>
          <w:color w:val="333333"/>
          <w:sz w:val="32"/>
          <w:szCs w:val="32"/>
        </w:rPr>
        <w:t>（05项）:2021年预算数为</w:t>
      </w:r>
      <w:r>
        <w:rPr>
          <w:rFonts w:hint="eastAsia" w:ascii="仿宋_GB2312" w:eastAsia="仿宋_GB2312"/>
          <w:sz w:val="32"/>
          <w:szCs w:val="32"/>
        </w:rPr>
        <w:t>7.09</w:t>
      </w:r>
      <w:r>
        <w:rPr>
          <w:rFonts w:hint="eastAsia" w:ascii="仿宋_GB2312" w:eastAsia="仿宋_GB2312"/>
          <w:color w:val="333333"/>
          <w:sz w:val="32"/>
          <w:szCs w:val="32"/>
        </w:rPr>
        <w:t>万元，主要用于：事业单位职工的基本养老保险缴费</w:t>
      </w:r>
      <w:r>
        <w:rPr>
          <w:rFonts w:hint="eastAsia"/>
          <w:sz w:val="22"/>
          <w:szCs w:val="22"/>
        </w:rPr>
        <w:t>。</w:t>
      </w:r>
    </w:p>
    <w:p>
      <w:pPr>
        <w:ind w:firstLine="645"/>
        <w:rPr>
          <w:sz w:val="22"/>
          <w:szCs w:val="22"/>
        </w:rPr>
      </w:pPr>
      <w:r>
        <w:rPr>
          <w:rFonts w:hint="eastAsia" w:ascii="仿宋_GB2312" w:eastAsia="仿宋_GB2312"/>
          <w:color w:val="333333"/>
          <w:sz w:val="32"/>
          <w:szCs w:val="32"/>
        </w:rPr>
        <w:t>3.社会保障和就业（208类）</w:t>
      </w:r>
      <w:r>
        <w:rPr>
          <w:rFonts w:hint="eastAsia" w:ascii="仿宋_GB2312" w:eastAsia="仿宋_GB2312"/>
          <w:sz w:val="32"/>
          <w:szCs w:val="32"/>
        </w:rPr>
        <w:t>其他社会保障和就业支出</w:t>
      </w:r>
      <w:r>
        <w:rPr>
          <w:rFonts w:hint="eastAsia" w:ascii="仿宋_GB2312" w:eastAsia="仿宋_GB2312"/>
          <w:color w:val="333333"/>
          <w:sz w:val="32"/>
          <w:szCs w:val="32"/>
        </w:rPr>
        <w:t>（99款）</w:t>
      </w:r>
      <w:r>
        <w:rPr>
          <w:rFonts w:hint="eastAsia" w:ascii="仿宋_GB2312" w:eastAsia="仿宋_GB2312"/>
          <w:sz w:val="32"/>
          <w:szCs w:val="32"/>
        </w:rPr>
        <w:t>其他社会保障和就业支出</w:t>
      </w:r>
      <w:r>
        <w:rPr>
          <w:rFonts w:hint="eastAsia" w:ascii="仿宋_GB2312" w:eastAsia="仿宋_GB2312"/>
          <w:color w:val="333333"/>
          <w:sz w:val="32"/>
          <w:szCs w:val="32"/>
        </w:rPr>
        <w:t>（99项）:2021年预算数为</w:t>
      </w:r>
      <w:r>
        <w:rPr>
          <w:rFonts w:hint="eastAsia" w:ascii="仿宋_GB2312" w:eastAsia="仿宋_GB2312"/>
          <w:sz w:val="32"/>
          <w:szCs w:val="32"/>
        </w:rPr>
        <w:t>0.84</w:t>
      </w:r>
      <w:r>
        <w:rPr>
          <w:rFonts w:hint="eastAsia" w:ascii="仿宋_GB2312" w:eastAsia="仿宋_GB2312"/>
          <w:color w:val="333333"/>
          <w:sz w:val="32"/>
          <w:szCs w:val="32"/>
        </w:rPr>
        <w:t>万元，主要用于：事业单位职工的工伤保险和失业保险缴费</w:t>
      </w:r>
      <w:r>
        <w:rPr>
          <w:rFonts w:hint="eastAsia"/>
          <w:sz w:val="22"/>
          <w:szCs w:val="22"/>
        </w:rPr>
        <w:t>。</w:t>
      </w:r>
    </w:p>
    <w:p>
      <w:pPr>
        <w:ind w:firstLine="645"/>
        <w:rPr>
          <w:rFonts w:ascii="仿宋_GB2312" w:eastAsia="仿宋_GB2312"/>
          <w:color w:val="333333"/>
          <w:sz w:val="32"/>
          <w:szCs w:val="32"/>
        </w:rPr>
      </w:pPr>
      <w:r>
        <w:rPr>
          <w:rFonts w:hint="eastAsia" w:ascii="仿宋_GB2312" w:eastAsia="仿宋_GB2312"/>
          <w:color w:val="333333"/>
          <w:sz w:val="32"/>
          <w:szCs w:val="32"/>
        </w:rPr>
        <w:t>4.卫生健康支出（210类）</w:t>
      </w:r>
      <w:r>
        <w:rPr>
          <w:rFonts w:hint="eastAsia" w:ascii="仿宋_GB2312" w:eastAsia="仿宋_GB2312"/>
          <w:sz w:val="32"/>
          <w:szCs w:val="32"/>
        </w:rPr>
        <w:t>行政事业单位医疗</w:t>
      </w:r>
      <w:r>
        <w:rPr>
          <w:rFonts w:hint="eastAsia" w:ascii="仿宋_GB2312" w:eastAsia="仿宋_GB2312"/>
          <w:color w:val="333333"/>
          <w:sz w:val="32"/>
          <w:szCs w:val="32"/>
        </w:rPr>
        <w:t>（11款）</w:t>
      </w:r>
      <w:r>
        <w:rPr>
          <w:rFonts w:hint="eastAsia" w:ascii="仿宋_GB2312" w:eastAsia="仿宋_GB2312"/>
          <w:sz w:val="32"/>
          <w:szCs w:val="32"/>
        </w:rPr>
        <w:t>事业单位医疗</w:t>
      </w:r>
      <w:r>
        <w:rPr>
          <w:rFonts w:hint="eastAsia" w:ascii="仿宋_GB2312" w:eastAsia="仿宋_GB2312"/>
          <w:color w:val="333333"/>
          <w:sz w:val="32"/>
          <w:szCs w:val="32"/>
        </w:rPr>
        <w:t>（02项）:2021年预算数为</w:t>
      </w:r>
      <w:r>
        <w:rPr>
          <w:rFonts w:hint="eastAsia" w:ascii="仿宋_GB2312" w:eastAsia="仿宋_GB2312"/>
          <w:sz w:val="32"/>
          <w:szCs w:val="32"/>
        </w:rPr>
        <w:t>3.49</w:t>
      </w:r>
      <w:r>
        <w:rPr>
          <w:rFonts w:hint="eastAsia" w:ascii="仿宋_GB2312" w:eastAsia="仿宋_GB2312"/>
          <w:color w:val="333333"/>
          <w:sz w:val="32"/>
          <w:szCs w:val="32"/>
        </w:rPr>
        <w:t>万元，主要用于：</w:t>
      </w:r>
      <w:r>
        <w:rPr>
          <w:rFonts w:hint="eastAsia" w:ascii="仿宋_GB2312" w:eastAsia="仿宋_GB2312"/>
          <w:sz w:val="32"/>
          <w:szCs w:val="32"/>
        </w:rPr>
        <w:t>事业单位职工的医疗保险和生育险</w:t>
      </w:r>
      <w:r>
        <w:rPr>
          <w:rFonts w:hint="eastAsia" w:ascii="仿宋_GB2312" w:eastAsia="仿宋_GB2312"/>
          <w:color w:val="333333"/>
          <w:sz w:val="32"/>
          <w:szCs w:val="32"/>
        </w:rPr>
        <w:t>。</w:t>
      </w:r>
    </w:p>
    <w:p>
      <w:pPr>
        <w:spacing w:line="580" w:lineRule="exact"/>
        <w:ind w:firstLine="570"/>
        <w:rPr>
          <w:rFonts w:ascii="仿宋_GB2312" w:eastAsia="仿宋_GB2312"/>
          <w:color w:val="333333"/>
          <w:sz w:val="32"/>
          <w:szCs w:val="32"/>
        </w:rPr>
      </w:pPr>
      <w:r>
        <w:rPr>
          <w:rFonts w:hint="eastAsia" w:ascii="仿宋_GB2312" w:eastAsia="仿宋_GB2312"/>
          <w:color w:val="333333"/>
          <w:sz w:val="32"/>
          <w:szCs w:val="32"/>
        </w:rPr>
        <w:t>5.住房保障支出（221类）</w:t>
      </w:r>
      <w:r>
        <w:rPr>
          <w:rFonts w:hint="eastAsia" w:ascii="仿宋_GB2312" w:eastAsia="仿宋_GB2312"/>
          <w:sz w:val="32"/>
          <w:szCs w:val="32"/>
        </w:rPr>
        <w:t>住房改革支出</w:t>
      </w:r>
      <w:r>
        <w:rPr>
          <w:rFonts w:hint="eastAsia" w:ascii="仿宋_GB2312" w:eastAsia="仿宋_GB2312"/>
          <w:color w:val="333333"/>
          <w:sz w:val="32"/>
          <w:szCs w:val="32"/>
        </w:rPr>
        <w:t>（02款）</w:t>
      </w:r>
      <w:r>
        <w:rPr>
          <w:rFonts w:hint="eastAsia" w:ascii="仿宋_GB2312" w:eastAsia="仿宋_GB2312"/>
          <w:sz w:val="32"/>
          <w:szCs w:val="32"/>
        </w:rPr>
        <w:t>住房公积金</w:t>
      </w:r>
      <w:r>
        <w:rPr>
          <w:rFonts w:hint="eastAsia" w:ascii="仿宋_GB2312" w:eastAsia="仿宋_GB2312"/>
          <w:color w:val="333333"/>
          <w:sz w:val="32"/>
          <w:szCs w:val="32"/>
        </w:rPr>
        <w:t>（01项）:2021年预算数为</w:t>
      </w:r>
      <w:r>
        <w:rPr>
          <w:rFonts w:hint="eastAsia" w:ascii="仿宋_GB2312" w:eastAsia="仿宋_GB2312"/>
          <w:sz w:val="32"/>
          <w:szCs w:val="32"/>
        </w:rPr>
        <w:t>5.32</w:t>
      </w:r>
      <w:r>
        <w:rPr>
          <w:rFonts w:hint="eastAsia" w:ascii="仿宋_GB2312" w:eastAsia="仿宋_GB2312"/>
          <w:color w:val="333333"/>
          <w:sz w:val="32"/>
          <w:szCs w:val="32"/>
        </w:rPr>
        <w:t>万元，主要用于：</w:t>
      </w:r>
      <w:r>
        <w:rPr>
          <w:rFonts w:hint="eastAsia" w:ascii="仿宋_GB2312" w:eastAsia="仿宋_GB2312"/>
          <w:sz w:val="32"/>
          <w:szCs w:val="32"/>
        </w:rPr>
        <w:t>职工的住房公积金缴费</w:t>
      </w:r>
      <w:r>
        <w:rPr>
          <w:rFonts w:hint="eastAsia" w:ascii="仿宋_GB2312" w:eastAsia="仿宋_GB2312"/>
          <w:color w:val="333333"/>
          <w:sz w:val="32"/>
          <w:szCs w:val="32"/>
        </w:rPr>
        <w:t>。　</w:t>
      </w:r>
    </w:p>
    <w:p>
      <w:pPr>
        <w:pStyle w:val="2"/>
        <w:rPr>
          <w:rFonts w:ascii="黑体" w:eastAsia="黑体"/>
          <w:color w:val="333333"/>
          <w:sz w:val="32"/>
          <w:szCs w:val="32"/>
        </w:rPr>
      </w:pPr>
      <w:bookmarkStart w:id="13" w:name="_Toc72430489"/>
      <w:r>
        <w:rPr>
          <w:rFonts w:hint="eastAsia" w:ascii="黑体" w:eastAsia="黑体"/>
          <w:color w:val="333333"/>
          <w:sz w:val="32"/>
          <w:szCs w:val="32"/>
        </w:rPr>
        <w:t>六、一般公共预算基本支出情况说明</w:t>
      </w:r>
      <w:bookmarkEnd w:id="13"/>
    </w:p>
    <w:p>
      <w:pPr>
        <w:spacing w:line="580" w:lineRule="exact"/>
        <w:ind w:firstLine="570"/>
        <w:rPr>
          <w:rFonts w:ascii="仿宋_GB2312" w:eastAsia="仿宋_GB2312"/>
          <w:color w:val="333333"/>
          <w:sz w:val="32"/>
          <w:szCs w:val="32"/>
        </w:rPr>
      </w:pPr>
      <w:r>
        <w:rPr>
          <w:rFonts w:hint="eastAsia" w:ascii="仿宋_GB2312" w:eastAsia="仿宋_GB2312"/>
          <w:sz w:val="32"/>
          <w:szCs w:val="32"/>
        </w:rPr>
        <w:t>自贡市自流井区文化馆</w:t>
      </w:r>
      <w:r>
        <w:rPr>
          <w:rFonts w:hint="eastAsia" w:ascii="仿宋_GB2312" w:eastAsia="仿宋_GB2312"/>
          <w:color w:val="333333"/>
          <w:sz w:val="32"/>
          <w:szCs w:val="32"/>
        </w:rPr>
        <w:t>2021年一般公共预算基本支出</w:t>
      </w:r>
      <w:r>
        <w:rPr>
          <w:rFonts w:hint="eastAsia" w:ascii="仿宋_GB2312" w:eastAsia="仿宋_GB2312"/>
          <w:sz w:val="32"/>
          <w:szCs w:val="32"/>
        </w:rPr>
        <w:t>67.85</w:t>
      </w:r>
      <w:r>
        <w:rPr>
          <w:rFonts w:hint="eastAsia" w:ascii="仿宋_GB2312" w:eastAsia="仿宋_GB2312"/>
          <w:color w:val="333333"/>
          <w:sz w:val="32"/>
          <w:szCs w:val="32"/>
        </w:rPr>
        <w:t>万元，其中：</w:t>
      </w:r>
    </w:p>
    <w:p>
      <w:pPr>
        <w:spacing w:line="580" w:lineRule="exact"/>
        <w:rPr>
          <w:rFonts w:ascii="仿宋_GB2312" w:eastAsia="仿宋_GB2312"/>
          <w:color w:val="333333"/>
          <w:sz w:val="32"/>
          <w:szCs w:val="32"/>
        </w:rPr>
      </w:pPr>
      <w:r>
        <w:rPr>
          <w:rFonts w:hint="eastAsia" w:ascii="仿宋_GB2312" w:eastAsia="仿宋_GB2312"/>
          <w:color w:val="333333"/>
          <w:sz w:val="32"/>
          <w:szCs w:val="32"/>
        </w:rPr>
        <w:t>　　人员经费</w:t>
      </w:r>
      <w:r>
        <w:rPr>
          <w:rFonts w:hint="eastAsia" w:ascii="仿宋_GB2312" w:eastAsia="仿宋_GB2312"/>
          <w:sz w:val="32"/>
          <w:szCs w:val="32"/>
        </w:rPr>
        <w:t>58.97</w:t>
      </w:r>
      <w:r>
        <w:rPr>
          <w:rFonts w:hint="eastAsia" w:ascii="仿宋_GB2312" w:eastAsia="仿宋_GB2312"/>
          <w:color w:val="333333"/>
          <w:sz w:val="32"/>
          <w:szCs w:val="32"/>
        </w:rPr>
        <w:t>万元，主要包括：基本工资、津贴补贴、基本养老保险缴费、基本医疗保险缴费、失业工伤级生育保险缴费、住房公积金、绩效工资、其他工资福利支出等支出</w:t>
      </w:r>
    </w:p>
    <w:p>
      <w:pPr>
        <w:spacing w:line="580" w:lineRule="exact"/>
        <w:ind w:firstLine="570"/>
        <w:rPr>
          <w:rFonts w:ascii="仿宋_GB2312" w:eastAsia="仿宋_GB2312"/>
          <w:color w:val="333333"/>
          <w:sz w:val="32"/>
          <w:szCs w:val="32"/>
        </w:rPr>
      </w:pPr>
      <w:r>
        <w:rPr>
          <w:rFonts w:hint="eastAsia" w:ascii="仿宋_GB2312" w:eastAsia="仿宋_GB2312"/>
          <w:color w:val="333333"/>
          <w:sz w:val="32"/>
          <w:szCs w:val="32"/>
        </w:rPr>
        <w:t>公用经费</w:t>
      </w:r>
      <w:r>
        <w:rPr>
          <w:rFonts w:hint="eastAsia" w:ascii="仿宋_GB2312" w:eastAsia="仿宋_GB2312"/>
          <w:sz w:val="32"/>
          <w:szCs w:val="32"/>
        </w:rPr>
        <w:t>8.88</w:t>
      </w:r>
      <w:r>
        <w:rPr>
          <w:rFonts w:hint="eastAsia" w:ascii="仿宋_GB2312" w:eastAsia="仿宋_GB2312"/>
          <w:color w:val="333333"/>
          <w:sz w:val="32"/>
          <w:szCs w:val="32"/>
        </w:rPr>
        <w:t>万元，主要包括：办公费、水费、电费、邮电费、差旅费、物业管理费、工会经费、培训费、劳务费、其他交通费、其他商品和服务支出等支出。</w:t>
      </w:r>
    </w:p>
    <w:p>
      <w:pPr>
        <w:pStyle w:val="2"/>
        <w:rPr>
          <w:rFonts w:ascii="黑体" w:eastAsia="黑体"/>
          <w:sz w:val="32"/>
          <w:szCs w:val="32"/>
        </w:rPr>
      </w:pPr>
      <w:bookmarkStart w:id="14" w:name="_Toc72430490"/>
      <w:r>
        <w:rPr>
          <w:rFonts w:hint="eastAsia" w:ascii="黑体" w:eastAsia="黑体"/>
          <w:sz w:val="32"/>
          <w:szCs w:val="32"/>
        </w:rPr>
        <w:t>七、“三公”经费财政拨款预算安排情况</w:t>
      </w:r>
      <w:bookmarkEnd w:id="14"/>
    </w:p>
    <w:p>
      <w:pPr>
        <w:spacing w:line="620" w:lineRule="exact"/>
        <w:ind w:firstLine="640" w:firstLineChars="200"/>
        <w:rPr>
          <w:rFonts w:ascii="仿宋_GB2312" w:eastAsia="仿宋_GB2312"/>
          <w:color w:val="333333"/>
          <w:sz w:val="32"/>
          <w:szCs w:val="32"/>
        </w:rPr>
      </w:pPr>
      <w:r>
        <w:rPr>
          <w:rFonts w:hint="eastAsia" w:ascii="仿宋_GB2312" w:eastAsia="仿宋_GB2312"/>
          <w:sz w:val="32"/>
          <w:szCs w:val="32"/>
        </w:rPr>
        <w:t>自贡市自流井区文化</w:t>
      </w:r>
      <w:r>
        <w:rPr>
          <w:rFonts w:hint="eastAsia" w:ascii="仿宋_GB2312" w:eastAsia="仿宋_GB2312"/>
          <w:color w:val="333333"/>
          <w:sz w:val="32"/>
          <w:szCs w:val="32"/>
        </w:rPr>
        <w:t>馆2021年“三公”经费财政拨款预算数0万元，与2021年预算持平，其中：因公出国（境）经费0万元，公务接待费0万元，公务用车购置及运行维护费0万元（其中：公务用车购置费0万元，公务用车运行费0万元）。</w:t>
      </w:r>
    </w:p>
    <w:p>
      <w:pPr>
        <w:spacing w:line="620" w:lineRule="exact"/>
        <w:ind w:firstLine="640" w:firstLineChars="200"/>
        <w:rPr>
          <w:rFonts w:ascii="仿宋_GB2312" w:eastAsia="仿宋_GB2312"/>
          <w:color w:val="333333"/>
          <w:sz w:val="32"/>
          <w:szCs w:val="32"/>
        </w:rPr>
      </w:pPr>
      <w:r>
        <w:rPr>
          <w:rFonts w:hint="eastAsia" w:ascii="仿宋_GB2312" w:eastAsia="仿宋_GB2312"/>
          <w:color w:val="333333"/>
          <w:sz w:val="32"/>
          <w:szCs w:val="32"/>
        </w:rPr>
        <w:t>（图6：“三公”经费财政拨款支出结构）（饼状图）</w:t>
      </w:r>
    </w:p>
    <w:p>
      <w:pPr>
        <w:spacing w:line="620" w:lineRule="exact"/>
        <w:ind w:firstLine="420" w:firstLineChars="200"/>
        <w:rPr>
          <w:rFonts w:ascii="仿宋_GB2312" w:eastAsia="仿宋_GB2312"/>
          <w:color w:val="333333"/>
          <w:sz w:val="32"/>
          <w:szCs w:val="32"/>
        </w:rPr>
      </w:pPr>
      <w:r>
        <w:drawing>
          <wp:anchor distT="0" distB="0" distL="114300" distR="114300" simplePos="0" relativeHeight="251661312" behindDoc="0" locked="0" layoutInCell="1" allowOverlap="1">
            <wp:simplePos x="0" y="0"/>
            <wp:positionH relativeFrom="column">
              <wp:posOffset>366395</wp:posOffset>
            </wp:positionH>
            <wp:positionV relativeFrom="paragraph">
              <wp:posOffset>69850</wp:posOffset>
            </wp:positionV>
            <wp:extent cx="4620260" cy="2543810"/>
            <wp:effectExtent l="4445" t="4445" r="23495" b="23495"/>
            <wp:wrapSquare wrapText="bothSides"/>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pPr>
        <w:spacing w:line="620" w:lineRule="exact"/>
        <w:ind w:firstLine="640" w:firstLineChars="200"/>
        <w:rPr>
          <w:rFonts w:ascii="仿宋_GB2312" w:eastAsia="仿宋_GB2312"/>
          <w:color w:val="333333"/>
          <w:sz w:val="32"/>
          <w:szCs w:val="32"/>
        </w:rPr>
      </w:pPr>
    </w:p>
    <w:p>
      <w:pPr>
        <w:spacing w:line="620" w:lineRule="exact"/>
        <w:ind w:firstLine="640" w:firstLineChars="200"/>
        <w:rPr>
          <w:rFonts w:ascii="仿宋_GB2312" w:eastAsia="仿宋_GB2312"/>
          <w:color w:val="333333"/>
          <w:sz w:val="32"/>
          <w:szCs w:val="32"/>
        </w:rPr>
      </w:pPr>
    </w:p>
    <w:p>
      <w:pPr>
        <w:spacing w:line="620" w:lineRule="exact"/>
        <w:ind w:firstLine="640" w:firstLineChars="200"/>
        <w:rPr>
          <w:rFonts w:ascii="仿宋_GB2312" w:eastAsia="仿宋_GB2312"/>
          <w:color w:val="333333"/>
          <w:sz w:val="32"/>
          <w:szCs w:val="32"/>
        </w:rPr>
      </w:pPr>
    </w:p>
    <w:p>
      <w:pPr>
        <w:spacing w:line="620" w:lineRule="exact"/>
        <w:ind w:firstLine="640" w:firstLineChars="200"/>
        <w:rPr>
          <w:rFonts w:ascii="仿宋_GB2312" w:eastAsia="仿宋_GB2312"/>
          <w:color w:val="333333"/>
          <w:sz w:val="32"/>
          <w:szCs w:val="32"/>
        </w:rPr>
      </w:pPr>
    </w:p>
    <w:p>
      <w:pPr>
        <w:spacing w:line="620" w:lineRule="exact"/>
        <w:ind w:firstLine="640" w:firstLineChars="200"/>
        <w:rPr>
          <w:rFonts w:ascii="仿宋_GB2312" w:eastAsia="仿宋_GB2312"/>
          <w:color w:val="333333"/>
          <w:sz w:val="32"/>
          <w:szCs w:val="32"/>
        </w:rPr>
      </w:pPr>
    </w:p>
    <w:p>
      <w:pPr>
        <w:spacing w:line="620" w:lineRule="exact"/>
        <w:ind w:left="638" w:leftChars="304" w:firstLine="0" w:firstLineChars="0"/>
        <w:jc w:val="left"/>
        <w:rPr>
          <w:rFonts w:ascii="仿宋_GB2312" w:eastAsia="仿宋_GB2312"/>
          <w:color w:val="333333"/>
          <w:sz w:val="32"/>
          <w:szCs w:val="32"/>
        </w:rPr>
      </w:pPr>
      <w:r>
        <w:rPr>
          <w:rFonts w:hint="eastAsia" w:ascii="仿宋_GB2312" w:eastAsia="仿宋_GB2312"/>
          <w:color w:val="333333"/>
          <w:sz w:val="32"/>
          <w:szCs w:val="32"/>
        </w:rPr>
        <w:t>（</w:t>
      </w:r>
      <w:r>
        <w:rPr>
          <w:rFonts w:hint="eastAsia" w:ascii="仿宋_GB2312" w:eastAsia="仿宋_GB2312"/>
          <w:color w:val="333333"/>
          <w:sz w:val="32"/>
          <w:szCs w:val="32"/>
          <w:lang w:eastAsia="zh-CN"/>
        </w:rPr>
        <w:t>（</w:t>
      </w:r>
      <w:r>
        <w:rPr>
          <w:rFonts w:hint="eastAsia" w:ascii="仿宋_GB2312" w:eastAsia="仿宋_GB2312"/>
          <w:color w:val="333333"/>
          <w:sz w:val="32"/>
          <w:szCs w:val="32"/>
        </w:rPr>
        <w:t>一</w:t>
      </w:r>
      <w:r>
        <w:rPr>
          <w:rFonts w:hint="eastAsia" w:ascii="仿宋_GB2312" w:eastAsia="仿宋_GB2312"/>
          <w:color w:val="333333"/>
          <w:sz w:val="32"/>
          <w:szCs w:val="32"/>
          <w:lang w:eastAsia="zh-CN"/>
        </w:rPr>
        <w:t>）</w:t>
      </w:r>
      <w:r>
        <w:rPr>
          <w:rFonts w:hint="eastAsia" w:ascii="仿宋_GB2312" w:eastAsia="仿宋_GB2312"/>
          <w:color w:val="333333"/>
          <w:sz w:val="32"/>
          <w:szCs w:val="32"/>
        </w:rPr>
        <w:t>因公出国（境）经费0万元，较2021年预算持平。</w:t>
      </w:r>
    </w:p>
    <w:p>
      <w:pPr>
        <w:spacing w:line="620" w:lineRule="exact"/>
        <w:ind w:firstLine="640" w:firstLineChars="200"/>
        <w:rPr>
          <w:rFonts w:ascii="仿宋_GB2312" w:eastAsia="仿宋_GB2312"/>
          <w:color w:val="333333"/>
          <w:sz w:val="32"/>
          <w:szCs w:val="32"/>
        </w:rPr>
      </w:pPr>
      <w:r>
        <w:rPr>
          <w:rFonts w:hint="eastAsia" w:ascii="仿宋_GB2312" w:eastAsia="仿宋_GB2312"/>
          <w:color w:val="333333"/>
          <w:sz w:val="32"/>
          <w:szCs w:val="32"/>
        </w:rPr>
        <w:t xml:space="preserve"> 2021年拟安排出国（境）0人次。</w:t>
      </w:r>
    </w:p>
    <w:p>
      <w:pPr>
        <w:spacing w:line="620" w:lineRule="exact"/>
        <w:ind w:firstLine="640" w:firstLineChars="200"/>
        <w:rPr>
          <w:rFonts w:ascii="仿宋_GB2312" w:eastAsia="仿宋_GB2312"/>
          <w:color w:val="333333"/>
          <w:sz w:val="32"/>
          <w:szCs w:val="32"/>
        </w:rPr>
      </w:pPr>
      <w:r>
        <w:rPr>
          <w:rFonts w:hint="eastAsia" w:ascii="仿宋_GB2312" w:eastAsia="仿宋_GB2312"/>
          <w:color w:val="333333"/>
          <w:sz w:val="32"/>
          <w:szCs w:val="32"/>
        </w:rPr>
        <w:t>（二）公务接待费0万元，与2020年预算持平。</w:t>
      </w:r>
    </w:p>
    <w:p>
      <w:pPr>
        <w:spacing w:line="620" w:lineRule="exact"/>
        <w:ind w:firstLine="640" w:firstLineChars="200"/>
        <w:rPr>
          <w:rFonts w:ascii="仿宋_GB2312" w:eastAsia="仿宋_GB2312"/>
          <w:color w:val="333333"/>
          <w:sz w:val="32"/>
          <w:szCs w:val="32"/>
        </w:rPr>
      </w:pPr>
      <w:r>
        <w:rPr>
          <w:rFonts w:hint="eastAsia" w:ascii="仿宋_GB2312" w:eastAsia="仿宋_GB2312"/>
          <w:color w:val="333333"/>
          <w:sz w:val="32"/>
          <w:szCs w:val="32"/>
        </w:rPr>
        <w:t>（三）公务用车购置及运行维护费0万元，与2020年预算持平。</w:t>
      </w:r>
    </w:p>
    <w:p>
      <w:pPr>
        <w:spacing w:line="620" w:lineRule="exact"/>
        <w:ind w:firstLine="640" w:firstLineChars="200"/>
        <w:rPr>
          <w:rFonts w:ascii="仿宋_GB2312" w:eastAsia="仿宋_GB2312"/>
          <w:color w:val="333333"/>
          <w:sz w:val="32"/>
          <w:szCs w:val="32"/>
        </w:rPr>
      </w:pPr>
      <w:r>
        <w:rPr>
          <w:rFonts w:hint="eastAsia" w:ascii="仿宋_GB2312" w:eastAsia="仿宋_GB2312"/>
          <w:color w:val="333333"/>
          <w:sz w:val="32"/>
          <w:szCs w:val="32"/>
        </w:rPr>
        <w:t>单位现有公务用车0辆，其中：轿车0辆，越野车0辆，多功能乘用车0辆。</w:t>
      </w:r>
    </w:p>
    <w:p>
      <w:pPr>
        <w:spacing w:line="620" w:lineRule="exact"/>
        <w:ind w:firstLine="640" w:firstLineChars="200"/>
        <w:rPr>
          <w:rFonts w:ascii="仿宋_GB2312" w:eastAsia="仿宋_GB2312"/>
          <w:color w:val="333333"/>
          <w:sz w:val="32"/>
          <w:szCs w:val="32"/>
        </w:rPr>
      </w:pPr>
      <w:r>
        <w:rPr>
          <w:rFonts w:hint="eastAsia" w:ascii="仿宋_GB2312" w:eastAsia="仿宋_GB2312"/>
          <w:color w:val="333333"/>
          <w:sz w:val="32"/>
          <w:szCs w:val="32"/>
        </w:rPr>
        <w:t>2021年安排公务用车购置费0万元，与2020年预算持平。</w:t>
      </w:r>
    </w:p>
    <w:p>
      <w:pPr>
        <w:spacing w:line="620" w:lineRule="exact"/>
        <w:ind w:firstLine="640" w:firstLineChars="200"/>
        <w:rPr>
          <w:rFonts w:ascii="仿宋_GB2312" w:eastAsia="仿宋_GB2312"/>
          <w:color w:val="333333"/>
          <w:sz w:val="32"/>
          <w:szCs w:val="32"/>
        </w:rPr>
      </w:pPr>
      <w:r>
        <w:rPr>
          <w:rFonts w:hint="eastAsia" w:ascii="仿宋_GB2312" w:eastAsia="仿宋_GB2312"/>
          <w:color w:val="333333"/>
          <w:sz w:val="32"/>
          <w:szCs w:val="32"/>
        </w:rPr>
        <w:t>2021年安排公务用车运行维护费0万元，与2020年预算持平，用于0辆公务用车0（燃油、维修、保险）等方面支出。</w:t>
      </w:r>
    </w:p>
    <w:p>
      <w:pPr>
        <w:pStyle w:val="2"/>
        <w:rPr>
          <w:rFonts w:ascii="仿宋_GB2312" w:eastAsia="仿宋_GB2312"/>
          <w:color w:val="333333"/>
          <w:sz w:val="32"/>
          <w:szCs w:val="32"/>
        </w:rPr>
      </w:pPr>
      <w:bookmarkStart w:id="15" w:name="_Toc72430491"/>
      <w:r>
        <w:rPr>
          <w:rFonts w:hint="eastAsia" w:ascii="黑体" w:eastAsia="黑体"/>
          <w:color w:val="333333"/>
          <w:sz w:val="32"/>
          <w:szCs w:val="32"/>
        </w:rPr>
        <w:t>八、政府性基金预算支出情况说明</w:t>
      </w:r>
      <w:bookmarkEnd w:id="15"/>
      <w:r>
        <w:rPr>
          <w:rFonts w:hint="eastAsia" w:ascii="仿宋_GB2312" w:eastAsia="仿宋_GB2312"/>
          <w:color w:val="333333"/>
          <w:sz w:val="32"/>
          <w:szCs w:val="32"/>
        </w:rPr>
        <w:t>　</w:t>
      </w:r>
    </w:p>
    <w:p>
      <w:pPr>
        <w:spacing w:line="620" w:lineRule="exact"/>
        <w:ind w:firstLine="640"/>
        <w:rPr>
          <w:rFonts w:ascii="仿宋_GB2312" w:eastAsia="仿宋_GB2312"/>
          <w:color w:val="333333"/>
          <w:sz w:val="32"/>
          <w:szCs w:val="32"/>
        </w:rPr>
      </w:pPr>
      <w:r>
        <w:rPr>
          <w:rFonts w:hint="eastAsia" w:ascii="仿宋_GB2312" w:eastAsia="仿宋_GB2312"/>
          <w:sz w:val="32"/>
          <w:szCs w:val="32"/>
        </w:rPr>
        <w:t>自贡市自流井区文化馆</w:t>
      </w:r>
      <w:r>
        <w:rPr>
          <w:rFonts w:hint="eastAsia" w:ascii="仿宋_GB2312" w:eastAsia="仿宋_GB2312"/>
          <w:color w:val="333333"/>
          <w:sz w:val="32"/>
          <w:szCs w:val="32"/>
        </w:rPr>
        <w:t>2021年使用政府性基金预算拨款安排</w:t>
      </w:r>
      <w:r>
        <w:rPr>
          <w:rFonts w:hint="eastAsia" w:ascii="仿宋_GB2312" w:eastAsia="仿宋_GB2312"/>
          <w:sz w:val="32"/>
          <w:szCs w:val="32"/>
        </w:rPr>
        <w:t>0万元</w:t>
      </w:r>
      <w:r>
        <w:rPr>
          <w:rFonts w:hint="eastAsia" w:ascii="仿宋_GB2312" w:eastAsia="仿宋_GB2312"/>
          <w:color w:val="333333"/>
          <w:sz w:val="32"/>
          <w:szCs w:val="32"/>
        </w:rPr>
        <w:t>。</w:t>
      </w:r>
    </w:p>
    <w:p>
      <w:pPr>
        <w:pStyle w:val="2"/>
        <w:rPr>
          <w:rFonts w:ascii="黑体" w:eastAsia="黑体"/>
          <w:color w:val="333333"/>
          <w:sz w:val="32"/>
          <w:szCs w:val="32"/>
        </w:rPr>
      </w:pPr>
      <w:bookmarkStart w:id="16" w:name="_Toc72430492"/>
      <w:r>
        <w:rPr>
          <w:rFonts w:hint="eastAsia" w:ascii="黑体" w:eastAsia="黑体"/>
          <w:color w:val="333333"/>
          <w:sz w:val="32"/>
          <w:szCs w:val="32"/>
        </w:rPr>
        <w:t>九、国有资本经营预算支出情况说明</w:t>
      </w:r>
      <w:bookmarkEnd w:id="16"/>
    </w:p>
    <w:p>
      <w:pPr>
        <w:rPr>
          <w:rFonts w:ascii="仿宋_GB2312" w:eastAsia="仿宋_GB2312"/>
          <w:color w:val="333333"/>
          <w:sz w:val="28"/>
          <w:szCs w:val="28"/>
        </w:rPr>
      </w:pPr>
      <w:r>
        <w:rPr>
          <w:rFonts w:hint="eastAsia" w:ascii="仿宋_GB2312" w:eastAsia="仿宋_GB2312"/>
          <w:color w:val="333333"/>
          <w:sz w:val="32"/>
          <w:szCs w:val="32"/>
        </w:rPr>
        <w:t xml:space="preserve">　  </w:t>
      </w:r>
      <w:r>
        <w:rPr>
          <w:rFonts w:hint="eastAsia" w:ascii="仿宋_GB2312" w:eastAsia="仿宋_GB2312"/>
          <w:sz w:val="32"/>
          <w:szCs w:val="32"/>
        </w:rPr>
        <w:t>自贡市自流井区文化馆</w:t>
      </w:r>
      <w:r>
        <w:rPr>
          <w:rFonts w:hint="eastAsia" w:ascii="仿宋_GB2312" w:eastAsia="仿宋_GB2312"/>
          <w:color w:val="333333"/>
          <w:sz w:val="32"/>
          <w:szCs w:val="32"/>
        </w:rPr>
        <w:t>2021年没有使用国有资本经营预算拨款安排的支出。</w:t>
      </w:r>
    </w:p>
    <w:p>
      <w:pPr>
        <w:pStyle w:val="2"/>
        <w:rPr>
          <w:rFonts w:ascii="黑体" w:eastAsia="黑体"/>
          <w:sz w:val="32"/>
          <w:szCs w:val="32"/>
        </w:rPr>
      </w:pPr>
      <w:bookmarkStart w:id="17" w:name="_Toc72430493"/>
      <w:r>
        <w:rPr>
          <w:rFonts w:hint="eastAsia" w:ascii="黑体" w:eastAsia="黑体"/>
          <w:sz w:val="32"/>
          <w:szCs w:val="32"/>
        </w:rPr>
        <w:t>十、其他重要事项的情况说明</w:t>
      </w:r>
      <w:bookmarkEnd w:id="17"/>
    </w:p>
    <w:p>
      <w:pPr>
        <w:pStyle w:val="3"/>
        <w:rPr>
          <w:rFonts w:ascii="仿宋_GB2312" w:eastAsia="仿宋_GB2312"/>
        </w:rPr>
      </w:pPr>
      <w:bookmarkStart w:id="18" w:name="_Toc72430494"/>
      <w:r>
        <w:rPr>
          <w:rFonts w:hint="eastAsia" w:ascii="仿宋_GB2312" w:eastAsia="仿宋_GB2312"/>
        </w:rPr>
        <w:t>（一）机关运行经费情况</w:t>
      </w:r>
      <w:bookmarkEnd w:id="18"/>
    </w:p>
    <w:p>
      <w:pPr>
        <w:spacing w:line="620" w:lineRule="exact"/>
        <w:ind w:firstLine="640"/>
        <w:rPr>
          <w:rFonts w:ascii="仿宋_GB2312" w:eastAsia="仿宋_GB2312"/>
          <w:sz w:val="32"/>
          <w:szCs w:val="32"/>
        </w:rPr>
      </w:pPr>
      <w:r>
        <w:rPr>
          <w:rFonts w:hint="eastAsia" w:ascii="仿宋_GB2312" w:eastAsia="仿宋_GB2312"/>
          <w:sz w:val="32"/>
          <w:szCs w:val="32"/>
        </w:rPr>
        <w:t>自贡市自流井区文化馆是事业单位，2021年无机关运行经费。</w:t>
      </w:r>
    </w:p>
    <w:p>
      <w:pPr>
        <w:pStyle w:val="3"/>
        <w:rPr>
          <w:rFonts w:ascii="仿宋_GB2312" w:eastAsia="仿宋_GB2312"/>
        </w:rPr>
      </w:pPr>
      <w:bookmarkStart w:id="19" w:name="_Toc72430495"/>
      <w:r>
        <w:rPr>
          <w:rFonts w:hint="eastAsia" w:ascii="仿宋_GB2312" w:eastAsia="仿宋_GB2312"/>
        </w:rPr>
        <w:t>（二）政府采购情况</w:t>
      </w:r>
      <w:bookmarkEnd w:id="19"/>
    </w:p>
    <w:p>
      <w:pPr>
        <w:ind w:firstLine="640" w:firstLineChars="200"/>
        <w:rPr>
          <w:rFonts w:ascii="仿宋_GB2312" w:eastAsia="仿宋_GB2312"/>
          <w:sz w:val="32"/>
          <w:szCs w:val="32"/>
        </w:rPr>
      </w:pPr>
      <w:r>
        <w:rPr>
          <w:rFonts w:hint="eastAsia" w:ascii="仿宋_GB2312" w:eastAsia="仿宋_GB2312"/>
          <w:sz w:val="32"/>
          <w:szCs w:val="32"/>
        </w:rPr>
        <w:t>2021年，自贡市自流井区文化馆安排政府采购预算0.5万元，主要用于采购办公设备手提式电脑1台。</w:t>
      </w:r>
    </w:p>
    <w:p>
      <w:pPr>
        <w:pStyle w:val="3"/>
        <w:rPr>
          <w:rFonts w:ascii="仿宋_GB2312" w:eastAsia="仿宋_GB2312"/>
        </w:rPr>
      </w:pPr>
      <w:bookmarkStart w:id="20" w:name="_Toc72430496"/>
      <w:r>
        <w:rPr>
          <w:rFonts w:hint="eastAsia" w:ascii="仿宋_GB2312" w:eastAsia="仿宋_GB2312"/>
        </w:rPr>
        <w:t>（三）国有资产占有使用情况</w:t>
      </w:r>
      <w:bookmarkEnd w:id="20"/>
    </w:p>
    <w:p>
      <w:pPr>
        <w:autoSpaceDE w:val="0"/>
        <w:autoSpaceDN w:val="0"/>
        <w:adjustRightInd w:val="0"/>
        <w:jc w:val="left"/>
        <w:rPr>
          <w:rFonts w:ascii="仿宋_GB2312" w:eastAsia="仿宋_GB2312"/>
          <w:sz w:val="32"/>
          <w:szCs w:val="32"/>
        </w:rPr>
      </w:pPr>
      <w:r>
        <w:rPr>
          <w:rFonts w:hint="eastAsia" w:ascii="仿宋_GB2312" w:eastAsia="仿宋_GB2312"/>
          <w:sz w:val="28"/>
          <w:szCs w:val="28"/>
        </w:rPr>
        <w:t>　　</w:t>
      </w:r>
      <w:r>
        <w:rPr>
          <w:rFonts w:hint="eastAsia" w:ascii="仿宋_GB2312" w:eastAsia="仿宋_GB2312"/>
          <w:sz w:val="32"/>
          <w:szCs w:val="32"/>
        </w:rPr>
        <w:t>截至2020年底，自贡市自流井区文化馆共有车辆0辆，其中，一般公务用车0辆、执法执勤用车0辆。单位价值100万元以上大型设备0台（套）。</w:t>
      </w:r>
    </w:p>
    <w:p>
      <w:pPr>
        <w:autoSpaceDE w:val="0"/>
        <w:autoSpaceDN w:val="0"/>
        <w:adjustRightInd w:val="0"/>
        <w:ind w:firstLine="640" w:firstLineChars="200"/>
        <w:jc w:val="left"/>
        <w:rPr>
          <w:rFonts w:ascii="仿宋_GB2312" w:eastAsia="仿宋_GB2312"/>
          <w:sz w:val="32"/>
          <w:szCs w:val="32"/>
        </w:rPr>
      </w:pPr>
      <w:r>
        <w:rPr>
          <w:rFonts w:hint="eastAsia" w:ascii="仿宋_GB2312" w:eastAsia="仿宋_GB2312"/>
          <w:sz w:val="32"/>
          <w:szCs w:val="32"/>
        </w:rPr>
        <w:t>2021年部门预算安排购置一般公务用车0辆、执法执勤用车0辆，单位价值100万元以上大型设备0台（套）。</w:t>
      </w:r>
    </w:p>
    <w:p>
      <w:pPr>
        <w:pStyle w:val="3"/>
        <w:rPr>
          <w:rFonts w:ascii="楷体_GB2312" w:eastAsia="楷体_GB2312"/>
          <w:b w:val="0"/>
          <w:bCs w:val="0"/>
          <w:color w:val="333333"/>
          <w:sz w:val="28"/>
          <w:szCs w:val="28"/>
        </w:rPr>
      </w:pPr>
      <w:bookmarkStart w:id="21" w:name="_Toc72430497"/>
      <w:r>
        <w:rPr>
          <w:rFonts w:hint="eastAsia" w:ascii="仿宋_GB2312" w:eastAsia="仿宋_GB2312"/>
        </w:rPr>
        <w:t>（四）绩效目标设置情况</w:t>
      </w:r>
      <w:bookmarkEnd w:id="21"/>
    </w:p>
    <w:p>
      <w:pPr>
        <w:ind w:firstLine="640" w:firstLineChars="200"/>
        <w:rPr>
          <w:rFonts w:ascii="仿宋_GB2312" w:eastAsia="仿宋_GB2312"/>
          <w:sz w:val="32"/>
          <w:szCs w:val="32"/>
        </w:rPr>
      </w:pPr>
      <w:r>
        <w:rPr>
          <w:rFonts w:hint="eastAsia" w:ascii="仿宋_GB2312" w:eastAsia="仿宋_GB2312"/>
          <w:sz w:val="32"/>
          <w:szCs w:val="32"/>
        </w:rPr>
        <w:t>绩效目标是预算编制的前提和基础，按照“费随事定”的原则，2021年自贡市自流井区文化馆所有专项项目均按要求编制了绩效目标,从项目完成、项目效益、满意度等方面设置了绩效指标，综合反映项目预期完成的数量、成本、时效、质量，预期达到的社会效益、经济效益、生态效益、可持续影响以及服务对象满意度等情况。</w:t>
      </w:r>
    </w:p>
    <w:p>
      <w:pPr>
        <w:ind w:firstLine="570"/>
        <w:rPr>
          <w:rFonts w:ascii="楷体_GB2312" w:eastAsia="楷体_GB2312"/>
          <w:b/>
          <w:bCs/>
          <w:color w:val="333333"/>
          <w:sz w:val="28"/>
          <w:szCs w:val="28"/>
        </w:rPr>
      </w:pPr>
      <w:r>
        <w:rPr>
          <w:rFonts w:hint="eastAsia" w:ascii="仿宋_GB2312" w:eastAsia="仿宋_GB2312"/>
          <w:sz w:val="32"/>
          <w:szCs w:val="32"/>
        </w:rPr>
        <w:t>自贡市自流井区文化馆2021年部门预算无重点项目。</w:t>
      </w:r>
    </w:p>
    <w:p>
      <w:pPr>
        <w:pStyle w:val="2"/>
        <w:rPr>
          <w:rFonts w:ascii="黑体" w:eastAsia="黑体"/>
          <w:color w:val="000000"/>
          <w:sz w:val="32"/>
          <w:szCs w:val="32"/>
        </w:rPr>
      </w:pPr>
      <w:bookmarkStart w:id="22" w:name="_Toc72430498"/>
      <w:r>
        <w:rPr>
          <w:rFonts w:hint="eastAsia" w:ascii="黑体" w:eastAsia="黑体"/>
          <w:color w:val="000000"/>
          <w:sz w:val="32"/>
          <w:szCs w:val="32"/>
        </w:rPr>
        <w:t>十一、名词解释</w:t>
      </w:r>
      <w:bookmarkEnd w:id="22"/>
    </w:p>
    <w:p>
      <w:pPr>
        <w:spacing w:line="620" w:lineRule="exact"/>
        <w:ind w:firstLine="729" w:firstLineChars="228"/>
        <w:rPr>
          <w:rFonts w:ascii="仿宋_GB2312" w:eastAsia="仿宋_GB2312"/>
          <w:color w:val="000000"/>
          <w:sz w:val="32"/>
          <w:szCs w:val="32"/>
        </w:rPr>
      </w:pPr>
      <w:r>
        <w:rPr>
          <w:rFonts w:hint="eastAsia" w:ascii="仿宋_GB2312" w:eastAsia="仿宋_GB2312"/>
          <w:color w:val="000000"/>
          <w:sz w:val="32"/>
          <w:szCs w:val="32"/>
        </w:rPr>
        <w:t>1.一般公共预算拨款收入：指市级财政当年拨付的资金。</w:t>
      </w:r>
    </w:p>
    <w:p>
      <w:pPr>
        <w:spacing w:line="6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w:t>
      </w:r>
      <w:r>
        <w:rPr>
          <w:rFonts w:hint="eastAsia" w:ascii="仿宋_GB2312" w:eastAsia="仿宋_GB2312"/>
          <w:color w:val="333333"/>
          <w:sz w:val="32"/>
          <w:szCs w:val="32"/>
        </w:rPr>
        <w:t>文化旅游体育与传媒（207类）</w:t>
      </w:r>
      <w:r>
        <w:rPr>
          <w:rFonts w:hint="eastAsia" w:ascii="仿宋_GB2312" w:eastAsia="仿宋_GB2312"/>
          <w:sz w:val="32"/>
          <w:szCs w:val="32"/>
        </w:rPr>
        <w:t>文化和旅游</w:t>
      </w:r>
      <w:r>
        <w:rPr>
          <w:rFonts w:hint="eastAsia" w:ascii="仿宋_GB2312" w:eastAsia="仿宋_GB2312"/>
          <w:color w:val="333333"/>
          <w:sz w:val="32"/>
          <w:szCs w:val="32"/>
        </w:rPr>
        <w:t>（01款）</w:t>
      </w:r>
      <w:r>
        <w:rPr>
          <w:rFonts w:hint="eastAsia" w:ascii="仿宋_GB2312" w:eastAsia="仿宋_GB2312"/>
          <w:sz w:val="32"/>
          <w:szCs w:val="32"/>
        </w:rPr>
        <w:t>群众文化</w:t>
      </w:r>
      <w:r>
        <w:rPr>
          <w:rFonts w:hint="eastAsia" w:ascii="仿宋_GB2312" w:eastAsia="仿宋_GB2312"/>
          <w:color w:val="333333"/>
          <w:sz w:val="32"/>
          <w:szCs w:val="32"/>
        </w:rPr>
        <w:t>（09项）：指</w:t>
      </w:r>
      <w:r>
        <w:rPr>
          <w:rFonts w:hint="eastAsia" w:ascii="仿宋_GB2312" w:eastAsia="仿宋_GB2312"/>
          <w:sz w:val="32"/>
          <w:szCs w:val="32"/>
        </w:rPr>
        <w:t>自贡市自流井区文化馆</w:t>
      </w:r>
      <w:r>
        <w:rPr>
          <w:rFonts w:hint="eastAsia" w:ascii="仿宋_GB2312" w:eastAsia="仿宋_GB2312"/>
          <w:color w:val="333333"/>
          <w:sz w:val="32"/>
          <w:szCs w:val="32"/>
        </w:rPr>
        <w:t>用于保障机构正常运行、开展群众文化工作</w:t>
      </w:r>
      <w:r>
        <w:rPr>
          <w:rFonts w:hint="eastAsia" w:ascii="仿宋_GB2312" w:eastAsia="仿宋_GB2312"/>
          <w:sz w:val="32"/>
          <w:szCs w:val="32"/>
        </w:rPr>
        <w:t>的支出</w:t>
      </w:r>
    </w:p>
    <w:p>
      <w:pPr>
        <w:ind w:firstLine="640" w:firstLineChars="200"/>
        <w:rPr>
          <w:sz w:val="22"/>
          <w:szCs w:val="22"/>
        </w:rPr>
      </w:pPr>
      <w:r>
        <w:rPr>
          <w:rFonts w:hint="eastAsia" w:ascii="仿宋_GB2312" w:eastAsia="仿宋_GB2312"/>
          <w:color w:val="333333"/>
          <w:sz w:val="32"/>
          <w:szCs w:val="32"/>
        </w:rPr>
        <w:t>3.社会保障和就业（208类）</w:t>
      </w:r>
      <w:r>
        <w:rPr>
          <w:rFonts w:hint="eastAsia" w:ascii="仿宋_GB2312" w:eastAsia="仿宋_GB2312"/>
          <w:sz w:val="32"/>
          <w:szCs w:val="32"/>
        </w:rPr>
        <w:t>行政事业单位养老支出</w:t>
      </w:r>
      <w:r>
        <w:rPr>
          <w:rFonts w:hint="eastAsia" w:ascii="仿宋_GB2312" w:eastAsia="仿宋_GB2312"/>
          <w:color w:val="333333"/>
          <w:sz w:val="32"/>
          <w:szCs w:val="32"/>
        </w:rPr>
        <w:t>（05款）</w:t>
      </w:r>
      <w:r>
        <w:rPr>
          <w:rFonts w:hint="eastAsia" w:ascii="仿宋_GB2312" w:eastAsia="仿宋_GB2312"/>
          <w:sz w:val="32"/>
          <w:szCs w:val="32"/>
        </w:rPr>
        <w:t> 机关事业单位基本养老保险缴费支出</w:t>
      </w:r>
      <w:r>
        <w:rPr>
          <w:rFonts w:hint="eastAsia" w:ascii="仿宋_GB2312" w:eastAsia="仿宋_GB2312"/>
          <w:color w:val="333333"/>
          <w:sz w:val="32"/>
          <w:szCs w:val="32"/>
        </w:rPr>
        <w:t>（05项）: 指</w:t>
      </w:r>
      <w:r>
        <w:rPr>
          <w:rFonts w:hint="eastAsia" w:ascii="仿宋_GB2312" w:eastAsia="仿宋_GB2312"/>
          <w:sz w:val="32"/>
          <w:szCs w:val="32"/>
        </w:rPr>
        <w:t>自贡市自流井区文化馆</w:t>
      </w:r>
      <w:r>
        <w:rPr>
          <w:rFonts w:hint="eastAsia" w:ascii="仿宋_GB2312" w:eastAsia="仿宋_GB2312"/>
          <w:color w:val="333333"/>
          <w:sz w:val="32"/>
          <w:szCs w:val="32"/>
        </w:rPr>
        <w:t>用于保障基本养老保险缴费和职业年金缴费的支出</w:t>
      </w:r>
      <w:r>
        <w:rPr>
          <w:rFonts w:hint="eastAsia"/>
          <w:sz w:val="22"/>
          <w:szCs w:val="22"/>
        </w:rPr>
        <w:t>。</w:t>
      </w:r>
    </w:p>
    <w:p>
      <w:pPr>
        <w:ind w:firstLine="640" w:firstLineChars="200"/>
        <w:rPr>
          <w:sz w:val="22"/>
          <w:szCs w:val="22"/>
        </w:rPr>
      </w:pPr>
      <w:r>
        <w:rPr>
          <w:rFonts w:hint="eastAsia" w:ascii="仿宋_GB2312" w:eastAsia="仿宋_GB2312"/>
          <w:color w:val="333333"/>
          <w:sz w:val="32"/>
          <w:szCs w:val="32"/>
        </w:rPr>
        <w:t>4.社会保障和就业（208类）</w:t>
      </w:r>
      <w:r>
        <w:rPr>
          <w:rFonts w:hint="eastAsia" w:ascii="仿宋_GB2312" w:eastAsia="仿宋_GB2312"/>
          <w:sz w:val="32"/>
          <w:szCs w:val="32"/>
        </w:rPr>
        <w:t>其他社会保障和就业支出</w:t>
      </w:r>
      <w:r>
        <w:rPr>
          <w:rFonts w:hint="eastAsia" w:ascii="仿宋_GB2312" w:eastAsia="仿宋_GB2312"/>
          <w:color w:val="333333"/>
          <w:sz w:val="32"/>
          <w:szCs w:val="32"/>
        </w:rPr>
        <w:t>（99款）</w:t>
      </w:r>
      <w:r>
        <w:rPr>
          <w:rFonts w:hint="eastAsia" w:ascii="仿宋_GB2312" w:eastAsia="仿宋_GB2312"/>
          <w:sz w:val="32"/>
          <w:szCs w:val="32"/>
        </w:rPr>
        <w:t> 其他社会保障和就业支出</w:t>
      </w:r>
      <w:r>
        <w:rPr>
          <w:rFonts w:hint="eastAsia" w:ascii="仿宋_GB2312" w:eastAsia="仿宋_GB2312"/>
          <w:color w:val="333333"/>
          <w:sz w:val="32"/>
          <w:szCs w:val="32"/>
        </w:rPr>
        <w:t>（99项）: 指</w:t>
      </w:r>
      <w:r>
        <w:rPr>
          <w:rFonts w:hint="eastAsia" w:ascii="仿宋_GB2312" w:eastAsia="仿宋_GB2312"/>
          <w:sz w:val="32"/>
          <w:szCs w:val="32"/>
        </w:rPr>
        <w:t>自贡市自流井区文化馆</w:t>
      </w:r>
      <w:r>
        <w:rPr>
          <w:rFonts w:hint="eastAsia" w:ascii="仿宋_GB2312" w:eastAsia="仿宋_GB2312"/>
          <w:color w:val="333333"/>
          <w:sz w:val="32"/>
          <w:szCs w:val="32"/>
        </w:rPr>
        <w:t>用于保障失业保险保险缴费和工伤保险缴费的支出</w:t>
      </w:r>
      <w:r>
        <w:rPr>
          <w:rFonts w:hint="eastAsia"/>
          <w:sz w:val="22"/>
          <w:szCs w:val="22"/>
        </w:rPr>
        <w:t>。</w:t>
      </w:r>
    </w:p>
    <w:p>
      <w:pPr>
        <w:spacing w:line="580" w:lineRule="exact"/>
        <w:ind w:firstLine="570"/>
        <w:rPr>
          <w:rFonts w:ascii="仿宋_GB2312" w:eastAsia="仿宋_GB2312"/>
          <w:color w:val="333333"/>
          <w:sz w:val="32"/>
          <w:szCs w:val="32"/>
        </w:rPr>
      </w:pPr>
      <w:r>
        <w:rPr>
          <w:rFonts w:hint="eastAsia" w:ascii="仿宋_GB2312" w:eastAsia="仿宋_GB2312"/>
          <w:color w:val="333333"/>
          <w:sz w:val="32"/>
          <w:szCs w:val="32"/>
        </w:rPr>
        <w:t>5.卫生健康（210类）</w:t>
      </w:r>
      <w:r>
        <w:rPr>
          <w:rFonts w:hint="eastAsia" w:ascii="仿宋_GB2312" w:eastAsia="仿宋_GB2312"/>
          <w:sz w:val="32"/>
          <w:szCs w:val="32"/>
        </w:rPr>
        <w:t>行政事业单位医疗</w:t>
      </w:r>
      <w:r>
        <w:rPr>
          <w:rFonts w:hint="eastAsia" w:ascii="仿宋_GB2312" w:eastAsia="仿宋_GB2312"/>
          <w:color w:val="333333"/>
          <w:sz w:val="32"/>
          <w:szCs w:val="32"/>
        </w:rPr>
        <w:t>（11款）</w:t>
      </w:r>
      <w:r>
        <w:rPr>
          <w:rFonts w:hint="eastAsia" w:ascii="仿宋_GB2312" w:eastAsia="仿宋_GB2312"/>
          <w:sz w:val="32"/>
          <w:szCs w:val="32"/>
        </w:rPr>
        <w:t>事业单位医疗</w:t>
      </w:r>
      <w:r>
        <w:rPr>
          <w:rFonts w:hint="eastAsia" w:ascii="仿宋_GB2312" w:eastAsia="仿宋_GB2312"/>
          <w:color w:val="333333"/>
          <w:sz w:val="32"/>
          <w:szCs w:val="32"/>
        </w:rPr>
        <w:t>（02项）:指</w:t>
      </w:r>
      <w:r>
        <w:rPr>
          <w:rFonts w:hint="eastAsia" w:ascii="仿宋_GB2312" w:eastAsia="仿宋_GB2312"/>
          <w:sz w:val="32"/>
          <w:szCs w:val="32"/>
        </w:rPr>
        <w:t>自贡市自流井区文化馆</w:t>
      </w:r>
      <w:r>
        <w:rPr>
          <w:rFonts w:hint="eastAsia" w:ascii="仿宋_GB2312" w:eastAsia="仿宋_GB2312"/>
          <w:color w:val="333333"/>
          <w:sz w:val="32"/>
          <w:szCs w:val="32"/>
        </w:rPr>
        <w:t>用于保障</w:t>
      </w:r>
      <w:r>
        <w:rPr>
          <w:rFonts w:hint="eastAsia" w:ascii="仿宋_GB2312" w:eastAsia="仿宋_GB2312"/>
          <w:sz w:val="32"/>
          <w:szCs w:val="32"/>
        </w:rPr>
        <w:t>基本医疗保险缴费和生育保险缴费的支出</w:t>
      </w:r>
      <w:r>
        <w:rPr>
          <w:rFonts w:hint="eastAsia" w:ascii="仿宋_GB2312" w:eastAsia="仿宋_GB2312"/>
          <w:color w:val="333333"/>
          <w:sz w:val="32"/>
          <w:szCs w:val="32"/>
        </w:rPr>
        <w:t>。</w:t>
      </w:r>
    </w:p>
    <w:p>
      <w:pPr>
        <w:spacing w:line="580" w:lineRule="exact"/>
        <w:ind w:firstLine="570"/>
        <w:rPr>
          <w:rFonts w:ascii="仿宋_GB2312" w:eastAsia="仿宋_GB2312"/>
          <w:color w:val="333333"/>
          <w:sz w:val="32"/>
          <w:szCs w:val="32"/>
        </w:rPr>
      </w:pPr>
      <w:r>
        <w:rPr>
          <w:rFonts w:hint="eastAsia" w:ascii="仿宋_GB2312" w:eastAsia="仿宋_GB2312"/>
          <w:color w:val="333333"/>
          <w:sz w:val="32"/>
          <w:szCs w:val="32"/>
        </w:rPr>
        <w:t>6.住房保障（221类）</w:t>
      </w:r>
      <w:r>
        <w:rPr>
          <w:rFonts w:hint="eastAsia" w:ascii="仿宋_GB2312" w:eastAsia="仿宋_GB2312"/>
          <w:sz w:val="32"/>
          <w:szCs w:val="32"/>
        </w:rPr>
        <w:t>住房改革支出</w:t>
      </w:r>
      <w:r>
        <w:rPr>
          <w:rFonts w:hint="eastAsia" w:ascii="仿宋_GB2312" w:eastAsia="仿宋_GB2312"/>
          <w:color w:val="333333"/>
          <w:sz w:val="32"/>
          <w:szCs w:val="32"/>
        </w:rPr>
        <w:t>（02款）</w:t>
      </w:r>
      <w:r>
        <w:rPr>
          <w:rFonts w:hint="eastAsia" w:ascii="仿宋_GB2312" w:eastAsia="仿宋_GB2312"/>
          <w:sz w:val="32"/>
          <w:szCs w:val="32"/>
        </w:rPr>
        <w:t>住房公积金</w:t>
      </w:r>
      <w:r>
        <w:rPr>
          <w:rFonts w:hint="eastAsia" w:ascii="仿宋_GB2312" w:eastAsia="仿宋_GB2312"/>
          <w:color w:val="333333"/>
          <w:sz w:val="32"/>
          <w:szCs w:val="32"/>
        </w:rPr>
        <w:t>（01项）: 指</w:t>
      </w:r>
      <w:r>
        <w:rPr>
          <w:rFonts w:hint="eastAsia" w:ascii="仿宋_GB2312" w:eastAsia="仿宋_GB2312"/>
          <w:sz w:val="32"/>
          <w:szCs w:val="32"/>
        </w:rPr>
        <w:t>自贡市自流井区文化馆</w:t>
      </w:r>
      <w:r>
        <w:rPr>
          <w:rFonts w:hint="eastAsia" w:ascii="仿宋_GB2312" w:eastAsia="仿宋_GB2312"/>
          <w:color w:val="333333"/>
          <w:sz w:val="32"/>
          <w:szCs w:val="32"/>
        </w:rPr>
        <w:t>用于保障职工</w:t>
      </w:r>
      <w:r>
        <w:rPr>
          <w:rFonts w:hint="eastAsia" w:ascii="仿宋_GB2312" w:eastAsia="仿宋_GB2312"/>
          <w:sz w:val="32"/>
          <w:szCs w:val="32"/>
        </w:rPr>
        <w:t>住房缴费的支出</w:t>
      </w:r>
      <w:r>
        <w:rPr>
          <w:rFonts w:hint="eastAsia" w:ascii="仿宋_GB2312" w:eastAsia="仿宋_GB2312"/>
          <w:color w:val="333333"/>
          <w:sz w:val="32"/>
          <w:szCs w:val="32"/>
        </w:rPr>
        <w:t>。　　</w:t>
      </w:r>
    </w:p>
    <w:p>
      <w:pPr>
        <w:spacing w:line="580" w:lineRule="exact"/>
        <w:ind w:firstLine="570"/>
        <w:rPr>
          <w:rFonts w:ascii="仿宋_GB2312" w:eastAsia="仿宋_GB2312"/>
          <w:color w:val="333333"/>
          <w:sz w:val="32"/>
          <w:szCs w:val="32"/>
        </w:rPr>
      </w:pPr>
      <w:r>
        <w:rPr>
          <w:rFonts w:hint="eastAsia" w:ascii="仿宋_GB2312" w:eastAsia="仿宋_GB2312"/>
          <w:color w:val="000000"/>
          <w:sz w:val="32"/>
          <w:szCs w:val="32"/>
        </w:rPr>
        <w:t>7.基本支出：为保证单位正常运转，完成日常工作任务而发生的人员支出和公用支出。</w:t>
      </w:r>
    </w:p>
    <w:p>
      <w:pPr>
        <w:spacing w:line="620" w:lineRule="exact"/>
        <w:ind w:firstLine="480" w:firstLineChars="150"/>
        <w:rPr>
          <w:rFonts w:hint="eastAsia" w:ascii="仿宋_GB2312" w:eastAsia="仿宋_GB2312"/>
          <w:color w:val="000000"/>
          <w:sz w:val="32"/>
          <w:szCs w:val="32"/>
        </w:rPr>
      </w:pPr>
      <w:r>
        <w:rPr>
          <w:rFonts w:hint="eastAsia" w:ascii="仿宋_GB2312" w:eastAsia="仿宋_GB2312"/>
          <w:color w:val="000000"/>
          <w:sz w:val="32"/>
          <w:szCs w:val="32"/>
        </w:rPr>
        <w:t>8.项目支出：为完成特定行政任务和事业发展目标所发生的支出。</w:t>
      </w:r>
    </w:p>
    <w:p>
      <w:pPr>
        <w:spacing w:line="620" w:lineRule="exact"/>
        <w:ind w:firstLine="480" w:firstLineChars="150"/>
        <w:rPr>
          <w:rFonts w:hint="eastAsia" w:ascii="仿宋_GB2312" w:eastAsia="仿宋_GB2312"/>
          <w:color w:val="000000"/>
          <w:sz w:val="32"/>
          <w:szCs w:val="32"/>
        </w:rPr>
      </w:pPr>
    </w:p>
    <w:p>
      <w:pPr>
        <w:rPr>
          <w:rFonts w:ascii="仿宋_GB2312" w:eastAsia="仿宋_GB2312"/>
          <w:color w:val="000000"/>
          <w:sz w:val="32"/>
          <w:szCs w:val="32"/>
        </w:rPr>
      </w:pPr>
      <w:r>
        <w:rPr>
          <w:rFonts w:hint="eastAsia" w:ascii="仿宋_GB2312" w:eastAsia="仿宋_GB2312"/>
          <w:color w:val="333333"/>
          <w:sz w:val="28"/>
          <w:szCs w:val="28"/>
        </w:rPr>
        <w:t xml:space="preserve">　 </w:t>
      </w:r>
      <w:r>
        <w:rPr>
          <w:rFonts w:hint="eastAsia" w:ascii="仿宋_GB2312" w:eastAsia="仿宋_GB2312"/>
          <w:color w:val="000000"/>
          <w:sz w:val="32"/>
          <w:szCs w:val="32"/>
        </w:rPr>
        <w:t>附件： 表1.单位收支总表</w:t>
      </w:r>
    </w:p>
    <w:p>
      <w:pPr>
        <w:ind w:firstLine="1600" w:firstLineChars="500"/>
        <w:rPr>
          <w:rFonts w:ascii="仿宋_GB2312" w:eastAsia="仿宋_GB2312"/>
          <w:color w:val="000000"/>
          <w:sz w:val="32"/>
          <w:szCs w:val="32"/>
        </w:rPr>
      </w:pPr>
      <w:r>
        <w:rPr>
          <w:rFonts w:hint="eastAsia" w:ascii="仿宋_GB2312" w:eastAsia="仿宋_GB2312"/>
          <w:color w:val="000000"/>
          <w:sz w:val="32"/>
          <w:szCs w:val="32"/>
        </w:rPr>
        <w:t>表1-1.单位收入总表</w:t>
      </w:r>
    </w:p>
    <w:p>
      <w:pPr>
        <w:ind w:firstLine="1600" w:firstLineChars="500"/>
        <w:rPr>
          <w:rFonts w:ascii="仿宋_GB2312" w:eastAsia="仿宋_GB2312"/>
          <w:color w:val="000000"/>
          <w:sz w:val="32"/>
          <w:szCs w:val="32"/>
        </w:rPr>
      </w:pPr>
      <w:r>
        <w:rPr>
          <w:rFonts w:hint="eastAsia" w:ascii="仿宋_GB2312" w:eastAsia="仿宋_GB2312"/>
          <w:color w:val="000000"/>
          <w:sz w:val="32"/>
          <w:szCs w:val="32"/>
        </w:rPr>
        <w:t>表1-2.单位支出总表</w:t>
      </w:r>
    </w:p>
    <w:p>
      <w:pPr>
        <w:ind w:firstLine="1600" w:firstLineChars="500"/>
        <w:rPr>
          <w:rFonts w:ascii="仿宋_GB2312" w:eastAsia="仿宋_GB2312"/>
          <w:color w:val="000000"/>
          <w:sz w:val="32"/>
          <w:szCs w:val="32"/>
        </w:rPr>
      </w:pPr>
      <w:r>
        <w:rPr>
          <w:rFonts w:hint="eastAsia" w:ascii="仿宋_GB2312" w:eastAsia="仿宋_GB2312"/>
          <w:color w:val="000000"/>
          <w:sz w:val="32"/>
          <w:szCs w:val="32"/>
        </w:rPr>
        <w:t>表2.财政拨款收支预算总表</w:t>
      </w:r>
    </w:p>
    <w:p>
      <w:pPr>
        <w:ind w:left="1596" w:leftChars="760" w:firstLine="0" w:firstLineChars="0"/>
        <w:rPr>
          <w:rFonts w:ascii="仿宋_GB2312" w:eastAsia="仿宋_GB2312"/>
          <w:color w:val="000000"/>
          <w:sz w:val="32"/>
          <w:szCs w:val="32"/>
        </w:rPr>
      </w:pPr>
      <w:r>
        <w:rPr>
          <w:rFonts w:hint="eastAsia" w:ascii="仿宋_GB2312" w:eastAsia="仿宋_GB2312"/>
          <w:color w:val="000000"/>
          <w:sz w:val="32"/>
          <w:szCs w:val="32"/>
        </w:rPr>
        <w:t>表2-1.财政拨款支出预算表（部门经济分类科目）　　　表3.一般公共预算支出预算表</w:t>
      </w:r>
    </w:p>
    <w:p>
      <w:pPr>
        <w:ind w:firstLine="1600" w:firstLineChars="500"/>
        <w:rPr>
          <w:rFonts w:hint="eastAsia" w:ascii="仿宋_GB2312" w:eastAsia="仿宋_GB2312"/>
          <w:color w:val="000000"/>
          <w:sz w:val="32"/>
          <w:szCs w:val="32"/>
        </w:rPr>
      </w:pPr>
      <w:r>
        <w:rPr>
          <w:rFonts w:hint="eastAsia" w:ascii="仿宋_GB2312" w:eastAsia="仿宋_GB2312"/>
          <w:color w:val="000000"/>
          <w:sz w:val="32"/>
          <w:szCs w:val="32"/>
        </w:rPr>
        <w:t>表3-1.一般公共预算基本支出预算表</w:t>
      </w:r>
    </w:p>
    <w:p>
      <w:pPr>
        <w:ind w:left="1596" w:leftChars="760"/>
        <w:rPr>
          <w:rFonts w:hint="eastAsia" w:ascii="仿宋_GB2312" w:eastAsia="仿宋_GB2312"/>
          <w:color w:val="000000"/>
          <w:sz w:val="32"/>
          <w:szCs w:val="32"/>
        </w:rPr>
      </w:pPr>
      <w:r>
        <w:rPr>
          <w:rFonts w:hint="eastAsia" w:ascii="仿宋_GB2312" w:eastAsia="仿宋_GB2312"/>
          <w:color w:val="000000"/>
          <w:sz w:val="32"/>
          <w:szCs w:val="32"/>
        </w:rPr>
        <w:t>表3-2.一般公共预算项目支出预算表　　　　　表3-3.一般公共预算“三公”经费支出预算表</w:t>
      </w:r>
    </w:p>
    <w:p>
      <w:pPr>
        <w:ind w:left="1596" w:leftChars="760" w:firstLine="960" w:firstLineChars="300"/>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此表无数据</w:t>
      </w:r>
      <w:r>
        <w:rPr>
          <w:rFonts w:hint="eastAsia" w:ascii="仿宋_GB2312" w:eastAsia="仿宋_GB2312"/>
          <w:color w:val="000000"/>
          <w:sz w:val="32"/>
          <w:szCs w:val="32"/>
          <w:lang w:eastAsia="zh-CN"/>
        </w:rPr>
        <w:t>）</w:t>
      </w:r>
    </w:p>
    <w:p>
      <w:pPr>
        <w:ind w:firstLine="1600" w:firstLineChars="500"/>
        <w:rPr>
          <w:rFonts w:hint="eastAsia" w:ascii="仿宋_GB2312" w:eastAsia="仿宋_GB2312"/>
          <w:color w:val="000000"/>
          <w:sz w:val="32"/>
          <w:szCs w:val="32"/>
          <w:lang w:eastAsia="zh-CN"/>
        </w:rPr>
      </w:pPr>
      <w:r>
        <w:rPr>
          <w:rFonts w:hint="eastAsia" w:ascii="仿宋_GB2312" w:eastAsia="仿宋_GB2312"/>
          <w:color w:val="000000"/>
          <w:sz w:val="32"/>
          <w:szCs w:val="32"/>
        </w:rPr>
        <w:t>表4 政府性基金支出预算表</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此表无数据</w:t>
      </w:r>
      <w:r>
        <w:rPr>
          <w:rFonts w:hint="eastAsia" w:ascii="仿宋_GB2312" w:eastAsia="仿宋_GB2312"/>
          <w:color w:val="000000"/>
          <w:sz w:val="32"/>
          <w:szCs w:val="32"/>
          <w:lang w:eastAsia="zh-CN"/>
        </w:rPr>
        <w:t>）</w:t>
      </w:r>
    </w:p>
    <w:p>
      <w:pPr>
        <w:ind w:left="2556" w:leftChars="760" w:hanging="960" w:hangingChars="300"/>
        <w:rPr>
          <w:rFonts w:ascii="仿宋_GB2312" w:eastAsia="仿宋_GB2312"/>
          <w:color w:val="000000"/>
          <w:sz w:val="32"/>
          <w:szCs w:val="32"/>
        </w:rPr>
      </w:pPr>
      <w:r>
        <w:rPr>
          <w:rFonts w:hint="eastAsia" w:ascii="仿宋_GB2312" w:eastAsia="仿宋_GB2312"/>
          <w:color w:val="000000"/>
          <w:sz w:val="32"/>
          <w:szCs w:val="32"/>
        </w:rPr>
        <w:t>表4-1.政府性基金预算“三公”经费支出预算表</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此表无数据</w:t>
      </w:r>
      <w:r>
        <w:rPr>
          <w:rFonts w:hint="eastAsia" w:ascii="仿宋_GB2312" w:eastAsia="仿宋_GB2312"/>
          <w:color w:val="000000"/>
          <w:sz w:val="32"/>
          <w:szCs w:val="32"/>
          <w:lang w:eastAsia="zh-CN"/>
        </w:rPr>
        <w:t>）</w:t>
      </w:r>
    </w:p>
    <w:p>
      <w:pPr>
        <w:ind w:firstLine="1600" w:firstLineChars="500"/>
        <w:rPr>
          <w:rFonts w:ascii="仿宋_GB2312" w:eastAsia="仿宋_GB2312"/>
          <w:color w:val="000000"/>
          <w:sz w:val="32"/>
          <w:szCs w:val="32"/>
        </w:rPr>
      </w:pPr>
      <w:r>
        <w:rPr>
          <w:rFonts w:hint="eastAsia" w:ascii="仿宋_GB2312" w:eastAsia="仿宋_GB2312"/>
          <w:color w:val="000000"/>
          <w:sz w:val="32"/>
          <w:szCs w:val="32"/>
        </w:rPr>
        <w:t>表5.国有资本经营预算支出预算表</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此表无数据</w:t>
      </w:r>
      <w:r>
        <w:rPr>
          <w:rFonts w:hint="eastAsia" w:ascii="仿宋_GB2312" w:eastAsia="仿宋_GB2312"/>
          <w:color w:val="000000"/>
          <w:sz w:val="32"/>
          <w:szCs w:val="32"/>
          <w:lang w:eastAsia="zh-CN"/>
        </w:rPr>
        <w:t>）</w:t>
      </w:r>
    </w:p>
    <w:p>
      <w:pPr>
        <w:ind w:firstLine="1600" w:firstLineChars="500"/>
        <w:rPr>
          <w:rFonts w:ascii="仿宋_GB2312" w:eastAsia="仿宋_GB2312"/>
          <w:color w:val="000000"/>
          <w:sz w:val="32"/>
          <w:szCs w:val="32"/>
        </w:rPr>
      </w:pPr>
      <w:r>
        <w:rPr>
          <w:rFonts w:hint="eastAsia" w:ascii="仿宋_GB2312" w:eastAsia="仿宋_GB2312"/>
          <w:color w:val="000000"/>
          <w:sz w:val="32"/>
          <w:szCs w:val="32"/>
        </w:rPr>
        <w:t>表6.单位预算项目绩效目标表（2021年度）</w:t>
      </w:r>
    </w:p>
    <w:p>
      <w:pPr>
        <w:ind w:firstLine="1600" w:firstLineChars="500"/>
        <w:rPr>
          <w:rFonts w:ascii="仿宋_GB2312" w:eastAsia="仿宋_GB2312"/>
          <w:color w:val="000000"/>
          <w:sz w:val="32"/>
          <w:szCs w:val="32"/>
        </w:rPr>
      </w:pPr>
      <w:r>
        <w:rPr>
          <w:rFonts w:hint="eastAsia" w:ascii="仿宋_GB2312" w:eastAsia="仿宋_GB2312"/>
          <w:color w:val="000000"/>
          <w:sz w:val="32"/>
          <w:szCs w:val="32"/>
        </w:rPr>
        <w:t>　　　　　　　　　　　　　　　</w:t>
      </w:r>
    </w:p>
    <w:p>
      <w:pPr>
        <w:spacing w:line="620" w:lineRule="exact"/>
        <w:ind w:firstLine="640" w:firstLineChars="200"/>
        <w:rPr>
          <w:rFonts w:ascii="仿宋_GB2312" w:eastAsia="仿宋_GB2312"/>
          <w:color w:val="000000"/>
          <w:sz w:val="32"/>
          <w:szCs w:val="32"/>
        </w:rPr>
      </w:pPr>
    </w:p>
    <w:sectPr>
      <w:footerReference r:id="rId3" w:type="default"/>
      <w:footerReference r:id="rId4" w:type="even"/>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Style w:val="14"/>
                              <w:rFonts w:ascii="宋体" w:hAnsi="宋体"/>
                              <w:sz w:val="30"/>
                              <w:szCs w:val="30"/>
                            </w:rPr>
                          </w:pPr>
                          <w:r>
                            <w:rPr>
                              <w:rStyle w:val="14"/>
                              <w:rFonts w:ascii="宋体" w:hAnsi="宋体"/>
                              <w:sz w:val="30"/>
                              <w:szCs w:val="30"/>
                            </w:rPr>
                            <w:fldChar w:fldCharType="begin"/>
                          </w:r>
                          <w:r>
                            <w:rPr>
                              <w:rStyle w:val="14"/>
                              <w:rFonts w:ascii="宋体" w:hAnsi="宋体"/>
                              <w:sz w:val="30"/>
                              <w:szCs w:val="30"/>
                            </w:rPr>
                            <w:instrText xml:space="preserve">PAGE  </w:instrText>
                          </w:r>
                          <w:r>
                            <w:rPr>
                              <w:rStyle w:val="14"/>
                              <w:rFonts w:ascii="宋体" w:hAnsi="宋体"/>
                              <w:sz w:val="30"/>
                              <w:szCs w:val="30"/>
                            </w:rPr>
                            <w:fldChar w:fldCharType="separate"/>
                          </w:r>
                          <w:r>
                            <w:rPr>
                              <w:rStyle w:val="14"/>
                              <w:rFonts w:ascii="宋体" w:hAnsi="宋体"/>
                              <w:sz w:val="30"/>
                              <w:szCs w:val="30"/>
                            </w:rPr>
                            <w:t>- 13 -</w:t>
                          </w:r>
                          <w:r>
                            <w:rPr>
                              <w:rStyle w:val="14"/>
                              <w:rFonts w:ascii="宋体" w:hAnsi="宋体"/>
                              <w:sz w:val="30"/>
                              <w:szCs w:val="30"/>
                            </w:rPr>
                            <w:fldChar w:fldCharType="end"/>
                          </w:r>
                        </w:p>
                      </w:txbxContent>
                    </wps:txbx>
                    <wps:bodyPr wrap="none" lIns="0" tIns="0" rIns="0" bIns="0" upright="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VBTYMkBAACZAwAADgAAAGRycy9lMm9Eb2MueG1srVPNjtMwEL4j8Q6W&#10;79RpQ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WJ4xYHfvn+7fLj1+XnV/Iy&#10;t6cPUGPWXcC8NLz1Ay7N7Ad0ZtWDijZ/UQ/BODb3fG2uHBIR+dF6tV5XGBIYmy+Izx6ehwjpnfSW&#10;ZKOhEadXmspPHyCNqXNKrub8rTamTNC4vxyImT0scx85ZisN+2EStPftGfX0OPiGOtxzSsx7h33N&#10;OzIbcTb2s3EMUR86pLYsvCC8OSYkUbjlCiPsVBgnVtRN25VX4s97yXr4o7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tUFNgyQEAAJkDAAAOAAAAAAAAAAEAIAAAAB4BAABkcnMvZTJvRG9j&#10;LnhtbFBLBQYAAAAABgAGAFkBAABZBQAAAAA=&#10;">
              <v:fill on="f" focussize="0,0"/>
              <v:stroke on="f"/>
              <v:imagedata o:title=""/>
              <o:lock v:ext="edit" aspectratio="f"/>
              <v:textbox inset="0mm,0mm,0mm,0mm" style="mso-fit-shape-to-text:t;">
                <w:txbxContent>
                  <w:p>
                    <w:pPr>
                      <w:pStyle w:val="7"/>
                      <w:rPr>
                        <w:rStyle w:val="14"/>
                        <w:rFonts w:ascii="宋体" w:hAnsi="宋体"/>
                        <w:sz w:val="30"/>
                        <w:szCs w:val="30"/>
                      </w:rPr>
                    </w:pPr>
                    <w:r>
                      <w:rPr>
                        <w:rStyle w:val="14"/>
                        <w:rFonts w:ascii="宋体" w:hAnsi="宋体"/>
                        <w:sz w:val="30"/>
                        <w:szCs w:val="30"/>
                      </w:rPr>
                      <w:fldChar w:fldCharType="begin"/>
                    </w:r>
                    <w:r>
                      <w:rPr>
                        <w:rStyle w:val="14"/>
                        <w:rFonts w:ascii="宋体" w:hAnsi="宋体"/>
                        <w:sz w:val="30"/>
                        <w:szCs w:val="30"/>
                      </w:rPr>
                      <w:instrText xml:space="preserve">PAGE  </w:instrText>
                    </w:r>
                    <w:r>
                      <w:rPr>
                        <w:rStyle w:val="14"/>
                        <w:rFonts w:ascii="宋体" w:hAnsi="宋体"/>
                        <w:sz w:val="30"/>
                        <w:szCs w:val="30"/>
                      </w:rPr>
                      <w:fldChar w:fldCharType="separate"/>
                    </w:r>
                    <w:r>
                      <w:rPr>
                        <w:rStyle w:val="14"/>
                        <w:rFonts w:ascii="宋体" w:hAnsi="宋体"/>
                        <w:sz w:val="30"/>
                        <w:szCs w:val="30"/>
                      </w:rPr>
                      <w:t>- 13 -</w:t>
                    </w:r>
                    <w:r>
                      <w:rPr>
                        <w:rStyle w:val="14"/>
                        <w:rFonts w:ascii="宋体" w:hAnsi="宋体"/>
                        <w:sz w:val="30"/>
                        <w:szCs w:val="30"/>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- 7 -</w:t>
    </w:r>
    <w:r>
      <w:rPr>
        <w:rStyle w:val="14"/>
      </w:rPr>
      <w:fldChar w:fldCharType="end"/>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NotTrackMove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1ODA3ZGY4MTkyYmRkMjhhMTQ2Njk3ZmU1MDIxNjQifQ=="/>
  </w:docVars>
  <w:rsids>
    <w:rsidRoot w:val="0060005D"/>
    <w:rsid w:val="0000338F"/>
    <w:rsid w:val="00010668"/>
    <w:rsid w:val="0001681F"/>
    <w:rsid w:val="0004088F"/>
    <w:rsid w:val="00042256"/>
    <w:rsid w:val="000441BE"/>
    <w:rsid w:val="00051E4D"/>
    <w:rsid w:val="000778C1"/>
    <w:rsid w:val="000A1822"/>
    <w:rsid w:val="000B0519"/>
    <w:rsid w:val="000D49AE"/>
    <w:rsid w:val="000D54F0"/>
    <w:rsid w:val="000F7222"/>
    <w:rsid w:val="001020B0"/>
    <w:rsid w:val="00133907"/>
    <w:rsid w:val="00140AA5"/>
    <w:rsid w:val="0014583C"/>
    <w:rsid w:val="00155AE3"/>
    <w:rsid w:val="00165253"/>
    <w:rsid w:val="00171B41"/>
    <w:rsid w:val="0019621A"/>
    <w:rsid w:val="001A48B2"/>
    <w:rsid w:val="001B5567"/>
    <w:rsid w:val="001C0ADD"/>
    <w:rsid w:val="001C39A3"/>
    <w:rsid w:val="001D69DC"/>
    <w:rsid w:val="001E2326"/>
    <w:rsid w:val="001F6ABA"/>
    <w:rsid w:val="00202C84"/>
    <w:rsid w:val="002331D1"/>
    <w:rsid w:val="00234AF9"/>
    <w:rsid w:val="002350C0"/>
    <w:rsid w:val="0024650E"/>
    <w:rsid w:val="002469CA"/>
    <w:rsid w:val="00254517"/>
    <w:rsid w:val="002569AB"/>
    <w:rsid w:val="0026435F"/>
    <w:rsid w:val="002737F6"/>
    <w:rsid w:val="00285414"/>
    <w:rsid w:val="0029775D"/>
    <w:rsid w:val="002B20A7"/>
    <w:rsid w:val="002B24B2"/>
    <w:rsid w:val="002C03D0"/>
    <w:rsid w:val="002C75D8"/>
    <w:rsid w:val="002C7C28"/>
    <w:rsid w:val="002D228F"/>
    <w:rsid w:val="002D33D6"/>
    <w:rsid w:val="002D4906"/>
    <w:rsid w:val="002E393B"/>
    <w:rsid w:val="002F650D"/>
    <w:rsid w:val="00304F1F"/>
    <w:rsid w:val="00317F59"/>
    <w:rsid w:val="00320413"/>
    <w:rsid w:val="00325AA6"/>
    <w:rsid w:val="0033216A"/>
    <w:rsid w:val="0034373A"/>
    <w:rsid w:val="00354CE6"/>
    <w:rsid w:val="003601BC"/>
    <w:rsid w:val="00363244"/>
    <w:rsid w:val="003652A6"/>
    <w:rsid w:val="003658E5"/>
    <w:rsid w:val="00383846"/>
    <w:rsid w:val="0038402E"/>
    <w:rsid w:val="003937EB"/>
    <w:rsid w:val="003B0E66"/>
    <w:rsid w:val="003B6C2E"/>
    <w:rsid w:val="003C2144"/>
    <w:rsid w:val="003C2C59"/>
    <w:rsid w:val="003D02B3"/>
    <w:rsid w:val="003D099E"/>
    <w:rsid w:val="003D48EE"/>
    <w:rsid w:val="003E20B0"/>
    <w:rsid w:val="003F0B3F"/>
    <w:rsid w:val="003F2E80"/>
    <w:rsid w:val="00415A70"/>
    <w:rsid w:val="0041651E"/>
    <w:rsid w:val="004224F8"/>
    <w:rsid w:val="00427C25"/>
    <w:rsid w:val="004309B0"/>
    <w:rsid w:val="00430A44"/>
    <w:rsid w:val="00433371"/>
    <w:rsid w:val="00440495"/>
    <w:rsid w:val="00445034"/>
    <w:rsid w:val="00447462"/>
    <w:rsid w:val="00461B09"/>
    <w:rsid w:val="00461CFF"/>
    <w:rsid w:val="004732A1"/>
    <w:rsid w:val="00494F4F"/>
    <w:rsid w:val="0049553A"/>
    <w:rsid w:val="00497E30"/>
    <w:rsid w:val="004A1563"/>
    <w:rsid w:val="004B36F0"/>
    <w:rsid w:val="004C67F8"/>
    <w:rsid w:val="004D0ECB"/>
    <w:rsid w:val="004D235D"/>
    <w:rsid w:val="004D376E"/>
    <w:rsid w:val="004D4D61"/>
    <w:rsid w:val="005009A7"/>
    <w:rsid w:val="00512F38"/>
    <w:rsid w:val="00514FAE"/>
    <w:rsid w:val="00531C0A"/>
    <w:rsid w:val="005326E1"/>
    <w:rsid w:val="005415C0"/>
    <w:rsid w:val="00557A5D"/>
    <w:rsid w:val="00563C1D"/>
    <w:rsid w:val="00570B5C"/>
    <w:rsid w:val="0057689C"/>
    <w:rsid w:val="005A6A6E"/>
    <w:rsid w:val="005B252F"/>
    <w:rsid w:val="005B35E9"/>
    <w:rsid w:val="005D1217"/>
    <w:rsid w:val="005D6EAA"/>
    <w:rsid w:val="005E53E8"/>
    <w:rsid w:val="005E6CE5"/>
    <w:rsid w:val="005E768E"/>
    <w:rsid w:val="005F2CA2"/>
    <w:rsid w:val="005F3ED4"/>
    <w:rsid w:val="005F4C66"/>
    <w:rsid w:val="0060005D"/>
    <w:rsid w:val="00607234"/>
    <w:rsid w:val="00616F30"/>
    <w:rsid w:val="00627AA2"/>
    <w:rsid w:val="00637B4C"/>
    <w:rsid w:val="00653E33"/>
    <w:rsid w:val="00655445"/>
    <w:rsid w:val="00670F6B"/>
    <w:rsid w:val="0068633F"/>
    <w:rsid w:val="00686726"/>
    <w:rsid w:val="00686EA0"/>
    <w:rsid w:val="006939E5"/>
    <w:rsid w:val="006B2A40"/>
    <w:rsid w:val="006B4CA6"/>
    <w:rsid w:val="006C151A"/>
    <w:rsid w:val="006D2767"/>
    <w:rsid w:val="006E1EA8"/>
    <w:rsid w:val="006F0B1A"/>
    <w:rsid w:val="007056F5"/>
    <w:rsid w:val="007154EA"/>
    <w:rsid w:val="00726A55"/>
    <w:rsid w:val="007416D2"/>
    <w:rsid w:val="007461A7"/>
    <w:rsid w:val="007467D7"/>
    <w:rsid w:val="00754A14"/>
    <w:rsid w:val="0076200E"/>
    <w:rsid w:val="007639C0"/>
    <w:rsid w:val="00764179"/>
    <w:rsid w:val="00764BD6"/>
    <w:rsid w:val="00770454"/>
    <w:rsid w:val="007741C2"/>
    <w:rsid w:val="00777781"/>
    <w:rsid w:val="00783575"/>
    <w:rsid w:val="007922C1"/>
    <w:rsid w:val="00794482"/>
    <w:rsid w:val="00797A78"/>
    <w:rsid w:val="007A5F38"/>
    <w:rsid w:val="007B43FA"/>
    <w:rsid w:val="007C1E6E"/>
    <w:rsid w:val="007C30FF"/>
    <w:rsid w:val="007D34E9"/>
    <w:rsid w:val="007D4E9C"/>
    <w:rsid w:val="007E2169"/>
    <w:rsid w:val="007E2C25"/>
    <w:rsid w:val="007F1750"/>
    <w:rsid w:val="007F2112"/>
    <w:rsid w:val="007F2349"/>
    <w:rsid w:val="007F7D2B"/>
    <w:rsid w:val="00802450"/>
    <w:rsid w:val="00803D41"/>
    <w:rsid w:val="00804938"/>
    <w:rsid w:val="00806F83"/>
    <w:rsid w:val="008118B3"/>
    <w:rsid w:val="00812A91"/>
    <w:rsid w:val="00814891"/>
    <w:rsid w:val="00821B5D"/>
    <w:rsid w:val="008331F1"/>
    <w:rsid w:val="008541A5"/>
    <w:rsid w:val="00857066"/>
    <w:rsid w:val="00872155"/>
    <w:rsid w:val="008730B6"/>
    <w:rsid w:val="00882095"/>
    <w:rsid w:val="00883A74"/>
    <w:rsid w:val="00884D64"/>
    <w:rsid w:val="00887A24"/>
    <w:rsid w:val="00893DA5"/>
    <w:rsid w:val="008A16B8"/>
    <w:rsid w:val="008A2B2C"/>
    <w:rsid w:val="008A36A2"/>
    <w:rsid w:val="008C3BA6"/>
    <w:rsid w:val="008D157C"/>
    <w:rsid w:val="008D3DFE"/>
    <w:rsid w:val="008E1134"/>
    <w:rsid w:val="008F3850"/>
    <w:rsid w:val="00902687"/>
    <w:rsid w:val="00903CB6"/>
    <w:rsid w:val="00916DF8"/>
    <w:rsid w:val="00916E95"/>
    <w:rsid w:val="00925AE5"/>
    <w:rsid w:val="00926342"/>
    <w:rsid w:val="00932D76"/>
    <w:rsid w:val="009333FC"/>
    <w:rsid w:val="00933815"/>
    <w:rsid w:val="00936710"/>
    <w:rsid w:val="00944249"/>
    <w:rsid w:val="00950D25"/>
    <w:rsid w:val="00956E1E"/>
    <w:rsid w:val="00965D32"/>
    <w:rsid w:val="00967CB7"/>
    <w:rsid w:val="0097041D"/>
    <w:rsid w:val="00974871"/>
    <w:rsid w:val="00994264"/>
    <w:rsid w:val="009B3343"/>
    <w:rsid w:val="009B581B"/>
    <w:rsid w:val="009C0512"/>
    <w:rsid w:val="009D58E5"/>
    <w:rsid w:val="009E65F7"/>
    <w:rsid w:val="009F6462"/>
    <w:rsid w:val="00A15863"/>
    <w:rsid w:val="00A220D8"/>
    <w:rsid w:val="00A319B4"/>
    <w:rsid w:val="00A33A4F"/>
    <w:rsid w:val="00A35247"/>
    <w:rsid w:val="00A3642E"/>
    <w:rsid w:val="00A6051A"/>
    <w:rsid w:val="00A713DD"/>
    <w:rsid w:val="00A7211D"/>
    <w:rsid w:val="00A82500"/>
    <w:rsid w:val="00A92CD8"/>
    <w:rsid w:val="00AA3E31"/>
    <w:rsid w:val="00AA4999"/>
    <w:rsid w:val="00AA774F"/>
    <w:rsid w:val="00AA7A4E"/>
    <w:rsid w:val="00AC65B9"/>
    <w:rsid w:val="00AD379D"/>
    <w:rsid w:val="00AE658E"/>
    <w:rsid w:val="00AE7611"/>
    <w:rsid w:val="00AF1278"/>
    <w:rsid w:val="00AF1508"/>
    <w:rsid w:val="00AF5969"/>
    <w:rsid w:val="00AF5CCF"/>
    <w:rsid w:val="00B14071"/>
    <w:rsid w:val="00B2221D"/>
    <w:rsid w:val="00B277EA"/>
    <w:rsid w:val="00B30C8E"/>
    <w:rsid w:val="00B32B40"/>
    <w:rsid w:val="00B50FD8"/>
    <w:rsid w:val="00B611D2"/>
    <w:rsid w:val="00B62C5D"/>
    <w:rsid w:val="00B7605B"/>
    <w:rsid w:val="00B82D2D"/>
    <w:rsid w:val="00B85D4E"/>
    <w:rsid w:val="00B90094"/>
    <w:rsid w:val="00B90385"/>
    <w:rsid w:val="00BA1B05"/>
    <w:rsid w:val="00BB4248"/>
    <w:rsid w:val="00BB4C49"/>
    <w:rsid w:val="00BB4FDB"/>
    <w:rsid w:val="00BB735F"/>
    <w:rsid w:val="00BC04DF"/>
    <w:rsid w:val="00BC2340"/>
    <w:rsid w:val="00BD7804"/>
    <w:rsid w:val="00BE1F1A"/>
    <w:rsid w:val="00BF3F02"/>
    <w:rsid w:val="00BF59D0"/>
    <w:rsid w:val="00BF78E0"/>
    <w:rsid w:val="00C0649D"/>
    <w:rsid w:val="00C102F1"/>
    <w:rsid w:val="00C11C2C"/>
    <w:rsid w:val="00C12E5F"/>
    <w:rsid w:val="00C14D98"/>
    <w:rsid w:val="00C20F93"/>
    <w:rsid w:val="00C33E26"/>
    <w:rsid w:val="00C3756B"/>
    <w:rsid w:val="00C5171E"/>
    <w:rsid w:val="00C524B7"/>
    <w:rsid w:val="00C52ADF"/>
    <w:rsid w:val="00C52D69"/>
    <w:rsid w:val="00C61C0F"/>
    <w:rsid w:val="00C92DD9"/>
    <w:rsid w:val="00CB4341"/>
    <w:rsid w:val="00CC36FE"/>
    <w:rsid w:val="00CC4D8E"/>
    <w:rsid w:val="00CC4EAA"/>
    <w:rsid w:val="00CC6639"/>
    <w:rsid w:val="00CC6B8C"/>
    <w:rsid w:val="00CD0E1E"/>
    <w:rsid w:val="00CD5486"/>
    <w:rsid w:val="00CE2BFC"/>
    <w:rsid w:val="00CF004A"/>
    <w:rsid w:val="00D07A7B"/>
    <w:rsid w:val="00D263A4"/>
    <w:rsid w:val="00D35BC9"/>
    <w:rsid w:val="00D35F33"/>
    <w:rsid w:val="00D46035"/>
    <w:rsid w:val="00D601DE"/>
    <w:rsid w:val="00D70718"/>
    <w:rsid w:val="00DA2193"/>
    <w:rsid w:val="00DA239C"/>
    <w:rsid w:val="00DA2767"/>
    <w:rsid w:val="00DA2A68"/>
    <w:rsid w:val="00DC04EF"/>
    <w:rsid w:val="00DC28A8"/>
    <w:rsid w:val="00DC4DE3"/>
    <w:rsid w:val="00DE3A32"/>
    <w:rsid w:val="00E1481A"/>
    <w:rsid w:val="00E17163"/>
    <w:rsid w:val="00E252A3"/>
    <w:rsid w:val="00E25D3A"/>
    <w:rsid w:val="00E30345"/>
    <w:rsid w:val="00E331F3"/>
    <w:rsid w:val="00E56615"/>
    <w:rsid w:val="00E569B1"/>
    <w:rsid w:val="00E71F6B"/>
    <w:rsid w:val="00E74229"/>
    <w:rsid w:val="00E82037"/>
    <w:rsid w:val="00E84415"/>
    <w:rsid w:val="00E923A7"/>
    <w:rsid w:val="00EB5E3F"/>
    <w:rsid w:val="00EC4D7A"/>
    <w:rsid w:val="00EC7190"/>
    <w:rsid w:val="00EC7634"/>
    <w:rsid w:val="00ED304D"/>
    <w:rsid w:val="00ED6069"/>
    <w:rsid w:val="00ED72A6"/>
    <w:rsid w:val="00EE29A6"/>
    <w:rsid w:val="00EF16C0"/>
    <w:rsid w:val="00F074E6"/>
    <w:rsid w:val="00F07C54"/>
    <w:rsid w:val="00F31DEB"/>
    <w:rsid w:val="00F37261"/>
    <w:rsid w:val="00F4320E"/>
    <w:rsid w:val="00F43C3F"/>
    <w:rsid w:val="00F46BF4"/>
    <w:rsid w:val="00F5088D"/>
    <w:rsid w:val="00F51398"/>
    <w:rsid w:val="00F52BEB"/>
    <w:rsid w:val="00F636F0"/>
    <w:rsid w:val="00F809FC"/>
    <w:rsid w:val="00F85DC6"/>
    <w:rsid w:val="00F87A00"/>
    <w:rsid w:val="00F91F5D"/>
    <w:rsid w:val="00F948EC"/>
    <w:rsid w:val="00F95ED1"/>
    <w:rsid w:val="00FA1409"/>
    <w:rsid w:val="00FC030C"/>
    <w:rsid w:val="00FC65A1"/>
    <w:rsid w:val="02296E92"/>
    <w:rsid w:val="053C6EDC"/>
    <w:rsid w:val="0AA13638"/>
    <w:rsid w:val="0CAC60F0"/>
    <w:rsid w:val="0D4F4F9B"/>
    <w:rsid w:val="12435D4E"/>
    <w:rsid w:val="13713E78"/>
    <w:rsid w:val="1510095A"/>
    <w:rsid w:val="16561609"/>
    <w:rsid w:val="16D23FF2"/>
    <w:rsid w:val="16DB76B1"/>
    <w:rsid w:val="18003D99"/>
    <w:rsid w:val="18B02ABA"/>
    <w:rsid w:val="18FD55AA"/>
    <w:rsid w:val="198C0C64"/>
    <w:rsid w:val="1E227455"/>
    <w:rsid w:val="1ED32208"/>
    <w:rsid w:val="1FE87D0C"/>
    <w:rsid w:val="28460282"/>
    <w:rsid w:val="2DDD275B"/>
    <w:rsid w:val="3209750C"/>
    <w:rsid w:val="36D31BE2"/>
    <w:rsid w:val="3B290D10"/>
    <w:rsid w:val="3EBF41A7"/>
    <w:rsid w:val="413A4696"/>
    <w:rsid w:val="424503FA"/>
    <w:rsid w:val="44807864"/>
    <w:rsid w:val="46882B7F"/>
    <w:rsid w:val="47CC4A9D"/>
    <w:rsid w:val="48423580"/>
    <w:rsid w:val="4B670B02"/>
    <w:rsid w:val="4CB52C69"/>
    <w:rsid w:val="4DA42CE5"/>
    <w:rsid w:val="54036D91"/>
    <w:rsid w:val="58E117D6"/>
    <w:rsid w:val="5AEE6194"/>
    <w:rsid w:val="5B926F50"/>
    <w:rsid w:val="5F827240"/>
    <w:rsid w:val="62194FA9"/>
    <w:rsid w:val="67923299"/>
    <w:rsid w:val="67B83F8E"/>
    <w:rsid w:val="69A03B0F"/>
    <w:rsid w:val="69B67A8F"/>
    <w:rsid w:val="6B347157"/>
    <w:rsid w:val="6B517EEB"/>
    <w:rsid w:val="6F3F50B2"/>
    <w:rsid w:val="718B39BF"/>
    <w:rsid w:val="726828FB"/>
    <w:rsid w:val="72A72AFC"/>
    <w:rsid w:val="73C4119A"/>
    <w:rsid w:val="771C566F"/>
    <w:rsid w:val="79FE4C42"/>
    <w:rsid w:val="7A810B87"/>
    <w:rsid w:val="7AAA6AE5"/>
    <w:rsid w:val="7BCE3EBD"/>
    <w:rsid w:val="7EA366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spacing w:before="260" w:after="260" w:line="416" w:lineRule="auto"/>
      <w:outlineLvl w:val="1"/>
    </w:pPr>
    <w:rPr>
      <w:rFonts w:ascii="等线 Light" w:hAnsi="等线 Light" w:eastAsia="等线 Light"/>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spacing w:beforeLines="30"/>
    </w:pPr>
    <w:rPr>
      <w:rFonts w:ascii="仿宋_GB2312" w:eastAsia="仿宋_GB2312"/>
      <w:sz w:val="30"/>
    </w:rPr>
  </w:style>
  <w:style w:type="paragraph" w:styleId="5">
    <w:name w:val="toc 3"/>
    <w:basedOn w:val="1"/>
    <w:next w:val="1"/>
    <w:unhideWhenUsed/>
    <w:qFormat/>
    <w:uiPriority w:val="39"/>
    <w:pPr>
      <w:widowControl/>
      <w:spacing w:after="100" w:line="259" w:lineRule="auto"/>
      <w:ind w:left="440"/>
      <w:jc w:val="left"/>
    </w:pPr>
    <w:rPr>
      <w:rFonts w:ascii="Calibri" w:hAnsi="Calibri"/>
      <w:kern w:val="0"/>
      <w:sz w:val="22"/>
      <w:szCs w:val="22"/>
    </w:r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spacing w:before="120"/>
      <w:jc w:val="left"/>
    </w:pPr>
    <w:rPr>
      <w:rFonts w:ascii="等线" w:eastAsia="等线"/>
      <w:b/>
      <w:bCs/>
      <w:i/>
      <w:iCs/>
      <w:sz w:val="24"/>
    </w:rPr>
  </w:style>
  <w:style w:type="paragraph" w:styleId="10">
    <w:name w:val="toc 2"/>
    <w:basedOn w:val="1"/>
    <w:next w:val="1"/>
    <w:unhideWhenUsed/>
    <w:qFormat/>
    <w:uiPriority w:val="39"/>
    <w:pPr>
      <w:spacing w:before="120"/>
      <w:ind w:left="300"/>
      <w:jc w:val="left"/>
    </w:pPr>
    <w:rPr>
      <w:rFonts w:ascii="等线" w:eastAsia="等线"/>
      <w:b/>
      <w:bCs/>
      <w:sz w:val="22"/>
      <w:szCs w:val="22"/>
    </w:rPr>
  </w:style>
  <w:style w:type="character" w:styleId="13">
    <w:name w:val="Strong"/>
    <w:qFormat/>
    <w:uiPriority w:val="0"/>
    <w:rPr>
      <w:b/>
      <w:bCs/>
    </w:rPr>
  </w:style>
  <w:style w:type="character" w:styleId="14">
    <w:name w:val="page number"/>
    <w:qFormat/>
    <w:uiPriority w:val="0"/>
  </w:style>
  <w:style w:type="character" w:styleId="15">
    <w:name w:val="Hyperlink"/>
    <w:unhideWhenUsed/>
    <w:qFormat/>
    <w:uiPriority w:val="99"/>
    <w:rPr>
      <w:color w:val="0000FF"/>
      <w:u w:val="single"/>
    </w:rPr>
  </w:style>
  <w:style w:type="character" w:customStyle="1" w:styleId="16">
    <w:name w:val="标题 1 Char"/>
    <w:link w:val="2"/>
    <w:qFormat/>
    <w:uiPriority w:val="0"/>
    <w:rPr>
      <w:b/>
      <w:bCs/>
      <w:kern w:val="44"/>
      <w:sz w:val="44"/>
      <w:szCs w:val="44"/>
    </w:rPr>
  </w:style>
  <w:style w:type="character" w:customStyle="1" w:styleId="17">
    <w:name w:val="标题 2 Char"/>
    <w:link w:val="3"/>
    <w:semiHidden/>
    <w:qFormat/>
    <w:uiPriority w:val="0"/>
    <w:rPr>
      <w:rFonts w:ascii="等线 Light" w:hAnsi="等线 Light" w:eastAsia="等线 Light" w:cs="Times New Roman"/>
      <w:b/>
      <w:bCs/>
      <w:kern w:val="2"/>
      <w:sz w:val="32"/>
      <w:szCs w:val="32"/>
    </w:rPr>
  </w:style>
  <w:style w:type="paragraph" w:customStyle="1" w:styleId="18">
    <w:name w:val="Char Char Char Char Char Char Char Char Char Char Char Char"/>
    <w:basedOn w:val="1"/>
    <w:semiHidden/>
    <w:qFormat/>
    <w:uiPriority w:val="0"/>
    <w:rPr>
      <w:szCs w:val="21"/>
    </w:rPr>
  </w:style>
  <w:style w:type="paragraph" w:customStyle="1" w:styleId="19">
    <w:name w:val="TOC 标题1"/>
    <w:basedOn w:val="2"/>
    <w:next w:val="1"/>
    <w:qFormat/>
    <w:uiPriority w:val="39"/>
    <w:pPr>
      <w:widowControl/>
      <w:spacing w:before="480" w:after="0" w:line="276" w:lineRule="auto"/>
      <w:jc w:val="left"/>
      <w:outlineLvl w:val="9"/>
    </w:pPr>
    <w:rPr>
      <w:rFonts w:ascii="Calibri Light" w:hAnsi="Calibri Light"/>
      <w:color w:val="2E74B5"/>
      <w:kern w:val="0"/>
      <w:sz w:val="28"/>
      <w:szCs w:val="28"/>
    </w:rPr>
  </w:style>
  <w:style w:type="character" w:customStyle="1" w:styleId="20">
    <w:name w:val="Heading 1 Char"/>
    <w:qFormat/>
    <w:locked/>
    <w:uiPriority w:val="0"/>
    <w:rPr>
      <w:rFonts w:cs="Times New Roman"/>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chart" Target="charts/chart1.xml"/><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chartUserShapes" Target="../drawings/drawing1.xml"/><Relationship Id="rId1" Type="http://schemas.openxmlformats.org/officeDocument/2006/relationships/oleObject" Target="file:///C:\Users\Admin\Documents\WeChat%20Files\Whatever0509\FileStorage\File\2022-04\&#21103;&#26412;&#21382;&#21490;&#36134;&#25143;&#20132;&#26131;&#26126;&#32454;&#26597;&#35810;20220415143556.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三公”经费财政拨款支出结构</a:t>
            </a:r>
          </a:p>
          <a:p>
            <a:pPr defTabSz="914400">
              <a:defRPr lang="zh-CN" sz="1400" b="0" i="0" u="none" strike="noStrike" kern="1200" spc="0" baseline="0">
                <a:solidFill>
                  <a:schemeClr val="tx1">
                    <a:lumMod val="65000"/>
                    <a:lumOff val="35000"/>
                  </a:schemeClr>
                </a:solidFill>
                <a:latin typeface="+mn-lt"/>
                <a:ea typeface="+mn-ea"/>
                <a:cs typeface="+mn-cs"/>
              </a:defRPr>
            </a:pPr>
          </a:p>
        </c:rich>
      </c:tx>
      <c:layout>
        <c:manualLayout>
          <c:xMode val="edge"/>
          <c:yMode val="edge"/>
          <c:x val="0.233194444444444"/>
          <c:y val="0.00694444444444444"/>
        </c:manualLayout>
      </c:layout>
      <c:overlay val="0"/>
      <c:spPr>
        <a:noFill/>
        <a:ln>
          <a:noFill/>
        </a:ln>
        <a:effectLst>
          <a:outerShdw blurRad="50800" dist="50800" dir="5400000" algn="ctr" rotWithShape="0">
            <a:schemeClr val="bg1">
              <a:alpha val="100000"/>
            </a:schemeClr>
          </a:outerShdw>
        </a:effectLst>
      </c:spPr>
    </c:title>
    <c:autoTitleDeleted val="0"/>
    <c:plotArea>
      <c:layout/>
      <c:pieChart>
        <c:varyColors val="1"/>
        <c:ser>
          <c:idx val="0"/>
          <c:order val="0"/>
          <c:tx>
            <c:strRef>
              <c:f>[副本历史账户交易明细查询20220415143556.xls]Sheet2!$L$15</c:f>
              <c:strCache>
                <c:ptCount val="1"/>
                <c:pt idx="0">
                  <c:v>金额</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elete val="1"/>
          </c:dLbls>
          <c:cat>
            <c:strRef>
              <c:f>[副本历史账户交易明细查询20220415143556.xls]Sheet2!$M$14:$O$14</c:f>
              <c:strCache>
                <c:ptCount val="3"/>
                <c:pt idx="0">
                  <c:v>因公出国（境）经费0元</c:v>
                </c:pt>
                <c:pt idx="1">
                  <c:v>公务接待0元</c:v>
                </c:pt>
                <c:pt idx="2">
                  <c:v>公务用车购置及运行维护费0元</c:v>
                </c:pt>
              </c:strCache>
            </c:strRef>
          </c:cat>
          <c:val>
            <c:numRef>
              <c:f>[副本历史账户交易明细查询20220415143556.xls]Sheet2!$M$15:$O$15</c:f>
              <c:numCache>
                <c:formatCode>General</c:formatCode>
                <c:ptCount val="3"/>
                <c:pt idx="0">
                  <c:v>0</c:v>
                </c:pt>
                <c:pt idx="1">
                  <c:v>0</c:v>
                </c:pt>
                <c:pt idx="2">
                  <c:v>0</c:v>
                </c:pt>
              </c:numCache>
            </c:numRef>
          </c:val>
        </c:ser>
        <c:dLbls>
          <c:showLegendKey val="0"/>
          <c:showVal val="1"/>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userShapes r:id="rId2"/>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0.250694444444444</cdr:x>
      <cdr:y>0.259259259259259</cdr:y>
    </cdr:from>
    <cdr:to>
      <cdr:x>0.544444444444444</cdr:x>
      <cdr:y>0.74537037037037</cdr:y>
    </cdr:to>
    <cdr:sp>
      <cdr:nvSpPr>
        <cdr:cNvPr id="2" name="流程图: 联系 1"/>
        <cdr:cNvSpPr/>
      </cdr:nvSpPr>
      <cdr:spPr xmlns:a="http://schemas.openxmlformats.org/drawingml/2006/main">
        <a:xfrm xmlns:a="http://schemas.openxmlformats.org/drawingml/2006/main">
          <a:off x="1146175" y="711200"/>
          <a:ext cx="1343025" cy="1333500"/>
        </a:xfrm>
        <a:prstGeom xmlns:a="http://schemas.openxmlformats.org/drawingml/2006/main" prst="flowChartConnector">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xmlns:a="http://schemas.openxmlformats.org/drawingml/2006/main">
        <a:bodyPr vertOverflow="clip" vert="horz" wrap="none" lIns="45720" tIns="45720" rIns="45720" bIns="45720" anchor="t" anchorCtr="0">
          <a:normAutofit/>
        </a:bodyPr>
        <a:p>
          <a:pPr algn="l"/>
          <a:r>
            <a:rPr lang="en-US" altLang="zh-CN" sz="1100"/>
            <a:t>0</a:t>
          </a:r>
          <a:endParaRPr lang="en-US" altLang="zh-CN" sz="1100"/>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2055"/>
  </customShpExts>
</s:customData>
</file>

<file path=customXml/item2.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B4467A-302E-419E-A7DA-3DEF90C15BAB}">
  <ds:schemaRefs/>
</ds:datastoreItem>
</file>

<file path=docProps/app.xml><?xml version="1.0" encoding="utf-8"?>
<Properties xmlns="http://schemas.openxmlformats.org/officeDocument/2006/extended-properties" xmlns:vt="http://schemas.openxmlformats.org/officeDocument/2006/docPropsVTypes">
  <Template>Normal</Template>
  <Pages>14</Pages>
  <Words>3621</Words>
  <Characters>3965</Characters>
  <Lines>39</Lines>
  <Paragraphs>11</Paragraphs>
  <TotalTime>0</TotalTime>
  <ScaleCrop>false</ScaleCrop>
  <LinksUpToDate>false</LinksUpToDate>
  <CharactersWithSpaces>4088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2022-04-20T13:58:00Z</dcterms:created>
  <dc:creator>Tomb</dc:creator>
  <cp:lastModifiedBy>Tomb</cp:lastModifiedBy>
  <cp:lastPrinted>2022-04-23T07:49:00Z</cp:lastPrinted>
  <dcterms:modified xsi:type="dcterms:W3CDTF">2022-05-18T02:10:26Z</dcterms:modified>
  <dc:title>自贡市自流井区文化馆2021年单位预算编制说明</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7C69D6FF709E4EB39AE21CD64738D325</vt:lpwstr>
  </property>
  <property fmtid="{D5CDD505-2E9C-101B-9397-08002B2CF9AE}" pid="4" name="commondata">
    <vt:lpwstr>eyJoZGlkIjoiMjI2NWMzYmFjMjBjMzVmODBhOTgzZWViZDk3YmM4NjAifQ==</vt:lpwstr>
  </property>
</Properties>
</file>