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spacing w:before="0" w:beforeAutospacing="0" w:after="0" w:afterAutospacing="0" w:line="592" w:lineRule="exact"/>
        <w:jc w:val="both"/>
        <w:textAlignment w:val="baseline"/>
        <w:rPr>
          <w:rStyle w:val="11"/>
          <w:rFonts w:ascii="宋体" w:hAnsi="宋体"/>
          <w:b/>
          <w:i w:val="0"/>
          <w:caps w:val="0"/>
          <w:spacing w:val="0"/>
          <w:w w:val="100"/>
          <w:kern w:val="2"/>
          <w:sz w:val="44"/>
          <w:szCs w:val="44"/>
          <w:lang w:val="en-US" w:eastAsia="zh-CN" w:bidi="ar-SA"/>
        </w:rPr>
      </w:pPr>
      <w:bookmarkStart w:id="0" w:name="_GoBack"/>
      <w:bookmarkEnd w:id="0"/>
      <w:r>
        <w:rPr>
          <w:rStyle w:val="11"/>
          <w:rFonts w:ascii="宋体" w:hAnsi="宋体"/>
          <w:b/>
          <w:i w:val="0"/>
          <w:caps w:val="0"/>
          <w:spacing w:val="0"/>
          <w:w w:val="100"/>
          <w:kern w:val="2"/>
          <w:sz w:val="44"/>
          <w:szCs w:val="44"/>
          <w:lang w:val="en-US" w:eastAsia="zh-CN" w:bidi="ar-SA"/>
        </w:rPr>
        <w:t>自贡市自流井区科技和经济信息化局</w:t>
      </w:r>
      <w:r>
        <w:rPr>
          <w:rStyle w:val="11"/>
          <w:rFonts w:hint="eastAsia" w:ascii="宋体" w:hAnsi="宋体"/>
          <w:b/>
          <w:i w:val="0"/>
          <w:caps w:val="0"/>
          <w:spacing w:val="0"/>
          <w:w w:val="100"/>
          <w:kern w:val="2"/>
          <w:sz w:val="44"/>
          <w:szCs w:val="44"/>
          <w:lang w:val="en-US" w:eastAsia="zh-CN" w:bidi="ar-SA"/>
        </w:rPr>
        <w:t>（单位）</w:t>
      </w:r>
    </w:p>
    <w:p>
      <w:pPr>
        <w:snapToGrid/>
        <w:spacing w:before="0" w:beforeAutospacing="0" w:after="0" w:afterAutospacing="0" w:line="592" w:lineRule="exact"/>
        <w:ind w:firstLine="1767" w:firstLineChars="400"/>
        <w:jc w:val="both"/>
        <w:textAlignment w:val="baseline"/>
        <w:rPr>
          <w:rStyle w:val="11"/>
          <w:rFonts w:ascii="宋体" w:hAnsi="宋体"/>
          <w:b/>
          <w:i w:val="0"/>
          <w:caps w:val="0"/>
          <w:spacing w:val="0"/>
          <w:w w:val="100"/>
          <w:kern w:val="2"/>
          <w:sz w:val="44"/>
          <w:szCs w:val="44"/>
          <w:lang w:val="en-US" w:eastAsia="zh-CN" w:bidi="ar-SA"/>
        </w:rPr>
      </w:pPr>
      <w:r>
        <w:rPr>
          <w:rStyle w:val="11"/>
          <w:rFonts w:ascii="宋体" w:hAnsi="宋体"/>
          <w:b/>
          <w:i w:val="0"/>
          <w:caps w:val="0"/>
          <w:spacing w:val="0"/>
          <w:w w:val="100"/>
          <w:kern w:val="2"/>
          <w:sz w:val="44"/>
          <w:szCs w:val="44"/>
          <w:lang w:val="en-US" w:eastAsia="zh-CN" w:bidi="ar-SA"/>
        </w:rPr>
        <w:t>2022年预算编制的说明</w:t>
      </w:r>
    </w:p>
    <w:p>
      <w:pPr>
        <w:widowControl/>
        <w:snapToGrid/>
        <w:spacing w:before="0" w:beforeAutospacing="0" w:after="0" w:afterAutospacing="0" w:line="592" w:lineRule="exact"/>
        <w:ind w:firstLine="960" w:firstLineChars="200"/>
        <w:jc w:val="center"/>
        <w:textAlignment w:val="baseline"/>
        <w:rPr>
          <w:rStyle w:val="11"/>
          <w:rFonts w:ascii="黑体" w:hAnsi="黑体" w:eastAsia="黑体"/>
          <w:b w:val="0"/>
          <w:i w:val="0"/>
          <w:caps w:val="0"/>
          <w:color w:val="000000"/>
          <w:spacing w:val="0"/>
          <w:w w:val="100"/>
          <w:kern w:val="2"/>
          <w:sz w:val="48"/>
          <w:szCs w:val="48"/>
          <w:lang w:val="en-US" w:eastAsia="zh-CN" w:bidi="ar-SA"/>
        </w:rPr>
      </w:pPr>
    </w:p>
    <w:p>
      <w:pPr>
        <w:widowControl/>
        <w:snapToGrid/>
        <w:spacing w:before="0" w:beforeAutospacing="0" w:after="0" w:afterAutospacing="0" w:line="592" w:lineRule="exact"/>
        <w:ind w:firstLine="3840" w:firstLineChars="800"/>
        <w:jc w:val="both"/>
        <w:textAlignment w:val="baseline"/>
        <w:rPr>
          <w:rStyle w:val="11"/>
          <w:rFonts w:ascii="黑体" w:hAnsi="黑体" w:eastAsia="黑体"/>
          <w:b w:val="0"/>
          <w:i w:val="0"/>
          <w:caps w:val="0"/>
          <w:color w:val="000000"/>
          <w:spacing w:val="0"/>
          <w:w w:val="100"/>
          <w:kern w:val="2"/>
          <w:sz w:val="48"/>
          <w:szCs w:val="48"/>
          <w:lang w:val="en-US" w:eastAsia="zh-CN" w:bidi="ar-SA"/>
        </w:rPr>
      </w:pPr>
      <w:r>
        <w:rPr>
          <w:rStyle w:val="11"/>
          <w:rFonts w:ascii="黑体" w:hAnsi="黑体" w:eastAsia="黑体"/>
          <w:b w:val="0"/>
          <w:i w:val="0"/>
          <w:caps w:val="0"/>
          <w:color w:val="000000"/>
          <w:spacing w:val="0"/>
          <w:w w:val="100"/>
          <w:kern w:val="2"/>
          <w:sz w:val="48"/>
          <w:szCs w:val="48"/>
          <w:lang w:val="en-US" w:eastAsia="zh-CN" w:bidi="ar-SA"/>
        </w:rPr>
        <w:t>目录</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一、基本职能及主要工作</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3</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ind w:left="0" w:leftChars="0" w:firstLine="0" w:firstLineChars="0"/>
        <w:jc w:val="left"/>
        <w:textAlignment w:val="baseline"/>
        <w:rPr>
          <w:rStyle w:val="8"/>
          <w:rFonts w:ascii="仿宋_GB2312"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（一）自贡市自流井区科技和经济信息化局</w:t>
      </w:r>
      <w:r>
        <w:rPr>
          <w:rStyle w:val="8"/>
          <w:rFonts w:hint="eastAsia" w:ascii="仿宋_GB2312" w:eastAsia="仿宋_GB2312"/>
          <w:b w:val="0"/>
          <w:bCs w:val="0"/>
          <w:i w:val="0"/>
          <w:caps w:val="0"/>
          <w:color w:val="auto"/>
          <w:spacing w:val="0"/>
          <w:w w:val="100"/>
          <w:kern w:val="2"/>
          <w:sz w:val="28"/>
          <w:szCs w:val="28"/>
          <w:u w:val="none" w:color="auto"/>
          <w:lang w:bidi="ar-SA"/>
        </w:rPr>
        <w:t>（</w:t>
      </w:r>
      <w:r>
        <w:rPr>
          <w:rStyle w:val="8"/>
          <w:rFonts w:hint="eastAsia" w:ascii="仿宋_GB2312" w:eastAsia="仿宋_GB2312"/>
          <w:b w:val="0"/>
          <w:bCs w:val="0"/>
          <w:i w:val="0"/>
          <w:caps w:val="0"/>
          <w:color w:val="auto"/>
          <w:spacing w:val="0"/>
          <w:w w:val="100"/>
          <w:kern w:val="2"/>
          <w:sz w:val="28"/>
          <w:szCs w:val="28"/>
          <w:u w:val="none" w:color="auto"/>
          <w:lang w:eastAsia="zh-CN" w:bidi="ar-SA"/>
        </w:rPr>
        <w:t>单位</w:t>
      </w:r>
      <w:r>
        <w:rPr>
          <w:rStyle w:val="8"/>
          <w:rFonts w:hint="eastAsia" w:ascii="仿宋_GB2312" w:eastAsia="仿宋_GB2312"/>
          <w:b w:val="0"/>
          <w:bCs w:val="0"/>
          <w:i w:val="0"/>
          <w:caps w:val="0"/>
          <w:color w:val="auto"/>
          <w:spacing w:val="0"/>
          <w:w w:val="100"/>
          <w:kern w:val="2"/>
          <w:sz w:val="28"/>
          <w:szCs w:val="28"/>
          <w:u w:val="none" w:color="auto"/>
          <w:lang w:bidi="ar-SA"/>
        </w:rPr>
        <w:t>）</w:t>
      </w:r>
      <w:r>
        <w:rPr>
          <w:rStyle w:val="8"/>
          <w:rFonts w:ascii="仿宋_GB2312" w:eastAsia="仿宋_GB2312"/>
          <w:b w:val="0"/>
          <w:bCs w:val="0"/>
          <w:i w:val="0"/>
          <w:caps w:val="0"/>
          <w:color w:val="auto"/>
          <w:spacing w:val="0"/>
          <w:w w:val="100"/>
          <w:kern w:val="2"/>
          <w:sz w:val="28"/>
          <w:szCs w:val="28"/>
          <w:u w:val="none" w:color="auto"/>
          <w:lang w:bidi="ar-SA"/>
        </w:rPr>
        <w:t>职能简介</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16"/>
        <w:numPr>
          <w:ilvl w:val="0"/>
          <w:numId w:val="0"/>
        </w:numPr>
        <w:snapToGrid w:val="0"/>
        <w:spacing w:before="93" w:beforeAutospacing="0" w:after="0" w:afterAutospacing="0" w:line="592" w:lineRule="exact"/>
        <w:jc w:val="both"/>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11"/>
          <w:rFonts w:hint="eastAsia" w:cs="Times New Roman"/>
          <w:b w:val="0"/>
          <w:bCs w:val="0"/>
          <w:i w:val="0"/>
          <w:caps w:val="0"/>
          <w:color w:val="auto"/>
          <w:spacing w:val="-11"/>
          <w:w w:val="100"/>
          <w:kern w:val="2"/>
          <w:sz w:val="28"/>
          <w:szCs w:val="28"/>
          <w:u w:val="none" w:color="auto"/>
          <w:lang w:val="en-US" w:eastAsia="zh-CN" w:bidi="ar-SA"/>
        </w:rPr>
        <w:t>（二）</w:t>
      </w:r>
      <w:r>
        <w:rPr>
          <w:rStyle w:val="11"/>
          <w:rFonts w:ascii="仿宋_GB2312" w:eastAsia="仿宋_GB2312" w:cs="Times New Roman"/>
          <w:b w:val="0"/>
          <w:bCs w:val="0"/>
          <w:i w:val="0"/>
          <w:caps w:val="0"/>
          <w:color w:val="auto"/>
          <w:spacing w:val="-11"/>
          <w:w w:val="100"/>
          <w:kern w:val="2"/>
          <w:sz w:val="28"/>
          <w:szCs w:val="28"/>
          <w:u w:val="none" w:color="auto"/>
          <w:lang w:val="en-US" w:eastAsia="zh-CN" w:bidi="ar-SA"/>
        </w:rPr>
        <w:t>自贡市自流井区科技和经济信息化局</w:t>
      </w:r>
      <w:r>
        <w:rPr>
          <w:rStyle w:val="8"/>
          <w:rFonts w:hint="eastAsia" w:ascii="仿宋_GB2312" w:eastAsia="仿宋_GB2312"/>
          <w:b w:val="0"/>
          <w:bCs w:val="0"/>
          <w:i w:val="0"/>
          <w:caps w:val="0"/>
          <w:color w:val="auto"/>
          <w:spacing w:val="-11"/>
          <w:w w:val="100"/>
          <w:kern w:val="2"/>
          <w:sz w:val="28"/>
          <w:szCs w:val="28"/>
          <w:u w:val="none" w:color="auto"/>
          <w:lang w:bidi="ar-SA"/>
        </w:rPr>
        <w:t>（</w:t>
      </w:r>
      <w:r>
        <w:rPr>
          <w:rStyle w:val="8"/>
          <w:rFonts w:hint="eastAsia"/>
          <w:b w:val="0"/>
          <w:bCs w:val="0"/>
          <w:i w:val="0"/>
          <w:caps w:val="0"/>
          <w:color w:val="auto"/>
          <w:spacing w:val="-11"/>
          <w:w w:val="100"/>
          <w:kern w:val="2"/>
          <w:sz w:val="28"/>
          <w:szCs w:val="28"/>
          <w:u w:val="none" w:color="auto"/>
          <w:lang w:eastAsia="zh-CN" w:bidi="ar-SA"/>
        </w:rPr>
        <w:t>单位</w:t>
      </w:r>
      <w:r>
        <w:rPr>
          <w:rStyle w:val="8"/>
          <w:rFonts w:hint="eastAsia" w:ascii="仿宋_GB2312" w:eastAsia="仿宋_GB2312"/>
          <w:b w:val="0"/>
          <w:bCs w:val="0"/>
          <w:i w:val="0"/>
          <w:caps w:val="0"/>
          <w:color w:val="auto"/>
          <w:spacing w:val="-11"/>
          <w:w w:val="100"/>
          <w:kern w:val="2"/>
          <w:sz w:val="28"/>
          <w:szCs w:val="28"/>
          <w:u w:val="none" w:color="auto"/>
          <w:lang w:bidi="ar-SA"/>
        </w:rPr>
        <w:t>）</w:t>
      </w:r>
      <w:r>
        <w:rPr>
          <w:rStyle w:val="11"/>
          <w:rFonts w:ascii="仿宋_GB2312" w:eastAsia="仿宋_GB2312" w:cs="Times New Roman"/>
          <w:b w:val="0"/>
          <w:bCs w:val="0"/>
          <w:i w:val="0"/>
          <w:caps w:val="0"/>
          <w:color w:val="auto"/>
          <w:spacing w:val="-11"/>
          <w:w w:val="100"/>
          <w:kern w:val="2"/>
          <w:sz w:val="28"/>
          <w:szCs w:val="28"/>
          <w:u w:val="none" w:color="auto"/>
          <w:lang w:val="en-US" w:eastAsia="zh-CN" w:bidi="ar-SA"/>
        </w:rPr>
        <w:t>2022年重点</w:t>
      </w:r>
      <w:r>
        <w:rPr>
          <w:rStyle w:val="11"/>
          <w:rFonts w:hint="eastAsia" w:cs="Times New Roman"/>
          <w:b w:val="0"/>
          <w:bCs w:val="0"/>
          <w:i w:val="0"/>
          <w:caps w:val="0"/>
          <w:color w:val="auto"/>
          <w:spacing w:val="-11"/>
          <w:w w:val="100"/>
          <w:kern w:val="2"/>
          <w:sz w:val="28"/>
          <w:szCs w:val="28"/>
          <w:u w:val="none" w:color="auto"/>
          <w:lang w:val="en-US" w:eastAsia="zh-CN" w:bidi="ar-SA"/>
        </w:rPr>
        <w:t>工作</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二、部门概况</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12</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三、收支预算情况说明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12</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（一）收入预算情况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（二）支出预算情况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四、财政拨款收支预算情况说明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14</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五、一般公共预算当年拨款情况说明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15</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（一）一般公共预算当年拨款规模变化情况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15</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（二）一般公共预算当年拨款结构情况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15</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（三）一般公共预算当年拨款具体使用情况：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16</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六、一般公共预算基本支出情况说明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17</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ind w:firstLine="560" w:firstLineChars="200"/>
        <w:jc w:val="left"/>
        <w:textAlignment w:val="baseline"/>
        <w:rPr>
          <w:rStyle w:val="8"/>
          <w:rFonts w:ascii="仿宋_GB2312" w:eastAsia="仿宋_GB2312"/>
          <w:b w:val="0"/>
          <w:bCs w:val="0"/>
          <w:i w:val="0"/>
          <w:iCs w:val="0"/>
          <w:caps w:val="0"/>
          <w:color w:val="auto"/>
          <w:spacing w:val="0"/>
          <w:w w:val="100"/>
          <w:kern w:val="2"/>
          <w:sz w:val="28"/>
          <w:szCs w:val="28"/>
          <w:u w:val="none" w:color="auto"/>
          <w:lang w:bidi="ar-SA"/>
        </w:rPr>
        <w:sectPr>
          <w:footerReference r:id="rId3" w:type="default"/>
          <w:footerReference r:id="rId4" w:type="even"/>
          <w:pgSz w:w="11906" w:h="16838"/>
          <w:pgMar w:top="2098" w:right="1474" w:bottom="1984" w:left="1587" w:header="851" w:footer="992" w:gutter="0"/>
          <w:lnNumType w:countBy="0"/>
          <w:pgNumType w:fmt="decimal" w:start="1"/>
          <w:cols w:space="425" w:num="1"/>
          <w:vAlign w:val="top"/>
          <w:docGrid w:type="lines" w:linePitch="312" w:charSpace="0"/>
        </w:sectPr>
      </w:pP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七、“三公”经费财政拨款预算安排情况</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18</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八、政府性基金预算支出情况说明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九、国有资本经营预算支出情况说明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十、其他重要事项的情况说明</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19</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（一）机关运行经费情况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19</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（二）政府采购情况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19</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（三）国有资产占有使用情况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20</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8"/>
          <w:rFonts w:ascii="仿宋_GB2312" w:eastAsia="仿宋_GB2312"/>
          <w:b w:val="0"/>
          <w:bCs w:val="0"/>
          <w:i w:val="0"/>
          <w:caps w:val="0"/>
          <w:color w:val="auto"/>
          <w:spacing w:val="0"/>
          <w:w w:val="100"/>
          <w:kern w:val="2"/>
          <w:sz w:val="28"/>
          <w:szCs w:val="28"/>
          <w:u w:val="none" w:color="auto"/>
          <w:lang w:bidi="ar-SA"/>
        </w:rPr>
        <w:t>（四）绩效目标设置情况</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20</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pStyle w:val="20"/>
        <w:widowControl/>
        <w:tabs>
          <w:tab w:val="right" w:leader="dot" w:pos="8296"/>
        </w:tabs>
        <w:snapToGrid/>
        <w:spacing w:before="120" w:beforeAutospacing="0" w:after="0" w:afterAutospacing="0" w:line="592" w:lineRule="exact"/>
        <w:jc w:val="left"/>
        <w:textAlignment w:val="baseline"/>
        <w:rPr>
          <w:rStyle w:val="11"/>
          <w:rFonts w:ascii="仿宋_GB2312" w:eastAsia="仿宋_GB2312"/>
          <w:b w:val="0"/>
          <w:bCs w:val="0"/>
          <w:i w:val="0"/>
          <w:iCs w:val="0"/>
          <w:caps w:val="0"/>
          <w:color w:val="auto"/>
          <w:spacing w:val="0"/>
          <w:w w:val="100"/>
          <w:kern w:val="2"/>
          <w:sz w:val="28"/>
          <w:szCs w:val="28"/>
          <w:u w:val="none" w:color="auto"/>
          <w:lang w:bidi="ar-SA"/>
        </w:rPr>
      </w:pPr>
      <w:r>
        <w:rPr>
          <w:rStyle w:val="8"/>
          <w:rFonts w:ascii="仿宋_GB2312" w:eastAsia="仿宋_GB2312"/>
          <w:b w:val="0"/>
          <w:bCs w:val="0"/>
          <w:i w:val="0"/>
          <w:iCs w:val="0"/>
          <w:caps w:val="0"/>
          <w:color w:val="auto"/>
          <w:spacing w:val="0"/>
          <w:w w:val="100"/>
          <w:kern w:val="2"/>
          <w:sz w:val="28"/>
          <w:szCs w:val="28"/>
          <w:u w:val="none" w:color="auto"/>
          <w:lang w:bidi="ar-SA"/>
        </w:rPr>
        <w:t>十一、名词解释</w:t>
      </w:r>
      <w:r>
        <w:rPr>
          <w:rStyle w:val="11"/>
          <w:rFonts w:ascii="仿宋_GB2312" w:eastAsia="仿宋_GB2312"/>
          <w:b w:val="0"/>
          <w:bCs w:val="0"/>
          <w:i w:val="0"/>
          <w:iCs w:val="0"/>
          <w:caps w:val="0"/>
          <w:color w:val="auto"/>
          <w:spacing w:val="0"/>
          <w:w w:val="100"/>
          <w:kern w:val="2"/>
          <w:sz w:val="28"/>
          <w:szCs w:val="28"/>
          <w:u w:val="none" w:color="auto"/>
          <w:lang w:bidi="ar-SA"/>
        </w:rPr>
        <w:tab/>
      </w:r>
      <w:r>
        <w:rPr>
          <w:rStyle w:val="11"/>
          <w:rFonts w:ascii="仿宋_GB2312" w:eastAsia="仿宋_GB2312"/>
          <w:b w:val="0"/>
          <w:bCs w:val="0"/>
          <w:i w:val="0"/>
          <w:iCs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iCs w:val="0"/>
          <w:caps w:val="0"/>
          <w:color w:val="auto"/>
          <w:spacing w:val="0"/>
          <w:w w:val="100"/>
          <w:kern w:val="2"/>
          <w:sz w:val="28"/>
          <w:szCs w:val="28"/>
          <w:u w:val="none" w:color="auto"/>
          <w:lang w:val="en-US" w:eastAsia="zh-CN" w:bidi="ar-SA"/>
        </w:rPr>
        <w:t>20</w:t>
      </w:r>
      <w:r>
        <w:rPr>
          <w:rStyle w:val="11"/>
          <w:rFonts w:ascii="仿宋_GB2312" w:eastAsia="仿宋_GB2312"/>
          <w:b w:val="0"/>
          <w:bCs w:val="0"/>
          <w:i w:val="0"/>
          <w:iCs w:val="0"/>
          <w:caps w:val="0"/>
          <w:color w:val="auto"/>
          <w:spacing w:val="0"/>
          <w:w w:val="100"/>
          <w:kern w:val="2"/>
          <w:sz w:val="28"/>
          <w:szCs w:val="28"/>
          <w:u w:val="none" w:color="auto"/>
          <w:lang w:bidi="ar-SA"/>
        </w:rPr>
        <w:t xml:space="preserve"> -</w:t>
      </w:r>
    </w:p>
    <w:p>
      <w:pPr>
        <w:pStyle w:val="21"/>
        <w:widowControl/>
        <w:tabs>
          <w:tab w:val="right" w:leader="dot" w:pos="8296"/>
        </w:tabs>
        <w:snapToGrid/>
        <w:spacing w:before="120" w:beforeAutospacing="0" w:after="0" w:afterAutospacing="0" w:line="592" w:lineRule="exact"/>
        <w:jc w:val="left"/>
        <w:textAlignment w:val="baseline"/>
        <w:rPr>
          <w:rStyle w:val="11"/>
          <w:rFonts w:ascii="仿宋_GB2312" w:hAnsi="Calibri" w:eastAsia="仿宋_GB2312"/>
          <w:b w:val="0"/>
          <w:bCs w:val="0"/>
          <w:i w:val="0"/>
          <w:caps w:val="0"/>
          <w:color w:val="auto"/>
          <w:spacing w:val="0"/>
          <w:w w:val="100"/>
          <w:kern w:val="2"/>
          <w:sz w:val="28"/>
          <w:szCs w:val="28"/>
          <w:u w:val="none" w:color="auto"/>
          <w:lang w:bidi="ar-SA"/>
        </w:rPr>
      </w:pPr>
      <w:r>
        <w:rPr>
          <w:rStyle w:val="11"/>
          <w:rFonts w:hint="eastAsia" w:ascii="仿宋_GB2312" w:eastAsia="仿宋_GB2312"/>
          <w:b w:val="0"/>
          <w:bCs w:val="0"/>
          <w:i w:val="0"/>
          <w:caps w:val="0"/>
          <w:color w:val="auto"/>
          <w:spacing w:val="0"/>
          <w:w w:val="100"/>
          <w:kern w:val="2"/>
          <w:sz w:val="28"/>
          <w:szCs w:val="28"/>
          <w:u w:val="none" w:color="auto"/>
          <w:lang w:eastAsia="zh-CN" w:bidi="ar-SA"/>
        </w:rPr>
        <w:t>附件</w:t>
      </w:r>
      <w:r>
        <w:rPr>
          <w:rStyle w:val="11"/>
          <w:rFonts w:ascii="仿宋_GB2312" w:eastAsia="仿宋_GB2312"/>
          <w:b w:val="0"/>
          <w:bCs w:val="0"/>
          <w:i w:val="0"/>
          <w:caps w:val="0"/>
          <w:color w:val="auto"/>
          <w:spacing w:val="0"/>
          <w:w w:val="100"/>
          <w:kern w:val="2"/>
          <w:sz w:val="28"/>
          <w:szCs w:val="28"/>
          <w:u w:val="none" w:color="auto"/>
          <w:lang w:bidi="ar-SA"/>
        </w:rPr>
        <w:tab/>
      </w:r>
      <w:r>
        <w:rPr>
          <w:rStyle w:val="11"/>
          <w:rFonts w:ascii="仿宋_GB2312" w:eastAsia="仿宋_GB2312"/>
          <w:b w:val="0"/>
          <w:bCs w:val="0"/>
          <w:i w:val="0"/>
          <w:caps w:val="0"/>
          <w:color w:val="auto"/>
          <w:spacing w:val="0"/>
          <w:w w:val="100"/>
          <w:kern w:val="2"/>
          <w:sz w:val="28"/>
          <w:szCs w:val="28"/>
          <w:u w:val="none" w:color="auto"/>
          <w:lang w:bidi="ar-SA"/>
        </w:rPr>
        <w:t xml:space="preserve">- </w:t>
      </w:r>
      <w:r>
        <w:rPr>
          <w:rStyle w:val="11"/>
          <w:rFonts w:hint="eastAsia" w:ascii="仿宋_GB2312" w:eastAsia="仿宋_GB2312"/>
          <w:b w:val="0"/>
          <w:bCs w:val="0"/>
          <w:i w:val="0"/>
          <w:caps w:val="0"/>
          <w:color w:val="auto"/>
          <w:spacing w:val="0"/>
          <w:w w:val="100"/>
          <w:kern w:val="2"/>
          <w:sz w:val="28"/>
          <w:szCs w:val="28"/>
          <w:u w:val="none" w:color="auto"/>
          <w:lang w:val="en-US" w:eastAsia="zh-CN" w:bidi="ar-SA"/>
        </w:rPr>
        <w:t>23</w:t>
      </w:r>
      <w:r>
        <w:rPr>
          <w:rStyle w:val="11"/>
          <w:rFonts w:ascii="仿宋_GB2312" w:eastAsia="仿宋_GB2312"/>
          <w:b w:val="0"/>
          <w:bCs w:val="0"/>
          <w:i w:val="0"/>
          <w:caps w:val="0"/>
          <w:color w:val="auto"/>
          <w:spacing w:val="0"/>
          <w:w w:val="100"/>
          <w:kern w:val="2"/>
          <w:sz w:val="28"/>
          <w:szCs w:val="28"/>
          <w:u w:val="none" w:color="auto"/>
          <w:lang w:bidi="ar-SA"/>
        </w:rPr>
        <w:t xml:space="preserve"> -</w:t>
      </w:r>
    </w:p>
    <w:p>
      <w:pPr>
        <w:snapToGrid/>
        <w:spacing w:before="0" w:beforeAutospacing="0" w:after="0" w:afterAutospacing="0" w:line="592" w:lineRule="exact"/>
        <w:ind w:firstLine="600" w:firstLineChars="200"/>
        <w:jc w:val="both"/>
        <w:textAlignment w:val="baseline"/>
        <w:rPr>
          <w:rStyle w:val="11"/>
          <w:rFonts w:ascii="Times New Roman" w:hAnsi="Times New Roman" w:eastAsia="宋体"/>
          <w:b w:val="0"/>
          <w:i w:val="0"/>
          <w:caps w:val="0"/>
          <w:spacing w:val="0"/>
          <w:w w:val="100"/>
          <w:kern w:val="2"/>
          <w:sz w:val="30"/>
          <w:szCs w:val="30"/>
          <w:lang w:val="en-US" w:eastAsia="zh-CN" w:bidi="ar-SA"/>
        </w:rPr>
      </w:pPr>
    </w:p>
    <w:p>
      <w:pPr>
        <w:snapToGrid/>
        <w:spacing w:before="0" w:beforeAutospacing="0" w:after="0" w:afterAutospacing="0" w:line="592" w:lineRule="exact"/>
        <w:ind w:firstLine="600" w:firstLineChars="200"/>
        <w:jc w:val="center"/>
        <w:textAlignment w:val="baseline"/>
        <w:rPr>
          <w:rStyle w:val="11"/>
          <w:rFonts w:ascii="黑体" w:eastAsia="黑体"/>
          <w:b w:val="0"/>
          <w:i w:val="0"/>
          <w:caps w:val="0"/>
          <w:spacing w:val="0"/>
          <w:w w:val="100"/>
          <w:kern w:val="2"/>
          <w:sz w:val="30"/>
          <w:szCs w:val="30"/>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pStyle w:val="2"/>
        <w:rPr>
          <w:rStyle w:val="11"/>
          <w:rFonts w:ascii="黑体" w:eastAsia="黑体"/>
          <w:b w:val="0"/>
          <w:i w:val="0"/>
          <w:caps w:val="0"/>
          <w:spacing w:val="0"/>
          <w:w w:val="100"/>
          <w:kern w:val="2"/>
          <w:sz w:val="32"/>
          <w:szCs w:val="32"/>
          <w:lang w:val="en-US" w:eastAsia="zh-CN" w:bidi="ar-SA"/>
        </w:rPr>
      </w:pPr>
    </w:p>
    <w:p>
      <w:pPr>
        <w:rPr>
          <w:lang w:val="en-US" w:eastAsia="zh-CN"/>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center"/>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黑体" w:eastAsia="黑体"/>
          <w:b w:val="0"/>
          <w:i w:val="0"/>
          <w:caps w:val="0"/>
          <w:spacing w:val="0"/>
          <w:w w:val="100"/>
          <w:kern w:val="2"/>
          <w:sz w:val="32"/>
          <w:szCs w:val="32"/>
          <w:lang w:val="en-US" w:eastAsia="zh-CN" w:bidi="ar-SA"/>
        </w:rPr>
      </w:pPr>
    </w:p>
    <w:p>
      <w:pPr>
        <w:snapToGrid/>
        <w:spacing w:before="0" w:beforeAutospacing="0" w:after="0" w:afterAutospacing="0" w:line="592" w:lineRule="exact"/>
        <w:ind w:firstLine="640" w:firstLineChars="200"/>
        <w:jc w:val="both"/>
        <w:textAlignment w:val="baseline"/>
        <w:rPr>
          <w:rStyle w:val="11"/>
          <w:rFonts w:ascii="黑体" w:eastAsia="黑体"/>
          <w:b w:val="0"/>
          <w:i w:val="0"/>
          <w:caps w:val="0"/>
          <w:color w:val="000000"/>
          <w:spacing w:val="0"/>
          <w:w w:val="100"/>
          <w:kern w:val="2"/>
          <w:sz w:val="32"/>
          <w:szCs w:val="32"/>
          <w:lang w:val="en-US" w:eastAsia="zh-CN" w:bidi="ar-SA"/>
        </w:rPr>
      </w:pPr>
      <w:r>
        <w:rPr>
          <w:rStyle w:val="11"/>
          <w:rFonts w:ascii="黑体" w:eastAsia="黑体"/>
          <w:b w:val="0"/>
          <w:i w:val="0"/>
          <w:caps w:val="0"/>
          <w:color w:val="000000"/>
          <w:spacing w:val="0"/>
          <w:w w:val="100"/>
          <w:kern w:val="2"/>
          <w:sz w:val="32"/>
          <w:szCs w:val="32"/>
          <w:lang w:val="en-US" w:eastAsia="zh-CN" w:bidi="ar-SA"/>
        </w:rPr>
        <w:t>一、基本职能及主要工作</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（一）自贡市自流井区科技和经济信息化局</w:t>
      </w:r>
      <w:r>
        <w:rPr>
          <w:rStyle w:val="11"/>
          <w:rFonts w:hint="eastAsia" w:ascii="仿宋_GB2312" w:hAnsi="仿宋_GB2312" w:eastAsia="仿宋_GB2312" w:cs="仿宋_GB2312"/>
          <w:b/>
          <w:bCs/>
          <w:i w:val="0"/>
          <w:caps w:val="0"/>
          <w:color w:val="000000"/>
          <w:spacing w:val="0"/>
          <w:w w:val="100"/>
          <w:kern w:val="2"/>
          <w:sz w:val="32"/>
          <w:szCs w:val="32"/>
          <w:lang w:val="en-US" w:eastAsia="zh-CN" w:bidi="ar-SA"/>
        </w:rPr>
        <w:t>（单位）</w:t>
      </w:r>
      <w:r>
        <w:rPr>
          <w:rStyle w:val="11"/>
          <w:rFonts w:ascii="仿宋_GB2312" w:hAnsi="仿宋_GB2312" w:eastAsia="仿宋_GB2312" w:cs="仿宋_GB2312"/>
          <w:b/>
          <w:bCs/>
          <w:i w:val="0"/>
          <w:caps w:val="0"/>
          <w:color w:val="000000"/>
          <w:spacing w:val="0"/>
          <w:w w:val="100"/>
          <w:kern w:val="2"/>
          <w:sz w:val="32"/>
          <w:szCs w:val="32"/>
          <w:lang w:val="en-US" w:eastAsia="zh-CN" w:bidi="ar-SA"/>
        </w:rPr>
        <w:t>职能简介</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贯彻执行国家和省、市、区有关科学技术发展的方针政策、法律法规。拟订全区创新驱动发展战略以及科技发展、引进国（境）外人才、智力规划和政策并组织实施。起草全区有关科技发展的政策措施，并组织实施。</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统筹推进全区创新体系建设和科技体制改革，会同有关部门建立健全技术创新激励机制。优化科研体系建设，指导科研机构改革发展，推动企业科技创新能力建设。指导区域创新发展、科技资源合理布局和协同创新能力建设，推动科技园区、基地建设。</w:t>
      </w:r>
    </w:p>
    <w:p>
      <w:pPr>
        <w:pStyle w:val="17"/>
        <w:snapToGrid/>
        <w:spacing w:before="0" w:beforeAutospacing="0" w:after="0" w:afterAutospacing="0" w:line="592" w:lineRule="exact"/>
        <w:ind w:left="0" w:leftChars="0" w:firstLine="640" w:firstLineChars="200"/>
        <w:jc w:val="both"/>
        <w:textAlignment w:val="baseline"/>
        <w:rPr>
          <w:rStyle w:val="11"/>
          <w:rFonts w:ascii="仿宋_GB2312" w:hAnsi="仿宋_GB2312" w:eastAsia="仿宋_GB2312"/>
          <w:b w:val="0"/>
          <w:i w:val="0"/>
          <w:caps w:val="0"/>
          <w:color w:val="000000"/>
          <w:spacing w:val="0"/>
          <w:w w:val="100"/>
          <w:sz w:val="32"/>
          <w:szCs w:val="32"/>
        </w:rPr>
      </w:pPr>
      <w:r>
        <w:rPr>
          <w:rStyle w:val="11"/>
          <w:rFonts w:ascii="仿宋_GB2312" w:hAnsi="仿宋_GB2312" w:eastAsia="仿宋_GB2312"/>
          <w:b w:val="0"/>
          <w:i w:val="0"/>
          <w:caps w:val="0"/>
          <w:color w:val="000000"/>
          <w:spacing w:val="0"/>
          <w:w w:val="100"/>
          <w:sz w:val="32"/>
          <w:szCs w:val="32"/>
        </w:rPr>
        <w:t>3、组织拟订高新技术发展及产业化规划和政策措施。组织开展重点领域技术发展需求分析，提出重大任务并组织实施。负责全区技术创新平台建设，推动科研条件保障建设和科技资源开放共享；负责高新技术的开发、应用和推广及产业化发展，负责高新技术企业、技术创新产品的推荐认定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会同有关部门提出优化配置科技资源的政策措施建议，推动多元化科技投入体系建设，促进科技金融结合。组织拟订区级财政科技计划（专项、基金）并监督和实施。负责本部门预算中的科技经费预决算及经费使用的监督管理。</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5、编制全区重大科技专项方案并组织实施，统筹关键共性技术、前沿引领技术、现代工程技术、颠覆性技术研发和创新，牵头组织重大技术攻关和成果应用示范。牵头全区技术转移体系建设，拟订科技成果转移转化和促进产学研结合的相关政策措施并组织实施。指导科技服务业、技术市场和科技中介组织发展。</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6、负责引进国（境）外人才、智力工作。会同有关部门拟订全区科技人才队伍建设规划和提出相关政策建议。组织实施全区科技创新调查和科技报告制度，指导全区科技保密相关工作。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7、组织拟订科技促进农业农村和社会发展的规划和政策措施，开展农业农村、医疗卫生、生态环境、文化旅游等领域的综合科技工作。指导农业和社会发展相关领域平台、园区、基地规划和服务体系建设。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8、拟订科学普及和科学传播规划并提出政策措施，负责科学技术普及工作，指导协调科普活动和科技宣传工作，负责科技管理干部的教育培训工作，负责科技信息管理工作。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9、负责组织科技顾问团对全区重大项目和重大决策预案进行咨询论证，围绕全区经济、社会、文化、生态发展领域的重大问题开展调研并提出建议。</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10、贯彻实施国家、省、市有关工业经济、信息化的方针政策和法律法规。参与拟订国民经济和社会发展规划，拟订并组织实施工业（不含能源，下同）、信息化、年度计划和相关政策措施。负责本系统、本部门依法行政工作，落实行政执法责任制。</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11、负责工业经济运行情况监测、分析，建立工业经济运行预警机制，拟订经济运行目标、政策并组织实施，协调解决经济运行中的重大问题。负责电力、煤炭、成品油、天然气等重要物资综合调控、紧急调度和铁路货物运输协调工作。负责区级药品储备的监督管理。承办年度工业经济目标责任考核。</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12、负责对全区工业各行业实施行业管理，拟订电子信息、装备制造、食品饮料、新材料、化工医药、大数据等产业发展规划、年度计划、政策措施并组织实施。推进生产性服务业发展。</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13、负责全区工业投资和技术改造推进工作，拟订并实施全区工业投资和技术改造投资规划及年度计划。按规定权限审批、核准、备案技术改造投资项目。组织企业技术改造项目申报国家、省、市、区有关专项计划并组织实施。</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14、负责全区企业技术创新体系建设，制定鼓励企业技术创新的政策措施，指导企业技术创新、技术引进、重大装备国产化和重大技术装备研制，编制下达全区企业技术创新项目计划并组织实施，按照规定程序会同有关部门组织企业技术中心申报、认定和建设管理工作。指导企业质量管理，推进实施品牌战略。</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15、负责全区工业和信息化领域的节能降耗、清洁生产和资源节约与综合利用工作。负责工业节能监督管理和技改项目节能评估审查工作。组织实施相关重大示范项目和新产品、新技术、新工艺、新设备、新材料的推广应用。</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 xml:space="preserve">16、负责推进工业企业信用制度建设，指导工业企业多渠道融资，参与工业企业上市培育工作。负责拟订全区工业企业发展资金等财政专项资金使用计划。 </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17、负责企业治乱减负工作，指导企业建立现代企业制度。负责全区工业信息化领域人才工作，指导企业经营管理人员、专业技术人员培训。负责全区大企业大集团培育工作。负责中小企业发展的指导工作，推进中小企业服务体系建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18、统筹推进全区信息化工作，拟订并组织实施相关政策，指导电子政务、企业信息化、电子商务和物联网发展，推动跨行业、跨部门面向社会服务网络的互联互通和信息资源共享。负责全区信息基础设施建设的规划、协调和管理，组织相关部门制定通信管线规划并承担相应的管理工作，协调电信市场涉及社会公共利益的重大事项。</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19、协调全区信息安全保障体系建设，指导和监督政府部门、重点行业的重要信息系统与基础信息网络的安全保障工作。指导信息安全防范工作，参与处理影响网络与信息安全的重大事件。承担跨部门、跨地区和重要时期的信息安全应急协调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20、会同有关部门提出工业和信息化领域对外开放和利用外资的政策建议，参与“一带一路”国际合作和区域经济合作。指导工业和信息化企业开展对外交流与合作、国际化经营、境外投资及兼并重组。</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21、负责职责范围内的安全生产和职业健康、生态环境保护、审批服务便民化等工作。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22、完成区委、区政府交办的其他任务。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23、职能转变。围绕贯彻实施科教兴国战略、人才强国战略、创新驱动发展战略，加强、优化、转变政府科技管理和服务职能，完善科技创新制度和组织体系，加强宏观管理和统筹协调，减少微观管理和具体审批事项，加强事中事后监管和科研诚信建设。从研发管理向创新服务转变，优化科技资源配置，提高科技创新效能。进一步改进科技人才评价机制，建立健全以创新能力、质量、贡献、绩效为导向的科技人才评价体系和激励政策，统筹全区科技人才队伍建设和引进国（境）外人才、智力工作。推动工业经济质量变革、效率变革、动力变革，促进工业高质量发展。</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24、有关职责分工。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（1）与区发改局、区住房城乡建设局的有关职责分工。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负责煤炭、电力、成品油、天然气等行业运行、调控、调度等管理工作；区发改局重点负责全区能源行业的发展规划；区住房城乡建设局负责燃气行业管理，具体负责民用管道燃气管理工作。</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（2）与区交通运输局的有关职责分工。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负责铁路货物运输协调工作；区交通运输局负责公路、水路交通等其他运输协调工作。</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（3）与区农业农村局的有关职责分工。</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负责农产品加工业（精度加工）相关工作；区农业农村局负责农产品加工业（产地初加工）相关工作。区科技经信局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负责全区烟草工业发展相关工作；区农业农村局负责烟草种植等相关工作。区科技经信局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负责农业装备工业相关工作；区农业农村局负责农业机械化相关工作。</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（4）与区市场监管局的有关职责分工。</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负责全区盐业行业管理，承担食盐专营管理工作，组织编制盐业发展规划，制定、组织实施产业政策。区市场监管局负责全区食盐生产经营质量安全管理和监督执法。</w:t>
      </w:r>
    </w:p>
    <w:p>
      <w:pPr>
        <w:snapToGrid w:val="0"/>
        <w:spacing w:before="0" w:beforeAutospacing="0" w:after="0" w:afterAutospacing="0" w:line="592" w:lineRule="exact"/>
        <w:ind w:firstLine="640" w:firstLineChars="200"/>
        <w:jc w:val="both"/>
        <w:textAlignment w:val="baseline"/>
        <w:rPr>
          <w:rStyle w:val="11"/>
          <w:rFonts w:ascii="仿宋_GB2312" w:hAnsi="仿宋_GB2312" w:eastAsia="仿宋_GB2312" w:cs="仿宋_GB2312"/>
          <w:b w:val="0"/>
          <w:bCs/>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区科技经信局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负责医药行业管理。区市场监管局负责药品、医疗器械和化妆品安全监督管理。</w:t>
      </w:r>
    </w:p>
    <w:p>
      <w:pPr>
        <w:pStyle w:val="16"/>
        <w:numPr>
          <w:ilvl w:val="0"/>
          <w:numId w:val="1"/>
        </w:numPr>
        <w:snapToGrid w:val="0"/>
        <w:spacing w:before="93" w:beforeAutospacing="0" w:after="0" w:afterAutospacing="0" w:line="592" w:lineRule="exact"/>
        <w:ind w:firstLine="643" w:firstLineChars="200"/>
        <w:jc w:val="both"/>
        <w:textAlignment w:val="baseline"/>
        <w:rPr>
          <w:rStyle w:val="11"/>
          <w:rFonts w:ascii="仿宋_GB2312" w:eastAsia="仿宋_GB2312" w:cs="Times New Roman"/>
          <w:b/>
          <w:bCs/>
          <w:i w:val="0"/>
          <w:caps w:val="0"/>
          <w:color w:val="000000"/>
          <w:spacing w:val="0"/>
          <w:w w:val="100"/>
          <w:kern w:val="2"/>
          <w:sz w:val="32"/>
          <w:szCs w:val="32"/>
          <w:lang w:val="en-US" w:eastAsia="zh-CN" w:bidi="ar-SA"/>
        </w:rPr>
      </w:pPr>
      <w:r>
        <w:rPr>
          <w:rStyle w:val="11"/>
          <w:rFonts w:ascii="仿宋_GB2312" w:eastAsia="仿宋_GB2312" w:cs="Times New Roman"/>
          <w:b/>
          <w:bCs/>
          <w:i w:val="0"/>
          <w:caps w:val="0"/>
          <w:color w:val="000000"/>
          <w:spacing w:val="0"/>
          <w:w w:val="100"/>
          <w:kern w:val="2"/>
          <w:sz w:val="32"/>
          <w:szCs w:val="32"/>
          <w:lang w:val="en-US" w:eastAsia="zh-CN" w:bidi="ar-SA"/>
        </w:rPr>
        <w:t>自贡市自流井区科技和经济信息化局</w:t>
      </w:r>
      <w:r>
        <w:rPr>
          <w:rStyle w:val="11"/>
          <w:rFonts w:hint="eastAsia" w:cs="Times New Roman"/>
          <w:b/>
          <w:bCs/>
          <w:i w:val="0"/>
          <w:caps w:val="0"/>
          <w:color w:val="000000"/>
          <w:spacing w:val="0"/>
          <w:w w:val="100"/>
          <w:kern w:val="2"/>
          <w:sz w:val="32"/>
          <w:szCs w:val="32"/>
          <w:lang w:val="en-US" w:eastAsia="zh-CN" w:bidi="ar-SA"/>
        </w:rPr>
        <w:t>（单位）</w:t>
      </w:r>
      <w:r>
        <w:rPr>
          <w:rStyle w:val="11"/>
          <w:rFonts w:ascii="仿宋_GB2312" w:eastAsia="仿宋_GB2312" w:cs="Times New Roman"/>
          <w:b/>
          <w:bCs/>
          <w:i w:val="0"/>
          <w:caps w:val="0"/>
          <w:color w:val="000000"/>
          <w:spacing w:val="0"/>
          <w:w w:val="100"/>
          <w:kern w:val="2"/>
          <w:sz w:val="32"/>
          <w:szCs w:val="32"/>
          <w:lang w:val="en-US" w:eastAsia="zh-CN" w:bidi="ar-SA"/>
        </w:rPr>
        <w:t>2022年重点工作</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hint="eastAsia" w:ascii="仿宋_GB2312" w:hAnsi="仿宋_GB2312" w:eastAsia="仿宋_GB2312"/>
          <w:b w:val="0"/>
          <w:i w:val="0"/>
          <w:caps w:val="0"/>
          <w:color w:val="000000"/>
          <w:spacing w:val="0"/>
          <w:w w:val="100"/>
          <w:kern w:val="2"/>
          <w:sz w:val="32"/>
          <w:szCs w:val="32"/>
          <w:lang w:val="en-US" w:eastAsia="zh-CN" w:bidi="ar-SA"/>
        </w:rPr>
        <w:t>1、</w:t>
      </w:r>
      <w:r>
        <w:rPr>
          <w:rStyle w:val="11"/>
          <w:rFonts w:ascii="仿宋_GB2312" w:hAnsi="仿宋_GB2312" w:eastAsia="仿宋_GB2312"/>
          <w:b w:val="0"/>
          <w:i w:val="0"/>
          <w:caps w:val="0"/>
          <w:color w:val="000000"/>
          <w:spacing w:val="0"/>
          <w:w w:val="100"/>
          <w:kern w:val="2"/>
          <w:sz w:val="32"/>
          <w:szCs w:val="32"/>
          <w:lang w:val="en-US" w:eastAsia="zh-CN" w:bidi="ar-SA"/>
        </w:rPr>
        <w:t>紧盯目标做好协调服务任务不放松。2022年规模以上工业增加值增长12%，工业投资完成市下目标任务。一是依靠县级领导联系规上工业企业制度和项目专班制度，建立“一对一”帮扶机制，落实“一对一”帮扶人员，制定“一企一策”帮扶政策。主动上门服务，收集、研判企业难题，协调解决企业困难。二是以市上下达的目标任务为导向，进一步细化目标，层层分解目标任务，层层压紧压实责任，把目标任务分解到股室，责任落实到人。三是加强与市上的沟通协调，一方面争取考核细则对我区更加有利，另一方面争取目标任务更合理的下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培育新增产量不放松。一是加快培育规上工业企业和亿元以上工业企业，结合前期确定的培育孵化名单，建立一对一跟踪对接制度，力争完成全年培育任务。二是加快推进工业园区项目建设，协调解决好项目建设过程中的有关等问题，力促川南陆港成品油库项目、东锅氢能项目、燃气轮机等项目加快落地；双胞胎、恒派金属等项目加快建设进度；欧筑、石材城等项目尽快投产，争取尽早形成有效投资。三是抢抓主动融入成渝地区双城经济圈、内自同城布局有利契机，按照《自贡市工业园区重点产业空间布局总体规划》，继续加大项目包装和招商引资力度，整合梳理本辖区的区域发展规划和产业链发展规划，为后续项目发展提供可持续动力。</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3、加强与其他部门沟通对接力度，提高统计工作质量。一是加强企业服务与沟通，加强数据监测预警。全面加强对辖区工业企业，特别是重点工业企业的服务与沟通工作，跟踪调查企业经营状况，逐月分析企业网报情况。根据月中、月末数据做好数据分析，提前做好统计数据预警工作。二是全面清理统计在建项目，做到项目应统尽统。加快项目推进力度，尽早进场建设形成新的投资增量。三是加强企业入统工作指导，提高企业申报过关率。加强对固定资产投资项目申报流程、资料准备、内容等方面的跟踪指导工作，全面提高项目入统申报数量和过关率，同时对企业申报数据进行业务指导，做到统计数据数出有据，从而保障统计数据的真实性。四是加强与发改、统计等部门在工业投资、工业技改投资和民间投资等指标的协调、对接力度，形成有效合力。</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4、强化工业污染治理，做好问题整改督促。一是严格按照省市臭氧污染预警要求，强化对涉VOCs企业的督促检查，有效落实好各项管控措施（含错峰生产）。二是为加快清洁原料替代，鼓励使用VOCs含量比低于10%的原辅料的企业提交检测报告和书面承诺等相关佐证资料，对符合相关标准的企业，后续可享受相关豁免政策。三是持续配合市经信局推进久大“煤改电”项目，加快固废堆场实施防渗、硬化工程。待企业恢复生产后，督促企业进一步降低外排废水温度。</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5、夯实安全生产检查，督促隐患整改落实。一是加强安全生产对已排查出的安全隐患，持续更新整治台账，明确整改时限，形成整治闭环；二是加强对企业工作人员的应急演练，紧急情况具备即时处理能力，不断充实监管人员及安全监管体系，安排配备监管人员，落实责任分工，确保工作开展到位。三是加强部门联动，联合相关部门对重点企业开展全覆盖检查，邀请第三方专家对企业安全管理人员开展技能培训。四是持续开展林区输配电隐患专项整治工作，林区输配电隐患专项整治。</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6、切实加强科技研究开发和多渠道宣传培训。一是切实加强高新技术企业的研究开发和科技攻关，不断增强自主创新能力，建立一批辐射带动作用较强的创新平台，加强本土领域内的焊接产业优势，加强辖区内科技创新券的宣传使用；挖掘一部分有资质的企业，加强高新技术企业、中小型科技型企业的培育。二是多渠道宣传培训，深入推进企业R&amp;D经费和研发机构申报，坚持问题导向，加强乡镇街道、工业园区管委会和各相关部门协同推进，大力发展创新型企业，提高企业R&amp;D活动覆盖面，梳理分析企业研发经费投入情况，落实统计年报专项服务，强化政策引导，让更多符合条件的企业享受政策。</w:t>
      </w:r>
    </w:p>
    <w:p>
      <w:pPr>
        <w:pStyle w:val="2"/>
        <w:widowControl/>
        <w:snapToGrid/>
        <w:spacing w:before="0" w:beforeAutospacing="0" w:after="0" w:afterAutospacing="0" w:line="240" w:lineRule="auto"/>
        <w:ind w:left="0" w:leftChars="0" w:firstLine="640" w:firstLineChars="200"/>
        <w:jc w:val="both"/>
        <w:textAlignment w:val="baseline"/>
        <w:rPr>
          <w:rStyle w:val="11"/>
          <w:rFonts w:ascii="仿宋_GB2312" w:hAnsi="仿宋_GB2312" w:eastAsia="仿宋_GB2312"/>
          <w:b w:val="0"/>
          <w:bCs w:val="0"/>
          <w:i w:val="0"/>
          <w:caps w:val="0"/>
          <w:spacing w:val="0"/>
          <w:w w:val="100"/>
          <w:kern w:val="2"/>
          <w:sz w:val="32"/>
          <w:szCs w:val="24"/>
          <w:lang w:val="en-US" w:eastAsia="zh-CN" w:bidi="ar-SA"/>
        </w:rPr>
      </w:pPr>
      <w:r>
        <w:rPr>
          <w:rStyle w:val="11"/>
          <w:rFonts w:ascii="仿宋_GB2312" w:hAnsi="仿宋_GB2312" w:eastAsia="仿宋_GB2312"/>
          <w:b w:val="0"/>
          <w:bCs w:val="0"/>
          <w:i w:val="0"/>
          <w:caps w:val="0"/>
          <w:spacing w:val="0"/>
          <w:w w:val="100"/>
          <w:kern w:val="2"/>
          <w:sz w:val="32"/>
          <w:szCs w:val="24"/>
          <w:lang w:val="en-US" w:eastAsia="zh-CN" w:bidi="ar-SA"/>
        </w:rPr>
        <w:t>7、加强自身建设，提升服务水平。一是继续加强干部队伍建设。采取多种形式，不断加强政治思想教育，持续巩固“不忘初心、牢记使命”主题教育成果、党史学习教育成果，严格落实意识形态工作责任制，牢牢掌握意识形态工作领导权，切实提高干部职工的“政治三力”，提升思想素质和道德修养。二是不断健全内控机制。继续加强对管人、管财、管物等重点岗位的监督，紧盯权力运行的各个环节，管好关键人、管住关键事，扎紧扎实权力的笼子。三是持续推进全面从严治党、党风廉政建设和反腐败工作。积极发挥“头雁效应”，压紧压实“两个责任”，不断严明纪律规矩，强化廉政教育，拓宽监督渠道，持续正风肃纪，落实中央八项规定及其实施细则精神，促进干部职工作风持续好转，在局内营造风清气正的政治生态，从而不断优化企业服务，构建亲清政商关系。</w:t>
      </w:r>
    </w:p>
    <w:p>
      <w:pPr>
        <w:snapToGrid/>
        <w:spacing w:before="0" w:beforeAutospacing="0" w:after="0" w:afterAutospacing="0" w:line="592" w:lineRule="exact"/>
        <w:ind w:firstLine="640" w:firstLineChars="200"/>
        <w:jc w:val="both"/>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二、部门概况</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下属二级预算单位0个，其中行政单位0个，参照公务员法管理的事业单位0个，其他事业单位0个。</w:t>
      </w:r>
    </w:p>
    <w:p>
      <w:pPr>
        <w:snapToGrid/>
        <w:spacing w:before="0" w:beforeAutospacing="0" w:after="0" w:afterAutospacing="0" w:line="592" w:lineRule="exact"/>
        <w:ind w:firstLine="640" w:firstLineChars="200"/>
        <w:jc w:val="both"/>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三、收支预算情况说明</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按照综合预算的原则，自流井区科技和经济信息化局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所有收入和支出均纳入部门预算管理。收入包括：一般公共预算拨款收入、上年结转；支出包括：科学技术支出、社会保障和就业支出、卫生健康支出、 资源勘探工业信息等、住房保障支出。自流井区科技和经济信息化局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2022年收支总预算2278.94万元，比2021年收支预算总数增加61.13万元，主要原因是人员增加、办公费调高标准等原因。</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（一）收入预算情况</w:t>
      </w:r>
    </w:p>
    <w:p>
      <w:pPr>
        <w:snapToGrid/>
        <w:spacing w:before="0" w:beforeAutospacing="0" w:after="0" w:afterAutospacing="0" w:line="592" w:lineRule="exact"/>
        <w:ind w:firstLine="42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561340</wp:posOffset>
            </wp:positionH>
            <wp:positionV relativeFrom="page">
              <wp:posOffset>6189345</wp:posOffset>
            </wp:positionV>
            <wp:extent cx="3999230" cy="2009140"/>
            <wp:effectExtent l="0" t="0" r="1270" b="10160"/>
            <wp:wrapTopAndBottom/>
            <wp:docPr id="2"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5"/>
                    <pic:cNvPicPr>
                      <a:picLocks noChangeAspect="1"/>
                    </pic:cNvPicPr>
                  </pic:nvPicPr>
                  <pic:blipFill>
                    <a:blip r:embed="rId7"/>
                    <a:stretch>
                      <a:fillRect/>
                    </a:stretch>
                  </pic:blipFill>
                  <pic:spPr>
                    <a:xfrm>
                      <a:off x="0" y="0"/>
                      <a:ext cx="3999230" cy="2009140"/>
                    </a:xfrm>
                    <a:prstGeom prst="rect">
                      <a:avLst/>
                    </a:prstGeom>
                    <a:noFill/>
                    <a:ln>
                      <a:noFill/>
                    </a:ln>
                  </pic:spPr>
                </pic:pic>
              </a:graphicData>
            </a:graphic>
          </wp:anchor>
        </w:drawing>
      </w:r>
      <w:r>
        <w:rPr>
          <w:rStyle w:val="11"/>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bCs w:val="0"/>
          <w:i w:val="0"/>
          <w:caps w:val="0"/>
          <w:color w:val="000000"/>
          <w:spacing w:val="0"/>
          <w:w w:val="100"/>
          <w:kern w:val="2"/>
          <w:sz w:val="32"/>
          <w:szCs w:val="32"/>
          <w:lang w:val="en-US" w:eastAsia="zh-CN" w:bidi="ar-SA"/>
        </w:rPr>
        <w:t>2022年收入预算2278.94万元，其中：上年结转0万元，占0%；一般公共预算拨款收入2278.94万元，占100%。</w:t>
      </w:r>
    </w:p>
    <w:p>
      <w:pPr>
        <w:snapToGrid/>
        <w:spacing w:before="0" w:beforeAutospacing="0" w:after="0" w:afterAutospacing="0" w:line="592" w:lineRule="exact"/>
        <w:ind w:firstLine="420"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t xml:space="preserve">        </w:t>
      </w:r>
      <w:r>
        <w:rPr>
          <w:rStyle w:val="11"/>
          <w:rFonts w:cs="Times New Roman"/>
          <w:b/>
          <w:bCs/>
          <w:i w:val="0"/>
          <w:caps w:val="0"/>
          <w:spacing w:val="0"/>
          <w:w w:val="100"/>
          <w:kern w:val="2"/>
          <w:sz w:val="21"/>
          <w:szCs w:val="24"/>
          <w:lang w:val="en-US" w:eastAsia="zh-CN" w:bidi="ar-SA"/>
        </w:rPr>
        <w:t xml:space="preserve"> </w:t>
      </w:r>
      <w:r>
        <w:rPr>
          <w:rStyle w:val="11"/>
          <w:rFonts w:ascii="仿宋_GB2312" w:hAnsi="仿宋_GB2312" w:eastAsia="仿宋_GB2312" w:cs="仿宋_GB2312"/>
          <w:b/>
          <w:bCs/>
          <w:i w:val="0"/>
          <w:caps w:val="0"/>
          <w:color w:val="000000"/>
          <w:spacing w:val="0"/>
          <w:w w:val="100"/>
          <w:kern w:val="2"/>
          <w:sz w:val="32"/>
          <w:szCs w:val="32"/>
          <w:lang w:val="en-US" w:eastAsia="zh-CN" w:bidi="ar-SA"/>
        </w:rPr>
        <w:t>（图1：收入预算结构图）（饼状图）</w:t>
      </w:r>
    </w:p>
    <w:p>
      <w:pPr>
        <w:numPr>
          <w:ilvl w:val="0"/>
          <w:numId w:val="0"/>
        </w:numPr>
        <w:snapToGrid/>
        <w:spacing w:before="0" w:beforeAutospacing="0" w:after="0" w:afterAutospacing="0" w:line="592" w:lineRule="exact"/>
        <w:ind w:left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hint="eastAsia" w:ascii="仿宋_GB2312" w:hAnsi="仿宋_GB2312" w:eastAsia="仿宋_GB2312" w:cs="仿宋_GB2312"/>
          <w:b/>
          <w:bCs/>
          <w:i w:val="0"/>
          <w:caps w:val="0"/>
          <w:color w:val="000000"/>
          <w:spacing w:val="0"/>
          <w:w w:val="100"/>
          <w:kern w:val="2"/>
          <w:sz w:val="32"/>
          <w:szCs w:val="32"/>
          <w:lang w:val="en-US" w:eastAsia="zh-CN" w:bidi="ar-SA"/>
        </w:rPr>
        <w:t>（二）</w:t>
      </w:r>
      <w:r>
        <w:rPr>
          <w:rStyle w:val="11"/>
          <w:rFonts w:ascii="仿宋_GB2312" w:hAnsi="仿宋_GB2312" w:eastAsia="仿宋_GB2312" w:cs="仿宋_GB2312"/>
          <w:b/>
          <w:bCs/>
          <w:i w:val="0"/>
          <w:caps w:val="0"/>
          <w:color w:val="000000"/>
          <w:spacing w:val="0"/>
          <w:w w:val="100"/>
          <w:kern w:val="2"/>
          <w:sz w:val="32"/>
          <w:szCs w:val="32"/>
          <w:lang w:val="en-US" w:eastAsia="zh-CN" w:bidi="ar-SA"/>
        </w:rPr>
        <w:t>支出预算情况</w:t>
      </w:r>
    </w:p>
    <w:p>
      <w:pPr>
        <w:numPr>
          <w:ilvl w:val="0"/>
          <w:numId w:val="0"/>
        </w:num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bCs w:val="0"/>
          <w:i w:val="0"/>
          <w:caps w:val="0"/>
          <w:color w:val="000000"/>
          <w:spacing w:val="0"/>
          <w:w w:val="100"/>
          <w:kern w:val="2"/>
          <w:sz w:val="32"/>
          <w:szCs w:val="32"/>
          <w:lang w:val="en-US" w:eastAsia="zh-CN" w:bidi="ar-SA"/>
        </w:rPr>
        <w:t>2022年支出预算2278.94万元，其中：基本支出204.69万元，占8.98%；项目支出2074.25万元，占91.02%。</w:t>
      </w: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935355</wp:posOffset>
            </wp:positionH>
            <wp:positionV relativeFrom="page">
              <wp:posOffset>2550795</wp:posOffset>
            </wp:positionV>
            <wp:extent cx="3289300" cy="2016760"/>
            <wp:effectExtent l="0" t="0" r="6350" b="2540"/>
            <wp:wrapSquare wrapText="bothSides"/>
            <wp:docPr id="3"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6"/>
                    <pic:cNvPicPr>
                      <a:picLocks noChangeAspect="1"/>
                    </pic:cNvPicPr>
                  </pic:nvPicPr>
                  <pic:blipFill>
                    <a:blip r:embed="rId8"/>
                    <a:stretch>
                      <a:fillRect/>
                    </a:stretch>
                  </pic:blipFill>
                  <pic:spPr>
                    <a:xfrm>
                      <a:off x="0" y="0"/>
                      <a:ext cx="3289300" cy="2016760"/>
                    </a:xfrm>
                    <a:prstGeom prst="rect">
                      <a:avLst/>
                    </a:prstGeom>
                    <a:noFill/>
                    <a:ln>
                      <a:noFill/>
                    </a:ln>
                  </pic:spPr>
                </pic:pic>
              </a:graphicData>
            </a:graphic>
          </wp:anchor>
        </w:drawing>
      </w: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snapToGrid/>
        <w:spacing w:before="0" w:beforeAutospacing="0" w:after="0" w:afterAutospacing="0" w:line="592" w:lineRule="exact"/>
        <w:ind w:firstLine="1606" w:firstLineChars="500"/>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仿宋_GB2312" w:hAnsi="仿宋_GB2312" w:eastAsia="仿宋_GB2312"/>
          <w:b/>
          <w:i w:val="0"/>
          <w:caps w:val="0"/>
          <w:color w:val="000000"/>
          <w:spacing w:val="0"/>
          <w:w w:val="100"/>
          <w:kern w:val="2"/>
          <w:sz w:val="32"/>
          <w:szCs w:val="32"/>
          <w:lang w:val="en-US" w:eastAsia="zh-CN" w:bidi="ar-SA"/>
        </w:rPr>
        <w:t>（图2：支出预算结构图）（饼状图）</w:t>
      </w:r>
    </w:p>
    <w:p>
      <w:pPr>
        <w:snapToGrid/>
        <w:spacing w:before="0" w:beforeAutospacing="0" w:after="0" w:afterAutospacing="0" w:line="592" w:lineRule="exact"/>
        <w:ind w:firstLine="640" w:firstLineChars="200"/>
        <w:jc w:val="both"/>
        <w:textAlignment w:val="baseline"/>
        <w:rPr>
          <w:rStyle w:val="11"/>
          <w:rFonts w:ascii="方正小标宋简体" w:hAnsi="方正小标宋简体" w:eastAsia="方正小标宋简体"/>
          <w:b w:val="0"/>
          <w:bCs w:val="0"/>
          <w:i w:val="0"/>
          <w:caps w:val="0"/>
          <w:color w:val="000000"/>
          <w:spacing w:val="0"/>
          <w:w w:val="100"/>
          <w:kern w:val="2"/>
          <w:sz w:val="32"/>
          <w:szCs w:val="32"/>
          <w:lang w:val="en-US" w:eastAsia="zh-CN" w:bidi="ar-SA"/>
        </w:rPr>
      </w:pPr>
      <w:r>
        <w:rPr>
          <w:rStyle w:val="11"/>
          <w:rFonts w:ascii="方正小标宋简体" w:hAnsi="方正小标宋简体" w:eastAsia="方正小标宋简体"/>
          <w:b w:val="0"/>
          <w:bCs w:val="0"/>
          <w:i w:val="0"/>
          <w:caps w:val="0"/>
          <w:color w:val="000000"/>
          <w:spacing w:val="0"/>
          <w:w w:val="100"/>
          <w:kern w:val="2"/>
          <w:sz w:val="32"/>
          <w:szCs w:val="32"/>
          <w:lang w:val="en-US" w:eastAsia="zh-CN" w:bidi="ar-SA"/>
        </w:rPr>
        <w:t>四、财政拨款收支预算情况说明</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2022年财政拨款收支总预算2278.94万元，比2021年财政拨款收支总预算增加61.13万元，主要原因是人员增加、办公费调高标准等原因。</w:t>
      </w:r>
    </w:p>
    <w:p>
      <w:pPr>
        <w:pStyle w:val="2"/>
        <w:widowControl/>
        <w:snapToGrid/>
        <w:spacing w:before="0" w:beforeAutospacing="0" w:after="0" w:afterAutospacing="0" w:line="240" w:lineRule="auto"/>
        <w:jc w:val="both"/>
        <w:textAlignment w:val="baseline"/>
        <w:rPr>
          <w:rStyle w:val="11"/>
          <w:rFonts w:ascii="仿宋_GB2312" w:eastAsia="仿宋_GB2312"/>
          <w:b w:val="0"/>
          <w:i w:val="0"/>
          <w:caps w:val="0"/>
          <w:spacing w:val="0"/>
          <w:w w:val="100"/>
          <w:kern w:val="2"/>
          <w:sz w:val="32"/>
          <w:szCs w:val="24"/>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600710</wp:posOffset>
            </wp:positionH>
            <wp:positionV relativeFrom="paragraph">
              <wp:posOffset>156210</wp:posOffset>
            </wp:positionV>
            <wp:extent cx="3841750" cy="2017395"/>
            <wp:effectExtent l="0" t="0" r="6350" b="1905"/>
            <wp:wrapTopAndBottom/>
            <wp:docPr id="4"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7"/>
                    <pic:cNvPicPr>
                      <a:picLocks noChangeAspect="1"/>
                    </pic:cNvPicPr>
                  </pic:nvPicPr>
                  <pic:blipFill>
                    <a:blip r:embed="rId9"/>
                    <a:stretch>
                      <a:fillRect/>
                    </a:stretch>
                  </pic:blipFill>
                  <pic:spPr>
                    <a:xfrm>
                      <a:off x="0" y="0"/>
                      <a:ext cx="3841750" cy="2017395"/>
                    </a:xfrm>
                    <a:prstGeom prst="rect">
                      <a:avLst/>
                    </a:prstGeom>
                    <a:noFill/>
                    <a:ln>
                      <a:noFill/>
                    </a:ln>
                  </pic:spPr>
                </pic:pic>
              </a:graphicData>
            </a:graphic>
          </wp:anchor>
        </w:drawing>
      </w: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t xml:space="preserve">    </w:t>
      </w:r>
      <w:r>
        <w:rPr>
          <w:rStyle w:val="11"/>
          <w:rFonts w:ascii="仿宋_GB2312" w:hAnsi="仿宋_GB2312" w:eastAsia="仿宋_GB2312"/>
          <w:b/>
          <w:i w:val="0"/>
          <w:caps w:val="0"/>
          <w:color w:val="000000"/>
          <w:spacing w:val="0"/>
          <w:w w:val="100"/>
          <w:kern w:val="2"/>
          <w:sz w:val="32"/>
          <w:szCs w:val="32"/>
          <w:lang w:val="en-US" w:eastAsia="zh-CN" w:bidi="ar-SA"/>
        </w:rPr>
        <w:t>（图3：财政拨款收支总预算变动情况）（柱状图）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收入包括：本年一般公共预算拨款收入2278.94万元，本年政府性基金收入0万元，上年结转一般公共预算拨款收入0万元；支出包括：科学技术支出849.59万元、社会保障和就业支出13.15万元、卫生健康支出7.37万元、 资源勘探工业信息等支出1400万元、住房保障支出8.83万元。</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黑体" w:hAnsi="黑体" w:eastAsia="黑体"/>
          <w:b w:val="0"/>
          <w:bCs w:val="0"/>
          <w:i w:val="0"/>
          <w:caps w:val="0"/>
          <w:color w:val="000000"/>
          <w:spacing w:val="0"/>
          <w:w w:val="100"/>
          <w:kern w:val="2"/>
          <w:sz w:val="32"/>
          <w:szCs w:val="32"/>
          <w:lang w:val="en-US" w:eastAsia="zh-CN" w:bidi="ar-SA"/>
        </w:rPr>
        <w:t>五、一般公共预算当年拨款情况说明</w:t>
      </w:r>
      <w:r>
        <w:rPr>
          <w:rStyle w:val="11"/>
          <w:rFonts w:ascii="仿宋_GB2312" w:hAnsi="仿宋_GB2312" w:eastAsia="仿宋_GB2312" w:cs="仿宋_GB2312"/>
          <w:b/>
          <w:bCs/>
          <w:i w:val="0"/>
          <w:caps w:val="0"/>
          <w:color w:val="000000"/>
          <w:spacing w:val="0"/>
          <w:w w:val="100"/>
          <w:kern w:val="2"/>
          <w:sz w:val="32"/>
          <w:szCs w:val="32"/>
          <w:lang w:val="en-US" w:eastAsia="zh-CN" w:bidi="ar-SA"/>
        </w:rPr>
        <w:t>　　</w:t>
      </w: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（一）一般公共预算当年拨款规模变化情况</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2022年一般公共预算当年拨款2278.94万元，比2021年收支预算总数增加61.13万元，主要原因是人员增加、办公费调高标准等原因。</w:t>
      </w:r>
    </w:p>
    <w:p>
      <w:pPr>
        <w:snapToGrid/>
        <w:spacing w:before="0" w:beforeAutospacing="0" w:after="0" w:afterAutospacing="0" w:line="592" w:lineRule="exact"/>
        <w:ind w:firstLine="42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558800</wp:posOffset>
            </wp:positionH>
            <wp:positionV relativeFrom="page">
              <wp:posOffset>5692140</wp:posOffset>
            </wp:positionV>
            <wp:extent cx="3952240" cy="1974215"/>
            <wp:effectExtent l="0" t="0" r="10160" b="6985"/>
            <wp:wrapSquare wrapText="bothSides"/>
            <wp:docPr id="5"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8"/>
                    <pic:cNvPicPr>
                      <a:picLocks noChangeAspect="1"/>
                    </pic:cNvPicPr>
                  </pic:nvPicPr>
                  <pic:blipFill>
                    <a:blip r:embed="rId10"/>
                    <a:stretch>
                      <a:fillRect/>
                    </a:stretch>
                  </pic:blipFill>
                  <pic:spPr>
                    <a:xfrm>
                      <a:off x="0" y="0"/>
                      <a:ext cx="3952240" cy="1974215"/>
                    </a:xfrm>
                    <a:prstGeom prst="rect">
                      <a:avLst/>
                    </a:prstGeom>
                    <a:noFill/>
                    <a:ln>
                      <a:noFill/>
                    </a:ln>
                  </pic:spPr>
                </pic:pic>
              </a:graphicData>
            </a:graphic>
          </wp:anchor>
        </w:drawing>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p>
    <w:p>
      <w:pPr>
        <w:pStyle w:val="2"/>
        <w:rPr>
          <w:lang w:val="en-US" w:eastAsia="zh-CN"/>
        </w:rPr>
      </w:pPr>
    </w:p>
    <w:p>
      <w:pPr>
        <w:snapToGrid/>
        <w:spacing w:before="0" w:beforeAutospacing="0" w:after="0" w:afterAutospacing="0" w:line="592" w:lineRule="exact"/>
        <w:jc w:val="both"/>
        <w:textAlignment w:val="baseline"/>
        <w:rPr>
          <w:rStyle w:val="11"/>
          <w:rFonts w:ascii="仿宋_GB2312" w:hAnsi="仿宋_GB2312" w:eastAsia="仿宋_GB2312"/>
          <w:b/>
          <w:i w:val="0"/>
          <w:caps w:val="0"/>
          <w:color w:val="000000"/>
          <w:spacing w:val="0"/>
          <w:w w:val="100"/>
          <w:kern w:val="2"/>
          <w:sz w:val="32"/>
          <w:szCs w:val="32"/>
          <w:lang w:val="en-US" w:eastAsia="zh-CN" w:bidi="ar-SA"/>
        </w:rPr>
      </w:pPr>
      <w:r>
        <w:rPr>
          <w:rStyle w:val="11"/>
          <w:rFonts w:ascii="仿宋_GB2312" w:hAnsi="仿宋_GB2312" w:eastAsia="仿宋_GB2312"/>
          <w:b/>
          <w:i w:val="0"/>
          <w:caps w:val="0"/>
          <w:color w:val="000000"/>
          <w:spacing w:val="0"/>
          <w:w w:val="100"/>
          <w:kern w:val="2"/>
          <w:sz w:val="32"/>
          <w:szCs w:val="32"/>
          <w:lang w:val="en-US" w:eastAsia="zh-CN" w:bidi="ar-SA"/>
        </w:rPr>
        <w:t>（图4：一般公共预算财政拨款支出预算变动情况）（柱状图）</w:t>
      </w:r>
    </w:p>
    <w:p>
      <w:pPr>
        <w:snapToGrid/>
        <w:spacing w:before="0" w:beforeAutospacing="0" w:after="0" w:afterAutospacing="0" w:line="592" w:lineRule="exact"/>
        <w:ind w:firstLine="643" w:firstLineChars="200"/>
        <w:jc w:val="both"/>
        <w:textAlignment w:val="baseline"/>
        <w:rPr>
          <w:rStyle w:val="7"/>
          <w:rFonts w:ascii="仿宋_GB2312" w:hAnsi="仿宋_GB2312" w:eastAsia="仿宋_GB2312" w:cs="仿宋_GB2312"/>
          <w:b/>
          <w:bCs/>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（二）一般公共预算当年拨款结构情况</w:t>
      </w:r>
    </w:p>
    <w:p>
      <w:pPr>
        <w:snapToGrid/>
        <w:spacing w:before="0" w:beforeAutospacing="0" w:after="0" w:afterAutospacing="0" w:line="592" w:lineRule="exact"/>
        <w:ind w:firstLine="643"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 xml:space="preserve">  </w:t>
      </w:r>
      <w:r>
        <w:rPr>
          <w:rStyle w:val="7"/>
          <w:rFonts w:ascii="仿宋_GB2312" w:hAnsi="仿宋_GB2312" w:eastAsia="仿宋_GB2312"/>
          <w:b w:val="0"/>
          <w:bCs w:val="0"/>
          <w:i w:val="0"/>
          <w:caps w:val="0"/>
          <w:color w:val="000000"/>
          <w:spacing w:val="0"/>
          <w:w w:val="100"/>
          <w:kern w:val="2"/>
          <w:sz w:val="32"/>
          <w:szCs w:val="32"/>
          <w:lang w:val="en-US" w:eastAsia="zh-CN" w:bidi="ar-SA"/>
        </w:rPr>
        <w:t>科学技术支出849.59万元，占37.28%；社会保障和就业支出13.15万元，占0.58%；卫生健康支出7.37万元，</w:t>
      </w: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60288" behindDoc="0" locked="0" layoutInCell="1" allowOverlap="1">
            <wp:simplePos x="0" y="0"/>
            <wp:positionH relativeFrom="column">
              <wp:posOffset>676910</wp:posOffset>
            </wp:positionH>
            <wp:positionV relativeFrom="paragraph">
              <wp:posOffset>858520</wp:posOffset>
            </wp:positionV>
            <wp:extent cx="3507740" cy="2431415"/>
            <wp:effectExtent l="0" t="0" r="16510" b="6985"/>
            <wp:wrapTopAndBottom/>
            <wp:docPr id="6"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9"/>
                    <pic:cNvPicPr>
                      <a:picLocks noChangeAspect="1"/>
                    </pic:cNvPicPr>
                  </pic:nvPicPr>
                  <pic:blipFill>
                    <a:blip r:embed="rId11"/>
                    <a:stretch>
                      <a:fillRect/>
                    </a:stretch>
                  </pic:blipFill>
                  <pic:spPr>
                    <a:xfrm>
                      <a:off x="0" y="0"/>
                      <a:ext cx="3507740" cy="2431415"/>
                    </a:xfrm>
                    <a:prstGeom prst="rect">
                      <a:avLst/>
                    </a:prstGeom>
                    <a:noFill/>
                    <a:ln>
                      <a:noFill/>
                    </a:ln>
                  </pic:spPr>
                </pic:pic>
              </a:graphicData>
            </a:graphic>
          </wp:anchor>
        </w:drawing>
      </w:r>
      <w:r>
        <w:rPr>
          <w:rStyle w:val="7"/>
          <w:rFonts w:ascii="仿宋_GB2312" w:hAnsi="仿宋_GB2312" w:eastAsia="仿宋_GB2312"/>
          <w:b w:val="0"/>
          <w:bCs w:val="0"/>
          <w:i w:val="0"/>
          <w:caps w:val="0"/>
          <w:color w:val="000000"/>
          <w:spacing w:val="0"/>
          <w:w w:val="100"/>
          <w:kern w:val="2"/>
          <w:sz w:val="32"/>
          <w:szCs w:val="32"/>
          <w:lang w:val="en-US" w:eastAsia="zh-CN" w:bidi="ar-SA"/>
        </w:rPr>
        <w:t>0.32%；资源勘探工业信息等支出1400万元，占61.43%；住房保障支出8.83万元，占0.39%。</w:t>
      </w:r>
    </w:p>
    <w:p>
      <w:pPr>
        <w:pStyle w:val="2"/>
        <w:rPr>
          <w:rStyle w:val="11"/>
          <w:rFonts w:ascii="Times New Roman" w:hAnsi="Times New Roman" w:eastAsia="宋体"/>
          <w:b w:val="0"/>
          <w:i w:val="0"/>
          <w:caps w:val="0"/>
          <w:spacing w:val="0"/>
          <w:w w:val="100"/>
          <w:kern w:val="2"/>
          <w:sz w:val="21"/>
          <w:szCs w:val="24"/>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（图5：一般公共预算财政拨款支出预算结构）（饼状图）</w:t>
      </w:r>
    </w:p>
    <w:p>
      <w:pPr>
        <w:snapToGrid/>
        <w:spacing w:before="0" w:beforeAutospacing="0" w:after="0" w:afterAutospacing="0" w:line="592" w:lineRule="exact"/>
        <w:ind w:firstLine="321" w:firstLineChars="1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cs="仿宋_GB2312"/>
          <w:b/>
          <w:bCs/>
          <w:i w:val="0"/>
          <w:caps w:val="0"/>
          <w:color w:val="000000"/>
          <w:spacing w:val="0"/>
          <w:w w:val="100"/>
          <w:kern w:val="2"/>
          <w:sz w:val="32"/>
          <w:szCs w:val="32"/>
          <w:lang w:val="en-US" w:eastAsia="zh-CN" w:bidi="ar-SA"/>
        </w:rPr>
        <w:t>（三）一般公共预算当年拨款具体使用情况：　</w:t>
      </w:r>
      <w:r>
        <w:rPr>
          <w:rStyle w:val="7"/>
          <w:rFonts w:ascii="仿宋_GB2312" w:hAnsi="仿宋_GB2312" w:eastAsia="仿宋_GB2312"/>
          <w:b w:val="0"/>
          <w:bCs w:val="0"/>
          <w:i w:val="0"/>
          <w:caps w:val="0"/>
          <w:color w:val="000000"/>
          <w:spacing w:val="0"/>
          <w:w w:val="100"/>
          <w:kern w:val="2"/>
          <w:sz w:val="32"/>
          <w:szCs w:val="32"/>
          <w:lang w:val="en-US" w:eastAsia="zh-CN" w:bidi="ar-SA"/>
        </w:rPr>
        <w:t>　</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1.科学技术支出（类）科学技术管理事务（款）行政运行（项）2022年预算数为175.34万元，主要用于：机关及参公管理事业单位正常运转的基本支出，包括基本工资、津贴补贴等人员经费以及办公费、印刷费、水电费等日常公用经费,保障部门正常运转。</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2.科学技术支出（类）科学技术管理事务（款）其他科学技术管理事务支出（项）2022年预算数为74.25万元，主要用于：保障当年项目经费支出，包括科普宣传、统计工作经费等。</w:t>
      </w:r>
    </w:p>
    <w:p>
      <w:pPr>
        <w:snapToGrid/>
        <w:spacing w:before="0" w:beforeAutospacing="0" w:after="0" w:afterAutospacing="0" w:line="592" w:lineRule="exact"/>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 xml:space="preserve">    3.科学技术支出（类）基础研究（款）其他基础研究支出（项）2022年预算数为600万元，主要用于：支付疫情期间中小企业的补助经费。</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4. 社会保障和就业支出（类）行政事业单位养老支出（款）机关事业单位基本养老保险缴费支出（项）2022年预算数为11.77万元，主要用于：由单位缴纳的基本养老保险费支出。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5. 社会保障和就业支出（类）行政事业单位养老支出（款）行政单位离退休（项）2022年预算数为0.57万元，主要用于：由单位支付退休干部的活动费支出。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6. 社会保障和就业支出（类）其他社会保障和就业支出（款）其他社会保障和就业支出（项）2022年预算数为0.81万元，主要用于：由单位支付在职人员其他交通费。</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7. 卫生健康支出（类）行政事业单位医疗（款）行政单位医疗（项）2022年预算数为7.37万元，主要用于：机关及参公管理事业单位基本医疗保险缴费支出。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8.资源勘探工业信息等支出（类）制造业（款）其他制造业支出（项）2021年预算数为1400万元，主要用于：支付对企业的工业扶持资金兑现。</w:t>
      </w:r>
    </w:p>
    <w:p>
      <w:pPr>
        <w:snapToGrid/>
        <w:spacing w:before="0" w:beforeAutospacing="0" w:after="0" w:afterAutospacing="0" w:line="592" w:lineRule="exact"/>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　  9. 住房保障支出（类）住房改革支出（款）住房公积金（项）2021年预算数为8.83万元，主要用于：部门按人力资源和社会保障部、财政部规定的基本工资和津贴补贴以及规定比例为职工缴纳的住房公积金支出。</w:t>
      </w:r>
    </w:p>
    <w:p>
      <w:pPr>
        <w:snapToGrid/>
        <w:spacing w:before="0" w:beforeAutospacing="0" w:after="0" w:afterAutospacing="0" w:line="592" w:lineRule="exact"/>
        <w:ind w:firstLine="640" w:firstLineChars="200"/>
        <w:jc w:val="both"/>
        <w:textAlignment w:val="baseline"/>
        <w:rPr>
          <w:rStyle w:val="7"/>
          <w:rFonts w:ascii="黑体" w:hAnsi="黑体" w:eastAsia="黑体"/>
          <w:b w:val="0"/>
          <w:bCs w:val="0"/>
          <w:i w:val="0"/>
          <w:caps w:val="0"/>
          <w:color w:val="000000"/>
          <w:spacing w:val="0"/>
          <w:w w:val="100"/>
          <w:kern w:val="2"/>
          <w:sz w:val="32"/>
          <w:szCs w:val="32"/>
          <w:lang w:val="en-US" w:eastAsia="zh-CN" w:bidi="ar-SA"/>
        </w:rPr>
      </w:pPr>
      <w:r>
        <w:rPr>
          <w:rStyle w:val="7"/>
          <w:rFonts w:ascii="黑体" w:hAnsi="黑体" w:eastAsia="黑体"/>
          <w:b w:val="0"/>
          <w:bCs w:val="0"/>
          <w:i w:val="0"/>
          <w:caps w:val="0"/>
          <w:color w:val="000000"/>
          <w:spacing w:val="0"/>
          <w:w w:val="100"/>
          <w:kern w:val="2"/>
          <w:sz w:val="32"/>
          <w:szCs w:val="32"/>
          <w:lang w:val="en-US" w:eastAsia="zh-CN" w:bidi="ar-SA"/>
        </w:rPr>
        <w:t>六、一般公共预算基本支出情况说明</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7"/>
          <w:rFonts w:ascii="仿宋_GB2312" w:hAnsi="仿宋_GB2312" w:eastAsia="仿宋_GB2312"/>
          <w:b w:val="0"/>
          <w:bCs w:val="0"/>
          <w:i w:val="0"/>
          <w:caps w:val="0"/>
          <w:color w:val="000000"/>
          <w:spacing w:val="0"/>
          <w:w w:val="100"/>
          <w:kern w:val="2"/>
          <w:sz w:val="32"/>
          <w:szCs w:val="32"/>
          <w:lang w:val="en-US" w:eastAsia="zh-CN" w:bidi="ar-SA"/>
        </w:rPr>
        <w:t>2022年一般公共预算基本支出204.69万元，其中：</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人员经费154.41万元，主要包括：主要包括：基本工资、津贴补贴、社会保险缴费等支出。</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公用经费50.28万元，主要包括：办公费、水费、电费、邮电费、印刷费、差旅费、维修（护）费、物业管理费、劳务费等支出。</w:t>
      </w:r>
    </w:p>
    <w:p>
      <w:pPr>
        <w:snapToGrid/>
        <w:spacing w:before="0" w:beforeAutospacing="0" w:after="0" w:afterAutospacing="0" w:line="592" w:lineRule="exact"/>
        <w:ind w:firstLine="640" w:firstLineChars="200"/>
        <w:jc w:val="both"/>
        <w:textAlignment w:val="baseline"/>
        <w:rPr>
          <w:rStyle w:val="7"/>
          <w:rFonts w:ascii="黑体" w:hAnsi="黑体" w:eastAsia="黑体"/>
          <w:b w:val="0"/>
          <w:bCs w:val="0"/>
          <w:i w:val="0"/>
          <w:caps w:val="0"/>
          <w:color w:val="000000"/>
          <w:spacing w:val="0"/>
          <w:w w:val="100"/>
          <w:kern w:val="2"/>
          <w:sz w:val="32"/>
          <w:szCs w:val="32"/>
          <w:lang w:val="en-US" w:eastAsia="zh-CN" w:bidi="ar-SA"/>
        </w:rPr>
      </w:pPr>
      <w:r>
        <w:rPr>
          <w:rStyle w:val="7"/>
          <w:rFonts w:ascii="黑体" w:hAnsi="黑体" w:eastAsia="黑体"/>
          <w:b w:val="0"/>
          <w:bCs w:val="0"/>
          <w:i w:val="0"/>
          <w:caps w:val="0"/>
          <w:color w:val="000000"/>
          <w:spacing w:val="0"/>
          <w:w w:val="100"/>
          <w:kern w:val="2"/>
          <w:sz w:val="32"/>
          <w:szCs w:val="32"/>
          <w:lang w:val="en-US" w:eastAsia="zh-CN" w:bidi="ar-SA"/>
        </w:rPr>
        <w:t>七、“三公”经费财政拨款预算安排情况</w:t>
      </w:r>
    </w:p>
    <w:p>
      <w:pPr>
        <w:snapToGrid/>
        <w:spacing w:before="0" w:beforeAutospacing="0" w:after="0" w:afterAutospacing="0" w:line="592" w:lineRule="exact"/>
        <w:ind w:firstLine="640" w:firstLineChars="200"/>
        <w:jc w:val="both"/>
        <w:textAlignment w:val="baseline"/>
        <w:rPr>
          <w:rStyle w:val="7"/>
          <w:rFonts w:ascii="仿宋_GB2312" w:hAnsi="仿宋_GB2312" w:eastAsia="仿宋_GB2312"/>
          <w:b w:val="0"/>
          <w:bCs w:val="0"/>
          <w:i w:val="0"/>
          <w:caps w:val="0"/>
          <w:color w:val="000000"/>
          <w:spacing w:val="0"/>
          <w:w w:val="100"/>
          <w:kern w:val="2"/>
          <w:sz w:val="32"/>
          <w:szCs w:val="32"/>
          <w:lang w:val="en-US" w:eastAsia="zh-CN" w:bidi="ar-SA"/>
        </w:rPr>
      </w:pPr>
      <w:r>
        <w:rPr>
          <w:rStyle w:val="7"/>
          <w:rFonts w:ascii="仿宋_GB2312" w:hAnsi="仿宋_GB2312" w:eastAsia="仿宋_GB2312"/>
          <w:b w:val="0"/>
          <w:bCs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7"/>
          <w:rFonts w:ascii="仿宋_GB2312" w:hAnsi="仿宋_GB2312" w:eastAsia="仿宋_GB2312"/>
          <w:b w:val="0"/>
          <w:bCs w:val="0"/>
          <w:i w:val="0"/>
          <w:caps w:val="0"/>
          <w:color w:val="000000"/>
          <w:spacing w:val="0"/>
          <w:w w:val="100"/>
          <w:kern w:val="2"/>
          <w:sz w:val="32"/>
          <w:szCs w:val="32"/>
          <w:lang w:val="en-US" w:eastAsia="zh-CN" w:bidi="ar-SA"/>
        </w:rPr>
        <w:t>2022年“三公”经费财政拨款预算数0万元，</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较2021年预算下降100%，</w:t>
      </w:r>
      <w:r>
        <w:rPr>
          <w:rStyle w:val="11"/>
          <w:rFonts w:ascii="仿宋_GB2312" w:hAnsi="仿宋_GB2312" w:eastAsia="仿宋_GB2312"/>
          <w:b w:val="0"/>
          <w:bCs w:val="0"/>
          <w:i w:val="0"/>
          <w:caps w:val="0"/>
          <w:color w:val="000000"/>
          <w:spacing w:val="0"/>
          <w:w w:val="100"/>
          <w:kern w:val="2"/>
          <w:sz w:val="32"/>
          <w:szCs w:val="32"/>
          <w:lang w:val="en-US" w:eastAsia="zh-CN" w:bidi="ar-SA"/>
        </w:rPr>
        <w:t>主要原因是2022年拟公务接待0人次</w:t>
      </w:r>
      <w:r>
        <w:rPr>
          <w:rStyle w:val="11"/>
          <w:rFonts w:hint="eastAsia" w:ascii="仿宋_GB2312" w:hAnsi="仿宋_GB2312" w:eastAsia="仿宋_GB2312"/>
          <w:b w:val="0"/>
          <w:bCs w:val="0"/>
          <w:i w:val="0"/>
          <w:caps w:val="0"/>
          <w:color w:val="000000"/>
          <w:spacing w:val="0"/>
          <w:w w:val="100"/>
          <w:kern w:val="2"/>
          <w:sz w:val="32"/>
          <w:szCs w:val="32"/>
          <w:lang w:val="en-US" w:eastAsia="zh-CN" w:bidi="ar-SA"/>
        </w:rPr>
        <w:t>。</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其</w:t>
      </w:r>
      <w:r>
        <w:rPr>
          <w:rStyle w:val="7"/>
          <w:rFonts w:ascii="仿宋_GB2312" w:hAnsi="仿宋_GB2312" w:eastAsia="仿宋_GB2312"/>
          <w:b w:val="0"/>
          <w:bCs w:val="0"/>
          <w:i w:val="0"/>
          <w:caps w:val="0"/>
          <w:color w:val="000000"/>
          <w:spacing w:val="0"/>
          <w:w w:val="100"/>
          <w:kern w:val="2"/>
          <w:sz w:val="32"/>
          <w:szCs w:val="32"/>
          <w:lang w:val="en-US" w:eastAsia="zh-CN" w:bidi="ar-SA"/>
        </w:rPr>
        <w:t>中：因公出国（境）经费0万元，公务接待费0万元，公务用车购置及运行维护费0万元（其中：公务用车购置费0万元，公务用车运行费0万元）。</w:t>
      </w:r>
    </w:p>
    <w:p>
      <w:pPr>
        <w:pStyle w:val="2"/>
        <w:rPr>
          <w:lang w:val="en-US" w:eastAsia="zh-CN"/>
        </w:rPr>
      </w:pPr>
      <w:r>
        <w:rPr>
          <w:rStyle w:val="11"/>
          <w:rFonts w:ascii="Times New Roman" w:hAnsi="Times New Roman" w:eastAsia="宋体"/>
          <w:b w:val="0"/>
          <w:i w:val="0"/>
          <w:caps w:val="0"/>
          <w:spacing w:val="0"/>
          <w:w w:val="100"/>
          <w:kern w:val="2"/>
          <w:sz w:val="21"/>
          <w:szCs w:val="24"/>
          <w:lang w:val="en-US" w:eastAsia="zh-CN" w:bidi="ar-SA"/>
        </w:rPr>
        <w:drawing>
          <wp:anchor distT="0" distB="0" distL="114300" distR="114300" simplePos="0" relativeHeight="251659264" behindDoc="0" locked="0" layoutInCell="1" allowOverlap="1">
            <wp:simplePos x="0" y="0"/>
            <wp:positionH relativeFrom="column">
              <wp:posOffset>1217295</wp:posOffset>
            </wp:positionH>
            <wp:positionV relativeFrom="paragraph">
              <wp:posOffset>92710</wp:posOffset>
            </wp:positionV>
            <wp:extent cx="3472815" cy="2379345"/>
            <wp:effectExtent l="0" t="0" r="13335" b="1905"/>
            <wp:wrapSquare wrapText="bothSides"/>
            <wp:docPr id="1"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4"/>
                    <pic:cNvPicPr>
                      <a:picLocks noChangeAspect="1"/>
                    </pic:cNvPicPr>
                  </pic:nvPicPr>
                  <pic:blipFill>
                    <a:blip r:embed="rId12"/>
                    <a:stretch>
                      <a:fillRect/>
                    </a:stretch>
                  </pic:blipFill>
                  <pic:spPr>
                    <a:xfrm>
                      <a:off x="0" y="0"/>
                      <a:ext cx="3472815" cy="2379345"/>
                    </a:xfrm>
                    <a:prstGeom prst="rect">
                      <a:avLst/>
                    </a:prstGeom>
                    <a:noFill/>
                    <a:ln>
                      <a:noFill/>
                    </a:ln>
                  </pic:spPr>
                </pic:pic>
              </a:graphicData>
            </a:graphic>
          </wp:anchor>
        </w:drawing>
      </w:r>
    </w:p>
    <w:p>
      <w:pPr>
        <w:pStyle w:val="2"/>
        <w:rPr>
          <w:rStyle w:val="7"/>
          <w:rFonts w:ascii="仿宋_GB2312" w:hAnsi="仿宋_GB2312" w:eastAsia="仿宋_GB2312"/>
          <w:b w:val="0"/>
          <w:bCs w:val="0"/>
          <w:i w:val="0"/>
          <w:caps w:val="0"/>
          <w:color w:val="000000"/>
          <w:spacing w:val="0"/>
          <w:w w:val="100"/>
          <w:kern w:val="2"/>
          <w:sz w:val="32"/>
          <w:szCs w:val="32"/>
          <w:lang w:val="en-US" w:eastAsia="zh-CN" w:bidi="ar-SA"/>
        </w:rPr>
      </w:pPr>
    </w:p>
    <w:p>
      <w:pPr>
        <w:rPr>
          <w:lang w:val="en-US" w:eastAsia="zh-CN"/>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p>
    <w:p>
      <w:pPr>
        <w:snapToGrid/>
        <w:spacing w:before="0" w:beforeAutospacing="0" w:after="0" w:afterAutospacing="0" w:line="592" w:lineRule="exact"/>
        <w:ind w:firstLine="643" w:firstLineChars="200"/>
        <w:jc w:val="both"/>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（图6：“三公”经费财政拨款支出结构）（饼状图）</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（一）因公出国（境）经费0万元，较2021年预算持平，主要原因是</w:t>
      </w:r>
      <w:r>
        <w:rPr>
          <w:rStyle w:val="11"/>
          <w:rFonts w:hint="eastAsia" w:ascii="仿宋_GB2312" w:hAnsi="仿宋_GB2312" w:eastAsia="仿宋_GB2312"/>
          <w:b w:val="0"/>
          <w:bCs w:val="0"/>
          <w:i w:val="0"/>
          <w:caps w:val="0"/>
          <w:color w:val="000000"/>
          <w:spacing w:val="0"/>
          <w:w w:val="100"/>
          <w:kern w:val="2"/>
          <w:sz w:val="32"/>
          <w:szCs w:val="32"/>
          <w:lang w:val="en-US" w:eastAsia="zh-CN" w:bidi="ar-SA"/>
        </w:rPr>
        <w:t>不涉及</w:t>
      </w:r>
      <w:r>
        <w:rPr>
          <w:rStyle w:val="11"/>
          <w:rFonts w:ascii="仿宋_GB2312" w:hAnsi="仿宋_GB2312" w:eastAsia="仿宋_GB2312"/>
          <w:b w:val="0"/>
          <w:bCs w:val="0"/>
          <w:i w:val="0"/>
          <w:caps w:val="0"/>
          <w:color w:val="000000"/>
          <w:spacing w:val="0"/>
          <w:w w:val="100"/>
          <w:kern w:val="2"/>
          <w:sz w:val="32"/>
          <w:szCs w:val="32"/>
          <w:lang w:val="en-US" w:eastAsia="zh-CN" w:bidi="ar-SA"/>
        </w:rPr>
        <w:t>因公出国（境）经费。</w:t>
      </w:r>
    </w:p>
    <w:p>
      <w:pPr>
        <w:pStyle w:val="2"/>
        <w:rPr>
          <w:rFonts w:hint="default"/>
          <w:lang w:val="en-US" w:eastAsia="zh-CN"/>
        </w:rPr>
      </w:pPr>
      <w:r>
        <w:rPr>
          <w:rFonts w:hint="eastAsia"/>
          <w:lang w:val="en-US" w:eastAsia="zh-CN"/>
        </w:rPr>
        <w:t xml:space="preserve">     </w:t>
      </w:r>
      <w:r>
        <w:rPr>
          <w:rFonts w:hint="eastAsia" w:ascii="仿宋_GB2312" w:eastAsia="仿宋_GB2312"/>
          <w:sz w:val="32"/>
          <w:szCs w:val="32"/>
        </w:rPr>
        <w:t>20</w:t>
      </w:r>
      <w:r>
        <w:rPr>
          <w:rFonts w:hint="eastAsia" w:ascii="仿宋_GB2312" w:eastAsia="仿宋_GB2312"/>
          <w:sz w:val="32"/>
          <w:szCs w:val="32"/>
          <w:lang w:val="en-US" w:eastAsia="zh-CN"/>
        </w:rPr>
        <w:t>22</w:t>
      </w:r>
      <w:r>
        <w:rPr>
          <w:rFonts w:hint="eastAsia" w:ascii="仿宋_GB2312" w:eastAsia="仿宋_GB2312"/>
          <w:sz w:val="32"/>
          <w:szCs w:val="32"/>
        </w:rPr>
        <w:t>年拟安排出国（境）</w:t>
      </w:r>
      <w:r>
        <w:rPr>
          <w:rFonts w:hint="eastAsia"/>
          <w:sz w:val="32"/>
          <w:szCs w:val="32"/>
          <w:lang w:val="en-US" w:eastAsia="zh-CN"/>
        </w:rPr>
        <w:t>0</w:t>
      </w:r>
      <w:r>
        <w:rPr>
          <w:rFonts w:hint="eastAsia" w:ascii="仿宋_GB2312" w:eastAsia="仿宋_GB2312"/>
          <w:sz w:val="32"/>
          <w:szCs w:val="32"/>
        </w:rPr>
        <w:t>人次。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（二）公务接待费0万元，较2021年</w:t>
      </w:r>
      <w:r>
        <w:rPr>
          <w:rStyle w:val="7"/>
          <w:rFonts w:ascii="仿宋_GB2312" w:hAnsi="仿宋_GB2312" w:eastAsia="仿宋_GB2312"/>
          <w:b w:val="0"/>
          <w:bCs w:val="0"/>
          <w:i w:val="0"/>
          <w:caps w:val="0"/>
          <w:color w:val="auto"/>
          <w:spacing w:val="0"/>
          <w:w w:val="100"/>
          <w:kern w:val="2"/>
          <w:sz w:val="32"/>
          <w:szCs w:val="32"/>
          <w:highlight w:val="none"/>
          <w:lang w:val="en-US" w:eastAsia="zh-CN" w:bidi="ar-SA"/>
        </w:rPr>
        <w:t>预算下降100%</w:t>
      </w:r>
      <w:r>
        <w:rPr>
          <w:rStyle w:val="11"/>
          <w:rFonts w:ascii="仿宋_GB2312" w:hAnsi="仿宋_GB2312" w:eastAsia="仿宋_GB2312"/>
          <w:b w:val="0"/>
          <w:bCs w:val="0"/>
          <w:i w:val="0"/>
          <w:caps w:val="0"/>
          <w:color w:val="000000"/>
          <w:spacing w:val="0"/>
          <w:w w:val="100"/>
          <w:kern w:val="2"/>
          <w:sz w:val="32"/>
          <w:szCs w:val="32"/>
          <w:lang w:val="en-US" w:eastAsia="zh-CN" w:bidi="ar-SA"/>
        </w:rPr>
        <w:t>，主要原因是2022年拟公务接待0人次。</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bCs w:val="0"/>
          <w:i w:val="0"/>
          <w:caps w:val="0"/>
          <w:color w:val="000000"/>
          <w:spacing w:val="0"/>
          <w:w w:val="100"/>
          <w:kern w:val="2"/>
          <w:sz w:val="32"/>
          <w:szCs w:val="32"/>
          <w:lang w:val="en-US" w:eastAsia="zh-CN" w:bidi="ar-SA"/>
        </w:rPr>
      </w:pPr>
      <w:r>
        <w:rPr>
          <w:rStyle w:val="11"/>
          <w:rFonts w:ascii="仿宋_GB2312" w:hAnsi="仿宋_GB2312" w:eastAsia="仿宋_GB2312"/>
          <w:b w:val="0"/>
          <w:bCs w:val="0"/>
          <w:i w:val="0"/>
          <w:caps w:val="0"/>
          <w:color w:val="000000"/>
          <w:spacing w:val="0"/>
          <w:w w:val="100"/>
          <w:kern w:val="2"/>
          <w:sz w:val="32"/>
          <w:szCs w:val="32"/>
          <w:lang w:val="en-US" w:eastAsia="zh-CN" w:bidi="ar-SA"/>
        </w:rPr>
        <w:t>（三）公务用车购置及运行维护费0万元，较2021年预算持平，主要原因是今年没有公车购置需求。</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单位现有公务用车0辆，其中：轿车0辆，越野车0辆，多功能乘用车0辆。</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2022年安排公务用车购置费0万元，较2021年预算持平。</w:t>
      </w:r>
    </w:p>
    <w:p>
      <w:pPr>
        <w:snapToGrid/>
        <w:spacing w:before="0" w:beforeAutospacing="0" w:after="0" w:afterAutospacing="0" w:line="592" w:lineRule="exact"/>
        <w:ind w:firstLine="640" w:firstLineChars="200"/>
        <w:jc w:val="both"/>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2022年安排公务用车运行维护费0万元，较2021年预持平，用于0辆公务用车（燃油、维修、保险）等方面支出。</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八、政府性基金预算支出情况说明　</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2022年使用政府性基金预算拨款安排0万元。</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lang w:val="en-US" w:eastAsia="zh-CN" w:bidi="ar-SA"/>
        </w:rPr>
      </w:pPr>
      <w:r>
        <w:rPr>
          <w:rStyle w:val="11"/>
          <w:rFonts w:ascii="黑体" w:hAnsi="黑体" w:eastAsia="黑体"/>
          <w:b w:val="0"/>
          <w:i w:val="0"/>
          <w:caps w:val="0"/>
          <w:color w:val="000000"/>
          <w:spacing w:val="0"/>
          <w:w w:val="100"/>
          <w:kern w:val="2"/>
          <w:sz w:val="32"/>
          <w:szCs w:val="32"/>
          <w:lang w:val="en-US" w:eastAsia="zh-CN" w:bidi="ar-SA"/>
        </w:rPr>
        <w:t>九、国有资本经营预算支出情况说明</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2022年没有使用国有资本经营预算拨款安排的支出。</w:t>
      </w:r>
    </w:p>
    <w:p>
      <w:pPr>
        <w:snapToGrid/>
        <w:spacing w:before="0" w:beforeAutospacing="0" w:after="0" w:afterAutospacing="0" w:line="592" w:lineRule="exact"/>
        <w:ind w:firstLine="640" w:firstLineChars="200"/>
        <w:jc w:val="left"/>
        <w:textAlignment w:val="baseline"/>
        <w:rPr>
          <w:rStyle w:val="11"/>
          <w:rFonts w:ascii="黑体" w:hAnsi="黑体" w:eastAsia="黑体"/>
          <w:b w:val="0"/>
          <w:bCs w:val="0"/>
          <w:i w:val="0"/>
          <w:caps w:val="0"/>
          <w:color w:val="000000"/>
          <w:spacing w:val="0"/>
          <w:w w:val="100"/>
          <w:kern w:val="2"/>
          <w:sz w:val="32"/>
          <w:szCs w:val="32"/>
          <w:lang w:val="en-US" w:eastAsia="zh-CN" w:bidi="ar-SA"/>
        </w:rPr>
      </w:pPr>
      <w:r>
        <w:rPr>
          <w:rStyle w:val="11"/>
          <w:rFonts w:ascii="黑体" w:hAnsi="黑体" w:eastAsia="黑体"/>
          <w:b w:val="0"/>
          <w:bCs w:val="0"/>
          <w:i w:val="0"/>
          <w:caps w:val="0"/>
          <w:color w:val="000000"/>
          <w:spacing w:val="0"/>
          <w:w w:val="100"/>
          <w:kern w:val="2"/>
          <w:sz w:val="32"/>
          <w:szCs w:val="32"/>
          <w:lang w:val="en-US" w:eastAsia="zh-CN" w:bidi="ar-SA"/>
        </w:rPr>
        <w:t>十、其他重要事项的情况说明</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（一）机关运行经费情况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auto"/>
          <w:spacing w:val="0"/>
          <w:w w:val="100"/>
          <w:kern w:val="2"/>
          <w:sz w:val="32"/>
          <w:szCs w:val="32"/>
          <w:highlight w:val="none"/>
          <w:lang w:val="en-US" w:eastAsia="zh-CN" w:bidi="ar-SA"/>
        </w:rPr>
      </w:pPr>
      <w:r>
        <w:rPr>
          <w:rStyle w:val="11"/>
          <w:rFonts w:ascii="仿宋_GB2312" w:hAnsi="仿宋_GB2312" w:eastAsia="仿宋_GB2312"/>
          <w:b w:val="0"/>
          <w:i w:val="0"/>
          <w:caps w:val="0"/>
          <w:color w:val="auto"/>
          <w:spacing w:val="0"/>
          <w:w w:val="100"/>
          <w:kern w:val="2"/>
          <w:sz w:val="32"/>
          <w:szCs w:val="32"/>
          <w:lang w:val="en-US" w:eastAsia="zh-CN" w:bidi="ar-SA"/>
        </w:rPr>
        <w:t>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auto"/>
          <w:spacing w:val="0"/>
          <w:w w:val="100"/>
          <w:kern w:val="2"/>
          <w:sz w:val="32"/>
          <w:szCs w:val="32"/>
          <w:lang w:val="en-US" w:eastAsia="zh-CN" w:bidi="ar-SA"/>
        </w:rPr>
        <w:t>履行一般行政管理职能、维持机关日常运转而开支的机关运行经费财政拨款预算为50.28万元，比2021年预算基本持平。</w:t>
      </w:r>
      <w:r>
        <w:rPr>
          <w:rStyle w:val="11"/>
          <w:rFonts w:hint="eastAsia" w:ascii="仿宋_GB2312" w:hAnsi="仿宋_GB2312" w:eastAsia="仿宋_GB2312"/>
          <w:b w:val="0"/>
          <w:i w:val="0"/>
          <w:caps w:val="0"/>
          <w:color w:val="auto"/>
          <w:spacing w:val="0"/>
          <w:w w:val="100"/>
          <w:kern w:val="2"/>
          <w:sz w:val="32"/>
          <w:szCs w:val="32"/>
          <w:highlight w:val="none"/>
          <w:lang w:val="en-US" w:eastAsia="zh-CN" w:bidi="ar-SA"/>
        </w:rPr>
        <w:t>主要原因是：基本支出与上年相比大约一致。</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auto"/>
          <w:spacing w:val="0"/>
          <w:w w:val="100"/>
          <w:kern w:val="2"/>
          <w:sz w:val="32"/>
          <w:szCs w:val="32"/>
          <w:lang w:val="en-US" w:eastAsia="zh-CN" w:bidi="ar-SA"/>
        </w:rPr>
      </w:pPr>
      <w:r>
        <w:rPr>
          <w:rStyle w:val="11"/>
          <w:rFonts w:ascii="仿宋_GB2312" w:hAnsi="仿宋_GB2312" w:eastAsia="仿宋_GB2312" w:cs="仿宋_GB2312"/>
          <w:b/>
          <w:bCs/>
          <w:i w:val="0"/>
          <w:caps w:val="0"/>
          <w:color w:val="auto"/>
          <w:spacing w:val="0"/>
          <w:w w:val="100"/>
          <w:kern w:val="2"/>
          <w:sz w:val="32"/>
          <w:szCs w:val="32"/>
          <w:lang w:val="en-US" w:eastAsia="zh-CN" w:bidi="ar-SA"/>
        </w:rPr>
        <w:t>（二）政府采购情况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auto"/>
          <w:spacing w:val="0"/>
          <w:w w:val="100"/>
          <w:kern w:val="2"/>
          <w:sz w:val="32"/>
          <w:szCs w:val="32"/>
          <w:lang w:val="en-US" w:eastAsia="zh-CN" w:bidi="ar-SA"/>
        </w:rPr>
        <w:t>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auto"/>
          <w:spacing w:val="0"/>
          <w:w w:val="100"/>
          <w:kern w:val="2"/>
          <w:sz w:val="32"/>
          <w:szCs w:val="32"/>
          <w:lang w:val="en-US" w:eastAsia="zh-CN" w:bidi="ar-SA"/>
        </w:rPr>
        <w:t>安排政府采购</w:t>
      </w:r>
      <w:r>
        <w:rPr>
          <w:rStyle w:val="11"/>
          <w:rFonts w:ascii="仿宋_GB2312" w:hAnsi="仿宋_GB2312" w:eastAsia="仿宋_GB2312"/>
          <w:b w:val="0"/>
          <w:i w:val="0"/>
          <w:caps w:val="0"/>
          <w:color w:val="000000"/>
          <w:spacing w:val="0"/>
          <w:w w:val="100"/>
          <w:kern w:val="2"/>
          <w:sz w:val="32"/>
          <w:szCs w:val="32"/>
          <w:lang w:val="en-US" w:eastAsia="zh-CN" w:bidi="ar-SA"/>
        </w:rPr>
        <w:t>预算7万元，主要用于主要用于采购办公设备等。</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（三）国有资产占有使用情况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截至2021年底，自流井区科技和经济信息化局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（单位）</w:t>
      </w:r>
      <w:r>
        <w:rPr>
          <w:rStyle w:val="11"/>
          <w:rFonts w:ascii="仿宋_GB2312" w:hAnsi="仿宋_GB2312" w:eastAsia="仿宋_GB2312"/>
          <w:b w:val="0"/>
          <w:i w:val="0"/>
          <w:caps w:val="0"/>
          <w:color w:val="000000"/>
          <w:spacing w:val="0"/>
          <w:w w:val="100"/>
          <w:kern w:val="2"/>
          <w:sz w:val="32"/>
          <w:szCs w:val="32"/>
          <w:lang w:val="en-US" w:eastAsia="zh-CN" w:bidi="ar-SA"/>
        </w:rPr>
        <w:t>所属各预算单位共有车辆0辆，其中，一般公务用车0辆、执法执勤用车0辆。单位价值100万元以上大型设备0台（套）。</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2022年部门预算安排购置一般公务用车0辆、执法执勤用车0辆，单位价值100万元以上大型设备0台（套）。</w:t>
      </w:r>
    </w:p>
    <w:p>
      <w:pPr>
        <w:snapToGrid/>
        <w:spacing w:before="0" w:beforeAutospacing="0" w:after="0" w:afterAutospacing="0" w:line="592" w:lineRule="exact"/>
        <w:ind w:firstLine="643" w:firstLineChars="200"/>
        <w:jc w:val="left"/>
        <w:textAlignment w:val="baseline"/>
        <w:rPr>
          <w:rStyle w:val="11"/>
          <w:rFonts w:ascii="仿宋_GB2312" w:hAnsi="仿宋_GB2312" w:eastAsia="仿宋_GB2312" w:cs="仿宋_GB2312"/>
          <w:b/>
          <w:bCs/>
          <w:i w:val="0"/>
          <w:caps w:val="0"/>
          <w:color w:val="000000"/>
          <w:spacing w:val="0"/>
          <w:w w:val="100"/>
          <w:kern w:val="2"/>
          <w:sz w:val="32"/>
          <w:szCs w:val="32"/>
          <w:lang w:val="en-US" w:eastAsia="zh-CN" w:bidi="ar-SA"/>
        </w:rPr>
      </w:pPr>
      <w:r>
        <w:rPr>
          <w:rStyle w:val="11"/>
          <w:rFonts w:ascii="仿宋_GB2312" w:hAnsi="仿宋_GB2312" w:eastAsia="仿宋_GB2312" w:cs="仿宋_GB2312"/>
          <w:b/>
          <w:bCs/>
          <w:i w:val="0"/>
          <w:caps w:val="0"/>
          <w:color w:val="000000"/>
          <w:spacing w:val="0"/>
          <w:w w:val="100"/>
          <w:kern w:val="2"/>
          <w:sz w:val="32"/>
          <w:szCs w:val="32"/>
          <w:lang w:val="en-US" w:eastAsia="zh-CN" w:bidi="ar-SA"/>
        </w:rPr>
        <w:t>（四）绩效目标设置情况</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绩效目标是预算编制的前提和基础，按照“费随事定”的原则，2022年自流井区科技和经济信息化局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Style w:val="11"/>
          <w:rFonts w:ascii="仿宋_GB2312" w:hAnsi="仿宋_GB2312" w:eastAsia="仿宋_GB2312"/>
          <w:b w:val="0"/>
          <w:i w:val="0"/>
          <w:caps w:val="0"/>
          <w:color w:val="000000"/>
          <w:spacing w:val="0"/>
          <w:w w:val="100"/>
          <w:kern w:val="2"/>
          <w:sz w:val="32"/>
          <w:szCs w:val="32"/>
          <w:lang w:val="en-US" w:eastAsia="zh-CN" w:bidi="ar-SA"/>
        </w:rPr>
        <w:t>所有专项项目均按要求编制了绩效目标,从项目完成、项目效益、满意度等方面设置了绩效指标，综合反映项目预期完成的数量、成本、时效、质量，预期达到的社会效益、经济效益、生态效益、可持续影响以及服务对象满意度等情况。</w:t>
      </w:r>
    </w:p>
    <w:p>
      <w:pPr>
        <w:spacing w:line="560" w:lineRule="exact"/>
        <w:ind w:firstLine="570"/>
        <w:rPr>
          <w:rFonts w:hint="eastAsia" w:ascii="仿宋_GB2312" w:hAnsi="仿宋_GB2312" w:eastAsia="仿宋_GB2312" w:cs="仿宋_GB2312"/>
          <w:b w:val="0"/>
          <w:bCs w:val="0"/>
          <w:sz w:val="32"/>
          <w:szCs w:val="32"/>
          <w:highlight w:val="none"/>
          <w:lang w:val="en-US" w:eastAsia="zh-CN"/>
        </w:rPr>
      </w:pPr>
      <w:r>
        <w:rPr>
          <w:rStyle w:val="11"/>
          <w:rFonts w:ascii="仿宋_GB2312" w:hAnsi="仿宋_GB2312" w:eastAsia="仿宋_GB2312"/>
          <w:b w:val="0"/>
          <w:i w:val="0"/>
          <w:caps w:val="0"/>
          <w:color w:val="000000"/>
          <w:spacing w:val="0"/>
          <w:w w:val="100"/>
          <w:kern w:val="2"/>
          <w:sz w:val="32"/>
          <w:szCs w:val="32"/>
          <w:lang w:val="en-US" w:eastAsia="zh-CN" w:bidi="ar-SA"/>
        </w:rPr>
        <w:t>自流井区科技和经济信息化局</w:t>
      </w:r>
      <w:r>
        <w:rPr>
          <w:rStyle w:val="11"/>
          <w:rFonts w:hint="eastAsia" w:ascii="仿宋_GB2312" w:hAnsi="仿宋_GB2312" w:eastAsia="仿宋_GB2312"/>
          <w:b w:val="0"/>
          <w:i w:val="0"/>
          <w:caps w:val="0"/>
          <w:color w:val="000000"/>
          <w:spacing w:val="0"/>
          <w:w w:val="100"/>
          <w:kern w:val="2"/>
          <w:sz w:val="32"/>
          <w:szCs w:val="32"/>
          <w:lang w:val="en-US" w:eastAsia="zh-CN" w:bidi="ar-SA"/>
        </w:rPr>
        <w:t>（部门）</w:t>
      </w:r>
      <w:r>
        <w:rPr>
          <w:rFonts w:ascii="仿宋_GB2312" w:eastAsia="仿宋_GB2312"/>
          <w:sz w:val="32"/>
          <w:szCs w:val="32"/>
        </w:rPr>
        <w:t>202</w:t>
      </w:r>
      <w:r>
        <w:rPr>
          <w:rFonts w:hint="eastAsia" w:ascii="仿宋_GB2312" w:eastAsia="仿宋_GB2312"/>
          <w:sz w:val="32"/>
          <w:szCs w:val="32"/>
          <w:lang w:val="en-US" w:eastAsia="zh-CN"/>
        </w:rPr>
        <w:t>2</w:t>
      </w:r>
      <w:r>
        <w:rPr>
          <w:rFonts w:hint="eastAsia" w:ascii="仿宋_GB2312" w:eastAsia="仿宋_GB2312"/>
          <w:sz w:val="32"/>
          <w:szCs w:val="32"/>
        </w:rPr>
        <w:t>年度部门预算</w:t>
      </w:r>
      <w:r>
        <w:rPr>
          <w:rFonts w:hint="eastAsia" w:ascii="仿宋_GB2312" w:eastAsia="仿宋_GB2312"/>
          <w:sz w:val="32"/>
          <w:szCs w:val="32"/>
          <w:lang w:val="en-US" w:eastAsia="zh-CN"/>
        </w:rPr>
        <w:t>重点项目绩效目标情况：</w:t>
      </w:r>
      <w:r>
        <w:rPr>
          <w:rFonts w:hint="eastAsia" w:ascii="仿宋_GB2312" w:hAnsi="仿宋_GB2312" w:eastAsia="仿宋_GB2312" w:cs="仿宋_GB2312"/>
          <w:color w:val="auto"/>
          <w:sz w:val="32"/>
          <w:szCs w:val="32"/>
          <w:lang w:val="en-US" w:eastAsia="zh-CN"/>
        </w:rPr>
        <w:t>第一个项目名称是工业扶持专项资金。绩效目标情况是：支付符合政策的工业企业政策资金，为企业提供相关政策</w:t>
      </w:r>
      <w:r>
        <w:rPr>
          <w:rFonts w:hint="eastAsia" w:ascii="仿宋_GB2312" w:hAnsi="仿宋_GB2312" w:eastAsia="仿宋_GB2312" w:cs="仿宋_GB2312"/>
          <w:color w:val="auto"/>
          <w:sz w:val="32"/>
          <w:szCs w:val="32"/>
          <w:highlight w:val="none"/>
          <w:lang w:val="en-US" w:eastAsia="zh-CN"/>
        </w:rPr>
        <w:t>对应的资金，帮助企业获得更多的收益。绩效目标分别制定了产出指标、效益指标、满意度指标。其中产出指标有数量指标，具体为31户企业提供相关政策对应的资金，帮助企业获得更多的收益；质量指标具体为完成目标任务率≥90%；成本指标是尽量将完成目标任务所需工作经费控制支付资金≤10%；时效指标具体为2022年内要完成任务；效益指标具体指经济效益指标，具体为支付给企业资金，保障企业正常生产，让经济效益的目标达到≥90%；满意度指标有服务对象满意度指标，具体为保证企业满意率≥90%。第二个项目名称是疫情期间对中小企业的补助资金。绩效目标情况是：完成本年度内应兑现的疫情期间中下企业补助、帮助企业复工复产，度过疫情期间难关。绩效目标分别制定了产出指标、效益指标、满意度指标。其中产出指标有数量指标，具体保障企业正常生产，达到预期生产额≥90%；质量指标具体为完成本年度内应兑现的疫情期间中下企业补助、帮助企业复工复产，度过疫情期间难关；成本指标是尽量将完成目标任务所需工作经费控制支付资金≤10%；时效指标具体为2022年内要完成任务；效益指标具体指经济效益指标，疫情期间对中小企业的支持，帮助企业复工复产，有助于提高经济效益≥90%；满意度指标有服务对象满意度指标，具体为保证企业满意率≥90%。</w:t>
      </w:r>
    </w:p>
    <w:p>
      <w:pPr>
        <w:snapToGrid/>
        <w:spacing w:before="0" w:beforeAutospacing="0" w:after="0" w:afterAutospacing="0" w:line="592" w:lineRule="exact"/>
        <w:ind w:firstLine="640" w:firstLineChars="200"/>
        <w:jc w:val="left"/>
        <w:textAlignment w:val="baseline"/>
        <w:rPr>
          <w:rStyle w:val="11"/>
          <w:rFonts w:ascii="黑体" w:hAnsi="黑体" w:eastAsia="黑体"/>
          <w:b w:val="0"/>
          <w:i w:val="0"/>
          <w:caps w:val="0"/>
          <w:color w:val="000000"/>
          <w:spacing w:val="0"/>
          <w:w w:val="100"/>
          <w:kern w:val="2"/>
          <w:sz w:val="32"/>
          <w:szCs w:val="32"/>
          <w:highlight w:val="none"/>
          <w:lang w:val="en-US" w:eastAsia="zh-CN" w:bidi="ar-SA"/>
        </w:rPr>
      </w:pPr>
      <w:r>
        <w:rPr>
          <w:rStyle w:val="11"/>
          <w:rFonts w:ascii="黑体" w:hAnsi="黑体" w:eastAsia="黑体"/>
          <w:b w:val="0"/>
          <w:i w:val="0"/>
          <w:caps w:val="0"/>
          <w:color w:val="000000"/>
          <w:spacing w:val="0"/>
          <w:w w:val="100"/>
          <w:kern w:val="2"/>
          <w:sz w:val="32"/>
          <w:szCs w:val="32"/>
          <w:highlight w:val="none"/>
          <w:lang w:val="en-US" w:eastAsia="zh-CN" w:bidi="ar-SA"/>
        </w:rPr>
        <w:t>十一、名词解释</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lang w:val="en-US" w:eastAsia="zh-CN" w:bidi="ar-SA"/>
        </w:rPr>
        <w:t>（一）一般公共预算拨款收入：指区级财政当年拨付的资金。</w:t>
      </w:r>
    </w:p>
    <w:p>
      <w:pPr>
        <w:snapToGrid/>
        <w:spacing w:before="0" w:beforeAutospacing="0" w:after="0" w:afterAutospacing="0" w:line="592" w:lineRule="exact"/>
        <w:ind w:firstLine="64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二</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）科学技术支出（类）科学技术管理事务（款）行政运行（项）：反映行政单位的基本支出。</w:t>
      </w:r>
    </w:p>
    <w:p>
      <w:pPr>
        <w:snapToGrid/>
        <w:spacing w:before="0" w:beforeAutospacing="0" w:after="0" w:afterAutospacing="0" w:line="592" w:lineRule="exact"/>
        <w:ind w:firstLine="64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三</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）科学技术支出（类）科学技术管理事务（款）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其他科学技术管理事务</w:t>
      </w:r>
      <w:r>
        <w:rPr>
          <w:rStyle w:val="11"/>
          <w:rFonts w:ascii="仿宋_GB2312" w:hAnsi="仿宋_GB2312" w:eastAsia="仿宋_GB2312"/>
          <w:b w:val="0"/>
          <w:i w:val="0"/>
          <w:caps w:val="0"/>
          <w:color w:val="000000"/>
          <w:spacing w:val="0"/>
          <w:w w:val="100"/>
          <w:kern w:val="2"/>
          <w:sz w:val="32"/>
          <w:szCs w:val="32"/>
          <w:highlight w:val="none"/>
          <w:lang w:val="en-US" w:eastAsia="zh-CN" w:bidi="ar-SA"/>
        </w:rPr>
        <w:t>（项）：反映</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其他用于科学技术管理事务方面的支出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w:t>
      </w:r>
    </w:p>
    <w:p>
      <w:pPr>
        <w:snapToGrid/>
        <w:spacing w:before="0" w:beforeAutospacing="0" w:after="0" w:afterAutospacing="0" w:line="592" w:lineRule="exact"/>
        <w:ind w:firstLine="640"/>
        <w:jc w:val="left"/>
        <w:textAlignment w:val="baseline"/>
        <w:rPr>
          <w:lang w:val="en-US" w:eastAsia="zh-CN"/>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四</w:t>
      </w:r>
      <w:r>
        <w:rPr>
          <w:rStyle w:val="11"/>
          <w:rFonts w:ascii="仿宋_GB2312" w:hAnsi="仿宋_GB2312" w:eastAsia="仿宋_GB2312"/>
          <w:b w:val="0"/>
          <w:i w:val="0"/>
          <w:caps w:val="0"/>
          <w:color w:val="000000"/>
          <w:spacing w:val="0"/>
          <w:w w:val="100"/>
          <w:kern w:val="2"/>
          <w:sz w:val="32"/>
          <w:szCs w:val="32"/>
          <w:highlight w:val="none"/>
          <w:lang w:val="en-US" w:eastAsia="zh-CN" w:bidi="ar-SA"/>
        </w:rPr>
        <w:t>）科学技术支出（类）</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基础研究</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其他基础研究支出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反映其他用于基础研究工作的支出，包括中科院、农科院研究生研究的支出，博士学科点科研基金和博士后科学基金学等方面的支出。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五</w:t>
      </w:r>
      <w:r>
        <w:rPr>
          <w:rStyle w:val="11"/>
          <w:rFonts w:ascii="仿宋_GB2312" w:hAnsi="仿宋_GB2312" w:eastAsia="仿宋_GB2312"/>
          <w:b w:val="0"/>
          <w:i w:val="0"/>
          <w:caps w:val="0"/>
          <w:color w:val="000000"/>
          <w:spacing w:val="0"/>
          <w:w w:val="100"/>
          <w:kern w:val="2"/>
          <w:sz w:val="32"/>
          <w:szCs w:val="32"/>
          <w:highlight w:val="none"/>
          <w:lang w:val="en-US" w:eastAsia="zh-CN" w:bidi="ar-SA"/>
        </w:rPr>
        <w:t>）社会保障和就业支出（类）行政事业单位养老支出（款）行政单位离退休（项）：指机关离退休人员的支出。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六</w:t>
      </w:r>
      <w:r>
        <w:rPr>
          <w:rStyle w:val="11"/>
          <w:rFonts w:ascii="仿宋_GB2312" w:hAnsi="仿宋_GB2312" w:eastAsia="仿宋_GB2312"/>
          <w:b w:val="0"/>
          <w:i w:val="0"/>
          <w:caps w:val="0"/>
          <w:color w:val="000000"/>
          <w:spacing w:val="0"/>
          <w:w w:val="100"/>
          <w:kern w:val="2"/>
          <w:sz w:val="32"/>
          <w:szCs w:val="32"/>
          <w:highlight w:val="none"/>
          <w:lang w:val="en-US" w:eastAsia="zh-CN" w:bidi="ar-SA"/>
        </w:rPr>
        <w:t>）社会保障和就业支出（类）行政事业单位养老支出（款）机关事业单位基本养老保险缴费支出（项）：指部门实施养老保险制度由单位缴纳的养老保险费的支出。</w:t>
      </w:r>
    </w:p>
    <w:p>
      <w:pPr>
        <w:keepNext w:val="0"/>
        <w:keepLines w:val="0"/>
        <w:pageBreakBefore w:val="0"/>
        <w:widowControl w:val="0"/>
        <w:kinsoku/>
        <w:wordWrap/>
        <w:overflowPunct/>
        <w:topLinePunct w:val="0"/>
        <w:bidi w:val="0"/>
        <w:spacing w:line="592" w:lineRule="exact"/>
        <w:ind w:firstLine="640" w:firstLineChars="200"/>
        <w:textAlignment w:val="auto"/>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七</w:t>
      </w: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25"/>
          <w:rFonts w:hint="eastAsia" w:ascii="仿宋_GB2312" w:eastAsia="仿宋_GB2312"/>
          <w:b w:val="0"/>
          <w:bCs w:val="0"/>
          <w:sz w:val="32"/>
          <w:szCs w:val="32"/>
        </w:rPr>
        <w:t>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（类）</w:t>
      </w:r>
      <w:r>
        <w:rPr>
          <w:rStyle w:val="25"/>
          <w:rFonts w:hint="eastAsia" w:ascii="仿宋_GB2312" w:eastAsia="仿宋_GB2312"/>
          <w:b w:val="0"/>
          <w:bCs w:val="0"/>
          <w:sz w:val="32"/>
          <w:szCs w:val="32"/>
        </w:rPr>
        <w:t>其他社会保障和就业支出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25"/>
          <w:rFonts w:hint="eastAsia" w:ascii="仿宋_GB2312" w:eastAsia="仿宋_GB2312"/>
          <w:b w:val="0"/>
          <w:bCs w:val="0"/>
          <w:sz w:val="32"/>
          <w:szCs w:val="32"/>
        </w:rPr>
        <w:t>其他社会保障和就业支出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25"/>
          <w:rFonts w:hint="eastAsia" w:ascii="仿宋_GB2312" w:eastAsia="仿宋_GB2312"/>
          <w:b w:val="0"/>
          <w:bCs w:val="0"/>
          <w:sz w:val="32"/>
          <w:szCs w:val="32"/>
        </w:rPr>
        <w:t>，指除上述项目以外的其他用于社会保障和就业方面的支出。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八</w:t>
      </w:r>
      <w:r>
        <w:rPr>
          <w:rStyle w:val="11"/>
          <w:rFonts w:ascii="仿宋_GB2312" w:hAnsi="仿宋_GB2312" w:eastAsia="仿宋_GB2312"/>
          <w:b w:val="0"/>
          <w:i w:val="0"/>
          <w:caps w:val="0"/>
          <w:color w:val="000000"/>
          <w:spacing w:val="0"/>
          <w:w w:val="100"/>
          <w:kern w:val="2"/>
          <w:sz w:val="32"/>
          <w:szCs w:val="32"/>
          <w:highlight w:val="none"/>
          <w:lang w:val="en-US" w:eastAsia="zh-CN" w:bidi="ar-SA"/>
        </w:rPr>
        <w:t>）卫生健康支出（类）行政事业单位医疗（款）行政单位医疗（项）：指机关及参公管理事业单位用于缴纳单位基本医疗保险支出。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highlight w:val="none"/>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九</w:t>
      </w:r>
      <w:r>
        <w:rPr>
          <w:rStyle w:val="11"/>
          <w:rFonts w:ascii="仿宋_GB2312" w:hAnsi="仿宋_GB2312" w:eastAsia="仿宋_GB2312"/>
          <w:b w:val="0"/>
          <w:i w:val="0"/>
          <w:caps w:val="0"/>
          <w:color w:val="000000"/>
          <w:spacing w:val="0"/>
          <w:w w:val="100"/>
          <w:kern w:val="2"/>
          <w:sz w:val="32"/>
          <w:szCs w:val="32"/>
          <w:highlight w:val="none"/>
          <w:lang w:val="en-US" w:eastAsia="zh-CN" w:bidi="ar-SA"/>
        </w:rPr>
        <w:t>）资源勘探工业信息等支出（类）</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制造业</w:t>
      </w:r>
      <w:r>
        <w:rPr>
          <w:rStyle w:val="11"/>
          <w:rFonts w:ascii="仿宋_GB2312" w:hAnsi="仿宋_GB2312" w:eastAsia="仿宋_GB2312"/>
          <w:b w:val="0"/>
          <w:i w:val="0"/>
          <w:caps w:val="0"/>
          <w:color w:val="000000"/>
          <w:spacing w:val="0"/>
          <w:w w:val="100"/>
          <w:kern w:val="2"/>
          <w:sz w:val="32"/>
          <w:szCs w:val="32"/>
          <w:highlight w:val="none"/>
          <w:lang w:val="en-US" w:eastAsia="zh-CN" w:bidi="ar-SA"/>
        </w:rPr>
        <w:t>（款）</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其他制造业支出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t>（项）：</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反映其他用于制造业方面的支出。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w:t>
      </w:r>
      <w:r>
        <w:rPr>
          <w:rStyle w:val="11"/>
          <w:rFonts w:ascii="仿宋_GB2312" w:hAnsi="仿宋_GB2312" w:eastAsia="仿宋_GB2312"/>
          <w:b w:val="0"/>
          <w:i w:val="0"/>
          <w:caps w:val="0"/>
          <w:color w:val="000000"/>
          <w:spacing w:val="0"/>
          <w:w w:val="100"/>
          <w:kern w:val="2"/>
          <w:sz w:val="32"/>
          <w:szCs w:val="32"/>
          <w:highlight w:val="none"/>
          <w:lang w:val="en-US" w:eastAsia="zh-CN" w:bidi="ar-SA"/>
        </w:rPr>
        <w:t>）住房保障（类）住房改革支出（款）住房公积金（项）：指按照《住房公积金管理条例》的规定，由单位及其在职职工缴存的长期住房储金。</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十一</w:t>
      </w:r>
      <w:r>
        <w:rPr>
          <w:rStyle w:val="11"/>
          <w:rFonts w:ascii="仿宋_GB2312" w:hAnsi="仿宋_GB2312" w:eastAsia="仿宋_GB2312"/>
          <w:b w:val="0"/>
          <w:i w:val="0"/>
          <w:caps w:val="0"/>
          <w:color w:val="000000"/>
          <w:spacing w:val="0"/>
          <w:w w:val="100"/>
          <w:kern w:val="2"/>
          <w:sz w:val="32"/>
          <w:szCs w:val="32"/>
          <w:highlight w:val="none"/>
          <w:lang w:val="en-US" w:eastAsia="zh-CN" w:bidi="ar-SA"/>
        </w:rPr>
        <w:t>）基本支出：指为保证机构正常运转，完成日常工作任务而发生的人员支出和公用支出。</w:t>
      </w:r>
      <w:r>
        <w:rPr>
          <w:rStyle w:val="11"/>
          <w:rFonts w:ascii="仿宋_GB2312" w:hAnsi="仿宋_GB2312" w:eastAsia="仿宋_GB2312"/>
          <w:b w:val="0"/>
          <w:i w:val="0"/>
          <w:caps w:val="0"/>
          <w:color w:val="000000"/>
          <w:spacing w:val="0"/>
          <w:w w:val="100"/>
          <w:kern w:val="2"/>
          <w:sz w:val="32"/>
          <w:szCs w:val="32"/>
          <w:highlight w:val="none"/>
          <w:lang w:val="en-US" w:eastAsia="zh-CN" w:bidi="ar-SA"/>
        </w:rPr>
        <w:br w:type="textWrapping"/>
      </w:r>
      <w:r>
        <w:rPr>
          <w:rStyle w:val="11"/>
          <w:rFonts w:ascii="仿宋_GB2312" w:hAnsi="仿宋_GB2312" w:eastAsia="仿宋_GB2312"/>
          <w:b w:val="0"/>
          <w:i w:val="0"/>
          <w:caps w:val="0"/>
          <w:color w:val="000000"/>
          <w:spacing w:val="0"/>
          <w:w w:val="100"/>
          <w:kern w:val="2"/>
          <w:sz w:val="32"/>
          <w:szCs w:val="32"/>
          <w:highlight w:val="none"/>
          <w:lang w:val="en-US" w:eastAsia="zh-CN" w:bidi="ar-SA"/>
        </w:rPr>
        <w:t>　　（</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十二</w:t>
      </w:r>
      <w:r>
        <w:rPr>
          <w:rStyle w:val="11"/>
          <w:rFonts w:ascii="仿宋_GB2312" w:hAnsi="仿宋_GB2312" w:eastAsia="仿宋_GB2312"/>
          <w:b w:val="0"/>
          <w:i w:val="0"/>
          <w:caps w:val="0"/>
          <w:color w:val="000000"/>
          <w:spacing w:val="0"/>
          <w:w w:val="100"/>
          <w:kern w:val="2"/>
          <w:sz w:val="32"/>
          <w:szCs w:val="32"/>
          <w:highlight w:val="none"/>
          <w:lang w:val="en-US" w:eastAsia="zh-CN" w:bidi="ar-SA"/>
        </w:rPr>
        <w:t>）项目支出：指在基本支出之外为完成特定行政任务和事业发展目标所发生的支出。</w:t>
      </w:r>
    </w:p>
    <w:p>
      <w:pPr>
        <w:snapToGrid/>
        <w:spacing w:before="0" w:beforeAutospacing="0" w:after="0" w:afterAutospacing="0" w:line="592" w:lineRule="exact"/>
        <w:ind w:firstLine="640" w:firstLineChars="200"/>
        <w:jc w:val="left"/>
        <w:textAlignment w:val="baseline"/>
        <w:rPr>
          <w:rStyle w:val="11"/>
          <w:rFonts w:ascii="仿宋_GB2312" w:hAnsi="仿宋_GB2312" w:eastAsia="仿宋_GB2312"/>
          <w:b w:val="0"/>
          <w:i w:val="0"/>
          <w:caps w:val="0"/>
          <w:color w:val="000000"/>
          <w:spacing w:val="0"/>
          <w:w w:val="100"/>
          <w:kern w:val="2"/>
          <w:sz w:val="32"/>
          <w:szCs w:val="32"/>
          <w:lang w:val="en-US" w:eastAsia="zh-CN" w:bidi="ar-SA"/>
        </w:rPr>
      </w:pPr>
      <w:r>
        <w:rPr>
          <w:rStyle w:val="11"/>
          <w:rFonts w:ascii="仿宋_GB2312" w:hAnsi="仿宋_GB2312" w:eastAsia="仿宋_GB2312"/>
          <w:b w:val="0"/>
          <w:i w:val="0"/>
          <w:caps w:val="0"/>
          <w:color w:val="000000"/>
          <w:spacing w:val="0"/>
          <w:w w:val="100"/>
          <w:kern w:val="2"/>
          <w:sz w:val="32"/>
          <w:szCs w:val="32"/>
          <w:highlight w:val="none"/>
          <w:lang w:val="en-US" w:eastAsia="zh-CN" w:bidi="ar-SA"/>
        </w:rPr>
        <w:t>（十</w:t>
      </w:r>
      <w:r>
        <w:rPr>
          <w:rStyle w:val="11"/>
          <w:rFonts w:hint="eastAsia" w:ascii="仿宋_GB2312" w:hAnsi="仿宋_GB2312" w:eastAsia="仿宋_GB2312"/>
          <w:b w:val="0"/>
          <w:i w:val="0"/>
          <w:caps w:val="0"/>
          <w:color w:val="000000"/>
          <w:spacing w:val="0"/>
          <w:w w:val="100"/>
          <w:kern w:val="2"/>
          <w:sz w:val="32"/>
          <w:szCs w:val="32"/>
          <w:highlight w:val="none"/>
          <w:lang w:val="en-US" w:eastAsia="zh-CN" w:bidi="ar-SA"/>
        </w:rPr>
        <w:t>三</w:t>
      </w:r>
      <w:r>
        <w:rPr>
          <w:rStyle w:val="11"/>
          <w:rFonts w:ascii="仿宋_GB2312" w:hAnsi="仿宋_GB2312" w:eastAsia="仿宋_GB2312"/>
          <w:b w:val="0"/>
          <w:i w:val="0"/>
          <w:caps w:val="0"/>
          <w:color w:val="000000"/>
          <w:spacing w:val="0"/>
          <w:w w:val="100"/>
          <w:kern w:val="2"/>
          <w:sz w:val="32"/>
          <w:szCs w:val="32"/>
          <w:highlight w:val="none"/>
          <w:lang w:val="en-US" w:eastAsia="zh-CN" w:bidi="ar-SA"/>
        </w:rPr>
        <w:t>）“三公”经费：纳入财政厅预算管理的“三公”经费，是指部门用财政拨款安排的因公出国（境）费、公务用车购置及运行费和公务接待费。其中，因公出国（境）费反映</w:t>
      </w:r>
      <w:r>
        <w:rPr>
          <w:rStyle w:val="11"/>
          <w:rFonts w:ascii="仿宋_GB2312" w:hAnsi="仿宋_GB2312" w:eastAsia="仿宋_GB2312"/>
          <w:b w:val="0"/>
          <w:i w:val="0"/>
          <w:caps w:val="0"/>
          <w:color w:val="000000"/>
          <w:spacing w:val="0"/>
          <w:w w:val="100"/>
          <w:kern w:val="2"/>
          <w:sz w:val="32"/>
          <w:szCs w:val="32"/>
          <w:lang w:val="en-US" w:eastAsia="zh-CN" w:bidi="ar-SA"/>
        </w:rPr>
        <w:t>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pPr>
        <w:spacing w:line="592" w:lineRule="exact"/>
        <w:ind w:firstLine="640" w:firstLineChars="200"/>
        <w:rPr>
          <w:rFonts w:hint="eastAsia" w:ascii="仿宋_GB2312" w:eastAsia="仿宋_GB2312"/>
          <w:color w:val="000000"/>
          <w:sz w:val="32"/>
          <w:szCs w:val="32"/>
        </w:rPr>
      </w:pPr>
      <w:r>
        <w:rPr>
          <w:rStyle w:val="11"/>
          <w:rFonts w:ascii="仿宋_GB2312" w:hAnsi="仿宋_GB2312" w:eastAsia="仿宋_GB2312"/>
          <w:b w:val="0"/>
          <w:i w:val="0"/>
          <w:caps w:val="0"/>
          <w:color w:val="000000"/>
          <w:spacing w:val="0"/>
          <w:w w:val="100"/>
          <w:kern w:val="2"/>
          <w:sz w:val="32"/>
          <w:szCs w:val="32"/>
          <w:lang w:val="en-US" w:eastAsia="zh-CN" w:bidi="ar-SA"/>
        </w:rPr>
        <w:t>（十</w:t>
      </w:r>
      <w:r>
        <w:rPr>
          <w:rStyle w:val="11"/>
          <w:rFonts w:hint="eastAsia" w:ascii="仿宋_GB2312" w:hAnsi="仿宋_GB2312" w:eastAsia="仿宋_GB2312"/>
          <w:b w:val="0"/>
          <w:i w:val="0"/>
          <w:caps w:val="0"/>
          <w:color w:val="000000"/>
          <w:spacing w:val="0"/>
          <w:w w:val="100"/>
          <w:kern w:val="2"/>
          <w:sz w:val="32"/>
          <w:szCs w:val="32"/>
          <w:lang w:val="en-US" w:eastAsia="zh-CN" w:bidi="ar-SA"/>
        </w:rPr>
        <w:t>四</w:t>
      </w:r>
      <w:r>
        <w:rPr>
          <w:rStyle w:val="11"/>
          <w:rFonts w:ascii="仿宋_GB2312" w:hAnsi="仿宋_GB2312" w:eastAsia="仿宋_GB2312"/>
          <w:b w:val="0"/>
          <w:i w:val="0"/>
          <w:caps w:val="0"/>
          <w:color w:val="000000"/>
          <w:spacing w:val="0"/>
          <w:w w:val="100"/>
          <w:kern w:val="2"/>
          <w:sz w:val="32"/>
          <w:szCs w:val="32"/>
          <w:lang w:val="en-US" w:eastAsia="zh-CN" w:bidi="ar-SA"/>
        </w:rPr>
        <w:t>）</w:t>
      </w:r>
      <w:r>
        <w:rPr>
          <w:rFonts w:hint="eastAsia" w:ascii="仿宋_GB2312" w:eastAsia="仿宋_GB2312"/>
          <w:color w:val="000000"/>
          <w:sz w:val="32"/>
          <w:szCs w:val="32"/>
        </w:rPr>
        <w:t>机关运行经费：为保障行政单位（包含参照公务员法管理的事业单位）运行用于购买货物和服务的各项资金。包括办公及印刷费、邮电费、差旅费、公务接待、公务用车运行维护费、一般设备购置费等费用开支。</w:t>
      </w:r>
    </w:p>
    <w:p>
      <w:pPr>
        <w:rPr>
          <w:rFonts w:hint="eastAsia" w:ascii="仿宋_GB2312" w:eastAsia="仿宋_GB2312"/>
          <w:color w:val="000000"/>
          <w:sz w:val="32"/>
          <w:szCs w:val="32"/>
        </w:rPr>
      </w:pPr>
    </w:p>
    <w:p>
      <w:pPr>
        <w:rPr>
          <w:rFonts w:hint="eastAsia" w:ascii="仿宋_GB2312" w:eastAsia="仿宋_GB2312"/>
          <w:color w:val="000000"/>
          <w:sz w:val="32"/>
          <w:szCs w:val="32"/>
        </w:rPr>
      </w:pPr>
    </w:p>
    <w:p>
      <w:pPr>
        <w:rPr>
          <w:rFonts w:hint="eastAsia" w:ascii="仿宋_GB2312" w:eastAsia="仿宋_GB2312"/>
          <w:color w:val="000000"/>
          <w:sz w:val="32"/>
          <w:szCs w:val="32"/>
        </w:rPr>
      </w:pPr>
      <w:r>
        <w:rPr>
          <w:rFonts w:hint="eastAsia" w:ascii="仿宋_GB2312" w:eastAsia="仿宋_GB2312"/>
          <w:color w:val="000000"/>
          <w:sz w:val="32"/>
          <w:szCs w:val="32"/>
        </w:rPr>
        <w:t xml:space="preserve">附件： </w:t>
      </w:r>
      <w:r>
        <w:rPr>
          <w:rFonts w:ascii="仿宋_GB2312" w:eastAsia="仿宋_GB2312"/>
          <w:color w:val="000000"/>
          <w:sz w:val="32"/>
          <w:szCs w:val="32"/>
        </w:rPr>
        <w:t xml:space="preserve"> </w:t>
      </w:r>
      <w:r>
        <w:rPr>
          <w:rFonts w:hint="eastAsia" w:ascii="仿宋_GB2312" w:eastAsia="仿宋_GB2312"/>
          <w:color w:val="000000"/>
          <w:sz w:val="32"/>
          <w:szCs w:val="32"/>
          <w:lang w:val="en-US" w:eastAsia="zh-CN"/>
        </w:rPr>
        <w:t xml:space="preserve">  </w:t>
      </w:r>
      <w:r>
        <w:rPr>
          <w:rFonts w:hint="eastAsia" w:ascii="仿宋_GB2312" w:eastAsia="仿宋_GB2312"/>
          <w:color w:val="000000"/>
          <w:sz w:val="32"/>
          <w:szCs w:val="32"/>
        </w:rPr>
        <w:t>表1.部门收支总表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表1-1.部门收入总表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表1-2.部门支出总表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表2.财政拨款收支总表</w:t>
      </w:r>
    </w:p>
    <w:p>
      <w:pPr>
        <w:ind w:firstLine="1600" w:firstLineChars="500"/>
        <w:rPr>
          <w:rFonts w:ascii="仿宋_GB2312" w:eastAsia="仿宋_GB2312"/>
          <w:color w:val="000000"/>
          <w:sz w:val="32"/>
          <w:szCs w:val="32"/>
        </w:rPr>
      </w:pPr>
      <w:r>
        <w:rPr>
          <w:rFonts w:hint="eastAsia" w:ascii="仿宋_GB2312" w:eastAsia="仿宋_GB2312"/>
          <w:color w:val="000000"/>
          <w:sz w:val="32"/>
          <w:szCs w:val="32"/>
        </w:rPr>
        <w:t>表2-1. 财政拨款支出预算表</w:t>
      </w:r>
      <w:r>
        <w:rPr>
          <w:rFonts w:hint="eastAsia" w:ascii="仿宋_GB2312" w:eastAsia="仿宋_GB2312"/>
          <w:color w:val="000000"/>
          <w:sz w:val="28"/>
          <w:szCs w:val="28"/>
        </w:rPr>
        <w:t>（政府经济分类科目）</w:t>
      </w:r>
      <w:r>
        <w:rPr>
          <w:rFonts w:hint="eastAsia" w:ascii="仿宋_GB2312" w:eastAsia="仿宋_GB2312"/>
          <w:color w:val="000000"/>
          <w:sz w:val="32"/>
          <w:szCs w:val="32"/>
        </w:rPr>
        <w:br w:type="textWrapping"/>
      </w:r>
      <w:r>
        <w:rPr>
          <w:rFonts w:hint="eastAsia" w:ascii="仿宋_GB2312" w:eastAsia="仿宋_GB2312"/>
          <w:color w:val="000000"/>
          <w:sz w:val="32"/>
          <w:szCs w:val="32"/>
        </w:rPr>
        <w:t>　　　　　表3.一般公共预算支出预算表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表3-1.一般公共预算基本支出预算表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表3-2.一般公共预算项目支出预算表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表3-3.一般公共预算“三公”经费支出预算表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表4.政府性基金支出预算表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表4-1.政府性基金预算“三公”经费支出预算表</w:t>
      </w:r>
      <w:r>
        <w:rPr>
          <w:rFonts w:hint="eastAsia" w:ascii="仿宋_GB2312" w:eastAsia="仿宋_GB2312"/>
          <w:color w:val="000000"/>
          <w:sz w:val="32"/>
          <w:szCs w:val="32"/>
        </w:rPr>
        <w:br w:type="textWrapping"/>
      </w:r>
      <w:r>
        <w:rPr>
          <w:rFonts w:hint="eastAsia" w:ascii="仿宋_GB2312" w:eastAsia="仿宋_GB2312"/>
          <w:color w:val="000000"/>
          <w:sz w:val="32"/>
          <w:szCs w:val="32"/>
        </w:rPr>
        <w:t>　　　　　表5.国有资本经营预算支出预算表</w:t>
      </w:r>
    </w:p>
    <w:p>
      <w:pPr>
        <w:ind w:firstLine="1600" w:firstLineChars="500"/>
        <w:rPr>
          <w:rStyle w:val="11"/>
          <w:rFonts w:ascii="仿宋_GB2312" w:hAnsi="仿宋_GB2312" w:eastAsia="仿宋_GB2312"/>
          <w:b w:val="0"/>
          <w:i w:val="0"/>
          <w:caps w:val="0"/>
          <w:color w:val="000000"/>
          <w:spacing w:val="0"/>
          <w:w w:val="100"/>
          <w:kern w:val="2"/>
          <w:sz w:val="32"/>
          <w:szCs w:val="32"/>
          <w:lang w:val="en-US" w:eastAsia="zh-CN" w:bidi="ar-SA"/>
        </w:rPr>
      </w:pPr>
      <w:r>
        <w:rPr>
          <w:rFonts w:hint="eastAsia" w:ascii="仿宋_GB2312" w:eastAsia="仿宋_GB2312"/>
          <w:color w:val="000000"/>
          <w:sz w:val="32"/>
          <w:szCs w:val="32"/>
        </w:rPr>
        <w:t>表6</w:t>
      </w:r>
      <w:r>
        <w:rPr>
          <w:rFonts w:ascii="仿宋_GB2312" w:eastAsia="仿宋_GB2312"/>
          <w:color w:val="000000"/>
          <w:sz w:val="32"/>
          <w:szCs w:val="32"/>
        </w:rPr>
        <w:t>.</w:t>
      </w:r>
      <w:r>
        <w:rPr>
          <w:rFonts w:hint="eastAsia" w:ascii="仿宋_GB2312" w:eastAsia="仿宋_GB2312"/>
          <w:color w:val="000000"/>
          <w:sz w:val="32"/>
          <w:szCs w:val="32"/>
        </w:rPr>
        <w:t>项目</w:t>
      </w:r>
      <w:r>
        <w:rPr>
          <w:rFonts w:hint="eastAsia" w:ascii="仿宋_GB2312" w:eastAsia="仿宋_GB2312"/>
          <w:color w:val="000000"/>
          <w:sz w:val="32"/>
          <w:szCs w:val="32"/>
          <w:lang w:val="en-US" w:eastAsia="zh-CN"/>
        </w:rPr>
        <w:t>支出</w:t>
      </w:r>
      <w:r>
        <w:rPr>
          <w:rFonts w:hint="eastAsia" w:ascii="仿宋_GB2312" w:eastAsia="仿宋_GB2312"/>
          <w:color w:val="000000"/>
          <w:sz w:val="32"/>
          <w:szCs w:val="32"/>
        </w:rPr>
        <w:t>绩效目标</w:t>
      </w:r>
    </w:p>
    <w:sectPr>
      <w:footerReference r:id="rId5" w:type="default"/>
      <w:pgSz w:w="11906" w:h="16838"/>
      <w:pgMar w:top="2098" w:right="1474" w:bottom="1984" w:left="1587" w:header="851" w:footer="992" w:gutter="0"/>
      <w:lnNumType w:countBy="0"/>
      <w:pgNumType w:fmt="decimal"/>
      <w:cols w:space="425" w:num="1"/>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Calibri Light">
    <w:panose1 w:val="020F0302020204030204"/>
    <w:charset w:val="00"/>
    <w:family w:val="roman"/>
    <w:pitch w:val="default"/>
    <w:sig w:usb0="E4002EFF" w:usb1="C000247B" w:usb2="00000009" w:usb3="00000000" w:csb0="200001FF" w:csb1="00000000"/>
  </w:font>
  <w:font w:name="方正小标宋简体">
    <w:altName w:val="黑体"/>
    <w:panose1 w:val="03000509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left"/>
      <w:textAlignment w:val="baseline"/>
      <w:rPr>
        <w:rStyle w:val="11"/>
        <w:kern w:val="2"/>
        <w:sz w:val="18"/>
        <w:szCs w:val="18"/>
        <w:lang w:val="en-US" w:eastAsia="zh-CN" w:bidi="ar-SA"/>
      </w:rPr>
    </w:pPr>
    <w:r>
      <w:rPr>
        <w:sz w:val="18"/>
      </w:rPr>
      <mc:AlternateContent>
        <mc:Choice Requires="wps">
          <w:drawing>
            <wp:anchor distT="0" distB="0" distL="114300" distR="114300" simplePos="0" relativeHeight="251663360" behindDoc="0" locked="0" layoutInCell="1" allowOverlap="1">
              <wp:simplePos x="0" y="0"/>
              <wp:positionH relativeFrom="margin">
                <wp:align>left</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1</w:t>
                    </w:r>
                    <w:r>
                      <w:fldChar w:fldCharType="end"/>
                    </w:r>
                    <w: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margin" w:hAnchor="text" w:xAlign="center" w:yAlign="inline"/>
      <w:widowControl/>
      <w:snapToGrid w:val="0"/>
      <w:jc w:val="left"/>
      <w:textAlignment w:val="baseline"/>
      <w:rPr>
        <w:rStyle w:val="22"/>
        <w:kern w:val="2"/>
        <w:sz w:val="18"/>
        <w:szCs w:val="18"/>
        <w:lang w:val="en-US" w:eastAsia="zh-CN" w:bidi="ar-SA"/>
      </w:rPr>
    </w:pPr>
  </w:p>
  <w:p>
    <w:pPr>
      <w:pStyle w:val="3"/>
      <w:widowControl/>
      <w:snapToGrid w:val="0"/>
      <w:jc w:val="left"/>
      <w:textAlignment w:val="baseline"/>
      <w:rPr>
        <w:rStyle w:val="11"/>
        <w:kern w:val="2"/>
        <w:sz w:val="18"/>
        <w:szCs w:val="18"/>
        <w:lang w:val="en-US" w:eastAsia="zh-CN" w:bidi="ar-S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widowControl/>
      <w:snapToGrid w:val="0"/>
      <w:jc w:val="left"/>
      <w:textAlignment w:val="baseline"/>
      <w:rPr>
        <w:rStyle w:val="22"/>
        <w:rFonts w:ascii="宋体" w:hAnsi="宋体"/>
        <w:kern w:val="2"/>
        <w:sz w:val="30"/>
        <w:szCs w:val="30"/>
        <w:lang w:val="en-US" w:eastAsia="zh-CN" w:bidi="ar-SA"/>
      </w:rPr>
    </w:pPr>
    <w:r>
      <w:rPr>
        <w:sz w:val="30"/>
      </w:rPr>
      <mc:AlternateContent>
        <mc:Choice Requires="wps">
          <w:drawing>
            <wp:anchor distT="0" distB="0" distL="114300" distR="114300" simplePos="0" relativeHeight="251662336" behindDoc="0" locked="0" layoutInCell="1" allowOverlap="1">
              <wp:simplePos x="0" y="0"/>
              <wp:positionH relativeFrom="margin">
                <wp:align>left</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t xml:space="preserve">— </w:t>
                          </w:r>
                          <w:r>
                            <w:fldChar w:fldCharType="begin"/>
                          </w:r>
                          <w:r>
                            <w:instrText xml:space="preserve"> PAGE  \* MERGEFORMAT </w:instrText>
                          </w:r>
                          <w:r>
                            <w:fldChar w:fldCharType="separate"/>
                          </w:r>
                          <w:r>
                            <w:t>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5WZn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LlZmfjICAABjBAAADgAAAAAAAAABACAAAAAfAQAAZHJzL2Uyb0RvYy54bWxQSwUG&#10;AAAAAAYABgBZAQAAwwUAAAAA&#10;">
              <v:fill on="f" focussize="0,0"/>
              <v:stroke on="f" weight="0.5pt"/>
              <v:imagedata o:title=""/>
              <o:lock v:ext="edit" aspectratio="f"/>
              <v:textbox inset="0mm,0mm,0mm,0mm" style="mso-fit-shape-to-text:t;">
                <w:txbxContent>
                  <w:p>
                    <w:pPr>
                      <w:pStyle w:val="3"/>
                    </w:pPr>
                    <w:r>
                      <w:t xml:space="preserve">— </w:t>
                    </w:r>
                    <w:r>
                      <w:fldChar w:fldCharType="begin"/>
                    </w:r>
                    <w:r>
                      <w:instrText xml:space="preserve"> PAGE  \* MERGEFORMAT </w:instrText>
                    </w:r>
                    <w:r>
                      <w:fldChar w:fldCharType="separate"/>
                    </w:r>
                    <w:r>
                      <w:t>2</w:t>
                    </w:r>
                    <w:r>
                      <w:fldChar w:fldCharType="end"/>
                    </w:r>
                    <w:r>
                      <w:t xml:space="preserve"> —</w:t>
                    </w:r>
                  </w:p>
                </w:txbxContent>
              </v:textbox>
            </v:shape>
          </w:pict>
        </mc:Fallback>
      </mc:AlternateContent>
    </w:r>
    <w:r>
      <w:rPr>
        <w:sz w:val="3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pPr>
                      <w:pStyle w:val="3"/>
                    </w:pPr>
                  </w:p>
                </w:txbxContent>
              </v:textbox>
            </v:shape>
          </w:pict>
        </mc:Fallback>
      </mc:AlternateContent>
    </w:r>
    <w:r>
      <w:rPr>
        <w:sz w:val="30"/>
      </w:rPr>
      <mc:AlternateContent>
        <mc:Choice Requires="wps">
          <w:drawing>
            <wp:anchor distT="0" distB="0" distL="114300" distR="114300" simplePos="0" relativeHeight="251661312" behindDoc="0" locked="0" layoutInCell="1" allowOverlap="1">
              <wp:simplePos x="0" y="0"/>
              <wp:positionH relativeFrom="margin">
                <wp:align>left</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3"/>
                    </w:pPr>
                  </w:p>
                </w:txbxContent>
              </v:textbox>
            </v:shape>
          </w:pict>
        </mc:Fallback>
      </mc:AlternateContent>
    </w:r>
  </w:p>
  <w:p>
    <w:pPr>
      <w:pStyle w:val="3"/>
      <w:widowControl/>
      <w:snapToGrid w:val="0"/>
      <w:jc w:val="left"/>
      <w:textAlignment w:val="baseline"/>
      <w:rPr>
        <w:rStyle w:val="11"/>
        <w:kern w:val="2"/>
        <w:sz w:val="18"/>
        <w:szCs w:val="18"/>
        <w:lang w:val="en-US" w:eastAsia="zh-CN" w:bidi="ar-SA"/>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714C08F"/>
    <w:multiLevelType w:val="singleLevel"/>
    <w:tmpl w:val="5714C08F"/>
    <w:lvl w:ilvl="0" w:tentative="0">
      <w:start w:val="2"/>
      <w:numFmt w:val="chineseCounting"/>
      <w:suff w:val="nothing"/>
      <w:lvlText w:val="（%1）"/>
      <w:lvlJc w:val="left"/>
      <w:pPr>
        <w:widowControl/>
        <w:textAlignment w:val="baseline"/>
      </w:pPr>
      <w:rPr>
        <w:rStyle w:val="11"/>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420"/>
  <w:displayHorizontalDrawingGridEvery w:val="1"/>
  <w:displayVerticalDrawingGridEvery w:val="1"/>
  <w:doNotUseMarginsForDrawingGridOrigin w:val="1"/>
  <w:drawingGridHorizontalOrigin w:val="1800"/>
  <w:drawingGridVerticalOrigin w:val="1440"/>
  <w:compat>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YzNDZlOTU4M2FlY2M0NTA5NWM1Y2UyNjRhZWM1NDMifQ=="/>
  </w:docVars>
  <w:rsids>
    <w:rsidRoot w:val="00172A27"/>
    <w:rsid w:val="013233A6"/>
    <w:rsid w:val="023304DD"/>
    <w:rsid w:val="03325E4F"/>
    <w:rsid w:val="039203FC"/>
    <w:rsid w:val="04652569"/>
    <w:rsid w:val="053C6CD4"/>
    <w:rsid w:val="05A60537"/>
    <w:rsid w:val="05F2401A"/>
    <w:rsid w:val="06431CCA"/>
    <w:rsid w:val="0AE118FE"/>
    <w:rsid w:val="0C7513F0"/>
    <w:rsid w:val="0D171BCC"/>
    <w:rsid w:val="0E6A2939"/>
    <w:rsid w:val="1034712E"/>
    <w:rsid w:val="104D0665"/>
    <w:rsid w:val="15B11EE6"/>
    <w:rsid w:val="16314110"/>
    <w:rsid w:val="17312723"/>
    <w:rsid w:val="18D47700"/>
    <w:rsid w:val="198A4263"/>
    <w:rsid w:val="1B9B4505"/>
    <w:rsid w:val="1BF713DF"/>
    <w:rsid w:val="1DD31715"/>
    <w:rsid w:val="1E90231B"/>
    <w:rsid w:val="1FA77D59"/>
    <w:rsid w:val="270C3E08"/>
    <w:rsid w:val="27F03E2A"/>
    <w:rsid w:val="28CD3770"/>
    <w:rsid w:val="28ED5E2B"/>
    <w:rsid w:val="2DAD04A6"/>
    <w:rsid w:val="2E5A5DFA"/>
    <w:rsid w:val="2E5B1401"/>
    <w:rsid w:val="2FF43D8C"/>
    <w:rsid w:val="2FFC44A6"/>
    <w:rsid w:val="2FFE4D66"/>
    <w:rsid w:val="303643A5"/>
    <w:rsid w:val="30B71058"/>
    <w:rsid w:val="31750EFD"/>
    <w:rsid w:val="35613C72"/>
    <w:rsid w:val="36D14B64"/>
    <w:rsid w:val="37D64A9E"/>
    <w:rsid w:val="39F8197E"/>
    <w:rsid w:val="3BE455FD"/>
    <w:rsid w:val="3C4D13F4"/>
    <w:rsid w:val="3DF106A8"/>
    <w:rsid w:val="3E1D0D28"/>
    <w:rsid w:val="3EEA1BF4"/>
    <w:rsid w:val="3F223B1A"/>
    <w:rsid w:val="401A339B"/>
    <w:rsid w:val="40AF61D9"/>
    <w:rsid w:val="43EB71E3"/>
    <w:rsid w:val="443B6ACE"/>
    <w:rsid w:val="44557BF8"/>
    <w:rsid w:val="48223734"/>
    <w:rsid w:val="490E1F0B"/>
    <w:rsid w:val="4ABC5905"/>
    <w:rsid w:val="4BCD7E5B"/>
    <w:rsid w:val="4D493349"/>
    <w:rsid w:val="4F0F561A"/>
    <w:rsid w:val="520E4D2A"/>
    <w:rsid w:val="522D51B0"/>
    <w:rsid w:val="52B72BAA"/>
    <w:rsid w:val="53AE40CE"/>
    <w:rsid w:val="53BB19B4"/>
    <w:rsid w:val="545D7674"/>
    <w:rsid w:val="55A82D9F"/>
    <w:rsid w:val="56AD2D63"/>
    <w:rsid w:val="58816255"/>
    <w:rsid w:val="596E5EE0"/>
    <w:rsid w:val="599E2E37"/>
    <w:rsid w:val="59DD74BB"/>
    <w:rsid w:val="5AEA041D"/>
    <w:rsid w:val="5D6A375C"/>
    <w:rsid w:val="5E426E16"/>
    <w:rsid w:val="5F5F0972"/>
    <w:rsid w:val="62B66DF3"/>
    <w:rsid w:val="651C0BD7"/>
    <w:rsid w:val="65AF4170"/>
    <w:rsid w:val="66503769"/>
    <w:rsid w:val="68C9702B"/>
    <w:rsid w:val="69FD6626"/>
    <w:rsid w:val="6A06480C"/>
    <w:rsid w:val="6A9B71F6"/>
    <w:rsid w:val="6B251855"/>
    <w:rsid w:val="6FB5349C"/>
    <w:rsid w:val="74251D33"/>
    <w:rsid w:val="74E03FDF"/>
    <w:rsid w:val="763F4E59"/>
    <w:rsid w:val="76DD06A3"/>
    <w:rsid w:val="77366065"/>
    <w:rsid w:val="781B5D3C"/>
    <w:rsid w:val="78AF606F"/>
    <w:rsid w:val="79497AC4"/>
    <w:rsid w:val="79785F68"/>
    <w:rsid w:val="79B0209F"/>
    <w:rsid w:val="7DBC4899"/>
    <w:rsid w:val="7EF219DA"/>
    <w:rsid w:val="7F5A7CE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link w:val="22"/>
    <w:qFormat/>
    <w:uiPriority w:val="0"/>
    <w:pPr>
      <w:jc w:val="both"/>
      <w:textAlignment w:val="baseline"/>
    </w:pPr>
    <w:rPr>
      <w:rFonts w:ascii="Times New Roman" w:hAnsi="Times New Roman" w:eastAsia="宋体"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customStyle="1" w:styleId="2">
    <w:name w:val="UserStyle_0"/>
    <w:basedOn w:val="1"/>
    <w:next w:val="1"/>
    <w:qFormat/>
    <w:uiPriority w:val="0"/>
    <w:pPr>
      <w:jc w:val="both"/>
      <w:textAlignment w:val="baseline"/>
    </w:pPr>
    <w:rPr>
      <w:rFonts w:ascii="仿宋_GB2312" w:eastAsia="仿宋_GB2312"/>
      <w:kern w:val="2"/>
      <w:sz w:val="32"/>
      <w:szCs w:val="24"/>
      <w:lang w:val="en-US" w:eastAsia="zh-CN" w:bidi="ar-SA"/>
    </w:rPr>
  </w:style>
  <w:style w:type="paragraph" w:styleId="3">
    <w:name w:val="footer"/>
    <w:basedOn w:val="1"/>
    <w:qFormat/>
    <w:uiPriority w:val="0"/>
    <w:pPr>
      <w:tabs>
        <w:tab w:val="center" w:pos="4153"/>
        <w:tab w:val="right" w:pos="8306"/>
      </w:tabs>
      <w:snapToGrid w:val="0"/>
      <w:jc w:val="left"/>
      <w:textAlignment w:val="baseline"/>
    </w:pPr>
    <w:rPr>
      <w:kern w:val="2"/>
      <w:sz w:val="18"/>
      <w:szCs w:val="18"/>
      <w:lang w:val="en-US" w:eastAsia="zh-CN" w:bidi="ar-SA"/>
    </w:rPr>
  </w:style>
  <w:style w:type="paragraph" w:styleId="4">
    <w:name w:val="header"/>
    <w:basedOn w:val="1"/>
    <w:qFormat/>
    <w:uiPriority w:val="0"/>
    <w:pPr>
      <w:pBdr>
        <w:bottom w:val="single" w:color="000000" w:sz="6" w:space="1"/>
      </w:pBdr>
      <w:tabs>
        <w:tab w:val="center" w:pos="4153"/>
        <w:tab w:val="right" w:pos="8306"/>
      </w:tabs>
      <w:snapToGrid w:val="0"/>
      <w:jc w:val="center"/>
      <w:textAlignment w:val="baseline"/>
    </w:pPr>
    <w:rPr>
      <w:kern w:val="2"/>
      <w:sz w:val="18"/>
      <w:szCs w:val="18"/>
      <w:lang w:val="en-US" w:eastAsia="zh-CN" w:bidi="ar-SA"/>
    </w:rPr>
  </w:style>
  <w:style w:type="character" w:styleId="7">
    <w:name w:val="Strong"/>
    <w:link w:val="1"/>
    <w:qFormat/>
    <w:uiPriority w:val="0"/>
    <w:rPr>
      <w:rFonts w:cs="Times New Roman"/>
      <w:b/>
      <w:bCs/>
    </w:rPr>
  </w:style>
  <w:style w:type="character" w:styleId="8">
    <w:name w:val="Hyperlink"/>
    <w:link w:val="1"/>
    <w:qFormat/>
    <w:uiPriority w:val="0"/>
    <w:rPr>
      <w:color w:val="0000FF"/>
      <w:u w:val="single"/>
    </w:rPr>
  </w:style>
  <w:style w:type="paragraph" w:customStyle="1" w:styleId="9">
    <w:name w:val="Heading1"/>
    <w:basedOn w:val="1"/>
    <w:next w:val="1"/>
    <w:link w:val="13"/>
    <w:qFormat/>
    <w:uiPriority w:val="0"/>
    <w:pPr>
      <w:keepNext/>
      <w:keepLines/>
      <w:spacing w:before="340" w:after="330" w:line="578" w:lineRule="auto"/>
      <w:jc w:val="both"/>
      <w:textAlignment w:val="baseline"/>
    </w:pPr>
    <w:rPr>
      <w:rFonts w:cs="Times New Roman"/>
      <w:b/>
      <w:bCs/>
      <w:kern w:val="44"/>
      <w:sz w:val="44"/>
      <w:szCs w:val="44"/>
      <w:lang w:val="en-US" w:eastAsia="zh-CN" w:bidi="ar-SA"/>
    </w:rPr>
  </w:style>
  <w:style w:type="paragraph" w:customStyle="1" w:styleId="10">
    <w:name w:val="Heading2"/>
    <w:basedOn w:val="1"/>
    <w:next w:val="1"/>
    <w:link w:val="14"/>
    <w:qFormat/>
    <w:uiPriority w:val="0"/>
    <w:pPr>
      <w:keepNext/>
      <w:keepLines/>
      <w:spacing w:before="260" w:after="260" w:line="416" w:lineRule="auto"/>
      <w:jc w:val="both"/>
      <w:textAlignment w:val="baseline"/>
    </w:pPr>
    <w:rPr>
      <w:rFonts w:ascii="等线 Light" w:hAnsi="等线 Light" w:eastAsia="等线 Light" w:cs="Times New Roman"/>
      <w:b/>
      <w:bCs/>
      <w:kern w:val="2"/>
      <w:sz w:val="32"/>
      <w:szCs w:val="32"/>
      <w:lang w:val="en-US" w:eastAsia="zh-CN" w:bidi="ar-SA"/>
    </w:rPr>
  </w:style>
  <w:style w:type="character" w:customStyle="1" w:styleId="11">
    <w:name w:val="NormalCharacter"/>
    <w:link w:val="1"/>
    <w:semiHidden/>
    <w:qFormat/>
    <w:uiPriority w:val="0"/>
  </w:style>
  <w:style w:type="table" w:customStyle="1" w:styleId="12">
    <w:name w:val="TableNormal"/>
    <w:semiHidden/>
    <w:qFormat/>
    <w:uiPriority w:val="0"/>
  </w:style>
  <w:style w:type="character" w:customStyle="1" w:styleId="13">
    <w:name w:val="UserStyle_1"/>
    <w:link w:val="9"/>
    <w:qFormat/>
    <w:uiPriority w:val="0"/>
    <w:rPr>
      <w:rFonts w:cs="Times New Roman"/>
      <w:b/>
      <w:bCs/>
      <w:kern w:val="44"/>
      <w:sz w:val="44"/>
      <w:szCs w:val="44"/>
    </w:rPr>
  </w:style>
  <w:style w:type="character" w:customStyle="1" w:styleId="14">
    <w:name w:val="UserStyle_2"/>
    <w:link w:val="10"/>
    <w:semiHidden/>
    <w:qFormat/>
    <w:uiPriority w:val="0"/>
    <w:rPr>
      <w:rFonts w:ascii="等线 Light" w:hAnsi="等线 Light" w:eastAsia="等线 Light" w:cs="Times New Roman"/>
      <w:b/>
      <w:bCs/>
      <w:kern w:val="2"/>
      <w:sz w:val="32"/>
      <w:szCs w:val="32"/>
    </w:rPr>
  </w:style>
  <w:style w:type="paragraph" w:customStyle="1" w:styleId="15">
    <w:name w:val="Index5"/>
    <w:basedOn w:val="1"/>
    <w:next w:val="1"/>
    <w:qFormat/>
    <w:uiPriority w:val="0"/>
    <w:pPr>
      <w:ind w:left="1680"/>
      <w:jc w:val="both"/>
      <w:textAlignment w:val="baseline"/>
    </w:pPr>
  </w:style>
  <w:style w:type="paragraph" w:customStyle="1" w:styleId="16">
    <w:name w:val="BodyText"/>
    <w:basedOn w:val="1"/>
    <w:qFormat/>
    <w:uiPriority w:val="0"/>
    <w:pPr>
      <w:spacing w:before="93"/>
      <w:jc w:val="both"/>
      <w:textAlignment w:val="baseline"/>
    </w:pPr>
    <w:rPr>
      <w:rFonts w:ascii="仿宋_GB2312" w:eastAsia="仿宋_GB2312"/>
      <w:kern w:val="2"/>
      <w:sz w:val="30"/>
      <w:szCs w:val="24"/>
      <w:lang w:val="en-US" w:eastAsia="zh-CN" w:bidi="ar-SA"/>
    </w:rPr>
  </w:style>
  <w:style w:type="paragraph" w:customStyle="1" w:styleId="17">
    <w:name w:val="TOC5"/>
    <w:basedOn w:val="1"/>
    <w:next w:val="1"/>
    <w:qFormat/>
    <w:uiPriority w:val="0"/>
    <w:pPr>
      <w:ind w:left="1680" w:leftChars="800"/>
      <w:jc w:val="both"/>
      <w:textAlignment w:val="baseline"/>
    </w:pPr>
  </w:style>
  <w:style w:type="paragraph" w:customStyle="1" w:styleId="18">
    <w:name w:val="TOC3"/>
    <w:basedOn w:val="1"/>
    <w:next w:val="1"/>
    <w:qFormat/>
    <w:uiPriority w:val="0"/>
    <w:pPr>
      <w:widowControl/>
      <w:spacing w:after="100" w:line="259" w:lineRule="auto"/>
      <w:ind w:left="440"/>
      <w:jc w:val="left"/>
      <w:textAlignment w:val="baseline"/>
    </w:pPr>
    <w:rPr>
      <w:rFonts w:ascii="Calibri" w:hAnsi="Calibri" w:eastAsia="宋体"/>
      <w:kern w:val="0"/>
      <w:sz w:val="22"/>
      <w:szCs w:val="22"/>
      <w:lang w:val="en-US" w:eastAsia="zh-CN" w:bidi="ar-SA"/>
    </w:rPr>
  </w:style>
  <w:style w:type="paragraph" w:customStyle="1" w:styleId="19">
    <w:name w:val="Acetate"/>
    <w:basedOn w:val="1"/>
    <w:semiHidden/>
    <w:qFormat/>
    <w:uiPriority w:val="0"/>
    <w:pPr>
      <w:jc w:val="both"/>
      <w:textAlignment w:val="baseline"/>
    </w:pPr>
    <w:rPr>
      <w:kern w:val="2"/>
      <w:sz w:val="18"/>
      <w:szCs w:val="18"/>
      <w:lang w:val="en-US" w:eastAsia="zh-CN" w:bidi="ar-SA"/>
    </w:rPr>
  </w:style>
  <w:style w:type="paragraph" w:customStyle="1" w:styleId="20">
    <w:name w:val="TOC1"/>
    <w:basedOn w:val="1"/>
    <w:next w:val="1"/>
    <w:qFormat/>
    <w:uiPriority w:val="0"/>
    <w:pPr>
      <w:spacing w:before="120"/>
      <w:jc w:val="left"/>
      <w:textAlignment w:val="baseline"/>
    </w:pPr>
    <w:rPr>
      <w:rFonts w:ascii="等线" w:eastAsia="等线" w:cs="Times New Roman"/>
      <w:b/>
      <w:bCs/>
      <w:i/>
      <w:iCs/>
      <w:kern w:val="2"/>
      <w:sz w:val="24"/>
      <w:szCs w:val="24"/>
      <w:lang w:val="en-US" w:eastAsia="zh-CN" w:bidi="ar-SA"/>
    </w:rPr>
  </w:style>
  <w:style w:type="paragraph" w:customStyle="1" w:styleId="21">
    <w:name w:val="TOC2"/>
    <w:basedOn w:val="1"/>
    <w:next w:val="1"/>
    <w:qFormat/>
    <w:uiPriority w:val="0"/>
    <w:pPr>
      <w:spacing w:before="120"/>
      <w:ind w:left="300"/>
      <w:jc w:val="left"/>
      <w:textAlignment w:val="baseline"/>
    </w:pPr>
    <w:rPr>
      <w:rFonts w:ascii="等线" w:eastAsia="等线" w:cs="Times New Roman"/>
      <w:b/>
      <w:bCs/>
      <w:kern w:val="2"/>
      <w:sz w:val="22"/>
      <w:szCs w:val="22"/>
      <w:lang w:val="en-US" w:eastAsia="zh-CN" w:bidi="ar-SA"/>
    </w:rPr>
  </w:style>
  <w:style w:type="character" w:customStyle="1" w:styleId="22">
    <w:name w:val="PageNumber"/>
    <w:basedOn w:val="11"/>
    <w:link w:val="1"/>
    <w:qFormat/>
    <w:uiPriority w:val="0"/>
  </w:style>
  <w:style w:type="paragraph" w:customStyle="1" w:styleId="23">
    <w:name w:val="UserStyle_3"/>
    <w:basedOn w:val="1"/>
    <w:semiHidden/>
    <w:qFormat/>
    <w:uiPriority w:val="0"/>
    <w:pPr>
      <w:jc w:val="both"/>
      <w:textAlignment w:val="baseline"/>
    </w:pPr>
    <w:rPr>
      <w:kern w:val="2"/>
      <w:sz w:val="21"/>
      <w:szCs w:val="21"/>
      <w:lang w:val="en-US" w:eastAsia="zh-CN" w:bidi="ar-SA"/>
    </w:rPr>
  </w:style>
  <w:style w:type="paragraph" w:customStyle="1" w:styleId="24">
    <w:name w:val="UserStyle_4"/>
    <w:basedOn w:val="9"/>
    <w:next w:val="1"/>
    <w:qFormat/>
    <w:uiPriority w:val="0"/>
    <w:pPr>
      <w:keepNext/>
      <w:keepLines/>
      <w:widowControl/>
      <w:spacing w:before="480" w:after="0" w:line="276" w:lineRule="auto"/>
      <w:jc w:val="left"/>
      <w:textAlignment w:val="baseline"/>
    </w:pPr>
    <w:rPr>
      <w:rFonts w:ascii="Calibri Light" w:hAnsi="Calibri Light" w:eastAsia="宋体" w:cs="Times New Roman"/>
      <w:color w:val="2E74B5"/>
      <w:kern w:val="0"/>
      <w:sz w:val="28"/>
      <w:szCs w:val="28"/>
      <w:lang w:val="en-US" w:eastAsia="zh-CN" w:bidi="ar-SA"/>
    </w:rPr>
  </w:style>
  <w:style w:type="character" w:customStyle="1" w:styleId="25">
    <w:name w:val="16"/>
    <w:basedOn w:val="6"/>
    <w:semiHidden/>
    <w:qFormat/>
    <w:uiPriority w:val="99"/>
    <w:rPr>
      <w:rFonts w:ascii="Times New Roman" w:hAnsi="Times New Roman" w:cs="Times New Roman"/>
      <w:b/>
      <w:bCs/>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25</Pages>
  <Words>9737</Words>
  <Characters>10168</Characters>
  <TotalTime>0</TotalTime>
  <ScaleCrop>false</ScaleCrop>
  <LinksUpToDate>false</LinksUpToDate>
  <CharactersWithSpaces>10343</CharactersWithSpaces>
  <Application>WPS Office_11.1.0.11173_F1E327BC-269C-435d-A152-05C5408002CA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2021-12-06T06:53:00Z</dcterms:created>
  <dc:creator>Lenovo</dc:creator>
  <cp:lastModifiedBy>曹晋川</cp:lastModifiedBy>
  <cp:lastPrinted>2021-12-10T09:09:00Z</cp:lastPrinted>
  <dcterms:modified xsi:type="dcterms:W3CDTF">2022-05-07T02:47:11Z</dcterms:modified>
  <dc:title>自贡市自流井区科技和经济信息化局单位2022年预算编制的说明</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2052-11.1.0.11173</vt:lpwstr>
  </property>
  <property fmtid="{D5CDD505-2E9C-101B-9397-08002B2CF9AE}" pid="3" name="ICV">
    <vt:lpwstr>2E88A6176EB44E9BBB027901041C884C</vt:lpwstr>
  </property>
  <property fmtid="{D5CDD505-2E9C-101B-9397-08002B2CF9AE}" pid="4" name="commondata">
    <vt:lpwstr>eyJoZGlkIjoiYmYzNDZlOTU4M2FlY2M0NTA5NWM1Y2UyNjRhZWM1NDMifQ==</vt:lpwstr>
  </property>
</Properties>
</file>