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D6" w:rsidRDefault="005E1D7C">
      <w:pPr>
        <w:jc w:val="center"/>
        <w:rPr>
          <w:rFonts w:ascii="宋体" w:hAnsi="宋体"/>
          <w:b/>
          <w:sz w:val="44"/>
          <w:szCs w:val="44"/>
        </w:rPr>
      </w:pPr>
      <w:r>
        <w:rPr>
          <w:rFonts w:ascii="宋体" w:hAnsi="宋体" w:hint="eastAsia"/>
          <w:b/>
          <w:sz w:val="44"/>
          <w:szCs w:val="44"/>
        </w:rPr>
        <w:t>自贡市自流井区档案馆</w:t>
      </w:r>
      <w:r w:rsidR="00907308">
        <w:rPr>
          <w:rFonts w:ascii="宋体" w:hAnsi="宋体" w:hint="eastAsia"/>
          <w:b/>
          <w:sz w:val="44"/>
          <w:szCs w:val="44"/>
        </w:rPr>
        <w:t>(本级)</w:t>
      </w:r>
    </w:p>
    <w:p w:rsidR="000A32D6" w:rsidRDefault="005E1D7C">
      <w:pPr>
        <w:jc w:val="center"/>
        <w:rPr>
          <w:rFonts w:ascii="宋体" w:hAnsi="宋体"/>
          <w:b/>
          <w:sz w:val="44"/>
          <w:szCs w:val="44"/>
        </w:rPr>
      </w:pPr>
      <w:r>
        <w:rPr>
          <w:rFonts w:ascii="宋体" w:hAnsi="宋体" w:hint="eastAsia"/>
          <w:b/>
          <w:sz w:val="44"/>
          <w:szCs w:val="44"/>
        </w:rPr>
        <w:t>2022</w:t>
      </w:r>
      <w:r w:rsidR="00204205">
        <w:rPr>
          <w:rFonts w:ascii="宋体" w:hAnsi="宋体" w:hint="eastAsia"/>
          <w:b/>
          <w:sz w:val="44"/>
          <w:szCs w:val="44"/>
        </w:rPr>
        <w:t>年</w:t>
      </w:r>
      <w:r>
        <w:rPr>
          <w:rFonts w:ascii="宋体" w:hAnsi="宋体" w:hint="eastAsia"/>
          <w:b/>
          <w:sz w:val="44"/>
          <w:szCs w:val="44"/>
        </w:rPr>
        <w:t>预算编制的说明</w:t>
      </w:r>
    </w:p>
    <w:p w:rsidR="000A32D6" w:rsidRDefault="000A32D6">
      <w:pPr>
        <w:widowControl/>
        <w:jc w:val="center"/>
        <w:rPr>
          <w:rFonts w:ascii="黑体" w:eastAsia="黑体" w:hAnsi="黑体"/>
          <w:color w:val="000000"/>
          <w:sz w:val="48"/>
          <w:szCs w:val="48"/>
        </w:rPr>
      </w:pPr>
    </w:p>
    <w:p w:rsidR="000A32D6" w:rsidRDefault="005E1D7C">
      <w:pPr>
        <w:widowControl/>
        <w:jc w:val="center"/>
        <w:rPr>
          <w:rFonts w:ascii="黑体" w:eastAsia="黑体" w:hAnsi="黑体"/>
          <w:color w:val="000000"/>
          <w:sz w:val="48"/>
          <w:szCs w:val="48"/>
        </w:rPr>
      </w:pPr>
      <w:bookmarkStart w:id="0" w:name="_Hlk72430755"/>
      <w:r>
        <w:rPr>
          <w:rFonts w:ascii="黑体" w:eastAsia="黑体" w:hAnsi="黑体" w:hint="eastAsia"/>
          <w:color w:val="000000"/>
          <w:sz w:val="48"/>
          <w:szCs w:val="48"/>
        </w:rPr>
        <w:t>目录</w:t>
      </w:r>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r w:rsidRPr="00B22BB7">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TOC \o "1-3" \h \z \u </w:instrText>
      </w:r>
      <w:r w:rsidRPr="00B22BB7">
        <w:rPr>
          <w:rFonts w:ascii="仿宋_GB2312" w:eastAsia="仿宋_GB2312" w:hint="eastAsia"/>
          <w:b w:val="0"/>
          <w:bCs w:val="0"/>
          <w:i w:val="0"/>
          <w:iCs w:val="0"/>
          <w:sz w:val="28"/>
          <w:szCs w:val="28"/>
        </w:rPr>
        <w:fldChar w:fldCharType="separate"/>
      </w:r>
      <w:hyperlink w:anchor="_Toc72430477" w:history="1">
        <w:r w:rsidR="005E1D7C">
          <w:rPr>
            <w:rStyle w:val="a9"/>
            <w:rFonts w:hint="eastAsia"/>
            <w:b w:val="0"/>
            <w:bCs w:val="0"/>
            <w:i w:val="0"/>
            <w:iCs w:val="0"/>
            <w:sz w:val="28"/>
            <w:szCs w:val="28"/>
          </w:rPr>
          <w:t>一、基本职能及主要工作</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_Toc72430477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- 3 -</w:t>
        </w:r>
        <w:r>
          <w:rPr>
            <w:rFonts w:ascii="仿宋_GB2312" w:eastAsia="仿宋_GB2312" w:hint="eastAsia"/>
            <w:b w:val="0"/>
            <w:bCs w:val="0"/>
            <w:i w:val="0"/>
            <w:i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78" w:history="1">
        <w:r w:rsidR="005E1D7C">
          <w:rPr>
            <w:rStyle w:val="a9"/>
            <w:rFonts w:hint="eastAsia"/>
            <w:b w:val="0"/>
            <w:bCs w:val="0"/>
            <w:sz w:val="28"/>
            <w:szCs w:val="28"/>
          </w:rPr>
          <w:t>（一）自贡市自流井区档案馆职能简介。</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_Toc72430478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- 3 -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79" w:history="1">
        <w:r w:rsidR="005E1D7C">
          <w:rPr>
            <w:rStyle w:val="a9"/>
            <w:rFonts w:hint="eastAsia"/>
            <w:b w:val="0"/>
            <w:bCs w:val="0"/>
            <w:sz w:val="28"/>
            <w:szCs w:val="28"/>
          </w:rPr>
          <w:t>（二）自贡市自流井区档案馆2022年重点工作。</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_Toc72430479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- 3 -</w:t>
        </w:r>
        <w:r>
          <w:rPr>
            <w:rFonts w:ascii="仿宋_GB2312" w:eastAsia="仿宋_GB2312" w:hint="eastAsia"/>
            <w:b w:val="0"/>
            <w:b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80" w:history="1">
        <w:r w:rsidR="005E1D7C">
          <w:rPr>
            <w:rStyle w:val="a9"/>
            <w:rFonts w:hint="eastAsia"/>
            <w:b w:val="0"/>
            <w:bCs w:val="0"/>
            <w:i w:val="0"/>
            <w:iCs w:val="0"/>
            <w:sz w:val="28"/>
            <w:szCs w:val="28"/>
          </w:rPr>
          <w:t>二、部门概况</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_Toc72430480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- 4 -</w:t>
        </w:r>
        <w:r>
          <w:rPr>
            <w:rFonts w:ascii="仿宋_GB2312" w:eastAsia="仿宋_GB2312" w:hint="eastAsia"/>
            <w:b w:val="0"/>
            <w:bCs w:val="0"/>
            <w:i w:val="0"/>
            <w:i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81" w:history="1">
        <w:r w:rsidR="005E1D7C">
          <w:rPr>
            <w:rStyle w:val="a9"/>
            <w:rFonts w:hint="eastAsia"/>
            <w:b w:val="0"/>
            <w:bCs w:val="0"/>
            <w:i w:val="0"/>
            <w:iCs w:val="0"/>
            <w:sz w:val="28"/>
            <w:szCs w:val="28"/>
          </w:rPr>
          <w:t>三、收支预算情况说明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_Toc72430481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- 4 -</w:t>
        </w:r>
        <w:r>
          <w:rPr>
            <w:rFonts w:ascii="仿宋_GB2312" w:eastAsia="仿宋_GB2312" w:hint="eastAsia"/>
            <w:b w:val="0"/>
            <w:bCs w:val="0"/>
            <w:i w:val="0"/>
            <w:i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82" w:history="1">
        <w:r w:rsidR="005E1D7C">
          <w:rPr>
            <w:rStyle w:val="a9"/>
            <w:rFonts w:hint="eastAsia"/>
            <w:b w:val="0"/>
            <w:bCs w:val="0"/>
            <w:sz w:val="28"/>
            <w:szCs w:val="28"/>
          </w:rPr>
          <w:t>（一）收入预算情况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_Toc72430482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- 5 -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83" w:history="1">
        <w:r w:rsidR="005E1D7C">
          <w:rPr>
            <w:rStyle w:val="a9"/>
            <w:rFonts w:hint="eastAsia"/>
            <w:b w:val="0"/>
            <w:bCs w:val="0"/>
            <w:sz w:val="28"/>
            <w:szCs w:val="28"/>
          </w:rPr>
          <w:t>（二）支出预算情况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_Toc72430483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- 6 -</w:t>
        </w:r>
        <w:r>
          <w:rPr>
            <w:rFonts w:ascii="仿宋_GB2312" w:eastAsia="仿宋_GB2312" w:hint="eastAsia"/>
            <w:b w:val="0"/>
            <w:b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84" w:history="1">
        <w:r w:rsidR="005E1D7C">
          <w:rPr>
            <w:rStyle w:val="a9"/>
            <w:rFonts w:hint="eastAsia"/>
            <w:b w:val="0"/>
            <w:bCs w:val="0"/>
            <w:i w:val="0"/>
            <w:iCs w:val="0"/>
            <w:sz w:val="28"/>
            <w:szCs w:val="28"/>
          </w:rPr>
          <w:t>四、财政拨款收支预算情况说明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_Toc72430484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- 6 -</w:t>
        </w:r>
        <w:r>
          <w:rPr>
            <w:rFonts w:ascii="仿宋_GB2312" w:eastAsia="仿宋_GB2312" w:hint="eastAsia"/>
            <w:b w:val="0"/>
            <w:bCs w:val="0"/>
            <w:i w:val="0"/>
            <w:i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85" w:history="1">
        <w:r w:rsidR="005E1D7C">
          <w:rPr>
            <w:rStyle w:val="a9"/>
            <w:rFonts w:hint="eastAsia"/>
            <w:b w:val="0"/>
            <w:bCs w:val="0"/>
            <w:i w:val="0"/>
            <w:iCs w:val="0"/>
            <w:sz w:val="28"/>
            <w:szCs w:val="28"/>
          </w:rPr>
          <w:t>五、一般公共预算当年拨款情况说明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_Toc72430485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- 7 -</w:t>
        </w:r>
        <w:r>
          <w:rPr>
            <w:rFonts w:ascii="仿宋_GB2312" w:eastAsia="仿宋_GB2312" w:hint="eastAsia"/>
            <w:b w:val="0"/>
            <w:bCs w:val="0"/>
            <w:i w:val="0"/>
            <w:i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86" w:history="1">
        <w:r w:rsidR="005E1D7C">
          <w:rPr>
            <w:rStyle w:val="a9"/>
            <w:rFonts w:hint="eastAsia"/>
            <w:b w:val="0"/>
            <w:bCs w:val="0"/>
            <w:sz w:val="28"/>
            <w:szCs w:val="28"/>
          </w:rPr>
          <w:t>（一）一般公共预算当年拨款规模变化情况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_Toc72430486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- 7 -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87" w:history="1">
        <w:r w:rsidR="005E1D7C">
          <w:rPr>
            <w:rStyle w:val="a9"/>
            <w:rFonts w:hint="eastAsia"/>
            <w:b w:val="0"/>
            <w:bCs w:val="0"/>
            <w:sz w:val="28"/>
            <w:szCs w:val="28"/>
          </w:rPr>
          <w:t>（二）一般公共预算当年拨款结构情况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_Toc72430487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- 8 -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88" w:history="1">
        <w:r w:rsidR="005E1D7C">
          <w:rPr>
            <w:rStyle w:val="a9"/>
            <w:rFonts w:hint="eastAsia"/>
            <w:b w:val="0"/>
            <w:bCs w:val="0"/>
            <w:sz w:val="28"/>
            <w:szCs w:val="28"/>
          </w:rPr>
          <w:t>（三）一般公共预算当年拨款具体使用情况：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_Toc72430488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- 9-</w:t>
        </w:r>
        <w:r>
          <w:rPr>
            <w:rFonts w:ascii="仿宋_GB2312" w:eastAsia="仿宋_GB2312" w:hint="eastAsia"/>
            <w:b w:val="0"/>
            <w:b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89" w:history="1">
        <w:r w:rsidR="005E1D7C">
          <w:rPr>
            <w:rStyle w:val="a9"/>
            <w:rFonts w:hint="eastAsia"/>
            <w:b w:val="0"/>
            <w:bCs w:val="0"/>
            <w:i w:val="0"/>
            <w:iCs w:val="0"/>
            <w:sz w:val="28"/>
            <w:szCs w:val="28"/>
          </w:rPr>
          <w:t>六、一般公共预算基本支出情况说明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_Toc72430489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- 10 -</w:t>
        </w:r>
        <w:r>
          <w:rPr>
            <w:rFonts w:ascii="仿宋_GB2312" w:eastAsia="仿宋_GB2312" w:hint="eastAsia"/>
            <w:b w:val="0"/>
            <w:bCs w:val="0"/>
            <w:i w:val="0"/>
            <w:i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90" w:history="1">
        <w:r w:rsidR="005E1D7C">
          <w:rPr>
            <w:rStyle w:val="a9"/>
            <w:rFonts w:hint="eastAsia"/>
            <w:b w:val="0"/>
            <w:bCs w:val="0"/>
            <w:i w:val="0"/>
            <w:iCs w:val="0"/>
            <w:sz w:val="28"/>
            <w:szCs w:val="28"/>
          </w:rPr>
          <w:t>七、“三公”经费财政拨款预算安排情况</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_Toc72430490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- 11 -</w:t>
        </w:r>
        <w:r>
          <w:rPr>
            <w:rFonts w:ascii="仿宋_GB2312" w:eastAsia="仿宋_GB2312" w:hint="eastAsia"/>
            <w:b w:val="0"/>
            <w:bCs w:val="0"/>
            <w:i w:val="0"/>
            <w:i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91" w:history="1">
        <w:r w:rsidR="005E1D7C">
          <w:rPr>
            <w:rStyle w:val="a9"/>
            <w:rFonts w:hint="eastAsia"/>
            <w:b w:val="0"/>
            <w:bCs w:val="0"/>
            <w:i w:val="0"/>
            <w:iCs w:val="0"/>
            <w:sz w:val="28"/>
            <w:szCs w:val="28"/>
          </w:rPr>
          <w:t>八、政府性基金预算支出情况说明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_Toc72430491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- 12 -</w:t>
        </w:r>
        <w:r>
          <w:rPr>
            <w:rFonts w:ascii="仿宋_GB2312" w:eastAsia="仿宋_GB2312" w:hint="eastAsia"/>
            <w:b w:val="0"/>
            <w:bCs w:val="0"/>
            <w:i w:val="0"/>
            <w:i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92" w:history="1">
        <w:r w:rsidR="005E1D7C">
          <w:rPr>
            <w:rStyle w:val="a9"/>
            <w:rFonts w:hint="eastAsia"/>
            <w:b w:val="0"/>
            <w:bCs w:val="0"/>
            <w:i w:val="0"/>
            <w:iCs w:val="0"/>
            <w:sz w:val="28"/>
            <w:szCs w:val="28"/>
          </w:rPr>
          <w:t>九、国有资本经营预算支出情况说明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_Toc72430492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- 12 -</w:t>
        </w:r>
        <w:r>
          <w:rPr>
            <w:rFonts w:ascii="仿宋_GB2312" w:eastAsia="仿宋_GB2312" w:hint="eastAsia"/>
            <w:b w:val="0"/>
            <w:bCs w:val="0"/>
            <w:i w:val="0"/>
            <w:i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93" w:history="1">
        <w:r w:rsidR="005E1D7C">
          <w:rPr>
            <w:rStyle w:val="a9"/>
            <w:rFonts w:hint="eastAsia"/>
            <w:b w:val="0"/>
            <w:bCs w:val="0"/>
            <w:i w:val="0"/>
            <w:iCs w:val="0"/>
            <w:sz w:val="28"/>
            <w:szCs w:val="28"/>
          </w:rPr>
          <w:t>十、其他重要事项的情况说明</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_Toc72430493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- 12 -</w:t>
        </w:r>
        <w:r>
          <w:rPr>
            <w:rFonts w:ascii="仿宋_GB2312" w:eastAsia="仿宋_GB2312" w:hint="eastAsia"/>
            <w:b w:val="0"/>
            <w:bCs w:val="0"/>
            <w:i w:val="0"/>
            <w:i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94" w:history="1">
        <w:r w:rsidR="005E1D7C">
          <w:rPr>
            <w:rStyle w:val="a9"/>
            <w:rFonts w:hint="eastAsia"/>
            <w:b w:val="0"/>
            <w:bCs w:val="0"/>
            <w:sz w:val="28"/>
            <w:szCs w:val="28"/>
          </w:rPr>
          <w:t>（一）机关运行经费情况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_Toc72430494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- 12 -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95" w:history="1">
        <w:r w:rsidR="005E1D7C">
          <w:rPr>
            <w:rStyle w:val="a9"/>
            <w:rFonts w:hint="eastAsia"/>
            <w:b w:val="0"/>
            <w:bCs w:val="0"/>
            <w:sz w:val="28"/>
            <w:szCs w:val="28"/>
          </w:rPr>
          <w:t>（二）政府采购情况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_Toc72430495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- 13</w:t>
        </w:r>
        <w:bookmarkStart w:id="1" w:name="_GoBack"/>
        <w:bookmarkEnd w:id="1"/>
        <w:r w:rsidR="005E1D7C">
          <w:rPr>
            <w:rFonts w:ascii="仿宋_GB2312" w:eastAsia="仿宋_GB2312" w:hint="eastAsia"/>
            <w:b w:val="0"/>
            <w:bCs w:val="0"/>
            <w:sz w:val="28"/>
            <w:szCs w:val="28"/>
          </w:rPr>
          <w:t xml:space="preserve">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96" w:history="1">
        <w:r w:rsidR="005E1D7C">
          <w:rPr>
            <w:rStyle w:val="a9"/>
            <w:rFonts w:hint="eastAsia"/>
            <w:b w:val="0"/>
            <w:bCs w:val="0"/>
            <w:sz w:val="28"/>
            <w:szCs w:val="28"/>
          </w:rPr>
          <w:t>（三）国有资产占有使用情况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_Toc72430496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- 13 -</w:t>
        </w:r>
        <w:r>
          <w:rPr>
            <w:rFonts w:ascii="仿宋_GB2312" w:eastAsia="仿宋_GB2312" w:hint="eastAsia"/>
            <w:b w:val="0"/>
            <w:bCs w:val="0"/>
            <w:sz w:val="28"/>
            <w:szCs w:val="28"/>
          </w:rPr>
          <w:fldChar w:fldCharType="end"/>
        </w:r>
      </w:hyperlink>
    </w:p>
    <w:p w:rsidR="000A32D6" w:rsidRDefault="00B22BB7">
      <w:pPr>
        <w:pStyle w:val="20"/>
        <w:tabs>
          <w:tab w:val="right" w:leader="dot" w:pos="8296"/>
        </w:tabs>
        <w:spacing w:line="600" w:lineRule="exact"/>
        <w:rPr>
          <w:rFonts w:ascii="仿宋_GB2312" w:eastAsia="仿宋_GB2312" w:hAnsi="Calibri"/>
          <w:b w:val="0"/>
          <w:bCs w:val="0"/>
          <w:sz w:val="28"/>
          <w:szCs w:val="28"/>
        </w:rPr>
      </w:pPr>
      <w:hyperlink w:anchor="_Toc72430497" w:history="1">
        <w:r w:rsidR="005E1D7C">
          <w:rPr>
            <w:rStyle w:val="a9"/>
            <w:rFonts w:hint="eastAsia"/>
            <w:b w:val="0"/>
            <w:bCs w:val="0"/>
            <w:sz w:val="28"/>
            <w:szCs w:val="28"/>
          </w:rPr>
          <w:t>（四）绩效目标设置情况</w:t>
        </w:r>
        <w:r w:rsidR="005E1D7C">
          <w:rPr>
            <w:rFonts w:ascii="仿宋_GB2312" w:eastAsia="仿宋_GB2312" w:hint="eastAsia"/>
            <w:b w:val="0"/>
            <w:bCs w:val="0"/>
            <w:sz w:val="28"/>
            <w:szCs w:val="28"/>
          </w:rPr>
          <w:tab/>
        </w:r>
        <w:r>
          <w:rPr>
            <w:rFonts w:ascii="仿宋_GB2312" w:eastAsia="仿宋_GB2312" w:hint="eastAsia"/>
            <w:b w:val="0"/>
            <w:bCs w:val="0"/>
            <w:sz w:val="28"/>
            <w:szCs w:val="28"/>
          </w:rPr>
          <w:fldChar w:fldCharType="begin"/>
        </w:r>
        <w:r w:rsidR="005E1D7C">
          <w:rPr>
            <w:rFonts w:ascii="仿宋_GB2312" w:eastAsia="仿宋_GB2312" w:hint="eastAsia"/>
            <w:b w:val="0"/>
            <w:bCs w:val="0"/>
            <w:sz w:val="28"/>
            <w:szCs w:val="28"/>
          </w:rPr>
          <w:instrText xml:space="preserve"> PAGEREF _Toc72430497 \h </w:instrText>
        </w:r>
        <w:r>
          <w:rPr>
            <w:rFonts w:ascii="仿宋_GB2312" w:eastAsia="仿宋_GB2312" w:hint="eastAsia"/>
            <w:b w:val="0"/>
            <w:bCs w:val="0"/>
            <w:sz w:val="28"/>
            <w:szCs w:val="28"/>
          </w:rPr>
        </w:r>
        <w:r>
          <w:rPr>
            <w:rFonts w:ascii="仿宋_GB2312" w:eastAsia="仿宋_GB2312" w:hint="eastAsia"/>
            <w:b w:val="0"/>
            <w:bCs w:val="0"/>
            <w:sz w:val="28"/>
            <w:szCs w:val="28"/>
          </w:rPr>
          <w:fldChar w:fldCharType="separate"/>
        </w:r>
        <w:r w:rsidR="005E1D7C">
          <w:rPr>
            <w:rFonts w:ascii="仿宋_GB2312" w:eastAsia="仿宋_GB2312" w:hint="eastAsia"/>
            <w:b w:val="0"/>
            <w:bCs w:val="0"/>
            <w:sz w:val="28"/>
            <w:szCs w:val="28"/>
          </w:rPr>
          <w:t>- 13 -</w:t>
        </w:r>
        <w:r>
          <w:rPr>
            <w:rFonts w:ascii="仿宋_GB2312" w:eastAsia="仿宋_GB2312" w:hint="eastAsia"/>
            <w:b w:val="0"/>
            <w:bCs w:val="0"/>
            <w:sz w:val="28"/>
            <w:szCs w:val="28"/>
          </w:rPr>
          <w:fldChar w:fldCharType="end"/>
        </w:r>
      </w:hyperlink>
    </w:p>
    <w:p w:rsidR="000A32D6" w:rsidRDefault="00B22BB7">
      <w:pPr>
        <w:pStyle w:val="10"/>
        <w:tabs>
          <w:tab w:val="right" w:leader="dot" w:pos="8296"/>
        </w:tabs>
        <w:spacing w:line="600" w:lineRule="exact"/>
        <w:rPr>
          <w:rFonts w:ascii="仿宋_GB2312" w:eastAsia="仿宋_GB2312" w:hAnsi="Calibri"/>
          <w:b w:val="0"/>
          <w:bCs w:val="0"/>
          <w:i w:val="0"/>
          <w:iCs w:val="0"/>
          <w:sz w:val="28"/>
          <w:szCs w:val="28"/>
        </w:rPr>
      </w:pPr>
      <w:hyperlink w:anchor="_Toc72430498" w:history="1">
        <w:r w:rsidR="005E1D7C">
          <w:rPr>
            <w:rStyle w:val="a9"/>
            <w:rFonts w:hint="eastAsia"/>
            <w:b w:val="0"/>
            <w:bCs w:val="0"/>
            <w:i w:val="0"/>
            <w:iCs w:val="0"/>
            <w:sz w:val="28"/>
            <w:szCs w:val="28"/>
          </w:rPr>
          <w:t>十一、名词解释</w:t>
        </w:r>
        <w:r w:rsidR="005E1D7C">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5E1D7C">
          <w:rPr>
            <w:rFonts w:ascii="仿宋_GB2312" w:eastAsia="仿宋_GB2312" w:hint="eastAsia"/>
            <w:b w:val="0"/>
            <w:bCs w:val="0"/>
            <w:i w:val="0"/>
            <w:iCs w:val="0"/>
            <w:sz w:val="28"/>
            <w:szCs w:val="28"/>
          </w:rPr>
          <w:instrText xml:space="preserve"> PAGEREF _Toc72430498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5E1D7C">
          <w:rPr>
            <w:rFonts w:ascii="仿宋_GB2312" w:eastAsia="仿宋_GB2312" w:hint="eastAsia"/>
            <w:b w:val="0"/>
            <w:bCs w:val="0"/>
            <w:i w:val="0"/>
            <w:iCs w:val="0"/>
            <w:sz w:val="28"/>
            <w:szCs w:val="28"/>
          </w:rPr>
          <w:t>- 14 -</w:t>
        </w:r>
        <w:r>
          <w:rPr>
            <w:rFonts w:ascii="仿宋_GB2312" w:eastAsia="仿宋_GB2312" w:hint="eastAsia"/>
            <w:b w:val="0"/>
            <w:bCs w:val="0"/>
            <w:i w:val="0"/>
            <w:iCs w:val="0"/>
            <w:sz w:val="28"/>
            <w:szCs w:val="28"/>
          </w:rPr>
          <w:fldChar w:fldCharType="end"/>
        </w:r>
      </w:hyperlink>
    </w:p>
    <w:p w:rsidR="00677D50" w:rsidRDefault="00B22BB7" w:rsidP="00677D50">
      <w:pPr>
        <w:pStyle w:val="10"/>
        <w:tabs>
          <w:tab w:val="right" w:leader="dot" w:pos="8296"/>
        </w:tabs>
        <w:spacing w:line="600" w:lineRule="exact"/>
        <w:rPr>
          <w:rFonts w:ascii="仿宋_GB2312" w:eastAsia="仿宋_GB2312" w:hAnsi="Calibri"/>
          <w:b w:val="0"/>
          <w:bCs w:val="0"/>
          <w:i w:val="0"/>
          <w:iCs w:val="0"/>
          <w:sz w:val="28"/>
          <w:szCs w:val="28"/>
        </w:rPr>
      </w:pPr>
      <w:r>
        <w:rPr>
          <w:rFonts w:ascii="仿宋_GB2312" w:eastAsia="仿宋_GB2312" w:hint="eastAsia"/>
          <w:sz w:val="28"/>
          <w:szCs w:val="28"/>
          <w:lang w:val="zh-CN"/>
        </w:rPr>
        <w:fldChar w:fldCharType="end"/>
      </w:r>
      <w:bookmarkStart w:id="2" w:name="_Hlk72430788"/>
      <w:bookmarkEnd w:id="0"/>
      <w:r w:rsidR="00677D50" w:rsidRPr="00677D50">
        <w:rPr>
          <w:rFonts w:ascii="仿宋_GB2312" w:eastAsia="仿宋_GB2312" w:hint="eastAsia"/>
          <w:i w:val="0"/>
          <w:sz w:val="28"/>
          <w:szCs w:val="28"/>
          <w:lang w:val="zh-CN"/>
        </w:rPr>
        <w:t>附件</w:t>
      </w:r>
      <w:hyperlink w:anchor="_Toc72430498" w:history="1">
        <w:r w:rsidR="00677D50">
          <w:rPr>
            <w:rFonts w:ascii="仿宋_GB2312" w:eastAsia="仿宋_GB2312" w:hint="eastAsia"/>
            <w:b w:val="0"/>
            <w:bCs w:val="0"/>
            <w:i w:val="0"/>
            <w:iCs w:val="0"/>
            <w:sz w:val="28"/>
            <w:szCs w:val="28"/>
          </w:rPr>
          <w:tab/>
        </w:r>
        <w:r>
          <w:rPr>
            <w:rFonts w:ascii="仿宋_GB2312" w:eastAsia="仿宋_GB2312" w:hint="eastAsia"/>
            <w:b w:val="0"/>
            <w:bCs w:val="0"/>
            <w:i w:val="0"/>
            <w:iCs w:val="0"/>
            <w:sz w:val="28"/>
            <w:szCs w:val="28"/>
          </w:rPr>
          <w:fldChar w:fldCharType="begin"/>
        </w:r>
        <w:r w:rsidR="00677D50">
          <w:rPr>
            <w:rFonts w:ascii="仿宋_GB2312" w:eastAsia="仿宋_GB2312" w:hint="eastAsia"/>
            <w:b w:val="0"/>
            <w:bCs w:val="0"/>
            <w:i w:val="0"/>
            <w:iCs w:val="0"/>
            <w:sz w:val="28"/>
            <w:szCs w:val="28"/>
          </w:rPr>
          <w:instrText xml:space="preserve"> PAGEREF _Toc72430498 \h </w:instrText>
        </w:r>
        <w:r>
          <w:rPr>
            <w:rFonts w:ascii="仿宋_GB2312" w:eastAsia="仿宋_GB2312" w:hint="eastAsia"/>
            <w:b w:val="0"/>
            <w:bCs w:val="0"/>
            <w:i w:val="0"/>
            <w:iCs w:val="0"/>
            <w:sz w:val="28"/>
            <w:szCs w:val="28"/>
          </w:rPr>
        </w:r>
        <w:r>
          <w:rPr>
            <w:rFonts w:ascii="仿宋_GB2312" w:eastAsia="仿宋_GB2312" w:hint="eastAsia"/>
            <w:b w:val="0"/>
            <w:bCs w:val="0"/>
            <w:i w:val="0"/>
            <w:iCs w:val="0"/>
            <w:sz w:val="28"/>
            <w:szCs w:val="28"/>
          </w:rPr>
          <w:fldChar w:fldCharType="separate"/>
        </w:r>
        <w:r w:rsidR="00677D50">
          <w:rPr>
            <w:rFonts w:ascii="仿宋_GB2312" w:eastAsia="仿宋_GB2312" w:hint="eastAsia"/>
            <w:b w:val="0"/>
            <w:bCs w:val="0"/>
            <w:i w:val="0"/>
            <w:iCs w:val="0"/>
            <w:sz w:val="28"/>
            <w:szCs w:val="28"/>
          </w:rPr>
          <w:t>- 15 -</w:t>
        </w:r>
        <w:r>
          <w:rPr>
            <w:rFonts w:ascii="仿宋_GB2312" w:eastAsia="仿宋_GB2312" w:hint="eastAsia"/>
            <w:b w:val="0"/>
            <w:bCs w:val="0"/>
            <w:i w:val="0"/>
            <w:iCs w:val="0"/>
            <w:sz w:val="28"/>
            <w:szCs w:val="28"/>
          </w:rPr>
          <w:fldChar w:fldCharType="end"/>
        </w:r>
      </w:hyperlink>
    </w:p>
    <w:p w:rsidR="000A32D6" w:rsidRDefault="000A32D6" w:rsidP="00677D50">
      <w:pPr>
        <w:spacing w:line="500" w:lineRule="exact"/>
        <w:ind w:firstLineChars="750" w:firstLine="1575"/>
        <w:rPr>
          <w:rFonts w:ascii="仿宋_GB2312" w:hAnsi="仿宋"/>
          <w:color w:val="FF0000"/>
          <w:szCs w:val="32"/>
        </w:rPr>
      </w:pPr>
    </w:p>
    <w:bookmarkEnd w:id="2"/>
    <w:p w:rsidR="000A32D6" w:rsidRDefault="000A32D6">
      <w:pPr>
        <w:spacing w:line="600" w:lineRule="exact"/>
        <w:rPr>
          <w:sz w:val="30"/>
          <w:szCs w:val="30"/>
        </w:rPr>
      </w:pPr>
    </w:p>
    <w:p w:rsidR="000A32D6" w:rsidRDefault="000A32D6">
      <w:pPr>
        <w:jc w:val="center"/>
        <w:rPr>
          <w:rFonts w:ascii="黑体" w:eastAsia="黑体"/>
          <w:sz w:val="30"/>
          <w:szCs w:val="30"/>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0A32D6">
      <w:pPr>
        <w:jc w:val="center"/>
        <w:rPr>
          <w:rFonts w:ascii="黑体" w:eastAsia="黑体"/>
          <w:sz w:val="32"/>
          <w:szCs w:val="32"/>
        </w:rPr>
      </w:pPr>
    </w:p>
    <w:p w:rsidR="000A32D6" w:rsidRDefault="005E1D7C">
      <w:pPr>
        <w:pStyle w:val="1"/>
        <w:spacing w:line="240" w:lineRule="auto"/>
        <w:rPr>
          <w:rFonts w:ascii="黑体" w:eastAsia="黑体"/>
          <w:sz w:val="32"/>
          <w:szCs w:val="32"/>
        </w:rPr>
      </w:pPr>
      <w:bookmarkStart w:id="3" w:name="_Toc72430477"/>
      <w:bookmarkStart w:id="4" w:name="_Hlk72429058"/>
      <w:r>
        <w:rPr>
          <w:rFonts w:ascii="黑体" w:eastAsia="黑体" w:hint="eastAsia"/>
          <w:sz w:val="32"/>
          <w:szCs w:val="32"/>
        </w:rPr>
        <w:lastRenderedPageBreak/>
        <w:t>一、基本职能及主要工作</w:t>
      </w:r>
      <w:bookmarkEnd w:id="3"/>
    </w:p>
    <w:p w:rsidR="000A32D6" w:rsidRDefault="005E1D7C">
      <w:pPr>
        <w:pStyle w:val="a3"/>
        <w:adjustRightInd w:val="0"/>
        <w:snapToGrid w:val="0"/>
        <w:spacing w:before="93"/>
        <w:ind w:leftChars="267" w:left="561" w:firstLineChars="10" w:firstLine="32"/>
        <w:outlineLvl w:val="1"/>
        <w:rPr>
          <w:b/>
          <w:bCs/>
          <w:sz w:val="32"/>
          <w:szCs w:val="32"/>
        </w:rPr>
      </w:pPr>
      <w:bookmarkStart w:id="5" w:name="_Toc72430478"/>
      <w:bookmarkEnd w:id="4"/>
      <w:r>
        <w:rPr>
          <w:rFonts w:hint="eastAsia"/>
          <w:b/>
          <w:bCs/>
          <w:sz w:val="32"/>
          <w:szCs w:val="32"/>
        </w:rPr>
        <w:t>（一）自贡市自流井区档案馆职能简介。</w:t>
      </w:r>
      <w:bookmarkEnd w:id="5"/>
    </w:p>
    <w:p w:rsidR="000A32D6" w:rsidRDefault="005E1D7C">
      <w:pPr>
        <w:adjustRightInd w:val="0"/>
        <w:ind w:firstLineChars="200" w:firstLine="640"/>
        <w:rPr>
          <w:rFonts w:ascii="仿宋_GB2312" w:eastAsia="仿宋_GB2312" w:hAnsi="仿宋" w:cs="仿宋"/>
          <w:color w:val="000000"/>
          <w:sz w:val="32"/>
          <w:szCs w:val="32"/>
        </w:rPr>
      </w:pPr>
      <w:bookmarkStart w:id="6" w:name="_Toc72430479"/>
      <w:r>
        <w:rPr>
          <w:rFonts w:ascii="仿宋_GB2312" w:eastAsia="仿宋_GB2312" w:hAnsi="仿宋" w:cs="仿宋" w:hint="eastAsia"/>
          <w:color w:val="000000"/>
          <w:sz w:val="32"/>
          <w:szCs w:val="32"/>
        </w:rPr>
        <w:t>负责接收区级各机关、团体、事业单位、国有企业及其下属单位对国家和社会具有保存价值的档案，负责接收区级重大会议、重大活动、重大突发事件等的档案；负责重要、珍贵档案、资料、实物的征集工作，接受捐赠、购买非国家所有的、对国家和社会有重要保存价值的档案。接受公民、法人和其他组织寄存对国家和社会有保存利用价值的档案；组织实施区档案馆馆藏档案鉴定、解密、</w:t>
      </w:r>
      <w:proofErr w:type="gramStart"/>
      <w:r>
        <w:rPr>
          <w:rFonts w:ascii="仿宋_GB2312" w:eastAsia="仿宋_GB2312" w:hAnsi="仿宋" w:cs="仿宋" w:hint="eastAsia"/>
          <w:color w:val="000000"/>
          <w:sz w:val="32"/>
          <w:szCs w:val="32"/>
        </w:rPr>
        <w:t>划控和</w:t>
      </w:r>
      <w:proofErr w:type="gramEnd"/>
      <w:r>
        <w:rPr>
          <w:rFonts w:ascii="仿宋_GB2312" w:eastAsia="仿宋_GB2312" w:hAnsi="仿宋" w:cs="仿宋" w:hint="eastAsia"/>
          <w:color w:val="000000"/>
          <w:sz w:val="32"/>
          <w:szCs w:val="32"/>
        </w:rPr>
        <w:t>开放工作；负责区档案馆馆藏档案信息化工作，承担数字档案馆建设工作，开展数字档案资源建设，依法接收电子档案，建设电子文件备份中心；开展档案利用工作，依法向社会提供档案资料和已公开现行文件利用工作，开展民生档案等异地查档跨馆服务；负责区档案馆馆藏档案资源开发工作，开展档案资政服务工作，编研档案史料，开发档案文化产品，举办档案展览，建设管理爱国主义教育基地，开展档案社会宣传教育工作；负责区档案馆馆藏档案实体和信息安全、保密工作，对重要档案实行异地异质备份保管，负责对重要、珍贵档案采取特殊保护措施；组织开展档案学术科研、馆际合作、业务交流；完成区委交办的其他任务。</w:t>
      </w:r>
    </w:p>
    <w:p w:rsidR="000A32D6" w:rsidRDefault="005E1D7C">
      <w:pPr>
        <w:pStyle w:val="a3"/>
        <w:adjustRightInd w:val="0"/>
        <w:snapToGrid w:val="0"/>
        <w:spacing w:before="93"/>
        <w:ind w:firstLineChars="196" w:firstLine="630"/>
        <w:outlineLvl w:val="1"/>
        <w:rPr>
          <w:b/>
          <w:bCs/>
          <w:sz w:val="32"/>
          <w:szCs w:val="32"/>
        </w:rPr>
      </w:pPr>
      <w:r>
        <w:rPr>
          <w:rFonts w:hint="eastAsia"/>
          <w:b/>
          <w:bCs/>
          <w:sz w:val="32"/>
          <w:szCs w:val="32"/>
        </w:rPr>
        <w:t>（二）自贡市自流井区档案馆2022年重点工作。</w:t>
      </w:r>
      <w:bookmarkStart w:id="7" w:name="_Toc72430480"/>
      <w:bookmarkEnd w:id="6"/>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1.全力推进国家综合档案馆建设项目各项工作，力争年</w:t>
      </w:r>
      <w:r>
        <w:rPr>
          <w:rFonts w:hAnsi="仿宋" w:cs="仿宋" w:hint="eastAsia"/>
          <w:color w:val="000000"/>
          <w:sz w:val="32"/>
          <w:szCs w:val="32"/>
        </w:rPr>
        <w:lastRenderedPageBreak/>
        <w:t>内实现开工建设。</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2.完善档案资源体系建设、档案利用体系建设、档案安全体系建设“三个体系”建设工作。着力加强数字档案资源建设，推进数字档案室建设，提高档案利用效率；畅通来电、邮件、信函、代查等多种查档渠道，让群众享受方便、快捷、高效的服务，提高群众查档满意度；守好档案安全底线，牢固树立安全重于泰山意识，强化安全检查工作，做好安全检查记录。</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3.档案业务建设。加大集中立卷归档工作力度，进一步规范各单位文件材料整理归档；加快档案数字化工作进度，不断提高利用效率。加大档案工作业务指导力度，提升各单位档案管理水平。</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4.做好档案宣传工作。注重平时工作信息的报送，及时报送有关工作信息，努力完成各项信息任务。</w:t>
      </w:r>
    </w:p>
    <w:p w:rsidR="000A32D6" w:rsidRDefault="005E1D7C">
      <w:pPr>
        <w:pStyle w:val="a3"/>
        <w:adjustRightInd w:val="0"/>
        <w:snapToGrid w:val="0"/>
        <w:spacing w:before="93" w:line="560" w:lineRule="exact"/>
        <w:ind w:firstLineChars="200" w:firstLine="640"/>
        <w:outlineLvl w:val="1"/>
        <w:rPr>
          <w:rFonts w:hAnsi="仿宋" w:cs="仿宋"/>
          <w:color w:val="000000"/>
          <w:sz w:val="32"/>
          <w:szCs w:val="32"/>
        </w:rPr>
      </w:pPr>
      <w:r>
        <w:rPr>
          <w:rFonts w:hAnsi="仿宋" w:cs="仿宋" w:hint="eastAsia"/>
          <w:color w:val="000000"/>
          <w:sz w:val="32"/>
          <w:szCs w:val="32"/>
        </w:rPr>
        <w:t>5.其他工作。完成区委、区政府下达的其他工作任务。</w:t>
      </w:r>
    </w:p>
    <w:p w:rsidR="000A32D6" w:rsidRDefault="005E1D7C">
      <w:pPr>
        <w:pStyle w:val="1"/>
        <w:spacing w:line="240" w:lineRule="auto"/>
        <w:rPr>
          <w:rFonts w:ascii="黑体" w:eastAsia="黑体"/>
          <w:sz w:val="32"/>
          <w:szCs w:val="32"/>
        </w:rPr>
      </w:pPr>
      <w:r>
        <w:rPr>
          <w:rFonts w:ascii="黑体" w:eastAsia="黑体" w:hint="eastAsia"/>
          <w:sz w:val="32"/>
          <w:szCs w:val="32"/>
        </w:rPr>
        <w:t>二、部门概况</w:t>
      </w:r>
      <w:bookmarkEnd w:id="7"/>
    </w:p>
    <w:p w:rsidR="000A32D6" w:rsidRDefault="005E1D7C">
      <w:pPr>
        <w:pStyle w:val="a3"/>
        <w:adjustRightInd w:val="0"/>
        <w:spacing w:beforeLines="0"/>
        <w:ind w:firstLineChars="200" w:firstLine="640"/>
        <w:rPr>
          <w:sz w:val="32"/>
          <w:szCs w:val="32"/>
        </w:rPr>
      </w:pPr>
      <w:bookmarkStart w:id="8" w:name="_Toc72430481"/>
      <w:r>
        <w:rPr>
          <w:rFonts w:hint="eastAsia"/>
          <w:sz w:val="32"/>
          <w:szCs w:val="32"/>
        </w:rPr>
        <w:t>自贡市自流井区档案馆无下属二级预算单位。</w:t>
      </w:r>
    </w:p>
    <w:p w:rsidR="000A32D6" w:rsidRDefault="005E1D7C">
      <w:pPr>
        <w:pStyle w:val="1"/>
        <w:spacing w:line="240" w:lineRule="auto"/>
        <w:rPr>
          <w:rFonts w:ascii="黑体" w:eastAsia="黑体"/>
          <w:sz w:val="32"/>
          <w:szCs w:val="32"/>
        </w:rPr>
      </w:pPr>
      <w:r>
        <w:rPr>
          <w:rFonts w:ascii="黑体" w:eastAsia="黑体" w:hint="eastAsia"/>
          <w:sz w:val="32"/>
          <w:szCs w:val="32"/>
        </w:rPr>
        <w:t>三、收支预算情况说明</w:t>
      </w:r>
      <w:bookmarkEnd w:id="8"/>
    </w:p>
    <w:p w:rsidR="000A32D6" w:rsidRDefault="005E1D7C">
      <w:pPr>
        <w:tabs>
          <w:tab w:val="left" w:pos="1723"/>
        </w:tabs>
        <w:ind w:firstLineChars="200" w:firstLine="640"/>
        <w:rPr>
          <w:rFonts w:ascii="仿宋_GB2312" w:eastAsia="仿宋_GB2312"/>
          <w:sz w:val="32"/>
          <w:szCs w:val="32"/>
        </w:rPr>
      </w:pPr>
      <w:bookmarkStart w:id="9" w:name="_Toc72430482"/>
      <w:r>
        <w:rPr>
          <w:rFonts w:ascii="仿宋_GB2312" w:eastAsia="仿宋_GB2312" w:hint="eastAsia"/>
          <w:sz w:val="32"/>
          <w:szCs w:val="32"/>
        </w:rPr>
        <w:t>按照综合预算的原则，自贡市自流井区档案馆所有收入和支出均纳入部门预算管理。收入包括：一般公共预算拨款收入。支出包括：一般公共服务支出、社会保障和就业支出、</w:t>
      </w:r>
      <w:r>
        <w:rPr>
          <w:rFonts w:ascii="仿宋_GB2312" w:eastAsia="仿宋_GB2312" w:hint="eastAsia"/>
          <w:sz w:val="32"/>
          <w:szCs w:val="32"/>
        </w:rPr>
        <w:lastRenderedPageBreak/>
        <w:t>卫生健康支出、住房保障支出。自贡市自流井区档案馆2022年收支总预算115.37万元，比2021年收支预算总数增加19.97万元，主要原因是定额公用经费增加及目标绩效奖金纳入了年初预算。</w:t>
      </w:r>
    </w:p>
    <w:p w:rsidR="000A32D6" w:rsidRDefault="005E1D7C">
      <w:pPr>
        <w:pStyle w:val="2"/>
        <w:rPr>
          <w:rFonts w:ascii="仿宋_GB2312" w:eastAsia="仿宋_GB2312"/>
        </w:rPr>
      </w:pPr>
      <w:r>
        <w:rPr>
          <w:rFonts w:ascii="仿宋_GB2312" w:eastAsia="仿宋_GB2312" w:hint="eastAsia"/>
          <w:bCs w:val="0"/>
        </w:rPr>
        <w:t>（一）收入预算情况</w:t>
      </w:r>
      <w:bookmarkEnd w:id="9"/>
    </w:p>
    <w:p w:rsidR="000A32D6" w:rsidRDefault="005E1D7C">
      <w:pPr>
        <w:ind w:firstLine="646"/>
        <w:rPr>
          <w:rFonts w:ascii="仿宋_GB2312" w:eastAsia="仿宋_GB2312"/>
          <w:sz w:val="32"/>
          <w:szCs w:val="32"/>
        </w:rPr>
      </w:pPr>
      <w:r>
        <w:rPr>
          <w:rFonts w:ascii="仿宋_GB2312" w:eastAsia="仿宋_GB2312" w:hint="eastAsia"/>
          <w:sz w:val="32"/>
          <w:szCs w:val="32"/>
        </w:rPr>
        <w:t>自贡市自流井区档案馆2022年收入预算115.37万元，其中：上年结转0万元，占0%；一般公共预算拨款收入115.37万元，占100%，</w:t>
      </w:r>
      <w:r>
        <w:rPr>
          <w:rFonts w:ascii="仿宋" w:eastAsia="仿宋" w:hAnsi="仿宋" w:cs="仿宋" w:hint="eastAsia"/>
          <w:sz w:val="32"/>
          <w:szCs w:val="32"/>
        </w:rPr>
        <w:t>政府性基金预算财政拨款收入0万元，占0%</w:t>
      </w:r>
      <w:r>
        <w:rPr>
          <w:rFonts w:ascii="仿宋_GB2312" w:eastAsia="仿宋_GB2312" w:hint="eastAsia"/>
          <w:sz w:val="32"/>
          <w:szCs w:val="32"/>
        </w:rPr>
        <w:t>。</w:t>
      </w:r>
    </w:p>
    <w:p w:rsidR="000A32D6" w:rsidRDefault="005E1D7C">
      <w:r>
        <w:rPr>
          <w:noProof/>
        </w:rPr>
        <w:drawing>
          <wp:inline distT="0" distB="0" distL="0" distR="0">
            <wp:extent cx="5096510" cy="3816350"/>
            <wp:effectExtent l="0" t="0" r="0" b="0"/>
            <wp:docPr id="1"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A32D6" w:rsidRDefault="005E1D7C">
      <w:pPr>
        <w:spacing w:line="360" w:lineRule="auto"/>
        <w:ind w:firstLineChars="200" w:firstLine="643"/>
        <w:jc w:val="center"/>
        <w:rPr>
          <w:rFonts w:ascii="仿宋_GB2312" w:eastAsia="仿宋_GB2312"/>
          <w:b/>
          <w:sz w:val="32"/>
          <w:szCs w:val="32"/>
        </w:rPr>
      </w:pPr>
      <w:r>
        <w:rPr>
          <w:rFonts w:ascii="仿宋_GB2312" w:eastAsia="仿宋_GB2312" w:hint="eastAsia"/>
          <w:b/>
          <w:sz w:val="32"/>
          <w:szCs w:val="32"/>
        </w:rPr>
        <w:t>（图1：收入预算结构图）</w:t>
      </w:r>
    </w:p>
    <w:p w:rsidR="000A32D6" w:rsidRDefault="000A32D6">
      <w:pPr>
        <w:rPr>
          <w:rFonts w:ascii="仿宋_GB2312" w:eastAsia="仿宋_GB2312"/>
          <w:sz w:val="32"/>
          <w:szCs w:val="32"/>
        </w:rPr>
      </w:pPr>
    </w:p>
    <w:p w:rsidR="000A32D6" w:rsidRDefault="005E1D7C">
      <w:pPr>
        <w:pStyle w:val="2"/>
        <w:spacing w:line="240" w:lineRule="auto"/>
        <w:rPr>
          <w:rFonts w:ascii="仿宋_GB2312" w:eastAsia="仿宋_GB2312"/>
        </w:rPr>
      </w:pPr>
      <w:bookmarkStart w:id="10" w:name="_Toc72430483"/>
      <w:r>
        <w:rPr>
          <w:rFonts w:ascii="仿宋_GB2312" w:eastAsia="仿宋_GB2312" w:hint="eastAsia"/>
          <w:bCs w:val="0"/>
        </w:rPr>
        <w:lastRenderedPageBreak/>
        <w:t>（二）支出预算情况</w:t>
      </w:r>
      <w:bookmarkEnd w:id="10"/>
    </w:p>
    <w:p w:rsidR="000A32D6" w:rsidRDefault="005E1D7C">
      <w:pPr>
        <w:ind w:firstLineChars="200" w:firstLine="640"/>
        <w:rPr>
          <w:rFonts w:ascii="仿宋_GB2312" w:eastAsia="仿宋_GB2312"/>
          <w:b/>
          <w:sz w:val="32"/>
          <w:szCs w:val="32"/>
        </w:rPr>
      </w:pPr>
      <w:r>
        <w:rPr>
          <w:rFonts w:ascii="仿宋_GB2312" w:eastAsia="仿宋_GB2312" w:hint="eastAsia"/>
          <w:sz w:val="32"/>
          <w:szCs w:val="32"/>
        </w:rPr>
        <w:t>自贡市自流井区档案馆2022年支出预算115.37万元，其中：基本支出91.37万元，占79.2%；项目支出24万元，占20.8%。</w:t>
      </w:r>
    </w:p>
    <w:p w:rsidR="000A32D6" w:rsidRDefault="005E1D7C">
      <w:pPr>
        <w:pStyle w:val="5"/>
        <w:spacing w:line="240" w:lineRule="auto"/>
        <w:ind w:firstLine="643"/>
        <w:jc w:val="center"/>
        <w:rPr>
          <w:rFonts w:ascii="仿宋_GB2312" w:eastAsia="仿宋_GB2312"/>
          <w:b/>
        </w:rPr>
      </w:pPr>
      <w:r>
        <w:rPr>
          <w:rFonts w:ascii="仿宋_GB2312" w:eastAsia="仿宋_GB2312"/>
          <w:b/>
          <w:noProof/>
        </w:rPr>
        <w:drawing>
          <wp:inline distT="0" distB="0" distL="0" distR="0">
            <wp:extent cx="5096510" cy="3816350"/>
            <wp:effectExtent l="0" t="0" r="0" b="0"/>
            <wp:docPr id="2"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ascii="仿宋_GB2312" w:eastAsia="仿宋_GB2312" w:hint="eastAsia"/>
          <w:b/>
        </w:rPr>
        <w:t>（图2：支出预算结构图）</w:t>
      </w:r>
    </w:p>
    <w:p w:rsidR="000A32D6" w:rsidRDefault="005E1D7C">
      <w:pPr>
        <w:pStyle w:val="1"/>
        <w:spacing w:line="240" w:lineRule="auto"/>
        <w:rPr>
          <w:rFonts w:ascii="仿宋_GB2312" w:eastAsia="仿宋_GB2312"/>
          <w:color w:val="333333"/>
          <w:sz w:val="32"/>
          <w:szCs w:val="32"/>
        </w:rPr>
      </w:pPr>
      <w:bookmarkStart w:id="11" w:name="_Toc72430484"/>
      <w:r>
        <w:rPr>
          <w:rFonts w:ascii="黑体" w:eastAsia="黑体" w:hint="eastAsia"/>
          <w:color w:val="333333"/>
          <w:sz w:val="32"/>
          <w:szCs w:val="32"/>
        </w:rPr>
        <w:t>四、财政拨款收支预算情况说明</w:t>
      </w:r>
      <w:bookmarkEnd w:id="11"/>
    </w:p>
    <w:p w:rsidR="000A32D6" w:rsidRDefault="005E1D7C">
      <w:pPr>
        <w:ind w:firstLine="645"/>
        <w:rPr>
          <w:rFonts w:ascii="仿宋_GB2312" w:eastAsia="仿宋_GB2312"/>
          <w:sz w:val="32"/>
          <w:szCs w:val="32"/>
        </w:rPr>
      </w:pPr>
      <w:r>
        <w:rPr>
          <w:rFonts w:ascii="仿宋_GB2312" w:eastAsia="仿宋_GB2312" w:hint="eastAsia"/>
          <w:sz w:val="32"/>
          <w:szCs w:val="32"/>
        </w:rPr>
        <w:t>自贡市自流井区档案馆</w:t>
      </w:r>
      <w:r>
        <w:rPr>
          <w:rFonts w:ascii="仿宋_GB2312" w:eastAsia="仿宋_GB2312" w:hint="eastAsia"/>
          <w:color w:val="333333"/>
          <w:sz w:val="32"/>
          <w:szCs w:val="32"/>
        </w:rPr>
        <w:t>2022年财政拨款收支总预算</w:t>
      </w:r>
      <w:r>
        <w:rPr>
          <w:rFonts w:ascii="仿宋_GB2312" w:eastAsia="仿宋_GB2312" w:hint="eastAsia"/>
          <w:sz w:val="32"/>
          <w:szCs w:val="32"/>
        </w:rPr>
        <w:t>115.37</w:t>
      </w:r>
      <w:r>
        <w:rPr>
          <w:rFonts w:ascii="仿宋_GB2312" w:eastAsia="仿宋_GB2312" w:hint="eastAsia"/>
          <w:color w:val="333333"/>
          <w:sz w:val="32"/>
          <w:szCs w:val="32"/>
        </w:rPr>
        <w:t>万元，比2021年财政拨款收支总预算增加19.97万元，</w:t>
      </w:r>
      <w:r>
        <w:rPr>
          <w:rFonts w:ascii="仿宋_GB2312" w:eastAsia="仿宋_GB2312" w:hint="eastAsia"/>
          <w:sz w:val="32"/>
          <w:szCs w:val="32"/>
        </w:rPr>
        <w:t>主要原因是定额公用经费增加及目标绩效奖金纳入了年初预算。</w:t>
      </w:r>
    </w:p>
    <w:p w:rsidR="000A32D6" w:rsidRDefault="000A32D6">
      <w:pPr>
        <w:ind w:firstLine="645"/>
        <w:rPr>
          <w:rFonts w:ascii="仿宋_GB2312" w:eastAsia="仿宋_GB2312"/>
          <w:sz w:val="32"/>
          <w:szCs w:val="32"/>
        </w:rPr>
      </w:pPr>
    </w:p>
    <w:p w:rsidR="000A32D6" w:rsidRDefault="000A32D6">
      <w:pPr>
        <w:rPr>
          <w:rFonts w:ascii="仿宋_GB2312" w:eastAsia="仿宋_GB2312"/>
          <w:sz w:val="32"/>
          <w:szCs w:val="32"/>
        </w:rPr>
      </w:pPr>
    </w:p>
    <w:p w:rsidR="000A32D6" w:rsidRDefault="005E1D7C">
      <w:pPr>
        <w:pStyle w:val="5"/>
        <w:spacing w:line="360" w:lineRule="auto"/>
        <w:jc w:val="center"/>
      </w:pPr>
      <w:r>
        <w:rPr>
          <w:noProof/>
        </w:rPr>
        <w:drawing>
          <wp:inline distT="0" distB="0" distL="0" distR="0">
            <wp:extent cx="5001260" cy="3649345"/>
            <wp:effectExtent l="0" t="0" r="0" b="0"/>
            <wp:docPr id="3"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仿宋_GB2312" w:eastAsia="仿宋_GB2312" w:hint="eastAsia"/>
          <w:b/>
        </w:rPr>
        <w:t>（图3：财政拨款收支总预算变动情况）</w:t>
      </w:r>
    </w:p>
    <w:p w:rsidR="000A32D6" w:rsidRDefault="005E1D7C">
      <w:pPr>
        <w:ind w:firstLineChars="200" w:firstLine="640"/>
        <w:rPr>
          <w:rFonts w:ascii="仿宋_GB2312" w:eastAsia="仿宋_GB2312"/>
          <w:color w:val="333333"/>
          <w:sz w:val="32"/>
          <w:szCs w:val="32"/>
        </w:rPr>
      </w:pPr>
      <w:r>
        <w:rPr>
          <w:rFonts w:ascii="仿宋_GB2312" w:eastAsia="仿宋_GB2312" w:hint="eastAsia"/>
          <w:color w:val="333333"/>
          <w:sz w:val="32"/>
          <w:szCs w:val="32"/>
        </w:rPr>
        <w:t>收入包括：本年一般公共预算拨款收入</w:t>
      </w:r>
      <w:r>
        <w:rPr>
          <w:rFonts w:ascii="仿宋_GB2312" w:eastAsia="仿宋_GB2312" w:hint="eastAsia"/>
          <w:sz w:val="32"/>
          <w:szCs w:val="32"/>
        </w:rPr>
        <w:t>115.37</w:t>
      </w:r>
      <w:r>
        <w:rPr>
          <w:rFonts w:ascii="仿宋_GB2312" w:eastAsia="仿宋_GB2312" w:hint="eastAsia"/>
          <w:color w:val="333333"/>
          <w:sz w:val="32"/>
          <w:szCs w:val="32"/>
        </w:rPr>
        <w:t>万元，本年</w:t>
      </w:r>
      <w:r>
        <w:rPr>
          <w:rFonts w:ascii="仿宋_GB2312" w:eastAsia="仿宋_GB2312" w:hint="eastAsia"/>
          <w:sz w:val="32"/>
          <w:szCs w:val="32"/>
        </w:rPr>
        <w:t>政府性基金收入0</w:t>
      </w:r>
      <w:r>
        <w:rPr>
          <w:rFonts w:ascii="仿宋_GB2312" w:eastAsia="仿宋_GB2312" w:hint="eastAsia"/>
          <w:color w:val="333333"/>
          <w:sz w:val="32"/>
          <w:szCs w:val="32"/>
        </w:rPr>
        <w:t>万元，上年结转一般公共预算拨款收入</w:t>
      </w:r>
      <w:r>
        <w:rPr>
          <w:rFonts w:ascii="仿宋_GB2312" w:eastAsia="仿宋_GB2312" w:hint="eastAsia"/>
          <w:sz w:val="32"/>
          <w:szCs w:val="32"/>
        </w:rPr>
        <w:t>0</w:t>
      </w:r>
      <w:r>
        <w:rPr>
          <w:rFonts w:ascii="仿宋_GB2312" w:eastAsia="仿宋_GB2312" w:hint="eastAsia"/>
          <w:color w:val="333333"/>
          <w:sz w:val="32"/>
          <w:szCs w:val="32"/>
        </w:rPr>
        <w:t>万元；支出包括：一般公共服务支出</w:t>
      </w:r>
      <w:r>
        <w:rPr>
          <w:rFonts w:ascii="仿宋_GB2312" w:eastAsia="仿宋_GB2312" w:hint="eastAsia"/>
          <w:sz w:val="32"/>
          <w:szCs w:val="32"/>
        </w:rPr>
        <w:t>101.39</w:t>
      </w:r>
      <w:r>
        <w:rPr>
          <w:rFonts w:ascii="仿宋_GB2312" w:eastAsia="仿宋_GB2312" w:hint="eastAsia"/>
          <w:color w:val="333333"/>
          <w:sz w:val="32"/>
          <w:szCs w:val="32"/>
        </w:rPr>
        <w:t>万元、社会保障和就业支出</w:t>
      </w:r>
      <w:r>
        <w:rPr>
          <w:rFonts w:ascii="仿宋_GB2312" w:eastAsia="仿宋_GB2312" w:hint="eastAsia"/>
          <w:sz w:val="32"/>
          <w:szCs w:val="32"/>
        </w:rPr>
        <w:t>6.32</w:t>
      </w:r>
      <w:r>
        <w:rPr>
          <w:rFonts w:ascii="仿宋_GB2312" w:eastAsia="仿宋_GB2312" w:hint="eastAsia"/>
          <w:color w:val="333333"/>
          <w:sz w:val="32"/>
          <w:szCs w:val="32"/>
        </w:rPr>
        <w:t>万元、卫生健康支出</w:t>
      </w:r>
      <w:r>
        <w:rPr>
          <w:rFonts w:ascii="仿宋_GB2312" w:eastAsia="仿宋_GB2312" w:hint="eastAsia"/>
          <w:sz w:val="32"/>
          <w:szCs w:val="32"/>
        </w:rPr>
        <w:t>3.19</w:t>
      </w:r>
      <w:r>
        <w:rPr>
          <w:rFonts w:ascii="仿宋_GB2312" w:eastAsia="仿宋_GB2312" w:hint="eastAsia"/>
          <w:color w:val="333333"/>
          <w:sz w:val="32"/>
          <w:szCs w:val="32"/>
        </w:rPr>
        <w:t>万元、住房保障支出</w:t>
      </w:r>
      <w:r>
        <w:rPr>
          <w:rFonts w:ascii="仿宋_GB2312" w:eastAsia="仿宋_GB2312" w:hint="eastAsia"/>
          <w:sz w:val="32"/>
          <w:szCs w:val="32"/>
        </w:rPr>
        <w:t>4.47</w:t>
      </w:r>
      <w:r>
        <w:rPr>
          <w:rFonts w:ascii="仿宋_GB2312" w:eastAsia="仿宋_GB2312" w:hint="eastAsia"/>
          <w:color w:val="333333"/>
          <w:sz w:val="32"/>
          <w:szCs w:val="32"/>
        </w:rPr>
        <w:t>万元。</w:t>
      </w:r>
    </w:p>
    <w:p w:rsidR="000A32D6" w:rsidRDefault="005E1D7C">
      <w:pPr>
        <w:pStyle w:val="1"/>
        <w:spacing w:line="240" w:lineRule="auto"/>
        <w:rPr>
          <w:rFonts w:ascii="仿宋_GB2312" w:eastAsia="仿宋_GB2312"/>
          <w:color w:val="333333"/>
          <w:sz w:val="32"/>
          <w:szCs w:val="32"/>
        </w:rPr>
      </w:pPr>
      <w:bookmarkStart w:id="12" w:name="_Toc72430485"/>
      <w:r>
        <w:rPr>
          <w:rFonts w:ascii="黑体" w:eastAsia="黑体" w:hint="eastAsia"/>
          <w:color w:val="333333"/>
          <w:sz w:val="32"/>
          <w:szCs w:val="32"/>
        </w:rPr>
        <w:t>五、一般公共预算当年拨款情况说明</w:t>
      </w:r>
      <w:bookmarkEnd w:id="12"/>
    </w:p>
    <w:p w:rsidR="000A32D6" w:rsidRDefault="005E1D7C">
      <w:pPr>
        <w:pStyle w:val="2"/>
        <w:spacing w:line="240" w:lineRule="auto"/>
        <w:rPr>
          <w:rFonts w:ascii="仿宋_GB2312" w:eastAsia="仿宋_GB2312"/>
          <w:b w:val="0"/>
          <w:color w:val="333333"/>
        </w:rPr>
      </w:pPr>
      <w:bookmarkStart w:id="13" w:name="_Toc72430486"/>
      <w:r>
        <w:rPr>
          <w:rStyle w:val="a7"/>
          <w:rFonts w:ascii="仿宋_GB2312" w:eastAsia="仿宋_GB2312" w:hint="eastAsia"/>
          <w:b/>
          <w:color w:val="333333"/>
        </w:rPr>
        <w:t>（一）一般公共预算当年拨款规模变化情况</w:t>
      </w:r>
      <w:bookmarkEnd w:id="13"/>
    </w:p>
    <w:p w:rsidR="000A32D6" w:rsidRDefault="005E1D7C">
      <w:pPr>
        <w:ind w:firstLine="645"/>
        <w:rPr>
          <w:rFonts w:ascii="仿宋_GB2312" w:eastAsia="仿宋_GB2312"/>
          <w:sz w:val="32"/>
          <w:szCs w:val="32"/>
        </w:rPr>
      </w:pPr>
      <w:r>
        <w:rPr>
          <w:rFonts w:ascii="仿宋_GB2312" w:eastAsia="仿宋_GB2312" w:hint="eastAsia"/>
          <w:sz w:val="32"/>
          <w:szCs w:val="32"/>
        </w:rPr>
        <w:t>自贡市自流井区档案馆</w:t>
      </w:r>
      <w:r>
        <w:rPr>
          <w:rFonts w:ascii="仿宋_GB2312" w:eastAsia="仿宋_GB2312" w:hint="eastAsia"/>
          <w:color w:val="333333"/>
          <w:sz w:val="32"/>
          <w:szCs w:val="32"/>
        </w:rPr>
        <w:t>2022年一般公共预算当年拨款</w:t>
      </w:r>
      <w:r>
        <w:rPr>
          <w:rFonts w:ascii="仿宋_GB2312" w:eastAsia="仿宋_GB2312" w:hint="eastAsia"/>
          <w:sz w:val="32"/>
          <w:szCs w:val="32"/>
        </w:rPr>
        <w:t>115.37</w:t>
      </w:r>
      <w:r>
        <w:rPr>
          <w:rFonts w:ascii="仿宋_GB2312" w:eastAsia="仿宋_GB2312" w:hint="eastAsia"/>
          <w:color w:val="333333"/>
          <w:sz w:val="32"/>
          <w:szCs w:val="32"/>
        </w:rPr>
        <w:t>万元，比2021年预算数增加</w:t>
      </w:r>
      <w:r>
        <w:rPr>
          <w:rFonts w:ascii="仿宋_GB2312" w:eastAsia="仿宋_GB2312" w:hint="eastAsia"/>
          <w:sz w:val="32"/>
          <w:szCs w:val="32"/>
        </w:rPr>
        <w:t>19.97</w:t>
      </w:r>
      <w:r>
        <w:rPr>
          <w:rFonts w:ascii="仿宋_GB2312" w:eastAsia="仿宋_GB2312" w:hint="eastAsia"/>
          <w:color w:val="333333"/>
          <w:sz w:val="32"/>
          <w:szCs w:val="32"/>
        </w:rPr>
        <w:t>万元。主要是</w:t>
      </w:r>
      <w:r>
        <w:rPr>
          <w:rFonts w:ascii="仿宋_GB2312" w:eastAsia="仿宋_GB2312" w:hint="eastAsia"/>
          <w:sz w:val="32"/>
          <w:szCs w:val="32"/>
        </w:rPr>
        <w:t>定</w:t>
      </w:r>
      <w:r>
        <w:rPr>
          <w:rFonts w:ascii="仿宋_GB2312" w:eastAsia="仿宋_GB2312" w:hint="eastAsia"/>
          <w:sz w:val="32"/>
          <w:szCs w:val="32"/>
        </w:rPr>
        <w:lastRenderedPageBreak/>
        <w:t>额公用经费增加及目标绩效奖金纳入了年初预算。</w:t>
      </w:r>
    </w:p>
    <w:p w:rsidR="000A32D6" w:rsidRDefault="005E1D7C">
      <w:pPr>
        <w:pStyle w:val="5"/>
        <w:spacing w:line="240" w:lineRule="auto"/>
        <w:ind w:firstLine="643"/>
        <w:jc w:val="center"/>
        <w:rPr>
          <w:rFonts w:ascii="仿宋_GB2312" w:eastAsia="仿宋_GB2312"/>
          <w:b/>
        </w:rPr>
      </w:pPr>
      <w:bookmarkStart w:id="14" w:name="_Toc72430487"/>
      <w:r>
        <w:rPr>
          <w:rFonts w:ascii="仿宋_GB2312" w:eastAsia="仿宋_GB2312"/>
          <w:b/>
          <w:noProof/>
        </w:rPr>
        <w:drawing>
          <wp:inline distT="0" distB="0" distL="0" distR="0">
            <wp:extent cx="5025390" cy="3697605"/>
            <wp:effectExtent l="0" t="0" r="0" b="0"/>
            <wp:docPr id="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仿宋_GB2312" w:eastAsia="仿宋_GB2312" w:hint="eastAsia"/>
          <w:b/>
        </w:rPr>
        <w:t>（图4：一般公共预算财政拨款支出预算变动情况）</w:t>
      </w:r>
    </w:p>
    <w:p w:rsidR="000A32D6" w:rsidRDefault="005E1D7C">
      <w:pPr>
        <w:pStyle w:val="2"/>
        <w:spacing w:line="240" w:lineRule="auto"/>
        <w:rPr>
          <w:rFonts w:ascii="仿宋_GB2312" w:eastAsia="仿宋_GB2312"/>
          <w:b w:val="0"/>
          <w:color w:val="333333"/>
        </w:rPr>
      </w:pPr>
      <w:r>
        <w:rPr>
          <w:rStyle w:val="a7"/>
          <w:rFonts w:ascii="仿宋_GB2312" w:eastAsia="仿宋_GB2312" w:hint="eastAsia"/>
          <w:b/>
          <w:color w:val="333333"/>
        </w:rPr>
        <w:t>（二）一般公共预算当年拨款结构情况</w:t>
      </w:r>
      <w:bookmarkEnd w:id="14"/>
    </w:p>
    <w:p w:rsidR="000A32D6" w:rsidRDefault="005E1D7C">
      <w:pPr>
        <w:ind w:firstLine="641"/>
        <w:rPr>
          <w:rFonts w:ascii="仿宋" w:eastAsia="仿宋" w:hAnsi="仿宋" w:cs="仿宋"/>
          <w:sz w:val="32"/>
          <w:szCs w:val="32"/>
        </w:rPr>
      </w:pPr>
      <w:bookmarkStart w:id="15" w:name="_Toc72430488"/>
      <w:r>
        <w:rPr>
          <w:rFonts w:ascii="仿宋_GB2312" w:eastAsia="仿宋_GB2312" w:hint="eastAsia"/>
          <w:color w:val="333333"/>
          <w:sz w:val="32"/>
          <w:szCs w:val="32"/>
        </w:rPr>
        <w:t>一般公共服务支出</w:t>
      </w:r>
      <w:r>
        <w:rPr>
          <w:rFonts w:ascii="仿宋_GB2312" w:eastAsia="仿宋_GB2312" w:hint="eastAsia"/>
          <w:sz w:val="32"/>
          <w:szCs w:val="32"/>
        </w:rPr>
        <w:t>101.39</w:t>
      </w:r>
      <w:r>
        <w:rPr>
          <w:rFonts w:ascii="仿宋_GB2312" w:eastAsia="仿宋_GB2312" w:hint="eastAsia"/>
          <w:color w:val="333333"/>
          <w:sz w:val="32"/>
          <w:szCs w:val="32"/>
        </w:rPr>
        <w:t>万元，占</w:t>
      </w:r>
      <w:r>
        <w:rPr>
          <w:rFonts w:ascii="仿宋_GB2312" w:eastAsia="仿宋_GB2312" w:hint="eastAsia"/>
          <w:sz w:val="32"/>
          <w:szCs w:val="32"/>
        </w:rPr>
        <w:t>87.88</w:t>
      </w:r>
      <w:r>
        <w:rPr>
          <w:rFonts w:ascii="仿宋_GB2312" w:eastAsia="仿宋_GB2312" w:hint="eastAsia"/>
          <w:color w:val="333333"/>
          <w:sz w:val="32"/>
          <w:szCs w:val="32"/>
        </w:rPr>
        <w:t>%；社会保障和就业支出</w:t>
      </w:r>
      <w:r>
        <w:rPr>
          <w:rFonts w:ascii="仿宋_GB2312" w:eastAsia="仿宋_GB2312" w:hint="eastAsia"/>
          <w:sz w:val="32"/>
          <w:szCs w:val="32"/>
        </w:rPr>
        <w:t>6.32</w:t>
      </w:r>
      <w:r>
        <w:rPr>
          <w:rFonts w:ascii="仿宋_GB2312" w:eastAsia="仿宋_GB2312" w:hint="eastAsia"/>
          <w:color w:val="333333"/>
          <w:sz w:val="32"/>
          <w:szCs w:val="32"/>
        </w:rPr>
        <w:t>万元，占</w:t>
      </w:r>
      <w:r>
        <w:rPr>
          <w:rFonts w:ascii="仿宋_GB2312" w:eastAsia="仿宋_GB2312" w:hint="eastAsia"/>
          <w:sz w:val="32"/>
          <w:szCs w:val="32"/>
        </w:rPr>
        <w:t>5.48</w:t>
      </w:r>
      <w:r>
        <w:rPr>
          <w:rFonts w:ascii="仿宋_GB2312" w:eastAsia="仿宋_GB2312" w:hint="eastAsia"/>
          <w:color w:val="333333"/>
          <w:sz w:val="32"/>
          <w:szCs w:val="32"/>
        </w:rPr>
        <w:t>%；卫生健康支出</w:t>
      </w:r>
      <w:r>
        <w:rPr>
          <w:rFonts w:ascii="仿宋_GB2312" w:eastAsia="仿宋_GB2312" w:hint="eastAsia"/>
          <w:sz w:val="32"/>
          <w:szCs w:val="32"/>
        </w:rPr>
        <w:t>3.19</w:t>
      </w:r>
      <w:r>
        <w:rPr>
          <w:rFonts w:ascii="仿宋_GB2312" w:eastAsia="仿宋_GB2312" w:hint="eastAsia"/>
          <w:color w:val="333333"/>
          <w:sz w:val="32"/>
          <w:szCs w:val="32"/>
        </w:rPr>
        <w:t>万元，占</w:t>
      </w:r>
      <w:r>
        <w:rPr>
          <w:rFonts w:ascii="仿宋_GB2312" w:eastAsia="仿宋_GB2312" w:hint="eastAsia"/>
          <w:sz w:val="32"/>
          <w:szCs w:val="32"/>
        </w:rPr>
        <w:t>2.77</w:t>
      </w:r>
      <w:r>
        <w:rPr>
          <w:rFonts w:ascii="仿宋_GB2312" w:eastAsia="仿宋_GB2312" w:hint="eastAsia"/>
          <w:color w:val="333333"/>
          <w:sz w:val="32"/>
          <w:szCs w:val="32"/>
        </w:rPr>
        <w:t>%；住房保障支出</w:t>
      </w:r>
      <w:r>
        <w:rPr>
          <w:rFonts w:ascii="仿宋_GB2312" w:eastAsia="仿宋_GB2312" w:hint="eastAsia"/>
          <w:sz w:val="32"/>
          <w:szCs w:val="32"/>
        </w:rPr>
        <w:t>4.47</w:t>
      </w:r>
      <w:r>
        <w:rPr>
          <w:rFonts w:ascii="仿宋_GB2312" w:eastAsia="仿宋_GB2312" w:hint="eastAsia"/>
          <w:color w:val="333333"/>
          <w:sz w:val="32"/>
          <w:szCs w:val="32"/>
        </w:rPr>
        <w:t>万元，占</w:t>
      </w:r>
      <w:r>
        <w:rPr>
          <w:rFonts w:ascii="仿宋_GB2312" w:eastAsia="仿宋_GB2312" w:hint="eastAsia"/>
          <w:sz w:val="32"/>
          <w:szCs w:val="32"/>
        </w:rPr>
        <w:t>3.87</w:t>
      </w:r>
      <w:r>
        <w:rPr>
          <w:rFonts w:ascii="仿宋_GB2312" w:eastAsia="仿宋_GB2312" w:hint="eastAsia"/>
          <w:color w:val="333333"/>
          <w:sz w:val="32"/>
          <w:szCs w:val="32"/>
        </w:rPr>
        <w:t>%</w:t>
      </w:r>
      <w:r>
        <w:rPr>
          <w:rFonts w:ascii="仿宋" w:eastAsia="仿宋" w:hAnsi="仿宋" w:cs="仿宋" w:hint="eastAsia"/>
          <w:sz w:val="32"/>
          <w:szCs w:val="32"/>
        </w:rPr>
        <w:t>。</w:t>
      </w:r>
    </w:p>
    <w:p w:rsidR="000A32D6" w:rsidRDefault="005E1D7C">
      <w:pPr>
        <w:spacing w:line="360" w:lineRule="auto"/>
        <w:ind w:leftChars="200" w:left="630" w:hangingChars="100" w:hanging="210"/>
        <w:rPr>
          <w:rFonts w:ascii="仿宋_GB2312" w:eastAsia="仿宋_GB2312" w:hAnsi="仿宋"/>
          <w:b/>
          <w:color w:val="000000"/>
          <w:sz w:val="32"/>
          <w:szCs w:val="32"/>
        </w:rPr>
      </w:pPr>
      <w:r>
        <w:rPr>
          <w:noProof/>
        </w:rPr>
        <w:lastRenderedPageBreak/>
        <w:drawing>
          <wp:inline distT="0" distB="0" distL="0" distR="0">
            <wp:extent cx="4866005" cy="3021330"/>
            <wp:effectExtent l="0" t="0" r="0" b="0"/>
            <wp:docPr id="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rPr>
        <w:t xml:space="preserve"> </w:t>
      </w:r>
      <w:r>
        <w:rPr>
          <w:rFonts w:ascii="仿宋_GB2312" w:eastAsia="仿宋_GB2312" w:hAnsi="仿宋" w:hint="eastAsia"/>
          <w:b/>
          <w:color w:val="000000"/>
          <w:sz w:val="32"/>
          <w:szCs w:val="32"/>
        </w:rPr>
        <w:t>（图5：一般公共预算财政拨款支出预算结构）</w:t>
      </w:r>
    </w:p>
    <w:p w:rsidR="000A32D6" w:rsidRDefault="005E1D7C">
      <w:pPr>
        <w:pStyle w:val="2"/>
        <w:spacing w:line="240" w:lineRule="auto"/>
        <w:rPr>
          <w:rFonts w:ascii="仿宋_GB2312" w:eastAsia="仿宋_GB2312"/>
          <w:b w:val="0"/>
          <w:color w:val="333333"/>
        </w:rPr>
      </w:pPr>
      <w:r>
        <w:rPr>
          <w:rStyle w:val="a7"/>
          <w:rFonts w:ascii="仿宋_GB2312" w:eastAsia="仿宋_GB2312" w:hint="eastAsia"/>
          <w:b/>
          <w:color w:val="333333"/>
        </w:rPr>
        <w:t>（三）一般公共预算当年拨款具体使用情况</w:t>
      </w:r>
      <w:r>
        <w:rPr>
          <w:rFonts w:ascii="仿宋_GB2312" w:eastAsia="仿宋_GB2312" w:hint="eastAsia"/>
          <w:b w:val="0"/>
          <w:bCs w:val="0"/>
          <w:color w:val="333333"/>
        </w:rPr>
        <w:t>：</w:t>
      </w:r>
      <w:bookmarkEnd w:id="15"/>
    </w:p>
    <w:p w:rsidR="000A32D6" w:rsidRDefault="005E1D7C">
      <w:pPr>
        <w:ind w:firstLineChars="200" w:firstLine="640"/>
        <w:jc w:val="left"/>
        <w:rPr>
          <w:rFonts w:ascii="仿宋_GB2312" w:eastAsia="仿宋_GB2312" w:hAnsi="仿宋" w:cs="仿宋"/>
          <w:sz w:val="32"/>
          <w:szCs w:val="32"/>
        </w:rPr>
      </w:pPr>
      <w:r>
        <w:rPr>
          <w:rFonts w:ascii="仿宋_GB2312" w:eastAsia="仿宋_GB2312" w:hint="eastAsia"/>
          <w:color w:val="333333"/>
          <w:sz w:val="32"/>
          <w:szCs w:val="32"/>
        </w:rPr>
        <w:t>1.一般公共服务（类）</w:t>
      </w:r>
      <w:r>
        <w:rPr>
          <w:rFonts w:ascii="仿宋_GB2312" w:eastAsia="仿宋_GB2312" w:hint="eastAsia"/>
          <w:sz w:val="32"/>
          <w:szCs w:val="32"/>
        </w:rPr>
        <w:t>档案事务</w:t>
      </w:r>
      <w:r>
        <w:rPr>
          <w:rFonts w:ascii="仿宋_GB2312" w:eastAsia="仿宋_GB2312" w:hint="eastAsia"/>
          <w:color w:val="333333"/>
          <w:sz w:val="32"/>
          <w:szCs w:val="32"/>
        </w:rPr>
        <w:t>（款）</w:t>
      </w:r>
      <w:r>
        <w:rPr>
          <w:rFonts w:ascii="仿宋_GB2312" w:eastAsia="仿宋_GB2312" w:hint="eastAsia"/>
          <w:sz w:val="32"/>
          <w:szCs w:val="32"/>
        </w:rPr>
        <w:t>行政运行</w:t>
      </w:r>
      <w:r>
        <w:rPr>
          <w:rFonts w:ascii="仿宋_GB2312" w:eastAsia="仿宋_GB2312" w:hint="eastAsia"/>
          <w:color w:val="333333"/>
          <w:sz w:val="32"/>
          <w:szCs w:val="32"/>
        </w:rPr>
        <w:t>（项）:2022年预算数为</w:t>
      </w:r>
      <w:r>
        <w:rPr>
          <w:rFonts w:ascii="仿宋_GB2312" w:eastAsia="仿宋_GB2312" w:hint="eastAsia"/>
          <w:sz w:val="32"/>
          <w:szCs w:val="32"/>
        </w:rPr>
        <w:t>74.99</w:t>
      </w:r>
      <w:r>
        <w:rPr>
          <w:rFonts w:ascii="仿宋_GB2312" w:eastAsia="仿宋_GB2312" w:hint="eastAsia"/>
          <w:color w:val="333333"/>
          <w:sz w:val="32"/>
          <w:szCs w:val="32"/>
        </w:rPr>
        <w:t>万元，主要用于：</w:t>
      </w:r>
      <w:r>
        <w:rPr>
          <w:rFonts w:ascii="仿宋_GB2312" w:eastAsia="仿宋_GB2312" w:hAnsi="仿宋" w:cs="仿宋" w:hint="eastAsia"/>
          <w:sz w:val="32"/>
          <w:szCs w:val="32"/>
        </w:rPr>
        <w:t>单位正常运转的基本支出，包括工资福利支出、办公费、差旅费、公务接待费、工会经费、其他交通费用、其他商品和服务支出等日常公用经费,保障部门正常运转。</w:t>
      </w:r>
    </w:p>
    <w:p w:rsidR="000A32D6" w:rsidRDefault="005E1D7C">
      <w:pPr>
        <w:ind w:firstLineChars="200" w:firstLine="640"/>
        <w:jc w:val="left"/>
        <w:rPr>
          <w:rFonts w:ascii="仿宋_GB2312" w:eastAsia="仿宋_GB2312"/>
          <w:sz w:val="32"/>
          <w:szCs w:val="32"/>
        </w:rPr>
      </w:pPr>
      <w:r>
        <w:rPr>
          <w:rFonts w:ascii="仿宋_GB2312" w:eastAsia="仿宋_GB2312" w:hint="eastAsia"/>
          <w:color w:val="333333"/>
          <w:sz w:val="32"/>
          <w:szCs w:val="32"/>
        </w:rPr>
        <w:t>2.一般公共服务（类）</w:t>
      </w:r>
      <w:r>
        <w:rPr>
          <w:rFonts w:ascii="仿宋_GB2312" w:eastAsia="仿宋_GB2312" w:hint="eastAsia"/>
          <w:sz w:val="32"/>
          <w:szCs w:val="32"/>
        </w:rPr>
        <w:t>档案事务</w:t>
      </w:r>
      <w:r>
        <w:rPr>
          <w:rFonts w:ascii="仿宋_GB2312" w:eastAsia="仿宋_GB2312" w:hint="eastAsia"/>
          <w:color w:val="333333"/>
          <w:sz w:val="32"/>
          <w:szCs w:val="32"/>
        </w:rPr>
        <w:t>（款）</w:t>
      </w:r>
      <w:r>
        <w:rPr>
          <w:rFonts w:ascii="仿宋_GB2312" w:eastAsia="仿宋_GB2312" w:hint="eastAsia"/>
          <w:sz w:val="32"/>
          <w:szCs w:val="32"/>
        </w:rPr>
        <w:t>其他档案事务支出（项）:2022年预算数为26.4万元，主要用于：档案集中立卷、保管保护、信息化建设项目支出。</w:t>
      </w:r>
    </w:p>
    <w:p w:rsidR="000A32D6" w:rsidRDefault="005E1D7C">
      <w:pPr>
        <w:ind w:firstLineChars="200" w:firstLine="640"/>
        <w:rPr>
          <w:rFonts w:ascii="仿宋_GB2312" w:eastAsia="仿宋_GB2312"/>
          <w:sz w:val="32"/>
          <w:szCs w:val="32"/>
        </w:rPr>
      </w:pPr>
      <w:r>
        <w:rPr>
          <w:rFonts w:ascii="仿宋_GB2312" w:eastAsia="仿宋_GB2312" w:hint="eastAsia"/>
          <w:sz w:val="32"/>
          <w:szCs w:val="32"/>
        </w:rPr>
        <w:t>3.社会保障和就业支出（类）行政事业单位养老支出（款）机关事业单位基本养老保险缴费支出（项）:2022年预算数为5.96万元，主要用于：机关事业单位养老保险缴费。</w:t>
      </w:r>
    </w:p>
    <w:p w:rsidR="000A32D6" w:rsidRDefault="005E1D7C">
      <w:pPr>
        <w:ind w:firstLineChars="200" w:firstLine="640"/>
        <w:rPr>
          <w:rFonts w:ascii="仿宋_GB2312" w:eastAsia="仿宋_GB2312"/>
          <w:sz w:val="32"/>
          <w:szCs w:val="32"/>
        </w:rPr>
      </w:pPr>
      <w:r>
        <w:rPr>
          <w:rFonts w:ascii="仿宋_GB2312" w:eastAsia="仿宋_GB2312" w:hint="eastAsia"/>
          <w:sz w:val="32"/>
          <w:szCs w:val="32"/>
        </w:rPr>
        <w:lastRenderedPageBreak/>
        <w:t>4.社会保障和就业支出（类）其他社会保障和就业支出（款）其他社会保障和就业支出（项）:2022年预算数为0.36万元，主要用于：生育保险支出。</w:t>
      </w:r>
    </w:p>
    <w:p w:rsidR="000A32D6" w:rsidRDefault="005E1D7C">
      <w:pPr>
        <w:ind w:firstLineChars="200" w:firstLine="640"/>
        <w:jc w:val="left"/>
        <w:rPr>
          <w:rFonts w:ascii="仿宋_GB2312" w:eastAsia="仿宋_GB2312"/>
          <w:sz w:val="32"/>
          <w:szCs w:val="32"/>
        </w:rPr>
      </w:pPr>
      <w:r>
        <w:rPr>
          <w:rFonts w:ascii="仿宋_GB2312" w:eastAsia="仿宋_GB2312" w:hint="eastAsia"/>
          <w:sz w:val="32"/>
          <w:szCs w:val="32"/>
        </w:rPr>
        <w:t>5.卫生健康（类）行政事业单位医疗（款）行政单位医疗（项）:2022年预算数为3.19万元，主要用于：机关及事业单位基本医疗保险缴费支出。</w:t>
      </w:r>
    </w:p>
    <w:p w:rsidR="000A32D6" w:rsidRDefault="005E1D7C">
      <w:pPr>
        <w:ind w:firstLineChars="200" w:firstLine="640"/>
        <w:rPr>
          <w:rFonts w:ascii="仿宋_GB2312" w:eastAsia="仿宋_GB2312"/>
          <w:sz w:val="32"/>
          <w:szCs w:val="32"/>
        </w:rPr>
      </w:pPr>
      <w:r>
        <w:rPr>
          <w:rFonts w:ascii="仿宋_GB2312" w:eastAsia="仿宋_GB2312" w:hint="eastAsia"/>
          <w:sz w:val="32"/>
          <w:szCs w:val="32"/>
        </w:rPr>
        <w:t>6.住房保障（类）住房改革支出（款）住房公积金（项）:2022年预算数为4.47万元，主要用于：部门按人力资源和社会保障部、财政部规定的基本工资和津贴补贴以及规定比例为职工缴纳的住房公积金支出。</w:t>
      </w:r>
    </w:p>
    <w:p w:rsidR="000A32D6" w:rsidRDefault="005E1D7C">
      <w:pPr>
        <w:pStyle w:val="1"/>
        <w:spacing w:line="240" w:lineRule="auto"/>
        <w:rPr>
          <w:rFonts w:ascii="仿宋_GB2312" w:eastAsia="仿宋_GB2312"/>
          <w:color w:val="333333"/>
          <w:sz w:val="32"/>
          <w:szCs w:val="32"/>
        </w:rPr>
      </w:pPr>
      <w:bookmarkStart w:id="16" w:name="_Toc72430489"/>
      <w:r>
        <w:rPr>
          <w:rFonts w:ascii="仿宋_GB2312" w:eastAsia="仿宋_GB2312" w:hint="eastAsia"/>
          <w:color w:val="333333"/>
          <w:sz w:val="32"/>
          <w:szCs w:val="32"/>
        </w:rPr>
        <w:t>六、一般公共预算基本支出情况说明</w:t>
      </w:r>
      <w:bookmarkEnd w:id="16"/>
    </w:p>
    <w:p w:rsidR="000A32D6" w:rsidRDefault="005E1D7C">
      <w:pPr>
        <w:ind w:firstLine="570"/>
        <w:rPr>
          <w:rFonts w:ascii="仿宋_GB2312" w:eastAsia="仿宋_GB2312"/>
          <w:color w:val="333333"/>
          <w:sz w:val="32"/>
          <w:szCs w:val="32"/>
        </w:rPr>
      </w:pPr>
      <w:bookmarkStart w:id="17" w:name="_Toc72430490"/>
      <w:r>
        <w:rPr>
          <w:rFonts w:ascii="仿宋_GB2312" w:eastAsia="仿宋_GB2312" w:hint="eastAsia"/>
          <w:sz w:val="32"/>
          <w:szCs w:val="32"/>
        </w:rPr>
        <w:t>自贡市自流井区档案馆</w:t>
      </w:r>
      <w:r>
        <w:rPr>
          <w:rFonts w:ascii="仿宋_GB2312" w:eastAsia="仿宋_GB2312" w:hint="eastAsia"/>
          <w:color w:val="333333"/>
          <w:sz w:val="32"/>
          <w:szCs w:val="32"/>
        </w:rPr>
        <w:t>2022年一般公共预算基本支出</w:t>
      </w:r>
      <w:r>
        <w:rPr>
          <w:rFonts w:ascii="仿宋_GB2312" w:eastAsia="仿宋_GB2312" w:hint="eastAsia"/>
          <w:sz w:val="32"/>
          <w:szCs w:val="32"/>
        </w:rPr>
        <w:t>91.37</w:t>
      </w:r>
      <w:r>
        <w:rPr>
          <w:rFonts w:ascii="仿宋_GB2312" w:eastAsia="仿宋_GB2312" w:hint="eastAsia"/>
          <w:color w:val="333333"/>
          <w:sz w:val="32"/>
          <w:szCs w:val="32"/>
        </w:rPr>
        <w:t>万元，其中：</w:t>
      </w:r>
    </w:p>
    <w:p w:rsidR="000A32D6" w:rsidRDefault="005E1D7C">
      <w:pPr>
        <w:ind w:firstLineChars="200" w:firstLine="640"/>
        <w:rPr>
          <w:rFonts w:ascii="仿宋_GB2312" w:eastAsia="仿宋_GB2312"/>
          <w:color w:val="333333"/>
          <w:sz w:val="32"/>
          <w:szCs w:val="32"/>
        </w:rPr>
      </w:pPr>
      <w:r>
        <w:rPr>
          <w:rFonts w:ascii="仿宋_GB2312" w:eastAsia="仿宋_GB2312" w:hint="eastAsia"/>
          <w:color w:val="333333"/>
          <w:sz w:val="32"/>
          <w:szCs w:val="32"/>
        </w:rPr>
        <w:t>人员经费</w:t>
      </w:r>
      <w:r>
        <w:rPr>
          <w:rFonts w:ascii="仿宋_GB2312" w:eastAsia="仿宋_GB2312" w:hint="eastAsia"/>
          <w:sz w:val="32"/>
          <w:szCs w:val="32"/>
        </w:rPr>
        <w:t>77.25</w:t>
      </w:r>
      <w:r>
        <w:rPr>
          <w:rFonts w:ascii="仿宋_GB2312" w:eastAsia="仿宋_GB2312" w:hint="eastAsia"/>
          <w:color w:val="333333"/>
          <w:sz w:val="32"/>
          <w:szCs w:val="32"/>
        </w:rPr>
        <w:t>万元，主要包括：基本工资、津贴补贴、奖金、社会保险缴费、住房公积金、其他工资福利支出等支出。</w:t>
      </w:r>
    </w:p>
    <w:p w:rsidR="000A32D6" w:rsidRDefault="005E1D7C">
      <w:pPr>
        <w:ind w:firstLine="570"/>
        <w:rPr>
          <w:rFonts w:ascii="仿宋_GB2312" w:eastAsia="仿宋_GB2312"/>
          <w:color w:val="333333"/>
          <w:sz w:val="32"/>
          <w:szCs w:val="32"/>
        </w:rPr>
      </w:pPr>
      <w:r>
        <w:rPr>
          <w:rFonts w:ascii="仿宋_GB2312" w:eastAsia="仿宋_GB2312" w:hint="eastAsia"/>
          <w:color w:val="333333"/>
          <w:sz w:val="32"/>
          <w:szCs w:val="32"/>
        </w:rPr>
        <w:t>公用经费</w:t>
      </w:r>
      <w:r>
        <w:rPr>
          <w:rFonts w:ascii="仿宋_GB2312" w:eastAsia="仿宋_GB2312" w:hint="eastAsia"/>
          <w:sz w:val="32"/>
          <w:szCs w:val="32"/>
        </w:rPr>
        <w:t>14.12</w:t>
      </w:r>
      <w:r>
        <w:rPr>
          <w:rFonts w:ascii="仿宋_GB2312" w:eastAsia="仿宋_GB2312" w:hint="eastAsia"/>
          <w:color w:val="333333"/>
          <w:sz w:val="32"/>
          <w:szCs w:val="32"/>
        </w:rPr>
        <w:t>万元，主要包括：办公费、差旅费、公务接待费、工会经费、其他交通费、其他商品和服务费等支出。</w:t>
      </w:r>
    </w:p>
    <w:p w:rsidR="000A32D6" w:rsidRDefault="005E1D7C">
      <w:pPr>
        <w:pStyle w:val="1"/>
        <w:spacing w:line="240" w:lineRule="auto"/>
        <w:rPr>
          <w:rFonts w:ascii="仿宋_GB2312" w:eastAsia="仿宋_GB2312"/>
          <w:sz w:val="32"/>
          <w:szCs w:val="32"/>
        </w:rPr>
      </w:pPr>
      <w:r>
        <w:rPr>
          <w:rFonts w:ascii="仿宋_GB2312" w:eastAsia="仿宋_GB2312" w:hint="eastAsia"/>
          <w:sz w:val="32"/>
          <w:szCs w:val="32"/>
        </w:rPr>
        <w:lastRenderedPageBreak/>
        <w:t>七、“三公”经费财政拨款预算安排情况</w:t>
      </w:r>
      <w:bookmarkEnd w:id="17"/>
    </w:p>
    <w:p w:rsidR="000A32D6" w:rsidRDefault="005E1D7C">
      <w:pPr>
        <w:ind w:firstLineChars="200" w:firstLine="640"/>
        <w:rPr>
          <w:rFonts w:ascii="仿宋_GB2312" w:eastAsia="仿宋_GB2312"/>
          <w:color w:val="000000"/>
          <w:sz w:val="32"/>
          <w:szCs w:val="32"/>
        </w:rPr>
      </w:pPr>
      <w:r>
        <w:rPr>
          <w:rFonts w:ascii="仿宋_GB2312" w:eastAsia="仿宋_GB2312" w:hint="eastAsia"/>
          <w:color w:val="000000"/>
          <w:sz w:val="32"/>
          <w:szCs w:val="32"/>
        </w:rPr>
        <w:t>自流井区档案馆2022年“三公”经费财政拨款预算数0.1万元，较2021年预算下降9.09%，其中：因公出国（境）经费0万元，公务接待费0.1万元，公务用车购置及运行维护费0万元（其中：公务用车购置费0万元，公务用车运行费0万元）。</w:t>
      </w:r>
    </w:p>
    <w:p w:rsidR="000A32D6" w:rsidRDefault="005E1D7C">
      <w:pPr>
        <w:pStyle w:val="5"/>
        <w:spacing w:line="360" w:lineRule="auto"/>
        <w:jc w:val="center"/>
      </w:pPr>
      <w:bookmarkStart w:id="18" w:name="_Toc72430491"/>
      <w:r>
        <w:rPr>
          <w:rFonts w:eastAsia="仿宋_GB2312"/>
          <w:noProof/>
        </w:rPr>
        <w:drawing>
          <wp:inline distT="0" distB="0" distL="0" distR="0">
            <wp:extent cx="4818380" cy="3339465"/>
            <wp:effectExtent l="0" t="0" r="0" b="0"/>
            <wp:docPr id="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A32D6" w:rsidRDefault="005E1D7C">
      <w:pPr>
        <w:spacing w:line="360" w:lineRule="auto"/>
        <w:ind w:firstLine="640"/>
        <w:jc w:val="center"/>
        <w:rPr>
          <w:rFonts w:ascii="仿宋_GB2312" w:eastAsia="仿宋_GB2312" w:hAnsi="仿宋" w:cs="仿宋"/>
          <w:b/>
          <w:color w:val="000000"/>
          <w:sz w:val="32"/>
          <w:szCs w:val="32"/>
        </w:rPr>
      </w:pPr>
      <w:r>
        <w:rPr>
          <w:rFonts w:ascii="仿宋_GB2312" w:eastAsia="仿宋_GB2312" w:hAnsi="仿宋" w:cs="仿宋" w:hint="eastAsia"/>
          <w:b/>
          <w:color w:val="000000"/>
          <w:sz w:val="32"/>
          <w:szCs w:val="32"/>
        </w:rPr>
        <w:t>（图6：“三公”经费财政拨款支出结构）</w:t>
      </w:r>
    </w:p>
    <w:p w:rsidR="000A32D6" w:rsidRDefault="005E1D7C">
      <w:pPr>
        <w:ind w:firstLine="640"/>
        <w:rPr>
          <w:rFonts w:ascii="仿宋_GB2312" w:eastAsia="仿宋_GB2312" w:hAnsi="仿宋"/>
          <w:color w:val="000000"/>
          <w:sz w:val="32"/>
          <w:szCs w:val="32"/>
        </w:rPr>
      </w:pPr>
      <w:r>
        <w:rPr>
          <w:rFonts w:ascii="仿宋_GB2312" w:eastAsia="仿宋_GB2312" w:hint="eastAsia"/>
          <w:color w:val="000000"/>
          <w:sz w:val="32"/>
          <w:szCs w:val="32"/>
        </w:rPr>
        <w:t>（一）因公出国（境）经费0万元，较2021年预算持平。主要原因是无</w:t>
      </w:r>
      <w:r>
        <w:rPr>
          <w:rFonts w:ascii="仿宋_GB2312" w:eastAsia="仿宋_GB2312" w:hAnsi="仿宋" w:cs="仿宋" w:hint="eastAsia"/>
          <w:color w:val="000000"/>
          <w:sz w:val="32"/>
          <w:szCs w:val="32"/>
        </w:rPr>
        <w:t>因公出国事项</w:t>
      </w:r>
      <w:r>
        <w:rPr>
          <w:rFonts w:ascii="仿宋_GB2312" w:eastAsia="仿宋_GB2312" w:hint="eastAsia"/>
          <w:color w:val="000000"/>
          <w:sz w:val="32"/>
          <w:szCs w:val="32"/>
        </w:rPr>
        <w:t>。</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2022年拟安排出国（境）0人次。</w:t>
      </w:r>
    </w:p>
    <w:p w:rsidR="000A32D6" w:rsidRDefault="005E1D7C">
      <w:pPr>
        <w:ind w:firstLine="640"/>
        <w:rPr>
          <w:rFonts w:ascii="仿宋_GB2312" w:eastAsia="仿宋_GB2312"/>
          <w:b/>
          <w:color w:val="000000"/>
          <w:sz w:val="32"/>
          <w:szCs w:val="32"/>
        </w:rPr>
      </w:pPr>
      <w:r>
        <w:rPr>
          <w:rFonts w:ascii="仿宋_GB2312" w:eastAsia="仿宋_GB2312" w:hint="eastAsia"/>
          <w:color w:val="000000"/>
          <w:sz w:val="32"/>
          <w:szCs w:val="32"/>
        </w:rPr>
        <w:t>（二）公务接待费0.1万元，较2021年预算下降9.09%。主要原因是压缩开支。</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2022年公务接待</w:t>
      </w:r>
      <w:proofErr w:type="gramStart"/>
      <w:r>
        <w:rPr>
          <w:rFonts w:ascii="仿宋_GB2312" w:eastAsia="仿宋_GB2312" w:hint="eastAsia"/>
          <w:color w:val="000000"/>
          <w:sz w:val="32"/>
          <w:szCs w:val="32"/>
        </w:rPr>
        <w:t>费计划</w:t>
      </w:r>
      <w:proofErr w:type="gramEnd"/>
      <w:r>
        <w:rPr>
          <w:rFonts w:ascii="仿宋_GB2312" w:eastAsia="仿宋_GB2312" w:hint="eastAsia"/>
          <w:color w:val="000000"/>
          <w:sz w:val="32"/>
          <w:szCs w:val="32"/>
        </w:rPr>
        <w:t>用于执行公务、考察调研、检查</w:t>
      </w:r>
      <w:r>
        <w:rPr>
          <w:rFonts w:ascii="仿宋_GB2312" w:eastAsia="仿宋_GB2312" w:hint="eastAsia"/>
          <w:color w:val="000000"/>
          <w:sz w:val="32"/>
          <w:szCs w:val="32"/>
        </w:rPr>
        <w:lastRenderedPageBreak/>
        <w:t>指导等公务活动开支。</w:t>
      </w:r>
    </w:p>
    <w:p w:rsidR="000A32D6" w:rsidRDefault="005E1D7C">
      <w:pPr>
        <w:ind w:firstLine="640"/>
        <w:rPr>
          <w:rFonts w:ascii="仿宋_GB2312" w:eastAsia="仿宋_GB2312"/>
          <w:b/>
          <w:color w:val="000000"/>
          <w:sz w:val="32"/>
          <w:szCs w:val="32"/>
        </w:rPr>
      </w:pPr>
      <w:r>
        <w:rPr>
          <w:rFonts w:ascii="仿宋_GB2312" w:eastAsia="仿宋_GB2312" w:hint="eastAsia"/>
          <w:color w:val="000000"/>
          <w:sz w:val="32"/>
          <w:szCs w:val="32"/>
        </w:rPr>
        <w:t>（三）公务用车购置及运行维护费0万元，较2021年预算持平。主要原因是无公务用车和新购置计划。</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单位现有公务用车0辆，其中：轿车0辆，越野车0辆，多功能乘用车0辆。</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2022年安排公务用车购置费0万元，较2021年预算持平，主要原因是今年没有公车购置需求。</w:t>
      </w:r>
    </w:p>
    <w:p w:rsidR="000A32D6" w:rsidRDefault="005E1D7C">
      <w:pPr>
        <w:ind w:firstLine="640"/>
        <w:rPr>
          <w:rFonts w:ascii="仿宋_GB2312" w:eastAsia="仿宋_GB2312"/>
          <w:color w:val="000000"/>
          <w:sz w:val="32"/>
          <w:szCs w:val="32"/>
        </w:rPr>
      </w:pPr>
      <w:r>
        <w:rPr>
          <w:rFonts w:ascii="仿宋_GB2312" w:eastAsia="仿宋_GB2312" w:hint="eastAsia"/>
          <w:color w:val="000000"/>
          <w:sz w:val="32"/>
          <w:szCs w:val="32"/>
        </w:rPr>
        <w:t>2022年安排公务用车运行维护费0万元，较2021年预算持平，主要原因是单位没有公务用车。</w:t>
      </w:r>
    </w:p>
    <w:p w:rsidR="000A32D6" w:rsidRDefault="005E1D7C">
      <w:pPr>
        <w:pStyle w:val="1"/>
        <w:spacing w:line="240" w:lineRule="auto"/>
        <w:rPr>
          <w:rFonts w:ascii="仿宋_GB2312" w:eastAsia="仿宋_GB2312"/>
          <w:color w:val="333333"/>
          <w:sz w:val="32"/>
          <w:szCs w:val="32"/>
        </w:rPr>
      </w:pPr>
      <w:r>
        <w:rPr>
          <w:rFonts w:ascii="黑体" w:eastAsia="黑体" w:hint="eastAsia"/>
          <w:color w:val="333333"/>
          <w:sz w:val="32"/>
          <w:szCs w:val="32"/>
        </w:rPr>
        <w:t>八、政府性基金预算支出情况说明</w:t>
      </w:r>
      <w:bookmarkEnd w:id="18"/>
      <w:r>
        <w:rPr>
          <w:rFonts w:ascii="仿宋_GB2312" w:eastAsia="仿宋_GB2312" w:hint="eastAsia"/>
          <w:color w:val="333333"/>
          <w:sz w:val="32"/>
          <w:szCs w:val="32"/>
        </w:rPr>
        <w:t xml:space="preserve">　</w:t>
      </w:r>
    </w:p>
    <w:p w:rsidR="000A32D6" w:rsidRDefault="005E1D7C">
      <w:pPr>
        <w:ind w:firstLine="640"/>
        <w:rPr>
          <w:rFonts w:ascii="仿宋_GB2312" w:eastAsia="仿宋_GB2312"/>
          <w:sz w:val="32"/>
          <w:szCs w:val="32"/>
        </w:rPr>
      </w:pPr>
      <w:bookmarkStart w:id="19" w:name="_Toc72430492"/>
      <w:r>
        <w:rPr>
          <w:rFonts w:ascii="仿宋_GB2312" w:eastAsia="仿宋_GB2312" w:hint="eastAsia"/>
          <w:sz w:val="32"/>
          <w:szCs w:val="32"/>
        </w:rPr>
        <w:t>自贡市自流井区档案馆</w:t>
      </w:r>
      <w:r>
        <w:rPr>
          <w:rFonts w:ascii="仿宋_GB2312" w:eastAsia="仿宋_GB2312" w:hint="eastAsia"/>
          <w:color w:val="333333"/>
          <w:sz w:val="32"/>
          <w:szCs w:val="32"/>
        </w:rPr>
        <w:t>2022年使用政府性基金预算拨款安排</w:t>
      </w:r>
      <w:r>
        <w:rPr>
          <w:rFonts w:ascii="仿宋_GB2312" w:eastAsia="仿宋_GB2312" w:hint="eastAsia"/>
          <w:sz w:val="32"/>
          <w:szCs w:val="32"/>
        </w:rPr>
        <w:t>0万元</w:t>
      </w:r>
      <w:r>
        <w:rPr>
          <w:rFonts w:ascii="仿宋_GB2312" w:eastAsia="仿宋_GB2312" w:hint="eastAsia"/>
          <w:color w:val="333333"/>
          <w:sz w:val="32"/>
          <w:szCs w:val="32"/>
        </w:rPr>
        <w:t>。</w:t>
      </w:r>
    </w:p>
    <w:p w:rsidR="000A32D6" w:rsidRDefault="005E1D7C">
      <w:pPr>
        <w:pStyle w:val="1"/>
        <w:spacing w:line="240" w:lineRule="auto"/>
        <w:rPr>
          <w:rFonts w:ascii="黑体" w:eastAsia="黑体"/>
          <w:color w:val="333333"/>
          <w:sz w:val="32"/>
          <w:szCs w:val="32"/>
        </w:rPr>
      </w:pPr>
      <w:r>
        <w:rPr>
          <w:rFonts w:ascii="黑体" w:eastAsia="黑体" w:hint="eastAsia"/>
          <w:color w:val="333333"/>
          <w:sz w:val="32"/>
          <w:szCs w:val="32"/>
        </w:rPr>
        <w:t>九、国有资本经营预算支出情况说明</w:t>
      </w:r>
      <w:bookmarkEnd w:id="19"/>
    </w:p>
    <w:p w:rsidR="000A32D6" w:rsidRDefault="005E1D7C">
      <w:pPr>
        <w:ind w:firstLineChars="200" w:firstLine="640"/>
        <w:rPr>
          <w:rFonts w:ascii="仿宋_GB2312" w:eastAsia="仿宋_GB2312"/>
          <w:color w:val="333333"/>
          <w:sz w:val="28"/>
          <w:szCs w:val="28"/>
        </w:rPr>
      </w:pPr>
      <w:r>
        <w:rPr>
          <w:rFonts w:ascii="仿宋_GB2312" w:eastAsia="仿宋_GB2312" w:hint="eastAsia"/>
          <w:color w:val="333333"/>
          <w:sz w:val="32"/>
          <w:szCs w:val="32"/>
        </w:rPr>
        <w:t>自贡市自流井区档案馆2022年没有使用国有资本经营预算拨款安排的支出。</w:t>
      </w:r>
    </w:p>
    <w:p w:rsidR="000A32D6" w:rsidRDefault="005E1D7C">
      <w:pPr>
        <w:pStyle w:val="1"/>
        <w:spacing w:line="240" w:lineRule="auto"/>
        <w:rPr>
          <w:rFonts w:ascii="黑体" w:eastAsia="黑体"/>
          <w:sz w:val="32"/>
          <w:szCs w:val="32"/>
        </w:rPr>
      </w:pPr>
      <w:bookmarkStart w:id="20" w:name="_Toc72430493"/>
      <w:r>
        <w:rPr>
          <w:rFonts w:ascii="黑体" w:eastAsia="黑体" w:hint="eastAsia"/>
          <w:sz w:val="32"/>
          <w:szCs w:val="32"/>
        </w:rPr>
        <w:t>十、其他重要事项的情况说明</w:t>
      </w:r>
      <w:bookmarkEnd w:id="20"/>
    </w:p>
    <w:p w:rsidR="000A32D6" w:rsidRDefault="005E1D7C">
      <w:pPr>
        <w:pStyle w:val="2"/>
        <w:spacing w:line="240" w:lineRule="auto"/>
        <w:rPr>
          <w:rFonts w:ascii="仿宋_GB2312" w:eastAsia="仿宋_GB2312"/>
        </w:rPr>
      </w:pPr>
      <w:bookmarkStart w:id="21" w:name="_Toc72430494"/>
      <w:r>
        <w:rPr>
          <w:rFonts w:ascii="仿宋_GB2312" w:eastAsia="仿宋_GB2312" w:hint="eastAsia"/>
        </w:rPr>
        <w:t>（一）机关运行经费情况</w:t>
      </w:r>
      <w:bookmarkEnd w:id="21"/>
    </w:p>
    <w:p w:rsidR="000A32D6" w:rsidRDefault="005E1D7C">
      <w:pPr>
        <w:ind w:firstLine="640"/>
        <w:rPr>
          <w:rFonts w:ascii="仿宋_GB2312" w:eastAsia="仿宋_GB2312"/>
          <w:sz w:val="32"/>
          <w:szCs w:val="32"/>
        </w:rPr>
      </w:pPr>
      <w:bookmarkStart w:id="22" w:name="_Toc72430495"/>
      <w:r>
        <w:rPr>
          <w:rFonts w:ascii="仿宋_GB2312" w:eastAsia="仿宋_GB2312" w:hint="eastAsia"/>
          <w:sz w:val="32"/>
          <w:szCs w:val="32"/>
        </w:rPr>
        <w:t>2022年，自贡市自流井区档案馆履行一般行政管理职能、</w:t>
      </w:r>
      <w:r>
        <w:rPr>
          <w:rFonts w:ascii="仿宋_GB2312" w:eastAsia="仿宋_GB2312" w:hint="eastAsia"/>
          <w:sz w:val="32"/>
          <w:szCs w:val="32"/>
        </w:rPr>
        <w:lastRenderedPageBreak/>
        <w:t>维持机关日常运转而开支的机关运行经费财政拨款预算为14.12万元，比2021年预算减少3.04万元，减少17.72%，主要原因是压缩开支。</w:t>
      </w:r>
    </w:p>
    <w:p w:rsidR="000A32D6" w:rsidRDefault="005E1D7C">
      <w:pPr>
        <w:pStyle w:val="2"/>
        <w:spacing w:line="240" w:lineRule="auto"/>
        <w:rPr>
          <w:rFonts w:ascii="仿宋_GB2312" w:eastAsia="仿宋_GB2312"/>
        </w:rPr>
      </w:pPr>
      <w:r>
        <w:rPr>
          <w:rFonts w:ascii="仿宋_GB2312" w:eastAsia="仿宋_GB2312" w:hint="eastAsia"/>
        </w:rPr>
        <w:t>（二）政府采购情况</w:t>
      </w:r>
      <w:bookmarkEnd w:id="22"/>
    </w:p>
    <w:p w:rsidR="000A32D6" w:rsidRDefault="005E1D7C">
      <w:pPr>
        <w:ind w:firstLine="570"/>
        <w:rPr>
          <w:rFonts w:ascii="仿宋_GB2312" w:eastAsia="仿宋_GB2312"/>
          <w:sz w:val="32"/>
          <w:szCs w:val="32"/>
        </w:rPr>
      </w:pPr>
      <w:r>
        <w:rPr>
          <w:rFonts w:ascii="仿宋_GB2312" w:eastAsia="仿宋_GB2312" w:hint="eastAsia"/>
          <w:sz w:val="32"/>
          <w:szCs w:val="32"/>
        </w:rPr>
        <w:t>2022年，自贡市自流井区档案馆未安排政府采购预算。</w:t>
      </w:r>
    </w:p>
    <w:p w:rsidR="000A32D6" w:rsidRDefault="005E1D7C">
      <w:pPr>
        <w:pStyle w:val="2"/>
        <w:spacing w:line="240" w:lineRule="auto"/>
        <w:rPr>
          <w:rFonts w:ascii="仿宋_GB2312" w:eastAsia="仿宋_GB2312"/>
        </w:rPr>
      </w:pPr>
      <w:bookmarkStart w:id="23" w:name="_Toc72430496"/>
      <w:r>
        <w:rPr>
          <w:rFonts w:ascii="仿宋_GB2312" w:eastAsia="仿宋_GB2312" w:hint="eastAsia"/>
        </w:rPr>
        <w:t>（三）国有资产占有使用情况</w:t>
      </w:r>
      <w:bookmarkEnd w:id="23"/>
    </w:p>
    <w:p w:rsidR="000A32D6" w:rsidRDefault="005E1D7C">
      <w:pPr>
        <w:autoSpaceDE w:val="0"/>
        <w:autoSpaceDN w:val="0"/>
        <w:adjustRightInd w:val="0"/>
        <w:ind w:firstLineChars="200" w:firstLine="640"/>
        <w:jc w:val="left"/>
        <w:rPr>
          <w:rFonts w:ascii="仿宋_GB2312" w:eastAsia="仿宋_GB2312"/>
          <w:sz w:val="32"/>
          <w:szCs w:val="32"/>
        </w:rPr>
      </w:pPr>
      <w:r>
        <w:rPr>
          <w:rFonts w:ascii="仿宋_GB2312" w:eastAsia="仿宋_GB2312" w:hint="eastAsia"/>
          <w:sz w:val="32"/>
          <w:szCs w:val="32"/>
        </w:rPr>
        <w:t>截至2021年底，自贡市自流井区档案馆共有车辆0辆。单位价值100万元以上大型设备0台（套）。</w:t>
      </w:r>
    </w:p>
    <w:p w:rsidR="000A32D6" w:rsidRDefault="005E1D7C">
      <w:pPr>
        <w:autoSpaceDE w:val="0"/>
        <w:autoSpaceDN w:val="0"/>
        <w:adjustRightInd w:val="0"/>
        <w:ind w:firstLineChars="200" w:firstLine="640"/>
        <w:jc w:val="left"/>
        <w:rPr>
          <w:rFonts w:ascii="仿宋_GB2312" w:eastAsia="仿宋_GB2312"/>
          <w:sz w:val="32"/>
          <w:szCs w:val="32"/>
        </w:rPr>
      </w:pPr>
      <w:r>
        <w:rPr>
          <w:rFonts w:ascii="仿宋_GB2312" w:eastAsia="仿宋_GB2312" w:hint="eastAsia"/>
          <w:sz w:val="32"/>
          <w:szCs w:val="32"/>
        </w:rPr>
        <w:t>2022年部门预算安排购置一般公务用车0辆、执法执勤用车0辆，单位价值100万元以上大型设备0台（套）。</w:t>
      </w:r>
    </w:p>
    <w:p w:rsidR="000A32D6" w:rsidRDefault="005E1D7C">
      <w:pPr>
        <w:pStyle w:val="2"/>
        <w:spacing w:line="240" w:lineRule="auto"/>
        <w:rPr>
          <w:rFonts w:ascii="楷体_GB2312" w:eastAsia="楷体_GB2312"/>
          <w:b w:val="0"/>
          <w:bCs w:val="0"/>
          <w:color w:val="333333"/>
          <w:sz w:val="28"/>
          <w:szCs w:val="28"/>
        </w:rPr>
      </w:pPr>
      <w:bookmarkStart w:id="24" w:name="_Toc72430497"/>
      <w:r>
        <w:rPr>
          <w:rFonts w:ascii="仿宋_GB2312" w:eastAsia="仿宋_GB2312" w:hint="eastAsia"/>
        </w:rPr>
        <w:t>（四）绩效目标设置情况</w:t>
      </w:r>
      <w:bookmarkEnd w:id="24"/>
    </w:p>
    <w:p w:rsidR="000A32D6" w:rsidRDefault="005E1D7C">
      <w:pPr>
        <w:pStyle w:val="5"/>
        <w:spacing w:line="240" w:lineRule="auto"/>
        <w:rPr>
          <w:rFonts w:ascii="仿宋_GB2312" w:eastAsia="仿宋_GB2312"/>
        </w:rPr>
      </w:pPr>
      <w:bookmarkStart w:id="25" w:name="_Toc72430498"/>
      <w:r>
        <w:rPr>
          <w:rFonts w:ascii="仿宋_GB2312" w:eastAsia="仿宋_GB2312" w:hint="eastAsia"/>
        </w:rPr>
        <w:t>绩效目标是预算编制的前提和基础，按照“费随事定”的原则，2022年自贡市自流井区档案馆所有专项项目均按要求编制了绩效目标,从项目完成、项目效益、满意度等方面设置了绩效指标，综合反映项目预期完成的数量、成本、时效、质量，预期达到的社会效益、经济效益、生态效益、可持续影响以及服务对象满意度等情况。</w:t>
      </w:r>
    </w:p>
    <w:p w:rsidR="000A32D6" w:rsidRDefault="005E1D7C">
      <w:pPr>
        <w:pStyle w:val="5"/>
        <w:spacing w:line="240" w:lineRule="auto"/>
        <w:rPr>
          <w:rFonts w:ascii="仿宋_GB2312" w:eastAsia="仿宋_GB2312"/>
        </w:rPr>
      </w:pPr>
      <w:r>
        <w:rPr>
          <w:rFonts w:ascii="仿宋_GB2312" w:eastAsia="仿宋_GB2312" w:hint="eastAsia"/>
        </w:rPr>
        <w:t>自贡市自流井区档案馆2022年部门预算无重点项目</w:t>
      </w:r>
    </w:p>
    <w:p w:rsidR="000A32D6" w:rsidRDefault="000A32D6">
      <w:pPr>
        <w:pStyle w:val="5"/>
        <w:spacing w:line="240" w:lineRule="auto"/>
        <w:rPr>
          <w:rFonts w:ascii="黑体" w:eastAsia="黑体"/>
          <w:color w:val="000000"/>
        </w:rPr>
      </w:pPr>
    </w:p>
    <w:p w:rsidR="000A32D6" w:rsidRDefault="000A32D6">
      <w:pPr>
        <w:pStyle w:val="5"/>
        <w:spacing w:line="240" w:lineRule="auto"/>
        <w:rPr>
          <w:rFonts w:ascii="黑体" w:eastAsia="黑体"/>
          <w:color w:val="000000"/>
        </w:rPr>
      </w:pPr>
    </w:p>
    <w:p w:rsidR="000A32D6" w:rsidRDefault="005E1D7C">
      <w:pPr>
        <w:pStyle w:val="5"/>
        <w:spacing w:line="240" w:lineRule="auto"/>
        <w:rPr>
          <w:rFonts w:ascii="仿宋_GB2312" w:eastAsia="仿宋_GB2312"/>
        </w:rPr>
      </w:pPr>
      <w:r>
        <w:rPr>
          <w:rFonts w:ascii="黑体" w:eastAsia="黑体" w:hint="eastAsia"/>
          <w:color w:val="000000"/>
        </w:rPr>
        <w:lastRenderedPageBreak/>
        <w:t>十一、名词解释</w:t>
      </w:r>
      <w:bookmarkEnd w:id="25"/>
    </w:p>
    <w:p w:rsidR="000A32D6" w:rsidRDefault="005E1D7C" w:rsidP="00841891">
      <w:pPr>
        <w:ind w:firstLineChars="228" w:firstLine="730"/>
        <w:rPr>
          <w:rFonts w:ascii="仿宋_GB2312" w:eastAsia="仿宋_GB2312" w:hAnsi="仿宋" w:cs="仿宋"/>
          <w:color w:val="000000"/>
          <w:sz w:val="32"/>
          <w:szCs w:val="32"/>
        </w:rPr>
      </w:pPr>
      <w:r>
        <w:rPr>
          <w:rFonts w:ascii="仿宋_GB2312" w:eastAsia="仿宋_GB2312" w:hAnsi="仿宋" w:cs="仿宋" w:hint="eastAsia"/>
          <w:color w:val="000000"/>
          <w:sz w:val="32"/>
          <w:szCs w:val="32"/>
        </w:rPr>
        <w:t>1.一般公共预算拨款收入：指区级财政当年拨付的资金。</w:t>
      </w:r>
    </w:p>
    <w:p w:rsidR="000A32D6" w:rsidRDefault="00677D50">
      <w:pPr>
        <w:ind w:firstLine="645"/>
        <w:rPr>
          <w:rFonts w:ascii="仿宋_GB2312" w:eastAsia="仿宋_GB2312" w:hAnsi="仿宋" w:cs="仿宋"/>
          <w:color w:val="000000"/>
          <w:sz w:val="32"/>
          <w:szCs w:val="32"/>
        </w:rPr>
      </w:pPr>
      <w:r>
        <w:rPr>
          <w:rFonts w:ascii="仿宋_GB2312" w:eastAsia="仿宋_GB2312" w:hAnsi="仿宋" w:cs="仿宋" w:hint="eastAsia"/>
          <w:color w:val="000000"/>
          <w:sz w:val="32"/>
          <w:szCs w:val="32"/>
        </w:rPr>
        <w:t>2</w:t>
      </w:r>
      <w:r w:rsidR="005E1D7C">
        <w:rPr>
          <w:rFonts w:ascii="仿宋_GB2312" w:eastAsia="仿宋_GB2312" w:hAnsi="仿宋" w:cs="仿宋" w:hint="eastAsia"/>
          <w:color w:val="000000"/>
          <w:sz w:val="32"/>
          <w:szCs w:val="32"/>
        </w:rPr>
        <w:t>. 一般公共服务（类）档案事务（款）行政运行（项）：指用于保障机构正常运行的基本支出。</w:t>
      </w:r>
    </w:p>
    <w:p w:rsidR="000A32D6" w:rsidRDefault="00677D50">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sidR="005E1D7C">
        <w:rPr>
          <w:rFonts w:ascii="仿宋_GB2312" w:eastAsia="仿宋_GB2312" w:hAnsi="仿宋" w:cs="仿宋" w:hint="eastAsia"/>
          <w:sz w:val="32"/>
          <w:szCs w:val="32"/>
        </w:rPr>
        <w:t>.一般公共服务（类）档案事务（款）其他档案事务支出（项）指用于：开展档案保管保护、档案馆信息化建设、档案集中立卷等业务活动各项支出。</w:t>
      </w:r>
      <w:r w:rsidR="005E1D7C">
        <w:rPr>
          <w:rFonts w:ascii="仿宋_GB2312" w:eastAsia="仿宋_GB2312" w:hAnsi="仿宋" w:cs="仿宋" w:hint="eastAsia"/>
          <w:color w:val="0000FF"/>
          <w:sz w:val="32"/>
          <w:szCs w:val="32"/>
        </w:rPr>
        <w:br/>
      </w:r>
      <w:r w:rsidR="005E1D7C">
        <w:rPr>
          <w:rFonts w:ascii="仿宋_GB2312" w:eastAsia="仿宋_GB2312" w:hAnsi="仿宋" w:cs="仿宋" w:hint="eastAsia"/>
          <w:sz w:val="32"/>
          <w:szCs w:val="32"/>
        </w:rPr>
        <w:t xml:space="preserve"> 　</w:t>
      </w:r>
      <w:r>
        <w:rPr>
          <w:rFonts w:ascii="仿宋_GB2312" w:eastAsia="仿宋_GB2312" w:hAnsi="仿宋" w:cs="仿宋" w:hint="eastAsia"/>
          <w:sz w:val="32"/>
          <w:szCs w:val="32"/>
        </w:rPr>
        <w:t xml:space="preserve"> 4</w:t>
      </w:r>
      <w:r w:rsidR="005E1D7C">
        <w:rPr>
          <w:rFonts w:ascii="仿宋_GB2312" w:eastAsia="仿宋_GB2312" w:hAnsi="仿宋" w:cs="仿宋" w:hint="eastAsia"/>
          <w:sz w:val="32"/>
          <w:szCs w:val="32"/>
        </w:rPr>
        <w:t>.社会保障和就业支出（类）行政事业单位离退休（款）机关事业单位基本养老保险缴费支出（项）：指用于保障机关事业单位养老保险缴费。</w:t>
      </w:r>
    </w:p>
    <w:p w:rsidR="000A32D6" w:rsidRDefault="00677D50">
      <w:pPr>
        <w:ind w:firstLineChars="200" w:firstLine="640"/>
        <w:rPr>
          <w:rFonts w:ascii="仿宋_GB2312" w:eastAsia="仿宋_GB2312" w:hAnsi="仿宋" w:cs="仿宋"/>
          <w:sz w:val="32"/>
          <w:szCs w:val="32"/>
        </w:rPr>
      </w:pPr>
      <w:r>
        <w:rPr>
          <w:rFonts w:ascii="仿宋_GB2312" w:eastAsia="仿宋_GB2312" w:hint="eastAsia"/>
          <w:sz w:val="32"/>
          <w:szCs w:val="32"/>
        </w:rPr>
        <w:t>5</w:t>
      </w:r>
      <w:r w:rsidR="005E1D7C">
        <w:rPr>
          <w:rFonts w:ascii="仿宋_GB2312" w:eastAsia="仿宋_GB2312" w:hint="eastAsia"/>
          <w:sz w:val="32"/>
          <w:szCs w:val="32"/>
        </w:rPr>
        <w:t>.社会保障和就业支出（类）其他社会保障和就业支出（款）其他社会保障和就业支出（项）:指用于生育保险支出。</w:t>
      </w:r>
    </w:p>
    <w:p w:rsidR="000A32D6" w:rsidRDefault="00677D50">
      <w:pPr>
        <w:ind w:firstLineChars="200" w:firstLine="640"/>
        <w:rPr>
          <w:rFonts w:ascii="仿宋_GB2312" w:eastAsia="仿宋_GB2312"/>
          <w:sz w:val="32"/>
          <w:szCs w:val="32"/>
        </w:rPr>
      </w:pPr>
      <w:r>
        <w:rPr>
          <w:rFonts w:ascii="仿宋_GB2312" w:eastAsia="仿宋_GB2312" w:hAnsi="仿宋" w:cs="仿宋" w:hint="eastAsia"/>
          <w:sz w:val="32"/>
          <w:szCs w:val="32"/>
        </w:rPr>
        <w:t>6</w:t>
      </w:r>
      <w:r w:rsidR="005E1D7C">
        <w:rPr>
          <w:rFonts w:ascii="仿宋_GB2312" w:eastAsia="仿宋_GB2312" w:hAnsi="仿宋" w:cs="仿宋" w:hint="eastAsia"/>
          <w:sz w:val="32"/>
          <w:szCs w:val="32"/>
        </w:rPr>
        <w:t>. 卫生健康支出（类）行政事业单位医疗（款）行政单位医疗（项）：指用于保障机关及事业单位基本医疗保险缴费支出。</w:t>
      </w:r>
    </w:p>
    <w:p w:rsidR="000A32D6" w:rsidRDefault="00677D50">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sidR="005E1D7C">
        <w:rPr>
          <w:rFonts w:ascii="仿宋_GB2312" w:eastAsia="仿宋_GB2312" w:hAnsi="仿宋" w:cs="仿宋" w:hint="eastAsia"/>
          <w:sz w:val="32"/>
          <w:szCs w:val="32"/>
        </w:rPr>
        <w:t>.住房保障（类）住房改革支出（款）住房公积金（项）：指用于部门按人力资源和社会保障部、财政部规定的基本工资和津贴补贴以及规定比例为职工缴纳的住房公积金支出。</w:t>
      </w:r>
    </w:p>
    <w:p w:rsidR="000A32D6" w:rsidRDefault="00677D50">
      <w:pPr>
        <w:ind w:firstLine="645"/>
        <w:rPr>
          <w:rFonts w:ascii="仿宋_GB2312" w:eastAsia="仿宋_GB2312" w:hAnsi="仿宋" w:cs="仿宋"/>
          <w:color w:val="000000"/>
          <w:sz w:val="32"/>
          <w:szCs w:val="32"/>
        </w:rPr>
      </w:pPr>
      <w:r>
        <w:rPr>
          <w:rFonts w:ascii="仿宋_GB2312" w:eastAsia="仿宋_GB2312" w:hAnsi="仿宋" w:cs="仿宋" w:hint="eastAsia"/>
          <w:color w:val="000000"/>
          <w:sz w:val="32"/>
          <w:szCs w:val="32"/>
        </w:rPr>
        <w:t>8</w:t>
      </w:r>
      <w:r w:rsidR="005E1D7C">
        <w:rPr>
          <w:rFonts w:ascii="仿宋_GB2312" w:eastAsia="仿宋_GB2312" w:hAnsi="仿宋" w:cs="仿宋" w:hint="eastAsia"/>
          <w:color w:val="000000"/>
          <w:sz w:val="32"/>
          <w:szCs w:val="32"/>
        </w:rPr>
        <w:t>.基本支出：指为保证机构正常运转，完成日常工作任务而发生的人员支出和公用支出。</w:t>
      </w:r>
    </w:p>
    <w:p w:rsidR="000A32D6" w:rsidRDefault="00677D50">
      <w:pPr>
        <w:ind w:firstLine="645"/>
        <w:rPr>
          <w:rFonts w:ascii="仿宋_GB2312" w:eastAsia="仿宋_GB2312" w:hAnsi="仿宋" w:cs="仿宋"/>
          <w:color w:val="000000"/>
          <w:sz w:val="32"/>
          <w:szCs w:val="32"/>
        </w:rPr>
      </w:pPr>
      <w:r>
        <w:rPr>
          <w:rFonts w:ascii="仿宋_GB2312" w:eastAsia="仿宋_GB2312" w:hAnsi="仿宋" w:cs="仿宋" w:hint="eastAsia"/>
          <w:color w:val="000000"/>
          <w:sz w:val="32"/>
          <w:szCs w:val="32"/>
        </w:rPr>
        <w:t>9</w:t>
      </w:r>
      <w:r w:rsidR="005E1D7C">
        <w:rPr>
          <w:rFonts w:ascii="仿宋_GB2312" w:eastAsia="仿宋_GB2312" w:hAnsi="仿宋" w:cs="仿宋" w:hint="eastAsia"/>
          <w:color w:val="000000"/>
          <w:sz w:val="32"/>
          <w:szCs w:val="32"/>
        </w:rPr>
        <w:t>.项目支出：指在基本支出之外为完成特定行政任务和</w:t>
      </w:r>
      <w:r w:rsidR="005E1D7C">
        <w:rPr>
          <w:rFonts w:ascii="仿宋_GB2312" w:eastAsia="仿宋_GB2312" w:hAnsi="仿宋" w:cs="仿宋" w:hint="eastAsia"/>
          <w:color w:val="000000"/>
          <w:sz w:val="32"/>
          <w:szCs w:val="32"/>
        </w:rPr>
        <w:lastRenderedPageBreak/>
        <w:t>事业发展目标所发生的支出。</w:t>
      </w:r>
    </w:p>
    <w:p w:rsidR="000A32D6" w:rsidRDefault="00677D50">
      <w:pPr>
        <w:ind w:firstLine="660"/>
        <w:rPr>
          <w:rFonts w:ascii="仿宋_GB2312" w:eastAsia="仿宋_GB2312" w:hAnsi="仿宋" w:cs="仿宋"/>
          <w:color w:val="000000"/>
          <w:sz w:val="32"/>
          <w:szCs w:val="32"/>
        </w:rPr>
      </w:pPr>
      <w:r>
        <w:rPr>
          <w:rFonts w:ascii="仿宋_GB2312" w:eastAsia="仿宋_GB2312" w:hAnsi="仿宋" w:cs="仿宋" w:hint="eastAsia"/>
          <w:color w:val="000000"/>
          <w:sz w:val="32"/>
          <w:szCs w:val="32"/>
        </w:rPr>
        <w:t>10</w:t>
      </w:r>
      <w:r w:rsidR="005E1D7C">
        <w:rPr>
          <w:rFonts w:ascii="仿宋_GB2312" w:eastAsia="仿宋_GB2312" w:hAnsi="仿宋" w:cs="仿宋" w:hint="eastAsia"/>
          <w:color w:val="000000"/>
          <w:sz w:val="32"/>
          <w:szCs w:val="32"/>
        </w:rPr>
        <w:t>.“三公”经费：指部门用财政拨款安排的因公出国（境）费、公务用车购置及运行费和公务接待费。其中，因公出国（境）</w:t>
      </w:r>
      <w:proofErr w:type="gramStart"/>
      <w:r w:rsidR="005E1D7C">
        <w:rPr>
          <w:rFonts w:ascii="仿宋_GB2312" w:eastAsia="仿宋_GB2312" w:hAnsi="仿宋" w:cs="仿宋" w:hint="eastAsia"/>
          <w:color w:val="000000"/>
          <w:sz w:val="32"/>
          <w:szCs w:val="32"/>
        </w:rPr>
        <w:t>费反映</w:t>
      </w:r>
      <w:proofErr w:type="gramEnd"/>
      <w:r w:rsidR="005E1D7C">
        <w:rPr>
          <w:rFonts w:ascii="仿宋_GB2312" w:eastAsia="仿宋_GB2312" w:hAnsi="仿宋" w:cs="仿宋" w:hint="eastAsia"/>
          <w:color w:val="000000"/>
          <w:sz w:val="32"/>
          <w:szCs w:val="32"/>
        </w:rPr>
        <w:t>单位公务出国（境）的国际旅费、国外城市间交通费、住宿费、伙食费、培训费、公杂费等支出；公务用车购置及运行</w:t>
      </w:r>
      <w:proofErr w:type="gramStart"/>
      <w:r w:rsidR="005E1D7C">
        <w:rPr>
          <w:rFonts w:ascii="仿宋_GB2312" w:eastAsia="仿宋_GB2312" w:hAnsi="仿宋" w:cs="仿宋" w:hint="eastAsia"/>
          <w:color w:val="000000"/>
          <w:sz w:val="32"/>
          <w:szCs w:val="32"/>
        </w:rPr>
        <w:t>费反映</w:t>
      </w:r>
      <w:proofErr w:type="gramEnd"/>
      <w:r w:rsidR="005E1D7C">
        <w:rPr>
          <w:rFonts w:ascii="仿宋_GB2312" w:eastAsia="仿宋_GB2312" w:hAnsi="仿宋" w:cs="仿宋" w:hint="eastAsia"/>
          <w:color w:val="000000"/>
          <w:sz w:val="32"/>
          <w:szCs w:val="32"/>
        </w:rPr>
        <w:t>单位公务用车车辆购置支出（</w:t>
      </w:r>
      <w:proofErr w:type="gramStart"/>
      <w:r w:rsidR="005E1D7C">
        <w:rPr>
          <w:rFonts w:ascii="仿宋_GB2312" w:eastAsia="仿宋_GB2312" w:hAnsi="仿宋" w:cs="仿宋" w:hint="eastAsia"/>
          <w:color w:val="000000"/>
          <w:sz w:val="32"/>
          <w:szCs w:val="32"/>
        </w:rPr>
        <w:t>含车辆</w:t>
      </w:r>
      <w:proofErr w:type="gramEnd"/>
      <w:r w:rsidR="005E1D7C">
        <w:rPr>
          <w:rFonts w:ascii="仿宋_GB2312" w:eastAsia="仿宋_GB2312" w:hAnsi="仿宋" w:cs="仿宋" w:hint="eastAsia"/>
          <w:color w:val="000000"/>
          <w:sz w:val="32"/>
          <w:szCs w:val="32"/>
        </w:rPr>
        <w:t>购置税）及租用费、燃料费、维修费、过路过桥费、保险费等支出；公务接待</w:t>
      </w:r>
      <w:proofErr w:type="gramStart"/>
      <w:r w:rsidR="005E1D7C">
        <w:rPr>
          <w:rFonts w:ascii="仿宋_GB2312" w:eastAsia="仿宋_GB2312" w:hAnsi="仿宋" w:cs="仿宋" w:hint="eastAsia"/>
          <w:color w:val="000000"/>
          <w:sz w:val="32"/>
          <w:szCs w:val="32"/>
        </w:rPr>
        <w:t>费反映</w:t>
      </w:r>
      <w:proofErr w:type="gramEnd"/>
      <w:r w:rsidR="005E1D7C">
        <w:rPr>
          <w:rFonts w:ascii="仿宋_GB2312" w:eastAsia="仿宋_GB2312" w:hAnsi="仿宋" w:cs="仿宋" w:hint="eastAsia"/>
          <w:color w:val="000000"/>
          <w:sz w:val="32"/>
          <w:szCs w:val="32"/>
        </w:rPr>
        <w:t>单位按规定开支的各类公务接待（含外宾接待）支出。</w:t>
      </w:r>
    </w:p>
    <w:p w:rsidR="000A32D6" w:rsidRDefault="00677D50">
      <w:pPr>
        <w:ind w:firstLine="660"/>
        <w:rPr>
          <w:rFonts w:ascii="仿宋_GB2312" w:eastAsia="仿宋_GB2312" w:hAnsi="仿宋" w:cs="仿宋"/>
          <w:color w:val="000000"/>
          <w:sz w:val="32"/>
          <w:szCs w:val="32"/>
        </w:rPr>
      </w:pPr>
      <w:r>
        <w:rPr>
          <w:rFonts w:ascii="仿宋_GB2312" w:eastAsia="仿宋_GB2312" w:hAnsi="仿宋" w:cs="仿宋" w:hint="eastAsia"/>
          <w:color w:val="000000"/>
          <w:sz w:val="32"/>
          <w:szCs w:val="32"/>
        </w:rPr>
        <w:t>11</w:t>
      </w:r>
      <w:r w:rsidR="005E1D7C">
        <w:rPr>
          <w:rFonts w:ascii="仿宋_GB2312" w:eastAsia="仿宋_GB2312" w:hAnsi="仿宋" w:cs="仿宋" w:hint="eastAsia"/>
          <w:color w:val="000000"/>
          <w:sz w:val="32"/>
          <w:szCs w:val="32"/>
        </w:rPr>
        <w:t>.机关运行经费：为保障行政单位（包含参照公务员法管理的事业单位）运行用于购买货物和服务的各项资金。包括办公及印刷费、邮电费、差旅费、会议费等费用开支</w:t>
      </w:r>
      <w:r w:rsidR="005E1D7C">
        <w:rPr>
          <w:rFonts w:ascii="仿宋_GB2312" w:eastAsia="仿宋_GB2312" w:hint="eastAsia"/>
          <w:color w:val="000000"/>
          <w:sz w:val="32"/>
          <w:szCs w:val="32"/>
        </w:rPr>
        <w:t>。</w:t>
      </w:r>
    </w:p>
    <w:p w:rsidR="000A32D6" w:rsidRDefault="000A32D6">
      <w:pPr>
        <w:rPr>
          <w:rFonts w:ascii="仿宋_GB2312" w:eastAsia="仿宋_GB2312"/>
          <w:color w:val="000000"/>
          <w:sz w:val="32"/>
          <w:szCs w:val="32"/>
        </w:rPr>
      </w:pPr>
    </w:p>
    <w:p w:rsidR="00841891" w:rsidRDefault="005E1D7C" w:rsidP="00841891">
      <w:pPr>
        <w:rPr>
          <w:rFonts w:ascii="仿宋_GB2312" w:eastAsia="仿宋_GB2312"/>
          <w:color w:val="000000"/>
          <w:sz w:val="32"/>
          <w:szCs w:val="32"/>
        </w:rPr>
      </w:pPr>
      <w:r>
        <w:rPr>
          <w:rFonts w:ascii="仿宋_GB2312" w:eastAsia="仿宋_GB2312" w:hint="eastAsia"/>
          <w:color w:val="333333"/>
          <w:sz w:val="28"/>
          <w:szCs w:val="28"/>
        </w:rPr>
        <w:t xml:space="preserve">　</w:t>
      </w:r>
      <w:r>
        <w:rPr>
          <w:rFonts w:ascii="仿宋_GB2312" w:eastAsia="仿宋_GB2312" w:hint="eastAsia"/>
          <w:color w:val="000000"/>
          <w:sz w:val="32"/>
          <w:szCs w:val="32"/>
        </w:rPr>
        <w:t xml:space="preserve">附件： </w:t>
      </w:r>
      <w:r>
        <w:rPr>
          <w:rFonts w:ascii="仿宋_GB2312" w:eastAsia="仿宋_GB2312"/>
          <w:color w:val="000000"/>
          <w:sz w:val="32"/>
          <w:szCs w:val="32"/>
        </w:rPr>
        <w:t xml:space="preserve"> </w:t>
      </w:r>
      <w:r w:rsidR="00841891">
        <w:rPr>
          <w:rFonts w:ascii="仿宋_GB2312" w:eastAsia="仿宋_GB2312" w:hint="eastAsia"/>
          <w:color w:val="000000"/>
          <w:sz w:val="32"/>
          <w:szCs w:val="32"/>
        </w:rPr>
        <w:t>表1.</w:t>
      </w:r>
      <w:r w:rsidR="00907308">
        <w:rPr>
          <w:rFonts w:ascii="仿宋_GB2312" w:eastAsia="仿宋_GB2312" w:hint="eastAsia"/>
          <w:color w:val="000000"/>
          <w:sz w:val="32"/>
          <w:szCs w:val="32"/>
        </w:rPr>
        <w:t>单位</w:t>
      </w:r>
      <w:r w:rsidR="00841891">
        <w:rPr>
          <w:rFonts w:ascii="仿宋_GB2312" w:eastAsia="仿宋_GB2312" w:hint="eastAsia"/>
          <w:color w:val="000000"/>
          <w:sz w:val="32"/>
          <w:szCs w:val="32"/>
        </w:rPr>
        <w:t>收支总表</w:t>
      </w:r>
      <w:r w:rsidR="00841891">
        <w:rPr>
          <w:rFonts w:ascii="仿宋_GB2312" w:eastAsia="仿宋_GB2312" w:hint="eastAsia"/>
          <w:color w:val="000000"/>
          <w:sz w:val="32"/>
          <w:szCs w:val="32"/>
        </w:rPr>
        <w:br/>
        <w:t xml:space="preserve">　　</w:t>
      </w:r>
      <w:proofErr w:type="gramStart"/>
      <w:r w:rsidR="00841891">
        <w:rPr>
          <w:rFonts w:ascii="仿宋_GB2312" w:eastAsia="仿宋_GB2312" w:hint="eastAsia"/>
          <w:color w:val="000000"/>
          <w:sz w:val="32"/>
          <w:szCs w:val="32"/>
        </w:rPr>
        <w:t xml:space="preserve">　</w:t>
      </w:r>
      <w:proofErr w:type="gramEnd"/>
      <w:r w:rsidR="00841891">
        <w:rPr>
          <w:rFonts w:ascii="仿宋_GB2312" w:eastAsia="仿宋_GB2312" w:hint="eastAsia"/>
          <w:color w:val="000000"/>
          <w:sz w:val="32"/>
          <w:szCs w:val="32"/>
        </w:rPr>
        <w:t xml:space="preserve">    表1-1.</w:t>
      </w:r>
      <w:r w:rsidR="00907308">
        <w:rPr>
          <w:rFonts w:ascii="仿宋_GB2312" w:eastAsia="仿宋_GB2312" w:hint="eastAsia"/>
          <w:color w:val="000000"/>
          <w:sz w:val="32"/>
          <w:szCs w:val="32"/>
        </w:rPr>
        <w:t>单位</w:t>
      </w:r>
      <w:r w:rsidR="00841891">
        <w:rPr>
          <w:rFonts w:ascii="仿宋_GB2312" w:eastAsia="仿宋_GB2312" w:hint="eastAsia"/>
          <w:color w:val="000000"/>
          <w:sz w:val="32"/>
          <w:szCs w:val="32"/>
        </w:rPr>
        <w:t>收入总表</w:t>
      </w:r>
      <w:r w:rsidR="00841891">
        <w:rPr>
          <w:rFonts w:ascii="仿宋_GB2312" w:eastAsia="仿宋_GB2312" w:hint="eastAsia"/>
          <w:color w:val="000000"/>
          <w:sz w:val="32"/>
          <w:szCs w:val="32"/>
        </w:rPr>
        <w:br/>
      </w:r>
      <w:proofErr w:type="gramStart"/>
      <w:r w:rsidR="00841891">
        <w:rPr>
          <w:rFonts w:ascii="仿宋_GB2312" w:eastAsia="仿宋_GB2312" w:hint="eastAsia"/>
          <w:color w:val="000000"/>
          <w:sz w:val="32"/>
          <w:szCs w:val="32"/>
        </w:rPr>
        <w:t xml:space="preserve">　　　　　</w:t>
      </w:r>
      <w:proofErr w:type="gramEnd"/>
      <w:r w:rsidR="00841891">
        <w:rPr>
          <w:rFonts w:ascii="仿宋_GB2312" w:eastAsia="仿宋_GB2312" w:hint="eastAsia"/>
          <w:color w:val="000000"/>
          <w:sz w:val="32"/>
          <w:szCs w:val="32"/>
        </w:rPr>
        <w:t>表1-2.</w:t>
      </w:r>
      <w:r w:rsidR="00907308">
        <w:rPr>
          <w:rFonts w:ascii="仿宋_GB2312" w:eastAsia="仿宋_GB2312" w:hint="eastAsia"/>
          <w:color w:val="000000"/>
          <w:sz w:val="32"/>
          <w:szCs w:val="32"/>
        </w:rPr>
        <w:t>单位</w:t>
      </w:r>
      <w:r w:rsidR="00841891">
        <w:rPr>
          <w:rFonts w:ascii="仿宋_GB2312" w:eastAsia="仿宋_GB2312" w:hint="eastAsia"/>
          <w:color w:val="000000"/>
          <w:sz w:val="32"/>
          <w:szCs w:val="32"/>
        </w:rPr>
        <w:t>支出总表</w:t>
      </w:r>
      <w:r w:rsidR="00841891">
        <w:rPr>
          <w:rFonts w:ascii="仿宋_GB2312" w:eastAsia="仿宋_GB2312" w:hint="eastAsia"/>
          <w:color w:val="000000"/>
          <w:sz w:val="32"/>
          <w:szCs w:val="32"/>
        </w:rPr>
        <w:br/>
      </w:r>
      <w:proofErr w:type="gramStart"/>
      <w:r w:rsidR="00841891">
        <w:rPr>
          <w:rFonts w:ascii="仿宋_GB2312" w:eastAsia="仿宋_GB2312" w:hint="eastAsia"/>
          <w:color w:val="000000"/>
          <w:sz w:val="32"/>
          <w:szCs w:val="32"/>
        </w:rPr>
        <w:t xml:space="preserve">　　　　　</w:t>
      </w:r>
      <w:proofErr w:type="gramEnd"/>
      <w:r w:rsidR="00841891">
        <w:rPr>
          <w:rFonts w:ascii="仿宋_GB2312" w:eastAsia="仿宋_GB2312" w:hint="eastAsia"/>
          <w:color w:val="000000"/>
          <w:sz w:val="32"/>
          <w:szCs w:val="32"/>
        </w:rPr>
        <w:t>表2.财政拨款收支</w:t>
      </w:r>
      <w:r w:rsidR="002607BD">
        <w:rPr>
          <w:rFonts w:ascii="仿宋_GB2312" w:eastAsia="仿宋_GB2312" w:hint="eastAsia"/>
          <w:color w:val="000000"/>
          <w:sz w:val="32"/>
          <w:szCs w:val="32"/>
        </w:rPr>
        <w:t>预算</w:t>
      </w:r>
      <w:r w:rsidR="00841891">
        <w:rPr>
          <w:rFonts w:ascii="仿宋_GB2312" w:eastAsia="仿宋_GB2312" w:hint="eastAsia"/>
          <w:color w:val="000000"/>
          <w:sz w:val="32"/>
          <w:szCs w:val="32"/>
        </w:rPr>
        <w:t>总表</w:t>
      </w:r>
    </w:p>
    <w:p w:rsidR="00841891" w:rsidRDefault="00841891" w:rsidP="00841891">
      <w:pPr>
        <w:ind w:firstLineChars="500" w:firstLine="1600"/>
        <w:rPr>
          <w:rFonts w:ascii="仿宋_GB2312" w:eastAsia="仿宋_GB2312"/>
          <w:color w:val="000000"/>
          <w:sz w:val="32"/>
          <w:szCs w:val="32"/>
        </w:rPr>
      </w:pPr>
      <w:r>
        <w:rPr>
          <w:rFonts w:ascii="仿宋_GB2312" w:eastAsia="仿宋_GB2312" w:hint="eastAsia"/>
          <w:color w:val="000000"/>
          <w:sz w:val="32"/>
          <w:szCs w:val="32"/>
        </w:rPr>
        <w:t>表2-1. 财政拨款支出预算表</w:t>
      </w:r>
      <w:r w:rsidR="002607BD">
        <w:rPr>
          <w:rFonts w:ascii="仿宋_GB2312" w:eastAsia="仿宋_GB2312" w:hint="eastAsia"/>
          <w:color w:val="000000"/>
          <w:sz w:val="28"/>
          <w:szCs w:val="28"/>
        </w:rPr>
        <w:t>（部门</w:t>
      </w:r>
      <w:r>
        <w:rPr>
          <w:rFonts w:ascii="仿宋_GB2312" w:eastAsia="仿宋_GB2312" w:hint="eastAsia"/>
          <w:color w:val="000000"/>
          <w:sz w:val="28"/>
          <w:szCs w:val="28"/>
        </w:rPr>
        <w:t>经济分类科目）</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表3.一般公共预算支出预算表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表3-1.一般公共预算基本支出预算表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表3-2.一般公共预算项目支出预算表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表3-3.一般公共预算“三公”经费支出预算表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lastRenderedPageBreak/>
        <w:t xml:space="preserve">　　　　　</w:t>
      </w:r>
      <w:proofErr w:type="gramEnd"/>
      <w:r>
        <w:rPr>
          <w:rFonts w:ascii="仿宋_GB2312" w:eastAsia="仿宋_GB2312" w:hint="eastAsia"/>
          <w:color w:val="000000"/>
          <w:sz w:val="32"/>
          <w:szCs w:val="32"/>
        </w:rPr>
        <w:t>表4.政府性基金支出预算表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表4-1.政府性基金预算“三公”经费支出预算表</w:t>
      </w:r>
      <w:r>
        <w:rPr>
          <w:rFonts w:ascii="仿宋_GB2312" w:eastAsia="仿宋_GB2312" w:hint="eastAsia"/>
          <w:color w:val="000000"/>
          <w:sz w:val="32"/>
          <w:szCs w:val="32"/>
        </w:rPr>
        <w:br/>
      </w:r>
      <w:proofErr w:type="gramStart"/>
      <w:r>
        <w:rPr>
          <w:rFonts w:ascii="仿宋_GB2312" w:eastAsia="仿宋_GB2312" w:hint="eastAsia"/>
          <w:color w:val="000000"/>
          <w:sz w:val="32"/>
          <w:szCs w:val="32"/>
        </w:rPr>
        <w:t xml:space="preserve">　　　　　</w:t>
      </w:r>
      <w:proofErr w:type="gramEnd"/>
      <w:r>
        <w:rPr>
          <w:rFonts w:ascii="仿宋_GB2312" w:eastAsia="仿宋_GB2312" w:hint="eastAsia"/>
          <w:color w:val="000000"/>
          <w:sz w:val="32"/>
          <w:szCs w:val="32"/>
        </w:rPr>
        <w:t>表</w:t>
      </w:r>
      <w:r w:rsidR="00907308">
        <w:rPr>
          <w:rFonts w:ascii="仿宋_GB2312" w:eastAsia="仿宋_GB2312" w:hint="eastAsia"/>
          <w:color w:val="000000"/>
          <w:sz w:val="32"/>
          <w:szCs w:val="32"/>
        </w:rPr>
        <w:t>5</w:t>
      </w:r>
      <w:r>
        <w:rPr>
          <w:rFonts w:ascii="仿宋_GB2312" w:eastAsia="仿宋_GB2312" w:hint="eastAsia"/>
          <w:color w:val="000000"/>
          <w:sz w:val="32"/>
          <w:szCs w:val="32"/>
        </w:rPr>
        <w:t>.</w:t>
      </w:r>
      <w:r w:rsidR="00907308">
        <w:rPr>
          <w:rFonts w:ascii="仿宋_GB2312" w:eastAsia="仿宋_GB2312" w:hint="eastAsia"/>
          <w:color w:val="000000"/>
          <w:sz w:val="32"/>
          <w:szCs w:val="32"/>
        </w:rPr>
        <w:t>国有资本经营预算支出预算表</w:t>
      </w:r>
    </w:p>
    <w:p w:rsidR="00841891" w:rsidRDefault="00841891" w:rsidP="00841891">
      <w:pPr>
        <w:ind w:firstLineChars="500" w:firstLine="1600"/>
        <w:rPr>
          <w:rFonts w:ascii="仿宋_GB2312" w:eastAsia="仿宋_GB2312"/>
          <w:color w:val="000000"/>
          <w:sz w:val="32"/>
          <w:szCs w:val="32"/>
        </w:rPr>
      </w:pPr>
      <w:r>
        <w:rPr>
          <w:rFonts w:ascii="仿宋_GB2312" w:eastAsia="仿宋_GB2312" w:hint="eastAsia"/>
          <w:color w:val="000000"/>
          <w:sz w:val="32"/>
          <w:szCs w:val="32"/>
        </w:rPr>
        <w:t>表</w:t>
      </w:r>
      <w:r w:rsidR="00907308">
        <w:rPr>
          <w:rFonts w:ascii="仿宋_GB2312" w:eastAsia="仿宋_GB2312" w:hint="eastAsia"/>
          <w:color w:val="000000"/>
          <w:sz w:val="32"/>
          <w:szCs w:val="32"/>
        </w:rPr>
        <w:t>6</w:t>
      </w:r>
      <w:r>
        <w:rPr>
          <w:rFonts w:ascii="仿宋_GB2312" w:eastAsia="仿宋_GB2312"/>
          <w:color w:val="000000"/>
          <w:sz w:val="32"/>
          <w:szCs w:val="32"/>
        </w:rPr>
        <w:t>.</w:t>
      </w:r>
      <w:r w:rsidR="00907308">
        <w:rPr>
          <w:rFonts w:ascii="仿宋_GB2312" w:eastAsia="仿宋_GB2312" w:hint="eastAsia"/>
          <w:color w:val="000000"/>
          <w:sz w:val="32"/>
          <w:szCs w:val="32"/>
        </w:rPr>
        <w:t>单位预算项目绩效目标表（2022年度）</w:t>
      </w:r>
    </w:p>
    <w:p w:rsidR="000A32D6" w:rsidRDefault="000A32D6" w:rsidP="002607BD">
      <w:pPr>
        <w:ind w:firstLineChars="500" w:firstLine="1050"/>
      </w:pPr>
    </w:p>
    <w:sectPr w:rsidR="000A32D6" w:rsidSect="000A32D6">
      <w:footerReference w:type="even" r:id="rId13"/>
      <w:footerReference w:type="default" r:id="rId14"/>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200" w:rsidRDefault="00D24200" w:rsidP="000A32D6">
      <w:r>
        <w:separator/>
      </w:r>
    </w:p>
  </w:endnote>
  <w:endnote w:type="continuationSeparator" w:id="0">
    <w:p w:rsidR="00D24200" w:rsidRDefault="00D24200" w:rsidP="000A32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2D6" w:rsidRDefault="00B22BB7">
    <w:pPr>
      <w:pStyle w:val="a5"/>
      <w:framePr w:wrap="around" w:vAnchor="text" w:hAnchor="margin" w:xAlign="center" w:y="1"/>
      <w:rPr>
        <w:rStyle w:val="a8"/>
      </w:rPr>
    </w:pPr>
    <w:r>
      <w:rPr>
        <w:rStyle w:val="a8"/>
      </w:rPr>
      <w:fldChar w:fldCharType="begin"/>
    </w:r>
    <w:r w:rsidR="005E1D7C">
      <w:rPr>
        <w:rStyle w:val="a8"/>
      </w:rPr>
      <w:instrText xml:space="preserve">PAGE  </w:instrText>
    </w:r>
    <w:r>
      <w:rPr>
        <w:rStyle w:val="a8"/>
      </w:rPr>
      <w:fldChar w:fldCharType="separate"/>
    </w:r>
    <w:r w:rsidR="005E1D7C">
      <w:rPr>
        <w:rStyle w:val="a8"/>
      </w:rPr>
      <w:t>- 7 -</w:t>
    </w:r>
    <w:r>
      <w:rPr>
        <w:rStyle w:val="a8"/>
      </w:rPr>
      <w:fldChar w:fldCharType="end"/>
    </w:r>
  </w:p>
  <w:p w:rsidR="000A32D6" w:rsidRDefault="000A32D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2D6" w:rsidRDefault="00B22BB7">
    <w:pPr>
      <w:pStyle w:val="a5"/>
      <w:framePr w:wrap="around" w:vAnchor="text" w:hAnchor="margin" w:xAlign="center" w:y="1"/>
      <w:rPr>
        <w:rStyle w:val="a8"/>
        <w:rFonts w:ascii="宋体" w:hAnsi="宋体"/>
        <w:sz w:val="30"/>
        <w:szCs w:val="30"/>
      </w:rPr>
    </w:pPr>
    <w:r>
      <w:rPr>
        <w:rStyle w:val="a8"/>
        <w:rFonts w:ascii="宋体" w:hAnsi="宋体"/>
        <w:sz w:val="30"/>
        <w:szCs w:val="30"/>
      </w:rPr>
      <w:fldChar w:fldCharType="begin"/>
    </w:r>
    <w:r w:rsidR="005E1D7C">
      <w:rPr>
        <w:rStyle w:val="a8"/>
        <w:rFonts w:ascii="宋体" w:hAnsi="宋体"/>
        <w:sz w:val="30"/>
        <w:szCs w:val="30"/>
      </w:rPr>
      <w:instrText xml:space="preserve">PAGE  </w:instrText>
    </w:r>
    <w:r>
      <w:rPr>
        <w:rStyle w:val="a8"/>
        <w:rFonts w:ascii="宋体" w:hAnsi="宋体"/>
        <w:sz w:val="30"/>
        <w:szCs w:val="30"/>
      </w:rPr>
      <w:fldChar w:fldCharType="separate"/>
    </w:r>
    <w:r w:rsidR="00204205">
      <w:rPr>
        <w:rStyle w:val="a8"/>
        <w:rFonts w:ascii="宋体" w:hAnsi="宋体"/>
        <w:noProof/>
        <w:sz w:val="30"/>
        <w:szCs w:val="30"/>
      </w:rPr>
      <w:t>- 1 -</w:t>
    </w:r>
    <w:r>
      <w:rPr>
        <w:rStyle w:val="a8"/>
        <w:rFonts w:ascii="宋体" w:hAnsi="宋体"/>
        <w:sz w:val="30"/>
        <w:szCs w:val="30"/>
      </w:rPr>
      <w:fldChar w:fldCharType="end"/>
    </w:r>
  </w:p>
  <w:p w:rsidR="000A32D6" w:rsidRDefault="000A32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200" w:rsidRDefault="00D24200" w:rsidP="000A32D6">
      <w:r>
        <w:separator/>
      </w:r>
    </w:p>
  </w:footnote>
  <w:footnote w:type="continuationSeparator" w:id="0">
    <w:p w:rsidR="00D24200" w:rsidRDefault="00D24200" w:rsidP="000A32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6586"/>
    <w:rsid w:val="000A32D6"/>
    <w:rsid w:val="000C6269"/>
    <w:rsid w:val="000D79BE"/>
    <w:rsid w:val="00204205"/>
    <w:rsid w:val="00214DD9"/>
    <w:rsid w:val="002607BD"/>
    <w:rsid w:val="00295BBA"/>
    <w:rsid w:val="003232F1"/>
    <w:rsid w:val="004242C8"/>
    <w:rsid w:val="005E1D7C"/>
    <w:rsid w:val="00677D50"/>
    <w:rsid w:val="00841891"/>
    <w:rsid w:val="00907308"/>
    <w:rsid w:val="00A16586"/>
    <w:rsid w:val="00A810C8"/>
    <w:rsid w:val="00B22BB7"/>
    <w:rsid w:val="00D2125E"/>
    <w:rsid w:val="00D24200"/>
    <w:rsid w:val="00D41F4B"/>
    <w:rsid w:val="00EA42DD"/>
    <w:rsid w:val="14111E4F"/>
    <w:rsid w:val="2C606F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semiHidden="0" w:uiPriority="0" w:unhideWhenUsed="0" w:qFormat="1"/>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2D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0A32D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A32D6"/>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0A32D6"/>
    <w:pPr>
      <w:spacing w:beforeLines="30"/>
    </w:pPr>
    <w:rPr>
      <w:rFonts w:ascii="仿宋_GB2312" w:eastAsia="仿宋_GB2312"/>
      <w:sz w:val="30"/>
    </w:rPr>
  </w:style>
  <w:style w:type="paragraph" w:styleId="5">
    <w:name w:val="toc 5"/>
    <w:basedOn w:val="a"/>
    <w:next w:val="a"/>
    <w:qFormat/>
    <w:rsid w:val="000A32D6"/>
    <w:pPr>
      <w:spacing w:line="596" w:lineRule="exact"/>
      <w:ind w:firstLineChars="200" w:firstLine="640"/>
    </w:pPr>
    <w:rPr>
      <w:sz w:val="32"/>
      <w:szCs w:val="32"/>
    </w:rPr>
  </w:style>
  <w:style w:type="paragraph" w:styleId="a4">
    <w:name w:val="Balloon Text"/>
    <w:basedOn w:val="a"/>
    <w:link w:val="Char0"/>
    <w:uiPriority w:val="99"/>
    <w:semiHidden/>
    <w:unhideWhenUsed/>
    <w:qFormat/>
    <w:rsid w:val="000A32D6"/>
    <w:rPr>
      <w:sz w:val="18"/>
      <w:szCs w:val="18"/>
    </w:rPr>
  </w:style>
  <w:style w:type="paragraph" w:styleId="a5">
    <w:name w:val="footer"/>
    <w:basedOn w:val="a"/>
    <w:link w:val="Char1"/>
    <w:unhideWhenUsed/>
    <w:qFormat/>
    <w:rsid w:val="000A32D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semiHidden/>
    <w:unhideWhenUsed/>
    <w:qFormat/>
    <w:rsid w:val="000A32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rsid w:val="000A32D6"/>
    <w:pPr>
      <w:spacing w:before="120"/>
      <w:jc w:val="left"/>
    </w:pPr>
    <w:rPr>
      <w:rFonts w:ascii="等线" w:eastAsia="等线"/>
      <w:b/>
      <w:bCs/>
      <w:i/>
      <w:iCs/>
      <w:sz w:val="24"/>
    </w:rPr>
  </w:style>
  <w:style w:type="paragraph" w:styleId="20">
    <w:name w:val="toc 2"/>
    <w:basedOn w:val="a"/>
    <w:next w:val="a"/>
    <w:uiPriority w:val="39"/>
    <w:unhideWhenUsed/>
    <w:qFormat/>
    <w:rsid w:val="000A32D6"/>
    <w:pPr>
      <w:spacing w:before="120"/>
      <w:ind w:left="300"/>
      <w:jc w:val="left"/>
    </w:pPr>
    <w:rPr>
      <w:rFonts w:ascii="等线" w:eastAsia="等线"/>
      <w:b/>
      <w:bCs/>
      <w:sz w:val="22"/>
      <w:szCs w:val="22"/>
    </w:rPr>
  </w:style>
  <w:style w:type="character" w:styleId="a7">
    <w:name w:val="Strong"/>
    <w:qFormat/>
    <w:rsid w:val="000A32D6"/>
    <w:rPr>
      <w:b/>
      <w:bCs/>
    </w:rPr>
  </w:style>
  <w:style w:type="character" w:styleId="a8">
    <w:name w:val="page number"/>
    <w:basedOn w:val="a0"/>
    <w:qFormat/>
    <w:rsid w:val="000A32D6"/>
  </w:style>
  <w:style w:type="character" w:styleId="a9">
    <w:name w:val="Hyperlink"/>
    <w:uiPriority w:val="99"/>
    <w:unhideWhenUsed/>
    <w:qFormat/>
    <w:rsid w:val="000A32D6"/>
    <w:rPr>
      <w:color w:val="0000FF"/>
      <w:u w:val="single"/>
    </w:rPr>
  </w:style>
  <w:style w:type="character" w:customStyle="1" w:styleId="Char2">
    <w:name w:val="页眉 Char"/>
    <w:basedOn w:val="a0"/>
    <w:link w:val="a6"/>
    <w:uiPriority w:val="99"/>
    <w:semiHidden/>
    <w:qFormat/>
    <w:rsid w:val="000A32D6"/>
    <w:rPr>
      <w:sz w:val="18"/>
      <w:szCs w:val="18"/>
    </w:rPr>
  </w:style>
  <w:style w:type="character" w:customStyle="1" w:styleId="Char1">
    <w:name w:val="页脚 Char"/>
    <w:basedOn w:val="a0"/>
    <w:link w:val="a5"/>
    <w:uiPriority w:val="99"/>
    <w:semiHidden/>
    <w:qFormat/>
    <w:rsid w:val="000A32D6"/>
    <w:rPr>
      <w:sz w:val="18"/>
      <w:szCs w:val="18"/>
    </w:rPr>
  </w:style>
  <w:style w:type="character" w:customStyle="1" w:styleId="1Char">
    <w:name w:val="标题 1 Char"/>
    <w:basedOn w:val="a0"/>
    <w:link w:val="1"/>
    <w:qFormat/>
    <w:rsid w:val="000A32D6"/>
    <w:rPr>
      <w:rFonts w:ascii="Times New Roman" w:eastAsia="宋体" w:hAnsi="Times New Roman" w:cs="Times New Roman"/>
      <w:b/>
      <w:bCs/>
      <w:kern w:val="44"/>
      <w:sz w:val="44"/>
      <w:szCs w:val="44"/>
    </w:rPr>
  </w:style>
  <w:style w:type="character" w:customStyle="1" w:styleId="2Char">
    <w:name w:val="标题 2 Char"/>
    <w:basedOn w:val="a0"/>
    <w:link w:val="2"/>
    <w:qFormat/>
    <w:rsid w:val="000A32D6"/>
    <w:rPr>
      <w:rFonts w:ascii="等线 Light" w:eastAsia="等线 Light" w:hAnsi="等线 Light" w:cs="Times New Roman"/>
      <w:b/>
      <w:bCs/>
      <w:sz w:val="32"/>
      <w:szCs w:val="32"/>
    </w:rPr>
  </w:style>
  <w:style w:type="character" w:customStyle="1" w:styleId="Char">
    <w:name w:val="正文文本 Char"/>
    <w:basedOn w:val="a0"/>
    <w:link w:val="a3"/>
    <w:qFormat/>
    <w:rsid w:val="000A32D6"/>
    <w:rPr>
      <w:rFonts w:ascii="仿宋_GB2312" w:eastAsia="仿宋_GB2312" w:hAnsi="Times New Roman" w:cs="Times New Roman"/>
      <w:sz w:val="30"/>
      <w:szCs w:val="24"/>
    </w:rPr>
  </w:style>
  <w:style w:type="character" w:customStyle="1" w:styleId="Char0">
    <w:name w:val="批注框文本 Char"/>
    <w:basedOn w:val="a0"/>
    <w:link w:val="a4"/>
    <w:uiPriority w:val="99"/>
    <w:semiHidden/>
    <w:qFormat/>
    <w:rsid w:val="000A32D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___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___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___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___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___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lgn="ctr">
              <a:defRPr lang="zh-CN" sz="1400" b="0" i="0" u="none" strike="noStrike" kern="1200" spc="0" baseline="0">
                <a:solidFill>
                  <a:schemeClr val="tx1">
                    <a:lumMod val="65000"/>
                    <a:lumOff val="35000"/>
                  </a:schemeClr>
                </a:solidFill>
                <a:latin typeface="+mn-lt"/>
                <a:ea typeface="+mn-ea"/>
                <a:cs typeface="+mn-cs"/>
              </a:defRPr>
            </a:pPr>
            <a:r>
              <a:rPr altLang="en-US"/>
              <a:t>202</a:t>
            </a:r>
            <a:r>
              <a:rPr lang="en-US" altLang="en-US"/>
              <a:t>2</a:t>
            </a:r>
            <a:r>
              <a:rPr altLang="en-US"/>
              <a:t>年收入预算结构图</a:t>
            </a:r>
          </a:p>
        </c:rich>
      </c:tx>
      <c:spPr>
        <a:noFill/>
        <a:ln w="25399">
          <a:noFill/>
        </a:ln>
      </c:spPr>
    </c:title>
    <c:plotArea>
      <c:layout/>
      <c:pieChart>
        <c:varyColors val="1"/>
        <c:ser>
          <c:idx val="0"/>
          <c:order val="0"/>
          <c:tx>
            <c:strRef>
              <c:f>Sheet1!$B$1</c:f>
              <c:strCache>
                <c:ptCount val="1"/>
                <c:pt idx="0">
                  <c:v>2021年收入预算结构图</c:v>
                </c:pt>
              </c:strCache>
            </c:strRef>
          </c:tx>
          <c:dPt>
            <c:idx val="0"/>
            <c:spPr>
              <a:solidFill>
                <a:srgbClr val="4F81BD"/>
              </a:solidFill>
              <a:ln w="12700">
                <a:solidFill>
                  <a:srgbClr val="FFFFFF"/>
                </a:solidFill>
                <a:prstDash val="solid"/>
              </a:ln>
            </c:spPr>
          </c:dPt>
          <c:dPt>
            <c:idx val="1"/>
            <c:spPr>
              <a:solidFill>
                <a:srgbClr val="C0504D"/>
              </a:solidFill>
              <a:ln w="12700">
                <a:solidFill>
                  <a:srgbClr val="FFFFFF"/>
                </a:solidFill>
                <a:prstDash val="solid"/>
              </a:ln>
            </c:spPr>
          </c:dPt>
          <c:dPt>
            <c:idx val="2"/>
            <c:spPr>
              <a:solidFill>
                <a:srgbClr val="9BBB59"/>
              </a:solidFill>
              <a:ln w="12700">
                <a:solidFill>
                  <a:srgbClr val="FFFFFF"/>
                </a:solidFill>
                <a:prstDash val="solid"/>
              </a:ln>
            </c:spPr>
          </c:dPt>
          <c:dLbls>
            <c:dLbl>
              <c:idx val="1"/>
              <c:tx>
                <c:rich>
                  <a:bodyPr/>
                  <a:lstStyle/>
                  <a:p>
                    <a:r>
                      <a:rPr lang="en-US" altLang="en-US"/>
                      <a:t>115.37</a:t>
                    </a:r>
                    <a:r>
                      <a:rPr lang="zh-CN" altLang="en-US"/>
                      <a:t>万元</a:t>
                    </a:r>
                    <a:endParaRPr altLang="en-US"/>
                  </a:p>
                </c:rich>
              </c:tx>
              <c:dLblPos val="bestFit"/>
              <c:showVal val="1"/>
              <c:extLst>
                <c:ext xmlns:c15="http://schemas.microsoft.com/office/drawing/2012/chart" uri="{CE6537A1-D6FC-4f65-9D91-7224C49458BB}"/>
              </c:extLst>
            </c:dLbl>
            <c:spPr>
              <a:noFill/>
              <a:ln w="2539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Sheet1!$A$2:$A$4</c:f>
              <c:strCache>
                <c:ptCount val="3"/>
                <c:pt idx="0">
                  <c:v>上年结转</c:v>
                </c:pt>
                <c:pt idx="1">
                  <c:v>一般公共预算财政拨款</c:v>
                </c:pt>
                <c:pt idx="2">
                  <c:v>政府性基金预算财政拨款</c:v>
                </c:pt>
              </c:strCache>
            </c:strRef>
          </c:cat>
          <c:val>
            <c:numRef>
              <c:f>Sheet1!$B$2:$B$4</c:f>
              <c:numCache>
                <c:formatCode>General</c:formatCode>
                <c:ptCount val="3"/>
                <c:pt idx="0">
                  <c:v>0</c:v>
                </c:pt>
                <c:pt idx="1">
                  <c:v>95.4</c:v>
                </c:pt>
                <c:pt idx="2">
                  <c:v>0</c:v>
                </c:pt>
              </c:numCache>
            </c:numRef>
          </c:val>
        </c:ser>
        <c:dLbls>
          <c:showVal val="1"/>
        </c:dLbls>
        <c:firstSliceAng val="0"/>
      </c:pieChart>
      <c:spPr>
        <a:noFill/>
        <a:ln w="25399">
          <a:noFill/>
        </a:ln>
      </c:spPr>
    </c:plotArea>
    <c:legend>
      <c:legendPos val="b"/>
      <c:spPr>
        <a:noFill/>
        <a:ln w="25399">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altLang="en-US"/>
              <a:t>支出预算结构图</a:t>
            </a:r>
          </a:p>
        </c:rich>
      </c:tx>
      <c:spPr>
        <a:noFill/>
        <a:ln w="25399">
          <a:noFill/>
        </a:ln>
      </c:spPr>
    </c:title>
    <c:plotArea>
      <c:layout/>
      <c:pieChart>
        <c:varyColors val="1"/>
        <c:ser>
          <c:idx val="0"/>
          <c:order val="0"/>
          <c:tx>
            <c:strRef>
              <c:f>Sheet1!$B$1</c:f>
              <c:strCache>
                <c:ptCount val="1"/>
                <c:pt idx="0">
                  <c:v>2021年支出预算结构图</c:v>
                </c:pt>
              </c:strCache>
            </c:strRef>
          </c:tx>
          <c:dPt>
            <c:idx val="0"/>
            <c:spPr>
              <a:solidFill>
                <a:srgbClr val="4F81BD"/>
              </a:solidFill>
              <a:ln w="12700">
                <a:solidFill>
                  <a:srgbClr val="FFFFFF"/>
                </a:solidFill>
                <a:prstDash val="solid"/>
              </a:ln>
            </c:spPr>
          </c:dPt>
          <c:dPt>
            <c:idx val="1"/>
            <c:spPr>
              <a:solidFill>
                <a:srgbClr val="C0504D"/>
              </a:solidFill>
              <a:ln w="12700">
                <a:solidFill>
                  <a:srgbClr val="FFFFFF"/>
                </a:solidFill>
                <a:prstDash val="solid"/>
              </a:ln>
            </c:spPr>
          </c:dPt>
          <c:dLbls>
            <c:dLbl>
              <c:idx val="0"/>
              <c:tx>
                <c:rich>
                  <a:bodyPr/>
                  <a:lstStyle/>
                  <a:p>
                    <a:r>
                      <a:rPr lang="en-US" altLang="en-US"/>
                      <a:t>91.37</a:t>
                    </a:r>
                    <a:r>
                      <a:rPr lang="zh-CN" altLang="en-US"/>
                      <a:t>万元</a:t>
                    </a:r>
                    <a:endParaRPr altLang="en-US"/>
                  </a:p>
                </c:rich>
              </c:tx>
              <c:dLblPos val="bestFit"/>
              <c:showVal val="1"/>
              <c:extLst>
                <c:ext xmlns:c15="http://schemas.microsoft.com/office/drawing/2012/chart" uri="{CE6537A1-D6FC-4f65-9D91-7224C49458BB}"/>
              </c:extLst>
            </c:dLbl>
            <c:dLbl>
              <c:idx val="1"/>
              <c:tx>
                <c:rich>
                  <a:bodyPr/>
                  <a:lstStyle/>
                  <a:p>
                    <a:r>
                      <a:rPr altLang="en-US"/>
                      <a:t>24</a:t>
                    </a:r>
                    <a:r>
                      <a:rPr lang="zh-CN" altLang="en-US"/>
                      <a:t>万元</a:t>
                    </a:r>
                    <a:endParaRPr altLang="en-US"/>
                  </a:p>
                </c:rich>
              </c:tx>
              <c:dLblPos val="bestFit"/>
              <c:showVal val="1"/>
              <c:extLst>
                <c:ext xmlns:c15="http://schemas.microsoft.com/office/drawing/2012/chart" uri="{CE6537A1-D6FC-4f65-9D91-7224C49458BB}"/>
              </c:extLst>
            </c:dLbl>
            <c:spPr>
              <a:noFill/>
              <a:ln w="2539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General</c:formatCode>
                <c:ptCount val="2"/>
                <c:pt idx="0">
                  <c:v>91.36999999999999</c:v>
                </c:pt>
                <c:pt idx="1">
                  <c:v>24</c:v>
                </c:pt>
              </c:numCache>
            </c:numRef>
          </c:val>
        </c:ser>
        <c:dLbls>
          <c:showVal val="1"/>
        </c:dLbls>
        <c:firstSliceAng val="0"/>
      </c:pieChart>
      <c:spPr>
        <a:noFill/>
        <a:ln w="25399">
          <a:noFill/>
        </a:ln>
      </c:spPr>
    </c:plotArea>
    <c:legend>
      <c:legendPos val="b"/>
      <c:spPr>
        <a:noFill/>
        <a:ln w="25399">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财政拨款收支总预算变动情况</a:t>
            </a:r>
          </a:p>
        </c:rich>
      </c:tx>
      <c:spPr>
        <a:noFill/>
        <a:ln w="25383">
          <a:noFill/>
        </a:ln>
      </c:spPr>
    </c:title>
    <c:plotArea>
      <c:layout/>
      <c:barChart>
        <c:barDir val="col"/>
        <c:grouping val="clustered"/>
        <c:ser>
          <c:idx val="0"/>
          <c:order val="0"/>
          <c:tx>
            <c:strRef>
              <c:f>Sheet1!$B$1</c:f>
              <c:strCache>
                <c:ptCount val="1"/>
                <c:pt idx="0">
                  <c:v>系列 1</c:v>
                </c:pt>
              </c:strCache>
            </c:strRef>
          </c:tx>
          <c:spPr>
            <a:solidFill>
              <a:srgbClr val="4F81BD"/>
            </a:solidFill>
            <a:ln w="25383">
              <a:noFill/>
            </a:ln>
          </c:spPr>
          <c:dLbls>
            <c:dLbl>
              <c:idx val="0"/>
              <c:tx>
                <c:rich>
                  <a:bodyPr/>
                  <a:lstStyle/>
                  <a:p>
                    <a:r>
                      <a:rPr altLang="en-US"/>
                      <a:t>95.4</a:t>
                    </a:r>
                    <a:r>
                      <a:rPr lang="zh-CN" altLang="en-US"/>
                      <a:t>万元</a:t>
                    </a:r>
                    <a:endParaRPr altLang="en-US"/>
                  </a:p>
                </c:rich>
              </c:tx>
              <c:dLblPos val="outEnd"/>
              <c:showVal val="1"/>
              <c:extLst>
                <c:ext xmlns:c15="http://schemas.microsoft.com/office/drawing/2012/chart" uri="{CE6537A1-D6FC-4f65-9D91-7224C49458BB}"/>
              </c:extLst>
            </c:dLbl>
            <c:dLbl>
              <c:idx val="1"/>
              <c:tx>
                <c:rich>
                  <a:bodyPr/>
                  <a:lstStyle/>
                  <a:p>
                    <a:r>
                      <a:rPr altLang="en-US"/>
                      <a:t>115.37</a:t>
                    </a:r>
                    <a:r>
                      <a:rPr lang="zh-CN" altLang="en-US"/>
                      <a:t>万元</a:t>
                    </a:r>
                    <a:endParaRPr altLang="en-US"/>
                  </a:p>
                </c:rich>
              </c:tx>
              <c:dLblPos val="outEnd"/>
              <c:showVal val="1"/>
              <c:extLst>
                <c:ext xmlns:c15="http://schemas.microsoft.com/office/drawing/2012/chart" uri="{CE6537A1-D6FC-4f65-9D91-7224C49458BB}"/>
              </c:extLst>
            </c:dLbl>
            <c:spPr>
              <a:noFill/>
              <a:ln w="25383">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Sheet1!$A$2:$A$3</c:f>
              <c:strCache>
                <c:ptCount val="2"/>
                <c:pt idx="0">
                  <c:v>2021年</c:v>
                </c:pt>
                <c:pt idx="1">
                  <c:v>2022年</c:v>
                </c:pt>
              </c:strCache>
            </c:strRef>
          </c:cat>
          <c:val>
            <c:numRef>
              <c:f>Sheet1!$B$2:$B$3</c:f>
              <c:numCache>
                <c:formatCode>General</c:formatCode>
                <c:ptCount val="2"/>
                <c:pt idx="0">
                  <c:v>95.4</c:v>
                </c:pt>
                <c:pt idx="1">
                  <c:v>115.36999999999999</c:v>
                </c:pt>
              </c:numCache>
            </c:numRef>
          </c:val>
        </c:ser>
        <c:dLbls>
          <c:showVal val="1"/>
        </c:dLbls>
        <c:gapWidth val="219"/>
        <c:overlap val="-27"/>
        <c:axId val="186948224"/>
        <c:axId val="186962304"/>
      </c:barChart>
      <c:catAx>
        <c:axId val="186948224"/>
        <c:scaling>
          <c:orientation val="minMax"/>
        </c:scaling>
        <c:axPos val="b"/>
        <c:numFmt formatCode="General" sourceLinked="1"/>
        <c:majorTickMark val="none"/>
        <c:tickLblPos val="nextTo"/>
        <c:spPr>
          <a:noFill/>
          <a:ln w="9519"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6962304"/>
        <c:crosses val="autoZero"/>
        <c:auto val="1"/>
        <c:lblAlgn val="ctr"/>
        <c:lblOffset val="100"/>
      </c:catAx>
      <c:valAx>
        <c:axId val="186962304"/>
        <c:scaling>
          <c:orientation val="minMax"/>
        </c:scaling>
        <c:axPos val="l"/>
        <c:majorGridlines>
          <c:spPr>
            <a:ln w="9519" cap="flat" cmpd="sng" algn="ctr">
              <a:solidFill>
                <a:schemeClr val="tx1">
                  <a:lumMod val="15000"/>
                  <a:lumOff val="85000"/>
                </a:schemeClr>
              </a:solidFill>
              <a:prstDash val="solid"/>
              <a:round/>
            </a:ln>
            <a:effectLst/>
          </c:spPr>
        </c:majorGridlines>
        <c:numFmt formatCode="General" sourceLinked="1"/>
        <c:majorTickMark val="none"/>
        <c:tickLblPos val="nextTo"/>
        <c:spPr>
          <a:ln w="9519"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6948224"/>
        <c:crosses val="autoZero"/>
        <c:crossBetween val="between"/>
      </c:valAx>
      <c:spPr>
        <a:noFill/>
        <a:ln w="25383">
          <a:noFill/>
        </a:ln>
      </c:spPr>
    </c:plotArea>
    <c:plotVisOnly val="1"/>
    <c:dispBlanksAs val="gap"/>
  </c:chart>
  <c:spPr>
    <a:solidFill>
      <a:schemeClr val="bg1"/>
    </a:solidFill>
    <a:ln w="9519"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一般公共预算财政拨款支出预算变动情况</a:t>
            </a:r>
          </a:p>
        </c:rich>
      </c:tx>
      <c:spPr>
        <a:noFill/>
        <a:ln w="25409">
          <a:noFill/>
        </a:ln>
      </c:spPr>
    </c:title>
    <c:plotArea>
      <c:layout/>
      <c:barChart>
        <c:barDir val="col"/>
        <c:grouping val="clustered"/>
        <c:ser>
          <c:idx val="0"/>
          <c:order val="0"/>
          <c:tx>
            <c:strRef>
              <c:f>Sheet1!$B$1</c:f>
              <c:strCache>
                <c:ptCount val="1"/>
                <c:pt idx="0">
                  <c:v>系列 1</c:v>
                </c:pt>
              </c:strCache>
            </c:strRef>
          </c:tx>
          <c:spPr>
            <a:solidFill>
              <a:srgbClr val="4F81BD"/>
            </a:solidFill>
            <a:ln w="25409">
              <a:noFill/>
            </a:ln>
          </c:spPr>
          <c:dLbls>
            <c:dLbl>
              <c:idx val="0"/>
              <c:tx>
                <c:rich>
                  <a:bodyPr/>
                  <a:lstStyle/>
                  <a:p>
                    <a:r>
                      <a:rPr altLang="en-US"/>
                      <a:t>95.4</a:t>
                    </a:r>
                    <a:r>
                      <a:rPr lang="zh-CN" altLang="en-US"/>
                      <a:t>万元</a:t>
                    </a:r>
                    <a:endParaRPr altLang="en-US"/>
                  </a:p>
                </c:rich>
              </c:tx>
              <c:dLblPos val="outEnd"/>
              <c:showVal val="1"/>
              <c:extLst>
                <c:ext xmlns:c15="http://schemas.microsoft.com/office/drawing/2012/chart" uri="{CE6537A1-D6FC-4f65-9D91-7224C49458BB}"/>
              </c:extLst>
            </c:dLbl>
            <c:dLbl>
              <c:idx val="1"/>
              <c:tx>
                <c:rich>
                  <a:bodyPr/>
                  <a:lstStyle/>
                  <a:p>
                    <a:r>
                      <a:rPr altLang="en-US"/>
                      <a:t>115.37</a:t>
                    </a:r>
                    <a:r>
                      <a:rPr lang="zh-CN" altLang="en-US"/>
                      <a:t>万元</a:t>
                    </a:r>
                    <a:endParaRPr altLang="en-US"/>
                  </a:p>
                </c:rich>
              </c:tx>
              <c:dLblPos val="outEnd"/>
              <c:showVal val="1"/>
              <c:extLst>
                <c:ext xmlns:c15="http://schemas.microsoft.com/office/drawing/2012/chart" uri="{CE6537A1-D6FC-4f65-9D91-7224C49458BB}"/>
              </c:extLst>
            </c:dLbl>
            <c:spPr>
              <a:noFill/>
              <a:ln w="2540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Sheet1!$A$2:$A$3</c:f>
              <c:strCache>
                <c:ptCount val="2"/>
                <c:pt idx="0">
                  <c:v>2021年</c:v>
                </c:pt>
                <c:pt idx="1">
                  <c:v>2022年</c:v>
                </c:pt>
              </c:strCache>
            </c:strRef>
          </c:cat>
          <c:val>
            <c:numRef>
              <c:f>Sheet1!$B$2:$B$3</c:f>
              <c:numCache>
                <c:formatCode>General</c:formatCode>
                <c:ptCount val="2"/>
                <c:pt idx="0">
                  <c:v>95.4</c:v>
                </c:pt>
                <c:pt idx="1">
                  <c:v>115.36999999999999</c:v>
                </c:pt>
              </c:numCache>
            </c:numRef>
          </c:val>
        </c:ser>
        <c:dLbls>
          <c:showVal val="1"/>
        </c:dLbls>
        <c:gapWidth val="219"/>
        <c:overlap val="-27"/>
        <c:axId val="186969472"/>
        <c:axId val="186635392"/>
      </c:barChart>
      <c:catAx>
        <c:axId val="186969472"/>
        <c:scaling>
          <c:orientation val="minMax"/>
        </c:scaling>
        <c:axPos val="b"/>
        <c:numFmt formatCode="General" sourceLinked="1"/>
        <c:majorTickMark val="none"/>
        <c:tickLblPos val="nextTo"/>
        <c:spPr>
          <a:noFill/>
          <a:ln w="9529"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6635392"/>
        <c:crosses val="autoZero"/>
        <c:auto val="1"/>
        <c:lblAlgn val="ctr"/>
        <c:lblOffset val="100"/>
      </c:catAx>
      <c:valAx>
        <c:axId val="186635392"/>
        <c:scaling>
          <c:orientation val="minMax"/>
        </c:scaling>
        <c:axPos val="l"/>
        <c:majorGridlines>
          <c:spPr>
            <a:ln w="9529" cap="flat" cmpd="sng" algn="ctr">
              <a:solidFill>
                <a:schemeClr val="tx1">
                  <a:lumMod val="15000"/>
                  <a:lumOff val="85000"/>
                </a:schemeClr>
              </a:solidFill>
              <a:prstDash val="solid"/>
              <a:round/>
            </a:ln>
            <a:effectLst/>
          </c:spPr>
        </c:majorGridlines>
        <c:numFmt formatCode="General" sourceLinked="1"/>
        <c:majorTickMark val="none"/>
        <c:tickLblPos val="nextTo"/>
        <c:spPr>
          <a:ln w="9529"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6969472"/>
        <c:crosses val="autoZero"/>
        <c:crossBetween val="between"/>
      </c:valAx>
      <c:spPr>
        <a:noFill/>
        <a:ln w="25409">
          <a:noFill/>
        </a:ln>
      </c:spPr>
    </c:plotArea>
    <c:plotVisOnly val="1"/>
    <c:dispBlanksAs val="gap"/>
  </c:chart>
  <c:spPr>
    <a:solidFill>
      <a:schemeClr val="bg1"/>
    </a:solidFill>
    <a:ln w="9529"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spPr>
        <a:noFill/>
        <a:ln w="25405">
          <a:noFill/>
        </a:ln>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一般公共预算财政拨款支出预算结构
</c:v>
                </c:pt>
              </c:strCache>
            </c:strRef>
          </c:tx>
          <c:dPt>
            <c:idx val="0"/>
            <c:spPr>
              <a:solidFill>
                <a:srgbClr val="4F81BD"/>
              </a:solidFill>
              <a:ln w="12703">
                <a:solidFill>
                  <a:srgbClr val="FFFFFF"/>
                </a:solidFill>
                <a:prstDash val="solid"/>
              </a:ln>
            </c:spPr>
          </c:dPt>
          <c:dPt>
            <c:idx val="1"/>
            <c:spPr>
              <a:solidFill>
                <a:srgbClr val="C0504D"/>
              </a:solidFill>
              <a:ln w="12703">
                <a:solidFill>
                  <a:srgbClr val="FFFFFF"/>
                </a:solidFill>
                <a:prstDash val="solid"/>
              </a:ln>
            </c:spPr>
          </c:dPt>
          <c:dPt>
            <c:idx val="2"/>
            <c:spPr>
              <a:solidFill>
                <a:srgbClr val="9BBB59"/>
              </a:solidFill>
              <a:ln w="12703">
                <a:solidFill>
                  <a:srgbClr val="FFFFFF"/>
                </a:solidFill>
                <a:prstDash val="solid"/>
              </a:ln>
            </c:spPr>
          </c:dPt>
          <c:dPt>
            <c:idx val="3"/>
            <c:spPr>
              <a:solidFill>
                <a:srgbClr val="8064A2"/>
              </a:solidFill>
              <a:ln w="12703">
                <a:solidFill>
                  <a:srgbClr val="FFFFFF"/>
                </a:solidFill>
                <a:prstDash val="solid"/>
              </a:ln>
            </c:spPr>
          </c:dPt>
          <c:dLbls>
            <c:dLbl>
              <c:idx val="0"/>
              <c:tx>
                <c:rich>
                  <a:bodyPr/>
                  <a:lstStyle/>
                  <a:p>
                    <a:r>
                      <a:rPr lang="en-US"/>
                      <a:t>87.88</a:t>
                    </a:r>
                    <a:r>
                      <a:rPr lang="en-US" altLang="zh-CN"/>
                      <a:t>%</a:t>
                    </a:r>
                  </a:p>
                </c:rich>
              </c:tx>
              <c:dLblPos val="bestFit"/>
              <c:showVal val="1"/>
              <c:extLst>
                <c:ext xmlns:c15="http://schemas.microsoft.com/office/drawing/2012/chart" uri="{CE6537A1-D6FC-4f65-9D91-7224C49458BB}"/>
              </c:extLst>
            </c:dLbl>
            <c:dLbl>
              <c:idx val="1"/>
              <c:tx>
                <c:rich>
                  <a:bodyPr/>
                  <a:lstStyle/>
                  <a:p>
                    <a:r>
                      <a:rPr lang="en-US"/>
                      <a:t>5.48</a:t>
                    </a:r>
                    <a:r>
                      <a:rPr lang="en-US" altLang="zh-CN"/>
                      <a:t>%</a:t>
                    </a:r>
                  </a:p>
                </c:rich>
              </c:tx>
              <c:dLblPos val="bestFit"/>
              <c:showVal val="1"/>
              <c:extLst>
                <c:ext xmlns:c15="http://schemas.microsoft.com/office/drawing/2012/chart" uri="{CE6537A1-D6FC-4f65-9D91-7224C49458BB}"/>
              </c:extLst>
            </c:dLbl>
            <c:dLbl>
              <c:idx val="2"/>
              <c:tx>
                <c:rich>
                  <a:bodyPr/>
                  <a:lstStyle/>
                  <a:p>
                    <a:r>
                      <a:rPr lang="en-US"/>
                      <a:t>2.77</a:t>
                    </a:r>
                    <a:r>
                      <a:rPr lang="en-US" altLang="zh-CN"/>
                      <a:t>%</a:t>
                    </a:r>
                  </a:p>
                </c:rich>
              </c:tx>
              <c:dLblPos val="bestFit"/>
              <c:showVal val="1"/>
              <c:extLst>
                <c:ext xmlns:c15="http://schemas.microsoft.com/office/drawing/2012/chart" uri="{CE6537A1-D6FC-4f65-9D91-7224C49458BB}"/>
              </c:extLst>
            </c:dLbl>
            <c:dLbl>
              <c:idx val="3"/>
              <c:tx>
                <c:rich>
                  <a:bodyPr/>
                  <a:lstStyle/>
                  <a:p>
                    <a:r>
                      <a:rPr lang="en-US"/>
                      <a:t>3.87</a:t>
                    </a:r>
                    <a:r>
                      <a:rPr lang="en-US" altLang="zh-CN"/>
                      <a:t>%</a:t>
                    </a:r>
                  </a:p>
                </c:rich>
              </c:tx>
              <c:dLblPos val="bestFit"/>
              <c:showVal val="1"/>
              <c:extLst>
                <c:ext xmlns:c15="http://schemas.microsoft.com/office/drawing/2012/chart" uri="{CE6537A1-D6FC-4f65-9D91-7224C49458BB}"/>
              </c:extLst>
            </c:dLbl>
            <c:spPr>
              <a:noFill/>
              <a:ln w="25405">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87.88</c:v>
                </c:pt>
                <c:pt idx="1">
                  <c:v>5.48</c:v>
                </c:pt>
                <c:pt idx="2">
                  <c:v>2.77</c:v>
                </c:pt>
                <c:pt idx="3">
                  <c:v>3.8699999999999997</c:v>
                </c:pt>
              </c:numCache>
            </c:numRef>
          </c:val>
        </c:ser>
        <c:dLbls>
          <c:showVal val="1"/>
        </c:dLbls>
        <c:firstSliceAng val="0"/>
      </c:pieChart>
      <c:spPr>
        <a:noFill/>
        <a:ln w="25405">
          <a:noFill/>
        </a:ln>
      </c:spPr>
    </c:plotArea>
    <c:legend>
      <c:legendPos val="b"/>
      <c:spPr>
        <a:noFill/>
        <a:ln w="25405">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7"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spPr>
        <a:noFill/>
        <a:ln w="25389">
          <a:noFill/>
        </a:ln>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“三公”经费财政拨款支出结构图
</c:v>
                </c:pt>
              </c:strCache>
            </c:strRef>
          </c:tx>
          <c:dPt>
            <c:idx val="0"/>
            <c:spPr>
              <a:solidFill>
                <a:srgbClr val="4F81BD"/>
              </a:solidFill>
              <a:ln w="12695">
                <a:solidFill>
                  <a:srgbClr val="FFFFFF"/>
                </a:solidFill>
                <a:prstDash val="solid"/>
              </a:ln>
            </c:spPr>
          </c:dPt>
          <c:dPt>
            <c:idx val="1"/>
            <c:spPr>
              <a:solidFill>
                <a:srgbClr val="C0504D"/>
              </a:solidFill>
              <a:ln w="12695">
                <a:solidFill>
                  <a:srgbClr val="FFFFFF"/>
                </a:solidFill>
                <a:prstDash val="solid"/>
              </a:ln>
            </c:spPr>
          </c:dPt>
          <c:dPt>
            <c:idx val="2"/>
            <c:spPr>
              <a:solidFill>
                <a:srgbClr val="9BBB59"/>
              </a:solidFill>
              <a:ln w="12695">
                <a:solidFill>
                  <a:srgbClr val="FFFFFF"/>
                </a:solidFill>
                <a:prstDash val="solid"/>
              </a:ln>
            </c:spPr>
          </c:dPt>
          <c:dLbls>
            <c:dLbl>
              <c:idx val="1"/>
              <c:tx>
                <c:rich>
                  <a:bodyPr/>
                  <a:lstStyle/>
                  <a:p>
                    <a:r>
                      <a:rPr altLang="en-US"/>
                      <a:t>0.1</a:t>
                    </a:r>
                    <a:r>
                      <a:rPr lang="zh-CN" altLang="en-US"/>
                      <a:t>万元</a:t>
                    </a:r>
                    <a:endParaRPr altLang="en-US"/>
                  </a:p>
                </c:rich>
              </c:tx>
              <c:dLblPos val="bestFit"/>
              <c:showVal val="1"/>
              <c:extLst>
                <c:ext xmlns:c15="http://schemas.microsoft.com/office/drawing/2012/chart" uri="{CE6537A1-D6FC-4f65-9D91-7224C49458BB}"/>
              </c:extLst>
            </c:dLbl>
            <c:spPr>
              <a:noFill/>
              <a:ln w="25389">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Sheet1!$A$2:$A$4</c:f>
              <c:strCache>
                <c:ptCount val="3"/>
                <c:pt idx="0">
                  <c:v>因公出国（境）经费</c:v>
                </c:pt>
                <c:pt idx="1">
                  <c:v>公务接待费</c:v>
                </c:pt>
                <c:pt idx="2">
                  <c:v>公务用车购置及运行维护费</c:v>
                </c:pt>
              </c:strCache>
            </c:strRef>
          </c:cat>
          <c:val>
            <c:numRef>
              <c:f>Sheet1!$B$2:$B$4</c:f>
              <c:numCache>
                <c:formatCode>General</c:formatCode>
                <c:ptCount val="3"/>
                <c:pt idx="0">
                  <c:v>0</c:v>
                </c:pt>
                <c:pt idx="1">
                  <c:v>0.1</c:v>
                </c:pt>
                <c:pt idx="2">
                  <c:v>0</c:v>
                </c:pt>
              </c:numCache>
            </c:numRef>
          </c:val>
        </c:ser>
        <c:dLbls>
          <c:showVal val="1"/>
        </c:dLbls>
        <c:firstSliceAng val="0"/>
      </c:pieChart>
      <c:spPr>
        <a:noFill/>
        <a:ln w="25389">
          <a:noFill/>
        </a:ln>
      </c:spPr>
    </c:plotArea>
    <c:legend>
      <c:legendPos val="b"/>
      <c:spPr>
        <a:noFill/>
        <a:ln w="25389">
          <a:noFill/>
        </a:ln>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1" cap="flat" cmpd="sng" algn="ctr">
      <a:solidFill>
        <a:schemeClr val="tx1">
          <a:lumMod val="15000"/>
          <a:lumOff val="85000"/>
        </a:schemeClr>
      </a:solidFill>
      <a:prstDash val="solid"/>
      <a:round/>
    </a:ln>
    <a:effectLst/>
  </c:spPr>
  <c:txPr>
    <a:bodyPr/>
    <a:lstStyle/>
    <a:p>
      <a:pPr>
        <a:defRPr lang="zh-CN"/>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16</Pages>
  <Words>968</Words>
  <Characters>5521</Characters>
  <Application>Microsoft Office Word</Application>
  <DocSecurity>0</DocSecurity>
  <Lines>46</Lines>
  <Paragraphs>12</Paragraphs>
  <ScaleCrop>false</ScaleCrop>
  <Company>Microsoft</Company>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自贡市自流井区档案馆2022年部门预算编制的说明</dc:title>
  <dc:creator>Microsoft</dc:creator>
  <cp:lastModifiedBy>Microsoft</cp:lastModifiedBy>
  <cp:revision>9</cp:revision>
  <dcterms:created xsi:type="dcterms:W3CDTF">2021-12-15T08:40:00Z</dcterms:created>
  <dcterms:modified xsi:type="dcterms:W3CDTF">2022-04-22T09:06:00Z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