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自贡市自流井区行政审批局（本级）</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rPr>
        <w:t>2020年度部门决算编制的说明</w:t>
      </w:r>
    </w:p>
    <w:p>
      <w:pPr>
        <w:widowControl/>
        <w:jc w:val="center"/>
        <w:rPr>
          <w:rFonts w:ascii="仿宋_GB2312"/>
          <w:sz w:val="28"/>
          <w:szCs w:val="28"/>
        </w:rPr>
      </w:pPr>
    </w:p>
    <w:p>
      <w:pPr>
        <w:widowControl/>
        <w:jc w:val="center"/>
        <w:rPr>
          <w:rFonts w:ascii="黑体" w:hAnsi="黑体" w:eastAsia="黑体"/>
          <w:color w:val="000000"/>
          <w:sz w:val="48"/>
          <w:szCs w:val="48"/>
        </w:rPr>
      </w:pPr>
      <w:r>
        <w:rPr>
          <w:rFonts w:hint="eastAsia" w:ascii="黑体" w:hAnsi="黑体" w:eastAsia="黑体"/>
          <w:color w:val="000000"/>
          <w:sz w:val="44"/>
          <w:szCs w:val="44"/>
        </w:rPr>
        <w:t>目 录</w:t>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fldChar w:fldCharType="begin"/>
      </w:r>
      <w:r>
        <w:instrText xml:space="preserve"> HYPERLINK \l "_Toc10567" </w:instrText>
      </w:r>
      <w: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_Toc10567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"_Toc21498" </w:instrText>
      </w:r>
      <w: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_Toc21498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"_Toc6092" </w:instrText>
      </w:r>
      <w: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7</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"_Toc23109" </w:instrText>
      </w:r>
      <w: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8</w:t>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"_Toc7163" </w:instrText>
      </w:r>
      <w: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"_Toc25258" </w:instrText>
      </w:r>
      <w: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8</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"_Toc13725" </w:instrText>
      </w:r>
      <w: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"_Toc10354" </w:instrText>
      </w:r>
      <w: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"_Toc10967" </w:instrText>
      </w:r>
      <w: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"_Toc31021" </w:instrText>
      </w:r>
      <w: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13</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"_Toc6926" </w:instrText>
      </w:r>
      <w: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14</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"_Toc9843" </w:instrText>
      </w:r>
      <w: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_Toc9843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"_Toc10775" </w:instrText>
      </w:r>
      <w: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_Toc10775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"_Toc738" </w:instrText>
      </w:r>
      <w: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"_Toc3536" </w:instrText>
      </w:r>
      <w: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20</w:t>
      </w:r>
      <w:r>
        <w:rPr>
          <w:rFonts w:hint="eastAsia" w:ascii="仿宋_GB2312" w:hAnsi="仿宋_GB2312" w:eastAsia="仿宋_GB2312" w:cs="仿宋_GB2312"/>
          <w:b w:val="0"/>
          <w:bCs w:val="0"/>
          <w:i w:val="0"/>
          <w:i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"_Toc11207" </w:instrText>
      </w:r>
      <w: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t>23</w:t>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"_Toc22930" </w:instrText>
      </w:r>
      <w: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23</w:t>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"_Toc11602" </w:instrText>
      </w:r>
      <w: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28</w:t>
      </w:r>
      <w:r>
        <w:rPr>
          <w:rFonts w:hint="eastAsia" w:ascii="仿宋_GB2312" w:hAnsi="仿宋_GB2312" w:eastAsia="仿宋_GB2312" w:cs="仿宋_GB2312"/>
          <w:b w:val="0"/>
          <w:bCs w:val="0"/>
          <w:sz w:val="28"/>
          <w:szCs w:val="28"/>
        </w:rPr>
        <w:fldChar w:fldCharType="end"/>
      </w:r>
    </w:p>
    <w:p>
      <w:pPr>
        <w:pStyle w:val="9"/>
        <w:tabs>
          <w:tab w:val="right" w:leader="dot" w:pos="8306"/>
        </w:tabs>
        <w:spacing w:line="560" w:lineRule="exact"/>
        <w:rPr>
          <w:rFonts w:ascii="仿宋_GB2312" w:hAnsi="仿宋_GB2312" w:eastAsia="仿宋_GB2312" w:cs="仿宋_GB2312"/>
          <w:b w:val="0"/>
          <w:bCs w:val="0"/>
          <w:i w:val="0"/>
          <w:iCs w:val="0"/>
          <w:sz w:val="28"/>
          <w:szCs w:val="28"/>
        </w:rPr>
      </w:pPr>
      <w:r>
        <w:fldChar w:fldCharType="begin"/>
      </w:r>
      <w:r>
        <w:instrText xml:space="preserve"> HYPERLINK \l "_Toc32283" </w:instrText>
      </w:r>
      <w: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_Toc32283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"_Toc15699" </w:instrText>
      </w:r>
      <w: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t>3</w:t>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fldChar w:fldCharType="end"/>
      </w:r>
      <w:bookmarkStart w:id="93" w:name="_GoBack"/>
      <w:bookmarkEnd w:id="93"/>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"_Toc27106" </w:instrText>
      </w:r>
      <w: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_Toc27106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"_Toc26817" </w:instrText>
      </w:r>
      <w: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_Toc26817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"_Toc21747" </w:instrText>
      </w:r>
      <w: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_Toc21747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"_Toc12959" </w:instrText>
      </w:r>
      <w: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_Toc12959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"_Toc23749" </w:instrText>
      </w:r>
      <w: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_Toc23749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"_Toc22275" </w:instrText>
      </w:r>
      <w: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_Toc22275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"_Toc30634" </w:instrText>
      </w:r>
      <w: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_Toc30634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"_Toc15170" </w:instrText>
      </w:r>
      <w: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_Toc15170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"_Toc17603" </w:instrText>
      </w:r>
      <w: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_Toc17603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"_Toc7313" </w:instrText>
      </w:r>
      <w: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_Toc7313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"_Toc9382" </w:instrText>
      </w:r>
      <w: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_Toc9382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"_Toc22683" </w:instrText>
      </w:r>
      <w: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_Toc22683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10"/>
        <w:tabs>
          <w:tab w:val="right" w:leader="dot" w:pos="8306"/>
        </w:tabs>
        <w:spacing w:line="560" w:lineRule="exact"/>
        <w:rPr>
          <w:rFonts w:ascii="仿宋_GB2312" w:hAnsi="仿宋_GB2312" w:eastAsia="仿宋_GB2312" w:cs="仿宋_GB2312"/>
          <w:b w:val="0"/>
          <w:bCs w:val="0"/>
          <w:sz w:val="28"/>
          <w:szCs w:val="28"/>
        </w:rPr>
      </w:pPr>
      <w:r>
        <w:fldChar w:fldCharType="begin"/>
      </w:r>
      <w:r>
        <w:instrText xml:space="preserve"> HYPERLINK \l "_Toc10257" </w:instrText>
      </w:r>
      <w: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_Toc10257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spacing w:line="560" w:lineRule="exact"/>
        <w:ind w:firstLine="2100" w:firstLineChars="750"/>
        <w:rPr>
          <w:rFonts w:ascii="仿宋_GB2312" w:hAnsi="仿宋"/>
          <w:color w:val="FF0000"/>
          <w:szCs w:val="32"/>
        </w:rPr>
      </w:pPr>
      <w:r>
        <w:rPr>
          <w:rFonts w:hint="eastAsia" w:ascii="仿宋_GB2312" w:hAnsi="仿宋_GB2312" w:cs="仿宋_GB2312"/>
          <w:caps/>
          <w:sz w:val="28"/>
          <w:szCs w:val="28"/>
        </w:rPr>
        <w:fldChar w:fldCharType="end"/>
      </w:r>
    </w:p>
    <w:p>
      <w:pPr>
        <w:jc w:val="center"/>
        <w:rPr>
          <w:rStyle w:val="16"/>
          <w:b w:val="0"/>
          <w:bCs w:val="0"/>
          <w:kern w:val="2"/>
          <w:sz w:val="32"/>
          <w:szCs w:val="24"/>
        </w:rPr>
      </w:pPr>
      <w:r>
        <w:br w:type="page"/>
      </w:r>
      <w:bookmarkStart w:id="0" w:name="_Toc10567"/>
      <w:r>
        <w:rPr>
          <w:rStyle w:val="16"/>
          <w:rFonts w:hint="eastAsia"/>
        </w:rPr>
        <w:t>第一部分</w:t>
      </w:r>
      <w:r>
        <w:rPr>
          <w:rFonts w:ascii="黑体" w:hAnsi="黑体" w:eastAsia="黑体"/>
        </w:rPr>
        <w:t xml:space="preserve"> </w:t>
      </w:r>
      <w:r>
        <w:rPr>
          <w:rStyle w:val="16"/>
          <w:rFonts w:hint="eastAsia" w:ascii="黑体" w:hAnsi="黑体" w:eastAsia="黑体"/>
        </w:rPr>
        <w:t>部门概况</w:t>
      </w:r>
      <w:bookmarkEnd w:id="0"/>
    </w:p>
    <w:p>
      <w:pPr>
        <w:widowControl/>
        <w:jc w:val="left"/>
        <w:rPr>
          <w:rFonts w:ascii="黑体" w:eastAsia="黑体"/>
          <w:color w:val="000000"/>
          <w:szCs w:val="32"/>
        </w:rPr>
      </w:pPr>
    </w:p>
    <w:p>
      <w:pPr>
        <w:pStyle w:val="3"/>
        <w:rPr>
          <w:rStyle w:val="17"/>
          <w:rFonts w:ascii="仿宋" w:hAnsi="仿宋" w:eastAsia="仿宋"/>
          <w:b w:val="0"/>
          <w:bCs w:val="0"/>
        </w:rPr>
      </w:pPr>
      <w:bookmarkStart w:id="1" w:name="_Toc21498"/>
      <w:bookmarkStart w:id="2" w:name="_Toc15396600"/>
      <w:bookmarkStart w:id="3" w:name="_Toc15377197"/>
      <w:r>
        <w:rPr>
          <w:rFonts w:hint="eastAsia" w:ascii="黑体" w:hAnsi="黑体" w:eastAsia="黑体"/>
          <w:b w:val="0"/>
          <w:color w:val="000000"/>
        </w:rPr>
        <w:t>一、基</w:t>
      </w:r>
      <w:r>
        <w:rPr>
          <w:rStyle w:val="17"/>
          <w:rFonts w:hint="eastAsia" w:ascii="黑体" w:hAnsi="黑体" w:eastAsia="黑体"/>
          <w:b w:val="0"/>
          <w:bCs w:val="0"/>
        </w:rPr>
        <w:t>本职能及主要工作</w:t>
      </w:r>
      <w:bookmarkEnd w:id="1"/>
      <w:bookmarkEnd w:id="2"/>
      <w:bookmarkEnd w:id="3"/>
    </w:p>
    <w:p>
      <w:pPr>
        <w:pStyle w:val="4"/>
        <w:adjustRightInd w:val="0"/>
        <w:snapToGrid w:val="0"/>
        <w:spacing w:before="93" w:line="600" w:lineRule="exact"/>
        <w:ind w:firstLine="672" w:firstLineChars="210"/>
        <w:outlineLvl w:val="2"/>
        <w:rPr>
          <w:rFonts w:ascii="黑体" w:hAnsi="黑体" w:eastAsia="黑体"/>
          <w:bCs/>
          <w:color w:val="000000"/>
          <w:kern w:val="2"/>
          <w:sz w:val="32"/>
          <w:szCs w:val="32"/>
        </w:rPr>
      </w:pPr>
      <w:bookmarkStart w:id="4" w:name="_Toc15378445"/>
      <w:bookmarkStart w:id="5" w:name="_Toc15377198"/>
      <w:r>
        <w:rPr>
          <w:rFonts w:hint="eastAsia" w:ascii="黑体" w:hAnsi="黑体" w:eastAsia="黑体"/>
          <w:bCs/>
          <w:color w:val="000000"/>
          <w:kern w:val="2"/>
          <w:sz w:val="32"/>
          <w:szCs w:val="32"/>
        </w:rPr>
        <w:t>（一）主要职能。</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1、按照先易后难、分步实施的原则，承担全区行政许可事项的审批工作，负责全区行政审批制度改革相关工作。</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2、推进“三集中、三到位”，会同有关部门清理规范公共服务事项，组织、协调、监督、管理进驻部门（单位）公共服务事项的办理工作，优化办事流程。</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3、对全区社会中介组织进行协调、服务、监督、管理。指导社会中介组织和行业协会的发展建设。</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4、负责对公共资源交易及政务服务事项的投诉举报办理工作的，配合有关部门查处违法、违规、违纪问题。</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5、负责一体化政务服务平台建设、维护、指导、考核工作，负责“</w:t>
      </w:r>
      <w:r>
        <w:rPr>
          <w:rFonts w:ascii="仿宋" w:hAnsi="仿宋" w:eastAsia="仿宋"/>
          <w:bCs/>
          <w:color w:val="000000"/>
          <w:kern w:val="0"/>
          <w:szCs w:val="32"/>
        </w:rPr>
        <w:t>12345</w:t>
      </w:r>
      <w:r>
        <w:rPr>
          <w:rFonts w:hint="eastAsia" w:ascii="仿宋" w:hAnsi="仿宋" w:eastAsia="仿宋"/>
          <w:bCs/>
          <w:color w:val="000000"/>
          <w:kern w:val="0"/>
          <w:szCs w:val="32"/>
        </w:rPr>
        <w:t>”政务服务热线的管理和评估考核工作。</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6、负责对进驻政务服务大厅的部门（单位）的工作实施绩效考核，对部门（单位）派驻政务服务大厅的工作人员实施日常管理和考核。</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7、指导区政府采购中心会同区级有关部门拟订政府采购和政府投资项目招标投标等运行管理制度。</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8、负责区政务服务大厅、乡镇便民服务中心和村（社区）便民服务室的视频监控，指导乡镇（街道）便民服务中心和村（社区）便民服务室建设和运行管理，实施绩效考核。</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9、负责组织、协调、开展惠民帮扶工作。</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10、负责职责范围内的安全生产和职业健康、生态环境保护、审批服务便民化等工作。</w:t>
      </w:r>
    </w:p>
    <w:p>
      <w:pPr>
        <w:pStyle w:val="4"/>
        <w:adjustRightInd w:val="0"/>
        <w:snapToGrid w:val="0"/>
        <w:spacing w:before="93" w:line="600" w:lineRule="exact"/>
        <w:ind w:firstLine="672" w:firstLineChars="210"/>
        <w:outlineLvl w:val="2"/>
        <w:rPr>
          <w:rFonts w:ascii="仿宋" w:hAnsi="仿宋" w:eastAsia="仿宋"/>
          <w:bCs/>
          <w:color w:val="000000"/>
          <w:sz w:val="32"/>
          <w:szCs w:val="32"/>
        </w:rPr>
      </w:pPr>
      <w:r>
        <w:rPr>
          <w:rFonts w:hint="eastAsia" w:ascii="仿宋" w:hAnsi="仿宋" w:eastAsia="仿宋"/>
          <w:bCs/>
          <w:color w:val="000000"/>
          <w:sz w:val="32"/>
          <w:szCs w:val="32"/>
        </w:rPr>
        <w:t>11、完成区委、区政府交办的其他任务。</w:t>
      </w:r>
      <w:bookmarkEnd w:id="4"/>
      <w:bookmarkEnd w:id="5"/>
    </w:p>
    <w:p>
      <w:pPr>
        <w:pStyle w:val="4"/>
        <w:adjustRightInd w:val="0"/>
        <w:snapToGrid w:val="0"/>
        <w:spacing w:before="93" w:line="600" w:lineRule="exact"/>
        <w:ind w:firstLine="672" w:firstLineChars="210"/>
        <w:outlineLvl w:val="2"/>
        <w:rPr>
          <w:rFonts w:ascii="黑体" w:hAnsi="黑体" w:eastAsia="黑体"/>
          <w:bCs/>
          <w:color w:val="000000"/>
          <w:kern w:val="2"/>
          <w:sz w:val="32"/>
          <w:szCs w:val="32"/>
        </w:rPr>
      </w:pPr>
      <w:bookmarkStart w:id="6" w:name="_Toc15377199"/>
      <w:bookmarkStart w:id="7" w:name="_Toc15378446"/>
      <w:r>
        <w:rPr>
          <w:rFonts w:hint="eastAsia" w:ascii="黑体" w:hAnsi="黑体" w:eastAsia="黑体"/>
          <w:bCs/>
          <w:color w:val="000000"/>
          <w:kern w:val="2"/>
          <w:sz w:val="32"/>
          <w:szCs w:val="32"/>
        </w:rPr>
        <w:t>（二）</w:t>
      </w:r>
      <w:r>
        <w:rPr>
          <w:rFonts w:ascii="黑体" w:hAnsi="黑体" w:eastAsia="黑体"/>
          <w:bCs/>
          <w:color w:val="000000"/>
          <w:kern w:val="2"/>
          <w:sz w:val="32"/>
          <w:szCs w:val="32"/>
        </w:rPr>
        <w:t>2020</w:t>
      </w:r>
      <w:r>
        <w:rPr>
          <w:rFonts w:hint="eastAsia" w:ascii="黑体" w:hAnsi="黑体" w:eastAsia="黑体"/>
          <w:bCs/>
          <w:color w:val="000000"/>
          <w:kern w:val="2"/>
          <w:sz w:val="32"/>
          <w:szCs w:val="32"/>
        </w:rPr>
        <w:t>年重点工作完成情况。</w:t>
      </w:r>
      <w:bookmarkEnd w:id="6"/>
      <w:bookmarkEnd w:id="7"/>
    </w:p>
    <w:p>
      <w:pPr>
        <w:adjustRightInd w:val="0"/>
        <w:snapToGrid w:val="0"/>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1、“放管服改革”提质增效</w:t>
      </w:r>
    </w:p>
    <w:p>
      <w:pPr>
        <w:adjustRightInd w:val="0"/>
        <w:snapToGrid w:val="0"/>
        <w:spacing w:line="592"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一是全面完成审批事项划转。分三批次划转、承接的行政审批事项按“一枚印章管审批”规范流程实施，整合了前台窗口综合受理、后台分流审批人员配置及职责分工；推行审批要件“一份指南、一张清单、一次告知”，严格落实“清单之外无审批”。二是创新建立“审前行政指导”制度。将服务“关口”提前，落实专人“一对一”向申请人（单位）提供指导建议，对申请人（单位）所需提交的审批要件进行“预审”，避免出现申请人（单位）前期投入后与审批要求不符合、无法通过审批的情况，有效提升审批通过率。三是持续推行“一窗”受理、“一事一办”。围绕 “一门、一窗、一次、一号”工作目标，依托“政务服务网”、市场主体办理相关平台，通过即时、即刻的后台操作，实现无差别“一窗”受理；创新“菜单式”审批，结合我区实际梳理高频办理“一件事”清单，申请人（单位）仅需对照事项“菜单”进行“点餐”，“到一个窗口、交一次材料”，区行政审批局通过关联事项实行内部流转、窗口“上菜”送达审批结果，即可“办成一件事”。四是进一步优化营商环境。全面落实“企业开办一日”、自贸先行区内实施四小时办结，</w:t>
      </w:r>
      <w:r>
        <w:rPr>
          <w:rFonts w:ascii="仿宋" w:hAnsi="仿宋" w:eastAsia="仿宋"/>
          <w:b/>
          <w:bCs/>
          <w:color w:val="000000"/>
          <w:kern w:val="0"/>
        </w:rPr>
        <w:t>大力推行非要件“容缺受理”，</w:t>
      </w:r>
      <w:r>
        <w:rPr>
          <w:rFonts w:ascii="仿宋" w:hAnsi="仿宋" w:eastAsia="仿宋"/>
          <w:bCs/>
          <w:color w:val="000000"/>
          <w:kern w:val="0"/>
          <w:szCs w:val="32"/>
        </w:rPr>
        <w:t>极大节省办事时间；全力配合推进区重大项目建设，提供服务保障，工程建设项目平均审批时限压减至90个工作日，截至目前服务重大项目12件；组织开展审批服务进园区，向新入园企业送政策、送服务，打通政策落实“最后一公里”；率先通过“一窗兑现”资金池向四川金福星生物科技有限公司等五家企业兑现惠企政策补助9.96万元，成为全市唯一落实惠企政策“一窗兑现”资金池区县；推行“代办服务”、“预约服务”、“延时服务”及“不见面审批”等特色便民措施，有效延伸窗口服务和激发市场主体活力。五是开展“一站式联合踏勘”。由区行政审批局牵头，会同相关部门，统一时间，一次性进场踏勘，现场评审踏勘结果，一次性告知整改，对整改不合格的，及时退件；推行踏勘“预约服务”，避免业主“空跑、往返跑”，保证现场踏勘事项及时、准确办结。六是“审管联动”取得实效。每月向各行业主管部门推送当月审批情况，积极配合各职能部门实施监管职责，各职能部门对区行政审批局审批情况进行评价，及时反馈行业主管意见建议，强化“审”与“管”的有效互动，真正实现审批、监管无缝衔接、全程覆盖。</w:t>
      </w:r>
    </w:p>
    <w:p>
      <w:pPr>
        <w:pStyle w:val="11"/>
        <w:widowControl/>
        <w:adjustRightInd w:val="0"/>
        <w:snapToGrid w:val="0"/>
        <w:spacing w:beforeAutospacing="0" w:afterAutospacing="0" w:line="592" w:lineRule="exact"/>
        <w:ind w:firstLine="640" w:firstLineChars="200"/>
        <w:jc w:val="both"/>
        <w:rPr>
          <w:rFonts w:ascii="仿宋" w:hAnsi="仿宋" w:eastAsia="仿宋"/>
          <w:bCs/>
          <w:color w:val="000000"/>
          <w:sz w:val="32"/>
          <w:szCs w:val="32"/>
        </w:rPr>
      </w:pPr>
      <w:r>
        <w:rPr>
          <w:rFonts w:ascii="仿宋" w:hAnsi="仿宋" w:eastAsia="仿宋"/>
          <w:bCs/>
          <w:color w:val="000000"/>
          <w:sz w:val="32"/>
          <w:szCs w:val="32"/>
        </w:rPr>
        <w:t>截至11月，按“一枚印章管审批”规范流程办理各类行政审批事项6003件，完成现场勘查230次，收到锦旗6面、表扬信2封。</w:t>
      </w:r>
    </w:p>
    <w:p>
      <w:pPr>
        <w:adjustRightInd w:val="0"/>
        <w:snapToGrid w:val="0"/>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2、</w:t>
      </w:r>
      <w:r>
        <w:rPr>
          <w:rFonts w:ascii="仿宋" w:hAnsi="仿宋" w:eastAsia="仿宋"/>
          <w:bCs/>
          <w:color w:val="000000"/>
          <w:kern w:val="0"/>
          <w:szCs w:val="32"/>
        </w:rPr>
        <w:t>“互联网+政务服务”推进有力</w:t>
      </w:r>
    </w:p>
    <w:p>
      <w:pPr>
        <w:adjustRightInd w:val="0"/>
        <w:snapToGrid w:val="0"/>
        <w:spacing w:line="592" w:lineRule="exact"/>
        <w:ind w:firstLine="608"/>
        <w:rPr>
          <w:rFonts w:ascii="仿宋" w:hAnsi="仿宋" w:eastAsia="仿宋"/>
          <w:bCs/>
          <w:color w:val="000000"/>
          <w:kern w:val="0"/>
          <w:szCs w:val="32"/>
        </w:rPr>
      </w:pPr>
      <w:r>
        <w:rPr>
          <w:rFonts w:ascii="仿宋" w:hAnsi="仿宋" w:eastAsia="仿宋"/>
          <w:bCs/>
          <w:color w:val="000000"/>
          <w:kern w:val="0"/>
          <w:szCs w:val="32"/>
        </w:rPr>
        <w:t>一是强化互联网政务服务平台建设。持续推进全省一体化政务服务平台建设，指导全区各部门在新系统上完善账号实名认证、基础信息设置、各类事项清理认领等工作；探索并坚持行政权力运行平台监管“日周月季”工作模式，按照“日巡查、周统计、月分析、季通报”要求，落实专人开展日常平台监督、巡查，跟进事项录入、办结；1-11月，全区一体化政务服务平台受理办结行政许可事项、公共服务事项等共计39634件，全区“依申请服务类”事项“一次办”配置达到100%、“大厅进驻率”达到100%、提速率75.76%、网上可办率100%、全程网办率85.17%，全面完成上级下达年度目标任务。二是提升平台实操队伍业务水平。积极参加省、市一体化政务服务平台建设培训，多次组织3.0新系统功能讲解及操作远程培训，主动对接乡镇、街道便民服务中心开展“一对一”指导，为基层便民工作提供技术支持。三是落实政务服务“好差评”评议。主动对接供应商，新增评价设备升级评价软件；建立区级部门“好差评”工作运行机制，牵头做好调处、回访，注重日常巡查、监管；大力推广“线上+线下”双渠道评价模式，积极引导群众、企业开展服务评价，截至目前，累计接受群众办事评价15000余次，全区评价满意度99.9%，群众回访满意率100%。</w:t>
      </w:r>
    </w:p>
    <w:p>
      <w:pPr>
        <w:adjustRightInd w:val="0"/>
        <w:snapToGrid w:val="0"/>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3、</w:t>
      </w:r>
      <w:r>
        <w:rPr>
          <w:rFonts w:ascii="仿宋" w:hAnsi="仿宋" w:eastAsia="仿宋"/>
          <w:bCs/>
          <w:color w:val="000000"/>
          <w:kern w:val="0"/>
          <w:szCs w:val="32"/>
        </w:rPr>
        <w:t>“12345热线平台”不断优化</w:t>
      </w:r>
    </w:p>
    <w:p>
      <w:pPr>
        <w:adjustRightInd w:val="0"/>
        <w:snapToGrid w:val="0"/>
        <w:spacing w:line="592"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一是多方联动高效运转。明确专人负责“12345”热线信息处理工作，做到每件认真受理、及时办理、迅速反馈。疫情期间，抽调党员干部组建专门小组，24小时值守热线，严格落实“5分钟受理、1小时办结”时限，及时排解民难。二是强化督查提升效能。联合目标绩效办、司法局定期开展督查工作并通报办件情况，严禁拖延推诿、敷衍塞责现象发生，确保群众诉求“件件有回落、事事有回音”。</w:t>
      </w:r>
    </w:p>
    <w:p>
      <w:pPr>
        <w:overflowPunct w:val="0"/>
        <w:adjustRightInd w:val="0"/>
        <w:snapToGrid w:val="0"/>
        <w:spacing w:line="592" w:lineRule="exact"/>
        <w:textAlignment w:val="top"/>
        <w:rPr>
          <w:rFonts w:ascii="仿宋" w:hAnsi="仿宋" w:eastAsia="仿宋"/>
          <w:bCs/>
          <w:color w:val="000000"/>
          <w:kern w:val="0"/>
          <w:szCs w:val="32"/>
        </w:rPr>
      </w:pPr>
      <w:r>
        <w:rPr>
          <w:rFonts w:ascii="仿宋" w:hAnsi="仿宋" w:eastAsia="仿宋"/>
          <w:bCs/>
          <w:color w:val="000000"/>
          <w:kern w:val="0"/>
          <w:szCs w:val="32"/>
        </w:rPr>
        <w:t>截至11月，全区“12345”热线平台受理5317件，办结4993件，限时办结率99.9%，回访群众满意率88.09%。</w:t>
      </w:r>
    </w:p>
    <w:p>
      <w:pPr>
        <w:pStyle w:val="4"/>
        <w:adjustRightInd w:val="0"/>
        <w:snapToGrid w:val="0"/>
        <w:spacing w:before="93" w:line="600" w:lineRule="exact"/>
        <w:ind w:firstLine="672" w:firstLineChars="210"/>
        <w:outlineLvl w:val="2"/>
        <w:rPr>
          <w:rFonts w:ascii="黑体" w:hAnsi="黑体" w:eastAsia="黑体"/>
          <w:bCs/>
          <w:color w:val="000000"/>
          <w:kern w:val="2"/>
          <w:sz w:val="32"/>
          <w:szCs w:val="32"/>
        </w:rPr>
      </w:pPr>
      <w:bookmarkStart w:id="8" w:name="_Toc15396601"/>
      <w:bookmarkStart w:id="9" w:name="_Toc15377200"/>
      <w:bookmarkStart w:id="10" w:name="_Toc6092"/>
      <w:r>
        <w:rPr>
          <w:rFonts w:hint="eastAsia" w:ascii="黑体" w:hAnsi="黑体" w:eastAsia="黑体"/>
          <w:bCs/>
          <w:color w:val="000000"/>
          <w:kern w:val="2"/>
          <w:sz w:val="32"/>
          <w:szCs w:val="32"/>
        </w:rPr>
        <w:t>二、机构设置</w:t>
      </w:r>
      <w:bookmarkEnd w:id="8"/>
      <w:bookmarkEnd w:id="9"/>
      <w:bookmarkEnd w:id="10"/>
    </w:p>
    <w:p>
      <w:pPr>
        <w:ind w:firstLine="800" w:firstLineChars="250"/>
        <w:rPr>
          <w:rFonts w:ascii="仿宋" w:hAnsi="仿宋" w:eastAsia="仿宋"/>
          <w:bCs/>
          <w:color w:val="000000"/>
          <w:kern w:val="0"/>
          <w:szCs w:val="32"/>
        </w:rPr>
      </w:pPr>
      <w:r>
        <w:rPr>
          <w:rFonts w:hint="eastAsia" w:ascii="仿宋" w:hAnsi="仿宋" w:eastAsia="仿宋"/>
          <w:bCs/>
          <w:color w:val="000000"/>
          <w:kern w:val="0"/>
          <w:szCs w:val="32"/>
        </w:rPr>
        <w:t>自贡市自流井区行政审批局下属二级单位2个（含主管局本级），其中行政单位1个，参照公务员法管理的事业单位0个，其他事业单位1个。</w:t>
      </w:r>
    </w:p>
    <w:p>
      <w:pPr>
        <w:pStyle w:val="4"/>
        <w:adjustRightInd w:val="0"/>
        <w:snapToGrid w:val="0"/>
        <w:spacing w:before="93" w:line="600" w:lineRule="exact"/>
        <w:ind w:firstLine="672" w:firstLineChars="210"/>
        <w:rPr>
          <w:rFonts w:ascii="仿宋" w:hAnsi="仿宋" w:eastAsia="仿宋"/>
          <w:bCs/>
          <w:color w:val="000000"/>
          <w:sz w:val="32"/>
          <w:szCs w:val="32"/>
        </w:rPr>
      </w:pPr>
      <w:r>
        <w:rPr>
          <w:rFonts w:hint="eastAsia" w:ascii="仿宋" w:hAnsi="仿宋" w:eastAsia="仿宋"/>
          <w:bCs/>
          <w:color w:val="000000"/>
          <w:sz w:val="32"/>
          <w:szCs w:val="32"/>
        </w:rPr>
        <w:t>纳入自贡市自流井区行政审批局</w:t>
      </w:r>
      <w:r>
        <w:rPr>
          <w:rFonts w:ascii="仿宋" w:hAnsi="仿宋" w:eastAsia="仿宋"/>
          <w:bCs/>
          <w:color w:val="000000"/>
          <w:sz w:val="32"/>
          <w:szCs w:val="32"/>
        </w:rPr>
        <w:t>2020</w:t>
      </w:r>
      <w:r>
        <w:rPr>
          <w:rFonts w:hint="eastAsia" w:ascii="仿宋" w:hAnsi="仿宋" w:eastAsia="仿宋"/>
          <w:bCs/>
          <w:color w:val="000000"/>
          <w:sz w:val="32"/>
          <w:szCs w:val="32"/>
        </w:rPr>
        <w:t>年度部门决算编制范围的二级预算单位包括：</w:t>
      </w:r>
    </w:p>
    <w:p>
      <w:pPr>
        <w:pStyle w:val="4"/>
        <w:numPr>
          <w:ilvl w:val="0"/>
          <w:numId w:val="1"/>
        </w:numPr>
        <w:adjustRightInd w:val="0"/>
        <w:snapToGrid w:val="0"/>
        <w:spacing w:before="93" w:line="600" w:lineRule="exact"/>
        <w:outlineLvl w:val="2"/>
        <w:rPr>
          <w:rFonts w:ascii="仿宋" w:hAnsi="仿宋" w:eastAsia="仿宋"/>
          <w:bCs/>
          <w:color w:val="000000"/>
          <w:sz w:val="32"/>
          <w:szCs w:val="32"/>
        </w:rPr>
      </w:pPr>
      <w:bookmarkStart w:id="11" w:name="_Toc15378449"/>
      <w:bookmarkStart w:id="12" w:name="_Toc15377202"/>
      <w:bookmarkStart w:id="13" w:name="_Toc15377433"/>
      <w:bookmarkStart w:id="14" w:name="_Toc15306276"/>
      <w:r>
        <w:rPr>
          <w:rFonts w:hint="eastAsia" w:ascii="仿宋" w:hAnsi="仿宋" w:eastAsia="仿宋"/>
          <w:bCs/>
          <w:color w:val="000000"/>
          <w:sz w:val="32"/>
          <w:szCs w:val="32"/>
        </w:rPr>
        <w:t>自贡市自流井区行政审批局</w:t>
      </w:r>
      <w:bookmarkEnd w:id="11"/>
      <w:bookmarkEnd w:id="12"/>
      <w:bookmarkEnd w:id="13"/>
      <w:bookmarkEnd w:id="14"/>
    </w:p>
    <w:p>
      <w:pPr>
        <w:pStyle w:val="4"/>
        <w:adjustRightInd w:val="0"/>
        <w:snapToGrid w:val="0"/>
        <w:spacing w:before="93" w:line="600" w:lineRule="exact"/>
        <w:rPr>
          <w:rFonts w:ascii="仿宋" w:hAnsi="仿宋" w:eastAsia="仿宋"/>
          <w:color w:val="000000"/>
          <w:sz w:val="32"/>
          <w:szCs w:val="32"/>
        </w:rPr>
      </w:pPr>
    </w:p>
    <w:p>
      <w:pPr>
        <w:widowControl/>
        <w:jc w:val="left"/>
        <w:rPr>
          <w:rFonts w:ascii="仿宋" w:hAnsi="仿宋" w:eastAsia="仿宋"/>
          <w:color w:val="000000"/>
          <w:kern w:val="0"/>
          <w:szCs w:val="32"/>
        </w:rPr>
      </w:pPr>
      <w:r>
        <w:rPr>
          <w:rFonts w:ascii="仿宋" w:hAnsi="仿宋" w:eastAsia="仿宋"/>
          <w:color w:val="000000"/>
          <w:szCs w:val="32"/>
        </w:rPr>
        <w:br w:type="page"/>
      </w:r>
    </w:p>
    <w:p>
      <w:pPr>
        <w:pStyle w:val="2"/>
        <w:ind w:right="440"/>
        <w:jc w:val="right"/>
        <w:rPr>
          <w:rStyle w:val="16"/>
          <w:rFonts w:ascii="黑体" w:hAnsi="黑体" w:eastAsia="黑体"/>
          <w:b w:val="0"/>
          <w:bCs w:val="0"/>
        </w:rPr>
      </w:pPr>
      <w:bookmarkStart w:id="15" w:name="_Toc15396602"/>
      <w:bookmarkStart w:id="16" w:name="_Toc15377204"/>
      <w:bookmarkStart w:id="17" w:name="_Toc23109"/>
      <w:r>
        <w:rPr>
          <w:rFonts w:hint="eastAsia" w:ascii="黑体" w:hAnsi="黑体" w:eastAsia="黑体"/>
          <w:b w:val="0"/>
          <w:color w:val="000000"/>
        </w:rPr>
        <w:t>第二部分</w:t>
      </w:r>
      <w:r>
        <w:rPr>
          <w:rFonts w:ascii="黑体" w:hAnsi="黑体" w:eastAsia="黑体"/>
          <w:color w:val="000000"/>
        </w:rPr>
        <w:t xml:space="preserve"> </w:t>
      </w:r>
      <w:r>
        <w:rPr>
          <w:rStyle w:val="16"/>
          <w:rFonts w:ascii="黑体" w:hAnsi="黑体" w:eastAsia="黑体"/>
          <w:b w:val="0"/>
          <w:bCs w:val="0"/>
        </w:rPr>
        <w:t>2020</w:t>
      </w:r>
      <w:r>
        <w:rPr>
          <w:rStyle w:val="16"/>
          <w:rFonts w:hint="eastAsia" w:ascii="黑体" w:hAnsi="黑体" w:eastAsia="黑体"/>
          <w:b w:val="0"/>
          <w:bCs w:val="0"/>
        </w:rPr>
        <w:t>年度部门决算情况说明</w:t>
      </w:r>
      <w:bookmarkEnd w:id="15"/>
      <w:bookmarkEnd w:id="16"/>
      <w:bookmarkEnd w:id="17"/>
    </w:p>
    <w:p/>
    <w:p>
      <w:pPr>
        <w:pStyle w:val="18"/>
        <w:numPr>
          <w:ilvl w:val="0"/>
          <w:numId w:val="2"/>
        </w:numPr>
        <w:spacing w:line="600" w:lineRule="exact"/>
        <w:ind w:firstLineChars="0"/>
        <w:outlineLvl w:val="1"/>
        <w:rPr>
          <w:rStyle w:val="17"/>
          <w:rFonts w:ascii="黑体" w:hAnsi="黑体" w:eastAsia="黑体"/>
          <w:b w:val="0"/>
        </w:rPr>
      </w:pPr>
      <w:bookmarkStart w:id="18" w:name="_Toc15396603"/>
      <w:bookmarkStart w:id="19" w:name="_Toc7163"/>
      <w:bookmarkStart w:id="20" w:name="_Toc15377205"/>
      <w:r>
        <w:rPr>
          <w:rFonts w:hint="eastAsia" w:ascii="黑体" w:hAnsi="黑体" w:eastAsia="黑体"/>
          <w:color w:val="000000"/>
          <w:szCs w:val="32"/>
        </w:rPr>
        <w:t>收</w:t>
      </w:r>
      <w:r>
        <w:rPr>
          <w:rStyle w:val="17"/>
          <w:rFonts w:hint="eastAsia" w:ascii="黑体" w:hAnsi="黑体" w:eastAsia="黑体"/>
          <w:b w:val="0"/>
        </w:rPr>
        <w:t>入支出决算总体情况说明</w:t>
      </w:r>
      <w:bookmarkEnd w:id="18"/>
      <w:bookmarkEnd w:id="19"/>
      <w:bookmarkEnd w:id="20"/>
    </w:p>
    <w:p>
      <w:pPr>
        <w:snapToGrid w:val="0"/>
        <w:spacing w:line="52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年度收、支总计294.50万元。与</w:t>
      </w:r>
      <w:r>
        <w:rPr>
          <w:rFonts w:ascii="仿宋" w:hAnsi="仿宋" w:eastAsia="仿宋"/>
          <w:color w:val="000000"/>
          <w:szCs w:val="32"/>
        </w:rPr>
        <w:t>2019</w:t>
      </w:r>
      <w:r>
        <w:rPr>
          <w:rFonts w:hint="eastAsia" w:ascii="仿宋" w:hAnsi="仿宋" w:eastAsia="仿宋"/>
          <w:color w:val="000000"/>
          <w:szCs w:val="32"/>
        </w:rPr>
        <w:t>年相比，收、支总计各增加65.73万元，增长28.73</w:t>
      </w:r>
      <w:r>
        <w:rPr>
          <w:rFonts w:ascii="仿宋" w:hAnsi="仿宋" w:eastAsia="仿宋"/>
          <w:color w:val="000000"/>
          <w:szCs w:val="32"/>
        </w:rPr>
        <w:t>%</w:t>
      </w:r>
      <w:r>
        <w:rPr>
          <w:rFonts w:hint="eastAsia" w:ascii="仿宋" w:hAnsi="仿宋" w:eastAsia="仿宋"/>
          <w:color w:val="000000"/>
          <w:szCs w:val="32"/>
        </w:rPr>
        <w:t>。主要变动原因是增加了行政审批运行费。</w:t>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0288" behindDoc="0" locked="0" layoutInCell="1" allowOverlap="1">
            <wp:simplePos x="0" y="0"/>
            <wp:positionH relativeFrom="column">
              <wp:posOffset>428625</wp:posOffset>
            </wp:positionH>
            <wp:positionV relativeFrom="paragraph">
              <wp:posOffset>-2397125</wp:posOffset>
            </wp:positionV>
            <wp:extent cx="4086225" cy="2705100"/>
            <wp:effectExtent l="19050" t="0" r="9525" b="0"/>
            <wp:wrapNone/>
            <wp:docPr id="3" name="图片 18" descr="QQ图片20211018125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8" descr="QQ图片20211018125241.png"/>
                    <pic:cNvPicPr>
                      <a:picLocks noChangeAspect="1"/>
                    </pic:cNvPicPr>
                  </pic:nvPicPr>
                  <pic:blipFill>
                    <a:blip r:embed="rId6" cstate="print"/>
                    <a:stretch>
                      <a:fillRect/>
                    </a:stretch>
                  </pic:blipFill>
                  <pic:spPr>
                    <a:xfrm>
                      <a:off x="0" y="0"/>
                      <a:ext cx="4086225" cy="2705100"/>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1</w:t>
      </w:r>
      <w:r>
        <w:rPr>
          <w:rFonts w:hint="eastAsia" w:ascii="仿宋" w:hAnsi="仿宋" w:eastAsia="仿宋"/>
          <w:color w:val="000000"/>
          <w:szCs w:val="32"/>
        </w:rPr>
        <w:t>：收、支决算总计变动情况图）（柱状图）</w:t>
      </w:r>
    </w:p>
    <w:p>
      <w:pPr>
        <w:pStyle w:val="18"/>
        <w:numPr>
          <w:ilvl w:val="0"/>
          <w:numId w:val="2"/>
        </w:numPr>
        <w:spacing w:line="600" w:lineRule="exact"/>
        <w:ind w:firstLineChars="0"/>
        <w:outlineLvl w:val="1"/>
        <w:rPr>
          <w:rStyle w:val="17"/>
          <w:rFonts w:ascii="黑体" w:hAnsi="黑体" w:eastAsia="黑体"/>
          <w:b w:val="0"/>
        </w:rPr>
      </w:pPr>
      <w:bookmarkStart w:id="21" w:name="_Toc15377206"/>
      <w:bookmarkStart w:id="22" w:name="_Toc15396604"/>
      <w:bookmarkStart w:id="23" w:name="_Toc25258"/>
      <w:r>
        <w:rPr>
          <w:rFonts w:hint="eastAsia" w:ascii="黑体" w:hAnsi="黑体" w:eastAsia="黑体"/>
          <w:color w:val="000000"/>
          <w:szCs w:val="32"/>
        </w:rPr>
        <w:t>收</w:t>
      </w:r>
      <w:r>
        <w:rPr>
          <w:rStyle w:val="17"/>
          <w:rFonts w:hint="eastAsia" w:ascii="黑体" w:hAnsi="黑体" w:eastAsia="黑体"/>
          <w:b w:val="0"/>
        </w:rPr>
        <w:t>入决算情况说明</w:t>
      </w:r>
      <w:bookmarkEnd w:id="21"/>
      <w:bookmarkEnd w:id="22"/>
      <w:bookmarkEnd w:id="23"/>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年本年收入合计294.50万元，其中：一般公共预算财政拨款收入294.50万元，占100</w:t>
      </w:r>
      <w:r>
        <w:rPr>
          <w:rFonts w:ascii="仿宋" w:hAnsi="仿宋" w:eastAsia="仿宋"/>
          <w:color w:val="000000"/>
          <w:szCs w:val="32"/>
        </w:rPr>
        <w:t>%</w:t>
      </w:r>
      <w:r>
        <w:rPr>
          <w:rFonts w:hint="eastAsia" w:ascii="仿宋" w:hAnsi="仿宋" w:eastAsia="仿宋"/>
          <w:color w:val="000000"/>
          <w:szCs w:val="32"/>
        </w:rPr>
        <w:t>；政府性基金预算财政拨款收入0万元；上级补助收入0万元；事业收入0万元，；经营收入0万元；附属单位上缴收入0万元；其他收入0万元。</w:t>
      </w:r>
    </w:p>
    <w:p>
      <w:pPr>
        <w:spacing w:line="600" w:lineRule="exact"/>
        <w:ind w:firstLine="643" w:firstLineChars="200"/>
        <w:outlineLvl w:val="1"/>
        <w:rPr>
          <w:rFonts w:ascii="仿宋" w:hAnsi="仿宋" w:eastAsia="仿宋"/>
          <w:b/>
          <w:color w:val="FF0000"/>
          <w:szCs w:val="32"/>
        </w:rPr>
      </w:pPr>
      <w:r>
        <w:rPr>
          <w:rFonts w:ascii="仿宋" w:hAnsi="仿宋" w:eastAsia="仿宋"/>
          <w:b/>
          <w:color w:val="FF0000"/>
          <w:szCs w:val="32"/>
        </w:rPr>
        <w:drawing>
          <wp:anchor distT="0" distB="0" distL="114300" distR="114300" simplePos="0" relativeHeight="251661312" behindDoc="0" locked="0" layoutInCell="1" allowOverlap="1">
            <wp:simplePos x="0" y="0"/>
            <wp:positionH relativeFrom="column">
              <wp:posOffset>330835</wp:posOffset>
            </wp:positionH>
            <wp:positionV relativeFrom="paragraph">
              <wp:posOffset>47625</wp:posOffset>
            </wp:positionV>
            <wp:extent cx="4448175" cy="2600325"/>
            <wp:effectExtent l="19050" t="0" r="9525" b="0"/>
            <wp:wrapNone/>
            <wp:docPr id="4" name="图片 21" descr="QQ图片202110181422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1" descr="QQ图片20211018142246.png"/>
                    <pic:cNvPicPr>
                      <a:picLocks noChangeAspect="1"/>
                    </pic:cNvPicPr>
                  </pic:nvPicPr>
                  <pic:blipFill>
                    <a:blip r:embed="rId7" cstate="print"/>
                    <a:stretch>
                      <a:fillRect/>
                    </a:stretch>
                  </pic:blipFill>
                  <pic:spPr>
                    <a:xfrm>
                      <a:off x="0" y="0"/>
                      <a:ext cx="4448175" cy="2600325"/>
                    </a:xfrm>
                    <a:prstGeom prst="rect">
                      <a:avLst/>
                    </a:prstGeom>
                  </pic:spPr>
                </pic:pic>
              </a:graphicData>
            </a:graphic>
          </wp:anchor>
        </w:drawing>
      </w: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3" w:firstLineChars="200"/>
        <w:outlineLvl w:val="1"/>
        <w:rPr>
          <w:rFonts w:ascii="仿宋" w:hAnsi="仿宋" w:eastAsia="仿宋"/>
          <w:b/>
          <w:color w:val="FF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2</w:t>
      </w:r>
      <w:r>
        <w:rPr>
          <w:rFonts w:hint="eastAsia" w:ascii="仿宋" w:hAnsi="仿宋" w:eastAsia="仿宋"/>
          <w:color w:val="000000"/>
          <w:szCs w:val="32"/>
        </w:rPr>
        <w:t>：收入决算结构图）（饼状图）</w:t>
      </w:r>
    </w:p>
    <w:p>
      <w:pPr>
        <w:pStyle w:val="18"/>
        <w:numPr>
          <w:ilvl w:val="0"/>
          <w:numId w:val="2"/>
        </w:numPr>
        <w:spacing w:line="600" w:lineRule="exact"/>
        <w:ind w:firstLineChars="0"/>
        <w:outlineLvl w:val="1"/>
        <w:rPr>
          <w:rStyle w:val="17"/>
          <w:rFonts w:ascii="黑体" w:hAnsi="黑体" w:eastAsia="黑体"/>
          <w:b w:val="0"/>
        </w:rPr>
      </w:pPr>
      <w:bookmarkStart w:id="24" w:name="_Toc15377207"/>
      <w:bookmarkStart w:id="25" w:name="_Toc15396605"/>
      <w:bookmarkStart w:id="26" w:name="_Toc13725"/>
      <w:r>
        <w:rPr>
          <w:rFonts w:hint="eastAsia" w:ascii="黑体" w:hAnsi="黑体" w:eastAsia="黑体"/>
          <w:color w:val="000000"/>
          <w:szCs w:val="32"/>
        </w:rPr>
        <w:t>支</w:t>
      </w:r>
      <w:r>
        <w:rPr>
          <w:rStyle w:val="17"/>
          <w:rFonts w:hint="eastAsia" w:ascii="黑体" w:hAnsi="黑体" w:eastAsia="黑体"/>
          <w:b w:val="0"/>
        </w:rPr>
        <w:t>出决算情况说明</w:t>
      </w:r>
      <w:bookmarkEnd w:id="24"/>
      <w:bookmarkEnd w:id="25"/>
      <w:bookmarkEnd w:id="26"/>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年本年支出合计294.50万元，其中：基本支出243.50万元，占82.68</w:t>
      </w:r>
      <w:r>
        <w:rPr>
          <w:rFonts w:ascii="仿宋" w:hAnsi="仿宋" w:eastAsia="仿宋"/>
          <w:color w:val="000000"/>
          <w:szCs w:val="32"/>
        </w:rPr>
        <w:t>%</w:t>
      </w:r>
      <w:r>
        <w:rPr>
          <w:rFonts w:hint="eastAsia" w:ascii="仿宋" w:hAnsi="仿宋" w:eastAsia="仿宋"/>
          <w:color w:val="000000"/>
          <w:szCs w:val="32"/>
        </w:rPr>
        <w:t>；项目支出51.00万元，占17.32</w:t>
      </w:r>
      <w:r>
        <w:rPr>
          <w:rFonts w:ascii="仿宋" w:hAnsi="仿宋" w:eastAsia="仿宋"/>
          <w:color w:val="000000"/>
          <w:szCs w:val="32"/>
        </w:rPr>
        <w:t>%</w:t>
      </w:r>
      <w:r>
        <w:rPr>
          <w:rFonts w:hint="eastAsia" w:ascii="仿宋" w:hAnsi="仿宋" w:eastAsia="仿宋"/>
          <w:color w:val="000000"/>
          <w:szCs w:val="32"/>
        </w:rPr>
        <w:t>；上缴上级支出0万元；经营支出0万元；对附属单位补助支出0万元。</w:t>
      </w:r>
    </w:p>
    <w:p>
      <w:pPr>
        <w:spacing w:line="600" w:lineRule="exact"/>
        <w:ind w:firstLine="640" w:firstLineChars="200"/>
        <w:rPr>
          <w:rFonts w:ascii="仿宋" w:hAnsi="仿宋" w:eastAsia="仿宋"/>
          <w:color w:val="000000"/>
          <w:szCs w:val="32"/>
        </w:rPr>
      </w:pPr>
      <w:r>
        <w:rPr>
          <w:rFonts w:ascii="仿宋" w:hAnsi="仿宋" w:eastAsia="仿宋"/>
          <w:color w:val="000000"/>
          <w:szCs w:val="32"/>
        </w:rPr>
        <w:drawing>
          <wp:anchor distT="0" distB="0" distL="114300" distR="114300" simplePos="0" relativeHeight="251662336" behindDoc="1" locked="0" layoutInCell="1" allowOverlap="1">
            <wp:simplePos x="0" y="0"/>
            <wp:positionH relativeFrom="column">
              <wp:posOffset>428625</wp:posOffset>
            </wp:positionH>
            <wp:positionV relativeFrom="paragraph">
              <wp:posOffset>266700</wp:posOffset>
            </wp:positionV>
            <wp:extent cx="4495800" cy="2447925"/>
            <wp:effectExtent l="19050" t="0" r="0" b="0"/>
            <wp:wrapNone/>
            <wp:docPr id="23" name="图片 22" descr="QQ图片202110181427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descr="QQ图片20211018142732.png"/>
                    <pic:cNvPicPr>
                      <a:picLocks noChangeAspect="1"/>
                    </pic:cNvPicPr>
                  </pic:nvPicPr>
                  <pic:blipFill>
                    <a:blip r:embed="rId8" cstate="print"/>
                    <a:stretch>
                      <a:fillRect/>
                    </a:stretch>
                  </pic:blipFill>
                  <pic:spPr>
                    <a:xfrm>
                      <a:off x="0" y="0"/>
                      <a:ext cx="4495800" cy="2447925"/>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3</w:t>
      </w:r>
      <w:r>
        <w:rPr>
          <w:rFonts w:hint="eastAsia" w:ascii="仿宋" w:hAnsi="仿宋" w:eastAsia="仿宋"/>
          <w:color w:val="000000"/>
          <w:szCs w:val="32"/>
        </w:rPr>
        <w:t>：支出决算结构图）（饼状图）</w:t>
      </w:r>
    </w:p>
    <w:p>
      <w:pPr>
        <w:spacing w:line="600" w:lineRule="exact"/>
        <w:ind w:firstLine="640" w:firstLineChars="200"/>
        <w:rPr>
          <w:rFonts w:ascii="仿宋_GB2312"/>
          <w:color w:val="FF0000"/>
          <w:szCs w:val="32"/>
        </w:rPr>
      </w:pPr>
    </w:p>
    <w:p>
      <w:pPr>
        <w:spacing w:line="600" w:lineRule="exact"/>
        <w:ind w:firstLine="640" w:firstLineChars="200"/>
        <w:outlineLvl w:val="1"/>
        <w:rPr>
          <w:rStyle w:val="17"/>
          <w:rFonts w:ascii="黑体" w:hAnsi="黑体" w:eastAsia="黑体"/>
          <w:b w:val="0"/>
        </w:rPr>
      </w:pPr>
      <w:bookmarkStart w:id="27" w:name="_Toc15377208"/>
      <w:bookmarkStart w:id="28" w:name="_Toc15396606"/>
      <w:bookmarkStart w:id="29" w:name="_Toc10354"/>
      <w:r>
        <w:rPr>
          <w:rFonts w:hint="eastAsia" w:ascii="黑体" w:hAnsi="黑体" w:eastAsia="黑体"/>
          <w:color w:val="000000"/>
          <w:szCs w:val="32"/>
        </w:rPr>
        <w:t>四、财</w:t>
      </w:r>
      <w:r>
        <w:rPr>
          <w:rStyle w:val="17"/>
          <w:rFonts w:hint="eastAsia" w:ascii="黑体" w:hAnsi="黑体" w:eastAsia="黑体"/>
          <w:b w:val="0"/>
        </w:rPr>
        <w:t>政拨款收入支出决算总体情况说明</w:t>
      </w:r>
      <w:bookmarkEnd w:id="27"/>
      <w:bookmarkEnd w:id="28"/>
      <w:bookmarkEnd w:id="29"/>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年财政拨款收、支总计294.50万元。与</w:t>
      </w:r>
      <w:r>
        <w:rPr>
          <w:rFonts w:ascii="仿宋" w:hAnsi="仿宋" w:eastAsia="仿宋"/>
          <w:color w:val="000000"/>
          <w:szCs w:val="32"/>
        </w:rPr>
        <w:t>2019</w:t>
      </w:r>
      <w:r>
        <w:rPr>
          <w:rFonts w:hint="eastAsia" w:ascii="仿宋" w:hAnsi="仿宋" w:eastAsia="仿宋"/>
          <w:color w:val="000000"/>
          <w:szCs w:val="32"/>
        </w:rPr>
        <w:t>年相比，财政拨款收、支总计各增加65.73万元，增长28.73</w:t>
      </w:r>
      <w:r>
        <w:rPr>
          <w:rFonts w:ascii="仿宋" w:hAnsi="仿宋" w:eastAsia="仿宋"/>
          <w:color w:val="000000"/>
          <w:szCs w:val="32"/>
        </w:rPr>
        <w:t>%</w:t>
      </w:r>
      <w:r>
        <w:rPr>
          <w:rFonts w:hint="eastAsia" w:ascii="仿宋" w:hAnsi="仿宋" w:eastAsia="仿宋"/>
          <w:color w:val="000000"/>
          <w:szCs w:val="32"/>
        </w:rPr>
        <w:t>。主要变动原因是增加了行政审批运行费。</w:t>
      </w: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b/>
          <w:color w:val="FF0000"/>
          <w:szCs w:val="32"/>
        </w:rPr>
      </w:pPr>
      <w:r>
        <w:rPr>
          <w:rFonts w:ascii="仿宋" w:hAnsi="仿宋" w:eastAsia="仿宋"/>
          <w:b/>
          <w:color w:val="FF0000"/>
          <w:szCs w:val="32"/>
        </w:rPr>
        <w:drawing>
          <wp:anchor distT="0" distB="0" distL="114300" distR="114300" simplePos="0" relativeHeight="251663360" behindDoc="1" locked="0" layoutInCell="1" allowOverlap="1">
            <wp:simplePos x="0" y="0"/>
            <wp:positionH relativeFrom="column">
              <wp:posOffset>704850</wp:posOffset>
            </wp:positionH>
            <wp:positionV relativeFrom="paragraph">
              <wp:posOffset>-76200</wp:posOffset>
            </wp:positionV>
            <wp:extent cx="4483100" cy="3648710"/>
            <wp:effectExtent l="19050" t="0" r="9525" b="0"/>
            <wp:wrapNone/>
            <wp:docPr id="25" name="图片 24" descr="QQ图片202110181438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descr="QQ图片20211018143807.png"/>
                    <pic:cNvPicPr>
                      <a:picLocks noChangeAspect="1"/>
                    </pic:cNvPicPr>
                  </pic:nvPicPr>
                  <pic:blipFill>
                    <a:blip r:embed="rId9" cstate="print"/>
                    <a:stretch>
                      <a:fillRect/>
                    </a:stretch>
                  </pic:blipFill>
                  <pic:spPr>
                    <a:xfrm>
                      <a:off x="0" y="0"/>
                      <a:ext cx="4486275" cy="3648075"/>
                    </a:xfrm>
                    <a:prstGeom prst="rect">
                      <a:avLst/>
                    </a:prstGeom>
                  </pic:spPr>
                </pic:pic>
              </a:graphicData>
            </a:graphic>
          </wp:anchor>
        </w:drawing>
      </w: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rPr>
          <w:rFonts w:ascii="仿宋" w:hAnsi="仿宋" w:eastAsia="仿宋"/>
          <w:b/>
          <w:color w:val="FF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4</w:t>
      </w:r>
      <w:r>
        <w:rPr>
          <w:rFonts w:hint="eastAsia" w:ascii="仿宋" w:hAnsi="仿宋" w:eastAsia="仿宋"/>
          <w:color w:val="000000"/>
          <w:szCs w:val="32"/>
        </w:rPr>
        <w:t>：财政拨款收、支决算总计变动情况）（柱状图）</w:t>
      </w:r>
    </w:p>
    <w:p>
      <w:pPr>
        <w:spacing w:line="600" w:lineRule="exact"/>
        <w:ind w:firstLine="640" w:firstLineChars="200"/>
        <w:outlineLvl w:val="1"/>
        <w:rPr>
          <w:rStyle w:val="17"/>
          <w:rFonts w:ascii="黑体" w:hAnsi="黑体" w:eastAsia="黑体"/>
          <w:b w:val="0"/>
        </w:rPr>
      </w:pPr>
      <w:bookmarkStart w:id="30" w:name="_Toc15377209"/>
      <w:bookmarkStart w:id="31" w:name="_Toc15396607"/>
      <w:bookmarkStart w:id="32" w:name="_Toc10967"/>
      <w:r>
        <w:rPr>
          <w:rFonts w:hint="eastAsia" w:ascii="黑体" w:hAnsi="黑体" w:eastAsia="黑体"/>
          <w:color w:val="000000"/>
          <w:szCs w:val="32"/>
        </w:rPr>
        <w:t>五、</w:t>
      </w:r>
      <w:r>
        <w:rPr>
          <w:rFonts w:hint="eastAsia" w:ascii="黑体" w:hAnsi="黑体" w:eastAsia="黑体"/>
          <w:b/>
          <w:color w:val="000000"/>
          <w:szCs w:val="32"/>
        </w:rPr>
        <w:t>一</w:t>
      </w:r>
      <w:r>
        <w:rPr>
          <w:rStyle w:val="17"/>
          <w:rFonts w:hint="eastAsia" w:ascii="黑体" w:hAnsi="黑体" w:eastAsia="黑体"/>
          <w:b w:val="0"/>
        </w:rPr>
        <w:t>般公共预算财政拨款支出决算情况说明</w:t>
      </w:r>
      <w:bookmarkEnd w:id="30"/>
      <w:bookmarkEnd w:id="31"/>
      <w:bookmarkEnd w:id="32"/>
    </w:p>
    <w:p>
      <w:pPr>
        <w:spacing w:line="600" w:lineRule="exact"/>
        <w:ind w:firstLine="643" w:firstLineChars="200"/>
        <w:outlineLvl w:val="2"/>
        <w:rPr>
          <w:rFonts w:ascii="仿宋" w:hAnsi="仿宋" w:eastAsia="仿宋"/>
          <w:b/>
          <w:color w:val="000000"/>
          <w:szCs w:val="32"/>
        </w:rPr>
      </w:pPr>
      <w:bookmarkStart w:id="33" w:name="_Toc15377210"/>
      <w:r>
        <w:rPr>
          <w:rFonts w:hint="eastAsia" w:ascii="仿宋" w:hAnsi="仿宋" w:eastAsia="仿宋"/>
          <w:b/>
          <w:color w:val="000000"/>
          <w:szCs w:val="32"/>
        </w:rPr>
        <w:t>（一）一般公共预算财政拨款支出决算总体情况</w:t>
      </w:r>
      <w:bookmarkEnd w:id="33"/>
    </w:p>
    <w:p>
      <w:pPr>
        <w:spacing w:line="600" w:lineRule="exact"/>
        <w:ind w:firstLine="640" w:firstLineChars="20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年一般公共预算财政拨款支出294.50万元，占本年支出合计的100</w:t>
      </w:r>
      <w:r>
        <w:rPr>
          <w:rFonts w:ascii="仿宋" w:hAnsi="仿宋" w:eastAsia="仿宋"/>
          <w:color w:val="000000"/>
          <w:szCs w:val="32"/>
        </w:rPr>
        <w:t>%</w:t>
      </w:r>
      <w:r>
        <w:rPr>
          <w:rFonts w:hint="eastAsia" w:ascii="仿宋" w:hAnsi="仿宋" w:eastAsia="仿宋"/>
          <w:color w:val="000000"/>
          <w:szCs w:val="32"/>
        </w:rPr>
        <w:t>。与</w:t>
      </w:r>
      <w:r>
        <w:rPr>
          <w:rFonts w:ascii="仿宋" w:hAnsi="仿宋" w:eastAsia="仿宋"/>
          <w:color w:val="000000"/>
          <w:szCs w:val="32"/>
        </w:rPr>
        <w:t>2019</w:t>
      </w:r>
      <w:r>
        <w:rPr>
          <w:rFonts w:hint="eastAsia" w:ascii="仿宋" w:hAnsi="仿宋" w:eastAsia="仿宋"/>
          <w:color w:val="000000"/>
          <w:szCs w:val="32"/>
        </w:rPr>
        <w:t>年相比，一般公共预算财政拨款增加65.73万元，增长28.73</w:t>
      </w:r>
      <w:r>
        <w:rPr>
          <w:rFonts w:ascii="仿宋" w:hAnsi="仿宋" w:eastAsia="仿宋"/>
          <w:color w:val="000000"/>
          <w:szCs w:val="32"/>
        </w:rPr>
        <w:t>%</w:t>
      </w:r>
      <w:r>
        <w:rPr>
          <w:rFonts w:hint="eastAsia" w:ascii="仿宋" w:hAnsi="仿宋" w:eastAsia="仿宋"/>
          <w:color w:val="000000"/>
          <w:szCs w:val="32"/>
        </w:rPr>
        <w:t>。主要变动原因是2020年增加了“好差评”系统运行费和政务大厅运行费。</w:t>
      </w: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4384" behindDoc="0" locked="0" layoutInCell="1" allowOverlap="1">
            <wp:simplePos x="0" y="0"/>
            <wp:positionH relativeFrom="column">
              <wp:posOffset>447675</wp:posOffset>
            </wp:positionH>
            <wp:positionV relativeFrom="paragraph">
              <wp:posOffset>9525</wp:posOffset>
            </wp:positionV>
            <wp:extent cx="4495800" cy="2676525"/>
            <wp:effectExtent l="19050" t="0" r="0" b="0"/>
            <wp:wrapNone/>
            <wp:docPr id="6" name="图片 25" descr="QQ图片202110181453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5" descr="QQ图片20211018145315.png"/>
                    <pic:cNvPicPr>
                      <a:picLocks noChangeAspect="1"/>
                    </pic:cNvPicPr>
                  </pic:nvPicPr>
                  <pic:blipFill>
                    <a:blip r:embed="rId10" cstate="print"/>
                    <a:stretch>
                      <a:fillRect/>
                    </a:stretch>
                  </pic:blipFill>
                  <pic:spPr>
                    <a:xfrm>
                      <a:off x="0" y="0"/>
                      <a:ext cx="4495800" cy="2676525"/>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5</w:t>
      </w:r>
      <w:r>
        <w:rPr>
          <w:rFonts w:hint="eastAsia" w:ascii="仿宋" w:hAnsi="仿宋" w:eastAsia="仿宋"/>
          <w:color w:val="000000"/>
          <w:szCs w:val="32"/>
        </w:rPr>
        <w:t>：一般公共预算财政拨款支出决算变动情况）（柱状图）</w:t>
      </w:r>
    </w:p>
    <w:p>
      <w:pPr>
        <w:spacing w:line="600" w:lineRule="exact"/>
        <w:ind w:firstLine="643" w:firstLineChars="200"/>
        <w:outlineLvl w:val="2"/>
        <w:rPr>
          <w:rFonts w:ascii="仿宋" w:hAnsi="仿宋" w:eastAsia="仿宋"/>
          <w:b/>
          <w:color w:val="000000"/>
          <w:szCs w:val="32"/>
        </w:rPr>
      </w:pPr>
      <w:bookmarkStart w:id="34" w:name="_Toc15377211"/>
      <w:r>
        <w:rPr>
          <w:rFonts w:hint="eastAsia" w:ascii="仿宋" w:hAnsi="仿宋" w:eastAsia="仿宋"/>
          <w:b/>
          <w:color w:val="000000"/>
          <w:szCs w:val="32"/>
        </w:rPr>
        <w:t>（二）一般公共预算财政拨款支出决算结构情况</w:t>
      </w:r>
      <w:bookmarkEnd w:id="34"/>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年一般公共预算财政拨款支出294.50万元，主要用于以下方面</w:t>
      </w:r>
      <w:r>
        <w:rPr>
          <w:rFonts w:ascii="仿宋" w:hAnsi="仿宋" w:eastAsia="仿宋"/>
          <w:color w:val="000000"/>
          <w:szCs w:val="32"/>
        </w:rPr>
        <w:t>:</w:t>
      </w:r>
      <w:r>
        <w:rPr>
          <w:rFonts w:hint="eastAsia" w:ascii="仿宋" w:hAnsi="仿宋" w:eastAsia="仿宋"/>
          <w:color w:val="000000"/>
          <w:szCs w:val="32"/>
        </w:rPr>
        <w:t>一般公共服务（类）支出274.87万元，占93.33%；教育支出（类）0万元；科学技术（类）支出0万元；文化旅游体育与传媒（类）支出0万元；社会保障和就业（类）支出8.88万元，占3.02%；卫生健康支出4.20万元，占1.43%；住房保障支出6.55万元，占2.22</w:t>
      </w:r>
      <w:r>
        <w:rPr>
          <w:rFonts w:ascii="仿宋" w:hAnsi="仿宋" w:eastAsia="仿宋"/>
          <w:color w:val="000000"/>
          <w:szCs w:val="32"/>
        </w:rPr>
        <w:t>%</w:t>
      </w:r>
      <w:r>
        <w:rPr>
          <w:rFonts w:hint="eastAsia" w:ascii="仿宋" w:hAnsi="仿宋" w:eastAsia="仿宋"/>
          <w:color w:val="000000"/>
          <w:szCs w:val="32"/>
        </w:rPr>
        <w:t>。</w:t>
      </w: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65408" behindDoc="0" locked="0" layoutInCell="1" allowOverlap="1">
            <wp:simplePos x="0" y="0"/>
            <wp:positionH relativeFrom="column">
              <wp:posOffset>762000</wp:posOffset>
            </wp:positionH>
            <wp:positionV relativeFrom="paragraph">
              <wp:posOffset>152400</wp:posOffset>
            </wp:positionV>
            <wp:extent cx="4486275" cy="2628900"/>
            <wp:effectExtent l="19050" t="0" r="9525" b="0"/>
            <wp:wrapNone/>
            <wp:docPr id="7" name="图片 26" descr="QQ图片202110181502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6" descr="QQ图片20211018150246.png"/>
                    <pic:cNvPicPr>
                      <a:picLocks noChangeAspect="1"/>
                    </pic:cNvPicPr>
                  </pic:nvPicPr>
                  <pic:blipFill>
                    <a:blip r:embed="rId11" cstate="print"/>
                    <a:stretch>
                      <a:fillRect/>
                    </a:stretch>
                  </pic:blipFill>
                  <pic:spPr>
                    <a:xfrm>
                      <a:off x="0" y="0"/>
                      <a:ext cx="4486275" cy="2628900"/>
                    </a:xfrm>
                    <a:prstGeom prst="rect">
                      <a:avLst/>
                    </a:prstGeom>
                  </pic:spPr>
                </pic:pic>
              </a:graphicData>
            </a:graphic>
          </wp:anchor>
        </w:drawing>
      </w: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p>
    <w:p>
      <w:pPr>
        <w:spacing w:line="600" w:lineRule="exact"/>
        <w:ind w:firstLine="640" w:firstLineChars="20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6</w:t>
      </w:r>
      <w:r>
        <w:rPr>
          <w:rFonts w:hint="eastAsia" w:ascii="仿宋" w:hAnsi="仿宋" w:eastAsia="仿宋"/>
          <w:color w:val="000000"/>
          <w:szCs w:val="32"/>
        </w:rPr>
        <w:t>：一般公共预算财政拨款支出决算结构）（饼状图）</w:t>
      </w:r>
    </w:p>
    <w:p>
      <w:pPr>
        <w:spacing w:line="600" w:lineRule="exact"/>
        <w:ind w:firstLine="643" w:firstLineChars="200"/>
        <w:outlineLvl w:val="2"/>
        <w:rPr>
          <w:rFonts w:ascii="仿宋" w:hAnsi="仿宋" w:eastAsia="仿宋"/>
          <w:b/>
          <w:color w:val="000000"/>
          <w:szCs w:val="32"/>
        </w:rPr>
      </w:pPr>
      <w:bookmarkStart w:id="35" w:name="_Toc15377212"/>
      <w:r>
        <w:rPr>
          <w:rFonts w:hint="eastAsia" w:ascii="仿宋" w:hAnsi="仿宋" w:eastAsia="仿宋"/>
          <w:b/>
          <w:color w:val="000000"/>
          <w:szCs w:val="32"/>
        </w:rPr>
        <w:t>（三）一般公共预算财政拨款支出决算具体情况</w:t>
      </w:r>
      <w:bookmarkEnd w:id="35"/>
    </w:p>
    <w:p>
      <w:pPr>
        <w:spacing w:line="600" w:lineRule="exact"/>
        <w:ind w:firstLine="640" w:firstLineChars="200"/>
        <w:rPr>
          <w:rFonts w:ascii="仿宋" w:hAnsi="仿宋" w:eastAsia="仿宋"/>
          <w:bCs/>
          <w:color w:val="000000"/>
          <w:kern w:val="0"/>
          <w:szCs w:val="32"/>
        </w:rPr>
      </w:pPr>
      <w:bookmarkStart w:id="36" w:name="_Toc15378460"/>
      <w:bookmarkStart w:id="37" w:name="_Toc15377444"/>
      <w:bookmarkStart w:id="38" w:name="_Toc15377213"/>
      <w:r>
        <w:rPr>
          <w:rFonts w:ascii="仿宋" w:hAnsi="仿宋" w:eastAsia="仿宋"/>
          <w:bCs/>
          <w:color w:val="000000"/>
          <w:kern w:val="0"/>
          <w:szCs w:val="32"/>
        </w:rPr>
        <w:t>2020</w:t>
      </w:r>
      <w:r>
        <w:rPr>
          <w:rFonts w:hint="eastAsia" w:ascii="仿宋" w:hAnsi="仿宋" w:eastAsia="仿宋"/>
          <w:bCs/>
          <w:color w:val="000000"/>
          <w:kern w:val="0"/>
          <w:szCs w:val="32"/>
        </w:rPr>
        <w:t>年一般公共预算支出决算数为294.50，完成预算100</w:t>
      </w:r>
      <w:r>
        <w:rPr>
          <w:rFonts w:ascii="仿宋" w:hAnsi="仿宋" w:eastAsia="仿宋"/>
          <w:bCs/>
          <w:color w:val="000000"/>
          <w:kern w:val="0"/>
          <w:szCs w:val="32"/>
        </w:rPr>
        <w:t>%</w:t>
      </w:r>
      <w:r>
        <w:rPr>
          <w:rFonts w:hint="eastAsia" w:ascii="仿宋" w:hAnsi="仿宋" w:eastAsia="仿宋"/>
          <w:bCs/>
          <w:color w:val="000000"/>
          <w:kern w:val="0"/>
          <w:szCs w:val="32"/>
        </w:rPr>
        <w:t>。其中：</w:t>
      </w:r>
      <w:bookmarkEnd w:id="36"/>
      <w:bookmarkEnd w:id="37"/>
      <w:bookmarkEnd w:id="38"/>
    </w:p>
    <w:p>
      <w:pPr>
        <w:spacing w:line="600"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1.</w:t>
      </w:r>
      <w:r>
        <w:rPr>
          <w:rFonts w:hint="eastAsia" w:ascii="仿宋" w:hAnsi="仿宋" w:eastAsia="仿宋"/>
          <w:bCs/>
          <w:color w:val="000000"/>
          <w:kern w:val="0"/>
          <w:szCs w:val="32"/>
        </w:rPr>
        <w:t>一般公共服务支出（类）</w:t>
      </w:r>
      <w:r>
        <w:rPr>
          <w:rFonts w:ascii="仿宋" w:hAnsi="仿宋" w:eastAsia="仿宋"/>
          <w:bCs/>
          <w:color w:val="000000"/>
          <w:kern w:val="0"/>
          <w:szCs w:val="32"/>
        </w:rPr>
        <w:t>政府办公厅（室） 及相关机构事务</w:t>
      </w:r>
      <w:r>
        <w:rPr>
          <w:rFonts w:hint="eastAsia" w:ascii="仿宋" w:hAnsi="仿宋" w:eastAsia="仿宋"/>
          <w:bCs/>
          <w:color w:val="000000"/>
          <w:kern w:val="0"/>
          <w:szCs w:val="32"/>
        </w:rPr>
        <w:t>（款）</w:t>
      </w:r>
      <w:r>
        <w:rPr>
          <w:rFonts w:ascii="仿宋" w:hAnsi="仿宋" w:eastAsia="仿宋"/>
          <w:bCs/>
          <w:color w:val="000000"/>
          <w:kern w:val="0"/>
          <w:szCs w:val="32"/>
        </w:rPr>
        <w:t>行政运行</w:t>
      </w:r>
      <w:r>
        <w:rPr>
          <w:rFonts w:hint="eastAsia" w:ascii="仿宋" w:hAnsi="仿宋" w:eastAsia="仿宋"/>
          <w:bCs/>
          <w:color w:val="000000"/>
          <w:kern w:val="0"/>
          <w:szCs w:val="32"/>
        </w:rPr>
        <w:t>（项）</w:t>
      </w:r>
      <w:r>
        <w:rPr>
          <w:rFonts w:ascii="仿宋" w:hAnsi="仿宋" w:eastAsia="仿宋"/>
          <w:bCs/>
          <w:color w:val="000000"/>
          <w:kern w:val="0"/>
          <w:szCs w:val="32"/>
        </w:rPr>
        <w:t xml:space="preserve">: </w:t>
      </w:r>
      <w:r>
        <w:rPr>
          <w:rFonts w:hint="eastAsia" w:ascii="仿宋" w:hAnsi="仿宋" w:eastAsia="仿宋"/>
          <w:bCs/>
          <w:color w:val="000000"/>
          <w:kern w:val="0"/>
          <w:szCs w:val="32"/>
        </w:rPr>
        <w:t>支出决算为101.15万元，完成预算100</w:t>
      </w:r>
      <w:r>
        <w:rPr>
          <w:rFonts w:ascii="仿宋" w:hAnsi="仿宋" w:eastAsia="仿宋"/>
          <w:bCs/>
          <w:color w:val="000000"/>
          <w:kern w:val="0"/>
          <w:szCs w:val="32"/>
        </w:rPr>
        <w:t>%</w:t>
      </w:r>
      <w:r>
        <w:rPr>
          <w:rFonts w:hint="eastAsia" w:ascii="仿宋" w:hAnsi="仿宋" w:eastAsia="仿宋"/>
          <w:bCs/>
          <w:color w:val="000000"/>
          <w:kern w:val="0"/>
          <w:szCs w:val="32"/>
        </w:rPr>
        <w:t>。</w:t>
      </w:r>
    </w:p>
    <w:p>
      <w:pPr>
        <w:spacing w:line="60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2</w:t>
      </w:r>
      <w:r>
        <w:rPr>
          <w:rFonts w:ascii="仿宋" w:hAnsi="仿宋" w:eastAsia="仿宋"/>
          <w:bCs/>
          <w:color w:val="000000"/>
          <w:kern w:val="0"/>
          <w:szCs w:val="32"/>
        </w:rPr>
        <w:t xml:space="preserve">. </w:t>
      </w:r>
      <w:r>
        <w:rPr>
          <w:rFonts w:hint="eastAsia" w:ascii="仿宋" w:hAnsi="仿宋" w:eastAsia="仿宋"/>
          <w:bCs/>
          <w:color w:val="000000"/>
          <w:kern w:val="0"/>
          <w:szCs w:val="32"/>
        </w:rPr>
        <w:t>一般公共服务支出（类）</w:t>
      </w:r>
      <w:r>
        <w:rPr>
          <w:rFonts w:ascii="仿宋" w:hAnsi="仿宋" w:eastAsia="仿宋"/>
          <w:bCs/>
          <w:color w:val="000000"/>
          <w:kern w:val="0"/>
          <w:szCs w:val="32"/>
        </w:rPr>
        <w:t>政府办公厅（室） 及相关机构事务</w:t>
      </w:r>
      <w:r>
        <w:rPr>
          <w:rFonts w:hint="eastAsia" w:ascii="仿宋" w:hAnsi="仿宋" w:eastAsia="仿宋"/>
          <w:bCs/>
          <w:color w:val="000000"/>
          <w:kern w:val="0"/>
          <w:szCs w:val="32"/>
        </w:rPr>
        <w:t>（款）专项业务活动（项）</w:t>
      </w:r>
      <w:r>
        <w:rPr>
          <w:rFonts w:ascii="仿宋" w:hAnsi="仿宋" w:eastAsia="仿宋"/>
          <w:bCs/>
          <w:color w:val="000000"/>
          <w:kern w:val="0"/>
          <w:szCs w:val="32"/>
        </w:rPr>
        <w:t xml:space="preserve">: </w:t>
      </w:r>
      <w:r>
        <w:rPr>
          <w:rFonts w:hint="eastAsia" w:ascii="仿宋" w:hAnsi="仿宋" w:eastAsia="仿宋"/>
          <w:bCs/>
          <w:color w:val="000000"/>
          <w:kern w:val="0"/>
          <w:szCs w:val="32"/>
        </w:rPr>
        <w:t>支出决算为24.25万元，完成预算100</w:t>
      </w:r>
      <w:r>
        <w:rPr>
          <w:rFonts w:ascii="仿宋" w:hAnsi="仿宋" w:eastAsia="仿宋"/>
          <w:bCs/>
          <w:color w:val="000000"/>
          <w:kern w:val="0"/>
          <w:szCs w:val="32"/>
        </w:rPr>
        <w:t>%</w:t>
      </w:r>
      <w:r>
        <w:rPr>
          <w:rFonts w:hint="eastAsia" w:ascii="仿宋" w:hAnsi="仿宋" w:eastAsia="仿宋"/>
          <w:bCs/>
          <w:color w:val="000000"/>
          <w:kern w:val="0"/>
          <w:szCs w:val="32"/>
        </w:rPr>
        <w:t>。</w:t>
      </w:r>
    </w:p>
    <w:p>
      <w:pPr>
        <w:spacing w:line="60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3</w:t>
      </w:r>
      <w:r>
        <w:rPr>
          <w:rFonts w:ascii="仿宋" w:hAnsi="仿宋" w:eastAsia="仿宋"/>
          <w:bCs/>
          <w:color w:val="000000"/>
          <w:kern w:val="0"/>
          <w:szCs w:val="32"/>
        </w:rPr>
        <w:t xml:space="preserve">. </w:t>
      </w:r>
      <w:r>
        <w:rPr>
          <w:rFonts w:hint="eastAsia" w:ascii="仿宋" w:hAnsi="仿宋" w:eastAsia="仿宋"/>
          <w:bCs/>
          <w:color w:val="000000"/>
          <w:kern w:val="0"/>
          <w:szCs w:val="32"/>
        </w:rPr>
        <w:t>一般公共服务支出（类）</w:t>
      </w:r>
      <w:r>
        <w:rPr>
          <w:rFonts w:ascii="仿宋" w:hAnsi="仿宋" w:eastAsia="仿宋"/>
          <w:bCs/>
          <w:color w:val="000000"/>
          <w:kern w:val="0"/>
          <w:szCs w:val="32"/>
        </w:rPr>
        <w:t>政府办公厅（室） 及相关机构事务</w:t>
      </w:r>
      <w:r>
        <w:rPr>
          <w:rFonts w:hint="eastAsia" w:ascii="仿宋" w:hAnsi="仿宋" w:eastAsia="仿宋"/>
          <w:bCs/>
          <w:color w:val="000000"/>
          <w:kern w:val="0"/>
          <w:szCs w:val="32"/>
        </w:rPr>
        <w:t>（款）政务公开审批（项）</w:t>
      </w:r>
      <w:r>
        <w:rPr>
          <w:rFonts w:ascii="仿宋" w:hAnsi="仿宋" w:eastAsia="仿宋"/>
          <w:bCs/>
          <w:color w:val="000000"/>
          <w:kern w:val="0"/>
          <w:szCs w:val="32"/>
        </w:rPr>
        <w:t xml:space="preserve">: </w:t>
      </w:r>
      <w:r>
        <w:rPr>
          <w:rFonts w:hint="eastAsia" w:ascii="仿宋" w:hAnsi="仿宋" w:eastAsia="仿宋"/>
          <w:bCs/>
          <w:color w:val="000000"/>
          <w:kern w:val="0"/>
          <w:szCs w:val="32"/>
        </w:rPr>
        <w:t>支出决算为130.75万元，完成预算100</w:t>
      </w:r>
      <w:r>
        <w:rPr>
          <w:rFonts w:ascii="仿宋" w:hAnsi="仿宋" w:eastAsia="仿宋"/>
          <w:bCs/>
          <w:color w:val="000000"/>
          <w:kern w:val="0"/>
          <w:szCs w:val="32"/>
        </w:rPr>
        <w:t>%</w:t>
      </w:r>
      <w:r>
        <w:rPr>
          <w:rFonts w:hint="eastAsia" w:ascii="仿宋" w:hAnsi="仿宋" w:eastAsia="仿宋"/>
          <w:bCs/>
          <w:color w:val="000000"/>
          <w:kern w:val="0"/>
          <w:szCs w:val="32"/>
        </w:rPr>
        <w:t>。</w:t>
      </w:r>
    </w:p>
    <w:p>
      <w:pPr>
        <w:spacing w:line="60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4</w:t>
      </w:r>
      <w:r>
        <w:rPr>
          <w:rFonts w:ascii="仿宋" w:hAnsi="仿宋" w:eastAsia="仿宋"/>
          <w:bCs/>
          <w:color w:val="000000"/>
          <w:kern w:val="0"/>
          <w:szCs w:val="32"/>
        </w:rPr>
        <w:t xml:space="preserve">. </w:t>
      </w:r>
      <w:r>
        <w:rPr>
          <w:rFonts w:hint="eastAsia" w:ascii="仿宋" w:hAnsi="仿宋" w:eastAsia="仿宋"/>
          <w:bCs/>
          <w:color w:val="000000"/>
          <w:kern w:val="0"/>
          <w:szCs w:val="32"/>
        </w:rPr>
        <w:t>一般公共服务支出（类）</w:t>
      </w:r>
      <w:r>
        <w:rPr>
          <w:rFonts w:ascii="仿宋" w:hAnsi="仿宋" w:eastAsia="仿宋"/>
          <w:bCs/>
          <w:color w:val="000000"/>
          <w:kern w:val="0"/>
          <w:szCs w:val="32"/>
        </w:rPr>
        <w:t>政府办公厅（室） 及相关机构事务</w:t>
      </w:r>
      <w:r>
        <w:rPr>
          <w:rFonts w:hint="eastAsia" w:ascii="仿宋" w:hAnsi="仿宋" w:eastAsia="仿宋"/>
          <w:bCs/>
          <w:color w:val="000000"/>
          <w:kern w:val="0"/>
          <w:szCs w:val="32"/>
        </w:rPr>
        <w:t>（款）</w:t>
      </w:r>
      <w:r>
        <w:rPr>
          <w:rFonts w:ascii="仿宋" w:hAnsi="仿宋" w:eastAsia="仿宋"/>
          <w:bCs/>
          <w:color w:val="000000"/>
          <w:kern w:val="0"/>
          <w:szCs w:val="32"/>
        </w:rPr>
        <w:t>其他政府办公厅（室）及相关机构事务支出</w:t>
      </w:r>
      <w:r>
        <w:rPr>
          <w:rFonts w:hint="eastAsia" w:ascii="仿宋" w:hAnsi="仿宋" w:eastAsia="仿宋"/>
          <w:bCs/>
          <w:color w:val="000000"/>
          <w:kern w:val="0"/>
          <w:szCs w:val="32"/>
        </w:rPr>
        <w:t>（项）</w:t>
      </w:r>
      <w:r>
        <w:rPr>
          <w:rFonts w:ascii="仿宋" w:hAnsi="仿宋" w:eastAsia="仿宋"/>
          <w:bCs/>
          <w:color w:val="000000"/>
          <w:kern w:val="0"/>
          <w:szCs w:val="32"/>
        </w:rPr>
        <w:t xml:space="preserve">: </w:t>
      </w:r>
      <w:r>
        <w:rPr>
          <w:rFonts w:hint="eastAsia" w:ascii="仿宋" w:hAnsi="仿宋" w:eastAsia="仿宋"/>
          <w:bCs/>
          <w:color w:val="000000"/>
          <w:kern w:val="0"/>
          <w:szCs w:val="32"/>
        </w:rPr>
        <w:t>支出决算为18.72万元，完成预算100</w:t>
      </w:r>
      <w:r>
        <w:rPr>
          <w:rFonts w:ascii="仿宋" w:hAnsi="仿宋" w:eastAsia="仿宋"/>
          <w:bCs/>
          <w:color w:val="000000"/>
          <w:kern w:val="0"/>
          <w:szCs w:val="32"/>
        </w:rPr>
        <w:t>%</w:t>
      </w:r>
      <w:r>
        <w:rPr>
          <w:rFonts w:hint="eastAsia" w:ascii="仿宋" w:hAnsi="仿宋" w:eastAsia="仿宋"/>
          <w:bCs/>
          <w:color w:val="000000"/>
          <w:kern w:val="0"/>
          <w:szCs w:val="32"/>
        </w:rPr>
        <w:t>。</w:t>
      </w:r>
    </w:p>
    <w:p>
      <w:pPr>
        <w:pStyle w:val="5"/>
        <w:ind w:left="0" w:leftChars="0" w:firstLine="640" w:firstLineChars="200"/>
        <w:rPr>
          <w:rFonts w:ascii="仿宋" w:hAnsi="仿宋" w:eastAsia="仿宋"/>
          <w:bCs/>
          <w:color w:val="000000"/>
          <w:kern w:val="0"/>
          <w:szCs w:val="32"/>
        </w:rPr>
      </w:pPr>
      <w:r>
        <w:rPr>
          <w:rFonts w:hint="eastAsia" w:ascii="仿宋" w:hAnsi="仿宋" w:eastAsia="仿宋"/>
          <w:bCs/>
          <w:color w:val="000000"/>
          <w:kern w:val="0"/>
          <w:szCs w:val="32"/>
        </w:rPr>
        <w:t>5</w:t>
      </w:r>
      <w:r>
        <w:rPr>
          <w:rFonts w:ascii="仿宋" w:hAnsi="仿宋" w:eastAsia="仿宋"/>
          <w:bCs/>
          <w:color w:val="000000"/>
          <w:kern w:val="0"/>
          <w:szCs w:val="32"/>
        </w:rPr>
        <w:t>. 社会保障和就业</w:t>
      </w:r>
      <w:r>
        <w:rPr>
          <w:rFonts w:hint="eastAsia" w:ascii="仿宋" w:hAnsi="仿宋" w:eastAsia="仿宋"/>
          <w:bCs/>
          <w:color w:val="000000"/>
          <w:kern w:val="0"/>
          <w:szCs w:val="32"/>
        </w:rPr>
        <w:t>支出（类）行政事业单位养老支出</w:t>
      </w:r>
      <w:r>
        <w:rPr>
          <w:rFonts w:ascii="仿宋" w:hAnsi="仿宋" w:eastAsia="仿宋"/>
          <w:bCs/>
          <w:color w:val="000000"/>
          <w:kern w:val="0"/>
          <w:szCs w:val="32"/>
        </w:rPr>
        <w:t>（室） 及相关机构事务</w:t>
      </w:r>
      <w:r>
        <w:rPr>
          <w:rFonts w:hint="eastAsia" w:ascii="仿宋" w:hAnsi="仿宋" w:eastAsia="仿宋"/>
          <w:bCs/>
          <w:color w:val="000000"/>
          <w:kern w:val="0"/>
          <w:szCs w:val="32"/>
        </w:rPr>
        <w:t>（款）机关事业单位基本养老保险缴费支出（项）</w:t>
      </w:r>
      <w:r>
        <w:rPr>
          <w:rFonts w:ascii="仿宋" w:hAnsi="仿宋" w:eastAsia="仿宋"/>
          <w:bCs/>
          <w:color w:val="000000"/>
          <w:kern w:val="0"/>
          <w:szCs w:val="32"/>
        </w:rPr>
        <w:t xml:space="preserve">: </w:t>
      </w:r>
      <w:r>
        <w:rPr>
          <w:rFonts w:hint="eastAsia" w:ascii="仿宋" w:hAnsi="仿宋" w:eastAsia="仿宋"/>
          <w:bCs/>
          <w:color w:val="000000"/>
          <w:kern w:val="0"/>
          <w:szCs w:val="32"/>
        </w:rPr>
        <w:t>支出决算为8.88万元，完成预算100</w:t>
      </w:r>
      <w:r>
        <w:rPr>
          <w:rFonts w:ascii="仿宋" w:hAnsi="仿宋" w:eastAsia="仿宋"/>
          <w:bCs/>
          <w:color w:val="000000"/>
          <w:kern w:val="0"/>
          <w:szCs w:val="32"/>
        </w:rPr>
        <w:t>%</w:t>
      </w:r>
      <w:r>
        <w:rPr>
          <w:rFonts w:hint="eastAsia" w:ascii="仿宋" w:hAnsi="仿宋" w:eastAsia="仿宋"/>
          <w:bCs/>
          <w:color w:val="000000"/>
          <w:kern w:val="0"/>
          <w:szCs w:val="32"/>
        </w:rPr>
        <w:t>。</w:t>
      </w:r>
    </w:p>
    <w:p>
      <w:pPr>
        <w:ind w:firstLine="640" w:firstLineChars="200"/>
        <w:rPr>
          <w:rFonts w:ascii="仿宋" w:hAnsi="仿宋" w:eastAsia="仿宋"/>
          <w:bCs/>
          <w:color w:val="000000"/>
          <w:kern w:val="0"/>
          <w:szCs w:val="32"/>
        </w:rPr>
      </w:pPr>
      <w:r>
        <w:rPr>
          <w:rFonts w:hint="eastAsia" w:ascii="仿宋" w:hAnsi="仿宋" w:eastAsia="仿宋"/>
          <w:bCs/>
          <w:color w:val="000000"/>
          <w:kern w:val="0"/>
          <w:szCs w:val="32"/>
        </w:rPr>
        <w:t>6</w:t>
      </w:r>
      <w:r>
        <w:rPr>
          <w:rFonts w:ascii="仿宋" w:hAnsi="仿宋" w:eastAsia="仿宋"/>
          <w:bCs/>
          <w:color w:val="000000"/>
          <w:kern w:val="0"/>
          <w:szCs w:val="32"/>
        </w:rPr>
        <w:t>.</w:t>
      </w:r>
      <w:r>
        <w:rPr>
          <w:rFonts w:hint="eastAsia" w:ascii="仿宋" w:hAnsi="仿宋" w:eastAsia="仿宋"/>
          <w:bCs/>
          <w:color w:val="000000"/>
          <w:kern w:val="0"/>
          <w:szCs w:val="32"/>
        </w:rPr>
        <w:t xml:space="preserve"> 卫生健康支出（类）行政事业单位医疗（款）行政单位医疗（项）: 支出决算为4.20万元，完成预算100%。</w:t>
      </w:r>
    </w:p>
    <w:p>
      <w:pPr>
        <w:ind w:firstLine="640" w:firstLineChars="200"/>
        <w:rPr>
          <w:rFonts w:ascii="仿宋" w:hAnsi="仿宋" w:eastAsia="仿宋"/>
          <w:bCs/>
          <w:color w:val="000000"/>
          <w:kern w:val="0"/>
          <w:szCs w:val="32"/>
        </w:rPr>
      </w:pPr>
      <w:r>
        <w:rPr>
          <w:rFonts w:hint="eastAsia" w:ascii="仿宋" w:hAnsi="仿宋" w:eastAsia="仿宋"/>
          <w:bCs/>
          <w:color w:val="000000"/>
          <w:kern w:val="0"/>
          <w:szCs w:val="32"/>
        </w:rPr>
        <w:t>7</w:t>
      </w:r>
      <w:r>
        <w:rPr>
          <w:rFonts w:ascii="仿宋" w:hAnsi="仿宋" w:eastAsia="仿宋"/>
          <w:bCs/>
          <w:color w:val="000000"/>
          <w:kern w:val="0"/>
          <w:szCs w:val="32"/>
        </w:rPr>
        <w:t xml:space="preserve">. </w:t>
      </w:r>
      <w:r>
        <w:rPr>
          <w:rFonts w:hint="eastAsia" w:ascii="仿宋" w:hAnsi="仿宋" w:eastAsia="仿宋"/>
          <w:bCs/>
          <w:color w:val="000000"/>
          <w:kern w:val="0"/>
          <w:szCs w:val="32"/>
        </w:rPr>
        <w:t>住房保障支出（类）住房改革支出（款）住房公积金（项）:支出决算为6.55元，完成预算100%。</w:t>
      </w:r>
    </w:p>
    <w:p>
      <w:pPr>
        <w:spacing w:line="600" w:lineRule="exact"/>
        <w:ind w:firstLine="643" w:firstLineChars="200"/>
        <w:rPr>
          <w:rStyle w:val="17"/>
        </w:rPr>
      </w:pPr>
      <w:r>
        <w:rPr>
          <w:rFonts w:ascii="仿宋" w:hAnsi="仿宋" w:eastAsia="仿宋"/>
          <w:b/>
          <w:color w:val="000000"/>
          <w:szCs w:val="32"/>
        </w:rPr>
        <w:t xml:space="preserve"> </w:t>
      </w:r>
      <w:bookmarkStart w:id="39" w:name="_Toc15396608"/>
      <w:bookmarkStart w:id="40" w:name="_Toc15377214"/>
      <w:bookmarkStart w:id="41" w:name="_Toc31021"/>
      <w:r>
        <w:rPr>
          <w:rFonts w:hint="eastAsia" w:ascii="黑体" w:eastAsia="黑体"/>
          <w:color w:val="000000"/>
          <w:szCs w:val="32"/>
        </w:rPr>
        <w:t>六</w:t>
      </w:r>
      <w:r>
        <w:rPr>
          <w:rFonts w:hint="eastAsia" w:ascii="黑体" w:eastAsia="黑体"/>
          <w:b/>
          <w:color w:val="000000"/>
          <w:szCs w:val="32"/>
        </w:rPr>
        <w:t>、</w:t>
      </w:r>
      <w:r>
        <w:rPr>
          <w:rFonts w:hint="eastAsia" w:ascii="黑体" w:hAnsi="黑体" w:eastAsia="黑体"/>
          <w:b/>
          <w:color w:val="000000"/>
          <w:szCs w:val="32"/>
        </w:rPr>
        <w:t>一</w:t>
      </w:r>
      <w:r>
        <w:rPr>
          <w:rStyle w:val="17"/>
          <w:rFonts w:hint="eastAsia" w:ascii="黑体" w:hAnsi="黑体" w:eastAsia="黑体"/>
          <w:b w:val="0"/>
        </w:rPr>
        <w:t>般公共预算财政拨款基本支出决算情况说明</w:t>
      </w:r>
      <w:bookmarkEnd w:id="39"/>
      <w:bookmarkEnd w:id="40"/>
      <w:bookmarkEnd w:id="41"/>
      <w:r>
        <w:rPr>
          <w:rStyle w:val="17"/>
          <w:rFonts w:ascii="黑体" w:hAnsi="黑体" w:eastAsia="黑体"/>
          <w:b w:val="0"/>
        </w:rPr>
        <w:tab/>
      </w:r>
    </w:p>
    <w:p>
      <w:pPr>
        <w:spacing w:line="600" w:lineRule="exact"/>
        <w:ind w:firstLine="645"/>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年一般公共预算财政拨款基本支出243.50万元，其中：</w:t>
      </w:r>
    </w:p>
    <w:p>
      <w:pPr>
        <w:spacing w:line="600" w:lineRule="exact"/>
        <w:ind w:firstLine="645"/>
        <w:rPr>
          <w:rFonts w:ascii="仿宋" w:hAnsi="仿宋" w:eastAsia="仿宋"/>
          <w:b/>
          <w:color w:val="FF0000"/>
          <w:szCs w:val="32"/>
        </w:rPr>
      </w:pPr>
      <w:r>
        <w:rPr>
          <w:rFonts w:hint="eastAsia" w:ascii="仿宋" w:hAnsi="仿宋" w:eastAsia="仿宋"/>
          <w:color w:val="000000"/>
          <w:szCs w:val="32"/>
        </w:rPr>
        <w:t>人员经费151.28万元，主要包括：基本工资、津贴补贴、奖金、机关事业单位基本养老保险缴费、其他社会保障缴费、其他工资福利支出、医疗费补助、奖励金、住房公积金等。</w:t>
      </w:r>
      <w:r>
        <w:rPr>
          <w:rFonts w:ascii="仿宋" w:hAnsi="仿宋" w:eastAsia="仿宋"/>
          <w:color w:val="000000"/>
          <w:szCs w:val="32"/>
        </w:rPr>
        <w:br w:type="textWrapping"/>
      </w:r>
      <w:r>
        <w:rPr>
          <w:rFonts w:hint="eastAsia" w:ascii="仿宋" w:hAnsi="仿宋" w:eastAsia="仿宋"/>
          <w:color w:val="000000"/>
          <w:szCs w:val="32"/>
        </w:rPr>
        <w:t>　　日常公用经费92.22万元，主要包括：办公费、水费、电费、邮电费、物业管理费、差旅费、会议费、工会经费、其他交通费、其他商品和服务支出、办公设备购置等。</w:t>
      </w:r>
    </w:p>
    <w:p>
      <w:pPr>
        <w:spacing w:line="600" w:lineRule="exact"/>
        <w:ind w:firstLine="640"/>
        <w:outlineLvl w:val="1"/>
        <w:rPr>
          <w:rStyle w:val="17"/>
          <w:rFonts w:ascii="黑体" w:hAnsi="黑体" w:eastAsia="黑体"/>
          <w:b w:val="0"/>
        </w:rPr>
      </w:pPr>
      <w:bookmarkStart w:id="42" w:name="_Toc15396609"/>
      <w:bookmarkStart w:id="43" w:name="_Toc15377215"/>
      <w:bookmarkStart w:id="44" w:name="_Toc6926"/>
      <w:r>
        <w:rPr>
          <w:rFonts w:hint="eastAsia" w:ascii="黑体" w:eastAsia="黑体"/>
          <w:color w:val="000000"/>
          <w:szCs w:val="32"/>
        </w:rPr>
        <w:t>七、</w:t>
      </w:r>
      <w:r>
        <w:rPr>
          <w:rStyle w:val="17"/>
          <w:rFonts w:hint="eastAsia" w:ascii="黑体" w:hAnsi="黑体" w:eastAsia="黑体"/>
        </w:rPr>
        <w:t>“</w:t>
      </w:r>
      <w:r>
        <w:rPr>
          <w:rStyle w:val="17"/>
          <w:rFonts w:hint="eastAsia" w:ascii="黑体" w:hAnsi="黑体" w:eastAsia="黑体"/>
          <w:b w:val="0"/>
        </w:rPr>
        <w:t>三公”经费财政拨款支出决算情况说明</w:t>
      </w:r>
      <w:bookmarkEnd w:id="42"/>
      <w:bookmarkEnd w:id="43"/>
      <w:bookmarkEnd w:id="44"/>
    </w:p>
    <w:p>
      <w:pPr>
        <w:spacing w:line="600" w:lineRule="exact"/>
        <w:ind w:firstLine="640"/>
        <w:outlineLvl w:val="2"/>
        <w:rPr>
          <w:rFonts w:ascii="仿宋" w:hAnsi="仿宋" w:eastAsia="仿宋"/>
          <w:b/>
          <w:color w:val="000000"/>
          <w:szCs w:val="32"/>
        </w:rPr>
      </w:pPr>
      <w:bookmarkStart w:id="45" w:name="_Toc15377216"/>
      <w:r>
        <w:rPr>
          <w:rFonts w:hint="eastAsia" w:ascii="仿宋" w:hAnsi="仿宋" w:eastAsia="仿宋"/>
          <w:b/>
          <w:color w:val="000000"/>
          <w:szCs w:val="32"/>
        </w:rPr>
        <w:t>（一）“三公”经费财政拨款支出决算总体情况说明</w:t>
      </w:r>
      <w:bookmarkEnd w:id="45"/>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年“三公”经费财政拨款支出决算为0万元，完成预算0</w:t>
      </w:r>
      <w:r>
        <w:rPr>
          <w:rFonts w:ascii="仿宋" w:hAnsi="仿宋" w:eastAsia="仿宋"/>
          <w:color w:val="000000"/>
          <w:szCs w:val="32"/>
        </w:rPr>
        <w:t>%</w:t>
      </w:r>
      <w:r>
        <w:rPr>
          <w:rFonts w:hint="eastAsia" w:ascii="仿宋" w:hAnsi="仿宋" w:eastAsia="仿宋"/>
          <w:color w:val="000000"/>
          <w:szCs w:val="32"/>
        </w:rPr>
        <w:t>，决算数小于预算数的主要原因是2020年无“三公”经费支出。</w:t>
      </w:r>
    </w:p>
    <w:p>
      <w:pPr>
        <w:spacing w:line="600" w:lineRule="exact"/>
        <w:ind w:firstLine="640"/>
        <w:outlineLvl w:val="2"/>
        <w:rPr>
          <w:rFonts w:ascii="仿宋" w:hAnsi="仿宋" w:eastAsia="仿宋"/>
          <w:b/>
          <w:color w:val="000000"/>
          <w:szCs w:val="32"/>
        </w:rPr>
      </w:pPr>
      <w:bookmarkStart w:id="46" w:name="_Toc15377217"/>
      <w:r>
        <w:rPr>
          <w:rFonts w:hint="eastAsia" w:ascii="仿宋" w:hAnsi="仿宋" w:eastAsia="仿宋"/>
          <w:b/>
          <w:color w:val="000000"/>
          <w:szCs w:val="32"/>
        </w:rPr>
        <w:t>（二）“三公”经费财政拨款支出决算具体情况说明</w:t>
      </w:r>
      <w:bookmarkEnd w:id="46"/>
    </w:p>
    <w:p>
      <w:pPr>
        <w:spacing w:line="600" w:lineRule="exact"/>
        <w:ind w:firstLine="640"/>
        <w:rPr>
          <w:rFonts w:ascii="仿宋" w:hAnsi="仿宋" w:eastAsia="仿宋"/>
          <w:color w:val="000000"/>
          <w:szCs w:val="32"/>
        </w:rPr>
      </w:pPr>
      <w:r>
        <w:rPr>
          <w:rFonts w:ascii="仿宋" w:hAnsi="仿宋" w:eastAsia="仿宋"/>
          <w:color w:val="000000"/>
          <w:szCs w:val="32"/>
        </w:rPr>
        <w:t>2020</w:t>
      </w:r>
      <w:r>
        <w:rPr>
          <w:rFonts w:hint="eastAsia" w:ascii="仿宋" w:hAnsi="仿宋" w:eastAsia="仿宋"/>
          <w:color w:val="000000"/>
          <w:szCs w:val="32"/>
        </w:rPr>
        <w:t>年“三公”经费财政拨款支出决算中，因公出国（境）费支出决算0万元，占0</w:t>
      </w:r>
      <w:r>
        <w:rPr>
          <w:rFonts w:ascii="仿宋" w:hAnsi="仿宋" w:eastAsia="仿宋"/>
          <w:color w:val="000000"/>
          <w:szCs w:val="32"/>
        </w:rPr>
        <w:t>%</w:t>
      </w:r>
      <w:r>
        <w:rPr>
          <w:rFonts w:hint="eastAsia" w:ascii="仿宋" w:hAnsi="仿宋" w:eastAsia="仿宋"/>
          <w:color w:val="000000"/>
          <w:szCs w:val="32"/>
        </w:rPr>
        <w:t>；公务用车购置及运行维护费支出决算0万元，占0</w:t>
      </w:r>
      <w:r>
        <w:rPr>
          <w:rFonts w:ascii="仿宋" w:hAnsi="仿宋" w:eastAsia="仿宋"/>
          <w:color w:val="000000"/>
          <w:szCs w:val="32"/>
        </w:rPr>
        <w:t>%</w:t>
      </w:r>
      <w:r>
        <w:rPr>
          <w:rFonts w:hint="eastAsia" w:ascii="仿宋" w:hAnsi="仿宋" w:eastAsia="仿宋"/>
          <w:color w:val="000000"/>
          <w:szCs w:val="32"/>
        </w:rPr>
        <w:t>；公务接待费支出决算0万元，占0</w:t>
      </w:r>
      <w:r>
        <w:rPr>
          <w:rFonts w:ascii="仿宋" w:hAnsi="仿宋" w:eastAsia="仿宋"/>
          <w:color w:val="000000"/>
          <w:szCs w:val="32"/>
        </w:rPr>
        <w:t>%</w:t>
      </w:r>
      <w:r>
        <w:rPr>
          <w:rFonts w:hint="eastAsia" w:ascii="仿宋" w:hAnsi="仿宋" w:eastAsia="仿宋"/>
          <w:color w:val="000000"/>
          <w:szCs w:val="32"/>
        </w:rPr>
        <w:t>。具体情况如下：</w:t>
      </w: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p>
    <w:p>
      <w:pPr>
        <w:spacing w:line="600" w:lineRule="exact"/>
        <w:ind w:firstLine="640"/>
        <w:rPr>
          <w:rFonts w:ascii="仿宋" w:hAnsi="仿宋" w:eastAsia="仿宋"/>
          <w:color w:val="000000"/>
          <w:szCs w:val="32"/>
        </w:rPr>
      </w:pPr>
      <w:r>
        <w:rPr>
          <w:rFonts w:hint="eastAsia" w:ascii="仿宋" w:hAnsi="仿宋" w:eastAsia="仿宋"/>
          <w:color w:val="000000"/>
          <w:szCs w:val="32"/>
        </w:rPr>
        <w:drawing>
          <wp:anchor distT="0" distB="0" distL="114300" distR="114300" simplePos="0" relativeHeight="251659264" behindDoc="0" locked="0" layoutInCell="1" allowOverlap="1">
            <wp:simplePos x="0" y="0"/>
            <wp:positionH relativeFrom="column">
              <wp:posOffset>428625</wp:posOffset>
            </wp:positionH>
            <wp:positionV relativeFrom="paragraph">
              <wp:posOffset>-1381125</wp:posOffset>
            </wp:positionV>
            <wp:extent cx="5274310" cy="1685925"/>
            <wp:effectExtent l="19050" t="0" r="254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2" cstate="print"/>
                    <a:srcRect/>
                    <a:stretch>
                      <a:fillRect/>
                    </a:stretch>
                  </pic:blipFill>
                  <pic:spPr>
                    <a:xfrm>
                      <a:off x="0" y="0"/>
                      <a:ext cx="5274310" cy="1685925"/>
                    </a:xfrm>
                    <a:prstGeom prst="rect">
                      <a:avLst/>
                    </a:prstGeom>
                    <a:noFill/>
                    <a:ln w="9525">
                      <a:noFill/>
                      <a:miter lim="800000"/>
                      <a:headEnd/>
                      <a:tailEnd/>
                    </a:ln>
                  </pic:spPr>
                </pic:pic>
              </a:graphicData>
            </a:graphic>
          </wp:anchor>
        </w:drawing>
      </w:r>
    </w:p>
    <w:p>
      <w:pPr>
        <w:spacing w:line="600" w:lineRule="exact"/>
        <w:ind w:firstLine="640"/>
        <w:rPr>
          <w:rFonts w:ascii="仿宋" w:hAnsi="仿宋" w:eastAsia="仿宋"/>
          <w:color w:val="000000"/>
          <w:szCs w:val="32"/>
        </w:rPr>
      </w:pPr>
      <w:r>
        <w:rPr>
          <w:rFonts w:hint="eastAsia" w:ascii="仿宋" w:hAnsi="仿宋" w:eastAsia="仿宋"/>
          <w:color w:val="000000"/>
          <w:szCs w:val="32"/>
        </w:rPr>
        <w:t>（图</w:t>
      </w:r>
      <w:r>
        <w:rPr>
          <w:rFonts w:ascii="仿宋" w:hAnsi="仿宋" w:eastAsia="仿宋"/>
          <w:color w:val="000000"/>
          <w:szCs w:val="32"/>
        </w:rPr>
        <w:t>7</w:t>
      </w:r>
      <w:r>
        <w:rPr>
          <w:rFonts w:hint="eastAsia" w:ascii="仿宋" w:hAnsi="仿宋" w:eastAsia="仿宋"/>
          <w:color w:val="000000"/>
          <w:szCs w:val="32"/>
        </w:rPr>
        <w:t>：“三公”经费财政拨款支出结构）（饼状图）</w:t>
      </w:r>
    </w:p>
    <w:p>
      <w:pPr>
        <w:spacing w:line="600" w:lineRule="exact"/>
        <w:ind w:firstLine="640"/>
        <w:rPr>
          <w:rFonts w:ascii="仿宋" w:hAnsi="仿宋" w:eastAsia="仿宋"/>
          <w:bCs/>
          <w:color w:val="000000"/>
          <w:kern w:val="0"/>
          <w:szCs w:val="32"/>
        </w:rPr>
      </w:pPr>
      <w:r>
        <w:rPr>
          <w:rFonts w:ascii="仿宋" w:hAnsi="仿宋" w:eastAsia="仿宋"/>
          <w:bCs/>
          <w:color w:val="000000"/>
          <w:kern w:val="0"/>
          <w:szCs w:val="32"/>
        </w:rPr>
        <w:t>1.</w:t>
      </w:r>
      <w:r>
        <w:rPr>
          <w:rFonts w:hint="eastAsia" w:ascii="仿宋" w:hAnsi="仿宋" w:eastAsia="仿宋"/>
          <w:bCs/>
          <w:color w:val="000000"/>
          <w:kern w:val="0"/>
          <w:szCs w:val="32"/>
        </w:rPr>
        <w:t>因公出国（境）经费支出0万元，</w:t>
      </w:r>
      <w:r>
        <w:rPr>
          <w:rStyle w:val="14"/>
          <w:rFonts w:hint="eastAsia" w:ascii="仿宋" w:hAnsi="仿宋" w:eastAsia="仿宋"/>
          <w:b w:val="0"/>
          <w:bCs/>
          <w:color w:val="000000"/>
          <w:szCs w:val="32"/>
        </w:rPr>
        <w:t>年初无预算。</w:t>
      </w:r>
      <w:r>
        <w:rPr>
          <w:rFonts w:hint="eastAsia" w:ascii="仿宋" w:hAnsi="仿宋" w:eastAsia="仿宋"/>
          <w:bCs/>
          <w:color w:val="000000"/>
          <w:kern w:val="0"/>
          <w:szCs w:val="32"/>
        </w:rPr>
        <w:t>全年安排因公出国（境）团组0次，出国（境）0人。</w:t>
      </w:r>
    </w:p>
    <w:p>
      <w:pPr>
        <w:spacing w:line="600" w:lineRule="exact"/>
        <w:ind w:firstLine="640"/>
        <w:rPr>
          <w:rFonts w:ascii="仿宋_GB2312"/>
          <w:b/>
          <w:color w:val="000000"/>
          <w:szCs w:val="32"/>
        </w:rPr>
      </w:pPr>
      <w:r>
        <w:rPr>
          <w:rFonts w:ascii="仿宋" w:hAnsi="仿宋" w:eastAsia="仿宋"/>
          <w:bCs/>
          <w:color w:val="000000"/>
          <w:kern w:val="0"/>
          <w:szCs w:val="32"/>
        </w:rPr>
        <w:t>2.</w:t>
      </w:r>
      <w:r>
        <w:rPr>
          <w:rFonts w:hint="eastAsia" w:ascii="仿宋" w:hAnsi="仿宋" w:eastAsia="仿宋"/>
          <w:bCs/>
          <w:color w:val="000000"/>
          <w:kern w:val="0"/>
          <w:szCs w:val="32"/>
        </w:rPr>
        <w:t>公务用车购置及运行维护费支出0万元</w:t>
      </w:r>
      <w:r>
        <w:rPr>
          <w:rFonts w:ascii="仿宋" w:hAnsi="仿宋" w:eastAsia="仿宋"/>
          <w:bCs/>
          <w:color w:val="000000"/>
          <w:kern w:val="0"/>
          <w:szCs w:val="32"/>
        </w:rPr>
        <w:t>,</w:t>
      </w:r>
      <w:r>
        <w:rPr>
          <w:rStyle w:val="14"/>
          <w:rFonts w:hint="eastAsia" w:ascii="仿宋" w:hAnsi="仿宋" w:eastAsia="仿宋"/>
          <w:b w:val="0"/>
          <w:bCs/>
          <w:color w:val="000000"/>
          <w:szCs w:val="32"/>
        </w:rPr>
        <w:t xml:space="preserve"> 年初无预算。</w:t>
      </w:r>
      <w:r>
        <w:rPr>
          <w:rFonts w:hint="eastAsia" w:ascii="仿宋" w:hAnsi="仿宋" w:eastAsia="仿宋"/>
          <w:bCs/>
          <w:color w:val="000000"/>
          <w:kern w:val="0"/>
          <w:szCs w:val="32"/>
        </w:rPr>
        <w:t>公务用车购置及运行维护费支出决算比2019年持平。</w:t>
      </w:r>
    </w:p>
    <w:p>
      <w:pPr>
        <w:spacing w:line="60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其中：公务用车购置支出0万元。全年按规定更新购置公务用车0辆，其中：轿车0辆、金额0万元，越野车0辆、金额0万元，载客汽车0辆、金额0万元。截至</w:t>
      </w:r>
      <w:r>
        <w:rPr>
          <w:rFonts w:ascii="仿宋" w:hAnsi="仿宋" w:eastAsia="仿宋"/>
          <w:bCs/>
          <w:color w:val="000000"/>
          <w:kern w:val="0"/>
          <w:szCs w:val="32"/>
        </w:rPr>
        <w:t>2020</w:t>
      </w:r>
      <w:r>
        <w:rPr>
          <w:rFonts w:hint="eastAsia" w:ascii="仿宋" w:hAnsi="仿宋" w:eastAsia="仿宋"/>
          <w:bCs/>
          <w:color w:val="000000"/>
          <w:kern w:val="0"/>
          <w:szCs w:val="32"/>
        </w:rPr>
        <w:t>年</w:t>
      </w:r>
      <w:r>
        <w:rPr>
          <w:rFonts w:ascii="仿宋" w:hAnsi="仿宋" w:eastAsia="仿宋"/>
          <w:bCs/>
          <w:color w:val="000000"/>
          <w:kern w:val="0"/>
          <w:szCs w:val="32"/>
        </w:rPr>
        <w:t>12</w:t>
      </w:r>
      <w:r>
        <w:rPr>
          <w:rFonts w:hint="eastAsia" w:ascii="仿宋" w:hAnsi="仿宋" w:eastAsia="仿宋"/>
          <w:bCs/>
          <w:color w:val="000000"/>
          <w:kern w:val="0"/>
          <w:szCs w:val="32"/>
        </w:rPr>
        <w:t>月底，单位共有公务用车0辆，其中：轿车0辆、越野车0辆、载客汽车0辆。</w:t>
      </w:r>
    </w:p>
    <w:p>
      <w:pPr>
        <w:spacing w:line="600" w:lineRule="exact"/>
        <w:ind w:firstLine="640"/>
        <w:rPr>
          <w:rFonts w:ascii="仿宋" w:hAnsi="仿宋" w:eastAsia="仿宋"/>
          <w:bCs/>
          <w:color w:val="000000"/>
          <w:kern w:val="0"/>
          <w:szCs w:val="32"/>
        </w:rPr>
      </w:pPr>
      <w:r>
        <w:rPr>
          <w:rFonts w:hint="eastAsia" w:ascii="仿宋" w:hAnsi="仿宋" w:eastAsia="仿宋"/>
          <w:bCs/>
          <w:color w:val="000000"/>
          <w:kern w:val="0"/>
          <w:szCs w:val="32"/>
        </w:rPr>
        <w:t>公务用车运行维护费支出0万元。</w:t>
      </w:r>
    </w:p>
    <w:p>
      <w:pPr>
        <w:spacing w:line="600" w:lineRule="exact"/>
        <w:ind w:firstLine="640"/>
        <w:rPr>
          <w:rFonts w:ascii="仿宋" w:hAnsi="仿宋" w:eastAsia="仿宋"/>
          <w:bCs/>
          <w:color w:val="000000"/>
          <w:kern w:val="0"/>
          <w:szCs w:val="32"/>
        </w:rPr>
      </w:pPr>
      <w:r>
        <w:rPr>
          <w:rFonts w:ascii="仿宋" w:hAnsi="仿宋" w:eastAsia="仿宋"/>
          <w:bCs/>
          <w:color w:val="000000"/>
          <w:kern w:val="0"/>
          <w:szCs w:val="32"/>
        </w:rPr>
        <w:t>3.</w:t>
      </w:r>
      <w:r>
        <w:rPr>
          <w:rFonts w:hint="eastAsia" w:ascii="仿宋" w:hAnsi="仿宋" w:eastAsia="仿宋"/>
          <w:bCs/>
          <w:color w:val="000000"/>
          <w:kern w:val="0"/>
          <w:szCs w:val="32"/>
        </w:rPr>
        <w:t>公务接待费支出0万元，完成预算0</w:t>
      </w:r>
      <w:r>
        <w:rPr>
          <w:rFonts w:ascii="仿宋" w:hAnsi="仿宋" w:eastAsia="仿宋"/>
          <w:bCs/>
          <w:color w:val="000000"/>
          <w:kern w:val="0"/>
          <w:szCs w:val="32"/>
        </w:rPr>
        <w:t>%</w:t>
      </w:r>
      <w:r>
        <w:rPr>
          <w:rFonts w:hint="eastAsia" w:ascii="仿宋" w:hAnsi="仿宋" w:eastAsia="仿宋"/>
          <w:bCs/>
          <w:color w:val="000000"/>
          <w:kern w:val="0"/>
          <w:szCs w:val="32"/>
        </w:rPr>
        <w:t>。公务接待费支出决算比</w:t>
      </w:r>
      <w:r>
        <w:rPr>
          <w:rFonts w:ascii="仿宋" w:hAnsi="仿宋" w:eastAsia="仿宋"/>
          <w:bCs/>
          <w:color w:val="000000"/>
          <w:kern w:val="0"/>
          <w:szCs w:val="32"/>
        </w:rPr>
        <w:t>2019</w:t>
      </w:r>
      <w:r>
        <w:rPr>
          <w:rFonts w:hint="eastAsia" w:ascii="仿宋" w:hAnsi="仿宋" w:eastAsia="仿宋"/>
          <w:bCs/>
          <w:color w:val="000000"/>
          <w:kern w:val="0"/>
          <w:szCs w:val="32"/>
        </w:rPr>
        <w:t>年持平。其中：</w:t>
      </w:r>
    </w:p>
    <w:p>
      <w:pPr>
        <w:spacing w:line="600" w:lineRule="exact"/>
        <w:ind w:firstLine="640"/>
        <w:rPr>
          <w:rFonts w:ascii="仿宋" w:hAnsi="仿宋" w:eastAsia="仿宋"/>
          <w:bCs/>
          <w:color w:val="000000"/>
          <w:kern w:val="0"/>
          <w:szCs w:val="32"/>
        </w:rPr>
      </w:pPr>
      <w:r>
        <w:rPr>
          <w:rFonts w:hint="eastAsia" w:ascii="仿宋" w:hAnsi="仿宋" w:eastAsia="仿宋"/>
          <w:bCs/>
          <w:color w:val="000000"/>
          <w:kern w:val="0"/>
          <w:szCs w:val="32"/>
        </w:rPr>
        <w:t>国内公务接待支出0万元。国内公务接待0批次，0人次（不包括陪同人员），共计支出0万元。</w:t>
      </w:r>
    </w:p>
    <w:p>
      <w:pPr>
        <w:spacing w:line="60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外事接待支出0万元，外事接待0批次，0人，共计支出0万元。</w:t>
      </w:r>
    </w:p>
    <w:p>
      <w:pPr>
        <w:spacing w:line="600" w:lineRule="exact"/>
        <w:ind w:firstLine="640"/>
        <w:outlineLvl w:val="1"/>
        <w:rPr>
          <w:rStyle w:val="17"/>
          <w:rFonts w:ascii="黑体" w:hAnsi="黑体" w:eastAsia="黑体"/>
        </w:rPr>
      </w:pPr>
      <w:bookmarkStart w:id="47" w:name="_Toc15396610"/>
      <w:bookmarkStart w:id="48" w:name="_Toc15377218"/>
      <w:bookmarkStart w:id="49" w:name="_Toc9843"/>
      <w:r>
        <w:rPr>
          <w:rFonts w:hint="eastAsia" w:ascii="黑体" w:eastAsia="黑体"/>
          <w:color w:val="000000"/>
          <w:szCs w:val="32"/>
        </w:rPr>
        <w:t>八、</w:t>
      </w:r>
      <w:r>
        <w:rPr>
          <w:rStyle w:val="17"/>
          <w:rFonts w:hint="eastAsia" w:ascii="黑体" w:hAnsi="黑体" w:eastAsia="黑体"/>
          <w:b w:val="0"/>
        </w:rPr>
        <w:t>政府性基金预算支出决算情况说明</w:t>
      </w:r>
      <w:bookmarkEnd w:id="47"/>
      <w:bookmarkEnd w:id="48"/>
      <w:bookmarkEnd w:id="49"/>
    </w:p>
    <w:p>
      <w:pPr>
        <w:spacing w:line="600" w:lineRule="exact"/>
        <w:ind w:firstLine="640"/>
        <w:rPr>
          <w:rFonts w:ascii="仿宋" w:hAnsi="仿宋" w:eastAsia="仿宋"/>
          <w:bCs/>
          <w:color w:val="000000"/>
          <w:kern w:val="0"/>
          <w:szCs w:val="32"/>
        </w:rPr>
      </w:pPr>
      <w:r>
        <w:rPr>
          <w:rFonts w:ascii="仿宋" w:hAnsi="仿宋" w:eastAsia="仿宋"/>
          <w:bCs/>
          <w:color w:val="000000"/>
          <w:kern w:val="0"/>
          <w:szCs w:val="32"/>
        </w:rPr>
        <w:t>2020</w:t>
      </w:r>
      <w:r>
        <w:rPr>
          <w:rFonts w:hint="eastAsia" w:ascii="仿宋" w:hAnsi="仿宋" w:eastAsia="仿宋"/>
          <w:bCs/>
          <w:color w:val="000000"/>
          <w:kern w:val="0"/>
          <w:szCs w:val="32"/>
        </w:rPr>
        <w:t>年政府性基金预算拨款支出0万元。</w:t>
      </w:r>
    </w:p>
    <w:p>
      <w:pPr>
        <w:numPr>
          <w:ilvl w:val="0"/>
          <w:numId w:val="3"/>
        </w:numPr>
        <w:spacing w:line="600" w:lineRule="exact"/>
        <w:ind w:firstLine="640"/>
        <w:outlineLvl w:val="1"/>
        <w:rPr>
          <w:rStyle w:val="17"/>
          <w:rFonts w:ascii="黑体" w:hAnsi="黑体" w:eastAsia="黑体"/>
          <w:b w:val="0"/>
        </w:rPr>
      </w:pPr>
      <w:bookmarkStart w:id="50" w:name="_Toc15377219"/>
      <w:bookmarkStart w:id="51" w:name="_Toc15396611"/>
      <w:bookmarkStart w:id="52" w:name="_Toc10775"/>
      <w:r>
        <w:rPr>
          <w:rStyle w:val="17"/>
          <w:rFonts w:hint="eastAsia" w:ascii="黑体" w:hAnsi="黑体" w:eastAsia="黑体"/>
          <w:b w:val="0"/>
        </w:rPr>
        <w:t>国有资本经营预算支出决算情况说明</w:t>
      </w:r>
      <w:bookmarkEnd w:id="50"/>
      <w:bookmarkEnd w:id="51"/>
      <w:bookmarkEnd w:id="52"/>
    </w:p>
    <w:p>
      <w:pPr>
        <w:spacing w:line="600" w:lineRule="exact"/>
        <w:ind w:firstLine="640"/>
        <w:rPr>
          <w:rFonts w:ascii="仿宋" w:hAnsi="仿宋" w:eastAsia="仿宋"/>
          <w:bCs/>
          <w:color w:val="000000"/>
          <w:kern w:val="0"/>
          <w:szCs w:val="32"/>
        </w:rPr>
      </w:pPr>
      <w:r>
        <w:rPr>
          <w:rFonts w:ascii="仿宋" w:hAnsi="仿宋" w:eastAsia="仿宋"/>
          <w:bCs/>
          <w:color w:val="000000"/>
          <w:kern w:val="0"/>
          <w:szCs w:val="32"/>
        </w:rPr>
        <w:t>2020</w:t>
      </w:r>
      <w:r>
        <w:rPr>
          <w:rFonts w:hint="eastAsia" w:ascii="仿宋" w:hAnsi="仿宋" w:eastAsia="仿宋"/>
          <w:bCs/>
          <w:color w:val="000000"/>
          <w:kern w:val="0"/>
          <w:szCs w:val="32"/>
        </w:rPr>
        <w:t>年国有资本经营预算拨款支出0万元。</w:t>
      </w:r>
    </w:p>
    <w:p>
      <w:pPr>
        <w:spacing w:line="600" w:lineRule="exact"/>
        <w:ind w:firstLine="800" w:firstLineChars="250"/>
        <w:outlineLvl w:val="1"/>
        <w:rPr>
          <w:rStyle w:val="17"/>
          <w:rFonts w:ascii="黑体" w:hAnsi="黑体" w:eastAsia="黑体"/>
        </w:rPr>
      </w:pPr>
      <w:bookmarkStart w:id="53" w:name="_Toc15396612"/>
      <w:bookmarkStart w:id="54" w:name="_Toc15377221"/>
      <w:bookmarkStart w:id="55" w:name="_Toc738"/>
      <w:r>
        <w:rPr>
          <w:rFonts w:hint="eastAsia" w:ascii="黑体" w:hAnsi="黑体" w:eastAsia="黑体"/>
          <w:color w:val="000000"/>
          <w:szCs w:val="32"/>
        </w:rPr>
        <w:t>十</w:t>
      </w:r>
      <w:r>
        <w:rPr>
          <w:rStyle w:val="17"/>
          <w:rFonts w:hint="eastAsia" w:ascii="黑体" w:hAnsi="黑体" w:eastAsia="黑体"/>
        </w:rPr>
        <w:t>、</w:t>
      </w:r>
      <w:r>
        <w:rPr>
          <w:rStyle w:val="17"/>
          <w:rFonts w:hint="eastAsia" w:ascii="黑体" w:hAnsi="黑体" w:eastAsia="黑体"/>
          <w:b w:val="0"/>
        </w:rPr>
        <w:t>其他重要事项的情况说明</w:t>
      </w:r>
      <w:bookmarkEnd w:id="53"/>
      <w:bookmarkEnd w:id="54"/>
      <w:bookmarkEnd w:id="55"/>
    </w:p>
    <w:p>
      <w:pPr>
        <w:spacing w:line="600" w:lineRule="exact"/>
        <w:ind w:firstLine="643" w:firstLineChars="200"/>
        <w:outlineLvl w:val="2"/>
        <w:rPr>
          <w:rFonts w:ascii="仿宋" w:hAnsi="仿宋" w:eastAsia="仿宋"/>
          <w:color w:val="000000"/>
          <w:szCs w:val="32"/>
        </w:rPr>
      </w:pPr>
      <w:bookmarkStart w:id="56" w:name="_Toc15377222"/>
      <w:r>
        <w:rPr>
          <w:rFonts w:hint="eastAsia" w:ascii="仿宋" w:hAnsi="仿宋" w:eastAsia="仿宋"/>
          <w:b/>
          <w:color w:val="000000"/>
          <w:szCs w:val="32"/>
        </w:rPr>
        <w:t>（一）机关运行经费支出情况</w:t>
      </w:r>
      <w:bookmarkEnd w:id="56"/>
    </w:p>
    <w:p>
      <w:pPr>
        <w:spacing w:line="600"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2020</w:t>
      </w:r>
      <w:r>
        <w:rPr>
          <w:rFonts w:hint="eastAsia" w:ascii="仿宋" w:hAnsi="仿宋" w:eastAsia="仿宋"/>
          <w:bCs/>
          <w:color w:val="000000"/>
          <w:kern w:val="0"/>
          <w:szCs w:val="32"/>
        </w:rPr>
        <w:t>年，自流井区行政审批局机关运行经费支出92.22万元，比</w:t>
      </w:r>
      <w:r>
        <w:rPr>
          <w:rFonts w:ascii="仿宋" w:hAnsi="仿宋" w:eastAsia="仿宋"/>
          <w:bCs/>
          <w:color w:val="000000"/>
          <w:kern w:val="0"/>
          <w:szCs w:val="32"/>
        </w:rPr>
        <w:t>2019</w:t>
      </w:r>
      <w:r>
        <w:rPr>
          <w:rFonts w:hint="eastAsia" w:ascii="仿宋" w:hAnsi="仿宋" w:eastAsia="仿宋"/>
          <w:bCs/>
          <w:color w:val="000000"/>
          <w:kern w:val="0"/>
          <w:szCs w:val="32"/>
        </w:rPr>
        <w:t>年增加22.89万元，增长33.02</w:t>
      </w:r>
      <w:r>
        <w:rPr>
          <w:rFonts w:ascii="仿宋" w:hAnsi="仿宋" w:eastAsia="仿宋"/>
          <w:bCs/>
          <w:color w:val="000000"/>
          <w:kern w:val="0"/>
          <w:szCs w:val="32"/>
        </w:rPr>
        <w:t>%</w:t>
      </w:r>
      <w:r>
        <w:rPr>
          <w:rFonts w:hint="eastAsia" w:ascii="仿宋" w:hAnsi="仿宋" w:eastAsia="仿宋"/>
          <w:bCs/>
          <w:color w:val="000000"/>
          <w:kern w:val="0"/>
          <w:szCs w:val="32"/>
        </w:rPr>
        <w:t>。主要原因是2020年增加了全区行政审批事项运行经费。</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7" w:name="_Toc15377223"/>
      <w:r>
        <w:rPr>
          <w:rFonts w:hint="eastAsia" w:ascii="仿宋" w:hAnsi="仿宋" w:eastAsia="仿宋"/>
          <w:b/>
          <w:color w:val="000000"/>
          <w:szCs w:val="32"/>
        </w:rPr>
        <w:t>（二）政府采购支出情况</w:t>
      </w:r>
      <w:bookmarkEnd w:id="57"/>
    </w:p>
    <w:p>
      <w:pPr>
        <w:spacing w:line="600"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2020</w:t>
      </w:r>
      <w:r>
        <w:rPr>
          <w:rFonts w:hint="eastAsia" w:ascii="仿宋" w:hAnsi="仿宋" w:eastAsia="仿宋"/>
          <w:bCs/>
          <w:color w:val="000000"/>
          <w:kern w:val="0"/>
          <w:szCs w:val="32"/>
        </w:rPr>
        <w:t>年，自流井区行政审批局政府采购支出总额20.69万元，其中：政府采购货物支出20.69万元、政府采购工程支出0万元、政府采购服务支出0万元。主要用于购买“</w:t>
      </w:r>
      <w:r>
        <w:rPr>
          <w:rFonts w:hint="eastAsia" w:ascii="仿宋" w:hAnsi="仿宋" w:eastAsia="仿宋"/>
          <w:color w:val="000000"/>
          <w:szCs w:val="32"/>
        </w:rPr>
        <w:t>好差评”系统设备及政务大厅计算机等办公设备</w:t>
      </w:r>
      <w:r>
        <w:rPr>
          <w:rFonts w:hint="eastAsia" w:ascii="仿宋" w:hAnsi="仿宋" w:eastAsia="仿宋"/>
          <w:bCs/>
          <w:color w:val="000000"/>
          <w:kern w:val="0"/>
          <w:szCs w:val="32"/>
        </w:rPr>
        <w:t>。授予中小企业合同金额20.69万元，占政府采购支出总额的100</w:t>
      </w:r>
      <w:r>
        <w:rPr>
          <w:rFonts w:ascii="仿宋" w:hAnsi="仿宋" w:eastAsia="仿宋"/>
          <w:bCs/>
          <w:color w:val="000000"/>
          <w:kern w:val="0"/>
          <w:szCs w:val="32"/>
        </w:rPr>
        <w:t>%</w:t>
      </w:r>
      <w:r>
        <w:rPr>
          <w:rFonts w:hint="eastAsia" w:ascii="仿宋" w:hAnsi="仿宋" w:eastAsia="仿宋"/>
          <w:bCs/>
          <w:color w:val="000000"/>
          <w:kern w:val="0"/>
          <w:szCs w:val="32"/>
        </w:rPr>
        <w:t>，其中：授予小微企业合同金额20.69万元，占政府采购支出总额的100</w:t>
      </w:r>
      <w:r>
        <w:rPr>
          <w:rFonts w:ascii="仿宋" w:hAnsi="仿宋" w:eastAsia="仿宋"/>
          <w:bCs/>
          <w:color w:val="000000"/>
          <w:kern w:val="0"/>
          <w:szCs w:val="32"/>
        </w:rPr>
        <w:t>%</w:t>
      </w:r>
      <w:r>
        <w:rPr>
          <w:rFonts w:hint="eastAsia" w:ascii="仿宋" w:hAnsi="仿宋" w:eastAsia="仿宋"/>
          <w:bCs/>
          <w:color w:val="000000"/>
          <w:kern w:val="0"/>
          <w:szCs w:val="32"/>
        </w:rPr>
        <w:t>。</w:t>
      </w:r>
    </w:p>
    <w:p>
      <w:pPr>
        <w:autoSpaceDE w:val="0"/>
        <w:autoSpaceDN w:val="0"/>
        <w:adjustRightInd w:val="0"/>
        <w:spacing w:line="600" w:lineRule="exact"/>
        <w:ind w:firstLine="643" w:firstLineChars="200"/>
        <w:jc w:val="left"/>
        <w:outlineLvl w:val="2"/>
        <w:rPr>
          <w:rFonts w:ascii="仿宋" w:hAnsi="仿宋" w:eastAsia="仿宋"/>
          <w:b/>
          <w:color w:val="000000"/>
          <w:szCs w:val="32"/>
        </w:rPr>
      </w:pPr>
      <w:bookmarkStart w:id="58" w:name="_Toc15377224"/>
      <w:r>
        <w:rPr>
          <w:rFonts w:hint="eastAsia" w:ascii="仿宋" w:hAnsi="仿宋" w:eastAsia="仿宋"/>
          <w:b/>
          <w:color w:val="000000"/>
          <w:szCs w:val="32"/>
        </w:rPr>
        <w:t>（三）国有资产占有使用情况</w:t>
      </w:r>
      <w:bookmarkEnd w:id="58"/>
    </w:p>
    <w:p>
      <w:pPr>
        <w:autoSpaceDE w:val="0"/>
        <w:autoSpaceDN w:val="0"/>
        <w:adjustRightInd w:val="0"/>
        <w:spacing w:line="600" w:lineRule="exact"/>
        <w:ind w:firstLine="640" w:firstLineChars="200"/>
        <w:jc w:val="left"/>
        <w:rPr>
          <w:rFonts w:ascii="仿宋" w:hAnsi="仿宋" w:eastAsia="仿宋"/>
          <w:bCs/>
          <w:color w:val="000000"/>
          <w:kern w:val="0"/>
          <w:szCs w:val="32"/>
        </w:rPr>
      </w:pPr>
      <w:r>
        <w:rPr>
          <w:rFonts w:hint="eastAsia" w:ascii="仿宋" w:hAnsi="仿宋" w:eastAsia="仿宋"/>
          <w:bCs/>
          <w:color w:val="000000"/>
          <w:kern w:val="0"/>
          <w:szCs w:val="32"/>
        </w:rPr>
        <w:t>截至</w:t>
      </w:r>
      <w:r>
        <w:rPr>
          <w:rFonts w:ascii="仿宋" w:hAnsi="仿宋" w:eastAsia="仿宋"/>
          <w:bCs/>
          <w:color w:val="000000"/>
          <w:kern w:val="0"/>
          <w:szCs w:val="32"/>
        </w:rPr>
        <w:t>2020</w:t>
      </w:r>
      <w:r>
        <w:rPr>
          <w:rFonts w:hint="eastAsia" w:ascii="仿宋" w:hAnsi="仿宋" w:eastAsia="仿宋"/>
          <w:bCs/>
          <w:color w:val="000000"/>
          <w:kern w:val="0"/>
          <w:szCs w:val="32"/>
        </w:rPr>
        <w:t>年</w:t>
      </w:r>
      <w:r>
        <w:rPr>
          <w:rFonts w:ascii="仿宋" w:hAnsi="仿宋" w:eastAsia="仿宋"/>
          <w:bCs/>
          <w:color w:val="000000"/>
          <w:kern w:val="0"/>
          <w:szCs w:val="32"/>
        </w:rPr>
        <w:t>12</w:t>
      </w:r>
      <w:r>
        <w:rPr>
          <w:rFonts w:hint="eastAsia" w:ascii="仿宋" w:hAnsi="仿宋" w:eastAsia="仿宋"/>
          <w:bCs/>
          <w:color w:val="000000"/>
          <w:kern w:val="0"/>
          <w:szCs w:val="32"/>
        </w:rPr>
        <w:t>月</w:t>
      </w:r>
      <w:r>
        <w:rPr>
          <w:rFonts w:ascii="仿宋" w:hAnsi="仿宋" w:eastAsia="仿宋"/>
          <w:bCs/>
          <w:color w:val="000000"/>
          <w:kern w:val="0"/>
          <w:szCs w:val="32"/>
        </w:rPr>
        <w:t>31</w:t>
      </w:r>
      <w:r>
        <w:rPr>
          <w:rFonts w:hint="eastAsia" w:ascii="仿宋" w:hAnsi="仿宋" w:eastAsia="仿宋"/>
          <w:bCs/>
          <w:color w:val="000000"/>
          <w:kern w:val="0"/>
          <w:szCs w:val="32"/>
        </w:rPr>
        <w:t>日，自流井区行政审批局共有车辆0辆，其中：主要领导干部用车0辆、机要通信用车0辆、应急保障用车0辆、其他用车0辆、单价</w:t>
      </w:r>
      <w:r>
        <w:rPr>
          <w:rFonts w:ascii="仿宋" w:hAnsi="仿宋" w:eastAsia="仿宋"/>
          <w:bCs/>
          <w:color w:val="000000"/>
          <w:kern w:val="0"/>
          <w:szCs w:val="32"/>
        </w:rPr>
        <w:t>50</w:t>
      </w:r>
      <w:r>
        <w:rPr>
          <w:rFonts w:hint="eastAsia" w:ascii="仿宋" w:hAnsi="仿宋" w:eastAsia="仿宋"/>
          <w:bCs/>
          <w:color w:val="000000"/>
          <w:kern w:val="0"/>
          <w:szCs w:val="32"/>
        </w:rPr>
        <w:t>万元以上通用设备0台（套），单价</w:t>
      </w:r>
      <w:r>
        <w:rPr>
          <w:rFonts w:ascii="仿宋" w:hAnsi="仿宋" w:eastAsia="仿宋"/>
          <w:bCs/>
          <w:color w:val="000000"/>
          <w:kern w:val="0"/>
          <w:szCs w:val="32"/>
        </w:rPr>
        <w:t>100</w:t>
      </w:r>
      <w:r>
        <w:rPr>
          <w:rFonts w:hint="eastAsia" w:ascii="仿宋" w:hAnsi="仿宋" w:eastAsia="仿宋"/>
          <w:bCs/>
          <w:color w:val="000000"/>
          <w:kern w:val="0"/>
          <w:szCs w:val="32"/>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Cs w:val="32"/>
        </w:rPr>
      </w:pPr>
      <w:r>
        <w:rPr>
          <w:rFonts w:hint="eastAsia" w:ascii="仿宋" w:hAnsi="仿宋" w:eastAsia="仿宋"/>
          <w:b/>
          <w:color w:val="000000"/>
          <w:szCs w:val="32"/>
        </w:rPr>
        <w:t>（四）预算绩效管理情况。</w:t>
      </w:r>
    </w:p>
    <w:p>
      <w:pPr>
        <w:spacing w:line="58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根据预算绩效管理要求，本部门（单位）在年初预算编制阶段，组织对</w:t>
      </w:r>
      <w:r>
        <w:rPr>
          <w:rFonts w:ascii="仿宋" w:hAnsi="仿宋" w:eastAsia="仿宋"/>
          <w:bCs/>
          <w:color w:val="000000"/>
          <w:kern w:val="0"/>
          <w:szCs w:val="32"/>
        </w:rPr>
        <w:t>政务审批大厅运行</w:t>
      </w:r>
      <w:r>
        <w:rPr>
          <w:rFonts w:hint="eastAsia" w:ascii="仿宋" w:hAnsi="仿宋" w:eastAsia="仿宋"/>
          <w:bCs/>
          <w:color w:val="000000"/>
          <w:kern w:val="0"/>
          <w:szCs w:val="32"/>
        </w:rPr>
        <w:t>项目开展了预算事前绩效评估，对1个项目编制了绩效目标，预算执行过程中，选取1个项目开展绩效监控，年终执行完毕后，对1个项目开展了绩效目标完成情况自评。</w:t>
      </w:r>
    </w:p>
    <w:p>
      <w:pPr>
        <w:spacing w:line="58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本部门按要求对</w:t>
      </w:r>
      <w:r>
        <w:rPr>
          <w:rFonts w:ascii="仿宋" w:hAnsi="仿宋" w:eastAsia="仿宋"/>
          <w:bCs/>
          <w:color w:val="000000"/>
          <w:kern w:val="0"/>
          <w:szCs w:val="32"/>
        </w:rPr>
        <w:t>2020</w:t>
      </w:r>
      <w:r>
        <w:rPr>
          <w:rFonts w:hint="eastAsia" w:ascii="仿宋" w:hAnsi="仿宋" w:eastAsia="仿宋"/>
          <w:bCs/>
          <w:color w:val="000000"/>
          <w:kern w:val="0"/>
          <w:szCs w:val="32"/>
        </w:rPr>
        <w:t>年部门整体支出开展绩效自评，从评价情况来看</w:t>
      </w:r>
      <w:r>
        <w:rPr>
          <w:rFonts w:ascii="仿宋" w:hAnsi="仿宋" w:eastAsia="仿宋"/>
          <w:bCs/>
          <w:color w:val="000000"/>
          <w:kern w:val="0"/>
          <w:szCs w:val="32"/>
        </w:rPr>
        <w:t>我局部门整体支出绩效评价自评结 果较好，全年基本支出保证了部门的正常运行和日常工作的正常开展，项目支出保障了重点工作的开展，绩效目标得到较好实现，绩效管理水平不断提高，绩效指标体系逐渐丰富和完善。从评价情况来看，项目年初预算科学合理、项目资金使用规范、项目进度动态监控、项目绩效目标完成较好、 无违规记录等情况。</w:t>
      </w:r>
    </w:p>
    <w:p>
      <w:pPr>
        <w:spacing w:line="580" w:lineRule="exact"/>
        <w:ind w:firstLine="560" w:firstLineChars="200"/>
        <w:rPr>
          <w:rFonts w:ascii="仿宋" w:hAnsi="仿宋" w:eastAsia="仿宋"/>
          <w:bCs/>
          <w:color w:val="000000"/>
          <w:kern w:val="0"/>
          <w:szCs w:val="32"/>
        </w:rPr>
      </w:pPr>
      <w:r>
        <w:rPr>
          <w:rFonts w:ascii="仿宋_GB2312" w:hAnsi="仿宋_GB2312" w:cs="仿宋_GB2312"/>
          <w:sz w:val="28"/>
          <w:szCs w:val="28"/>
        </w:rPr>
        <w:t>1.</w:t>
      </w:r>
      <w:r>
        <w:rPr>
          <w:rFonts w:hint="eastAsia" w:ascii="仿宋_GB2312" w:hAnsi="仿宋_GB2312" w:cs="仿宋_GB2312"/>
          <w:sz w:val="28"/>
          <w:szCs w:val="28"/>
        </w:rPr>
        <w:t>项目绩效目标完成情况。</w:t>
      </w:r>
      <w:r>
        <w:rPr>
          <w:rFonts w:ascii="仿宋_GB2312" w:hAnsi="仿宋_GB2312" w:cs="仿宋_GB2312"/>
          <w:sz w:val="28"/>
          <w:szCs w:val="28"/>
        </w:rPr>
        <w:br w:type="textWrapping"/>
      </w:r>
      <w:r>
        <w:rPr>
          <w:rFonts w:ascii="仿宋_GB2312" w:hAnsi="仿宋_GB2312" w:cs="仿宋_GB2312"/>
          <w:sz w:val="28"/>
          <w:szCs w:val="28"/>
        </w:rPr>
        <w:t xml:space="preserve">    </w:t>
      </w:r>
      <w:r>
        <w:rPr>
          <w:rFonts w:hint="eastAsia" w:ascii="仿宋" w:hAnsi="仿宋" w:eastAsia="仿宋"/>
          <w:bCs/>
          <w:color w:val="000000"/>
          <w:kern w:val="0"/>
          <w:szCs w:val="32"/>
        </w:rPr>
        <w:t>本部门在</w:t>
      </w:r>
      <w:r>
        <w:rPr>
          <w:rFonts w:ascii="仿宋" w:hAnsi="仿宋" w:eastAsia="仿宋"/>
          <w:bCs/>
          <w:color w:val="000000"/>
          <w:kern w:val="0"/>
          <w:szCs w:val="32"/>
        </w:rPr>
        <w:t>2020</w:t>
      </w:r>
      <w:r>
        <w:rPr>
          <w:rFonts w:hint="eastAsia" w:ascii="仿宋" w:hAnsi="仿宋" w:eastAsia="仿宋"/>
          <w:bCs/>
          <w:color w:val="000000"/>
          <w:kern w:val="0"/>
          <w:szCs w:val="32"/>
        </w:rPr>
        <w:t>年度部门决算中反映“</w:t>
      </w:r>
      <w:r>
        <w:rPr>
          <w:rFonts w:ascii="仿宋" w:hAnsi="仿宋" w:eastAsia="仿宋"/>
          <w:bCs/>
          <w:color w:val="000000"/>
          <w:kern w:val="0"/>
          <w:szCs w:val="32"/>
        </w:rPr>
        <w:t>政务审批大厅运行”</w:t>
      </w:r>
      <w:r>
        <w:rPr>
          <w:rFonts w:hint="eastAsia" w:ascii="仿宋" w:hAnsi="仿宋" w:eastAsia="仿宋"/>
          <w:bCs/>
          <w:color w:val="000000"/>
          <w:kern w:val="0"/>
          <w:szCs w:val="32"/>
        </w:rPr>
        <w:t>等1个项目绩效目标实际完成情况。</w:t>
      </w:r>
    </w:p>
    <w:p>
      <w:pPr>
        <w:adjustRightInd w:val="0"/>
        <w:snapToGrid w:val="0"/>
        <w:spacing w:line="592" w:lineRule="exact"/>
        <w:ind w:firstLine="608"/>
        <w:rPr>
          <w:rFonts w:ascii="仿宋" w:hAnsi="仿宋" w:eastAsia="仿宋"/>
          <w:bCs/>
          <w:color w:val="000000"/>
          <w:kern w:val="0"/>
          <w:szCs w:val="32"/>
        </w:rPr>
      </w:pPr>
      <w:r>
        <w:rPr>
          <w:rFonts w:hint="eastAsia" w:ascii="仿宋" w:hAnsi="仿宋" w:eastAsia="仿宋"/>
          <w:bCs/>
          <w:color w:val="000000"/>
          <w:kern w:val="0"/>
          <w:szCs w:val="32"/>
        </w:rPr>
        <w:t>“</w:t>
      </w:r>
      <w:r>
        <w:rPr>
          <w:rFonts w:ascii="仿宋" w:hAnsi="仿宋" w:eastAsia="仿宋"/>
          <w:bCs/>
          <w:color w:val="000000"/>
          <w:kern w:val="0"/>
          <w:szCs w:val="32"/>
        </w:rPr>
        <w:t>政务审批大厅运行”</w:t>
      </w:r>
      <w:r>
        <w:rPr>
          <w:rFonts w:hint="eastAsia" w:ascii="仿宋" w:hAnsi="仿宋" w:eastAsia="仿宋"/>
          <w:bCs/>
          <w:color w:val="000000"/>
          <w:kern w:val="0"/>
          <w:szCs w:val="32"/>
        </w:rPr>
        <w:t>项目绩效目标完成情况综述。项目全年预算数51.00万元，执行数为51.00万元，完成预算的100</w:t>
      </w:r>
      <w:r>
        <w:rPr>
          <w:rFonts w:ascii="仿宋" w:hAnsi="仿宋" w:eastAsia="仿宋"/>
          <w:bCs/>
          <w:color w:val="000000"/>
          <w:kern w:val="0"/>
          <w:szCs w:val="32"/>
        </w:rPr>
        <w:t>%</w:t>
      </w:r>
      <w:r>
        <w:rPr>
          <w:rFonts w:hint="eastAsia" w:ascii="仿宋" w:hAnsi="仿宋" w:eastAsia="仿宋"/>
          <w:bCs/>
          <w:color w:val="000000"/>
          <w:kern w:val="0"/>
          <w:szCs w:val="32"/>
        </w:rPr>
        <w:t>。通过项目实施，保障了全区审批事项的事项的划转、审批及政务大厅各项工作，的推进，</w:t>
      </w:r>
      <w:r>
        <w:rPr>
          <w:rFonts w:ascii="仿宋" w:hAnsi="仿宋" w:eastAsia="仿宋"/>
          <w:bCs/>
          <w:color w:val="000000"/>
          <w:kern w:val="0"/>
          <w:szCs w:val="32"/>
        </w:rPr>
        <w:t>全区评价满意度99.9%，群众回访满意率100%。</w:t>
      </w:r>
    </w:p>
    <w:p>
      <w:pPr>
        <w:spacing w:line="58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发现的主要问题：</w:t>
      </w:r>
      <w:r>
        <w:rPr>
          <w:rFonts w:ascii="仿宋" w:hAnsi="仿宋" w:eastAsia="仿宋"/>
          <w:bCs/>
          <w:color w:val="000000"/>
          <w:kern w:val="0"/>
          <w:szCs w:val="32"/>
        </w:rPr>
        <w:t>行政审批互联互通尚有差距。部门间信息壁垒打通还需加强。</w:t>
      </w:r>
      <w:r>
        <w:rPr>
          <w:rFonts w:hint="eastAsia" w:ascii="仿宋" w:hAnsi="仿宋" w:eastAsia="仿宋"/>
          <w:bCs/>
          <w:color w:val="000000"/>
          <w:kern w:val="0"/>
          <w:szCs w:val="32"/>
        </w:rPr>
        <w:t>下一步改进措施：</w:t>
      </w:r>
      <w:r>
        <w:rPr>
          <w:rFonts w:ascii="仿宋" w:hAnsi="仿宋" w:eastAsia="仿宋"/>
          <w:bCs/>
          <w:color w:val="000000"/>
          <w:kern w:val="0"/>
          <w:szCs w:val="32"/>
        </w:rPr>
        <w:t>持续优化创新审批服务流程。全力推行“一事一办”改革，进一步完善、梳理“一件事”清单。</w:t>
      </w:r>
    </w:p>
    <w:tbl>
      <w:tblPr>
        <w:tblStyle w:val="12"/>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9960"/>
      </w:tblGrid>
      <w:tr>
        <w:tblPrEx>
          <w:tblCellMar>
            <w:top w:w="0" w:type="dxa"/>
            <w:left w:w="0" w:type="dxa"/>
            <w:bottom w:w="0" w:type="dxa"/>
            <w:right w:w="0" w:type="dxa"/>
          </w:tblCellMar>
        </w:tblPrEx>
        <w:trPr>
          <w:trHeight w:val="1034" w:hRule="atLeast"/>
          <w:jc w:val="center"/>
        </w:trPr>
        <w:tc>
          <w:tcPr>
            <w:tcW w:w="9960" w:type="dxa"/>
            <w:tcBorders>
              <w:top w:val="nil"/>
              <w:left w:val="nil"/>
              <w:bottom w:val="nil"/>
              <w:right w:val="nil"/>
            </w:tcBorders>
            <w:noWrap/>
            <w:tcMar>
              <w:top w:w="15" w:type="dxa"/>
              <w:left w:w="15" w:type="dxa"/>
              <w:right w:w="15" w:type="dxa"/>
            </w:tcMar>
            <w:vAlign w:val="center"/>
          </w:tcPr>
          <w:tbl>
            <w:tblPr>
              <w:tblStyle w:val="12"/>
              <w:tblpPr w:leftFromText="180" w:rightFromText="180" w:vertAnchor="text" w:horzAnchor="page" w:tblpXSpec="center" w:tblpY="1834"/>
              <w:tblOverlap w:val="never"/>
              <w:tblW w:w="9960" w:type="dxa"/>
              <w:jc w:val="center"/>
              <w:tblLayout w:type="fixed"/>
              <w:tblCellMar>
                <w:top w:w="0" w:type="dxa"/>
                <w:left w:w="0" w:type="dxa"/>
                <w:bottom w:w="0" w:type="dxa"/>
                <w:right w:w="0" w:type="dxa"/>
              </w:tblCellMar>
            </w:tblPr>
            <w:tblGrid>
              <w:gridCol w:w="390"/>
              <w:gridCol w:w="1367"/>
              <w:gridCol w:w="1025"/>
              <w:gridCol w:w="210"/>
              <w:gridCol w:w="2182"/>
              <w:gridCol w:w="2394"/>
              <w:gridCol w:w="2392"/>
            </w:tblGrid>
            <w:tr>
              <w:tblPrEx>
                <w:tblCellMar>
                  <w:top w:w="0" w:type="dxa"/>
                  <w:left w:w="0" w:type="dxa"/>
                  <w:bottom w:w="0" w:type="dxa"/>
                  <w:right w:w="0" w:type="dxa"/>
                </w:tblCellMar>
              </w:tblPrEx>
              <w:trPr>
                <w:trHeight w:val="1034" w:hRule="atLeast"/>
                <w:jc w:val="center"/>
              </w:trPr>
              <w:tc>
                <w:tcPr>
                  <w:tcW w:w="9960" w:type="dxa"/>
                  <w:gridSpan w:val="7"/>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rPr>
                  </w:pPr>
                  <w:r>
                    <w:rPr>
                      <w:rFonts w:hint="eastAsia" w:ascii="宋体" w:hAnsi="宋体" w:cs="宋体"/>
                      <w:b/>
                      <w:bCs/>
                      <w:color w:val="000000"/>
                      <w:kern w:val="0"/>
                      <w:sz w:val="36"/>
                      <w:szCs w:val="36"/>
                    </w:rPr>
                    <w:t>项目绩效目标完成情况表</w:t>
                  </w:r>
                  <w:r>
                    <w:rPr>
                      <w:rFonts w:ascii="宋体" w:cs="宋体"/>
                      <w:b/>
                      <w:bCs/>
                      <w:color w:val="000000"/>
                      <w:kern w:val="0"/>
                      <w:sz w:val="36"/>
                      <w:szCs w:val="36"/>
                    </w:rPr>
                    <w:br w:type="textWrapping"/>
                  </w: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政务审批大厅运行费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自贡市自流井区行政审批局</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51.00万元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51.00万元</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51.00万元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51.00万元</w:t>
                  </w:r>
                </w:p>
              </w:tc>
            </w:tr>
            <w:tr>
              <w:tblPrEx>
                <w:tblCellMar>
                  <w:top w:w="0" w:type="dxa"/>
                  <w:left w:w="0" w:type="dxa"/>
                  <w:bottom w:w="0" w:type="dxa"/>
                  <w:right w:w="0" w:type="dxa"/>
                </w:tblCellMar>
              </w:tblPrEx>
              <w:trPr>
                <w:trHeight w:val="778"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推行行政审批制度改革、全面落实放改服</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4"/>
                    </w:rPr>
                  </w:pPr>
                  <w:r>
                    <w:rPr>
                      <w:rFonts w:ascii="宋体" w:cs="宋体"/>
                      <w:color w:val="000000"/>
                      <w:sz w:val="24"/>
                    </w:rPr>
                    <w:t>全面完成审批事项划转，分三批次划转、承接的行政审批事项按“一枚印章管审批”规范流程实施，整合了前台窗口综合受理、后台分流审批人员配置及职责分工。</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一级指标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二级指标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时效指标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ascii="仿宋_GB2312" w:hAnsi="仿宋_GB2312" w:cs="仿宋_GB2312"/>
                      <w:sz w:val="28"/>
                      <w:szCs w:val="28"/>
                    </w:rPr>
                    <w:t>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12月31日</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cs="仿宋_GB2312"/>
                      <w:sz w:val="28"/>
                      <w:szCs w:val="28"/>
                    </w:rPr>
                  </w:pPr>
                  <w:r>
                    <w:rPr>
                      <w:rFonts w:hint="eastAsia" w:ascii="仿宋_GB2312" w:hAnsi="仿宋_GB2312" w:cs="仿宋_GB2312"/>
                      <w:sz w:val="28"/>
                      <w:szCs w:val="28"/>
                    </w:rPr>
                    <w:t>12月31日</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社会指标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打造优质服务、优良环境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服务经济</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成本指标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政务大厅、便民大厅窗口人员工作绩效激励经费</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r>
                    <w:rPr>
                      <w:rFonts w:hint="eastAsia" w:ascii="宋体" w:cs="宋体"/>
                      <w:color w:val="000000"/>
                      <w:sz w:val="24"/>
                    </w:rPr>
                    <w:t>对考核合格工作人员给予激励</w:t>
                  </w:r>
                </w:p>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hint="eastAsia" w:ascii="宋体" w:hAnsi="宋体" w:cs="宋体"/>
                      <w:color w:val="000000"/>
                      <w:kern w:val="0"/>
                      <w:sz w:val="24"/>
                    </w:rPr>
                    <w:t>项目完成指标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经济指标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r>
                    <w:rPr>
                      <w:rFonts w:hint="eastAsia" w:ascii="宋体" w:cs="宋体"/>
                      <w:color w:val="000000"/>
                      <w:sz w:val="24"/>
                    </w:rPr>
                    <w:t>大厅运行费</w:t>
                  </w:r>
                </w:p>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保证大厅运行</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cs="宋体"/>
                      <w:color w:val="000000"/>
                      <w:sz w:val="24"/>
                    </w:rPr>
                    <w:t>完成</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满意度指标</w:t>
                  </w:r>
                </w:p>
              </w:tc>
              <w:tc>
                <w:tcPr>
                  <w:tcW w:w="123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满意度指标</w:t>
                  </w:r>
                </w:p>
              </w:tc>
              <w:tc>
                <w:tcPr>
                  <w:tcW w:w="21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服务对象满意度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≥95%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99.9%</w:t>
                  </w:r>
                </w:p>
              </w:tc>
            </w:tr>
          </w:tbl>
          <w:p>
            <w:pPr>
              <w:spacing w:line="580" w:lineRule="exact"/>
              <w:ind w:firstLine="640" w:firstLineChars="200"/>
              <w:rPr>
                <w:rFonts w:ascii="仿宋_GB2312" w:hAnsi="仿宋_GB2312" w:cs="仿宋_GB2312"/>
                <w:szCs w:val="32"/>
              </w:rPr>
            </w:pPr>
            <w:r>
              <w:rPr>
                <w:rFonts w:ascii="楷体_GB2312" w:hAnsi="楷体_GB2312" w:eastAsia="楷体_GB2312" w:cs="楷体_GB2312"/>
                <w:szCs w:val="32"/>
              </w:rPr>
              <w:t>2.</w:t>
            </w:r>
            <w:r>
              <w:rPr>
                <w:rFonts w:hint="eastAsia" w:ascii="楷体_GB2312" w:hAnsi="楷体_GB2312" w:eastAsia="楷体_GB2312" w:cs="楷体_GB2312"/>
                <w:szCs w:val="32"/>
              </w:rPr>
              <w:t>部门绩效评价结果。</w:t>
            </w:r>
          </w:p>
          <w:p>
            <w:pPr>
              <w:spacing w:line="58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本部门按要求对</w:t>
            </w:r>
            <w:r>
              <w:rPr>
                <w:rFonts w:ascii="仿宋" w:hAnsi="仿宋" w:eastAsia="仿宋"/>
                <w:bCs/>
                <w:color w:val="000000"/>
                <w:kern w:val="0"/>
                <w:szCs w:val="32"/>
              </w:rPr>
              <w:t>2020</w:t>
            </w:r>
            <w:r>
              <w:rPr>
                <w:rFonts w:hint="eastAsia" w:ascii="仿宋" w:hAnsi="仿宋" w:eastAsia="仿宋"/>
                <w:bCs/>
                <w:color w:val="000000"/>
                <w:kern w:val="0"/>
                <w:szCs w:val="32"/>
              </w:rPr>
              <w:t>年部门整体支出绩效评价情况开展自评，《自贡市自流井区行政审批局（本级）</w:t>
            </w:r>
            <w:r>
              <w:rPr>
                <w:rFonts w:ascii="仿宋" w:hAnsi="仿宋" w:eastAsia="仿宋"/>
                <w:bCs/>
                <w:color w:val="000000"/>
                <w:kern w:val="0"/>
                <w:szCs w:val="32"/>
              </w:rPr>
              <w:t>2020</w:t>
            </w:r>
            <w:r>
              <w:rPr>
                <w:rFonts w:hint="eastAsia" w:ascii="仿宋" w:hAnsi="仿宋" w:eastAsia="仿宋"/>
                <w:bCs/>
                <w:color w:val="000000"/>
                <w:kern w:val="0"/>
                <w:szCs w:val="32"/>
              </w:rPr>
              <w:t>年部门整体支出绩效评价报告》见附件（附件</w:t>
            </w:r>
            <w:r>
              <w:rPr>
                <w:rFonts w:ascii="仿宋" w:hAnsi="仿宋" w:eastAsia="仿宋"/>
                <w:bCs/>
                <w:color w:val="000000"/>
                <w:kern w:val="0"/>
                <w:szCs w:val="32"/>
              </w:rPr>
              <w:t>1</w:t>
            </w:r>
            <w:r>
              <w:rPr>
                <w:rFonts w:hint="eastAsia" w:ascii="仿宋" w:hAnsi="仿宋" w:eastAsia="仿宋"/>
                <w:bCs/>
                <w:color w:val="000000"/>
                <w:kern w:val="0"/>
                <w:szCs w:val="32"/>
              </w:rPr>
              <w:t>）。</w:t>
            </w:r>
          </w:p>
          <w:p>
            <w:pPr>
              <w:widowControl/>
              <w:jc w:val="center"/>
              <w:textAlignment w:val="center"/>
              <w:rPr>
                <w:rFonts w:ascii="宋体" w:cs="宋体"/>
                <w:color w:val="000000"/>
                <w:sz w:val="36"/>
                <w:szCs w:val="36"/>
              </w:rPr>
            </w:pPr>
          </w:p>
        </w:tc>
      </w:tr>
    </w:tbl>
    <w:p>
      <w:pPr>
        <w:spacing w:line="580" w:lineRule="exact"/>
        <w:ind w:left="630"/>
        <w:rPr>
          <w:rFonts w:ascii="仿宋_GB2312" w:hAnsi="仿宋_GB2312" w:cs="仿宋_GB2312"/>
          <w:szCs w:val="32"/>
        </w:rPr>
      </w:pPr>
    </w:p>
    <w:p>
      <w:pPr>
        <w:spacing w:line="580" w:lineRule="exact"/>
        <w:ind w:left="630"/>
        <w:rPr>
          <w:rFonts w:ascii="仿宋_GB2312" w:hAnsi="仿宋_GB2312" w:cs="仿宋_GB2312"/>
          <w:szCs w:val="32"/>
        </w:rPr>
      </w:pPr>
    </w:p>
    <w:p>
      <w:pPr>
        <w:widowControl/>
        <w:jc w:val="left"/>
        <w:rPr>
          <w:rFonts w:ascii="仿宋_GB2312"/>
          <w:b/>
          <w:color w:val="000000"/>
          <w:szCs w:val="32"/>
        </w:rPr>
      </w:pPr>
      <w:r>
        <w:rPr>
          <w:rFonts w:ascii="仿宋_GB2312"/>
          <w:b/>
          <w:color w:val="000000"/>
          <w:szCs w:val="32"/>
        </w:rPr>
        <w:br w:type="page"/>
      </w:r>
    </w:p>
    <w:p>
      <w:pPr>
        <w:numPr>
          <w:ilvl w:val="0"/>
          <w:numId w:val="4"/>
        </w:numPr>
        <w:spacing w:line="600" w:lineRule="exact"/>
        <w:ind w:firstLine="660" w:firstLineChars="150"/>
        <w:jc w:val="center"/>
        <w:outlineLvl w:val="0"/>
        <w:rPr>
          <w:rStyle w:val="16"/>
          <w:rFonts w:ascii="黑体" w:hAnsi="黑体" w:eastAsia="黑体"/>
          <w:b w:val="0"/>
        </w:rPr>
      </w:pPr>
      <w:bookmarkStart w:id="59" w:name="_Toc15396613"/>
      <w:bookmarkStart w:id="60" w:name="_Toc15377225"/>
      <w:bookmarkStart w:id="61" w:name="_Toc3536"/>
      <w:r>
        <w:rPr>
          <w:rFonts w:hint="eastAsia" w:ascii="黑体" w:hAnsi="黑体" w:eastAsia="黑体"/>
          <w:color w:val="000000"/>
          <w:sz w:val="44"/>
          <w:szCs w:val="44"/>
        </w:rPr>
        <w:t>名</w:t>
      </w:r>
      <w:r>
        <w:rPr>
          <w:rStyle w:val="16"/>
          <w:rFonts w:hint="eastAsia" w:ascii="黑体" w:hAnsi="黑体" w:eastAsia="黑体"/>
          <w:b w:val="0"/>
        </w:rPr>
        <w:t>词解释</w:t>
      </w:r>
      <w:bookmarkEnd w:id="59"/>
      <w:bookmarkEnd w:id="60"/>
      <w:bookmarkEnd w:id="61"/>
    </w:p>
    <w:p>
      <w:pPr>
        <w:spacing w:line="600" w:lineRule="exact"/>
        <w:jc w:val="left"/>
        <w:rPr>
          <w:rFonts w:ascii="宋体"/>
          <w:b/>
          <w:color w:val="000000"/>
          <w:sz w:val="44"/>
          <w:szCs w:val="44"/>
        </w:rPr>
      </w:pPr>
    </w:p>
    <w:p>
      <w:pPr>
        <w:pStyle w:val="19"/>
        <w:spacing w:line="560" w:lineRule="exact"/>
        <w:ind w:firstLine="640" w:firstLineChars="200"/>
        <w:rPr>
          <w:rFonts w:hAnsi="仿宋" w:cs="Times New Roman"/>
          <w:bCs/>
          <w:sz w:val="32"/>
          <w:szCs w:val="32"/>
        </w:rPr>
      </w:pPr>
      <w:r>
        <w:rPr>
          <w:rFonts w:hAnsi="仿宋" w:cs="Times New Roman"/>
          <w:bCs/>
          <w:sz w:val="32"/>
          <w:szCs w:val="32"/>
        </w:rPr>
        <w:t>1.</w:t>
      </w:r>
      <w:r>
        <w:rPr>
          <w:rFonts w:hint="eastAsia" w:hAnsi="仿宋" w:cs="Times New Roman"/>
          <w:bCs/>
          <w:sz w:val="32"/>
          <w:szCs w:val="32"/>
        </w:rPr>
        <w:t>财政拨款收入：指单位从同级财政部门取得的财政预算资金。</w:t>
      </w:r>
    </w:p>
    <w:p>
      <w:pPr>
        <w:pStyle w:val="19"/>
        <w:spacing w:line="560" w:lineRule="exact"/>
        <w:ind w:firstLine="640" w:firstLineChars="200"/>
        <w:rPr>
          <w:rFonts w:hAnsi="仿宋" w:cs="Times New Roman"/>
          <w:bCs/>
          <w:sz w:val="32"/>
          <w:szCs w:val="32"/>
        </w:rPr>
      </w:pPr>
      <w:r>
        <w:rPr>
          <w:rFonts w:hAnsi="仿宋" w:cs="Times New Roman"/>
          <w:bCs/>
          <w:sz w:val="32"/>
          <w:szCs w:val="32"/>
        </w:rPr>
        <w:t>2.</w:t>
      </w:r>
      <w:r>
        <w:rPr>
          <w:rFonts w:hint="eastAsia" w:hAnsi="仿宋" w:cs="Times New Roman"/>
          <w:bCs/>
          <w:sz w:val="32"/>
          <w:szCs w:val="32"/>
        </w:rPr>
        <w:t>事业收入：指事业单位开展专业业务活动及辅助活动取得的收入。</w:t>
      </w:r>
    </w:p>
    <w:p>
      <w:pPr>
        <w:pStyle w:val="19"/>
        <w:spacing w:line="560" w:lineRule="exact"/>
        <w:ind w:firstLine="640" w:firstLineChars="200"/>
        <w:rPr>
          <w:rFonts w:hAnsi="仿宋" w:cs="Times New Roman"/>
          <w:bCs/>
          <w:sz w:val="32"/>
          <w:szCs w:val="32"/>
        </w:rPr>
      </w:pPr>
      <w:r>
        <w:rPr>
          <w:rFonts w:hAnsi="仿宋" w:cs="Times New Roman"/>
          <w:bCs/>
          <w:sz w:val="32"/>
          <w:szCs w:val="32"/>
        </w:rPr>
        <w:t>3.</w:t>
      </w:r>
      <w:r>
        <w:rPr>
          <w:rFonts w:hint="eastAsia" w:hAnsi="仿宋" w:cs="Times New Roman"/>
          <w:bCs/>
          <w:sz w:val="32"/>
          <w:szCs w:val="32"/>
        </w:rPr>
        <w:t xml:space="preserve"> 年初结转和结余：指以前年度尚未完成、结转到本年按有关规定继续使用的资金。</w:t>
      </w:r>
    </w:p>
    <w:p>
      <w:pPr>
        <w:autoSpaceDE w:val="0"/>
        <w:autoSpaceDN w:val="0"/>
        <w:adjustRightInd w:val="0"/>
        <w:ind w:firstLine="640" w:firstLineChars="200"/>
        <w:jc w:val="left"/>
        <w:rPr>
          <w:rFonts w:ascii="仿宋" w:hAnsi="仿宋" w:eastAsia="仿宋"/>
          <w:bCs/>
          <w:color w:val="000000"/>
          <w:kern w:val="0"/>
          <w:szCs w:val="32"/>
        </w:rPr>
      </w:pPr>
      <w:r>
        <w:rPr>
          <w:rFonts w:ascii="仿宋" w:hAnsi="仿宋" w:eastAsia="仿宋"/>
          <w:bCs/>
          <w:color w:val="000000"/>
          <w:kern w:val="0"/>
          <w:szCs w:val="32"/>
        </w:rPr>
        <w:t>4.</w:t>
      </w:r>
      <w:r>
        <w:rPr>
          <w:rFonts w:hint="eastAsia" w:ascii="仿宋" w:hAnsi="仿宋" w:eastAsia="仿宋"/>
          <w:bCs/>
          <w:color w:val="000000"/>
          <w:kern w:val="0"/>
          <w:szCs w:val="32"/>
        </w:rPr>
        <w:t xml:space="preserve"> 结余分配：指事业单位按照会计制度规定缴纳的所得税、提取的专用结余以及转入非财政拨款结余的金额等。</w:t>
      </w:r>
      <w:r>
        <w:rPr>
          <w:rFonts w:ascii="仿宋" w:hAnsi="仿宋" w:eastAsia="仿宋"/>
          <w:bCs/>
          <w:color w:val="000000"/>
          <w:kern w:val="0"/>
          <w:szCs w:val="32"/>
        </w:rPr>
        <w:t xml:space="preserve"> </w:t>
      </w:r>
    </w:p>
    <w:p>
      <w:pPr>
        <w:pStyle w:val="19"/>
        <w:spacing w:line="560" w:lineRule="exact"/>
        <w:ind w:firstLine="640" w:firstLineChars="200"/>
        <w:rPr>
          <w:rFonts w:hAnsi="仿宋" w:cs="Times New Roman"/>
          <w:bCs/>
          <w:sz w:val="32"/>
          <w:szCs w:val="32"/>
        </w:rPr>
      </w:pPr>
      <w:r>
        <w:rPr>
          <w:rFonts w:hAnsi="仿宋" w:cs="Times New Roman"/>
          <w:bCs/>
          <w:sz w:val="32"/>
          <w:szCs w:val="32"/>
        </w:rPr>
        <w:t>5.</w:t>
      </w:r>
      <w:r>
        <w:rPr>
          <w:rFonts w:hint="eastAsia" w:hAnsi="仿宋" w:cs="Times New Roman"/>
          <w:bCs/>
          <w:sz w:val="32"/>
          <w:szCs w:val="32"/>
        </w:rPr>
        <w:t xml:space="preserve"> 年末结转和结余：指单位按有关规定结转到下年或以后年度继续使用的资金。</w:t>
      </w:r>
      <w:r>
        <w:rPr>
          <w:rFonts w:hAnsi="仿宋" w:cs="Times New Roman"/>
          <w:bCs/>
          <w:sz w:val="32"/>
          <w:szCs w:val="32"/>
        </w:rPr>
        <w:t xml:space="preserve"> </w:t>
      </w:r>
    </w:p>
    <w:p>
      <w:pPr>
        <w:pStyle w:val="19"/>
        <w:spacing w:line="560" w:lineRule="exact"/>
        <w:ind w:firstLine="640" w:firstLineChars="200"/>
        <w:rPr>
          <w:rFonts w:hAnsi="仿宋" w:cs="Times New Roman"/>
          <w:bCs/>
          <w:sz w:val="32"/>
          <w:szCs w:val="32"/>
        </w:rPr>
      </w:pPr>
      <w:r>
        <w:rPr>
          <w:rFonts w:hAnsi="仿宋" w:cs="Times New Roman"/>
          <w:bCs/>
          <w:sz w:val="32"/>
          <w:szCs w:val="32"/>
        </w:rPr>
        <w:t xml:space="preserve">6. </w:t>
      </w:r>
      <w:r>
        <w:rPr>
          <w:rFonts w:hint="eastAsia" w:hAnsi="仿宋" w:cs="Times New Roman"/>
          <w:bCs/>
          <w:sz w:val="32"/>
          <w:szCs w:val="32"/>
        </w:rPr>
        <w:t>一般公共服务支出（类）</w:t>
      </w:r>
      <w:r>
        <w:rPr>
          <w:rFonts w:hAnsi="仿宋" w:cs="Times New Roman"/>
          <w:bCs/>
          <w:sz w:val="32"/>
          <w:szCs w:val="32"/>
        </w:rPr>
        <w:t>政府办公厅（室） 及相关机构事务</w:t>
      </w:r>
      <w:r>
        <w:rPr>
          <w:rFonts w:hint="eastAsia" w:hAnsi="仿宋" w:cs="Times New Roman"/>
          <w:bCs/>
          <w:sz w:val="32"/>
          <w:szCs w:val="32"/>
        </w:rPr>
        <w:t>（款）</w:t>
      </w:r>
      <w:r>
        <w:rPr>
          <w:rFonts w:hAnsi="仿宋" w:cs="Times New Roman"/>
          <w:bCs/>
          <w:sz w:val="32"/>
          <w:szCs w:val="32"/>
        </w:rPr>
        <w:t>行政运行</w:t>
      </w:r>
      <w:r>
        <w:rPr>
          <w:rFonts w:hint="eastAsia" w:hAnsi="仿宋" w:cs="Times New Roman"/>
          <w:bCs/>
          <w:sz w:val="32"/>
          <w:szCs w:val="32"/>
        </w:rPr>
        <w:t>（项）</w:t>
      </w:r>
      <w:r>
        <w:rPr>
          <w:rFonts w:hAnsi="仿宋" w:cs="Times New Roman"/>
          <w:bCs/>
          <w:sz w:val="32"/>
          <w:szCs w:val="32"/>
        </w:rPr>
        <w:t>:</w:t>
      </w:r>
      <w:r>
        <w:rPr>
          <w:rFonts w:hint="eastAsia" w:hAnsi="仿宋" w:cs="Times New Roman"/>
          <w:bCs/>
          <w:sz w:val="32"/>
          <w:szCs w:val="32"/>
        </w:rPr>
        <w:t xml:space="preserve"> 指自流井区行政审批局系统行政机关基本支出。</w:t>
      </w:r>
    </w:p>
    <w:p>
      <w:pPr>
        <w:pStyle w:val="19"/>
        <w:spacing w:line="560" w:lineRule="exact"/>
        <w:ind w:firstLine="640" w:firstLineChars="200"/>
        <w:rPr>
          <w:rFonts w:hAnsi="仿宋" w:cs="Times New Roman"/>
          <w:bCs/>
          <w:sz w:val="32"/>
          <w:szCs w:val="32"/>
        </w:rPr>
      </w:pPr>
      <w:r>
        <w:rPr>
          <w:rFonts w:hAnsi="仿宋" w:cs="Times New Roman"/>
          <w:bCs/>
          <w:sz w:val="32"/>
          <w:szCs w:val="32"/>
        </w:rPr>
        <w:t xml:space="preserve">7. </w:t>
      </w:r>
      <w:r>
        <w:rPr>
          <w:rFonts w:hint="eastAsia" w:hAnsi="仿宋" w:cs="Times New Roman"/>
          <w:bCs/>
          <w:sz w:val="32"/>
          <w:szCs w:val="32"/>
        </w:rPr>
        <w:t>一般公共服务支出（类）</w:t>
      </w:r>
      <w:r>
        <w:rPr>
          <w:rFonts w:hAnsi="仿宋" w:cs="Times New Roman"/>
          <w:bCs/>
          <w:sz w:val="32"/>
          <w:szCs w:val="32"/>
        </w:rPr>
        <w:t>政府办公厅（室） 及相关机构事务</w:t>
      </w:r>
      <w:r>
        <w:rPr>
          <w:rFonts w:hint="eastAsia" w:hAnsi="仿宋" w:cs="Times New Roman"/>
          <w:bCs/>
          <w:sz w:val="32"/>
          <w:szCs w:val="32"/>
        </w:rPr>
        <w:t>（款）专项业务活动（项）</w:t>
      </w:r>
      <w:r>
        <w:rPr>
          <w:rFonts w:hAnsi="仿宋" w:cs="Times New Roman"/>
          <w:bCs/>
          <w:sz w:val="32"/>
          <w:szCs w:val="32"/>
        </w:rPr>
        <w:t>:</w:t>
      </w:r>
      <w:r>
        <w:rPr>
          <w:rFonts w:hint="eastAsia" w:hAnsi="仿宋" w:cs="Times New Roman"/>
          <w:bCs/>
          <w:sz w:val="32"/>
          <w:szCs w:val="32"/>
        </w:rPr>
        <w:t xml:space="preserve"> 指自流井区行政审批局系统政务大厅运行支出。</w:t>
      </w:r>
    </w:p>
    <w:p>
      <w:pPr>
        <w:pStyle w:val="19"/>
        <w:spacing w:line="560" w:lineRule="exact"/>
        <w:ind w:firstLine="640" w:firstLineChars="200"/>
        <w:rPr>
          <w:rFonts w:hAnsi="仿宋" w:cs="Times New Roman"/>
          <w:bCs/>
          <w:sz w:val="32"/>
          <w:szCs w:val="32"/>
        </w:rPr>
      </w:pPr>
      <w:r>
        <w:rPr>
          <w:rFonts w:hAnsi="仿宋" w:cs="Times New Roman"/>
          <w:bCs/>
          <w:sz w:val="32"/>
          <w:szCs w:val="32"/>
        </w:rPr>
        <w:t>8</w:t>
      </w:r>
      <w:r>
        <w:rPr>
          <w:rFonts w:hint="eastAsia" w:hAnsi="仿宋" w:cs="Times New Roman"/>
          <w:bCs/>
          <w:sz w:val="32"/>
          <w:szCs w:val="32"/>
        </w:rPr>
        <w:t>、一般公共服务支出（类）</w:t>
      </w:r>
      <w:r>
        <w:rPr>
          <w:rFonts w:hAnsi="仿宋" w:cs="Times New Roman"/>
          <w:bCs/>
          <w:sz w:val="32"/>
          <w:szCs w:val="32"/>
        </w:rPr>
        <w:t>政府办公厅（室） 及相关机构事务</w:t>
      </w:r>
      <w:r>
        <w:rPr>
          <w:rFonts w:hint="eastAsia" w:hAnsi="仿宋" w:cs="Times New Roman"/>
          <w:bCs/>
          <w:sz w:val="32"/>
          <w:szCs w:val="32"/>
        </w:rPr>
        <w:t>（款）政务公开审批（项）</w:t>
      </w:r>
      <w:r>
        <w:rPr>
          <w:rFonts w:hAnsi="仿宋" w:cs="Times New Roman"/>
          <w:bCs/>
          <w:sz w:val="32"/>
          <w:szCs w:val="32"/>
        </w:rPr>
        <w:t>:</w:t>
      </w:r>
      <w:r>
        <w:rPr>
          <w:rFonts w:hint="eastAsia" w:hAnsi="仿宋" w:cs="Times New Roman"/>
          <w:bCs/>
          <w:sz w:val="32"/>
          <w:szCs w:val="32"/>
        </w:rPr>
        <w:t xml:space="preserve"> 指自流井区行政审批局系统审批政务大厅运行支出。</w:t>
      </w:r>
    </w:p>
    <w:p>
      <w:pPr>
        <w:ind w:firstLine="640" w:firstLineChars="200"/>
        <w:rPr>
          <w:rFonts w:ascii="仿宋" w:hAnsi="仿宋" w:eastAsia="仿宋"/>
          <w:bCs/>
          <w:color w:val="000000"/>
          <w:kern w:val="0"/>
          <w:szCs w:val="32"/>
        </w:rPr>
      </w:pPr>
      <w:r>
        <w:rPr>
          <w:rFonts w:ascii="仿宋" w:hAnsi="仿宋" w:eastAsia="仿宋"/>
          <w:bCs/>
          <w:color w:val="000000"/>
          <w:kern w:val="0"/>
          <w:szCs w:val="32"/>
        </w:rPr>
        <w:t>9.</w:t>
      </w:r>
      <w:r>
        <w:rPr>
          <w:rFonts w:hint="eastAsia" w:ascii="仿宋" w:hAnsi="仿宋" w:eastAsia="仿宋"/>
          <w:bCs/>
          <w:color w:val="000000"/>
          <w:kern w:val="0"/>
          <w:szCs w:val="32"/>
        </w:rPr>
        <w:t xml:space="preserve"> 一般公共服务支出（类）</w:t>
      </w:r>
      <w:r>
        <w:rPr>
          <w:rFonts w:ascii="仿宋" w:hAnsi="仿宋" w:eastAsia="仿宋"/>
          <w:bCs/>
          <w:color w:val="000000"/>
          <w:kern w:val="0"/>
          <w:szCs w:val="32"/>
        </w:rPr>
        <w:t>政府办公厅（室） 及相关机构事务</w:t>
      </w:r>
      <w:r>
        <w:rPr>
          <w:rFonts w:hint="eastAsia" w:ascii="仿宋" w:hAnsi="仿宋" w:eastAsia="仿宋"/>
          <w:bCs/>
          <w:color w:val="000000"/>
          <w:kern w:val="0"/>
          <w:szCs w:val="32"/>
        </w:rPr>
        <w:t>（款）</w:t>
      </w:r>
      <w:r>
        <w:rPr>
          <w:rFonts w:ascii="仿宋" w:hAnsi="仿宋" w:eastAsia="仿宋"/>
          <w:bCs/>
          <w:color w:val="000000"/>
          <w:kern w:val="0"/>
          <w:szCs w:val="32"/>
        </w:rPr>
        <w:t>其他政府办公厅（室）及相关机构事务支出</w:t>
      </w:r>
      <w:r>
        <w:rPr>
          <w:rFonts w:hint="eastAsia" w:ascii="仿宋" w:hAnsi="仿宋" w:eastAsia="仿宋"/>
          <w:bCs/>
          <w:color w:val="000000"/>
          <w:kern w:val="0"/>
          <w:szCs w:val="32"/>
        </w:rPr>
        <w:t>（项）</w:t>
      </w:r>
      <w:r>
        <w:rPr>
          <w:rFonts w:ascii="仿宋" w:hAnsi="仿宋" w:eastAsia="仿宋"/>
          <w:bCs/>
          <w:color w:val="000000"/>
          <w:kern w:val="0"/>
          <w:szCs w:val="32"/>
        </w:rPr>
        <w:t xml:space="preserve">: </w:t>
      </w:r>
      <w:r>
        <w:rPr>
          <w:rFonts w:hint="eastAsia" w:ascii="仿宋" w:hAnsi="仿宋" w:eastAsia="仿宋"/>
          <w:bCs/>
          <w:color w:val="000000"/>
          <w:kern w:val="0"/>
          <w:szCs w:val="32"/>
        </w:rPr>
        <w:t>指自流井区行政审批局系统行政机关一般支出。</w:t>
      </w:r>
    </w:p>
    <w:p>
      <w:pPr>
        <w:pStyle w:val="19"/>
        <w:spacing w:line="560" w:lineRule="exact"/>
        <w:ind w:firstLine="640" w:firstLineChars="200"/>
        <w:rPr>
          <w:rFonts w:hAnsi="仿宋" w:cs="Times New Roman"/>
          <w:bCs/>
          <w:sz w:val="32"/>
          <w:szCs w:val="32"/>
        </w:rPr>
      </w:pPr>
      <w:r>
        <w:rPr>
          <w:rFonts w:hAnsi="仿宋" w:cs="Times New Roman"/>
          <w:bCs/>
          <w:sz w:val="32"/>
          <w:szCs w:val="32"/>
        </w:rPr>
        <w:t>10.</w:t>
      </w:r>
      <w:r>
        <w:rPr>
          <w:rFonts w:hint="eastAsia" w:hAnsi="仿宋" w:cs="Times New Roman"/>
          <w:bCs/>
          <w:sz w:val="32"/>
          <w:szCs w:val="32"/>
        </w:rPr>
        <w:t xml:space="preserve"> </w:t>
      </w:r>
      <w:r>
        <w:rPr>
          <w:rFonts w:hAnsi="仿宋" w:cs="Times New Roman"/>
          <w:bCs/>
          <w:sz w:val="32"/>
          <w:szCs w:val="32"/>
        </w:rPr>
        <w:t>社会保障和就业</w:t>
      </w:r>
      <w:r>
        <w:rPr>
          <w:rFonts w:hint="eastAsia" w:hAnsi="仿宋" w:cs="Times New Roman"/>
          <w:bCs/>
          <w:sz w:val="32"/>
          <w:szCs w:val="32"/>
        </w:rPr>
        <w:t>支出（类）行政事业单位养老支出</w:t>
      </w:r>
      <w:r>
        <w:rPr>
          <w:rFonts w:hAnsi="仿宋" w:cs="Times New Roman"/>
          <w:bCs/>
          <w:sz w:val="32"/>
          <w:szCs w:val="32"/>
        </w:rPr>
        <w:t>（室） 及相关机构事务</w:t>
      </w:r>
      <w:r>
        <w:rPr>
          <w:rFonts w:hint="eastAsia" w:hAnsi="仿宋" w:cs="Times New Roman"/>
          <w:bCs/>
          <w:sz w:val="32"/>
          <w:szCs w:val="32"/>
        </w:rPr>
        <w:t>（款）机关事业单位基本养老保险缴费支出（项）</w:t>
      </w:r>
      <w:r>
        <w:rPr>
          <w:rFonts w:hAnsi="仿宋" w:cs="Times New Roman"/>
          <w:bCs/>
          <w:sz w:val="32"/>
          <w:szCs w:val="32"/>
        </w:rPr>
        <w:t>:</w:t>
      </w:r>
      <w:r>
        <w:rPr>
          <w:rFonts w:hint="eastAsia" w:hAnsi="仿宋" w:cs="Times New Roman"/>
          <w:bCs/>
          <w:sz w:val="32"/>
          <w:szCs w:val="32"/>
        </w:rPr>
        <w:t xml:space="preserve"> 反映自流井区行政审批局系统实施养老保险制度由单位缴纳的基本养老保险费支出。</w:t>
      </w:r>
    </w:p>
    <w:p>
      <w:pPr>
        <w:autoSpaceDE w:val="0"/>
        <w:autoSpaceDN w:val="0"/>
        <w:adjustRightInd w:val="0"/>
        <w:ind w:firstLine="640" w:firstLineChars="200"/>
        <w:jc w:val="left"/>
        <w:rPr>
          <w:rFonts w:ascii="仿宋" w:hAnsi="仿宋" w:eastAsia="仿宋"/>
          <w:bCs/>
          <w:color w:val="000000"/>
          <w:kern w:val="0"/>
          <w:szCs w:val="32"/>
        </w:rPr>
      </w:pPr>
      <w:r>
        <w:rPr>
          <w:rFonts w:ascii="仿宋" w:hAnsi="仿宋" w:eastAsia="仿宋"/>
          <w:bCs/>
          <w:color w:val="000000"/>
          <w:kern w:val="0"/>
          <w:szCs w:val="32"/>
        </w:rPr>
        <w:t>11. 社会保障和就业</w:t>
      </w:r>
      <w:r>
        <w:rPr>
          <w:rFonts w:hint="eastAsia" w:ascii="仿宋" w:hAnsi="仿宋" w:eastAsia="仿宋"/>
          <w:bCs/>
          <w:color w:val="000000"/>
          <w:kern w:val="0"/>
          <w:szCs w:val="32"/>
        </w:rPr>
        <w:t>支出（类）其他社会保障和就业支出（款）其他社会保障和就业支出（项）</w:t>
      </w:r>
      <w:r>
        <w:rPr>
          <w:rFonts w:ascii="仿宋" w:hAnsi="仿宋" w:eastAsia="仿宋"/>
          <w:bCs/>
          <w:color w:val="000000"/>
          <w:kern w:val="0"/>
          <w:szCs w:val="32"/>
        </w:rPr>
        <w:t>:</w:t>
      </w:r>
      <w:r>
        <w:rPr>
          <w:rFonts w:hint="eastAsia" w:ascii="仿宋" w:hAnsi="仿宋" w:eastAsia="仿宋"/>
          <w:bCs/>
          <w:color w:val="000000"/>
          <w:kern w:val="0"/>
          <w:szCs w:val="32"/>
        </w:rPr>
        <w:t xml:space="preserve"> 反映自流井区行政审批局系统由单位缴纳的工伤保险费及失业保险费支出。</w:t>
      </w:r>
    </w:p>
    <w:p>
      <w:pPr>
        <w:ind w:firstLine="640" w:firstLineChars="200"/>
        <w:rPr>
          <w:rFonts w:ascii="仿宋" w:hAnsi="仿宋" w:eastAsia="仿宋"/>
          <w:bCs/>
          <w:color w:val="000000"/>
          <w:kern w:val="0"/>
          <w:szCs w:val="32"/>
        </w:rPr>
      </w:pPr>
      <w:r>
        <w:rPr>
          <w:rFonts w:ascii="仿宋" w:hAnsi="仿宋" w:eastAsia="仿宋"/>
          <w:bCs/>
          <w:color w:val="000000"/>
          <w:kern w:val="0"/>
          <w:szCs w:val="32"/>
        </w:rPr>
        <w:t xml:space="preserve">12. </w:t>
      </w:r>
      <w:r>
        <w:rPr>
          <w:rFonts w:hint="eastAsia" w:ascii="仿宋" w:hAnsi="仿宋" w:eastAsia="仿宋"/>
          <w:bCs/>
          <w:color w:val="000000"/>
          <w:kern w:val="0"/>
          <w:szCs w:val="32"/>
        </w:rPr>
        <w:t>卫生健康支出（类）行政事业单位医疗（款）行政单位医疗（项）:</w:t>
      </w:r>
      <w:r>
        <w:rPr>
          <w:rFonts w:ascii="仿宋" w:hAnsi="仿宋" w:eastAsia="仿宋"/>
          <w:bCs/>
          <w:color w:val="000000"/>
          <w:kern w:val="0"/>
          <w:szCs w:val="32"/>
        </w:rPr>
        <w:t xml:space="preserve"> </w:t>
      </w:r>
      <w:r>
        <w:rPr>
          <w:rFonts w:hint="eastAsia" w:ascii="仿宋" w:hAnsi="仿宋" w:eastAsia="仿宋"/>
          <w:bCs/>
          <w:color w:val="000000"/>
          <w:kern w:val="0"/>
          <w:szCs w:val="32"/>
        </w:rPr>
        <w:t>反映自流井区行政审批局系统中行政单位的医疗保险单位部份支出。</w:t>
      </w:r>
    </w:p>
    <w:p>
      <w:pPr>
        <w:autoSpaceDE w:val="0"/>
        <w:autoSpaceDN w:val="0"/>
        <w:adjustRightInd w:val="0"/>
        <w:ind w:firstLine="640" w:firstLineChars="200"/>
        <w:jc w:val="left"/>
        <w:rPr>
          <w:rFonts w:ascii="仿宋_GB2312"/>
          <w:color w:val="000000"/>
          <w:szCs w:val="32"/>
        </w:rPr>
      </w:pPr>
      <w:r>
        <w:rPr>
          <w:rFonts w:ascii="仿宋" w:hAnsi="仿宋" w:eastAsia="仿宋"/>
          <w:bCs/>
          <w:color w:val="000000"/>
          <w:kern w:val="0"/>
          <w:szCs w:val="32"/>
        </w:rPr>
        <w:t xml:space="preserve">13. </w:t>
      </w:r>
      <w:r>
        <w:rPr>
          <w:rFonts w:hint="eastAsia" w:ascii="仿宋" w:hAnsi="仿宋" w:eastAsia="仿宋"/>
          <w:bCs/>
          <w:color w:val="000000"/>
          <w:kern w:val="0"/>
          <w:szCs w:val="32"/>
        </w:rPr>
        <w:t>住房保障支出（类）住房改革支出（款）住房公积金（项）: 反映自流井区行政审批局系统按人力资源和社会保障部、财政部规定的基本工资和津贴补贴以及规定比例为职工缴纳的由单位承担的住房公积金</w:t>
      </w:r>
      <w:r>
        <w:rPr>
          <w:rFonts w:hint="eastAsia" w:ascii="仿宋_GB2312" w:cs="仿宋_GB2312" w:hAnsiTheme="minorHAnsi"/>
          <w:kern w:val="0"/>
          <w:szCs w:val="32"/>
        </w:rPr>
        <w:t>。</w:t>
      </w:r>
    </w:p>
    <w:p>
      <w:pPr>
        <w:ind w:firstLine="640" w:firstLineChars="200"/>
        <w:rPr>
          <w:rFonts w:ascii="仿宋" w:hAnsi="仿宋" w:eastAsia="仿宋"/>
          <w:bCs/>
          <w:color w:val="000000"/>
          <w:kern w:val="0"/>
          <w:szCs w:val="32"/>
        </w:rPr>
      </w:pPr>
      <w:r>
        <w:rPr>
          <w:rFonts w:hint="eastAsia" w:ascii="仿宋" w:hAnsi="仿宋" w:eastAsia="仿宋"/>
          <w:bCs/>
          <w:color w:val="000000"/>
          <w:kern w:val="0"/>
          <w:szCs w:val="32"/>
        </w:rPr>
        <w:t>14</w:t>
      </w:r>
      <w:r>
        <w:rPr>
          <w:rFonts w:ascii="仿宋" w:hAnsi="仿宋" w:eastAsia="仿宋"/>
          <w:bCs/>
          <w:color w:val="000000"/>
          <w:kern w:val="0"/>
          <w:szCs w:val="32"/>
        </w:rPr>
        <w:t>.</w:t>
      </w:r>
      <w:r>
        <w:rPr>
          <w:rFonts w:hint="eastAsia" w:ascii="仿宋" w:hAnsi="仿宋" w:eastAsia="仿宋"/>
          <w:bCs/>
          <w:color w:val="000000"/>
          <w:kern w:val="0"/>
          <w:szCs w:val="32"/>
        </w:rPr>
        <w:t>基本支出：指为保障机构正常运转、完成日常工作任务而发生的人员支出和公用支出。</w:t>
      </w:r>
    </w:p>
    <w:p>
      <w:pPr>
        <w:ind w:firstLine="640" w:firstLineChars="200"/>
        <w:rPr>
          <w:rFonts w:ascii="仿宋" w:hAnsi="仿宋" w:eastAsia="仿宋"/>
          <w:bCs/>
          <w:color w:val="000000"/>
          <w:kern w:val="0"/>
          <w:szCs w:val="32"/>
        </w:rPr>
      </w:pPr>
      <w:r>
        <w:rPr>
          <w:rFonts w:hint="eastAsia" w:ascii="仿宋" w:hAnsi="仿宋" w:eastAsia="仿宋"/>
          <w:bCs/>
          <w:color w:val="000000"/>
          <w:kern w:val="0"/>
          <w:szCs w:val="32"/>
        </w:rPr>
        <w:t>15</w:t>
      </w:r>
      <w:r>
        <w:rPr>
          <w:rFonts w:ascii="仿宋" w:hAnsi="仿宋" w:eastAsia="仿宋"/>
          <w:bCs/>
          <w:color w:val="000000"/>
          <w:kern w:val="0"/>
          <w:szCs w:val="32"/>
        </w:rPr>
        <w:t>.</w:t>
      </w:r>
      <w:r>
        <w:rPr>
          <w:rFonts w:hint="eastAsia" w:ascii="仿宋" w:hAnsi="仿宋" w:eastAsia="仿宋"/>
          <w:bCs/>
          <w:color w:val="000000"/>
          <w:kern w:val="0"/>
          <w:szCs w:val="32"/>
        </w:rPr>
        <w:t>项目支出：指在基本支出之外为完成特定行政任务和事业发展目标所发生的支出。</w:t>
      </w:r>
      <w:r>
        <w:rPr>
          <w:rFonts w:ascii="仿宋" w:hAnsi="仿宋" w:eastAsia="仿宋"/>
          <w:bCs/>
          <w:color w:val="000000"/>
          <w:kern w:val="0"/>
          <w:szCs w:val="32"/>
        </w:rPr>
        <w:t xml:space="preserve"> </w:t>
      </w:r>
    </w:p>
    <w:p>
      <w:pPr>
        <w:pStyle w:val="19"/>
        <w:spacing w:line="560" w:lineRule="exact"/>
        <w:ind w:firstLine="640" w:firstLineChars="200"/>
        <w:rPr>
          <w:rFonts w:hAnsi="仿宋" w:cs="Times New Roman"/>
          <w:bCs/>
          <w:sz w:val="32"/>
          <w:szCs w:val="32"/>
        </w:rPr>
      </w:pPr>
      <w:r>
        <w:rPr>
          <w:rFonts w:hint="eastAsia" w:hAnsi="仿宋" w:cs="Times New Roman"/>
          <w:bCs/>
          <w:sz w:val="32"/>
          <w:szCs w:val="32"/>
        </w:rPr>
        <w:t>16</w:t>
      </w:r>
      <w:r>
        <w:rPr>
          <w:rFonts w:hAnsi="仿宋" w:cs="Times New Roman"/>
          <w:bCs/>
          <w:sz w:val="32"/>
          <w:szCs w:val="32"/>
        </w:rPr>
        <w:t>.</w:t>
      </w:r>
      <w:r>
        <w:rPr>
          <w:rFonts w:hint="eastAsia" w:hAnsi="仿宋" w:cs="Times New Roman"/>
          <w:bCs/>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9"/>
        <w:spacing w:line="560" w:lineRule="exact"/>
        <w:ind w:firstLine="640" w:firstLineChars="200"/>
        <w:rPr>
          <w:rFonts w:hAnsi="仿宋" w:cs="Times New Roman"/>
          <w:bCs/>
          <w:sz w:val="32"/>
          <w:szCs w:val="32"/>
        </w:rPr>
      </w:pPr>
      <w:r>
        <w:rPr>
          <w:rFonts w:hint="eastAsia" w:hAnsi="仿宋" w:cs="Times New Roman"/>
          <w:bCs/>
          <w:sz w:val="32"/>
          <w:szCs w:val="32"/>
        </w:rPr>
        <w:t>17</w:t>
      </w:r>
      <w:r>
        <w:rPr>
          <w:rFonts w:hAnsi="仿宋" w:cs="Times New Roman"/>
          <w:bCs/>
          <w:sz w:val="32"/>
          <w:szCs w:val="32"/>
        </w:rPr>
        <w:t>.</w:t>
      </w:r>
      <w:r>
        <w:rPr>
          <w:rFonts w:hint="eastAsia" w:hAnsi="仿宋" w:cs="Times New Roman"/>
          <w:bCs/>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6"/>
          <w:rFonts w:ascii="黑体" w:hAnsi="黑体" w:eastAsia="黑体"/>
          <w:b w:val="0"/>
        </w:rPr>
      </w:pPr>
      <w:bookmarkStart w:id="62" w:name="_Toc15377226"/>
      <w:r>
        <w:rPr>
          <w:rFonts w:ascii="宋体"/>
          <w:b/>
          <w:color w:val="000000"/>
          <w:sz w:val="44"/>
          <w:szCs w:val="44"/>
        </w:rPr>
        <w:br w:type="page"/>
      </w:r>
      <w:bookmarkStart w:id="63" w:name="_Toc15396614"/>
      <w:bookmarkStart w:id="64" w:name="_Toc11207"/>
      <w:r>
        <w:rPr>
          <w:rFonts w:hint="eastAsia" w:ascii="黑体" w:hAnsi="黑体" w:eastAsia="黑体"/>
          <w:color w:val="000000"/>
          <w:sz w:val="44"/>
          <w:szCs w:val="44"/>
        </w:rPr>
        <w:t>第</w:t>
      </w:r>
      <w:r>
        <w:rPr>
          <w:rStyle w:val="16"/>
          <w:rFonts w:hint="eastAsia" w:ascii="黑体" w:hAnsi="黑体" w:eastAsia="黑体"/>
          <w:b w:val="0"/>
        </w:rPr>
        <w:t>四部分</w:t>
      </w:r>
      <w:r>
        <w:rPr>
          <w:rStyle w:val="16"/>
          <w:rFonts w:ascii="黑体" w:hAnsi="黑体" w:eastAsia="黑体"/>
          <w:b w:val="0"/>
        </w:rPr>
        <w:t xml:space="preserve"> </w:t>
      </w:r>
      <w:r>
        <w:rPr>
          <w:rStyle w:val="16"/>
          <w:rFonts w:hint="eastAsia" w:ascii="黑体" w:hAnsi="黑体" w:eastAsia="黑体"/>
          <w:b w:val="0"/>
        </w:rPr>
        <w:t>附件</w:t>
      </w:r>
    </w:p>
    <w:p>
      <w:pPr>
        <w:spacing w:line="600" w:lineRule="exact"/>
        <w:jc w:val="left"/>
        <w:outlineLvl w:val="1"/>
        <w:rPr>
          <w:rFonts w:ascii="方正小标宋简体" w:hAnsi="方正小标宋简体" w:eastAsia="方正小标宋简体" w:cs="方正小标宋简体"/>
          <w:szCs w:val="32"/>
        </w:rPr>
      </w:pPr>
      <w:r>
        <w:rPr>
          <w:rFonts w:hint="eastAsia" w:ascii="黑体" w:hAnsi="黑体" w:eastAsia="黑体" w:cs="黑体"/>
          <w:szCs w:val="32"/>
        </w:rPr>
        <w:t>附件</w:t>
      </w:r>
      <w:r>
        <w:rPr>
          <w:rFonts w:ascii="黑体" w:hAnsi="黑体" w:eastAsia="黑体" w:cs="黑体"/>
          <w:szCs w:val="32"/>
        </w:rPr>
        <w:t>1</w:t>
      </w:r>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宋体" w:eastAsia="方正小标宋简体"/>
          <w:color w:val="000000"/>
          <w:kern w:val="0"/>
          <w:sz w:val="40"/>
          <w:szCs w:val="44"/>
        </w:rPr>
      </w:pPr>
      <w:r>
        <w:rPr>
          <w:rFonts w:hint="eastAsia" w:ascii="方正小标宋简体" w:hAnsi="宋体" w:eastAsia="方正小标宋简体"/>
          <w:color w:val="000000"/>
          <w:kern w:val="0"/>
          <w:sz w:val="40"/>
          <w:szCs w:val="44"/>
        </w:rPr>
        <w:t>自贡市自流井区行政审批局（本级）</w:t>
      </w:r>
    </w:p>
    <w:p>
      <w:pPr>
        <w:spacing w:line="600" w:lineRule="exact"/>
        <w:jc w:val="center"/>
        <w:rPr>
          <w:rFonts w:ascii="方正小标宋简体" w:hAnsi="宋体" w:eastAsia="方正小标宋简体"/>
          <w:color w:val="000000"/>
          <w:kern w:val="0"/>
          <w:sz w:val="40"/>
          <w:szCs w:val="44"/>
          <w:lang w:val="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lang w:val="zh-CN"/>
        </w:rPr>
      </w:pPr>
      <w:r>
        <w:rPr>
          <w:rFonts w:hint="eastAsia" w:ascii="黑体" w:hAnsi="宋体" w:eastAsia="黑体" w:cs="宋体"/>
          <w:color w:val="000000"/>
          <w:kern w:val="0"/>
          <w:szCs w:val="32"/>
          <w:shd w:val="clear" w:color="auto" w:fill="FFFFFF"/>
        </w:rPr>
        <w:t>一、</w:t>
      </w:r>
      <w:r>
        <w:rPr>
          <w:rFonts w:hint="eastAsia" w:ascii="黑体" w:hAnsi="宋体" w:eastAsia="黑体" w:cs="宋体"/>
          <w:color w:val="000000"/>
          <w:kern w:val="0"/>
          <w:szCs w:val="32"/>
          <w:shd w:val="clear" w:color="auto" w:fill="FFFFFF"/>
          <w:lang w:val="zh-CN"/>
        </w:rPr>
        <w:t>部门（单位）概况</w:t>
      </w:r>
    </w:p>
    <w:p>
      <w:pPr>
        <w:pStyle w:val="4"/>
        <w:adjustRightInd w:val="0"/>
        <w:snapToGrid w:val="0"/>
        <w:spacing w:before="93" w:line="580" w:lineRule="exact"/>
        <w:ind w:firstLine="640" w:firstLineChars="200"/>
        <w:rPr>
          <w:rFonts w:hAnsi="宋体" w:cs="宋体"/>
          <w:color w:val="000000"/>
          <w:sz w:val="32"/>
          <w:szCs w:val="32"/>
          <w:shd w:val="clear" w:color="auto" w:fill="FFFFFF"/>
          <w:lang w:val="zh-CN"/>
        </w:rPr>
      </w:pPr>
      <w:r>
        <w:rPr>
          <w:rFonts w:hint="eastAsia" w:hAnsi="宋体" w:cs="宋体"/>
          <w:color w:val="000000"/>
          <w:sz w:val="32"/>
          <w:szCs w:val="32"/>
          <w:shd w:val="clear" w:color="auto" w:fill="FFFFFF"/>
          <w:lang w:val="zh-CN"/>
        </w:rPr>
        <w:t>（一）机构组成。</w:t>
      </w:r>
    </w:p>
    <w:p>
      <w:pPr>
        <w:pStyle w:val="4"/>
        <w:adjustRightInd w:val="0"/>
        <w:snapToGrid w:val="0"/>
        <w:spacing w:before="93" w:line="580" w:lineRule="exact"/>
        <w:ind w:firstLine="640" w:firstLineChars="200"/>
        <w:rPr>
          <w:rFonts w:ascii="仿宋" w:hAnsi="仿宋" w:eastAsia="仿宋"/>
          <w:bCs/>
          <w:color w:val="000000"/>
          <w:sz w:val="32"/>
          <w:szCs w:val="32"/>
        </w:rPr>
      </w:pPr>
      <w:r>
        <w:rPr>
          <w:rFonts w:hint="eastAsia" w:ascii="仿宋" w:hAnsi="仿宋" w:eastAsia="仿宋"/>
          <w:bCs/>
          <w:color w:val="000000"/>
          <w:sz w:val="32"/>
          <w:szCs w:val="32"/>
        </w:rPr>
        <w:t>自流井区行政审批局设5个内设股室，分别为办公室、督查管理股、网络信息股、综合法规股（踏勘协调股）与行政审批股（审改股）。</w:t>
      </w:r>
    </w:p>
    <w:p>
      <w:pPr>
        <w:ind w:firstLine="640" w:firstLineChars="200"/>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（二）机构职能。</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1、办公室。负责日常有关事务工作；负责牵头组织绩效考核、党风廉政建设考核、工作人员年度考核、督查督办、政务公开和调研、信息工作；负责党风廉政建设、来信来访及议案提案办理、社会治安综合治理、工会工作；负责文秘、人事、财务、档案、保密和资产管理以及安全保卫等工作；负责办公设施、设备的管理、维护工作；组织起草或审核、印制以行政审批局名义制发的文件；牵头组织承办各类会议，并督促落实会议议定事项；组织、协调和管理惠民帮扶工作；组织起草惠民帮扶工作规划、计划，组织开展惠民帮扶活动。</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2、督查管理股。负责政务服务大厅运行、管理制度、办法的起草和组织实施；组织清理和审定行政审批（许可）服务事项，编制《行政审批（许可）服务事项目录》，组织、协调部门（单位）编印服务指南并对外公开；对部门（单位）及其服务事项进入和退出政务服务大厅进行审查；对进驻部门（单位）进行绩效考核和党风廉政建设考核，对工作人员进行日常管理和年度考核；负责政务服务大厅现场管理，并实施效能监察；受理服务对象的投诉，会同有关部门按规定调查处理；指导乡镇、街道便民中心业务工作和绩效考核工作。</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3、网络信息股。负责政务服务信息网络的规划建设、运行管理工作；负责四川省一体化政务服务平台、视频监控系统、协同办公系统、信息发布系统、电子指纹考勤系统、网站等信息网络的建设、管理和运行维护、数据更新、备份、存档工作；负责信息网络安全与保密工作；负责计算机网络技术的应用培训工作；指导各乡镇（街道）便民中心的信息技术工作。</w:t>
      </w:r>
    </w:p>
    <w:p>
      <w:pPr>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4、综合法规股（踏勘协调股）。全面推进依法行政工作，负责对接省、市相关业务主管部门和联系区级相关部门，做好相关法律法规和政策的有效衔接；负责规范性文件的合法性审核与报备等工作；负责指导镇乡便民服务事项的受理和办理；受理行政审批相关投诉并按规定处理；组织推进、指导、监督区级部门（单位）政务服务一体化平台依法规范公开运行；负责本部门的其他涉法事务；负责重大行政许可事项的法制审核工作；承担有关行政复议、行政应诉和赔偿工作；承担、指导听证工作；负责研究制定全区中介组织的发展规划；负责制定对中介机构的监督管理规定；牵头组织各行政管理部门对社会中介组织经营管理活动进行监督检查；负责指导社会中介组织协会的建设；承担法制宣传、培训工作。负责组织和巡查区行政审批局实施的跨部门行政审批事项的现场联合踏勘和相关协调工作。</w:t>
      </w:r>
    </w:p>
    <w:p>
      <w:pPr>
        <w:tabs>
          <w:tab w:val="left" w:pos="915"/>
        </w:tabs>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5、行政审批股（审改股）。负责组织实施全区各部门划转的行政审批事项的依法审批工作；负责与上级业务部门的联系、对接、协调工作；负责行政审批现场踏勘相关工作及踏勘体系、机制的规范、创新和完善工作；负责全区行政审批制度改革相关具体工作，推进行政审批标准化建设；对审批事项适用的法律法规条款、前置条件、行政审批流程进行梳理、研究，依法再造审批流程；制定规范行政审批、公共服务运行规章制度和管理办法并组织实施。</w:t>
      </w:r>
    </w:p>
    <w:p>
      <w:pPr>
        <w:snapToGrid w:val="0"/>
        <w:spacing w:line="52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6、下属二级事业单位自流井区政务服务和公共资源中心（自流井区政府采购中心）负责</w:t>
      </w:r>
      <w:r>
        <w:rPr>
          <w:rFonts w:ascii="仿宋" w:hAnsi="仿宋" w:eastAsia="仿宋"/>
          <w:bCs/>
          <w:color w:val="000000"/>
          <w:kern w:val="0"/>
          <w:szCs w:val="32"/>
        </w:rPr>
        <w:t>按照法定程序</w:t>
      </w:r>
      <w:r>
        <w:rPr>
          <w:rFonts w:hint="eastAsia" w:ascii="仿宋" w:hAnsi="仿宋" w:eastAsia="仿宋"/>
          <w:bCs/>
          <w:color w:val="000000"/>
          <w:kern w:val="0"/>
          <w:szCs w:val="32"/>
        </w:rPr>
        <w:t>统一组织实施纳入政府集中采购目录以内的货物、工程和服务项目的政府采购；研究制定集中采购实施方案并组织实施；按法定程序组织政府采购招标活动；根据各部门委托的权限签订或组织签订政府采购合同并监督检查合同履行情况；制定集中采购内部操作规程；负责各部门集中采购操作业务人员的培训；</w:t>
      </w:r>
      <w:r>
        <w:rPr>
          <w:rFonts w:ascii="仿宋" w:hAnsi="仿宋" w:eastAsia="仿宋"/>
          <w:bCs/>
          <w:color w:val="000000"/>
          <w:kern w:val="0"/>
          <w:szCs w:val="32"/>
        </w:rPr>
        <w:t>依法对供应商的准入资质进行审查；</w:t>
      </w:r>
      <w:r>
        <w:rPr>
          <w:rFonts w:hint="eastAsia" w:ascii="仿宋" w:hAnsi="仿宋" w:eastAsia="仿宋"/>
          <w:bCs/>
          <w:color w:val="000000"/>
          <w:kern w:val="0"/>
          <w:szCs w:val="32"/>
        </w:rPr>
        <w:t>负责受理有关政府采购投诉、开展政府采购统计及效益评估等工作；</w:t>
      </w:r>
      <w:r>
        <w:rPr>
          <w:rFonts w:ascii="仿宋" w:hAnsi="仿宋" w:eastAsia="仿宋"/>
          <w:bCs/>
          <w:color w:val="000000"/>
          <w:kern w:val="0"/>
          <w:szCs w:val="32"/>
        </w:rPr>
        <w:t>自觉接受财政、监察、审计等有关部门的监督检查，依法独立承担集中代理采购活动中的相关法律责任；</w:t>
      </w:r>
      <w:r>
        <w:rPr>
          <w:rFonts w:hint="eastAsia" w:ascii="仿宋" w:hAnsi="仿宋" w:eastAsia="仿宋"/>
          <w:bCs/>
          <w:color w:val="000000"/>
          <w:kern w:val="0"/>
          <w:szCs w:val="32"/>
        </w:rPr>
        <w:t>办理政府采购监督管理部门交办的其他采购项目；负责制定招标投标现场管理制度并对招标投标活动提供服务并实施现场秩序管理；负责办理专家的抽取；</w:t>
      </w:r>
    </w:p>
    <w:p>
      <w:pPr>
        <w:widowControl/>
        <w:adjustRightInd w:val="0"/>
        <w:snapToGrid w:val="0"/>
        <w:spacing w:line="580" w:lineRule="exact"/>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（三）人员概况。</w:t>
      </w:r>
    </w:p>
    <w:p>
      <w:pPr>
        <w:widowControl/>
        <w:adjustRightInd w:val="0"/>
        <w:snapToGrid w:val="0"/>
        <w:spacing w:line="580" w:lineRule="exact"/>
        <w:ind w:firstLine="640" w:firstLineChars="200"/>
        <w:contextualSpacing/>
        <w:jc w:val="left"/>
        <w:rPr>
          <w:rFonts w:ascii="仿宋" w:hAnsi="仿宋" w:eastAsia="仿宋"/>
          <w:bCs/>
          <w:color w:val="000000"/>
          <w:kern w:val="0"/>
          <w:szCs w:val="32"/>
        </w:rPr>
      </w:pPr>
      <w:r>
        <w:rPr>
          <w:rFonts w:hint="eastAsia" w:ascii="仿宋" w:hAnsi="仿宋" w:eastAsia="仿宋"/>
          <w:bCs/>
          <w:color w:val="000000"/>
          <w:kern w:val="0"/>
          <w:szCs w:val="32"/>
        </w:rPr>
        <w:t>行政审批局行政编制8名、机关工勤1名。年末实有人员8名：其中：行政人员7名、机关工勤1名。</w:t>
      </w:r>
    </w:p>
    <w:p>
      <w:pPr>
        <w:widowControl/>
        <w:adjustRightInd w:val="0"/>
        <w:snapToGrid w:val="0"/>
        <w:spacing w:line="580" w:lineRule="exact"/>
        <w:ind w:firstLine="640" w:firstLineChars="200"/>
        <w:contextualSpacing/>
        <w:jc w:val="left"/>
        <w:rPr>
          <w:rFonts w:ascii="仿宋" w:hAnsi="仿宋" w:eastAsia="仿宋"/>
          <w:bCs/>
          <w:color w:val="000000"/>
          <w:kern w:val="0"/>
          <w:szCs w:val="32"/>
        </w:rPr>
      </w:pPr>
      <w:r>
        <w:rPr>
          <w:rFonts w:hint="eastAsia" w:ascii="仿宋" w:hAnsi="仿宋" w:eastAsia="仿宋"/>
          <w:bCs/>
          <w:color w:val="000000"/>
          <w:kern w:val="0"/>
          <w:szCs w:val="32"/>
        </w:rPr>
        <w:t>自流井区政务服务和公共资源中心（自流井区政府采购中心）事业编制21名，实有人员17名。</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ascii="仿宋" w:hAnsi="仿宋" w:eastAsia="仿宋"/>
          <w:bCs/>
          <w:color w:val="000000"/>
          <w:kern w:val="0"/>
          <w:szCs w:val="32"/>
        </w:rPr>
      </w:pPr>
      <w:r>
        <w:rPr>
          <w:rFonts w:hint="eastAsia" w:ascii="仿宋" w:hAnsi="仿宋" w:eastAsia="仿宋"/>
          <w:bCs/>
          <w:color w:val="000000"/>
          <w:kern w:val="0"/>
          <w:szCs w:val="32"/>
        </w:rPr>
        <w:t>2020年财政拨款收入430.51万元，其中：一般公共预算财政拨款收入430.51万元，占100%；政府性基金预算财政拨款收入0万元。</w:t>
      </w:r>
    </w:p>
    <w:p>
      <w:pPr>
        <w:widowControl/>
        <w:numPr>
          <w:ilvl w:val="0"/>
          <w:numId w:val="5"/>
        </w:numPr>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部门财政资金支出情况。</w:t>
      </w:r>
    </w:p>
    <w:p>
      <w:pPr>
        <w:widowControl/>
        <w:adjustRightInd w:val="0"/>
        <w:snapToGrid w:val="0"/>
        <w:spacing w:line="580" w:lineRule="exact"/>
        <w:ind w:firstLine="640" w:firstLineChars="200"/>
        <w:contextualSpacing/>
        <w:jc w:val="left"/>
        <w:rPr>
          <w:rFonts w:ascii="仿宋" w:hAnsi="仿宋" w:eastAsia="仿宋"/>
          <w:bCs/>
          <w:color w:val="000000"/>
          <w:kern w:val="0"/>
          <w:szCs w:val="32"/>
        </w:rPr>
      </w:pPr>
      <w:r>
        <w:rPr>
          <w:rFonts w:hint="eastAsia" w:ascii="仿宋" w:hAnsi="仿宋" w:eastAsia="仿宋"/>
          <w:bCs/>
          <w:color w:val="000000"/>
          <w:kern w:val="0"/>
          <w:szCs w:val="32"/>
        </w:rPr>
        <w:t>2020年财政拨款支出合计430.51万元，其中：基本支出372.76万元，占86.59%；项目支出57.75万元，占13.41%。</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shd w:val="clear" w:color="auto" w:fill="FFFFFF"/>
        </w:rPr>
      </w:pPr>
      <w:r>
        <w:rPr>
          <w:rFonts w:hint="eastAsia" w:ascii="黑体" w:hAnsi="宋体" w:eastAsia="黑体" w:cs="宋体"/>
          <w:color w:val="000000"/>
          <w:kern w:val="0"/>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shd w:val="clear" w:color="auto" w:fill="FFFFFF"/>
          <w:lang w:val="zh-CN"/>
        </w:rPr>
      </w:pPr>
      <w:r>
        <w:rPr>
          <w:rFonts w:hint="eastAsia" w:ascii="仿宋_GB2312" w:hAnsi="宋体" w:cs="宋体"/>
          <w:color w:val="000000"/>
          <w:kern w:val="0"/>
          <w:szCs w:val="32"/>
          <w:shd w:val="clear" w:color="auto" w:fill="FFFFFF"/>
          <w:lang w:val="zh-CN"/>
        </w:rPr>
        <w:t>（一）部门预算管理。</w:t>
      </w:r>
    </w:p>
    <w:p>
      <w:pPr>
        <w:pStyle w:val="19"/>
        <w:ind w:firstLine="640" w:firstLineChars="200"/>
        <w:rPr>
          <w:rFonts w:hAnsi="仿宋" w:cs="Times New Roman"/>
          <w:bCs/>
          <w:sz w:val="32"/>
          <w:szCs w:val="32"/>
        </w:rPr>
      </w:pPr>
      <w:r>
        <w:rPr>
          <w:rFonts w:hint="eastAsia" w:hAnsi="仿宋" w:cs="Times New Roman"/>
          <w:bCs/>
          <w:sz w:val="32"/>
          <w:szCs w:val="32"/>
        </w:rPr>
        <w:t>2020年自流井区行政审批局收入预算总额为430.51万元，支出预算总额为430.51万元。预算安排财政拨款支出主要用于保障该部门机构正常运转、完成日常工作任务相关工作，包括人员支出和公用支出。人员支出，包括基本工资、津贴补贴、养老保险、医疗保险、住房公积金等工资及福利支出，公用支出，包括办公费、工会经费、差旅费、委托业务费等商品服务支出。</w:t>
      </w:r>
    </w:p>
    <w:p>
      <w:pPr>
        <w:adjustRightInd w:val="0"/>
        <w:snapToGrid w:val="0"/>
        <w:spacing w:line="540"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全年执行进度合理，能保证单位各项工作的正常运转。</w:t>
      </w:r>
    </w:p>
    <w:p>
      <w:pPr>
        <w:adjustRightInd w:val="0"/>
        <w:snapToGrid w:val="0"/>
        <w:spacing w:line="540" w:lineRule="exact"/>
        <w:ind w:firstLine="640" w:firstLineChars="200"/>
        <w:rPr>
          <w:rFonts w:ascii="仿宋_GB2312" w:hAnsi="宋体" w:cs="宋体"/>
          <w:color w:val="000000"/>
          <w:kern w:val="0"/>
          <w:szCs w:val="32"/>
          <w:shd w:val="clear" w:color="auto" w:fill="FFFFFF"/>
          <w:lang w:val="zh-CN"/>
        </w:rPr>
      </w:pPr>
      <w:r>
        <w:rPr>
          <w:rFonts w:hint="eastAsia" w:ascii="仿宋" w:hAnsi="仿宋" w:eastAsia="仿宋"/>
          <w:bCs/>
          <w:color w:val="000000"/>
          <w:kern w:val="0"/>
          <w:szCs w:val="32"/>
        </w:rPr>
        <w:t>2020年结余结转无余额，无违规执行预算的情况。</w:t>
      </w:r>
      <w:r>
        <w:rPr>
          <w:rFonts w:hint="eastAsia" w:ascii="仿宋" w:hAnsi="仿宋" w:eastAsia="仿宋"/>
          <w:bCs/>
          <w:color w:val="000000"/>
          <w:kern w:val="0"/>
          <w:szCs w:val="32"/>
        </w:rPr>
        <w:br w:type="textWrapping"/>
      </w:r>
      <w:r>
        <w:rPr>
          <w:rFonts w:hint="eastAsia" w:ascii="仿宋_GB2312" w:hAnsi="宋体" w:cs="宋体"/>
          <w:color w:val="000000"/>
          <w:kern w:val="0"/>
          <w:szCs w:val="32"/>
          <w:shd w:val="clear" w:color="auto" w:fill="FFFFFF"/>
          <w:lang w:val="zh-CN"/>
        </w:rPr>
        <w:t>（二）结果应用情况。</w:t>
      </w:r>
    </w:p>
    <w:p>
      <w:pPr>
        <w:spacing w:line="600" w:lineRule="exact"/>
        <w:ind w:firstLine="640" w:firstLineChars="200"/>
        <w:rPr>
          <w:rFonts w:ascii="仿宋_GB2312"/>
          <w:szCs w:val="32"/>
          <w:lang w:val="zh-CN"/>
        </w:rPr>
      </w:pPr>
      <w:r>
        <w:rPr>
          <w:rFonts w:hint="eastAsia" w:ascii="仿宋_GB2312"/>
          <w:szCs w:val="32"/>
          <w:lang w:val="zh-CN"/>
        </w:rPr>
        <w:t>1</w:t>
      </w:r>
      <w:r>
        <w:rPr>
          <w:rFonts w:hint="eastAsia" w:ascii="仿宋_GB2312"/>
          <w:szCs w:val="32"/>
        </w:rPr>
        <w:t>.</w:t>
      </w:r>
      <w:r>
        <w:rPr>
          <w:rFonts w:hint="eastAsia" w:ascii="仿宋_GB2312"/>
          <w:szCs w:val="32"/>
          <w:lang w:val="zh-CN"/>
        </w:rPr>
        <w:t>行政运转保障。</w:t>
      </w:r>
    </w:p>
    <w:p>
      <w:pPr>
        <w:adjustRightInd w:val="0"/>
        <w:snapToGrid w:val="0"/>
        <w:spacing w:line="592"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20</w:t>
      </w:r>
      <w:r>
        <w:rPr>
          <w:rFonts w:hint="eastAsia" w:ascii="仿宋" w:hAnsi="仿宋" w:eastAsia="仿宋"/>
          <w:bCs/>
          <w:color w:val="000000"/>
          <w:kern w:val="0"/>
          <w:szCs w:val="32"/>
        </w:rPr>
        <w:t>20年，自流井区行政审批局（本级）机关运行经费支出92.22万元。预算安排的基本支出能保障我局的正常运转、能有效履行各股室职能职责：</w:t>
      </w:r>
      <w:r>
        <w:rPr>
          <w:rFonts w:ascii="仿宋" w:hAnsi="仿宋" w:eastAsia="仿宋"/>
          <w:bCs/>
          <w:color w:val="000000"/>
          <w:kern w:val="0"/>
          <w:szCs w:val="32"/>
        </w:rPr>
        <w:t>全面完成审批事项划转</w:t>
      </w:r>
      <w:r>
        <w:rPr>
          <w:rFonts w:hint="eastAsia" w:ascii="仿宋" w:hAnsi="仿宋" w:eastAsia="仿宋"/>
          <w:bCs/>
          <w:color w:val="000000"/>
          <w:kern w:val="0"/>
          <w:szCs w:val="32"/>
        </w:rPr>
        <w:t>、</w:t>
      </w:r>
      <w:r>
        <w:rPr>
          <w:rFonts w:ascii="仿宋" w:hAnsi="仿宋" w:eastAsia="仿宋"/>
          <w:bCs/>
          <w:color w:val="000000"/>
          <w:kern w:val="0"/>
          <w:szCs w:val="32"/>
        </w:rPr>
        <w:t>实现无差别“一窗”受理；创新“菜单式”审批</w:t>
      </w:r>
      <w:r>
        <w:rPr>
          <w:rFonts w:hint="eastAsia" w:ascii="仿宋" w:hAnsi="仿宋" w:eastAsia="仿宋"/>
          <w:bCs/>
          <w:color w:val="000000"/>
          <w:kern w:val="0"/>
          <w:szCs w:val="32"/>
        </w:rPr>
        <w:t>、</w:t>
      </w:r>
      <w:r>
        <w:rPr>
          <w:rFonts w:ascii="仿宋" w:hAnsi="仿宋" w:eastAsia="仿宋"/>
          <w:bCs/>
          <w:color w:val="000000"/>
          <w:kern w:val="0"/>
          <w:szCs w:val="32"/>
        </w:rPr>
        <w:t>优化营商环境，</w:t>
      </w:r>
      <w:r>
        <w:rPr>
          <w:rFonts w:ascii="仿宋" w:hAnsi="仿宋" w:eastAsia="仿宋"/>
          <w:b/>
          <w:bCs/>
          <w:color w:val="000000"/>
          <w:kern w:val="0"/>
        </w:rPr>
        <w:t>大力推行非要件“容缺受理”，</w:t>
      </w:r>
      <w:r>
        <w:rPr>
          <w:rFonts w:ascii="仿宋" w:hAnsi="仿宋" w:eastAsia="仿宋"/>
          <w:bCs/>
          <w:color w:val="000000"/>
          <w:kern w:val="0"/>
          <w:szCs w:val="32"/>
        </w:rPr>
        <w:t xml:space="preserve"> 开展“一站式联合踏勘”、 “互联网+政务服务”推进有力、落实政务服务“好差评”评议、“12345热线平台”不断优化、确保群众诉求“件件有回落、事事有回音”、安全管理措施到位</w:t>
      </w:r>
      <w:r>
        <w:rPr>
          <w:rFonts w:hint="eastAsia" w:ascii="仿宋" w:hAnsi="仿宋" w:eastAsia="仿宋"/>
          <w:bCs/>
          <w:color w:val="000000"/>
          <w:kern w:val="0"/>
          <w:szCs w:val="32"/>
        </w:rPr>
        <w:t xml:space="preserve">、 </w:t>
      </w:r>
      <w:r>
        <w:rPr>
          <w:rFonts w:ascii="仿宋" w:hAnsi="仿宋" w:eastAsia="仿宋"/>
          <w:bCs/>
          <w:color w:val="000000"/>
          <w:kern w:val="0"/>
          <w:szCs w:val="32"/>
        </w:rPr>
        <w:t>项目建设有序推进</w:t>
      </w:r>
      <w:r>
        <w:rPr>
          <w:rFonts w:hint="eastAsia" w:ascii="仿宋" w:hAnsi="仿宋" w:eastAsia="仿宋"/>
          <w:bCs/>
          <w:color w:val="000000"/>
          <w:kern w:val="0"/>
          <w:szCs w:val="32"/>
        </w:rPr>
        <w:t>。</w:t>
      </w:r>
    </w:p>
    <w:p>
      <w:pPr>
        <w:spacing w:line="600" w:lineRule="exact"/>
        <w:ind w:firstLine="640" w:firstLineChars="200"/>
        <w:rPr>
          <w:rFonts w:ascii="仿宋_GB2312"/>
          <w:szCs w:val="32"/>
          <w:lang w:val="zh-CN"/>
        </w:rPr>
      </w:pPr>
      <w:r>
        <w:rPr>
          <w:rFonts w:hint="eastAsia" w:ascii="仿宋_GB2312"/>
          <w:szCs w:val="32"/>
        </w:rPr>
        <w:t>2.</w:t>
      </w:r>
      <w:r>
        <w:rPr>
          <w:rFonts w:hint="eastAsia" w:ascii="仿宋_GB2312"/>
          <w:szCs w:val="32"/>
          <w:lang w:val="zh-CN"/>
        </w:rPr>
        <w:t>机关厉行节约。</w:t>
      </w:r>
    </w:p>
    <w:p>
      <w:pPr>
        <w:spacing w:line="600" w:lineRule="exact"/>
        <w:ind w:firstLine="640"/>
        <w:rPr>
          <w:rFonts w:ascii="仿宋_GB2312"/>
          <w:szCs w:val="32"/>
        </w:rPr>
      </w:pPr>
      <w:r>
        <w:rPr>
          <w:rFonts w:hint="eastAsia" w:ascii="仿宋_GB2312"/>
          <w:szCs w:val="32"/>
        </w:rPr>
        <w:t xml:space="preserve"> </w:t>
      </w:r>
      <w:r>
        <w:rPr>
          <w:rFonts w:ascii="仿宋" w:hAnsi="仿宋" w:eastAsia="仿宋"/>
          <w:bCs/>
          <w:color w:val="000000"/>
          <w:kern w:val="0"/>
          <w:szCs w:val="32"/>
        </w:rPr>
        <w:t>20</w:t>
      </w:r>
      <w:r>
        <w:rPr>
          <w:rFonts w:hint="eastAsia" w:ascii="仿宋" w:hAnsi="仿宋" w:eastAsia="仿宋"/>
          <w:bCs/>
          <w:color w:val="000000"/>
          <w:kern w:val="0"/>
          <w:szCs w:val="32"/>
        </w:rPr>
        <w:t>20</w:t>
      </w:r>
      <w:r>
        <w:rPr>
          <w:rFonts w:ascii="仿宋" w:hAnsi="仿宋" w:eastAsia="仿宋"/>
          <w:bCs/>
          <w:color w:val="000000"/>
          <w:kern w:val="0"/>
          <w:szCs w:val="32"/>
        </w:rPr>
        <w:t>年“三公”经费财政拨款</w:t>
      </w:r>
      <w:r>
        <w:rPr>
          <w:rFonts w:hint="eastAsia" w:ascii="仿宋" w:hAnsi="仿宋" w:eastAsia="仿宋"/>
          <w:bCs/>
          <w:color w:val="000000"/>
          <w:kern w:val="0"/>
          <w:szCs w:val="32"/>
        </w:rPr>
        <w:t>支出决算为0万元，主要原因是严格执行厉行节约相关规定，控制支出。</w:t>
      </w:r>
    </w:p>
    <w:p>
      <w:pPr>
        <w:spacing w:line="600" w:lineRule="exact"/>
        <w:ind w:firstLine="640"/>
        <w:rPr>
          <w:rFonts w:ascii="仿宋_GB2312"/>
          <w:szCs w:val="32"/>
          <w:lang w:val="zh-CN"/>
        </w:rPr>
      </w:pPr>
      <w:r>
        <w:rPr>
          <w:rFonts w:hint="eastAsia" w:ascii="仿宋_GB2312"/>
          <w:szCs w:val="32"/>
        </w:rPr>
        <w:t>3.</w:t>
      </w:r>
      <w:r>
        <w:rPr>
          <w:rFonts w:hint="eastAsia" w:ascii="仿宋_GB2312"/>
          <w:szCs w:val="32"/>
          <w:lang w:val="zh-CN"/>
        </w:rPr>
        <w:t>机关节能降耗。</w:t>
      </w:r>
    </w:p>
    <w:p>
      <w:pPr>
        <w:spacing w:line="600" w:lineRule="exact"/>
        <w:ind w:firstLine="640"/>
        <w:rPr>
          <w:rFonts w:ascii="仿宋" w:hAnsi="仿宋" w:eastAsia="仿宋"/>
          <w:bCs/>
          <w:color w:val="000000"/>
          <w:kern w:val="0"/>
          <w:szCs w:val="32"/>
        </w:rPr>
      </w:pPr>
      <w:r>
        <w:rPr>
          <w:rFonts w:hint="eastAsia" w:ascii="仿宋" w:hAnsi="仿宋" w:eastAsia="仿宋"/>
          <w:bCs/>
          <w:color w:val="000000"/>
          <w:kern w:val="0"/>
          <w:szCs w:val="32"/>
        </w:rPr>
        <w:t>严格执行区政府的节能相关制度，厉行节约，不铺张浪费。</w:t>
      </w:r>
    </w:p>
    <w:p>
      <w:pPr>
        <w:widowControl/>
        <w:adjustRightInd w:val="0"/>
        <w:snapToGrid w:val="0"/>
        <w:spacing w:line="580" w:lineRule="exact"/>
        <w:ind w:firstLine="640" w:firstLineChars="200"/>
        <w:contextualSpacing/>
        <w:jc w:val="left"/>
        <w:rPr>
          <w:rFonts w:ascii="黑体" w:hAnsi="宋体" w:eastAsia="黑体" w:cs="宋体"/>
          <w:kern w:val="0"/>
          <w:szCs w:val="32"/>
          <w:shd w:val="clear" w:color="auto" w:fill="FFFFFF"/>
        </w:rPr>
      </w:pPr>
      <w:r>
        <w:rPr>
          <w:rFonts w:hint="eastAsia" w:ascii="黑体" w:hAnsi="宋体" w:eastAsia="黑体" w:cs="宋体"/>
          <w:kern w:val="0"/>
          <w:szCs w:val="32"/>
          <w:shd w:val="clear" w:color="auto" w:fill="FFFFFF"/>
        </w:rPr>
        <w:t>四、评价结论及建议</w:t>
      </w:r>
    </w:p>
    <w:p>
      <w:pPr>
        <w:pStyle w:val="4"/>
        <w:spacing w:before="93"/>
        <w:ind w:firstLine="640" w:firstLineChars="200"/>
        <w:jc w:val="left"/>
        <w:rPr>
          <w:rFonts w:hAnsi="宋体" w:cs="宋体"/>
          <w:sz w:val="32"/>
          <w:szCs w:val="32"/>
          <w:shd w:val="clear" w:color="auto" w:fill="FFFFFF"/>
          <w:lang w:val="zh-CN"/>
        </w:rPr>
      </w:pPr>
      <w:r>
        <w:rPr>
          <w:rFonts w:hint="eastAsia" w:hAnsi="宋体" w:cs="宋体"/>
          <w:sz w:val="32"/>
          <w:szCs w:val="32"/>
          <w:shd w:val="clear" w:color="auto" w:fill="FFFFFF"/>
          <w:lang w:val="zh-CN"/>
        </w:rPr>
        <w:t>（一）评价结论。</w:t>
      </w:r>
    </w:p>
    <w:p>
      <w:pPr>
        <w:pStyle w:val="4"/>
        <w:spacing w:before="93"/>
        <w:ind w:firstLine="640" w:firstLineChars="200"/>
        <w:jc w:val="left"/>
        <w:rPr>
          <w:rFonts w:ascii="仿宋" w:hAnsi="仿宋" w:eastAsia="仿宋"/>
          <w:bCs/>
          <w:color w:val="000000"/>
          <w:sz w:val="32"/>
          <w:szCs w:val="32"/>
        </w:rPr>
      </w:pPr>
      <w:r>
        <w:rPr>
          <w:rFonts w:hint="eastAsia" w:ascii="仿宋" w:hAnsi="仿宋" w:eastAsia="仿宋"/>
          <w:bCs/>
          <w:color w:val="000000"/>
          <w:sz w:val="32"/>
          <w:szCs w:val="32"/>
        </w:rPr>
        <w:t>按照区级部门预决编制通知和有关要求，按时完成基础工作并按时在规定时间内公开，本单位的预算执行都达到了执行进度；本单位的财务制度健全，制度执行严格，会计核算符合财政局的相关规定，资金达到了专款专用，开支标准合理、合法。达到了预期的社会效益、质量效益、经济效益等，完成预算的100%。</w:t>
      </w:r>
    </w:p>
    <w:p>
      <w:pPr>
        <w:widowControl/>
        <w:adjustRightInd w:val="0"/>
        <w:snapToGrid w:val="0"/>
        <w:spacing w:line="580" w:lineRule="exact"/>
        <w:ind w:firstLine="640" w:firstLineChars="200"/>
        <w:contextualSpacing/>
        <w:jc w:val="left"/>
        <w:rPr>
          <w:rFonts w:ascii="仿宋_GB2312" w:hAnsi="宋体" w:cs="宋体"/>
          <w:kern w:val="0"/>
          <w:szCs w:val="32"/>
          <w:shd w:val="clear" w:color="auto" w:fill="FFFFFF"/>
          <w:lang w:val="zh-CN"/>
        </w:rPr>
      </w:pPr>
      <w:r>
        <w:rPr>
          <w:rFonts w:hint="eastAsia" w:ascii="仿宋_GB2312" w:hAnsi="宋体" w:cs="宋体"/>
          <w:kern w:val="0"/>
          <w:szCs w:val="32"/>
          <w:shd w:val="clear" w:color="auto" w:fill="FFFFFF"/>
          <w:lang w:val="zh-CN"/>
        </w:rPr>
        <w:t>（二）存在问题。</w:t>
      </w:r>
    </w:p>
    <w:p>
      <w:pPr>
        <w:pStyle w:val="4"/>
        <w:spacing w:before="93"/>
        <w:ind w:firstLine="640" w:firstLineChars="200"/>
        <w:jc w:val="left"/>
        <w:rPr>
          <w:rFonts w:ascii="仿宋" w:hAnsi="仿宋" w:eastAsia="仿宋"/>
          <w:bCs/>
          <w:color w:val="000000"/>
          <w:sz w:val="32"/>
          <w:szCs w:val="32"/>
        </w:rPr>
      </w:pPr>
      <w:r>
        <w:rPr>
          <w:rFonts w:hint="eastAsia" w:ascii="仿宋" w:hAnsi="仿宋" w:eastAsia="仿宋"/>
          <w:bCs/>
          <w:color w:val="000000"/>
          <w:sz w:val="32"/>
          <w:szCs w:val="32"/>
        </w:rPr>
        <w:t>区政府资源有限，区财政支撑发展保障不足，导致财政预算资金到位迟缓，各项目经费支付不能及时到位。</w:t>
      </w:r>
    </w:p>
    <w:p>
      <w:pPr>
        <w:widowControl/>
        <w:adjustRightInd w:val="0"/>
        <w:snapToGrid w:val="0"/>
        <w:spacing w:line="580" w:lineRule="exact"/>
        <w:ind w:firstLine="640" w:firstLineChars="200"/>
        <w:contextualSpacing/>
        <w:jc w:val="left"/>
        <w:rPr>
          <w:rFonts w:ascii="仿宋_GB2312" w:hAnsi="宋体" w:cs="宋体"/>
          <w:kern w:val="0"/>
          <w:szCs w:val="32"/>
          <w:shd w:val="clear" w:color="auto" w:fill="FFFFFF"/>
          <w:lang w:val="zh-CN"/>
        </w:rPr>
      </w:pPr>
      <w:r>
        <w:rPr>
          <w:rFonts w:hint="eastAsia" w:ascii="仿宋_GB2312" w:hAnsi="宋体" w:cs="宋体"/>
          <w:kern w:val="0"/>
          <w:szCs w:val="32"/>
          <w:shd w:val="clear" w:color="auto" w:fill="FFFFFF"/>
          <w:lang w:val="zh-CN"/>
        </w:rPr>
        <w:t>（三）改进建议。</w:t>
      </w:r>
    </w:p>
    <w:p>
      <w:pPr>
        <w:widowControl/>
        <w:adjustRightInd w:val="0"/>
        <w:snapToGrid w:val="0"/>
        <w:spacing w:line="580" w:lineRule="exact"/>
        <w:ind w:firstLine="640" w:firstLineChars="200"/>
        <w:contextualSpacing/>
        <w:jc w:val="left"/>
        <w:rPr>
          <w:rFonts w:ascii="仿宋" w:hAnsi="仿宋" w:eastAsia="仿宋"/>
          <w:bCs/>
          <w:color w:val="000000"/>
          <w:kern w:val="0"/>
          <w:szCs w:val="32"/>
        </w:rPr>
      </w:pPr>
      <w:r>
        <w:rPr>
          <w:rFonts w:hint="eastAsia" w:ascii="仿宋" w:hAnsi="仿宋" w:eastAsia="仿宋"/>
          <w:bCs/>
          <w:color w:val="000000"/>
          <w:kern w:val="0"/>
          <w:szCs w:val="32"/>
        </w:rPr>
        <w:t>加大财政资金拨付力度，提高预算执行保障。</w:t>
      </w:r>
    </w:p>
    <w:p>
      <w:pPr>
        <w:spacing w:line="580" w:lineRule="exact"/>
        <w:ind w:firstLine="640" w:firstLineChars="200"/>
        <w:rPr>
          <w:rFonts w:ascii="仿宋" w:hAnsi="仿宋" w:eastAsia="仿宋"/>
          <w:bCs/>
          <w:color w:val="000000"/>
          <w:kern w:val="0"/>
          <w:szCs w:val="32"/>
        </w:rPr>
      </w:pPr>
    </w:p>
    <w:p>
      <w:pPr>
        <w:spacing w:line="580" w:lineRule="exact"/>
        <w:ind w:firstLine="640" w:firstLineChars="200"/>
        <w:rPr>
          <w:rFonts w:ascii="仿宋_GB2312" w:hAnsi="仿宋_GB2312" w:cs="仿宋_GB2312"/>
          <w:szCs w:val="32"/>
        </w:rPr>
      </w:pPr>
    </w:p>
    <w:p>
      <w:pPr>
        <w:spacing w:line="580" w:lineRule="exact"/>
        <w:outlineLvl w:val="1"/>
        <w:rPr>
          <w:rFonts w:ascii="仿宋_GB2312" w:hAnsi="仿宋_GB2312" w:cs="仿宋_GB2312"/>
          <w:szCs w:val="32"/>
        </w:rPr>
      </w:pPr>
      <w:r>
        <w:rPr>
          <w:rFonts w:hint="eastAsia" w:ascii="黑体" w:hAnsi="黑体" w:eastAsia="黑体" w:cs="黑体"/>
          <w:szCs w:val="32"/>
        </w:rPr>
        <w:t>附件</w:t>
      </w:r>
      <w:r>
        <w:rPr>
          <w:rFonts w:ascii="黑体" w:hAnsi="黑体" w:eastAsia="黑体" w:cs="黑体"/>
          <w:szCs w:val="32"/>
        </w:rPr>
        <w:t>2</w:t>
      </w:r>
    </w:p>
    <w:p>
      <w:pPr>
        <w:spacing w:line="580" w:lineRule="exact"/>
        <w:ind w:firstLine="640" w:firstLineChars="200"/>
        <w:rPr>
          <w:rFonts w:ascii="仿宋_GB2312" w:hAnsi="仿宋_GB2312" w:cs="仿宋_GB2312"/>
          <w:szCs w:val="32"/>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“政务审批大厅运行”项目</w:t>
      </w: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lang w:val="zh-CN"/>
        </w:rPr>
        <w:t>2020</w:t>
      </w:r>
      <w:r>
        <w:rPr>
          <w:rFonts w:hint="eastAsia" w:ascii="方正小标宋简体" w:hAnsi="宋体" w:eastAsia="方正小标宋简体"/>
          <w:color w:val="000000"/>
          <w:kern w:val="0"/>
          <w:sz w:val="44"/>
          <w:szCs w:val="44"/>
          <w:lang w:val="zh-CN"/>
        </w:rPr>
        <w:t>年绩效评价报告</w:t>
      </w:r>
    </w:p>
    <w:p>
      <w:pPr>
        <w:spacing w:line="600" w:lineRule="exact"/>
        <w:rPr>
          <w:rFonts w:ascii="宋体"/>
          <w:szCs w:val="32"/>
          <w:lang w:val="zh-CN"/>
        </w:rPr>
      </w:pPr>
    </w:p>
    <w:p>
      <w:pPr>
        <w:adjustRightInd w:val="0"/>
        <w:snapToGrid w:val="0"/>
        <w:spacing w:line="600" w:lineRule="exact"/>
        <w:ind w:firstLine="720"/>
        <w:rPr>
          <w:rFonts w:ascii="黑体" w:hAnsi="宋体" w:eastAsia="黑体"/>
          <w:szCs w:val="32"/>
          <w:lang w:val="zh-CN"/>
        </w:rPr>
      </w:pPr>
      <w:r>
        <w:rPr>
          <w:rFonts w:hint="eastAsia" w:ascii="黑体" w:hAnsi="宋体" w:eastAsia="黑体"/>
          <w:szCs w:val="32"/>
        </w:rPr>
        <w:t>一、</w:t>
      </w:r>
      <w:r>
        <w:rPr>
          <w:rFonts w:hint="eastAsia" w:ascii="黑体" w:hAnsi="宋体" w:eastAsia="黑体"/>
          <w:szCs w:val="32"/>
          <w:lang w:val="zh-CN"/>
        </w:rPr>
        <w:t>项目概况</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（一）项目基本情况。</w:t>
      </w:r>
    </w:p>
    <w:p>
      <w:pPr>
        <w:spacing w:line="592"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1</w:t>
      </w:r>
      <w:r>
        <w:rPr>
          <w:rFonts w:hint="eastAsia" w:ascii="仿宋" w:hAnsi="仿宋" w:eastAsia="仿宋"/>
          <w:bCs/>
          <w:color w:val="000000"/>
          <w:kern w:val="0"/>
          <w:szCs w:val="32"/>
        </w:rPr>
        <w:t>．说明项目主管部门（单位）在该项目管理中的职能。承担全区行政许可事项的审批工作，负责全区行政审批制度改革相关工作。</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2</w:t>
      </w:r>
      <w:r>
        <w:rPr>
          <w:rFonts w:hint="eastAsia" w:ascii="仿宋" w:hAnsi="仿宋" w:eastAsia="仿宋"/>
          <w:bCs/>
          <w:color w:val="000000"/>
          <w:kern w:val="0"/>
          <w:szCs w:val="32"/>
        </w:rPr>
        <w:t>．项目立项、资金申报的依据。</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为保证全区政务大厅的运行及审批事项的开展，项目资金为财政全额拨款， 我单位按照工作进度按月进行资金申报，财政局按我单位申报的金额进行拨付。</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3</w:t>
      </w:r>
      <w:r>
        <w:rPr>
          <w:rFonts w:hint="eastAsia" w:ascii="仿宋" w:hAnsi="仿宋" w:eastAsia="仿宋"/>
          <w:bCs/>
          <w:color w:val="000000"/>
          <w:kern w:val="0"/>
          <w:szCs w:val="32"/>
        </w:rPr>
        <w:t>．资金管理办法制定情况，资金支持具体项目的条件、范围与支持方式概况。</w:t>
      </w:r>
    </w:p>
    <w:p>
      <w:pPr>
        <w:adjustRightInd w:val="0"/>
        <w:snapToGrid w:val="0"/>
        <w:spacing w:line="600" w:lineRule="exact"/>
        <w:ind w:firstLine="720"/>
        <w:rPr>
          <w:rFonts w:ascii="仿宋" w:hAnsi="仿宋" w:eastAsia="仿宋"/>
          <w:bCs/>
          <w:color w:val="000000"/>
          <w:kern w:val="0"/>
          <w:szCs w:val="32"/>
        </w:rPr>
      </w:pPr>
      <w:r>
        <w:rPr>
          <w:rFonts w:hint="eastAsia" w:ascii="仿宋" w:hAnsi="仿宋" w:eastAsia="仿宋"/>
          <w:bCs/>
          <w:color w:val="000000"/>
          <w:kern w:val="0"/>
          <w:szCs w:val="32"/>
        </w:rPr>
        <w:t>资金支付按照工作进度按月</w:t>
      </w:r>
      <w:r>
        <w:rPr>
          <w:rFonts w:ascii="仿宋" w:hAnsi="仿宋" w:eastAsia="仿宋"/>
          <w:bCs/>
          <w:color w:val="000000"/>
          <w:kern w:val="0"/>
          <w:szCs w:val="32"/>
        </w:rPr>
        <w:t>拨付。</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4</w:t>
      </w:r>
      <w:r>
        <w:rPr>
          <w:rFonts w:hint="eastAsia" w:ascii="仿宋" w:hAnsi="仿宋" w:eastAsia="仿宋"/>
          <w:bCs/>
          <w:color w:val="000000"/>
          <w:kern w:val="0"/>
          <w:szCs w:val="32"/>
        </w:rPr>
        <w:t>．资金分配的原则及考虑因素。</w:t>
      </w:r>
    </w:p>
    <w:p>
      <w:pPr>
        <w:adjustRightInd w:val="0"/>
        <w:snapToGrid w:val="0"/>
        <w:spacing w:line="600" w:lineRule="exact"/>
        <w:ind w:firstLine="720"/>
        <w:rPr>
          <w:rFonts w:ascii="仿宋" w:hAnsi="仿宋" w:eastAsia="仿宋"/>
          <w:bCs/>
          <w:color w:val="000000"/>
          <w:kern w:val="0"/>
          <w:szCs w:val="32"/>
        </w:rPr>
      </w:pPr>
      <w:r>
        <w:rPr>
          <w:rFonts w:hint="eastAsia" w:ascii="仿宋" w:hAnsi="仿宋" w:eastAsia="仿宋"/>
          <w:bCs/>
          <w:color w:val="000000"/>
          <w:kern w:val="0"/>
          <w:szCs w:val="32"/>
        </w:rPr>
        <w:t>对政务大厅及乡镇、街道便民中心每月进行测评考核。</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（二）项目绩效目标。</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1</w:t>
      </w:r>
      <w:r>
        <w:rPr>
          <w:rFonts w:hint="eastAsia" w:ascii="仿宋" w:hAnsi="仿宋" w:eastAsia="仿宋"/>
          <w:bCs/>
          <w:color w:val="000000"/>
          <w:kern w:val="0"/>
          <w:szCs w:val="32"/>
        </w:rPr>
        <w:t>．项目主要内容。</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分三批次划转、承接的行政审批事项按“一枚印章管审批”规范流程实施，整合了前台窗口综合受理、后台分流审批人员配置及职责分工；推行审批要件“一份指南、一张清单、一次告知”，严格落实“清单之外无审批”，保证政务大厅及</w:t>
      </w:r>
      <w:r>
        <w:rPr>
          <w:rFonts w:hint="eastAsia" w:ascii="仿宋" w:hAnsi="仿宋" w:eastAsia="仿宋"/>
          <w:bCs/>
          <w:color w:val="000000"/>
          <w:kern w:val="0"/>
          <w:szCs w:val="32"/>
        </w:rPr>
        <w:t>乡镇、街道便民中心的正常运行。</w:t>
      </w:r>
    </w:p>
    <w:p>
      <w:pPr>
        <w:adjustRightInd w:val="0"/>
        <w:snapToGrid w:val="0"/>
        <w:spacing w:line="592" w:lineRule="exact"/>
        <w:ind w:firstLine="608"/>
        <w:rPr>
          <w:rFonts w:ascii="仿宋" w:hAnsi="仿宋" w:eastAsia="仿宋"/>
          <w:bCs/>
          <w:color w:val="000000"/>
          <w:kern w:val="0"/>
          <w:szCs w:val="32"/>
        </w:rPr>
      </w:pPr>
      <w:r>
        <w:rPr>
          <w:rFonts w:ascii="仿宋" w:hAnsi="仿宋" w:eastAsia="仿宋"/>
          <w:bCs/>
          <w:color w:val="000000"/>
          <w:kern w:val="0"/>
          <w:szCs w:val="32"/>
        </w:rPr>
        <w:t>2</w:t>
      </w:r>
      <w:r>
        <w:rPr>
          <w:rFonts w:hint="eastAsia" w:ascii="仿宋" w:hAnsi="仿宋" w:eastAsia="仿宋"/>
          <w:bCs/>
          <w:color w:val="000000"/>
          <w:kern w:val="0"/>
          <w:szCs w:val="32"/>
        </w:rPr>
        <w:t>．项目应实现的具体绩效目标，包括目标的量化、细化情况以及项目实施进度计划等。</w:t>
      </w:r>
    </w:p>
    <w:p>
      <w:pPr>
        <w:adjustRightInd w:val="0"/>
        <w:snapToGrid w:val="0"/>
        <w:spacing w:line="592" w:lineRule="exact"/>
        <w:ind w:firstLine="608"/>
        <w:rPr>
          <w:rFonts w:ascii="仿宋" w:hAnsi="仿宋" w:eastAsia="仿宋"/>
          <w:bCs/>
          <w:color w:val="000000"/>
          <w:kern w:val="0"/>
          <w:szCs w:val="32"/>
        </w:rPr>
      </w:pPr>
      <w:r>
        <w:rPr>
          <w:rFonts w:hint="eastAsia" w:ascii="仿宋" w:hAnsi="仿宋" w:eastAsia="仿宋"/>
          <w:bCs/>
          <w:color w:val="000000"/>
          <w:kern w:val="0"/>
          <w:szCs w:val="32"/>
        </w:rPr>
        <w:t>2020年，</w:t>
      </w:r>
      <w:r>
        <w:rPr>
          <w:rFonts w:ascii="仿宋" w:hAnsi="仿宋" w:eastAsia="仿宋"/>
          <w:bCs/>
          <w:color w:val="000000"/>
          <w:kern w:val="0"/>
          <w:szCs w:val="32"/>
        </w:rPr>
        <w:t>按“一枚印章管审批”规范流程办理各类行政审批事项6003件，完成现场勘查230次，收到锦旗6面、表扬信2封。大力推广“线上+线下”双渠道评价模式，积极引导群众、企业开展服务评价，截至目前，累计接受群众办事评价15000余次，全区评价满意度99.9%，群众回访满意率100%。全区“12345”热线平台受理5317件，办结4993件，限时办结率99.9%，回访群众满意率88.09%。</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3</w:t>
      </w:r>
      <w:r>
        <w:rPr>
          <w:rFonts w:hint="eastAsia" w:ascii="仿宋" w:hAnsi="仿宋" w:eastAsia="仿宋"/>
          <w:bCs/>
          <w:color w:val="000000"/>
          <w:kern w:val="0"/>
          <w:szCs w:val="32"/>
        </w:rPr>
        <w:t>．分析评价申报内容是否与实际相符，申报目标是否合理可行。</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申报内容与实际相符，申报目标合理可行。</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（三）项目自评步骤及方法。</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通过定期考核，不定期抽查等方法。</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二、项目资金申报及使用情况</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（一）项目资金申报及批复情况。</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项目资金为财政全额拨款， 我单位按照工作进度按月进行资金申报，财政局按我单位申报的金额进行拨付。</w:t>
      </w:r>
    </w:p>
    <w:p>
      <w:pPr>
        <w:adjustRightInd w:val="0"/>
        <w:snapToGrid w:val="0"/>
        <w:spacing w:line="600" w:lineRule="exact"/>
        <w:ind w:firstLine="720"/>
        <w:rPr>
          <w:rFonts w:ascii="仿宋_GB2312" w:hAnsi="宋体"/>
          <w:szCs w:val="32"/>
          <w:lang w:val="zh-CN"/>
        </w:rPr>
      </w:pPr>
      <w:r>
        <w:rPr>
          <w:rFonts w:hint="eastAsia" w:ascii="楷体_GB2312" w:hAnsi="宋体" w:eastAsia="楷体_GB2312"/>
          <w:b/>
          <w:szCs w:val="32"/>
          <w:lang w:val="zh-CN"/>
        </w:rPr>
        <w:t>（二）资金计划、到位及使用情况（可用表格形式反映）。</w:t>
      </w:r>
    </w:p>
    <w:p>
      <w:pPr>
        <w:adjustRightInd w:val="0"/>
        <w:snapToGrid w:val="0"/>
        <w:spacing w:line="600" w:lineRule="exact"/>
        <w:ind w:firstLine="720"/>
        <w:rPr>
          <w:rFonts w:ascii="楷体_GB2312" w:hAnsi="宋体" w:eastAsia="楷体_GB2312"/>
          <w:szCs w:val="32"/>
          <w:lang w:val="zh-CN"/>
        </w:rPr>
      </w:pPr>
      <w:r>
        <w:rPr>
          <w:rFonts w:ascii="楷体_GB2312" w:hAnsi="宋体" w:eastAsia="楷体_GB2312"/>
          <w:szCs w:val="32"/>
          <w:lang w:val="zh-CN"/>
        </w:rPr>
        <w:t>1</w:t>
      </w:r>
      <w:r>
        <w:rPr>
          <w:rFonts w:hint="eastAsia" w:ascii="楷体_GB2312" w:hAnsi="宋体" w:eastAsia="楷体_GB2312"/>
          <w:szCs w:val="32"/>
          <w:lang w:val="zh-CN"/>
        </w:rPr>
        <w:t>．资金计划。</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项目资金</w:t>
      </w:r>
      <w:r>
        <w:rPr>
          <w:rFonts w:hint="eastAsia" w:ascii="仿宋" w:hAnsi="仿宋" w:eastAsia="仿宋"/>
          <w:bCs/>
          <w:color w:val="000000"/>
          <w:kern w:val="0"/>
          <w:szCs w:val="32"/>
        </w:rPr>
        <w:t>51</w:t>
      </w:r>
      <w:r>
        <w:rPr>
          <w:rFonts w:ascii="仿宋" w:hAnsi="仿宋" w:eastAsia="仿宋"/>
          <w:bCs/>
          <w:color w:val="000000"/>
          <w:kern w:val="0"/>
          <w:szCs w:val="32"/>
        </w:rPr>
        <w:t xml:space="preserve"> 万元，由财政全额拨款。</w:t>
      </w:r>
    </w:p>
    <w:p>
      <w:pPr>
        <w:adjustRightInd w:val="0"/>
        <w:snapToGrid w:val="0"/>
        <w:spacing w:line="600" w:lineRule="exact"/>
        <w:ind w:firstLine="720"/>
        <w:rPr>
          <w:rFonts w:ascii="楷体_GB2312" w:hAnsi="宋体" w:eastAsia="楷体_GB2312"/>
          <w:szCs w:val="32"/>
          <w:lang w:val="zh-CN"/>
        </w:rPr>
      </w:pPr>
      <w:r>
        <w:rPr>
          <w:rFonts w:ascii="楷体_GB2312" w:hAnsi="宋体" w:eastAsia="楷体_GB2312"/>
          <w:szCs w:val="32"/>
          <w:lang w:val="zh-CN"/>
        </w:rPr>
        <w:t>2</w:t>
      </w:r>
      <w:r>
        <w:rPr>
          <w:rFonts w:hint="eastAsia" w:ascii="楷体_GB2312" w:hAnsi="宋体" w:eastAsia="楷体_GB2312"/>
          <w:szCs w:val="32"/>
          <w:lang w:val="zh-CN"/>
        </w:rPr>
        <w:t>．资金到位。</w:t>
      </w:r>
    </w:p>
    <w:p>
      <w:pPr>
        <w:adjustRightInd w:val="0"/>
        <w:snapToGrid w:val="0"/>
        <w:spacing w:line="600" w:lineRule="exact"/>
        <w:ind w:firstLine="720"/>
        <w:rPr>
          <w:rFonts w:ascii="仿宋" w:hAnsi="仿宋" w:eastAsia="仿宋"/>
          <w:bCs/>
          <w:color w:val="000000"/>
          <w:kern w:val="0"/>
          <w:szCs w:val="32"/>
        </w:rPr>
      </w:pPr>
      <w:r>
        <w:rPr>
          <w:rFonts w:hint="eastAsia" w:ascii="仿宋" w:hAnsi="仿宋" w:eastAsia="仿宋"/>
          <w:bCs/>
          <w:color w:val="000000"/>
          <w:kern w:val="0"/>
          <w:szCs w:val="32"/>
        </w:rPr>
        <w:t>到位资金51万元。</w:t>
      </w:r>
    </w:p>
    <w:p>
      <w:pPr>
        <w:adjustRightInd w:val="0"/>
        <w:snapToGrid w:val="0"/>
        <w:spacing w:line="600" w:lineRule="exact"/>
        <w:ind w:firstLine="720"/>
        <w:rPr>
          <w:rFonts w:ascii="楷体_GB2312" w:hAnsi="宋体" w:eastAsia="楷体_GB2312"/>
          <w:szCs w:val="32"/>
          <w:lang w:val="zh-CN"/>
        </w:rPr>
      </w:pPr>
      <w:r>
        <w:rPr>
          <w:rFonts w:ascii="楷体_GB2312" w:hAnsi="宋体" w:eastAsia="楷体_GB2312"/>
          <w:szCs w:val="32"/>
          <w:lang w:val="zh-CN"/>
        </w:rPr>
        <w:t>3</w:t>
      </w:r>
      <w:r>
        <w:rPr>
          <w:rFonts w:hint="eastAsia" w:ascii="楷体_GB2312" w:hAnsi="宋体" w:eastAsia="楷体_GB2312"/>
          <w:szCs w:val="32"/>
          <w:lang w:val="zh-CN"/>
        </w:rPr>
        <w:t>．资金使用。</w:t>
      </w:r>
    </w:p>
    <w:p>
      <w:pPr>
        <w:adjustRightInd w:val="0"/>
        <w:snapToGrid w:val="0"/>
        <w:spacing w:line="600" w:lineRule="exact"/>
        <w:ind w:firstLine="720"/>
        <w:rPr>
          <w:rFonts w:ascii="仿宋" w:hAnsi="仿宋" w:eastAsia="仿宋"/>
          <w:bCs/>
          <w:color w:val="000000"/>
          <w:kern w:val="0"/>
          <w:szCs w:val="32"/>
        </w:rPr>
      </w:pPr>
      <w:r>
        <w:rPr>
          <w:rFonts w:hint="eastAsia" w:ascii="仿宋" w:hAnsi="仿宋" w:eastAsia="仿宋"/>
          <w:bCs/>
          <w:color w:val="000000"/>
          <w:kern w:val="0"/>
          <w:szCs w:val="32"/>
        </w:rPr>
        <w:t>资金使用51万元，完成预算100%。</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（三）项目财务管理情况。</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项目严格按财务制度的规定办理相关手续，账务处理按政府会计制度的规定进行核算， 做到了真实、合规、合法。</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三、项目实施及管理情况</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（一）项目组织架构及实施流程。</w:t>
      </w:r>
    </w:p>
    <w:p>
      <w:pPr>
        <w:adjustRightInd w:val="0"/>
        <w:snapToGrid w:val="0"/>
        <w:spacing w:line="600" w:lineRule="exact"/>
        <w:ind w:firstLine="720"/>
        <w:rPr>
          <w:rFonts w:ascii="仿宋" w:hAnsi="仿宋" w:eastAsia="仿宋"/>
          <w:bCs/>
          <w:color w:val="000000"/>
          <w:kern w:val="0"/>
          <w:szCs w:val="32"/>
        </w:rPr>
      </w:pPr>
      <w:r>
        <w:rPr>
          <w:rFonts w:hint="eastAsia" w:ascii="仿宋" w:hAnsi="仿宋" w:eastAsia="仿宋"/>
          <w:bCs/>
          <w:color w:val="000000"/>
          <w:kern w:val="0"/>
          <w:szCs w:val="32"/>
        </w:rPr>
        <w:t>由审批局督查股牵头，每月定期考核、不定期抽查。</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（二）项目管理情况。</w:t>
      </w:r>
    </w:p>
    <w:p>
      <w:pPr>
        <w:adjustRightInd w:val="0"/>
        <w:snapToGrid w:val="0"/>
        <w:spacing w:line="600" w:lineRule="exact"/>
        <w:ind w:firstLine="720"/>
        <w:rPr>
          <w:rFonts w:ascii="仿宋" w:hAnsi="仿宋" w:eastAsia="仿宋"/>
          <w:bCs/>
          <w:color w:val="000000"/>
          <w:kern w:val="0"/>
          <w:szCs w:val="32"/>
        </w:rPr>
      </w:pPr>
      <w:r>
        <w:rPr>
          <w:rFonts w:hint="eastAsia" w:ascii="仿宋" w:hAnsi="仿宋" w:eastAsia="仿宋"/>
          <w:bCs/>
          <w:color w:val="000000"/>
          <w:kern w:val="0"/>
          <w:szCs w:val="32"/>
        </w:rPr>
        <w:t>严格按照年初工作方案，加强管理、督促、考核。</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（三）项目监管情况。</w:t>
      </w:r>
    </w:p>
    <w:p>
      <w:pPr>
        <w:adjustRightInd w:val="0"/>
        <w:snapToGrid w:val="0"/>
        <w:spacing w:line="600" w:lineRule="exact"/>
        <w:ind w:firstLine="720"/>
        <w:rPr>
          <w:rFonts w:ascii="仿宋" w:hAnsi="仿宋" w:eastAsia="仿宋"/>
          <w:bCs/>
          <w:color w:val="000000"/>
          <w:kern w:val="0"/>
          <w:szCs w:val="32"/>
        </w:rPr>
      </w:pPr>
      <w:r>
        <w:rPr>
          <w:rFonts w:hint="eastAsia" w:ascii="仿宋" w:hAnsi="仿宋" w:eastAsia="仿宋"/>
          <w:bCs/>
          <w:color w:val="000000"/>
          <w:kern w:val="0"/>
          <w:szCs w:val="32"/>
        </w:rPr>
        <w:t>审批局</w:t>
      </w:r>
      <w:r>
        <w:rPr>
          <w:rFonts w:ascii="仿宋" w:hAnsi="仿宋" w:eastAsia="仿宋"/>
          <w:bCs/>
          <w:color w:val="000000"/>
          <w:kern w:val="0"/>
          <w:szCs w:val="32"/>
        </w:rPr>
        <w:t>结合工作需要进行日监督、季考核、年评价，确保运行实效。</w:t>
      </w:r>
    </w:p>
    <w:p>
      <w:pPr>
        <w:adjustRightInd w:val="0"/>
        <w:snapToGrid w:val="0"/>
        <w:spacing w:line="600" w:lineRule="exact"/>
        <w:ind w:firstLine="720"/>
        <w:rPr>
          <w:rFonts w:ascii="仿宋_GB2312" w:hAnsi="宋体"/>
          <w:szCs w:val="32"/>
          <w:lang w:val="zh-CN"/>
        </w:rPr>
      </w:pPr>
      <w:r>
        <w:rPr>
          <w:rFonts w:hint="eastAsia" w:ascii="黑体" w:hAnsi="宋体" w:eastAsia="黑体"/>
          <w:szCs w:val="32"/>
        </w:rPr>
        <w:t>四、项目绩效情况</w:t>
      </w:r>
      <w:r>
        <w:rPr>
          <w:rFonts w:ascii="仿宋_GB2312" w:hAnsi="宋体"/>
          <w:szCs w:val="32"/>
          <w:lang w:val="zh-CN"/>
        </w:rPr>
        <w:tab/>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（一）项目完成情况。</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全面完成审批事项划转，分三批次划转、承接的行政审批事项按“一枚印章管审批”规范流程实施，整合了前台窗口综合受理、后台分流审批人员配置及职责分工。</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（二）项目效益情况。</w:t>
      </w:r>
    </w:p>
    <w:p>
      <w:pPr>
        <w:adjustRightInd w:val="0"/>
        <w:snapToGrid w:val="0"/>
        <w:spacing w:line="592" w:lineRule="exact"/>
        <w:ind w:firstLine="640" w:firstLineChars="200"/>
        <w:rPr>
          <w:rFonts w:ascii="仿宋" w:hAnsi="仿宋" w:eastAsia="仿宋"/>
          <w:bCs/>
          <w:color w:val="000000"/>
          <w:kern w:val="0"/>
          <w:szCs w:val="32"/>
        </w:rPr>
      </w:pPr>
      <w:r>
        <w:rPr>
          <w:rFonts w:hint="eastAsia" w:ascii="仿宋" w:hAnsi="仿宋" w:eastAsia="仿宋"/>
          <w:bCs/>
          <w:color w:val="000000"/>
          <w:kern w:val="0"/>
          <w:szCs w:val="32"/>
        </w:rPr>
        <w:t>“放管服改革”提质增效；</w:t>
      </w:r>
      <w:r>
        <w:rPr>
          <w:rFonts w:ascii="仿宋" w:hAnsi="仿宋" w:eastAsia="仿宋"/>
          <w:bCs/>
          <w:color w:val="000000"/>
          <w:kern w:val="0"/>
          <w:szCs w:val="32"/>
        </w:rPr>
        <w:t>进一步优化营商环境。全面落实“企业开办一日”、自贸先行区内实施四小时办结，大力推行非要件“容缺受理”，极大节省办事时间；全力配合推进区重大项目建设，提供服务保障，工程建设项目平均审批时限压减至90个工作日；“互联网+政务服务”推进有力；全区评价满意度99.9%，群众回访满意率100%；全区“12345”热线平台受理5317件，办结4993件，限时办结率99.9%，回访群众满意率88.09%。确保群众诉求“件件有回落、事事有回音”。</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五、评价结论及建议</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（一）评价结论。</w:t>
      </w:r>
    </w:p>
    <w:p>
      <w:pPr>
        <w:adjustRightInd w:val="0"/>
        <w:snapToGrid w:val="0"/>
        <w:spacing w:line="600" w:lineRule="exact"/>
        <w:ind w:firstLine="720"/>
        <w:rPr>
          <w:rFonts w:ascii="仿宋" w:hAnsi="仿宋" w:eastAsia="仿宋"/>
          <w:bCs/>
          <w:color w:val="000000"/>
          <w:kern w:val="0"/>
          <w:szCs w:val="32"/>
        </w:rPr>
      </w:pPr>
      <w:r>
        <w:rPr>
          <w:rFonts w:ascii="仿宋" w:hAnsi="仿宋" w:eastAsia="仿宋"/>
          <w:bCs/>
          <w:color w:val="000000"/>
          <w:kern w:val="0"/>
          <w:szCs w:val="32"/>
        </w:rPr>
        <w:t>2020 年，在区委区政府的高度重视和强力推动下，全 区政务服务、行政审批工作顺利推进，切实为群众办了一批实事好事暖心事，赢得社会各界 的充分肯定。</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（二）存在的问题。</w:t>
      </w:r>
    </w:p>
    <w:p>
      <w:pPr>
        <w:adjustRightInd w:val="0"/>
        <w:snapToGrid w:val="0"/>
        <w:spacing w:line="600" w:lineRule="exact"/>
        <w:ind w:firstLine="640" w:firstLineChars="200"/>
        <w:rPr>
          <w:rFonts w:ascii="仿宋" w:hAnsi="仿宋" w:eastAsia="仿宋"/>
          <w:bCs/>
          <w:color w:val="000000"/>
          <w:kern w:val="0"/>
          <w:szCs w:val="32"/>
        </w:rPr>
      </w:pPr>
      <w:r>
        <w:rPr>
          <w:rFonts w:ascii="仿宋" w:hAnsi="仿宋" w:eastAsia="仿宋"/>
          <w:bCs/>
          <w:color w:val="000000"/>
          <w:kern w:val="0"/>
          <w:szCs w:val="32"/>
        </w:rPr>
        <w:t>行政审批互联互通尚有差距；部门间信息壁垒打通还需加强</w:t>
      </w:r>
      <w:r>
        <w:rPr>
          <w:rFonts w:ascii="仿宋" w:hAnsi="仿宋" w:eastAsia="仿宋"/>
          <w:bCs/>
          <w:color w:val="000000"/>
          <w:kern w:val="0"/>
          <w:szCs w:val="32"/>
        </w:rPr>
        <w:tab/>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（三）相关建议。</w:t>
      </w:r>
    </w:p>
    <w:p>
      <w:pPr>
        <w:spacing w:line="580" w:lineRule="exact"/>
        <w:ind w:firstLine="640"/>
        <w:rPr>
          <w:rStyle w:val="16"/>
          <w:rFonts w:ascii="黑体" w:hAnsi="黑体" w:eastAsia="黑体"/>
          <w:b w:val="0"/>
        </w:rPr>
      </w:pPr>
      <w:r>
        <w:rPr>
          <w:rFonts w:ascii="仿宋" w:hAnsi="仿宋" w:eastAsia="仿宋"/>
          <w:bCs/>
          <w:color w:val="000000"/>
          <w:kern w:val="0"/>
          <w:szCs w:val="32"/>
        </w:rPr>
        <w:t>持续优化创新审批服务流程。全力推行“一事一办”改革，进一步完善、梳理“一件事”清单；加强新入职人员和窗口在岗人员培训，持续完善“独任审批”人员、事项选定；</w:t>
      </w:r>
      <w:bookmarkEnd w:id="63"/>
      <w:bookmarkEnd w:id="64"/>
      <w:r>
        <w:rPr>
          <w:rStyle w:val="16"/>
          <w:rFonts w:ascii="黑体" w:hAnsi="黑体" w:eastAsia="黑体"/>
          <w:b w:val="0"/>
        </w:rPr>
        <w:br w:type="page"/>
      </w:r>
      <w:bookmarkStart w:id="65" w:name="_Toc15396618"/>
      <w:bookmarkStart w:id="66" w:name="_Toc32283"/>
      <w:r>
        <w:rPr>
          <w:rStyle w:val="16"/>
          <w:rFonts w:hint="eastAsia" w:ascii="黑体" w:hAnsi="黑体" w:eastAsia="黑体"/>
          <w:b w:val="0"/>
        </w:rPr>
        <w:t>　　　　　　</w:t>
      </w:r>
      <w:r>
        <w:rPr>
          <w:rFonts w:hint="eastAsia" w:ascii="黑体" w:hAnsi="黑体" w:eastAsia="黑体"/>
          <w:color w:val="000000"/>
          <w:sz w:val="44"/>
          <w:szCs w:val="44"/>
        </w:rPr>
        <w:t>第</w:t>
      </w:r>
      <w:r>
        <w:rPr>
          <w:rStyle w:val="16"/>
          <w:rFonts w:hint="eastAsia" w:ascii="黑体" w:hAnsi="黑体" w:eastAsia="黑体"/>
          <w:b w:val="0"/>
        </w:rPr>
        <w:t>五部分</w:t>
      </w:r>
      <w:r>
        <w:rPr>
          <w:rStyle w:val="16"/>
          <w:rFonts w:ascii="黑体" w:hAnsi="黑体" w:eastAsia="黑体"/>
          <w:b w:val="0"/>
        </w:rPr>
        <w:t xml:space="preserve"> </w:t>
      </w:r>
      <w:r>
        <w:rPr>
          <w:rStyle w:val="16"/>
          <w:rFonts w:hint="eastAsia" w:ascii="黑体" w:hAnsi="黑体" w:eastAsia="黑体"/>
          <w:b w:val="0"/>
        </w:rPr>
        <w:t>附表</w:t>
      </w:r>
      <w:bookmarkEnd w:id="62"/>
      <w:bookmarkEnd w:id="65"/>
      <w:bookmarkEnd w:id="66"/>
      <w:bookmarkStart w:id="67" w:name="_Toc15396619"/>
      <w:bookmarkStart w:id="68" w:name="_Toc15699"/>
    </w:p>
    <w:p>
      <w:pPr>
        <w:spacing w:line="580" w:lineRule="exact"/>
        <w:ind w:firstLine="640"/>
        <w:rPr>
          <w:rStyle w:val="16"/>
          <w:rFonts w:ascii="黑体" w:hAnsi="黑体" w:eastAsia="黑体"/>
          <w:b w:val="0"/>
        </w:rPr>
      </w:pPr>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一、收入支出决算总表</w:t>
      </w:r>
      <w:bookmarkEnd w:id="67"/>
      <w:bookmarkEnd w:id="68"/>
      <w:bookmarkStart w:id="69" w:name="_Toc15396620"/>
      <w:bookmarkStart w:id="70" w:name="_Toc27106"/>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二、收入决算表</w:t>
      </w:r>
      <w:bookmarkEnd w:id="69"/>
      <w:bookmarkEnd w:id="70"/>
      <w:bookmarkStart w:id="71" w:name="_Toc15396621"/>
      <w:bookmarkStart w:id="72" w:name="_Toc26817"/>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三、支出决算表</w:t>
      </w:r>
      <w:bookmarkEnd w:id="71"/>
      <w:bookmarkEnd w:id="72"/>
      <w:bookmarkStart w:id="73" w:name="_Toc15396622"/>
      <w:bookmarkStart w:id="74" w:name="_Toc21747"/>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四、财政拨款收入支出决算总表</w:t>
      </w:r>
      <w:bookmarkEnd w:id="73"/>
      <w:bookmarkEnd w:id="74"/>
      <w:bookmarkStart w:id="75" w:name="_Toc15396623"/>
      <w:bookmarkStart w:id="76" w:name="_Toc12959"/>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五、财政拨款支出决算明细表</w:t>
      </w:r>
      <w:bookmarkEnd w:id="75"/>
      <w:bookmarkEnd w:id="76"/>
      <w:bookmarkStart w:id="77" w:name="_Toc15396624"/>
      <w:bookmarkStart w:id="78" w:name="_Toc23749"/>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六、一般公共预算财政拨款支出决算表</w:t>
      </w:r>
      <w:bookmarkEnd w:id="77"/>
      <w:bookmarkEnd w:id="78"/>
      <w:bookmarkStart w:id="79" w:name="_Toc15396625"/>
      <w:bookmarkStart w:id="80" w:name="_Toc22275"/>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七、一般公共预算财政拨款支出决算明细表</w:t>
      </w:r>
      <w:bookmarkEnd w:id="79"/>
      <w:bookmarkEnd w:id="80"/>
    </w:p>
    <w:p>
      <w:pPr>
        <w:spacing w:line="580" w:lineRule="exact"/>
        <w:ind w:firstLine="640"/>
        <w:rPr>
          <w:rFonts w:ascii="仿宋" w:hAnsi="仿宋" w:eastAsia="仿宋"/>
          <w:bCs/>
          <w:color w:val="000000"/>
          <w:kern w:val="0"/>
          <w:szCs w:val="32"/>
        </w:rPr>
      </w:pPr>
      <w:bookmarkStart w:id="81" w:name="_Toc15396626"/>
      <w:bookmarkStart w:id="82" w:name="_Toc30634"/>
      <w:r>
        <w:rPr>
          <w:rFonts w:hint="eastAsia" w:ascii="仿宋" w:hAnsi="仿宋" w:eastAsia="仿宋"/>
          <w:bCs/>
          <w:color w:val="000000"/>
          <w:kern w:val="0"/>
          <w:szCs w:val="32"/>
        </w:rPr>
        <w:t>八、一般公共预算财政拨款基本支出决算表</w:t>
      </w:r>
      <w:bookmarkEnd w:id="81"/>
      <w:bookmarkEnd w:id="82"/>
    </w:p>
    <w:p>
      <w:pPr>
        <w:spacing w:line="580" w:lineRule="exact"/>
        <w:ind w:firstLine="640"/>
        <w:rPr>
          <w:rFonts w:ascii="仿宋" w:hAnsi="仿宋" w:eastAsia="仿宋"/>
          <w:bCs/>
          <w:color w:val="000000"/>
          <w:kern w:val="0"/>
          <w:szCs w:val="32"/>
        </w:rPr>
      </w:pPr>
      <w:bookmarkStart w:id="83" w:name="_Toc15396627"/>
      <w:bookmarkStart w:id="84" w:name="_Toc15170"/>
      <w:r>
        <w:rPr>
          <w:rFonts w:hint="eastAsia" w:ascii="仿宋" w:hAnsi="仿宋" w:eastAsia="仿宋"/>
          <w:bCs/>
          <w:color w:val="000000"/>
          <w:kern w:val="0"/>
          <w:szCs w:val="32"/>
        </w:rPr>
        <w:t>九、一般公共预算财政拨款项目支出决算表</w:t>
      </w:r>
      <w:bookmarkEnd w:id="83"/>
      <w:bookmarkEnd w:id="84"/>
    </w:p>
    <w:p>
      <w:pPr>
        <w:spacing w:line="580" w:lineRule="exact"/>
        <w:ind w:firstLine="640"/>
        <w:rPr>
          <w:rFonts w:ascii="仿宋" w:hAnsi="仿宋" w:eastAsia="仿宋"/>
          <w:bCs/>
          <w:color w:val="000000"/>
          <w:kern w:val="0"/>
          <w:szCs w:val="32"/>
        </w:rPr>
      </w:pPr>
      <w:bookmarkStart w:id="85" w:name="_Toc15396628"/>
      <w:bookmarkStart w:id="86" w:name="_Toc17603"/>
      <w:r>
        <w:rPr>
          <w:rFonts w:hint="eastAsia" w:ascii="仿宋" w:hAnsi="仿宋" w:eastAsia="仿宋"/>
          <w:bCs/>
          <w:color w:val="000000"/>
          <w:kern w:val="0"/>
          <w:szCs w:val="32"/>
        </w:rPr>
        <w:t>十、一般公共预算财政拨款“三公”经费支出决算</w:t>
      </w:r>
      <w:bookmarkEnd w:id="85"/>
      <w:bookmarkEnd w:id="86"/>
      <w:r>
        <w:rPr>
          <w:rFonts w:hint="eastAsia" w:ascii="仿宋" w:hAnsi="仿宋" w:eastAsia="仿宋"/>
          <w:bCs/>
          <w:color w:val="000000"/>
          <w:kern w:val="0"/>
          <w:szCs w:val="32"/>
        </w:rPr>
        <w:t>表。说明：此表我单位无数据。</w:t>
      </w:r>
      <w:bookmarkStart w:id="87" w:name="_Toc15396629"/>
      <w:bookmarkStart w:id="88" w:name="_Toc7313"/>
    </w:p>
    <w:p>
      <w:pPr>
        <w:spacing w:line="580" w:lineRule="exact"/>
        <w:ind w:firstLine="640"/>
        <w:rPr>
          <w:rFonts w:hint="eastAsia" w:ascii="仿宋" w:hAnsi="仿宋" w:eastAsia="仿宋"/>
          <w:bCs/>
          <w:color w:val="000000"/>
          <w:kern w:val="0"/>
          <w:szCs w:val="32"/>
        </w:rPr>
      </w:pPr>
      <w:r>
        <w:rPr>
          <w:rFonts w:hint="eastAsia" w:ascii="仿宋" w:hAnsi="仿宋" w:eastAsia="仿宋"/>
          <w:bCs/>
          <w:color w:val="000000"/>
          <w:kern w:val="0"/>
          <w:szCs w:val="32"/>
        </w:rPr>
        <w:t>十一、政府性基金预算财政拨款收入支出决算表</w:t>
      </w:r>
      <w:bookmarkEnd w:id="87"/>
      <w:bookmarkEnd w:id="88"/>
      <w:r>
        <w:rPr>
          <w:rFonts w:hint="eastAsia" w:ascii="仿宋" w:hAnsi="仿宋" w:eastAsia="仿宋"/>
          <w:bCs/>
          <w:color w:val="000000"/>
          <w:kern w:val="0"/>
          <w:szCs w:val="32"/>
        </w:rPr>
        <w:t>。</w:t>
      </w:r>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说明：此表我单位无数据。</w:t>
      </w:r>
    </w:p>
    <w:p>
      <w:pPr>
        <w:spacing w:line="580" w:lineRule="exact"/>
        <w:ind w:firstLine="640"/>
        <w:rPr>
          <w:rFonts w:hint="eastAsia" w:ascii="仿宋" w:hAnsi="仿宋" w:eastAsia="仿宋"/>
          <w:bCs/>
          <w:color w:val="000000"/>
          <w:kern w:val="0"/>
          <w:szCs w:val="32"/>
        </w:rPr>
      </w:pPr>
      <w:bookmarkStart w:id="89" w:name="_Toc15396630"/>
      <w:bookmarkStart w:id="90" w:name="_Toc9382"/>
      <w:r>
        <w:rPr>
          <w:rFonts w:hint="eastAsia" w:eastAsia="仿宋"/>
          <w:color w:val="000000"/>
          <w:kern w:val="0"/>
        </w:rPr>
        <w:t>十二、政府性基金预算财政拨款“三公”经费支出决算表</w:t>
      </w:r>
      <w:bookmarkEnd w:id="89"/>
      <w:bookmarkEnd w:id="90"/>
      <w:r>
        <w:rPr>
          <w:rFonts w:hint="eastAsia" w:ascii="仿宋" w:hAnsi="仿宋" w:eastAsia="仿宋"/>
          <w:bCs/>
          <w:color w:val="000000"/>
          <w:kern w:val="0"/>
          <w:szCs w:val="32"/>
        </w:rPr>
        <w:t>。</w:t>
      </w:r>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说明：此表我单位无数据。</w:t>
      </w:r>
    </w:p>
    <w:p>
      <w:pPr>
        <w:spacing w:line="580" w:lineRule="exact"/>
        <w:ind w:firstLine="640"/>
        <w:rPr>
          <w:rFonts w:hint="eastAsia" w:ascii="仿宋" w:hAnsi="仿宋" w:eastAsia="仿宋"/>
          <w:bCs/>
          <w:color w:val="000000"/>
          <w:kern w:val="0"/>
          <w:szCs w:val="32"/>
        </w:rPr>
      </w:pPr>
      <w:bookmarkStart w:id="91" w:name="_Toc22683"/>
      <w:r>
        <w:rPr>
          <w:rFonts w:hint="eastAsia" w:eastAsia="仿宋"/>
          <w:color w:val="000000"/>
          <w:kern w:val="0"/>
        </w:rPr>
        <w:t>十三、国有资本经营预算财政拨款收入支出决算表</w:t>
      </w:r>
      <w:bookmarkEnd w:id="91"/>
      <w:r>
        <w:rPr>
          <w:rFonts w:hint="eastAsia" w:ascii="仿宋" w:hAnsi="仿宋" w:eastAsia="仿宋"/>
          <w:bCs/>
          <w:color w:val="000000"/>
          <w:kern w:val="0"/>
          <w:szCs w:val="32"/>
        </w:rPr>
        <w:t>。</w:t>
      </w:r>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说明：此表我单位无数据。</w:t>
      </w:r>
    </w:p>
    <w:p>
      <w:pPr>
        <w:spacing w:line="580" w:lineRule="exact"/>
        <w:ind w:firstLine="640"/>
        <w:rPr>
          <w:rFonts w:hint="eastAsia" w:ascii="仿宋" w:hAnsi="仿宋" w:eastAsia="仿宋"/>
          <w:bCs/>
          <w:color w:val="000000"/>
          <w:kern w:val="0"/>
          <w:szCs w:val="32"/>
        </w:rPr>
      </w:pPr>
      <w:bookmarkStart w:id="92" w:name="_Toc10257"/>
      <w:r>
        <w:rPr>
          <w:rFonts w:hint="eastAsia" w:eastAsia="仿宋"/>
          <w:color w:val="000000"/>
          <w:kern w:val="0"/>
        </w:rPr>
        <w:t>十四、国有资本经营预算财政拨款支出决算表</w:t>
      </w:r>
      <w:bookmarkEnd w:id="92"/>
      <w:r>
        <w:rPr>
          <w:rFonts w:hint="eastAsia" w:ascii="仿宋" w:hAnsi="仿宋" w:eastAsia="仿宋"/>
          <w:bCs/>
          <w:color w:val="000000"/>
          <w:kern w:val="0"/>
          <w:szCs w:val="32"/>
        </w:rPr>
        <w:t>。</w:t>
      </w:r>
    </w:p>
    <w:p>
      <w:pPr>
        <w:spacing w:line="580" w:lineRule="exact"/>
        <w:ind w:firstLine="640"/>
        <w:rPr>
          <w:rFonts w:ascii="仿宋" w:hAnsi="仿宋" w:eastAsia="仿宋"/>
          <w:bCs/>
          <w:color w:val="000000"/>
          <w:kern w:val="0"/>
          <w:szCs w:val="32"/>
        </w:rPr>
      </w:pPr>
      <w:r>
        <w:rPr>
          <w:rFonts w:hint="eastAsia" w:ascii="仿宋" w:hAnsi="仿宋" w:eastAsia="仿宋"/>
          <w:bCs/>
          <w:color w:val="000000"/>
          <w:kern w:val="0"/>
          <w:szCs w:val="32"/>
        </w:rPr>
        <w:t>说明：此表我单位无数据。</w:t>
      </w:r>
    </w:p>
    <w:p>
      <w:pPr>
        <w:spacing w:line="580" w:lineRule="exact"/>
        <w:ind w:firstLine="640"/>
        <w:rPr>
          <w:rFonts w:eastAsia="仿宋"/>
          <w:color w:val="000000"/>
          <w:kern w:val="0"/>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1434"/>
      <w:docPartObj>
        <w:docPartGallery w:val="AutoText"/>
      </w:docPartObj>
    </w:sdtPr>
    <w:sdtEndPr>
      <w:rPr>
        <w:sz w:val="28"/>
        <w:szCs w:val="28"/>
      </w:rPr>
    </w:sdtEndPr>
    <w:sdtContent>
      <w:sdt>
        <w:sdtPr>
          <w:id w:val="171357217"/>
          <w:docPartObj>
            <w:docPartGallery w:val="AutoText"/>
          </w:docPartObj>
        </w:sdtPr>
        <w:sdtEndPr>
          <w:rPr>
            <w:sz w:val="28"/>
            <w:szCs w:val="28"/>
          </w:rPr>
        </w:sdtEndPr>
        <w:sdtContent>
          <w:p>
            <w:pPr>
              <w:pStyle w:val="7"/>
              <w:jc w:val="center"/>
              <w:rPr>
                <w:sz w:val="28"/>
                <w:szCs w:val="28"/>
              </w:rPr>
            </w:pPr>
            <w:r>
              <w:rPr>
                <w:sz w:val="28"/>
                <w:szCs w:val="28"/>
                <w:lang w:val="zh-CN"/>
              </w:rPr>
              <w:t xml:space="preserve"> </w:t>
            </w:r>
            <w:r>
              <w:rPr>
                <w:b/>
                <w:sz w:val="28"/>
                <w:szCs w:val="28"/>
              </w:rPr>
              <w:fldChar w:fldCharType="begin"/>
            </w:r>
            <w:r>
              <w:rPr>
                <w:b/>
                <w:sz w:val="28"/>
                <w:szCs w:val="28"/>
              </w:rPr>
              <w:instrText xml:space="preserve">PAGE</w:instrText>
            </w:r>
            <w:r>
              <w:rPr>
                <w:b/>
                <w:sz w:val="28"/>
                <w:szCs w:val="28"/>
              </w:rPr>
              <w:fldChar w:fldCharType="separate"/>
            </w:r>
            <w:r>
              <w:rPr>
                <w:b/>
                <w:sz w:val="28"/>
                <w:szCs w:val="28"/>
              </w:rPr>
              <w:t>33</w:t>
            </w:r>
            <w:r>
              <w:rPr>
                <w:b/>
                <w:sz w:val="28"/>
                <w:szCs w:val="28"/>
              </w:rPr>
              <w:fldChar w:fldCharType="end"/>
            </w:r>
            <w:r>
              <w:rPr>
                <w:sz w:val="28"/>
                <w:szCs w:val="28"/>
                <w:lang w:val="zh-CN"/>
              </w:rPr>
              <w:t xml:space="preserve"> </w:t>
            </w:r>
          </w:p>
        </w:sdtContent>
      </w:sdt>
    </w:sdtContent>
  </w:sdt>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3">
    <w:nsid w:val="62621CDC"/>
    <w:multiLevelType w:val="multilevel"/>
    <w:tmpl w:val="62621CDC"/>
    <w:lvl w:ilvl="0" w:tentative="0">
      <w:start w:val="1"/>
      <w:numFmt w:val="decimal"/>
      <w:lvlText w:val="%1."/>
      <w:lvlJc w:val="left"/>
      <w:pPr>
        <w:ind w:left="1152" w:hanging="480"/>
      </w:pPr>
      <w:rPr>
        <w:rFonts w:hint="default" w:cs="Times New Roman"/>
      </w:rPr>
    </w:lvl>
    <w:lvl w:ilvl="1" w:tentative="0">
      <w:start w:val="1"/>
      <w:numFmt w:val="lowerLetter"/>
      <w:lvlText w:val="%2)"/>
      <w:lvlJc w:val="left"/>
      <w:pPr>
        <w:ind w:left="1512" w:hanging="420"/>
      </w:pPr>
      <w:rPr>
        <w:rFonts w:cs="Times New Roman"/>
      </w:rPr>
    </w:lvl>
    <w:lvl w:ilvl="2" w:tentative="0">
      <w:start w:val="1"/>
      <w:numFmt w:val="lowerRoman"/>
      <w:lvlText w:val="%3."/>
      <w:lvlJc w:val="right"/>
      <w:pPr>
        <w:ind w:left="1932" w:hanging="420"/>
      </w:pPr>
      <w:rPr>
        <w:rFonts w:cs="Times New Roman"/>
      </w:rPr>
    </w:lvl>
    <w:lvl w:ilvl="3" w:tentative="0">
      <w:start w:val="1"/>
      <w:numFmt w:val="decimal"/>
      <w:lvlText w:val="%4."/>
      <w:lvlJc w:val="left"/>
      <w:pPr>
        <w:ind w:left="2352" w:hanging="420"/>
      </w:pPr>
      <w:rPr>
        <w:rFonts w:cs="Times New Roman"/>
      </w:rPr>
    </w:lvl>
    <w:lvl w:ilvl="4" w:tentative="0">
      <w:start w:val="1"/>
      <w:numFmt w:val="lowerLetter"/>
      <w:lvlText w:val="%5)"/>
      <w:lvlJc w:val="left"/>
      <w:pPr>
        <w:ind w:left="2772" w:hanging="420"/>
      </w:pPr>
      <w:rPr>
        <w:rFonts w:cs="Times New Roman"/>
      </w:rPr>
    </w:lvl>
    <w:lvl w:ilvl="5" w:tentative="0">
      <w:start w:val="1"/>
      <w:numFmt w:val="lowerRoman"/>
      <w:lvlText w:val="%6."/>
      <w:lvlJc w:val="right"/>
      <w:pPr>
        <w:ind w:left="3192" w:hanging="420"/>
      </w:pPr>
      <w:rPr>
        <w:rFonts w:cs="Times New Roman"/>
      </w:rPr>
    </w:lvl>
    <w:lvl w:ilvl="6" w:tentative="0">
      <w:start w:val="1"/>
      <w:numFmt w:val="decimal"/>
      <w:lvlText w:val="%7."/>
      <w:lvlJc w:val="left"/>
      <w:pPr>
        <w:ind w:left="3612" w:hanging="420"/>
      </w:pPr>
      <w:rPr>
        <w:rFonts w:cs="Times New Roman"/>
      </w:rPr>
    </w:lvl>
    <w:lvl w:ilvl="7" w:tentative="0">
      <w:start w:val="1"/>
      <w:numFmt w:val="lowerLetter"/>
      <w:lvlText w:val="%8)"/>
      <w:lvlJc w:val="left"/>
      <w:pPr>
        <w:ind w:left="4032" w:hanging="420"/>
      </w:pPr>
      <w:rPr>
        <w:rFonts w:cs="Times New Roman"/>
      </w:rPr>
    </w:lvl>
    <w:lvl w:ilvl="8" w:tentative="0">
      <w:start w:val="1"/>
      <w:numFmt w:val="lowerRoman"/>
      <w:lvlText w:val="%9."/>
      <w:lvlJc w:val="right"/>
      <w:pPr>
        <w:ind w:left="4452" w:hanging="420"/>
      </w:pPr>
      <w:rPr>
        <w:rFonts w:cs="Times New Roman"/>
      </w:rPr>
    </w:lvl>
  </w:abstractNum>
  <w:abstractNum w:abstractNumId="4">
    <w:nsid w:val="7FEA4625"/>
    <w:multiLevelType w:val="singleLevel"/>
    <w:tmpl w:val="7FEA4625"/>
    <w:lvl w:ilvl="0" w:tentative="0">
      <w:start w:val="2"/>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yZjhjMDljN2ZmZDI4MDM1OTczNmZkYWIwMTM0OGUifQ=="/>
  </w:docVars>
  <w:rsids>
    <w:rsidRoot w:val="6504078C"/>
    <w:rsid w:val="00002178"/>
    <w:rsid w:val="00015F2F"/>
    <w:rsid w:val="000350D0"/>
    <w:rsid w:val="00041E38"/>
    <w:rsid w:val="000449CB"/>
    <w:rsid w:val="00046F54"/>
    <w:rsid w:val="00052C15"/>
    <w:rsid w:val="000733FB"/>
    <w:rsid w:val="000979C3"/>
    <w:rsid w:val="000A53D8"/>
    <w:rsid w:val="000C24E4"/>
    <w:rsid w:val="000E505D"/>
    <w:rsid w:val="000F185B"/>
    <w:rsid w:val="00117350"/>
    <w:rsid w:val="001241FF"/>
    <w:rsid w:val="00167250"/>
    <w:rsid w:val="001738F4"/>
    <w:rsid w:val="00195DF4"/>
    <w:rsid w:val="001A2BC1"/>
    <w:rsid w:val="001F23D1"/>
    <w:rsid w:val="00203B0A"/>
    <w:rsid w:val="00234AD7"/>
    <w:rsid w:val="002476B2"/>
    <w:rsid w:val="0027213C"/>
    <w:rsid w:val="00272FD0"/>
    <w:rsid w:val="00280DFE"/>
    <w:rsid w:val="00287F0B"/>
    <w:rsid w:val="002A606E"/>
    <w:rsid w:val="002C270A"/>
    <w:rsid w:val="002D1FBE"/>
    <w:rsid w:val="003531B8"/>
    <w:rsid w:val="003545BB"/>
    <w:rsid w:val="00356E6C"/>
    <w:rsid w:val="00377360"/>
    <w:rsid w:val="00392641"/>
    <w:rsid w:val="003B320F"/>
    <w:rsid w:val="003B6FB8"/>
    <w:rsid w:val="003C68BA"/>
    <w:rsid w:val="0042072A"/>
    <w:rsid w:val="00445F8B"/>
    <w:rsid w:val="00455050"/>
    <w:rsid w:val="004D16E1"/>
    <w:rsid w:val="004E09BB"/>
    <w:rsid w:val="004E63DA"/>
    <w:rsid w:val="00515BCB"/>
    <w:rsid w:val="0052483B"/>
    <w:rsid w:val="005258B9"/>
    <w:rsid w:val="005407D4"/>
    <w:rsid w:val="00541383"/>
    <w:rsid w:val="00552E13"/>
    <w:rsid w:val="00556FA3"/>
    <w:rsid w:val="00572BD5"/>
    <w:rsid w:val="00587662"/>
    <w:rsid w:val="005A1D54"/>
    <w:rsid w:val="005B4DB5"/>
    <w:rsid w:val="005B5E10"/>
    <w:rsid w:val="00613792"/>
    <w:rsid w:val="00617930"/>
    <w:rsid w:val="00622376"/>
    <w:rsid w:val="0062469B"/>
    <w:rsid w:val="0064348C"/>
    <w:rsid w:val="00651AD1"/>
    <w:rsid w:val="006B1738"/>
    <w:rsid w:val="006F15D6"/>
    <w:rsid w:val="007038C9"/>
    <w:rsid w:val="00711791"/>
    <w:rsid w:val="00727873"/>
    <w:rsid w:val="0075635C"/>
    <w:rsid w:val="007758F7"/>
    <w:rsid w:val="007808EE"/>
    <w:rsid w:val="007A26F6"/>
    <w:rsid w:val="007B12C5"/>
    <w:rsid w:val="007C54A9"/>
    <w:rsid w:val="007D7146"/>
    <w:rsid w:val="0080646E"/>
    <w:rsid w:val="008158F3"/>
    <w:rsid w:val="00845D12"/>
    <w:rsid w:val="00864ED6"/>
    <w:rsid w:val="00881CDB"/>
    <w:rsid w:val="008B3762"/>
    <w:rsid w:val="008F1E51"/>
    <w:rsid w:val="00954947"/>
    <w:rsid w:val="00975093"/>
    <w:rsid w:val="009F7740"/>
    <w:rsid w:val="00A068C0"/>
    <w:rsid w:val="00A52A3B"/>
    <w:rsid w:val="00A56451"/>
    <w:rsid w:val="00A62DF8"/>
    <w:rsid w:val="00A65E41"/>
    <w:rsid w:val="00A72602"/>
    <w:rsid w:val="00A973A1"/>
    <w:rsid w:val="00AD0FAB"/>
    <w:rsid w:val="00AF00CB"/>
    <w:rsid w:val="00AF0C0B"/>
    <w:rsid w:val="00AF3FAF"/>
    <w:rsid w:val="00B04864"/>
    <w:rsid w:val="00B30CC0"/>
    <w:rsid w:val="00B439E0"/>
    <w:rsid w:val="00B72BFA"/>
    <w:rsid w:val="00B84D0C"/>
    <w:rsid w:val="00B92026"/>
    <w:rsid w:val="00BC1763"/>
    <w:rsid w:val="00BC2EF0"/>
    <w:rsid w:val="00BD7A51"/>
    <w:rsid w:val="00BF6EA5"/>
    <w:rsid w:val="00C00CAE"/>
    <w:rsid w:val="00C22D61"/>
    <w:rsid w:val="00C67E95"/>
    <w:rsid w:val="00C8127E"/>
    <w:rsid w:val="00C87223"/>
    <w:rsid w:val="00CC0445"/>
    <w:rsid w:val="00D026E9"/>
    <w:rsid w:val="00D36B9C"/>
    <w:rsid w:val="00D51576"/>
    <w:rsid w:val="00D86F82"/>
    <w:rsid w:val="00DB4119"/>
    <w:rsid w:val="00DC659E"/>
    <w:rsid w:val="00DD1011"/>
    <w:rsid w:val="00DD1CAA"/>
    <w:rsid w:val="00DD460A"/>
    <w:rsid w:val="00DE799F"/>
    <w:rsid w:val="00E0498F"/>
    <w:rsid w:val="00E20938"/>
    <w:rsid w:val="00E642C4"/>
    <w:rsid w:val="00EB71D4"/>
    <w:rsid w:val="00EE4E2C"/>
    <w:rsid w:val="00F4668B"/>
    <w:rsid w:val="00F5229A"/>
    <w:rsid w:val="00F52613"/>
    <w:rsid w:val="00F71E34"/>
    <w:rsid w:val="00F74326"/>
    <w:rsid w:val="00F74659"/>
    <w:rsid w:val="00F816B4"/>
    <w:rsid w:val="00F91C76"/>
    <w:rsid w:val="00F9552B"/>
    <w:rsid w:val="06D96529"/>
    <w:rsid w:val="35B94E37"/>
    <w:rsid w:val="3E4169FF"/>
    <w:rsid w:val="5D3E75DF"/>
    <w:rsid w:val="6504078C"/>
    <w:rsid w:val="726E39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Cambria" w:hAnsi="Cambria"/>
      <w:b/>
      <w:bCs/>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kern w:val="0"/>
      <w:sz w:val="24"/>
      <w:szCs w:val="20"/>
    </w:rPr>
  </w:style>
  <w:style w:type="paragraph" w:styleId="5">
    <w:name w:val="toc 5"/>
    <w:basedOn w:val="1"/>
    <w:next w:val="1"/>
    <w:qFormat/>
    <w:uiPriority w:val="0"/>
    <w:pPr>
      <w:ind w:left="1680" w:leftChars="800"/>
    </w:pPr>
  </w:style>
  <w:style w:type="paragraph" w:styleId="6">
    <w:name w:val="Balloon Text"/>
    <w:basedOn w:val="1"/>
    <w:link w:val="21"/>
    <w:qFormat/>
    <w:uiPriority w:val="0"/>
    <w:rPr>
      <w:sz w:val="18"/>
      <w:szCs w:val="18"/>
    </w:rPr>
  </w:style>
  <w:style w:type="paragraph" w:styleId="7">
    <w:name w:val="footer"/>
    <w:basedOn w:val="1"/>
    <w:link w:val="22"/>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paragraph" w:styleId="11">
    <w:name w:val="Normal (Web)"/>
    <w:basedOn w:val="1"/>
    <w:qFormat/>
    <w:uiPriority w:val="0"/>
    <w:pPr>
      <w:spacing w:beforeAutospacing="1" w:afterAutospacing="1"/>
      <w:jc w:val="left"/>
    </w:pPr>
    <w:rPr>
      <w:rFonts w:ascii="Calibri" w:hAnsi="Calibri" w:eastAsia="宋体"/>
      <w:kern w:val="0"/>
      <w:sz w:val="24"/>
    </w:rPr>
  </w:style>
  <w:style w:type="character" w:styleId="14">
    <w:name w:val="Strong"/>
    <w:basedOn w:val="13"/>
    <w:qFormat/>
    <w:uiPriority w:val="0"/>
    <w:rPr>
      <w:rFonts w:cs="Times New Roman"/>
      <w:b/>
    </w:rPr>
  </w:style>
  <w:style w:type="character" w:styleId="15">
    <w:name w:val="Hyperlink"/>
    <w:unhideWhenUsed/>
    <w:qFormat/>
    <w:uiPriority w:val="99"/>
    <w:rPr>
      <w:color w:val="0000FF"/>
      <w:u w:val="single"/>
    </w:rPr>
  </w:style>
  <w:style w:type="character" w:customStyle="1" w:styleId="16">
    <w:name w:val="标题 1 Char"/>
    <w:basedOn w:val="13"/>
    <w:link w:val="2"/>
    <w:qFormat/>
    <w:locked/>
    <w:uiPriority w:val="9"/>
    <w:rPr>
      <w:b/>
      <w:bCs/>
      <w:kern w:val="44"/>
      <w:sz w:val="44"/>
      <w:szCs w:val="44"/>
    </w:rPr>
  </w:style>
  <w:style w:type="character" w:customStyle="1" w:styleId="17">
    <w:name w:val="标题 2 Char"/>
    <w:basedOn w:val="13"/>
    <w:link w:val="3"/>
    <w:qFormat/>
    <w:locked/>
    <w:uiPriority w:val="9"/>
    <w:rPr>
      <w:rFonts w:ascii="Cambria" w:hAnsi="Cambria"/>
      <w:b/>
      <w:bCs/>
      <w:sz w:val="32"/>
      <w:szCs w:val="32"/>
    </w:rPr>
  </w:style>
  <w:style w:type="paragraph" w:customStyle="1" w:styleId="18">
    <w:name w:val="列出段落1"/>
    <w:basedOn w:val="1"/>
    <w:qFormat/>
    <w:uiPriority w:val="34"/>
    <w:pPr>
      <w:ind w:firstLine="420" w:firstLineChars="200"/>
    </w:pPr>
  </w:style>
  <w:style w:type="paragraph" w:customStyle="1" w:styleId="19">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20">
    <w:name w:val="bjh-p8"/>
    <w:basedOn w:val="13"/>
    <w:qFormat/>
    <w:uiPriority w:val="0"/>
  </w:style>
  <w:style w:type="character" w:customStyle="1" w:styleId="21">
    <w:name w:val="批注框文本 Char"/>
    <w:basedOn w:val="13"/>
    <w:link w:val="6"/>
    <w:uiPriority w:val="0"/>
    <w:rPr>
      <w:rFonts w:ascii="Times New Roman" w:hAnsi="Times New Roman" w:eastAsia="仿宋_GB2312" w:cs="Times New Roman"/>
      <w:kern w:val="2"/>
      <w:sz w:val="18"/>
      <w:szCs w:val="18"/>
    </w:rPr>
  </w:style>
  <w:style w:type="character" w:customStyle="1" w:styleId="22">
    <w:name w:val="页脚 Char"/>
    <w:basedOn w:val="13"/>
    <w:link w:val="7"/>
    <w:uiPriority w:val="99"/>
    <w:rPr>
      <w:rFonts w:ascii="Calibri" w:hAnsi="Calibri" w:eastAsia="仿宋_GB2312"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7.emf"/><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11982</Words>
  <Characters>12674</Characters>
  <Lines>103</Lines>
  <Paragraphs>29</Paragraphs>
  <TotalTime>34</TotalTime>
  <ScaleCrop>false</ScaleCrop>
  <LinksUpToDate>false</LinksUpToDate>
  <CharactersWithSpaces>12861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2022-04-27T07:56:00Z</dcterms:created>
  <dc:creator>Administrator</dc:creator>
  <cp:lastModifiedBy>Master'霖</cp:lastModifiedBy>
  <dcterms:modified xsi:type="dcterms:W3CDTF">2022-05-31T08:25:55Z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CB059DB664D148C9ADDC5725C0248374</vt:lpwstr>
  </property>
</Properties>
</file>