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80" w:lineRule="exact"/>
        <w:jc w:val="center"/>
        <w:rPr>
          <w:rFonts w:hint="eastAsia" w:ascii="方正小标宋简体" w:eastAsia="方正小标宋简体"/>
          <w:sz w:val="44"/>
          <w:szCs w:val="44"/>
          <w:lang w:eastAsia="zh-CN"/>
        </w:rPr>
      </w:pPr>
      <w:bookmarkStart w:id="0" w:name="OLE_LINK1"/>
      <w:bookmarkStart w:id="1" w:name="OLE_LINK2"/>
      <w:r>
        <w:rPr>
          <w:rFonts w:hint="eastAsia" w:ascii="方正小标宋简体" w:eastAsia="方正小标宋简体"/>
          <w:sz w:val="44"/>
          <w:szCs w:val="44"/>
        </w:rPr>
        <w:t>自贡市自流井区投融资服务中心</w:t>
      </w:r>
      <w:r>
        <w:rPr>
          <w:rFonts w:hint="eastAsia" w:ascii="方正小标宋简体" w:eastAsia="方正小标宋简体"/>
          <w:sz w:val="44"/>
          <w:szCs w:val="44"/>
          <w:lang w:eastAsia="zh-CN"/>
        </w:rPr>
        <w:t>（本级</w:t>
      </w:r>
      <w:bookmarkStart w:id="92" w:name="_GoBack"/>
      <w:bookmarkEnd w:id="92"/>
      <w:r>
        <w:rPr>
          <w:rFonts w:hint="eastAsia" w:ascii="方正小标宋简体" w:eastAsia="方正小标宋简体"/>
          <w:sz w:val="44"/>
          <w:szCs w:val="44"/>
          <w:lang w:eastAsia="zh-CN"/>
        </w:rPr>
        <w:t>）</w:t>
      </w:r>
    </w:p>
    <w:p>
      <w:pPr>
        <w:widowControl/>
        <w:spacing w:line="580" w:lineRule="exact"/>
        <w:jc w:val="center"/>
        <w:rPr>
          <w:rFonts w:ascii="方正小标宋简体" w:eastAsia="方正小标宋简体"/>
          <w:sz w:val="44"/>
          <w:szCs w:val="44"/>
        </w:rPr>
      </w:pPr>
      <w:r>
        <w:rPr>
          <w:rFonts w:hint="eastAsia" w:ascii="方正小标宋简体" w:eastAsia="方正小标宋简体"/>
          <w:sz w:val="44"/>
          <w:szCs w:val="44"/>
        </w:rPr>
        <w:t>2020年度部门决算编制的说明</w:t>
      </w:r>
      <w:bookmarkEnd w:id="0"/>
      <w:bookmarkEnd w:id="1"/>
    </w:p>
    <w:p>
      <w:pPr>
        <w:widowControl/>
        <w:jc w:val="center"/>
        <w:rPr>
          <w:rFonts w:ascii="仿宋_GB2312"/>
          <w:sz w:val="28"/>
          <w:szCs w:val="28"/>
        </w:rPr>
      </w:pPr>
    </w:p>
    <w:p>
      <w:pPr>
        <w:widowControl/>
        <w:jc w:val="center"/>
        <w:rPr>
          <w:rFonts w:ascii="黑体" w:hAnsi="黑体" w:eastAsia="黑体"/>
          <w:color w:val="000000"/>
          <w:sz w:val="44"/>
          <w:szCs w:val="44"/>
        </w:rPr>
      </w:pPr>
      <w:r>
        <w:rPr>
          <w:rFonts w:hint="eastAsia" w:ascii="黑体" w:hAnsi="黑体" w:eastAsia="黑体"/>
          <w:color w:val="000000"/>
          <w:sz w:val="44"/>
          <w:szCs w:val="44"/>
        </w:rPr>
        <w:t>目录</w:t>
      </w:r>
    </w:p>
    <w:p>
      <w:pPr>
        <w:pStyle w:val="8"/>
        <w:tabs>
          <w:tab w:val="right" w:leader="dot" w:pos="8306"/>
        </w:tabs>
        <w:spacing w:line="560" w:lineRule="exact"/>
        <w:rPr>
          <w:rFonts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TOC \o "1-2" \h \z \u </w:instrText>
      </w:r>
      <w:r>
        <w:rPr>
          <w:rFonts w:hint="eastAsia" w:ascii="仿宋_GB2312" w:hAnsi="仿宋_GB2312" w:eastAsia="仿宋_GB2312" w:cs="仿宋_GB2312"/>
          <w:b w:val="0"/>
          <w:bCs w:val="0"/>
          <w:i w:val="0"/>
          <w:iCs w:val="0"/>
          <w:caps/>
          <w:sz w:val="28"/>
          <w:szCs w:val="28"/>
        </w:rPr>
        <w:fldChar w:fldCharType="separate"/>
      </w:r>
      <w:r>
        <w:fldChar w:fldCharType="begin"/>
      </w:r>
      <w:r>
        <w:instrText xml:space="preserve"> HYPERLINK \l "_Toc10567" </w:instrText>
      </w:r>
      <w:r>
        <w:fldChar w:fldCharType="separate"/>
      </w:r>
      <w:r>
        <w:rPr>
          <w:rFonts w:hint="eastAsia" w:ascii="仿宋_GB2312" w:hAnsi="仿宋_GB2312" w:eastAsia="仿宋_GB2312" w:cs="仿宋_GB2312"/>
          <w:b w:val="0"/>
          <w:bCs w:val="0"/>
          <w:i w:val="0"/>
          <w:iCs w:val="0"/>
          <w:sz w:val="28"/>
          <w:szCs w:val="28"/>
        </w:rPr>
        <w:t>第一部分 部门概况</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_Toc10567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"_Toc21498" </w:instrText>
      </w:r>
      <w:r>
        <w:fldChar w:fldCharType="separate"/>
      </w:r>
      <w:r>
        <w:rPr>
          <w:rFonts w:hint="eastAsia" w:ascii="仿宋_GB2312" w:hAnsi="仿宋_GB2312" w:eastAsia="仿宋_GB2312" w:cs="仿宋_GB2312"/>
          <w:b w:val="0"/>
          <w:bCs w:val="0"/>
          <w:sz w:val="28"/>
          <w:szCs w:val="28"/>
        </w:rPr>
        <w:t>一、基本职能及主要工作</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_Toc21498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3</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"_Toc6092" </w:instrText>
      </w:r>
      <w:r>
        <w:fldChar w:fldCharType="separate"/>
      </w:r>
      <w:r>
        <w:rPr>
          <w:rFonts w:hint="eastAsia" w:ascii="仿宋_GB2312" w:hAnsi="仿宋_GB2312" w:eastAsia="仿宋_GB2312" w:cs="仿宋_GB2312"/>
          <w:b w:val="0"/>
          <w:bCs w:val="0"/>
          <w:sz w:val="28"/>
          <w:szCs w:val="28"/>
        </w:rPr>
        <w:t>二、机构设置</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5</w:t>
      </w:r>
      <w:r>
        <w:rPr>
          <w:rFonts w:hint="eastAsia" w:ascii="仿宋_GB2312" w:hAnsi="仿宋_GB2312" w:eastAsia="仿宋_GB2312" w:cs="仿宋_GB2312"/>
          <w:b w:val="0"/>
          <w:bCs w:val="0"/>
          <w:sz w:val="28"/>
          <w:szCs w:val="28"/>
        </w:rPr>
        <w:fldChar w:fldCharType="end"/>
      </w:r>
    </w:p>
    <w:p>
      <w:pPr>
        <w:pStyle w:val="8"/>
        <w:tabs>
          <w:tab w:val="right" w:leader="dot" w:pos="8306"/>
        </w:tabs>
        <w:spacing w:line="560" w:lineRule="exact"/>
        <w:rPr>
          <w:rFonts w:ascii="仿宋_GB2312" w:hAnsi="仿宋_GB2312" w:eastAsia="仿宋_GB2312" w:cs="仿宋_GB2312"/>
          <w:b w:val="0"/>
          <w:bCs w:val="0"/>
          <w:i w:val="0"/>
          <w:iCs w:val="0"/>
          <w:sz w:val="28"/>
          <w:szCs w:val="28"/>
        </w:rPr>
      </w:pPr>
      <w:r>
        <w:fldChar w:fldCharType="begin"/>
      </w:r>
      <w:r>
        <w:instrText xml:space="preserve"> HYPERLINK \l "_Toc23109" </w:instrText>
      </w:r>
      <w:r>
        <w:fldChar w:fldCharType="separate"/>
      </w:r>
      <w:r>
        <w:rPr>
          <w:rFonts w:hint="eastAsia" w:ascii="仿宋_GB2312" w:hAnsi="仿宋_GB2312" w:eastAsia="仿宋_GB2312" w:cs="仿宋_GB2312"/>
          <w:b w:val="0"/>
          <w:bCs w:val="0"/>
          <w:i w:val="0"/>
          <w:iCs w:val="0"/>
          <w:sz w:val="28"/>
          <w:szCs w:val="28"/>
        </w:rPr>
        <w:t>第二部分 2020年度部门决算情况说明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t>5</w:t>
      </w:r>
      <w:r>
        <w:rPr>
          <w:rFonts w:hint="eastAsia" w:ascii="仿宋_GB2312" w:hAnsi="仿宋_GB2312" w:eastAsia="仿宋_GB2312" w:cs="仿宋_GB2312"/>
          <w:b w:val="0"/>
          <w:bCs w:val="0"/>
          <w:i w:val="0"/>
          <w:i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"_Toc7163" </w:instrText>
      </w:r>
      <w:r>
        <w:fldChar w:fldCharType="separate"/>
      </w:r>
      <w:r>
        <w:rPr>
          <w:rFonts w:hint="eastAsia" w:ascii="仿宋_GB2312" w:hAnsi="仿宋_GB2312" w:eastAsia="仿宋_GB2312" w:cs="仿宋_GB2312"/>
          <w:b w:val="0"/>
          <w:bCs w:val="0"/>
          <w:sz w:val="28"/>
          <w:szCs w:val="28"/>
        </w:rPr>
        <w:t>一、 收入支出决算总体情况说明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5</w:t>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"_Toc25258" </w:instrText>
      </w:r>
      <w:r>
        <w:fldChar w:fldCharType="separate"/>
      </w:r>
      <w:r>
        <w:rPr>
          <w:rFonts w:hint="eastAsia" w:ascii="仿宋_GB2312" w:hAnsi="仿宋_GB2312" w:eastAsia="仿宋_GB2312" w:cs="仿宋_GB2312"/>
          <w:b w:val="0"/>
          <w:bCs w:val="0"/>
          <w:sz w:val="28"/>
          <w:szCs w:val="28"/>
        </w:rPr>
        <w:t>二、 收入决算情况说明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6</w:t>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"_Toc13725" </w:instrText>
      </w:r>
      <w:r>
        <w:fldChar w:fldCharType="separate"/>
      </w:r>
      <w:r>
        <w:rPr>
          <w:rFonts w:hint="eastAsia" w:ascii="仿宋_GB2312" w:hAnsi="仿宋_GB2312" w:eastAsia="仿宋_GB2312" w:cs="仿宋_GB2312"/>
          <w:b w:val="0"/>
          <w:bCs w:val="0"/>
          <w:sz w:val="28"/>
          <w:szCs w:val="28"/>
        </w:rPr>
        <w:t>三、 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6</w:t>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"_Toc10354" </w:instrText>
      </w:r>
      <w:r>
        <w:fldChar w:fldCharType="separate"/>
      </w:r>
      <w:r>
        <w:rPr>
          <w:rFonts w:hint="eastAsia" w:ascii="仿宋_GB2312" w:hAnsi="仿宋_GB2312" w:eastAsia="仿宋_GB2312" w:cs="仿宋_GB2312"/>
          <w:b w:val="0"/>
          <w:bCs w:val="0"/>
          <w:sz w:val="28"/>
          <w:szCs w:val="28"/>
        </w:rPr>
        <w:t>四、财政拨款收入支出决算总体情况说明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7</w:t>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"_Toc10967" </w:instrText>
      </w:r>
      <w:r>
        <w:fldChar w:fldCharType="separate"/>
      </w:r>
      <w:r>
        <w:rPr>
          <w:rFonts w:hint="eastAsia" w:ascii="仿宋_GB2312" w:hAnsi="仿宋_GB2312" w:eastAsia="仿宋_GB2312" w:cs="仿宋_GB2312"/>
          <w:b w:val="0"/>
          <w:bCs w:val="0"/>
          <w:sz w:val="28"/>
          <w:szCs w:val="28"/>
        </w:rPr>
        <w:t>五、一般公共预算财政拨款支出决算情况说明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7</w:t>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"_Toc31021" </w:instrText>
      </w:r>
      <w:r>
        <w:fldChar w:fldCharType="separate"/>
      </w:r>
      <w:r>
        <w:rPr>
          <w:rFonts w:hint="eastAsia" w:ascii="仿宋_GB2312" w:hAnsi="仿宋_GB2312" w:eastAsia="仿宋_GB2312" w:cs="仿宋_GB2312"/>
          <w:b w:val="0"/>
          <w:bCs w:val="0"/>
          <w:sz w:val="28"/>
          <w:szCs w:val="28"/>
        </w:rPr>
        <w:t>六、一般公共预算财政拨款基本支出决算情况说明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9</w:t>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"_Toc6926" </w:instrText>
      </w:r>
      <w:r>
        <w:fldChar w:fldCharType="separate"/>
      </w:r>
      <w:r>
        <w:rPr>
          <w:rFonts w:hint="eastAsia" w:ascii="仿宋_GB2312" w:hAnsi="仿宋_GB2312" w:eastAsia="仿宋_GB2312" w:cs="仿宋_GB2312"/>
          <w:b w:val="0"/>
          <w:bCs w:val="0"/>
          <w:sz w:val="28"/>
          <w:szCs w:val="28"/>
        </w:rPr>
        <w:t>七、“三公”经费财政拨款支出决算情况说明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9</w:t>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"_Toc9843" </w:instrText>
      </w:r>
      <w:r>
        <w:fldChar w:fldCharType="separate"/>
      </w:r>
      <w:r>
        <w:rPr>
          <w:rFonts w:hint="eastAsia" w:ascii="仿宋_GB2312" w:hAnsi="仿宋_GB2312" w:eastAsia="仿宋_GB2312" w:cs="仿宋_GB2312"/>
          <w:b w:val="0"/>
          <w:bCs w:val="0"/>
          <w:sz w:val="28"/>
          <w:szCs w:val="28"/>
        </w:rPr>
        <w:t>八、政府性基金预算支出决算情况说明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_Toc9843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11</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"_Toc10775" </w:instrText>
      </w:r>
      <w:r>
        <w:fldChar w:fldCharType="separate"/>
      </w:r>
      <w:r>
        <w:rPr>
          <w:rFonts w:hint="eastAsia" w:ascii="仿宋_GB2312" w:hAnsi="仿宋_GB2312" w:eastAsia="仿宋_GB2312" w:cs="仿宋_GB2312"/>
          <w:b w:val="0"/>
          <w:bCs w:val="0"/>
          <w:sz w:val="28"/>
          <w:szCs w:val="28"/>
        </w:rPr>
        <w:t>九、 国有资本经营预算支出决算情况说明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_Toc10775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11</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"_Toc738" </w:instrText>
      </w:r>
      <w:r>
        <w:fldChar w:fldCharType="separate"/>
      </w:r>
      <w:r>
        <w:rPr>
          <w:rFonts w:hint="eastAsia" w:ascii="仿宋_GB2312" w:hAnsi="仿宋_GB2312" w:eastAsia="仿宋_GB2312" w:cs="仿宋_GB2312"/>
          <w:b w:val="0"/>
          <w:bCs w:val="0"/>
          <w:sz w:val="28"/>
          <w:szCs w:val="28"/>
        </w:rPr>
        <w:t>十、其他重要事项的情况说明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_Toc738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11</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8"/>
        <w:tabs>
          <w:tab w:val="right" w:leader="dot" w:pos="8306"/>
        </w:tabs>
        <w:spacing w:line="560" w:lineRule="exact"/>
        <w:rPr>
          <w:rFonts w:ascii="仿宋_GB2312" w:hAnsi="仿宋_GB2312" w:eastAsia="仿宋_GB2312" w:cs="仿宋_GB2312"/>
          <w:b w:val="0"/>
          <w:bCs w:val="0"/>
          <w:i w:val="0"/>
          <w:iCs w:val="0"/>
          <w:sz w:val="28"/>
          <w:szCs w:val="28"/>
        </w:rPr>
      </w:pPr>
      <w:r>
        <w:fldChar w:fldCharType="begin"/>
      </w:r>
      <w:r>
        <w:instrText xml:space="preserve"> HYPERLINK \l "_Toc3536" </w:instrText>
      </w:r>
      <w:r>
        <w:fldChar w:fldCharType="separate"/>
      </w:r>
      <w:r>
        <w:rPr>
          <w:rFonts w:hint="eastAsia" w:ascii="仿宋_GB2312" w:hAnsi="仿宋_GB2312" w:eastAsia="仿宋_GB2312" w:cs="仿宋_GB2312"/>
          <w:b w:val="0"/>
          <w:bCs w:val="0"/>
          <w:i w:val="0"/>
          <w:iCs w:val="0"/>
          <w:sz w:val="28"/>
          <w:szCs w:val="28"/>
        </w:rPr>
        <w:t>第三部分 名词解释</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_Toc3536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13</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sz w:val="28"/>
          <w:szCs w:val="28"/>
        </w:rPr>
        <w:fldChar w:fldCharType="end"/>
      </w:r>
    </w:p>
    <w:p>
      <w:pPr>
        <w:pStyle w:val="8"/>
        <w:tabs>
          <w:tab w:val="right" w:leader="dot" w:pos="8306"/>
        </w:tabs>
        <w:spacing w:line="560" w:lineRule="exact"/>
        <w:rPr>
          <w:rFonts w:ascii="仿宋_GB2312" w:hAnsi="仿宋_GB2312" w:eastAsia="仿宋_GB2312" w:cs="仿宋_GB2312"/>
          <w:b w:val="0"/>
          <w:bCs w:val="0"/>
          <w:i w:val="0"/>
          <w:iCs w:val="0"/>
          <w:sz w:val="28"/>
          <w:szCs w:val="28"/>
        </w:rPr>
      </w:pPr>
      <w:r>
        <w:fldChar w:fldCharType="begin"/>
      </w:r>
      <w:r>
        <w:instrText xml:space="preserve"> HYPERLINK \l "_Toc11207" </w:instrText>
      </w:r>
      <w:r>
        <w:fldChar w:fldCharType="separate"/>
      </w:r>
      <w:r>
        <w:rPr>
          <w:rFonts w:hint="eastAsia" w:ascii="仿宋_GB2312" w:hAnsi="仿宋_GB2312" w:eastAsia="仿宋_GB2312" w:cs="仿宋_GB2312"/>
          <w:b w:val="0"/>
          <w:bCs w:val="0"/>
          <w:i w:val="0"/>
          <w:iCs w:val="0"/>
          <w:sz w:val="28"/>
          <w:szCs w:val="28"/>
        </w:rPr>
        <w:t>第四部分 附件</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_Toc11207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16</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"_Toc22930" </w:instrText>
      </w:r>
      <w:r>
        <w:fldChar w:fldCharType="separate"/>
      </w:r>
      <w:r>
        <w:rPr>
          <w:rFonts w:hint="eastAsia" w:ascii="仿宋_GB2312" w:hAnsi="仿宋_GB2312" w:eastAsia="仿宋_GB2312" w:cs="仿宋_GB2312"/>
          <w:b w:val="0"/>
          <w:bCs w:val="0"/>
          <w:sz w:val="28"/>
          <w:szCs w:val="28"/>
        </w:rPr>
        <w:t>附件1</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_Toc22930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16</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8"/>
        <w:tabs>
          <w:tab w:val="right" w:leader="dot" w:pos="8306"/>
        </w:tabs>
        <w:spacing w:line="560" w:lineRule="exact"/>
        <w:rPr>
          <w:rFonts w:hint="eastAsia" w:ascii="仿宋_GB2312" w:hAnsi="仿宋_GB2312" w:eastAsia="仿宋_GB2312" w:cs="仿宋_GB2312"/>
          <w:b w:val="0"/>
          <w:bCs w:val="0"/>
          <w:i w:val="0"/>
          <w:iCs w:val="0"/>
          <w:sz w:val="28"/>
          <w:szCs w:val="28"/>
          <w:lang w:val="en-US" w:eastAsia="zh-CN"/>
        </w:rPr>
      </w:pPr>
      <w:r>
        <w:fldChar w:fldCharType="begin"/>
      </w:r>
      <w:r>
        <w:instrText xml:space="preserve"> HYPERLINK \l "_Toc32283" </w:instrText>
      </w:r>
      <w:r>
        <w:fldChar w:fldCharType="separate"/>
      </w:r>
      <w:r>
        <w:rPr>
          <w:rFonts w:hint="eastAsia" w:ascii="仿宋_GB2312" w:hAnsi="仿宋_GB2312" w:eastAsia="仿宋_GB2312" w:cs="仿宋_GB2312"/>
          <w:b w:val="0"/>
          <w:bCs w:val="0"/>
          <w:i w:val="0"/>
          <w:iCs w:val="0"/>
          <w:sz w:val="28"/>
          <w:szCs w:val="28"/>
        </w:rPr>
        <w:t>第五部分 附表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2</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sz w:val="28"/>
          <w:szCs w:val="28"/>
          <w:lang w:val="en-US" w:eastAsia="zh-CN"/>
        </w:rPr>
        <w:t>0</w:t>
      </w:r>
    </w:p>
    <w:p>
      <w:pPr>
        <w:pStyle w:val="9"/>
        <w:tabs>
          <w:tab w:val="right" w:leader="dot" w:pos="8306"/>
        </w:tabs>
        <w:spacing w:line="560" w:lineRule="exact"/>
        <w:rPr>
          <w:rFonts w:hint="eastAsia" w:ascii="仿宋_GB2312" w:hAnsi="仿宋_GB2312" w:eastAsia="仿宋_GB2312" w:cs="仿宋_GB2312"/>
          <w:b w:val="0"/>
          <w:bCs w:val="0"/>
          <w:sz w:val="28"/>
          <w:szCs w:val="28"/>
          <w:lang w:val="en-US" w:eastAsia="zh-CN"/>
        </w:rPr>
      </w:pPr>
      <w:r>
        <w:fldChar w:fldCharType="begin"/>
      </w:r>
      <w:r>
        <w:instrText xml:space="preserve"> HYPERLINK \l "_Toc15699" </w:instrText>
      </w:r>
      <w:r>
        <w:fldChar w:fldCharType="separate"/>
      </w:r>
      <w:r>
        <w:rPr>
          <w:rFonts w:hint="eastAsia" w:ascii="仿宋_GB2312" w:hAnsi="仿宋_GB2312" w:eastAsia="仿宋_GB2312" w:cs="仿宋_GB2312"/>
          <w:b w:val="0"/>
          <w:bCs w:val="0"/>
          <w:sz w:val="28"/>
          <w:szCs w:val="28"/>
        </w:rPr>
        <w:t>一、收入支出决算总表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lang w:val="en-US" w:eastAsia="zh-CN"/>
        </w:rPr>
        <w:t>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lang w:val="en-US" w:eastAsia="zh-CN"/>
        </w:rPr>
        <w:t>0</w:t>
      </w:r>
    </w:p>
    <w:p>
      <w:pPr>
        <w:pStyle w:val="9"/>
        <w:tabs>
          <w:tab w:val="right" w:leader="dot" w:pos="8306"/>
        </w:tabs>
        <w:spacing w:line="560" w:lineRule="exact"/>
        <w:rPr>
          <w:rFonts w:hint="eastAsia" w:ascii="仿宋_GB2312" w:hAnsi="仿宋_GB2312" w:eastAsia="仿宋_GB2312" w:cs="仿宋_GB2312"/>
          <w:b w:val="0"/>
          <w:bCs w:val="0"/>
          <w:sz w:val="28"/>
          <w:szCs w:val="28"/>
          <w:lang w:val="en-US" w:eastAsia="zh-CN"/>
        </w:rPr>
      </w:pPr>
      <w:r>
        <w:fldChar w:fldCharType="begin"/>
      </w:r>
      <w:r>
        <w:instrText xml:space="preserve"> HYPERLINK \l "_Toc27106" </w:instrText>
      </w:r>
      <w:r>
        <w:fldChar w:fldCharType="separate"/>
      </w:r>
      <w:r>
        <w:rPr>
          <w:rFonts w:hint="eastAsia" w:ascii="仿宋_GB2312" w:hAnsi="仿宋_GB2312" w:eastAsia="仿宋_GB2312" w:cs="仿宋_GB2312"/>
          <w:b w:val="0"/>
          <w:bCs w:val="0"/>
          <w:sz w:val="28"/>
          <w:szCs w:val="28"/>
        </w:rPr>
        <w:t>二、收入决算表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lang w:val="en-US" w:eastAsia="zh-CN"/>
        </w:rPr>
        <w:t>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lang w:val="en-US" w:eastAsia="zh-CN"/>
        </w:rPr>
        <w:t>0</w:t>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"_Toc26817" </w:instrText>
      </w:r>
      <w:r>
        <w:fldChar w:fldCharType="separate"/>
      </w:r>
      <w:r>
        <w:rPr>
          <w:rFonts w:hint="eastAsia" w:ascii="仿宋_GB2312" w:hAnsi="仿宋_GB2312" w:eastAsia="仿宋_GB2312" w:cs="仿宋_GB2312"/>
          <w:b w:val="0"/>
          <w:bCs w:val="0"/>
          <w:sz w:val="28"/>
          <w:szCs w:val="28"/>
        </w:rPr>
        <w:t>三、支出决算表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_Toc26817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19</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"_Toc21747" </w:instrText>
      </w:r>
      <w:r>
        <w:fldChar w:fldCharType="separate"/>
      </w:r>
      <w:r>
        <w:rPr>
          <w:rFonts w:hint="eastAsia" w:ascii="仿宋_GB2312" w:hAnsi="仿宋_GB2312" w:eastAsia="仿宋_GB2312" w:cs="仿宋_GB2312"/>
          <w:b w:val="0"/>
          <w:bCs w:val="0"/>
          <w:sz w:val="28"/>
          <w:szCs w:val="28"/>
        </w:rPr>
        <w:t>四、财政拨款收入支出决算总表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_Toc21747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19</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"_Toc12959" </w:instrText>
      </w:r>
      <w:r>
        <w:fldChar w:fldCharType="separate"/>
      </w:r>
      <w:r>
        <w:rPr>
          <w:rFonts w:hint="eastAsia" w:ascii="仿宋_GB2312" w:hAnsi="仿宋_GB2312" w:eastAsia="仿宋_GB2312" w:cs="仿宋_GB2312"/>
          <w:b w:val="0"/>
          <w:bCs w:val="0"/>
          <w:sz w:val="28"/>
          <w:szCs w:val="28"/>
        </w:rPr>
        <w:t>五、财政拨款支出决算明细表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2</w:t>
      </w:r>
      <w:r>
        <w:rPr>
          <w:rFonts w:hint="eastAsia" w:ascii="仿宋_GB2312" w:hAnsi="仿宋_GB2312" w:eastAsia="仿宋_GB2312" w:cs="仿宋_GB2312"/>
          <w:b w:val="0"/>
          <w:bCs w:val="0"/>
          <w:sz w:val="28"/>
          <w:szCs w:val="28"/>
          <w:lang w:val="en-US" w:eastAsia="zh-CN"/>
        </w:rPr>
        <w:t>0</w:t>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"_Toc23749" </w:instrText>
      </w:r>
      <w:r>
        <w:fldChar w:fldCharType="separate"/>
      </w:r>
      <w:r>
        <w:rPr>
          <w:rFonts w:hint="eastAsia" w:ascii="仿宋_GB2312" w:hAnsi="仿宋_GB2312" w:eastAsia="仿宋_GB2312" w:cs="仿宋_GB2312"/>
          <w:b w:val="0"/>
          <w:bCs w:val="0"/>
          <w:sz w:val="28"/>
          <w:szCs w:val="28"/>
        </w:rPr>
        <w:t>六、一般公共预算财政拨款支出决算表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_Toc23749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19</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"_Toc22275" </w:instrText>
      </w:r>
      <w:r>
        <w:fldChar w:fldCharType="separate"/>
      </w:r>
      <w:r>
        <w:rPr>
          <w:rFonts w:hint="eastAsia" w:ascii="仿宋_GB2312" w:hAnsi="仿宋_GB2312" w:eastAsia="仿宋_GB2312" w:cs="仿宋_GB2312"/>
          <w:b w:val="0"/>
          <w:bCs w:val="0"/>
          <w:sz w:val="28"/>
          <w:szCs w:val="28"/>
        </w:rPr>
        <w:t>七、一般公共预算财政拨款支出决算明细表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_Toc22275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19</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"_Toc30634" </w:instrText>
      </w:r>
      <w:r>
        <w:fldChar w:fldCharType="separate"/>
      </w:r>
      <w:r>
        <w:rPr>
          <w:rFonts w:hint="eastAsia" w:ascii="仿宋_GB2312" w:hAnsi="仿宋_GB2312" w:eastAsia="仿宋_GB2312" w:cs="仿宋_GB2312"/>
          <w:b w:val="0"/>
          <w:bCs w:val="0"/>
          <w:sz w:val="28"/>
          <w:szCs w:val="28"/>
        </w:rPr>
        <w:t>八、一般公共预算财政拨款基本支出决算表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_Toc30634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19</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"_Toc15170" </w:instrText>
      </w:r>
      <w:r>
        <w:fldChar w:fldCharType="separate"/>
      </w:r>
      <w:r>
        <w:rPr>
          <w:rFonts w:hint="eastAsia" w:ascii="仿宋_GB2312" w:hAnsi="仿宋_GB2312" w:eastAsia="仿宋_GB2312" w:cs="仿宋_GB2312"/>
          <w:b w:val="0"/>
          <w:bCs w:val="0"/>
          <w:sz w:val="28"/>
          <w:szCs w:val="28"/>
        </w:rPr>
        <w:t>九、一般公共预算财政拨款项目支出决算表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_Toc15170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19</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"_Toc17603" </w:instrText>
      </w:r>
      <w:r>
        <w:fldChar w:fldCharType="separate"/>
      </w:r>
      <w:r>
        <w:rPr>
          <w:rFonts w:hint="eastAsia" w:ascii="仿宋_GB2312" w:hAnsi="仿宋_GB2312" w:eastAsia="仿宋_GB2312" w:cs="仿宋_GB2312"/>
          <w:b w:val="0"/>
          <w:bCs w:val="0"/>
          <w:sz w:val="28"/>
          <w:szCs w:val="28"/>
        </w:rPr>
        <w:t>十、一般公共预算财政拨款“三公”经费支出决算表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_Toc17603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19</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"_Toc7313" </w:instrText>
      </w:r>
      <w:r>
        <w:fldChar w:fldCharType="separate"/>
      </w:r>
      <w:r>
        <w:rPr>
          <w:rFonts w:hint="eastAsia" w:ascii="仿宋_GB2312" w:hAnsi="仿宋_GB2312" w:eastAsia="仿宋_GB2312" w:cs="仿宋_GB2312"/>
          <w:b w:val="0"/>
          <w:bCs w:val="0"/>
          <w:sz w:val="28"/>
          <w:szCs w:val="28"/>
        </w:rPr>
        <w:t>十一、政府性基金预算财政拨款收入支出决算表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_Toc7313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19</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"_Toc9382" </w:instrText>
      </w:r>
      <w:r>
        <w:fldChar w:fldCharType="separate"/>
      </w:r>
      <w:r>
        <w:rPr>
          <w:rFonts w:hint="eastAsia" w:ascii="仿宋_GB2312" w:hAnsi="仿宋_GB2312" w:eastAsia="仿宋_GB2312" w:cs="仿宋_GB2312"/>
          <w:b w:val="0"/>
          <w:bCs w:val="0"/>
          <w:sz w:val="28"/>
          <w:szCs w:val="28"/>
        </w:rPr>
        <w:t>十二、政府性基金预算财政拨款“三公”经费支出决算表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_Toc9382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19</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"_Toc22683" </w:instrText>
      </w:r>
      <w:r>
        <w:fldChar w:fldCharType="separate"/>
      </w:r>
      <w:r>
        <w:rPr>
          <w:rFonts w:hint="eastAsia" w:ascii="仿宋_GB2312" w:hAnsi="仿宋_GB2312" w:eastAsia="仿宋_GB2312" w:cs="仿宋_GB2312"/>
          <w:b w:val="0"/>
          <w:bCs w:val="0"/>
          <w:sz w:val="28"/>
          <w:szCs w:val="28"/>
        </w:rPr>
        <w:t>十三、国有资本经营预算财政拨款收入支出决算表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_Toc22683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19</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"_Toc10257" </w:instrText>
      </w:r>
      <w:r>
        <w:fldChar w:fldCharType="separate"/>
      </w:r>
      <w:r>
        <w:rPr>
          <w:rFonts w:hint="eastAsia" w:ascii="仿宋_GB2312" w:hAnsi="仿宋_GB2312" w:eastAsia="仿宋_GB2312" w:cs="仿宋_GB2312"/>
          <w:b w:val="0"/>
          <w:bCs w:val="0"/>
          <w:sz w:val="28"/>
          <w:szCs w:val="28"/>
        </w:rPr>
        <w:t>十四、国有资本经营预算财政拨款支出决算表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_Toc10257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19</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spacing w:line="560" w:lineRule="exact"/>
        <w:ind w:firstLine="2100" w:firstLineChars="750"/>
        <w:rPr>
          <w:rFonts w:ascii="仿宋_GB2312" w:hAnsi="仿宋"/>
          <w:color w:val="FF0000"/>
          <w:szCs w:val="32"/>
        </w:rPr>
      </w:pPr>
      <w:r>
        <w:rPr>
          <w:rFonts w:hint="eastAsia" w:ascii="仿宋_GB2312" w:hAnsi="仿宋_GB2312" w:cs="仿宋_GB2312"/>
          <w:caps/>
          <w:sz w:val="28"/>
          <w:szCs w:val="28"/>
        </w:rPr>
        <w:fldChar w:fldCharType="end"/>
      </w:r>
    </w:p>
    <w:p>
      <w:r>
        <w:br w:type="page"/>
      </w:r>
    </w:p>
    <w:p>
      <w:pPr>
        <w:pStyle w:val="2"/>
        <w:jc w:val="center"/>
        <w:rPr>
          <w:rStyle w:val="14"/>
          <w:rFonts w:ascii="黑体" w:hAnsi="黑体" w:eastAsia="黑体"/>
          <w:b/>
          <w:bCs w:val="0"/>
        </w:rPr>
      </w:pPr>
      <w:bookmarkStart w:id="2" w:name="_Toc10567"/>
      <w:r>
        <w:rPr>
          <w:rFonts w:hint="eastAsia" w:ascii="黑体" w:hAnsi="黑体" w:eastAsia="黑体"/>
          <w:b w:val="0"/>
        </w:rPr>
        <w:t>第一部分</w:t>
      </w:r>
      <w:r>
        <w:rPr>
          <w:rStyle w:val="14"/>
          <w:rFonts w:hint="eastAsia" w:ascii="黑体" w:hAnsi="黑体" w:eastAsia="黑体"/>
          <w:b w:val="0"/>
          <w:bCs w:val="0"/>
        </w:rPr>
        <w:t>部门概况</w:t>
      </w:r>
      <w:bookmarkEnd w:id="2"/>
    </w:p>
    <w:p>
      <w:pPr>
        <w:widowControl/>
        <w:jc w:val="left"/>
        <w:rPr>
          <w:rFonts w:ascii="黑体" w:eastAsia="黑体"/>
          <w:color w:val="000000"/>
          <w:szCs w:val="32"/>
        </w:rPr>
      </w:pPr>
    </w:p>
    <w:p>
      <w:pPr>
        <w:pStyle w:val="3"/>
        <w:ind w:firstLine="640" w:firstLineChars="200"/>
        <w:rPr>
          <w:rStyle w:val="15"/>
          <w:rFonts w:ascii="仿宋" w:hAnsi="仿宋" w:eastAsia="仿宋"/>
          <w:b w:val="0"/>
          <w:bCs w:val="0"/>
        </w:rPr>
      </w:pPr>
      <w:bookmarkStart w:id="3" w:name="_Toc15396600"/>
      <w:bookmarkStart w:id="4" w:name="_Toc21498"/>
      <w:bookmarkStart w:id="5" w:name="_Toc15377197"/>
      <w:r>
        <w:rPr>
          <w:rFonts w:hint="eastAsia" w:ascii="黑体" w:hAnsi="黑体" w:eastAsia="黑体"/>
          <w:b w:val="0"/>
          <w:color w:val="000000"/>
        </w:rPr>
        <w:t>一、基</w:t>
      </w:r>
      <w:r>
        <w:rPr>
          <w:rStyle w:val="15"/>
          <w:rFonts w:hint="eastAsia" w:ascii="黑体" w:hAnsi="黑体" w:eastAsia="黑体"/>
          <w:b w:val="0"/>
          <w:bCs w:val="0"/>
        </w:rPr>
        <w:t>本职能及主要工作</w:t>
      </w:r>
      <w:bookmarkEnd w:id="3"/>
      <w:bookmarkEnd w:id="4"/>
      <w:bookmarkEnd w:id="5"/>
    </w:p>
    <w:p>
      <w:pPr>
        <w:spacing w:line="560" w:lineRule="exact"/>
        <w:ind w:firstLine="640" w:firstLineChars="200"/>
        <w:rPr>
          <w:rFonts w:ascii="仿宋" w:hAnsi="仿宋" w:eastAsia="仿宋"/>
          <w:bCs/>
          <w:color w:val="000000"/>
          <w:szCs w:val="32"/>
        </w:rPr>
      </w:pPr>
      <w:bookmarkStart w:id="6" w:name="_Toc15377198"/>
      <w:bookmarkStart w:id="7" w:name="_Toc15378445"/>
      <w:r>
        <w:rPr>
          <w:rFonts w:hint="eastAsia" w:ascii="仿宋" w:hAnsi="仿宋" w:eastAsia="仿宋"/>
          <w:bCs/>
          <w:color w:val="000000"/>
          <w:szCs w:val="32"/>
        </w:rPr>
        <w:t>（一）主要职能。</w:t>
      </w:r>
      <w:bookmarkEnd w:id="6"/>
      <w:bookmarkEnd w:id="7"/>
    </w:p>
    <w:p>
      <w:pPr>
        <w:spacing w:line="560" w:lineRule="exact"/>
        <w:ind w:firstLine="640" w:firstLineChars="200"/>
        <w:rPr>
          <w:rFonts w:ascii="仿宋_GB2312" w:hAnsi="仿宋"/>
          <w:szCs w:val="32"/>
        </w:rPr>
      </w:pPr>
      <w:r>
        <w:rPr>
          <w:rFonts w:hint="eastAsia" w:ascii="仿宋_GB2312" w:hAnsi="仿宋"/>
          <w:szCs w:val="32"/>
        </w:rPr>
        <w:t>承担自流井区金融公共服务职能，结合经济发展规划、产业基础、资源禀赋及科技优势等实际情况，积极探索完善保险补偿、政府与社会资本合作（以下简称PPP）、融资担保等市场化支持方式，为自流井区金融服务机构对接服务对象，为自流井区社会事业发展、产业发展提供金融服务。</w:t>
      </w:r>
    </w:p>
    <w:p>
      <w:pPr>
        <w:spacing w:line="560" w:lineRule="exact"/>
        <w:ind w:firstLine="640" w:firstLineChars="200"/>
        <w:rPr>
          <w:rFonts w:ascii="仿宋_GB2312" w:hAnsi="仿宋"/>
          <w:szCs w:val="32"/>
        </w:rPr>
      </w:pPr>
      <w:r>
        <w:rPr>
          <w:rFonts w:hint="eastAsia" w:ascii="仿宋_GB2312" w:hAnsi="仿宋"/>
          <w:szCs w:val="32"/>
        </w:rPr>
        <w:t>承担自流井区金融信息服务平台建设和运行维护工作，为政府、金融机构、投资机构与企业之间搭建交流、对接平台。</w:t>
      </w:r>
    </w:p>
    <w:p>
      <w:pPr>
        <w:spacing w:line="560" w:lineRule="exact"/>
        <w:ind w:firstLine="640" w:firstLineChars="200"/>
        <w:rPr>
          <w:rFonts w:ascii="仿宋_GB2312" w:hAnsi="仿宋"/>
          <w:szCs w:val="32"/>
        </w:rPr>
      </w:pPr>
      <w:r>
        <w:rPr>
          <w:rFonts w:hint="eastAsia" w:ascii="仿宋_GB2312" w:hAnsi="仿宋"/>
          <w:szCs w:val="32"/>
        </w:rPr>
        <w:t>承担自流井区PPP服务职能，制定PPP操作指引、合同指南，协助政府筛选适用PPP的行业、选择合适的PPP运行方式、制定规范的PPP项目流程；开展咨询培训，在PPP项目识别、评估、招标采购、合同管理等环节，为政府提供技术支持。</w:t>
      </w:r>
    </w:p>
    <w:p>
      <w:pPr>
        <w:spacing w:line="560" w:lineRule="exact"/>
        <w:ind w:firstLine="640" w:firstLineChars="200"/>
        <w:rPr>
          <w:rFonts w:ascii="仿宋_GB2312" w:hAnsi="仿宋"/>
          <w:szCs w:val="32"/>
        </w:rPr>
      </w:pPr>
      <w:r>
        <w:rPr>
          <w:rFonts w:hint="eastAsia" w:ascii="仿宋_GB2312" w:hAnsi="仿宋"/>
          <w:szCs w:val="32"/>
        </w:rPr>
        <w:t>承担自流井区政府投资基金的服务工作，为自流井区人民政府投资引导基金管理运营提供技术支持，引导金融资本、社会资本共同支持创新创业、中小企业发展、产业转型升级和基础设施及公共服务领域。为项目融资提供通过股权、贷款和担保等方式的融资方案支持，推动自流井区域经济健康持续发展。</w:t>
      </w:r>
    </w:p>
    <w:p>
      <w:pPr>
        <w:spacing w:line="560" w:lineRule="exact"/>
        <w:ind w:firstLine="640" w:firstLineChars="200"/>
        <w:rPr>
          <w:rFonts w:ascii="仿宋_GB2312" w:hAnsi="仿宋"/>
          <w:szCs w:val="32"/>
        </w:rPr>
      </w:pPr>
      <w:r>
        <w:rPr>
          <w:rFonts w:hint="eastAsia" w:ascii="仿宋_GB2312" w:hAnsi="仿宋"/>
          <w:szCs w:val="32"/>
        </w:rPr>
        <w:t>为自流井区操作金融互动提供建议，为政府融资担保体系建设、中小企业贷款风险补偿金管理、企业上市及再融资提供服务，为推动自流井区金融机构、投资机构、保险机构等开展财政金融互动业务提供服务。</w:t>
      </w:r>
    </w:p>
    <w:p>
      <w:pPr>
        <w:spacing w:line="560" w:lineRule="exact"/>
        <w:ind w:firstLine="640" w:firstLineChars="200"/>
        <w:rPr>
          <w:rFonts w:ascii="仿宋_GB2312" w:hAnsi="仿宋"/>
          <w:szCs w:val="32"/>
        </w:rPr>
      </w:pPr>
      <w:r>
        <w:rPr>
          <w:rFonts w:hint="eastAsia" w:ascii="仿宋_GB2312" w:hAnsi="仿宋"/>
          <w:szCs w:val="32"/>
        </w:rPr>
        <w:t>为自流井区扶贫开发提供金融支持服务，为建立全方位覆盖贫困群体的普惠金融体系提供服务。</w:t>
      </w:r>
    </w:p>
    <w:p>
      <w:pPr>
        <w:pStyle w:val="4"/>
        <w:adjustRightInd w:val="0"/>
        <w:snapToGrid w:val="0"/>
        <w:spacing w:before="93" w:line="600" w:lineRule="exact"/>
        <w:ind w:firstLine="672" w:firstLineChars="210"/>
        <w:rPr>
          <w:bCs/>
          <w:color w:val="000000"/>
          <w:sz w:val="32"/>
          <w:szCs w:val="32"/>
        </w:rPr>
      </w:pPr>
      <w:r>
        <w:rPr>
          <w:rFonts w:hint="eastAsia" w:hAnsi="仿宋"/>
          <w:sz w:val="32"/>
          <w:szCs w:val="32"/>
        </w:rPr>
        <w:t>承办自流井区人民政府交办的其他事项。</w:t>
      </w:r>
    </w:p>
    <w:p>
      <w:pPr>
        <w:spacing w:line="580" w:lineRule="exact"/>
        <w:ind w:firstLine="640" w:firstLineChars="200"/>
        <w:rPr>
          <w:rFonts w:ascii="仿宋" w:hAnsi="仿宋" w:eastAsia="仿宋"/>
          <w:bCs/>
          <w:color w:val="000000"/>
          <w:szCs w:val="32"/>
        </w:rPr>
      </w:pPr>
      <w:bookmarkStart w:id="8" w:name="_Toc15377199"/>
      <w:bookmarkStart w:id="9" w:name="_Toc15378446"/>
      <w:r>
        <w:rPr>
          <w:rFonts w:hint="eastAsia" w:ascii="仿宋" w:hAnsi="仿宋" w:eastAsia="仿宋"/>
          <w:bCs/>
          <w:color w:val="000000"/>
          <w:szCs w:val="32"/>
        </w:rPr>
        <w:t>（二）</w:t>
      </w:r>
      <w:r>
        <w:rPr>
          <w:rFonts w:ascii="仿宋" w:hAnsi="仿宋" w:eastAsia="仿宋"/>
          <w:bCs/>
          <w:color w:val="000000"/>
          <w:szCs w:val="32"/>
        </w:rPr>
        <w:t>2020</w:t>
      </w:r>
      <w:r>
        <w:rPr>
          <w:rFonts w:hint="eastAsia" w:ascii="仿宋" w:hAnsi="仿宋" w:eastAsia="仿宋"/>
          <w:bCs/>
          <w:color w:val="000000"/>
          <w:szCs w:val="32"/>
        </w:rPr>
        <w:t>年重点工作完成情况。</w:t>
      </w:r>
      <w:bookmarkEnd w:id="8"/>
      <w:bookmarkEnd w:id="9"/>
    </w:p>
    <w:p>
      <w:pPr>
        <w:spacing w:line="580" w:lineRule="exact"/>
        <w:ind w:firstLine="640" w:firstLineChars="200"/>
        <w:rPr>
          <w:rFonts w:ascii="仿宋_GB2312"/>
          <w:bCs/>
          <w:szCs w:val="32"/>
        </w:rPr>
      </w:pPr>
      <w:r>
        <w:rPr>
          <w:rFonts w:hint="eastAsia" w:ascii="仿宋_GB2312"/>
          <w:szCs w:val="32"/>
        </w:rPr>
        <w:t>1、推动金融支持实体经济，全方位解决民营企业融资难，融资贵</w:t>
      </w:r>
      <w:r>
        <w:rPr>
          <w:rFonts w:hint="eastAsia" w:ascii="仿宋_GB2312"/>
          <w:bCs/>
          <w:szCs w:val="32"/>
        </w:rPr>
        <w:t>。</w:t>
      </w:r>
    </w:p>
    <w:p>
      <w:pPr>
        <w:spacing w:line="580" w:lineRule="exact"/>
        <w:ind w:firstLine="640" w:firstLineChars="200"/>
        <w:rPr>
          <w:rFonts w:ascii="仿宋_GB2312"/>
          <w:szCs w:val="32"/>
        </w:rPr>
      </w:pPr>
      <w:r>
        <w:rPr>
          <w:rFonts w:hint="eastAsia" w:ascii="仿宋_GB2312"/>
          <w:bCs/>
          <w:szCs w:val="32"/>
        </w:rPr>
        <w:t>（1）紧抓金融政策，搭建交流平台。</w:t>
      </w:r>
      <w:r>
        <w:rPr>
          <w:rFonts w:hint="eastAsia" w:ascii="仿宋_GB2312"/>
          <w:szCs w:val="32"/>
        </w:rPr>
        <w:t>2020年，紧紧围绕人民银行定向降准、支农支小再贷款政策工具，搭建政银企信息沟通交流平台，为全区民营及涉农企业30户有效沟通投融资信息，推动了政府与银行及金融机构支持民营发展。</w:t>
      </w:r>
    </w:p>
    <w:p>
      <w:pPr>
        <w:spacing w:line="580" w:lineRule="exact"/>
        <w:ind w:firstLine="640" w:firstLineChars="200"/>
        <w:rPr>
          <w:rFonts w:ascii="仿宋_GB2312"/>
          <w:szCs w:val="32"/>
        </w:rPr>
      </w:pPr>
      <w:r>
        <w:rPr>
          <w:rFonts w:hint="eastAsia" w:ascii="仿宋_GB2312"/>
          <w:bCs/>
          <w:szCs w:val="32"/>
        </w:rPr>
        <w:t>（2）建立分险机制，拓宽融资渠道。</w:t>
      </w:r>
      <w:r>
        <w:rPr>
          <w:rFonts w:hint="eastAsia" w:ascii="仿宋_GB2312"/>
          <w:szCs w:val="32"/>
        </w:rPr>
        <w:t>推进了政府背景的信用担保体系和机构的建设，推进了与涉农担保机构战略合作，为银行及金融机构、自流井区区属国有公司、中小企业提供增信措施，建立分险机制，有效拓宽投融资渠道，有效解决金融支持国有公司和中小企业融资落地问题。</w:t>
      </w:r>
    </w:p>
    <w:p>
      <w:pPr>
        <w:spacing w:line="580" w:lineRule="exact"/>
        <w:ind w:firstLine="640" w:firstLineChars="200"/>
        <w:rPr>
          <w:rFonts w:ascii="仿宋_GB2312"/>
          <w:szCs w:val="32"/>
        </w:rPr>
      </w:pPr>
      <w:r>
        <w:rPr>
          <w:rFonts w:hint="eastAsia" w:ascii="仿宋_GB2312"/>
          <w:szCs w:val="32"/>
        </w:rPr>
        <w:t>（3）建立一站式的服务模式。为国有公司和中小企业融资提供全方位、一体化的服务，定期举办投融资服务推介会和对接会。</w:t>
      </w:r>
    </w:p>
    <w:p>
      <w:pPr>
        <w:spacing w:line="580" w:lineRule="exact"/>
        <w:ind w:firstLine="640" w:firstLineChars="200"/>
        <w:rPr>
          <w:rFonts w:ascii="仿宋_GB2312"/>
          <w:bCs/>
          <w:szCs w:val="32"/>
        </w:rPr>
      </w:pPr>
      <w:r>
        <w:rPr>
          <w:rFonts w:hint="eastAsia" w:ascii="仿宋_GB2312"/>
          <w:bCs/>
          <w:szCs w:val="32"/>
        </w:rPr>
        <w:t>2、着力防范地方政府隐形债务，强化资金及项目管理。</w:t>
      </w:r>
    </w:p>
    <w:p>
      <w:pPr>
        <w:spacing w:line="580" w:lineRule="exact"/>
        <w:ind w:firstLine="640" w:firstLineChars="200"/>
        <w:rPr>
          <w:rFonts w:ascii="仿宋_GB2312" w:hAnsi="宋体" w:cs="宋体"/>
          <w:kern w:val="0"/>
          <w:szCs w:val="32"/>
        </w:rPr>
      </w:pPr>
      <w:r>
        <w:rPr>
          <w:rFonts w:hint="eastAsia" w:ascii="仿宋_GB2312" w:hAnsi="宋体" w:cs="宋体"/>
          <w:kern w:val="0"/>
          <w:szCs w:val="32"/>
        </w:rPr>
        <w:t>按照中央、省、市关于地方政府隐形债务的管理要求，完善地方政府建设项目和资金管理，按照“量力而行、尽力而为”的原则，对全区实施的棚户区改造具体情况，充分开展财政承受力评估。</w:t>
      </w:r>
      <w:bookmarkStart w:id="10" w:name="_Toc6092"/>
      <w:bookmarkStart w:id="11" w:name="_Toc15377200"/>
      <w:bookmarkStart w:id="12" w:name="_Toc15396601"/>
    </w:p>
    <w:p>
      <w:pPr>
        <w:spacing w:line="600" w:lineRule="exact"/>
        <w:ind w:firstLine="640" w:firstLineChars="200"/>
        <w:rPr>
          <w:rFonts w:ascii="仿宋_GB2312" w:hAnsi="仿宋"/>
          <w:szCs w:val="32"/>
        </w:rPr>
      </w:pPr>
      <w:r>
        <w:rPr>
          <w:rFonts w:hint="eastAsia" w:ascii="仿宋_GB2312" w:hAnsi="仿宋"/>
          <w:szCs w:val="32"/>
        </w:rPr>
        <w:t>积极完成区委区政府交办的各项工作。</w:t>
      </w:r>
    </w:p>
    <w:p>
      <w:pPr>
        <w:spacing w:line="580" w:lineRule="exact"/>
        <w:ind w:firstLine="640" w:firstLineChars="200"/>
        <w:rPr>
          <w:rStyle w:val="15"/>
          <w:rFonts w:ascii="仿宋_GB2312" w:hAnsi="宋体" w:cs="宋体"/>
          <w:b w:val="0"/>
          <w:bCs w:val="0"/>
          <w:kern w:val="0"/>
        </w:rPr>
      </w:pPr>
      <w:r>
        <w:rPr>
          <w:rFonts w:hint="eastAsia" w:ascii="黑体" w:eastAsia="黑体"/>
          <w:color w:val="000000"/>
        </w:rPr>
        <w:t>二、</w:t>
      </w:r>
      <w:r>
        <w:rPr>
          <w:rFonts w:hint="eastAsia" w:ascii="黑体" w:hAnsi="黑体" w:eastAsia="黑体"/>
          <w:color w:val="000000"/>
        </w:rPr>
        <w:t>机</w:t>
      </w:r>
      <w:r>
        <w:rPr>
          <w:rStyle w:val="15"/>
          <w:rFonts w:hint="eastAsia" w:ascii="黑体" w:hAnsi="黑体" w:eastAsia="黑体"/>
        </w:rPr>
        <w:t>构设置</w:t>
      </w:r>
      <w:bookmarkEnd w:id="10"/>
      <w:bookmarkEnd w:id="11"/>
      <w:bookmarkEnd w:id="12"/>
    </w:p>
    <w:p>
      <w:pPr>
        <w:ind w:firstLine="800" w:firstLineChars="250"/>
        <w:rPr>
          <w:rFonts w:hint="eastAsia" w:ascii="仿宋_GB2312" w:hAnsi="仿宋"/>
          <w:szCs w:val="32"/>
        </w:rPr>
      </w:pPr>
      <w:r>
        <w:rPr>
          <w:rFonts w:hint="eastAsia" w:ascii="仿宋_GB2312"/>
          <w:color w:val="000000"/>
        </w:rPr>
        <w:t>自贡市自流井区投融资服务中心</w:t>
      </w:r>
      <w:r>
        <w:rPr>
          <w:rFonts w:hint="eastAsia" w:ascii="仿宋_GB2312"/>
          <w:szCs w:val="32"/>
        </w:rPr>
        <w:t>（本级）无下属二级单位</w:t>
      </w:r>
      <w:r>
        <w:rPr>
          <w:rFonts w:hint="eastAsia" w:ascii="仿宋_GB2312" w:hAnsi="仿宋"/>
          <w:szCs w:val="32"/>
        </w:rPr>
        <w:t>。</w:t>
      </w:r>
    </w:p>
    <w:p>
      <w:pPr>
        <w:ind w:firstLine="800" w:firstLineChars="250"/>
        <w:rPr>
          <w:rFonts w:ascii="仿宋" w:hAnsi="仿宋" w:eastAsia="仿宋"/>
          <w:szCs w:val="32"/>
        </w:rPr>
      </w:pPr>
    </w:p>
    <w:p>
      <w:pPr>
        <w:widowControl/>
        <w:jc w:val="center"/>
        <w:rPr>
          <w:rStyle w:val="14"/>
          <w:rFonts w:ascii="仿宋" w:hAnsi="仿宋" w:eastAsia="仿宋"/>
          <w:b w:val="0"/>
          <w:bCs w:val="0"/>
          <w:color w:val="000000"/>
          <w:kern w:val="0"/>
        </w:rPr>
      </w:pPr>
      <w:bookmarkStart w:id="13" w:name="_Toc15377204"/>
      <w:bookmarkStart w:id="14" w:name="_Toc23109"/>
      <w:bookmarkStart w:id="15" w:name="_Toc15396602"/>
      <w:r>
        <w:rPr>
          <w:rFonts w:hint="eastAsia" w:ascii="黑体" w:hAnsi="黑体" w:eastAsia="黑体"/>
          <w:color w:val="000000"/>
          <w:sz w:val="44"/>
          <w:szCs w:val="44"/>
        </w:rPr>
        <w:t>第二部分</w:t>
      </w:r>
      <w:r>
        <w:rPr>
          <w:rStyle w:val="14"/>
          <w:rFonts w:ascii="黑体" w:hAnsi="黑体" w:eastAsia="黑体"/>
        </w:rPr>
        <w:t>2020</w:t>
      </w:r>
      <w:r>
        <w:rPr>
          <w:rStyle w:val="14"/>
          <w:rFonts w:hint="eastAsia" w:ascii="黑体" w:hAnsi="黑体" w:eastAsia="黑体"/>
        </w:rPr>
        <w:t>年度部门决算情况说明</w:t>
      </w:r>
      <w:bookmarkEnd w:id="13"/>
      <w:bookmarkEnd w:id="14"/>
      <w:bookmarkEnd w:id="15"/>
    </w:p>
    <w:p>
      <w:pPr>
        <w:widowControl/>
        <w:jc w:val="center"/>
        <w:rPr>
          <w:rFonts w:ascii="仿宋" w:hAnsi="仿宋" w:eastAsia="仿宋"/>
          <w:color w:val="000000"/>
          <w:kern w:val="0"/>
          <w:sz w:val="44"/>
          <w:szCs w:val="44"/>
        </w:rPr>
      </w:pPr>
    </w:p>
    <w:p>
      <w:pPr>
        <w:pStyle w:val="16"/>
        <w:numPr>
          <w:ilvl w:val="0"/>
          <w:numId w:val="1"/>
        </w:numPr>
        <w:spacing w:line="600" w:lineRule="exact"/>
        <w:ind w:firstLineChars="0"/>
        <w:outlineLvl w:val="1"/>
        <w:rPr>
          <w:rStyle w:val="15"/>
          <w:rFonts w:ascii="黑体" w:hAnsi="黑体" w:eastAsia="黑体"/>
          <w:b w:val="0"/>
        </w:rPr>
      </w:pPr>
      <w:bookmarkStart w:id="16" w:name="_Toc7163"/>
      <w:bookmarkStart w:id="17" w:name="_Toc15396603"/>
      <w:bookmarkStart w:id="18" w:name="_Toc15377205"/>
      <w:r>
        <w:rPr>
          <w:rFonts w:hint="eastAsia" w:ascii="黑体" w:hAnsi="黑体" w:eastAsia="黑体"/>
          <w:color w:val="000000"/>
          <w:szCs w:val="32"/>
        </w:rPr>
        <w:t>收</w:t>
      </w:r>
      <w:r>
        <w:rPr>
          <w:rStyle w:val="15"/>
          <w:rFonts w:hint="eastAsia" w:ascii="黑体" w:hAnsi="黑体" w:eastAsia="黑体"/>
          <w:b w:val="0"/>
        </w:rPr>
        <w:t>入支出决算总体情况说明</w:t>
      </w:r>
      <w:bookmarkEnd w:id="16"/>
      <w:bookmarkEnd w:id="17"/>
      <w:bookmarkEnd w:id="18"/>
    </w:p>
    <w:p>
      <w:pPr>
        <w:ind w:firstLine="570"/>
      </w:pPr>
      <w:r>
        <w:rPr>
          <w:rFonts w:ascii="仿宋" w:hAnsi="仿宋" w:eastAsia="仿宋"/>
          <w:color w:val="000000"/>
          <w:szCs w:val="32"/>
        </w:rPr>
        <w:drawing>
          <wp:anchor distT="0" distB="0" distL="114300" distR="114300" simplePos="0" relativeHeight="251662336" behindDoc="0" locked="0" layoutInCell="1" allowOverlap="1">
            <wp:simplePos x="0" y="0"/>
            <wp:positionH relativeFrom="column">
              <wp:posOffset>209550</wp:posOffset>
            </wp:positionH>
            <wp:positionV relativeFrom="paragraph">
              <wp:posOffset>2139315</wp:posOffset>
            </wp:positionV>
            <wp:extent cx="4831080" cy="1743075"/>
            <wp:effectExtent l="19050" t="0" r="26670" b="0"/>
            <wp:wrapTopAndBottom/>
            <wp:docPr id="1"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anchor>
        </w:drawing>
      </w:r>
      <w:r>
        <w:rPr>
          <w:rFonts w:ascii="仿宋" w:hAnsi="仿宋" w:eastAsia="仿宋"/>
          <w:color w:val="000000"/>
          <w:szCs w:val="32"/>
        </w:rPr>
        <w:t>2020</w:t>
      </w:r>
      <w:r>
        <w:rPr>
          <w:rFonts w:hint="eastAsia" w:ascii="仿宋" w:hAnsi="仿宋" w:eastAsia="仿宋"/>
          <w:color w:val="000000"/>
          <w:szCs w:val="32"/>
        </w:rPr>
        <w:t>年度收入总计46.08万元，与</w:t>
      </w:r>
      <w:r>
        <w:rPr>
          <w:rFonts w:ascii="仿宋" w:hAnsi="仿宋" w:eastAsia="仿宋"/>
          <w:color w:val="000000"/>
          <w:szCs w:val="32"/>
        </w:rPr>
        <w:t>2019</w:t>
      </w:r>
      <w:r>
        <w:rPr>
          <w:rFonts w:hint="eastAsia" w:ascii="仿宋" w:hAnsi="仿宋" w:eastAsia="仿宋"/>
          <w:color w:val="000000"/>
          <w:szCs w:val="32"/>
        </w:rPr>
        <w:t>年收入总计35.24万元相比，收入增加10.84万元，增长30.76</w:t>
      </w:r>
      <w:r>
        <w:rPr>
          <w:rFonts w:ascii="仿宋" w:hAnsi="仿宋" w:eastAsia="仿宋"/>
          <w:color w:val="000000"/>
          <w:szCs w:val="32"/>
        </w:rPr>
        <w:t>%</w:t>
      </w:r>
      <w:r>
        <w:rPr>
          <w:rFonts w:hint="eastAsia" w:ascii="仿宋" w:hAnsi="仿宋" w:eastAsia="仿宋"/>
          <w:color w:val="000000"/>
          <w:szCs w:val="32"/>
        </w:rPr>
        <w:t>；2020年度支出总计46.08万元，与</w:t>
      </w:r>
      <w:r>
        <w:rPr>
          <w:rFonts w:ascii="仿宋" w:hAnsi="仿宋" w:eastAsia="仿宋"/>
          <w:color w:val="000000"/>
          <w:szCs w:val="32"/>
        </w:rPr>
        <w:t>2019</w:t>
      </w:r>
      <w:r>
        <w:rPr>
          <w:rFonts w:hint="eastAsia" w:ascii="仿宋" w:hAnsi="仿宋" w:eastAsia="仿宋"/>
          <w:color w:val="000000"/>
          <w:szCs w:val="32"/>
        </w:rPr>
        <w:t>年支出35.24万元相比，支出增加10.84万元，增长30.76</w:t>
      </w:r>
      <w:r>
        <w:rPr>
          <w:rFonts w:ascii="仿宋" w:hAnsi="仿宋" w:eastAsia="仿宋"/>
          <w:color w:val="000000"/>
          <w:szCs w:val="32"/>
        </w:rPr>
        <w:t>%</w:t>
      </w:r>
      <w:r>
        <w:rPr>
          <w:rFonts w:hint="eastAsia" w:ascii="仿宋" w:hAnsi="仿宋" w:eastAsia="仿宋"/>
          <w:color w:val="000000"/>
          <w:szCs w:val="32"/>
        </w:rPr>
        <w:t>。主要变动原因是2019年下半年增加工作人员2名，增加了人员支出。</w:t>
      </w:r>
    </w:p>
    <w:p>
      <w:pPr>
        <w:spacing w:line="600" w:lineRule="exact"/>
        <w:jc w:val="center"/>
        <w:rPr>
          <w:rFonts w:ascii="仿宋" w:hAnsi="仿宋" w:eastAsia="仿宋"/>
          <w:color w:val="000000"/>
          <w:szCs w:val="32"/>
        </w:rPr>
      </w:pPr>
      <w:r>
        <w:rPr>
          <w:rFonts w:hint="eastAsia" w:ascii="仿宋" w:hAnsi="仿宋" w:eastAsia="仿宋"/>
          <w:color w:val="000000"/>
          <w:szCs w:val="32"/>
        </w:rPr>
        <w:drawing>
          <wp:anchor distT="0" distB="0" distL="114300" distR="114300" simplePos="0" relativeHeight="251659264" behindDoc="0" locked="0" layoutInCell="1" allowOverlap="1">
            <wp:simplePos x="0" y="0"/>
            <wp:positionH relativeFrom="column">
              <wp:posOffset>314325</wp:posOffset>
            </wp:positionH>
            <wp:positionV relativeFrom="paragraph">
              <wp:posOffset>197485</wp:posOffset>
            </wp:positionV>
            <wp:extent cx="4726305" cy="1685925"/>
            <wp:effectExtent l="19050" t="0" r="17145" b="0"/>
            <wp:wrapTopAndBottom/>
            <wp:docPr id="11"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r>
        <w:rPr>
          <w:rFonts w:hint="eastAsia" w:ascii="仿宋" w:hAnsi="仿宋" w:eastAsia="仿宋"/>
          <w:color w:val="000000"/>
          <w:szCs w:val="32"/>
        </w:rPr>
        <w:t>（图</w:t>
      </w:r>
      <w:r>
        <w:rPr>
          <w:rFonts w:ascii="仿宋" w:hAnsi="仿宋" w:eastAsia="仿宋"/>
          <w:color w:val="000000"/>
          <w:szCs w:val="32"/>
        </w:rPr>
        <w:t>1</w:t>
      </w:r>
      <w:r>
        <w:rPr>
          <w:rFonts w:hint="eastAsia" w:ascii="仿宋" w:hAnsi="仿宋" w:eastAsia="仿宋"/>
          <w:color w:val="000000"/>
          <w:szCs w:val="32"/>
        </w:rPr>
        <w:t>：收、支决算总计变动情况图）（柱状图）</w:t>
      </w:r>
    </w:p>
    <w:p>
      <w:pPr>
        <w:pStyle w:val="16"/>
        <w:numPr>
          <w:ilvl w:val="0"/>
          <w:numId w:val="1"/>
        </w:numPr>
        <w:spacing w:line="600" w:lineRule="exact"/>
        <w:ind w:firstLineChars="0"/>
        <w:outlineLvl w:val="1"/>
        <w:rPr>
          <w:rStyle w:val="15"/>
          <w:rFonts w:ascii="黑体" w:hAnsi="黑体" w:eastAsia="黑体"/>
          <w:b w:val="0"/>
        </w:rPr>
      </w:pPr>
      <w:bookmarkStart w:id="19" w:name="_Toc15396604"/>
      <w:bookmarkStart w:id="20" w:name="_Toc15377206"/>
      <w:bookmarkStart w:id="21" w:name="_Toc25258"/>
      <w:r>
        <w:rPr>
          <w:rFonts w:hint="eastAsia" w:ascii="黑体" w:hAnsi="黑体" w:eastAsia="黑体"/>
          <w:color w:val="000000"/>
          <w:szCs w:val="32"/>
        </w:rPr>
        <w:t>收</w:t>
      </w:r>
      <w:r>
        <w:rPr>
          <w:rStyle w:val="15"/>
          <w:rFonts w:hint="eastAsia" w:ascii="黑体" w:hAnsi="黑体" w:eastAsia="黑体"/>
          <w:b w:val="0"/>
        </w:rPr>
        <w:t>入决算情况说明</w:t>
      </w:r>
      <w:bookmarkEnd w:id="19"/>
      <w:bookmarkEnd w:id="20"/>
      <w:bookmarkEnd w:id="21"/>
    </w:p>
    <w:p>
      <w:pPr>
        <w:spacing w:line="600" w:lineRule="exact"/>
        <w:ind w:firstLine="640" w:firstLineChars="200"/>
        <w:rPr>
          <w:rFonts w:ascii="仿宋" w:hAnsi="仿宋" w:eastAsia="仿宋"/>
          <w:color w:val="000000"/>
          <w:szCs w:val="32"/>
        </w:rPr>
      </w:pPr>
      <w:r>
        <w:rPr>
          <w:rFonts w:ascii="仿宋" w:hAnsi="仿宋" w:eastAsia="仿宋"/>
          <w:color w:val="000000"/>
          <w:szCs w:val="32"/>
        </w:rPr>
        <w:t>2020</w:t>
      </w:r>
      <w:r>
        <w:rPr>
          <w:rFonts w:hint="eastAsia" w:ascii="仿宋" w:hAnsi="仿宋" w:eastAsia="仿宋"/>
          <w:color w:val="000000"/>
          <w:szCs w:val="32"/>
        </w:rPr>
        <w:t>年本年收入合计44.76万元，其中：一般公共预算财政拨款收入44.76万元，占100</w:t>
      </w:r>
      <w:r>
        <w:rPr>
          <w:rFonts w:ascii="仿宋" w:hAnsi="仿宋" w:eastAsia="仿宋"/>
          <w:color w:val="000000"/>
          <w:szCs w:val="32"/>
        </w:rPr>
        <w:t>%</w:t>
      </w:r>
      <w:r>
        <w:rPr>
          <w:rFonts w:hint="eastAsia" w:ascii="仿宋" w:hAnsi="仿宋" w:eastAsia="仿宋"/>
          <w:color w:val="000000"/>
          <w:szCs w:val="32"/>
        </w:rPr>
        <w:t>；政府性基金预算财政拨款收入0万元，占0</w:t>
      </w:r>
      <w:r>
        <w:rPr>
          <w:rFonts w:ascii="仿宋" w:hAnsi="仿宋" w:eastAsia="仿宋"/>
          <w:color w:val="000000"/>
          <w:szCs w:val="32"/>
        </w:rPr>
        <w:t>%</w:t>
      </w:r>
      <w:r>
        <w:rPr>
          <w:rFonts w:hint="eastAsia" w:ascii="仿宋" w:hAnsi="仿宋" w:eastAsia="仿宋"/>
          <w:color w:val="000000"/>
          <w:szCs w:val="32"/>
        </w:rPr>
        <w:t>；上级补助收入0万元，占0</w:t>
      </w:r>
      <w:r>
        <w:rPr>
          <w:rFonts w:ascii="仿宋" w:hAnsi="仿宋" w:eastAsia="仿宋"/>
          <w:color w:val="000000"/>
          <w:szCs w:val="32"/>
        </w:rPr>
        <w:t>%</w:t>
      </w:r>
      <w:r>
        <w:rPr>
          <w:rFonts w:hint="eastAsia" w:ascii="仿宋" w:hAnsi="仿宋" w:eastAsia="仿宋"/>
          <w:color w:val="000000"/>
          <w:szCs w:val="32"/>
        </w:rPr>
        <w:t>；事业收入0万元，占0</w:t>
      </w:r>
      <w:r>
        <w:rPr>
          <w:rFonts w:ascii="仿宋" w:hAnsi="仿宋" w:eastAsia="仿宋"/>
          <w:color w:val="000000"/>
          <w:szCs w:val="32"/>
        </w:rPr>
        <w:t>%</w:t>
      </w:r>
      <w:r>
        <w:rPr>
          <w:rFonts w:hint="eastAsia" w:ascii="仿宋" w:hAnsi="仿宋" w:eastAsia="仿宋"/>
          <w:color w:val="000000"/>
          <w:szCs w:val="32"/>
        </w:rPr>
        <w:t>；经营收入0万元，占0</w:t>
      </w:r>
      <w:r>
        <w:rPr>
          <w:rFonts w:ascii="仿宋" w:hAnsi="仿宋" w:eastAsia="仿宋"/>
          <w:color w:val="000000"/>
          <w:szCs w:val="32"/>
        </w:rPr>
        <w:t>%</w:t>
      </w:r>
      <w:r>
        <w:rPr>
          <w:rFonts w:hint="eastAsia" w:ascii="仿宋" w:hAnsi="仿宋" w:eastAsia="仿宋"/>
          <w:color w:val="000000"/>
          <w:szCs w:val="32"/>
        </w:rPr>
        <w:t>；附属单位上缴收入0万元，占0</w:t>
      </w:r>
      <w:r>
        <w:rPr>
          <w:rFonts w:ascii="仿宋" w:hAnsi="仿宋" w:eastAsia="仿宋"/>
          <w:color w:val="000000"/>
          <w:szCs w:val="32"/>
        </w:rPr>
        <w:t>%</w:t>
      </w:r>
      <w:r>
        <w:rPr>
          <w:rFonts w:hint="eastAsia" w:ascii="仿宋" w:hAnsi="仿宋" w:eastAsia="仿宋"/>
          <w:color w:val="000000"/>
          <w:szCs w:val="32"/>
        </w:rPr>
        <w:t>；其他收入0万元，占0</w:t>
      </w:r>
      <w:r>
        <w:rPr>
          <w:rFonts w:ascii="仿宋" w:hAnsi="仿宋" w:eastAsia="仿宋"/>
          <w:color w:val="000000"/>
          <w:szCs w:val="32"/>
        </w:rPr>
        <w:t>%</w:t>
      </w:r>
      <w:r>
        <w:rPr>
          <w:rFonts w:hint="eastAsia" w:ascii="仿宋" w:hAnsi="仿宋" w:eastAsia="仿宋"/>
          <w:color w:val="000000"/>
          <w:szCs w:val="32"/>
        </w:rPr>
        <w:t>。</w:t>
      </w:r>
    </w:p>
    <w:p>
      <w:pPr>
        <w:spacing w:line="600" w:lineRule="exact"/>
        <w:ind w:firstLine="640" w:firstLineChars="200"/>
        <w:jc w:val="center"/>
        <w:rPr>
          <w:rFonts w:ascii="仿宋" w:hAnsi="仿宋" w:eastAsia="仿宋"/>
          <w:color w:val="000000"/>
          <w:szCs w:val="32"/>
        </w:rPr>
      </w:pPr>
      <w:r>
        <w:rPr>
          <w:rFonts w:hint="eastAsia" w:ascii="仿宋" w:hAnsi="仿宋" w:eastAsia="仿宋"/>
          <w:color w:val="000000"/>
          <w:szCs w:val="32"/>
        </w:rPr>
        <w:drawing>
          <wp:anchor distT="0" distB="0" distL="114300" distR="114300" simplePos="0" relativeHeight="251660288" behindDoc="0" locked="0" layoutInCell="1" allowOverlap="1">
            <wp:simplePos x="0" y="0"/>
            <wp:positionH relativeFrom="column">
              <wp:posOffset>314325</wp:posOffset>
            </wp:positionH>
            <wp:positionV relativeFrom="paragraph">
              <wp:posOffset>66675</wp:posOffset>
            </wp:positionV>
            <wp:extent cx="4869180" cy="1457325"/>
            <wp:effectExtent l="19050" t="0" r="26670" b="0"/>
            <wp:wrapTopAndBottom/>
            <wp:docPr id="12" name="图表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r>
        <w:rPr>
          <w:rFonts w:hint="eastAsia" w:ascii="仿宋" w:hAnsi="仿宋" w:eastAsia="仿宋"/>
          <w:color w:val="000000"/>
          <w:szCs w:val="32"/>
        </w:rPr>
        <w:t>（图</w:t>
      </w:r>
      <w:r>
        <w:rPr>
          <w:rFonts w:ascii="仿宋" w:hAnsi="仿宋" w:eastAsia="仿宋"/>
          <w:color w:val="000000"/>
          <w:szCs w:val="32"/>
        </w:rPr>
        <w:t>2</w:t>
      </w:r>
      <w:r>
        <w:rPr>
          <w:rFonts w:hint="eastAsia" w:ascii="仿宋" w:hAnsi="仿宋" w:eastAsia="仿宋"/>
          <w:color w:val="000000"/>
          <w:szCs w:val="32"/>
        </w:rPr>
        <w:t>：收入决算结构图）（饼状图）</w:t>
      </w:r>
    </w:p>
    <w:p>
      <w:pPr>
        <w:pStyle w:val="16"/>
        <w:numPr>
          <w:ilvl w:val="0"/>
          <w:numId w:val="1"/>
        </w:numPr>
        <w:spacing w:line="600" w:lineRule="exact"/>
        <w:ind w:firstLineChars="0"/>
        <w:outlineLvl w:val="1"/>
        <w:rPr>
          <w:rStyle w:val="15"/>
          <w:rFonts w:ascii="黑体" w:hAnsi="黑体" w:eastAsia="黑体"/>
          <w:b w:val="0"/>
        </w:rPr>
      </w:pPr>
      <w:bookmarkStart w:id="22" w:name="_Toc15396605"/>
      <w:bookmarkStart w:id="23" w:name="_Toc13725"/>
      <w:bookmarkStart w:id="24" w:name="_Toc15377207"/>
      <w:r>
        <w:rPr>
          <w:rFonts w:hint="eastAsia" w:ascii="黑体" w:hAnsi="黑体" w:eastAsia="黑体"/>
          <w:color w:val="000000"/>
          <w:szCs w:val="32"/>
        </w:rPr>
        <w:t>支</w:t>
      </w:r>
      <w:r>
        <w:rPr>
          <w:rStyle w:val="15"/>
          <w:rFonts w:hint="eastAsia" w:ascii="黑体" w:hAnsi="黑体" w:eastAsia="黑体"/>
          <w:b w:val="0"/>
        </w:rPr>
        <w:t>出决算情况说明</w:t>
      </w:r>
      <w:bookmarkEnd w:id="22"/>
      <w:bookmarkEnd w:id="23"/>
      <w:bookmarkEnd w:id="24"/>
    </w:p>
    <w:p>
      <w:pPr>
        <w:spacing w:line="600" w:lineRule="exact"/>
        <w:ind w:firstLine="640" w:firstLineChars="200"/>
        <w:outlineLvl w:val="1"/>
        <w:rPr>
          <w:rFonts w:ascii="仿宋" w:hAnsi="仿宋" w:eastAsia="仿宋"/>
          <w:color w:val="000000"/>
          <w:szCs w:val="32"/>
        </w:rPr>
      </w:pPr>
      <w:r>
        <w:rPr>
          <w:rFonts w:ascii="仿宋" w:hAnsi="仿宋" w:eastAsia="仿宋"/>
          <w:color w:val="000000"/>
          <w:szCs w:val="32"/>
        </w:rPr>
        <w:drawing>
          <wp:anchor distT="0" distB="0" distL="114300" distR="114300" simplePos="0" relativeHeight="251661312" behindDoc="0" locked="0" layoutInCell="1" allowOverlap="1">
            <wp:simplePos x="0" y="0"/>
            <wp:positionH relativeFrom="column">
              <wp:posOffset>419100</wp:posOffset>
            </wp:positionH>
            <wp:positionV relativeFrom="paragraph">
              <wp:posOffset>1600200</wp:posOffset>
            </wp:positionV>
            <wp:extent cx="4764405" cy="1485900"/>
            <wp:effectExtent l="19050" t="0" r="17145" b="0"/>
            <wp:wrapTopAndBottom/>
            <wp:docPr id="13" name="图表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Pr>
          <w:rFonts w:ascii="仿宋" w:hAnsi="仿宋" w:eastAsia="仿宋"/>
          <w:color w:val="000000"/>
          <w:szCs w:val="32"/>
        </w:rPr>
        <w:t>2020</w:t>
      </w:r>
      <w:r>
        <w:rPr>
          <w:rFonts w:hint="eastAsia" w:ascii="仿宋" w:hAnsi="仿宋" w:eastAsia="仿宋"/>
          <w:color w:val="000000"/>
          <w:szCs w:val="32"/>
        </w:rPr>
        <w:t>年本年支出合计45.37万元，其中：基本支出45.37万元，占100</w:t>
      </w:r>
      <w:r>
        <w:rPr>
          <w:rFonts w:ascii="仿宋" w:hAnsi="仿宋" w:eastAsia="仿宋"/>
          <w:color w:val="000000"/>
          <w:szCs w:val="32"/>
        </w:rPr>
        <w:t>%</w:t>
      </w:r>
      <w:r>
        <w:rPr>
          <w:rFonts w:hint="eastAsia" w:ascii="仿宋" w:hAnsi="仿宋" w:eastAsia="仿宋"/>
          <w:color w:val="000000"/>
          <w:szCs w:val="32"/>
        </w:rPr>
        <w:t>；项目支出0万元，占0</w:t>
      </w:r>
      <w:r>
        <w:rPr>
          <w:rFonts w:ascii="仿宋" w:hAnsi="仿宋" w:eastAsia="仿宋"/>
          <w:color w:val="000000"/>
          <w:szCs w:val="32"/>
        </w:rPr>
        <w:t>%</w:t>
      </w:r>
      <w:r>
        <w:rPr>
          <w:rFonts w:hint="eastAsia" w:ascii="仿宋" w:hAnsi="仿宋" w:eastAsia="仿宋"/>
          <w:color w:val="000000"/>
          <w:szCs w:val="32"/>
        </w:rPr>
        <w:t>；上缴上级支出0万元，占0</w:t>
      </w:r>
      <w:r>
        <w:rPr>
          <w:rFonts w:ascii="仿宋" w:hAnsi="仿宋" w:eastAsia="仿宋"/>
          <w:color w:val="000000"/>
          <w:szCs w:val="32"/>
        </w:rPr>
        <w:t>%</w:t>
      </w:r>
      <w:r>
        <w:rPr>
          <w:rFonts w:hint="eastAsia" w:ascii="仿宋" w:hAnsi="仿宋" w:eastAsia="仿宋"/>
          <w:color w:val="000000"/>
          <w:szCs w:val="32"/>
        </w:rPr>
        <w:t>；经营支出0万元，占0</w:t>
      </w:r>
      <w:r>
        <w:rPr>
          <w:rFonts w:ascii="仿宋" w:hAnsi="仿宋" w:eastAsia="仿宋"/>
          <w:color w:val="000000"/>
          <w:szCs w:val="32"/>
        </w:rPr>
        <w:t>%</w:t>
      </w:r>
      <w:r>
        <w:rPr>
          <w:rFonts w:hint="eastAsia" w:ascii="仿宋" w:hAnsi="仿宋" w:eastAsia="仿宋"/>
          <w:color w:val="000000"/>
          <w:szCs w:val="32"/>
        </w:rPr>
        <w:t>；对附属单位补助支出0万元，占0</w:t>
      </w:r>
      <w:r>
        <w:rPr>
          <w:rFonts w:ascii="仿宋" w:hAnsi="仿宋" w:eastAsia="仿宋"/>
          <w:color w:val="000000"/>
          <w:szCs w:val="32"/>
        </w:rPr>
        <w:t>%</w:t>
      </w:r>
      <w:r>
        <w:rPr>
          <w:rFonts w:hint="eastAsia" w:ascii="仿宋" w:hAnsi="仿宋" w:eastAsia="仿宋"/>
          <w:color w:val="000000"/>
          <w:szCs w:val="32"/>
        </w:rPr>
        <w:t>。</w:t>
      </w:r>
    </w:p>
    <w:p>
      <w:pPr>
        <w:spacing w:line="600" w:lineRule="exact"/>
        <w:jc w:val="center"/>
        <w:rPr>
          <w:rFonts w:ascii="仿宋" w:hAnsi="仿宋" w:eastAsia="仿宋"/>
          <w:color w:val="000000"/>
          <w:szCs w:val="32"/>
        </w:rPr>
      </w:pPr>
      <w:r>
        <w:rPr>
          <w:rFonts w:hint="eastAsia" w:ascii="仿宋" w:hAnsi="仿宋" w:eastAsia="仿宋"/>
          <w:color w:val="000000"/>
          <w:szCs w:val="32"/>
        </w:rPr>
        <w:t>（图</w:t>
      </w:r>
      <w:r>
        <w:rPr>
          <w:rFonts w:ascii="仿宋" w:hAnsi="仿宋" w:eastAsia="仿宋"/>
          <w:color w:val="000000"/>
          <w:szCs w:val="32"/>
        </w:rPr>
        <w:t>3</w:t>
      </w:r>
      <w:r>
        <w:rPr>
          <w:rFonts w:hint="eastAsia" w:ascii="仿宋" w:hAnsi="仿宋" w:eastAsia="仿宋"/>
          <w:color w:val="000000"/>
          <w:szCs w:val="32"/>
        </w:rPr>
        <w:t>：支出决算结构图）（饼状图）</w:t>
      </w:r>
    </w:p>
    <w:p>
      <w:pPr>
        <w:spacing w:line="600" w:lineRule="exact"/>
        <w:ind w:firstLine="640" w:firstLineChars="200"/>
        <w:outlineLvl w:val="1"/>
        <w:rPr>
          <w:rStyle w:val="15"/>
          <w:rFonts w:ascii="黑体" w:hAnsi="黑体" w:eastAsia="黑体"/>
          <w:b w:val="0"/>
        </w:rPr>
      </w:pPr>
      <w:bookmarkStart w:id="25" w:name="_Toc15377208"/>
      <w:bookmarkStart w:id="26" w:name="_Toc15396606"/>
      <w:bookmarkStart w:id="27" w:name="_Toc10354"/>
      <w:r>
        <w:rPr>
          <w:rFonts w:hint="eastAsia" w:ascii="黑体" w:hAnsi="黑体" w:eastAsia="黑体"/>
          <w:color w:val="000000"/>
          <w:szCs w:val="32"/>
        </w:rPr>
        <w:t>四、财</w:t>
      </w:r>
      <w:r>
        <w:rPr>
          <w:rStyle w:val="15"/>
          <w:rFonts w:hint="eastAsia" w:ascii="黑体" w:hAnsi="黑体" w:eastAsia="黑体"/>
          <w:b w:val="0"/>
        </w:rPr>
        <w:t>政拨款收入支出决算总体情况说明</w:t>
      </w:r>
      <w:bookmarkEnd w:id="25"/>
      <w:bookmarkEnd w:id="26"/>
      <w:bookmarkEnd w:id="27"/>
    </w:p>
    <w:p>
      <w:pPr>
        <w:ind w:firstLine="570"/>
      </w:pPr>
      <w:r>
        <w:rPr>
          <w:rFonts w:ascii="仿宋" w:hAnsi="仿宋" w:eastAsia="仿宋"/>
          <w:color w:val="000000"/>
          <w:szCs w:val="32"/>
        </w:rPr>
        <w:t>2020</w:t>
      </w:r>
      <w:r>
        <w:rPr>
          <w:rFonts w:hint="eastAsia" w:ascii="仿宋" w:hAnsi="仿宋" w:eastAsia="仿宋"/>
          <w:color w:val="000000"/>
          <w:szCs w:val="32"/>
        </w:rPr>
        <w:t>年度财政拨款收入总计46.08万元，与</w:t>
      </w:r>
      <w:r>
        <w:rPr>
          <w:rFonts w:ascii="仿宋" w:hAnsi="仿宋" w:eastAsia="仿宋"/>
          <w:color w:val="000000"/>
          <w:szCs w:val="32"/>
        </w:rPr>
        <w:t>2019</w:t>
      </w:r>
      <w:r>
        <w:rPr>
          <w:rFonts w:hint="eastAsia" w:ascii="仿宋" w:hAnsi="仿宋" w:eastAsia="仿宋"/>
          <w:color w:val="000000"/>
          <w:szCs w:val="32"/>
        </w:rPr>
        <w:t>年财政拨款收入总计35.24万元相比，收入增加10.84万元，增长30.76</w:t>
      </w:r>
      <w:r>
        <w:rPr>
          <w:rFonts w:ascii="仿宋" w:hAnsi="仿宋" w:eastAsia="仿宋"/>
          <w:color w:val="000000"/>
          <w:szCs w:val="32"/>
        </w:rPr>
        <w:t>%</w:t>
      </w:r>
      <w:r>
        <w:rPr>
          <w:rFonts w:hint="eastAsia" w:ascii="仿宋" w:hAnsi="仿宋" w:eastAsia="仿宋"/>
          <w:color w:val="000000"/>
          <w:szCs w:val="32"/>
        </w:rPr>
        <w:t>；2020年度财政拨款支出总计46.08万元，与</w:t>
      </w:r>
      <w:r>
        <w:rPr>
          <w:rFonts w:ascii="仿宋" w:hAnsi="仿宋" w:eastAsia="仿宋"/>
          <w:color w:val="000000"/>
          <w:szCs w:val="32"/>
        </w:rPr>
        <w:t>2019</w:t>
      </w:r>
      <w:r>
        <w:rPr>
          <w:rFonts w:hint="eastAsia" w:ascii="仿宋" w:hAnsi="仿宋" w:eastAsia="仿宋"/>
          <w:color w:val="000000"/>
          <w:szCs w:val="32"/>
        </w:rPr>
        <w:t>年财政拨款支出35.24万元相比，支出增加10.84万元，增长30.76</w:t>
      </w:r>
      <w:r>
        <w:rPr>
          <w:rFonts w:ascii="仿宋" w:hAnsi="仿宋" w:eastAsia="仿宋"/>
          <w:color w:val="000000"/>
          <w:szCs w:val="32"/>
        </w:rPr>
        <w:t>%</w:t>
      </w:r>
      <w:r>
        <w:rPr>
          <w:rFonts w:hint="eastAsia" w:ascii="仿宋" w:hAnsi="仿宋" w:eastAsia="仿宋"/>
          <w:color w:val="000000"/>
          <w:szCs w:val="32"/>
        </w:rPr>
        <w:t>。主要变动原因是2019年下半年增加工作人员2名，增加了人员支出。</w:t>
      </w:r>
    </w:p>
    <w:p>
      <w:pPr>
        <w:spacing w:line="600" w:lineRule="exact"/>
        <w:jc w:val="center"/>
        <w:rPr>
          <w:rFonts w:ascii="仿宋" w:hAnsi="仿宋" w:eastAsia="仿宋"/>
          <w:color w:val="000000"/>
          <w:szCs w:val="32"/>
        </w:rPr>
      </w:pPr>
      <w:r>
        <w:rPr>
          <w:rFonts w:hint="eastAsia" w:ascii="仿宋" w:hAnsi="仿宋" w:eastAsia="仿宋"/>
          <w:color w:val="000000"/>
          <w:szCs w:val="32"/>
        </w:rPr>
        <w:drawing>
          <wp:anchor distT="0" distB="0" distL="114300" distR="114300" simplePos="0" relativeHeight="251663360" behindDoc="0" locked="0" layoutInCell="1" allowOverlap="1">
            <wp:simplePos x="0" y="0"/>
            <wp:positionH relativeFrom="column">
              <wp:posOffset>200025</wp:posOffset>
            </wp:positionH>
            <wp:positionV relativeFrom="paragraph">
              <wp:posOffset>9525</wp:posOffset>
            </wp:positionV>
            <wp:extent cx="4831080" cy="1743075"/>
            <wp:effectExtent l="19050" t="0" r="26670" b="0"/>
            <wp:wrapTopAndBottom/>
            <wp:docPr id="3"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Pr>
          <w:rFonts w:hint="eastAsia" w:ascii="仿宋" w:hAnsi="仿宋" w:eastAsia="仿宋"/>
          <w:color w:val="000000"/>
          <w:szCs w:val="32"/>
        </w:rPr>
        <w:t>（图</w:t>
      </w:r>
      <w:r>
        <w:rPr>
          <w:rFonts w:ascii="仿宋" w:hAnsi="仿宋" w:eastAsia="仿宋"/>
          <w:color w:val="000000"/>
          <w:szCs w:val="32"/>
        </w:rPr>
        <w:t>4</w:t>
      </w:r>
      <w:r>
        <w:rPr>
          <w:rFonts w:hint="eastAsia" w:ascii="仿宋" w:hAnsi="仿宋" w:eastAsia="仿宋"/>
          <w:color w:val="000000"/>
          <w:szCs w:val="32"/>
        </w:rPr>
        <w:t>：财政拨款收、支决算总计变动情况）（柱状图）</w:t>
      </w:r>
    </w:p>
    <w:p>
      <w:pPr>
        <w:spacing w:line="600" w:lineRule="exact"/>
        <w:ind w:firstLine="640" w:firstLineChars="200"/>
        <w:outlineLvl w:val="1"/>
        <w:rPr>
          <w:rStyle w:val="15"/>
          <w:rFonts w:ascii="黑体" w:hAnsi="黑体" w:eastAsia="黑体"/>
          <w:b w:val="0"/>
        </w:rPr>
      </w:pPr>
      <w:bookmarkStart w:id="28" w:name="_Toc15396607"/>
      <w:bookmarkStart w:id="29" w:name="_Toc10967"/>
      <w:bookmarkStart w:id="30" w:name="_Toc15377209"/>
      <w:r>
        <w:rPr>
          <w:rFonts w:hint="eastAsia" w:ascii="黑体" w:hAnsi="黑体" w:eastAsia="黑体"/>
          <w:color w:val="000000"/>
          <w:szCs w:val="32"/>
        </w:rPr>
        <w:t>五、</w:t>
      </w:r>
      <w:r>
        <w:rPr>
          <w:rFonts w:hint="eastAsia" w:ascii="黑体" w:hAnsi="黑体" w:eastAsia="黑体"/>
          <w:b/>
          <w:color w:val="000000"/>
          <w:szCs w:val="32"/>
        </w:rPr>
        <w:t>一</w:t>
      </w:r>
      <w:r>
        <w:rPr>
          <w:rStyle w:val="15"/>
          <w:rFonts w:hint="eastAsia" w:ascii="黑体" w:hAnsi="黑体" w:eastAsia="黑体"/>
          <w:b w:val="0"/>
        </w:rPr>
        <w:t>般公共预算财政拨款支出决算情况说明</w:t>
      </w:r>
      <w:bookmarkEnd w:id="28"/>
      <w:bookmarkEnd w:id="29"/>
      <w:bookmarkEnd w:id="30"/>
    </w:p>
    <w:p>
      <w:pPr>
        <w:spacing w:line="600" w:lineRule="exact"/>
        <w:ind w:firstLine="643" w:firstLineChars="200"/>
        <w:outlineLvl w:val="2"/>
        <w:rPr>
          <w:rFonts w:ascii="仿宋" w:hAnsi="仿宋" w:eastAsia="仿宋"/>
          <w:b/>
          <w:color w:val="000000"/>
          <w:szCs w:val="32"/>
        </w:rPr>
      </w:pPr>
      <w:bookmarkStart w:id="31" w:name="_Toc15377210"/>
      <w:r>
        <w:rPr>
          <w:rFonts w:hint="eastAsia" w:ascii="仿宋" w:hAnsi="仿宋" w:eastAsia="仿宋"/>
          <w:b/>
          <w:color w:val="000000"/>
          <w:szCs w:val="32"/>
        </w:rPr>
        <w:t>（一）一般公共预算财政拨款支出决算总体情况</w:t>
      </w:r>
      <w:bookmarkEnd w:id="31"/>
    </w:p>
    <w:p>
      <w:pPr>
        <w:spacing w:line="600" w:lineRule="exact"/>
        <w:ind w:firstLine="640"/>
        <w:rPr>
          <w:rFonts w:ascii="仿宋" w:hAnsi="仿宋" w:eastAsia="仿宋"/>
          <w:b/>
          <w:color w:val="FF0000"/>
          <w:szCs w:val="32"/>
        </w:rPr>
      </w:pPr>
      <w:r>
        <w:rPr>
          <w:rFonts w:ascii="仿宋" w:hAnsi="仿宋" w:eastAsia="仿宋"/>
          <w:color w:val="000000"/>
          <w:szCs w:val="32"/>
        </w:rPr>
        <w:drawing>
          <wp:anchor distT="0" distB="0" distL="114300" distR="114300" simplePos="0" relativeHeight="251664384" behindDoc="0" locked="0" layoutInCell="1" allowOverlap="1">
            <wp:simplePos x="0" y="0"/>
            <wp:positionH relativeFrom="column">
              <wp:posOffset>347345</wp:posOffset>
            </wp:positionH>
            <wp:positionV relativeFrom="paragraph">
              <wp:posOffset>2038350</wp:posOffset>
            </wp:positionV>
            <wp:extent cx="4779010" cy="1671320"/>
            <wp:effectExtent l="19050" t="0" r="21590" b="5080"/>
            <wp:wrapTopAndBottom/>
            <wp:docPr id="4" name="图表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Pr>
          <w:rFonts w:ascii="仿宋" w:hAnsi="仿宋" w:eastAsia="仿宋"/>
          <w:color w:val="000000"/>
          <w:szCs w:val="32"/>
        </w:rPr>
        <w:t>2020</w:t>
      </w:r>
      <w:r>
        <w:rPr>
          <w:rFonts w:hint="eastAsia" w:ascii="仿宋" w:hAnsi="仿宋" w:eastAsia="仿宋"/>
          <w:color w:val="000000"/>
          <w:szCs w:val="32"/>
        </w:rPr>
        <w:t>年一般公共预算财政拨款支出45.37万元，占本年支出合计的100</w:t>
      </w:r>
      <w:r>
        <w:rPr>
          <w:rFonts w:ascii="仿宋" w:hAnsi="仿宋" w:eastAsia="仿宋"/>
          <w:color w:val="000000"/>
          <w:szCs w:val="32"/>
        </w:rPr>
        <w:t>%</w:t>
      </w:r>
      <w:r>
        <w:rPr>
          <w:rFonts w:hint="eastAsia" w:ascii="仿宋" w:hAnsi="仿宋" w:eastAsia="仿宋"/>
          <w:color w:val="000000"/>
          <w:szCs w:val="32"/>
        </w:rPr>
        <w:t>。与</w:t>
      </w:r>
      <w:r>
        <w:rPr>
          <w:rFonts w:ascii="仿宋" w:hAnsi="仿宋" w:eastAsia="仿宋"/>
          <w:color w:val="000000"/>
          <w:szCs w:val="32"/>
        </w:rPr>
        <w:t>2019</w:t>
      </w:r>
      <w:r>
        <w:rPr>
          <w:rFonts w:hint="eastAsia" w:ascii="仿宋" w:hAnsi="仿宋" w:eastAsia="仿宋"/>
          <w:color w:val="000000"/>
          <w:szCs w:val="32"/>
        </w:rPr>
        <w:t>年一般公共预算财政拨款支出29.91万元相比，一般公共预算财政拨款支出增加15.46万元，增长51.69</w:t>
      </w:r>
      <w:r>
        <w:rPr>
          <w:rFonts w:ascii="仿宋" w:hAnsi="仿宋" w:eastAsia="仿宋"/>
          <w:color w:val="000000"/>
          <w:szCs w:val="32"/>
        </w:rPr>
        <w:t>%</w:t>
      </w:r>
      <w:r>
        <w:rPr>
          <w:rFonts w:hint="eastAsia" w:ascii="仿宋" w:hAnsi="仿宋" w:eastAsia="仿宋"/>
          <w:color w:val="000000"/>
          <w:szCs w:val="32"/>
        </w:rPr>
        <w:t>。主要变动原因是2019年下半年增加工作人员2名，增加了人员支出。</w:t>
      </w:r>
    </w:p>
    <w:p>
      <w:pPr>
        <w:spacing w:line="600" w:lineRule="exact"/>
        <w:rPr>
          <w:rFonts w:ascii="仿宋" w:hAnsi="仿宋" w:eastAsia="仿宋"/>
          <w:color w:val="000000"/>
          <w:szCs w:val="32"/>
        </w:rPr>
      </w:pPr>
      <w:r>
        <w:rPr>
          <w:rFonts w:hint="eastAsia" w:ascii="仿宋" w:hAnsi="仿宋" w:eastAsia="仿宋"/>
          <w:color w:val="000000"/>
          <w:szCs w:val="32"/>
        </w:rPr>
        <w:t>（图</w:t>
      </w:r>
      <w:r>
        <w:rPr>
          <w:rFonts w:ascii="仿宋" w:hAnsi="仿宋" w:eastAsia="仿宋"/>
          <w:color w:val="000000"/>
          <w:szCs w:val="32"/>
        </w:rPr>
        <w:t>5</w:t>
      </w:r>
      <w:r>
        <w:rPr>
          <w:rFonts w:hint="eastAsia" w:ascii="仿宋" w:hAnsi="仿宋" w:eastAsia="仿宋"/>
          <w:color w:val="000000"/>
          <w:szCs w:val="32"/>
        </w:rPr>
        <w:t>：一般公共预算财政拨款支出决算变动情况）（柱状图）</w:t>
      </w:r>
    </w:p>
    <w:p>
      <w:pPr>
        <w:spacing w:line="600" w:lineRule="exact"/>
        <w:ind w:firstLine="643" w:firstLineChars="200"/>
        <w:outlineLvl w:val="2"/>
        <w:rPr>
          <w:rFonts w:ascii="仿宋" w:hAnsi="仿宋" w:eastAsia="仿宋"/>
          <w:b/>
          <w:color w:val="000000"/>
          <w:szCs w:val="32"/>
        </w:rPr>
      </w:pPr>
      <w:bookmarkStart w:id="32" w:name="_Toc15377211"/>
      <w:r>
        <w:rPr>
          <w:rFonts w:hint="eastAsia" w:ascii="仿宋" w:hAnsi="仿宋" w:eastAsia="仿宋"/>
          <w:b/>
          <w:color w:val="000000"/>
          <w:szCs w:val="32"/>
        </w:rPr>
        <w:t>（二）一般公共预算财政拨款支出决算结构情况</w:t>
      </w:r>
      <w:bookmarkEnd w:id="32"/>
    </w:p>
    <w:p>
      <w:pPr>
        <w:spacing w:line="600" w:lineRule="exact"/>
        <w:ind w:firstLine="640"/>
        <w:rPr>
          <w:rFonts w:ascii="仿宋" w:hAnsi="仿宋" w:eastAsia="仿宋"/>
          <w:color w:val="000000"/>
          <w:szCs w:val="32"/>
        </w:rPr>
      </w:pPr>
      <w:r>
        <w:rPr>
          <w:rFonts w:ascii="仿宋" w:hAnsi="仿宋" w:eastAsia="仿宋"/>
          <w:color w:val="000000"/>
          <w:szCs w:val="32"/>
        </w:rPr>
        <w:t>2020</w:t>
      </w:r>
      <w:r>
        <w:rPr>
          <w:rFonts w:hint="eastAsia" w:ascii="仿宋" w:hAnsi="仿宋" w:eastAsia="仿宋"/>
          <w:color w:val="000000"/>
          <w:szCs w:val="32"/>
        </w:rPr>
        <w:t>年一般公共预算财政拨款支出45.37万元，主要用于以下方面</w:t>
      </w:r>
      <w:r>
        <w:rPr>
          <w:rFonts w:ascii="仿宋" w:hAnsi="仿宋" w:eastAsia="仿宋"/>
          <w:color w:val="000000"/>
          <w:szCs w:val="32"/>
        </w:rPr>
        <w:t>:</w:t>
      </w:r>
      <w:r>
        <w:rPr>
          <w:rFonts w:hint="eastAsia" w:ascii="仿宋" w:hAnsi="仿宋" w:eastAsia="仿宋"/>
          <w:color w:val="000000"/>
          <w:szCs w:val="32"/>
        </w:rPr>
        <w:t>一般公共服务支出2.75万元，占6.06</w:t>
      </w:r>
      <w:r>
        <w:rPr>
          <w:rFonts w:ascii="仿宋" w:hAnsi="仿宋" w:eastAsia="仿宋"/>
          <w:color w:val="000000"/>
          <w:szCs w:val="32"/>
        </w:rPr>
        <w:t>%</w:t>
      </w:r>
      <w:r>
        <w:rPr>
          <w:rFonts w:hint="eastAsia" w:ascii="仿宋" w:hAnsi="仿宋" w:eastAsia="仿宋"/>
          <w:color w:val="000000"/>
          <w:szCs w:val="32"/>
        </w:rPr>
        <w:t>；社会保障和就业支出3.39万元，占7.47</w:t>
      </w:r>
      <w:r>
        <w:rPr>
          <w:rFonts w:ascii="仿宋" w:hAnsi="仿宋" w:eastAsia="仿宋"/>
          <w:color w:val="000000"/>
          <w:szCs w:val="32"/>
        </w:rPr>
        <w:t>%</w:t>
      </w:r>
      <w:r>
        <w:rPr>
          <w:rFonts w:hint="eastAsia" w:ascii="仿宋" w:hAnsi="仿宋" w:eastAsia="仿宋"/>
          <w:color w:val="000000"/>
          <w:szCs w:val="32"/>
        </w:rPr>
        <w:t>；</w:t>
      </w:r>
      <w:r>
        <w:rPr>
          <w:rFonts w:hint="eastAsia" w:ascii="仿宋" w:hAnsi="仿宋" w:eastAsia="仿宋"/>
          <w:bCs/>
          <w:color w:val="000000"/>
          <w:szCs w:val="32"/>
        </w:rPr>
        <w:t>卫生健康支出</w:t>
      </w:r>
      <w:r>
        <w:rPr>
          <w:rFonts w:hint="eastAsia" w:ascii="仿宋" w:hAnsi="仿宋" w:eastAsia="仿宋"/>
          <w:color w:val="000000"/>
          <w:szCs w:val="32"/>
        </w:rPr>
        <w:t>1.49万元，占3.29</w:t>
      </w:r>
      <w:r>
        <w:rPr>
          <w:rFonts w:ascii="仿宋" w:hAnsi="仿宋" w:eastAsia="仿宋"/>
          <w:color w:val="000000"/>
          <w:szCs w:val="32"/>
        </w:rPr>
        <w:t>%</w:t>
      </w:r>
      <w:r>
        <w:rPr>
          <w:rFonts w:hint="eastAsia" w:ascii="仿宋" w:hAnsi="仿宋" w:eastAsia="仿宋"/>
          <w:color w:val="000000"/>
          <w:szCs w:val="32"/>
        </w:rPr>
        <w:t>；金</w:t>
      </w:r>
      <w:r>
        <w:rPr>
          <w:rFonts w:hint="eastAsia" w:ascii="仿宋" w:hAnsi="仿宋" w:eastAsia="仿宋"/>
          <w:color w:val="000000" w:themeColor="text1"/>
          <w:szCs w:val="32"/>
        </w:rPr>
        <w:t>融支出35.43万元，占78.09</w:t>
      </w:r>
      <w:r>
        <w:rPr>
          <w:rFonts w:ascii="仿宋" w:hAnsi="仿宋" w:eastAsia="仿宋"/>
          <w:color w:val="000000" w:themeColor="text1"/>
          <w:szCs w:val="32"/>
        </w:rPr>
        <w:t>%</w:t>
      </w:r>
      <w:r>
        <w:rPr>
          <w:rFonts w:hint="eastAsia" w:ascii="仿宋" w:hAnsi="仿宋" w:eastAsia="仿宋"/>
          <w:color w:val="000000" w:themeColor="text1"/>
          <w:szCs w:val="32"/>
        </w:rPr>
        <w:t>；</w:t>
      </w:r>
      <w:r>
        <w:rPr>
          <w:rFonts w:hint="eastAsia" w:ascii="仿宋" w:hAnsi="仿宋" w:eastAsia="仿宋"/>
          <w:color w:val="000000"/>
          <w:szCs w:val="32"/>
        </w:rPr>
        <w:t>住房保障支出2.31万元，占5.09</w:t>
      </w:r>
      <w:r>
        <w:rPr>
          <w:rFonts w:ascii="仿宋" w:hAnsi="仿宋" w:eastAsia="仿宋"/>
          <w:color w:val="000000"/>
          <w:szCs w:val="32"/>
        </w:rPr>
        <w:t>%</w:t>
      </w:r>
      <w:r>
        <w:rPr>
          <w:rFonts w:hint="eastAsia" w:ascii="仿宋" w:hAnsi="仿宋" w:eastAsia="仿宋"/>
          <w:color w:val="000000"/>
          <w:szCs w:val="32"/>
        </w:rPr>
        <w:t>。</w:t>
      </w:r>
      <w:r>
        <w:rPr>
          <w:rFonts w:ascii="仿宋" w:hAnsi="仿宋" w:eastAsia="仿宋"/>
          <w:color w:val="000000"/>
          <w:szCs w:val="32"/>
        </w:rPr>
        <w:t xml:space="preserve"> </w:t>
      </w:r>
    </w:p>
    <w:p>
      <w:pPr>
        <w:spacing w:line="600" w:lineRule="exact"/>
        <w:jc w:val="center"/>
        <w:rPr>
          <w:rFonts w:ascii="仿宋" w:hAnsi="仿宋" w:eastAsia="仿宋"/>
          <w:color w:val="000000"/>
          <w:szCs w:val="32"/>
        </w:rPr>
      </w:pPr>
      <w:r>
        <w:rPr>
          <w:rFonts w:ascii="仿宋" w:hAnsi="仿宋" w:eastAsia="仿宋"/>
          <w:color w:val="000000"/>
          <w:szCs w:val="32"/>
        </w:rPr>
        <w:drawing>
          <wp:anchor distT="0" distB="0" distL="114300" distR="114300" simplePos="0" relativeHeight="251665408" behindDoc="0" locked="0" layoutInCell="1" allowOverlap="1">
            <wp:simplePos x="0" y="0"/>
            <wp:positionH relativeFrom="column">
              <wp:posOffset>200025</wp:posOffset>
            </wp:positionH>
            <wp:positionV relativeFrom="paragraph">
              <wp:posOffset>142875</wp:posOffset>
            </wp:positionV>
            <wp:extent cx="4926330" cy="1609725"/>
            <wp:effectExtent l="19050" t="0" r="26670" b="0"/>
            <wp:wrapTopAndBottom/>
            <wp:docPr id="5" name="图表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Pr>
          <w:rFonts w:hint="eastAsia" w:ascii="仿宋" w:hAnsi="仿宋" w:eastAsia="仿宋"/>
          <w:color w:val="000000"/>
          <w:szCs w:val="32"/>
        </w:rPr>
        <w:t>（图</w:t>
      </w:r>
      <w:r>
        <w:rPr>
          <w:rFonts w:ascii="仿宋" w:hAnsi="仿宋" w:eastAsia="仿宋"/>
          <w:color w:val="000000"/>
          <w:szCs w:val="32"/>
        </w:rPr>
        <w:t>6</w:t>
      </w:r>
      <w:r>
        <w:rPr>
          <w:rFonts w:hint="eastAsia" w:ascii="仿宋" w:hAnsi="仿宋" w:eastAsia="仿宋"/>
          <w:color w:val="000000"/>
          <w:szCs w:val="32"/>
        </w:rPr>
        <w:t>：一般公共预算财政拨款支出决算结构）（饼状图）</w:t>
      </w:r>
    </w:p>
    <w:p>
      <w:pPr>
        <w:spacing w:line="600" w:lineRule="exact"/>
        <w:ind w:firstLine="643" w:firstLineChars="200"/>
        <w:outlineLvl w:val="2"/>
        <w:rPr>
          <w:rFonts w:ascii="仿宋" w:hAnsi="仿宋" w:eastAsia="仿宋"/>
          <w:b/>
          <w:color w:val="000000"/>
          <w:szCs w:val="32"/>
        </w:rPr>
      </w:pPr>
      <w:bookmarkStart w:id="33" w:name="_Toc15377212"/>
      <w:r>
        <w:rPr>
          <w:rFonts w:hint="eastAsia" w:ascii="仿宋" w:hAnsi="仿宋" w:eastAsia="仿宋"/>
          <w:b/>
          <w:color w:val="000000"/>
          <w:szCs w:val="32"/>
        </w:rPr>
        <w:t>（三）一般公共预算财政拨款支出决算具体情况</w:t>
      </w:r>
      <w:bookmarkEnd w:id="33"/>
    </w:p>
    <w:p>
      <w:pPr>
        <w:spacing w:line="600" w:lineRule="exact"/>
        <w:ind w:firstLine="640" w:firstLineChars="200"/>
        <w:rPr>
          <w:rFonts w:ascii="仿宋" w:hAnsi="仿宋" w:eastAsia="仿宋"/>
          <w:b/>
          <w:color w:val="FF0000"/>
          <w:szCs w:val="32"/>
        </w:rPr>
      </w:pPr>
      <w:bookmarkStart w:id="34" w:name="_Toc15378460"/>
      <w:bookmarkStart w:id="35" w:name="_Toc15377444"/>
      <w:bookmarkStart w:id="36" w:name="_Toc15377213"/>
      <w:r>
        <w:rPr>
          <w:rFonts w:ascii="仿宋" w:hAnsi="仿宋" w:eastAsia="仿宋"/>
          <w:color w:val="000000"/>
          <w:szCs w:val="32"/>
        </w:rPr>
        <w:t>2020</w:t>
      </w:r>
      <w:r>
        <w:rPr>
          <w:rFonts w:hint="eastAsia" w:ascii="仿宋" w:hAnsi="仿宋" w:eastAsia="仿宋"/>
          <w:color w:val="000000"/>
          <w:szCs w:val="32"/>
        </w:rPr>
        <w:t>年一般公共预算支出决算数为45.37万元，</w:t>
      </w:r>
      <w:r>
        <w:rPr>
          <w:rStyle w:val="12"/>
          <w:rFonts w:hint="eastAsia" w:ascii="仿宋" w:hAnsi="仿宋" w:eastAsia="仿宋"/>
          <w:b w:val="0"/>
          <w:bCs/>
          <w:color w:val="000000"/>
          <w:szCs w:val="32"/>
        </w:rPr>
        <w:t>完成预算98.46</w:t>
      </w:r>
      <w:r>
        <w:rPr>
          <w:rStyle w:val="12"/>
          <w:rFonts w:ascii="仿宋" w:hAnsi="仿宋" w:eastAsia="仿宋"/>
          <w:b w:val="0"/>
          <w:bCs/>
          <w:color w:val="000000"/>
          <w:szCs w:val="32"/>
        </w:rPr>
        <w:t>%</w:t>
      </w:r>
      <w:r>
        <w:rPr>
          <w:rStyle w:val="12"/>
          <w:rFonts w:hint="eastAsia" w:ascii="仿宋" w:hAnsi="仿宋" w:eastAsia="仿宋"/>
          <w:b w:val="0"/>
          <w:bCs/>
          <w:color w:val="000000"/>
          <w:szCs w:val="32"/>
        </w:rPr>
        <w:t>。其中：</w:t>
      </w:r>
      <w:bookmarkEnd w:id="34"/>
      <w:bookmarkEnd w:id="35"/>
      <w:bookmarkEnd w:id="36"/>
    </w:p>
    <w:p>
      <w:pPr>
        <w:ind w:firstLine="570"/>
        <w:rPr>
          <w:rFonts w:ascii="仿宋" w:hAnsi="仿宋" w:eastAsia="仿宋"/>
          <w:color w:val="000000"/>
          <w:szCs w:val="32"/>
        </w:rPr>
      </w:pPr>
      <w:r>
        <w:rPr>
          <w:rStyle w:val="12"/>
          <w:rFonts w:ascii="仿宋" w:hAnsi="仿宋" w:eastAsia="仿宋"/>
          <w:bCs/>
          <w:color w:val="000000"/>
          <w:szCs w:val="32"/>
        </w:rPr>
        <w:t>1.</w:t>
      </w:r>
      <w:r>
        <w:rPr>
          <w:rStyle w:val="14"/>
          <w:rFonts w:hint="eastAsia" w:ascii="仿宋" w:hAnsi="仿宋" w:eastAsia="仿宋"/>
          <w:b w:val="0"/>
          <w:color w:val="000000"/>
          <w:sz w:val="32"/>
          <w:szCs w:val="32"/>
        </w:rPr>
        <w:t xml:space="preserve"> </w:t>
      </w:r>
      <w:r>
        <w:rPr>
          <w:rStyle w:val="12"/>
          <w:rFonts w:hint="eastAsia" w:ascii="仿宋" w:hAnsi="仿宋" w:eastAsia="仿宋"/>
          <w:b w:val="0"/>
          <w:color w:val="000000"/>
          <w:szCs w:val="32"/>
        </w:rPr>
        <w:t>一般公共服务支出（类）政府办公厅（室）及相关机构事务（款）其他政府办公厅（室）及相关机构事务（项）</w:t>
      </w:r>
      <w:r>
        <w:rPr>
          <w:rStyle w:val="12"/>
          <w:rFonts w:ascii="仿宋" w:hAnsi="仿宋" w:eastAsia="仿宋"/>
          <w:bCs/>
          <w:color w:val="000000"/>
          <w:szCs w:val="32"/>
        </w:rPr>
        <w:t>:</w:t>
      </w:r>
      <w:r>
        <w:rPr>
          <w:rStyle w:val="12"/>
          <w:rFonts w:hint="eastAsia" w:ascii="仿宋" w:hAnsi="仿宋" w:eastAsia="仿宋"/>
          <w:b w:val="0"/>
          <w:bCs/>
          <w:color w:val="000000"/>
          <w:szCs w:val="32"/>
        </w:rPr>
        <w:t>支出决算为2.75万元，完成预算100</w:t>
      </w:r>
      <w:r>
        <w:rPr>
          <w:rStyle w:val="12"/>
          <w:rFonts w:ascii="仿宋" w:hAnsi="仿宋" w:eastAsia="仿宋"/>
          <w:b w:val="0"/>
          <w:bCs/>
          <w:color w:val="000000"/>
          <w:szCs w:val="32"/>
        </w:rPr>
        <w:t>%</w:t>
      </w:r>
      <w:r>
        <w:rPr>
          <w:rFonts w:hint="eastAsia" w:ascii="仿宋" w:hAnsi="仿宋" w:eastAsia="仿宋"/>
          <w:color w:val="000000"/>
          <w:szCs w:val="32"/>
        </w:rPr>
        <w:t>。</w:t>
      </w:r>
    </w:p>
    <w:p>
      <w:pPr>
        <w:spacing w:line="600" w:lineRule="exact"/>
        <w:ind w:firstLine="640" w:firstLineChars="200"/>
        <w:rPr>
          <w:rStyle w:val="12"/>
          <w:rFonts w:ascii="仿宋" w:hAnsi="仿宋" w:eastAsia="仿宋"/>
          <w:b w:val="0"/>
          <w:color w:val="000000"/>
          <w:szCs w:val="32"/>
        </w:rPr>
      </w:pPr>
      <w:r>
        <w:rPr>
          <w:rStyle w:val="12"/>
          <w:rFonts w:hint="eastAsia" w:ascii="仿宋" w:hAnsi="仿宋" w:eastAsia="仿宋"/>
          <w:b w:val="0"/>
          <w:color w:val="000000"/>
          <w:szCs w:val="32"/>
        </w:rPr>
        <w:t>2.</w:t>
      </w:r>
      <w:bookmarkStart w:id="37" w:name="_Toc15396608"/>
      <w:bookmarkStart w:id="38" w:name="_Toc15377214"/>
      <w:bookmarkStart w:id="39" w:name="_Toc31021"/>
      <w:r>
        <w:rPr>
          <w:rStyle w:val="14"/>
          <w:rFonts w:hint="eastAsia" w:ascii="仿宋" w:hAnsi="仿宋" w:eastAsia="仿宋"/>
          <w:b w:val="0"/>
          <w:color w:val="000000"/>
          <w:sz w:val="32"/>
          <w:szCs w:val="32"/>
        </w:rPr>
        <w:t xml:space="preserve"> </w:t>
      </w:r>
      <w:r>
        <w:rPr>
          <w:rStyle w:val="12"/>
          <w:rFonts w:hint="eastAsia" w:ascii="仿宋" w:hAnsi="仿宋" w:eastAsia="仿宋"/>
          <w:b w:val="0"/>
          <w:color w:val="000000"/>
          <w:szCs w:val="32"/>
        </w:rPr>
        <w:t>社会保障和就业（类）行政事业单位养老支出（款）机关事业单位基本养老保险缴费支出（项）</w:t>
      </w:r>
      <w:r>
        <w:rPr>
          <w:rStyle w:val="12"/>
          <w:rFonts w:ascii="仿宋" w:hAnsi="仿宋" w:eastAsia="仿宋"/>
          <w:b w:val="0"/>
          <w:color w:val="000000"/>
          <w:szCs w:val="32"/>
        </w:rPr>
        <w:t xml:space="preserve">: </w:t>
      </w:r>
      <w:r>
        <w:rPr>
          <w:rStyle w:val="12"/>
          <w:rFonts w:hint="eastAsia" w:ascii="仿宋" w:hAnsi="仿宋" w:eastAsia="仿宋"/>
          <w:b w:val="0"/>
          <w:color w:val="000000"/>
          <w:szCs w:val="32"/>
        </w:rPr>
        <w:t>支出决算为3.04万元，完成预算100</w:t>
      </w:r>
      <w:r>
        <w:rPr>
          <w:rStyle w:val="12"/>
          <w:rFonts w:ascii="仿宋" w:hAnsi="仿宋" w:eastAsia="仿宋"/>
          <w:b w:val="0"/>
          <w:color w:val="000000"/>
          <w:szCs w:val="32"/>
        </w:rPr>
        <w:t>%</w:t>
      </w:r>
      <w:r>
        <w:rPr>
          <w:rStyle w:val="12"/>
          <w:rFonts w:hint="eastAsia" w:ascii="仿宋" w:hAnsi="仿宋" w:eastAsia="仿宋"/>
          <w:b w:val="0"/>
          <w:color w:val="000000"/>
          <w:szCs w:val="32"/>
        </w:rPr>
        <w:t>。</w:t>
      </w:r>
    </w:p>
    <w:p>
      <w:pPr>
        <w:spacing w:line="600" w:lineRule="exact"/>
        <w:ind w:firstLine="640" w:firstLineChars="200"/>
        <w:rPr>
          <w:rFonts w:ascii="仿宋" w:hAnsi="仿宋" w:eastAsia="仿宋"/>
          <w:b/>
          <w:color w:val="000000"/>
          <w:szCs w:val="32"/>
        </w:rPr>
      </w:pPr>
      <w:r>
        <w:rPr>
          <w:rStyle w:val="12"/>
          <w:rFonts w:hint="eastAsia" w:ascii="仿宋" w:hAnsi="仿宋" w:eastAsia="仿宋"/>
          <w:b w:val="0"/>
          <w:color w:val="000000"/>
          <w:szCs w:val="32"/>
        </w:rPr>
        <w:t>3.</w:t>
      </w:r>
      <w:r>
        <w:rPr>
          <w:rStyle w:val="14"/>
          <w:rFonts w:hint="eastAsia" w:ascii="仿宋" w:hAnsi="仿宋" w:eastAsia="仿宋"/>
          <w:b w:val="0"/>
          <w:color w:val="000000"/>
          <w:sz w:val="32"/>
          <w:szCs w:val="32"/>
        </w:rPr>
        <w:t xml:space="preserve"> </w:t>
      </w:r>
      <w:r>
        <w:rPr>
          <w:rStyle w:val="12"/>
          <w:rFonts w:hint="eastAsia" w:ascii="仿宋" w:hAnsi="仿宋" w:eastAsia="仿宋"/>
          <w:b w:val="0"/>
          <w:color w:val="000000"/>
          <w:szCs w:val="32"/>
        </w:rPr>
        <w:t>社会保障和就业（类）其他社会保障和就业支出（款）其他社会保障和就业支出（项）</w:t>
      </w:r>
      <w:r>
        <w:rPr>
          <w:rStyle w:val="12"/>
          <w:rFonts w:ascii="仿宋" w:hAnsi="仿宋" w:eastAsia="仿宋"/>
          <w:b w:val="0"/>
          <w:color w:val="000000"/>
          <w:szCs w:val="32"/>
        </w:rPr>
        <w:t xml:space="preserve">: </w:t>
      </w:r>
      <w:r>
        <w:rPr>
          <w:rStyle w:val="12"/>
          <w:rFonts w:hint="eastAsia" w:ascii="仿宋" w:hAnsi="仿宋" w:eastAsia="仿宋"/>
          <w:b w:val="0"/>
          <w:color w:val="000000"/>
          <w:szCs w:val="32"/>
        </w:rPr>
        <w:t>支出决算为0.35万元，完成预算100</w:t>
      </w:r>
      <w:r>
        <w:rPr>
          <w:rStyle w:val="12"/>
          <w:rFonts w:ascii="仿宋" w:hAnsi="仿宋" w:eastAsia="仿宋"/>
          <w:b w:val="0"/>
          <w:color w:val="000000"/>
          <w:szCs w:val="32"/>
        </w:rPr>
        <w:t>%</w:t>
      </w:r>
      <w:r>
        <w:rPr>
          <w:rStyle w:val="12"/>
          <w:rFonts w:hint="eastAsia" w:ascii="仿宋" w:hAnsi="仿宋" w:eastAsia="仿宋"/>
          <w:b w:val="0"/>
          <w:color w:val="000000"/>
          <w:szCs w:val="32"/>
        </w:rPr>
        <w:t>。</w:t>
      </w:r>
    </w:p>
    <w:p>
      <w:pPr>
        <w:spacing w:line="600" w:lineRule="exact"/>
        <w:ind w:firstLine="640" w:firstLineChars="200"/>
        <w:rPr>
          <w:rFonts w:ascii="仿宋" w:hAnsi="仿宋" w:eastAsia="仿宋"/>
          <w:b/>
          <w:color w:val="000000"/>
          <w:szCs w:val="32"/>
        </w:rPr>
      </w:pPr>
      <w:r>
        <w:rPr>
          <w:rStyle w:val="12"/>
          <w:rFonts w:hint="eastAsia" w:ascii="仿宋" w:hAnsi="仿宋" w:eastAsia="仿宋"/>
          <w:b w:val="0"/>
          <w:color w:val="000000"/>
          <w:szCs w:val="32"/>
        </w:rPr>
        <w:t>4</w:t>
      </w:r>
      <w:r>
        <w:rPr>
          <w:rStyle w:val="12"/>
          <w:rFonts w:ascii="仿宋" w:hAnsi="仿宋" w:eastAsia="仿宋"/>
          <w:b w:val="0"/>
          <w:color w:val="000000"/>
          <w:szCs w:val="32"/>
        </w:rPr>
        <w:t>.</w:t>
      </w:r>
      <w:r>
        <w:rPr>
          <w:rStyle w:val="12"/>
          <w:rFonts w:hint="eastAsia" w:ascii="仿宋" w:hAnsi="仿宋" w:eastAsia="仿宋"/>
          <w:b w:val="0"/>
          <w:color w:val="000000"/>
          <w:szCs w:val="32"/>
        </w:rPr>
        <w:t>卫生健康支出（类）行政事业单位医疗（款）事业单位医疗（项）</w:t>
      </w:r>
      <w:r>
        <w:rPr>
          <w:rStyle w:val="12"/>
          <w:rFonts w:ascii="仿宋" w:hAnsi="仿宋" w:eastAsia="仿宋"/>
          <w:b w:val="0"/>
          <w:color w:val="000000"/>
          <w:szCs w:val="32"/>
        </w:rPr>
        <w:t xml:space="preserve">: </w:t>
      </w:r>
      <w:r>
        <w:rPr>
          <w:rStyle w:val="12"/>
          <w:rFonts w:hint="eastAsia" w:ascii="仿宋" w:hAnsi="仿宋" w:eastAsia="仿宋"/>
          <w:b w:val="0"/>
          <w:color w:val="000000"/>
          <w:szCs w:val="32"/>
        </w:rPr>
        <w:t>支出决算为1.49万元，完成预算100</w:t>
      </w:r>
      <w:r>
        <w:rPr>
          <w:rStyle w:val="12"/>
          <w:rFonts w:ascii="仿宋" w:hAnsi="仿宋" w:eastAsia="仿宋"/>
          <w:b w:val="0"/>
          <w:color w:val="000000"/>
          <w:szCs w:val="32"/>
        </w:rPr>
        <w:t>%</w:t>
      </w:r>
      <w:r>
        <w:rPr>
          <w:rStyle w:val="12"/>
          <w:rFonts w:hint="eastAsia" w:ascii="仿宋" w:hAnsi="仿宋" w:eastAsia="仿宋"/>
          <w:b w:val="0"/>
          <w:color w:val="000000"/>
          <w:szCs w:val="32"/>
        </w:rPr>
        <w:t>。</w:t>
      </w:r>
    </w:p>
    <w:p>
      <w:pPr>
        <w:spacing w:line="600" w:lineRule="exact"/>
        <w:ind w:firstLine="640" w:firstLineChars="200"/>
        <w:rPr>
          <w:rStyle w:val="12"/>
          <w:rFonts w:ascii="仿宋" w:hAnsi="仿宋" w:eastAsia="仿宋"/>
          <w:b w:val="0"/>
          <w:bCs/>
          <w:color w:val="000000"/>
          <w:szCs w:val="32"/>
        </w:rPr>
      </w:pPr>
      <w:r>
        <w:rPr>
          <w:rStyle w:val="12"/>
          <w:rFonts w:hint="eastAsia" w:ascii="仿宋" w:hAnsi="仿宋" w:eastAsia="仿宋"/>
          <w:b w:val="0"/>
          <w:color w:val="000000"/>
          <w:szCs w:val="32"/>
        </w:rPr>
        <w:t>5</w:t>
      </w:r>
      <w:r>
        <w:rPr>
          <w:rStyle w:val="12"/>
          <w:rFonts w:ascii="仿宋" w:hAnsi="仿宋" w:eastAsia="仿宋"/>
          <w:b w:val="0"/>
          <w:color w:val="000000"/>
          <w:szCs w:val="32"/>
        </w:rPr>
        <w:t>.</w:t>
      </w:r>
      <w:r>
        <w:rPr>
          <w:rFonts w:hint="eastAsia"/>
          <w:b/>
        </w:rPr>
        <w:t xml:space="preserve"> </w:t>
      </w:r>
      <w:r>
        <w:rPr>
          <w:rStyle w:val="12"/>
          <w:rFonts w:hint="eastAsia" w:ascii="仿宋" w:hAnsi="仿宋" w:eastAsia="仿宋"/>
          <w:b w:val="0"/>
          <w:color w:val="000000"/>
          <w:szCs w:val="32"/>
        </w:rPr>
        <w:t>金融支出（类）金融部门行政支出（款）事业运行（项）</w:t>
      </w:r>
      <w:r>
        <w:rPr>
          <w:rStyle w:val="12"/>
          <w:rFonts w:ascii="仿宋" w:hAnsi="仿宋" w:eastAsia="仿宋"/>
          <w:b w:val="0"/>
          <w:color w:val="000000"/>
          <w:szCs w:val="32"/>
        </w:rPr>
        <w:t xml:space="preserve">: </w:t>
      </w:r>
      <w:r>
        <w:rPr>
          <w:rStyle w:val="12"/>
          <w:rFonts w:hint="eastAsia" w:ascii="仿宋" w:hAnsi="仿宋" w:eastAsia="仿宋"/>
          <w:b w:val="0"/>
          <w:color w:val="000000"/>
          <w:szCs w:val="32"/>
        </w:rPr>
        <w:t>支出决算为29.43万元，完成预算97.64</w:t>
      </w:r>
      <w:r>
        <w:rPr>
          <w:rStyle w:val="12"/>
          <w:rFonts w:ascii="仿宋" w:hAnsi="仿宋" w:eastAsia="仿宋"/>
          <w:b w:val="0"/>
          <w:color w:val="000000"/>
          <w:szCs w:val="32"/>
        </w:rPr>
        <w:t>%</w:t>
      </w:r>
      <w:r>
        <w:rPr>
          <w:rStyle w:val="12"/>
          <w:rFonts w:hint="eastAsia" w:ascii="仿宋" w:hAnsi="仿宋" w:eastAsia="仿宋"/>
          <w:b w:val="0"/>
          <w:color w:val="000000"/>
          <w:szCs w:val="32"/>
        </w:rPr>
        <w:t>，决算数小于预算数的主要原因是节约了公用支出。</w:t>
      </w:r>
    </w:p>
    <w:p>
      <w:pPr>
        <w:spacing w:line="600" w:lineRule="exact"/>
        <w:ind w:firstLine="640" w:firstLineChars="200"/>
        <w:rPr>
          <w:rFonts w:ascii="仿宋" w:hAnsi="仿宋" w:eastAsia="仿宋"/>
          <w:b/>
          <w:color w:val="000000"/>
          <w:szCs w:val="32"/>
        </w:rPr>
      </w:pPr>
      <w:r>
        <w:rPr>
          <w:rStyle w:val="12"/>
          <w:rFonts w:hint="eastAsia" w:ascii="仿宋" w:hAnsi="仿宋" w:eastAsia="仿宋"/>
          <w:b w:val="0"/>
          <w:color w:val="000000"/>
          <w:szCs w:val="32"/>
        </w:rPr>
        <w:t>6</w:t>
      </w:r>
      <w:r>
        <w:rPr>
          <w:rStyle w:val="12"/>
          <w:rFonts w:ascii="仿宋" w:hAnsi="仿宋" w:eastAsia="仿宋"/>
          <w:b w:val="0"/>
          <w:color w:val="000000"/>
          <w:szCs w:val="32"/>
        </w:rPr>
        <w:t>.</w:t>
      </w:r>
      <w:r>
        <w:rPr>
          <w:rFonts w:hint="eastAsia"/>
          <w:b/>
        </w:rPr>
        <w:t xml:space="preserve"> </w:t>
      </w:r>
      <w:r>
        <w:rPr>
          <w:rStyle w:val="12"/>
          <w:rFonts w:hint="eastAsia" w:ascii="仿宋" w:hAnsi="仿宋" w:eastAsia="仿宋"/>
          <w:b w:val="0"/>
          <w:color w:val="000000"/>
          <w:szCs w:val="32"/>
        </w:rPr>
        <w:t>金融支出（类）其他金融支出（款）其他金融支出（项）</w:t>
      </w:r>
      <w:r>
        <w:rPr>
          <w:rStyle w:val="12"/>
          <w:rFonts w:ascii="仿宋" w:hAnsi="仿宋" w:eastAsia="仿宋"/>
          <w:b w:val="0"/>
          <w:color w:val="000000"/>
          <w:szCs w:val="32"/>
        </w:rPr>
        <w:t xml:space="preserve">: </w:t>
      </w:r>
      <w:r>
        <w:rPr>
          <w:rStyle w:val="12"/>
          <w:rFonts w:hint="eastAsia" w:ascii="仿宋" w:hAnsi="仿宋" w:eastAsia="仿宋"/>
          <w:b w:val="0"/>
          <w:color w:val="000000"/>
          <w:szCs w:val="32"/>
        </w:rPr>
        <w:t>支出决算为6万元，完成预算100</w:t>
      </w:r>
      <w:r>
        <w:rPr>
          <w:rStyle w:val="12"/>
          <w:rFonts w:ascii="仿宋" w:hAnsi="仿宋" w:eastAsia="仿宋"/>
          <w:b w:val="0"/>
          <w:color w:val="000000"/>
          <w:szCs w:val="32"/>
        </w:rPr>
        <w:t>%</w:t>
      </w:r>
      <w:r>
        <w:rPr>
          <w:rStyle w:val="12"/>
          <w:rFonts w:hint="eastAsia" w:ascii="仿宋" w:hAnsi="仿宋" w:eastAsia="仿宋"/>
          <w:b w:val="0"/>
          <w:color w:val="000000"/>
          <w:szCs w:val="32"/>
        </w:rPr>
        <w:t>。</w:t>
      </w:r>
    </w:p>
    <w:p>
      <w:pPr>
        <w:spacing w:line="600" w:lineRule="exact"/>
        <w:ind w:firstLine="640" w:firstLineChars="200"/>
        <w:rPr>
          <w:rFonts w:ascii="仿宋" w:hAnsi="仿宋" w:eastAsia="仿宋"/>
          <w:b/>
          <w:color w:val="000000"/>
          <w:szCs w:val="32"/>
        </w:rPr>
      </w:pPr>
      <w:r>
        <w:rPr>
          <w:rStyle w:val="12"/>
          <w:rFonts w:hint="eastAsia" w:ascii="仿宋" w:hAnsi="仿宋" w:eastAsia="仿宋"/>
          <w:b w:val="0"/>
          <w:color w:val="000000"/>
          <w:szCs w:val="32"/>
        </w:rPr>
        <w:t>7</w:t>
      </w:r>
      <w:r>
        <w:rPr>
          <w:rStyle w:val="12"/>
          <w:rFonts w:ascii="仿宋" w:hAnsi="仿宋" w:eastAsia="仿宋"/>
          <w:b w:val="0"/>
          <w:color w:val="000000"/>
          <w:szCs w:val="32"/>
        </w:rPr>
        <w:t>.</w:t>
      </w:r>
      <w:r>
        <w:rPr>
          <w:rFonts w:hint="eastAsia"/>
          <w:b/>
        </w:rPr>
        <w:t xml:space="preserve"> </w:t>
      </w:r>
      <w:r>
        <w:rPr>
          <w:rStyle w:val="12"/>
          <w:rFonts w:hint="eastAsia" w:ascii="仿宋" w:hAnsi="仿宋" w:eastAsia="仿宋"/>
          <w:b w:val="0"/>
          <w:color w:val="000000"/>
          <w:szCs w:val="32"/>
        </w:rPr>
        <w:t>住房保障支出（类）住房改革支出（款）住房公积金（项）</w:t>
      </w:r>
      <w:r>
        <w:rPr>
          <w:rStyle w:val="12"/>
          <w:rFonts w:ascii="仿宋" w:hAnsi="仿宋" w:eastAsia="仿宋"/>
          <w:b w:val="0"/>
          <w:color w:val="000000"/>
          <w:szCs w:val="32"/>
        </w:rPr>
        <w:t xml:space="preserve">: </w:t>
      </w:r>
      <w:r>
        <w:rPr>
          <w:rStyle w:val="12"/>
          <w:rFonts w:hint="eastAsia" w:ascii="仿宋" w:hAnsi="仿宋" w:eastAsia="仿宋"/>
          <w:b w:val="0"/>
          <w:color w:val="000000"/>
          <w:szCs w:val="32"/>
        </w:rPr>
        <w:t>支出决算为2.31万元，完成预算100</w:t>
      </w:r>
      <w:r>
        <w:rPr>
          <w:rStyle w:val="12"/>
          <w:rFonts w:ascii="仿宋" w:hAnsi="仿宋" w:eastAsia="仿宋"/>
          <w:b w:val="0"/>
          <w:color w:val="000000"/>
          <w:szCs w:val="32"/>
        </w:rPr>
        <w:t>%</w:t>
      </w:r>
      <w:r>
        <w:rPr>
          <w:rStyle w:val="12"/>
          <w:rFonts w:hint="eastAsia" w:ascii="仿宋" w:hAnsi="仿宋" w:eastAsia="仿宋"/>
          <w:b w:val="0"/>
          <w:color w:val="000000"/>
          <w:szCs w:val="32"/>
        </w:rPr>
        <w:t>。</w:t>
      </w:r>
    </w:p>
    <w:p>
      <w:pPr>
        <w:ind w:firstLine="570"/>
        <w:rPr>
          <w:rStyle w:val="15"/>
        </w:rPr>
      </w:pPr>
      <w:r>
        <w:rPr>
          <w:rFonts w:hint="eastAsia" w:ascii="黑体" w:eastAsia="黑体"/>
          <w:color w:val="000000"/>
          <w:szCs w:val="32"/>
        </w:rPr>
        <w:t>六</w:t>
      </w:r>
      <w:r>
        <w:rPr>
          <w:rFonts w:hint="eastAsia" w:ascii="黑体" w:eastAsia="黑体"/>
          <w:b/>
          <w:color w:val="000000"/>
          <w:szCs w:val="32"/>
        </w:rPr>
        <w:t>、</w:t>
      </w:r>
      <w:r>
        <w:rPr>
          <w:rFonts w:hint="eastAsia" w:ascii="黑体" w:hAnsi="黑体" w:eastAsia="黑体"/>
          <w:b/>
          <w:color w:val="000000"/>
          <w:szCs w:val="32"/>
        </w:rPr>
        <w:t>一</w:t>
      </w:r>
      <w:r>
        <w:rPr>
          <w:rStyle w:val="15"/>
          <w:rFonts w:hint="eastAsia" w:ascii="黑体" w:hAnsi="黑体" w:eastAsia="黑体"/>
          <w:b w:val="0"/>
        </w:rPr>
        <w:t>般公共预算财政拨款基本支出决算情况说明</w:t>
      </w:r>
      <w:bookmarkEnd w:id="37"/>
      <w:bookmarkEnd w:id="38"/>
      <w:bookmarkEnd w:id="39"/>
      <w:r>
        <w:rPr>
          <w:rStyle w:val="15"/>
          <w:rFonts w:ascii="黑体" w:hAnsi="黑体" w:eastAsia="黑体"/>
          <w:b w:val="0"/>
        </w:rPr>
        <w:tab/>
      </w:r>
    </w:p>
    <w:p>
      <w:pPr>
        <w:spacing w:line="600" w:lineRule="exact"/>
        <w:ind w:firstLine="645"/>
        <w:rPr>
          <w:rFonts w:ascii="仿宋" w:hAnsi="仿宋" w:eastAsia="仿宋"/>
          <w:color w:val="000000"/>
          <w:szCs w:val="32"/>
        </w:rPr>
      </w:pPr>
      <w:r>
        <w:rPr>
          <w:rFonts w:ascii="仿宋" w:hAnsi="仿宋" w:eastAsia="仿宋"/>
          <w:color w:val="000000"/>
          <w:szCs w:val="32"/>
        </w:rPr>
        <w:t>2020</w:t>
      </w:r>
      <w:r>
        <w:rPr>
          <w:rFonts w:hint="eastAsia" w:ascii="仿宋" w:hAnsi="仿宋" w:eastAsia="仿宋"/>
          <w:color w:val="000000"/>
          <w:szCs w:val="32"/>
        </w:rPr>
        <w:t>年一般公共预算财政拨款基本支出45.37万元，其中：</w:t>
      </w:r>
    </w:p>
    <w:p>
      <w:pPr>
        <w:spacing w:line="600" w:lineRule="exact"/>
        <w:ind w:firstLine="645"/>
        <w:rPr>
          <w:rFonts w:hint="eastAsia" w:ascii="仿宋" w:hAnsi="仿宋" w:eastAsia="仿宋"/>
          <w:color w:val="000000"/>
          <w:szCs w:val="32"/>
          <w:lang w:eastAsia="zh-CN"/>
        </w:rPr>
      </w:pPr>
      <w:r>
        <w:rPr>
          <w:rFonts w:hint="eastAsia" w:ascii="仿宋" w:hAnsi="仿宋" w:eastAsia="仿宋"/>
          <w:color w:val="000000"/>
          <w:szCs w:val="32"/>
        </w:rPr>
        <w:t>人员经费34.25万元，主要包括：基本工资、津贴补贴、绩效工资、机关事业单位基本养老保险缴费、职工基本医疗保险缴费、其他社会保障缴费、住房公积金、其他工资福利支出、奖励金等。</w:t>
      </w:r>
    </w:p>
    <w:p>
      <w:pPr>
        <w:spacing w:line="600" w:lineRule="exact"/>
        <w:ind w:firstLine="645"/>
        <w:rPr>
          <w:rFonts w:ascii="仿宋" w:hAnsi="仿宋" w:eastAsia="仿宋"/>
          <w:color w:val="000000"/>
          <w:szCs w:val="32"/>
        </w:rPr>
      </w:pPr>
      <w:r>
        <w:rPr>
          <w:rFonts w:hint="eastAsia" w:ascii="仿宋" w:hAnsi="仿宋" w:eastAsia="仿宋"/>
          <w:color w:val="000000"/>
          <w:szCs w:val="32"/>
        </w:rPr>
        <w:t>　　日常公用经费11.12万元，主要包括：办公费、咨询费、邮电费、差旅费、维修（护）费、公务接待费、劳务费、工会经费、其他交通费用、其他商品和服务支出等。</w:t>
      </w:r>
    </w:p>
    <w:p>
      <w:pPr>
        <w:spacing w:line="600" w:lineRule="exact"/>
        <w:ind w:firstLine="640"/>
        <w:outlineLvl w:val="1"/>
        <w:rPr>
          <w:rStyle w:val="15"/>
          <w:rFonts w:ascii="黑体" w:hAnsi="黑体" w:eastAsia="黑体"/>
          <w:b w:val="0"/>
        </w:rPr>
      </w:pPr>
      <w:bookmarkStart w:id="40" w:name="_Toc6926"/>
      <w:bookmarkStart w:id="41" w:name="_Toc15377215"/>
      <w:bookmarkStart w:id="42" w:name="_Toc15396609"/>
      <w:r>
        <w:rPr>
          <w:rFonts w:hint="eastAsia" w:ascii="黑体" w:eastAsia="黑体"/>
          <w:color w:val="000000"/>
          <w:szCs w:val="32"/>
        </w:rPr>
        <w:t>七、</w:t>
      </w:r>
      <w:r>
        <w:rPr>
          <w:rStyle w:val="15"/>
          <w:rFonts w:hint="eastAsia" w:ascii="黑体" w:hAnsi="黑体" w:eastAsia="黑体"/>
        </w:rPr>
        <w:t>“</w:t>
      </w:r>
      <w:r>
        <w:rPr>
          <w:rStyle w:val="15"/>
          <w:rFonts w:hint="eastAsia" w:ascii="黑体" w:hAnsi="黑体" w:eastAsia="黑体"/>
          <w:b w:val="0"/>
        </w:rPr>
        <w:t>三公”经费财政拨款支出决算情况说明</w:t>
      </w:r>
      <w:bookmarkEnd w:id="40"/>
      <w:bookmarkEnd w:id="41"/>
      <w:bookmarkEnd w:id="42"/>
    </w:p>
    <w:p>
      <w:pPr>
        <w:spacing w:line="600" w:lineRule="exact"/>
        <w:ind w:firstLine="640"/>
        <w:outlineLvl w:val="2"/>
        <w:rPr>
          <w:rFonts w:ascii="仿宋" w:hAnsi="仿宋" w:eastAsia="仿宋"/>
          <w:b/>
          <w:color w:val="000000"/>
          <w:szCs w:val="32"/>
        </w:rPr>
      </w:pPr>
      <w:bookmarkStart w:id="43" w:name="_Toc15377216"/>
      <w:r>
        <w:rPr>
          <w:rFonts w:hint="eastAsia" w:ascii="仿宋" w:hAnsi="仿宋" w:eastAsia="仿宋"/>
          <w:b/>
          <w:color w:val="000000"/>
          <w:szCs w:val="32"/>
        </w:rPr>
        <w:t>（一）“三公”经费财政拨款支出决算总体情况说明</w:t>
      </w:r>
      <w:bookmarkEnd w:id="43"/>
    </w:p>
    <w:p>
      <w:pPr>
        <w:spacing w:line="600" w:lineRule="exact"/>
        <w:ind w:firstLine="640"/>
        <w:rPr>
          <w:rFonts w:ascii="仿宋" w:hAnsi="仿宋" w:eastAsia="仿宋"/>
          <w:color w:val="000000"/>
          <w:szCs w:val="32"/>
        </w:rPr>
      </w:pPr>
      <w:r>
        <w:rPr>
          <w:rFonts w:ascii="仿宋" w:hAnsi="仿宋" w:eastAsia="仿宋"/>
          <w:color w:val="000000"/>
          <w:szCs w:val="32"/>
        </w:rPr>
        <w:t>2020</w:t>
      </w:r>
      <w:r>
        <w:rPr>
          <w:rFonts w:hint="eastAsia" w:ascii="仿宋" w:hAnsi="仿宋" w:eastAsia="仿宋"/>
          <w:color w:val="000000"/>
          <w:szCs w:val="32"/>
        </w:rPr>
        <w:t>年“三公”经费财政拨款支出决算为0.48万元，完成预算13.71</w:t>
      </w:r>
      <w:r>
        <w:rPr>
          <w:rFonts w:ascii="仿宋" w:hAnsi="仿宋" w:eastAsia="仿宋"/>
          <w:color w:val="000000"/>
          <w:szCs w:val="32"/>
        </w:rPr>
        <w:t>%</w:t>
      </w:r>
      <w:r>
        <w:rPr>
          <w:rFonts w:hint="eastAsia" w:ascii="仿宋" w:hAnsi="仿宋" w:eastAsia="仿宋"/>
          <w:color w:val="000000"/>
          <w:szCs w:val="32"/>
        </w:rPr>
        <w:t>，决算数小于预算数的主要原因是厉行节约，减少了公务接待费支出。</w:t>
      </w:r>
    </w:p>
    <w:p>
      <w:pPr>
        <w:spacing w:line="600" w:lineRule="exact"/>
        <w:ind w:firstLine="640"/>
        <w:outlineLvl w:val="2"/>
        <w:rPr>
          <w:rFonts w:ascii="仿宋" w:hAnsi="仿宋" w:eastAsia="仿宋"/>
          <w:b/>
          <w:color w:val="000000"/>
          <w:szCs w:val="32"/>
        </w:rPr>
      </w:pPr>
      <w:bookmarkStart w:id="44" w:name="_Toc15377217"/>
      <w:r>
        <w:rPr>
          <w:rFonts w:hint="eastAsia" w:ascii="仿宋" w:hAnsi="仿宋" w:eastAsia="仿宋"/>
          <w:b/>
          <w:color w:val="000000"/>
          <w:szCs w:val="32"/>
        </w:rPr>
        <w:t>（二）“三公”经费财政拨款支出决算具体情况说明</w:t>
      </w:r>
      <w:bookmarkEnd w:id="44"/>
    </w:p>
    <w:p>
      <w:pPr>
        <w:spacing w:line="600" w:lineRule="exact"/>
        <w:ind w:firstLine="640"/>
        <w:rPr>
          <w:rFonts w:ascii="仿宋" w:hAnsi="仿宋" w:eastAsia="仿宋"/>
          <w:color w:val="000000"/>
          <w:szCs w:val="32"/>
        </w:rPr>
      </w:pPr>
      <w:r>
        <w:rPr>
          <w:rFonts w:ascii="仿宋" w:hAnsi="仿宋" w:eastAsia="仿宋"/>
          <w:color w:val="000000"/>
          <w:szCs w:val="32"/>
        </w:rPr>
        <w:t>2020</w:t>
      </w:r>
      <w:r>
        <w:rPr>
          <w:rFonts w:hint="eastAsia" w:ascii="仿宋" w:hAnsi="仿宋" w:eastAsia="仿宋"/>
          <w:color w:val="000000"/>
          <w:szCs w:val="32"/>
        </w:rPr>
        <w:t>年“三公”经费财政拨款支出决算中，因公出国（境）费支出决算0万元，占0</w:t>
      </w:r>
      <w:r>
        <w:rPr>
          <w:rFonts w:ascii="仿宋" w:hAnsi="仿宋" w:eastAsia="仿宋"/>
          <w:color w:val="000000"/>
          <w:szCs w:val="32"/>
        </w:rPr>
        <w:t>%</w:t>
      </w:r>
      <w:r>
        <w:rPr>
          <w:rFonts w:hint="eastAsia" w:ascii="仿宋" w:hAnsi="仿宋" w:eastAsia="仿宋"/>
          <w:color w:val="000000"/>
          <w:szCs w:val="32"/>
        </w:rPr>
        <w:t>；公务用车购置及运行维护费支出决算0万元，占0</w:t>
      </w:r>
      <w:r>
        <w:rPr>
          <w:rFonts w:ascii="仿宋" w:hAnsi="仿宋" w:eastAsia="仿宋"/>
          <w:color w:val="000000"/>
          <w:szCs w:val="32"/>
        </w:rPr>
        <w:t>%</w:t>
      </w:r>
      <w:r>
        <w:rPr>
          <w:rFonts w:hint="eastAsia" w:ascii="仿宋" w:hAnsi="仿宋" w:eastAsia="仿宋"/>
          <w:color w:val="000000"/>
          <w:szCs w:val="32"/>
        </w:rPr>
        <w:t>；公务接待费支出决算0.48万元，占100</w:t>
      </w:r>
      <w:r>
        <w:rPr>
          <w:rFonts w:ascii="仿宋" w:hAnsi="仿宋" w:eastAsia="仿宋"/>
          <w:color w:val="000000"/>
          <w:szCs w:val="32"/>
        </w:rPr>
        <w:t>%</w:t>
      </w:r>
      <w:r>
        <w:rPr>
          <w:rFonts w:hint="eastAsia" w:ascii="仿宋" w:hAnsi="仿宋" w:eastAsia="仿宋"/>
          <w:color w:val="000000"/>
          <w:szCs w:val="32"/>
        </w:rPr>
        <w:t>。具体情况如下：</w:t>
      </w:r>
    </w:p>
    <w:p>
      <w:pPr>
        <w:spacing w:line="600" w:lineRule="exact"/>
        <w:jc w:val="center"/>
        <w:rPr>
          <w:rFonts w:ascii="仿宋" w:hAnsi="仿宋" w:eastAsia="仿宋"/>
          <w:color w:val="000000"/>
          <w:szCs w:val="32"/>
        </w:rPr>
      </w:pPr>
      <w:r>
        <w:rPr>
          <w:rFonts w:ascii="仿宋" w:hAnsi="仿宋" w:eastAsia="仿宋"/>
          <w:color w:val="000000"/>
          <w:szCs w:val="32"/>
        </w:rPr>
        <w:drawing>
          <wp:anchor distT="0" distB="0" distL="114300" distR="114300" simplePos="0" relativeHeight="251666432" behindDoc="0" locked="0" layoutInCell="1" allowOverlap="1">
            <wp:simplePos x="0" y="0"/>
            <wp:positionH relativeFrom="column">
              <wp:posOffset>323850</wp:posOffset>
            </wp:positionH>
            <wp:positionV relativeFrom="paragraph">
              <wp:posOffset>38100</wp:posOffset>
            </wp:positionV>
            <wp:extent cx="4783455" cy="1502410"/>
            <wp:effectExtent l="19050" t="0" r="17145" b="2540"/>
            <wp:wrapTopAndBottom/>
            <wp:docPr id="6" name="图表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r>
        <w:rPr>
          <w:rFonts w:hint="eastAsia" w:ascii="仿宋" w:hAnsi="仿宋" w:eastAsia="仿宋"/>
          <w:color w:val="000000"/>
          <w:szCs w:val="32"/>
        </w:rPr>
        <w:t>（图</w:t>
      </w:r>
      <w:r>
        <w:rPr>
          <w:rFonts w:ascii="仿宋" w:hAnsi="仿宋" w:eastAsia="仿宋"/>
          <w:color w:val="000000"/>
          <w:szCs w:val="32"/>
        </w:rPr>
        <w:t>7</w:t>
      </w:r>
      <w:r>
        <w:rPr>
          <w:rFonts w:hint="eastAsia" w:ascii="仿宋" w:hAnsi="仿宋" w:eastAsia="仿宋"/>
          <w:color w:val="000000"/>
          <w:szCs w:val="32"/>
        </w:rPr>
        <w:t>：“三公”经费财政拨款支出结构）（饼状图）</w:t>
      </w:r>
    </w:p>
    <w:p>
      <w:pPr>
        <w:spacing w:line="600" w:lineRule="exact"/>
        <w:ind w:firstLine="640"/>
        <w:rPr>
          <w:rFonts w:ascii="仿宋_GB2312"/>
          <w:b/>
          <w:color w:val="000000"/>
          <w:szCs w:val="32"/>
        </w:rPr>
      </w:pPr>
      <w:r>
        <w:rPr>
          <w:rFonts w:ascii="仿宋_GB2312"/>
          <w:b/>
          <w:color w:val="000000"/>
          <w:szCs w:val="32"/>
        </w:rPr>
        <w:t>1.</w:t>
      </w:r>
      <w:r>
        <w:rPr>
          <w:rFonts w:hint="eastAsia" w:ascii="仿宋_GB2312"/>
          <w:b/>
          <w:color w:val="000000"/>
          <w:szCs w:val="32"/>
        </w:rPr>
        <w:t>因公出国（境）经费支出</w:t>
      </w:r>
      <w:r>
        <w:rPr>
          <w:rFonts w:hint="eastAsia" w:ascii="仿宋_GB2312"/>
          <w:color w:val="000000"/>
          <w:szCs w:val="32"/>
        </w:rPr>
        <w:t>0万元，</w:t>
      </w:r>
      <w:r>
        <w:rPr>
          <w:rStyle w:val="12"/>
          <w:rFonts w:hint="eastAsia" w:ascii="仿宋" w:hAnsi="仿宋" w:eastAsia="仿宋"/>
          <w:b w:val="0"/>
          <w:bCs/>
          <w:color w:val="000000"/>
          <w:szCs w:val="32"/>
        </w:rPr>
        <w:t>完成预算0</w:t>
      </w:r>
      <w:r>
        <w:rPr>
          <w:rStyle w:val="12"/>
          <w:rFonts w:ascii="仿宋" w:hAnsi="仿宋" w:eastAsia="仿宋"/>
          <w:b w:val="0"/>
          <w:bCs/>
          <w:color w:val="000000"/>
          <w:szCs w:val="32"/>
        </w:rPr>
        <w:t>%</w:t>
      </w:r>
      <w:r>
        <w:rPr>
          <w:rStyle w:val="12"/>
          <w:rFonts w:hint="eastAsia" w:ascii="仿宋" w:hAnsi="仿宋" w:eastAsia="仿宋"/>
          <w:b w:val="0"/>
          <w:bCs/>
          <w:color w:val="000000"/>
          <w:szCs w:val="32"/>
        </w:rPr>
        <w:t>。</w:t>
      </w:r>
      <w:r>
        <w:rPr>
          <w:rFonts w:hint="eastAsia" w:ascii="仿宋_GB2312"/>
          <w:color w:val="000000"/>
          <w:szCs w:val="32"/>
        </w:rPr>
        <w:t>全年安排因公出国（境）团组0次，出国（境）0人。因公出国（境）支出决算与</w:t>
      </w:r>
      <w:r>
        <w:rPr>
          <w:rFonts w:ascii="仿宋_GB2312"/>
          <w:color w:val="000000"/>
          <w:szCs w:val="32"/>
        </w:rPr>
        <w:t>201</w:t>
      </w:r>
      <w:r>
        <w:rPr>
          <w:rFonts w:hint="eastAsia" w:ascii="仿宋_GB2312"/>
          <w:color w:val="000000"/>
          <w:szCs w:val="32"/>
        </w:rPr>
        <w:t>9年持平。</w:t>
      </w:r>
    </w:p>
    <w:p>
      <w:pPr>
        <w:spacing w:line="600" w:lineRule="exact"/>
        <w:ind w:firstLine="640"/>
        <w:rPr>
          <w:rFonts w:ascii="仿宋_GB2312"/>
          <w:color w:val="000000"/>
          <w:szCs w:val="32"/>
        </w:rPr>
      </w:pPr>
      <w:r>
        <w:rPr>
          <w:rFonts w:ascii="仿宋_GB2312"/>
          <w:b/>
          <w:color w:val="000000"/>
          <w:szCs w:val="32"/>
        </w:rPr>
        <w:t>2.</w:t>
      </w:r>
      <w:r>
        <w:rPr>
          <w:rFonts w:hint="eastAsia" w:ascii="仿宋_GB2312"/>
          <w:b/>
          <w:color w:val="000000"/>
          <w:szCs w:val="32"/>
        </w:rPr>
        <w:t>公务用车购置及运行维护费支出</w:t>
      </w:r>
      <w:r>
        <w:rPr>
          <w:rFonts w:hint="eastAsia" w:ascii="仿宋_GB2312"/>
          <w:color w:val="000000"/>
          <w:szCs w:val="32"/>
        </w:rPr>
        <w:t>0万元</w:t>
      </w:r>
      <w:r>
        <w:rPr>
          <w:rFonts w:ascii="仿宋_GB2312"/>
          <w:color w:val="000000"/>
          <w:szCs w:val="32"/>
        </w:rPr>
        <w:t>,</w:t>
      </w:r>
      <w:r>
        <w:rPr>
          <w:rStyle w:val="12"/>
          <w:rFonts w:hint="eastAsia" w:ascii="仿宋" w:hAnsi="仿宋" w:eastAsia="仿宋"/>
          <w:b w:val="0"/>
          <w:bCs/>
          <w:color w:val="000000"/>
          <w:szCs w:val="32"/>
        </w:rPr>
        <w:t>完成预算0</w:t>
      </w:r>
      <w:r>
        <w:rPr>
          <w:rStyle w:val="12"/>
          <w:rFonts w:ascii="仿宋" w:hAnsi="仿宋" w:eastAsia="仿宋"/>
          <w:b w:val="0"/>
          <w:bCs/>
          <w:color w:val="000000"/>
          <w:szCs w:val="32"/>
        </w:rPr>
        <w:t>%</w:t>
      </w:r>
      <w:r>
        <w:rPr>
          <w:rStyle w:val="12"/>
          <w:rFonts w:hint="eastAsia" w:ascii="仿宋" w:hAnsi="仿宋" w:eastAsia="仿宋"/>
          <w:b w:val="0"/>
          <w:bCs/>
          <w:szCs w:val="32"/>
        </w:rPr>
        <w:t>。</w:t>
      </w:r>
      <w:r>
        <w:rPr>
          <w:rFonts w:hint="eastAsia" w:ascii="仿宋_GB2312"/>
          <w:color w:val="000000"/>
          <w:szCs w:val="32"/>
        </w:rPr>
        <w:t>公务用车购置及运行维护费支出决算与2019年</w:t>
      </w:r>
      <w:r>
        <w:rPr>
          <w:rFonts w:hint="eastAsia" w:ascii="仿宋_GB2312"/>
          <w:szCs w:val="32"/>
        </w:rPr>
        <w:t>持平</w:t>
      </w:r>
      <w:r>
        <w:rPr>
          <w:rFonts w:hint="eastAsia" w:ascii="仿宋_GB2312"/>
          <w:color w:val="000000"/>
          <w:szCs w:val="32"/>
        </w:rPr>
        <w:t>。</w:t>
      </w:r>
    </w:p>
    <w:p>
      <w:pPr>
        <w:spacing w:line="600" w:lineRule="exact"/>
        <w:ind w:firstLine="640"/>
        <w:rPr>
          <w:rFonts w:ascii="仿宋_GB2312"/>
          <w:color w:val="000000"/>
          <w:szCs w:val="32"/>
        </w:rPr>
      </w:pPr>
      <w:r>
        <w:rPr>
          <w:rFonts w:hint="eastAsia" w:ascii="仿宋_GB2312"/>
          <w:color w:val="000000"/>
          <w:szCs w:val="32"/>
        </w:rPr>
        <w:t>其中：公务用车购置支出0万元。全年按规定更新购置公务用车0辆，金额0</w:t>
      </w:r>
      <w:r>
        <w:rPr>
          <w:rFonts w:ascii="仿宋_GB2312"/>
          <w:color w:val="000000"/>
          <w:szCs w:val="32"/>
        </w:rPr>
        <w:t>元。</w:t>
      </w:r>
      <w:r>
        <w:rPr>
          <w:rFonts w:hint="eastAsia" w:ascii="仿宋_GB2312"/>
          <w:color w:val="000000"/>
          <w:szCs w:val="32"/>
        </w:rPr>
        <w:t>截至</w:t>
      </w:r>
      <w:r>
        <w:rPr>
          <w:rFonts w:ascii="仿宋_GB2312"/>
          <w:color w:val="000000"/>
          <w:szCs w:val="32"/>
        </w:rPr>
        <w:t>201</w:t>
      </w:r>
      <w:r>
        <w:rPr>
          <w:rFonts w:hint="eastAsia" w:ascii="仿宋_GB2312"/>
          <w:color w:val="000000"/>
          <w:szCs w:val="32"/>
        </w:rPr>
        <w:t>9年</w:t>
      </w:r>
      <w:r>
        <w:rPr>
          <w:rFonts w:ascii="仿宋_GB2312"/>
          <w:color w:val="000000"/>
          <w:szCs w:val="32"/>
        </w:rPr>
        <w:t>12</w:t>
      </w:r>
      <w:r>
        <w:rPr>
          <w:rFonts w:hint="eastAsia" w:ascii="仿宋_GB2312"/>
          <w:color w:val="000000"/>
          <w:szCs w:val="32"/>
        </w:rPr>
        <w:t>月底，单位共有公务用车0辆，其中：主要领导干部用车0辆、机要通信用车0辆、应急保障用车0辆、 执法执勤用车0辆。</w:t>
      </w:r>
    </w:p>
    <w:p>
      <w:pPr>
        <w:spacing w:line="600" w:lineRule="exact"/>
        <w:ind w:firstLine="640"/>
        <w:rPr>
          <w:rFonts w:ascii="仿宋_GB2312"/>
          <w:color w:val="000000"/>
          <w:szCs w:val="32"/>
        </w:rPr>
      </w:pPr>
      <w:r>
        <w:rPr>
          <w:rFonts w:hint="eastAsia" w:ascii="仿宋_GB2312"/>
          <w:color w:val="000000"/>
          <w:szCs w:val="32"/>
        </w:rPr>
        <w:t>公务用车运行维护费支出0元。</w:t>
      </w:r>
    </w:p>
    <w:p>
      <w:pPr>
        <w:spacing w:line="600" w:lineRule="exact"/>
        <w:ind w:firstLine="640"/>
        <w:rPr>
          <w:rFonts w:ascii="仿宋_GB2312"/>
          <w:color w:val="000000"/>
          <w:szCs w:val="32"/>
        </w:rPr>
      </w:pPr>
    </w:p>
    <w:p>
      <w:pPr>
        <w:spacing w:line="600" w:lineRule="exact"/>
        <w:ind w:firstLine="640"/>
        <w:rPr>
          <w:rFonts w:ascii="仿宋" w:hAnsi="仿宋" w:eastAsia="仿宋"/>
          <w:color w:val="000000"/>
          <w:szCs w:val="32"/>
        </w:rPr>
      </w:pPr>
      <w:r>
        <w:rPr>
          <w:rFonts w:ascii="仿宋_GB2312"/>
          <w:b/>
          <w:color w:val="000000"/>
          <w:szCs w:val="32"/>
        </w:rPr>
        <w:t>3.</w:t>
      </w:r>
      <w:r>
        <w:rPr>
          <w:rFonts w:hint="eastAsia" w:ascii="仿宋_GB2312"/>
          <w:b/>
          <w:color w:val="000000"/>
          <w:szCs w:val="32"/>
        </w:rPr>
        <w:t>公务接待费支出</w:t>
      </w:r>
      <w:r>
        <w:rPr>
          <w:rFonts w:hint="eastAsia" w:ascii="仿宋_GB2312"/>
          <w:color w:val="000000"/>
          <w:szCs w:val="32"/>
        </w:rPr>
        <w:t>0.48万元，</w:t>
      </w:r>
      <w:r>
        <w:rPr>
          <w:rStyle w:val="12"/>
          <w:rFonts w:hint="eastAsia" w:ascii="仿宋" w:hAnsi="仿宋" w:eastAsia="仿宋"/>
          <w:b w:val="0"/>
          <w:bCs/>
          <w:color w:val="000000"/>
          <w:szCs w:val="32"/>
        </w:rPr>
        <w:t>完成预算13.71</w:t>
      </w:r>
      <w:r>
        <w:rPr>
          <w:rStyle w:val="12"/>
          <w:rFonts w:ascii="仿宋" w:hAnsi="仿宋" w:eastAsia="仿宋"/>
          <w:b w:val="0"/>
          <w:bCs/>
          <w:color w:val="000000"/>
          <w:szCs w:val="32"/>
        </w:rPr>
        <w:t>%</w:t>
      </w:r>
      <w:r>
        <w:rPr>
          <w:rStyle w:val="12"/>
          <w:rFonts w:hint="eastAsia" w:ascii="仿宋" w:hAnsi="仿宋" w:eastAsia="仿宋"/>
          <w:b w:val="0"/>
          <w:bCs/>
          <w:color w:val="000000"/>
          <w:szCs w:val="32"/>
        </w:rPr>
        <w:t>。</w:t>
      </w:r>
      <w:r>
        <w:rPr>
          <w:rFonts w:hint="eastAsia" w:ascii="仿宋_GB2312"/>
          <w:color w:val="000000"/>
          <w:szCs w:val="32"/>
        </w:rPr>
        <w:t>公务接待费支出决算比</w:t>
      </w:r>
      <w:r>
        <w:rPr>
          <w:rFonts w:ascii="仿宋_GB2312"/>
          <w:color w:val="000000"/>
          <w:szCs w:val="32"/>
        </w:rPr>
        <w:t>2019</w:t>
      </w:r>
      <w:r>
        <w:rPr>
          <w:rFonts w:hint="eastAsia" w:ascii="仿宋_GB2312"/>
          <w:color w:val="000000"/>
          <w:szCs w:val="32"/>
        </w:rPr>
        <w:t>年减少0.44万元，下降47.83</w:t>
      </w:r>
      <w:r>
        <w:rPr>
          <w:rFonts w:ascii="仿宋_GB2312"/>
          <w:color w:val="000000"/>
          <w:szCs w:val="32"/>
        </w:rPr>
        <w:t>%</w:t>
      </w:r>
      <w:r>
        <w:rPr>
          <w:rFonts w:hint="eastAsia" w:ascii="仿宋_GB2312"/>
          <w:color w:val="000000"/>
          <w:szCs w:val="32"/>
        </w:rPr>
        <w:t>。主要原因</w:t>
      </w:r>
      <w:r>
        <w:rPr>
          <w:rFonts w:hint="eastAsia" w:ascii="仿宋" w:hAnsi="仿宋" w:eastAsia="仿宋"/>
          <w:color w:val="000000"/>
          <w:szCs w:val="32"/>
        </w:rPr>
        <w:t>是厉行节约，减少了公务接待费支出。</w:t>
      </w:r>
    </w:p>
    <w:p>
      <w:pPr>
        <w:spacing w:line="600" w:lineRule="exact"/>
        <w:ind w:firstLine="640"/>
        <w:rPr>
          <w:rFonts w:ascii="仿宋_GB2312"/>
          <w:color w:val="000000"/>
          <w:szCs w:val="32"/>
        </w:rPr>
      </w:pPr>
      <w:r>
        <w:rPr>
          <w:rFonts w:hint="eastAsia" w:ascii="仿宋_GB2312"/>
          <w:color w:val="000000"/>
          <w:szCs w:val="32"/>
        </w:rPr>
        <w:t>其中：</w:t>
      </w:r>
      <w:r>
        <w:rPr>
          <w:rFonts w:hint="eastAsia" w:ascii="仿宋" w:hAnsi="仿宋" w:eastAsia="仿宋"/>
          <w:b/>
          <w:color w:val="000000"/>
          <w:szCs w:val="32"/>
        </w:rPr>
        <w:t>国内公务接待支出</w:t>
      </w:r>
      <w:r>
        <w:rPr>
          <w:rFonts w:hint="eastAsia" w:ascii="仿宋_GB2312"/>
          <w:color w:val="000000"/>
          <w:szCs w:val="32"/>
        </w:rPr>
        <w:t>0.48万元，主要用于接待基金管理公司项目对接用餐费。国内公务接待3批次，23人次（不包括陪同人员），共计支出0.48万元。</w:t>
      </w:r>
    </w:p>
    <w:p>
      <w:pPr>
        <w:spacing w:line="600" w:lineRule="exact"/>
        <w:ind w:firstLine="643" w:firstLineChars="200"/>
        <w:rPr>
          <w:rFonts w:ascii="仿宋_GB2312"/>
          <w:color w:val="000000"/>
          <w:szCs w:val="32"/>
        </w:rPr>
      </w:pPr>
      <w:r>
        <w:rPr>
          <w:rFonts w:hint="eastAsia" w:ascii="仿宋" w:hAnsi="仿宋" w:eastAsia="仿宋"/>
          <w:b/>
          <w:color w:val="000000"/>
          <w:szCs w:val="32"/>
        </w:rPr>
        <w:t>外事接待支出</w:t>
      </w:r>
      <w:r>
        <w:rPr>
          <w:rFonts w:hint="eastAsia" w:ascii="仿宋" w:hAnsi="仿宋" w:eastAsia="仿宋"/>
          <w:color w:val="000000"/>
          <w:szCs w:val="32"/>
        </w:rPr>
        <w:t>0</w:t>
      </w:r>
      <w:r>
        <w:rPr>
          <w:rFonts w:hint="eastAsia" w:ascii="仿宋_GB2312"/>
          <w:color w:val="000000"/>
          <w:szCs w:val="32"/>
        </w:rPr>
        <w:t>万元，外事接待0批次，0人，共计支出0万元。</w:t>
      </w:r>
      <w:bookmarkStart w:id="45" w:name="_Toc15377218"/>
      <w:bookmarkStart w:id="46" w:name="_Toc15396610"/>
    </w:p>
    <w:p>
      <w:pPr>
        <w:spacing w:line="600" w:lineRule="exact"/>
        <w:ind w:firstLine="640"/>
        <w:outlineLvl w:val="1"/>
        <w:rPr>
          <w:rStyle w:val="15"/>
          <w:rFonts w:ascii="黑体" w:hAnsi="黑体" w:eastAsia="黑体"/>
        </w:rPr>
      </w:pPr>
      <w:bookmarkStart w:id="47" w:name="_Toc9843"/>
      <w:r>
        <w:rPr>
          <w:rFonts w:hint="eastAsia" w:ascii="黑体" w:eastAsia="黑体"/>
          <w:color w:val="000000"/>
          <w:szCs w:val="32"/>
        </w:rPr>
        <w:t>八、</w:t>
      </w:r>
      <w:r>
        <w:rPr>
          <w:rStyle w:val="15"/>
          <w:rFonts w:hint="eastAsia" w:ascii="黑体" w:hAnsi="黑体" w:eastAsia="黑体"/>
          <w:b w:val="0"/>
        </w:rPr>
        <w:t>政府性基金预算支出决算情况说明</w:t>
      </w:r>
      <w:bookmarkEnd w:id="45"/>
      <w:bookmarkEnd w:id="46"/>
      <w:bookmarkEnd w:id="47"/>
    </w:p>
    <w:p>
      <w:pPr>
        <w:spacing w:line="600" w:lineRule="exact"/>
        <w:ind w:firstLine="640"/>
        <w:rPr>
          <w:rFonts w:ascii="仿宋_GB2312"/>
          <w:color w:val="000000"/>
          <w:szCs w:val="32"/>
        </w:rPr>
      </w:pPr>
      <w:r>
        <w:rPr>
          <w:rFonts w:ascii="仿宋_GB2312"/>
          <w:color w:val="000000"/>
          <w:szCs w:val="32"/>
        </w:rPr>
        <w:t>2020</w:t>
      </w:r>
      <w:r>
        <w:rPr>
          <w:rFonts w:hint="eastAsia" w:ascii="仿宋_GB2312"/>
          <w:color w:val="000000"/>
          <w:szCs w:val="32"/>
        </w:rPr>
        <w:t>年政府性基金预算拨款支出0万元。</w:t>
      </w:r>
    </w:p>
    <w:p>
      <w:pPr>
        <w:numPr>
          <w:ilvl w:val="0"/>
          <w:numId w:val="2"/>
        </w:numPr>
        <w:spacing w:line="600" w:lineRule="exact"/>
        <w:ind w:firstLine="640"/>
        <w:outlineLvl w:val="1"/>
        <w:rPr>
          <w:rStyle w:val="15"/>
          <w:rFonts w:ascii="黑体" w:hAnsi="黑体" w:eastAsia="黑体"/>
          <w:b w:val="0"/>
        </w:rPr>
      </w:pPr>
      <w:bookmarkStart w:id="48" w:name="_Toc15396611"/>
      <w:bookmarkStart w:id="49" w:name="_Toc15377219"/>
      <w:bookmarkStart w:id="50" w:name="_Toc10775"/>
      <w:r>
        <w:rPr>
          <w:rStyle w:val="15"/>
          <w:rFonts w:hint="eastAsia" w:ascii="黑体" w:hAnsi="黑体" w:eastAsia="黑体"/>
          <w:b w:val="0"/>
        </w:rPr>
        <w:t>国有资本经营预算支出决算情况说明</w:t>
      </w:r>
      <w:bookmarkEnd w:id="48"/>
      <w:bookmarkEnd w:id="49"/>
      <w:bookmarkEnd w:id="50"/>
    </w:p>
    <w:p>
      <w:pPr>
        <w:spacing w:line="600" w:lineRule="exact"/>
        <w:ind w:firstLine="640"/>
        <w:rPr>
          <w:rFonts w:ascii="仿宋_GB2312"/>
          <w:color w:val="000000"/>
          <w:szCs w:val="32"/>
        </w:rPr>
      </w:pPr>
      <w:r>
        <w:rPr>
          <w:rFonts w:ascii="仿宋_GB2312"/>
          <w:color w:val="000000"/>
          <w:szCs w:val="32"/>
        </w:rPr>
        <w:t>2020</w:t>
      </w:r>
      <w:r>
        <w:rPr>
          <w:rFonts w:hint="eastAsia" w:ascii="仿宋_GB2312"/>
          <w:color w:val="000000"/>
          <w:szCs w:val="32"/>
        </w:rPr>
        <w:t>年国有资本经营预算拨款支出0万元。</w:t>
      </w:r>
      <w:bookmarkStart w:id="51" w:name="_Toc15396612"/>
      <w:bookmarkStart w:id="52" w:name="_Toc15377221"/>
      <w:bookmarkStart w:id="53" w:name="_Toc738"/>
    </w:p>
    <w:p>
      <w:pPr>
        <w:spacing w:line="600" w:lineRule="exact"/>
        <w:ind w:firstLine="640"/>
        <w:rPr>
          <w:rStyle w:val="15"/>
          <w:rFonts w:ascii="仿宋_GB2312" w:hAnsi="Times New Roman"/>
          <w:b w:val="0"/>
          <w:bCs w:val="0"/>
          <w:color w:val="000000"/>
        </w:rPr>
      </w:pPr>
      <w:r>
        <w:rPr>
          <w:rFonts w:hint="eastAsia" w:ascii="黑体" w:hAnsi="黑体" w:eastAsia="黑体"/>
          <w:color w:val="000000"/>
          <w:szCs w:val="32"/>
        </w:rPr>
        <w:t>十</w:t>
      </w:r>
      <w:r>
        <w:rPr>
          <w:rStyle w:val="15"/>
          <w:rFonts w:hint="eastAsia" w:ascii="黑体" w:hAnsi="黑体" w:eastAsia="黑体"/>
        </w:rPr>
        <w:t>、</w:t>
      </w:r>
      <w:r>
        <w:rPr>
          <w:rStyle w:val="15"/>
          <w:rFonts w:hint="eastAsia" w:ascii="黑体" w:hAnsi="黑体" w:eastAsia="黑体"/>
          <w:b w:val="0"/>
        </w:rPr>
        <w:t>其他重要事项的情况说明</w:t>
      </w:r>
      <w:bookmarkEnd w:id="51"/>
      <w:bookmarkEnd w:id="52"/>
      <w:bookmarkEnd w:id="53"/>
    </w:p>
    <w:p>
      <w:pPr>
        <w:spacing w:line="600" w:lineRule="exact"/>
        <w:ind w:firstLine="643" w:firstLineChars="200"/>
        <w:outlineLvl w:val="2"/>
        <w:rPr>
          <w:rFonts w:ascii="仿宋" w:hAnsi="仿宋" w:eastAsia="仿宋"/>
          <w:color w:val="000000"/>
          <w:szCs w:val="32"/>
        </w:rPr>
      </w:pPr>
      <w:bookmarkStart w:id="54" w:name="_Toc15377222"/>
      <w:r>
        <w:rPr>
          <w:rFonts w:hint="eastAsia" w:ascii="仿宋" w:hAnsi="仿宋" w:eastAsia="仿宋"/>
          <w:b/>
          <w:color w:val="000000"/>
          <w:szCs w:val="32"/>
        </w:rPr>
        <w:t>（一）机关运行经费支出情况</w:t>
      </w:r>
      <w:bookmarkEnd w:id="54"/>
    </w:p>
    <w:p>
      <w:pPr>
        <w:spacing w:line="600" w:lineRule="exact"/>
        <w:ind w:firstLine="640" w:firstLineChars="200"/>
        <w:rPr>
          <w:rFonts w:ascii="仿宋_GB2312"/>
          <w:color w:val="000000"/>
          <w:szCs w:val="32"/>
        </w:rPr>
      </w:pPr>
      <w:r>
        <w:rPr>
          <w:rFonts w:hint="eastAsia" w:ascii="仿宋_GB2312"/>
          <w:color w:val="000000"/>
          <w:szCs w:val="32"/>
        </w:rPr>
        <w:t>我中心</w:t>
      </w:r>
      <w:r>
        <w:t>20</w:t>
      </w:r>
      <w:r>
        <w:rPr>
          <w:rFonts w:hint="eastAsia"/>
        </w:rPr>
        <w:t>20</w:t>
      </w:r>
      <w:r>
        <w:t>年无机关运行经费</w:t>
      </w:r>
      <w:r>
        <w:rPr>
          <w:rFonts w:hint="eastAsia" w:ascii="仿宋_GB2312"/>
          <w:color w:val="000000"/>
          <w:szCs w:val="32"/>
        </w:rPr>
        <w:t>。</w:t>
      </w:r>
    </w:p>
    <w:p>
      <w:pPr>
        <w:autoSpaceDE w:val="0"/>
        <w:autoSpaceDN w:val="0"/>
        <w:adjustRightInd w:val="0"/>
        <w:spacing w:line="600" w:lineRule="exact"/>
        <w:ind w:firstLine="643" w:firstLineChars="200"/>
        <w:jc w:val="left"/>
        <w:outlineLvl w:val="2"/>
        <w:rPr>
          <w:rFonts w:ascii="仿宋" w:hAnsi="仿宋" w:eastAsia="仿宋"/>
          <w:b/>
          <w:color w:val="000000"/>
          <w:szCs w:val="32"/>
        </w:rPr>
      </w:pPr>
      <w:bookmarkStart w:id="55" w:name="_Toc15377223"/>
      <w:r>
        <w:rPr>
          <w:rFonts w:hint="eastAsia" w:ascii="仿宋" w:hAnsi="仿宋" w:eastAsia="仿宋"/>
          <w:b/>
          <w:color w:val="000000"/>
          <w:szCs w:val="32"/>
        </w:rPr>
        <w:t>（二）政府采购支出情况</w:t>
      </w:r>
      <w:bookmarkEnd w:id="55"/>
    </w:p>
    <w:p>
      <w:pPr>
        <w:spacing w:line="600" w:lineRule="exact"/>
        <w:ind w:firstLine="640" w:firstLineChars="200"/>
        <w:rPr>
          <w:rFonts w:ascii="仿宋_GB2312"/>
          <w:color w:val="000000"/>
          <w:szCs w:val="32"/>
        </w:rPr>
      </w:pPr>
      <w:r>
        <w:rPr>
          <w:rFonts w:ascii="仿宋_GB2312"/>
          <w:color w:val="000000"/>
          <w:szCs w:val="32"/>
        </w:rPr>
        <w:t>2020</w:t>
      </w:r>
      <w:r>
        <w:rPr>
          <w:rFonts w:hint="eastAsia" w:ascii="仿宋_GB2312"/>
          <w:color w:val="000000"/>
          <w:szCs w:val="32"/>
        </w:rPr>
        <w:t>年，我中心政府采购支出总额0万元，其中：政府采购货物支出0万元、政府采购工程支出0万元、政府采购服务支出0万元。授予中小企业合同金额0万元，占政府采购支出总额的0</w:t>
      </w:r>
      <w:r>
        <w:rPr>
          <w:rFonts w:ascii="仿宋_GB2312"/>
          <w:color w:val="000000"/>
          <w:szCs w:val="32"/>
        </w:rPr>
        <w:t>%</w:t>
      </w:r>
      <w:r>
        <w:rPr>
          <w:rFonts w:hint="eastAsia" w:ascii="仿宋_GB2312"/>
          <w:color w:val="000000"/>
          <w:szCs w:val="32"/>
        </w:rPr>
        <w:t>，其中：授予小微企业合同金额0万元，占政府采购支出总额的0</w:t>
      </w:r>
      <w:r>
        <w:rPr>
          <w:rFonts w:ascii="仿宋_GB2312"/>
          <w:color w:val="000000"/>
          <w:szCs w:val="32"/>
        </w:rPr>
        <w:t>%</w:t>
      </w:r>
      <w:r>
        <w:rPr>
          <w:rFonts w:hint="eastAsia" w:ascii="仿宋_GB2312"/>
          <w:color w:val="000000"/>
          <w:szCs w:val="32"/>
        </w:rPr>
        <w:t>。</w:t>
      </w:r>
    </w:p>
    <w:p>
      <w:pPr>
        <w:autoSpaceDE w:val="0"/>
        <w:autoSpaceDN w:val="0"/>
        <w:adjustRightInd w:val="0"/>
        <w:spacing w:line="600" w:lineRule="exact"/>
        <w:ind w:firstLine="643" w:firstLineChars="200"/>
        <w:jc w:val="left"/>
        <w:outlineLvl w:val="2"/>
        <w:rPr>
          <w:rFonts w:ascii="仿宋" w:hAnsi="仿宋" w:eastAsia="仿宋"/>
          <w:b/>
          <w:color w:val="000000"/>
          <w:szCs w:val="32"/>
        </w:rPr>
      </w:pPr>
      <w:bookmarkStart w:id="56" w:name="_Toc15377224"/>
      <w:r>
        <w:rPr>
          <w:rFonts w:hint="eastAsia" w:ascii="仿宋" w:hAnsi="仿宋" w:eastAsia="仿宋"/>
          <w:b/>
          <w:color w:val="000000"/>
          <w:szCs w:val="32"/>
        </w:rPr>
        <w:t>（三）国有资产占有使用情况</w:t>
      </w:r>
      <w:bookmarkEnd w:id="56"/>
    </w:p>
    <w:p>
      <w:pPr>
        <w:autoSpaceDE w:val="0"/>
        <w:autoSpaceDN w:val="0"/>
        <w:adjustRightInd w:val="0"/>
        <w:spacing w:line="600" w:lineRule="exact"/>
        <w:ind w:firstLine="640" w:firstLineChars="200"/>
        <w:jc w:val="left"/>
        <w:rPr>
          <w:rFonts w:ascii="仿宋" w:hAnsi="仿宋" w:eastAsia="仿宋"/>
          <w:b/>
          <w:color w:val="FF0000"/>
          <w:szCs w:val="32"/>
        </w:rPr>
      </w:pPr>
      <w:r>
        <w:rPr>
          <w:rFonts w:hint="eastAsia" w:ascii="仿宋_GB2312"/>
          <w:color w:val="000000"/>
          <w:szCs w:val="32"/>
        </w:rPr>
        <w:t>截至</w:t>
      </w:r>
      <w:r>
        <w:rPr>
          <w:rFonts w:ascii="仿宋_GB2312"/>
          <w:color w:val="000000"/>
          <w:szCs w:val="32"/>
        </w:rPr>
        <w:t>2020</w:t>
      </w:r>
      <w:r>
        <w:rPr>
          <w:rFonts w:hint="eastAsia" w:ascii="仿宋_GB2312"/>
          <w:color w:val="000000"/>
          <w:szCs w:val="32"/>
        </w:rPr>
        <w:t>年</w:t>
      </w:r>
      <w:r>
        <w:rPr>
          <w:rFonts w:ascii="仿宋_GB2312"/>
          <w:color w:val="000000"/>
          <w:szCs w:val="32"/>
        </w:rPr>
        <w:t>12</w:t>
      </w:r>
      <w:r>
        <w:rPr>
          <w:rFonts w:hint="eastAsia" w:ascii="仿宋_GB2312"/>
          <w:color w:val="000000"/>
          <w:szCs w:val="32"/>
        </w:rPr>
        <w:t>月</w:t>
      </w:r>
      <w:r>
        <w:rPr>
          <w:rFonts w:ascii="仿宋_GB2312"/>
          <w:color w:val="000000"/>
          <w:szCs w:val="32"/>
        </w:rPr>
        <w:t>31</w:t>
      </w:r>
      <w:r>
        <w:rPr>
          <w:rFonts w:hint="eastAsia" w:ascii="仿宋_GB2312"/>
          <w:color w:val="000000"/>
          <w:szCs w:val="32"/>
        </w:rPr>
        <w:t>日，我中心共有车辆0辆，其中：主要领导干部用车0辆、机要通信用车0辆、应急保障用车0辆、其他用车0辆。</w:t>
      </w:r>
      <w:r>
        <w:rPr>
          <w:rFonts w:hint="eastAsia" w:ascii="仿宋_GB2312"/>
          <w:color w:val="000000" w:themeColor="text1"/>
          <w:szCs w:val="32"/>
        </w:rPr>
        <w:t>单价</w:t>
      </w:r>
      <w:r>
        <w:rPr>
          <w:rFonts w:ascii="仿宋_GB2312"/>
          <w:color w:val="000000" w:themeColor="text1"/>
          <w:szCs w:val="32"/>
        </w:rPr>
        <w:t>50</w:t>
      </w:r>
      <w:r>
        <w:rPr>
          <w:rFonts w:hint="eastAsia" w:ascii="仿宋_GB2312"/>
          <w:color w:val="000000" w:themeColor="text1"/>
          <w:szCs w:val="32"/>
        </w:rPr>
        <w:t>万元以上通用设备0台（套），单价</w:t>
      </w:r>
      <w:r>
        <w:rPr>
          <w:rFonts w:ascii="仿宋_GB2312"/>
          <w:color w:val="000000" w:themeColor="text1"/>
          <w:szCs w:val="32"/>
        </w:rPr>
        <w:t>100</w:t>
      </w:r>
      <w:r>
        <w:rPr>
          <w:rFonts w:hint="eastAsia" w:ascii="仿宋_GB2312"/>
          <w:color w:val="000000"/>
          <w:szCs w:val="32"/>
        </w:rPr>
        <w:t>万元以上专用设备0台（套）。</w:t>
      </w:r>
    </w:p>
    <w:p>
      <w:pPr>
        <w:autoSpaceDE w:val="0"/>
        <w:autoSpaceDN w:val="0"/>
        <w:adjustRightInd w:val="0"/>
        <w:spacing w:line="600" w:lineRule="exact"/>
        <w:ind w:firstLine="643" w:firstLineChars="200"/>
        <w:jc w:val="left"/>
        <w:rPr>
          <w:rFonts w:ascii="仿宋" w:hAnsi="仿宋" w:eastAsia="仿宋"/>
          <w:b/>
          <w:color w:val="000000"/>
          <w:szCs w:val="32"/>
        </w:rPr>
      </w:pPr>
      <w:r>
        <w:rPr>
          <w:rFonts w:hint="eastAsia" w:ascii="仿宋" w:hAnsi="仿宋" w:eastAsia="仿宋"/>
          <w:b/>
          <w:color w:val="000000"/>
          <w:szCs w:val="32"/>
        </w:rPr>
        <w:t>（四）预算绩效管理情况。</w:t>
      </w:r>
    </w:p>
    <w:p>
      <w:pPr>
        <w:spacing w:line="580" w:lineRule="exact"/>
        <w:ind w:firstLine="640" w:firstLineChars="200"/>
        <w:rPr>
          <w:rFonts w:ascii="仿宋_GB2312" w:hAnsi="仿宋_GB2312" w:cs="仿宋_GB2312"/>
          <w:szCs w:val="32"/>
        </w:rPr>
      </w:pPr>
      <w:r>
        <w:rPr>
          <w:rFonts w:hint="eastAsia" w:ascii="仿宋_GB2312" w:hAnsi="仿宋_GB2312" w:cs="仿宋_GB2312"/>
          <w:szCs w:val="32"/>
        </w:rPr>
        <w:t>根据预算绩效管理要求，本部门（单位）在年初预算编制阶段，对0个项目编制了绩效目标，预算执行过程中，选取0个项目开展绩效监控，年终执行完毕后，对0个项目开展了绩效目标完成情况自评。</w:t>
      </w:r>
    </w:p>
    <w:p>
      <w:pPr>
        <w:spacing w:line="580" w:lineRule="exact"/>
        <w:ind w:firstLine="640" w:firstLineChars="200"/>
        <w:rPr>
          <w:rFonts w:ascii="仿宋_GB2312" w:hAnsi="仿宋_GB2312" w:cs="仿宋_GB2312"/>
          <w:szCs w:val="32"/>
        </w:rPr>
      </w:pPr>
      <w:r>
        <w:rPr>
          <w:rFonts w:hint="eastAsia" w:ascii="仿宋_GB2312" w:hAnsi="仿宋_GB2312" w:cs="仿宋_GB2312"/>
          <w:szCs w:val="32"/>
        </w:rPr>
        <w:t>本部门按要求对2020年部门整体支出开展绩效自评，从评价情况来看全面完成了当年目标任务。本部门还自行组织了0个项目支出绩效评价，由于本部门无专项预算项目，因此未组织开展项目支出绩效评价。</w:t>
      </w:r>
    </w:p>
    <w:p>
      <w:pPr>
        <w:spacing w:line="580" w:lineRule="exact"/>
        <w:ind w:firstLine="640" w:firstLineChars="200"/>
        <w:rPr>
          <w:rFonts w:ascii="楷体_GB2312" w:hAnsi="楷体_GB2312" w:eastAsia="楷体_GB2312" w:cs="楷体_GB2312"/>
          <w:szCs w:val="32"/>
        </w:rPr>
      </w:pPr>
      <w:r>
        <w:rPr>
          <w:rFonts w:ascii="楷体_GB2312" w:hAnsi="楷体_GB2312" w:eastAsia="楷体_GB2312" w:cs="楷体_GB2312"/>
          <w:szCs w:val="32"/>
        </w:rPr>
        <w:t>1.</w:t>
      </w:r>
      <w:r>
        <w:rPr>
          <w:rFonts w:hint="eastAsia" w:ascii="楷体_GB2312" w:hAnsi="楷体_GB2312" w:eastAsia="楷体_GB2312" w:cs="楷体_GB2312"/>
          <w:szCs w:val="32"/>
        </w:rPr>
        <w:t>项目绩效目标完成情况。</w:t>
      </w:r>
    </w:p>
    <w:p>
      <w:pPr>
        <w:spacing w:line="580" w:lineRule="exact"/>
        <w:ind w:firstLine="640" w:firstLineChars="200"/>
        <w:rPr>
          <w:rFonts w:ascii="楷体_GB2312" w:hAnsi="楷体_GB2312" w:eastAsia="楷体_GB2312" w:cs="楷体_GB2312"/>
          <w:szCs w:val="32"/>
        </w:rPr>
      </w:pPr>
      <w:r>
        <w:rPr>
          <w:rFonts w:hint="eastAsia" w:ascii="仿宋_GB2312" w:hAnsi="仿宋_GB2312" w:cs="仿宋_GB2312"/>
          <w:szCs w:val="32"/>
        </w:rPr>
        <w:t>本部门在</w:t>
      </w:r>
      <w:r>
        <w:rPr>
          <w:rFonts w:ascii="仿宋_GB2312" w:hAnsi="仿宋_GB2312" w:cs="仿宋_GB2312"/>
          <w:szCs w:val="32"/>
        </w:rPr>
        <w:t>2020</w:t>
      </w:r>
      <w:r>
        <w:rPr>
          <w:rFonts w:hint="eastAsia" w:ascii="仿宋_GB2312" w:hAnsi="仿宋_GB2312" w:cs="仿宋_GB2312"/>
          <w:szCs w:val="32"/>
        </w:rPr>
        <w:t>年度部门决算中反映0个项目绩效目标实际完成情况。</w:t>
      </w:r>
    </w:p>
    <w:p>
      <w:pPr>
        <w:spacing w:line="580" w:lineRule="exact"/>
        <w:ind w:firstLine="640" w:firstLineChars="200"/>
        <w:rPr>
          <w:rFonts w:ascii="仿宋_GB2312" w:hAnsi="仿宋_GB2312" w:cs="仿宋_GB2312"/>
          <w:szCs w:val="32"/>
        </w:rPr>
      </w:pPr>
      <w:r>
        <w:rPr>
          <w:rFonts w:ascii="楷体_GB2312" w:hAnsi="楷体_GB2312" w:eastAsia="楷体_GB2312" w:cs="楷体_GB2312"/>
          <w:szCs w:val="32"/>
        </w:rPr>
        <w:t>2.</w:t>
      </w:r>
      <w:r>
        <w:rPr>
          <w:rFonts w:hint="eastAsia" w:ascii="楷体_GB2312" w:hAnsi="楷体_GB2312" w:eastAsia="楷体_GB2312" w:cs="楷体_GB2312"/>
          <w:szCs w:val="32"/>
        </w:rPr>
        <w:t>部门绩效评价结果。</w:t>
      </w:r>
    </w:p>
    <w:p>
      <w:pPr>
        <w:spacing w:line="580" w:lineRule="exact"/>
        <w:ind w:firstLine="640" w:firstLineChars="200"/>
        <w:rPr>
          <w:rFonts w:ascii="仿宋_GB2312" w:hAnsi="仿宋_GB2312" w:cs="仿宋_GB2312"/>
          <w:szCs w:val="32"/>
        </w:rPr>
      </w:pPr>
      <w:r>
        <w:rPr>
          <w:rFonts w:hint="eastAsia" w:ascii="仿宋_GB2312" w:hAnsi="仿宋_GB2312" w:cs="仿宋_GB2312"/>
          <w:szCs w:val="32"/>
        </w:rPr>
        <w:t>本部门按要求对</w:t>
      </w:r>
      <w:r>
        <w:rPr>
          <w:rFonts w:ascii="仿宋_GB2312" w:hAnsi="仿宋_GB2312" w:cs="仿宋_GB2312"/>
          <w:szCs w:val="32"/>
        </w:rPr>
        <w:t>2020</w:t>
      </w:r>
      <w:r>
        <w:rPr>
          <w:rFonts w:hint="eastAsia" w:ascii="仿宋_GB2312" w:hAnsi="仿宋_GB2312" w:cs="仿宋_GB2312"/>
          <w:szCs w:val="32"/>
        </w:rPr>
        <w:t>年部门整体支出绩效评价情况开展自评，从评价情况来看全面完成了当年目标任务。《自贡市自流井区投融资服务中心</w:t>
      </w:r>
      <w:r>
        <w:rPr>
          <w:rFonts w:ascii="仿宋_GB2312" w:hAnsi="仿宋_GB2312" w:cs="仿宋_GB2312"/>
          <w:szCs w:val="32"/>
        </w:rPr>
        <w:t>2020</w:t>
      </w:r>
      <w:r>
        <w:rPr>
          <w:rFonts w:hint="eastAsia" w:ascii="仿宋_GB2312" w:hAnsi="仿宋_GB2312" w:cs="仿宋_GB2312"/>
          <w:szCs w:val="32"/>
        </w:rPr>
        <w:t>年部门整体支出绩效评价报告》见附件（附件</w:t>
      </w:r>
      <w:r>
        <w:rPr>
          <w:rFonts w:ascii="仿宋_GB2312" w:hAnsi="仿宋_GB2312" w:cs="仿宋_GB2312"/>
          <w:szCs w:val="32"/>
        </w:rPr>
        <w:t>1</w:t>
      </w:r>
      <w:r>
        <w:rPr>
          <w:rFonts w:hint="eastAsia" w:ascii="仿宋_GB2312" w:hAnsi="仿宋_GB2312" w:cs="仿宋_GB2312"/>
          <w:szCs w:val="32"/>
        </w:rPr>
        <w:t>）。</w:t>
      </w:r>
    </w:p>
    <w:p>
      <w:pPr>
        <w:spacing w:line="580" w:lineRule="exact"/>
        <w:ind w:firstLine="640" w:firstLineChars="200"/>
        <w:rPr>
          <w:rFonts w:hint="eastAsia" w:ascii="仿宋_GB2312" w:hAnsi="仿宋_GB2312" w:eastAsia="仿宋_GB2312" w:cs="仿宋_GB2312"/>
          <w:szCs w:val="32"/>
          <w:lang w:eastAsia="zh-CN"/>
        </w:rPr>
      </w:pPr>
      <w:r>
        <w:rPr>
          <w:rFonts w:hint="eastAsia" w:ascii="仿宋_GB2312" w:hAnsi="仿宋_GB2312" w:cs="仿宋_GB2312"/>
          <w:szCs w:val="32"/>
        </w:rPr>
        <w:t>本部门</w:t>
      </w:r>
      <w:r>
        <w:rPr>
          <w:rFonts w:hint="eastAsia" w:ascii="仿宋_GB2312" w:hAnsi="仿宋_GB2312" w:cs="仿宋_GB2312"/>
          <w:szCs w:val="32"/>
          <w:lang w:val="en-US" w:eastAsia="zh-CN"/>
        </w:rPr>
        <w:t>2020年未开展项目，</w:t>
      </w:r>
      <w:r>
        <w:rPr>
          <w:rFonts w:hint="eastAsia" w:ascii="仿宋_GB2312" w:hAnsi="仿宋_GB2312" w:cs="仿宋_GB2312"/>
          <w:szCs w:val="32"/>
        </w:rPr>
        <w:t>未组织项目绩效评价</w:t>
      </w:r>
      <w:r>
        <w:rPr>
          <w:rFonts w:hint="eastAsia" w:ascii="仿宋_GB2312" w:hAnsi="仿宋_GB2312" w:cs="仿宋_GB2312"/>
          <w:szCs w:val="32"/>
          <w:lang w:eastAsia="zh-CN"/>
        </w:rPr>
        <w:t>。</w:t>
      </w:r>
    </w:p>
    <w:p>
      <w:pPr>
        <w:spacing w:line="580" w:lineRule="exact"/>
        <w:ind w:firstLine="643" w:firstLineChars="200"/>
        <w:rPr>
          <w:rFonts w:ascii="仿宋_GB2312"/>
          <w:b/>
          <w:color w:val="000000"/>
          <w:szCs w:val="32"/>
        </w:rPr>
      </w:pPr>
    </w:p>
    <w:p>
      <w:pPr>
        <w:numPr>
          <w:ilvl w:val="0"/>
          <w:numId w:val="3"/>
        </w:numPr>
        <w:spacing w:line="600" w:lineRule="exact"/>
        <w:ind w:firstLine="660" w:firstLineChars="150"/>
        <w:jc w:val="center"/>
        <w:outlineLvl w:val="0"/>
        <w:rPr>
          <w:rStyle w:val="14"/>
          <w:rFonts w:ascii="黑体" w:hAnsi="黑体" w:eastAsia="黑体"/>
          <w:b w:val="0"/>
        </w:rPr>
      </w:pPr>
      <w:bookmarkStart w:id="57" w:name="_Toc15396613"/>
      <w:bookmarkStart w:id="58" w:name="_Toc15377225"/>
      <w:bookmarkStart w:id="59" w:name="_Toc3536"/>
      <w:r>
        <w:rPr>
          <w:rFonts w:hint="eastAsia" w:ascii="黑体" w:hAnsi="黑体" w:eastAsia="黑体"/>
          <w:color w:val="000000"/>
          <w:sz w:val="44"/>
          <w:szCs w:val="44"/>
        </w:rPr>
        <w:t>名</w:t>
      </w:r>
      <w:r>
        <w:rPr>
          <w:rStyle w:val="14"/>
          <w:rFonts w:hint="eastAsia" w:ascii="黑体" w:hAnsi="黑体" w:eastAsia="黑体"/>
          <w:b w:val="0"/>
        </w:rPr>
        <w:t>词解释</w:t>
      </w:r>
      <w:bookmarkEnd w:id="57"/>
      <w:bookmarkEnd w:id="58"/>
      <w:bookmarkEnd w:id="59"/>
    </w:p>
    <w:p>
      <w:pPr>
        <w:spacing w:line="600" w:lineRule="exact"/>
        <w:jc w:val="left"/>
        <w:rPr>
          <w:rFonts w:ascii="宋体"/>
          <w:b/>
          <w:color w:val="000000"/>
          <w:sz w:val="44"/>
          <w:szCs w:val="44"/>
        </w:rPr>
      </w:pPr>
    </w:p>
    <w:p>
      <w:pPr>
        <w:pStyle w:val="17"/>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财政拨款收入：指单位从同级财政部门取得的财政预算资金。</w:t>
      </w:r>
    </w:p>
    <w:p>
      <w:pPr>
        <w:pStyle w:val="17"/>
        <w:spacing w:line="56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事业收入：指事业单位开展专业业务活动及辅助活动取得的收入。</w:t>
      </w:r>
    </w:p>
    <w:p>
      <w:pPr>
        <w:pStyle w:val="17"/>
        <w:spacing w:line="56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经营收入：指事业单位在专业业务活动及其辅助活动之外开展非独立核算经营活动取得的收入。</w:t>
      </w:r>
    </w:p>
    <w:p>
      <w:pPr>
        <w:pStyle w:val="17"/>
        <w:spacing w:line="56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其他收入：指单位取得的除上述收入以外的各项收入。</w:t>
      </w:r>
    </w:p>
    <w:p>
      <w:pPr>
        <w:pStyle w:val="17"/>
        <w:spacing w:line="560" w:lineRule="exact"/>
        <w:ind w:firstLine="640" w:firstLineChars="2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使用非财政拨款结余：指事业单位使用以前年度积累的非财政拨款结余弥补当年收支差额的金额。</w:t>
      </w:r>
    </w:p>
    <w:p>
      <w:pPr>
        <w:pStyle w:val="17"/>
        <w:spacing w:line="560" w:lineRule="exact"/>
        <w:ind w:firstLine="640" w:firstLineChars="200"/>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年初结转和结余：指以前年度尚未完成、结转到本年按有关规定继续使用的资金。</w:t>
      </w:r>
    </w:p>
    <w:p>
      <w:pPr>
        <w:pStyle w:val="17"/>
        <w:spacing w:line="560" w:lineRule="exact"/>
        <w:ind w:firstLine="640" w:firstLineChars="200"/>
        <w:rPr>
          <w:rFonts w:ascii="仿宋_GB2312" w:eastAsia="仿宋_GB2312"/>
          <w:sz w:val="32"/>
          <w:szCs w:val="32"/>
        </w:rPr>
      </w:pPr>
      <w:r>
        <w:rPr>
          <w:rFonts w:ascii="仿宋_GB2312" w:eastAsia="仿宋_GB2312"/>
          <w:sz w:val="32"/>
          <w:szCs w:val="32"/>
        </w:rPr>
        <w:t>7.</w:t>
      </w:r>
      <w:r>
        <w:rPr>
          <w:rFonts w:hint="eastAsia" w:ascii="仿宋_GB2312" w:eastAsia="仿宋_GB2312"/>
          <w:sz w:val="32"/>
          <w:szCs w:val="32"/>
        </w:rPr>
        <w:t>结余分配：指事业单位按照会计制度规定缴纳的所得税、提取的专用结余以及转入非财政拨款结余的金额等。</w:t>
      </w:r>
    </w:p>
    <w:p>
      <w:pPr>
        <w:pStyle w:val="17"/>
        <w:spacing w:line="560" w:lineRule="exact"/>
        <w:ind w:firstLine="640" w:firstLineChars="200"/>
        <w:rPr>
          <w:rFonts w:ascii="仿宋_GB2312" w:eastAsia="仿宋_GB2312"/>
          <w:sz w:val="32"/>
          <w:szCs w:val="32"/>
        </w:rPr>
      </w:pPr>
      <w:r>
        <w:rPr>
          <w:rFonts w:ascii="仿宋_GB2312" w:eastAsia="仿宋_GB2312"/>
          <w:sz w:val="32"/>
          <w:szCs w:val="32"/>
        </w:rPr>
        <w:t>8</w:t>
      </w:r>
      <w:r>
        <w:rPr>
          <w:rFonts w:hint="eastAsia" w:ascii="仿宋_GB2312" w:eastAsia="仿宋_GB2312"/>
          <w:sz w:val="32"/>
          <w:szCs w:val="32"/>
        </w:rPr>
        <w:t>.年末结转和结余：指单位按有关规定结转到下年或以后年度继续使用的资金。</w:t>
      </w:r>
    </w:p>
    <w:p>
      <w:pPr>
        <w:ind w:firstLine="640" w:firstLineChars="200"/>
        <w:rPr>
          <w:rFonts w:ascii="仿宋_GB2312"/>
          <w:color w:val="000000"/>
          <w:szCs w:val="32"/>
        </w:rPr>
      </w:pPr>
      <w:r>
        <w:rPr>
          <w:rFonts w:hint="eastAsia" w:ascii="仿宋_GB2312"/>
          <w:color w:val="000000"/>
          <w:szCs w:val="32"/>
        </w:rPr>
        <w:t>9</w:t>
      </w:r>
      <w:r>
        <w:rPr>
          <w:rStyle w:val="12"/>
          <w:rFonts w:hint="eastAsia" w:ascii="仿宋" w:hAnsi="仿宋" w:eastAsia="仿宋"/>
          <w:b w:val="0"/>
          <w:color w:val="000000"/>
          <w:szCs w:val="32"/>
        </w:rPr>
        <w:t>.一般公共服务支出（类）政府办公厅（室）及相关机构事务（款）其他政府办公厅（室）及相关机构事务支出（项）</w:t>
      </w:r>
      <w:r>
        <w:rPr>
          <w:rStyle w:val="12"/>
          <w:rFonts w:ascii="仿宋" w:hAnsi="仿宋" w:eastAsia="仿宋"/>
          <w:bCs/>
          <w:color w:val="000000"/>
          <w:szCs w:val="32"/>
        </w:rPr>
        <w:t>:</w:t>
      </w:r>
      <w:r>
        <w:rPr>
          <w:rStyle w:val="12"/>
          <w:rFonts w:hint="eastAsia" w:ascii="仿宋" w:hAnsi="仿宋" w:eastAsia="仿宋"/>
          <w:b w:val="0"/>
          <w:bCs/>
          <w:color w:val="000000"/>
          <w:szCs w:val="32"/>
        </w:rPr>
        <w:t>指反映除上述项目以外的其他政府办公厅（</w:t>
      </w:r>
      <w:r>
        <w:rPr>
          <w:rStyle w:val="12"/>
          <w:rFonts w:hint="eastAsia" w:ascii="仿宋" w:hAnsi="仿宋" w:eastAsia="仿宋"/>
          <w:b w:val="0"/>
          <w:color w:val="000000"/>
          <w:szCs w:val="32"/>
        </w:rPr>
        <w:t>室）及相关机构事务支出</w:t>
      </w:r>
      <w:r>
        <w:rPr>
          <w:rFonts w:hint="eastAsia" w:ascii="仿宋" w:hAnsi="仿宋" w:eastAsia="仿宋"/>
          <w:color w:val="000000"/>
          <w:szCs w:val="32"/>
        </w:rPr>
        <w:t>。</w:t>
      </w:r>
    </w:p>
    <w:p>
      <w:pPr>
        <w:ind w:firstLine="640" w:firstLineChars="200"/>
        <w:rPr>
          <w:rStyle w:val="12"/>
          <w:rFonts w:ascii="仿宋" w:hAnsi="仿宋" w:eastAsia="仿宋"/>
          <w:b w:val="0"/>
          <w:bCs/>
          <w:color w:val="000000"/>
          <w:szCs w:val="32"/>
        </w:rPr>
      </w:pPr>
      <w:r>
        <w:rPr>
          <w:rStyle w:val="12"/>
          <w:rFonts w:hint="eastAsia" w:ascii="仿宋_GB2312"/>
          <w:b w:val="0"/>
          <w:color w:val="000000"/>
          <w:szCs w:val="32"/>
        </w:rPr>
        <w:t>10.</w:t>
      </w:r>
      <w:r>
        <w:rPr>
          <w:rStyle w:val="12"/>
          <w:rFonts w:hint="eastAsia" w:ascii="仿宋" w:hAnsi="仿宋" w:eastAsia="仿宋"/>
          <w:b w:val="0"/>
          <w:color w:val="000000"/>
          <w:szCs w:val="32"/>
        </w:rPr>
        <w:t>社会保障和就业支出（类）行政事业单位养老支出（款）机关事业单位基本养老保险缴费支出（项）</w:t>
      </w:r>
      <w:r>
        <w:rPr>
          <w:rStyle w:val="12"/>
          <w:rFonts w:ascii="仿宋" w:hAnsi="仿宋" w:eastAsia="仿宋"/>
          <w:bCs/>
          <w:color w:val="000000"/>
          <w:szCs w:val="32"/>
        </w:rPr>
        <w:t>:</w:t>
      </w:r>
      <w:r>
        <w:rPr>
          <w:rStyle w:val="14"/>
          <w:rFonts w:hint="eastAsia" w:ascii="仿宋_GB2312" w:hAnsi="仿宋"/>
          <w:b w:val="0"/>
          <w:color w:val="000000"/>
          <w:sz w:val="32"/>
          <w:szCs w:val="32"/>
        </w:rPr>
        <w:t xml:space="preserve"> 指</w:t>
      </w:r>
      <w:r>
        <w:rPr>
          <w:rStyle w:val="12"/>
          <w:rFonts w:hint="eastAsia" w:ascii="仿宋_GB2312" w:hAnsi="仿宋"/>
          <w:b w:val="0"/>
          <w:color w:val="000000"/>
          <w:szCs w:val="32"/>
        </w:rPr>
        <w:t>反映机关事业单位实施养老保险制度由单位缴纳的基本养老保险费支出。</w:t>
      </w:r>
    </w:p>
    <w:p>
      <w:pPr>
        <w:ind w:firstLine="640" w:firstLineChars="200"/>
        <w:rPr>
          <w:rStyle w:val="12"/>
          <w:rFonts w:ascii="仿宋_GB2312"/>
          <w:b w:val="0"/>
          <w:color w:val="000000"/>
          <w:szCs w:val="32"/>
        </w:rPr>
      </w:pPr>
      <w:r>
        <w:rPr>
          <w:rStyle w:val="12"/>
          <w:rFonts w:hint="eastAsia" w:ascii="仿宋" w:hAnsi="仿宋" w:eastAsia="仿宋"/>
          <w:b w:val="0"/>
          <w:color w:val="000000"/>
          <w:szCs w:val="32"/>
        </w:rPr>
        <w:t>11.社会保障和就业支出（类）其他社会保障和就业支出（款）其他社会保障和就业支出（项）</w:t>
      </w:r>
      <w:r>
        <w:rPr>
          <w:rStyle w:val="12"/>
          <w:rFonts w:ascii="仿宋" w:hAnsi="仿宋" w:eastAsia="仿宋"/>
          <w:bCs/>
          <w:color w:val="000000"/>
          <w:szCs w:val="32"/>
        </w:rPr>
        <w:t>:</w:t>
      </w:r>
      <w:r>
        <w:rPr>
          <w:rStyle w:val="12"/>
          <w:rFonts w:hint="eastAsia" w:ascii="仿宋" w:hAnsi="仿宋" w:eastAsia="仿宋"/>
          <w:b w:val="0"/>
          <w:bCs/>
          <w:color w:val="000000"/>
          <w:szCs w:val="32"/>
        </w:rPr>
        <w:t>指反映除上述项目以外其他用于社会保障和就业方面的支出。</w:t>
      </w:r>
    </w:p>
    <w:p>
      <w:pPr>
        <w:ind w:firstLine="640" w:firstLineChars="200"/>
        <w:rPr>
          <w:rStyle w:val="12"/>
          <w:rFonts w:ascii="仿宋_GB2312"/>
          <w:b w:val="0"/>
          <w:color w:val="000000"/>
          <w:szCs w:val="32"/>
        </w:rPr>
      </w:pPr>
      <w:r>
        <w:rPr>
          <w:rStyle w:val="12"/>
          <w:rFonts w:hint="eastAsia" w:ascii="仿宋_GB2312"/>
          <w:b w:val="0"/>
          <w:color w:val="000000"/>
          <w:szCs w:val="32"/>
        </w:rPr>
        <w:t>12</w:t>
      </w:r>
      <w:r>
        <w:rPr>
          <w:rStyle w:val="12"/>
          <w:rFonts w:ascii="仿宋" w:hAnsi="仿宋" w:eastAsia="仿宋"/>
          <w:bCs/>
          <w:color w:val="000000"/>
          <w:szCs w:val="32"/>
        </w:rPr>
        <w:t>.</w:t>
      </w:r>
      <w:r>
        <w:rPr>
          <w:rStyle w:val="12"/>
          <w:rFonts w:hint="eastAsia" w:ascii="仿宋" w:hAnsi="仿宋" w:eastAsia="仿宋"/>
          <w:b w:val="0"/>
          <w:color w:val="000000"/>
          <w:szCs w:val="32"/>
        </w:rPr>
        <w:t>卫生健康支出（类）行政事业单位医疗（款）事业单位医疗（项）</w:t>
      </w:r>
      <w:r>
        <w:rPr>
          <w:rStyle w:val="12"/>
          <w:rFonts w:ascii="仿宋" w:hAnsi="仿宋" w:eastAsia="仿宋"/>
          <w:bCs/>
          <w:color w:val="000000"/>
          <w:szCs w:val="32"/>
        </w:rPr>
        <w:t>:</w:t>
      </w:r>
      <w:r>
        <w:rPr>
          <w:rStyle w:val="12"/>
          <w:rFonts w:hint="eastAsia" w:ascii="仿宋" w:hAnsi="仿宋" w:eastAsia="仿宋"/>
          <w:b w:val="0"/>
          <w:bCs/>
          <w:color w:val="000000"/>
          <w:szCs w:val="32"/>
        </w:rPr>
        <w:t>指</w:t>
      </w:r>
      <w:r>
        <w:rPr>
          <w:rStyle w:val="12"/>
          <w:rFonts w:hint="eastAsia" w:ascii="仿宋_GB2312" w:hAnsi="仿宋"/>
          <w:b w:val="0"/>
          <w:color w:val="000000"/>
          <w:szCs w:val="32"/>
        </w:rPr>
        <w:t>反映财政部门集中安排的事业单位基本医疗保险缴费经费，未参加医疗保险的事业单位的公费医疗经费，按国家规定享受离休人员待遇的医疗经费。</w:t>
      </w:r>
    </w:p>
    <w:p>
      <w:pPr>
        <w:spacing w:line="600" w:lineRule="exact"/>
        <w:ind w:firstLine="640" w:firstLineChars="200"/>
        <w:rPr>
          <w:rStyle w:val="12"/>
          <w:rFonts w:ascii="仿宋_GB2312" w:hAnsi="仿宋"/>
          <w:b w:val="0"/>
          <w:bCs/>
          <w:color w:val="000000"/>
          <w:szCs w:val="32"/>
        </w:rPr>
      </w:pPr>
      <w:r>
        <w:rPr>
          <w:rStyle w:val="12"/>
          <w:rFonts w:hint="eastAsia" w:ascii="仿宋_GB2312" w:hAnsi="仿宋"/>
          <w:b w:val="0"/>
          <w:color w:val="000000"/>
          <w:szCs w:val="32"/>
        </w:rPr>
        <w:t>13.金融支出（类）金融部门行政支出（款）事业运行（项）: 反映事业单位的基本支出，不包括行政单位（包括实行公务员管理的事业单位）后勤服务中心、医务室等附属事业单位。</w:t>
      </w:r>
    </w:p>
    <w:p>
      <w:pPr>
        <w:spacing w:line="600" w:lineRule="exact"/>
        <w:ind w:firstLine="640" w:firstLineChars="200"/>
        <w:rPr>
          <w:rFonts w:ascii="仿宋_GB2312" w:hAnsi="仿宋"/>
          <w:color w:val="000000"/>
          <w:szCs w:val="32"/>
        </w:rPr>
      </w:pPr>
      <w:r>
        <w:rPr>
          <w:rStyle w:val="12"/>
          <w:rFonts w:hint="eastAsia" w:ascii="仿宋_GB2312" w:hAnsi="仿宋"/>
          <w:b w:val="0"/>
          <w:color w:val="000000"/>
          <w:szCs w:val="32"/>
        </w:rPr>
        <w:t>14.</w:t>
      </w:r>
      <w:r>
        <w:rPr>
          <w:rStyle w:val="12"/>
          <w:rFonts w:hint="eastAsia" w:ascii="仿宋" w:hAnsi="仿宋" w:eastAsia="仿宋"/>
          <w:b w:val="0"/>
          <w:color w:val="000000"/>
          <w:szCs w:val="32"/>
        </w:rPr>
        <w:t xml:space="preserve"> 金融支出（类）其他金融支出（款）其他金融支出（项）：反映除上述项目以外其他用于金融方面的支出。</w:t>
      </w:r>
    </w:p>
    <w:p>
      <w:pPr>
        <w:ind w:firstLine="640" w:firstLineChars="200"/>
        <w:rPr>
          <w:rFonts w:ascii="仿宋_GB2312"/>
          <w:color w:val="000000"/>
          <w:szCs w:val="32"/>
        </w:rPr>
      </w:pPr>
      <w:r>
        <w:rPr>
          <w:rStyle w:val="12"/>
          <w:rFonts w:hint="eastAsia" w:ascii="仿宋" w:hAnsi="仿宋" w:eastAsia="仿宋"/>
          <w:b w:val="0"/>
          <w:bCs/>
          <w:color w:val="000000"/>
          <w:szCs w:val="32"/>
        </w:rPr>
        <w:t>15</w:t>
      </w:r>
      <w:r>
        <w:rPr>
          <w:rStyle w:val="12"/>
          <w:rFonts w:ascii="仿宋" w:hAnsi="仿宋" w:eastAsia="仿宋"/>
          <w:b w:val="0"/>
          <w:bCs/>
          <w:color w:val="000000"/>
          <w:szCs w:val="32"/>
        </w:rPr>
        <w:t>.</w:t>
      </w:r>
      <w:r>
        <w:rPr>
          <w:rStyle w:val="12"/>
          <w:rFonts w:hint="eastAsia" w:ascii="仿宋" w:hAnsi="仿宋" w:eastAsia="仿宋"/>
          <w:b w:val="0"/>
          <w:color w:val="000000"/>
          <w:szCs w:val="32"/>
        </w:rPr>
        <w:t>住房保障支出（类）住房改革支出（款）住房公积金（项）</w:t>
      </w:r>
      <w:r>
        <w:rPr>
          <w:rStyle w:val="12"/>
          <w:rFonts w:ascii="仿宋" w:hAnsi="仿宋" w:eastAsia="仿宋"/>
          <w:bCs/>
          <w:color w:val="000000"/>
          <w:szCs w:val="32"/>
        </w:rPr>
        <w:t>:</w:t>
      </w:r>
      <w:r>
        <w:rPr>
          <w:rStyle w:val="14"/>
          <w:rFonts w:hint="eastAsia" w:ascii="仿宋_GB2312" w:hAnsi="仿宋"/>
          <w:b w:val="0"/>
          <w:color w:val="000000"/>
          <w:sz w:val="32"/>
          <w:szCs w:val="32"/>
        </w:rPr>
        <w:t xml:space="preserve"> 指</w:t>
      </w:r>
      <w:r>
        <w:rPr>
          <w:rStyle w:val="12"/>
          <w:rFonts w:hint="eastAsia" w:ascii="仿宋_GB2312" w:hAnsi="仿宋"/>
          <w:b w:val="0"/>
          <w:color w:val="000000"/>
          <w:szCs w:val="32"/>
        </w:rPr>
        <w:t>反映行政事业单位按人力资源和社会保障部、财政部规定的基本工资和津贴补贴以及规定比例为职工缴纳的住房公积金</w:t>
      </w:r>
      <w:r>
        <w:rPr>
          <w:rStyle w:val="12"/>
          <w:rFonts w:hint="eastAsia" w:ascii="仿宋" w:hAnsi="仿宋" w:eastAsia="仿宋"/>
          <w:b w:val="0"/>
          <w:bCs/>
          <w:color w:val="000000"/>
          <w:szCs w:val="32"/>
        </w:rPr>
        <w:t>。</w:t>
      </w:r>
    </w:p>
    <w:p>
      <w:pPr>
        <w:ind w:firstLine="640" w:firstLineChars="200"/>
        <w:rPr>
          <w:rFonts w:ascii="仿宋_GB2312"/>
          <w:color w:val="000000"/>
          <w:szCs w:val="32"/>
        </w:rPr>
      </w:pPr>
      <w:r>
        <w:rPr>
          <w:rFonts w:hint="eastAsia" w:ascii="仿宋_GB2312"/>
          <w:color w:val="000000"/>
          <w:szCs w:val="32"/>
        </w:rPr>
        <w:t>16</w:t>
      </w:r>
      <w:r>
        <w:rPr>
          <w:rFonts w:ascii="仿宋_GB2312"/>
          <w:color w:val="000000"/>
          <w:szCs w:val="32"/>
        </w:rPr>
        <w:t>.</w:t>
      </w:r>
      <w:r>
        <w:rPr>
          <w:rFonts w:hint="eastAsia" w:ascii="仿宋_GB2312"/>
          <w:color w:val="000000"/>
          <w:szCs w:val="32"/>
        </w:rPr>
        <w:t>基本支出：指为保障机构正常运转、完成日常工作任务而发生的人员支出和公用支出。</w:t>
      </w:r>
    </w:p>
    <w:p>
      <w:pPr>
        <w:ind w:firstLine="640" w:firstLineChars="200"/>
        <w:rPr>
          <w:rFonts w:ascii="仿宋_GB2312"/>
          <w:color w:val="000000"/>
          <w:szCs w:val="32"/>
        </w:rPr>
      </w:pPr>
      <w:r>
        <w:rPr>
          <w:rFonts w:hint="eastAsia" w:ascii="仿宋_GB2312"/>
          <w:color w:val="000000"/>
          <w:szCs w:val="32"/>
        </w:rPr>
        <w:t>17</w:t>
      </w:r>
      <w:r>
        <w:rPr>
          <w:rFonts w:ascii="仿宋_GB2312"/>
          <w:color w:val="000000"/>
          <w:szCs w:val="32"/>
        </w:rPr>
        <w:t>.</w:t>
      </w:r>
      <w:r>
        <w:rPr>
          <w:rFonts w:hint="eastAsia" w:ascii="仿宋_GB2312"/>
          <w:color w:val="000000"/>
          <w:szCs w:val="32"/>
        </w:rPr>
        <w:t>项目支出：指在基本支出之外为完成特定行政任务和事业发展目标所发生的支出。</w:t>
      </w:r>
    </w:p>
    <w:p>
      <w:pPr>
        <w:ind w:firstLine="640" w:firstLineChars="200"/>
        <w:rPr>
          <w:rFonts w:ascii="仿宋_GB2312"/>
          <w:color w:val="000000"/>
          <w:szCs w:val="32"/>
        </w:rPr>
      </w:pPr>
      <w:r>
        <w:rPr>
          <w:rFonts w:hint="eastAsia" w:ascii="仿宋_GB2312"/>
          <w:color w:val="000000"/>
          <w:szCs w:val="32"/>
        </w:rPr>
        <w:t>18</w:t>
      </w:r>
      <w:r>
        <w:rPr>
          <w:rFonts w:ascii="仿宋_GB2312"/>
          <w:color w:val="000000"/>
          <w:szCs w:val="32"/>
        </w:rPr>
        <w:t>.</w:t>
      </w:r>
      <w:r>
        <w:rPr>
          <w:rFonts w:hint="eastAsia" w:ascii="仿宋_GB2312"/>
          <w:color w:val="000000"/>
          <w:szCs w:val="32"/>
        </w:rPr>
        <w:t>经营支出：指事业单位在专业业务活动及其辅助活动之外开展非独立核算经营活动发生的支出。</w:t>
      </w:r>
    </w:p>
    <w:p>
      <w:pPr>
        <w:pStyle w:val="17"/>
        <w:spacing w:line="560" w:lineRule="exact"/>
        <w:ind w:firstLine="640" w:firstLineChars="200"/>
        <w:rPr>
          <w:rFonts w:ascii="仿宋_GB2312" w:eastAsia="仿宋_GB2312"/>
          <w:sz w:val="32"/>
          <w:szCs w:val="32"/>
        </w:rPr>
      </w:pPr>
      <w:r>
        <w:rPr>
          <w:rFonts w:hint="eastAsia" w:ascii="仿宋_GB2312" w:eastAsia="仿宋_GB2312"/>
          <w:sz w:val="32"/>
          <w:szCs w:val="32"/>
        </w:rPr>
        <w:t>19</w:t>
      </w:r>
      <w:r>
        <w:rPr>
          <w:rFonts w:ascii="仿宋_GB2312" w:eastAsia="仿宋_GB2312"/>
          <w:sz w:val="32"/>
          <w:szCs w:val="32"/>
        </w:rPr>
        <w:t>.</w:t>
      </w:r>
      <w:r>
        <w:rPr>
          <w:rFonts w:hint="eastAsia" w:ascii="仿宋_GB2312" w:eastAsia="仿宋_GB2312"/>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17"/>
        <w:spacing w:line="560" w:lineRule="exact"/>
        <w:ind w:firstLine="640" w:firstLineChars="200"/>
        <w:rPr>
          <w:rFonts w:ascii="仿宋_GB2312" w:eastAsia="仿宋_GB2312"/>
          <w:sz w:val="32"/>
          <w:szCs w:val="32"/>
        </w:rPr>
      </w:pPr>
      <w:r>
        <w:rPr>
          <w:rFonts w:hint="eastAsia" w:ascii="仿宋_GB2312" w:eastAsia="仿宋_GB2312"/>
          <w:sz w:val="32"/>
          <w:szCs w:val="32"/>
        </w:rPr>
        <w:t>20</w:t>
      </w:r>
      <w:r>
        <w:rPr>
          <w:rFonts w:ascii="仿宋_GB2312" w:eastAsia="仿宋_GB2312"/>
          <w:sz w:val="32"/>
          <w:szCs w:val="32"/>
        </w:rPr>
        <w:t>.</w:t>
      </w: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600" w:lineRule="exact"/>
        <w:jc w:val="center"/>
        <w:outlineLvl w:val="0"/>
        <w:rPr>
          <w:rFonts w:ascii="黑体" w:hAnsi="黑体" w:eastAsia="黑体"/>
          <w:color w:val="000000"/>
          <w:sz w:val="44"/>
          <w:szCs w:val="44"/>
        </w:rPr>
      </w:pPr>
      <w:bookmarkStart w:id="60" w:name="_Toc11207"/>
      <w:bookmarkStart w:id="61" w:name="_Toc15396614"/>
      <w:bookmarkStart w:id="62" w:name="_Toc15377226"/>
    </w:p>
    <w:p>
      <w:pPr>
        <w:spacing w:line="600" w:lineRule="exact"/>
        <w:jc w:val="center"/>
        <w:outlineLvl w:val="0"/>
        <w:rPr>
          <w:rFonts w:ascii="黑体" w:hAnsi="黑体" w:eastAsia="黑体"/>
          <w:color w:val="000000"/>
          <w:sz w:val="44"/>
          <w:szCs w:val="44"/>
        </w:rPr>
      </w:pPr>
    </w:p>
    <w:p>
      <w:pPr>
        <w:spacing w:line="600" w:lineRule="exact"/>
        <w:jc w:val="center"/>
        <w:outlineLvl w:val="0"/>
        <w:rPr>
          <w:rFonts w:ascii="黑体" w:hAnsi="黑体" w:eastAsia="黑体"/>
          <w:color w:val="000000"/>
          <w:sz w:val="44"/>
          <w:szCs w:val="44"/>
        </w:rPr>
      </w:pPr>
    </w:p>
    <w:p>
      <w:pPr>
        <w:spacing w:line="600" w:lineRule="exact"/>
        <w:jc w:val="center"/>
        <w:outlineLvl w:val="0"/>
        <w:rPr>
          <w:rFonts w:ascii="黑体" w:hAnsi="黑体" w:eastAsia="黑体"/>
          <w:color w:val="000000"/>
          <w:sz w:val="44"/>
          <w:szCs w:val="44"/>
        </w:rPr>
      </w:pPr>
    </w:p>
    <w:p>
      <w:pPr>
        <w:spacing w:line="600" w:lineRule="exact"/>
        <w:jc w:val="center"/>
        <w:outlineLvl w:val="0"/>
        <w:rPr>
          <w:rFonts w:ascii="黑体" w:hAnsi="黑体" w:eastAsia="黑体"/>
          <w:color w:val="000000"/>
          <w:sz w:val="44"/>
          <w:szCs w:val="44"/>
        </w:rPr>
      </w:pPr>
    </w:p>
    <w:p>
      <w:pPr>
        <w:spacing w:line="600" w:lineRule="exact"/>
        <w:jc w:val="center"/>
        <w:outlineLvl w:val="0"/>
        <w:rPr>
          <w:rFonts w:ascii="黑体" w:hAnsi="黑体" w:eastAsia="黑体"/>
          <w:color w:val="000000"/>
          <w:sz w:val="44"/>
          <w:szCs w:val="44"/>
        </w:rPr>
      </w:pPr>
    </w:p>
    <w:p>
      <w:pPr>
        <w:spacing w:line="600" w:lineRule="exact"/>
        <w:jc w:val="center"/>
        <w:outlineLvl w:val="0"/>
        <w:rPr>
          <w:rFonts w:ascii="黑体" w:hAnsi="黑体" w:eastAsia="黑体"/>
          <w:color w:val="000000"/>
          <w:sz w:val="44"/>
          <w:szCs w:val="44"/>
        </w:rPr>
      </w:pPr>
    </w:p>
    <w:p>
      <w:pPr>
        <w:spacing w:line="600" w:lineRule="exact"/>
        <w:jc w:val="center"/>
        <w:outlineLvl w:val="0"/>
        <w:rPr>
          <w:rFonts w:ascii="黑体" w:hAnsi="黑体" w:eastAsia="黑体"/>
          <w:color w:val="000000"/>
          <w:sz w:val="44"/>
          <w:szCs w:val="44"/>
        </w:rPr>
      </w:pPr>
    </w:p>
    <w:p>
      <w:pPr>
        <w:spacing w:line="600" w:lineRule="exact"/>
        <w:jc w:val="center"/>
        <w:outlineLvl w:val="0"/>
        <w:rPr>
          <w:rStyle w:val="14"/>
          <w:rFonts w:ascii="黑体" w:hAnsi="黑体" w:eastAsia="黑体"/>
          <w:b w:val="0"/>
        </w:rPr>
      </w:pPr>
      <w:r>
        <w:rPr>
          <w:rFonts w:hint="eastAsia" w:ascii="黑体" w:hAnsi="黑体" w:eastAsia="黑体"/>
          <w:color w:val="000000"/>
          <w:sz w:val="44"/>
          <w:szCs w:val="44"/>
        </w:rPr>
        <w:t>第</w:t>
      </w:r>
      <w:r>
        <w:rPr>
          <w:rStyle w:val="14"/>
          <w:rFonts w:hint="eastAsia" w:ascii="黑体" w:hAnsi="黑体" w:eastAsia="黑体"/>
          <w:b w:val="0"/>
        </w:rPr>
        <w:t>四部分附件</w:t>
      </w:r>
      <w:bookmarkEnd w:id="60"/>
      <w:bookmarkEnd w:id="61"/>
    </w:p>
    <w:p>
      <w:pPr>
        <w:spacing w:line="600" w:lineRule="exact"/>
        <w:jc w:val="left"/>
        <w:outlineLvl w:val="1"/>
        <w:rPr>
          <w:rFonts w:ascii="方正小标宋简体" w:hAnsi="方正小标宋简体" w:eastAsia="方正小标宋简体" w:cs="方正小标宋简体"/>
          <w:szCs w:val="32"/>
        </w:rPr>
      </w:pPr>
      <w:bookmarkStart w:id="63" w:name="_Toc22930"/>
      <w:r>
        <w:rPr>
          <w:rFonts w:hint="eastAsia" w:ascii="黑体" w:hAnsi="黑体" w:eastAsia="黑体" w:cs="黑体"/>
          <w:szCs w:val="32"/>
        </w:rPr>
        <w:t>附件</w:t>
      </w:r>
      <w:r>
        <w:rPr>
          <w:rFonts w:ascii="黑体" w:hAnsi="黑体" w:eastAsia="黑体" w:cs="黑体"/>
          <w:szCs w:val="32"/>
        </w:rPr>
        <w:t>1</w:t>
      </w:r>
      <w:bookmarkEnd w:id="63"/>
    </w:p>
    <w:p>
      <w:pPr>
        <w:spacing w:line="580" w:lineRule="exact"/>
        <w:jc w:val="center"/>
        <w:rPr>
          <w:rFonts w:ascii="方正小标宋简体" w:hAnsi="方正小标宋简体" w:eastAsia="方正小标宋简体" w:cs="方正小标宋简体"/>
          <w:sz w:val="44"/>
          <w:szCs w:val="44"/>
        </w:rPr>
      </w:pPr>
    </w:p>
    <w:p>
      <w:pPr>
        <w:spacing w:line="600" w:lineRule="exact"/>
        <w:jc w:val="center"/>
        <w:rPr>
          <w:rFonts w:ascii="方正小标宋简体" w:hAnsi="宋体" w:eastAsia="方正小标宋简体"/>
          <w:color w:val="000000"/>
          <w:kern w:val="0"/>
          <w:sz w:val="40"/>
          <w:szCs w:val="44"/>
        </w:rPr>
      </w:pPr>
      <w:r>
        <w:rPr>
          <w:rFonts w:hint="eastAsia" w:ascii="方正小标宋简体" w:hAnsi="宋体" w:eastAsia="方正小标宋简体"/>
          <w:color w:val="000000"/>
          <w:kern w:val="0"/>
          <w:sz w:val="40"/>
          <w:szCs w:val="44"/>
        </w:rPr>
        <w:t>自贡市自流井区投融资服务中心</w:t>
      </w:r>
      <w:r>
        <w:rPr>
          <w:rFonts w:hint="eastAsia" w:ascii="方正小标宋简体" w:eastAsia="方正小标宋简体"/>
          <w:sz w:val="44"/>
          <w:szCs w:val="44"/>
        </w:rPr>
        <w:t>（本级）</w:t>
      </w:r>
    </w:p>
    <w:p>
      <w:pPr>
        <w:spacing w:line="600" w:lineRule="exact"/>
        <w:jc w:val="center"/>
        <w:rPr>
          <w:rFonts w:ascii="方正小标宋简体" w:hAnsi="宋体" w:eastAsia="方正小标宋简体"/>
          <w:color w:val="000000"/>
          <w:kern w:val="0"/>
          <w:sz w:val="40"/>
          <w:szCs w:val="44"/>
          <w:lang w:val="zh-CN"/>
        </w:rPr>
      </w:pPr>
      <w:r>
        <w:rPr>
          <w:rFonts w:ascii="方正小标宋简体" w:hAnsi="宋体" w:eastAsia="方正小标宋简体"/>
          <w:color w:val="000000"/>
          <w:kern w:val="0"/>
          <w:sz w:val="40"/>
          <w:szCs w:val="44"/>
        </w:rPr>
        <w:t>2020</w:t>
      </w:r>
      <w:r>
        <w:rPr>
          <w:rFonts w:hint="eastAsia" w:ascii="方正小标宋简体" w:hAnsi="宋体" w:eastAsia="方正小标宋简体"/>
          <w:color w:val="000000"/>
          <w:kern w:val="0"/>
          <w:sz w:val="40"/>
          <w:szCs w:val="44"/>
        </w:rPr>
        <w:t>年部门</w:t>
      </w:r>
      <w:r>
        <w:rPr>
          <w:rFonts w:hint="eastAsia" w:ascii="方正小标宋简体" w:hAnsi="宋体" w:eastAsia="方正小标宋简体"/>
          <w:color w:val="000000"/>
          <w:kern w:val="0"/>
          <w:sz w:val="40"/>
          <w:szCs w:val="44"/>
          <w:lang w:val="zh-CN"/>
        </w:rPr>
        <w:t>整体支出绩效评价报告</w:t>
      </w:r>
    </w:p>
    <w:p>
      <w:pPr>
        <w:widowControl/>
        <w:adjustRightInd w:val="0"/>
        <w:snapToGrid w:val="0"/>
        <w:spacing w:line="580" w:lineRule="exact"/>
        <w:ind w:firstLine="480" w:firstLineChars="200"/>
        <w:contextualSpacing/>
        <w:jc w:val="left"/>
        <w:rPr>
          <w:rFonts w:ascii="黑体" w:hAnsi="宋体" w:eastAsia="黑体" w:cs="宋体"/>
          <w:color w:val="000000"/>
          <w:kern w:val="0"/>
          <w:sz w:val="24"/>
          <w:szCs w:val="32"/>
          <w:shd w:val="clear" w:color="auto" w:fill="FFFFFF"/>
        </w:rPr>
      </w:pPr>
    </w:p>
    <w:p>
      <w:pPr>
        <w:widowControl/>
        <w:adjustRightInd w:val="0"/>
        <w:snapToGrid w:val="0"/>
        <w:spacing w:line="580" w:lineRule="exact"/>
        <w:ind w:firstLine="640" w:firstLineChars="200"/>
        <w:contextualSpacing/>
        <w:jc w:val="left"/>
        <w:rPr>
          <w:rFonts w:ascii="黑体" w:hAnsi="宋体" w:eastAsia="黑体" w:cs="宋体"/>
          <w:color w:val="000000"/>
          <w:kern w:val="0"/>
          <w:szCs w:val="32"/>
          <w:shd w:val="clear" w:color="auto" w:fill="FFFFFF"/>
          <w:lang w:val="zh-CN"/>
        </w:rPr>
      </w:pPr>
      <w:r>
        <w:rPr>
          <w:rFonts w:hint="eastAsia" w:ascii="黑体" w:hAnsi="宋体" w:eastAsia="黑体" w:cs="宋体"/>
          <w:color w:val="000000"/>
          <w:kern w:val="0"/>
          <w:szCs w:val="32"/>
          <w:shd w:val="clear" w:color="auto" w:fill="FFFFFF"/>
        </w:rPr>
        <w:t>一、</w:t>
      </w:r>
      <w:r>
        <w:rPr>
          <w:rFonts w:hint="eastAsia" w:ascii="黑体" w:hAnsi="宋体" w:eastAsia="黑体" w:cs="宋体"/>
          <w:color w:val="000000"/>
          <w:kern w:val="0"/>
          <w:szCs w:val="32"/>
          <w:shd w:val="clear" w:color="auto" w:fill="FFFFFF"/>
          <w:lang w:val="zh-CN"/>
        </w:rPr>
        <w:t>部门（单位）概况</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hAnsi="宋体" w:cs="宋体"/>
          <w:color w:val="000000"/>
          <w:kern w:val="0"/>
          <w:szCs w:val="32"/>
          <w:shd w:val="clear" w:color="auto" w:fill="FFFFFF"/>
          <w:lang w:val="zh-CN"/>
        </w:rPr>
        <w:t>（一）机构组成</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hAnsi="宋体" w:cs="宋体"/>
          <w:color w:val="000000"/>
          <w:kern w:val="0"/>
          <w:szCs w:val="32"/>
          <w:shd w:val="clear" w:color="auto" w:fill="FFFFFF"/>
          <w:lang w:val="zh-CN"/>
        </w:rPr>
        <w:t>自贡市自流井区投融资服务中心属公益一类正科级事业单位，无下属二级单位。</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hAnsi="宋体" w:cs="宋体"/>
          <w:color w:val="000000"/>
          <w:kern w:val="0"/>
          <w:szCs w:val="32"/>
          <w:shd w:val="clear" w:color="auto" w:fill="FFFFFF"/>
          <w:lang w:val="zh-CN"/>
        </w:rPr>
        <w:t>（二）机构职能</w:t>
      </w:r>
    </w:p>
    <w:p>
      <w:pPr>
        <w:spacing w:line="560" w:lineRule="exact"/>
        <w:ind w:firstLine="640" w:firstLineChars="200"/>
        <w:rPr>
          <w:rFonts w:ascii="仿宋_GB2312" w:hAnsi="仿宋"/>
          <w:szCs w:val="32"/>
        </w:rPr>
      </w:pPr>
      <w:r>
        <w:rPr>
          <w:rFonts w:hint="eastAsia" w:ascii="仿宋_GB2312" w:hAnsi="仿宋"/>
          <w:szCs w:val="32"/>
        </w:rPr>
        <w:t>承担自流井区金融公共服务职能，结合经济发展规划、产业基础、资源禀赋及科技优势等实际情况，积极探索完善保险补偿、政府与社会资本合作（以下简称PPP）、融资担保等市场化支持方式，为自流井区金融服务机构对接服务对象，为自流井区社会事业发展、产业发展提供金融服务。</w:t>
      </w:r>
    </w:p>
    <w:p>
      <w:pPr>
        <w:spacing w:line="560" w:lineRule="exact"/>
        <w:ind w:firstLine="640" w:firstLineChars="200"/>
        <w:rPr>
          <w:rFonts w:ascii="仿宋_GB2312" w:hAnsi="仿宋"/>
          <w:szCs w:val="32"/>
        </w:rPr>
      </w:pPr>
      <w:r>
        <w:rPr>
          <w:rFonts w:hint="eastAsia" w:ascii="仿宋_GB2312" w:hAnsi="仿宋"/>
          <w:szCs w:val="32"/>
        </w:rPr>
        <w:t>承担自流井区金融信息服务平台建设和运行维护工作，为政府、金融机构、投资机构与企业之间搭建交流、对接平台。</w:t>
      </w:r>
    </w:p>
    <w:p>
      <w:pPr>
        <w:spacing w:line="560" w:lineRule="exact"/>
        <w:ind w:firstLine="640" w:firstLineChars="200"/>
        <w:rPr>
          <w:rFonts w:ascii="仿宋_GB2312" w:hAnsi="仿宋"/>
          <w:szCs w:val="32"/>
        </w:rPr>
      </w:pPr>
      <w:r>
        <w:rPr>
          <w:rFonts w:hint="eastAsia" w:ascii="仿宋_GB2312" w:hAnsi="仿宋"/>
          <w:szCs w:val="32"/>
        </w:rPr>
        <w:t>承担自流井区PPP服务职能，制定PPP操作指引、合同指南，协助政府筛选适用PPP的行业、选择合适的PPP运行方式、制定规范的PPP项目流程；开展咨询培训，在PPP项目识别、评估、招标采购、合同管理等环节，为政府提供技术支持。</w:t>
      </w:r>
    </w:p>
    <w:p>
      <w:pPr>
        <w:spacing w:line="560" w:lineRule="exact"/>
        <w:ind w:firstLine="640" w:firstLineChars="200"/>
        <w:rPr>
          <w:rFonts w:ascii="仿宋_GB2312" w:hAnsi="仿宋"/>
          <w:szCs w:val="32"/>
        </w:rPr>
      </w:pPr>
      <w:r>
        <w:rPr>
          <w:rFonts w:hint="eastAsia" w:ascii="仿宋_GB2312" w:hAnsi="仿宋"/>
          <w:szCs w:val="32"/>
        </w:rPr>
        <w:t>承担自流井区政府投资基金的服务工作，为自流井区人民政府投资引导基金管理运营提供技术支持，引导金融资本、社会资本共同支持创新创业、中小企业发展、产业转型升级和基础设施及公共服务领域。为项目融资提供通过股权、贷款和担保等方式的融资方案支持，推动自流井区域经济健康持续发展。</w:t>
      </w:r>
    </w:p>
    <w:p>
      <w:pPr>
        <w:spacing w:line="560" w:lineRule="exact"/>
        <w:ind w:firstLine="640" w:firstLineChars="200"/>
        <w:rPr>
          <w:rFonts w:ascii="仿宋_GB2312" w:hAnsi="仿宋"/>
          <w:szCs w:val="32"/>
        </w:rPr>
      </w:pPr>
      <w:r>
        <w:rPr>
          <w:rFonts w:hint="eastAsia" w:ascii="仿宋_GB2312" w:hAnsi="仿宋"/>
          <w:szCs w:val="32"/>
        </w:rPr>
        <w:t>为自流井区操作金融互动提供建议，为政府融资担保体系建设、中小企业贷款风险补偿金管理、企业上市及再融资提供服务，为推动自流井区金融机构、投资机构、保险机构等开展财政金融互动业务提供服务。</w:t>
      </w:r>
    </w:p>
    <w:p>
      <w:pPr>
        <w:spacing w:line="560" w:lineRule="exact"/>
        <w:ind w:firstLine="640" w:firstLineChars="200"/>
        <w:rPr>
          <w:rFonts w:ascii="仿宋_GB2312" w:hAnsi="仿宋"/>
          <w:szCs w:val="32"/>
        </w:rPr>
      </w:pPr>
      <w:r>
        <w:rPr>
          <w:rFonts w:hint="eastAsia" w:ascii="仿宋_GB2312" w:hAnsi="仿宋"/>
          <w:szCs w:val="32"/>
        </w:rPr>
        <w:t>为自流井区扶贫开发提供金融支持服务，为建立全方位覆盖贫困群体的普惠金融体系提供服务。</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hAnsi="仿宋"/>
          <w:szCs w:val="32"/>
        </w:rPr>
        <w:t>承办自流井区人民政府交办的其他事项。</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hAnsi="宋体" w:cs="宋体"/>
          <w:color w:val="000000"/>
          <w:kern w:val="0"/>
          <w:szCs w:val="32"/>
          <w:shd w:val="clear" w:color="auto" w:fill="FFFFFF"/>
          <w:lang w:val="zh-CN"/>
        </w:rPr>
        <w:t>（三）人员概况</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hAnsi="宋体" w:cs="宋体"/>
          <w:color w:val="000000"/>
          <w:kern w:val="0"/>
          <w:szCs w:val="32"/>
          <w:shd w:val="clear" w:color="auto" w:fill="FFFFFF"/>
          <w:lang w:val="zh-CN"/>
        </w:rPr>
        <w:t>事业编制5人，其中：管理七级1名、管理八级1名、管理九级2名、中级专业技术1名。年末实有人数3人。</w:t>
      </w:r>
    </w:p>
    <w:p>
      <w:pPr>
        <w:widowControl/>
        <w:adjustRightInd w:val="0"/>
        <w:snapToGrid w:val="0"/>
        <w:spacing w:line="580" w:lineRule="exact"/>
        <w:ind w:firstLine="640" w:firstLineChars="200"/>
        <w:contextualSpacing/>
        <w:jc w:val="left"/>
        <w:rPr>
          <w:rFonts w:ascii="黑体" w:hAnsi="宋体" w:eastAsia="黑体" w:cs="宋体"/>
          <w:color w:val="000000"/>
          <w:kern w:val="0"/>
          <w:szCs w:val="32"/>
          <w:shd w:val="clear" w:color="auto" w:fill="FFFFFF"/>
        </w:rPr>
      </w:pPr>
      <w:r>
        <w:rPr>
          <w:rFonts w:hint="eastAsia" w:ascii="黑体" w:hAnsi="宋体" w:eastAsia="黑体" w:cs="宋体"/>
          <w:color w:val="000000"/>
          <w:kern w:val="0"/>
          <w:szCs w:val="32"/>
          <w:shd w:val="clear" w:color="auto" w:fill="FFFFFF"/>
        </w:rPr>
        <w:t>二、部门财政资金收支情况</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hAnsi="宋体" w:cs="宋体"/>
          <w:color w:val="000000"/>
          <w:kern w:val="0"/>
          <w:szCs w:val="32"/>
          <w:shd w:val="clear" w:color="auto" w:fill="FFFFFF"/>
          <w:lang w:val="zh-CN"/>
        </w:rPr>
        <w:t>（一）部门财政资金收入情况。</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ascii="仿宋" w:hAnsi="仿宋" w:eastAsia="仿宋"/>
          <w:color w:val="000000"/>
          <w:szCs w:val="32"/>
        </w:rPr>
        <w:t>20</w:t>
      </w:r>
      <w:r>
        <w:rPr>
          <w:rFonts w:hint="eastAsia" w:ascii="仿宋" w:hAnsi="仿宋" w:eastAsia="仿宋"/>
          <w:color w:val="000000"/>
          <w:szCs w:val="32"/>
        </w:rPr>
        <w:t>20年财政拨款收入44.76万元，其中：一般公共预算财政拨款收入44.76万元，占本年收入合计的100</w:t>
      </w:r>
      <w:r>
        <w:rPr>
          <w:rFonts w:ascii="仿宋" w:hAnsi="仿宋" w:eastAsia="仿宋"/>
          <w:color w:val="000000"/>
          <w:szCs w:val="32"/>
        </w:rPr>
        <w:t>%</w:t>
      </w:r>
      <w:r>
        <w:rPr>
          <w:rFonts w:hint="eastAsia" w:ascii="仿宋" w:hAnsi="仿宋" w:eastAsia="仿宋"/>
          <w:color w:val="000000"/>
          <w:szCs w:val="32"/>
        </w:rPr>
        <w:t>。</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hAnsi="宋体" w:cs="宋体"/>
          <w:color w:val="000000"/>
          <w:kern w:val="0"/>
          <w:szCs w:val="32"/>
          <w:shd w:val="clear" w:color="auto" w:fill="FFFFFF"/>
          <w:lang w:val="zh-CN"/>
        </w:rPr>
        <w:t>（二）部门财政资金支出情况。</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ascii="仿宋" w:hAnsi="仿宋" w:eastAsia="仿宋"/>
          <w:color w:val="000000"/>
          <w:szCs w:val="32"/>
        </w:rPr>
        <w:t>20</w:t>
      </w:r>
      <w:r>
        <w:rPr>
          <w:rFonts w:hint="eastAsia" w:ascii="仿宋" w:hAnsi="仿宋" w:eastAsia="仿宋"/>
          <w:color w:val="000000"/>
          <w:szCs w:val="32"/>
        </w:rPr>
        <w:t>20年财政拨款支出45.37万元，其中：一般公共预算财政拨款支出45.37万元，占本年支出合计的100</w:t>
      </w:r>
      <w:r>
        <w:rPr>
          <w:rFonts w:ascii="仿宋" w:hAnsi="仿宋" w:eastAsia="仿宋"/>
          <w:color w:val="000000"/>
          <w:szCs w:val="32"/>
        </w:rPr>
        <w:t>%</w:t>
      </w:r>
      <w:r>
        <w:rPr>
          <w:rFonts w:hint="eastAsia" w:ascii="仿宋" w:hAnsi="仿宋" w:eastAsia="仿宋"/>
          <w:color w:val="000000"/>
          <w:szCs w:val="32"/>
        </w:rPr>
        <w:t>。</w:t>
      </w:r>
    </w:p>
    <w:p>
      <w:pPr>
        <w:widowControl/>
        <w:adjustRightInd w:val="0"/>
        <w:snapToGrid w:val="0"/>
        <w:spacing w:line="580" w:lineRule="exact"/>
        <w:ind w:firstLine="640" w:firstLineChars="200"/>
        <w:contextualSpacing/>
        <w:jc w:val="left"/>
        <w:rPr>
          <w:rFonts w:ascii="黑体" w:hAnsi="宋体" w:eastAsia="黑体" w:cs="宋体"/>
          <w:color w:val="000000"/>
          <w:kern w:val="0"/>
          <w:szCs w:val="32"/>
          <w:shd w:val="clear" w:color="auto" w:fill="FFFFFF"/>
        </w:rPr>
      </w:pPr>
      <w:r>
        <w:rPr>
          <w:rFonts w:hint="eastAsia" w:ascii="黑体" w:hAnsi="宋体" w:eastAsia="黑体" w:cs="宋体"/>
          <w:color w:val="000000"/>
          <w:kern w:val="0"/>
          <w:szCs w:val="32"/>
          <w:shd w:val="clear" w:color="auto" w:fill="FFFFFF"/>
        </w:rPr>
        <w:t>三、部门整体预算绩效管理情况</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hAnsi="宋体" w:cs="宋体"/>
          <w:color w:val="000000"/>
          <w:kern w:val="0"/>
          <w:szCs w:val="32"/>
          <w:shd w:val="clear" w:color="auto" w:fill="FFFFFF"/>
          <w:lang w:val="zh-CN"/>
        </w:rPr>
        <w:t>（一）部门预算管理。</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hAnsi="宋体" w:cs="仿宋_GB2312"/>
          <w:szCs w:val="32"/>
        </w:rPr>
        <w:t>绩效目标是预算编制的前提和基础，按照“费随事定”的原则，我中心承担金融公共服务职能，为全区社会事业发展、产业发展提供金融服务。整体绩效目标涉及总金额46.08万元，从完成的数量、成本、时效、质量等方面进行绩效评价，无违规执行预算的情况。</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hAnsi="宋体" w:cs="宋体"/>
          <w:color w:val="000000"/>
          <w:kern w:val="0"/>
          <w:szCs w:val="32"/>
          <w:shd w:val="clear" w:color="auto" w:fill="FFFFFF"/>
          <w:lang w:val="zh-CN"/>
        </w:rPr>
        <w:t>（二）结果应用情况。</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hAnsi="宋体" w:cs="宋体"/>
          <w:color w:val="000000"/>
          <w:kern w:val="0"/>
          <w:szCs w:val="32"/>
          <w:shd w:val="clear" w:color="auto" w:fill="FFFFFF"/>
          <w:lang w:val="zh-CN"/>
        </w:rPr>
        <w:t>无</w:t>
      </w:r>
    </w:p>
    <w:p>
      <w:pPr>
        <w:widowControl/>
        <w:adjustRightInd w:val="0"/>
        <w:snapToGrid w:val="0"/>
        <w:spacing w:line="580" w:lineRule="exact"/>
        <w:ind w:firstLine="640" w:firstLineChars="200"/>
        <w:contextualSpacing/>
        <w:jc w:val="left"/>
        <w:rPr>
          <w:rFonts w:ascii="黑体" w:hAnsi="宋体" w:eastAsia="黑体" w:cs="宋体"/>
          <w:color w:val="000000"/>
          <w:kern w:val="0"/>
          <w:szCs w:val="32"/>
          <w:shd w:val="clear" w:color="auto" w:fill="FFFFFF"/>
        </w:rPr>
      </w:pPr>
      <w:r>
        <w:rPr>
          <w:rFonts w:hint="eastAsia" w:ascii="黑体" w:hAnsi="宋体" w:eastAsia="黑体" w:cs="宋体"/>
          <w:color w:val="000000"/>
          <w:kern w:val="0"/>
          <w:szCs w:val="32"/>
          <w:shd w:val="clear" w:color="auto" w:fill="FFFFFF"/>
        </w:rPr>
        <w:t>四、评价结论及建议</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hAnsi="宋体" w:cs="宋体"/>
          <w:color w:val="000000"/>
          <w:kern w:val="0"/>
          <w:szCs w:val="32"/>
          <w:shd w:val="clear" w:color="auto" w:fill="FFFFFF"/>
          <w:lang w:val="zh-CN"/>
        </w:rPr>
        <w:t>（一）评价结论。</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hAnsi="宋体" w:cs="仿宋_GB2312"/>
          <w:szCs w:val="32"/>
        </w:rPr>
        <w:t>达到了预期的社会效益、经济效益，完成预算的98.46%。</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hAnsi="宋体" w:cs="宋体"/>
          <w:color w:val="000000"/>
          <w:kern w:val="0"/>
          <w:szCs w:val="32"/>
          <w:shd w:val="clear" w:color="auto" w:fill="FFFFFF"/>
          <w:lang w:val="zh-CN"/>
        </w:rPr>
        <w:t>（二）存在问题。无</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hAnsi="宋体" w:cs="宋体"/>
          <w:color w:val="000000"/>
          <w:kern w:val="0"/>
          <w:szCs w:val="32"/>
          <w:shd w:val="clear" w:color="auto" w:fill="FFFFFF"/>
          <w:lang w:val="zh-CN"/>
        </w:rPr>
        <w:t>（三）改进建议。无</w:t>
      </w: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cs="仿宋_GB2312"/>
          <w:szCs w:val="32"/>
        </w:rPr>
      </w:pPr>
    </w:p>
    <w:p>
      <w:pPr>
        <w:adjustRightInd w:val="0"/>
        <w:snapToGrid w:val="0"/>
        <w:spacing w:line="600" w:lineRule="exact"/>
        <w:ind w:firstLine="640" w:firstLineChars="200"/>
        <w:rPr>
          <w:rFonts w:ascii="仿宋_GB2312" w:hAnsi="宋体"/>
          <w:szCs w:val="32"/>
          <w:lang w:val="zh-CN"/>
        </w:rPr>
      </w:pPr>
    </w:p>
    <w:p>
      <w:pPr>
        <w:adjustRightInd w:val="0"/>
        <w:snapToGrid w:val="0"/>
        <w:spacing w:line="600" w:lineRule="exact"/>
        <w:ind w:firstLine="640" w:firstLineChars="200"/>
        <w:rPr>
          <w:rFonts w:ascii="仿宋_GB2312" w:hAnsi="宋体"/>
          <w:szCs w:val="32"/>
          <w:lang w:val="zh-CN"/>
        </w:rPr>
      </w:pPr>
    </w:p>
    <w:p>
      <w:pPr>
        <w:adjustRightInd w:val="0"/>
        <w:snapToGrid w:val="0"/>
        <w:spacing w:line="600" w:lineRule="exact"/>
        <w:ind w:firstLine="640" w:firstLineChars="200"/>
        <w:rPr>
          <w:rFonts w:ascii="仿宋_GB2312" w:hAnsi="宋体"/>
          <w:szCs w:val="32"/>
          <w:lang w:val="zh-CN"/>
        </w:rPr>
      </w:pPr>
    </w:p>
    <w:p>
      <w:pPr>
        <w:adjustRightInd w:val="0"/>
        <w:snapToGrid w:val="0"/>
        <w:spacing w:line="600" w:lineRule="exact"/>
        <w:ind w:firstLine="640" w:firstLineChars="200"/>
        <w:rPr>
          <w:rFonts w:ascii="仿宋_GB2312" w:hAnsi="宋体"/>
          <w:szCs w:val="32"/>
          <w:lang w:val="zh-CN"/>
        </w:rPr>
      </w:pPr>
    </w:p>
    <w:p>
      <w:pPr>
        <w:adjustRightInd w:val="0"/>
        <w:snapToGrid w:val="0"/>
        <w:spacing w:line="600" w:lineRule="exact"/>
        <w:ind w:firstLine="640" w:firstLineChars="200"/>
        <w:rPr>
          <w:rFonts w:ascii="仿宋_GB2312" w:hAnsi="宋体"/>
          <w:szCs w:val="32"/>
          <w:lang w:val="zh-CN"/>
        </w:rPr>
      </w:pPr>
    </w:p>
    <w:p>
      <w:pPr>
        <w:adjustRightInd w:val="0"/>
        <w:snapToGrid w:val="0"/>
        <w:spacing w:line="600" w:lineRule="exact"/>
        <w:ind w:firstLine="640" w:firstLineChars="200"/>
        <w:rPr>
          <w:rFonts w:ascii="仿宋_GB2312" w:hAnsi="宋体"/>
          <w:szCs w:val="32"/>
          <w:lang w:val="zh-CN"/>
        </w:rPr>
      </w:pPr>
    </w:p>
    <w:p>
      <w:pPr>
        <w:spacing w:line="580" w:lineRule="exact"/>
        <w:ind w:firstLine="640"/>
        <w:rPr>
          <w:rFonts w:ascii="仿宋_GB2312" w:hAnsi="仿宋_GB2312" w:cs="仿宋_GB2312"/>
          <w:szCs w:val="32"/>
        </w:rPr>
      </w:pPr>
    </w:p>
    <w:p>
      <w:pPr>
        <w:widowControl/>
        <w:jc w:val="center"/>
        <w:rPr>
          <w:rFonts w:ascii="仿宋" w:hAnsi="仿宋" w:eastAsia="仿宋"/>
          <w:b/>
          <w:color w:val="000000"/>
          <w:sz w:val="44"/>
          <w:szCs w:val="44"/>
        </w:rPr>
      </w:pPr>
      <w:bookmarkStart w:id="64" w:name="_Toc15396618"/>
      <w:bookmarkStart w:id="65" w:name="_Toc32283"/>
      <w:r>
        <w:rPr>
          <w:rFonts w:hint="eastAsia" w:ascii="黑体" w:hAnsi="黑体" w:eastAsia="黑体"/>
          <w:color w:val="000000"/>
          <w:sz w:val="44"/>
          <w:szCs w:val="44"/>
        </w:rPr>
        <w:t>第</w:t>
      </w:r>
      <w:r>
        <w:rPr>
          <w:rStyle w:val="14"/>
          <w:rFonts w:hint="eastAsia" w:ascii="黑体" w:hAnsi="黑体" w:eastAsia="黑体"/>
          <w:b w:val="0"/>
        </w:rPr>
        <w:t>五部分附表</w:t>
      </w:r>
      <w:bookmarkEnd w:id="62"/>
      <w:bookmarkEnd w:id="64"/>
      <w:bookmarkEnd w:id="65"/>
    </w:p>
    <w:p>
      <w:pPr>
        <w:pStyle w:val="3"/>
        <w:rPr>
          <w:rFonts w:ascii="仿宋" w:hAnsi="仿宋" w:eastAsia="仿宋"/>
          <w:color w:val="000000"/>
        </w:rPr>
      </w:pPr>
      <w:bookmarkStart w:id="66" w:name="_Toc15396619"/>
      <w:bookmarkStart w:id="67" w:name="_Toc15699"/>
      <w:r>
        <w:rPr>
          <w:rFonts w:hint="eastAsia" w:ascii="仿宋" w:hAnsi="仿宋" w:eastAsia="仿宋"/>
          <w:b w:val="0"/>
          <w:color w:val="000000"/>
        </w:rPr>
        <w:t>一、收</w:t>
      </w:r>
      <w:r>
        <w:rPr>
          <w:rStyle w:val="15"/>
          <w:rFonts w:hint="eastAsia" w:ascii="仿宋" w:hAnsi="仿宋" w:eastAsia="仿宋"/>
          <w:b w:val="0"/>
          <w:bCs w:val="0"/>
        </w:rPr>
        <w:t>入支出决算总表</w:t>
      </w:r>
      <w:bookmarkEnd w:id="66"/>
      <w:bookmarkEnd w:id="67"/>
    </w:p>
    <w:p>
      <w:pPr>
        <w:pStyle w:val="3"/>
        <w:rPr>
          <w:rFonts w:ascii="仿宋" w:hAnsi="仿宋" w:eastAsia="仿宋"/>
          <w:color w:val="000000"/>
        </w:rPr>
      </w:pPr>
      <w:bookmarkStart w:id="68" w:name="_Toc15396620"/>
      <w:bookmarkStart w:id="69" w:name="_Toc27106"/>
      <w:r>
        <w:rPr>
          <w:rFonts w:hint="eastAsia" w:ascii="仿宋" w:hAnsi="仿宋" w:eastAsia="仿宋"/>
          <w:b w:val="0"/>
          <w:color w:val="000000"/>
        </w:rPr>
        <w:t>二、收</w:t>
      </w:r>
      <w:r>
        <w:rPr>
          <w:rStyle w:val="15"/>
          <w:rFonts w:hint="eastAsia" w:ascii="仿宋" w:hAnsi="仿宋" w:eastAsia="仿宋"/>
          <w:b w:val="0"/>
          <w:bCs w:val="0"/>
        </w:rPr>
        <w:t>入决算表</w:t>
      </w:r>
      <w:bookmarkEnd w:id="68"/>
      <w:bookmarkEnd w:id="69"/>
    </w:p>
    <w:p>
      <w:pPr>
        <w:pStyle w:val="3"/>
        <w:rPr>
          <w:rFonts w:ascii="仿宋" w:hAnsi="仿宋" w:eastAsia="仿宋"/>
          <w:color w:val="000000"/>
        </w:rPr>
      </w:pPr>
      <w:bookmarkStart w:id="70" w:name="_Toc26817"/>
      <w:bookmarkStart w:id="71" w:name="_Toc15396621"/>
      <w:r>
        <w:rPr>
          <w:rStyle w:val="15"/>
          <w:rFonts w:hint="eastAsia" w:ascii="仿宋" w:hAnsi="仿宋" w:eastAsia="仿宋"/>
          <w:b w:val="0"/>
          <w:bCs w:val="0"/>
        </w:rPr>
        <w:t>三、</w:t>
      </w:r>
      <w:r>
        <w:rPr>
          <w:rFonts w:hint="eastAsia" w:ascii="仿宋" w:hAnsi="仿宋" w:eastAsia="仿宋"/>
          <w:b w:val="0"/>
          <w:color w:val="000000"/>
        </w:rPr>
        <w:t>支</w:t>
      </w:r>
      <w:r>
        <w:rPr>
          <w:rStyle w:val="15"/>
          <w:rFonts w:hint="eastAsia" w:ascii="仿宋" w:hAnsi="仿宋" w:eastAsia="仿宋"/>
          <w:b w:val="0"/>
          <w:bCs w:val="0"/>
        </w:rPr>
        <w:t>出决算表</w:t>
      </w:r>
      <w:bookmarkEnd w:id="70"/>
      <w:bookmarkEnd w:id="71"/>
    </w:p>
    <w:p>
      <w:pPr>
        <w:pStyle w:val="3"/>
        <w:rPr>
          <w:rFonts w:ascii="仿宋" w:hAnsi="仿宋" w:eastAsia="仿宋"/>
          <w:b w:val="0"/>
          <w:color w:val="000000"/>
        </w:rPr>
      </w:pPr>
      <w:bookmarkStart w:id="72" w:name="_Toc15396622"/>
      <w:bookmarkStart w:id="73" w:name="_Toc21747"/>
      <w:r>
        <w:rPr>
          <w:rStyle w:val="15"/>
          <w:rFonts w:hint="eastAsia" w:ascii="仿宋" w:hAnsi="仿宋" w:eastAsia="仿宋"/>
          <w:b w:val="0"/>
          <w:bCs w:val="0"/>
        </w:rPr>
        <w:t>四、</w:t>
      </w:r>
      <w:r>
        <w:rPr>
          <w:rFonts w:hint="eastAsia" w:ascii="仿宋" w:hAnsi="仿宋" w:eastAsia="仿宋"/>
          <w:b w:val="0"/>
          <w:color w:val="000000"/>
        </w:rPr>
        <w:t>财</w:t>
      </w:r>
      <w:r>
        <w:rPr>
          <w:rStyle w:val="15"/>
          <w:rFonts w:hint="eastAsia" w:ascii="仿宋" w:hAnsi="仿宋" w:eastAsia="仿宋"/>
          <w:b w:val="0"/>
          <w:bCs w:val="0"/>
        </w:rPr>
        <w:t>政拨款收入支出决算总表</w:t>
      </w:r>
      <w:bookmarkEnd w:id="72"/>
      <w:bookmarkEnd w:id="73"/>
    </w:p>
    <w:p>
      <w:pPr>
        <w:pStyle w:val="3"/>
        <w:rPr>
          <w:rStyle w:val="15"/>
          <w:rFonts w:ascii="仿宋" w:hAnsi="仿宋" w:eastAsia="仿宋"/>
          <w:b w:val="0"/>
          <w:bCs w:val="0"/>
        </w:rPr>
      </w:pPr>
      <w:bookmarkStart w:id="74" w:name="_Toc12959"/>
      <w:bookmarkStart w:id="75" w:name="_Toc15396623"/>
      <w:r>
        <w:rPr>
          <w:rStyle w:val="15"/>
          <w:rFonts w:hint="eastAsia" w:ascii="仿宋" w:hAnsi="仿宋" w:eastAsia="仿宋"/>
          <w:b w:val="0"/>
          <w:bCs w:val="0"/>
        </w:rPr>
        <w:t>五、</w:t>
      </w:r>
      <w:r>
        <w:rPr>
          <w:rFonts w:hint="eastAsia" w:ascii="仿宋" w:hAnsi="仿宋" w:eastAsia="仿宋"/>
          <w:b w:val="0"/>
          <w:color w:val="000000"/>
        </w:rPr>
        <w:t>财</w:t>
      </w:r>
      <w:r>
        <w:rPr>
          <w:rStyle w:val="15"/>
          <w:rFonts w:hint="eastAsia" w:ascii="仿宋" w:hAnsi="仿宋" w:eastAsia="仿宋"/>
          <w:b w:val="0"/>
          <w:bCs w:val="0"/>
        </w:rPr>
        <w:t>政拨款支出决算明细表</w:t>
      </w:r>
      <w:bookmarkEnd w:id="74"/>
      <w:bookmarkEnd w:id="75"/>
      <w:bookmarkStart w:id="76" w:name="_Toc15396624"/>
    </w:p>
    <w:p>
      <w:pPr>
        <w:pStyle w:val="3"/>
        <w:rPr>
          <w:rFonts w:ascii="仿宋" w:hAnsi="仿宋" w:eastAsia="仿宋"/>
          <w:color w:val="000000"/>
        </w:rPr>
      </w:pPr>
      <w:bookmarkStart w:id="77" w:name="_Toc23749"/>
      <w:r>
        <w:rPr>
          <w:rStyle w:val="15"/>
          <w:rFonts w:hint="eastAsia" w:ascii="仿宋" w:hAnsi="仿宋" w:eastAsia="仿宋"/>
          <w:b w:val="0"/>
          <w:bCs w:val="0"/>
        </w:rPr>
        <w:t>六、</w:t>
      </w:r>
      <w:r>
        <w:rPr>
          <w:rFonts w:hint="eastAsia" w:ascii="仿宋" w:hAnsi="仿宋" w:eastAsia="仿宋"/>
          <w:b w:val="0"/>
          <w:color w:val="000000"/>
        </w:rPr>
        <w:t>一</w:t>
      </w:r>
      <w:r>
        <w:rPr>
          <w:rStyle w:val="15"/>
          <w:rFonts w:hint="eastAsia" w:ascii="仿宋" w:hAnsi="仿宋" w:eastAsia="仿宋"/>
          <w:b w:val="0"/>
          <w:bCs w:val="0"/>
        </w:rPr>
        <w:t>般公共预算财政拨款支出决算表</w:t>
      </w:r>
      <w:bookmarkEnd w:id="76"/>
      <w:bookmarkEnd w:id="77"/>
    </w:p>
    <w:p>
      <w:pPr>
        <w:pStyle w:val="3"/>
        <w:rPr>
          <w:rFonts w:ascii="仿宋" w:hAnsi="仿宋" w:eastAsia="仿宋"/>
          <w:color w:val="000000"/>
        </w:rPr>
      </w:pPr>
      <w:bookmarkStart w:id="78" w:name="_Toc15396625"/>
      <w:bookmarkStart w:id="79" w:name="_Toc22275"/>
      <w:r>
        <w:rPr>
          <w:rStyle w:val="15"/>
          <w:rFonts w:hint="eastAsia" w:ascii="仿宋" w:hAnsi="仿宋" w:eastAsia="仿宋"/>
          <w:b w:val="0"/>
          <w:bCs w:val="0"/>
        </w:rPr>
        <w:t>七、</w:t>
      </w:r>
      <w:r>
        <w:rPr>
          <w:rFonts w:hint="eastAsia" w:ascii="仿宋" w:hAnsi="仿宋" w:eastAsia="仿宋"/>
          <w:b w:val="0"/>
          <w:color w:val="000000"/>
        </w:rPr>
        <w:t>一</w:t>
      </w:r>
      <w:r>
        <w:rPr>
          <w:rStyle w:val="15"/>
          <w:rFonts w:hint="eastAsia" w:ascii="仿宋" w:hAnsi="仿宋" w:eastAsia="仿宋"/>
          <w:b w:val="0"/>
          <w:bCs w:val="0"/>
        </w:rPr>
        <w:t>般公共预算财政拨款支出决算明细表</w:t>
      </w:r>
      <w:bookmarkEnd w:id="78"/>
      <w:bookmarkEnd w:id="79"/>
    </w:p>
    <w:p>
      <w:pPr>
        <w:pStyle w:val="3"/>
        <w:rPr>
          <w:rFonts w:ascii="仿宋" w:hAnsi="仿宋" w:eastAsia="仿宋"/>
          <w:color w:val="000000"/>
        </w:rPr>
      </w:pPr>
      <w:bookmarkStart w:id="80" w:name="_Toc15396626"/>
      <w:bookmarkStart w:id="81" w:name="_Toc30634"/>
      <w:r>
        <w:rPr>
          <w:rStyle w:val="15"/>
          <w:rFonts w:hint="eastAsia" w:ascii="仿宋" w:hAnsi="仿宋" w:eastAsia="仿宋"/>
          <w:b w:val="0"/>
          <w:bCs w:val="0"/>
        </w:rPr>
        <w:t>八、</w:t>
      </w:r>
      <w:r>
        <w:rPr>
          <w:rFonts w:hint="eastAsia" w:ascii="仿宋" w:hAnsi="仿宋" w:eastAsia="仿宋"/>
          <w:b w:val="0"/>
          <w:color w:val="000000"/>
        </w:rPr>
        <w:t>一</w:t>
      </w:r>
      <w:r>
        <w:rPr>
          <w:rStyle w:val="15"/>
          <w:rFonts w:hint="eastAsia" w:ascii="仿宋" w:hAnsi="仿宋" w:eastAsia="仿宋"/>
          <w:b w:val="0"/>
          <w:bCs w:val="0"/>
        </w:rPr>
        <w:t>般公共预算财政拨款基本支出决算表</w:t>
      </w:r>
      <w:bookmarkEnd w:id="80"/>
      <w:bookmarkEnd w:id="81"/>
    </w:p>
    <w:p>
      <w:pPr>
        <w:pStyle w:val="3"/>
        <w:rPr>
          <w:rFonts w:ascii="仿宋" w:hAnsi="仿宋" w:eastAsia="仿宋"/>
          <w:color w:val="000000"/>
        </w:rPr>
      </w:pPr>
      <w:bookmarkStart w:id="82" w:name="_Toc15170"/>
      <w:bookmarkStart w:id="83" w:name="_Toc15396627"/>
      <w:r>
        <w:rPr>
          <w:rStyle w:val="15"/>
          <w:rFonts w:hint="eastAsia" w:ascii="仿宋" w:hAnsi="仿宋" w:eastAsia="仿宋"/>
          <w:b w:val="0"/>
          <w:bCs w:val="0"/>
        </w:rPr>
        <w:t>九、</w:t>
      </w:r>
      <w:r>
        <w:rPr>
          <w:rFonts w:hint="eastAsia" w:ascii="仿宋" w:hAnsi="仿宋" w:eastAsia="仿宋"/>
          <w:b w:val="0"/>
          <w:color w:val="000000"/>
        </w:rPr>
        <w:t>一</w:t>
      </w:r>
      <w:r>
        <w:rPr>
          <w:rStyle w:val="15"/>
          <w:rFonts w:hint="eastAsia" w:ascii="仿宋" w:hAnsi="仿宋" w:eastAsia="仿宋"/>
          <w:b w:val="0"/>
          <w:bCs w:val="0"/>
        </w:rPr>
        <w:t>般公共预算财政拨款项目支出决算表</w:t>
      </w:r>
      <w:bookmarkEnd w:id="82"/>
      <w:bookmarkEnd w:id="83"/>
    </w:p>
    <w:p>
      <w:pPr>
        <w:pStyle w:val="3"/>
        <w:spacing w:line="360" w:lineRule="auto"/>
        <w:rPr>
          <w:rFonts w:ascii="仿宋" w:hAnsi="仿宋" w:eastAsia="仿宋"/>
          <w:color w:val="000000"/>
        </w:rPr>
      </w:pPr>
      <w:bookmarkStart w:id="84" w:name="_Toc15396628"/>
      <w:bookmarkStart w:id="85" w:name="_Toc17603"/>
      <w:r>
        <w:rPr>
          <w:rStyle w:val="15"/>
          <w:rFonts w:hint="eastAsia" w:ascii="仿宋" w:hAnsi="仿宋" w:eastAsia="仿宋"/>
          <w:b w:val="0"/>
          <w:bCs w:val="0"/>
        </w:rPr>
        <w:t>十、</w:t>
      </w:r>
      <w:r>
        <w:rPr>
          <w:rFonts w:hint="eastAsia" w:ascii="仿宋" w:hAnsi="仿宋" w:eastAsia="仿宋"/>
          <w:b w:val="0"/>
          <w:color w:val="000000"/>
        </w:rPr>
        <w:t>一</w:t>
      </w:r>
      <w:r>
        <w:rPr>
          <w:rStyle w:val="15"/>
          <w:rFonts w:hint="eastAsia" w:ascii="仿宋" w:hAnsi="仿宋" w:eastAsia="仿宋"/>
          <w:b w:val="0"/>
          <w:bCs w:val="0"/>
        </w:rPr>
        <w:t>般公共预算财政拨款“三公”经费支出决算表</w:t>
      </w:r>
      <w:bookmarkEnd w:id="84"/>
      <w:bookmarkEnd w:id="85"/>
    </w:p>
    <w:p>
      <w:pPr>
        <w:pStyle w:val="3"/>
        <w:spacing w:line="360" w:lineRule="auto"/>
        <w:rPr>
          <w:rFonts w:ascii="仿宋" w:hAnsi="仿宋" w:eastAsia="仿宋"/>
          <w:color w:val="000000"/>
        </w:rPr>
      </w:pPr>
      <w:bookmarkStart w:id="86" w:name="_Toc7313"/>
      <w:bookmarkStart w:id="87" w:name="_Toc15396629"/>
      <w:r>
        <w:rPr>
          <w:rStyle w:val="15"/>
          <w:rFonts w:hint="eastAsia" w:ascii="仿宋" w:hAnsi="仿宋" w:eastAsia="仿宋"/>
          <w:b w:val="0"/>
          <w:bCs w:val="0"/>
        </w:rPr>
        <w:t>十一、</w:t>
      </w:r>
      <w:r>
        <w:rPr>
          <w:rFonts w:hint="eastAsia" w:ascii="仿宋" w:hAnsi="仿宋" w:eastAsia="仿宋"/>
          <w:b w:val="0"/>
          <w:color w:val="000000"/>
        </w:rPr>
        <w:t>政</w:t>
      </w:r>
      <w:r>
        <w:rPr>
          <w:rStyle w:val="15"/>
          <w:rFonts w:hint="eastAsia" w:ascii="仿宋" w:hAnsi="仿宋" w:eastAsia="仿宋"/>
          <w:b w:val="0"/>
          <w:bCs w:val="0"/>
        </w:rPr>
        <w:t>府性基金预算财政拨款收入支出决算表</w:t>
      </w:r>
      <w:bookmarkEnd w:id="86"/>
      <w:bookmarkEnd w:id="87"/>
    </w:p>
    <w:p>
      <w:pPr>
        <w:pStyle w:val="3"/>
        <w:rPr>
          <w:rFonts w:ascii="仿宋" w:hAnsi="仿宋" w:eastAsia="仿宋"/>
          <w:b w:val="0"/>
          <w:color w:val="000000"/>
        </w:rPr>
      </w:pPr>
      <w:bookmarkStart w:id="88" w:name="_Toc9382"/>
      <w:bookmarkStart w:id="89" w:name="_Toc15396630"/>
      <w:r>
        <w:rPr>
          <w:rFonts w:hint="eastAsia" w:ascii="仿宋" w:hAnsi="仿宋" w:eastAsia="仿宋"/>
          <w:b w:val="0"/>
          <w:color w:val="000000"/>
        </w:rPr>
        <w:t>十二、政府性基金预算财政拨款“三公”经费支出决算表</w:t>
      </w:r>
      <w:bookmarkEnd w:id="88"/>
      <w:bookmarkEnd w:id="89"/>
    </w:p>
    <w:p>
      <w:pPr>
        <w:pStyle w:val="3"/>
        <w:rPr>
          <w:rFonts w:ascii="仿宋" w:hAnsi="仿宋" w:eastAsia="仿宋"/>
          <w:b w:val="0"/>
          <w:color w:val="000000"/>
        </w:rPr>
      </w:pPr>
      <w:bookmarkStart w:id="90" w:name="_Toc22683"/>
      <w:r>
        <w:rPr>
          <w:rFonts w:hint="eastAsia" w:ascii="仿宋" w:hAnsi="仿宋" w:eastAsia="仿宋"/>
          <w:b w:val="0"/>
          <w:color w:val="000000"/>
        </w:rPr>
        <w:t>十三、国有资本经营预算财政拨款收入支出决算表</w:t>
      </w:r>
      <w:bookmarkEnd w:id="90"/>
    </w:p>
    <w:p>
      <w:pPr>
        <w:pStyle w:val="3"/>
        <w:rPr>
          <w:rFonts w:ascii="仿宋" w:hAnsi="仿宋" w:eastAsia="仿宋"/>
          <w:b w:val="0"/>
          <w:color w:val="000000"/>
        </w:rPr>
      </w:pPr>
      <w:bookmarkStart w:id="91" w:name="_Toc10257"/>
      <w:r>
        <w:rPr>
          <w:rFonts w:hint="eastAsia" w:ascii="仿宋" w:hAnsi="仿宋" w:eastAsia="仿宋"/>
          <w:b w:val="0"/>
          <w:color w:val="000000"/>
        </w:rPr>
        <w:t>十四、国有资本经营预算财政拨款支出决算表</w:t>
      </w:r>
      <w:bookmarkEnd w:id="91"/>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小标宋简体">
    <w:altName w:val="黑体"/>
    <w:panose1 w:val="02010601030101010101"/>
    <w:charset w:val="86"/>
    <w:family w:val="auto"/>
    <w:pitch w:val="default"/>
    <w:sig w:usb0="00000000" w:usb1="00000000" w:usb2="0000001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798278"/>
      <w:docPartObj>
        <w:docPartGallery w:val="autotext"/>
      </w:docPartObj>
    </w:sdtPr>
    <w:sdtContent>
      <w:p>
        <w:pPr>
          <w:pStyle w:val="6"/>
        </w:pPr>
        <w:r>
          <w:fldChar w:fldCharType="begin"/>
        </w:r>
        <w:r>
          <w:instrText xml:space="preserve"> PAGE   \* MERGEFORMAT </w:instrText>
        </w:r>
        <w:r>
          <w:fldChar w:fldCharType="separate"/>
        </w:r>
        <w:r>
          <w:rPr>
            <w:lang w:val="zh-CN"/>
          </w:rPr>
          <w:t>23</w:t>
        </w:r>
        <w:r>
          <w:rPr>
            <w:lang w:val="zh-CN"/>
          </w:rPr>
          <w:fldChar w:fldCharType="end"/>
        </w:r>
      </w:p>
    </w:sdtContent>
  </w:sdt>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cs="Times New Roman"/>
      </w:rPr>
    </w:lvl>
  </w:abstractNum>
  <w:abstractNum w:abstractNumId="1">
    <w:nsid w:val="E2FA047D"/>
    <w:multiLevelType w:val="singleLevel"/>
    <w:tmpl w:val="E2FA047D"/>
    <w:lvl w:ilvl="0" w:tentative="0">
      <w:start w:val="3"/>
      <w:numFmt w:val="chineseCounting"/>
      <w:suff w:val="space"/>
      <w:lvlText w:val="第%1部分"/>
      <w:lvlJc w:val="left"/>
      <w:rPr>
        <w:rFonts w:hint="eastAsia" w:cs="Times New Roman"/>
      </w:rPr>
    </w:lvl>
  </w:abstractNum>
  <w:abstractNum w:abstractNumId="2">
    <w:nsid w:val="1272550B"/>
    <w:multiLevelType w:val="multilevel"/>
    <w:tmpl w:val="1272550B"/>
    <w:lvl w:ilvl="0" w:tentative="0">
      <w:start w:val="1"/>
      <w:numFmt w:val="japaneseCounting"/>
      <w:lvlText w:val="%1、"/>
      <w:lvlJc w:val="left"/>
      <w:pPr>
        <w:ind w:left="1360" w:hanging="720"/>
      </w:pPr>
      <w:rPr>
        <w:rFonts w:hint="default" w:cs="Times New Roman"/>
        <w:b w:val="0"/>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EyZjhjMDljN2ZmZDI4MDM1OTczNmZkYWIwMTM0OGUifQ=="/>
  </w:docVars>
  <w:rsids>
    <w:rsidRoot w:val="6504078C"/>
    <w:rsid w:val="000114F0"/>
    <w:rsid w:val="00107CED"/>
    <w:rsid w:val="00116C5D"/>
    <w:rsid w:val="00166623"/>
    <w:rsid w:val="00192276"/>
    <w:rsid w:val="001A64AB"/>
    <w:rsid w:val="001B020A"/>
    <w:rsid w:val="001D43E0"/>
    <w:rsid w:val="001E46CB"/>
    <w:rsid w:val="00284318"/>
    <w:rsid w:val="002A1B95"/>
    <w:rsid w:val="002D7605"/>
    <w:rsid w:val="0030304C"/>
    <w:rsid w:val="00305A4C"/>
    <w:rsid w:val="00350CD4"/>
    <w:rsid w:val="00356D24"/>
    <w:rsid w:val="00361719"/>
    <w:rsid w:val="00377E75"/>
    <w:rsid w:val="00401F78"/>
    <w:rsid w:val="005144B5"/>
    <w:rsid w:val="005A006D"/>
    <w:rsid w:val="005A191E"/>
    <w:rsid w:val="005F5B42"/>
    <w:rsid w:val="00612699"/>
    <w:rsid w:val="00625E92"/>
    <w:rsid w:val="006726C0"/>
    <w:rsid w:val="006A2E2F"/>
    <w:rsid w:val="006B2E54"/>
    <w:rsid w:val="006B4FFC"/>
    <w:rsid w:val="006B7BB1"/>
    <w:rsid w:val="006D2F0E"/>
    <w:rsid w:val="00723FEA"/>
    <w:rsid w:val="00781FC8"/>
    <w:rsid w:val="007B28CF"/>
    <w:rsid w:val="007B3313"/>
    <w:rsid w:val="007B5163"/>
    <w:rsid w:val="007B7DCB"/>
    <w:rsid w:val="007F56C2"/>
    <w:rsid w:val="008151BB"/>
    <w:rsid w:val="008363BD"/>
    <w:rsid w:val="0088047E"/>
    <w:rsid w:val="0091210D"/>
    <w:rsid w:val="009142FA"/>
    <w:rsid w:val="00926209"/>
    <w:rsid w:val="009B5A73"/>
    <w:rsid w:val="009F1DE1"/>
    <w:rsid w:val="00A64428"/>
    <w:rsid w:val="00B53F39"/>
    <w:rsid w:val="00B83F2D"/>
    <w:rsid w:val="00BA3307"/>
    <w:rsid w:val="00BB159C"/>
    <w:rsid w:val="00BD311C"/>
    <w:rsid w:val="00C11BBF"/>
    <w:rsid w:val="00C40A69"/>
    <w:rsid w:val="00C466BF"/>
    <w:rsid w:val="00C5413F"/>
    <w:rsid w:val="00CA5593"/>
    <w:rsid w:val="00CB5496"/>
    <w:rsid w:val="00CD7813"/>
    <w:rsid w:val="00D05266"/>
    <w:rsid w:val="00D212D1"/>
    <w:rsid w:val="00D67CFB"/>
    <w:rsid w:val="00DA382B"/>
    <w:rsid w:val="00DC75F3"/>
    <w:rsid w:val="00DE040E"/>
    <w:rsid w:val="00E07424"/>
    <w:rsid w:val="00E55B9E"/>
    <w:rsid w:val="00E5775C"/>
    <w:rsid w:val="00E6174D"/>
    <w:rsid w:val="00EB4F60"/>
    <w:rsid w:val="00F05986"/>
    <w:rsid w:val="00F17D46"/>
    <w:rsid w:val="00F84C6A"/>
    <w:rsid w:val="00F90CEE"/>
    <w:rsid w:val="00FF34E9"/>
    <w:rsid w:val="06D96529"/>
    <w:rsid w:val="0BFE4EEC"/>
    <w:rsid w:val="14C127E8"/>
    <w:rsid w:val="19DE2CEE"/>
    <w:rsid w:val="21863561"/>
    <w:rsid w:val="31462156"/>
    <w:rsid w:val="34A2025B"/>
    <w:rsid w:val="3DD13C32"/>
    <w:rsid w:val="3E4169FF"/>
    <w:rsid w:val="5ADF7263"/>
    <w:rsid w:val="5D3E75DF"/>
    <w:rsid w:val="6454481E"/>
    <w:rsid w:val="6504078C"/>
    <w:rsid w:val="6D00412C"/>
    <w:rsid w:val="726E3979"/>
    <w:rsid w:val="77016DD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5"/>
    <w:unhideWhenUsed/>
    <w:qFormat/>
    <w:uiPriority w:val="9"/>
    <w:pPr>
      <w:keepNext/>
      <w:keepLines/>
      <w:spacing w:before="260" w:after="260" w:line="416" w:lineRule="auto"/>
      <w:outlineLvl w:val="1"/>
    </w:pPr>
    <w:rPr>
      <w:rFonts w:ascii="Cambria" w:hAnsi="Cambria"/>
      <w:b/>
      <w:bCs/>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99"/>
    <w:pPr>
      <w:spacing w:beforeLines="30"/>
    </w:pPr>
    <w:rPr>
      <w:rFonts w:ascii="仿宋_GB2312"/>
      <w:kern w:val="0"/>
      <w:sz w:val="24"/>
      <w:szCs w:val="20"/>
    </w:rPr>
  </w:style>
  <w:style w:type="paragraph" w:styleId="5">
    <w:name w:val="Balloon Text"/>
    <w:basedOn w:val="1"/>
    <w:link w:val="18"/>
    <w:qFormat/>
    <w:uiPriority w:val="0"/>
    <w:rPr>
      <w:sz w:val="18"/>
      <w:szCs w:val="18"/>
    </w:rPr>
  </w:style>
  <w:style w:type="paragraph" w:styleId="6">
    <w:name w:val="footer"/>
    <w:basedOn w:val="1"/>
    <w:link w:val="19"/>
    <w:qFormat/>
    <w:uiPriority w:val="99"/>
    <w:pPr>
      <w:tabs>
        <w:tab w:val="center" w:pos="4153"/>
        <w:tab w:val="right" w:pos="8306"/>
      </w:tabs>
      <w:snapToGrid w:val="0"/>
      <w:jc w:val="left"/>
    </w:pPr>
    <w:rPr>
      <w:rFonts w:ascii="Calibri" w:hAnsi="Calibri"/>
      <w:kern w:val="0"/>
      <w:sz w:val="18"/>
      <w:szCs w:val="20"/>
    </w:rPr>
  </w:style>
  <w:style w:type="paragraph" w:styleId="7">
    <w:name w:val="header"/>
    <w:basedOn w:val="1"/>
    <w:semiHidden/>
    <w:qFormat/>
    <w:uiPriority w:val="99"/>
    <w:pPr>
      <w:pBdr>
        <w:bottom w:val="single" w:color="auto" w:sz="6" w:space="1"/>
      </w:pBdr>
      <w:tabs>
        <w:tab w:val="center" w:pos="4153"/>
        <w:tab w:val="right" w:pos="8306"/>
      </w:tabs>
      <w:snapToGrid w:val="0"/>
      <w:jc w:val="center"/>
    </w:pPr>
    <w:rPr>
      <w:rFonts w:ascii="Calibri" w:hAnsi="Calibri"/>
      <w:kern w:val="0"/>
      <w:sz w:val="18"/>
      <w:szCs w:val="20"/>
    </w:rPr>
  </w:style>
  <w:style w:type="paragraph" w:styleId="8">
    <w:name w:val="toc 1"/>
    <w:basedOn w:val="1"/>
    <w:next w:val="1"/>
    <w:unhideWhenUsed/>
    <w:qFormat/>
    <w:uiPriority w:val="39"/>
    <w:pPr>
      <w:spacing w:before="120"/>
      <w:jc w:val="left"/>
    </w:pPr>
    <w:rPr>
      <w:rFonts w:ascii="等线" w:eastAsia="等线"/>
      <w:b/>
      <w:bCs/>
      <w:i/>
      <w:iCs/>
      <w:sz w:val="24"/>
    </w:rPr>
  </w:style>
  <w:style w:type="paragraph" w:styleId="9">
    <w:name w:val="toc 2"/>
    <w:basedOn w:val="1"/>
    <w:next w:val="1"/>
    <w:unhideWhenUsed/>
    <w:qFormat/>
    <w:uiPriority w:val="39"/>
    <w:pPr>
      <w:spacing w:before="120"/>
      <w:ind w:left="300"/>
      <w:jc w:val="left"/>
    </w:pPr>
    <w:rPr>
      <w:rFonts w:ascii="等线" w:eastAsia="等线"/>
      <w:b/>
      <w:bCs/>
      <w:sz w:val="22"/>
      <w:szCs w:val="22"/>
    </w:rPr>
  </w:style>
  <w:style w:type="character" w:styleId="12">
    <w:name w:val="Strong"/>
    <w:basedOn w:val="11"/>
    <w:qFormat/>
    <w:uiPriority w:val="0"/>
    <w:rPr>
      <w:rFonts w:cs="Times New Roman"/>
      <w:b/>
    </w:rPr>
  </w:style>
  <w:style w:type="character" w:styleId="13">
    <w:name w:val="Hyperlink"/>
    <w:unhideWhenUsed/>
    <w:qFormat/>
    <w:uiPriority w:val="99"/>
    <w:rPr>
      <w:color w:val="0000FF"/>
      <w:u w:val="single"/>
    </w:rPr>
  </w:style>
  <w:style w:type="character" w:customStyle="1" w:styleId="14">
    <w:name w:val="标题 1 Char"/>
    <w:basedOn w:val="11"/>
    <w:link w:val="2"/>
    <w:qFormat/>
    <w:locked/>
    <w:uiPriority w:val="9"/>
    <w:rPr>
      <w:b/>
      <w:bCs/>
      <w:kern w:val="44"/>
      <w:sz w:val="44"/>
      <w:szCs w:val="44"/>
    </w:rPr>
  </w:style>
  <w:style w:type="character" w:customStyle="1" w:styleId="15">
    <w:name w:val="标题 2 Char"/>
    <w:basedOn w:val="11"/>
    <w:link w:val="3"/>
    <w:qFormat/>
    <w:locked/>
    <w:uiPriority w:val="9"/>
    <w:rPr>
      <w:rFonts w:ascii="Cambria" w:hAnsi="Cambria"/>
      <w:b/>
      <w:bCs/>
      <w:sz w:val="32"/>
      <w:szCs w:val="32"/>
    </w:rPr>
  </w:style>
  <w:style w:type="paragraph" w:customStyle="1" w:styleId="16">
    <w:name w:val="列出段落1"/>
    <w:basedOn w:val="1"/>
    <w:qFormat/>
    <w:uiPriority w:val="34"/>
    <w:pPr>
      <w:ind w:firstLine="420" w:firstLineChars="200"/>
    </w:pPr>
  </w:style>
  <w:style w:type="paragraph" w:customStyle="1" w:styleId="17">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character" w:customStyle="1" w:styleId="18">
    <w:name w:val="批注框文本 Char"/>
    <w:basedOn w:val="11"/>
    <w:link w:val="5"/>
    <w:uiPriority w:val="0"/>
    <w:rPr>
      <w:rFonts w:ascii="Times New Roman" w:hAnsi="Times New Roman" w:eastAsia="仿宋_GB2312" w:cs="Times New Roman"/>
      <w:kern w:val="2"/>
      <w:sz w:val="18"/>
      <w:szCs w:val="18"/>
    </w:rPr>
  </w:style>
  <w:style w:type="character" w:customStyle="1" w:styleId="19">
    <w:name w:val="页脚 Char"/>
    <w:basedOn w:val="11"/>
    <w:link w:val="6"/>
    <w:uiPriority w:val="99"/>
    <w:rPr>
      <w:rFonts w:ascii="Calibri" w:hAnsi="Calibri" w:eastAsia="仿宋_GB2312" w:cs="Times New Roman"/>
      <w:sz w:val="18"/>
    </w:rPr>
  </w:style>
</w:styles>
</file>

<file path=word/_rels/document.xml.rels><?xml version="1.0" encoding="UTF-8" standalone="yes"?>
<Relationships xmlns="http://schemas.openxmlformats.org/package/2006/relationships"><Relationship Id="rId9" Type="http://schemas.openxmlformats.org/officeDocument/2006/relationships/chart" Target="charts/chart5.xml"/><Relationship Id="rId8" Type="http://schemas.openxmlformats.org/officeDocument/2006/relationships/chart" Target="charts/chart4.xml"/><Relationship Id="rId7" Type="http://schemas.openxmlformats.org/officeDocument/2006/relationships/chart" Target="charts/chart3.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hart" Target="charts/chart8.xml"/><Relationship Id="rId11" Type="http://schemas.openxmlformats.org/officeDocument/2006/relationships/chart" Target="charts/chart7.xml"/><Relationship Id="rId10" Type="http://schemas.openxmlformats.org/officeDocument/2006/relationships/chart" Target="charts/chart6.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embeddings/oleObject1.bin"/></Relationships>
</file>

<file path=word/charts/_rels/chart2.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embeddings/oleObject2.bin"/></Relationships>
</file>

<file path=word/charts/_rels/chart4.xml.rels><?xml version="1.0" encoding="UTF-8" standalone="yes"?>
<Relationships xmlns="http://schemas.openxmlformats.org/package/2006/relationships"><Relationship Id="rId1" Type="http://schemas.openxmlformats.org/officeDocument/2006/relationships/oleObject" Target="../embeddings/oleObject3.bin"/></Relationships>
</file>

<file path=word/charts/_rels/chart5.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embeddings/oleObject4.bin"/></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收入总计</c:v>
                </c:pt>
              </c:strCache>
            </c:strRef>
          </c:tx>
          <c:invertIfNegative val="0"/>
          <c:dLbls>
            <c:delete val="1"/>
          </c:dLbls>
          <c:cat>
            <c:strRef>
              <c:f>Sheet1!$A$2:$A$3</c:f>
              <c:strCache>
                <c:ptCount val="2"/>
                <c:pt idx="0">
                  <c:v>2019年</c:v>
                </c:pt>
                <c:pt idx="1">
                  <c:v>2020年</c:v>
                </c:pt>
              </c:strCache>
            </c:strRef>
          </c:cat>
          <c:val>
            <c:numRef>
              <c:f>Sheet1!$B$2:$B$3</c:f>
              <c:numCache>
                <c:formatCode>General</c:formatCode>
                <c:ptCount val="2"/>
                <c:pt idx="0">
                  <c:v>35.24</c:v>
                </c:pt>
                <c:pt idx="1">
                  <c:v>46.08</c:v>
                </c:pt>
              </c:numCache>
            </c:numRef>
          </c:val>
        </c:ser>
        <c:ser>
          <c:idx val="1"/>
          <c:order val="1"/>
          <c:tx>
            <c:strRef>
              <c:f>Sheet1!$C$1</c:f>
              <c:strCache>
                <c:ptCount val="1"/>
                <c:pt idx="0">
                  <c:v>支出总计</c:v>
                </c:pt>
              </c:strCache>
            </c:strRef>
          </c:tx>
          <c:invertIfNegative val="0"/>
          <c:dLbls>
            <c:delete val="1"/>
          </c:dLbls>
          <c:cat>
            <c:strRef>
              <c:f>Sheet1!$A$2:$A$3</c:f>
              <c:strCache>
                <c:ptCount val="2"/>
                <c:pt idx="0">
                  <c:v>2019年</c:v>
                </c:pt>
                <c:pt idx="1">
                  <c:v>2020年</c:v>
                </c:pt>
              </c:strCache>
            </c:strRef>
          </c:cat>
          <c:val>
            <c:numRef>
              <c:f>Sheet1!$C$2:$C$3</c:f>
              <c:numCache>
                <c:formatCode>General</c:formatCode>
                <c:ptCount val="2"/>
                <c:pt idx="0">
                  <c:v>35.24</c:v>
                </c:pt>
                <c:pt idx="1">
                  <c:v>46.08</c:v>
                </c:pt>
              </c:numCache>
            </c:numRef>
          </c:val>
        </c:ser>
        <c:dLbls>
          <c:showLegendKey val="0"/>
          <c:showVal val="0"/>
          <c:showCatName val="0"/>
          <c:showSerName val="0"/>
          <c:showPercent val="0"/>
          <c:showBubbleSize val="0"/>
        </c:dLbls>
        <c:gapWidth val="150"/>
        <c:axId val="341598976"/>
        <c:axId val="341600512"/>
      </c:barChart>
      <c:catAx>
        <c:axId val="341598976"/>
        <c:scaling>
          <c:orientation val="minMax"/>
        </c:scaling>
        <c:delete val="0"/>
        <c:axPos val="b"/>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341600512"/>
        <c:crosses val="autoZero"/>
        <c:auto val="1"/>
        <c:lblAlgn val="ctr"/>
        <c:lblOffset val="100"/>
        <c:noMultiLvlLbl val="0"/>
      </c:catAx>
      <c:valAx>
        <c:axId val="341600512"/>
        <c:scaling>
          <c:orientation val="minMax"/>
        </c:scaling>
        <c:delete val="0"/>
        <c:axPos val="l"/>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341598976"/>
        <c:crosses val="autoZero"/>
        <c:crossBetween val="between"/>
      </c:valAx>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收入总计</c:v>
                </c:pt>
              </c:strCache>
            </c:strRef>
          </c:tx>
          <c:invertIfNegative val="0"/>
          <c:dLbls>
            <c:delete val="1"/>
          </c:dLbls>
          <c:cat>
            <c:strRef>
              <c:f>Sheet1!$A$2:$A$3</c:f>
              <c:strCache>
                <c:ptCount val="2"/>
                <c:pt idx="0">
                  <c:v>2019年</c:v>
                </c:pt>
                <c:pt idx="1">
                  <c:v>2020年</c:v>
                </c:pt>
              </c:strCache>
            </c:strRef>
          </c:cat>
          <c:val>
            <c:numRef>
              <c:f>Sheet1!$B$2:$B$3</c:f>
              <c:numCache>
                <c:formatCode>General</c:formatCode>
                <c:ptCount val="2"/>
                <c:pt idx="0">
                  <c:v>289.22</c:v>
                </c:pt>
                <c:pt idx="1">
                  <c:v>266.2</c:v>
                </c:pt>
              </c:numCache>
            </c:numRef>
          </c:val>
        </c:ser>
        <c:ser>
          <c:idx val="1"/>
          <c:order val="1"/>
          <c:tx>
            <c:strRef>
              <c:f>Sheet1!$C$1</c:f>
              <c:strCache>
                <c:ptCount val="1"/>
                <c:pt idx="0">
                  <c:v>支出总计</c:v>
                </c:pt>
              </c:strCache>
            </c:strRef>
          </c:tx>
          <c:invertIfNegative val="0"/>
          <c:dLbls>
            <c:delete val="1"/>
          </c:dLbls>
          <c:cat>
            <c:strRef>
              <c:f>Sheet1!$A$2:$A$3</c:f>
              <c:strCache>
                <c:ptCount val="2"/>
                <c:pt idx="0">
                  <c:v>2019年</c:v>
                </c:pt>
                <c:pt idx="1">
                  <c:v>2020年</c:v>
                </c:pt>
              </c:strCache>
            </c:strRef>
          </c:cat>
          <c:val>
            <c:numRef>
              <c:f>Sheet1!$C$2:$C$3</c:f>
              <c:numCache>
                <c:formatCode>General</c:formatCode>
                <c:ptCount val="2"/>
                <c:pt idx="0">
                  <c:v>282.24</c:v>
                </c:pt>
                <c:pt idx="1">
                  <c:v>242.04</c:v>
                </c:pt>
              </c:numCache>
            </c:numRef>
          </c:val>
        </c:ser>
        <c:dLbls>
          <c:showLegendKey val="0"/>
          <c:showVal val="0"/>
          <c:showCatName val="0"/>
          <c:showSerName val="0"/>
          <c:showPercent val="0"/>
          <c:showBubbleSize val="0"/>
        </c:dLbls>
        <c:gapWidth val="150"/>
        <c:axId val="342830080"/>
        <c:axId val="342831872"/>
      </c:barChart>
      <c:catAx>
        <c:axId val="342830080"/>
        <c:scaling>
          <c:orientation val="minMax"/>
        </c:scaling>
        <c:delete val="0"/>
        <c:axPos val="b"/>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342831872"/>
        <c:crosses val="autoZero"/>
        <c:auto val="1"/>
        <c:lblAlgn val="ctr"/>
        <c:lblOffset val="100"/>
        <c:noMultiLvlLbl val="0"/>
      </c:catAx>
      <c:valAx>
        <c:axId val="342831872"/>
        <c:scaling>
          <c:orientation val="minMax"/>
        </c:scaling>
        <c:delete val="0"/>
        <c:axPos val="l"/>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342830080"/>
        <c:crosses val="autoZero"/>
        <c:crossBetween val="between"/>
      </c:valAx>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xPr>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p>
      </c:txPr>
    </c:title>
    <c:autoTitleDeleted val="0"/>
    <c:plotArea>
      <c:layout/>
      <c:pieChart>
        <c:varyColors val="1"/>
        <c:ser>
          <c:idx val="0"/>
          <c:order val="0"/>
          <c:tx>
            <c:strRef>
              <c:f>Sheet1!$B$1</c:f>
              <c:strCache>
                <c:ptCount val="1"/>
                <c:pt idx="0">
                  <c:v>本年收入</c:v>
                </c:pt>
              </c:strCache>
            </c:strRef>
          </c:tx>
          <c:explosion val="0"/>
          <c:dPt>
            <c:idx val="0"/>
            <c:bubble3D val="0"/>
          </c:dPt>
          <c:dPt>
            <c:idx val="1"/>
            <c:bubble3D val="0"/>
          </c:dPt>
          <c:dPt>
            <c:idx val="2"/>
            <c:bubble3D val="0"/>
          </c:dPt>
          <c:dPt>
            <c:idx val="3"/>
            <c:bubble3D val="0"/>
          </c:dPt>
          <c:dPt>
            <c:idx val="4"/>
            <c:bubble3D val="0"/>
          </c:dPt>
          <c:dPt>
            <c:idx val="5"/>
            <c:bubble3D val="0"/>
          </c:dPt>
          <c:dPt>
            <c:idx val="6"/>
            <c:bubble3D val="0"/>
          </c:dPt>
          <c:dLbls>
            <c:dLbl>
              <c:idx val="1"/>
              <c:layout>
                <c:manualLayout>
                  <c:x val="-0.382304207279257"/>
                  <c:y val="0.445832604257802"/>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2"/>
              <c:layout>
                <c:manualLayout>
                  <c:x val="0.260953589721473"/>
                  <c:y val="0.243218225172835"/>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4"/>
              <c:layout>
                <c:manualLayout>
                  <c:x val="-0.395345212130174"/>
                  <c:y val="0.0406038460878665"/>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5"/>
              <c:layout>
                <c:manualLayout>
                  <c:x val="-0.142997794289799"/>
                  <c:y val="-0.0530780711234625"/>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6"/>
              <c:layout>
                <c:manualLayout>
                  <c:x val="0.259323438443434"/>
                  <c:y val="-0.0770432127356629"/>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ext>
            </c:extLst>
          </c:dLbls>
          <c:cat>
            <c:strRef>
              <c:f>Sheet1!$A$2:$A$8</c:f>
              <c:strCache>
                <c:ptCount val="7"/>
                <c:pt idx="0">
                  <c:v>一般公共预算财政收入</c:v>
                </c:pt>
                <c:pt idx="1">
                  <c:v>政府性基金预算财政拨款收入</c:v>
                </c:pt>
                <c:pt idx="2">
                  <c:v>上级补助收入</c:v>
                </c:pt>
                <c:pt idx="3">
                  <c:v>事业收入</c:v>
                </c:pt>
                <c:pt idx="4">
                  <c:v>经营收入</c:v>
                </c:pt>
                <c:pt idx="5">
                  <c:v>附属单位上缴收入</c:v>
                </c:pt>
                <c:pt idx="6">
                  <c:v>其他收入</c:v>
                </c:pt>
              </c:strCache>
            </c:strRef>
          </c:cat>
          <c:val>
            <c:numRef>
              <c:f>Sheet1!$B$2:$B$8</c:f>
              <c:numCache>
                <c:formatCode>General</c:formatCode>
                <c:ptCount val="7"/>
                <c:pt idx="0">
                  <c:v>31.2</c:v>
                </c:pt>
                <c:pt idx="1">
                  <c:v>0</c:v>
                </c:pt>
                <c:pt idx="2">
                  <c:v>0</c:v>
                </c:pt>
                <c:pt idx="3">
                  <c:v>0</c:v>
                </c:pt>
                <c:pt idx="4">
                  <c:v>0</c:v>
                </c:pt>
                <c:pt idx="5">
                  <c:v>0</c:v>
                </c:pt>
                <c:pt idx="6">
                  <c:v>0</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379674691803071"/>
          <c:y val="0"/>
        </c:manualLayout>
      </c:layout>
      <c:overlay val="0"/>
      <c:txPr>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p>
      </c:txPr>
    </c:title>
    <c:autoTitleDeleted val="0"/>
    <c:plotArea>
      <c:layout/>
      <c:pieChart>
        <c:varyColors val="1"/>
        <c:ser>
          <c:idx val="0"/>
          <c:order val="0"/>
          <c:tx>
            <c:strRef>
              <c:f>Sheet1!$B$1</c:f>
              <c:strCache>
                <c:ptCount val="1"/>
                <c:pt idx="0">
                  <c:v>本年支出</c:v>
                </c:pt>
              </c:strCache>
            </c:strRef>
          </c:tx>
          <c:explosion val="0"/>
          <c:dPt>
            <c:idx val="0"/>
            <c:bubble3D val="0"/>
          </c:dPt>
          <c:dPt>
            <c:idx val="1"/>
            <c:bubble3D val="0"/>
          </c:dPt>
          <c:dPt>
            <c:idx val="2"/>
            <c:bubble3D val="0"/>
          </c:dPt>
          <c:dPt>
            <c:idx val="3"/>
            <c:bubble3D val="0"/>
          </c:dPt>
          <c:dPt>
            <c:idx val="4"/>
            <c:bubble3D val="0"/>
          </c:dPt>
          <c:dLbls>
            <c:dLbl>
              <c:idx val="0"/>
              <c:layout>
                <c:manualLayout>
                  <c:x val="0.130247638477418"/>
                  <c:y val="0.143062117235346"/>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1"/>
              <c:layout>
                <c:manualLayout>
                  <c:x val="-0.121852571307435"/>
                  <c:y val="0.522650245642372"/>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2"/>
              <c:layout>
                <c:manualLayout>
                  <c:x val="-0.304079313156628"/>
                  <c:y val="-0.00164075644390606"/>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3"/>
              <c:layout>
                <c:manualLayout>
                  <c:x val="-0.30774451374306"/>
                  <c:y val="0.32314556834242"/>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4"/>
              <c:layout>
                <c:manualLayout>
                  <c:x val="0.279687180246012"/>
                  <c:y val="0.00904300423985469"/>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ext>
            </c:extLst>
          </c:dLbls>
          <c:cat>
            <c:strRef>
              <c:f>Sheet1!$A$2:$A$6</c:f>
              <c:strCache>
                <c:ptCount val="5"/>
                <c:pt idx="0">
                  <c:v>基本支出</c:v>
                </c:pt>
                <c:pt idx="1">
                  <c:v>项目支出</c:v>
                </c:pt>
                <c:pt idx="2">
                  <c:v>上缴上级支出</c:v>
                </c:pt>
                <c:pt idx="3">
                  <c:v>经营支出</c:v>
                </c:pt>
                <c:pt idx="4">
                  <c:v>对附属单位补助支出</c:v>
                </c:pt>
              </c:strCache>
            </c:strRef>
          </c:cat>
          <c:val>
            <c:numRef>
              <c:f>Sheet1!$B$2:$B$6</c:f>
              <c:numCache>
                <c:formatCode>General</c:formatCode>
                <c:ptCount val="5"/>
                <c:pt idx="0">
                  <c:v>30.46</c:v>
                </c:pt>
                <c:pt idx="1">
                  <c:v>0</c:v>
                </c:pt>
                <c:pt idx="2">
                  <c:v>0</c:v>
                </c:pt>
                <c:pt idx="3">
                  <c:v>0</c:v>
                </c:pt>
                <c:pt idx="4">
                  <c:v>0</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财政拨款收入总计</c:v>
                </c:pt>
              </c:strCache>
            </c:strRef>
          </c:tx>
          <c:invertIfNegative val="0"/>
          <c:dLbls>
            <c:delete val="1"/>
          </c:dLbls>
          <c:cat>
            <c:strRef>
              <c:f>Sheet1!$A$2:$A$3</c:f>
              <c:strCache>
                <c:ptCount val="2"/>
                <c:pt idx="0">
                  <c:v>2019年</c:v>
                </c:pt>
                <c:pt idx="1">
                  <c:v>2020年</c:v>
                </c:pt>
              </c:strCache>
            </c:strRef>
          </c:cat>
          <c:val>
            <c:numRef>
              <c:f>Sheet1!$B$2:$B$3</c:f>
              <c:numCache>
                <c:formatCode>General</c:formatCode>
                <c:ptCount val="2"/>
                <c:pt idx="0">
                  <c:v>35.24</c:v>
                </c:pt>
                <c:pt idx="1">
                  <c:v>46.08</c:v>
                </c:pt>
              </c:numCache>
            </c:numRef>
          </c:val>
        </c:ser>
        <c:ser>
          <c:idx val="1"/>
          <c:order val="1"/>
          <c:tx>
            <c:strRef>
              <c:f>Sheet1!$C$1</c:f>
              <c:strCache>
                <c:ptCount val="1"/>
                <c:pt idx="0">
                  <c:v>财政拨款支出总计</c:v>
                </c:pt>
              </c:strCache>
            </c:strRef>
          </c:tx>
          <c:invertIfNegative val="0"/>
          <c:dLbls>
            <c:delete val="1"/>
          </c:dLbls>
          <c:cat>
            <c:strRef>
              <c:f>Sheet1!$A$2:$A$3</c:f>
              <c:strCache>
                <c:ptCount val="2"/>
                <c:pt idx="0">
                  <c:v>2019年</c:v>
                </c:pt>
                <c:pt idx="1">
                  <c:v>2020年</c:v>
                </c:pt>
              </c:strCache>
            </c:strRef>
          </c:cat>
          <c:val>
            <c:numRef>
              <c:f>Sheet1!$C$2:$C$3</c:f>
              <c:numCache>
                <c:formatCode>General</c:formatCode>
                <c:ptCount val="2"/>
                <c:pt idx="0">
                  <c:v>35.24</c:v>
                </c:pt>
                <c:pt idx="1">
                  <c:v>46.08</c:v>
                </c:pt>
              </c:numCache>
            </c:numRef>
          </c:val>
        </c:ser>
        <c:dLbls>
          <c:showLegendKey val="0"/>
          <c:showVal val="0"/>
          <c:showCatName val="0"/>
          <c:showSerName val="0"/>
          <c:showPercent val="0"/>
          <c:showBubbleSize val="0"/>
        </c:dLbls>
        <c:gapWidth val="150"/>
        <c:axId val="368035712"/>
        <c:axId val="368037248"/>
      </c:barChart>
      <c:catAx>
        <c:axId val="368035712"/>
        <c:scaling>
          <c:orientation val="minMax"/>
        </c:scaling>
        <c:delete val="0"/>
        <c:axPos val="b"/>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368037248"/>
        <c:crosses val="autoZero"/>
        <c:auto val="1"/>
        <c:lblAlgn val="ctr"/>
        <c:lblOffset val="100"/>
        <c:noMultiLvlLbl val="0"/>
      </c:catAx>
      <c:valAx>
        <c:axId val="368037248"/>
        <c:scaling>
          <c:orientation val="minMax"/>
        </c:scaling>
        <c:delete val="0"/>
        <c:axPos val="l"/>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368035712"/>
        <c:crosses val="autoZero"/>
        <c:crossBetween val="between"/>
      </c:valAx>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xPr>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p>
      </c:txPr>
    </c:title>
    <c:autoTitleDeleted val="0"/>
    <c:plotArea>
      <c:layout/>
      <c:barChart>
        <c:barDir val="col"/>
        <c:grouping val="clustered"/>
        <c:varyColors val="0"/>
        <c:ser>
          <c:idx val="0"/>
          <c:order val="0"/>
          <c:tx>
            <c:strRef>
              <c:f>Sheet1!$B$1</c:f>
              <c:strCache>
                <c:ptCount val="1"/>
                <c:pt idx="0">
                  <c:v>一般公共预算财政拨款支出</c:v>
                </c:pt>
              </c:strCache>
            </c:strRef>
          </c:tx>
          <c:invertIfNegative val="0"/>
          <c:dLbls>
            <c:delete val="1"/>
          </c:dLbls>
          <c:cat>
            <c:strRef>
              <c:f>Sheet1!$A$2:$A$3</c:f>
              <c:strCache>
                <c:ptCount val="2"/>
                <c:pt idx="0">
                  <c:v>2019年</c:v>
                </c:pt>
                <c:pt idx="1">
                  <c:v>2020年</c:v>
                </c:pt>
              </c:strCache>
            </c:strRef>
          </c:cat>
          <c:val>
            <c:numRef>
              <c:f>Sheet1!$B$2:$B$3</c:f>
              <c:numCache>
                <c:formatCode>General</c:formatCode>
                <c:ptCount val="2"/>
                <c:pt idx="0">
                  <c:v>29.91</c:v>
                </c:pt>
                <c:pt idx="1">
                  <c:v>45.37</c:v>
                </c:pt>
              </c:numCache>
            </c:numRef>
          </c:val>
        </c:ser>
        <c:dLbls>
          <c:showLegendKey val="0"/>
          <c:showVal val="0"/>
          <c:showCatName val="0"/>
          <c:showSerName val="0"/>
          <c:showPercent val="0"/>
          <c:showBubbleSize val="0"/>
        </c:dLbls>
        <c:gapWidth val="150"/>
        <c:axId val="381931904"/>
        <c:axId val="381933440"/>
      </c:barChart>
      <c:catAx>
        <c:axId val="381931904"/>
        <c:scaling>
          <c:orientation val="minMax"/>
        </c:scaling>
        <c:delete val="0"/>
        <c:axPos val="b"/>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381933440"/>
        <c:crosses val="autoZero"/>
        <c:auto val="1"/>
        <c:lblAlgn val="ctr"/>
        <c:lblOffset val="100"/>
        <c:noMultiLvlLbl val="0"/>
      </c:catAx>
      <c:valAx>
        <c:axId val="381933440"/>
        <c:scaling>
          <c:orientation val="minMax"/>
        </c:scaling>
        <c:delete val="0"/>
        <c:axPos val="l"/>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381931904"/>
        <c:crosses val="autoZero"/>
        <c:crossBetween val="between"/>
      </c:valAx>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xPr>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p>
      </c:txPr>
    </c:title>
    <c:autoTitleDeleted val="0"/>
    <c:plotArea>
      <c:layout/>
      <c:pieChart>
        <c:varyColors val="1"/>
        <c:ser>
          <c:idx val="0"/>
          <c:order val="0"/>
          <c:tx>
            <c:strRef>
              <c:f>Sheet1!$B$1</c:f>
              <c:strCache>
                <c:ptCount val="1"/>
                <c:pt idx="0">
                  <c:v>一般公共预算财政拨款支出</c:v>
                </c:pt>
              </c:strCache>
            </c:strRef>
          </c:tx>
          <c:explosion val="0"/>
          <c:dPt>
            <c:idx val="0"/>
            <c:bubble3D val="0"/>
          </c:dPt>
          <c:dPt>
            <c:idx val="1"/>
            <c:bubble3D val="0"/>
          </c:dPt>
          <c:dPt>
            <c:idx val="2"/>
            <c:bubble3D val="0"/>
          </c:dPt>
          <c:dPt>
            <c:idx val="3"/>
            <c:bubble3D val="0"/>
          </c:dPt>
          <c:dPt>
            <c:idx val="4"/>
            <c:bubble3D val="0"/>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ext>
            </c:extLst>
          </c:dLbls>
          <c:cat>
            <c:strRef>
              <c:f>Sheet1!$A$2:$A$6</c:f>
              <c:strCache>
                <c:ptCount val="5"/>
                <c:pt idx="0">
                  <c:v>一般公共服务支出</c:v>
                </c:pt>
                <c:pt idx="1">
                  <c:v>社会保障和就业支出</c:v>
                </c:pt>
                <c:pt idx="2">
                  <c:v>卫生健康支出</c:v>
                </c:pt>
                <c:pt idx="3">
                  <c:v>金融支出</c:v>
                </c:pt>
                <c:pt idx="4">
                  <c:v>住房保障支出</c:v>
                </c:pt>
              </c:strCache>
            </c:strRef>
          </c:cat>
          <c:val>
            <c:numRef>
              <c:f>Sheet1!$B$2:$B$6</c:f>
              <c:numCache>
                <c:formatCode>General</c:formatCode>
                <c:ptCount val="5"/>
                <c:pt idx="0">
                  <c:v>2.75</c:v>
                </c:pt>
                <c:pt idx="1">
                  <c:v>3.39</c:v>
                </c:pt>
                <c:pt idx="2">
                  <c:v>1.49</c:v>
                </c:pt>
                <c:pt idx="3">
                  <c:v>35.43</c:v>
                </c:pt>
                <c:pt idx="4">
                  <c:v>2.31</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txPr>
    <a:bodyPr/>
    <a:lstStyle/>
    <a:p>
      <a:pPr>
        <a:defRPr lang="zh-CN"/>
      </a:pPr>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a:t>“三公”经费财政拨款支出</a:t>
            </a:r>
            <a:endParaRPr lang="zh-CN" altLang="en-US"/>
          </a:p>
        </c:rich>
      </c:tx>
      <c:layout/>
      <c:overlay val="0"/>
    </c:title>
    <c:autoTitleDeleted val="0"/>
    <c:plotArea>
      <c:layout/>
      <c:pieChart>
        <c:varyColors val="1"/>
        <c:ser>
          <c:idx val="0"/>
          <c:order val="0"/>
          <c:tx>
            <c:strRef>
              <c:f>Sheet1!$B$1</c:f>
              <c:strCache>
                <c:ptCount val="1"/>
                <c:pt idx="0">
                  <c:v>财政拨款支出</c:v>
                </c:pt>
              </c:strCache>
            </c:strRef>
          </c:tx>
          <c:explosion val="0"/>
          <c:dPt>
            <c:idx val="0"/>
            <c:bubble3D val="0"/>
          </c:dPt>
          <c:dPt>
            <c:idx val="1"/>
            <c:bubble3D val="0"/>
          </c:dPt>
          <c:dPt>
            <c:idx val="2"/>
            <c:bubble3D val="0"/>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ext>
            </c:extLst>
          </c:dLbls>
          <c:cat>
            <c:strRef>
              <c:f>Sheet1!$A$2:$A$4</c:f>
              <c:strCache>
                <c:ptCount val="3"/>
                <c:pt idx="0">
                  <c:v>因公出国（境）</c:v>
                </c:pt>
                <c:pt idx="1">
                  <c:v>公务用车购置及运行维护费</c:v>
                </c:pt>
                <c:pt idx="2">
                  <c:v>公务接待费</c:v>
                </c:pt>
              </c:strCache>
            </c:strRef>
          </c:cat>
          <c:val>
            <c:numRef>
              <c:f>Sheet1!$B$2:$B$4</c:f>
              <c:numCache>
                <c:formatCode>General</c:formatCode>
                <c:ptCount val="3"/>
                <c:pt idx="0">
                  <c:v>0</c:v>
                </c:pt>
                <c:pt idx="1">
                  <c:v>0</c:v>
                </c:pt>
                <c:pt idx="2">
                  <c:v>0.92</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txPr>
    <a:bodyPr/>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19</Pages>
  <Words>6936</Words>
  <Characters>7459</Characters>
  <Lines>76</Lines>
  <Paragraphs>21</Paragraphs>
  <TotalTime>1410</TotalTime>
  <ScaleCrop>false</ScaleCrop>
  <LinksUpToDate>false</LinksUpToDate>
  <CharactersWithSpaces>7521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2021-09-08T03:29:00Z</dcterms:created>
  <dc:creator>Master'霖</dc:creator>
  <cp:lastModifiedBy>Master'霖</cp:lastModifiedBy>
  <dcterms:modified xsi:type="dcterms:W3CDTF">2022-05-30T07:02:16Z</dcterms:modified>
  <dc:title>自贡市自流井区投融资服务中心2020年度部门决算编制的说明</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6D314A88730A4929B505563FE7A11E71</vt:lpwstr>
  </property>
</Properties>
</file>