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自贡市自流井区人民政府东兴寺街办事处</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both"/>
        <w:rPr>
          <w:rFonts w:ascii="仿宋_GB2312"/>
          <w:sz w:val="28"/>
          <w:szCs w:val="28"/>
        </w:rPr>
      </w:pPr>
    </w:p>
    <w:p>
      <w:pPr>
        <w:widowControl/>
        <w:jc w:val="center"/>
        <w:rPr>
          <w:rFonts w:hint="eastAsia" w:ascii="黑体" w:hAnsi="黑体" w:eastAsia="黑体"/>
          <w:color w:val="000000"/>
          <w:sz w:val="44"/>
          <w:szCs w:val="44"/>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2"/>
      </w:pP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bookmarkStart w:id="95" w:name="_GoBack"/>
      <w:bookmarkEnd w:id="95"/>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3</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15</w:t>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3</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_Toc27106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49</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49</w:t>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49</w:t>
      </w:r>
      <w:r>
        <w:rPr>
          <w:rFonts w:hint="eastAsia" w:ascii="仿宋_GB2312" w:hAnsi="仿宋_GB2312" w:eastAsia="仿宋_GB2312" w:cs="仿宋_GB2312"/>
          <w:b w:val="0"/>
          <w:bCs w:val="0"/>
          <w:i w:val="0"/>
          <w:iCs w:val="0"/>
          <w:caps/>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p>
      <w:pPr>
        <w:pStyle w:val="3"/>
        <w:jc w:val="center"/>
        <w:rPr>
          <w:rFonts w:ascii="黑体" w:eastAsia="黑体"/>
          <w:color w:val="000000"/>
          <w:sz w:val="32"/>
          <w:szCs w:val="32"/>
        </w:rPr>
      </w:pPr>
      <w:bookmarkStart w:id="0" w:name="_Toc10567"/>
      <w:r>
        <w:rPr>
          <w:rFonts w:hint="eastAsia" w:ascii="黑体" w:hAnsi="黑体" w:eastAsia="黑体"/>
          <w:b w:val="0"/>
        </w:rPr>
        <w:t>第一部分</w:t>
      </w:r>
      <w:r>
        <w:rPr>
          <w:rFonts w:ascii="黑体" w:hAnsi="黑体" w:eastAsia="黑体"/>
          <w:b w:val="0"/>
        </w:rPr>
        <w:t xml:space="preserve"> </w:t>
      </w:r>
      <w:r>
        <w:rPr>
          <w:rStyle w:val="17"/>
          <w:rFonts w:hint="eastAsia" w:ascii="黑体" w:hAnsi="黑体" w:eastAsia="黑体"/>
          <w:b w:val="0"/>
          <w:bCs w:val="0"/>
        </w:rPr>
        <w:t>部门概况</w:t>
      </w:r>
      <w:bookmarkEnd w:id="0"/>
    </w:p>
    <w:p>
      <w:pPr>
        <w:pStyle w:val="4"/>
        <w:rPr>
          <w:rStyle w:val="18"/>
          <w:rFonts w:ascii="仿宋" w:hAnsi="仿宋" w:eastAsia="仿宋"/>
          <w:b w:val="0"/>
          <w:bCs w:val="0"/>
        </w:rPr>
      </w:pPr>
      <w:bookmarkStart w:id="1" w:name="_Toc15377197"/>
      <w:bookmarkStart w:id="2" w:name="_Toc21498"/>
      <w:bookmarkStart w:id="3" w:name="_Toc15396600"/>
      <w:r>
        <w:rPr>
          <w:rFonts w:hint="eastAsia" w:ascii="黑体" w:hAnsi="黑体" w:eastAsia="黑体"/>
          <w:b w:val="0"/>
          <w:color w:val="000000"/>
        </w:rPr>
        <w:t>一、基</w:t>
      </w:r>
      <w:r>
        <w:rPr>
          <w:rStyle w:val="18"/>
          <w:rFonts w:hint="eastAsia" w:ascii="黑体" w:hAnsi="黑体" w:eastAsia="黑体"/>
          <w:b w:val="0"/>
          <w:bCs w:val="0"/>
        </w:rPr>
        <w:t>本职能及主要工作</w:t>
      </w:r>
      <w:bookmarkEnd w:id="1"/>
      <w:bookmarkEnd w:id="2"/>
      <w:bookmarkEnd w:id="3"/>
    </w:p>
    <w:p>
      <w:pPr>
        <w:pStyle w:val="2"/>
        <w:adjustRightInd w:val="0"/>
        <w:snapToGrid w:val="0"/>
        <w:spacing w:before="93" w:line="600" w:lineRule="exact"/>
        <w:outlineLvl w:val="2"/>
        <w:rPr>
          <w:rFonts w:hint="eastAsia" w:ascii="仿宋" w:hAnsi="仿宋" w:eastAsia="仿宋"/>
          <w:bCs/>
          <w:color w:val="000000"/>
          <w:sz w:val="32"/>
          <w:szCs w:val="32"/>
        </w:rPr>
      </w:pPr>
      <w:bookmarkStart w:id="4" w:name="_Toc15377198"/>
      <w:bookmarkStart w:id="5" w:name="_Toc15378445"/>
      <w:r>
        <w:rPr>
          <w:rFonts w:hint="eastAsia" w:ascii="仿宋" w:hAnsi="仿宋" w:eastAsia="仿宋"/>
          <w:bCs/>
          <w:color w:val="000000"/>
          <w:sz w:val="32"/>
          <w:szCs w:val="32"/>
        </w:rPr>
        <w:t>（一）主要职能。</w:t>
      </w:r>
      <w:bookmarkEnd w:id="4"/>
      <w:bookmarkEnd w:id="5"/>
    </w:p>
    <w:p>
      <w:pPr>
        <w:autoSpaceDN w:val="0"/>
        <w:spacing w:line="596" w:lineRule="exact"/>
        <w:ind w:firstLine="640" w:firstLineChars="200"/>
        <w:rPr>
          <w:rFonts w:hint="eastAsia" w:ascii="仿宋_GB2312" w:eastAsia="仿宋_GB2312"/>
          <w:b w:val="0"/>
          <w:bCs w:val="0"/>
          <w:color w:val="auto"/>
          <w:sz w:val="32"/>
          <w:szCs w:val="32"/>
        </w:rPr>
      </w:pPr>
      <w:r>
        <w:rPr>
          <w:rFonts w:hint="eastAsia" w:ascii="仿宋_GB2312" w:eastAsia="仿宋_GB2312"/>
          <w:color w:val="auto"/>
          <w:sz w:val="32"/>
          <w:szCs w:val="32"/>
          <w:lang w:eastAsia="zh-CN"/>
        </w:rPr>
        <w:t>自贡市自流井区人民政府东兴寺街办事处是基层行政机关，</w:t>
      </w:r>
      <w:r>
        <w:rPr>
          <w:rFonts w:hint="eastAsia" w:ascii="仿宋_GB2312" w:eastAsia="仿宋_GB2312"/>
          <w:color w:val="auto"/>
          <w:sz w:val="32"/>
          <w:szCs w:val="32"/>
        </w:rPr>
        <w:t>宣传贯彻执行党的路线、方针、政策和国家的法律、法规、规章以及上级党委、政府的决议、决定，加强党的建设。按照职责范围，做好街道范围内的城市管理、社会管理、安全生产、应急、防汛救灾、生态环保、市容环境卫生、园林绿化等监督、管理、协调、服务工作。</w:t>
      </w:r>
      <w:r>
        <w:rPr>
          <w:rFonts w:hint="eastAsia" w:ascii="仿宋_GB2312" w:eastAsia="仿宋_GB2312"/>
          <w:color w:val="auto"/>
          <w:sz w:val="32"/>
          <w:szCs w:val="32"/>
          <w:lang w:eastAsia="zh-CN"/>
        </w:rPr>
        <w:t>做好街道的信访工作及平安建设、公共安全工作。 承担民族宗教、拥军优属、社区文化、卫生健康、教育体育、社会保障、民政、科技、统计等工作。负</w:t>
      </w:r>
      <w:r>
        <w:rPr>
          <w:rFonts w:hint="eastAsia" w:ascii="仿宋_GB2312" w:eastAsia="仿宋_GB2312"/>
          <w:color w:val="auto"/>
          <w:sz w:val="32"/>
          <w:szCs w:val="32"/>
        </w:rPr>
        <w:t>责社区治理，指导社区基层群众性自治组织建设， 健全自治平台，组织居民和辖区单位参与社区建设和管理。协助做好国防教育和兵役等工作</w:t>
      </w:r>
      <w:r>
        <w:rPr>
          <w:rFonts w:hint="eastAsia" w:ascii="仿宋_GB2312" w:eastAsia="仿宋_GB2312"/>
          <w:color w:val="auto"/>
          <w:sz w:val="32"/>
          <w:szCs w:val="32"/>
          <w:lang w:eastAsia="zh-CN"/>
        </w:rPr>
        <w:t>，</w:t>
      </w:r>
      <w:r>
        <w:rPr>
          <w:rFonts w:hint="eastAsia" w:ascii="仿宋_GB2312" w:eastAsia="仿宋_GB2312"/>
          <w:color w:val="auto"/>
          <w:sz w:val="32"/>
          <w:szCs w:val="32"/>
        </w:rPr>
        <w:t>按照权限负责街道综合行政执法工作</w:t>
      </w:r>
      <w:r>
        <w:rPr>
          <w:rFonts w:hint="eastAsia" w:ascii="仿宋_GB2312" w:eastAsia="仿宋_GB2312"/>
          <w:color w:val="auto"/>
          <w:sz w:val="32"/>
          <w:szCs w:val="32"/>
          <w:lang w:eastAsia="zh-CN"/>
        </w:rPr>
        <w:t>。</w:t>
      </w:r>
      <w:r>
        <w:rPr>
          <w:rFonts w:hint="eastAsia" w:ascii="仿宋_GB2312" w:eastAsia="仿宋_GB2312"/>
          <w:color w:val="auto"/>
          <w:sz w:val="32"/>
          <w:szCs w:val="32"/>
        </w:rPr>
        <w:t>完善健全街道财政管理体制；编制财政预算计划；完成法律、法规、规章规</w:t>
      </w:r>
      <w:r>
        <w:rPr>
          <w:rFonts w:hint="eastAsia" w:ascii="仿宋_GB2312" w:eastAsia="仿宋_GB2312"/>
          <w:b w:val="0"/>
          <w:bCs w:val="0"/>
          <w:color w:val="auto"/>
          <w:sz w:val="32"/>
          <w:szCs w:val="32"/>
        </w:rPr>
        <w:t>定的其他职能和上级党委</w:t>
      </w: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rPr>
        <w:t>政府交办的其他任务。</w:t>
      </w:r>
    </w:p>
    <w:p>
      <w:pPr>
        <w:pStyle w:val="2"/>
        <w:ind w:firstLine="320" w:firstLineChars="100"/>
        <w:rPr>
          <w:rFonts w:hint="eastAsia"/>
          <w:b w:val="0"/>
          <w:bCs w:val="0"/>
        </w:rPr>
      </w:pPr>
      <w:bookmarkStart w:id="6" w:name="_Toc15378446"/>
      <w:bookmarkStart w:id="7" w:name="_Toc15377199"/>
      <w:r>
        <w:rPr>
          <w:rFonts w:hint="eastAsia" w:ascii="仿宋" w:hAnsi="仿宋" w:eastAsia="仿宋"/>
          <w:b w:val="0"/>
          <w:bCs w:val="0"/>
          <w:color w:val="000000"/>
          <w:sz w:val="32"/>
          <w:szCs w:val="32"/>
        </w:rPr>
        <w:t>（二）</w:t>
      </w:r>
      <w:r>
        <w:rPr>
          <w:rFonts w:ascii="仿宋" w:hAnsi="仿宋" w:eastAsia="仿宋"/>
          <w:b w:val="0"/>
          <w:bCs w:val="0"/>
          <w:color w:val="000000"/>
          <w:sz w:val="32"/>
          <w:szCs w:val="32"/>
        </w:rPr>
        <w:t>2020</w:t>
      </w:r>
      <w:r>
        <w:rPr>
          <w:rFonts w:hint="eastAsia" w:ascii="仿宋" w:hAnsi="仿宋" w:eastAsia="仿宋"/>
          <w:b w:val="0"/>
          <w:bCs w:val="0"/>
          <w:color w:val="000000"/>
          <w:sz w:val="32"/>
          <w:szCs w:val="32"/>
        </w:rPr>
        <w:t>年重点工作完成情况。</w:t>
      </w:r>
      <w:bookmarkEnd w:id="6"/>
      <w:bookmarkEnd w:id="7"/>
    </w:p>
    <w:p>
      <w:pPr>
        <w:numPr>
          <w:ilvl w:val="0"/>
          <w:numId w:val="0"/>
        </w:numPr>
        <w:ind w:left="420" w:leftChars="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1、坚持党建引领，谋实抓牢主责主业</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拔高意识形态。一是严格对照《2020年中心组学习计划》逐项落实，深入学习党的十九大精神、十九届四中全会、两会等会议精神，全年累计学习11次。二是购置《习近平谈治国理论》（第三卷）读本，全年共组织机关办所及各社区集中学习2次。三是街道领导班子落实意识形态责任制，党工委书记带头承担主体责任，组织街道党工委班子成员专项研究学习意识形态工作4次。</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夯实阵地建设。一是打造区域性党群服务中心。选址自流井区仁和路77号，现已完成基础硬装，同步进行软装，新建了社工站，搭设军人之家、暖心家园、东兴书院、舞蹈室等邻里客厅功能，并引入社会组织参与运营。2020年累计整合资金150万元用于购买社会组织服务。目前已开展居家养老服务、重度残疾人照护服务、社区环境综合治理、社区精神障碍康复治疗服务等多项政府购买项目。二是稳步推进社区亲民化改造。钟云山社区设计平面图已生成，现处于居民意见征求阶段；云井社区、新华路社区、解放桥社区亲民化改造已完成，毛家坝社区正在装修改造中。</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创新社会治理。一是强化城市党建共建格局。坚持“高位引领、项目支撑、协同治理”工作思路。我街檀木林社区与9个市级部门、20余个区级部门建立包挂关系，签订共治协议，定期联席议会，落实七大类项目投入经费15万元用于社区治理。毛家坝社区依托川西南矿区、市财政局、等单位资源，开展“关爱在社区、助力社区治理”活动，累计争取经费20余万元用于三创联动、社区亲民化改造。新华路社区与辖区单位恒丰银行、汇源房产等深度合作，活动共办，公益相连，为辖区内困难青少年、困难党员捐款捐物2万余元，并联合打造居民健康文化中心。二是领办企业反哺社会治理。领办自贡市文兴物业管理有限公司，承接伍家坝临时农贸市场管理、社区环境治理等项目。现拥有员工19人，新增就业岗位500人以上，2020年预估利润30万元。搭建社区企业服务中心，确定领导小组、指导员强化党建引领及日常监管，率先出台《东兴寺街社区企业管理指导意见》，明确社区企业的形式、管理方式、议事规则、重大事项处理流程等，确保正确办企方向。三是打造红色物业治理典范。按照“六抓六有”工作思路，形成了以紫檀国际为代表的“红色物业”和以钟云山北苑B区为代表的自管组模式。紫檀国际社区建立综合党委形成小区治理共同体，小区党支部书记依照合法程序担任业委会主任，领导小区议事协商，建立民情回音壁完善民情反馈机制，盘整资源与自贡供销合作社联合开展便民超市造血反哺小区治理。钟云山北苑B区通过挖掘领头人、订立规章制度、盘活小区资源、居民共同参等四要素强化治理，社会组织项目支持吸引更多居民参与小区治理，以移动民情收集与反馈畅通民生诉求渠道，不断完善小区环境，浓厚人文关怀。</w:t>
      </w:r>
    </w:p>
    <w:p>
      <w:pPr>
        <w:numPr>
          <w:ilvl w:val="0"/>
          <w:numId w:val="0"/>
        </w:numPr>
        <w:ind w:firstLine="320" w:firstLineChars="100"/>
        <w:jc w:val="both"/>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sz w:val="32"/>
          <w:szCs w:val="32"/>
          <w:lang w:val="en-US" w:eastAsia="zh-CN"/>
        </w:rPr>
        <w:t>（4）强化党风廉政建设。</w:t>
      </w:r>
      <w:r>
        <w:rPr>
          <w:rFonts w:hint="eastAsia" w:ascii="仿宋" w:hAnsi="仿宋" w:eastAsia="仿宋" w:cs="仿宋"/>
          <w:b w:val="0"/>
          <w:bCs w:val="0"/>
          <w:color w:val="auto"/>
          <w:kern w:val="0"/>
          <w:sz w:val="32"/>
          <w:szCs w:val="32"/>
          <w:lang w:val="en-US" w:eastAsia="zh-CN" w:bidi="ar"/>
        </w:rPr>
        <w:t>以市、区督查通报的85个问题为重点，加强督促整改，对1个社区、2名工作人员在防疫工作中履职不力进行了全街通报批评。结合上级纪委全会精神，和全街工作实际，理清了2020年工作思路，制定了《2020年党风廉政建设和反腐败工作意见》、《2020年各社区专项交叉监督检查工作方案》等制度，组织各社区开展专项交叉监督检查，共计发现问题101个，全部督促整改到位。组织全街机关和社区共285名干部签订2020年廉洁承诺书，</w:t>
      </w:r>
      <w:r>
        <w:rPr>
          <w:rFonts w:hint="eastAsia" w:ascii="仿宋" w:hAnsi="仿宋" w:eastAsia="仿宋" w:cs="仿宋"/>
          <w:b w:val="0"/>
          <w:bCs w:val="0"/>
          <w:sz w:val="32"/>
          <w:szCs w:val="32"/>
          <w:lang w:eastAsia="zh-CN"/>
        </w:rPr>
        <w:t>进一步统一思想，深化认识。</w:t>
      </w:r>
      <w:r>
        <w:rPr>
          <w:rFonts w:hint="eastAsia" w:ascii="仿宋" w:hAnsi="仿宋" w:eastAsia="仿宋" w:cs="仿宋"/>
          <w:b w:val="0"/>
          <w:bCs w:val="0"/>
          <w:sz w:val="32"/>
          <w:szCs w:val="32"/>
        </w:rPr>
        <w:t>创新工作方式，搭建“四平台”解决民生诉求，提升居民满意度。</w:t>
      </w:r>
      <w:r>
        <w:rPr>
          <w:rFonts w:hint="eastAsia" w:ascii="仿宋" w:hAnsi="仿宋" w:eastAsia="仿宋" w:cs="仿宋"/>
          <w:b w:val="0"/>
          <w:bCs w:val="0"/>
          <w:color w:val="auto"/>
          <w:kern w:val="0"/>
          <w:sz w:val="32"/>
          <w:szCs w:val="32"/>
          <w:lang w:val="en-US" w:eastAsia="zh-CN" w:bidi="ar"/>
        </w:rPr>
        <w:t>截至目前，共办理了结信访举报3件，办理问题线索3件。</w:t>
      </w:r>
    </w:p>
    <w:p>
      <w:pPr>
        <w:numPr>
          <w:ilvl w:val="0"/>
          <w:numId w:val="0"/>
        </w:numPr>
        <w:ind w:left="420" w:leftChars="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2、落实精准施策，强抓狠抓疫情防控</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（1）防疫前期。累计入户摸排26000余户；开展辖区内消毒消杀万余栋，落实小区（区域）封闭管理工作，设立疫情防控检查点；对重点人员实行24小时轮班值守制度。</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（2）防疫中期。设置“便民流动菜市”，累计为8000余户居民提供近40吨蔬菜、0.6 吨肉类；建设“两代爱心服务”平台，共计为170余户居民送去 300余件生活用品。抽调街社干部近30名，组织9个企业排查管控小组，专门成立3支企业复工巡查小队，对复工企业防控落实情况进行跟踪巡查，督促整改。</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防疫后期。严格落实“外防输入、内防反弹”要求，做好返乡人员的摸排和登记，重点地区提前申报登记，认真落实“提前三天申报，抵市后1小时报告”制度，及时更新风险地区信息，对居家空管人员，有人值守、有台账。</w:t>
      </w:r>
    </w:p>
    <w:p>
      <w:pPr>
        <w:numPr>
          <w:ilvl w:val="0"/>
          <w:numId w:val="0"/>
        </w:numPr>
        <w:ind w:left="420" w:leftChars="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3、聚焦项目建设，推进夯实基础设施</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开展棚改攻坚工作。接手市上交办的川矿40栋、廻东路4组和大安区划转的金胜村15组、17组、18组征收攻坚工作，组建5个工作小组，全力开展最后38户的征收工作，并协调辖区派出所共同开展自贡市东部新城污水管网及绿化景观建设秩序维护工作和东部新城二期基础设施建设秩序维护工作。完成化解金胜17组廖伦家因大安区和平街征地发生的阻工。</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开展东部新城基础设施建设征收工作。街道主要领导牵头，班子成员全员参与，抽调专人负责该区域内鸿化厂、精化院、防化营等56475.54㎡建筑物征收工作，现已进入资产评估阶段。10月，新承接市上交办的自贡市东部新城污水管网一期配套设施建设征收工作，完成摸底评估工作，现进入资产评估和签约阶段。已完成2户单位和1户农户签约，协调碳研院等3家单位先期同意拆除房屋后再履行赔付手续。</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3）开展云井社区钟云山路拓宽改造工作。为落实道路改造项目，街道社区全力推进道路两侧于90年代修建的无证建筑拆除工作。通过耐心细致宣传和沟通工作，截至5月12日，道路侧的19户无证建筑已有16户同意拆除，剩余3户已于5月14日发出依法拆除通知，全力确保项目早日落地落实，进一步改善辖区交通和居住环境。</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4）开展老旧小区改造工作。组织居民成立自改组9个，共建共治共享机制初步形成。积极开展老旧小区前期摸底调查工作，分两批次共申报改造小区、片区51个。首批纳入改造计划的6个项目包含25个小区、片区，9631户，设计概算4850.5万元，钟云山老旧小区改造已进入施工阶段，其余5个项目已完成初步设计，正在进行修改优化，预计年内开工。</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i w:val="0"/>
          <w:iCs w:val="0"/>
          <w:color w:val="auto"/>
          <w:sz w:val="32"/>
          <w:szCs w:val="32"/>
          <w:lang w:val="en-US" w:eastAsia="zh-CN"/>
        </w:rPr>
        <w:t>（5）提升经济指标质量。</w:t>
      </w:r>
      <w:r>
        <w:rPr>
          <w:rFonts w:hint="eastAsia" w:ascii="仿宋" w:hAnsi="仿宋" w:eastAsia="仿宋" w:cs="仿宋"/>
          <w:b w:val="0"/>
          <w:bCs w:val="0"/>
          <w:color w:val="auto"/>
          <w:sz w:val="32"/>
          <w:szCs w:val="32"/>
          <w:lang w:val="en-US" w:eastAsia="zh-CN"/>
        </w:rPr>
        <w:t>本年度新增规模以上服务企业1家，新增规模以上商贸个体户9户，城镇居民人均可支配收入前三季度完成区上下达的6%的增幅任务，</w:t>
      </w:r>
      <w:r>
        <w:rPr>
          <w:rFonts w:hint="eastAsia" w:ascii="仿宋" w:hAnsi="仿宋" w:eastAsia="仿宋" w:cs="仿宋"/>
          <w:b w:val="0"/>
          <w:bCs w:val="0"/>
          <w:color w:val="auto"/>
          <w:sz w:val="32"/>
          <w:szCs w:val="32"/>
        </w:rPr>
        <w:t>1-10月对上争取完成27.1万元，占目标任务27.1%</w:t>
      </w:r>
      <w:r>
        <w:rPr>
          <w:rFonts w:hint="eastAsia" w:ascii="仿宋" w:hAnsi="仿宋" w:eastAsia="仿宋" w:cs="仿宋"/>
          <w:b w:val="0"/>
          <w:bCs w:val="0"/>
          <w:color w:val="auto"/>
          <w:sz w:val="32"/>
          <w:szCs w:val="32"/>
          <w:lang w:eastAsia="zh-CN"/>
        </w:rPr>
        <w:t>。</w:t>
      </w:r>
    </w:p>
    <w:p>
      <w:pPr>
        <w:numPr>
          <w:ilvl w:val="0"/>
          <w:numId w:val="0"/>
        </w:numPr>
        <w:ind w:left="420" w:leftChars="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4、切实保障民生，落实各项惠民政策</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sz w:val="32"/>
          <w:szCs w:val="32"/>
          <w:lang w:val="en-US" w:eastAsia="zh-CN"/>
        </w:rPr>
        <w:t>一是就业方面。2020年共办理《就业失业登记证》357个，开发公益性岗位并申请补贴51人。城镇新增就业772人，完成目标任务的85.58%；城镇失业人员再就业完成799人，完成目标任务的133.17%；就业困难人员再就业251人，完成目标任务的100%。全民参保859人，完成目标任务的60.49%。二是城镇居民医疗保险方面。已完成续保5755人。三是退役军人方面。建立一人一档2739人，基本实现全覆盖，召开慰问座谈共计19场次，慰问人数6098人，共计发放慰问金319400元。解决退役军人公益性岗位需求14人，每月发放岗位效效考核补贴共计51000元。</w:t>
      </w:r>
      <w:r>
        <w:rPr>
          <w:rFonts w:hint="eastAsia" w:ascii="仿宋" w:hAnsi="仿宋" w:eastAsia="仿宋" w:cs="仿宋"/>
          <w:b w:val="0"/>
          <w:bCs w:val="0"/>
          <w:sz w:val="32"/>
          <w:szCs w:val="32"/>
        </w:rPr>
        <w:t>成功化解矛盾9次</w:t>
      </w:r>
      <w:r>
        <w:rPr>
          <w:rFonts w:hint="eastAsia" w:ascii="仿宋" w:hAnsi="仿宋" w:eastAsia="仿宋" w:cs="仿宋"/>
          <w:b w:val="0"/>
          <w:bCs w:val="0"/>
          <w:sz w:val="32"/>
          <w:szCs w:val="32"/>
          <w:lang w:eastAsia="zh-CN"/>
        </w:rPr>
        <w:t>，纳入低保共计10人，发放最低生活保证金46650元。</w:t>
      </w:r>
      <w:r>
        <w:rPr>
          <w:rFonts w:hint="eastAsia" w:ascii="仿宋" w:hAnsi="仿宋" w:eastAsia="仿宋" w:cs="仿宋"/>
          <w:b w:val="0"/>
          <w:bCs w:val="0"/>
          <w:color w:val="auto"/>
          <w:sz w:val="32"/>
          <w:szCs w:val="32"/>
          <w:lang w:eastAsia="zh-CN"/>
        </w:rPr>
        <w:t>四是困难残疾人生活补贴。定时为218人发放补贴，及时审核上报发放重度残疾人护理补贴，现有享受对象523人；按照新保障标准调整的低保在保对象的普调及补发、系统更新工作，现有低保户643户928人，累计发放低保金3450393元，确保困难群众及时足额领取救助资金；及时审核上报困难群众救助申请，及时发放救助金8780元。五是绿色惠民殡葬方面。发放补贴329人共计116433元；开展日间照料中心整治工作，及时清理上报日间照料中心运营经费情况和运营整改措施情况。六是高龄补贴方面。及时申报发放高龄补贴，现有享受对象80岁及以上的2676人，90岁及以上的323人，100岁及以上的4人。做好慈善助学工作，共成功申报9个大学生和1个高中生，发放助学金16000元。</w:t>
      </w:r>
    </w:p>
    <w:p>
      <w:pPr>
        <w:numPr>
          <w:ilvl w:val="0"/>
          <w:numId w:val="0"/>
        </w:numPr>
        <w:ind w:left="420" w:leftChars="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5、聚力三创联动，着力提升城市品质</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抓好创文创卫工作。东街今年累计集中入户宣传260余次，达到入户全覆盖，集中街面宣传130余次，累计开展志愿活动300余次，参与志愿者人数4000余人次，清洗垃圾桶2000余个，清理卫生死角280余处，清理垃圾50余吨，清理牛皮癣3500余处，发放宣传资料6万余份，积极营造创建氛围，制作公益广告600余幅。聚焦"六大攻坚"，立足于干，落实于行，少说多做抓落实，聚焦问题强整改，完成辖区累计14处旱厕清零任务，高标准落实背街清扫，河道保洁，全面清除一品湾区域、火车站沿线垃圾山等突出问题。</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抓好环境保护工作。领导班子党政联系会前学习环保法、环评法、水污染防治法等环境保护相关的法律法规4次。收集生态环境保护类问题线索已完成217条，已超额完成区环保局下达的200条目标任务。协助区环保局排查、处理涉水、噪音、大气污染等环保问题30余次。排查管网破损污水溢流点位8处，已整改7处。</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抓好“河湖长制”工作。全年总河长截止到10月累计巡河66次，计上报区河长办8个问题点位，其中已整改7个点位，毛家坝玻璃房子处问题点位还未整改，各沿河社区河长累计巡河达110次左右。完成辖区内5座桥梁疑似乱建、2处河道内疑似乱搭的认定工作，全街清理河岸垃圾组织清扫保洁620人次，清理河边垃圾20.5吨，清理河面漂浮物18 吨。</w:t>
      </w:r>
    </w:p>
    <w:p>
      <w:pPr>
        <w:numPr>
          <w:ilvl w:val="0"/>
          <w:numId w:val="0"/>
        </w:numPr>
        <w:ind w:left="420" w:leftChars="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6、注重稳控结合，筑牢街区平安保障</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（1）推进纠纷排查化解。</w:t>
      </w:r>
      <w:r>
        <w:rPr>
          <w:rFonts w:hint="eastAsia" w:ascii="仿宋" w:hAnsi="仿宋" w:eastAsia="仿宋" w:cs="仿宋"/>
          <w:b w:val="0"/>
          <w:bCs w:val="0"/>
          <w:color w:val="auto"/>
          <w:sz w:val="32"/>
          <w:szCs w:val="32"/>
          <w:lang w:val="en-US" w:eastAsia="zh-CN"/>
        </w:rPr>
        <w:t>累计收集民生诉求640件，</w:t>
      </w:r>
      <w:r>
        <w:rPr>
          <w:rFonts w:hint="eastAsia" w:ascii="仿宋" w:hAnsi="仿宋" w:eastAsia="仿宋" w:cs="仿宋"/>
          <w:b w:val="0"/>
          <w:bCs w:val="0"/>
          <w:sz w:val="32"/>
          <w:szCs w:val="32"/>
          <w:lang w:val="en-US" w:eastAsia="zh-CN"/>
        </w:rPr>
        <w:t>解决640件，群众满意度100%。收集矛盾纠纷6650件，处理6650件，调处率100%，调解成功率达100%。建立“四级平安微信群”59个，涉及人数3500多人。</w:t>
      </w:r>
    </w:p>
    <w:p>
      <w:pPr>
        <w:numPr>
          <w:ilvl w:val="0"/>
          <w:numId w:val="0"/>
        </w:numPr>
        <w:ind w:firstLine="320" w:firstLineChars="1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sz w:val="32"/>
          <w:szCs w:val="32"/>
          <w:lang w:val="en-US" w:eastAsia="zh-CN"/>
        </w:rPr>
        <w:t>（2）开展扫黄打非工作。</w:t>
      </w:r>
      <w:r>
        <w:rPr>
          <w:rFonts w:hint="eastAsia" w:ascii="仿宋" w:hAnsi="仿宋" w:eastAsia="仿宋" w:cs="仿宋"/>
          <w:b w:val="0"/>
          <w:bCs w:val="0"/>
          <w:color w:val="auto"/>
          <w:sz w:val="32"/>
          <w:szCs w:val="32"/>
          <w:lang w:val="en-US" w:eastAsia="zh-CN"/>
        </w:rPr>
        <w:t>完成基层“扫黄打非”网格规范化标准化建设，建立东兴寺街办事处扫黄打非办公室，9个社区扫黄打非工作点。联合相关单位开展扫黄打非集中整治31次，发现问题1个，已协同派出所民警处理。</w:t>
      </w:r>
    </w:p>
    <w:p>
      <w:pPr>
        <w:numPr>
          <w:ilvl w:val="0"/>
          <w:numId w:val="0"/>
        </w:numPr>
        <w:ind w:firstLine="320" w:firstLineChars="1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常态化开展信访维稳。一是做好市级领导包案信访问题“谈天路”路段阻挡应急通道的维稳工作。二是完成两会信访维稳工作，十九届五中全会信访维稳工作，灯光节开幕式信访维稳工作，无到京到省非法上访人员。完成近40次重点点位信访维稳工作。</w:t>
      </w:r>
    </w:p>
    <w:p>
      <w:pPr>
        <w:numPr>
          <w:ilvl w:val="0"/>
          <w:numId w:val="0"/>
        </w:numPr>
        <w:ind w:firstLine="320" w:firstLineChars="100"/>
        <w:jc w:val="both"/>
        <w:rPr>
          <w:rFonts w:ascii="仿宋" w:hAnsi="仿宋" w:eastAsia="仿宋"/>
          <w:bCs/>
          <w:color w:val="000000"/>
          <w:sz w:val="32"/>
          <w:szCs w:val="32"/>
        </w:rPr>
      </w:pPr>
      <w:r>
        <w:rPr>
          <w:rFonts w:hint="eastAsia" w:ascii="仿宋" w:hAnsi="仿宋" w:eastAsia="仿宋" w:cs="仿宋"/>
          <w:b w:val="0"/>
          <w:bCs w:val="0"/>
          <w:sz w:val="32"/>
          <w:szCs w:val="32"/>
          <w:lang w:val="en-US" w:eastAsia="zh-CN"/>
        </w:rPr>
        <w:t>（4）筑牢安全生产防线。街道社区共组织暗访检查72次，检查企事业单位20余家，主要涉及建筑施工工地、烟花爆竹民爆物品、消防、电力水利及公共安全及其他行业领域五个方面的安全内容检查。发现隐患2处，督改2处。</w:t>
      </w:r>
    </w:p>
    <w:p>
      <w:pPr>
        <w:pStyle w:val="4"/>
        <w:rPr>
          <w:rStyle w:val="18"/>
          <w:b w:val="0"/>
          <w:bCs w:val="0"/>
        </w:rPr>
      </w:pPr>
      <w:bookmarkStart w:id="8" w:name="_Toc6092"/>
      <w:bookmarkStart w:id="9" w:name="_Toc15396601"/>
      <w:bookmarkStart w:id="10" w:name="_Toc15377200"/>
      <w:r>
        <w:rPr>
          <w:rFonts w:hint="eastAsia" w:ascii="黑体" w:eastAsia="黑体"/>
          <w:b w:val="0"/>
          <w:color w:val="000000"/>
        </w:rPr>
        <w:t>二、</w:t>
      </w:r>
      <w:r>
        <w:rPr>
          <w:rFonts w:hint="eastAsia" w:ascii="黑体" w:hAnsi="黑体" w:eastAsia="黑体"/>
          <w:b w:val="0"/>
          <w:color w:val="000000"/>
        </w:rPr>
        <w:t>机</w:t>
      </w:r>
      <w:r>
        <w:rPr>
          <w:rStyle w:val="18"/>
          <w:rFonts w:hint="eastAsia" w:ascii="黑体" w:hAnsi="黑体" w:eastAsia="黑体"/>
          <w:b w:val="0"/>
          <w:bCs w:val="0"/>
        </w:rPr>
        <w:t>构设置</w:t>
      </w:r>
      <w:bookmarkEnd w:id="8"/>
      <w:bookmarkEnd w:id="9"/>
      <w:bookmarkEnd w:id="10"/>
    </w:p>
    <w:p>
      <w:pPr>
        <w:pStyle w:val="2"/>
        <w:adjustRightInd w:val="0"/>
        <w:snapToGrid w:val="0"/>
        <w:spacing w:before="93" w:line="600" w:lineRule="exact"/>
        <w:ind w:firstLine="672" w:firstLineChars="210"/>
        <w:outlineLvl w:val="2"/>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自贡市自流井区人民政府东兴寺街办事处（本级）下属二级单位1个，其中行政单位0个，参照公务员法管理的事业单位0个，其他事业单位1个。</w:t>
      </w:r>
    </w:p>
    <w:p>
      <w:pPr>
        <w:pStyle w:val="2"/>
        <w:adjustRightInd w:val="0"/>
        <w:snapToGrid w:val="0"/>
        <w:spacing w:before="93" w:line="600" w:lineRule="exact"/>
        <w:ind w:firstLine="672" w:firstLineChars="210"/>
        <w:outlineLvl w:val="2"/>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纳入自贡市自流井区人民政府东兴寺街办事处2019年度部门决算编制范围的二级预算单位包括：</w:t>
      </w:r>
    </w:p>
    <w:p>
      <w:pPr>
        <w:pStyle w:val="2"/>
        <w:adjustRightInd w:val="0"/>
        <w:snapToGrid w:val="0"/>
        <w:spacing w:before="93" w:line="600" w:lineRule="exact"/>
        <w:ind w:firstLine="672" w:firstLineChars="210"/>
        <w:outlineLvl w:val="2"/>
        <w:rPr>
          <w:rFonts w:hint="eastAsia" w:ascii="仿宋" w:hAnsi="仿宋" w:eastAsia="仿宋"/>
          <w:bCs/>
          <w:color w:val="auto"/>
          <w:sz w:val="32"/>
          <w:szCs w:val="32"/>
          <w:lang w:val="en-US" w:eastAsia="zh-CN"/>
        </w:rPr>
      </w:pPr>
      <w:bookmarkStart w:id="11" w:name="_Toc15377433"/>
      <w:bookmarkStart w:id="12" w:name="_Toc15378449"/>
      <w:bookmarkStart w:id="13" w:name="_Toc15306276"/>
      <w:bookmarkStart w:id="14" w:name="_Toc15377202"/>
      <w:r>
        <w:rPr>
          <w:rFonts w:hint="eastAsia" w:ascii="仿宋" w:hAnsi="仿宋" w:eastAsia="仿宋"/>
          <w:bCs/>
          <w:color w:val="auto"/>
          <w:sz w:val="32"/>
          <w:szCs w:val="32"/>
          <w:lang w:val="en-US" w:eastAsia="zh-CN"/>
        </w:rPr>
        <w:t>自贡市自流井区东兴寺街劳动和社会保障服务所</w:t>
      </w:r>
    </w:p>
    <w:bookmarkEnd w:id="11"/>
    <w:bookmarkEnd w:id="12"/>
    <w:bookmarkEnd w:id="13"/>
    <w:bookmarkEnd w:id="14"/>
    <w:p>
      <w:pPr>
        <w:pStyle w:val="2"/>
        <w:widowControl w:val="0"/>
        <w:numPr>
          <w:ilvl w:val="0"/>
          <w:numId w:val="0"/>
        </w:numPr>
        <w:spacing w:beforeLines="30"/>
        <w:jc w:val="both"/>
      </w:pPr>
    </w:p>
    <w:p>
      <w:pPr>
        <w:pStyle w:val="2"/>
        <w:widowControl w:val="0"/>
        <w:numPr>
          <w:ilvl w:val="0"/>
          <w:numId w:val="0"/>
        </w:numPr>
        <w:spacing w:beforeLines="30"/>
        <w:jc w:val="both"/>
      </w:pPr>
    </w:p>
    <w:p>
      <w:pPr>
        <w:pStyle w:val="2"/>
        <w:widowControl w:val="0"/>
        <w:numPr>
          <w:ilvl w:val="0"/>
          <w:numId w:val="0"/>
        </w:numPr>
        <w:spacing w:beforeLines="30"/>
        <w:jc w:val="both"/>
      </w:pPr>
    </w:p>
    <w:p>
      <w:pPr>
        <w:pStyle w:val="3"/>
        <w:ind w:right="440"/>
        <w:jc w:val="right"/>
      </w:pPr>
      <w:bookmarkStart w:id="15" w:name="_Toc23109"/>
      <w:bookmarkStart w:id="16" w:name="_Toc15377204"/>
      <w:bookmarkStart w:id="17" w:name="_Toc15396602"/>
      <w:r>
        <w:rPr>
          <w:rFonts w:hint="eastAsia" w:ascii="黑体" w:hAnsi="黑体" w:eastAsia="黑体"/>
          <w:b w:val="0"/>
          <w:color w:val="000000"/>
        </w:rPr>
        <w:t>第二部分</w:t>
      </w:r>
      <w:r>
        <w:rPr>
          <w:rFonts w:ascii="黑体" w:hAnsi="黑体" w:eastAsia="黑体"/>
          <w:color w:val="000000"/>
        </w:rPr>
        <w:t xml:space="preserve"> </w:t>
      </w:r>
      <w:r>
        <w:rPr>
          <w:rStyle w:val="17"/>
          <w:rFonts w:ascii="黑体" w:hAnsi="黑体" w:eastAsia="黑体"/>
          <w:b w:val="0"/>
          <w:bCs w:val="0"/>
        </w:rPr>
        <w:t>2020</w:t>
      </w:r>
      <w:r>
        <w:rPr>
          <w:rStyle w:val="17"/>
          <w:rFonts w:hint="eastAsia" w:ascii="黑体" w:hAnsi="黑体" w:eastAsia="黑体"/>
          <w:b w:val="0"/>
          <w:bCs w:val="0"/>
        </w:rPr>
        <w:t>年度部门决算情况说明</w:t>
      </w:r>
      <w:bookmarkEnd w:id="15"/>
      <w:bookmarkEnd w:id="16"/>
      <w:bookmarkEnd w:id="17"/>
    </w:p>
    <w:p>
      <w:pPr>
        <w:pStyle w:val="19"/>
        <w:numPr>
          <w:ilvl w:val="0"/>
          <w:numId w:val="1"/>
        </w:numPr>
        <w:spacing w:line="600" w:lineRule="exact"/>
        <w:ind w:firstLineChars="0"/>
        <w:outlineLvl w:val="1"/>
        <w:rPr>
          <w:rStyle w:val="18"/>
          <w:rFonts w:ascii="黑体" w:hAnsi="黑体" w:eastAsia="黑体"/>
          <w:b w:val="0"/>
        </w:rPr>
      </w:pPr>
      <w:bookmarkStart w:id="18" w:name="_Toc15377205"/>
      <w:bookmarkStart w:id="19" w:name="_Toc15396603"/>
      <w:bookmarkStart w:id="20" w:name="_Toc7163"/>
      <w:r>
        <w:rPr>
          <w:rFonts w:hint="eastAsia" w:ascii="黑体" w:hAnsi="黑体" w:eastAsia="黑体"/>
          <w:color w:val="000000"/>
          <w:sz w:val="32"/>
          <w:szCs w:val="32"/>
        </w:rPr>
        <w:t>收</w:t>
      </w:r>
      <w:r>
        <w:rPr>
          <w:rStyle w:val="18"/>
          <w:rFonts w:hint="eastAsia" w:ascii="黑体" w:hAnsi="黑体" w:eastAsia="黑体"/>
          <w:b w:val="0"/>
        </w:rPr>
        <w:t>入支出决算总体情况说明</w:t>
      </w:r>
      <w:bookmarkEnd w:id="18"/>
      <w:bookmarkEnd w:id="19"/>
      <w:bookmarkEnd w:id="20"/>
    </w:p>
    <w:p>
      <w:pPr>
        <w:spacing w:line="600" w:lineRule="exact"/>
        <w:ind w:firstLine="640" w:firstLineChars="200"/>
        <w:rPr>
          <w:rFonts w:hint="eastAsia" w:ascii="仿宋" w:hAnsi="仿宋" w:eastAsia="仿宋"/>
          <w:b/>
          <w:color w:val="FF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年度</w:t>
      </w:r>
      <w:r>
        <w:rPr>
          <w:rFonts w:hint="eastAsia" w:ascii="仿宋" w:hAnsi="仿宋" w:eastAsia="仿宋"/>
          <w:color w:val="000000"/>
          <w:sz w:val="32"/>
          <w:szCs w:val="32"/>
          <w:lang w:val="en-US" w:eastAsia="zh-CN"/>
        </w:rPr>
        <w:t>收入</w:t>
      </w:r>
      <w:r>
        <w:rPr>
          <w:rFonts w:hint="eastAsia" w:ascii="仿宋" w:hAnsi="仿宋" w:eastAsia="仿宋"/>
          <w:color w:val="000000"/>
          <w:sz w:val="32"/>
          <w:szCs w:val="32"/>
        </w:rPr>
        <w:t>总计</w:t>
      </w:r>
      <w:r>
        <w:rPr>
          <w:rFonts w:hint="eastAsia" w:ascii="仿宋" w:hAnsi="仿宋" w:eastAsia="仿宋"/>
          <w:color w:val="000000"/>
          <w:sz w:val="32"/>
          <w:szCs w:val="32"/>
          <w:lang w:val="en-US" w:eastAsia="zh-CN"/>
        </w:rPr>
        <w:t>833.55</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年相比，收</w:t>
      </w:r>
      <w:r>
        <w:rPr>
          <w:rFonts w:hint="eastAsia" w:ascii="仿宋" w:hAnsi="仿宋" w:eastAsia="仿宋"/>
          <w:color w:val="000000"/>
          <w:sz w:val="32"/>
          <w:szCs w:val="32"/>
          <w:lang w:val="en-US" w:eastAsia="zh-CN"/>
        </w:rPr>
        <w:t>如减少645.62</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下降44</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2019年购买办公用房，2020年减少了此项支出；政协事务支出、城乡社区支出等支出的减少。</w:t>
      </w:r>
      <w:r>
        <w:rPr>
          <w:rFonts w:ascii="仿宋" w:hAnsi="仿宋" w:eastAsia="仿宋"/>
          <w:color w:val="000000"/>
          <w:sz w:val="32"/>
          <w:szCs w:val="32"/>
        </w:rPr>
        <w:t>2020</w:t>
      </w:r>
      <w:r>
        <w:rPr>
          <w:rFonts w:hint="eastAsia" w:ascii="仿宋" w:hAnsi="仿宋" w:eastAsia="仿宋"/>
          <w:color w:val="000000"/>
          <w:sz w:val="32"/>
          <w:szCs w:val="32"/>
        </w:rPr>
        <w:t>年度</w:t>
      </w:r>
      <w:r>
        <w:rPr>
          <w:rFonts w:hint="eastAsia" w:ascii="仿宋" w:hAnsi="仿宋" w:eastAsia="仿宋"/>
          <w:color w:val="000000"/>
          <w:sz w:val="32"/>
          <w:szCs w:val="32"/>
          <w:lang w:val="en-US" w:eastAsia="zh-CN"/>
        </w:rPr>
        <w:t>支出</w:t>
      </w:r>
      <w:r>
        <w:rPr>
          <w:rFonts w:hint="eastAsia" w:ascii="仿宋" w:hAnsi="仿宋" w:eastAsia="仿宋"/>
          <w:color w:val="000000"/>
          <w:sz w:val="32"/>
          <w:szCs w:val="32"/>
        </w:rPr>
        <w:t>总计</w:t>
      </w:r>
      <w:r>
        <w:rPr>
          <w:rFonts w:hint="eastAsia" w:ascii="仿宋" w:hAnsi="仿宋" w:eastAsia="仿宋"/>
          <w:color w:val="000000"/>
          <w:sz w:val="32"/>
          <w:szCs w:val="32"/>
          <w:lang w:val="en-US" w:eastAsia="zh-CN"/>
        </w:rPr>
        <w:t>843.58</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年相比，收</w:t>
      </w:r>
      <w:r>
        <w:rPr>
          <w:rFonts w:hint="eastAsia" w:ascii="仿宋" w:hAnsi="仿宋" w:eastAsia="仿宋"/>
          <w:color w:val="000000"/>
          <w:sz w:val="32"/>
          <w:szCs w:val="32"/>
          <w:lang w:val="en-US" w:eastAsia="zh-CN"/>
        </w:rPr>
        <w:t>入减少640.06</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下降43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2019年购买办公用房，2020年减少了此项支出；政协事务支出、城乡社区支出等支出的减少。</w:t>
      </w:r>
    </w:p>
    <w:p>
      <w:pPr>
        <w:pStyle w:val="2"/>
        <w:rPr>
          <w:rFonts w:hint="eastAsia" w:ascii="仿宋" w:hAnsi="仿宋" w:eastAsia="仿宋"/>
          <w:b/>
          <w:color w:val="FF0000"/>
          <w:sz w:val="32"/>
          <w:szCs w:val="32"/>
        </w:rPr>
      </w:pPr>
      <w:r>
        <w:rPr>
          <w:rFonts w:hint="eastAsia" w:ascii="仿宋" w:hAnsi="仿宋" w:eastAsia="仿宋"/>
          <w:color w:val="FF0000"/>
          <w:sz w:val="32"/>
          <w:szCs w:val="32"/>
          <w:lang w:eastAsia="zh-CN"/>
        </w:rPr>
        <w:drawing>
          <wp:inline distT="0" distB="0" distL="114300" distR="114300">
            <wp:extent cx="5203190" cy="3876675"/>
            <wp:effectExtent l="4445" t="4445" r="12065" b="5080"/>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：收、支决算总计变动情况图）（柱状图）</w:t>
      </w:r>
    </w:p>
    <w:p>
      <w:pPr>
        <w:pStyle w:val="2"/>
        <w:rPr>
          <w:rFonts w:hint="eastAsia" w:ascii="仿宋" w:hAnsi="仿宋" w:eastAsia="仿宋"/>
          <w:color w:val="000000"/>
          <w:sz w:val="32"/>
          <w:szCs w:val="32"/>
        </w:rPr>
      </w:pPr>
    </w:p>
    <w:p>
      <w:pPr>
        <w:pStyle w:val="2"/>
        <w:rPr>
          <w:rFonts w:hint="eastAsia" w:ascii="仿宋" w:hAnsi="仿宋" w:eastAsia="仿宋"/>
          <w:color w:val="000000"/>
          <w:sz w:val="32"/>
          <w:szCs w:val="32"/>
        </w:rPr>
      </w:pPr>
    </w:p>
    <w:p>
      <w:pPr>
        <w:pStyle w:val="19"/>
        <w:numPr>
          <w:ilvl w:val="0"/>
          <w:numId w:val="1"/>
        </w:numPr>
        <w:spacing w:line="600" w:lineRule="exact"/>
        <w:ind w:firstLineChars="0"/>
        <w:outlineLvl w:val="1"/>
        <w:rPr>
          <w:rStyle w:val="18"/>
          <w:rFonts w:ascii="黑体" w:hAnsi="黑体" w:eastAsia="黑体"/>
          <w:b w:val="0"/>
        </w:rPr>
      </w:pPr>
      <w:bookmarkStart w:id="21" w:name="_Toc15396604"/>
      <w:bookmarkStart w:id="22" w:name="_Toc15377206"/>
      <w:bookmarkStart w:id="23" w:name="_Toc25258"/>
      <w:r>
        <w:rPr>
          <w:rFonts w:hint="eastAsia" w:ascii="黑体" w:hAnsi="黑体" w:eastAsia="黑体"/>
          <w:color w:val="000000"/>
          <w:sz w:val="32"/>
          <w:szCs w:val="32"/>
        </w:rPr>
        <w:t>收</w:t>
      </w:r>
      <w:r>
        <w:rPr>
          <w:rStyle w:val="18"/>
          <w:rFonts w:hint="eastAsia" w:ascii="黑体" w:hAnsi="黑体" w:eastAsia="黑体"/>
          <w:b w:val="0"/>
        </w:rPr>
        <w:t>入决算情况说明</w:t>
      </w:r>
      <w:bookmarkEnd w:id="21"/>
      <w:bookmarkEnd w:id="22"/>
      <w:bookmarkEnd w:id="23"/>
    </w:p>
    <w:p>
      <w:pPr>
        <w:spacing w:line="600" w:lineRule="exact"/>
        <w:ind w:firstLine="640" w:firstLineChars="200"/>
        <w:outlineLvl w:val="9"/>
        <w:rPr>
          <w:rFonts w:hint="eastAsia"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年本年收入合计</w:t>
      </w:r>
      <w:r>
        <w:rPr>
          <w:rFonts w:hint="eastAsia" w:ascii="仿宋" w:hAnsi="仿宋" w:eastAsia="仿宋"/>
          <w:color w:val="000000"/>
          <w:sz w:val="32"/>
          <w:szCs w:val="32"/>
          <w:lang w:val="en-US" w:eastAsia="zh-CN"/>
        </w:rPr>
        <w:t>833.55</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810.25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97</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23.3</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w:t>
      </w:r>
      <w:r>
        <w:rPr>
          <w:rFonts w:ascii="仿宋" w:hAnsi="仿宋" w:eastAsia="仿宋"/>
          <w:color w:val="000000"/>
          <w:sz w:val="32"/>
          <w:szCs w:val="32"/>
        </w:rPr>
        <w:t>%</w:t>
      </w:r>
      <w:r>
        <w:rPr>
          <w:rFonts w:hint="eastAsia" w:ascii="仿宋" w:hAnsi="仿宋" w:eastAsia="仿宋"/>
          <w:color w:val="000000"/>
          <w:sz w:val="32"/>
          <w:szCs w:val="32"/>
        </w:rPr>
        <w:t>；上级补助收入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pStyle w:val="2"/>
        <w:rPr>
          <w:rFonts w:hint="eastAsia" w:ascii="仿宋" w:hAnsi="仿宋" w:eastAsia="仿宋"/>
          <w:color w:val="000000"/>
          <w:sz w:val="32"/>
          <w:szCs w:val="32"/>
        </w:rPr>
      </w:pPr>
    </w:p>
    <w:p>
      <w:pPr>
        <w:pStyle w:val="2"/>
        <w:rPr>
          <w:rFonts w:ascii="仿宋" w:hAnsi="仿宋" w:eastAsia="仿宋"/>
          <w:color w:val="000000"/>
          <w:sz w:val="32"/>
          <w:szCs w:val="32"/>
        </w:rPr>
      </w:pPr>
      <w:r>
        <w:rPr>
          <w:rFonts w:hint="eastAsia" w:ascii="仿宋" w:hAnsi="仿宋" w:eastAsia="仿宋"/>
          <w:color w:val="FF0000"/>
          <w:sz w:val="32"/>
          <w:szCs w:val="32"/>
          <w:lang w:eastAsia="zh-CN"/>
        </w:rPr>
        <w:drawing>
          <wp:inline distT="0" distB="0" distL="114300" distR="114300">
            <wp:extent cx="5203190" cy="4533900"/>
            <wp:effectExtent l="4445" t="4445" r="1206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600" w:lineRule="exact"/>
        <w:ind w:firstLine="640" w:firstLineChars="200"/>
        <w:jc w:val="center"/>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pStyle w:val="2"/>
        <w:rPr>
          <w:rFonts w:hint="eastAsia" w:ascii="仿宋" w:hAnsi="仿宋" w:eastAsia="仿宋"/>
          <w:color w:val="000000"/>
          <w:sz w:val="32"/>
          <w:szCs w:val="32"/>
        </w:rPr>
      </w:pPr>
    </w:p>
    <w:p>
      <w:pPr>
        <w:pStyle w:val="2"/>
        <w:rPr>
          <w:rFonts w:hint="eastAsia"/>
        </w:rPr>
      </w:pPr>
    </w:p>
    <w:p>
      <w:pPr>
        <w:pStyle w:val="19"/>
        <w:numPr>
          <w:ilvl w:val="0"/>
          <w:numId w:val="1"/>
        </w:numPr>
        <w:spacing w:line="600" w:lineRule="exact"/>
        <w:ind w:firstLineChars="0"/>
        <w:outlineLvl w:val="1"/>
        <w:rPr>
          <w:rStyle w:val="18"/>
          <w:rFonts w:ascii="黑体" w:hAnsi="黑体" w:eastAsia="黑体"/>
          <w:b w:val="0"/>
        </w:rPr>
      </w:pPr>
      <w:bookmarkStart w:id="24" w:name="_Toc15377207"/>
      <w:bookmarkStart w:id="25" w:name="_Toc15396605"/>
      <w:bookmarkStart w:id="26" w:name="_Toc13725"/>
      <w:r>
        <w:rPr>
          <w:rFonts w:hint="eastAsia" w:ascii="黑体" w:hAnsi="黑体" w:eastAsia="黑体"/>
          <w:color w:val="000000"/>
          <w:sz w:val="32"/>
          <w:szCs w:val="32"/>
        </w:rPr>
        <w:t>支</w:t>
      </w:r>
      <w:r>
        <w:rPr>
          <w:rStyle w:val="18"/>
          <w:rFonts w:hint="eastAsia" w:ascii="黑体" w:hAnsi="黑体" w:eastAsia="黑体"/>
          <w:b w:val="0"/>
        </w:rPr>
        <w:t>出决算情况说明</w:t>
      </w:r>
      <w:bookmarkEnd w:id="24"/>
      <w:bookmarkEnd w:id="25"/>
      <w:bookmarkEnd w:id="26"/>
    </w:p>
    <w:p>
      <w:pPr>
        <w:spacing w:line="600" w:lineRule="exact"/>
        <w:ind w:firstLine="640" w:firstLineChars="200"/>
        <w:outlineLvl w:val="9"/>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年本年支出合计</w:t>
      </w:r>
      <w:r>
        <w:rPr>
          <w:rFonts w:hint="eastAsia" w:ascii="仿宋" w:hAnsi="仿宋" w:eastAsia="仿宋"/>
          <w:color w:val="000000"/>
          <w:sz w:val="32"/>
          <w:szCs w:val="32"/>
          <w:lang w:val="en-US" w:eastAsia="zh-CN"/>
        </w:rPr>
        <w:t>843.58</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290.72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34</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552.86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66</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outlineLvl w:val="9"/>
        <w:rPr>
          <w:rFonts w:ascii="仿宋" w:hAnsi="仿宋" w:eastAsia="仿宋"/>
          <w:color w:val="000000"/>
          <w:sz w:val="32"/>
          <w:szCs w:val="32"/>
          <w:shd w:val="pct10" w:color="auto" w:fill="FFFFFF"/>
        </w:rPr>
      </w:pPr>
    </w:p>
    <w:p>
      <w:pPr>
        <w:pStyle w:val="2"/>
        <w:rPr>
          <w:rFonts w:ascii="仿宋" w:hAnsi="仿宋" w:eastAsia="仿宋"/>
          <w:color w:val="000000"/>
          <w:sz w:val="32"/>
          <w:szCs w:val="32"/>
          <w:shd w:val="pct10" w:color="auto" w:fill="FFFFFF"/>
        </w:rPr>
      </w:pPr>
      <w:r>
        <w:rPr>
          <w:rFonts w:hint="eastAsia" w:ascii="仿宋" w:hAnsi="仿宋" w:eastAsia="仿宋"/>
          <w:color w:val="FF0000"/>
          <w:sz w:val="32"/>
          <w:szCs w:val="32"/>
          <w:lang w:eastAsia="zh-CN"/>
        </w:rPr>
        <w:drawing>
          <wp:inline distT="0" distB="0" distL="114300" distR="114300">
            <wp:extent cx="5147310" cy="4114800"/>
            <wp:effectExtent l="4445" t="4445" r="1079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1280" w:firstLineChars="4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pStyle w:val="2"/>
      </w:pPr>
    </w:p>
    <w:p>
      <w:pPr>
        <w:spacing w:line="600" w:lineRule="exact"/>
        <w:ind w:firstLine="640" w:firstLineChars="200"/>
        <w:outlineLvl w:val="1"/>
        <w:rPr>
          <w:rStyle w:val="18"/>
          <w:rFonts w:ascii="黑体" w:hAnsi="黑体" w:eastAsia="黑体"/>
          <w:b w:val="0"/>
        </w:rPr>
      </w:pPr>
      <w:bookmarkStart w:id="27" w:name="_Toc15396606"/>
      <w:bookmarkStart w:id="28" w:name="_Toc10354"/>
      <w:bookmarkStart w:id="29" w:name="_Toc15377208"/>
      <w:r>
        <w:rPr>
          <w:rFonts w:hint="eastAsia" w:ascii="黑体" w:hAnsi="黑体" w:eastAsia="黑体"/>
          <w:color w:val="000000"/>
          <w:sz w:val="32"/>
          <w:szCs w:val="32"/>
        </w:rPr>
        <w:t>四、财</w:t>
      </w:r>
      <w:r>
        <w:rPr>
          <w:rStyle w:val="18"/>
          <w:rFonts w:hint="eastAsia" w:ascii="黑体" w:hAnsi="黑体" w:eastAsia="黑体"/>
          <w:b w:val="0"/>
        </w:rPr>
        <w:t>政拨款收入支出决算总体情况说明</w:t>
      </w:r>
      <w:bookmarkEnd w:id="27"/>
      <w:bookmarkEnd w:id="28"/>
      <w:bookmarkEnd w:id="29"/>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年财政拨款收、支总计</w:t>
      </w:r>
      <w:r>
        <w:rPr>
          <w:rFonts w:hint="eastAsia" w:ascii="仿宋" w:hAnsi="仿宋" w:eastAsia="仿宋"/>
          <w:color w:val="000000"/>
          <w:sz w:val="32"/>
          <w:szCs w:val="32"/>
          <w:lang w:val="en-US" w:eastAsia="zh-CN"/>
        </w:rPr>
        <w:t>886.54</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年相比，财政拨款收、支总计各减少</w:t>
      </w:r>
      <w:r>
        <w:rPr>
          <w:rFonts w:hint="eastAsia" w:ascii="仿宋" w:hAnsi="仿宋" w:eastAsia="仿宋"/>
          <w:color w:val="000000"/>
          <w:sz w:val="32"/>
          <w:szCs w:val="32"/>
          <w:lang w:val="en-US" w:eastAsia="zh-CN"/>
        </w:rPr>
        <w:t>632.15</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42</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2019年购买了办公用房，2020年减少了此项支出；政协事务支出、城乡社区支出等减少。</w:t>
      </w:r>
    </w:p>
    <w:p>
      <w:pPr>
        <w:pStyle w:val="2"/>
        <w:rPr>
          <w:rFonts w:ascii="仿宋" w:hAnsi="仿宋" w:eastAsia="仿宋"/>
          <w:color w:val="000000"/>
          <w:sz w:val="32"/>
          <w:szCs w:val="32"/>
        </w:rPr>
      </w:pPr>
      <w:r>
        <w:rPr>
          <w:rFonts w:hint="eastAsia" w:ascii="仿宋" w:hAnsi="仿宋" w:eastAsia="仿宋"/>
          <w:color w:val="000000"/>
          <w:sz w:val="32"/>
          <w:szCs w:val="32"/>
          <w:lang w:eastAsia="zh-CN"/>
        </w:rPr>
        <w:drawing>
          <wp:inline distT="0" distB="0" distL="114300" distR="114300">
            <wp:extent cx="5328285" cy="3524885"/>
            <wp:effectExtent l="4445" t="4445" r="20320" b="1397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pStyle w:val="2"/>
      </w:pPr>
    </w:p>
    <w:p>
      <w:pPr>
        <w:spacing w:line="600" w:lineRule="exact"/>
        <w:ind w:firstLine="640" w:firstLineChars="200"/>
        <w:outlineLvl w:val="1"/>
        <w:rPr>
          <w:rStyle w:val="18"/>
          <w:rFonts w:ascii="黑体" w:hAnsi="黑体" w:eastAsia="黑体"/>
          <w:b w:val="0"/>
        </w:rPr>
      </w:pPr>
      <w:bookmarkStart w:id="30" w:name="_Toc15377209"/>
      <w:bookmarkStart w:id="31" w:name="_Toc10967"/>
      <w:bookmarkStart w:id="32"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8"/>
          <w:rFonts w:hint="eastAsia" w:ascii="黑体" w:hAnsi="黑体" w:eastAsia="黑体"/>
          <w:b w:val="0"/>
        </w:rPr>
        <w:t>般公共预算财政拨款支出决算情况说明</w:t>
      </w:r>
      <w:bookmarkEnd w:id="30"/>
      <w:bookmarkEnd w:id="31"/>
      <w:bookmarkEnd w:id="32"/>
    </w:p>
    <w:p>
      <w:pPr>
        <w:spacing w:line="600" w:lineRule="exact"/>
        <w:ind w:firstLine="643" w:firstLineChars="200"/>
        <w:outlineLvl w:val="2"/>
        <w:rPr>
          <w:rFonts w:ascii="仿宋" w:hAnsi="仿宋" w:eastAsia="仿宋"/>
          <w:b/>
          <w:color w:val="000000"/>
          <w:sz w:val="32"/>
          <w:szCs w:val="32"/>
        </w:rPr>
      </w:pPr>
      <w:bookmarkStart w:id="33" w:name="_Toc15377210"/>
      <w:r>
        <w:rPr>
          <w:rFonts w:hint="eastAsia" w:ascii="仿宋" w:hAnsi="仿宋" w:eastAsia="仿宋"/>
          <w:b/>
          <w:color w:val="000000"/>
          <w:sz w:val="32"/>
          <w:szCs w:val="32"/>
        </w:rPr>
        <w:t>（一）一般公共预算财政拨款支出决算总体情况</w:t>
      </w:r>
      <w:bookmarkEnd w:id="33"/>
    </w:p>
    <w:p>
      <w:pPr>
        <w:spacing w:line="600" w:lineRule="exact"/>
        <w:ind w:firstLine="640" w:firstLineChars="200"/>
        <w:rPr>
          <w:rFonts w:hint="default" w:ascii="仿宋" w:hAnsi="仿宋" w:eastAsia="仿宋"/>
          <w:color w:val="000000"/>
          <w:sz w:val="32"/>
          <w:szCs w:val="32"/>
          <w:lang w:val="en-US" w:eastAsia="zh-CN"/>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843.58</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2019</w:t>
      </w:r>
      <w:r>
        <w:rPr>
          <w:rFonts w:hint="eastAsia" w:ascii="仿宋" w:hAnsi="仿宋" w:eastAsia="仿宋"/>
          <w:color w:val="000000"/>
          <w:sz w:val="32"/>
          <w:szCs w:val="32"/>
        </w:rPr>
        <w:t>年相比，一般公共预算财政拨款减少</w:t>
      </w:r>
      <w:r>
        <w:rPr>
          <w:rFonts w:hint="eastAsia" w:ascii="仿宋" w:hAnsi="仿宋" w:eastAsia="仿宋"/>
          <w:color w:val="000000"/>
          <w:sz w:val="32"/>
          <w:szCs w:val="32"/>
          <w:lang w:val="en-US" w:eastAsia="zh-CN"/>
        </w:rPr>
        <w:t>640.06</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43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2019年购买办公用房，2020年减少了此项支出；政协事务支出、城乡社区支出等支出的减少。</w:t>
      </w:r>
    </w:p>
    <w:p>
      <w:pPr>
        <w:pStyle w:val="2"/>
        <w:rPr>
          <w:rFonts w:hint="eastAsia" w:ascii="仿宋" w:hAnsi="仿宋" w:eastAsia="仿宋"/>
          <w:color w:val="000000"/>
          <w:sz w:val="32"/>
          <w:szCs w:val="32"/>
          <w:lang w:val="en-US" w:eastAsia="zh-CN"/>
        </w:rPr>
      </w:pPr>
      <w:r>
        <w:rPr>
          <w:rFonts w:hint="eastAsia" w:ascii="仿宋" w:hAnsi="仿宋" w:eastAsia="仿宋"/>
          <w:color w:val="000000" w:themeColor="text1"/>
          <w:sz w:val="32"/>
          <w:szCs w:val="32"/>
          <w:lang w:eastAsia="zh-CN"/>
          <w14:textFill>
            <w14:solidFill>
              <w14:schemeClr w14:val="tx1"/>
            </w14:solidFill>
          </w14:textFill>
        </w:rPr>
        <w:drawing>
          <wp:inline distT="0" distB="0" distL="114300" distR="114300">
            <wp:extent cx="5184775" cy="3382010"/>
            <wp:effectExtent l="4445" t="4445" r="11430" b="2349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spacing w:line="600" w:lineRule="exact"/>
        <w:ind w:firstLine="643" w:firstLineChars="200"/>
        <w:outlineLvl w:val="2"/>
        <w:rPr>
          <w:rFonts w:ascii="仿宋" w:hAnsi="仿宋" w:eastAsia="仿宋"/>
          <w:b/>
          <w:color w:val="000000"/>
          <w:sz w:val="32"/>
          <w:szCs w:val="32"/>
        </w:rPr>
      </w:pPr>
      <w:bookmarkStart w:id="34" w:name="_Toc15377211"/>
      <w:r>
        <w:rPr>
          <w:rFonts w:hint="eastAsia" w:ascii="仿宋" w:hAnsi="仿宋" w:eastAsia="仿宋"/>
          <w:b/>
          <w:color w:val="000000"/>
          <w:sz w:val="32"/>
          <w:szCs w:val="32"/>
        </w:rPr>
        <w:t>（二）一般公共预算财政拨款支出决算结构情况</w:t>
      </w:r>
      <w:bookmarkEnd w:id="3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843.58</w:t>
      </w:r>
      <w:r>
        <w:rPr>
          <w:rFonts w:hint="eastAsia" w:ascii="仿宋" w:hAnsi="仿宋" w:eastAsia="仿宋"/>
          <w:color w:val="000000"/>
          <w:sz w:val="32"/>
          <w:szCs w:val="32"/>
        </w:rPr>
        <w:t>万元，主要用于以下方面</w:t>
      </w:r>
      <w:r>
        <w:rPr>
          <w:rFonts w:ascii="仿宋" w:hAnsi="仿宋" w:eastAsia="仿宋"/>
          <w:color w:val="000000"/>
          <w:sz w:val="32"/>
          <w:szCs w:val="32"/>
        </w:rPr>
        <w:t>:</w:t>
      </w:r>
      <w:r>
        <w:rPr>
          <w:rFonts w:hint="eastAsia" w:ascii="仿宋" w:hAnsi="仿宋" w:eastAsia="仿宋"/>
          <w:b/>
          <w:color w:val="000000"/>
          <w:sz w:val="32"/>
          <w:szCs w:val="32"/>
        </w:rPr>
        <w:t>一般公共服务（类）</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224.31</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26.6</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color w:val="000000"/>
          <w:sz w:val="32"/>
          <w:szCs w:val="32"/>
        </w:rPr>
        <w:t>教育支出（类）</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color w:val="000000"/>
          <w:sz w:val="32"/>
          <w:szCs w:val="32"/>
        </w:rPr>
        <w:t>科学技术（类）</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文化旅游体育与传媒（类）支出</w:t>
      </w:r>
      <w:r>
        <w:rPr>
          <w:rFonts w:hint="eastAsia" w:ascii="仿宋" w:hAnsi="仿宋" w:eastAsia="仿宋"/>
          <w:b/>
          <w:bCs/>
          <w:color w:val="000000"/>
          <w:sz w:val="32"/>
          <w:szCs w:val="32"/>
          <w:lang w:val="en-US" w:eastAsia="zh-CN"/>
        </w:rPr>
        <w:t>0</w:t>
      </w:r>
      <w:r>
        <w:rPr>
          <w:rFonts w:hint="eastAsia" w:ascii="仿宋" w:hAnsi="仿宋" w:eastAsia="仿宋"/>
          <w:b/>
          <w:bCs/>
          <w:color w:val="000000"/>
          <w:sz w:val="32"/>
          <w:szCs w:val="32"/>
        </w:rPr>
        <w:t>万元，占</w:t>
      </w:r>
      <w:r>
        <w:rPr>
          <w:rFonts w:hint="eastAsia" w:ascii="仿宋" w:hAnsi="仿宋" w:eastAsia="仿宋"/>
          <w:b/>
          <w:bCs/>
          <w:color w:val="000000"/>
          <w:sz w:val="32"/>
          <w:szCs w:val="32"/>
          <w:lang w:val="en-US" w:eastAsia="zh-CN"/>
        </w:rPr>
        <w:t>0</w:t>
      </w:r>
      <w:r>
        <w:rPr>
          <w:rFonts w:ascii="仿宋" w:hAnsi="仿宋" w:eastAsia="仿宋"/>
          <w:b/>
          <w:bCs/>
          <w:color w:val="000000"/>
          <w:sz w:val="32"/>
          <w:szCs w:val="32"/>
        </w:rPr>
        <w:t>%</w:t>
      </w:r>
      <w:r>
        <w:rPr>
          <w:rFonts w:hint="eastAsia" w:ascii="仿宋" w:hAnsi="仿宋" w:eastAsia="仿宋"/>
          <w:color w:val="000000"/>
          <w:sz w:val="32"/>
          <w:szCs w:val="32"/>
        </w:rPr>
        <w:t>；</w:t>
      </w:r>
      <w:r>
        <w:rPr>
          <w:rFonts w:hint="eastAsia" w:ascii="仿宋" w:hAnsi="仿宋" w:eastAsia="仿宋"/>
          <w:b/>
          <w:color w:val="000000"/>
          <w:sz w:val="32"/>
          <w:szCs w:val="32"/>
        </w:rPr>
        <w:t>社会保障和就业（类）</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561.25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66.5</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卫生健康支出</w:t>
      </w:r>
      <w:r>
        <w:rPr>
          <w:rFonts w:hint="eastAsia" w:ascii="仿宋" w:hAnsi="仿宋" w:eastAsia="仿宋"/>
          <w:color w:val="000000"/>
          <w:sz w:val="32"/>
          <w:szCs w:val="32"/>
          <w:lang w:val="en-US" w:eastAsia="zh-CN"/>
        </w:rPr>
        <w:t>6.8</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0.8</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节能环保</w:t>
      </w:r>
      <w:r>
        <w:rPr>
          <w:rFonts w:hint="eastAsia" w:ascii="仿宋" w:hAnsi="仿宋" w:eastAsia="仿宋"/>
          <w:b/>
          <w:bCs/>
          <w:color w:val="000000"/>
          <w:sz w:val="32"/>
          <w:szCs w:val="32"/>
          <w:lang w:eastAsia="zh-CN"/>
        </w:rPr>
        <w:t>（</w:t>
      </w:r>
      <w:r>
        <w:rPr>
          <w:rFonts w:hint="eastAsia" w:ascii="仿宋" w:hAnsi="仿宋" w:eastAsia="仿宋"/>
          <w:b/>
          <w:bCs/>
          <w:color w:val="000000"/>
          <w:sz w:val="32"/>
          <w:szCs w:val="32"/>
          <w:lang w:val="en-US" w:eastAsia="zh-CN"/>
        </w:rPr>
        <w:t>类</w:t>
      </w:r>
      <w:r>
        <w:rPr>
          <w:rFonts w:hint="eastAsia" w:ascii="仿宋" w:hAnsi="仿宋" w:eastAsia="仿宋"/>
          <w:b/>
          <w:bCs/>
          <w:color w:val="000000"/>
          <w:sz w:val="32"/>
          <w:szCs w:val="32"/>
          <w:lang w:eastAsia="zh-CN"/>
        </w:rPr>
        <w:t>）</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0.12万元，占0.1</w:t>
      </w:r>
      <w:r>
        <w:rPr>
          <w:rFonts w:ascii="仿宋" w:hAnsi="仿宋" w:eastAsia="仿宋"/>
          <w:color w:val="000000"/>
          <w:sz w:val="32"/>
          <w:szCs w:val="32"/>
        </w:rPr>
        <w:t>%</w:t>
      </w:r>
      <w:r>
        <w:rPr>
          <w:rFonts w:hint="eastAsia" w:ascii="仿宋" w:hAnsi="仿宋" w:eastAsia="仿宋"/>
          <w:color w:val="000000"/>
          <w:sz w:val="32"/>
          <w:szCs w:val="32"/>
          <w:lang w:eastAsia="zh-CN"/>
        </w:rPr>
        <w:t>；</w:t>
      </w:r>
      <w:r>
        <w:rPr>
          <w:rFonts w:hint="eastAsia" w:ascii="仿宋" w:hAnsi="仿宋" w:eastAsia="仿宋"/>
          <w:b/>
          <w:bCs/>
          <w:color w:val="000000"/>
          <w:sz w:val="32"/>
          <w:szCs w:val="32"/>
        </w:rPr>
        <w:t>城乡社区</w:t>
      </w:r>
      <w:r>
        <w:rPr>
          <w:rFonts w:hint="eastAsia" w:ascii="仿宋" w:hAnsi="仿宋" w:eastAsia="仿宋"/>
          <w:b/>
          <w:bCs/>
          <w:color w:val="000000"/>
          <w:sz w:val="32"/>
          <w:szCs w:val="32"/>
          <w:lang w:eastAsia="zh-CN"/>
        </w:rPr>
        <w:t>（</w:t>
      </w:r>
      <w:r>
        <w:rPr>
          <w:rFonts w:hint="eastAsia" w:ascii="仿宋" w:hAnsi="仿宋" w:eastAsia="仿宋"/>
          <w:b/>
          <w:bCs/>
          <w:color w:val="000000"/>
          <w:sz w:val="32"/>
          <w:szCs w:val="32"/>
          <w:lang w:val="en-US" w:eastAsia="zh-CN"/>
        </w:rPr>
        <w:t>类</w:t>
      </w:r>
      <w:r>
        <w:rPr>
          <w:rFonts w:hint="eastAsia" w:ascii="仿宋" w:hAnsi="仿宋" w:eastAsia="仿宋"/>
          <w:b/>
          <w:bCs/>
          <w:color w:val="000000"/>
          <w:sz w:val="32"/>
          <w:szCs w:val="32"/>
          <w:lang w:eastAsia="zh-CN"/>
        </w:rPr>
        <w:t>）</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34.9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4.1</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农林水</w:t>
      </w:r>
      <w:r>
        <w:rPr>
          <w:rFonts w:hint="eastAsia" w:ascii="仿宋" w:hAnsi="仿宋" w:eastAsia="仿宋"/>
          <w:b/>
          <w:bCs/>
          <w:color w:val="000000"/>
          <w:sz w:val="32"/>
          <w:szCs w:val="32"/>
          <w:lang w:eastAsia="zh-CN"/>
        </w:rPr>
        <w:t>（</w:t>
      </w:r>
      <w:r>
        <w:rPr>
          <w:rFonts w:hint="eastAsia" w:ascii="仿宋" w:hAnsi="仿宋" w:eastAsia="仿宋"/>
          <w:b/>
          <w:bCs/>
          <w:color w:val="000000"/>
          <w:sz w:val="32"/>
          <w:szCs w:val="32"/>
          <w:lang w:val="en-US" w:eastAsia="zh-CN"/>
        </w:rPr>
        <w:t>类</w:t>
      </w:r>
      <w:r>
        <w:rPr>
          <w:rFonts w:hint="eastAsia" w:ascii="仿宋" w:hAnsi="仿宋" w:eastAsia="仿宋"/>
          <w:b/>
          <w:bCs/>
          <w:color w:val="000000"/>
          <w:sz w:val="32"/>
          <w:szCs w:val="32"/>
          <w:lang w:eastAsia="zh-CN"/>
        </w:rPr>
        <w:t>）</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6万元，占0.7%，</w:t>
      </w:r>
      <w:r>
        <w:rPr>
          <w:rFonts w:hint="eastAsia" w:ascii="仿宋" w:hAnsi="仿宋" w:eastAsia="仿宋"/>
          <w:b/>
          <w:bCs/>
          <w:color w:val="000000"/>
          <w:sz w:val="32"/>
          <w:szCs w:val="32"/>
        </w:rPr>
        <w:t>住房保障</w:t>
      </w:r>
      <w:r>
        <w:rPr>
          <w:rFonts w:hint="eastAsia" w:ascii="仿宋" w:hAnsi="仿宋" w:eastAsia="仿宋"/>
          <w:b/>
          <w:bCs/>
          <w:color w:val="000000"/>
          <w:sz w:val="32"/>
          <w:szCs w:val="32"/>
          <w:lang w:eastAsia="zh-CN"/>
        </w:rPr>
        <w:t>（</w:t>
      </w:r>
      <w:r>
        <w:rPr>
          <w:rFonts w:hint="eastAsia" w:ascii="仿宋" w:hAnsi="仿宋" w:eastAsia="仿宋"/>
          <w:b/>
          <w:bCs/>
          <w:color w:val="000000"/>
          <w:sz w:val="32"/>
          <w:szCs w:val="32"/>
          <w:lang w:val="en-US" w:eastAsia="zh-CN"/>
        </w:rPr>
        <w:t>类</w:t>
      </w:r>
      <w:r>
        <w:rPr>
          <w:rFonts w:hint="eastAsia" w:ascii="仿宋" w:hAnsi="仿宋" w:eastAsia="仿宋"/>
          <w:b/>
          <w:bCs/>
          <w:color w:val="000000"/>
          <w:sz w:val="32"/>
          <w:szCs w:val="32"/>
          <w:lang w:eastAsia="zh-CN"/>
        </w:rPr>
        <w:t>）</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10.2万元，</w:t>
      </w:r>
      <w:r>
        <w:rPr>
          <w:rFonts w:hint="eastAsia" w:ascii="仿宋" w:hAnsi="仿宋" w:eastAsia="仿宋"/>
          <w:color w:val="000000"/>
          <w:sz w:val="32"/>
          <w:szCs w:val="32"/>
        </w:rPr>
        <w:t>占</w:t>
      </w:r>
      <w:r>
        <w:rPr>
          <w:rFonts w:hint="eastAsia" w:ascii="仿宋" w:hAnsi="仿宋" w:eastAsia="仿宋"/>
          <w:color w:val="000000"/>
          <w:sz w:val="32"/>
          <w:szCs w:val="32"/>
          <w:lang w:val="en-US" w:eastAsia="zh-CN"/>
        </w:rPr>
        <w:t>1.2</w:t>
      </w:r>
      <w:r>
        <w:rPr>
          <w:rFonts w:ascii="仿宋" w:hAnsi="仿宋" w:eastAsia="仿宋"/>
          <w:color w:val="000000"/>
          <w:sz w:val="32"/>
          <w:szCs w:val="32"/>
        </w:rPr>
        <w:t>%</w:t>
      </w:r>
      <w:r>
        <w:rPr>
          <w:rFonts w:hint="eastAsia" w:ascii="仿宋" w:hAnsi="仿宋" w:eastAsia="仿宋"/>
          <w:color w:val="000000"/>
          <w:sz w:val="32"/>
          <w:szCs w:val="32"/>
        </w:rPr>
        <w:t>。</w:t>
      </w:r>
    </w:p>
    <w:p>
      <w:pPr>
        <w:pStyle w:val="2"/>
        <w:rPr>
          <w:rFonts w:ascii="仿宋" w:hAnsi="仿宋" w:eastAsia="仿宋"/>
          <w:color w:val="000000"/>
          <w:sz w:val="32"/>
          <w:szCs w:val="32"/>
        </w:rPr>
      </w:pPr>
      <w:r>
        <w:rPr>
          <w:rFonts w:hint="eastAsia" w:ascii="仿宋" w:hAnsi="仿宋" w:eastAsia="仿宋"/>
          <w:color w:val="FF0000"/>
          <w:sz w:val="32"/>
          <w:szCs w:val="32"/>
          <w:lang w:eastAsia="zh-CN"/>
        </w:rPr>
        <w:drawing>
          <wp:inline distT="0" distB="0" distL="114300" distR="114300">
            <wp:extent cx="5080000" cy="3810000"/>
            <wp:effectExtent l="4445" t="4445" r="20955" b="14605"/>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5" w:name="_Toc15377212"/>
      <w:r>
        <w:rPr>
          <w:rFonts w:hint="eastAsia" w:ascii="仿宋" w:hAnsi="仿宋" w:eastAsia="仿宋"/>
          <w:b/>
          <w:color w:val="000000"/>
          <w:sz w:val="32"/>
          <w:szCs w:val="32"/>
        </w:rPr>
        <w:t>（三）一般公共预算财政拨款支出决算具体情况</w:t>
      </w:r>
      <w:bookmarkEnd w:id="35"/>
    </w:p>
    <w:p>
      <w:pPr>
        <w:spacing w:line="600" w:lineRule="exact"/>
        <w:ind w:firstLine="643" w:firstLineChars="200"/>
        <w:outlineLvl w:val="9"/>
        <w:rPr>
          <w:rFonts w:ascii="仿宋" w:hAnsi="仿宋" w:eastAsia="仿宋"/>
          <w:color w:val="FF0000"/>
          <w:sz w:val="32"/>
          <w:szCs w:val="32"/>
        </w:rPr>
      </w:pPr>
      <w:bookmarkStart w:id="36" w:name="_Toc15377444"/>
      <w:bookmarkStart w:id="37" w:name="_Toc15378460"/>
      <w:bookmarkStart w:id="38" w:name="_Toc15377213"/>
      <w:r>
        <w:rPr>
          <w:rFonts w:ascii="仿宋" w:hAnsi="仿宋" w:eastAsia="仿宋"/>
          <w:b/>
          <w:color w:val="000000"/>
          <w:sz w:val="32"/>
          <w:szCs w:val="32"/>
        </w:rPr>
        <w:t>2020</w:t>
      </w:r>
      <w:r>
        <w:rPr>
          <w:rFonts w:hint="eastAsia" w:ascii="仿宋" w:hAnsi="仿宋" w:eastAsia="仿宋"/>
          <w:b/>
          <w:color w:val="000000"/>
          <w:sz w:val="32"/>
          <w:szCs w:val="32"/>
        </w:rPr>
        <w:t>年一般公共预算支出决算数为</w:t>
      </w:r>
      <w:r>
        <w:rPr>
          <w:rFonts w:hint="eastAsia" w:ascii="仿宋" w:hAnsi="仿宋" w:eastAsia="仿宋"/>
          <w:b/>
          <w:color w:val="000000"/>
          <w:sz w:val="32"/>
          <w:szCs w:val="32"/>
          <w:lang w:val="en-US" w:eastAsia="zh-CN"/>
        </w:rPr>
        <w:t>824.6万元</w:t>
      </w:r>
      <w:r>
        <w:rPr>
          <w:rFonts w:hint="eastAsia" w:ascii="仿宋" w:hAnsi="仿宋" w:eastAsia="仿宋"/>
          <w:color w:val="000000"/>
          <w:sz w:val="32"/>
          <w:szCs w:val="32"/>
        </w:rPr>
        <w:t>，</w:t>
      </w:r>
      <w:r>
        <w:rPr>
          <w:rStyle w:val="14"/>
          <w:rFonts w:hint="eastAsia" w:ascii="仿宋" w:hAnsi="仿宋" w:eastAsia="仿宋"/>
          <w:bCs/>
          <w:color w:val="000000"/>
          <w:sz w:val="32"/>
          <w:szCs w:val="32"/>
        </w:rPr>
        <w:t>完成预算</w:t>
      </w:r>
      <w:r>
        <w:rPr>
          <w:rStyle w:val="14"/>
          <w:rFonts w:hint="eastAsia" w:ascii="仿宋" w:hAnsi="仿宋" w:eastAsia="仿宋"/>
          <w:bCs/>
          <w:color w:val="000000"/>
          <w:sz w:val="32"/>
          <w:szCs w:val="32"/>
          <w:lang w:val="en-US" w:eastAsia="zh-CN"/>
        </w:rPr>
        <w:t>100</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36"/>
      <w:bookmarkEnd w:id="37"/>
      <w:bookmarkEnd w:id="38"/>
    </w:p>
    <w:p>
      <w:pPr>
        <w:numPr>
          <w:ilvl w:val="0"/>
          <w:numId w:val="2"/>
        </w:numPr>
        <w:spacing w:line="600" w:lineRule="exact"/>
        <w:ind w:firstLine="643" w:firstLineChars="200"/>
        <w:outlineLvl w:val="9"/>
      </w:pPr>
      <w:r>
        <w:rPr>
          <w:rStyle w:val="14"/>
          <w:rFonts w:hint="eastAsia" w:ascii="仿宋" w:hAnsi="仿宋" w:eastAsia="仿宋"/>
          <w:bCs/>
          <w:color w:val="000000"/>
          <w:sz w:val="32"/>
          <w:szCs w:val="32"/>
        </w:rPr>
        <w:t>一般公共服务（类）政府办公厅（室）及相关机构事务（款）行政运行（项）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143.73</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numPr>
          <w:ilvl w:val="0"/>
          <w:numId w:val="2"/>
        </w:numPr>
        <w:spacing w:line="600" w:lineRule="exact"/>
        <w:ind w:firstLine="643" w:firstLineChars="200"/>
        <w:outlineLvl w:val="9"/>
        <w:rPr>
          <w:color w:val="auto"/>
        </w:rPr>
      </w:pPr>
      <w:r>
        <w:rPr>
          <w:rStyle w:val="14"/>
          <w:rFonts w:hint="eastAsia" w:ascii="仿宋" w:hAnsi="仿宋" w:eastAsia="仿宋"/>
          <w:bCs/>
          <w:color w:val="auto"/>
          <w:sz w:val="32"/>
          <w:szCs w:val="32"/>
        </w:rPr>
        <w:t>一般公共服务（类）政府办公厅（室）及相关机构事务（款）</w:t>
      </w:r>
      <w:r>
        <w:rPr>
          <w:rStyle w:val="14"/>
          <w:rFonts w:hint="eastAsia" w:ascii="仿宋" w:hAnsi="仿宋" w:eastAsia="仿宋"/>
          <w:bCs/>
          <w:color w:val="auto"/>
          <w:sz w:val="32"/>
          <w:szCs w:val="32"/>
          <w:lang w:val="en-US" w:eastAsia="zh-CN"/>
        </w:rPr>
        <w:t>信访事务</w:t>
      </w:r>
      <w:r>
        <w:rPr>
          <w:rStyle w:val="14"/>
          <w:rFonts w:hint="eastAsia" w:ascii="仿宋" w:hAnsi="仿宋" w:eastAsia="仿宋"/>
          <w:bCs/>
          <w:color w:val="auto"/>
          <w:sz w:val="32"/>
          <w:szCs w:val="32"/>
        </w:rPr>
        <w:t>（项）</w:t>
      </w:r>
      <w:r>
        <w:rPr>
          <w:rStyle w:val="14"/>
          <w:rFonts w:ascii="仿宋" w:hAnsi="仿宋" w:eastAsia="仿宋"/>
          <w:bCs/>
          <w:color w:val="auto"/>
          <w:sz w:val="32"/>
          <w:szCs w:val="32"/>
        </w:rPr>
        <w:t>:</w:t>
      </w:r>
      <w:r>
        <w:rPr>
          <w:rStyle w:val="14"/>
          <w:rFonts w:ascii="仿宋" w:hAnsi="仿宋" w:eastAsia="仿宋"/>
          <w:b w:val="0"/>
          <w:bCs/>
          <w:color w:val="auto"/>
          <w:sz w:val="32"/>
          <w:szCs w:val="32"/>
        </w:rPr>
        <w:t xml:space="preserve"> </w:t>
      </w:r>
      <w:r>
        <w:rPr>
          <w:rStyle w:val="14"/>
          <w:rFonts w:hint="eastAsia" w:ascii="仿宋" w:hAnsi="仿宋" w:eastAsia="仿宋"/>
          <w:b w:val="0"/>
          <w:bCs/>
          <w:color w:val="auto"/>
          <w:sz w:val="32"/>
          <w:szCs w:val="32"/>
        </w:rPr>
        <w:t>支出决算为</w:t>
      </w:r>
      <w:r>
        <w:rPr>
          <w:rStyle w:val="14"/>
          <w:rFonts w:hint="eastAsia" w:ascii="仿宋" w:hAnsi="仿宋" w:eastAsia="仿宋"/>
          <w:b w:val="0"/>
          <w:bCs/>
          <w:color w:val="auto"/>
          <w:sz w:val="32"/>
          <w:szCs w:val="32"/>
          <w:lang w:val="en-US" w:eastAsia="zh-CN"/>
        </w:rPr>
        <w:t>7</w:t>
      </w:r>
      <w:r>
        <w:rPr>
          <w:rStyle w:val="14"/>
          <w:rFonts w:hint="eastAsia" w:ascii="仿宋" w:hAnsi="仿宋" w:eastAsia="仿宋"/>
          <w:b w:val="0"/>
          <w:bCs/>
          <w:color w:val="auto"/>
          <w:sz w:val="32"/>
          <w:szCs w:val="32"/>
        </w:rPr>
        <w:t>万元，完成预算</w:t>
      </w:r>
      <w:r>
        <w:rPr>
          <w:rStyle w:val="14"/>
          <w:rFonts w:hint="eastAsia" w:ascii="仿宋" w:hAnsi="仿宋" w:eastAsia="仿宋"/>
          <w:b w:val="0"/>
          <w:bCs/>
          <w:color w:val="auto"/>
          <w:sz w:val="32"/>
          <w:szCs w:val="32"/>
          <w:lang w:val="en-US" w:eastAsia="zh-CN"/>
        </w:rPr>
        <w:t>100</w:t>
      </w:r>
      <w:r>
        <w:rPr>
          <w:rStyle w:val="14"/>
          <w:rFonts w:ascii="仿宋" w:hAnsi="仿宋" w:eastAsia="仿宋"/>
          <w:b w:val="0"/>
          <w:bCs/>
          <w:color w:val="auto"/>
          <w:sz w:val="32"/>
          <w:szCs w:val="32"/>
        </w:rPr>
        <w:t>%</w:t>
      </w:r>
      <w:r>
        <w:rPr>
          <w:rStyle w:val="14"/>
          <w:rFonts w:hint="eastAsia" w:ascii="仿宋" w:hAnsi="仿宋" w:eastAsia="仿宋"/>
          <w:b w:val="0"/>
          <w:bCs/>
          <w:color w:val="auto"/>
          <w:sz w:val="32"/>
          <w:szCs w:val="32"/>
        </w:rPr>
        <w:t>，决算数等于预算数。</w:t>
      </w:r>
    </w:p>
    <w:p>
      <w:pPr>
        <w:numPr>
          <w:ilvl w:val="0"/>
          <w:numId w:val="2"/>
        </w:numPr>
        <w:spacing w:line="600" w:lineRule="exact"/>
        <w:ind w:firstLine="643" w:firstLineChars="200"/>
        <w:outlineLvl w:val="9"/>
      </w:pPr>
      <w:r>
        <w:rPr>
          <w:rStyle w:val="14"/>
          <w:rFonts w:hint="eastAsia" w:ascii="仿宋" w:hAnsi="仿宋" w:eastAsia="仿宋"/>
          <w:bCs/>
          <w:color w:val="000000"/>
          <w:sz w:val="32"/>
          <w:szCs w:val="32"/>
        </w:rPr>
        <w:t>一般公共服务（类）政府办公厅（室）及相关机构事务（款）</w:t>
      </w:r>
      <w:r>
        <w:rPr>
          <w:rStyle w:val="14"/>
          <w:rFonts w:hint="eastAsia" w:ascii="仿宋" w:hAnsi="仿宋" w:eastAsia="仿宋"/>
          <w:bCs/>
          <w:color w:val="000000"/>
          <w:sz w:val="32"/>
          <w:szCs w:val="32"/>
          <w:lang w:val="en-US" w:eastAsia="zh-CN"/>
        </w:rPr>
        <w:t>事业运行</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4.63</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numPr>
          <w:ilvl w:val="0"/>
          <w:numId w:val="2"/>
        </w:numPr>
        <w:spacing w:line="600" w:lineRule="exact"/>
        <w:ind w:firstLine="643" w:firstLineChars="200"/>
        <w:outlineLvl w:val="9"/>
      </w:pPr>
      <w:r>
        <w:rPr>
          <w:rStyle w:val="14"/>
          <w:rFonts w:hint="eastAsia" w:ascii="仿宋" w:hAnsi="仿宋" w:eastAsia="仿宋"/>
          <w:bCs/>
          <w:color w:val="000000"/>
          <w:sz w:val="32"/>
          <w:szCs w:val="32"/>
        </w:rPr>
        <w:t>一般公共服务（类）政府办公厅（室）及相关机构事务（款）其他政府办公厅（室）及相关机构事务支出（项）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68.95</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numPr>
          <w:ilvl w:val="0"/>
          <w:numId w:val="2"/>
        </w:numPr>
        <w:spacing w:line="600" w:lineRule="exact"/>
        <w:ind w:left="0" w:leftChars="0" w:firstLine="643" w:firstLineChars="200"/>
        <w:outlineLvl w:val="9"/>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rPr>
        <w:t>社会保障和就业支出（类）民政管理事务（款）基层政权建设和社区治理（项）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516.42</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numPr>
          <w:ilvl w:val="0"/>
          <w:numId w:val="2"/>
        </w:numPr>
        <w:spacing w:line="600" w:lineRule="exact"/>
        <w:ind w:left="0" w:leftChars="0" w:firstLine="643" w:firstLineChars="200"/>
        <w:outlineLvl w:val="9"/>
        <w:rPr>
          <w:rFonts w:ascii="仿宋" w:hAnsi="仿宋" w:eastAsia="仿宋"/>
          <w:b/>
          <w:color w:val="000000"/>
          <w:sz w:val="32"/>
          <w:szCs w:val="32"/>
        </w:rPr>
      </w:pPr>
      <w:r>
        <w:rPr>
          <w:rStyle w:val="14"/>
          <w:rFonts w:hint="eastAsia" w:ascii="仿宋" w:hAnsi="仿宋" w:eastAsia="仿宋"/>
          <w:bCs/>
          <w:color w:val="000000"/>
          <w:sz w:val="32"/>
          <w:szCs w:val="32"/>
          <w:lang w:val="en-US" w:eastAsia="zh-CN"/>
        </w:rPr>
        <w:t>6</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社会保障和就业支出（类）行政事业单位养老支出（款）行政单位离退休（项）</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28.42</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spacing w:line="600" w:lineRule="exact"/>
        <w:ind w:firstLine="643" w:firstLineChars="200"/>
        <w:outlineLvl w:val="9"/>
        <w:rPr>
          <w:rFonts w:ascii="仿宋" w:hAnsi="仿宋" w:eastAsia="仿宋"/>
          <w:b/>
          <w:color w:val="000000"/>
          <w:sz w:val="32"/>
          <w:szCs w:val="32"/>
        </w:rPr>
      </w:pPr>
      <w:r>
        <w:rPr>
          <w:rStyle w:val="14"/>
          <w:rFonts w:hint="eastAsia" w:ascii="仿宋" w:hAnsi="仿宋" w:eastAsia="仿宋"/>
          <w:bCs/>
          <w:color w:val="000000"/>
          <w:sz w:val="32"/>
          <w:szCs w:val="32"/>
          <w:lang w:val="en-US" w:eastAsia="zh-CN"/>
        </w:rPr>
        <w:t>7</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社会保障和就业支出（类）行政事业单位养老支出（款）</w:t>
      </w:r>
      <w:r>
        <w:rPr>
          <w:rStyle w:val="14"/>
          <w:rFonts w:hint="eastAsia" w:ascii="仿宋" w:hAnsi="仿宋" w:eastAsia="仿宋"/>
          <w:bCs/>
          <w:color w:val="000000"/>
          <w:sz w:val="32"/>
          <w:szCs w:val="32"/>
          <w:lang w:val="en-US" w:eastAsia="zh-CN"/>
        </w:rPr>
        <w:t>事业</w:t>
      </w:r>
      <w:r>
        <w:rPr>
          <w:rStyle w:val="14"/>
          <w:rFonts w:hint="eastAsia" w:ascii="仿宋" w:hAnsi="仿宋" w:eastAsia="仿宋"/>
          <w:bCs/>
          <w:color w:val="000000"/>
          <w:sz w:val="32"/>
          <w:szCs w:val="32"/>
        </w:rPr>
        <w:t>单位离退休（项）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spacing w:line="600" w:lineRule="exact"/>
        <w:ind w:firstLine="643" w:firstLineChars="200"/>
        <w:outlineLvl w:val="9"/>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8</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社会保障和就业支出（类）行政事业单位养老支出（款）机关事业单位基本养老保险缴费支出（项）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13.24</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spacing w:line="600" w:lineRule="exact"/>
        <w:ind w:firstLine="643" w:firstLineChars="200"/>
        <w:outlineLvl w:val="9"/>
      </w:pPr>
      <w:r>
        <w:rPr>
          <w:rStyle w:val="14"/>
          <w:rFonts w:hint="eastAsia" w:ascii="仿宋" w:hAnsi="仿宋" w:eastAsia="仿宋"/>
          <w:bCs/>
          <w:color w:val="000000"/>
          <w:sz w:val="32"/>
          <w:szCs w:val="32"/>
          <w:lang w:val="en-US" w:eastAsia="zh-CN"/>
        </w:rPr>
        <w:t>9</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社会保障和就业支出（类）其他社会保障和就业支出（款）其他社会保障和就业支出（项）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0.17</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10</w:t>
      </w:r>
      <w:r>
        <w:rPr>
          <w:rStyle w:val="14"/>
          <w:rFonts w:ascii="仿宋" w:hAnsi="仿宋" w:eastAsia="仿宋"/>
          <w:bCs/>
          <w:color w:val="000000"/>
          <w:sz w:val="32"/>
          <w:szCs w:val="32"/>
        </w:rPr>
        <w:t>.</w:t>
      </w:r>
      <w:r>
        <w:rPr>
          <w:rFonts w:hint="eastAsia" w:ascii="仿宋" w:hAnsi="仿宋" w:eastAsia="仿宋"/>
          <w:b/>
          <w:bCs/>
          <w:color w:val="000000"/>
          <w:sz w:val="32"/>
          <w:szCs w:val="32"/>
        </w:rPr>
        <w:t>卫生健康</w:t>
      </w:r>
      <w:r>
        <w:rPr>
          <w:rStyle w:val="14"/>
          <w:rFonts w:hint="eastAsia" w:ascii="仿宋" w:hAnsi="仿宋" w:eastAsia="仿宋"/>
          <w:bCs/>
          <w:color w:val="000000"/>
          <w:sz w:val="32"/>
          <w:szCs w:val="32"/>
        </w:rPr>
        <w:t>（类）行政事业单位医疗（款）行政单位医疗（项）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6.8</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pStyle w:val="2"/>
        <w:ind w:firstLine="643" w:firstLineChars="200"/>
        <w:rPr>
          <w:rStyle w:val="14"/>
          <w:rFonts w:hint="eastAsia" w:ascii="仿宋" w:hAnsi="仿宋" w:eastAsia="仿宋"/>
          <w:b w:val="0"/>
          <w:bCs/>
          <w:color w:val="000000"/>
          <w:sz w:val="32"/>
          <w:szCs w:val="32"/>
          <w:lang w:val="en-US" w:eastAsia="zh-CN"/>
        </w:rPr>
      </w:pPr>
      <w:r>
        <w:rPr>
          <w:rStyle w:val="14"/>
          <w:rFonts w:hint="eastAsia" w:ascii="仿宋" w:hAnsi="仿宋" w:eastAsia="仿宋"/>
          <w:bCs/>
          <w:color w:val="000000"/>
          <w:sz w:val="32"/>
          <w:szCs w:val="32"/>
          <w:lang w:val="en-US" w:eastAsia="zh-CN"/>
        </w:rPr>
        <w:t>11</w:t>
      </w:r>
      <w:r>
        <w:rPr>
          <w:rStyle w:val="14"/>
          <w:rFonts w:ascii="仿宋" w:hAnsi="仿宋" w:eastAsia="仿宋"/>
          <w:bCs/>
          <w:color w:val="000000"/>
          <w:sz w:val="32"/>
          <w:szCs w:val="32"/>
        </w:rPr>
        <w:t>.</w:t>
      </w:r>
      <w:r>
        <w:rPr>
          <w:rFonts w:hint="eastAsia" w:ascii="仿宋" w:hAnsi="仿宋" w:eastAsia="仿宋"/>
          <w:b/>
          <w:bCs/>
          <w:color w:val="000000"/>
          <w:sz w:val="32"/>
          <w:szCs w:val="32"/>
        </w:rPr>
        <w:t>节能环保支出</w:t>
      </w:r>
      <w:r>
        <w:rPr>
          <w:rStyle w:val="14"/>
          <w:rFonts w:hint="eastAsia" w:ascii="仿宋" w:hAnsi="仿宋" w:eastAsia="仿宋"/>
          <w:bCs/>
          <w:color w:val="000000"/>
          <w:sz w:val="32"/>
          <w:szCs w:val="32"/>
        </w:rPr>
        <w:t>（类）污染防治（款）水体（项）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0.12</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r>
        <w:rPr>
          <w:rStyle w:val="14"/>
          <w:rFonts w:hint="eastAsia" w:ascii="仿宋" w:hAnsi="仿宋" w:eastAsia="仿宋"/>
          <w:b w:val="0"/>
          <w:bCs/>
          <w:color w:val="000000"/>
          <w:sz w:val="32"/>
          <w:szCs w:val="32"/>
          <w:lang w:val="en-US" w:eastAsia="zh-CN"/>
        </w:rPr>
        <w:t xml:space="preserve"> </w:t>
      </w:r>
    </w:p>
    <w:p>
      <w:pPr>
        <w:pStyle w:val="2"/>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12</w:t>
      </w:r>
      <w:r>
        <w:rPr>
          <w:rStyle w:val="14"/>
          <w:rFonts w:ascii="仿宋" w:hAnsi="仿宋" w:eastAsia="仿宋"/>
          <w:bCs/>
          <w:color w:val="000000"/>
          <w:sz w:val="32"/>
          <w:szCs w:val="32"/>
        </w:rPr>
        <w:t>.</w:t>
      </w:r>
      <w:r>
        <w:rPr>
          <w:rFonts w:hint="eastAsia" w:ascii="仿宋" w:hAnsi="仿宋" w:eastAsia="仿宋"/>
          <w:b/>
          <w:bCs/>
          <w:color w:val="000000"/>
          <w:sz w:val="32"/>
          <w:szCs w:val="32"/>
        </w:rPr>
        <w:t>城乡社区支出</w:t>
      </w:r>
      <w:r>
        <w:rPr>
          <w:rStyle w:val="14"/>
          <w:rFonts w:hint="eastAsia" w:ascii="仿宋" w:hAnsi="仿宋" w:eastAsia="仿宋"/>
          <w:bCs/>
          <w:color w:val="000000"/>
          <w:sz w:val="32"/>
          <w:szCs w:val="32"/>
        </w:rPr>
        <w:t>（类）城乡社区管理事务（款）城管执法（项）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11.58</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pStyle w:val="2"/>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13</w:t>
      </w:r>
      <w:r>
        <w:rPr>
          <w:rStyle w:val="14"/>
          <w:rFonts w:ascii="仿宋" w:hAnsi="仿宋" w:eastAsia="仿宋"/>
          <w:bCs/>
          <w:color w:val="000000"/>
          <w:sz w:val="32"/>
          <w:szCs w:val="32"/>
        </w:rPr>
        <w:t>.</w:t>
      </w:r>
      <w:r>
        <w:rPr>
          <w:rFonts w:hint="eastAsia" w:ascii="仿宋" w:hAnsi="仿宋" w:eastAsia="仿宋"/>
          <w:b/>
          <w:bCs/>
          <w:color w:val="000000"/>
          <w:sz w:val="32"/>
          <w:szCs w:val="32"/>
        </w:rPr>
        <w:t>城乡社区支出</w:t>
      </w:r>
      <w:r>
        <w:rPr>
          <w:rStyle w:val="14"/>
          <w:rFonts w:hint="eastAsia" w:ascii="仿宋" w:hAnsi="仿宋" w:eastAsia="仿宋"/>
          <w:bCs/>
          <w:color w:val="000000"/>
          <w:sz w:val="32"/>
          <w:szCs w:val="32"/>
        </w:rPr>
        <w:t>（类）城乡社区环境卫生（款）城乡社区环境卫生（项）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4.34</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pStyle w:val="2"/>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14</w:t>
      </w:r>
      <w:r>
        <w:rPr>
          <w:rStyle w:val="14"/>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4"/>
          <w:rFonts w:hint="eastAsia" w:ascii="仿宋" w:hAnsi="仿宋" w:eastAsia="仿宋"/>
          <w:bCs/>
          <w:color w:val="000000"/>
          <w:sz w:val="32"/>
          <w:szCs w:val="32"/>
        </w:rPr>
        <w:t>（类）农村综合改革（款）对村民委员会和村党支部的补助（项）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6</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pStyle w:val="2"/>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lang w:val="en-US" w:eastAsia="zh-CN"/>
        </w:rPr>
        <w:t>15</w:t>
      </w:r>
      <w:r>
        <w:rPr>
          <w:rStyle w:val="14"/>
          <w:rFonts w:ascii="仿宋" w:hAnsi="仿宋" w:eastAsia="仿宋"/>
          <w:bCs/>
          <w:color w:val="000000"/>
          <w:sz w:val="32"/>
          <w:szCs w:val="32"/>
        </w:rPr>
        <w:t>.</w:t>
      </w:r>
      <w:r>
        <w:rPr>
          <w:rFonts w:hint="eastAsia" w:ascii="仿宋" w:hAnsi="仿宋" w:eastAsia="仿宋"/>
          <w:b/>
          <w:bCs/>
          <w:color w:val="000000"/>
          <w:sz w:val="32"/>
          <w:szCs w:val="32"/>
        </w:rPr>
        <w:t>住房保障支出</w:t>
      </w:r>
      <w:r>
        <w:rPr>
          <w:rStyle w:val="14"/>
          <w:rFonts w:hint="eastAsia" w:ascii="仿宋" w:hAnsi="仿宋" w:eastAsia="仿宋"/>
          <w:bCs/>
          <w:color w:val="000000"/>
          <w:sz w:val="32"/>
          <w:szCs w:val="32"/>
        </w:rPr>
        <w:t>（类）住房改革支出（款）住房公积金（项）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10.2</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w:t>
      </w:r>
      <w:r>
        <w:rPr>
          <w:rStyle w:val="14"/>
          <w:rFonts w:hint="eastAsia" w:ascii="仿宋" w:hAnsi="仿宋" w:eastAsia="仿宋"/>
          <w:b w:val="0"/>
          <w:bCs/>
          <w:color w:val="000000"/>
          <w:sz w:val="32"/>
          <w:szCs w:val="32"/>
          <w:lang w:val="en-US" w:eastAsia="zh-CN"/>
        </w:rPr>
        <w:t>等于</w:t>
      </w:r>
      <w:r>
        <w:rPr>
          <w:rStyle w:val="14"/>
          <w:rFonts w:hint="eastAsia" w:ascii="仿宋" w:hAnsi="仿宋" w:eastAsia="仿宋"/>
          <w:b w:val="0"/>
          <w:bCs/>
          <w:color w:val="000000"/>
          <w:sz w:val="32"/>
          <w:szCs w:val="32"/>
        </w:rPr>
        <w:t>预算数。</w:t>
      </w:r>
    </w:p>
    <w:p>
      <w:pPr>
        <w:tabs>
          <w:tab w:val="right" w:pos="8306"/>
        </w:tabs>
        <w:spacing w:line="600" w:lineRule="exact"/>
        <w:ind w:firstLine="640"/>
        <w:outlineLvl w:val="1"/>
        <w:rPr>
          <w:rStyle w:val="18"/>
        </w:rPr>
      </w:pPr>
      <w:bookmarkStart w:id="39" w:name="_Toc31021"/>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8"/>
          <w:rFonts w:hint="eastAsia" w:ascii="黑体" w:hAnsi="黑体" w:eastAsia="黑体"/>
          <w:b w:val="0"/>
        </w:rPr>
        <w:t>般公共预算财政拨款基本支出决算情况说明</w:t>
      </w:r>
      <w:bookmarkEnd w:id="39"/>
      <w:bookmarkEnd w:id="40"/>
      <w:bookmarkEnd w:id="41"/>
      <w:r>
        <w:rPr>
          <w:rStyle w:val="18"/>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年一般公共预算财政拨款基本支出</w:t>
      </w:r>
      <w:r>
        <w:rPr>
          <w:rFonts w:hint="eastAsia" w:ascii="仿宋" w:hAnsi="仿宋" w:eastAsia="仿宋"/>
          <w:color w:val="000000"/>
          <w:sz w:val="32"/>
          <w:szCs w:val="32"/>
          <w:lang w:val="en-US" w:eastAsia="zh-CN"/>
        </w:rPr>
        <w:t>290.74</w:t>
      </w:r>
      <w:r>
        <w:rPr>
          <w:rFonts w:hint="eastAsia" w:ascii="仿宋" w:hAnsi="仿宋" w:eastAsia="仿宋"/>
          <w:color w:val="000000"/>
          <w:sz w:val="32"/>
          <w:szCs w:val="32"/>
        </w:rPr>
        <w:t>万元，其中：</w:t>
      </w:r>
    </w:p>
    <w:p>
      <w:pPr>
        <w:spacing w:line="600" w:lineRule="exact"/>
        <w:ind w:firstLine="645"/>
        <w:rPr>
          <w:rFonts w:hint="eastAsia" w:ascii="仿宋" w:hAnsi="仿宋" w:eastAsia="仿宋"/>
          <w:color w:val="000000"/>
          <w:sz w:val="32"/>
          <w:szCs w:val="32"/>
          <w:lang w:eastAsia="zh-CN"/>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227.57</w:t>
      </w:r>
      <w:r>
        <w:rPr>
          <w:rFonts w:hint="eastAsia" w:ascii="仿宋" w:hAnsi="仿宋" w:eastAsia="仿宋"/>
          <w:color w:val="000000"/>
          <w:sz w:val="32"/>
          <w:szCs w:val="32"/>
        </w:rPr>
        <w:t>万元，主要包括：基本工资</w:t>
      </w:r>
      <w:r>
        <w:rPr>
          <w:rFonts w:hint="eastAsia" w:ascii="仿宋" w:hAnsi="仿宋" w:eastAsia="仿宋"/>
          <w:color w:val="000000"/>
          <w:sz w:val="32"/>
          <w:szCs w:val="32"/>
          <w:lang w:val="en-US" w:eastAsia="zh-CN"/>
        </w:rPr>
        <w:t>43.78万元</w:t>
      </w:r>
      <w:r>
        <w:rPr>
          <w:rFonts w:hint="eastAsia" w:ascii="仿宋" w:hAnsi="仿宋" w:eastAsia="仿宋"/>
          <w:color w:val="000000"/>
          <w:sz w:val="32"/>
          <w:szCs w:val="32"/>
        </w:rPr>
        <w:t>、津贴补贴</w:t>
      </w:r>
      <w:r>
        <w:rPr>
          <w:rFonts w:hint="eastAsia" w:ascii="仿宋" w:hAnsi="仿宋" w:eastAsia="仿宋"/>
          <w:color w:val="000000"/>
          <w:sz w:val="32"/>
          <w:szCs w:val="32"/>
          <w:lang w:val="en-US" w:eastAsia="zh-CN"/>
        </w:rPr>
        <w:t>31.77万元</w:t>
      </w:r>
      <w:r>
        <w:rPr>
          <w:rFonts w:hint="eastAsia" w:ascii="仿宋" w:hAnsi="仿宋" w:eastAsia="仿宋"/>
          <w:color w:val="000000"/>
          <w:sz w:val="32"/>
          <w:szCs w:val="32"/>
        </w:rPr>
        <w:t>、奖金</w:t>
      </w:r>
      <w:r>
        <w:rPr>
          <w:rFonts w:hint="eastAsia" w:ascii="仿宋" w:hAnsi="仿宋" w:eastAsia="仿宋"/>
          <w:color w:val="000000"/>
          <w:sz w:val="32"/>
          <w:szCs w:val="32"/>
          <w:lang w:val="en-US" w:eastAsia="zh-CN"/>
        </w:rPr>
        <w:t>3.25万元</w:t>
      </w:r>
      <w:r>
        <w:rPr>
          <w:rFonts w:hint="eastAsia" w:ascii="仿宋" w:hAnsi="仿宋" w:eastAsia="仿宋"/>
          <w:color w:val="000000"/>
          <w:sz w:val="32"/>
          <w:szCs w:val="32"/>
        </w:rPr>
        <w:t>、伙食补助费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、绩效工资</w:t>
      </w:r>
      <w:r>
        <w:rPr>
          <w:rFonts w:hint="eastAsia" w:ascii="仿宋" w:hAnsi="仿宋" w:eastAsia="仿宋"/>
          <w:color w:val="000000"/>
          <w:sz w:val="32"/>
          <w:szCs w:val="32"/>
          <w:lang w:val="en-US" w:eastAsia="zh-CN"/>
        </w:rPr>
        <w:t>5.85万元</w:t>
      </w:r>
      <w:r>
        <w:rPr>
          <w:rFonts w:hint="eastAsia" w:ascii="仿宋" w:hAnsi="仿宋" w:eastAsia="仿宋"/>
          <w:color w:val="000000"/>
          <w:sz w:val="32"/>
          <w:szCs w:val="32"/>
        </w:rPr>
        <w:t>、机关事业单位基本养老保险缴费</w:t>
      </w:r>
      <w:r>
        <w:rPr>
          <w:rFonts w:hint="eastAsia" w:ascii="仿宋" w:hAnsi="仿宋" w:eastAsia="仿宋"/>
          <w:color w:val="000000"/>
          <w:sz w:val="32"/>
          <w:szCs w:val="32"/>
          <w:lang w:val="en-US" w:eastAsia="zh-CN"/>
        </w:rPr>
        <w:t>13.24万元</w:t>
      </w:r>
      <w:r>
        <w:rPr>
          <w:rFonts w:hint="eastAsia" w:ascii="仿宋" w:hAnsi="仿宋" w:eastAsia="仿宋"/>
          <w:color w:val="000000"/>
          <w:sz w:val="32"/>
          <w:szCs w:val="32"/>
        </w:rPr>
        <w:t>、职业年金缴费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、职工基本医疗保险缴费</w:t>
      </w:r>
      <w:r>
        <w:rPr>
          <w:rFonts w:hint="eastAsia" w:ascii="仿宋" w:hAnsi="仿宋" w:eastAsia="仿宋"/>
          <w:color w:val="000000"/>
          <w:sz w:val="32"/>
          <w:szCs w:val="32"/>
          <w:lang w:val="en-US" w:eastAsia="zh-CN"/>
        </w:rPr>
        <w:t>6.8万元、</w:t>
      </w:r>
      <w:r>
        <w:rPr>
          <w:rFonts w:hint="eastAsia" w:ascii="仿宋" w:hAnsi="仿宋" w:eastAsia="仿宋"/>
          <w:color w:val="000000"/>
          <w:sz w:val="32"/>
          <w:szCs w:val="32"/>
        </w:rPr>
        <w:t>其他社会保障缴费</w:t>
      </w:r>
      <w:r>
        <w:rPr>
          <w:rFonts w:hint="eastAsia" w:ascii="仿宋" w:hAnsi="仿宋" w:eastAsia="仿宋"/>
          <w:color w:val="000000"/>
          <w:sz w:val="32"/>
          <w:szCs w:val="32"/>
          <w:lang w:val="en-US" w:eastAsia="zh-CN"/>
        </w:rPr>
        <w:t>0.17万元</w:t>
      </w:r>
      <w:r>
        <w:rPr>
          <w:rFonts w:hint="eastAsia" w:ascii="仿宋" w:hAnsi="仿宋" w:eastAsia="仿宋"/>
          <w:color w:val="000000"/>
          <w:sz w:val="32"/>
          <w:szCs w:val="32"/>
        </w:rPr>
        <w:t>、其他工资福利支出</w:t>
      </w:r>
      <w:r>
        <w:rPr>
          <w:rFonts w:hint="eastAsia" w:ascii="仿宋" w:hAnsi="仿宋" w:eastAsia="仿宋"/>
          <w:color w:val="000000"/>
          <w:sz w:val="32"/>
          <w:szCs w:val="32"/>
          <w:lang w:val="en-US" w:eastAsia="zh-CN"/>
        </w:rPr>
        <w:t>82.01万元</w:t>
      </w:r>
      <w:r>
        <w:rPr>
          <w:rFonts w:hint="eastAsia" w:ascii="仿宋" w:hAnsi="仿宋" w:eastAsia="仿宋"/>
          <w:color w:val="000000"/>
          <w:sz w:val="32"/>
          <w:szCs w:val="32"/>
        </w:rPr>
        <w:t>、离休费</w:t>
      </w:r>
      <w:r>
        <w:rPr>
          <w:rFonts w:hint="eastAsia" w:ascii="仿宋" w:hAnsi="仿宋" w:eastAsia="仿宋"/>
          <w:color w:val="000000"/>
          <w:sz w:val="32"/>
          <w:szCs w:val="32"/>
          <w:lang w:val="en-US" w:eastAsia="zh-CN"/>
        </w:rPr>
        <w:t>4.12万元</w:t>
      </w:r>
      <w:r>
        <w:rPr>
          <w:rFonts w:hint="eastAsia" w:ascii="仿宋" w:hAnsi="仿宋" w:eastAsia="仿宋"/>
          <w:color w:val="000000"/>
          <w:sz w:val="32"/>
          <w:szCs w:val="32"/>
        </w:rPr>
        <w:t>、退休费</w:t>
      </w:r>
      <w:r>
        <w:rPr>
          <w:rFonts w:hint="eastAsia" w:ascii="仿宋" w:hAnsi="仿宋" w:eastAsia="仿宋"/>
          <w:color w:val="000000"/>
          <w:sz w:val="32"/>
          <w:szCs w:val="32"/>
          <w:lang w:val="en-US" w:eastAsia="zh-CN"/>
        </w:rPr>
        <w:t>1.59万元</w:t>
      </w:r>
      <w:r>
        <w:rPr>
          <w:rFonts w:hint="eastAsia" w:ascii="仿宋" w:hAnsi="仿宋" w:eastAsia="仿宋"/>
          <w:color w:val="000000"/>
          <w:sz w:val="32"/>
          <w:szCs w:val="32"/>
        </w:rPr>
        <w:t>、抚恤金</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、生活补助</w:t>
      </w:r>
      <w:r>
        <w:rPr>
          <w:rFonts w:hint="eastAsia" w:ascii="仿宋" w:hAnsi="仿宋" w:eastAsia="仿宋"/>
          <w:color w:val="000000"/>
          <w:sz w:val="32"/>
          <w:szCs w:val="32"/>
          <w:lang w:val="en-US" w:eastAsia="zh-CN"/>
        </w:rPr>
        <w:t>0.05万元</w:t>
      </w:r>
      <w:r>
        <w:rPr>
          <w:rFonts w:hint="eastAsia" w:ascii="仿宋" w:hAnsi="仿宋" w:eastAsia="仿宋"/>
          <w:color w:val="000000"/>
          <w:sz w:val="32"/>
          <w:szCs w:val="32"/>
        </w:rPr>
        <w:t>、医疗费补助</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、奖励金</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、住房公积金</w:t>
      </w:r>
      <w:r>
        <w:rPr>
          <w:rFonts w:hint="eastAsia" w:ascii="仿宋" w:hAnsi="仿宋" w:eastAsia="仿宋"/>
          <w:color w:val="000000"/>
          <w:sz w:val="32"/>
          <w:szCs w:val="32"/>
          <w:lang w:val="en-US" w:eastAsia="zh-CN"/>
        </w:rPr>
        <w:t>10.2万元</w:t>
      </w:r>
      <w:r>
        <w:rPr>
          <w:rFonts w:hint="eastAsia" w:ascii="仿宋" w:hAnsi="仿宋" w:eastAsia="仿宋"/>
          <w:color w:val="000000"/>
          <w:sz w:val="32"/>
          <w:szCs w:val="32"/>
        </w:rPr>
        <w:t>、其他对个人和家庭的补助支出</w:t>
      </w:r>
      <w:r>
        <w:rPr>
          <w:rFonts w:hint="eastAsia" w:ascii="仿宋" w:hAnsi="仿宋" w:eastAsia="仿宋"/>
          <w:color w:val="000000"/>
          <w:sz w:val="32"/>
          <w:szCs w:val="32"/>
          <w:lang w:val="en-US" w:eastAsia="zh-CN"/>
        </w:rPr>
        <w:t>24.74万元等</w:t>
      </w:r>
      <w:r>
        <w:rPr>
          <w:rFonts w:hint="eastAsia" w:ascii="仿宋" w:hAnsi="仿宋" w:eastAsia="仿宋"/>
          <w:color w:val="000000"/>
          <w:sz w:val="32"/>
          <w:szCs w:val="32"/>
        </w:rPr>
        <w:t>。</w:t>
      </w:r>
    </w:p>
    <w:p>
      <w:pPr>
        <w:spacing w:line="600" w:lineRule="exact"/>
        <w:ind w:firstLine="645"/>
        <w:rPr>
          <w:rFonts w:ascii="仿宋" w:hAnsi="仿宋" w:eastAsia="仿宋"/>
          <w:b/>
          <w:color w:val="FF0000"/>
          <w:sz w:val="32"/>
          <w:szCs w:val="32"/>
        </w:rPr>
      </w:pPr>
      <w:r>
        <w:rPr>
          <w:rFonts w:hint="eastAsia" w:ascii="仿宋" w:hAnsi="仿宋" w:eastAsia="仿宋"/>
          <w:color w:val="000000"/>
          <w:sz w:val="32"/>
          <w:szCs w:val="32"/>
        </w:rPr>
        <w:t>日常公用经费</w:t>
      </w:r>
      <w:r>
        <w:rPr>
          <w:rFonts w:hint="eastAsia" w:ascii="仿宋" w:hAnsi="仿宋" w:eastAsia="仿宋"/>
          <w:color w:val="000000"/>
          <w:sz w:val="32"/>
          <w:szCs w:val="32"/>
          <w:lang w:val="en-US" w:eastAsia="zh-CN"/>
        </w:rPr>
        <w:t>63.17</w:t>
      </w:r>
      <w:r>
        <w:rPr>
          <w:rFonts w:hint="eastAsia" w:ascii="仿宋" w:hAnsi="仿宋" w:eastAsia="仿宋"/>
          <w:color w:val="000000"/>
          <w:sz w:val="32"/>
          <w:szCs w:val="32"/>
        </w:rPr>
        <w:t>万元，主要包括：办公费</w:t>
      </w:r>
      <w:r>
        <w:rPr>
          <w:rFonts w:hint="eastAsia" w:ascii="仿宋" w:hAnsi="仿宋" w:eastAsia="仿宋"/>
          <w:color w:val="000000"/>
          <w:sz w:val="32"/>
          <w:szCs w:val="32"/>
          <w:lang w:val="en-US" w:eastAsia="zh-CN"/>
        </w:rPr>
        <w:t>19.1万元</w:t>
      </w:r>
      <w:r>
        <w:rPr>
          <w:rFonts w:hint="eastAsia" w:ascii="仿宋" w:hAnsi="仿宋" w:eastAsia="仿宋"/>
          <w:color w:val="000000"/>
          <w:sz w:val="32"/>
          <w:szCs w:val="32"/>
        </w:rPr>
        <w:t>、印刷费</w:t>
      </w:r>
      <w:r>
        <w:rPr>
          <w:rFonts w:hint="eastAsia" w:ascii="仿宋" w:hAnsi="仿宋" w:eastAsia="仿宋"/>
          <w:color w:val="000000"/>
          <w:sz w:val="32"/>
          <w:szCs w:val="32"/>
          <w:lang w:val="en-US" w:eastAsia="zh-CN"/>
        </w:rPr>
        <w:t>0.6万元</w:t>
      </w:r>
      <w:r>
        <w:rPr>
          <w:rFonts w:hint="eastAsia" w:ascii="仿宋" w:hAnsi="仿宋" w:eastAsia="仿宋"/>
          <w:color w:val="000000"/>
          <w:sz w:val="32"/>
          <w:szCs w:val="32"/>
        </w:rPr>
        <w:t>、咨询费</w:t>
      </w:r>
      <w:r>
        <w:rPr>
          <w:rFonts w:hint="eastAsia" w:ascii="仿宋" w:hAnsi="仿宋" w:eastAsia="仿宋"/>
          <w:color w:val="000000"/>
          <w:sz w:val="32"/>
          <w:szCs w:val="32"/>
          <w:lang w:val="en-US" w:eastAsia="zh-CN"/>
        </w:rPr>
        <w:t>0.5万元</w:t>
      </w:r>
      <w:r>
        <w:rPr>
          <w:rFonts w:hint="eastAsia" w:ascii="仿宋" w:hAnsi="仿宋" w:eastAsia="仿宋"/>
          <w:color w:val="000000"/>
          <w:sz w:val="32"/>
          <w:szCs w:val="32"/>
        </w:rPr>
        <w:t>、手续费</w:t>
      </w:r>
      <w:r>
        <w:rPr>
          <w:rFonts w:hint="eastAsia" w:ascii="仿宋" w:hAnsi="仿宋" w:eastAsia="仿宋"/>
          <w:color w:val="000000"/>
          <w:sz w:val="32"/>
          <w:szCs w:val="32"/>
          <w:lang w:val="en-US" w:eastAsia="zh-CN"/>
        </w:rPr>
        <w:t>0.2万元</w:t>
      </w:r>
      <w:r>
        <w:rPr>
          <w:rFonts w:hint="eastAsia" w:ascii="仿宋" w:hAnsi="仿宋" w:eastAsia="仿宋"/>
          <w:color w:val="000000"/>
          <w:sz w:val="32"/>
          <w:szCs w:val="32"/>
        </w:rPr>
        <w:t>、水费</w:t>
      </w:r>
      <w:r>
        <w:rPr>
          <w:rFonts w:hint="eastAsia" w:ascii="仿宋" w:hAnsi="仿宋" w:eastAsia="仿宋"/>
          <w:color w:val="000000"/>
          <w:sz w:val="32"/>
          <w:szCs w:val="32"/>
          <w:lang w:val="en-US" w:eastAsia="zh-CN"/>
        </w:rPr>
        <w:t>1.5万元</w:t>
      </w:r>
      <w:r>
        <w:rPr>
          <w:rFonts w:hint="eastAsia" w:ascii="仿宋" w:hAnsi="仿宋" w:eastAsia="仿宋"/>
          <w:color w:val="000000"/>
          <w:sz w:val="32"/>
          <w:szCs w:val="32"/>
        </w:rPr>
        <w:t>、电费</w:t>
      </w:r>
      <w:r>
        <w:rPr>
          <w:rFonts w:hint="eastAsia" w:ascii="仿宋" w:hAnsi="仿宋" w:eastAsia="仿宋"/>
          <w:color w:val="000000"/>
          <w:sz w:val="32"/>
          <w:szCs w:val="32"/>
          <w:lang w:val="en-US" w:eastAsia="zh-CN"/>
        </w:rPr>
        <w:t>3万元</w:t>
      </w:r>
      <w:r>
        <w:rPr>
          <w:rFonts w:hint="eastAsia" w:ascii="仿宋" w:hAnsi="仿宋" w:eastAsia="仿宋"/>
          <w:color w:val="000000"/>
          <w:sz w:val="32"/>
          <w:szCs w:val="32"/>
        </w:rPr>
        <w:t>、邮电费</w:t>
      </w:r>
      <w:r>
        <w:rPr>
          <w:rFonts w:hint="eastAsia" w:ascii="仿宋" w:hAnsi="仿宋" w:eastAsia="仿宋"/>
          <w:color w:val="000000"/>
          <w:sz w:val="32"/>
          <w:szCs w:val="32"/>
          <w:lang w:val="en-US" w:eastAsia="zh-CN"/>
        </w:rPr>
        <w:t>1万元</w:t>
      </w:r>
      <w:r>
        <w:rPr>
          <w:rFonts w:hint="eastAsia" w:ascii="仿宋" w:hAnsi="仿宋" w:eastAsia="仿宋"/>
          <w:color w:val="000000"/>
          <w:sz w:val="32"/>
          <w:szCs w:val="32"/>
        </w:rPr>
        <w:t>、取暖费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、物业管理费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、差旅费</w:t>
      </w:r>
      <w:r>
        <w:rPr>
          <w:rFonts w:hint="eastAsia" w:ascii="仿宋" w:hAnsi="仿宋" w:eastAsia="仿宋"/>
          <w:color w:val="000000"/>
          <w:sz w:val="32"/>
          <w:szCs w:val="32"/>
          <w:lang w:val="en-US" w:eastAsia="zh-CN"/>
        </w:rPr>
        <w:t>0.5万元</w:t>
      </w:r>
      <w:r>
        <w:rPr>
          <w:rFonts w:hint="eastAsia" w:ascii="仿宋" w:hAnsi="仿宋" w:eastAsia="仿宋"/>
          <w:color w:val="000000"/>
          <w:sz w:val="32"/>
          <w:szCs w:val="32"/>
        </w:rPr>
        <w:t>、因公出国（境）费用</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、维修（护）费</w:t>
      </w:r>
      <w:r>
        <w:rPr>
          <w:rFonts w:hint="eastAsia" w:ascii="仿宋" w:hAnsi="仿宋" w:eastAsia="仿宋"/>
          <w:color w:val="000000"/>
          <w:sz w:val="32"/>
          <w:szCs w:val="32"/>
          <w:lang w:val="en-US" w:eastAsia="zh-CN"/>
        </w:rPr>
        <w:t>4.3万元</w:t>
      </w:r>
      <w:r>
        <w:rPr>
          <w:rFonts w:hint="eastAsia" w:ascii="仿宋" w:hAnsi="仿宋" w:eastAsia="仿宋"/>
          <w:color w:val="000000"/>
          <w:sz w:val="32"/>
          <w:szCs w:val="32"/>
        </w:rPr>
        <w:t>、租赁费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、会议费</w:t>
      </w:r>
      <w:r>
        <w:rPr>
          <w:rFonts w:hint="eastAsia" w:ascii="仿宋" w:hAnsi="仿宋" w:eastAsia="仿宋"/>
          <w:color w:val="000000"/>
          <w:sz w:val="32"/>
          <w:szCs w:val="32"/>
          <w:lang w:val="en-US" w:eastAsia="zh-CN"/>
        </w:rPr>
        <w:t>0.3万元</w:t>
      </w:r>
      <w:r>
        <w:rPr>
          <w:rFonts w:hint="eastAsia" w:ascii="仿宋" w:hAnsi="仿宋" w:eastAsia="仿宋"/>
          <w:color w:val="000000"/>
          <w:sz w:val="32"/>
          <w:szCs w:val="32"/>
        </w:rPr>
        <w:t>、培训费</w:t>
      </w:r>
      <w:r>
        <w:rPr>
          <w:rFonts w:hint="eastAsia" w:ascii="仿宋" w:hAnsi="仿宋" w:eastAsia="仿宋"/>
          <w:color w:val="000000"/>
          <w:sz w:val="32"/>
          <w:szCs w:val="32"/>
          <w:lang w:val="en-US" w:eastAsia="zh-CN"/>
        </w:rPr>
        <w:t>1.6万元</w:t>
      </w:r>
      <w:r>
        <w:rPr>
          <w:rFonts w:hint="eastAsia" w:ascii="仿宋" w:hAnsi="仿宋" w:eastAsia="仿宋"/>
          <w:color w:val="000000"/>
          <w:sz w:val="32"/>
          <w:szCs w:val="32"/>
        </w:rPr>
        <w:t>、公务接待费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、劳务费</w:t>
      </w:r>
      <w:r>
        <w:rPr>
          <w:rFonts w:hint="eastAsia" w:ascii="仿宋" w:hAnsi="仿宋" w:eastAsia="仿宋"/>
          <w:color w:val="000000"/>
          <w:sz w:val="32"/>
          <w:szCs w:val="32"/>
          <w:lang w:val="en-US" w:eastAsia="zh-CN"/>
        </w:rPr>
        <w:t>5.3万元</w:t>
      </w:r>
      <w:r>
        <w:rPr>
          <w:rFonts w:hint="eastAsia" w:ascii="仿宋" w:hAnsi="仿宋" w:eastAsia="仿宋"/>
          <w:color w:val="000000"/>
          <w:sz w:val="32"/>
          <w:szCs w:val="32"/>
        </w:rPr>
        <w:t>、委托业务费</w:t>
      </w:r>
      <w:r>
        <w:rPr>
          <w:rFonts w:hint="eastAsia" w:ascii="仿宋" w:hAnsi="仿宋" w:eastAsia="仿宋"/>
          <w:color w:val="000000"/>
          <w:sz w:val="32"/>
          <w:szCs w:val="32"/>
          <w:lang w:val="en-US" w:eastAsia="zh-CN"/>
        </w:rPr>
        <w:t>9.79万元</w:t>
      </w:r>
      <w:r>
        <w:rPr>
          <w:rFonts w:hint="eastAsia" w:ascii="仿宋" w:hAnsi="仿宋" w:eastAsia="仿宋"/>
          <w:color w:val="000000"/>
          <w:sz w:val="32"/>
          <w:szCs w:val="32"/>
        </w:rPr>
        <w:t>、工会经费</w:t>
      </w:r>
      <w:r>
        <w:rPr>
          <w:rFonts w:hint="eastAsia" w:ascii="仿宋" w:hAnsi="仿宋" w:eastAsia="仿宋"/>
          <w:color w:val="000000"/>
          <w:sz w:val="32"/>
          <w:szCs w:val="32"/>
          <w:lang w:val="en-US" w:eastAsia="zh-CN"/>
        </w:rPr>
        <w:t>0.66万元</w:t>
      </w:r>
      <w:r>
        <w:rPr>
          <w:rFonts w:hint="eastAsia" w:ascii="仿宋" w:hAnsi="仿宋" w:eastAsia="仿宋"/>
          <w:color w:val="000000"/>
          <w:sz w:val="32"/>
          <w:szCs w:val="32"/>
        </w:rPr>
        <w:t>、福利费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、公务用车运行维护费</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、其他交通费</w:t>
      </w:r>
      <w:r>
        <w:rPr>
          <w:rFonts w:hint="eastAsia" w:ascii="仿宋" w:hAnsi="仿宋" w:eastAsia="仿宋"/>
          <w:color w:val="000000"/>
          <w:sz w:val="32"/>
          <w:szCs w:val="32"/>
          <w:lang w:val="en-US" w:eastAsia="zh-CN"/>
        </w:rPr>
        <w:t>8.14万元</w:t>
      </w:r>
      <w:r>
        <w:rPr>
          <w:rFonts w:hint="eastAsia" w:ascii="仿宋" w:hAnsi="仿宋" w:eastAsia="仿宋"/>
          <w:color w:val="000000"/>
          <w:sz w:val="32"/>
          <w:szCs w:val="32"/>
        </w:rPr>
        <w:t>、税金及附加费用</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、其他商品和服务支出</w:t>
      </w:r>
      <w:r>
        <w:rPr>
          <w:rFonts w:hint="eastAsia" w:ascii="仿宋" w:hAnsi="仿宋" w:eastAsia="仿宋"/>
          <w:color w:val="000000"/>
          <w:sz w:val="32"/>
          <w:szCs w:val="32"/>
          <w:lang w:val="en-US" w:eastAsia="zh-CN"/>
        </w:rPr>
        <w:t>6.68万元</w:t>
      </w:r>
      <w:r>
        <w:rPr>
          <w:rFonts w:hint="eastAsia" w:ascii="仿宋" w:hAnsi="仿宋" w:eastAsia="仿宋"/>
          <w:color w:val="000000"/>
          <w:sz w:val="32"/>
          <w:szCs w:val="32"/>
        </w:rPr>
        <w:t>、办公设备购置</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、专用设备购置</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、信息网络及软件购置更新</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、其他资本性支出</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等。</w:t>
      </w:r>
    </w:p>
    <w:p>
      <w:pPr>
        <w:spacing w:line="600" w:lineRule="exact"/>
        <w:ind w:firstLine="640"/>
        <w:outlineLvl w:val="1"/>
        <w:rPr>
          <w:rStyle w:val="18"/>
          <w:rFonts w:ascii="黑体" w:hAnsi="黑体" w:eastAsia="黑体"/>
          <w:b w:val="0"/>
        </w:rPr>
      </w:pPr>
      <w:bookmarkStart w:id="42" w:name="_Toc15377215"/>
      <w:bookmarkStart w:id="43" w:name="_Toc15396609"/>
      <w:bookmarkStart w:id="44" w:name="_Toc6926"/>
      <w:r>
        <w:rPr>
          <w:rFonts w:hint="eastAsia" w:ascii="黑体" w:eastAsia="黑体"/>
          <w:color w:val="000000"/>
          <w:sz w:val="32"/>
          <w:szCs w:val="32"/>
        </w:rPr>
        <w:t>七、</w:t>
      </w:r>
      <w:r>
        <w:rPr>
          <w:rStyle w:val="18"/>
          <w:rFonts w:hint="eastAsia" w:ascii="黑体" w:hAnsi="黑体" w:eastAsia="黑体"/>
        </w:rPr>
        <w:t>“</w:t>
      </w:r>
      <w:r>
        <w:rPr>
          <w:rStyle w:val="18"/>
          <w:rFonts w:hint="eastAsia" w:ascii="黑体" w:hAnsi="黑体" w:eastAsia="黑体"/>
          <w:b w:val="0"/>
        </w:rPr>
        <w:t>三公”经费财政拨款支出决算情况说明</w:t>
      </w:r>
      <w:bookmarkEnd w:id="42"/>
      <w:bookmarkEnd w:id="43"/>
      <w:bookmarkEnd w:id="44"/>
    </w:p>
    <w:p>
      <w:pPr>
        <w:spacing w:line="600" w:lineRule="exact"/>
        <w:ind w:firstLine="640"/>
        <w:outlineLvl w:val="2"/>
        <w:rPr>
          <w:rFonts w:ascii="仿宋" w:hAnsi="仿宋" w:eastAsia="仿宋"/>
          <w:b/>
          <w:color w:val="000000"/>
          <w:sz w:val="32"/>
          <w:szCs w:val="32"/>
        </w:rPr>
      </w:pPr>
      <w:bookmarkStart w:id="45" w:name="_Toc15377216"/>
      <w:r>
        <w:rPr>
          <w:rFonts w:hint="eastAsia" w:ascii="仿宋" w:hAnsi="仿宋" w:eastAsia="仿宋"/>
          <w:b/>
          <w:color w:val="000000"/>
          <w:sz w:val="32"/>
          <w:szCs w:val="32"/>
        </w:rPr>
        <w:t>（一）“三公”经费财政拨款支出决算总体情况说明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，决算数与预算数持平的主要原因是</w:t>
      </w:r>
      <w:r>
        <w:rPr>
          <w:rFonts w:hint="eastAsia" w:ascii="仿宋" w:hAnsi="仿宋" w:eastAsia="仿宋"/>
          <w:color w:val="000000"/>
          <w:sz w:val="32"/>
          <w:szCs w:val="32"/>
          <w:lang w:val="en-US" w:eastAsia="zh-CN"/>
        </w:rPr>
        <w:t>无“三公”经费预算，也无相关支出</w:t>
      </w:r>
      <w:r>
        <w:rPr>
          <w:rFonts w:hint="eastAsia" w:ascii="仿宋" w:hAnsi="仿宋" w:eastAsia="仿宋"/>
          <w:color w:val="000000"/>
          <w:sz w:val="32"/>
          <w:szCs w:val="32"/>
        </w:rPr>
        <w:t>。</w:t>
      </w:r>
    </w:p>
    <w:p>
      <w:pPr>
        <w:spacing w:line="600" w:lineRule="exact"/>
        <w:ind w:firstLine="640"/>
        <w:outlineLvl w:val="2"/>
        <w:rPr>
          <w:rFonts w:ascii="仿宋" w:hAnsi="仿宋" w:eastAsia="仿宋"/>
          <w:b/>
          <w:color w:val="000000"/>
          <w:sz w:val="32"/>
          <w:szCs w:val="32"/>
        </w:rPr>
      </w:pPr>
      <w:bookmarkStart w:id="46" w:name="_Toc15377217"/>
      <w:r>
        <w:rPr>
          <w:rFonts w:hint="eastAsia" w:ascii="仿宋" w:hAnsi="仿宋" w:eastAsia="仿宋"/>
          <w:b/>
          <w:color w:val="000000"/>
          <w:sz w:val="32"/>
          <w:szCs w:val="32"/>
        </w:rPr>
        <w:t>（二）“三公”经费财政拨款支出决算具体情况说明</w:t>
      </w:r>
      <w:bookmarkEnd w:id="46"/>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：“三公”经费财政拨款支出结构）（饼状图）</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w:t>
      </w:r>
      <w:r>
        <w:rPr>
          <w:rFonts w:hint="eastAsia" w:ascii="仿宋_GB2312"/>
          <w:color w:val="000000"/>
          <w:sz w:val="32"/>
          <w:szCs w:val="32"/>
          <w:lang w:val="en-US" w:eastAsia="zh-CN"/>
        </w:rPr>
        <w:t>9</w:t>
      </w:r>
      <w:r>
        <w:rPr>
          <w:rFonts w:hint="eastAsia" w:ascii="仿宋_GB2312" w:eastAsia="仿宋_GB2312"/>
          <w:color w:val="000000"/>
          <w:sz w:val="32"/>
          <w:szCs w:val="32"/>
        </w:rPr>
        <w:t>年</w:t>
      </w:r>
      <w:r>
        <w:rPr>
          <w:rFonts w:hint="eastAsia" w:ascii="仿宋_GB2312"/>
          <w:color w:val="000000"/>
          <w:sz w:val="32"/>
          <w:szCs w:val="32"/>
          <w:lang w:val="en-US" w:eastAsia="zh-CN"/>
        </w:rPr>
        <w:t>持平</w:t>
      </w:r>
      <w:r>
        <w:rPr>
          <w:rFonts w:hint="eastAsia" w:ascii="仿宋_GB2312" w:eastAsia="仿宋_GB2312"/>
          <w:color w:val="000000"/>
          <w:sz w:val="32"/>
          <w:szCs w:val="32"/>
        </w:rPr>
        <w:t>。主要原因</w:t>
      </w:r>
      <w:r>
        <w:rPr>
          <w:rFonts w:hint="eastAsia" w:ascii="仿宋_GB2312"/>
          <w:color w:val="000000"/>
          <w:sz w:val="32"/>
          <w:szCs w:val="32"/>
          <w:lang w:val="en-US" w:eastAsia="zh-CN"/>
        </w:rPr>
        <w:t>无因公出国（境）支出</w:t>
      </w:r>
      <w:r>
        <w:rPr>
          <w:rFonts w:hint="eastAsia" w:ascii="仿宋_GB2312" w:eastAsia="仿宋_GB2312"/>
          <w:color w:val="000000"/>
          <w:sz w:val="32"/>
          <w:szCs w:val="32"/>
        </w:rPr>
        <w:t>。</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w:t>
      </w:r>
      <w:r>
        <w:rPr>
          <w:rFonts w:hint="eastAsia" w:ascii="仿宋_GB2312"/>
          <w:color w:val="000000"/>
          <w:sz w:val="32"/>
          <w:szCs w:val="32"/>
          <w:lang w:val="en-US" w:eastAsia="zh-CN"/>
        </w:rPr>
        <w:t>无</w:t>
      </w:r>
      <w:r>
        <w:rPr>
          <w:rFonts w:hint="eastAsia" w:ascii="仿宋_GB2312" w:eastAsia="仿宋_GB2312"/>
          <w:color w:val="000000"/>
          <w:sz w:val="32"/>
          <w:szCs w:val="32"/>
        </w:rPr>
        <w:t>。</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Fonts w:ascii="仿宋_GB2312" w:eastAsia="仿宋_GB2312"/>
          <w:color w:val="000000"/>
          <w:sz w:val="32"/>
          <w:szCs w:val="32"/>
        </w:rPr>
        <w:t>,</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hint="eastAsia" w:ascii="仿宋_GB2312"/>
          <w:color w:val="000000"/>
          <w:sz w:val="32"/>
          <w:szCs w:val="32"/>
          <w:lang w:val="en-US" w:eastAsia="zh-CN"/>
        </w:rPr>
        <w:t>2019</w:t>
      </w:r>
      <w:r>
        <w:rPr>
          <w:rFonts w:hint="eastAsia" w:ascii="仿宋_GB2312" w:eastAsia="仿宋_GB2312"/>
          <w:color w:val="000000"/>
          <w:sz w:val="32"/>
          <w:szCs w:val="32"/>
        </w:rPr>
        <w:t>年</w:t>
      </w:r>
      <w:r>
        <w:rPr>
          <w:rFonts w:hint="eastAsia" w:ascii="仿宋_GB2312"/>
          <w:color w:val="000000"/>
          <w:sz w:val="32"/>
          <w:szCs w:val="32"/>
          <w:lang w:val="en-US" w:eastAsia="zh-CN"/>
        </w:rPr>
        <w:t>持平</w:t>
      </w:r>
      <w:r>
        <w:rPr>
          <w:rFonts w:hint="eastAsia" w:ascii="仿宋_GB2312" w:eastAsia="仿宋_GB2312"/>
          <w:color w:val="000000"/>
          <w:sz w:val="32"/>
          <w:szCs w:val="32"/>
        </w:rPr>
        <w:t>。主要原因是</w:t>
      </w:r>
      <w:r>
        <w:rPr>
          <w:rFonts w:hint="eastAsia" w:ascii="仿宋_GB2312"/>
          <w:color w:val="000000"/>
          <w:sz w:val="32"/>
          <w:szCs w:val="32"/>
          <w:lang w:val="en-US" w:eastAsia="zh-CN"/>
        </w:rPr>
        <w:t>无公务用车</w:t>
      </w:r>
      <w:r>
        <w:rPr>
          <w:rFonts w:hint="eastAsia" w:ascii="仿宋_GB2312" w:eastAsia="仿宋_GB2312"/>
          <w:color w:val="000000"/>
          <w:sz w:val="32"/>
          <w:szCs w:val="32"/>
        </w:rPr>
        <w:t>。</w:t>
      </w:r>
    </w:p>
    <w:p>
      <w:pPr>
        <w:spacing w:line="600" w:lineRule="exact"/>
        <w:ind w:firstLine="640" w:firstLineChars="200"/>
        <w:rPr>
          <w:rFonts w:ascii="仿宋_GB2312" w:eastAsia="仿宋_GB2312"/>
          <w:b/>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color w:val="000000"/>
          <w:sz w:val="32"/>
          <w:szCs w:val="32"/>
          <w:lang w:val="en-US" w:eastAsia="zh-CN"/>
        </w:rPr>
        <w:t>0</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万元，越野车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万元，载客汽车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万元，主要用于</w:t>
      </w:r>
      <w:r>
        <w:rPr>
          <w:rFonts w:hint="eastAsia" w:ascii="仿宋_GB2312"/>
          <w:color w:val="000000"/>
          <w:sz w:val="32"/>
          <w:szCs w:val="32"/>
          <w:lang w:val="en-US" w:eastAsia="zh-CN"/>
        </w:rPr>
        <w:t>无</w:t>
      </w: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color w:val="000000"/>
          <w:sz w:val="32"/>
          <w:szCs w:val="32"/>
          <w:lang w:val="en-US" w:eastAsia="zh-CN"/>
        </w:rPr>
        <w:t>0</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辆、越野车</w:t>
      </w:r>
      <w:r>
        <w:rPr>
          <w:rFonts w:hint="eastAsia" w:ascii="仿宋_GB2312"/>
          <w:color w:val="000000"/>
          <w:sz w:val="32"/>
          <w:szCs w:val="32"/>
          <w:lang w:val="en-US" w:eastAsia="zh-CN"/>
        </w:rPr>
        <w:t>0</w:t>
      </w:r>
      <w:r>
        <w:rPr>
          <w:rFonts w:hint="eastAsia" w:ascii="仿宋_GB2312" w:eastAsia="仿宋_GB2312"/>
          <w:color w:val="000000"/>
          <w:sz w:val="32"/>
          <w:szCs w:val="32"/>
        </w:rPr>
        <w:t>辆、载客汽车</w:t>
      </w:r>
      <w:r>
        <w:rPr>
          <w:rFonts w:hint="eastAsia" w:ascii="仿宋_GB2312"/>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color w:val="000000"/>
          <w:sz w:val="32"/>
          <w:szCs w:val="32"/>
          <w:lang w:val="en-US" w:eastAsia="zh-CN"/>
        </w:rPr>
        <w:t>0</w:t>
      </w:r>
      <w:r>
        <w:rPr>
          <w:rFonts w:hint="eastAsia" w:ascii="仿宋_GB2312" w:eastAsia="仿宋_GB2312"/>
          <w:color w:val="000000"/>
          <w:sz w:val="32"/>
          <w:szCs w:val="32"/>
        </w:rPr>
        <w:t>万元。主要用于</w:t>
      </w:r>
      <w:r>
        <w:rPr>
          <w:rFonts w:hint="eastAsia" w:ascii="仿宋_GB2312"/>
          <w:color w:val="000000"/>
          <w:sz w:val="32"/>
          <w:szCs w:val="32"/>
          <w:lang w:val="en-US" w:eastAsia="zh-CN"/>
        </w:rPr>
        <w:t>无</w:t>
      </w:r>
      <w:r>
        <w:rPr>
          <w:rFonts w:hint="eastAsia" w:ascii="仿宋_GB2312" w:eastAsia="仿宋_GB2312"/>
          <w:color w:val="000000"/>
          <w:sz w:val="32"/>
          <w:szCs w:val="32"/>
        </w:rPr>
        <w:t>。</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2019</w:t>
      </w:r>
      <w:r>
        <w:rPr>
          <w:rFonts w:hint="eastAsia" w:ascii="仿宋_GB2312" w:eastAsia="仿宋_GB2312"/>
          <w:color w:val="000000"/>
          <w:sz w:val="32"/>
          <w:szCs w:val="32"/>
        </w:rPr>
        <w:t>年</w:t>
      </w:r>
      <w:r>
        <w:rPr>
          <w:rFonts w:hint="eastAsia" w:ascii="仿宋_GB2312"/>
          <w:color w:val="000000"/>
          <w:sz w:val="32"/>
          <w:szCs w:val="32"/>
          <w:lang w:val="en-US" w:eastAsia="zh-CN"/>
        </w:rPr>
        <w:t>持平</w:t>
      </w:r>
      <w:r>
        <w:rPr>
          <w:rFonts w:hint="eastAsia" w:ascii="仿宋_GB2312" w:eastAsia="仿宋_GB2312"/>
          <w:color w:val="000000"/>
          <w:sz w:val="32"/>
          <w:szCs w:val="32"/>
        </w:rPr>
        <w:t>。主要原因是</w:t>
      </w:r>
      <w:r>
        <w:rPr>
          <w:rFonts w:hint="eastAsia" w:ascii="仿宋_GB2312"/>
          <w:color w:val="000000"/>
          <w:sz w:val="32"/>
          <w:szCs w:val="32"/>
          <w:lang w:val="en-US" w:eastAsia="zh-CN"/>
        </w:rPr>
        <w:t>无公务接待支出</w:t>
      </w:r>
      <w:r>
        <w:rPr>
          <w:rFonts w:hint="eastAsia" w:ascii="仿宋_GB2312" w:eastAsia="仿宋_GB2312"/>
          <w:color w:val="000000"/>
          <w:sz w:val="32"/>
          <w:szCs w:val="32"/>
        </w:rPr>
        <w:t>。其中：</w:t>
      </w:r>
    </w:p>
    <w:p>
      <w:pPr>
        <w:spacing w:line="600" w:lineRule="exact"/>
        <w:ind w:firstLine="640"/>
        <w:rPr>
          <w:rFonts w:ascii="仿宋_GB2312" w:eastAsia="仿宋_GB2312"/>
          <w:color w:val="000000"/>
          <w:sz w:val="32"/>
          <w:szCs w:val="32"/>
        </w:rPr>
      </w:pPr>
      <w:bookmarkStart w:id="47" w:name="_Toc15396610"/>
      <w:bookmarkStart w:id="48" w:name="_Toc15377218"/>
      <w:bookmarkStart w:id="49" w:name="_Toc9843"/>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万元，主要用于</w:t>
      </w:r>
      <w:r>
        <w:rPr>
          <w:rFonts w:hint="eastAsia" w:ascii="仿宋_GB2312" w:eastAsia="仿宋_GB2312"/>
          <w:color w:val="000000"/>
          <w:sz w:val="32"/>
          <w:szCs w:val="32"/>
          <w:lang w:val="en-US" w:eastAsia="zh-CN"/>
        </w:rPr>
        <w:t>无</w:t>
      </w:r>
      <w:r>
        <w:rPr>
          <w:rFonts w:hint="eastAsia" w:ascii="仿宋_GB2312" w:eastAsia="仿宋_GB2312"/>
          <w:color w:val="000000"/>
          <w:sz w:val="32"/>
          <w:szCs w:val="32"/>
        </w:rPr>
        <w:t>。国内公务接待</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批次，</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人次（不包括陪同人员），共计支出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万元，具体内容包括：</w:t>
      </w:r>
      <w:r>
        <w:rPr>
          <w:rFonts w:hint="eastAsia" w:ascii="仿宋_GB2312" w:eastAsia="仿宋_GB2312"/>
          <w:color w:val="000000"/>
          <w:sz w:val="32"/>
          <w:szCs w:val="32"/>
          <w:lang w:val="en-US" w:eastAsia="zh-CN"/>
        </w:rPr>
        <w:t>无</w:t>
      </w:r>
      <w:r>
        <w:rPr>
          <w:rFonts w:hint="eastAsia" w:ascii="仿宋_GB2312" w:eastAsia="仿宋_GB2312"/>
          <w:color w:val="000000"/>
          <w:sz w:val="32"/>
          <w:szCs w:val="32"/>
        </w:rPr>
        <w:t>。</w:t>
      </w:r>
    </w:p>
    <w:p>
      <w:pPr>
        <w:spacing w:line="600" w:lineRule="exact"/>
        <w:ind w:firstLine="643"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14:textFill>
            <w14:solidFill>
              <w14:schemeClr w14:val="tx1"/>
            </w14:solidFill>
          </w14:textFill>
        </w:rPr>
        <w:t>，外事接待</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批次，</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人，共计支出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万元，主要用于接待</w:t>
      </w:r>
      <w:r>
        <w:rPr>
          <w:rFonts w:hint="eastAsia" w:ascii="仿宋_GB2312" w:eastAsia="仿宋_GB2312"/>
          <w:color w:val="000000" w:themeColor="text1"/>
          <w:sz w:val="32"/>
          <w:szCs w:val="32"/>
          <w:lang w:val="en-US" w:eastAsia="zh-CN"/>
          <w14:textFill>
            <w14:solidFill>
              <w14:schemeClr w14:val="tx1"/>
            </w14:solidFill>
          </w14:textFill>
        </w:rPr>
        <w:t>无。</w:t>
      </w:r>
    </w:p>
    <w:p>
      <w:pPr>
        <w:spacing w:line="600" w:lineRule="exact"/>
        <w:ind w:firstLine="640"/>
        <w:outlineLvl w:val="1"/>
        <w:rPr>
          <w:rStyle w:val="18"/>
          <w:rFonts w:ascii="黑体" w:hAnsi="黑体" w:eastAsia="黑体"/>
        </w:rPr>
      </w:pPr>
      <w:r>
        <w:rPr>
          <w:rFonts w:hint="eastAsia" w:ascii="黑体" w:eastAsia="黑体"/>
          <w:color w:val="000000"/>
          <w:sz w:val="32"/>
          <w:szCs w:val="32"/>
        </w:rPr>
        <w:t>八、</w:t>
      </w:r>
      <w:r>
        <w:rPr>
          <w:rStyle w:val="18"/>
          <w:rFonts w:hint="eastAsia" w:ascii="黑体" w:hAnsi="黑体" w:eastAsia="黑体"/>
          <w:b w:val="0"/>
        </w:rPr>
        <w:t>政府性基金预算支出决算情况说明</w:t>
      </w:r>
      <w:bookmarkEnd w:id="47"/>
      <w:bookmarkEnd w:id="48"/>
      <w:bookmarkEnd w:id="49"/>
    </w:p>
    <w:p>
      <w:pPr>
        <w:pStyle w:val="2"/>
        <w:ind w:firstLine="640" w:firstLineChars="200"/>
        <w:rPr>
          <w:rFonts w:hint="eastAsia"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年政府性基金预算拨款支出</w:t>
      </w:r>
      <w:r>
        <w:rPr>
          <w:rFonts w:hint="eastAsia" w:ascii="仿宋_GB2312"/>
          <w:color w:val="000000"/>
          <w:sz w:val="32"/>
          <w:szCs w:val="32"/>
          <w:lang w:val="en-US" w:eastAsia="zh-CN"/>
        </w:rPr>
        <w:t>18.98</w:t>
      </w:r>
      <w:r>
        <w:rPr>
          <w:rFonts w:hint="eastAsia" w:ascii="仿宋_GB2312" w:eastAsia="仿宋_GB2312"/>
          <w:color w:val="000000"/>
          <w:sz w:val="32"/>
          <w:szCs w:val="32"/>
        </w:rPr>
        <w:t>万元。</w:t>
      </w:r>
    </w:p>
    <w:p>
      <w:pPr>
        <w:pStyle w:val="2"/>
        <w:ind w:firstLine="643" w:firstLineChars="200"/>
        <w:rPr>
          <w:rStyle w:val="14"/>
          <w:rFonts w:hint="eastAsia" w:ascii="仿宋" w:hAnsi="仿宋" w:eastAsia="仿宋"/>
          <w:b w:val="0"/>
          <w:bCs/>
          <w:color w:val="auto"/>
          <w:sz w:val="32"/>
          <w:szCs w:val="32"/>
        </w:rPr>
      </w:pPr>
      <w:r>
        <w:rPr>
          <w:rStyle w:val="14"/>
          <w:rFonts w:hint="eastAsia" w:ascii="仿宋" w:hAnsi="仿宋" w:eastAsia="仿宋"/>
          <w:bCs/>
          <w:color w:val="auto"/>
          <w:sz w:val="32"/>
          <w:szCs w:val="32"/>
          <w:lang w:val="en-US" w:eastAsia="zh-CN"/>
        </w:rPr>
        <w:t>1</w:t>
      </w:r>
      <w:r>
        <w:rPr>
          <w:rStyle w:val="14"/>
          <w:rFonts w:ascii="仿宋" w:hAnsi="仿宋" w:eastAsia="仿宋"/>
          <w:bCs/>
          <w:color w:val="auto"/>
          <w:sz w:val="32"/>
          <w:szCs w:val="32"/>
        </w:rPr>
        <w:t>.</w:t>
      </w:r>
      <w:r>
        <w:rPr>
          <w:rFonts w:hint="eastAsia" w:ascii="仿宋" w:hAnsi="仿宋" w:eastAsia="仿宋"/>
          <w:b/>
          <w:bCs/>
          <w:color w:val="auto"/>
          <w:sz w:val="32"/>
          <w:szCs w:val="32"/>
        </w:rPr>
        <w:t>城乡社区支出</w:t>
      </w:r>
      <w:r>
        <w:rPr>
          <w:rStyle w:val="14"/>
          <w:rFonts w:hint="eastAsia" w:ascii="仿宋" w:hAnsi="仿宋" w:eastAsia="仿宋"/>
          <w:bCs/>
          <w:color w:val="auto"/>
          <w:sz w:val="32"/>
          <w:szCs w:val="32"/>
        </w:rPr>
        <w:t>（类）国有土地使用权出让收入安排的支出（款）征地和拆迁补偿支出（项）</w:t>
      </w:r>
      <w:r>
        <w:rPr>
          <w:rStyle w:val="14"/>
          <w:rFonts w:ascii="仿宋" w:hAnsi="仿宋" w:eastAsia="仿宋"/>
          <w:bCs/>
          <w:color w:val="auto"/>
          <w:sz w:val="32"/>
          <w:szCs w:val="32"/>
        </w:rPr>
        <w:t>:</w:t>
      </w:r>
      <w:r>
        <w:rPr>
          <w:rStyle w:val="14"/>
          <w:rFonts w:hint="eastAsia" w:ascii="仿宋" w:hAnsi="仿宋" w:eastAsia="仿宋"/>
          <w:b w:val="0"/>
          <w:bCs/>
          <w:color w:val="auto"/>
          <w:sz w:val="32"/>
          <w:szCs w:val="32"/>
        </w:rPr>
        <w:t>支出决算为</w:t>
      </w:r>
      <w:r>
        <w:rPr>
          <w:rStyle w:val="14"/>
          <w:rFonts w:hint="eastAsia" w:ascii="仿宋" w:hAnsi="仿宋" w:eastAsia="仿宋"/>
          <w:b w:val="0"/>
          <w:bCs/>
          <w:color w:val="auto"/>
          <w:sz w:val="32"/>
          <w:szCs w:val="32"/>
          <w:lang w:val="en-US" w:eastAsia="zh-CN"/>
        </w:rPr>
        <w:t>12.3</w:t>
      </w:r>
      <w:r>
        <w:rPr>
          <w:rStyle w:val="14"/>
          <w:rFonts w:hint="eastAsia" w:ascii="仿宋" w:hAnsi="仿宋" w:eastAsia="仿宋"/>
          <w:b w:val="0"/>
          <w:bCs/>
          <w:color w:val="auto"/>
          <w:sz w:val="32"/>
          <w:szCs w:val="32"/>
        </w:rPr>
        <w:t>万元，完成预算</w:t>
      </w:r>
      <w:r>
        <w:rPr>
          <w:rStyle w:val="14"/>
          <w:rFonts w:hint="eastAsia" w:ascii="仿宋" w:hAnsi="仿宋" w:eastAsia="仿宋"/>
          <w:b w:val="0"/>
          <w:bCs/>
          <w:color w:val="auto"/>
          <w:sz w:val="32"/>
          <w:szCs w:val="32"/>
          <w:lang w:val="en-US" w:eastAsia="zh-CN"/>
        </w:rPr>
        <w:t>100</w:t>
      </w:r>
      <w:r>
        <w:rPr>
          <w:rStyle w:val="14"/>
          <w:rFonts w:ascii="仿宋" w:hAnsi="仿宋" w:eastAsia="仿宋"/>
          <w:b w:val="0"/>
          <w:bCs/>
          <w:color w:val="auto"/>
          <w:sz w:val="32"/>
          <w:szCs w:val="32"/>
        </w:rPr>
        <w:t>%</w:t>
      </w:r>
      <w:r>
        <w:rPr>
          <w:rStyle w:val="14"/>
          <w:rFonts w:hint="eastAsia" w:ascii="仿宋" w:hAnsi="仿宋" w:eastAsia="仿宋"/>
          <w:b w:val="0"/>
          <w:bCs/>
          <w:color w:val="auto"/>
          <w:sz w:val="32"/>
          <w:szCs w:val="32"/>
        </w:rPr>
        <w:t>，决算数等于预算数。</w:t>
      </w:r>
    </w:p>
    <w:p>
      <w:pPr>
        <w:pStyle w:val="2"/>
        <w:ind w:firstLine="643" w:firstLineChars="200"/>
        <w:rPr>
          <w:rFonts w:ascii="仿宋_GB2312" w:eastAsia="仿宋_GB2312"/>
          <w:color w:val="000000"/>
          <w:sz w:val="32"/>
          <w:szCs w:val="32"/>
        </w:rPr>
      </w:pPr>
      <w:r>
        <w:rPr>
          <w:rStyle w:val="14"/>
          <w:rFonts w:hint="eastAsia" w:ascii="仿宋" w:hAnsi="仿宋" w:eastAsia="仿宋"/>
          <w:bCs/>
          <w:color w:val="auto"/>
          <w:sz w:val="32"/>
          <w:szCs w:val="32"/>
          <w:lang w:val="en-US" w:eastAsia="zh-CN"/>
        </w:rPr>
        <w:t>2</w:t>
      </w:r>
      <w:r>
        <w:rPr>
          <w:rStyle w:val="14"/>
          <w:rFonts w:ascii="仿宋" w:hAnsi="仿宋" w:eastAsia="仿宋"/>
          <w:bCs/>
          <w:color w:val="auto"/>
          <w:sz w:val="32"/>
          <w:szCs w:val="32"/>
        </w:rPr>
        <w:t>.</w:t>
      </w:r>
      <w:r>
        <w:rPr>
          <w:rFonts w:hint="eastAsia" w:ascii="仿宋" w:hAnsi="仿宋" w:eastAsia="仿宋"/>
          <w:b/>
          <w:bCs/>
          <w:color w:val="auto"/>
          <w:sz w:val="32"/>
          <w:szCs w:val="32"/>
        </w:rPr>
        <w:t>城乡社区支出</w:t>
      </w:r>
      <w:r>
        <w:rPr>
          <w:rStyle w:val="14"/>
          <w:rFonts w:hint="eastAsia" w:ascii="仿宋" w:hAnsi="仿宋" w:eastAsia="仿宋"/>
          <w:bCs/>
          <w:color w:val="auto"/>
          <w:sz w:val="32"/>
          <w:szCs w:val="32"/>
        </w:rPr>
        <w:t>（类）城市基础设施配套费安排的支出（款）其他城市基础设施配套费安排的支出（项）</w:t>
      </w:r>
      <w:r>
        <w:rPr>
          <w:rStyle w:val="14"/>
          <w:rFonts w:ascii="仿宋" w:hAnsi="仿宋" w:eastAsia="仿宋"/>
          <w:bCs/>
          <w:color w:val="auto"/>
          <w:sz w:val="32"/>
          <w:szCs w:val="32"/>
        </w:rPr>
        <w:t>:</w:t>
      </w:r>
      <w:r>
        <w:rPr>
          <w:rStyle w:val="14"/>
          <w:rFonts w:hint="eastAsia" w:ascii="仿宋" w:hAnsi="仿宋" w:eastAsia="仿宋"/>
          <w:b w:val="0"/>
          <w:bCs/>
          <w:color w:val="auto"/>
          <w:sz w:val="32"/>
          <w:szCs w:val="32"/>
        </w:rPr>
        <w:t>支出决算为</w:t>
      </w:r>
      <w:r>
        <w:rPr>
          <w:rStyle w:val="14"/>
          <w:rFonts w:hint="eastAsia" w:ascii="仿宋" w:hAnsi="仿宋" w:eastAsia="仿宋"/>
          <w:b w:val="0"/>
          <w:bCs/>
          <w:color w:val="auto"/>
          <w:sz w:val="32"/>
          <w:szCs w:val="32"/>
          <w:lang w:val="en-US" w:eastAsia="zh-CN"/>
        </w:rPr>
        <w:t>6.68</w:t>
      </w:r>
      <w:r>
        <w:rPr>
          <w:rStyle w:val="14"/>
          <w:rFonts w:hint="eastAsia" w:ascii="仿宋" w:hAnsi="仿宋" w:eastAsia="仿宋"/>
          <w:b w:val="0"/>
          <w:bCs/>
          <w:color w:val="auto"/>
          <w:sz w:val="32"/>
          <w:szCs w:val="32"/>
        </w:rPr>
        <w:t>万元，完成预算</w:t>
      </w:r>
      <w:r>
        <w:rPr>
          <w:rStyle w:val="14"/>
          <w:rFonts w:hint="eastAsia" w:ascii="仿宋" w:hAnsi="仿宋" w:eastAsia="仿宋"/>
          <w:b w:val="0"/>
          <w:bCs/>
          <w:color w:val="auto"/>
          <w:sz w:val="32"/>
          <w:szCs w:val="32"/>
          <w:lang w:val="en-US" w:eastAsia="zh-CN"/>
        </w:rPr>
        <w:t>100</w:t>
      </w:r>
      <w:r>
        <w:rPr>
          <w:rStyle w:val="14"/>
          <w:rFonts w:ascii="仿宋" w:hAnsi="仿宋" w:eastAsia="仿宋"/>
          <w:b w:val="0"/>
          <w:bCs/>
          <w:color w:val="auto"/>
          <w:sz w:val="32"/>
          <w:szCs w:val="32"/>
        </w:rPr>
        <w:t>%</w:t>
      </w:r>
      <w:r>
        <w:rPr>
          <w:rStyle w:val="14"/>
          <w:rFonts w:hint="eastAsia" w:ascii="仿宋" w:hAnsi="仿宋" w:eastAsia="仿宋"/>
          <w:b w:val="0"/>
          <w:bCs/>
          <w:color w:val="auto"/>
          <w:sz w:val="32"/>
          <w:szCs w:val="32"/>
        </w:rPr>
        <w:t>，决算数等于预算数。</w:t>
      </w:r>
    </w:p>
    <w:p>
      <w:pPr>
        <w:numPr>
          <w:ilvl w:val="0"/>
          <w:numId w:val="3"/>
        </w:numPr>
        <w:spacing w:line="600" w:lineRule="exact"/>
        <w:ind w:firstLine="640"/>
        <w:outlineLvl w:val="1"/>
        <w:rPr>
          <w:rStyle w:val="18"/>
          <w:rFonts w:ascii="黑体" w:hAnsi="黑体" w:eastAsia="黑体"/>
          <w:b w:val="0"/>
        </w:rPr>
      </w:pPr>
      <w:bookmarkStart w:id="50" w:name="_Toc10775"/>
      <w:bookmarkStart w:id="51" w:name="_Toc15377219"/>
      <w:bookmarkStart w:id="52" w:name="_Toc15396611"/>
      <w:r>
        <w:rPr>
          <w:rStyle w:val="18"/>
          <w:rFonts w:hint="eastAsia" w:ascii="黑体" w:hAnsi="黑体" w:eastAsia="黑体"/>
          <w:b w:val="0"/>
        </w:rPr>
        <w:t>国有资本经营预算支出决算情况说明</w:t>
      </w:r>
      <w:bookmarkEnd w:id="50"/>
      <w:bookmarkEnd w:id="51"/>
      <w:bookmarkEnd w:id="52"/>
    </w:p>
    <w:p>
      <w:pPr>
        <w:spacing w:line="600" w:lineRule="exact"/>
        <w:ind w:firstLine="640"/>
        <w:rPr>
          <w:rFonts w:ascii="方正小标宋简体" w:hAnsi="方正小标宋简体" w:eastAsia="方正小标宋简体" w:cs="方正小标宋简体"/>
          <w:sz w:val="44"/>
          <w:szCs w:val="44"/>
        </w:rPr>
      </w:pPr>
      <w:r>
        <w:rPr>
          <w:rFonts w:ascii="仿宋_GB2312" w:eastAsia="仿宋_GB2312"/>
          <w:color w:val="000000"/>
          <w:sz w:val="32"/>
          <w:szCs w:val="32"/>
        </w:rPr>
        <w:t>2020</w:t>
      </w:r>
      <w:r>
        <w:rPr>
          <w:rFonts w:hint="eastAsia" w:ascii="仿宋_GB2312" w:eastAsia="仿宋_GB2312"/>
          <w:color w:val="000000"/>
          <w:sz w:val="32"/>
          <w:szCs w:val="32"/>
        </w:rPr>
        <w:t>年国有资本经营预算拨款支出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firstLineChars="200"/>
        <w:outlineLvl w:val="1"/>
        <w:rPr>
          <w:rStyle w:val="18"/>
          <w:rFonts w:ascii="黑体" w:hAnsi="黑体" w:eastAsia="黑体"/>
        </w:rPr>
      </w:pPr>
      <w:bookmarkStart w:id="53" w:name="_Toc738"/>
      <w:bookmarkStart w:id="54" w:name="_Toc15377221"/>
      <w:bookmarkStart w:id="55" w:name="_Toc15396612"/>
      <w:r>
        <w:rPr>
          <w:rFonts w:hint="eastAsia" w:ascii="黑体" w:hAnsi="黑体" w:eastAsia="黑体"/>
          <w:color w:val="000000"/>
          <w:sz w:val="32"/>
          <w:szCs w:val="32"/>
        </w:rPr>
        <w:t>十</w:t>
      </w:r>
      <w:r>
        <w:rPr>
          <w:rStyle w:val="18"/>
          <w:rFonts w:hint="eastAsia" w:ascii="黑体" w:hAnsi="黑体" w:eastAsia="黑体"/>
        </w:rPr>
        <w:t>、</w:t>
      </w:r>
      <w:r>
        <w:rPr>
          <w:rStyle w:val="18"/>
          <w:rFonts w:hint="eastAsia" w:ascii="黑体" w:hAnsi="黑体" w:eastAsia="黑体"/>
          <w:b w:val="0"/>
        </w:rPr>
        <w:t>其他重要事项的情况说明</w:t>
      </w:r>
      <w:bookmarkEnd w:id="53"/>
      <w:bookmarkEnd w:id="54"/>
      <w:bookmarkEnd w:id="55"/>
    </w:p>
    <w:p>
      <w:pPr>
        <w:spacing w:line="600" w:lineRule="exact"/>
        <w:ind w:firstLine="643" w:firstLineChars="200"/>
        <w:outlineLvl w:val="2"/>
        <w:rPr>
          <w:rFonts w:ascii="仿宋" w:hAnsi="仿宋" w:eastAsia="仿宋"/>
          <w:color w:val="000000"/>
          <w:sz w:val="32"/>
          <w:szCs w:val="32"/>
        </w:rPr>
      </w:pPr>
      <w:bookmarkStart w:id="56" w:name="_Toc15377222"/>
      <w:r>
        <w:rPr>
          <w:rFonts w:hint="eastAsia" w:ascii="仿宋" w:hAnsi="仿宋" w:eastAsia="仿宋"/>
          <w:b/>
          <w:color w:val="000000"/>
          <w:sz w:val="32"/>
          <w:szCs w:val="32"/>
        </w:rPr>
        <w:t>（一）机关运行经费支出情况</w:t>
      </w:r>
      <w:bookmarkEnd w:id="56"/>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val="en-US" w:eastAsia="zh-CN"/>
        </w:rPr>
        <w:t>东兴寺街道办事处</w:t>
      </w:r>
      <w:r>
        <w:rPr>
          <w:rFonts w:hint="eastAsia" w:ascii="仿宋_GB2312" w:eastAsia="仿宋_GB2312"/>
          <w:color w:val="000000"/>
          <w:sz w:val="32"/>
          <w:szCs w:val="32"/>
        </w:rPr>
        <w:t>机关运行经费支出</w:t>
      </w:r>
      <w:r>
        <w:rPr>
          <w:rFonts w:hint="eastAsia" w:ascii="仿宋_GB2312"/>
          <w:color w:val="000000"/>
          <w:sz w:val="32"/>
          <w:szCs w:val="32"/>
          <w:lang w:val="en-US" w:eastAsia="zh-CN"/>
        </w:rPr>
        <w:t>63.17</w:t>
      </w:r>
      <w:r>
        <w:rPr>
          <w:rFonts w:hint="eastAsia" w:ascii="仿宋_GB2312" w:eastAsia="仿宋_GB2312"/>
          <w:color w:val="000000"/>
          <w:sz w:val="32"/>
          <w:szCs w:val="32"/>
        </w:rPr>
        <w:t>万元，比</w:t>
      </w:r>
      <w:r>
        <w:rPr>
          <w:rFonts w:ascii="仿宋_GB2312" w:eastAsia="仿宋_GB2312"/>
          <w:color w:val="000000"/>
          <w:sz w:val="32"/>
          <w:szCs w:val="32"/>
        </w:rPr>
        <w:t>2019</w:t>
      </w:r>
      <w:r>
        <w:rPr>
          <w:rFonts w:hint="eastAsia" w:ascii="仿宋_GB2312" w:eastAsia="仿宋_GB2312"/>
          <w:color w:val="000000"/>
          <w:sz w:val="32"/>
          <w:szCs w:val="32"/>
        </w:rPr>
        <w:t>年减少</w:t>
      </w:r>
      <w:r>
        <w:rPr>
          <w:rFonts w:hint="eastAsia" w:ascii="仿宋_GB2312"/>
          <w:color w:val="000000"/>
          <w:sz w:val="32"/>
          <w:szCs w:val="32"/>
          <w:lang w:val="en-US" w:eastAsia="zh-CN"/>
        </w:rPr>
        <w:t>21.97</w:t>
      </w:r>
      <w:r>
        <w:rPr>
          <w:rFonts w:hint="eastAsia" w:ascii="仿宋_GB2312" w:eastAsia="仿宋_GB2312"/>
          <w:color w:val="000000"/>
          <w:sz w:val="32"/>
          <w:szCs w:val="32"/>
        </w:rPr>
        <w:t>万元，下降</w:t>
      </w:r>
      <w:r>
        <w:rPr>
          <w:rFonts w:hint="eastAsia" w:ascii="仿宋_GB2312"/>
          <w:color w:val="000000"/>
          <w:sz w:val="32"/>
          <w:szCs w:val="32"/>
          <w:lang w:val="en-US" w:eastAsia="zh-CN"/>
        </w:rPr>
        <w:t>25.8</w:t>
      </w:r>
      <w:r>
        <w:rPr>
          <w:rFonts w:ascii="仿宋_GB2312" w:eastAsia="仿宋_GB2312"/>
          <w:color w:val="000000"/>
          <w:sz w:val="32"/>
          <w:szCs w:val="32"/>
        </w:rPr>
        <w:t>%</w:t>
      </w:r>
      <w:r>
        <w:rPr>
          <w:rFonts w:hint="eastAsia" w:ascii="仿宋_GB2312" w:eastAsia="仿宋_GB2312"/>
          <w:color w:val="000000"/>
          <w:sz w:val="32"/>
          <w:szCs w:val="32"/>
        </w:rPr>
        <w:t>。主要原因是20</w:t>
      </w:r>
      <w:r>
        <w:rPr>
          <w:rFonts w:hint="eastAsia" w:ascii="仿宋_GB2312"/>
          <w:color w:val="000000"/>
          <w:sz w:val="32"/>
          <w:szCs w:val="32"/>
          <w:lang w:val="en-US" w:eastAsia="zh-CN"/>
        </w:rPr>
        <w:t>20</w:t>
      </w:r>
      <w:r>
        <w:rPr>
          <w:rFonts w:hint="eastAsia" w:ascii="仿宋_GB2312" w:eastAsia="仿宋_GB2312"/>
          <w:color w:val="000000"/>
          <w:sz w:val="32"/>
          <w:szCs w:val="32"/>
        </w:rPr>
        <w:t>年部分项目资金在项目支出中进行的决算支出。</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7" w:name="_Toc15377223"/>
      <w:r>
        <w:rPr>
          <w:rFonts w:hint="eastAsia" w:ascii="仿宋" w:hAnsi="仿宋" w:eastAsia="仿宋"/>
          <w:b/>
          <w:color w:val="000000"/>
          <w:sz w:val="32"/>
          <w:szCs w:val="32"/>
        </w:rPr>
        <w:t>（二）政府采购支出情况</w:t>
      </w:r>
      <w:bookmarkEnd w:id="57"/>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val="en-US" w:eastAsia="zh-CN"/>
        </w:rPr>
        <w:t>东兴寺街道办事处</w:t>
      </w:r>
      <w:r>
        <w:rPr>
          <w:rFonts w:hint="eastAsia" w:ascii="仿宋_GB2312" w:eastAsia="仿宋_GB2312"/>
          <w:color w:val="000000"/>
          <w:sz w:val="32"/>
          <w:szCs w:val="32"/>
        </w:rPr>
        <w:t>政府采购支出总额</w:t>
      </w:r>
      <w:r>
        <w:rPr>
          <w:rFonts w:hint="eastAsia" w:ascii="仿宋_GB2312"/>
          <w:color w:val="000000"/>
          <w:sz w:val="32"/>
          <w:szCs w:val="32"/>
          <w:lang w:val="en-US" w:eastAsia="zh-CN"/>
        </w:rPr>
        <w:t>0.2</w:t>
      </w:r>
      <w:r>
        <w:rPr>
          <w:rFonts w:hint="eastAsia" w:ascii="仿宋_GB2312" w:eastAsia="仿宋_GB2312"/>
          <w:color w:val="000000"/>
          <w:sz w:val="32"/>
          <w:szCs w:val="32"/>
        </w:rPr>
        <w:t>万元，其中：政府采购货物支出</w:t>
      </w:r>
      <w:r>
        <w:rPr>
          <w:rFonts w:hint="eastAsia" w:ascii="仿宋_GB2312"/>
          <w:color w:val="000000"/>
          <w:sz w:val="32"/>
          <w:szCs w:val="32"/>
          <w:lang w:val="en-US" w:eastAsia="zh-CN"/>
        </w:rPr>
        <w:t>0.2</w:t>
      </w:r>
      <w:r>
        <w:rPr>
          <w:rFonts w:hint="eastAsia" w:ascii="仿宋_GB2312" w:eastAsia="仿宋_GB2312"/>
          <w:color w:val="000000"/>
          <w:sz w:val="32"/>
          <w:szCs w:val="32"/>
        </w:rPr>
        <w:t>万元、政府采购工程支出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color w:val="000000"/>
          <w:sz w:val="32"/>
          <w:szCs w:val="32"/>
          <w:lang w:val="en-US" w:eastAsia="zh-CN"/>
        </w:rPr>
        <w:t>0</w:t>
      </w:r>
      <w:r>
        <w:rPr>
          <w:rFonts w:hint="eastAsia" w:ascii="仿宋_GB2312" w:eastAsia="仿宋_GB2312"/>
          <w:color w:val="000000"/>
          <w:sz w:val="32"/>
          <w:szCs w:val="32"/>
        </w:rPr>
        <w:t>万元。主要用于</w:t>
      </w:r>
      <w:r>
        <w:rPr>
          <w:rFonts w:hint="eastAsia" w:ascii="仿宋_GB2312"/>
          <w:color w:val="000000"/>
          <w:sz w:val="32"/>
          <w:szCs w:val="32"/>
          <w:lang w:val="en-US" w:eastAsia="zh-CN"/>
        </w:rPr>
        <w:t>街道办公设备购置</w:t>
      </w:r>
      <w:r>
        <w:rPr>
          <w:rFonts w:hint="eastAsia" w:ascii="仿宋_GB2312" w:eastAsia="仿宋_GB2312"/>
          <w:color w:val="000000"/>
          <w:sz w:val="32"/>
          <w:szCs w:val="32"/>
        </w:rPr>
        <w:t>。授予中小企业合同金额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8" w:name="_Toc15377224"/>
      <w:r>
        <w:rPr>
          <w:rFonts w:hint="eastAsia" w:ascii="仿宋" w:hAnsi="仿宋" w:eastAsia="仿宋"/>
          <w:b/>
          <w:color w:val="000000"/>
          <w:sz w:val="32"/>
          <w:szCs w:val="32"/>
        </w:rPr>
        <w:t>（三）国有资产占有使用情况</w:t>
      </w:r>
      <w:bookmarkEnd w:id="58"/>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color w:val="000000"/>
          <w:sz w:val="32"/>
          <w:szCs w:val="32"/>
          <w:lang w:val="en-US" w:eastAsia="zh-CN"/>
        </w:rPr>
        <w:t>东兴寺街道办事处</w:t>
      </w:r>
      <w:r>
        <w:rPr>
          <w:rFonts w:hint="eastAsia" w:ascii="仿宋_GB2312" w:eastAsia="仿宋_GB2312"/>
          <w:color w:val="000000"/>
          <w:sz w:val="32"/>
          <w:szCs w:val="32"/>
        </w:rPr>
        <w:t>共有车辆</w:t>
      </w:r>
      <w:r>
        <w:rPr>
          <w:rFonts w:hint="eastAsia" w:ascii="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color w:val="000000"/>
          <w:sz w:val="32"/>
          <w:szCs w:val="32"/>
          <w:lang w:eastAsia="zh-CN"/>
        </w:rPr>
        <w:t>，</w:t>
      </w:r>
      <w:r>
        <w:rPr>
          <w:rFonts w:hint="eastAsia" w:ascii="仿宋_GB2312" w:eastAsia="仿宋_GB2312"/>
          <w:color w:val="000000"/>
          <w:sz w:val="32"/>
          <w:szCs w:val="32"/>
        </w:rPr>
        <w:t>其他用车主要是用于</w:t>
      </w:r>
      <w:r>
        <w:rPr>
          <w:rFonts w:hint="eastAsia" w:ascii="仿宋_GB2312"/>
          <w:color w:val="000000"/>
          <w:sz w:val="32"/>
          <w:szCs w:val="32"/>
          <w:lang w:val="en-US" w:eastAsia="zh-CN"/>
        </w:rPr>
        <w:t>无，</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根据预算绩效管理要求，本单位在年初预算编制阶段，组织对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社会治理工作经费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武装工作经费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党建工作经费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安全工作经费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群团工作经费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环境治理工作经费</w:t>
      </w:r>
      <w:r>
        <w:rPr>
          <w:rFonts w:hint="eastAsia" w:ascii="仿宋_GB2312" w:hAnsi="仿宋_GB2312" w:cs="仿宋_GB2312"/>
          <w:sz w:val="32"/>
          <w:szCs w:val="32"/>
          <w:lang w:eastAsia="zh-CN"/>
        </w:rPr>
        <w:t>”、“平安社区技防网络建设经费”</w:t>
      </w:r>
      <w:r>
        <w:rPr>
          <w:rFonts w:hint="eastAsia" w:ascii="仿宋_GB2312" w:hAnsi="仿宋_GB2312" w:cs="仿宋_GB2312"/>
          <w:sz w:val="32"/>
          <w:szCs w:val="32"/>
          <w:lang w:val="en-US" w:eastAsia="zh-CN"/>
        </w:rPr>
        <w:t>7个</w:t>
      </w:r>
      <w:r>
        <w:rPr>
          <w:rFonts w:hint="eastAsia" w:ascii="仿宋_GB2312" w:hAnsi="仿宋_GB2312" w:eastAsia="仿宋_GB2312" w:cs="仿宋_GB2312"/>
          <w:sz w:val="32"/>
          <w:szCs w:val="32"/>
        </w:rPr>
        <w:t>项目</w:t>
      </w:r>
      <w:r>
        <w:rPr>
          <w:rFonts w:hint="eastAsia" w:ascii="仿宋_GB2312" w:hAnsi="仿宋_GB2312" w:cs="仿宋_GB2312"/>
          <w:sz w:val="32"/>
          <w:szCs w:val="32"/>
          <w:lang w:val="en-US" w:eastAsia="zh-CN"/>
        </w:rPr>
        <w:t>编制了绩效目标，对7个项目开展绩效监控，对7个项目开展绩效目标完成情况自评。</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cs="仿宋_GB2312"/>
          <w:sz w:val="32"/>
          <w:szCs w:val="32"/>
          <w:lang w:val="en-US" w:eastAsia="zh-CN"/>
        </w:rPr>
        <w:t>单位</w:t>
      </w:r>
      <w:r>
        <w:rPr>
          <w:rFonts w:hint="eastAsia" w:ascii="仿宋_GB2312" w:hAnsi="仿宋_GB2312" w:eastAsia="仿宋_GB2312" w:cs="仿宋_GB2312"/>
          <w:sz w:val="32"/>
          <w:szCs w:val="32"/>
        </w:rPr>
        <w:t>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年部门整体支出开展绩效自评，从评价情况来看</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2020年我单位整体支出绩效自查自评结果良好，全年基本支出保证了单位的正常运转，项目支出保障了重点工作的开展，按照2020年度区级部门整体支出绩效评价指标体系对我单位部门预算编制、预算执行、完成结果、信息公开、整改反馈等方面进行了自评</w:t>
      </w:r>
      <w:r>
        <w:rPr>
          <w:rFonts w:hint="eastAsia" w:ascii="仿宋_GB2312" w:hAnsi="仿宋_GB2312" w:eastAsia="仿宋_GB2312" w:cs="仿宋_GB2312"/>
          <w:sz w:val="32"/>
          <w:szCs w:val="32"/>
        </w:rPr>
        <w:t>。</w:t>
      </w:r>
    </w:p>
    <w:p>
      <w:pPr>
        <w:spacing w:line="580" w:lineRule="exact"/>
        <w:ind w:firstLine="643" w:firstLineChars="200"/>
        <w:rPr>
          <w:rFonts w:hint="eastAsia" w:ascii="楷体_GB2312" w:hAnsi="楷体_GB2312" w:eastAsia="楷体_GB2312" w:cs="楷体_GB2312"/>
          <w:b/>
          <w:bCs/>
          <w:sz w:val="32"/>
          <w:szCs w:val="32"/>
          <w:lang w:eastAsia="zh-CN"/>
        </w:rPr>
      </w:pPr>
      <w:r>
        <w:rPr>
          <w:rFonts w:ascii="楷体_GB2312" w:hAnsi="楷体_GB2312" w:eastAsia="楷体_GB2312" w:cs="楷体_GB2312"/>
          <w:b/>
          <w:bCs/>
          <w:sz w:val="32"/>
          <w:szCs w:val="32"/>
        </w:rPr>
        <w:t>1.</w:t>
      </w:r>
      <w:r>
        <w:rPr>
          <w:rFonts w:hint="eastAsia" w:ascii="楷体_GB2312" w:hAnsi="楷体_GB2312" w:eastAsia="楷体_GB2312" w:cs="楷体_GB2312"/>
          <w:b/>
          <w:bCs/>
          <w:sz w:val="32"/>
          <w:szCs w:val="32"/>
        </w:rPr>
        <w:t>项目绩效目标完成情况。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年度部门决算中反映</w:t>
      </w:r>
      <w:r>
        <w:rPr>
          <w:rFonts w:hint="eastAsia" w:ascii="仿宋_GB2312" w:hAnsi="仿宋_GB2312" w:cs="仿宋_GB2312"/>
          <w:sz w:val="32"/>
          <w:szCs w:val="32"/>
          <w:lang w:val="en-US" w:eastAsia="zh-CN"/>
        </w:rPr>
        <w:t>“武装工作经费”、“党建工作经费”、“安全工作经费”、“群团工作经费”、“平安社区技防网络建设经费”等5个</w:t>
      </w:r>
      <w:r>
        <w:rPr>
          <w:rFonts w:hint="eastAsia" w:ascii="仿宋_GB2312" w:hAnsi="仿宋_GB2312" w:eastAsia="仿宋_GB2312" w:cs="仿宋_GB2312"/>
          <w:sz w:val="32"/>
          <w:szCs w:val="32"/>
        </w:rPr>
        <w:t>实际完成情况。</w:t>
      </w:r>
    </w:p>
    <w:p>
      <w:pPr>
        <w:numPr>
          <w:ilvl w:val="0"/>
          <w:numId w:val="0"/>
        </w:numPr>
        <w:spacing w:line="580" w:lineRule="exact"/>
        <w:ind w:firstLine="643" w:firstLineChars="200"/>
        <w:rPr>
          <w:rFonts w:hint="eastAsia" w:ascii="仿宋_GB2312" w:hAnsi="仿宋_GB2312" w:cs="仿宋_GB2312"/>
          <w:sz w:val="32"/>
          <w:szCs w:val="32"/>
          <w:lang w:val="en-US" w:eastAsia="zh-CN"/>
        </w:rPr>
      </w:pPr>
      <w:r>
        <w:rPr>
          <w:rFonts w:hint="eastAsia" w:ascii="仿宋_GB2312" w:hAnsi="仿宋_GB2312" w:cs="仿宋_GB2312"/>
          <w:b/>
          <w:bCs/>
          <w:sz w:val="32"/>
          <w:szCs w:val="32"/>
          <w:lang w:val="en-US" w:eastAsia="zh-CN"/>
        </w:rPr>
        <w:t>（1）“武装工作经费”</w:t>
      </w:r>
      <w:r>
        <w:rPr>
          <w:rFonts w:hint="eastAsia" w:ascii="仿宋_GB2312" w:hAnsi="仿宋_GB2312" w:eastAsia="仿宋_GB2312" w:cs="仿宋_GB2312"/>
          <w:b/>
          <w:bCs/>
          <w:sz w:val="32"/>
          <w:szCs w:val="32"/>
        </w:rPr>
        <w:t>项目绩效目标完成情况综述。</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。通过项目实施，坚持以习近平强军思想为指引，定期召开会议专题研究部署征兵、民兵整组等重点工作，组织民兵参与疫情防控、应急演练、“三创联动”等共计</w:t>
      </w:r>
      <w:r>
        <w:rPr>
          <w:rFonts w:hint="eastAsia" w:ascii="仿宋_GB2312" w:hAnsi="仿宋_GB2312" w:cs="仿宋_GB2312"/>
          <w:sz w:val="32"/>
          <w:szCs w:val="32"/>
          <w:lang w:val="en-US" w:eastAsia="zh-CN"/>
        </w:rPr>
        <w:t>400</w:t>
      </w:r>
      <w:r>
        <w:rPr>
          <w:rFonts w:hint="eastAsia" w:ascii="仿宋_GB2312" w:hAnsi="仿宋_GB2312" w:eastAsia="仿宋_GB2312" w:cs="仿宋_GB2312"/>
          <w:sz w:val="32"/>
          <w:szCs w:val="32"/>
        </w:rPr>
        <w:t>余人次。全年完成征兵任务、完成兵役登记率100%。</w:t>
      </w:r>
      <w:r>
        <w:rPr>
          <w:rFonts w:hint="eastAsia" w:ascii="仿宋_GB2312" w:hAnsi="仿宋_GB2312" w:cs="仿宋_GB2312"/>
          <w:sz w:val="32"/>
          <w:szCs w:val="32"/>
          <w:lang w:val="en-US" w:eastAsia="zh-CN"/>
        </w:rPr>
        <w:t>顺利完成2020年国防动员宣传教育、征兵工作及训练集结等武装工作。</w:t>
      </w:r>
    </w:p>
    <w:p>
      <w:pPr>
        <w:numPr>
          <w:ilvl w:val="0"/>
          <w:numId w:val="0"/>
        </w:num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发现的主要问题：对征兵宣传力度不足，对征兵青年国防意识还需进一步加强。</w:t>
      </w:r>
    </w:p>
    <w:p>
      <w:pPr>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下一步改进措施：</w:t>
      </w:r>
      <w:r>
        <w:rPr>
          <w:rFonts w:hint="eastAsia" w:ascii="仿宋_GB2312" w:hAnsi="仿宋_GB2312" w:eastAsia="仿宋_GB2312" w:cs="仿宋_GB2312"/>
          <w:sz w:val="32"/>
          <w:szCs w:val="32"/>
          <w:lang w:val="en-US" w:eastAsia="zh-CN"/>
        </w:rPr>
        <w:t>加大征兵宣传，强化应征青年国防意识。加强国防教育和思想发动，再次要加大对青少年的教育，引导青年学习国防，了解国防，激发广大青少年热爱国防。</w:t>
      </w:r>
    </w:p>
    <w:p>
      <w:pPr>
        <w:numPr>
          <w:ilvl w:val="0"/>
          <w:numId w:val="4"/>
        </w:numPr>
        <w:spacing w:line="580" w:lineRule="exact"/>
        <w:ind w:firstLine="643" w:firstLineChars="200"/>
        <w:rPr>
          <w:rFonts w:hint="eastAsia" w:ascii="仿宋_GB2312" w:hAnsi="仿宋_GB2312" w:eastAsia="仿宋_GB2312" w:cs="仿宋_GB2312"/>
          <w:sz w:val="32"/>
          <w:szCs w:val="32"/>
        </w:rPr>
      </w:pPr>
      <w:r>
        <w:rPr>
          <w:rFonts w:hint="eastAsia" w:ascii="仿宋_GB2312" w:hAnsi="仿宋_GB2312" w:cs="仿宋_GB2312"/>
          <w:b/>
          <w:bCs/>
          <w:sz w:val="32"/>
          <w:szCs w:val="32"/>
          <w:lang w:val="en-US" w:eastAsia="zh-CN"/>
        </w:rPr>
        <w:t>“党建工作经费”</w:t>
      </w:r>
      <w:r>
        <w:rPr>
          <w:rFonts w:hint="eastAsia" w:ascii="仿宋_GB2312" w:hAnsi="仿宋_GB2312" w:eastAsia="仿宋_GB2312" w:cs="仿宋_GB2312"/>
          <w:b/>
          <w:bCs/>
          <w:sz w:val="32"/>
          <w:szCs w:val="32"/>
        </w:rPr>
        <w:t>项目绩效目标完成情况综述。</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仿宋_GB2312" w:cs="仿宋_GB2312"/>
          <w:sz w:val="32"/>
          <w:szCs w:val="32"/>
          <w:lang w:val="en-US" w:eastAsia="zh-CN"/>
        </w:rPr>
        <w:t>一</w:t>
      </w:r>
      <w:r>
        <w:rPr>
          <w:rFonts w:hint="eastAsia" w:ascii="仿宋_GB2312" w:hAnsi="仿宋_GB2312" w:eastAsia="仿宋_GB2312" w:cs="仿宋_GB2312"/>
          <w:sz w:val="32"/>
          <w:szCs w:val="32"/>
        </w:rPr>
        <w:t>是强化城市党建共建格局。坚持“高位引领、项目支撑、协同治理”工作思路。我街檀木林社区与9个市级部门、20余个区级部门建立包挂关系，签订共治协议，定期联席议会，落实七大类项目投入经费15万元用于社区治理。毛家坝社区依托川西南矿区、市财政局、等单位资源，开展“关爱在社区、助力社区治理”活动，累计争取经费20余万元用于三创联动、社区亲民化改造。新华路社区与辖区单位恒丰银行、汇源房产等深度合作，活动共办，公益相连，为辖区内困难青少年、困难党员捐款捐物2万余元，并联合打造居民健康文化中心。</w:t>
      </w:r>
      <w:r>
        <w:rPr>
          <w:rFonts w:hint="eastAsia" w:ascii="仿宋_GB2312" w:hAnsi="仿宋_GB2312" w:cs="仿宋_GB2312"/>
          <w:sz w:val="32"/>
          <w:szCs w:val="32"/>
          <w:lang w:val="en-US" w:eastAsia="zh-CN"/>
        </w:rPr>
        <w:t>二</w:t>
      </w:r>
      <w:r>
        <w:rPr>
          <w:rFonts w:hint="eastAsia" w:ascii="仿宋_GB2312" w:hAnsi="仿宋_GB2312" w:eastAsia="仿宋_GB2312" w:cs="仿宋_GB2312"/>
          <w:sz w:val="32"/>
          <w:szCs w:val="32"/>
        </w:rPr>
        <w:t>是打造区域性党群服务中心。选址自流井区仁和路77号，现已完成基础硬装，同步进行软装，新建了社工站，搭设军人之家、暖心家园、东兴书院、舞蹈室等邻里客厅功能，并引入社会组织参与运营。2020年累计整合资金150万元用于购买社会组织服务。目前已开展居家养老服务、重度残疾人照护服务、社区环境综合治理、社区精神障碍康复治疗服务等多项政府购买项目。</w:t>
      </w:r>
    </w:p>
    <w:p>
      <w:p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rPr>
        <w:t>发现的主要问题：城市党建缺乏上层制度约束。辖区省属及市属机关单位多，部分社区存在喊不通，连不动的窘状。</w:t>
      </w:r>
      <w:r>
        <w:rPr>
          <w:rFonts w:hint="eastAsia" w:ascii="仿宋_GB2312" w:hAnsi="仿宋_GB2312" w:cs="仿宋_GB2312"/>
          <w:sz w:val="32"/>
          <w:szCs w:val="32"/>
          <w:lang w:val="en-US" w:eastAsia="zh-CN"/>
        </w:rPr>
        <w:t xml:space="preserve">    </w:t>
      </w:r>
    </w:p>
    <w:p>
      <w:pPr>
        <w:spacing w:line="580" w:lineRule="exact"/>
        <w:ind w:firstLine="640" w:firstLineChars="200"/>
        <w:rPr>
          <w:rFonts w:hint="default"/>
          <w:lang w:val="en-US" w:eastAsia="zh-CN"/>
        </w:rPr>
      </w:pPr>
      <w:r>
        <w:rPr>
          <w:rFonts w:hint="eastAsia" w:ascii="仿宋_GB2312" w:hAnsi="仿宋_GB2312" w:cs="仿宋_GB2312"/>
          <w:szCs w:val="32"/>
        </w:rPr>
        <w:t>下一步改进措施：牢固树立“抓党建是最大的政绩”思想，提高政治站位，强化担当作为，深化“不忘初心、牢记使命”主题教育成效，把抓主题教育常态化和党员干部管理紧密结合，加强党员干部队伍素质提升建设，促进参与式、三事分流、社治共同体、党建文化等机制的建设，深化区域化党建服务中心建设，进一步形成共建共治共享基层治理新格局。</w:t>
      </w:r>
    </w:p>
    <w:p>
      <w:pPr>
        <w:numPr>
          <w:ilvl w:val="0"/>
          <w:numId w:val="0"/>
        </w:numPr>
        <w:spacing w:line="580" w:lineRule="exact"/>
        <w:ind w:firstLine="643" w:firstLineChars="200"/>
        <w:rPr>
          <w:rFonts w:hint="eastAsia" w:ascii="仿宋_GB2312" w:hAnsi="仿宋_GB2312" w:cs="仿宋_GB2312"/>
          <w:sz w:val="32"/>
          <w:szCs w:val="32"/>
          <w:lang w:val="en-US" w:eastAsia="zh-CN"/>
        </w:rPr>
      </w:pPr>
      <w:r>
        <w:rPr>
          <w:rFonts w:hint="eastAsia" w:ascii="仿宋_GB2312" w:hAnsi="仿宋_GB2312" w:cs="仿宋_GB2312"/>
          <w:b/>
          <w:bCs/>
          <w:sz w:val="32"/>
          <w:szCs w:val="32"/>
          <w:lang w:val="en-US" w:eastAsia="zh-CN"/>
        </w:rPr>
        <w:t>（3）“安全工作经费”</w:t>
      </w:r>
      <w:r>
        <w:rPr>
          <w:rFonts w:hint="eastAsia" w:ascii="仿宋_GB2312" w:hAnsi="仿宋_GB2312" w:eastAsia="仿宋_GB2312" w:cs="仿宋_GB2312"/>
          <w:b/>
          <w:bCs/>
          <w:sz w:val="32"/>
          <w:szCs w:val="32"/>
        </w:rPr>
        <w:t>项目绩效目标完成情况综述</w:t>
      </w:r>
      <w:r>
        <w:rPr>
          <w:rFonts w:hint="eastAsia" w:ascii="仿宋_GB2312" w:hAnsi="仿宋_GB2312" w:cs="仿宋_GB2312"/>
          <w:b/>
          <w:bCs/>
          <w:sz w:val="32"/>
          <w:szCs w:val="32"/>
          <w:lang w:eastAsia="zh-CN"/>
        </w:rPr>
        <w:t>。</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2.25</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2.25</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仿宋_GB2312" w:cs="仿宋_GB2312"/>
          <w:sz w:val="32"/>
          <w:szCs w:val="32"/>
          <w:lang w:val="en-US" w:eastAsia="zh-CN"/>
        </w:rPr>
        <w:t>一是确保整个街道的安全形势持续稳定，建立健全安全生产监管网络，层层落实安全生产责任制。持续开展多部门“安全联查”，强化重点行业领域安全监管和隐患排查治理，定期联系相关职能部门开展大排查，联合相关企业、单位开展消防演练、地震演练、疫情防控等演练，街道社区共组织暗访检查72次，检查企事业单位20余家，主要涉及建筑施工工地、烟花爆竹民爆物品、消防、电力水利及公共安全及其他行业领域五个方面的安全内容检查。发现隐患2处，督改2处。</w:t>
      </w:r>
    </w:p>
    <w:p>
      <w:pPr>
        <w:numPr>
          <w:ilvl w:val="0"/>
          <w:numId w:val="0"/>
        </w:num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发现的主要问题：一是我街应急相关从业者素质参差不齐，科学防灾、科学减灾的工作专业性不足，需要加快提升排险应急能力。二是应急专业化人才队伍建设有待加强，大型应急救援物资缺乏。三是征兵工作社会人口的年龄比例发生了重大变化，适龄青年比例不断下降。            </w:t>
      </w:r>
    </w:p>
    <w:p>
      <w:p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下一步改进措施：下一步将全面贯彻落实省市区政策部署，深入开展全街安全生产大检查、大排查、大整治，切实抓好安全生产、防灾减灾救灾各项工作，确保全街安全生产形式持续稳定向好。切实强化应急管理，一是加强应急值守、信息报送。二是强化预案管理，完善应急预案体。三是强化能力建设，强化应急信息化、救援队伍建设、提高协同处置能力。四是加强应急物资保障体系建设。辖区未发生较大以上安全事故。  </w:t>
      </w:r>
    </w:p>
    <w:p>
      <w:pPr>
        <w:numPr>
          <w:ilvl w:val="0"/>
          <w:numId w:val="0"/>
        </w:numPr>
        <w:spacing w:line="580" w:lineRule="exact"/>
        <w:ind w:firstLine="643" w:firstLineChars="200"/>
        <w:rPr>
          <w:rFonts w:hint="eastAsia" w:ascii="仿宋_GB2312" w:hAnsi="仿宋_GB2312" w:cs="仿宋_GB2312"/>
          <w:sz w:val="32"/>
          <w:szCs w:val="32"/>
          <w:lang w:val="en-US" w:eastAsia="zh-CN"/>
        </w:rPr>
      </w:pPr>
      <w:r>
        <w:rPr>
          <w:rFonts w:hint="eastAsia" w:ascii="仿宋_GB2312" w:hAnsi="仿宋_GB2312" w:cs="仿宋_GB2312"/>
          <w:b/>
          <w:bCs/>
          <w:sz w:val="32"/>
          <w:szCs w:val="32"/>
          <w:lang w:val="en-US" w:eastAsia="zh-CN"/>
        </w:rPr>
        <w:t>（4）“群团工作经费”</w:t>
      </w:r>
      <w:r>
        <w:rPr>
          <w:rFonts w:hint="eastAsia" w:ascii="仿宋_GB2312" w:hAnsi="仿宋_GB2312" w:eastAsia="仿宋_GB2312" w:cs="仿宋_GB2312"/>
          <w:b/>
          <w:bCs/>
          <w:sz w:val="32"/>
          <w:szCs w:val="32"/>
        </w:rPr>
        <w:t>项目绩效目标完成情况综述。</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val="en-US" w:eastAsia="zh-CN"/>
        </w:rPr>
        <w:t>加强党对群团工作的领导，深化群团工作，</w:t>
      </w:r>
      <w:r>
        <w:rPr>
          <w:rFonts w:hint="eastAsia" w:ascii="仿宋_GB2312" w:hAnsi="仿宋_GB2312" w:cs="仿宋_GB2312"/>
          <w:sz w:val="32"/>
          <w:szCs w:val="32"/>
          <w:lang w:val="en-US" w:eastAsia="zh-CN"/>
        </w:rPr>
        <w:t>一</w:t>
      </w:r>
      <w:r>
        <w:rPr>
          <w:rFonts w:hint="eastAsia" w:ascii="仿宋_GB2312" w:hAnsi="仿宋_GB2312" w:eastAsia="仿宋_GB2312" w:cs="仿宋_GB2312"/>
          <w:sz w:val="32"/>
          <w:szCs w:val="32"/>
          <w:lang w:val="en-US" w:eastAsia="zh-CN"/>
        </w:rPr>
        <w:t>是稳步推进社区亲民化改造。钟云山社区设计平面图已生成，现处于居民意见征求阶段；云井社区、新华路社区、解放桥社区亲民化改造已完成，毛家坝社区正在装修改造中</w:t>
      </w:r>
      <w:r>
        <w:rPr>
          <w:rFonts w:hint="eastAsia" w:ascii="仿宋_GB2312" w:hAnsi="仿宋_GB2312" w:cs="仿宋_GB2312"/>
          <w:sz w:val="32"/>
          <w:szCs w:val="32"/>
          <w:lang w:val="en-US" w:eastAsia="zh-CN"/>
        </w:rPr>
        <w:t>。二是打造红色物业治理典范。按照“六抓六有”工作思路，形成了以紫檀国际为代表的“红色物业”和以钟云山北苑B区为代表的自管组模式。紫檀国际社区建立综合党委形成小区治理共同体，小区党支部书记依照合法程序担任业委会主任，领导小区议事协商，建立民情回音壁完善民情反馈机制，盘整资源与自贡供销合作社联合开展便民超市造血反哺小区治理。钟云山北苑B区通过挖掘领头人、订立规章制度、盘活小区资源、居民共同参等四要素强化治理，社会组织项目支持吸引更多居民参与小区治理，以移动民情收集与反馈畅通民生诉求渠道，不断完善小区环境，浓厚人文关怀。</w:t>
      </w:r>
    </w:p>
    <w:p>
      <w:pPr>
        <w:numPr>
          <w:ilvl w:val="0"/>
          <w:numId w:val="0"/>
        </w:num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发现的主要问题：群团工作范围广内容多，因预算有限，资金保障上不能确保项目高质量高标准推进。</w:t>
      </w:r>
    </w:p>
    <w:p>
      <w:pPr>
        <w:numPr>
          <w:ilvl w:val="0"/>
          <w:numId w:val="0"/>
        </w:numPr>
        <w:spacing w:line="580" w:lineRule="exact"/>
        <w:ind w:firstLine="640" w:firstLineChars="200"/>
        <w:rPr>
          <w:rFonts w:hint="default"/>
          <w:lang w:val="en-US" w:eastAsia="zh-CN"/>
        </w:rPr>
      </w:pPr>
      <w:r>
        <w:rPr>
          <w:rFonts w:hint="eastAsia" w:ascii="仿宋_GB2312" w:hAnsi="仿宋_GB2312" w:cs="仿宋_GB2312"/>
          <w:sz w:val="32"/>
          <w:szCs w:val="32"/>
          <w:lang w:val="en-US" w:eastAsia="zh-CN"/>
        </w:rPr>
        <w:t>下一步改进措施：把项目进行精细化管理，充分利用有限的预算资金，带动社区各种资源资本参与建设。</w:t>
      </w:r>
    </w:p>
    <w:p>
      <w:pPr>
        <w:spacing w:line="58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w:t>
      </w:r>
      <w:r>
        <w:rPr>
          <w:rFonts w:hint="eastAsia" w:ascii="仿宋_GB2312" w:hAnsi="仿宋_GB2312" w:cs="仿宋_GB2312"/>
          <w:b/>
          <w:bCs/>
          <w:sz w:val="32"/>
          <w:szCs w:val="32"/>
          <w:lang w:val="en-US" w:eastAsia="zh-CN"/>
        </w:rPr>
        <w:t>5</w:t>
      </w:r>
      <w:r>
        <w:rPr>
          <w:rFonts w:hint="eastAsia" w:ascii="仿宋_GB2312" w:hAnsi="仿宋_GB2312" w:eastAsia="仿宋_GB2312" w:cs="仿宋_GB2312"/>
          <w:b/>
          <w:bCs/>
          <w:sz w:val="32"/>
          <w:szCs w:val="32"/>
        </w:rPr>
        <w:t>）</w:t>
      </w:r>
      <w:r>
        <w:rPr>
          <w:rFonts w:hint="eastAsia" w:ascii="仿宋_GB2312" w:hAnsi="仿宋_GB2312" w:cs="仿宋_GB2312"/>
          <w:b/>
          <w:bCs/>
          <w:sz w:val="32"/>
          <w:szCs w:val="32"/>
          <w:lang w:val="en-US" w:eastAsia="zh-CN"/>
        </w:rPr>
        <w:t>“平安社区技防网络建设经费”</w:t>
      </w:r>
      <w:r>
        <w:rPr>
          <w:rFonts w:hint="eastAsia" w:ascii="仿宋_GB2312" w:hAnsi="仿宋_GB2312" w:eastAsia="仿宋_GB2312" w:cs="仿宋_GB2312"/>
          <w:b/>
          <w:bCs/>
          <w:sz w:val="32"/>
          <w:szCs w:val="32"/>
        </w:rPr>
        <w:t>项目绩效目标完成情况综述。</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。通过项目实施，维护全街</w:t>
      </w:r>
      <w:r>
        <w:rPr>
          <w:rFonts w:hint="eastAsia" w:ascii="仿宋_GB2312" w:hAnsi="仿宋_GB2312" w:cs="仿宋_GB2312"/>
          <w:sz w:val="32"/>
          <w:szCs w:val="32"/>
          <w:lang w:val="en-US" w:eastAsia="zh-CN"/>
        </w:rPr>
        <w:t>各个</w:t>
      </w:r>
      <w:r>
        <w:rPr>
          <w:rFonts w:hint="eastAsia" w:ascii="仿宋_GB2312" w:hAnsi="仿宋_GB2312" w:eastAsia="仿宋_GB2312" w:cs="仿宋_GB2312"/>
          <w:sz w:val="32"/>
          <w:szCs w:val="32"/>
        </w:rPr>
        <w:t>摄像头正常运行，维护社会维定，覆盖各个社区主要通道路口，与派出所形成联防机制，维护社会维定，降低犯罪率，使居民的人身财产安全得到进一步的保障。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发现的主要问题：有部分摄像头损坏，未及时得到修理， 造成监控盲点，在工作上带来不便。   </w:t>
      </w:r>
    </w:p>
    <w:p>
      <w:pPr>
        <w:spacing w:line="580" w:lineRule="exact"/>
        <w:ind w:firstLine="640" w:firstLineChars="200"/>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rPr>
        <w:t>下一步改进措施：加大日常监督维护工作，与运营商保持密切联系，避免类似情况发生。</w:t>
      </w:r>
      <w:r>
        <w:rPr>
          <w:rFonts w:hint="eastAsia" w:ascii="仿宋_GB2312" w:hAnsi="仿宋_GB2312" w:cs="仿宋_GB2312"/>
          <w:sz w:val="32"/>
          <w:szCs w:val="32"/>
          <w:lang w:val="en-US" w:eastAsia="zh-CN"/>
        </w:rPr>
        <w:t>保障辖区内监控的正常使用、维护，提高辖区内的安全指数。</w:t>
      </w:r>
    </w:p>
    <w:p>
      <w:pPr>
        <w:pStyle w:val="2"/>
        <w:rPr>
          <w:rFonts w:hint="eastAsia" w:ascii="仿宋_GB2312" w:hAnsi="仿宋_GB2312" w:cs="仿宋_GB2312"/>
          <w:sz w:val="32"/>
          <w:szCs w:val="32"/>
          <w:lang w:val="en-US" w:eastAsia="zh-CN"/>
        </w:rPr>
      </w:pPr>
    </w:p>
    <w:p>
      <w:pPr>
        <w:pStyle w:val="2"/>
        <w:rPr>
          <w:rFonts w:hint="eastAsia" w:ascii="仿宋_GB2312" w:hAnsi="仿宋_GB2312" w:cs="仿宋_GB2312"/>
          <w:sz w:val="32"/>
          <w:szCs w:val="32"/>
          <w:lang w:val="en-US" w:eastAsia="zh-CN"/>
        </w:rPr>
      </w:pPr>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武装工作经费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自贡市自流井区财政局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3</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3</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3</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3</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5"/>
              </w:numPr>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保障完成国防动员宣传教育、征兵、应急抢险等工作任务</w:t>
            </w:r>
            <w:r>
              <w:rPr>
                <w:rFonts w:hint="eastAsia" w:ascii="仿宋_GB2312" w:hAnsi="仿宋_GB2312" w:eastAsia="仿宋_GB2312" w:cs="仿宋_GB2312"/>
                <w:color w:val="000000"/>
                <w:sz w:val="24"/>
                <w:szCs w:val="24"/>
                <w:lang w:eastAsia="zh-CN"/>
              </w:rPr>
              <w:t>；</w:t>
            </w:r>
          </w:p>
          <w:p>
            <w:pPr>
              <w:widowControl/>
              <w:numPr>
                <w:ilvl w:val="0"/>
                <w:numId w:val="5"/>
              </w:numPr>
              <w:jc w:val="left"/>
              <w:textAlignment w:val="center"/>
              <w:rPr>
                <w:rFonts w:ascii="宋体" w:cs="宋体"/>
                <w:color w:val="000000"/>
                <w:sz w:val="24"/>
              </w:rPr>
            </w:pPr>
            <w:r>
              <w:rPr>
                <w:rFonts w:hint="eastAsia" w:ascii="仿宋_GB2312" w:hAnsi="仿宋_GB2312" w:eastAsia="仿宋_GB2312" w:cs="仿宋_GB2312"/>
                <w:color w:val="000000"/>
                <w:sz w:val="24"/>
                <w:szCs w:val="24"/>
              </w:rPr>
              <w:t>完成区武装部交办的各项任务，响应上级命令参加训练集结等工作。</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default" w:ascii="宋体" w:eastAsia="仿宋_GB2312" w:cs="宋体"/>
                <w:color w:val="000000"/>
                <w:sz w:val="24"/>
                <w:lang w:val="en-US" w:eastAsia="zh-CN"/>
              </w:rPr>
            </w:pPr>
            <w:r>
              <w:rPr>
                <w:rFonts w:hint="eastAsia" w:ascii="仿宋_GB2312" w:hAnsi="仿宋_GB2312" w:eastAsia="仿宋_GB2312" w:cs="仿宋_GB2312"/>
                <w:color w:val="000000"/>
                <w:sz w:val="24"/>
                <w:szCs w:val="24"/>
                <w:lang w:val="en-US" w:eastAsia="zh-CN"/>
              </w:rPr>
              <w:t>顺利完成2020年</w:t>
            </w:r>
            <w:r>
              <w:rPr>
                <w:rFonts w:hint="eastAsia" w:ascii="仿宋_GB2312" w:hAnsi="仿宋_GB2312" w:eastAsia="仿宋_GB2312" w:cs="仿宋_GB2312"/>
                <w:color w:val="000000"/>
                <w:sz w:val="24"/>
                <w:szCs w:val="24"/>
              </w:rPr>
              <w:t>国防动员宣传教育</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征兵工作及训练集结等武装工作。</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ab/>
            </w:r>
            <w:r>
              <w:rPr>
                <w:rFonts w:hint="eastAsia" w:ascii="宋体" w:cs="宋体"/>
                <w:color w:val="000000"/>
                <w:sz w:val="24"/>
              </w:rPr>
              <w:t>民兵训练质量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符合上级部门训练要求</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民兵各项指标良好，符合上级民兵训练要求</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民兵训练人员数量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≥30人次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≥30人次</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ab/>
            </w:r>
            <w:r>
              <w:rPr>
                <w:rFonts w:hint="eastAsia" w:ascii="宋体" w:cs="宋体"/>
                <w:color w:val="000000"/>
                <w:sz w:val="24"/>
                <w:lang w:val="en-US" w:eastAsia="zh-CN"/>
              </w:rPr>
              <w:t>国防宣传、征兵工作知晓率</w:t>
            </w:r>
            <w:r>
              <w:rPr>
                <w:rFonts w:hint="eastAsia" w:ascii="宋体" w:cs="宋体"/>
                <w:color w:val="000000"/>
                <w:sz w:val="24"/>
                <w:lang w:val="en-US" w:eastAsia="zh-CN"/>
              </w:rPr>
              <w:tab/>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参加训练人员满意度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0"/>
                <w:sz w:val="24"/>
                <w:szCs w:val="24"/>
                <w:lang w:val="en-US" w:eastAsia="zh-CN"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应征青年满意度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cs="宋体"/>
                <w:b/>
                <w:bCs/>
                <w:color w:val="000000"/>
                <w:kern w:val="0"/>
                <w:sz w:val="36"/>
                <w:szCs w:val="36"/>
                <w:lang w:bidi="ar"/>
              </w:rPr>
            </w:pPr>
          </w:p>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党建工作经费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自贡市自流井区财政局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4</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4</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jc w:val="left"/>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w:t>
            </w:r>
            <w:r>
              <w:rPr>
                <w:rFonts w:hint="eastAsia" w:ascii="宋体" w:cs="宋体"/>
                <w:color w:val="000000"/>
                <w:sz w:val="24"/>
              </w:rPr>
              <w:t>全面提升党支部规范化建设水平，不断提高党支部直接教育、管理、监督党员和组织、宣传、凝聚、服务群众的能力。</w:t>
            </w:r>
            <w:r>
              <w:rPr>
                <w:rFonts w:hint="eastAsia" w:ascii="宋体" w:cs="宋体"/>
                <w:color w:val="000000"/>
                <w:sz w:val="24"/>
                <w:lang w:val="en-US" w:eastAsia="zh-CN"/>
              </w:rPr>
              <w:t>2.推进党的基层组织设置和活动方式创新。</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w:t>
            </w:r>
            <w:r>
              <w:rPr>
                <w:rFonts w:hint="eastAsia" w:ascii="宋体" w:cs="宋体"/>
                <w:color w:val="000000"/>
                <w:sz w:val="24"/>
              </w:rPr>
              <w:t>全面提升党支部规范化建设水平，不断提高党支部直接教育、管理、监督党员和组织、宣传、凝聚、服务群众的能力。</w:t>
            </w:r>
            <w:r>
              <w:rPr>
                <w:rFonts w:hint="eastAsia" w:ascii="宋体" w:cs="宋体"/>
                <w:color w:val="000000"/>
                <w:sz w:val="24"/>
                <w:lang w:val="en-US" w:eastAsia="zh-CN"/>
              </w:rPr>
              <w:t>2.推进党的基层组织设置和活动方式创新，切实解决基层党组织存在的弱化、虚化、边缘化问题。</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rPr>
              <w:tab/>
            </w:r>
            <w:r>
              <w:rPr>
                <w:rFonts w:hint="eastAsia" w:ascii="宋体" w:cs="宋体"/>
                <w:color w:val="000000"/>
                <w:sz w:val="24"/>
                <w:lang w:val="en-US" w:eastAsia="zh-CN"/>
              </w:rPr>
              <w:t>党务工作质量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做好党员管理信息系统更新维护</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顺利完成党费收缴、党员发展等工作，并</w:t>
            </w:r>
            <w:r>
              <w:rPr>
                <w:rFonts w:hint="eastAsia" w:ascii="宋体" w:cs="宋体"/>
                <w:color w:val="000000"/>
                <w:sz w:val="24"/>
              </w:rPr>
              <w:t>做好党员管理信息系统更新维护</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项目支出</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项目支出不超过4万元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实际支付4万元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ab/>
            </w:r>
            <w:r>
              <w:rPr>
                <w:rFonts w:hint="eastAsia" w:ascii="宋体" w:cs="宋体"/>
                <w:color w:val="000000"/>
                <w:sz w:val="24"/>
                <w:lang w:val="en-US" w:eastAsia="zh-CN"/>
              </w:rPr>
              <w:t>党的政策宣传、知晓率</w:t>
            </w:r>
            <w:r>
              <w:rPr>
                <w:rFonts w:hint="eastAsia" w:ascii="宋体" w:cs="宋体"/>
                <w:color w:val="000000"/>
                <w:sz w:val="24"/>
                <w:lang w:val="en-US" w:eastAsia="zh-CN"/>
              </w:rPr>
              <w:tab/>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辖区内党组织满意度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0"/>
                <w:sz w:val="24"/>
                <w:szCs w:val="24"/>
                <w:lang w:val="en-US" w:eastAsia="zh-CN"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党员满意度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both"/>
              <w:textAlignment w:val="center"/>
              <w:rPr>
                <w:rFonts w:hint="eastAsia" w:ascii="宋体" w:hAnsi="宋体" w:cs="宋体"/>
                <w:b/>
                <w:bCs/>
                <w:color w:val="000000"/>
                <w:kern w:val="0"/>
                <w:sz w:val="36"/>
                <w:szCs w:val="36"/>
                <w:lang w:bidi="ar"/>
              </w:rPr>
            </w:pPr>
          </w:p>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安全工作经费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自贡市自流井区财政局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2.25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2.25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2.25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2.25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jc w:val="left"/>
              <w:textAlignment w:val="center"/>
              <w:rPr>
                <w:rFonts w:hint="default" w:ascii="宋体" w:eastAsia="仿宋_GB2312" w:cs="宋体"/>
                <w:color w:val="000000"/>
                <w:sz w:val="24"/>
                <w:lang w:val="en-US" w:eastAsia="zh-CN"/>
              </w:rPr>
            </w:pPr>
            <w:r>
              <w:rPr>
                <w:rFonts w:hint="default" w:ascii="宋体" w:eastAsia="仿宋_GB2312" w:cs="宋体"/>
                <w:color w:val="000000"/>
                <w:sz w:val="24"/>
                <w:lang w:val="en-US" w:eastAsia="zh-CN"/>
              </w:rPr>
              <w:t>做好安全生产、消防、防灾减灾救灾等应急管理工作；负责公共卫生、食品卫生、公共安全等突发事件的应急处置工作。</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default" w:ascii="宋体" w:eastAsia="仿宋_GB2312" w:cs="宋体"/>
                <w:color w:val="000000"/>
                <w:sz w:val="24"/>
                <w:lang w:val="en-US" w:eastAsia="zh-CN"/>
              </w:rPr>
            </w:pPr>
            <w:r>
              <w:rPr>
                <w:rFonts w:hint="default" w:ascii="宋体" w:eastAsia="仿宋_GB2312" w:cs="宋体"/>
                <w:color w:val="000000"/>
                <w:sz w:val="24"/>
                <w:lang w:val="en-US" w:eastAsia="zh-CN"/>
              </w:rPr>
              <w:t>做好安全生产、消防、防灾减灾救灾等应急管理工作；负责公共卫生、食品卫生、公共安全等突发事件的应急处置工作。</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rPr>
              <w:tab/>
            </w:r>
            <w:r>
              <w:rPr>
                <w:rFonts w:hint="eastAsia" w:ascii="宋体" w:cs="宋体"/>
                <w:color w:val="000000"/>
                <w:sz w:val="24"/>
                <w:lang w:val="en-US" w:eastAsia="zh-CN"/>
              </w:rPr>
              <w:t>工作完成时间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2020年底</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2020年底</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项目支出</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项目支出不超过2.25万元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实际支付2.25万元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辖区内企业落实质量安全主体责任</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加强宣传，使企业提升产品质量和技术升级意识，确保不发生生产事故</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加强宣传，使企业提升产品质量和技术升级意识，确保不发生生产事故</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0"/>
                <w:sz w:val="24"/>
                <w:szCs w:val="24"/>
                <w:lang w:val="en-US" w:eastAsia="zh-CN"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辖区内群众满意度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both"/>
              <w:textAlignment w:val="center"/>
              <w:rPr>
                <w:rFonts w:hint="eastAsia" w:ascii="宋体" w:hAnsi="宋体" w:cs="宋体"/>
                <w:b/>
                <w:bCs/>
                <w:color w:val="000000"/>
                <w:kern w:val="0"/>
                <w:sz w:val="36"/>
                <w:szCs w:val="36"/>
                <w:lang w:bidi="ar"/>
              </w:rPr>
            </w:pPr>
          </w:p>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群团工作经费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自贡市自流井区财政局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jc w:val="left"/>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工会</w:t>
            </w:r>
            <w:r>
              <w:rPr>
                <w:rFonts w:hint="default" w:ascii="宋体" w:eastAsia="仿宋_GB2312" w:cs="宋体"/>
                <w:color w:val="000000"/>
                <w:sz w:val="24"/>
                <w:lang w:val="en-US" w:eastAsia="zh-CN"/>
              </w:rPr>
              <w:t>、</w:t>
            </w:r>
            <w:r>
              <w:rPr>
                <w:rFonts w:hint="eastAsia" w:ascii="宋体" w:cs="宋体"/>
                <w:color w:val="000000"/>
                <w:sz w:val="24"/>
                <w:lang w:val="en-US" w:eastAsia="zh-CN"/>
              </w:rPr>
              <w:t>团委</w:t>
            </w:r>
            <w:r>
              <w:rPr>
                <w:rFonts w:hint="default" w:ascii="宋体" w:eastAsia="仿宋_GB2312" w:cs="宋体"/>
                <w:color w:val="000000"/>
                <w:sz w:val="24"/>
                <w:lang w:val="en-US" w:eastAsia="zh-CN"/>
              </w:rPr>
              <w:t>、</w:t>
            </w:r>
            <w:r>
              <w:rPr>
                <w:rFonts w:hint="eastAsia" w:ascii="宋体" w:cs="宋体"/>
                <w:color w:val="000000"/>
                <w:sz w:val="24"/>
                <w:lang w:val="en-US" w:eastAsia="zh-CN"/>
              </w:rPr>
              <w:t>妇联</w:t>
            </w:r>
            <w:r>
              <w:rPr>
                <w:rFonts w:hint="default" w:ascii="宋体" w:eastAsia="仿宋_GB2312" w:cs="宋体"/>
                <w:color w:val="000000"/>
                <w:sz w:val="24"/>
                <w:lang w:val="en-US" w:eastAsia="zh-CN"/>
              </w:rPr>
              <w:t>等</w:t>
            </w:r>
            <w:r>
              <w:rPr>
                <w:rFonts w:hint="eastAsia" w:ascii="宋体" w:cs="宋体"/>
                <w:color w:val="000000"/>
                <w:sz w:val="24"/>
                <w:lang w:val="en-US" w:eastAsia="zh-CN"/>
              </w:rPr>
              <w:t>常态化工作，</w:t>
            </w:r>
            <w:r>
              <w:rPr>
                <w:rFonts w:hint="default" w:ascii="宋体" w:eastAsia="仿宋_GB2312" w:cs="宋体"/>
                <w:color w:val="000000"/>
                <w:sz w:val="24"/>
                <w:lang w:val="en-US" w:eastAsia="zh-CN"/>
              </w:rPr>
              <w:t>开展</w:t>
            </w:r>
            <w:r>
              <w:rPr>
                <w:rFonts w:hint="eastAsia" w:ascii="宋体" w:cs="宋体"/>
                <w:color w:val="000000"/>
                <w:sz w:val="24"/>
                <w:lang w:val="en-US" w:eastAsia="zh-CN"/>
              </w:rPr>
              <w:t>儿童</w:t>
            </w:r>
            <w:r>
              <w:rPr>
                <w:rFonts w:hint="default" w:ascii="宋体" w:eastAsia="仿宋_GB2312" w:cs="宋体"/>
                <w:color w:val="000000"/>
                <w:sz w:val="24"/>
                <w:lang w:val="en-US" w:eastAsia="zh-CN"/>
              </w:rPr>
              <w:t>妇女帮扶、教育、维权等活动。开展</w:t>
            </w:r>
            <w:r>
              <w:rPr>
                <w:rFonts w:hint="eastAsia" w:ascii="宋体" w:cs="宋体"/>
                <w:color w:val="000000"/>
                <w:sz w:val="24"/>
                <w:lang w:val="en-US" w:eastAsia="zh-CN"/>
              </w:rPr>
              <w:t>团委、关工委关爱帮扶活动，工会会员注册认证工作</w:t>
            </w:r>
            <w:r>
              <w:rPr>
                <w:rFonts w:hint="default" w:ascii="宋体" w:eastAsia="仿宋_GB2312" w:cs="宋体"/>
                <w:color w:val="000000"/>
                <w:sz w:val="24"/>
                <w:lang w:val="en-US" w:eastAsia="zh-CN"/>
              </w:rPr>
              <w:t>。</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工会</w:t>
            </w:r>
            <w:r>
              <w:rPr>
                <w:rFonts w:hint="default" w:ascii="宋体" w:eastAsia="仿宋_GB2312" w:cs="宋体"/>
                <w:color w:val="000000"/>
                <w:sz w:val="24"/>
                <w:lang w:val="en-US" w:eastAsia="zh-CN"/>
              </w:rPr>
              <w:t>、</w:t>
            </w:r>
            <w:r>
              <w:rPr>
                <w:rFonts w:hint="eastAsia" w:ascii="宋体" w:cs="宋体"/>
                <w:color w:val="000000"/>
                <w:sz w:val="24"/>
                <w:lang w:val="en-US" w:eastAsia="zh-CN"/>
              </w:rPr>
              <w:t>团委</w:t>
            </w:r>
            <w:r>
              <w:rPr>
                <w:rFonts w:hint="default" w:ascii="宋体" w:eastAsia="仿宋_GB2312" w:cs="宋体"/>
                <w:color w:val="000000"/>
                <w:sz w:val="24"/>
                <w:lang w:val="en-US" w:eastAsia="zh-CN"/>
              </w:rPr>
              <w:t>、</w:t>
            </w:r>
            <w:r>
              <w:rPr>
                <w:rFonts w:hint="eastAsia" w:ascii="宋体" w:cs="宋体"/>
                <w:color w:val="000000"/>
                <w:sz w:val="24"/>
                <w:lang w:val="en-US" w:eastAsia="zh-CN"/>
              </w:rPr>
              <w:t>妇联</w:t>
            </w:r>
            <w:r>
              <w:rPr>
                <w:rFonts w:hint="default" w:ascii="宋体" w:eastAsia="仿宋_GB2312" w:cs="宋体"/>
                <w:color w:val="000000"/>
                <w:sz w:val="24"/>
                <w:lang w:val="en-US" w:eastAsia="zh-CN"/>
              </w:rPr>
              <w:t>等</w:t>
            </w:r>
            <w:r>
              <w:rPr>
                <w:rFonts w:hint="eastAsia" w:ascii="宋体" w:cs="宋体"/>
                <w:color w:val="000000"/>
                <w:sz w:val="24"/>
                <w:lang w:val="en-US" w:eastAsia="zh-CN"/>
              </w:rPr>
              <w:t>常态化工作，</w:t>
            </w:r>
            <w:r>
              <w:rPr>
                <w:rFonts w:hint="default" w:ascii="宋体" w:eastAsia="仿宋_GB2312" w:cs="宋体"/>
                <w:color w:val="000000"/>
                <w:sz w:val="24"/>
                <w:lang w:val="en-US" w:eastAsia="zh-CN"/>
              </w:rPr>
              <w:t>开展</w:t>
            </w:r>
            <w:r>
              <w:rPr>
                <w:rFonts w:hint="eastAsia" w:ascii="宋体" w:cs="宋体"/>
                <w:color w:val="000000"/>
                <w:sz w:val="24"/>
                <w:lang w:val="en-US" w:eastAsia="zh-CN"/>
              </w:rPr>
              <w:t>儿童</w:t>
            </w:r>
            <w:r>
              <w:rPr>
                <w:rFonts w:hint="default" w:ascii="宋体" w:eastAsia="仿宋_GB2312" w:cs="宋体"/>
                <w:color w:val="000000"/>
                <w:sz w:val="24"/>
                <w:lang w:val="en-US" w:eastAsia="zh-CN"/>
              </w:rPr>
              <w:t>妇女帮扶、教育、维权等活动。开展</w:t>
            </w:r>
            <w:r>
              <w:rPr>
                <w:rFonts w:hint="eastAsia" w:ascii="宋体" w:cs="宋体"/>
                <w:color w:val="000000"/>
                <w:sz w:val="24"/>
                <w:lang w:val="en-US" w:eastAsia="zh-CN"/>
              </w:rPr>
              <w:t>团委、关工委关爱帮扶活动，工会会员注册认证工作</w:t>
            </w:r>
            <w:r>
              <w:rPr>
                <w:rFonts w:hint="default" w:ascii="宋体" w:eastAsia="仿宋_GB2312" w:cs="宋体"/>
                <w:color w:val="000000"/>
                <w:sz w:val="24"/>
                <w:lang w:val="en-US" w:eastAsia="zh-CN"/>
              </w:rPr>
              <w:t>。</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rPr>
              <w:tab/>
            </w:r>
            <w:r>
              <w:rPr>
                <w:rFonts w:hint="eastAsia" w:ascii="宋体" w:cs="宋体"/>
                <w:color w:val="000000"/>
                <w:sz w:val="24"/>
                <w:lang w:val="en-US" w:eastAsia="zh-CN"/>
              </w:rPr>
              <w:t>工作完成时间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2020年底</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2020年底</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项目支出</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项目支出不超过5万元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实际支付5万元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ab/>
            </w:r>
            <w:r>
              <w:rPr>
                <w:rFonts w:hint="eastAsia" w:ascii="宋体" w:cs="宋体"/>
                <w:color w:val="000000"/>
                <w:sz w:val="24"/>
                <w:lang w:val="en-US" w:eastAsia="zh-CN"/>
              </w:rPr>
              <w:t>帮扶困难工会会员、妇女儿童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全年帮扶困难工会会员、妇女儿童40人次以上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全年帮扶困难工会会员、妇女儿童50人次以上</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团员满意度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0"/>
                <w:sz w:val="24"/>
                <w:szCs w:val="24"/>
                <w:lang w:val="en-US" w:eastAsia="zh-CN"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妇女儿童满意度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cs="宋体"/>
                <w:b/>
                <w:bCs/>
                <w:color w:val="000000"/>
                <w:kern w:val="0"/>
                <w:sz w:val="36"/>
                <w:szCs w:val="36"/>
                <w:lang w:bidi="ar"/>
              </w:rPr>
            </w:pPr>
          </w:p>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平安社区技防网络建设经费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自贡市自流井区财政局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8</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8</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8</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jc w:val="left"/>
              <w:textAlignment w:val="center"/>
              <w:rPr>
                <w:rFonts w:hint="default" w:ascii="宋体" w:eastAsia="仿宋_GB2312" w:cs="宋体"/>
                <w:color w:val="000000"/>
                <w:sz w:val="24"/>
                <w:lang w:val="en-US" w:eastAsia="zh-CN"/>
              </w:rPr>
            </w:pPr>
            <w:r>
              <w:rPr>
                <w:rFonts w:hint="eastAsia" w:ascii="宋体" w:cs="宋体"/>
                <w:color w:val="000000"/>
                <w:sz w:val="24"/>
              </w:rPr>
              <w:t>保障辖区内监控的正常使用、维护</w:t>
            </w:r>
            <w:r>
              <w:rPr>
                <w:rFonts w:hint="eastAsia" w:ascii="宋体" w:cs="宋体"/>
                <w:color w:val="000000"/>
                <w:sz w:val="24"/>
                <w:lang w:val="en-US" w:eastAsia="zh-CN"/>
              </w:rPr>
              <w:t>等相关开支</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default" w:ascii="宋体" w:eastAsia="仿宋_GB2312" w:cs="宋体"/>
                <w:color w:val="000000"/>
                <w:sz w:val="24"/>
                <w:lang w:val="en-US" w:eastAsia="zh-CN"/>
              </w:rPr>
            </w:pPr>
            <w:r>
              <w:rPr>
                <w:rFonts w:hint="eastAsia" w:ascii="宋体" w:cs="宋体"/>
                <w:color w:val="000000"/>
                <w:sz w:val="24"/>
              </w:rPr>
              <w:t>保障辖区内监控的正常使用、维护</w:t>
            </w:r>
            <w:r>
              <w:rPr>
                <w:rFonts w:hint="eastAsia" w:ascii="宋体" w:cs="宋体"/>
                <w:color w:val="000000"/>
                <w:sz w:val="24"/>
                <w:lang w:val="en-US" w:eastAsia="zh-CN"/>
              </w:rPr>
              <w:t>等相关开支</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项目支出</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项目支出不超过8万元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实际支付8万元</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覆盖社区数量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8个社区</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rPr>
            </w:pPr>
            <w:r>
              <w:rPr>
                <w:rFonts w:hint="eastAsia" w:ascii="宋体" w:cs="宋体"/>
                <w:color w:val="000000"/>
                <w:sz w:val="24"/>
                <w:lang w:val="en-US" w:eastAsia="zh-CN"/>
              </w:rPr>
              <w:t>2020年东兴寺街道新增云井社区，实际覆盖9个社区</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rPr>
              <w:tab/>
            </w:r>
            <w:r>
              <w:rPr>
                <w:rFonts w:hint="eastAsia" w:ascii="宋体" w:cs="宋体"/>
                <w:color w:val="000000"/>
                <w:sz w:val="24"/>
                <w:lang w:val="en-US" w:eastAsia="zh-CN"/>
              </w:rPr>
              <w:t>工作完成时间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2020年底</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2020年底</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0"/>
                <w:sz w:val="24"/>
                <w:szCs w:val="24"/>
                <w:lang w:val="en-US" w:eastAsia="zh-CN"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辖区内群众满意度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≥100%</w:t>
            </w:r>
          </w:p>
        </w:tc>
      </w:tr>
    </w:tbl>
    <w:p>
      <w:pPr>
        <w:pStyle w:val="2"/>
      </w:pPr>
    </w:p>
    <w:p>
      <w:pPr>
        <w:spacing w:line="580" w:lineRule="exact"/>
        <w:ind w:left="63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val="en-US" w:eastAsia="zh-CN"/>
        </w:rPr>
        <w:t>自流井区东兴寺街道办事处</w:t>
      </w:r>
      <w:r>
        <w:rPr>
          <w:rFonts w:hint="eastAsia" w:ascii="仿宋_GB2312" w:hAnsi="仿宋_GB2312" w:eastAsia="仿宋_GB2312" w:cs="仿宋_GB2312"/>
          <w:sz w:val="32"/>
          <w:szCs w:val="32"/>
        </w:rPr>
        <w:t>部门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widowControl/>
        <w:ind w:firstLine="640" w:firstLineChars="200"/>
        <w:jc w:val="left"/>
        <w:rPr>
          <w:rFonts w:hint="eastAsia"/>
          <w:sz w:val="32"/>
          <w:szCs w:val="32"/>
        </w:rPr>
      </w:pPr>
      <w:r>
        <w:rPr>
          <w:rFonts w:hint="eastAsia"/>
          <w:sz w:val="32"/>
          <w:szCs w:val="32"/>
        </w:rPr>
        <w:t>本部门自行组织对“武装工作经费”</w:t>
      </w:r>
      <w:r>
        <w:rPr>
          <w:rFonts w:hint="eastAsia"/>
          <w:sz w:val="32"/>
          <w:szCs w:val="32"/>
          <w:lang w:val="en-US" w:eastAsia="zh-CN"/>
        </w:rPr>
        <w:t>项目</w:t>
      </w:r>
      <w:r>
        <w:rPr>
          <w:rFonts w:hint="eastAsia"/>
          <w:sz w:val="32"/>
          <w:szCs w:val="32"/>
        </w:rPr>
        <w:t>、“党建工作经费”</w:t>
      </w:r>
      <w:r>
        <w:rPr>
          <w:rFonts w:hint="eastAsia"/>
          <w:sz w:val="32"/>
          <w:szCs w:val="32"/>
          <w:lang w:val="en-US" w:eastAsia="zh-CN"/>
        </w:rPr>
        <w:t>项目</w:t>
      </w:r>
      <w:r>
        <w:rPr>
          <w:rFonts w:hint="eastAsia"/>
          <w:sz w:val="32"/>
          <w:szCs w:val="32"/>
        </w:rPr>
        <w:t>、“安全工作经费”、“群团工作经费”、“平安社区技防网络建设经费”开展了绩效评价，《</w:t>
      </w:r>
      <w:r>
        <w:rPr>
          <w:rFonts w:hint="eastAsia"/>
          <w:sz w:val="32"/>
          <w:szCs w:val="32"/>
          <w:lang w:val="en-US" w:eastAsia="zh-CN"/>
        </w:rPr>
        <w:t>党建工作经费</w:t>
      </w:r>
      <w:r>
        <w:rPr>
          <w:rFonts w:hint="eastAsia"/>
          <w:sz w:val="32"/>
          <w:szCs w:val="32"/>
        </w:rPr>
        <w:t>项目2020年绩效评价报告》见附件（附件2）。</w:t>
      </w:r>
    </w:p>
    <w:p>
      <w:pPr>
        <w:pStyle w:val="2"/>
        <w:rPr>
          <w:rFonts w:hint="eastAsia"/>
          <w:sz w:val="32"/>
          <w:szCs w:val="32"/>
        </w:rPr>
      </w:pPr>
    </w:p>
    <w:p>
      <w:pPr>
        <w:pStyle w:val="2"/>
        <w:rPr>
          <w:rFonts w:hint="eastAsia"/>
          <w:sz w:val="32"/>
          <w:szCs w:val="32"/>
        </w:rPr>
      </w:pPr>
    </w:p>
    <w:p>
      <w:pPr>
        <w:pStyle w:val="2"/>
        <w:rPr>
          <w:rFonts w:hint="eastAsia"/>
          <w:sz w:val="32"/>
          <w:szCs w:val="32"/>
        </w:rPr>
      </w:pPr>
    </w:p>
    <w:p>
      <w:pPr>
        <w:pStyle w:val="2"/>
        <w:rPr>
          <w:rFonts w:hint="eastAsia"/>
          <w:sz w:val="32"/>
          <w:szCs w:val="32"/>
        </w:rPr>
      </w:pPr>
    </w:p>
    <w:p>
      <w:pPr>
        <w:pStyle w:val="2"/>
        <w:rPr>
          <w:rFonts w:hint="eastAsia"/>
          <w:sz w:val="32"/>
          <w:szCs w:val="32"/>
        </w:rPr>
      </w:pPr>
    </w:p>
    <w:p>
      <w:pPr>
        <w:pStyle w:val="2"/>
        <w:rPr>
          <w:rFonts w:hint="eastAsia"/>
          <w:sz w:val="32"/>
          <w:szCs w:val="32"/>
        </w:rPr>
      </w:pPr>
    </w:p>
    <w:p>
      <w:pPr>
        <w:pStyle w:val="2"/>
        <w:rPr>
          <w:rFonts w:hint="eastAsia"/>
          <w:sz w:val="32"/>
          <w:szCs w:val="32"/>
        </w:rPr>
      </w:pPr>
    </w:p>
    <w:p>
      <w:pPr>
        <w:numPr>
          <w:ilvl w:val="0"/>
          <w:numId w:val="6"/>
        </w:numPr>
        <w:spacing w:line="600" w:lineRule="exact"/>
        <w:ind w:firstLine="660" w:firstLineChars="150"/>
        <w:jc w:val="center"/>
        <w:outlineLvl w:val="0"/>
        <w:rPr>
          <w:rStyle w:val="17"/>
          <w:rFonts w:ascii="黑体" w:hAnsi="黑体" w:eastAsia="黑体"/>
          <w:b w:val="0"/>
        </w:rPr>
      </w:pPr>
      <w:bookmarkStart w:id="59" w:name="_Toc3536"/>
      <w:bookmarkStart w:id="60" w:name="_Toc15396613"/>
      <w:bookmarkStart w:id="61" w:name="_Toc15377225"/>
      <w:r>
        <w:rPr>
          <w:rFonts w:hint="eastAsia" w:ascii="黑体" w:hAnsi="黑体" w:eastAsia="黑体"/>
          <w:color w:val="000000"/>
          <w:sz w:val="44"/>
          <w:szCs w:val="44"/>
        </w:rPr>
        <w:t>名</w:t>
      </w:r>
      <w:r>
        <w:rPr>
          <w:rStyle w:val="17"/>
          <w:rFonts w:hint="eastAsia" w:ascii="黑体" w:hAnsi="黑体" w:eastAsia="黑体"/>
          <w:b w:val="0"/>
        </w:rPr>
        <w:t>词解释</w:t>
      </w:r>
      <w:bookmarkEnd w:id="59"/>
      <w:bookmarkEnd w:id="60"/>
      <w:bookmarkEnd w:id="61"/>
    </w:p>
    <w:p>
      <w:pPr>
        <w:spacing w:line="600" w:lineRule="exact"/>
        <w:jc w:val="left"/>
        <w:rPr>
          <w:rFonts w:ascii="宋体"/>
          <w:b/>
          <w:color w:val="000000"/>
          <w:sz w:val="44"/>
          <w:szCs w:val="44"/>
        </w:rPr>
      </w:pPr>
    </w:p>
    <w:p>
      <w:pPr>
        <w:pStyle w:val="16"/>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6"/>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6"/>
        <w:spacing w:line="560" w:lineRule="exact"/>
        <w:ind w:firstLine="640" w:firstLineChars="200"/>
        <w:rPr>
          <w:rFonts w:hint="eastAsia"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16"/>
        <w:spacing w:line="560" w:lineRule="exact"/>
        <w:ind w:left="320" w:leftChars="100" w:firstLine="320" w:firstLineChars="100"/>
        <w:rPr>
          <w:rFonts w:hint="eastAsia"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w:t>
      </w:r>
    </w:p>
    <w:p>
      <w:pPr>
        <w:pStyle w:val="16"/>
        <w:spacing w:line="560" w:lineRule="exact"/>
        <w:ind w:left="320" w:leftChars="100" w:firstLine="320" w:firstLineChars="1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使用非财政拨款结余：指事业单位使用以前年度积累的非财政拨款结余弥补当年收支差额的金额。</w:t>
      </w:r>
      <w:r>
        <w:rPr>
          <w:rFonts w:ascii="仿宋_GB2312" w:eastAsia="仿宋_GB2312"/>
          <w:sz w:val="32"/>
          <w:szCs w:val="32"/>
        </w:rPr>
        <w:t xml:space="preserve"> </w:t>
      </w:r>
    </w:p>
    <w:p>
      <w:pPr>
        <w:pStyle w:val="16"/>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16"/>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结余分配：指事业单位按照会计制度规定缴纳的所得税、提取的专用结余以及转入非财政拨款结余的金额等。</w:t>
      </w:r>
    </w:p>
    <w:p>
      <w:pPr>
        <w:pStyle w:val="16"/>
        <w:spacing w:line="560" w:lineRule="exact"/>
        <w:ind w:firstLine="640" w:firstLineChars="200"/>
        <w:rPr>
          <w:rFonts w:hint="eastAsia"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sz w:val="32"/>
          <w:szCs w:val="32"/>
        </w:rPr>
        <w:t>一般公共服务（类）政府办公厅（室）及相关机构事务（款）行政运行（项）</w:t>
      </w:r>
      <w:r>
        <w:rPr>
          <w:rFonts w:hint="eastAsia" w:ascii="仿宋_GB2312" w:eastAsia="仿宋_GB2312"/>
          <w:color w:val="000000"/>
          <w:sz w:val="32"/>
          <w:szCs w:val="32"/>
        </w:rPr>
        <w:t>：指</w:t>
      </w:r>
      <w:r>
        <w:rPr>
          <w:rFonts w:hint="eastAsia" w:ascii="仿宋_GB2312"/>
          <w:color w:val="000000"/>
          <w:sz w:val="32"/>
          <w:szCs w:val="32"/>
          <w:lang w:val="en-US" w:eastAsia="zh-CN"/>
        </w:rPr>
        <w:t>行政单位（包括实行公务员管理的事业单位）的基本支出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sz w:val="32"/>
          <w:szCs w:val="32"/>
        </w:rPr>
        <w:t>一般公共服务（类）政府办公厅（室）及相关机构事务（款）信访事务（项</w:t>
      </w:r>
      <w:r>
        <w:rPr>
          <w:rFonts w:hint="eastAsia" w:ascii="仿宋_GB2312" w:eastAsia="仿宋_GB2312"/>
          <w:color w:val="000000"/>
          <w:sz w:val="32"/>
          <w:szCs w:val="32"/>
        </w:rPr>
        <w:t>）：指</w:t>
      </w:r>
      <w:r>
        <w:rPr>
          <w:rFonts w:hint="eastAsia" w:ascii="仿宋_GB2312"/>
          <w:color w:val="000000"/>
          <w:sz w:val="32"/>
          <w:szCs w:val="32"/>
          <w:lang w:val="en-US" w:eastAsia="zh-CN"/>
        </w:rPr>
        <w:t>各级政府用于接待群众来信来访方面的支出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sz w:val="32"/>
          <w:szCs w:val="32"/>
        </w:rPr>
        <w:t>一般公共服务（类）政府办公厅（室）及相关机构事务（款）事业运行（项）</w:t>
      </w:r>
      <w:r>
        <w:rPr>
          <w:rFonts w:hint="eastAsia" w:ascii="仿宋_GB2312" w:eastAsia="仿宋_GB2312"/>
          <w:color w:val="000000"/>
          <w:sz w:val="32"/>
          <w:szCs w:val="32"/>
        </w:rPr>
        <w:t>：指</w:t>
      </w:r>
      <w:r>
        <w:rPr>
          <w:rFonts w:hint="eastAsia" w:ascii="仿宋_GB2312"/>
          <w:color w:val="000000"/>
          <w:sz w:val="32"/>
          <w:szCs w:val="32"/>
          <w:lang w:val="en-US" w:eastAsia="zh-CN"/>
        </w:rPr>
        <w:t>事业单位的基本支出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sz w:val="32"/>
          <w:szCs w:val="32"/>
        </w:rPr>
        <w:t>一般公共服务（类）政府办公厅（室）及相关机构事务（款）其他政府办公厅（室）及相关机构事务支出（项）</w:t>
      </w:r>
      <w:r>
        <w:rPr>
          <w:rFonts w:hint="eastAsia" w:ascii="仿宋_GB2312"/>
          <w:sz w:val="32"/>
          <w:szCs w:val="32"/>
          <w:lang w:eastAsia="zh-CN"/>
        </w:rPr>
        <w:t>：</w:t>
      </w:r>
      <w:r>
        <w:rPr>
          <w:rFonts w:hint="eastAsia" w:ascii="仿宋_GB2312"/>
          <w:sz w:val="32"/>
          <w:szCs w:val="32"/>
          <w:lang w:val="en-US" w:eastAsia="zh-CN"/>
        </w:rPr>
        <w:t>指</w:t>
      </w:r>
      <w:r>
        <w:rPr>
          <w:rFonts w:hint="eastAsia" w:ascii="仿宋_GB2312" w:eastAsia="仿宋_GB2312"/>
          <w:sz w:val="32"/>
          <w:szCs w:val="32"/>
        </w:rPr>
        <w:t>其他政府办公厅（室）及相关机构事务支出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sz w:val="32"/>
          <w:szCs w:val="32"/>
        </w:rPr>
        <w:t>社会保障和就业支出（类）民政管理事务（款）基层政权建设和社区治理（项）</w:t>
      </w:r>
      <w:r>
        <w:rPr>
          <w:rFonts w:hint="eastAsia" w:ascii="仿宋_GB2312" w:eastAsia="仿宋_GB2312"/>
          <w:color w:val="000000"/>
          <w:sz w:val="32"/>
          <w:szCs w:val="32"/>
        </w:rPr>
        <w:t>：指</w:t>
      </w:r>
      <w:r>
        <w:rPr>
          <w:rFonts w:hint="eastAsia" w:ascii="仿宋_GB2312"/>
          <w:color w:val="000000"/>
          <w:sz w:val="32"/>
          <w:szCs w:val="32"/>
          <w:lang w:val="en-US" w:eastAsia="zh-CN"/>
        </w:rPr>
        <w:t>城乡社区治理、城乡社区服务（乡村便民服务）、村（居）民自治、村（居）务公开、乡镇（街道）服务能力建设等基层政权建设和社区治理工作的支出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sz w:val="32"/>
          <w:szCs w:val="32"/>
        </w:rPr>
        <w:t>社会保障和就业支出（类）行政事业单位养老支出（款）行政单位离退休（项）</w:t>
      </w:r>
      <w:r>
        <w:rPr>
          <w:rFonts w:hint="eastAsia" w:ascii="仿宋_GB2312" w:eastAsia="仿宋_GB2312"/>
          <w:color w:val="000000"/>
          <w:sz w:val="32"/>
          <w:szCs w:val="32"/>
        </w:rPr>
        <w:t>：指</w:t>
      </w:r>
      <w:r>
        <w:rPr>
          <w:rFonts w:hint="eastAsia" w:ascii="仿宋_GB2312"/>
          <w:color w:val="000000"/>
          <w:sz w:val="32"/>
          <w:szCs w:val="32"/>
          <w:lang w:val="en-US" w:eastAsia="zh-CN"/>
        </w:rPr>
        <w:t>行政单位（包括实行公务员管理的事业单位）开支的离退休经费</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sz w:val="32"/>
          <w:szCs w:val="32"/>
        </w:rPr>
        <w:t>社会保障和就业支出（类）行政事业单位养老支出（款）事业单位离退休（项）</w:t>
      </w:r>
      <w:r>
        <w:rPr>
          <w:rFonts w:hint="eastAsia" w:ascii="仿宋_GB2312" w:eastAsia="仿宋_GB2312"/>
          <w:color w:val="000000"/>
          <w:sz w:val="32"/>
          <w:szCs w:val="32"/>
        </w:rPr>
        <w:t>：指</w:t>
      </w:r>
      <w:r>
        <w:rPr>
          <w:rFonts w:hint="eastAsia" w:ascii="仿宋_GB2312"/>
          <w:color w:val="000000"/>
          <w:sz w:val="32"/>
          <w:szCs w:val="32"/>
          <w:lang w:val="en-US" w:eastAsia="zh-CN"/>
        </w:rPr>
        <w:t>事业单位开支的离退休经费</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sz w:val="32"/>
          <w:szCs w:val="32"/>
        </w:rPr>
        <w:t>社会保障和就业支出（类）行政事业单位养老支出（款）机关事业单位基本养老保险缴费支出（项）</w:t>
      </w:r>
      <w:r>
        <w:rPr>
          <w:rFonts w:hint="eastAsia" w:ascii="仿宋_GB2312" w:eastAsia="仿宋_GB2312"/>
          <w:color w:val="000000"/>
          <w:sz w:val="32"/>
          <w:szCs w:val="32"/>
        </w:rPr>
        <w:t>：指</w:t>
      </w:r>
      <w:r>
        <w:rPr>
          <w:rFonts w:hint="eastAsia" w:ascii="仿宋_GB2312"/>
          <w:color w:val="000000"/>
          <w:sz w:val="32"/>
          <w:szCs w:val="32"/>
          <w:lang w:val="en-US" w:eastAsia="zh-CN"/>
        </w:rPr>
        <w:t>机关事业单位实施养老保险制度由单位缴纳的基本养老保险费支出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sz w:val="32"/>
          <w:szCs w:val="32"/>
        </w:rPr>
        <w:t>社会保障和就业支出（类）其他社会保障和就业支出（款）其他社会保障和就业支出（项）</w:t>
      </w:r>
      <w:r>
        <w:rPr>
          <w:rFonts w:hint="eastAsia" w:ascii="仿宋_GB2312" w:eastAsia="仿宋_GB2312"/>
          <w:color w:val="000000"/>
          <w:sz w:val="32"/>
          <w:szCs w:val="32"/>
        </w:rPr>
        <w:t>：指</w:t>
      </w:r>
      <w:r>
        <w:rPr>
          <w:rFonts w:hint="eastAsia" w:ascii="仿宋_GB2312"/>
          <w:color w:val="000000"/>
          <w:sz w:val="32"/>
          <w:szCs w:val="32"/>
          <w:lang w:val="en-US" w:eastAsia="zh-CN"/>
        </w:rPr>
        <w:t>用于</w:t>
      </w:r>
      <w:r>
        <w:rPr>
          <w:rFonts w:hint="eastAsia" w:ascii="仿宋_GB2312" w:eastAsia="仿宋_GB2312"/>
          <w:sz w:val="32"/>
          <w:szCs w:val="32"/>
        </w:rPr>
        <w:t>其他社会保障和就业支出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sz w:val="32"/>
          <w:szCs w:val="32"/>
        </w:rPr>
        <w:t>卫生健康（类）行政事业单位医疗（款）行政单位医疗（项）</w:t>
      </w:r>
      <w:r>
        <w:rPr>
          <w:rFonts w:hint="eastAsia" w:ascii="仿宋_GB2312" w:eastAsia="仿宋_GB2312"/>
          <w:color w:val="000000"/>
          <w:sz w:val="32"/>
          <w:szCs w:val="32"/>
        </w:rPr>
        <w:t>：指</w:t>
      </w:r>
      <w:r>
        <w:rPr>
          <w:rFonts w:hint="eastAsia" w:ascii="仿宋_GB2312"/>
          <w:color w:val="000000"/>
          <w:sz w:val="32"/>
          <w:szCs w:val="32"/>
          <w:lang w:val="en-US" w:eastAsia="zh-CN"/>
        </w:rPr>
        <w:t>财政部门安排的行政单位基本医疗保险缴费经费，未参加医疗保险的行政单位的公费医疗经费，按照国家规定享受离休人员、红军老战士待遇人员的医疗经费</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sz w:val="32"/>
          <w:szCs w:val="32"/>
        </w:rPr>
        <w:t>节能环保支出（类）污染防治（款）水体（项）</w:t>
      </w:r>
      <w:r>
        <w:rPr>
          <w:rFonts w:hint="eastAsia" w:ascii="仿宋_GB2312" w:eastAsia="仿宋_GB2312"/>
          <w:color w:val="000000"/>
          <w:sz w:val="32"/>
          <w:szCs w:val="32"/>
        </w:rPr>
        <w:t>：指</w:t>
      </w:r>
      <w:r>
        <w:rPr>
          <w:rFonts w:hint="eastAsia" w:ascii="仿宋_GB2312"/>
          <w:color w:val="000000"/>
          <w:sz w:val="32"/>
          <w:szCs w:val="32"/>
          <w:lang w:val="en-US" w:eastAsia="zh-CN"/>
        </w:rPr>
        <w:t>政府在排水、污水处理、水污染防治、湖库生态环境保护、水源地保护、国土江河综合整治、河流治理与保护、地下水修复与保护等方面的支出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sz w:val="32"/>
          <w:szCs w:val="32"/>
        </w:rPr>
        <w:t>城乡社区支出（类）城乡社区管理事务（款）城管执法（项）</w:t>
      </w:r>
      <w:r>
        <w:rPr>
          <w:rFonts w:hint="eastAsia" w:ascii="仿宋_GB2312" w:eastAsia="仿宋_GB2312"/>
          <w:color w:val="000000"/>
          <w:sz w:val="32"/>
          <w:szCs w:val="32"/>
        </w:rPr>
        <w:t>：指</w:t>
      </w:r>
      <w:r>
        <w:rPr>
          <w:rFonts w:hint="eastAsia" w:ascii="仿宋_GB2312"/>
          <w:color w:val="000000"/>
          <w:sz w:val="32"/>
          <w:szCs w:val="32"/>
          <w:lang w:val="en-US" w:eastAsia="zh-CN"/>
        </w:rPr>
        <w:t>城市管理综合执法、加强城市市容和环境卫生管理等方面的支出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sz w:val="32"/>
          <w:szCs w:val="32"/>
        </w:rPr>
        <w:t>城乡社区支出（类）城乡社区环境卫生（款）城乡社区环境卫生（项）</w:t>
      </w:r>
      <w:r>
        <w:rPr>
          <w:rFonts w:hint="eastAsia" w:ascii="仿宋_GB2312" w:eastAsia="仿宋_GB2312"/>
          <w:color w:val="000000"/>
          <w:sz w:val="32"/>
          <w:szCs w:val="32"/>
        </w:rPr>
        <w:t>：指</w:t>
      </w:r>
      <w:r>
        <w:rPr>
          <w:rFonts w:hint="eastAsia" w:ascii="仿宋_GB2312"/>
          <w:color w:val="000000"/>
          <w:sz w:val="32"/>
          <w:szCs w:val="32"/>
          <w:lang w:val="en-US" w:eastAsia="zh-CN"/>
        </w:rPr>
        <w:t>城乡社区道路清扫、垃圾清运与处理、公厕建设与维护、园林绿化等方面的支出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sz w:val="32"/>
          <w:szCs w:val="32"/>
        </w:rPr>
        <w:t>城乡社区支出（类）国有土地使用权出让收入安排的支出（款）征地和拆迁补偿支出（项）</w:t>
      </w:r>
      <w:r>
        <w:rPr>
          <w:rFonts w:hint="eastAsia" w:ascii="仿宋_GB2312" w:eastAsia="仿宋_GB2312"/>
          <w:color w:val="000000"/>
          <w:sz w:val="32"/>
          <w:szCs w:val="32"/>
        </w:rPr>
        <w:t>：指</w:t>
      </w:r>
      <w:r>
        <w:rPr>
          <w:rFonts w:hint="eastAsia" w:ascii="仿宋_GB2312"/>
          <w:color w:val="000000"/>
          <w:sz w:val="32"/>
          <w:szCs w:val="32"/>
          <w:lang w:val="en-US" w:eastAsia="zh-CN"/>
        </w:rPr>
        <w:t>对</w:t>
      </w:r>
      <w:r>
        <w:rPr>
          <w:rFonts w:hint="eastAsia" w:ascii="仿宋_GB2312" w:eastAsia="仿宋_GB2312"/>
          <w:sz w:val="32"/>
          <w:szCs w:val="32"/>
        </w:rPr>
        <w:t>征地和拆迁补偿支出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sz w:val="32"/>
          <w:szCs w:val="32"/>
        </w:rPr>
        <w:t>城乡社区支出（类）城市基础设施配套费安排的支出（款）其他城市基础设施配套费安排的支出（项）</w:t>
      </w:r>
      <w:r>
        <w:rPr>
          <w:rFonts w:hint="eastAsia" w:ascii="仿宋_GB2312" w:eastAsia="仿宋_GB2312"/>
          <w:color w:val="000000"/>
          <w:sz w:val="32"/>
          <w:szCs w:val="32"/>
        </w:rPr>
        <w:t>：指</w:t>
      </w:r>
      <w:r>
        <w:rPr>
          <w:rFonts w:hint="eastAsia" w:ascii="仿宋_GB2312" w:eastAsia="仿宋_GB2312"/>
          <w:sz w:val="32"/>
          <w:szCs w:val="32"/>
        </w:rPr>
        <w:t>其他城市基础设施配套费安排的支出</w:t>
      </w:r>
      <w:r>
        <w:rPr>
          <w:rFonts w:hint="eastAsia" w:ascii="仿宋_GB2312" w:eastAsia="仿宋_GB2312"/>
          <w:color w:val="000000"/>
          <w:sz w:val="32"/>
          <w:szCs w:val="32"/>
        </w:rPr>
        <w:t>。</w:t>
      </w:r>
    </w:p>
    <w:p>
      <w:pPr>
        <w:ind w:firstLine="640" w:firstLineChars="200"/>
        <w:rPr>
          <w:rFonts w:hint="eastAsia"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sz w:val="32"/>
          <w:szCs w:val="32"/>
        </w:rPr>
        <w:t>农林水支出（类）农村综合改革（款）对村民委员会和村党支部的补助（项）</w:t>
      </w:r>
      <w:r>
        <w:rPr>
          <w:rFonts w:hint="eastAsia" w:ascii="仿宋_GB2312" w:eastAsia="仿宋_GB2312"/>
          <w:color w:val="000000"/>
          <w:sz w:val="32"/>
          <w:szCs w:val="32"/>
        </w:rPr>
        <w:t>：指</w:t>
      </w:r>
      <w:r>
        <w:rPr>
          <w:rFonts w:hint="eastAsia" w:ascii="仿宋_GB2312"/>
          <w:color w:val="000000"/>
          <w:sz w:val="32"/>
          <w:szCs w:val="32"/>
          <w:lang w:val="en-US" w:eastAsia="zh-CN"/>
        </w:rPr>
        <w:t>各级财政对村民委员会和村党支部的补助支出</w:t>
      </w:r>
      <w:r>
        <w:rPr>
          <w:rFonts w:hint="eastAsia" w:ascii="仿宋_GB2312" w:eastAsia="仿宋_GB2312"/>
          <w:color w:val="000000"/>
          <w:sz w:val="32"/>
          <w:szCs w:val="32"/>
        </w:rPr>
        <w:t>。</w:t>
      </w:r>
    </w:p>
    <w:p>
      <w:pPr>
        <w:ind w:firstLine="640" w:firstLineChars="200"/>
        <w:rPr>
          <w:rFonts w:hint="eastAsia" w:ascii="仿宋_GB2312"/>
          <w:sz w:val="32"/>
          <w:szCs w:val="32"/>
          <w:lang w:val="en-US" w:eastAsia="zh-CN"/>
        </w:rPr>
      </w:pPr>
      <w:r>
        <w:rPr>
          <w:rFonts w:ascii="仿宋_GB2312" w:eastAsia="仿宋_GB2312"/>
          <w:color w:val="000000"/>
          <w:sz w:val="32"/>
          <w:szCs w:val="32"/>
        </w:rPr>
        <w:t>2</w:t>
      </w:r>
      <w:r>
        <w:rPr>
          <w:rFonts w:hint="eastAsia" w:ascii="仿宋_GB2312"/>
          <w:color w:val="000000"/>
          <w:sz w:val="32"/>
          <w:szCs w:val="32"/>
          <w:lang w:val="en-US" w:eastAsia="zh-CN"/>
        </w:rPr>
        <w:t>5</w:t>
      </w:r>
      <w:r>
        <w:rPr>
          <w:rFonts w:ascii="仿宋_GB2312" w:eastAsia="仿宋_GB2312"/>
          <w:color w:val="000000"/>
          <w:sz w:val="32"/>
          <w:szCs w:val="32"/>
        </w:rPr>
        <w:t>.</w:t>
      </w:r>
      <w:r>
        <w:rPr>
          <w:rFonts w:hint="eastAsia" w:ascii="仿宋_GB2312" w:eastAsia="仿宋_GB2312"/>
          <w:sz w:val="32"/>
          <w:szCs w:val="32"/>
        </w:rPr>
        <w:t>住房保障支出（类）住房改革支出（款）住房公积金（项）</w:t>
      </w:r>
      <w:r>
        <w:rPr>
          <w:rFonts w:hint="eastAsia" w:ascii="仿宋_GB2312"/>
          <w:sz w:val="32"/>
          <w:szCs w:val="32"/>
          <w:lang w:eastAsia="zh-CN"/>
        </w:rPr>
        <w:t>：</w:t>
      </w:r>
      <w:r>
        <w:rPr>
          <w:rFonts w:hint="eastAsia" w:ascii="仿宋_GB2312"/>
          <w:sz w:val="32"/>
          <w:szCs w:val="32"/>
          <w:lang w:val="en-US" w:eastAsia="zh-CN"/>
        </w:rPr>
        <w:t>指行政事业单位按人力资源和社会保障部、财政部规定的基本工资和津贴补贴以及规定比例为职工缴纳的住房公积金。</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26</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27</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28</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16"/>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29</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6"/>
        <w:spacing w:line="560" w:lineRule="exact"/>
        <w:ind w:firstLine="640" w:firstLineChars="200"/>
        <w:rPr>
          <w:rFonts w:ascii="仿宋_GB2312" w:eastAsia="仿宋_GB2312" w:cs="黑体"/>
          <w:sz w:val="32"/>
          <w:szCs w:val="32"/>
        </w:rPr>
      </w:pPr>
    </w:p>
    <w:p>
      <w:pPr>
        <w:spacing w:line="600" w:lineRule="exact"/>
        <w:jc w:val="center"/>
        <w:outlineLvl w:val="0"/>
        <w:rPr>
          <w:rStyle w:val="17"/>
          <w:rFonts w:ascii="黑体" w:hAnsi="黑体" w:eastAsia="黑体"/>
          <w:b w:val="0"/>
        </w:rPr>
      </w:pPr>
      <w:bookmarkStart w:id="62" w:name="_Toc15377226"/>
      <w:r>
        <w:rPr>
          <w:rFonts w:ascii="宋体"/>
          <w:b/>
          <w:color w:val="000000"/>
          <w:sz w:val="44"/>
          <w:szCs w:val="44"/>
        </w:rPr>
        <w:br w:type="page"/>
      </w:r>
      <w:bookmarkStart w:id="63" w:name="_Toc15396614"/>
      <w:bookmarkStart w:id="64" w:name="_Toc11207"/>
      <w:r>
        <w:rPr>
          <w:rFonts w:hint="eastAsia" w:ascii="黑体" w:hAnsi="黑体" w:eastAsia="黑体"/>
          <w:color w:val="000000"/>
          <w:sz w:val="44"/>
          <w:szCs w:val="44"/>
        </w:rPr>
        <w:t>第</w:t>
      </w:r>
      <w:r>
        <w:rPr>
          <w:rStyle w:val="17"/>
          <w:rFonts w:hint="eastAsia" w:ascii="黑体" w:hAnsi="黑体" w:eastAsia="黑体"/>
          <w:b w:val="0"/>
        </w:rPr>
        <w:t>四部分</w:t>
      </w:r>
      <w:r>
        <w:rPr>
          <w:rStyle w:val="17"/>
          <w:rFonts w:ascii="黑体" w:hAnsi="黑体" w:eastAsia="黑体"/>
          <w:b w:val="0"/>
        </w:rPr>
        <w:t xml:space="preserve"> </w:t>
      </w:r>
      <w:r>
        <w:rPr>
          <w:rStyle w:val="17"/>
          <w:rFonts w:hint="eastAsia" w:ascii="黑体" w:hAnsi="黑体" w:eastAsia="黑体"/>
          <w:b w:val="0"/>
        </w:rPr>
        <w:t>附件</w:t>
      </w:r>
      <w:bookmarkEnd w:id="63"/>
      <w:bookmarkEnd w:id="64"/>
    </w:p>
    <w:p>
      <w:pPr>
        <w:spacing w:line="600" w:lineRule="exact"/>
        <w:jc w:val="left"/>
        <w:outlineLvl w:val="1"/>
        <w:rPr>
          <w:rFonts w:ascii="方正小标宋简体" w:hAnsi="方正小标宋简体" w:eastAsia="方正小标宋简体" w:cs="方正小标宋简体"/>
          <w:sz w:val="32"/>
          <w:szCs w:val="32"/>
        </w:rPr>
      </w:pPr>
      <w:bookmarkStart w:id="65" w:name="_Toc22930"/>
      <w:r>
        <w:rPr>
          <w:rFonts w:hint="eastAsia" w:ascii="黑体" w:hAnsi="黑体" w:eastAsia="黑体" w:cs="黑体"/>
          <w:sz w:val="32"/>
          <w:szCs w:val="32"/>
        </w:rPr>
        <w:t>附件</w:t>
      </w:r>
      <w:r>
        <w:rPr>
          <w:rFonts w:ascii="黑体" w:hAnsi="黑体" w:eastAsia="黑体" w:cs="黑体"/>
          <w:sz w:val="32"/>
          <w:szCs w:val="32"/>
        </w:rPr>
        <w:t>1</w:t>
      </w:r>
      <w:bookmarkEnd w:id="65"/>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color w:val="000000"/>
          <w:kern w:val="0"/>
          <w:sz w:val="40"/>
          <w:szCs w:val="44"/>
        </w:rPr>
      </w:pPr>
      <w:r>
        <w:rPr>
          <w:rFonts w:hint="eastAsia" w:ascii="方正小标宋简体" w:hAnsi="宋体" w:eastAsia="方正小标宋简体"/>
          <w:color w:val="000000"/>
          <w:kern w:val="0"/>
          <w:sz w:val="40"/>
          <w:szCs w:val="44"/>
          <w:lang w:val="zh-CN"/>
        </w:rPr>
        <w:t>自流井区东兴寺街道</w:t>
      </w:r>
      <w:r>
        <w:rPr>
          <w:rFonts w:hint="eastAsia" w:ascii="方正小标宋简体" w:hAnsi="宋体" w:eastAsia="方正小标宋简体"/>
          <w:color w:val="000000"/>
          <w:kern w:val="0"/>
          <w:sz w:val="40"/>
          <w:szCs w:val="44"/>
          <w:lang w:val="en-US" w:eastAsia="zh-CN"/>
        </w:rPr>
        <w:t>办事处</w:t>
      </w: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val="zh-CN"/>
        </w:rPr>
        <w:t>整体支出绩效评价报告</w:t>
      </w:r>
    </w:p>
    <w:p>
      <w:pPr>
        <w:pStyle w:val="2"/>
        <w:keepNext w:val="0"/>
        <w:keepLines w:val="0"/>
        <w:pageBreakBefore w:val="0"/>
        <w:kinsoku/>
        <w:topLinePunct w:val="0"/>
        <w:autoSpaceDE/>
        <w:autoSpaceDN/>
        <w:bidi w:val="0"/>
        <w:spacing w:beforeLines="0" w:line="592" w:lineRule="exact"/>
        <w:ind w:firstLine="640" w:firstLineChars="200"/>
        <w:textAlignment w:val="auto"/>
        <w:rPr>
          <w:rFonts w:ascii="Times New Roman" w:hAnsi="Times New Roman" w:eastAsia="黑体"/>
          <w:color w:val="000000"/>
          <w:kern w:val="2"/>
          <w:sz w:val="32"/>
          <w:szCs w:val="32"/>
        </w:rPr>
      </w:pPr>
      <w:r>
        <w:rPr>
          <w:rFonts w:ascii="Times New Roman" w:hAnsi="Times New Roman" w:eastAsia="黑体"/>
          <w:color w:val="000000"/>
          <w:kern w:val="2"/>
          <w:sz w:val="32"/>
          <w:szCs w:val="32"/>
        </w:rPr>
        <w:t>一、单位概况</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（一）机构组成</w:t>
      </w:r>
    </w:p>
    <w:p>
      <w:pPr>
        <w:keepNext w:val="0"/>
        <w:keepLines w:val="0"/>
        <w:pageBreakBefore w:val="0"/>
        <w:kinsoku/>
        <w:topLinePunct w:val="0"/>
        <w:autoSpaceDE/>
        <w:autoSpaceDN/>
        <w:bidi w:val="0"/>
        <w:snapToGrid w:val="0"/>
        <w:spacing w:line="592"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自流井区人民政府</w:t>
      </w:r>
      <w:r>
        <w:rPr>
          <w:rFonts w:hint="eastAsia" w:ascii="仿宋_GB2312" w:hAnsi="仿宋_GB2312" w:eastAsia="仿宋_GB2312" w:cs="仿宋_GB2312"/>
          <w:sz w:val="32"/>
          <w:szCs w:val="32"/>
          <w:lang w:val="en-US" w:eastAsia="zh-CN"/>
        </w:rPr>
        <w:t>东兴寺街</w:t>
      </w:r>
      <w:r>
        <w:rPr>
          <w:rFonts w:hint="eastAsia" w:ascii="仿宋_GB2312" w:hAnsi="仿宋_GB2312" w:eastAsia="仿宋_GB2312" w:cs="仿宋_GB2312"/>
          <w:sz w:val="32"/>
          <w:szCs w:val="32"/>
        </w:rPr>
        <w:t>办事处为</w:t>
      </w:r>
      <w:r>
        <w:rPr>
          <w:rFonts w:hint="eastAsia" w:ascii="仿宋_GB2312" w:hAnsi="仿宋_GB2312" w:eastAsia="仿宋_GB2312" w:cs="仿宋_GB2312"/>
          <w:sz w:val="32"/>
          <w:szCs w:val="32"/>
          <w:lang w:eastAsia="zh-CN"/>
        </w:rPr>
        <w:t>财政全额</w:t>
      </w:r>
      <w:r>
        <w:rPr>
          <w:rFonts w:hint="eastAsia" w:ascii="仿宋_GB2312" w:hAnsi="仿宋_GB2312" w:eastAsia="仿宋_GB2312" w:cs="仿宋_GB2312"/>
          <w:sz w:val="32"/>
          <w:szCs w:val="32"/>
          <w:lang w:val="en-US" w:eastAsia="zh-CN"/>
        </w:rPr>
        <w:t>拨款的</w:t>
      </w:r>
      <w:r>
        <w:rPr>
          <w:rFonts w:hint="eastAsia" w:ascii="仿宋_GB2312" w:hAnsi="仿宋_GB2312" w:eastAsia="仿宋_GB2312" w:cs="仿宋_GB2312"/>
          <w:sz w:val="32"/>
          <w:szCs w:val="32"/>
        </w:rPr>
        <w:t>一级预算单位，</w:t>
      </w:r>
      <w:r>
        <w:rPr>
          <w:rFonts w:hint="eastAsia" w:ascii="仿宋_GB2312" w:hAnsi="仿宋_GB2312" w:eastAsia="仿宋_GB2312" w:cs="仿宋_GB2312"/>
          <w:color w:val="auto"/>
          <w:sz w:val="32"/>
          <w:szCs w:val="32"/>
        </w:rPr>
        <w:t>其中</w:t>
      </w:r>
      <w:r>
        <w:rPr>
          <w:rFonts w:hint="eastAsia" w:ascii="仿宋_GB2312" w:hAnsi="仿宋_GB2312" w:eastAsia="仿宋_GB2312" w:cs="仿宋_GB2312"/>
          <w:color w:val="auto"/>
          <w:sz w:val="32"/>
          <w:szCs w:val="32"/>
          <w:lang w:val="en-US" w:eastAsia="zh-CN"/>
        </w:rPr>
        <w:t>包含1个</w:t>
      </w:r>
      <w:r>
        <w:rPr>
          <w:rFonts w:hint="eastAsia" w:ascii="仿宋_GB2312" w:hAnsi="仿宋_GB2312" w:eastAsia="仿宋_GB2312" w:cs="仿宋_GB2312"/>
          <w:color w:val="auto"/>
          <w:sz w:val="32"/>
          <w:szCs w:val="32"/>
        </w:rPr>
        <w:t>下属的二级预算单位劳动和社会保障所为全额拨款事业单位。</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（二）机构职能</w:t>
      </w:r>
    </w:p>
    <w:p>
      <w:pPr>
        <w:keepNext w:val="0"/>
        <w:keepLines w:val="0"/>
        <w:pageBreakBefore w:val="0"/>
        <w:kinsoku/>
        <w:topLinePunct w:val="0"/>
        <w:autoSpaceDE/>
        <w:autoSpaceDN/>
        <w:bidi w:val="0"/>
        <w:spacing w:line="592" w:lineRule="exact"/>
        <w:ind w:firstLine="640" w:firstLineChars="200"/>
        <w:jc w:val="left"/>
        <w:textAlignment w:val="auto"/>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在区委、区政府的领导下，贯彻落实党的路线、方针、政策和国家法律、法规以及上级的决议；负责辖区内的地区性、群众性、公益性、 社会性工作。按照职责范围，做好街道范围内的城市管理、社会管理、安全生产、应急、防汛救灾、生态环保、市容环境卫生、园林绿化等监督管理、协调、服务工作。负责街道的信访工作及平安建设、公共安全工作。 承担民族宗教、拥军优属、社区文化、卫生健康、 教育体育、社会保障、民政、科技、统计等工作。负责社区治理，指导社区基层群众性自治组织建设，健全自治平台，组织居民和辖区单位参与社区建设和管理。协助做好国防教育和兵役等工作。按照权限负责接待综合行政政府工作。制定完善街道权力清单、责任清单、公共服务清单, 建立清单动态调整、公示机制，推进街道政务公开，接受群众监督，增强政府公信力。负责街道财政资金使用、监督和管理， 按计划组织、 管理街道财政收入和支出，指导社区财务管理。完成法律、法规、规章规定的其他职能和上级党委、 政府交办的其他任务。</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（三）人员概况</w:t>
      </w:r>
    </w:p>
    <w:p>
      <w:pPr>
        <w:keepNext w:val="0"/>
        <w:keepLines w:val="0"/>
        <w:pageBreakBefore w:val="0"/>
        <w:kinsoku/>
        <w:topLinePunct w:val="0"/>
        <w:autoSpaceDE/>
        <w:autoSpaceDN/>
        <w:bidi w:val="0"/>
        <w:snapToGrid w:val="0"/>
        <w:spacing w:line="592" w:lineRule="exact"/>
        <w:ind w:firstLine="640" w:firstLineChars="200"/>
        <w:textAlignment w:val="auto"/>
        <w:rPr>
          <w:rFonts w:ascii="Times New Roman" w:hAnsi="Times New Roman" w:eastAsia="仿宋_GB2312"/>
          <w:sz w:val="32"/>
          <w:szCs w:val="32"/>
        </w:rPr>
      </w:pPr>
      <w:r>
        <w:rPr>
          <w:rFonts w:hint="eastAsia" w:ascii="仿宋_GB2312" w:hAnsi="仿宋_GB2312" w:eastAsia="仿宋_GB2312" w:cs="仿宋_GB2312"/>
          <w:color w:val="auto"/>
          <w:sz w:val="32"/>
          <w:szCs w:val="32"/>
          <w:lang w:val="en-US" w:eastAsia="zh-CN"/>
        </w:rPr>
        <w:t>2020年，</w:t>
      </w:r>
      <w:r>
        <w:rPr>
          <w:rFonts w:hint="eastAsia" w:ascii="仿宋_GB2312" w:hAnsi="仿宋_GB2312" w:eastAsia="仿宋_GB2312" w:cs="仿宋_GB2312"/>
          <w:color w:val="auto"/>
          <w:sz w:val="32"/>
          <w:szCs w:val="32"/>
        </w:rPr>
        <w:t>编制</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名，其中：行政编制</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名，事业编制</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val="en-US" w:eastAsia="zh-CN"/>
        </w:rPr>
        <w:t>2020年末</w:t>
      </w:r>
      <w:r>
        <w:rPr>
          <w:rFonts w:hint="eastAsia" w:ascii="仿宋_GB2312" w:hAnsi="仿宋_GB2312" w:eastAsia="仿宋_GB2312" w:cs="仿宋_GB2312"/>
          <w:color w:val="auto"/>
          <w:sz w:val="32"/>
          <w:szCs w:val="32"/>
        </w:rPr>
        <w:t>在职人数</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rPr>
        <w:t>人，其中：</w:t>
      </w:r>
      <w:r>
        <w:rPr>
          <w:rFonts w:hint="eastAsia" w:ascii="仿宋_GB2312" w:hAnsi="仿宋_GB2312" w:eastAsia="仿宋_GB2312" w:cs="仿宋_GB2312"/>
          <w:color w:val="auto"/>
          <w:sz w:val="32"/>
          <w:szCs w:val="32"/>
          <w:lang w:eastAsia="zh-CN"/>
        </w:rPr>
        <w:t>行政编制在岗</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eastAsia="zh-CN"/>
        </w:rPr>
        <w:t>（其中</w:t>
      </w:r>
      <w:r>
        <w:rPr>
          <w:rFonts w:hint="eastAsia" w:ascii="仿宋_GB2312" w:hAnsi="仿宋_GB2312" w:eastAsia="仿宋_GB2312" w:cs="仿宋_GB2312"/>
          <w:color w:val="auto"/>
          <w:sz w:val="32"/>
          <w:szCs w:val="32"/>
          <w:lang w:val="en-US" w:eastAsia="zh-CN"/>
        </w:rPr>
        <w:t>1人借调到区政府办</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，事业</w:t>
      </w:r>
      <w:r>
        <w:rPr>
          <w:rFonts w:hint="eastAsia" w:ascii="仿宋_GB2312" w:hAnsi="仿宋_GB2312" w:eastAsia="仿宋_GB2312" w:cs="仿宋_GB2312"/>
          <w:color w:val="auto"/>
          <w:sz w:val="32"/>
          <w:szCs w:val="32"/>
          <w:lang w:eastAsia="zh-CN"/>
        </w:rPr>
        <w:t>编制在岗</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sz w:val="32"/>
          <w:szCs w:val="32"/>
        </w:rPr>
        <w:t>离</w:t>
      </w:r>
      <w:r>
        <w:rPr>
          <w:rFonts w:hint="eastAsia" w:ascii="仿宋_GB2312" w:hAnsi="仿宋_GB2312" w:eastAsia="仿宋_GB2312" w:cs="仿宋_GB2312"/>
          <w:sz w:val="32"/>
          <w:szCs w:val="32"/>
          <w:lang w:eastAsia="zh-CN"/>
        </w:rPr>
        <w:t>退</w:t>
      </w:r>
      <w:r>
        <w:rPr>
          <w:rFonts w:hint="eastAsia" w:ascii="仿宋_GB2312" w:hAnsi="仿宋_GB2312" w:eastAsia="仿宋_GB2312" w:cs="仿宋_GB2312"/>
          <w:sz w:val="32"/>
          <w:szCs w:val="32"/>
        </w:rPr>
        <w:t>休人员1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人，其中：</w:t>
      </w:r>
      <w:r>
        <w:rPr>
          <w:rFonts w:hint="eastAsia" w:ascii="仿宋_GB2312" w:hAnsi="仿宋_GB2312" w:eastAsia="仿宋_GB2312" w:cs="仿宋_GB2312"/>
          <w:sz w:val="32"/>
          <w:szCs w:val="32"/>
          <w:lang w:eastAsia="zh-CN"/>
        </w:rPr>
        <w:t>离休人员</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人，退休人员</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人。</w:t>
      </w:r>
    </w:p>
    <w:p>
      <w:pPr>
        <w:pStyle w:val="2"/>
        <w:keepNext w:val="0"/>
        <w:keepLines w:val="0"/>
        <w:pageBreakBefore w:val="0"/>
        <w:kinsoku/>
        <w:topLinePunct w:val="0"/>
        <w:autoSpaceDE/>
        <w:autoSpaceDN/>
        <w:bidi w:val="0"/>
        <w:spacing w:beforeLines="0" w:line="592" w:lineRule="exact"/>
        <w:ind w:firstLine="640" w:firstLineChars="200"/>
        <w:textAlignment w:val="auto"/>
        <w:rPr>
          <w:rFonts w:ascii="Times New Roman" w:hAnsi="Times New Roman" w:eastAsia="黑体"/>
          <w:color w:val="000000"/>
          <w:kern w:val="2"/>
          <w:sz w:val="32"/>
          <w:szCs w:val="32"/>
        </w:rPr>
      </w:pPr>
      <w:r>
        <w:rPr>
          <w:rFonts w:ascii="Times New Roman" w:hAnsi="Times New Roman" w:eastAsia="黑体"/>
          <w:color w:val="000000"/>
          <w:kern w:val="2"/>
          <w:sz w:val="32"/>
          <w:szCs w:val="32"/>
        </w:rPr>
        <w:t>二、部门财政资金收支情况</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（一）部门财政资金收入情况</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rPr>
        <w:t>20</w:t>
      </w:r>
      <w:r>
        <w:rPr>
          <w:rFonts w:hint="eastAsia" w:hAnsi="仿宋_GB2312" w:cs="仿宋_GB2312"/>
          <w:color w:val="000000"/>
          <w:kern w:val="2"/>
          <w:sz w:val="32"/>
          <w:szCs w:val="32"/>
          <w:lang w:val="en-US" w:eastAsia="zh-CN"/>
        </w:rPr>
        <w:t>20</w:t>
      </w:r>
      <w:r>
        <w:rPr>
          <w:rFonts w:hint="eastAsia" w:ascii="仿宋_GB2312" w:hAnsi="仿宋_GB2312" w:eastAsia="仿宋_GB2312" w:cs="仿宋_GB2312"/>
          <w:color w:val="000000"/>
          <w:kern w:val="2"/>
          <w:sz w:val="32"/>
          <w:szCs w:val="32"/>
        </w:rPr>
        <w:t>年本年收入合计</w:t>
      </w:r>
      <w:r>
        <w:rPr>
          <w:rFonts w:hint="eastAsia" w:hAnsi="仿宋_GB2312" w:cs="仿宋_GB2312"/>
          <w:color w:val="auto"/>
          <w:kern w:val="2"/>
          <w:sz w:val="32"/>
          <w:szCs w:val="32"/>
          <w:lang w:val="en-US" w:eastAsia="zh-CN"/>
        </w:rPr>
        <w:t>833.55</w:t>
      </w:r>
      <w:r>
        <w:rPr>
          <w:rFonts w:hint="eastAsia" w:ascii="仿宋_GB2312" w:hAnsi="仿宋_GB2312" w:eastAsia="仿宋_GB2312" w:cs="仿宋_GB2312"/>
          <w:color w:val="000000"/>
          <w:kern w:val="2"/>
          <w:sz w:val="32"/>
          <w:szCs w:val="32"/>
        </w:rPr>
        <w:t>万元，其中：一般公共预算财政拨款收入</w:t>
      </w:r>
      <w:r>
        <w:rPr>
          <w:rFonts w:hint="eastAsia" w:hAnsi="仿宋_GB2312" w:cs="仿宋_GB2312"/>
          <w:color w:val="000000"/>
          <w:kern w:val="2"/>
          <w:sz w:val="32"/>
          <w:szCs w:val="32"/>
          <w:lang w:val="en-US" w:eastAsia="zh-CN"/>
        </w:rPr>
        <w:t>810.25</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97</w:t>
      </w:r>
      <w:r>
        <w:rPr>
          <w:rFonts w:hint="eastAsia" w:ascii="仿宋_GB2312" w:hAnsi="仿宋_GB2312" w:eastAsia="仿宋_GB2312" w:cs="仿宋_GB2312"/>
          <w:color w:val="000000"/>
          <w:kern w:val="2"/>
          <w:sz w:val="32"/>
          <w:szCs w:val="32"/>
        </w:rPr>
        <w:t>%</w:t>
      </w:r>
      <w:r>
        <w:rPr>
          <w:rFonts w:hint="eastAsia" w:hAnsi="仿宋_GB2312" w:cs="仿宋_GB2312"/>
          <w:color w:val="000000"/>
          <w:kern w:val="2"/>
          <w:sz w:val="32"/>
          <w:szCs w:val="32"/>
          <w:lang w:eastAsia="zh-CN"/>
        </w:rPr>
        <w:t>；政府性基金预算财政拨款</w:t>
      </w:r>
      <w:r>
        <w:rPr>
          <w:rFonts w:hint="eastAsia" w:hAnsi="仿宋_GB2312" w:cs="仿宋_GB2312"/>
          <w:color w:val="000000"/>
          <w:kern w:val="2"/>
          <w:sz w:val="32"/>
          <w:szCs w:val="32"/>
          <w:lang w:val="en-US" w:eastAsia="zh-CN"/>
        </w:rPr>
        <w:t>收入23.3万元，</w:t>
      </w:r>
      <w:r>
        <w:rPr>
          <w:rFonts w:hint="eastAsia" w:ascii="仿宋_GB2312" w:hAnsi="仿宋_GB2312" w:eastAsia="仿宋_GB2312" w:cs="仿宋_GB2312"/>
          <w:color w:val="000000"/>
          <w:kern w:val="2"/>
          <w:sz w:val="32"/>
          <w:szCs w:val="32"/>
        </w:rPr>
        <w:t>占</w:t>
      </w:r>
      <w:r>
        <w:rPr>
          <w:rFonts w:hint="eastAsia" w:hAnsi="仿宋_GB2312" w:cs="仿宋_GB2312"/>
          <w:color w:val="000000"/>
          <w:kern w:val="2"/>
          <w:sz w:val="32"/>
          <w:szCs w:val="32"/>
          <w:lang w:val="en-US" w:eastAsia="zh-CN"/>
        </w:rPr>
        <w:t>3</w:t>
      </w:r>
      <w:r>
        <w:rPr>
          <w:rFonts w:hint="eastAsia" w:ascii="仿宋_GB2312" w:hAnsi="仿宋_GB2312" w:eastAsia="仿宋_GB2312" w:cs="仿宋_GB2312"/>
          <w:color w:val="000000"/>
          <w:kern w:val="2"/>
          <w:sz w:val="32"/>
          <w:szCs w:val="32"/>
        </w:rPr>
        <w:t>%</w:t>
      </w:r>
      <w:r>
        <w:rPr>
          <w:rFonts w:hint="eastAsia" w:hAnsi="仿宋_GB2312" w:cs="仿宋_GB2312"/>
          <w:color w:val="000000"/>
          <w:kern w:val="2"/>
          <w:sz w:val="32"/>
          <w:szCs w:val="32"/>
          <w:lang w:eastAsia="zh-CN"/>
        </w:rPr>
        <w:t>。</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（二）部门财政资金支出情况</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hAnsi="仿宋_GB2312" w:cs="仿宋_GB2312"/>
          <w:color w:val="000000"/>
          <w:kern w:val="2"/>
          <w:sz w:val="32"/>
          <w:szCs w:val="32"/>
          <w:lang w:val="en-US" w:eastAsia="zh-CN"/>
        </w:rPr>
        <w:t>2020</w:t>
      </w:r>
      <w:r>
        <w:rPr>
          <w:rFonts w:hint="eastAsia" w:ascii="仿宋_GB2312" w:hAnsi="仿宋_GB2312" w:eastAsia="仿宋_GB2312" w:cs="仿宋_GB2312"/>
          <w:color w:val="000000"/>
          <w:kern w:val="2"/>
          <w:sz w:val="32"/>
          <w:szCs w:val="32"/>
        </w:rPr>
        <w:t>年一般公共预算财政拨款支出</w:t>
      </w:r>
      <w:r>
        <w:rPr>
          <w:rFonts w:hint="eastAsia" w:hAnsi="仿宋_GB2312" w:cs="仿宋_GB2312"/>
          <w:color w:val="auto"/>
          <w:kern w:val="2"/>
          <w:sz w:val="32"/>
          <w:szCs w:val="32"/>
          <w:lang w:val="en-US" w:eastAsia="zh-CN"/>
        </w:rPr>
        <w:t>843.58</w:t>
      </w:r>
      <w:r>
        <w:rPr>
          <w:rFonts w:hint="eastAsia" w:ascii="仿宋_GB2312" w:hAnsi="仿宋_GB2312" w:eastAsia="仿宋_GB2312" w:cs="仿宋_GB2312"/>
          <w:color w:val="000000"/>
          <w:kern w:val="2"/>
          <w:sz w:val="32"/>
          <w:szCs w:val="32"/>
        </w:rPr>
        <w:t>万元，主要用于以下方面:</w:t>
      </w:r>
      <w:r>
        <w:rPr>
          <w:rFonts w:hint="eastAsia" w:ascii="仿宋_GB2312" w:hAnsi="仿宋_GB2312" w:eastAsia="仿宋_GB2312" w:cs="仿宋_GB2312"/>
          <w:bCs/>
          <w:color w:val="000000"/>
          <w:kern w:val="2"/>
          <w:sz w:val="32"/>
          <w:szCs w:val="32"/>
        </w:rPr>
        <w:t>一般公共服务</w:t>
      </w:r>
      <w:r>
        <w:rPr>
          <w:rFonts w:hint="eastAsia" w:ascii="仿宋_GB2312" w:hAnsi="仿宋_GB2312" w:eastAsia="仿宋_GB2312" w:cs="仿宋_GB2312"/>
          <w:color w:val="000000"/>
          <w:kern w:val="2"/>
          <w:sz w:val="32"/>
          <w:szCs w:val="32"/>
        </w:rPr>
        <w:t>支出</w:t>
      </w:r>
      <w:r>
        <w:rPr>
          <w:rFonts w:hint="eastAsia" w:hAnsi="仿宋_GB2312" w:cs="仿宋_GB2312"/>
          <w:color w:val="000000"/>
          <w:kern w:val="2"/>
          <w:sz w:val="32"/>
          <w:szCs w:val="32"/>
          <w:lang w:val="en-US" w:eastAsia="zh-CN"/>
        </w:rPr>
        <w:t>224.31</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26.6</w:t>
      </w:r>
      <w:r>
        <w:rPr>
          <w:rFonts w:hint="eastAsia" w:ascii="仿宋_GB2312" w:hAnsi="仿宋_GB2312" w:eastAsia="仿宋_GB2312" w:cs="仿宋_GB2312"/>
          <w:color w:val="000000"/>
          <w:kern w:val="2"/>
          <w:sz w:val="32"/>
          <w:szCs w:val="32"/>
        </w:rPr>
        <w:t>%</w:t>
      </w:r>
      <w:r>
        <w:rPr>
          <w:rFonts w:hint="eastAsia" w:ascii="仿宋_GB2312" w:hAnsi="仿宋_GB2312" w:eastAsia="仿宋_GB2312" w:cs="仿宋_GB2312"/>
          <w:color w:val="000000"/>
          <w:kern w:val="2"/>
          <w:sz w:val="32"/>
          <w:szCs w:val="32"/>
          <w:lang w:eastAsia="zh-CN"/>
        </w:rPr>
        <w:t>；</w:t>
      </w:r>
      <w:r>
        <w:rPr>
          <w:rFonts w:hint="eastAsia" w:ascii="仿宋_GB2312" w:hAnsi="仿宋_GB2312" w:eastAsia="仿宋_GB2312" w:cs="仿宋_GB2312"/>
          <w:bCs/>
          <w:color w:val="000000"/>
          <w:kern w:val="2"/>
          <w:sz w:val="32"/>
          <w:szCs w:val="32"/>
        </w:rPr>
        <w:t>社会保障和就业</w:t>
      </w:r>
      <w:r>
        <w:rPr>
          <w:rFonts w:hint="eastAsia" w:ascii="仿宋_GB2312" w:hAnsi="仿宋_GB2312" w:eastAsia="仿宋_GB2312" w:cs="仿宋_GB2312"/>
          <w:color w:val="000000"/>
          <w:kern w:val="2"/>
          <w:sz w:val="32"/>
          <w:szCs w:val="32"/>
        </w:rPr>
        <w:t>支出</w:t>
      </w:r>
      <w:r>
        <w:rPr>
          <w:rFonts w:hint="eastAsia" w:hAnsi="仿宋_GB2312" w:cs="仿宋_GB2312"/>
          <w:color w:val="000000"/>
          <w:kern w:val="2"/>
          <w:sz w:val="32"/>
          <w:szCs w:val="32"/>
          <w:lang w:val="en-US" w:eastAsia="zh-CN"/>
        </w:rPr>
        <w:t>561.25</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66.5</w:t>
      </w:r>
      <w:r>
        <w:rPr>
          <w:rFonts w:hint="eastAsia" w:ascii="仿宋_GB2312" w:hAnsi="仿宋_GB2312" w:eastAsia="仿宋_GB2312" w:cs="仿宋_GB2312"/>
          <w:color w:val="000000"/>
          <w:kern w:val="2"/>
          <w:sz w:val="32"/>
          <w:szCs w:val="32"/>
        </w:rPr>
        <w:t>%；</w:t>
      </w:r>
      <w:r>
        <w:rPr>
          <w:rFonts w:hint="eastAsia" w:ascii="仿宋_GB2312" w:hAnsi="仿宋_GB2312" w:eastAsia="仿宋_GB2312" w:cs="仿宋_GB2312"/>
          <w:bCs/>
          <w:color w:val="000000"/>
          <w:kern w:val="2"/>
          <w:sz w:val="32"/>
          <w:szCs w:val="32"/>
        </w:rPr>
        <w:t>卫生健康支出</w:t>
      </w:r>
      <w:r>
        <w:rPr>
          <w:rFonts w:hint="eastAsia" w:hAnsi="仿宋_GB2312" w:cs="仿宋_GB2312"/>
          <w:bCs/>
          <w:color w:val="000000"/>
          <w:kern w:val="2"/>
          <w:sz w:val="32"/>
          <w:szCs w:val="32"/>
          <w:lang w:val="en-US" w:eastAsia="zh-CN"/>
        </w:rPr>
        <w:t>6.8</w:t>
      </w:r>
      <w:r>
        <w:rPr>
          <w:rFonts w:hint="eastAsia" w:ascii="仿宋_GB2312" w:hAnsi="仿宋_GB2312" w:eastAsia="仿宋_GB2312" w:cs="仿宋_GB2312"/>
          <w:bCs/>
          <w:color w:val="000000"/>
          <w:kern w:val="2"/>
          <w:sz w:val="32"/>
          <w:szCs w:val="32"/>
        </w:rPr>
        <w:t>万元，占</w:t>
      </w:r>
      <w:r>
        <w:rPr>
          <w:rFonts w:hint="eastAsia" w:hAnsi="仿宋_GB2312" w:cs="仿宋_GB2312"/>
          <w:bCs/>
          <w:color w:val="000000"/>
          <w:kern w:val="2"/>
          <w:sz w:val="32"/>
          <w:szCs w:val="32"/>
          <w:lang w:val="en-US" w:eastAsia="zh-CN"/>
        </w:rPr>
        <w:t>0.8</w:t>
      </w:r>
      <w:r>
        <w:rPr>
          <w:rFonts w:hint="eastAsia" w:ascii="仿宋_GB2312" w:hAnsi="仿宋_GB2312" w:eastAsia="仿宋_GB2312" w:cs="仿宋_GB2312"/>
          <w:bCs/>
          <w:color w:val="000000"/>
          <w:kern w:val="2"/>
          <w:sz w:val="32"/>
          <w:szCs w:val="32"/>
        </w:rPr>
        <w:t>%</w:t>
      </w:r>
      <w:r>
        <w:rPr>
          <w:rFonts w:hint="eastAsia" w:ascii="仿宋_GB2312" w:hAnsi="仿宋_GB2312" w:eastAsia="仿宋_GB2312" w:cs="仿宋_GB2312"/>
          <w:bCs/>
          <w:color w:val="000000"/>
          <w:kern w:val="2"/>
          <w:sz w:val="32"/>
          <w:szCs w:val="32"/>
          <w:lang w:eastAsia="zh-CN"/>
        </w:rPr>
        <w:t>；</w:t>
      </w:r>
      <w:r>
        <w:rPr>
          <w:rFonts w:hint="eastAsia" w:ascii="仿宋_GB2312" w:hAnsi="仿宋_GB2312" w:eastAsia="仿宋_GB2312" w:cs="仿宋_GB2312"/>
          <w:color w:val="000000"/>
          <w:kern w:val="2"/>
          <w:sz w:val="32"/>
          <w:szCs w:val="32"/>
        </w:rPr>
        <w:t>节能环保支出</w:t>
      </w:r>
      <w:r>
        <w:rPr>
          <w:rFonts w:hint="eastAsia" w:hAnsi="仿宋_GB2312" w:cs="仿宋_GB2312"/>
          <w:color w:val="000000"/>
          <w:kern w:val="2"/>
          <w:sz w:val="32"/>
          <w:szCs w:val="32"/>
          <w:lang w:val="en-US" w:eastAsia="zh-CN"/>
        </w:rPr>
        <w:t>0.12</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0.1</w:t>
      </w:r>
      <w:r>
        <w:rPr>
          <w:rFonts w:hint="eastAsia" w:ascii="仿宋_GB2312" w:hAnsi="仿宋_GB2312" w:eastAsia="仿宋_GB2312" w:cs="仿宋_GB2312"/>
          <w:color w:val="000000"/>
          <w:kern w:val="2"/>
          <w:sz w:val="32"/>
          <w:szCs w:val="32"/>
        </w:rPr>
        <w:t>%；城乡社区支出</w:t>
      </w:r>
      <w:r>
        <w:rPr>
          <w:rFonts w:hint="eastAsia" w:hAnsi="仿宋_GB2312" w:cs="仿宋_GB2312"/>
          <w:color w:val="000000"/>
          <w:kern w:val="2"/>
          <w:sz w:val="32"/>
          <w:szCs w:val="32"/>
          <w:lang w:val="en-US" w:eastAsia="zh-CN"/>
        </w:rPr>
        <w:t>34.9</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4.1</w:t>
      </w:r>
      <w:r>
        <w:rPr>
          <w:rFonts w:hint="eastAsia" w:ascii="仿宋_GB2312" w:hAnsi="仿宋_GB2312" w:eastAsia="仿宋_GB2312" w:cs="仿宋_GB2312"/>
          <w:color w:val="000000"/>
          <w:kern w:val="2"/>
          <w:sz w:val="32"/>
          <w:szCs w:val="32"/>
        </w:rPr>
        <w:t>%；农林水支出6万元，占</w:t>
      </w:r>
      <w:r>
        <w:rPr>
          <w:rFonts w:hint="eastAsia" w:hAnsi="仿宋_GB2312" w:cs="仿宋_GB2312"/>
          <w:color w:val="000000"/>
          <w:kern w:val="2"/>
          <w:sz w:val="32"/>
          <w:szCs w:val="32"/>
          <w:lang w:val="en-US" w:eastAsia="zh-CN"/>
        </w:rPr>
        <w:t>0.7</w:t>
      </w:r>
      <w:r>
        <w:rPr>
          <w:rFonts w:hint="eastAsia" w:ascii="仿宋_GB2312" w:hAnsi="仿宋_GB2312" w:eastAsia="仿宋_GB2312" w:cs="仿宋_GB2312"/>
          <w:color w:val="000000"/>
          <w:kern w:val="2"/>
          <w:sz w:val="32"/>
          <w:szCs w:val="32"/>
        </w:rPr>
        <w:t>%；</w:t>
      </w:r>
      <w:r>
        <w:rPr>
          <w:rFonts w:hint="eastAsia" w:ascii="仿宋_GB2312" w:hAnsi="仿宋_GB2312" w:eastAsia="仿宋_GB2312" w:cs="仿宋_GB2312"/>
          <w:bCs/>
          <w:color w:val="000000"/>
          <w:kern w:val="2"/>
          <w:sz w:val="32"/>
          <w:szCs w:val="32"/>
        </w:rPr>
        <w:t>住房保障支出</w:t>
      </w:r>
      <w:r>
        <w:rPr>
          <w:rFonts w:hint="eastAsia" w:hAnsi="仿宋_GB2312" w:cs="仿宋_GB2312"/>
          <w:color w:val="000000"/>
          <w:kern w:val="2"/>
          <w:sz w:val="32"/>
          <w:szCs w:val="32"/>
          <w:lang w:val="en-US" w:eastAsia="zh-CN"/>
        </w:rPr>
        <w:t>10.2</w:t>
      </w:r>
      <w:r>
        <w:rPr>
          <w:rFonts w:hint="eastAsia" w:ascii="仿宋_GB2312" w:hAnsi="仿宋_GB2312" w:eastAsia="仿宋_GB2312" w:cs="仿宋_GB2312"/>
          <w:color w:val="000000"/>
          <w:kern w:val="2"/>
          <w:sz w:val="32"/>
          <w:szCs w:val="32"/>
        </w:rPr>
        <w:t>万元，占</w:t>
      </w:r>
      <w:r>
        <w:rPr>
          <w:rFonts w:hint="eastAsia" w:hAnsi="仿宋_GB2312" w:cs="仿宋_GB2312"/>
          <w:color w:val="000000"/>
          <w:kern w:val="2"/>
          <w:sz w:val="32"/>
          <w:szCs w:val="32"/>
          <w:lang w:val="en-US" w:eastAsia="zh-CN"/>
        </w:rPr>
        <w:t>1.2</w:t>
      </w:r>
      <w:r>
        <w:rPr>
          <w:rFonts w:hint="eastAsia" w:ascii="仿宋_GB2312" w:hAnsi="仿宋_GB2312" w:eastAsia="仿宋_GB2312" w:cs="仿宋_GB2312"/>
          <w:color w:val="000000"/>
          <w:kern w:val="2"/>
          <w:sz w:val="32"/>
          <w:szCs w:val="32"/>
        </w:rPr>
        <w:t>%。</w:t>
      </w:r>
    </w:p>
    <w:p>
      <w:pPr>
        <w:pStyle w:val="2"/>
        <w:keepNext w:val="0"/>
        <w:keepLines w:val="0"/>
        <w:pageBreakBefore w:val="0"/>
        <w:kinsoku/>
        <w:topLinePunct w:val="0"/>
        <w:autoSpaceDE/>
        <w:autoSpaceDN/>
        <w:bidi w:val="0"/>
        <w:spacing w:beforeLines="0" w:line="592" w:lineRule="exact"/>
        <w:ind w:firstLine="640" w:firstLineChars="200"/>
        <w:textAlignment w:val="auto"/>
        <w:rPr>
          <w:rFonts w:ascii="Times New Roman" w:hAnsi="Times New Roman" w:eastAsia="黑体"/>
          <w:color w:val="000000"/>
          <w:kern w:val="2"/>
          <w:sz w:val="32"/>
          <w:szCs w:val="32"/>
        </w:rPr>
      </w:pPr>
      <w:r>
        <w:rPr>
          <w:rFonts w:hint="eastAsia" w:ascii="Times New Roman" w:hAnsi="Times New Roman" w:eastAsia="黑体"/>
          <w:color w:val="000000"/>
          <w:kern w:val="2"/>
          <w:sz w:val="32"/>
          <w:szCs w:val="32"/>
        </w:rPr>
        <w:t>三</w:t>
      </w:r>
      <w:r>
        <w:rPr>
          <w:rFonts w:ascii="Times New Roman" w:hAnsi="Times New Roman" w:eastAsia="黑体"/>
          <w:color w:val="000000"/>
          <w:kern w:val="2"/>
          <w:sz w:val="32"/>
          <w:szCs w:val="32"/>
        </w:rPr>
        <w:t>、整体支出绩效评价</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（一）</w:t>
      </w:r>
      <w:r>
        <w:rPr>
          <w:rFonts w:hint="eastAsia" w:ascii="Times New Roman" w:hAnsi="Times New Roman" w:eastAsia="楷体_GB2312"/>
          <w:b/>
          <w:bCs/>
          <w:color w:val="000000"/>
          <w:kern w:val="2"/>
          <w:sz w:val="32"/>
          <w:szCs w:val="32"/>
        </w:rPr>
        <w:t>预决算编制情况</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color w:val="000000"/>
          <w:kern w:val="2"/>
          <w:sz w:val="32"/>
          <w:szCs w:val="32"/>
          <w:lang w:val="en-US" w:eastAsia="zh-CN"/>
        </w:rPr>
        <w:t>1</w:t>
      </w:r>
      <w:r>
        <w:rPr>
          <w:rFonts w:hint="eastAsia" w:hAnsi="仿宋_GB2312" w:cs="仿宋_GB2312"/>
          <w:color w:val="000000"/>
          <w:kern w:val="2"/>
          <w:sz w:val="32"/>
          <w:szCs w:val="32"/>
          <w:lang w:val="en-US" w:eastAsia="zh-CN"/>
        </w:rPr>
        <w:t>.</w:t>
      </w:r>
      <w:r>
        <w:rPr>
          <w:rFonts w:hint="eastAsia" w:ascii="仿宋_GB2312" w:hAnsi="仿宋_GB2312" w:eastAsia="仿宋_GB2312" w:cs="仿宋_GB2312"/>
          <w:color w:val="000000"/>
          <w:kern w:val="2"/>
          <w:sz w:val="32"/>
          <w:szCs w:val="32"/>
          <w:lang w:val="en-US" w:eastAsia="zh-CN"/>
        </w:rPr>
        <w:t>预决算编制。</w:t>
      </w:r>
      <w:r>
        <w:rPr>
          <w:rFonts w:hint="eastAsia" w:ascii="仿宋_GB2312" w:hAnsi="仿宋_GB2312" w:eastAsia="仿宋_GB2312" w:cs="仿宋_GB2312"/>
          <w:color w:val="000000"/>
          <w:kern w:val="2"/>
          <w:sz w:val="32"/>
          <w:szCs w:val="32"/>
        </w:rPr>
        <w:t>按照年初目标任务为中心，以降低成本、减少费用支出为原则，根据《新预算法》、预算指标，结合上一年度预算执行情况、收支绩效评价结果和本年度收支预测，科学合理地编制了本单位的预算</w:t>
      </w:r>
      <w:r>
        <w:rPr>
          <w:rFonts w:hint="eastAsia" w:ascii="仿宋_GB2312" w:hAnsi="仿宋_GB2312" w:eastAsia="仿宋_GB2312" w:cs="仿宋_GB2312"/>
          <w:color w:val="000000"/>
          <w:kern w:val="2"/>
          <w:sz w:val="32"/>
          <w:szCs w:val="32"/>
          <w:lang w:eastAsia="zh-CN"/>
        </w:rPr>
        <w:t>。</w:t>
      </w:r>
      <w:r>
        <w:rPr>
          <w:rFonts w:hint="eastAsia" w:ascii="仿宋_GB2312" w:hAnsi="仿宋_GB2312" w:eastAsia="仿宋_GB2312" w:cs="仿宋_GB2312"/>
          <w:color w:val="000000"/>
          <w:kern w:val="2"/>
          <w:sz w:val="32"/>
          <w:szCs w:val="32"/>
        </w:rPr>
        <w:t>按照预算科目，合理安排各科目资金使用进度，严格执行运算管理，确保资金按时、按质、高效支出。</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w:t>
      </w:r>
      <w:r>
        <w:rPr>
          <w:rFonts w:hint="eastAsia" w:hAnsi="仿宋_GB2312" w:cs="仿宋_GB2312"/>
          <w:kern w:val="2"/>
          <w:sz w:val="32"/>
          <w:szCs w:val="32"/>
          <w:lang w:val="en-US" w:eastAsia="zh-CN"/>
        </w:rPr>
        <w:t>.</w:t>
      </w:r>
      <w:r>
        <w:rPr>
          <w:rFonts w:hint="eastAsia" w:ascii="仿宋_GB2312" w:hAnsi="仿宋_GB2312" w:eastAsia="仿宋_GB2312" w:cs="仿宋_GB2312"/>
          <w:kern w:val="2"/>
          <w:sz w:val="32"/>
          <w:szCs w:val="32"/>
        </w:rPr>
        <w:t>结余结转管理情况。</w:t>
      </w:r>
      <w:r>
        <w:rPr>
          <w:rFonts w:hint="eastAsia" w:hAnsi="仿宋_GB2312" w:cs="仿宋_GB2312"/>
          <w:kern w:val="2"/>
          <w:sz w:val="32"/>
          <w:szCs w:val="32"/>
          <w:lang w:val="en-US" w:eastAsia="zh-CN"/>
        </w:rPr>
        <w:t>2020</w:t>
      </w:r>
      <w:r>
        <w:rPr>
          <w:rFonts w:hint="eastAsia" w:ascii="仿宋_GB2312" w:hAnsi="仿宋_GB2312" w:eastAsia="仿宋_GB2312" w:cs="仿宋_GB2312"/>
          <w:kern w:val="2"/>
          <w:sz w:val="32"/>
          <w:szCs w:val="32"/>
        </w:rPr>
        <w:t>年初结转</w:t>
      </w:r>
      <w:r>
        <w:rPr>
          <w:rFonts w:hint="eastAsia" w:ascii="仿宋_GB2312" w:hAnsi="仿宋_GB2312" w:eastAsia="仿宋_GB2312" w:cs="仿宋_GB2312"/>
          <w:kern w:val="2"/>
          <w:sz w:val="32"/>
          <w:szCs w:val="32"/>
          <w:lang w:eastAsia="zh-CN"/>
        </w:rPr>
        <w:t>和结余</w:t>
      </w:r>
      <w:r>
        <w:rPr>
          <w:rFonts w:hint="eastAsia" w:hAnsi="仿宋_GB2312" w:cs="仿宋_GB2312"/>
          <w:kern w:val="2"/>
          <w:sz w:val="32"/>
          <w:szCs w:val="32"/>
          <w:lang w:val="en-US" w:eastAsia="zh-CN"/>
        </w:rPr>
        <w:t>52.99</w:t>
      </w:r>
      <w:r>
        <w:rPr>
          <w:rFonts w:hint="eastAsia" w:ascii="仿宋_GB2312" w:hAnsi="仿宋_GB2312" w:eastAsia="仿宋_GB2312" w:cs="仿宋_GB2312"/>
          <w:kern w:val="2"/>
          <w:sz w:val="32"/>
          <w:szCs w:val="32"/>
        </w:rPr>
        <w:t>万元，本年收入</w:t>
      </w:r>
      <w:r>
        <w:rPr>
          <w:rFonts w:hint="eastAsia" w:hAnsi="仿宋_GB2312" w:cs="仿宋_GB2312"/>
          <w:kern w:val="2"/>
          <w:sz w:val="32"/>
          <w:szCs w:val="32"/>
          <w:lang w:val="en-US" w:eastAsia="zh-CN"/>
        </w:rPr>
        <w:t>833.55</w:t>
      </w:r>
      <w:r>
        <w:rPr>
          <w:rFonts w:hint="eastAsia" w:ascii="仿宋_GB2312" w:hAnsi="仿宋_GB2312" w:eastAsia="仿宋_GB2312" w:cs="仿宋_GB2312"/>
          <w:kern w:val="2"/>
          <w:sz w:val="32"/>
          <w:szCs w:val="32"/>
        </w:rPr>
        <w:t>万元，本年支出</w:t>
      </w:r>
      <w:r>
        <w:rPr>
          <w:rFonts w:hint="eastAsia" w:hAnsi="仿宋_GB2312" w:cs="仿宋_GB2312"/>
          <w:kern w:val="2"/>
          <w:sz w:val="32"/>
          <w:szCs w:val="32"/>
          <w:lang w:val="en-US" w:eastAsia="zh-CN"/>
        </w:rPr>
        <w:t>843.58</w:t>
      </w:r>
      <w:r>
        <w:rPr>
          <w:rFonts w:hint="eastAsia" w:ascii="仿宋_GB2312" w:hAnsi="仿宋_GB2312" w:eastAsia="仿宋_GB2312" w:cs="仿宋_GB2312"/>
          <w:kern w:val="2"/>
          <w:sz w:val="32"/>
          <w:szCs w:val="32"/>
        </w:rPr>
        <w:t>万元，年末结转</w:t>
      </w:r>
      <w:r>
        <w:rPr>
          <w:rFonts w:hint="eastAsia" w:ascii="仿宋_GB2312" w:hAnsi="仿宋_GB2312" w:eastAsia="仿宋_GB2312" w:cs="仿宋_GB2312"/>
          <w:kern w:val="2"/>
          <w:sz w:val="32"/>
          <w:szCs w:val="32"/>
          <w:lang w:eastAsia="zh-CN"/>
        </w:rPr>
        <w:t>和结余</w:t>
      </w:r>
      <w:r>
        <w:rPr>
          <w:rFonts w:hint="eastAsia" w:hAnsi="仿宋_GB2312" w:cs="仿宋_GB2312"/>
          <w:kern w:val="2"/>
          <w:sz w:val="32"/>
          <w:szCs w:val="32"/>
          <w:lang w:val="en-US" w:eastAsia="zh-CN"/>
        </w:rPr>
        <w:t>42.95</w:t>
      </w:r>
      <w:r>
        <w:rPr>
          <w:rFonts w:hint="eastAsia" w:ascii="仿宋_GB2312" w:hAnsi="仿宋_GB2312" w:eastAsia="仿宋_GB2312" w:cs="仿宋_GB2312"/>
          <w:kern w:val="2"/>
          <w:sz w:val="32"/>
          <w:szCs w:val="32"/>
        </w:rPr>
        <w:t>万元。</w:t>
      </w:r>
    </w:p>
    <w:p>
      <w:pPr>
        <w:pStyle w:val="2"/>
        <w:keepNext w:val="0"/>
        <w:keepLines w:val="0"/>
        <w:pageBreakBefore w:val="0"/>
        <w:kinsoku/>
        <w:topLinePunct w:val="0"/>
        <w:autoSpaceDE/>
        <w:autoSpaceDN/>
        <w:bidi w:val="0"/>
        <w:spacing w:beforeLines="0" w:line="592" w:lineRule="exact"/>
        <w:ind w:firstLine="643" w:firstLineChars="200"/>
        <w:textAlignment w:val="auto"/>
        <w:rPr>
          <w:rFonts w:hint="eastAsia" w:ascii="Times New Roman" w:hAnsi="Times New Roman" w:eastAsia="楷体_GB2312"/>
          <w:b/>
          <w:bCs/>
          <w:color w:val="000000"/>
          <w:kern w:val="2"/>
          <w:sz w:val="32"/>
          <w:szCs w:val="32"/>
          <w:lang w:eastAsia="zh-CN"/>
        </w:rPr>
      </w:pPr>
      <w:r>
        <w:rPr>
          <w:rFonts w:ascii="Times New Roman" w:hAnsi="Times New Roman" w:eastAsia="楷体_GB2312"/>
          <w:b/>
          <w:bCs/>
          <w:color w:val="000000"/>
          <w:kern w:val="2"/>
          <w:sz w:val="32"/>
          <w:szCs w:val="32"/>
        </w:rPr>
        <w:t>（二）</w:t>
      </w:r>
      <w:r>
        <w:rPr>
          <w:rFonts w:hint="eastAsia" w:ascii="Times New Roman" w:hAnsi="Times New Roman" w:eastAsia="楷体_GB2312"/>
          <w:b/>
          <w:bCs/>
          <w:color w:val="000000"/>
          <w:kern w:val="2"/>
          <w:sz w:val="32"/>
          <w:szCs w:val="32"/>
          <w:lang w:eastAsia="zh-CN"/>
        </w:rPr>
        <w:t>执行管理情况</w:t>
      </w:r>
    </w:p>
    <w:p>
      <w:pPr>
        <w:pStyle w:val="2"/>
        <w:keepNext w:val="0"/>
        <w:keepLines w:val="0"/>
        <w:pageBreakBefore w:val="0"/>
        <w:kinsoku/>
        <w:topLinePunct w:val="0"/>
        <w:autoSpaceDE/>
        <w:autoSpaceDN/>
        <w:bidi w:val="0"/>
        <w:spacing w:beforeLines="0" w:line="592" w:lineRule="exact"/>
        <w:ind w:firstLine="643"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b/>
          <w:bCs/>
          <w:color w:val="000000"/>
          <w:kern w:val="2"/>
          <w:sz w:val="32"/>
          <w:szCs w:val="32"/>
        </w:rPr>
        <w:t>一是及时做到信息公开。</w:t>
      </w:r>
      <w:r>
        <w:rPr>
          <w:rFonts w:hint="eastAsia" w:ascii="仿宋_GB2312" w:hAnsi="仿宋_GB2312" w:eastAsia="仿宋_GB2312" w:cs="仿宋_GB2312"/>
          <w:color w:val="000000"/>
          <w:kern w:val="2"/>
          <w:sz w:val="32"/>
          <w:szCs w:val="32"/>
        </w:rPr>
        <w:t>严格按照相关法律法规，通过政府集约化平台及时向公众公开办事处</w:t>
      </w:r>
      <w:r>
        <w:rPr>
          <w:rFonts w:hint="eastAsia" w:hAnsi="仿宋_GB2312" w:cs="仿宋_GB2312"/>
          <w:color w:val="000000"/>
          <w:kern w:val="2"/>
          <w:sz w:val="32"/>
          <w:szCs w:val="32"/>
          <w:lang w:val="en-US" w:eastAsia="zh-CN"/>
        </w:rPr>
        <w:t>2020</w:t>
      </w:r>
      <w:r>
        <w:rPr>
          <w:rFonts w:hint="eastAsia" w:ascii="仿宋_GB2312" w:hAnsi="仿宋_GB2312" w:eastAsia="仿宋_GB2312" w:cs="仿宋_GB2312"/>
          <w:color w:val="000000"/>
          <w:kern w:val="2"/>
          <w:sz w:val="32"/>
          <w:szCs w:val="32"/>
        </w:rPr>
        <w:t>年度预决算</w:t>
      </w:r>
      <w:r>
        <w:rPr>
          <w:rFonts w:hint="eastAsia" w:ascii="仿宋_GB2312" w:hAnsi="仿宋_GB2312" w:eastAsia="仿宋_GB2312" w:cs="仿宋_GB2312"/>
          <w:color w:val="000000"/>
          <w:kern w:val="2"/>
          <w:sz w:val="32"/>
          <w:szCs w:val="32"/>
          <w:lang w:eastAsia="zh-CN"/>
        </w:rPr>
        <w:t>情况</w:t>
      </w:r>
      <w:r>
        <w:rPr>
          <w:rFonts w:hint="eastAsia" w:ascii="仿宋_GB2312" w:hAnsi="仿宋_GB2312" w:eastAsia="仿宋_GB2312" w:cs="仿宋_GB2312"/>
          <w:color w:val="000000"/>
          <w:kern w:val="2"/>
          <w:sz w:val="32"/>
          <w:szCs w:val="32"/>
        </w:rPr>
        <w:t>，做到资金支出公开、透明，主动接受群众的监督。</w:t>
      </w:r>
      <w:r>
        <w:rPr>
          <w:rFonts w:hint="eastAsia" w:ascii="仿宋_GB2312" w:hAnsi="仿宋_GB2312" w:eastAsia="仿宋_GB2312" w:cs="仿宋_GB2312"/>
          <w:b/>
          <w:bCs/>
          <w:color w:val="000000"/>
          <w:kern w:val="2"/>
          <w:sz w:val="32"/>
          <w:szCs w:val="32"/>
        </w:rPr>
        <w:t>二是严格资产管理。</w:t>
      </w:r>
      <w:r>
        <w:rPr>
          <w:rFonts w:hint="eastAsia" w:ascii="仿宋_GB2312" w:hAnsi="仿宋_GB2312" w:eastAsia="仿宋_GB2312" w:cs="仿宋_GB2312"/>
          <w:color w:val="000000"/>
          <w:kern w:val="2"/>
          <w:sz w:val="32"/>
          <w:szCs w:val="32"/>
        </w:rPr>
        <w:t>落实专人负责资产管理和清查，对本单位的所有资产进行了全面清理、登记编号，</w:t>
      </w:r>
      <w:r>
        <w:rPr>
          <w:rFonts w:hint="eastAsia" w:ascii="仿宋_GB2312" w:hAnsi="仿宋_GB2312" w:eastAsia="仿宋_GB2312" w:cs="仿宋_GB2312"/>
          <w:color w:val="000000"/>
          <w:kern w:val="2"/>
          <w:sz w:val="32"/>
          <w:szCs w:val="32"/>
          <w:lang w:eastAsia="zh-CN"/>
        </w:rPr>
        <w:t>及时</w:t>
      </w:r>
      <w:r>
        <w:rPr>
          <w:rFonts w:hint="eastAsia" w:ascii="仿宋_GB2312" w:hAnsi="仿宋_GB2312" w:eastAsia="仿宋_GB2312" w:cs="仿宋_GB2312"/>
          <w:color w:val="000000"/>
          <w:kern w:val="2"/>
          <w:sz w:val="32"/>
          <w:szCs w:val="32"/>
        </w:rPr>
        <w:t>完善</w:t>
      </w:r>
      <w:r>
        <w:rPr>
          <w:rFonts w:hint="eastAsia" w:ascii="仿宋_GB2312" w:hAnsi="仿宋_GB2312" w:eastAsia="仿宋_GB2312" w:cs="仿宋_GB2312"/>
          <w:color w:val="000000"/>
          <w:kern w:val="2"/>
          <w:sz w:val="32"/>
          <w:szCs w:val="32"/>
          <w:lang w:eastAsia="zh-CN"/>
        </w:rPr>
        <w:t>和更新</w:t>
      </w:r>
      <w:r>
        <w:rPr>
          <w:rFonts w:hint="eastAsia" w:ascii="仿宋_GB2312" w:hAnsi="仿宋_GB2312" w:eastAsia="仿宋_GB2312" w:cs="仿宋_GB2312"/>
          <w:color w:val="000000"/>
          <w:kern w:val="2"/>
          <w:sz w:val="32"/>
          <w:szCs w:val="32"/>
        </w:rPr>
        <w:t>资产管理台账，确保办事处所有资产有记录。</w:t>
      </w:r>
      <w:r>
        <w:rPr>
          <w:rFonts w:hint="eastAsia" w:ascii="仿宋_GB2312" w:hAnsi="仿宋_GB2312" w:eastAsia="仿宋_GB2312" w:cs="仿宋_GB2312"/>
          <w:b/>
          <w:bCs/>
          <w:color w:val="000000"/>
          <w:kern w:val="2"/>
          <w:sz w:val="32"/>
          <w:szCs w:val="32"/>
        </w:rPr>
        <w:t>三是健全内控制度。</w:t>
      </w:r>
      <w:r>
        <w:rPr>
          <w:rFonts w:hint="eastAsia" w:ascii="仿宋_GB2312" w:hAnsi="仿宋_GB2312" w:eastAsia="仿宋_GB2312" w:cs="仿宋_GB2312"/>
          <w:color w:val="000000"/>
          <w:kern w:val="2"/>
          <w:sz w:val="32"/>
          <w:szCs w:val="32"/>
          <w:lang w:eastAsia="zh-CN"/>
        </w:rPr>
        <w:t>根据办事处实际编制和完善内控制度</w:t>
      </w:r>
      <w:r>
        <w:rPr>
          <w:rFonts w:hint="eastAsia" w:ascii="仿宋_GB2312" w:hAnsi="仿宋_GB2312" w:eastAsia="仿宋_GB2312" w:cs="仿宋_GB2312"/>
          <w:color w:val="000000"/>
          <w:kern w:val="2"/>
          <w:sz w:val="32"/>
          <w:szCs w:val="32"/>
        </w:rPr>
        <w:t>，严格按照内部控制制度执行事务管理，降低廉政风险程度，无重大责任事故发生。</w:t>
      </w:r>
      <w:r>
        <w:rPr>
          <w:rFonts w:hint="eastAsia" w:ascii="仿宋_GB2312" w:hAnsi="仿宋_GB2312" w:eastAsia="仿宋_GB2312" w:cs="仿宋_GB2312"/>
          <w:b/>
          <w:bCs/>
          <w:color w:val="000000"/>
          <w:kern w:val="2"/>
          <w:sz w:val="32"/>
          <w:szCs w:val="32"/>
        </w:rPr>
        <w:t>四是自觉接受财政监督。</w:t>
      </w:r>
      <w:r>
        <w:rPr>
          <w:rFonts w:hint="eastAsia" w:ascii="仿宋_GB2312" w:hAnsi="仿宋_GB2312" w:eastAsia="仿宋_GB2312" w:cs="仿宋_GB2312"/>
          <w:color w:val="000000"/>
          <w:kern w:val="2"/>
          <w:sz w:val="32"/>
          <w:szCs w:val="32"/>
        </w:rPr>
        <w:t>全年按照区财政局相关要求，及时报送办事处财务方面相关自查自纠报告，对于自查和巡查发现的问题，及时整改落实，同时针对问题经常开展“回头看”再检查，确保问题不反弹。</w:t>
      </w:r>
      <w:r>
        <w:rPr>
          <w:rFonts w:hint="eastAsia" w:ascii="仿宋_GB2312" w:hAnsi="仿宋_GB2312" w:eastAsia="仿宋_GB2312" w:cs="仿宋_GB2312"/>
          <w:b/>
          <w:bCs/>
          <w:color w:val="000000"/>
          <w:kern w:val="2"/>
          <w:sz w:val="32"/>
          <w:szCs w:val="32"/>
        </w:rPr>
        <w:t>五是全面开展绩效评估。</w:t>
      </w:r>
      <w:r>
        <w:rPr>
          <w:rFonts w:hint="eastAsia" w:ascii="仿宋_GB2312" w:hAnsi="仿宋_GB2312" w:eastAsia="仿宋_GB2312" w:cs="仿宋_GB2312"/>
          <w:color w:val="000000"/>
          <w:kern w:val="2"/>
          <w:sz w:val="32"/>
          <w:szCs w:val="32"/>
        </w:rPr>
        <w:t>对办事处整体财政支出及下属二级预算单位劳动和社会保障所全面开展整体财政支出绩效自查评估，覆盖所有预算科目。</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（三）</w:t>
      </w:r>
      <w:r>
        <w:rPr>
          <w:rFonts w:hint="eastAsia" w:ascii="Times New Roman" w:hAnsi="Times New Roman" w:eastAsia="楷体_GB2312"/>
          <w:b/>
          <w:bCs/>
          <w:color w:val="000000"/>
          <w:kern w:val="2"/>
          <w:sz w:val="32"/>
          <w:szCs w:val="32"/>
          <w:lang w:eastAsia="zh-CN"/>
        </w:rPr>
        <w:t>支出绩效</w:t>
      </w:r>
      <w:r>
        <w:rPr>
          <w:rFonts w:ascii="Times New Roman" w:hAnsi="Times New Roman" w:eastAsia="楷体_GB2312"/>
          <w:b/>
          <w:bCs/>
          <w:color w:val="000000"/>
          <w:kern w:val="2"/>
          <w:sz w:val="32"/>
          <w:szCs w:val="32"/>
        </w:rPr>
        <w:t>评价</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行政运转保障。</w:t>
      </w:r>
      <w:r>
        <w:rPr>
          <w:rFonts w:hint="eastAsia" w:hAnsi="仿宋_GB2312" w:cs="仿宋_GB2312"/>
          <w:color w:val="000000"/>
          <w:kern w:val="2"/>
          <w:sz w:val="32"/>
          <w:szCs w:val="32"/>
          <w:lang w:val="en-US" w:eastAsia="zh-CN"/>
        </w:rPr>
        <w:t>2020</w:t>
      </w:r>
      <w:r>
        <w:rPr>
          <w:rFonts w:hint="eastAsia" w:ascii="仿宋_GB2312" w:hAnsi="仿宋_GB2312" w:eastAsia="仿宋_GB2312" w:cs="仿宋_GB2312"/>
          <w:color w:val="000000"/>
          <w:kern w:val="2"/>
          <w:sz w:val="32"/>
          <w:szCs w:val="32"/>
        </w:rPr>
        <w:t>年工资福利支出</w:t>
      </w:r>
      <w:r>
        <w:rPr>
          <w:rFonts w:hint="eastAsia" w:hAnsi="仿宋_GB2312" w:cs="仿宋_GB2312"/>
          <w:color w:val="000000"/>
          <w:kern w:val="2"/>
          <w:sz w:val="32"/>
          <w:szCs w:val="32"/>
          <w:lang w:val="en-US" w:eastAsia="zh-CN"/>
        </w:rPr>
        <w:t>287.32</w:t>
      </w:r>
      <w:r>
        <w:rPr>
          <w:rFonts w:hint="eastAsia" w:ascii="仿宋_GB2312" w:hAnsi="仿宋_GB2312" w:eastAsia="仿宋_GB2312" w:cs="仿宋_GB2312"/>
          <w:color w:val="000000"/>
          <w:kern w:val="2"/>
          <w:sz w:val="32"/>
          <w:szCs w:val="32"/>
        </w:rPr>
        <w:t>万元，商品和服务支出</w:t>
      </w:r>
      <w:r>
        <w:rPr>
          <w:rFonts w:hint="eastAsia" w:hAnsi="仿宋_GB2312" w:cs="仿宋_GB2312"/>
          <w:color w:val="000000"/>
          <w:kern w:val="2"/>
          <w:sz w:val="32"/>
          <w:szCs w:val="32"/>
          <w:lang w:val="en-US" w:eastAsia="zh-CN"/>
        </w:rPr>
        <w:t>218.87</w:t>
      </w:r>
      <w:r>
        <w:rPr>
          <w:rFonts w:hint="eastAsia" w:ascii="仿宋_GB2312" w:hAnsi="仿宋_GB2312" w:eastAsia="仿宋_GB2312" w:cs="仿宋_GB2312"/>
          <w:color w:val="000000"/>
          <w:kern w:val="2"/>
          <w:sz w:val="32"/>
          <w:szCs w:val="32"/>
        </w:rPr>
        <w:t>万元，对个人和家庭的补助支出</w:t>
      </w:r>
      <w:r>
        <w:rPr>
          <w:rFonts w:hint="eastAsia" w:hAnsi="仿宋_GB2312" w:cs="仿宋_GB2312"/>
          <w:color w:val="000000"/>
          <w:kern w:val="2"/>
          <w:sz w:val="32"/>
          <w:szCs w:val="32"/>
          <w:lang w:val="en-US" w:eastAsia="zh-CN"/>
        </w:rPr>
        <w:t>310.91</w:t>
      </w:r>
      <w:r>
        <w:rPr>
          <w:rFonts w:hint="eastAsia" w:ascii="仿宋_GB2312" w:hAnsi="仿宋_GB2312" w:eastAsia="仿宋_GB2312" w:cs="仿宋_GB2312"/>
          <w:color w:val="000000"/>
          <w:kern w:val="2"/>
          <w:sz w:val="32"/>
          <w:szCs w:val="32"/>
        </w:rPr>
        <w:t>万元，资本性支出</w:t>
      </w:r>
      <w:r>
        <w:rPr>
          <w:rFonts w:hint="eastAsia" w:hAnsi="仿宋_GB2312" w:cs="仿宋_GB2312"/>
          <w:color w:val="000000"/>
          <w:kern w:val="2"/>
          <w:sz w:val="32"/>
          <w:szCs w:val="32"/>
          <w:lang w:val="en-US" w:eastAsia="zh-CN"/>
        </w:rPr>
        <w:t>7.49</w:t>
      </w:r>
      <w:r>
        <w:rPr>
          <w:rFonts w:hint="eastAsia" w:ascii="仿宋_GB2312" w:hAnsi="仿宋_GB2312" w:eastAsia="仿宋_GB2312" w:cs="仿宋_GB2312"/>
          <w:color w:val="000000"/>
          <w:kern w:val="2"/>
          <w:sz w:val="32"/>
          <w:szCs w:val="32"/>
        </w:rPr>
        <w:t>万元。</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机关厉行节约。有效降低行政成本</w:t>
      </w:r>
      <w:r>
        <w:rPr>
          <w:rFonts w:hint="eastAsia" w:ascii="仿宋_GB2312" w:hAnsi="仿宋_GB2312" w:eastAsia="仿宋_GB2312" w:cs="仿宋_GB2312"/>
          <w:color w:val="000000"/>
          <w:kern w:val="2"/>
          <w:sz w:val="32"/>
          <w:szCs w:val="32"/>
          <w:lang w:eastAsia="zh-CN"/>
        </w:rPr>
        <w:t>，</w:t>
      </w:r>
      <w:r>
        <w:rPr>
          <w:rFonts w:hint="eastAsia" w:hAnsi="仿宋_GB2312" w:cs="仿宋_GB2312"/>
          <w:color w:val="000000"/>
          <w:kern w:val="2"/>
          <w:sz w:val="32"/>
          <w:szCs w:val="32"/>
          <w:lang w:val="en-US" w:eastAsia="zh-CN"/>
        </w:rPr>
        <w:t>2020</w:t>
      </w:r>
      <w:r>
        <w:rPr>
          <w:rFonts w:hint="eastAsia" w:ascii="仿宋_GB2312" w:hAnsi="仿宋_GB2312" w:eastAsia="仿宋_GB2312" w:cs="仿宋_GB2312"/>
          <w:color w:val="000000"/>
          <w:kern w:val="2"/>
          <w:sz w:val="32"/>
          <w:szCs w:val="32"/>
        </w:rPr>
        <w:t>年东兴寺街办事处车辆购置及运行费用0元，机关因公出国（境）费用、会议费、和公务接待经费均无支出。</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机关节能降耗。全面节能降耗，</w:t>
      </w:r>
      <w:r>
        <w:rPr>
          <w:rFonts w:hint="eastAsia" w:hAnsi="仿宋_GB2312" w:cs="仿宋_GB2312"/>
          <w:color w:val="000000"/>
          <w:kern w:val="2"/>
          <w:sz w:val="32"/>
          <w:szCs w:val="32"/>
          <w:lang w:val="en-US" w:eastAsia="zh-CN"/>
        </w:rPr>
        <w:t>2020</w:t>
      </w:r>
      <w:r>
        <w:rPr>
          <w:rFonts w:hint="eastAsia" w:ascii="仿宋_GB2312" w:hAnsi="仿宋_GB2312" w:eastAsia="仿宋_GB2312" w:cs="仿宋_GB2312"/>
          <w:color w:val="000000"/>
          <w:kern w:val="2"/>
          <w:sz w:val="32"/>
          <w:szCs w:val="32"/>
        </w:rPr>
        <w:t>年办事处水费</w:t>
      </w:r>
      <w:r>
        <w:rPr>
          <w:rFonts w:hint="eastAsia" w:hAnsi="仿宋_GB2312" w:cs="仿宋_GB2312"/>
          <w:color w:val="000000"/>
          <w:kern w:val="2"/>
          <w:sz w:val="32"/>
          <w:szCs w:val="32"/>
          <w:lang w:val="en-US" w:eastAsia="zh-CN"/>
        </w:rPr>
        <w:t>1.5万</w:t>
      </w:r>
      <w:r>
        <w:rPr>
          <w:rFonts w:hint="eastAsia" w:ascii="仿宋_GB2312" w:hAnsi="仿宋_GB2312" w:eastAsia="仿宋_GB2312" w:cs="仿宋_GB2312"/>
          <w:color w:val="000000"/>
          <w:kern w:val="2"/>
          <w:sz w:val="32"/>
          <w:szCs w:val="32"/>
        </w:rPr>
        <w:t>元、电费</w:t>
      </w:r>
      <w:r>
        <w:rPr>
          <w:rFonts w:hint="eastAsia" w:hAnsi="仿宋_GB2312" w:cs="仿宋_GB2312"/>
          <w:color w:val="000000"/>
          <w:kern w:val="2"/>
          <w:sz w:val="32"/>
          <w:szCs w:val="32"/>
          <w:lang w:val="en-US" w:eastAsia="zh-CN"/>
        </w:rPr>
        <w:t>3万</w:t>
      </w:r>
      <w:r>
        <w:rPr>
          <w:rFonts w:hint="eastAsia" w:ascii="仿宋_GB2312" w:hAnsi="仿宋_GB2312" w:eastAsia="仿宋_GB2312" w:cs="仿宋_GB2312"/>
          <w:color w:val="000000"/>
          <w:kern w:val="2"/>
          <w:sz w:val="32"/>
          <w:szCs w:val="32"/>
        </w:rPr>
        <w:t>元、天然气费</w:t>
      </w:r>
      <w:r>
        <w:rPr>
          <w:rFonts w:hint="eastAsia" w:hAnsi="仿宋_GB2312" w:cs="仿宋_GB2312"/>
          <w:color w:val="000000"/>
          <w:kern w:val="2"/>
          <w:sz w:val="32"/>
          <w:szCs w:val="32"/>
          <w:lang w:val="en-US" w:eastAsia="zh-CN"/>
        </w:rPr>
        <w:t>0.5万元</w:t>
      </w:r>
      <w:r>
        <w:rPr>
          <w:rFonts w:hint="eastAsia" w:ascii="仿宋_GB2312" w:hAnsi="仿宋_GB2312" w:eastAsia="仿宋_GB2312" w:cs="仿宋_GB2312"/>
          <w:color w:val="000000"/>
          <w:kern w:val="2"/>
          <w:sz w:val="32"/>
          <w:szCs w:val="32"/>
          <w:lang w:eastAsia="zh-CN"/>
        </w:rPr>
        <w:t>，合计</w:t>
      </w:r>
      <w:r>
        <w:rPr>
          <w:rFonts w:hint="eastAsia" w:hAnsi="仿宋_GB2312" w:cs="仿宋_GB2312"/>
          <w:color w:val="000000"/>
          <w:kern w:val="2"/>
          <w:sz w:val="32"/>
          <w:szCs w:val="32"/>
          <w:lang w:val="en-US" w:eastAsia="zh-CN"/>
        </w:rPr>
        <w:t>5万元</w:t>
      </w:r>
      <w:r>
        <w:rPr>
          <w:rFonts w:hint="eastAsia" w:ascii="仿宋_GB2312" w:hAnsi="仿宋_GB2312" w:eastAsia="仿宋_GB2312" w:cs="仿宋_GB2312"/>
          <w:color w:val="000000"/>
          <w:kern w:val="2"/>
          <w:sz w:val="32"/>
          <w:szCs w:val="32"/>
        </w:rPr>
        <w:t>。</w:t>
      </w:r>
    </w:p>
    <w:p>
      <w:pPr>
        <w:keepNext w:val="0"/>
        <w:keepLines w:val="0"/>
        <w:pageBreakBefore w:val="0"/>
        <w:kinsoku/>
        <w:topLinePunct w:val="0"/>
        <w:autoSpaceDE/>
        <w:autoSpaceDN/>
        <w:bidi w:val="0"/>
        <w:adjustRightInd w:val="0"/>
        <w:snapToGrid w:val="0"/>
        <w:spacing w:line="592" w:lineRule="exact"/>
        <w:ind w:firstLine="720"/>
        <w:textAlignment w:val="auto"/>
        <w:rPr>
          <w:rFonts w:ascii="Times New Roman" w:hAnsi="Times New Roman" w:eastAsia="楷体_GB2312" w:cs="Times New Roman"/>
          <w:b/>
          <w:color w:val="000000"/>
          <w:kern w:val="0"/>
          <w:sz w:val="32"/>
          <w:szCs w:val="24"/>
          <w:shd w:val="clear" w:color="auto" w:fill="FFFFFF"/>
          <w:lang w:val="zh-CN"/>
        </w:rPr>
      </w:pPr>
      <w:r>
        <w:rPr>
          <w:rFonts w:ascii="Times New Roman" w:hAnsi="Times New Roman" w:eastAsia="楷体_GB2312" w:cs="Times New Roman"/>
          <w:b/>
          <w:color w:val="000000"/>
          <w:kern w:val="0"/>
          <w:sz w:val="32"/>
          <w:szCs w:val="24"/>
          <w:shd w:val="clear" w:color="auto" w:fill="FFFFFF"/>
          <w:lang w:val="zh-CN"/>
        </w:rPr>
        <w:t>（四）财务管理情况</w:t>
      </w:r>
    </w:p>
    <w:p>
      <w:pPr>
        <w:keepNext w:val="0"/>
        <w:keepLines w:val="0"/>
        <w:pageBreakBefore w:val="0"/>
        <w:kinsoku/>
        <w:topLinePunct w:val="0"/>
        <w:autoSpaceDE/>
        <w:autoSpaceDN/>
        <w:bidi w:val="0"/>
        <w:adjustRightInd w:val="0"/>
        <w:snapToGrid w:val="0"/>
        <w:spacing w:line="592" w:lineRule="exact"/>
        <w:ind w:firstLine="720"/>
        <w:textAlignment w:val="auto"/>
        <w:rPr>
          <w:rFonts w:hint="eastAsia" w:ascii="Times New Roman" w:hAnsi="Times New Roman"/>
          <w:color w:val="000000"/>
          <w:kern w:val="2"/>
          <w:sz w:val="32"/>
          <w:szCs w:val="32"/>
        </w:rPr>
      </w:pPr>
      <w:r>
        <w:rPr>
          <w:rFonts w:hint="eastAsia" w:ascii="Times New Roman" w:hAnsi="Times New Roman" w:eastAsia="仿宋_GB2312" w:cs="Times New Roman"/>
          <w:color w:val="000000"/>
          <w:kern w:val="0"/>
          <w:sz w:val="32"/>
          <w:szCs w:val="24"/>
          <w:shd w:val="clear" w:color="auto" w:fill="FFFFFF"/>
          <w:lang w:val="zh-CN"/>
        </w:rPr>
        <w:t>不断规范和完善</w:t>
      </w:r>
      <w:r>
        <w:rPr>
          <w:rFonts w:ascii="Times New Roman" w:hAnsi="Times New Roman" w:eastAsia="仿宋_GB2312" w:cs="Times New Roman"/>
          <w:color w:val="000000"/>
          <w:kern w:val="0"/>
          <w:sz w:val="32"/>
          <w:szCs w:val="24"/>
          <w:shd w:val="clear" w:color="auto" w:fill="FFFFFF"/>
          <w:lang w:val="zh-CN"/>
        </w:rPr>
        <w:t>机关财务管理规章制度，</w:t>
      </w:r>
      <w:r>
        <w:rPr>
          <w:rFonts w:hint="eastAsia" w:ascii="Times New Roman" w:hAnsi="Times New Roman" w:eastAsia="仿宋_GB2312" w:cs="Times New Roman"/>
          <w:color w:val="000000"/>
          <w:kern w:val="0"/>
          <w:sz w:val="32"/>
          <w:szCs w:val="24"/>
          <w:shd w:val="clear" w:color="auto" w:fill="FFFFFF"/>
          <w:lang w:val="zh-CN"/>
        </w:rPr>
        <w:t>严格按照财务相关制度开展财务管理工作，严格按照政府会计制度进行会计核算，根据需要适时开展自查并不断规范财务中发现的问题。加强内部控制制度建设，降低廉政风险，无重大责任事故发生。规范</w:t>
      </w:r>
      <w:r>
        <w:rPr>
          <w:rFonts w:ascii="Times New Roman" w:hAnsi="Times New Roman" w:eastAsia="仿宋_GB2312" w:cs="Times New Roman"/>
          <w:color w:val="000000"/>
          <w:kern w:val="0"/>
          <w:sz w:val="32"/>
          <w:szCs w:val="24"/>
          <w:shd w:val="clear" w:color="auto" w:fill="FFFFFF"/>
          <w:lang w:val="zh-CN"/>
        </w:rPr>
        <w:t>政府采购</w:t>
      </w:r>
      <w:r>
        <w:rPr>
          <w:rFonts w:hint="eastAsia" w:ascii="Times New Roman" w:hAnsi="Times New Roman" w:eastAsia="仿宋_GB2312" w:cs="Times New Roman"/>
          <w:color w:val="000000"/>
          <w:kern w:val="0"/>
          <w:sz w:val="32"/>
          <w:szCs w:val="24"/>
          <w:shd w:val="clear" w:color="auto" w:fill="FFFFFF"/>
          <w:lang w:val="zh-CN"/>
        </w:rPr>
        <w:t>程序，严格按照采购相关法律法规进行采购</w:t>
      </w:r>
      <w:r>
        <w:rPr>
          <w:rFonts w:ascii="Times New Roman" w:hAnsi="Times New Roman" w:eastAsia="仿宋_GB2312" w:cs="Times New Roman"/>
          <w:color w:val="000000"/>
          <w:kern w:val="0"/>
          <w:sz w:val="32"/>
          <w:szCs w:val="24"/>
          <w:shd w:val="clear" w:color="auto" w:fill="FFFFFF"/>
          <w:lang w:val="zh-CN"/>
        </w:rPr>
        <w:t>。</w:t>
      </w:r>
    </w:p>
    <w:p>
      <w:pPr>
        <w:keepNext w:val="0"/>
        <w:keepLines w:val="0"/>
        <w:pageBreakBefore w:val="0"/>
        <w:widowControl/>
        <w:numPr>
          <w:ilvl w:val="0"/>
          <w:numId w:val="7"/>
        </w:numPr>
        <w:kinsoku/>
        <w:topLinePunct w:val="0"/>
        <w:autoSpaceDE/>
        <w:autoSpaceDN/>
        <w:bidi w:val="0"/>
        <w:adjustRightInd w:val="0"/>
        <w:snapToGrid w:val="0"/>
        <w:spacing w:line="592" w:lineRule="exact"/>
        <w:ind w:firstLine="720"/>
        <w:jc w:val="left"/>
        <w:textAlignment w:val="auto"/>
        <w:rPr>
          <w:rFonts w:hint="default" w:ascii="Times New Roman" w:hAnsi="Times New Roman" w:eastAsia="楷体_GB2312" w:cs="Times New Roman"/>
          <w:b/>
          <w:color w:val="000000"/>
          <w:kern w:val="0"/>
          <w:sz w:val="32"/>
          <w:szCs w:val="32"/>
          <w:shd w:val="clear" w:color="auto" w:fill="FFFFFF"/>
          <w:lang w:val="zh-CN"/>
        </w:rPr>
      </w:pPr>
      <w:r>
        <w:rPr>
          <w:rFonts w:hint="default" w:ascii="Times New Roman" w:hAnsi="Times New Roman" w:eastAsia="楷体_GB2312" w:cs="Times New Roman"/>
          <w:b/>
          <w:color w:val="000000"/>
          <w:kern w:val="0"/>
          <w:sz w:val="32"/>
          <w:szCs w:val="32"/>
          <w:shd w:val="clear" w:color="auto" w:fill="FFFFFF"/>
          <w:lang w:val="zh-CN"/>
        </w:rPr>
        <w:t>绩效管理工作开展情况</w:t>
      </w:r>
    </w:p>
    <w:p>
      <w:pPr>
        <w:pStyle w:val="2"/>
        <w:numPr>
          <w:ilvl w:val="0"/>
          <w:numId w:val="0"/>
        </w:num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一是严格履行办事处职责，全面完成目标任务</w:t>
      </w:r>
    </w:p>
    <w:p>
      <w:pPr>
        <w:numPr>
          <w:ilvl w:val="0"/>
          <w:numId w:val="0"/>
        </w:numPr>
        <w:ind w:firstLine="643"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1.夯实阵地建设。</w:t>
      </w:r>
      <w:r>
        <w:rPr>
          <w:rFonts w:hint="eastAsia" w:ascii="仿宋" w:hAnsi="仿宋" w:eastAsia="仿宋" w:cs="仿宋"/>
          <w:b w:val="0"/>
          <w:bCs w:val="0"/>
          <w:sz w:val="32"/>
          <w:szCs w:val="32"/>
          <w:lang w:val="en-US" w:eastAsia="zh-CN"/>
        </w:rPr>
        <w:t>一是打造区域性党群服务中心。选址自流井区仁和路77号，现已完成基础硬装，同步进行软装，新建了社工站，搭设军人之家、暖心家园、东兴书院、舞蹈室等邻里客厅功能，并引入社会组织参与运营。2020年累计整合资金150万元用于购买社会组织服务。目前已开展居家养老服务、重度残疾人照护服务、社区环境综合治理、社区精神障碍康复治疗服务等多项政府购买项目。二是稳步推进社区亲民化改造。钟云山社区设计平面图已生成，现处于居民意见征求阶段；云井社区、新华路社区、解放桥社区亲民化改造已完成，毛家坝社区正在装修改造中。</w:t>
      </w:r>
    </w:p>
    <w:p>
      <w:pPr>
        <w:numPr>
          <w:ilvl w:val="0"/>
          <w:numId w:val="0"/>
        </w:numPr>
        <w:ind w:firstLine="643"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2.创新社会治理。</w:t>
      </w:r>
      <w:r>
        <w:rPr>
          <w:rFonts w:hint="eastAsia" w:ascii="仿宋" w:hAnsi="仿宋" w:eastAsia="仿宋" w:cs="仿宋"/>
          <w:b w:val="0"/>
          <w:bCs w:val="0"/>
          <w:sz w:val="32"/>
          <w:szCs w:val="32"/>
          <w:lang w:val="en-US" w:eastAsia="zh-CN"/>
        </w:rPr>
        <w:t>强化城市党建共建格局。坚持“高位引领、项目支撑、协同治理”工作思路。我街檀木林社区与9个市级部门、20余个区级部门建立包挂关系，签订共治协议，定期联席议会，落实七大类项目投入经费15万元用于社区治理。毛家坝社区依托川西南矿区、市财政局、等单位资源，开展“关爱在社区、助力社区治理”活动，累计争取经费20余万元用于三创联动、社区亲民化改造。新华路社区与辖区单位恒丰银行、汇源房产等深度合作，活动共办，公益相连，为辖区内困难青少年、困难党员捐款捐物2万余元，并联合打造居民健康文化中心。</w:t>
      </w:r>
    </w:p>
    <w:p>
      <w:pPr>
        <w:numPr>
          <w:ilvl w:val="0"/>
          <w:numId w:val="0"/>
        </w:numPr>
        <w:ind w:firstLine="643"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bCs/>
          <w:color w:val="auto"/>
          <w:sz w:val="32"/>
          <w:szCs w:val="32"/>
          <w:lang w:val="en-US" w:eastAsia="zh-CN"/>
        </w:rPr>
        <w:t>3.开展老旧小区改造工作。</w:t>
      </w:r>
      <w:r>
        <w:rPr>
          <w:rFonts w:hint="eastAsia" w:ascii="仿宋" w:hAnsi="仿宋" w:eastAsia="仿宋" w:cs="仿宋"/>
          <w:b w:val="0"/>
          <w:bCs w:val="0"/>
          <w:color w:val="auto"/>
          <w:sz w:val="32"/>
          <w:szCs w:val="32"/>
          <w:lang w:val="en-US" w:eastAsia="zh-CN"/>
        </w:rPr>
        <w:t>组织居民成立自改组9个，共建共治共享机制初步形成。积极开展老旧小区前期摸底调查工作，分两批次共申报改造小区、片区51个。首批纳入改造计划的6个项目包含25个小区、片区，9631户，设计概算4850.5万元，钟云山老旧小区改造已进入施工阶段，其余5个项目已完成初步设计，正在进行修改优化，预计年内开工。</w:t>
      </w:r>
    </w:p>
    <w:p>
      <w:pPr>
        <w:numPr>
          <w:ilvl w:val="0"/>
          <w:numId w:val="0"/>
        </w:numPr>
        <w:ind w:firstLine="643"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4.抓好创文创卫工作。</w:t>
      </w:r>
      <w:r>
        <w:rPr>
          <w:rFonts w:hint="eastAsia" w:ascii="仿宋" w:hAnsi="仿宋" w:eastAsia="仿宋" w:cs="仿宋"/>
          <w:b w:val="0"/>
          <w:bCs w:val="0"/>
          <w:sz w:val="32"/>
          <w:szCs w:val="32"/>
          <w:lang w:val="en-US" w:eastAsia="zh-CN"/>
        </w:rPr>
        <w:t>东街今年累计集中入户宣传260余次，达到入户全覆盖，集中街面宣传130余次，累计开展志愿活动300余次，参与志愿者人数4000余人次，清洗垃圾桶2000余个，清理卫生死角280余处，清理垃圾50余吨，清理牛皮癣3500余处，发放宣传资料6万余份，积极营造创建氛围，制作公益广告600余幅。聚焦"六大攻坚"，立足于干，落实于行，少说多做抓落实，聚焦问题强整改，完成辖区累计14处旱厕清零任务，高标准落实背街清扫，河道保洁，全面清除一品湾区域、火车站沿线垃圾山等突出问题。</w:t>
      </w:r>
    </w:p>
    <w:p>
      <w:pPr>
        <w:numPr>
          <w:ilvl w:val="0"/>
          <w:numId w:val="0"/>
        </w:numPr>
        <w:ind w:firstLine="643"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5.抓好“河湖长制”工作</w:t>
      </w:r>
      <w:r>
        <w:rPr>
          <w:rFonts w:hint="eastAsia" w:ascii="仿宋" w:hAnsi="仿宋" w:eastAsia="仿宋" w:cs="仿宋"/>
          <w:b w:val="0"/>
          <w:bCs w:val="0"/>
          <w:sz w:val="32"/>
          <w:szCs w:val="32"/>
          <w:lang w:val="en-US" w:eastAsia="zh-CN"/>
        </w:rPr>
        <w:t>。全年总河长截止到10月累计巡河66次，计上报区河长办8个问题点位，其中已整改7个点位，毛家坝玻璃房子处问题点位还未整改，各沿河社区河长累计巡河达110次左右。完成辖区内5座桥梁疑似乱建、2处河道内疑似乱搭的认定工作，全街清理河岸垃圾组织清扫保洁620人次，清理河边垃圾20.5吨，清理河面漂浮物18 吨。</w:t>
      </w:r>
    </w:p>
    <w:p>
      <w:pPr>
        <w:numPr>
          <w:ilvl w:val="0"/>
          <w:numId w:val="0"/>
        </w:numPr>
        <w:ind w:firstLine="643"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6、常态化开展信访维稳。</w:t>
      </w:r>
      <w:r>
        <w:rPr>
          <w:rFonts w:hint="eastAsia" w:ascii="仿宋" w:hAnsi="仿宋" w:eastAsia="仿宋" w:cs="仿宋"/>
          <w:b w:val="0"/>
          <w:bCs w:val="0"/>
          <w:sz w:val="32"/>
          <w:szCs w:val="32"/>
          <w:lang w:val="en-US" w:eastAsia="zh-CN"/>
        </w:rPr>
        <w:t>一是做好市级领导包案信访问题“谈天路”路段阻挡应急通道的维稳工作。二是完成两会信访维稳工作，十九届五中全会信访维稳工作，灯光节开幕式信访维稳工作，无到京到省非法上访人员。完成近40次重点点位信访维稳工作。</w:t>
      </w:r>
    </w:p>
    <w:p>
      <w:pPr>
        <w:keepNext w:val="0"/>
        <w:keepLines w:val="0"/>
        <w:pageBreakBefore w:val="0"/>
        <w:pBdr>
          <w:bottom w:val="single" w:color="FFFFFF" w:sz="4" w:space="7"/>
        </w:pBdr>
        <w:kinsoku/>
        <w:overflowPunct w:val="0"/>
        <w:topLinePunct w:val="0"/>
        <w:autoSpaceDE/>
        <w:autoSpaceDN/>
        <w:bidi w:val="0"/>
        <w:adjustRightInd w:val="0"/>
        <w:snapToGrid w:val="0"/>
        <w:spacing w:line="592" w:lineRule="exact"/>
        <w:ind w:firstLine="643" w:firstLineChars="200"/>
        <w:contextualSpacing/>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sz w:val="32"/>
          <w:szCs w:val="32"/>
        </w:rPr>
        <w:t>二是坚持</w:t>
      </w:r>
      <w:r>
        <w:rPr>
          <w:rFonts w:hint="eastAsia" w:ascii="仿宋_GB2312" w:hAnsi="仿宋_GB2312" w:eastAsia="仿宋_GB2312" w:cs="仿宋_GB2312"/>
          <w:b/>
          <w:bCs/>
          <w:sz w:val="32"/>
          <w:szCs w:val="32"/>
          <w:lang w:val="en-US" w:eastAsia="zh-CN"/>
        </w:rPr>
        <w:t>六深入接受民生反馈，提升群众满意度</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坚持“一切为了人民”的发展思想，主动联系群众、倾听民声诉求，及时解决群众反映的问题和困难，为辖区内居民群众提供一个和谐美丽舒适幸福的人居环境不懈奋斗。20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年度辖区居民群众对</w:t>
      </w:r>
      <w:r>
        <w:rPr>
          <w:rFonts w:hint="eastAsia" w:ascii="仿宋_GB2312" w:hAnsi="仿宋_GB2312" w:eastAsia="仿宋_GB2312" w:cs="仿宋_GB2312"/>
          <w:sz w:val="32"/>
          <w:szCs w:val="32"/>
          <w:lang w:eastAsia="zh-CN"/>
        </w:rPr>
        <w:t>东街</w:t>
      </w:r>
      <w:r>
        <w:rPr>
          <w:rFonts w:hint="eastAsia" w:ascii="仿宋_GB2312" w:hAnsi="仿宋_GB2312" w:eastAsia="仿宋_GB2312" w:cs="仿宋_GB2312"/>
          <w:sz w:val="32"/>
          <w:szCs w:val="32"/>
        </w:rPr>
        <w:t>党工委和办事处的评价较好、满意度较高，党风廉政社会化评价得分，</w:t>
      </w:r>
      <w:r>
        <w:rPr>
          <w:rFonts w:hint="eastAsia" w:ascii="仿宋_GB2312" w:hAnsi="仿宋_GB2312" w:eastAsia="仿宋_GB2312" w:cs="仿宋_GB2312"/>
          <w:sz w:val="32"/>
          <w:szCs w:val="32"/>
          <w:highlight w:val="none"/>
        </w:rPr>
        <w:t>在</w:t>
      </w:r>
      <w:r>
        <w:rPr>
          <w:rFonts w:hint="eastAsia" w:ascii="仿宋_GB2312" w:hAnsi="仿宋_GB2312" w:eastAsia="仿宋_GB2312" w:cs="仿宋_GB2312"/>
          <w:sz w:val="32"/>
          <w:szCs w:val="32"/>
          <w:highlight w:val="none"/>
          <w:lang w:val="en-US" w:eastAsia="zh-CN"/>
        </w:rPr>
        <w:t>全区排名第1</w:t>
      </w:r>
      <w:r>
        <w:rPr>
          <w:rFonts w:hint="eastAsia" w:ascii="仿宋_GB2312" w:hAnsi="仿宋_GB2312" w:eastAsia="仿宋_GB2312" w:cs="仿宋_GB2312"/>
          <w:color w:val="auto"/>
          <w:sz w:val="32"/>
          <w:szCs w:val="32"/>
          <w:highlight w:val="none"/>
        </w:rPr>
        <w:t>。</w:t>
      </w:r>
    </w:p>
    <w:p>
      <w:pPr>
        <w:pStyle w:val="2"/>
        <w:rPr>
          <w:rFonts w:hint="eastAsia"/>
          <w:lang w:val="en-US" w:eastAsia="zh-CN"/>
        </w:rPr>
      </w:pP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eastAsia="楷体_GB2312"/>
          <w:b/>
          <w:bCs/>
          <w:color w:val="000000"/>
          <w:kern w:val="2"/>
          <w:sz w:val="32"/>
          <w:szCs w:val="32"/>
        </w:rPr>
      </w:pPr>
      <w:r>
        <w:rPr>
          <w:rFonts w:ascii="Times New Roman" w:hAnsi="Times New Roman" w:eastAsia="楷体_GB2312"/>
          <w:b/>
          <w:bCs/>
          <w:color w:val="000000"/>
          <w:kern w:val="2"/>
          <w:sz w:val="32"/>
          <w:szCs w:val="32"/>
        </w:rPr>
        <w:t>（</w:t>
      </w:r>
      <w:r>
        <w:rPr>
          <w:rFonts w:hint="eastAsia" w:ascii="Times New Roman" w:hAnsi="Times New Roman" w:eastAsia="楷体_GB2312"/>
          <w:b/>
          <w:bCs/>
          <w:color w:val="000000"/>
          <w:kern w:val="2"/>
          <w:sz w:val="32"/>
          <w:szCs w:val="32"/>
          <w:lang w:val="en-US" w:eastAsia="zh-CN"/>
        </w:rPr>
        <w:t>六</w:t>
      </w:r>
      <w:r>
        <w:rPr>
          <w:rFonts w:ascii="Times New Roman" w:hAnsi="Times New Roman" w:eastAsia="楷体_GB2312"/>
          <w:b/>
          <w:bCs/>
          <w:color w:val="000000"/>
          <w:kern w:val="2"/>
          <w:sz w:val="32"/>
          <w:szCs w:val="32"/>
        </w:rPr>
        <w:t>）</w:t>
      </w:r>
      <w:r>
        <w:rPr>
          <w:rFonts w:hint="eastAsia" w:ascii="Times New Roman" w:hAnsi="Times New Roman" w:eastAsia="楷体_GB2312"/>
          <w:b/>
          <w:bCs/>
          <w:color w:val="000000"/>
          <w:kern w:val="2"/>
          <w:sz w:val="32"/>
          <w:szCs w:val="32"/>
        </w:rPr>
        <w:t>总体评价结果</w:t>
      </w:r>
    </w:p>
    <w:p>
      <w:pPr>
        <w:keepNext w:val="0"/>
        <w:keepLines w:val="0"/>
        <w:pageBreakBefore w:val="0"/>
        <w:pBdr>
          <w:bottom w:val="single" w:color="FFFFFF" w:sz="4" w:space="7"/>
        </w:pBdr>
        <w:kinsoku/>
        <w:overflowPunct w:val="0"/>
        <w:topLinePunct w:val="0"/>
        <w:autoSpaceDE/>
        <w:autoSpaceDN/>
        <w:bidi w:val="0"/>
        <w:adjustRightInd w:val="0"/>
        <w:snapToGrid w:val="0"/>
        <w:spacing w:line="592" w:lineRule="exact"/>
        <w:ind w:firstLine="640" w:firstLineChars="200"/>
        <w:contextualSpacing/>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根据《区级部门整体支出（20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年度）绩效评价指标体系》评分标准，自评得分为9</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分，绩效评价等级为优。</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黑体" w:hAnsi="黑体" w:eastAsia="黑体" w:cs="黑体"/>
          <w:color w:val="000000"/>
          <w:kern w:val="2"/>
          <w:sz w:val="32"/>
          <w:szCs w:val="32"/>
        </w:rPr>
      </w:pPr>
      <w:r>
        <w:rPr>
          <w:rFonts w:hint="eastAsia" w:ascii="黑体" w:hAnsi="黑体" w:eastAsia="黑体" w:cs="黑体"/>
          <w:color w:val="000000"/>
          <w:kern w:val="2"/>
          <w:sz w:val="32"/>
          <w:szCs w:val="32"/>
        </w:rPr>
        <w:t>四、存在问题</w:t>
      </w:r>
    </w:p>
    <w:p>
      <w:pPr>
        <w:pStyle w:val="2"/>
        <w:keepNext w:val="0"/>
        <w:keepLines w:val="0"/>
        <w:pageBreakBefore w:val="0"/>
        <w:kinsoku/>
        <w:topLinePunct w:val="0"/>
        <w:autoSpaceDE/>
        <w:autoSpaceDN/>
        <w:bidi w:val="0"/>
        <w:spacing w:beforeLines="0" w:line="592" w:lineRule="exact"/>
        <w:ind w:firstLine="643" w:firstLineChars="200"/>
        <w:textAlignment w:val="auto"/>
        <w:rPr>
          <w:rFonts w:ascii="Times New Roman" w:hAnsi="Times New Roman"/>
          <w:color w:val="000000"/>
          <w:kern w:val="2"/>
          <w:sz w:val="32"/>
          <w:szCs w:val="32"/>
        </w:rPr>
      </w:pPr>
      <w:r>
        <w:rPr>
          <w:rFonts w:hint="eastAsia" w:ascii="Times New Roman" w:hAnsi="Times New Roman"/>
          <w:b/>
          <w:bCs/>
          <w:color w:val="000000"/>
          <w:kern w:val="2"/>
          <w:sz w:val="32"/>
          <w:szCs w:val="32"/>
        </w:rPr>
        <w:t>一是</w:t>
      </w:r>
      <w:r>
        <w:rPr>
          <w:rFonts w:hint="eastAsia" w:ascii="Times New Roman" w:hAnsi="Times New Roman"/>
          <w:color w:val="000000"/>
          <w:kern w:val="2"/>
          <w:sz w:val="32"/>
          <w:szCs w:val="32"/>
          <w:lang w:eastAsia="zh-CN"/>
        </w:rPr>
        <w:t>预算编制精确度不够</w:t>
      </w:r>
      <w:r>
        <w:rPr>
          <w:rFonts w:ascii="Times New Roman" w:hAnsi="Times New Roman"/>
          <w:color w:val="000000"/>
          <w:kern w:val="2"/>
          <w:sz w:val="32"/>
          <w:szCs w:val="32"/>
        </w:rPr>
        <w:t>，有待进一步完善。</w:t>
      </w:r>
      <w:r>
        <w:rPr>
          <w:rFonts w:hint="eastAsia" w:ascii="Times New Roman" w:hAnsi="Times New Roman"/>
          <w:b/>
          <w:bCs/>
          <w:color w:val="000000"/>
          <w:kern w:val="2"/>
          <w:sz w:val="32"/>
          <w:szCs w:val="32"/>
        </w:rPr>
        <w:t>二是</w:t>
      </w:r>
      <w:r>
        <w:rPr>
          <w:rFonts w:hint="eastAsia" w:ascii="Times New Roman" w:hAnsi="Times New Roman"/>
          <w:color w:val="000000"/>
          <w:kern w:val="2"/>
          <w:sz w:val="32"/>
          <w:szCs w:val="32"/>
          <w:lang w:eastAsia="zh-CN"/>
        </w:rPr>
        <w:t>财务人员专业性有待加强</w:t>
      </w:r>
      <w:r>
        <w:rPr>
          <w:rFonts w:ascii="Times New Roman" w:hAnsi="Times New Roman"/>
          <w:color w:val="000000"/>
          <w:kern w:val="2"/>
          <w:sz w:val="32"/>
          <w:szCs w:val="32"/>
        </w:rPr>
        <w:t>。</w:t>
      </w:r>
      <w:r>
        <w:rPr>
          <w:rFonts w:hint="eastAsia" w:ascii="Times New Roman" w:hAnsi="Times New Roman"/>
          <w:b/>
          <w:bCs/>
          <w:color w:val="000000"/>
          <w:kern w:val="2"/>
          <w:sz w:val="32"/>
          <w:szCs w:val="32"/>
        </w:rPr>
        <w:t>三是</w:t>
      </w:r>
      <w:r>
        <w:rPr>
          <w:rFonts w:ascii="Times New Roman" w:hAnsi="Times New Roman"/>
          <w:color w:val="000000"/>
          <w:kern w:val="2"/>
          <w:sz w:val="32"/>
          <w:szCs w:val="32"/>
        </w:rPr>
        <w:t>财政预算资金到位比较迟缓，各项目经费支付不能及时到位。</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黑体" w:hAnsi="黑体" w:eastAsia="黑体" w:cs="黑体"/>
          <w:color w:val="000000"/>
          <w:kern w:val="2"/>
          <w:sz w:val="32"/>
          <w:szCs w:val="32"/>
        </w:rPr>
      </w:pPr>
      <w:r>
        <w:rPr>
          <w:rFonts w:hint="eastAsia" w:ascii="黑体" w:hAnsi="黑体" w:eastAsia="黑体" w:cs="黑体"/>
          <w:color w:val="000000"/>
          <w:kern w:val="2"/>
          <w:sz w:val="32"/>
          <w:szCs w:val="32"/>
        </w:rPr>
        <w:t>五、下一步工作打算</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lang w:eastAsia="zh-CN"/>
        </w:rPr>
      </w:pPr>
      <w:r>
        <w:rPr>
          <w:rFonts w:hint="eastAsia" w:ascii="仿宋_GB2312" w:hAnsi="仿宋_GB2312" w:eastAsia="仿宋_GB2312" w:cs="仿宋_GB2312"/>
          <w:color w:val="000000"/>
          <w:kern w:val="2"/>
          <w:sz w:val="32"/>
          <w:szCs w:val="32"/>
        </w:rPr>
        <w:t>1.提高预算编制精确度，提高财务人员专业知识</w:t>
      </w:r>
      <w:r>
        <w:rPr>
          <w:rFonts w:hint="eastAsia" w:ascii="仿宋_GB2312" w:hAnsi="仿宋_GB2312" w:eastAsia="仿宋_GB2312" w:cs="仿宋_GB2312"/>
          <w:color w:val="000000"/>
          <w:kern w:val="2"/>
          <w:sz w:val="32"/>
          <w:szCs w:val="32"/>
          <w:lang w:eastAsia="zh-CN"/>
        </w:rPr>
        <w:t>。</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2.加强财务管理，严格财务审核</w:t>
      </w:r>
      <w:r>
        <w:rPr>
          <w:rFonts w:hint="eastAsia" w:ascii="仿宋_GB2312" w:hAnsi="仿宋_GB2312" w:eastAsia="仿宋_GB2312" w:cs="仿宋_GB2312"/>
          <w:color w:val="000000"/>
          <w:kern w:val="2"/>
          <w:sz w:val="32"/>
          <w:szCs w:val="32"/>
          <w:lang w:eastAsia="zh-CN"/>
        </w:rPr>
        <w:t>，根据街道财务管理办法更加规范财务流程，</w:t>
      </w:r>
      <w:r>
        <w:rPr>
          <w:rFonts w:hint="eastAsia" w:ascii="仿宋_GB2312" w:hAnsi="仿宋_GB2312" w:eastAsia="仿宋_GB2312" w:cs="仿宋_GB2312"/>
          <w:color w:val="000000"/>
          <w:kern w:val="2"/>
          <w:sz w:val="32"/>
          <w:szCs w:val="32"/>
        </w:rPr>
        <w:t>加强各部门使用资金的积极性和规范性</w:t>
      </w:r>
      <w:r>
        <w:rPr>
          <w:rFonts w:hint="eastAsia" w:ascii="仿宋_GB2312" w:hAnsi="仿宋_GB2312" w:eastAsia="仿宋_GB2312" w:cs="仿宋_GB2312"/>
          <w:color w:val="000000"/>
          <w:kern w:val="2"/>
          <w:sz w:val="32"/>
          <w:szCs w:val="32"/>
          <w:lang w:eastAsia="zh-CN"/>
        </w:rPr>
        <w:t>，杜绝超支现象。</w:t>
      </w:r>
      <w:r>
        <w:rPr>
          <w:rFonts w:hint="eastAsia" w:ascii="仿宋_GB2312" w:hAnsi="仿宋_GB2312" w:eastAsia="仿宋_GB2312" w:cs="仿宋_GB2312"/>
          <w:color w:val="000000"/>
          <w:kern w:val="2"/>
          <w:sz w:val="32"/>
          <w:szCs w:val="32"/>
        </w:rPr>
        <w:t>从部门、分管领导、财务负责人、财务室，按资金项目内容及金额合规使用，杜绝超支现象的发生。</w:t>
      </w:r>
    </w:p>
    <w:p>
      <w:pPr>
        <w:pStyle w:val="2"/>
        <w:keepNext w:val="0"/>
        <w:keepLines w:val="0"/>
        <w:pageBreakBefore w:val="0"/>
        <w:kinsoku/>
        <w:topLinePunct w:val="0"/>
        <w:autoSpaceDE/>
        <w:autoSpaceDN/>
        <w:bidi w:val="0"/>
        <w:spacing w:beforeLines="0" w:line="592" w:lineRule="exact"/>
        <w:ind w:firstLine="640" w:firstLineChars="200"/>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3.加强项目开展进度的跟踪，开展项目绩效评价，确保项目绩效目标的完成。</w:t>
      </w:r>
    </w:p>
    <w:p>
      <w:pPr>
        <w:spacing w:line="580" w:lineRule="exact"/>
        <w:ind w:firstLine="640" w:firstLineChars="200"/>
        <w:rPr>
          <w:rFonts w:ascii="仿宋_GB2312" w:hAnsi="仿宋_GB2312" w:eastAsia="仿宋_GB2312" w:cs="仿宋_GB2312"/>
          <w:sz w:val="32"/>
          <w:szCs w:val="32"/>
        </w:rPr>
      </w:pPr>
    </w:p>
    <w:p>
      <w:pPr>
        <w:spacing w:line="580" w:lineRule="exact"/>
        <w:outlineLvl w:val="1"/>
        <w:rPr>
          <w:rFonts w:ascii="仿宋_GB2312" w:hAnsi="仿宋_GB2312" w:eastAsia="仿宋_GB2312" w:cs="仿宋_GB2312"/>
          <w:sz w:val="32"/>
          <w:szCs w:val="32"/>
        </w:rPr>
      </w:pPr>
      <w:bookmarkStart w:id="66" w:name="_Toc11602"/>
      <w:r>
        <w:rPr>
          <w:rFonts w:hint="eastAsia" w:ascii="黑体" w:hAnsi="黑体" w:eastAsia="黑体" w:cs="黑体"/>
          <w:sz w:val="32"/>
          <w:szCs w:val="32"/>
        </w:rPr>
        <w:t>附件</w:t>
      </w:r>
      <w:r>
        <w:rPr>
          <w:rFonts w:ascii="黑体" w:hAnsi="黑体" w:eastAsia="黑体" w:cs="黑体"/>
          <w:sz w:val="32"/>
          <w:szCs w:val="32"/>
        </w:rPr>
        <w:t>2</w:t>
      </w:r>
      <w:bookmarkEnd w:id="66"/>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rPr>
        <w:t>自流井区东兴寺街道</w:t>
      </w:r>
      <w:r>
        <w:rPr>
          <w:rFonts w:hint="eastAsia" w:ascii="方正小标宋简体" w:hAnsi="宋体" w:eastAsia="方正小标宋简体"/>
          <w:color w:val="000000"/>
          <w:kern w:val="0"/>
          <w:sz w:val="44"/>
          <w:szCs w:val="44"/>
          <w:lang w:val="en-US" w:eastAsia="zh-CN"/>
        </w:rPr>
        <w:t>办事处党建工作经费</w:t>
      </w:r>
      <w:r>
        <w:rPr>
          <w:rFonts w:hint="eastAsia" w:ascii="方正小标宋简体" w:hAnsi="宋体" w:eastAsia="方正小标宋简体"/>
          <w:color w:val="000000"/>
          <w:kern w:val="0"/>
          <w:sz w:val="44"/>
          <w:szCs w:val="44"/>
          <w:lang w:val="zh-CN"/>
        </w:rPr>
        <w:t>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en-US" w:eastAsia="zh-CN"/>
        </w:rPr>
        <w:t>党建工作经费</w:t>
      </w:r>
      <w:r>
        <w:rPr>
          <w:rFonts w:hint="eastAsia" w:ascii="仿宋_GB2312" w:hAnsi="宋体" w:eastAsia="仿宋_GB2312"/>
          <w:sz w:val="32"/>
          <w:szCs w:val="32"/>
          <w:lang w:val="zh-CN"/>
        </w:rPr>
        <w:t>项目是</w:t>
      </w:r>
      <w:r>
        <w:rPr>
          <w:rFonts w:hint="eastAsia" w:ascii="仿宋_GB2312" w:hAnsi="宋体"/>
          <w:sz w:val="32"/>
          <w:szCs w:val="32"/>
          <w:lang w:val="en-US" w:eastAsia="zh-CN"/>
        </w:rPr>
        <w:t>东兴寺街道办事处党政办</w:t>
      </w:r>
      <w:r>
        <w:rPr>
          <w:rFonts w:hint="eastAsia" w:ascii="仿宋_GB2312" w:hAnsi="宋体" w:eastAsia="仿宋_GB2312"/>
          <w:sz w:val="32"/>
          <w:szCs w:val="32"/>
          <w:lang w:val="zh-CN"/>
        </w:rPr>
        <w:t>开展的</w:t>
      </w:r>
      <w:r>
        <w:rPr>
          <w:rFonts w:hint="eastAsia" w:ascii="仿宋_GB2312" w:hAnsi="宋体"/>
          <w:sz w:val="32"/>
          <w:szCs w:val="32"/>
          <w:lang w:val="en-US" w:eastAsia="zh-CN"/>
        </w:rPr>
        <w:t>长期</w:t>
      </w:r>
      <w:r>
        <w:rPr>
          <w:rFonts w:hint="eastAsia" w:ascii="仿宋_GB2312" w:hAnsi="宋体" w:eastAsia="仿宋_GB2312"/>
          <w:sz w:val="32"/>
          <w:szCs w:val="32"/>
          <w:lang w:val="zh-CN"/>
        </w:rPr>
        <w:t>项目之一，建立长效机制，将</w:t>
      </w:r>
      <w:r>
        <w:rPr>
          <w:rFonts w:hint="eastAsia" w:ascii="仿宋_GB2312" w:hAnsi="宋体"/>
          <w:sz w:val="32"/>
          <w:szCs w:val="32"/>
          <w:lang w:val="en-US" w:eastAsia="zh-CN"/>
        </w:rPr>
        <w:t>党政办</w:t>
      </w:r>
      <w:r>
        <w:rPr>
          <w:rFonts w:hint="eastAsia" w:ascii="仿宋_GB2312" w:hAnsi="宋体" w:eastAsia="仿宋_GB2312"/>
          <w:sz w:val="32"/>
          <w:szCs w:val="32"/>
          <w:lang w:val="zh-CN"/>
        </w:rPr>
        <w:t>职能扩大化，在项目完成率较高的基础上，才能有效发挥职能效用的最大化。</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．项目资金申报相符性。该项目申报内容与具体实施内容相符、申报目标是合理可行的。</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3</w:t>
      </w:r>
      <w:r>
        <w:rPr>
          <w:rFonts w:hint="eastAsia" w:ascii="仿宋_GB2312" w:hAnsi="宋体" w:eastAsia="仿宋_GB2312"/>
          <w:sz w:val="32"/>
          <w:szCs w:val="32"/>
          <w:lang w:val="zh-CN"/>
        </w:rPr>
        <w:t>．建立目标绩效考核机制，对</w:t>
      </w:r>
      <w:r>
        <w:rPr>
          <w:rFonts w:hint="eastAsia" w:ascii="仿宋_GB2312" w:hAnsi="宋体"/>
          <w:sz w:val="32"/>
          <w:szCs w:val="32"/>
          <w:lang w:val="en-US" w:eastAsia="zh-CN"/>
        </w:rPr>
        <w:t>党建工作的完成</w:t>
      </w:r>
      <w:r>
        <w:rPr>
          <w:rFonts w:hint="eastAsia" w:ascii="仿宋_GB2312" w:hAnsi="宋体" w:eastAsia="仿宋_GB2312"/>
          <w:sz w:val="32"/>
          <w:szCs w:val="32"/>
          <w:lang w:val="zh-CN"/>
        </w:rPr>
        <w:t>情况进行定期考核，提高工作效率，提升项目的</w:t>
      </w:r>
      <w:r>
        <w:rPr>
          <w:rFonts w:hint="eastAsia" w:ascii="仿宋_GB2312" w:hAnsi="宋体"/>
          <w:sz w:val="32"/>
          <w:szCs w:val="32"/>
          <w:lang w:val="en-US" w:eastAsia="zh-CN"/>
        </w:rPr>
        <w:t>成本</w:t>
      </w:r>
      <w:r>
        <w:rPr>
          <w:rFonts w:hint="eastAsia" w:ascii="仿宋_GB2312" w:hAnsi="宋体" w:eastAsia="仿宋_GB2312"/>
          <w:sz w:val="32"/>
          <w:szCs w:val="32"/>
          <w:lang w:val="zh-CN"/>
        </w:rPr>
        <w:t>效益和社会效益；</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4</w:t>
      </w:r>
      <w:r>
        <w:rPr>
          <w:rFonts w:hint="eastAsia" w:ascii="仿宋_GB2312" w:hAnsi="宋体" w:eastAsia="仿宋_GB2312"/>
          <w:sz w:val="32"/>
          <w:szCs w:val="32"/>
          <w:lang w:val="zh-CN"/>
        </w:rPr>
        <w:t>．定期向街道</w:t>
      </w:r>
      <w:r>
        <w:rPr>
          <w:rFonts w:hint="eastAsia" w:ascii="仿宋_GB2312" w:hAnsi="宋体"/>
          <w:sz w:val="32"/>
          <w:szCs w:val="32"/>
          <w:lang w:val="en-US" w:eastAsia="zh-CN"/>
        </w:rPr>
        <w:t>党工委</w:t>
      </w:r>
      <w:r>
        <w:rPr>
          <w:rFonts w:hint="eastAsia" w:ascii="仿宋_GB2312" w:hAnsi="宋体" w:eastAsia="仿宋_GB2312"/>
          <w:sz w:val="32"/>
          <w:szCs w:val="32"/>
          <w:lang w:val="zh-CN"/>
        </w:rPr>
        <w:t>报告</w:t>
      </w:r>
      <w:r>
        <w:rPr>
          <w:rFonts w:hint="eastAsia" w:ascii="仿宋_GB2312" w:hAnsi="宋体"/>
          <w:sz w:val="32"/>
          <w:szCs w:val="32"/>
          <w:lang w:val="en-US" w:eastAsia="zh-CN"/>
        </w:rPr>
        <w:t>党建</w:t>
      </w:r>
      <w:r>
        <w:rPr>
          <w:rFonts w:hint="eastAsia" w:ascii="仿宋_GB2312" w:hAnsi="宋体" w:eastAsia="仿宋_GB2312"/>
          <w:sz w:val="32"/>
          <w:szCs w:val="32"/>
          <w:lang w:val="zh-CN"/>
        </w:rPr>
        <w:t>工作的开展情况，实行各项指标的有效监控，实现项目的可持续性，提高项目的可执行性。</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zh-CN"/>
        </w:rPr>
        <w:t>1．项目主要内容：保障街道党务建设费用支出、党务办公设备支出</w:t>
      </w:r>
      <w:r>
        <w:rPr>
          <w:rFonts w:hint="eastAsia" w:ascii="仿宋_GB2312" w:hAnsi="宋体"/>
          <w:sz w:val="32"/>
          <w:szCs w:val="32"/>
          <w:lang w:val="en-US" w:eastAsia="zh-CN"/>
        </w:rPr>
        <w:t>等。</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2．项目目标：保障全年党建工作的开展，</w:t>
      </w:r>
      <w:r>
        <w:rPr>
          <w:rFonts w:hint="eastAsia" w:ascii="仿宋_GB2312" w:hAnsi="宋体"/>
          <w:sz w:val="32"/>
          <w:szCs w:val="32"/>
          <w:lang w:val="zh-CN"/>
        </w:rPr>
        <w:t>完成党建建设，宣传党的政策方针，促进社会稳定，提高群众理解度和满意度。</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3．项目申报内容与实际相符，申报目标合理可行。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sz w:val="32"/>
          <w:szCs w:val="32"/>
          <w:lang w:val="en-US" w:eastAsia="zh-CN"/>
        </w:rPr>
        <w:t>自流井区东兴寺街道办事处</w:t>
      </w:r>
      <w:r>
        <w:rPr>
          <w:rFonts w:hint="eastAsia" w:ascii="仿宋_GB2312" w:hAnsi="宋体" w:eastAsia="仿宋_GB2312"/>
          <w:sz w:val="32"/>
          <w:szCs w:val="32"/>
          <w:lang w:val="zh-CN"/>
        </w:rPr>
        <w:t>对单位项目实施绩效评价，运用成本效益分析法、比较法、公众评判法提高绩效评估评价结果的客观性和准确性，建立分层次的核心绩效指标和标准体系，实现科学合理、细化量化、可比可测。进一步规范</w:t>
      </w:r>
      <w:r>
        <w:rPr>
          <w:rFonts w:hint="eastAsia" w:ascii="仿宋_GB2312" w:hAnsi="宋体"/>
          <w:sz w:val="32"/>
          <w:szCs w:val="32"/>
          <w:lang w:val="en-US" w:eastAsia="zh-CN"/>
        </w:rPr>
        <w:t>项目资金使用</w:t>
      </w:r>
      <w:r>
        <w:rPr>
          <w:rFonts w:hint="eastAsia" w:ascii="仿宋_GB2312" w:hAnsi="宋体" w:eastAsia="仿宋_GB2312"/>
          <w:sz w:val="32"/>
          <w:szCs w:val="32"/>
          <w:lang w:val="zh-CN"/>
        </w:rPr>
        <w:t>，有效</w:t>
      </w:r>
      <w:r>
        <w:rPr>
          <w:rFonts w:hint="eastAsia" w:ascii="仿宋_GB2312" w:hAnsi="宋体"/>
          <w:sz w:val="32"/>
          <w:szCs w:val="32"/>
          <w:lang w:val="en-US" w:eastAsia="zh-CN"/>
        </w:rPr>
        <w:t>保障全年党建工作的开展</w:t>
      </w:r>
      <w:r>
        <w:rPr>
          <w:rFonts w:hint="eastAsia" w:ascii="仿宋_GB2312" w:hAnsi="宋体" w:eastAsia="仿宋_GB2312"/>
          <w:sz w:val="32"/>
          <w:szCs w:val="32"/>
          <w:lang w:val="zh-CN"/>
        </w:rPr>
        <w:t>，促进党风廉政建设和节约型机关建设。</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lang w:val="zh-CN"/>
        </w:rPr>
      </w:pPr>
      <w:r>
        <w:rPr>
          <w:rFonts w:hint="eastAsia" w:ascii="仿宋_GB2312" w:hAnsi="宋体" w:eastAsia="仿宋_GB2312"/>
          <w:sz w:val="32"/>
          <w:szCs w:val="32"/>
          <w:lang w:val="zh-CN"/>
        </w:rPr>
        <w:t>项目资金年初预算</w:t>
      </w:r>
      <w:r>
        <w:rPr>
          <w:rFonts w:hint="eastAsia" w:ascii="仿宋_GB2312" w:hAnsi="宋体"/>
          <w:sz w:val="32"/>
          <w:szCs w:val="32"/>
          <w:lang w:val="en-US" w:eastAsia="zh-CN"/>
        </w:rPr>
        <w:t>4</w:t>
      </w:r>
      <w:r>
        <w:rPr>
          <w:rFonts w:hint="eastAsia" w:ascii="仿宋_GB2312" w:hAnsi="宋体" w:eastAsia="仿宋_GB2312"/>
          <w:sz w:val="32"/>
          <w:szCs w:val="32"/>
          <w:lang w:val="en-US" w:eastAsia="zh-CN"/>
        </w:rPr>
        <w:t>万元，项目资金符合国家财经法规和财务管理制度及有关专项资金管理办法规定。项目经费主要包含</w:t>
      </w:r>
      <w:r>
        <w:rPr>
          <w:rFonts w:hint="eastAsia" w:ascii="仿宋_GB2312" w:hAnsi="宋体"/>
          <w:sz w:val="32"/>
          <w:szCs w:val="32"/>
          <w:lang w:val="en-US" w:eastAsia="zh-CN"/>
        </w:rPr>
        <w:t>党建劳务</w:t>
      </w:r>
      <w:r>
        <w:rPr>
          <w:rFonts w:hint="eastAsia" w:ascii="仿宋_GB2312" w:hAnsi="宋体" w:eastAsia="仿宋_GB2312"/>
          <w:sz w:val="32"/>
          <w:szCs w:val="32"/>
          <w:lang w:val="en-US" w:eastAsia="zh-CN"/>
        </w:rPr>
        <w:t>费、</w:t>
      </w:r>
      <w:r>
        <w:rPr>
          <w:rFonts w:hint="eastAsia" w:ascii="仿宋_GB2312" w:hAnsi="宋体"/>
          <w:sz w:val="32"/>
          <w:szCs w:val="32"/>
          <w:lang w:val="en-US" w:eastAsia="zh-CN"/>
        </w:rPr>
        <w:t>委托业务费、印刷费</w:t>
      </w:r>
      <w:r>
        <w:rPr>
          <w:rFonts w:hint="eastAsia" w:ascii="仿宋_GB2312" w:hAnsi="宋体" w:eastAsia="仿宋_GB2312"/>
          <w:sz w:val="32"/>
          <w:szCs w:val="32"/>
          <w:lang w:val="en-US" w:eastAsia="zh-CN"/>
        </w:rPr>
        <w:t>。</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w:t>
      </w:r>
    </w:p>
    <w:p>
      <w:pPr>
        <w:adjustRightInd w:val="0"/>
        <w:snapToGrid w:val="0"/>
        <w:spacing w:line="600" w:lineRule="exact"/>
        <w:ind w:firstLine="720"/>
        <w:rPr>
          <w:rFonts w:hint="eastAsia" w:ascii="仿宋_GB2312" w:hAnsi="仿宋_GB2312" w:cs="仿宋_GB2312"/>
          <w:sz w:val="32"/>
          <w:szCs w:val="32"/>
          <w:lang w:val="zh-CN"/>
        </w:rPr>
      </w:pPr>
      <w:r>
        <w:rPr>
          <w:rFonts w:hint="eastAsia" w:ascii="仿宋_GB2312" w:hAnsi="仿宋_GB2312" w:eastAsia="仿宋_GB2312" w:cs="仿宋_GB2312"/>
          <w:sz w:val="32"/>
          <w:szCs w:val="32"/>
          <w:lang w:val="zh-CN"/>
        </w:rPr>
        <w:t>1.资金计划。年初下达该项目预算，</w:t>
      </w:r>
      <w:r>
        <w:rPr>
          <w:rFonts w:hint="eastAsia" w:ascii="仿宋_GB2312" w:hAnsi="仿宋_GB2312" w:cs="仿宋_GB2312"/>
          <w:sz w:val="32"/>
          <w:szCs w:val="32"/>
          <w:lang w:val="en-US" w:eastAsia="zh-CN"/>
        </w:rPr>
        <w:t>党建</w:t>
      </w:r>
      <w:r>
        <w:rPr>
          <w:rFonts w:hint="eastAsia" w:ascii="仿宋_GB2312" w:hAnsi="仿宋_GB2312" w:eastAsia="仿宋_GB2312" w:cs="仿宋_GB2312"/>
          <w:sz w:val="32"/>
          <w:szCs w:val="32"/>
          <w:lang w:val="zh-CN"/>
        </w:rPr>
        <w:t>工作经费项目属于区级财政资金。2020年年初预算数是</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zh-CN"/>
        </w:rPr>
        <w:t>万元</w:t>
      </w:r>
      <w:r>
        <w:rPr>
          <w:rFonts w:hint="eastAsia" w:ascii="仿宋_GB2312" w:hAnsi="仿宋_GB2312" w:cs="仿宋_GB2312"/>
          <w:sz w:val="32"/>
          <w:szCs w:val="32"/>
          <w:lang w:val="zh-CN"/>
        </w:rPr>
        <w:t>。</w:t>
      </w:r>
    </w:p>
    <w:p>
      <w:pPr>
        <w:adjustRightInd w:val="0"/>
        <w:snapToGrid w:val="0"/>
        <w:spacing w:line="600" w:lineRule="exact"/>
        <w:ind w:firstLine="72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2.资金到位。</w:t>
      </w:r>
      <w:r>
        <w:rPr>
          <w:rFonts w:hint="eastAsia" w:ascii="仿宋_GB2312" w:hAnsi="仿宋_GB2312" w:cs="仿宋_GB2312"/>
          <w:sz w:val="32"/>
          <w:szCs w:val="32"/>
          <w:lang w:val="en-US" w:eastAsia="zh-CN"/>
        </w:rPr>
        <w:t>党建</w:t>
      </w:r>
      <w:r>
        <w:rPr>
          <w:rFonts w:hint="eastAsia" w:ascii="仿宋_GB2312" w:hAnsi="仿宋_GB2312" w:eastAsia="仿宋_GB2312" w:cs="仿宋_GB2312"/>
          <w:sz w:val="32"/>
          <w:szCs w:val="32"/>
          <w:lang w:val="zh-CN"/>
        </w:rPr>
        <w:t>工作经费项目2020年年初预算数</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zh-CN"/>
        </w:rPr>
        <w:t>万元。资金到位率高、到位及时。</w:t>
      </w:r>
    </w:p>
    <w:p>
      <w:pPr>
        <w:adjustRightInd w:val="0"/>
        <w:snapToGrid w:val="0"/>
        <w:spacing w:line="600" w:lineRule="exact"/>
        <w:ind w:firstLine="720"/>
        <w:rPr>
          <w:rFonts w:hint="eastAsia" w:ascii="仿宋_GB2312" w:hAnsi="仿宋_GB2312" w:cs="仿宋_GB2312"/>
          <w:sz w:val="32"/>
          <w:szCs w:val="32"/>
          <w:lang w:val="zh-CN"/>
        </w:rPr>
      </w:pPr>
      <w:r>
        <w:rPr>
          <w:rFonts w:hint="eastAsia" w:ascii="仿宋_GB2312" w:hAnsi="仿宋_GB2312" w:eastAsia="仿宋_GB2312" w:cs="仿宋_GB2312"/>
          <w:sz w:val="32"/>
          <w:szCs w:val="32"/>
          <w:lang w:val="zh-CN"/>
        </w:rPr>
        <w:t>3.资金使用。该项目资金使用保障了安全性、规范性及有效性，资金支付范围、支付标准、支付进度、支付依据等合规合法、与预算相符</w:t>
      </w:r>
      <w:r>
        <w:rPr>
          <w:rFonts w:hint="eastAsia" w:ascii="仿宋_GB2312" w:hAnsi="仿宋_GB2312" w:cs="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en-US" w:eastAsia="zh-CN"/>
        </w:rPr>
        <w:t>我单位</w:t>
      </w:r>
      <w:r>
        <w:rPr>
          <w:rFonts w:hint="eastAsia" w:ascii="仿宋_GB2312" w:hAnsi="宋体" w:eastAsia="仿宋_GB2312"/>
          <w:sz w:val="32"/>
          <w:szCs w:val="32"/>
          <w:lang w:val="zh-CN"/>
        </w:rPr>
        <w:t>按照预算法有关规定进行预算编制，预算执行，做好预决算公开；按照十九大关于“全面实施绩效管理”的精神，树立绩效意识，把握绩效导向的管理趋势，实施绩效评价；单位财务管理制度健全，内部控制制度健全完整并执行良好，账务处理及时，会计核算规范。</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numPr>
          <w:ilvl w:val="0"/>
          <w:numId w:val="8"/>
        </w:numPr>
        <w:adjustRightInd w:val="0"/>
        <w:snapToGrid w:val="0"/>
        <w:spacing w:line="600" w:lineRule="exact"/>
        <w:ind w:firstLine="720"/>
        <w:rPr>
          <w:lang w:val="zh-CN"/>
        </w:rPr>
      </w:pPr>
      <w:r>
        <w:rPr>
          <w:rFonts w:hint="eastAsia" w:ascii="楷体_GB2312" w:hAnsi="宋体" w:eastAsia="楷体_GB2312"/>
          <w:b/>
          <w:sz w:val="32"/>
          <w:szCs w:val="32"/>
          <w:lang w:val="zh-CN"/>
        </w:rPr>
        <w:t>项目组织架构及实施流程。</w:t>
      </w:r>
      <w:r>
        <w:rPr>
          <w:rFonts w:hint="eastAsia" w:ascii="仿宋_GB2312" w:hAnsi="宋体" w:eastAsia="仿宋_GB2312" w:cs="Times New Roman"/>
          <w:sz w:val="32"/>
          <w:szCs w:val="32"/>
          <w:highlight w:val="none"/>
          <w:lang w:val="zh-CN" w:eastAsia="zh-CN"/>
        </w:rPr>
        <w:t>项目主要由</w:t>
      </w:r>
      <w:r>
        <w:rPr>
          <w:rFonts w:hint="eastAsia" w:ascii="仿宋_GB2312" w:hAnsi="宋体" w:cs="Times New Roman"/>
          <w:sz w:val="32"/>
          <w:szCs w:val="32"/>
          <w:highlight w:val="none"/>
          <w:lang w:val="en-US" w:eastAsia="zh-CN"/>
        </w:rPr>
        <w:t>党务建设费用支出、党务办公设备支出等支出构成</w:t>
      </w:r>
      <w:r>
        <w:rPr>
          <w:rFonts w:hint="eastAsia" w:ascii="仿宋_GB2312" w:hAnsi="宋体" w:eastAsia="仿宋_GB2312" w:cs="Times New Roman"/>
          <w:sz w:val="32"/>
          <w:szCs w:val="32"/>
          <w:highlight w:val="none"/>
          <w:lang w:val="zh-CN" w:eastAsia="zh-CN"/>
        </w:rPr>
        <w:t>，采取</w:t>
      </w:r>
      <w:r>
        <w:rPr>
          <w:rFonts w:hint="eastAsia" w:ascii="仿宋_GB2312" w:hAnsi="宋体" w:cs="Times New Roman"/>
          <w:sz w:val="32"/>
          <w:szCs w:val="32"/>
          <w:highlight w:val="none"/>
          <w:lang w:val="en-US" w:eastAsia="zh-CN"/>
        </w:rPr>
        <w:t>实际发生—凭票报销—领导审核</w:t>
      </w:r>
      <w:r>
        <w:rPr>
          <w:rFonts w:hint="eastAsia" w:ascii="仿宋_GB2312" w:hAnsi="宋体" w:eastAsia="仿宋_GB2312" w:cs="Times New Roman"/>
          <w:sz w:val="32"/>
          <w:szCs w:val="32"/>
          <w:highlight w:val="none"/>
          <w:lang w:val="zh-CN" w:eastAsia="zh-CN"/>
        </w:rPr>
        <w:t>方式实现支出。</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cs="Times New Roman"/>
          <w:sz w:val="32"/>
          <w:szCs w:val="32"/>
          <w:highlight w:val="none"/>
          <w:lang w:val="en-US" w:eastAsia="zh-CN"/>
        </w:rPr>
        <w:t>我</w:t>
      </w:r>
      <w:r>
        <w:rPr>
          <w:rFonts w:hint="eastAsia" w:ascii="仿宋_GB2312" w:hAnsi="宋体" w:eastAsia="仿宋_GB2312" w:cs="Times New Roman"/>
          <w:sz w:val="32"/>
          <w:szCs w:val="32"/>
          <w:highlight w:val="none"/>
          <w:lang w:val="zh-CN" w:eastAsia="zh-CN"/>
        </w:rPr>
        <w:t>单位执行严格按照相关法律法规和内控制度对项目实施管理。</w:t>
      </w:r>
    </w:p>
    <w:p>
      <w:pPr>
        <w:adjustRightInd w:val="0"/>
        <w:snapToGrid w:val="0"/>
        <w:spacing w:line="600" w:lineRule="exact"/>
        <w:ind w:firstLine="643" w:firstLineChars="200"/>
        <w:rPr>
          <w:rFonts w:hint="eastAsia"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cs="Times New Roman"/>
          <w:sz w:val="32"/>
          <w:szCs w:val="32"/>
          <w:highlight w:val="none"/>
          <w:lang w:val="en-US" w:eastAsia="zh-CN"/>
        </w:rPr>
        <w:t>东兴寺街道办事处加</w:t>
      </w:r>
      <w:r>
        <w:rPr>
          <w:rFonts w:hint="eastAsia" w:ascii="仿宋_GB2312" w:hAnsi="宋体" w:eastAsia="仿宋_GB2312" w:cs="Times New Roman"/>
          <w:sz w:val="32"/>
          <w:szCs w:val="32"/>
          <w:highlight w:val="none"/>
          <w:lang w:val="zh-CN" w:eastAsia="zh-CN"/>
        </w:rPr>
        <w:t>强项目管理．建立目标绩效考核机制，对</w:t>
      </w:r>
      <w:r>
        <w:rPr>
          <w:rFonts w:hint="eastAsia" w:ascii="仿宋_GB2312" w:hAnsi="宋体" w:cs="Times New Roman"/>
          <w:sz w:val="32"/>
          <w:szCs w:val="32"/>
          <w:highlight w:val="none"/>
          <w:lang w:val="en-US" w:eastAsia="zh-CN"/>
        </w:rPr>
        <w:t>党建</w:t>
      </w:r>
      <w:r>
        <w:rPr>
          <w:rFonts w:hint="eastAsia" w:ascii="仿宋_GB2312" w:hAnsi="宋体" w:eastAsia="仿宋_GB2312" w:cs="Times New Roman"/>
          <w:sz w:val="32"/>
          <w:szCs w:val="32"/>
          <w:highlight w:val="none"/>
          <w:lang w:val="zh-CN" w:eastAsia="zh-CN"/>
        </w:rPr>
        <w:t>工作</w:t>
      </w:r>
      <w:r>
        <w:rPr>
          <w:rFonts w:hint="eastAsia" w:ascii="仿宋_GB2312" w:hAnsi="宋体" w:cs="Times New Roman"/>
          <w:sz w:val="32"/>
          <w:szCs w:val="32"/>
          <w:highlight w:val="none"/>
          <w:lang w:val="en-US" w:eastAsia="zh-CN"/>
        </w:rPr>
        <w:t>完成</w:t>
      </w:r>
      <w:r>
        <w:rPr>
          <w:rFonts w:hint="eastAsia" w:ascii="仿宋_GB2312" w:hAnsi="宋体" w:eastAsia="仿宋_GB2312" w:cs="Times New Roman"/>
          <w:sz w:val="32"/>
          <w:szCs w:val="32"/>
          <w:highlight w:val="none"/>
          <w:lang w:val="zh-CN" w:eastAsia="zh-CN"/>
        </w:rPr>
        <w:t>情况进行定期考核，提高工作效率。</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sz w:val="32"/>
          <w:szCs w:val="32"/>
          <w:lang w:val="en-US" w:eastAsia="zh-CN"/>
        </w:rPr>
        <w:t>东兴寺街道办事处党建</w:t>
      </w:r>
      <w:r>
        <w:rPr>
          <w:rFonts w:hint="eastAsia" w:ascii="仿宋_GB2312" w:hAnsi="宋体" w:eastAsia="仿宋_GB2312"/>
          <w:sz w:val="32"/>
          <w:szCs w:val="32"/>
          <w:lang w:val="zh-CN"/>
        </w:rPr>
        <w:t>项目全年预算数4万元，执行数为4万元，完成预算的100%。通过项目实施，有效保障全年党建工作</w:t>
      </w:r>
      <w:r>
        <w:rPr>
          <w:rFonts w:hint="eastAsia" w:ascii="仿宋_GB2312" w:hAnsi="宋体"/>
          <w:sz w:val="32"/>
          <w:szCs w:val="32"/>
          <w:lang w:val="en-US" w:eastAsia="zh-CN"/>
        </w:rPr>
        <w:t>的</w:t>
      </w:r>
      <w:r>
        <w:rPr>
          <w:rFonts w:hint="eastAsia" w:ascii="仿宋_GB2312" w:hAnsi="宋体" w:eastAsia="仿宋_GB2312"/>
          <w:sz w:val="32"/>
          <w:szCs w:val="32"/>
          <w:lang w:val="zh-CN"/>
        </w:rPr>
        <w:t>开展，促进党风廉政建设和节约型机关建设，并使项目预算控制在预算标准内，不超标准完成目标。</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项目保障街道党务建设费用支出、党务办公设备支出，用于完成党建建设，宣传党的政策方针，</w:t>
      </w:r>
      <w:r>
        <w:rPr>
          <w:rFonts w:hint="eastAsia" w:ascii="仿宋_GB2312" w:hAnsi="宋体"/>
          <w:sz w:val="32"/>
          <w:szCs w:val="32"/>
          <w:lang w:val="en-US" w:eastAsia="zh-CN"/>
        </w:rPr>
        <w:t>促进</w:t>
      </w:r>
      <w:r>
        <w:rPr>
          <w:rFonts w:hint="eastAsia" w:ascii="仿宋_GB2312" w:hAnsi="宋体" w:eastAsia="仿宋_GB2312"/>
          <w:sz w:val="32"/>
          <w:szCs w:val="32"/>
          <w:lang w:val="zh-CN"/>
        </w:rPr>
        <w:t>社会稳定，提高群众理解度和满意度。</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严格按照区级部门预算编制通知和有关要求，部门绩效目标制定完整合理，按绩效目标情况履行职责，预算编制准确，按规定及时分配区级财力专项预算，按要求严格预算执行管理，无违规记录等情况。该项目自评得分100分。</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720"/>
        <w:rPr>
          <w:rFonts w:hint="eastAsia" w:ascii="仿宋_GB2312" w:hAnsi="宋体" w:eastAsia="仿宋_GB2312" w:cs="Times New Roman"/>
          <w:sz w:val="32"/>
          <w:szCs w:val="32"/>
          <w:lang w:val="en-US" w:eastAsia="zh-CN"/>
        </w:rPr>
      </w:pPr>
      <w:r>
        <w:rPr>
          <w:rFonts w:hint="default" w:ascii="仿宋_GB2312" w:hAnsi="宋体" w:eastAsia="仿宋_GB2312" w:cs="Times New Roman"/>
          <w:sz w:val="32"/>
          <w:szCs w:val="32"/>
          <w:lang w:val="en-US" w:eastAsia="zh-CN"/>
        </w:rPr>
        <w:t>绩效理念尚未牢固树立，</w:t>
      </w:r>
      <w:r>
        <w:rPr>
          <w:rFonts w:hint="eastAsia" w:ascii="仿宋_GB2312" w:hAnsi="宋体" w:eastAsia="仿宋_GB2312" w:cs="Times New Roman"/>
          <w:sz w:val="32"/>
          <w:szCs w:val="32"/>
          <w:lang w:val="en-US" w:eastAsia="zh-CN"/>
        </w:rPr>
        <w:t>财务部门和业务部门配合不够，没有预算详细资料，</w:t>
      </w:r>
      <w:r>
        <w:rPr>
          <w:rFonts w:hint="default" w:ascii="仿宋_GB2312" w:hAnsi="宋体" w:eastAsia="仿宋_GB2312" w:cs="Times New Roman"/>
          <w:sz w:val="32"/>
          <w:szCs w:val="32"/>
          <w:lang w:val="en-US" w:eastAsia="zh-CN"/>
        </w:rPr>
        <w:t>绩效评价结果与预算安排和政策调整的挂钩机制尚未建立。</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720"/>
        <w:rPr>
          <w:rFonts w:hint="eastAsia" w:ascii="楷体_GB2312" w:hAnsi="楷体_GB2312" w:eastAsia="楷体_GB2312" w:cs="楷体_GB2312"/>
          <w:sz w:val="32"/>
          <w:szCs w:val="32"/>
          <w:highlight w:val="yellow"/>
        </w:rPr>
      </w:pPr>
      <w:r>
        <w:rPr>
          <w:rFonts w:hint="eastAsia" w:ascii="仿宋_GB2312" w:hAnsi="宋体" w:eastAsia="仿宋_GB2312" w:cs="Times New Roman"/>
          <w:sz w:val="32"/>
          <w:szCs w:val="32"/>
          <w:lang w:val="en-US" w:eastAsia="zh-CN"/>
        </w:rPr>
        <w:t>加强预算管理，注重财务部门和业务部门的配合，</w:t>
      </w:r>
      <w:r>
        <w:rPr>
          <w:rFonts w:hint="default" w:ascii="仿宋_GB2312" w:hAnsi="宋体" w:eastAsia="仿宋_GB2312" w:cs="Times New Roman"/>
          <w:sz w:val="32"/>
          <w:szCs w:val="32"/>
          <w:lang w:val="en-US" w:eastAsia="zh-CN"/>
        </w:rPr>
        <w:t>将绩效理念和方法深度融入预算编制、执行、监督全过程，构建事前事中事后绩效管理闭环系统</w:t>
      </w:r>
      <w:r>
        <w:rPr>
          <w:rFonts w:hint="eastAsia" w:ascii="仿宋_GB2312" w:hAnsi="宋体" w:eastAsia="仿宋_GB2312" w:cs="Times New Roman"/>
          <w:sz w:val="32"/>
          <w:szCs w:val="32"/>
          <w:lang w:val="en-US" w:eastAsia="zh-CN"/>
        </w:rPr>
        <w:t>。</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17"/>
          <w:rFonts w:ascii="黑体" w:hAnsi="黑体" w:eastAsia="黑体"/>
          <w:b w:val="0"/>
        </w:rPr>
      </w:pPr>
    </w:p>
    <w:p>
      <w:pPr>
        <w:widowControl/>
        <w:jc w:val="left"/>
        <w:rPr>
          <w:rStyle w:val="17"/>
          <w:rFonts w:ascii="黑体" w:hAnsi="黑体" w:eastAsia="黑体"/>
          <w:b w:val="0"/>
        </w:rPr>
      </w:pPr>
      <w:r>
        <w:rPr>
          <w:rStyle w:val="17"/>
          <w:rFonts w:ascii="黑体" w:hAnsi="黑体" w:eastAsia="黑体"/>
          <w:b w:val="0"/>
        </w:rPr>
        <w:br w:type="page"/>
      </w:r>
    </w:p>
    <w:p>
      <w:pPr>
        <w:spacing w:line="600" w:lineRule="exact"/>
        <w:jc w:val="center"/>
        <w:outlineLvl w:val="0"/>
        <w:rPr>
          <w:rStyle w:val="17"/>
          <w:rFonts w:ascii="黑体" w:hAnsi="黑体" w:eastAsia="黑体"/>
          <w:b w:val="0"/>
        </w:rPr>
      </w:pPr>
      <w:bookmarkStart w:id="67" w:name="_Toc15396618"/>
      <w:bookmarkStart w:id="68" w:name="_Toc32283"/>
      <w:r>
        <w:rPr>
          <w:rFonts w:hint="eastAsia" w:ascii="黑体" w:hAnsi="黑体" w:eastAsia="黑体"/>
          <w:color w:val="000000"/>
          <w:sz w:val="44"/>
          <w:szCs w:val="44"/>
        </w:rPr>
        <w:t>第</w:t>
      </w:r>
      <w:r>
        <w:rPr>
          <w:rStyle w:val="17"/>
          <w:rFonts w:hint="eastAsia" w:ascii="黑体" w:hAnsi="黑体" w:eastAsia="黑体"/>
          <w:b w:val="0"/>
        </w:rPr>
        <w:t>五部分</w:t>
      </w:r>
      <w:r>
        <w:rPr>
          <w:rStyle w:val="17"/>
          <w:rFonts w:ascii="黑体" w:hAnsi="黑体" w:eastAsia="黑体"/>
          <w:b w:val="0"/>
        </w:rPr>
        <w:t xml:space="preserve"> </w:t>
      </w:r>
      <w:r>
        <w:rPr>
          <w:rStyle w:val="17"/>
          <w:rFonts w:hint="eastAsia" w:ascii="黑体" w:hAnsi="黑体" w:eastAsia="黑体"/>
          <w:b w:val="0"/>
        </w:rPr>
        <w:t>附表</w:t>
      </w:r>
      <w:bookmarkEnd w:id="62"/>
      <w:bookmarkEnd w:id="67"/>
      <w:bookmarkEnd w:id="68"/>
    </w:p>
    <w:p>
      <w:pPr>
        <w:spacing w:line="600" w:lineRule="exact"/>
        <w:jc w:val="center"/>
        <w:outlineLvl w:val="0"/>
        <w:rPr>
          <w:rFonts w:ascii="仿宋" w:hAnsi="仿宋" w:eastAsia="仿宋"/>
          <w:b/>
          <w:color w:val="000000"/>
          <w:sz w:val="44"/>
          <w:szCs w:val="44"/>
        </w:rPr>
      </w:pPr>
    </w:p>
    <w:p>
      <w:pPr>
        <w:pStyle w:val="4"/>
        <w:rPr>
          <w:rFonts w:ascii="仿宋" w:hAnsi="仿宋" w:eastAsia="仿宋"/>
          <w:color w:val="000000"/>
        </w:rPr>
      </w:pPr>
      <w:bookmarkStart w:id="69" w:name="_Toc15396619"/>
      <w:bookmarkStart w:id="70" w:name="_Toc15699"/>
      <w:r>
        <w:rPr>
          <w:rFonts w:hint="eastAsia" w:ascii="仿宋" w:hAnsi="仿宋" w:eastAsia="仿宋"/>
          <w:b w:val="0"/>
          <w:color w:val="000000"/>
        </w:rPr>
        <w:t>一、收</w:t>
      </w:r>
      <w:r>
        <w:rPr>
          <w:rStyle w:val="18"/>
          <w:rFonts w:hint="eastAsia" w:ascii="仿宋" w:hAnsi="仿宋" w:eastAsia="仿宋"/>
          <w:b w:val="0"/>
          <w:bCs w:val="0"/>
        </w:rPr>
        <w:t>入支出决算总表</w:t>
      </w:r>
      <w:bookmarkEnd w:id="69"/>
      <w:bookmarkEnd w:id="70"/>
    </w:p>
    <w:p>
      <w:pPr>
        <w:pStyle w:val="4"/>
        <w:rPr>
          <w:rFonts w:ascii="仿宋" w:hAnsi="仿宋" w:eastAsia="仿宋"/>
          <w:color w:val="000000"/>
        </w:rPr>
      </w:pPr>
      <w:bookmarkStart w:id="71" w:name="_Toc15396620"/>
      <w:bookmarkStart w:id="72" w:name="_Toc27106"/>
      <w:r>
        <w:rPr>
          <w:rFonts w:hint="eastAsia" w:ascii="仿宋" w:hAnsi="仿宋" w:eastAsia="仿宋"/>
          <w:b w:val="0"/>
          <w:color w:val="000000"/>
        </w:rPr>
        <w:t>二、收</w:t>
      </w:r>
      <w:r>
        <w:rPr>
          <w:rStyle w:val="18"/>
          <w:rFonts w:hint="eastAsia" w:ascii="仿宋" w:hAnsi="仿宋" w:eastAsia="仿宋"/>
          <w:b w:val="0"/>
          <w:bCs w:val="0"/>
        </w:rPr>
        <w:t>入决算表</w:t>
      </w:r>
      <w:bookmarkEnd w:id="71"/>
      <w:bookmarkEnd w:id="72"/>
    </w:p>
    <w:p>
      <w:pPr>
        <w:pStyle w:val="4"/>
        <w:rPr>
          <w:rFonts w:ascii="仿宋" w:hAnsi="仿宋" w:eastAsia="仿宋"/>
          <w:color w:val="000000"/>
        </w:rPr>
      </w:pPr>
      <w:bookmarkStart w:id="73" w:name="_Toc26817"/>
      <w:bookmarkStart w:id="74" w:name="_Toc15396621"/>
      <w:r>
        <w:rPr>
          <w:rStyle w:val="18"/>
          <w:rFonts w:hint="eastAsia" w:ascii="仿宋" w:hAnsi="仿宋" w:eastAsia="仿宋"/>
          <w:b w:val="0"/>
          <w:bCs w:val="0"/>
        </w:rPr>
        <w:t>三、</w:t>
      </w:r>
      <w:r>
        <w:rPr>
          <w:rFonts w:hint="eastAsia" w:ascii="仿宋" w:hAnsi="仿宋" w:eastAsia="仿宋"/>
          <w:b w:val="0"/>
          <w:color w:val="000000"/>
        </w:rPr>
        <w:t>支</w:t>
      </w:r>
      <w:r>
        <w:rPr>
          <w:rStyle w:val="18"/>
          <w:rFonts w:hint="eastAsia" w:ascii="仿宋" w:hAnsi="仿宋" w:eastAsia="仿宋"/>
          <w:b w:val="0"/>
          <w:bCs w:val="0"/>
        </w:rPr>
        <w:t>出决算表</w:t>
      </w:r>
      <w:bookmarkEnd w:id="73"/>
      <w:bookmarkEnd w:id="74"/>
    </w:p>
    <w:p>
      <w:pPr>
        <w:pStyle w:val="4"/>
        <w:rPr>
          <w:rFonts w:ascii="仿宋" w:hAnsi="仿宋" w:eastAsia="仿宋"/>
          <w:b w:val="0"/>
          <w:color w:val="000000"/>
        </w:rPr>
      </w:pPr>
      <w:bookmarkStart w:id="75" w:name="_Toc21747"/>
      <w:bookmarkStart w:id="76" w:name="_Toc15396622"/>
      <w:r>
        <w:rPr>
          <w:rStyle w:val="18"/>
          <w:rFonts w:hint="eastAsia" w:ascii="仿宋" w:hAnsi="仿宋" w:eastAsia="仿宋"/>
          <w:b w:val="0"/>
          <w:bCs w:val="0"/>
        </w:rPr>
        <w:t>四、</w:t>
      </w:r>
      <w:r>
        <w:rPr>
          <w:rFonts w:hint="eastAsia" w:ascii="仿宋" w:hAnsi="仿宋" w:eastAsia="仿宋"/>
          <w:b w:val="0"/>
          <w:color w:val="000000"/>
        </w:rPr>
        <w:t>财</w:t>
      </w:r>
      <w:r>
        <w:rPr>
          <w:rStyle w:val="18"/>
          <w:rFonts w:hint="eastAsia" w:ascii="仿宋" w:hAnsi="仿宋" w:eastAsia="仿宋"/>
          <w:b w:val="0"/>
          <w:bCs w:val="0"/>
        </w:rPr>
        <w:t>政拨款收入支出决算总表</w:t>
      </w:r>
      <w:bookmarkEnd w:id="75"/>
      <w:bookmarkEnd w:id="76"/>
    </w:p>
    <w:p>
      <w:pPr>
        <w:pStyle w:val="4"/>
        <w:rPr>
          <w:rStyle w:val="18"/>
          <w:rFonts w:ascii="仿宋" w:hAnsi="仿宋" w:eastAsia="仿宋"/>
          <w:b w:val="0"/>
          <w:bCs w:val="0"/>
        </w:rPr>
      </w:pPr>
      <w:bookmarkStart w:id="77" w:name="_Toc15396623"/>
      <w:bookmarkStart w:id="78" w:name="_Toc12959"/>
      <w:r>
        <w:rPr>
          <w:rStyle w:val="18"/>
          <w:rFonts w:hint="eastAsia" w:ascii="仿宋" w:hAnsi="仿宋" w:eastAsia="仿宋"/>
          <w:b w:val="0"/>
          <w:bCs w:val="0"/>
        </w:rPr>
        <w:t>五、</w:t>
      </w:r>
      <w:r>
        <w:rPr>
          <w:rFonts w:hint="eastAsia" w:ascii="仿宋" w:hAnsi="仿宋" w:eastAsia="仿宋"/>
          <w:b w:val="0"/>
          <w:color w:val="000000"/>
        </w:rPr>
        <w:t>财</w:t>
      </w:r>
      <w:r>
        <w:rPr>
          <w:rStyle w:val="18"/>
          <w:rFonts w:hint="eastAsia" w:ascii="仿宋" w:hAnsi="仿宋" w:eastAsia="仿宋"/>
          <w:b w:val="0"/>
          <w:bCs w:val="0"/>
        </w:rPr>
        <w:t>政拨款支出决算明细表</w:t>
      </w:r>
      <w:bookmarkEnd w:id="77"/>
      <w:bookmarkEnd w:id="78"/>
      <w:bookmarkStart w:id="79" w:name="_Toc15396624"/>
    </w:p>
    <w:p>
      <w:pPr>
        <w:pStyle w:val="4"/>
        <w:rPr>
          <w:rFonts w:ascii="仿宋" w:hAnsi="仿宋" w:eastAsia="仿宋"/>
          <w:color w:val="000000"/>
        </w:rPr>
      </w:pPr>
      <w:bookmarkStart w:id="80" w:name="_Toc23749"/>
      <w:r>
        <w:rPr>
          <w:rStyle w:val="18"/>
          <w:rFonts w:hint="eastAsia" w:ascii="仿宋" w:hAnsi="仿宋" w:eastAsia="仿宋"/>
          <w:b w:val="0"/>
          <w:bCs w:val="0"/>
        </w:rPr>
        <w:t>六、</w:t>
      </w:r>
      <w:r>
        <w:rPr>
          <w:rFonts w:hint="eastAsia" w:ascii="仿宋" w:hAnsi="仿宋" w:eastAsia="仿宋"/>
          <w:b w:val="0"/>
          <w:color w:val="000000"/>
        </w:rPr>
        <w:t>一</w:t>
      </w:r>
      <w:r>
        <w:rPr>
          <w:rStyle w:val="18"/>
          <w:rFonts w:hint="eastAsia" w:ascii="仿宋" w:hAnsi="仿宋" w:eastAsia="仿宋"/>
          <w:b w:val="0"/>
          <w:bCs w:val="0"/>
        </w:rPr>
        <w:t>般公共预算财政拨款支出决算表</w:t>
      </w:r>
      <w:bookmarkEnd w:id="79"/>
      <w:bookmarkEnd w:id="80"/>
    </w:p>
    <w:p>
      <w:pPr>
        <w:pStyle w:val="4"/>
        <w:rPr>
          <w:rFonts w:ascii="仿宋" w:hAnsi="仿宋" w:eastAsia="仿宋"/>
          <w:color w:val="000000"/>
        </w:rPr>
      </w:pPr>
      <w:bookmarkStart w:id="81" w:name="_Toc22275"/>
      <w:bookmarkStart w:id="82" w:name="_Toc15396625"/>
      <w:r>
        <w:rPr>
          <w:rStyle w:val="18"/>
          <w:rFonts w:hint="eastAsia" w:ascii="仿宋" w:hAnsi="仿宋" w:eastAsia="仿宋"/>
          <w:b w:val="0"/>
          <w:bCs w:val="0"/>
        </w:rPr>
        <w:t>七、</w:t>
      </w:r>
      <w:r>
        <w:rPr>
          <w:rFonts w:hint="eastAsia" w:ascii="仿宋" w:hAnsi="仿宋" w:eastAsia="仿宋"/>
          <w:b w:val="0"/>
          <w:color w:val="000000"/>
        </w:rPr>
        <w:t>一</w:t>
      </w:r>
      <w:r>
        <w:rPr>
          <w:rStyle w:val="18"/>
          <w:rFonts w:hint="eastAsia" w:ascii="仿宋" w:hAnsi="仿宋" w:eastAsia="仿宋"/>
          <w:b w:val="0"/>
          <w:bCs w:val="0"/>
        </w:rPr>
        <w:t>般公共预算财政拨款支出决算明细表</w:t>
      </w:r>
      <w:bookmarkEnd w:id="81"/>
      <w:bookmarkEnd w:id="82"/>
    </w:p>
    <w:p>
      <w:pPr>
        <w:pStyle w:val="4"/>
        <w:rPr>
          <w:rFonts w:ascii="仿宋" w:hAnsi="仿宋" w:eastAsia="仿宋"/>
          <w:color w:val="000000"/>
        </w:rPr>
      </w:pPr>
      <w:bookmarkStart w:id="83" w:name="_Toc30634"/>
      <w:bookmarkStart w:id="84" w:name="_Toc15396626"/>
      <w:r>
        <w:rPr>
          <w:rStyle w:val="18"/>
          <w:rFonts w:hint="eastAsia" w:ascii="仿宋" w:hAnsi="仿宋" w:eastAsia="仿宋"/>
          <w:b w:val="0"/>
          <w:bCs w:val="0"/>
        </w:rPr>
        <w:t>八、</w:t>
      </w:r>
      <w:r>
        <w:rPr>
          <w:rFonts w:hint="eastAsia" w:ascii="仿宋" w:hAnsi="仿宋" w:eastAsia="仿宋"/>
          <w:b w:val="0"/>
          <w:color w:val="000000"/>
        </w:rPr>
        <w:t>一</w:t>
      </w:r>
      <w:r>
        <w:rPr>
          <w:rStyle w:val="18"/>
          <w:rFonts w:hint="eastAsia" w:ascii="仿宋" w:hAnsi="仿宋" w:eastAsia="仿宋"/>
          <w:b w:val="0"/>
          <w:bCs w:val="0"/>
        </w:rPr>
        <w:t>般公共预算财政拨款基本支出决算表</w:t>
      </w:r>
      <w:bookmarkEnd w:id="83"/>
      <w:bookmarkEnd w:id="84"/>
    </w:p>
    <w:p>
      <w:pPr>
        <w:pStyle w:val="4"/>
        <w:rPr>
          <w:rFonts w:ascii="仿宋" w:hAnsi="仿宋" w:eastAsia="仿宋"/>
          <w:color w:val="000000"/>
        </w:rPr>
      </w:pPr>
      <w:bookmarkStart w:id="85" w:name="_Toc15396627"/>
      <w:bookmarkStart w:id="86" w:name="_Toc15170"/>
      <w:r>
        <w:rPr>
          <w:rStyle w:val="18"/>
          <w:rFonts w:hint="eastAsia" w:ascii="仿宋" w:hAnsi="仿宋" w:eastAsia="仿宋"/>
          <w:b w:val="0"/>
          <w:bCs w:val="0"/>
        </w:rPr>
        <w:t>九、</w:t>
      </w:r>
      <w:r>
        <w:rPr>
          <w:rFonts w:hint="eastAsia" w:ascii="仿宋" w:hAnsi="仿宋" w:eastAsia="仿宋"/>
          <w:b w:val="0"/>
          <w:color w:val="000000"/>
        </w:rPr>
        <w:t>一</w:t>
      </w:r>
      <w:r>
        <w:rPr>
          <w:rStyle w:val="18"/>
          <w:rFonts w:hint="eastAsia" w:ascii="仿宋" w:hAnsi="仿宋" w:eastAsia="仿宋"/>
          <w:b w:val="0"/>
          <w:bCs w:val="0"/>
        </w:rPr>
        <w:t>般公共预算财政拨款项目支出决算表</w:t>
      </w:r>
      <w:bookmarkEnd w:id="85"/>
      <w:bookmarkEnd w:id="86"/>
    </w:p>
    <w:p>
      <w:pPr>
        <w:pStyle w:val="4"/>
        <w:spacing w:line="360" w:lineRule="auto"/>
        <w:rPr>
          <w:rFonts w:ascii="仿宋" w:hAnsi="仿宋" w:eastAsia="仿宋"/>
          <w:color w:val="000000"/>
        </w:rPr>
      </w:pPr>
      <w:bookmarkStart w:id="87" w:name="_Toc17603"/>
      <w:bookmarkStart w:id="88" w:name="_Toc15396628"/>
      <w:r>
        <w:rPr>
          <w:rStyle w:val="18"/>
          <w:rFonts w:hint="eastAsia" w:ascii="仿宋" w:hAnsi="仿宋" w:eastAsia="仿宋"/>
          <w:b w:val="0"/>
          <w:bCs w:val="0"/>
        </w:rPr>
        <w:t>十、</w:t>
      </w:r>
      <w:r>
        <w:rPr>
          <w:rFonts w:hint="eastAsia" w:ascii="仿宋" w:hAnsi="仿宋" w:eastAsia="仿宋"/>
          <w:b w:val="0"/>
          <w:color w:val="000000"/>
        </w:rPr>
        <w:t>一</w:t>
      </w:r>
      <w:r>
        <w:rPr>
          <w:rStyle w:val="18"/>
          <w:rFonts w:hint="eastAsia" w:ascii="仿宋" w:hAnsi="仿宋" w:eastAsia="仿宋"/>
          <w:b w:val="0"/>
          <w:bCs w:val="0"/>
        </w:rPr>
        <w:t>般公共预算财政拨款“三公”经费支出决算表</w:t>
      </w:r>
      <w:bookmarkEnd w:id="87"/>
      <w:bookmarkEnd w:id="88"/>
    </w:p>
    <w:p>
      <w:pPr>
        <w:pStyle w:val="4"/>
        <w:spacing w:line="360" w:lineRule="auto"/>
        <w:rPr>
          <w:rFonts w:ascii="仿宋" w:hAnsi="仿宋" w:eastAsia="仿宋"/>
          <w:color w:val="000000"/>
        </w:rPr>
      </w:pPr>
      <w:bookmarkStart w:id="89" w:name="_Toc15396629"/>
      <w:bookmarkStart w:id="90" w:name="_Toc7313"/>
      <w:r>
        <w:rPr>
          <w:rStyle w:val="18"/>
          <w:rFonts w:hint="eastAsia" w:ascii="仿宋" w:hAnsi="仿宋" w:eastAsia="仿宋"/>
          <w:b w:val="0"/>
          <w:bCs w:val="0"/>
        </w:rPr>
        <w:t>十一、</w:t>
      </w:r>
      <w:r>
        <w:rPr>
          <w:rFonts w:hint="eastAsia" w:ascii="仿宋" w:hAnsi="仿宋" w:eastAsia="仿宋"/>
          <w:b w:val="0"/>
          <w:color w:val="000000"/>
        </w:rPr>
        <w:t>政</w:t>
      </w:r>
      <w:r>
        <w:rPr>
          <w:rStyle w:val="18"/>
          <w:rFonts w:hint="eastAsia" w:ascii="仿宋" w:hAnsi="仿宋" w:eastAsia="仿宋"/>
          <w:b w:val="0"/>
          <w:bCs w:val="0"/>
        </w:rPr>
        <w:t>府性基金预算财政拨款收入支出决算表</w:t>
      </w:r>
      <w:bookmarkEnd w:id="89"/>
      <w:bookmarkEnd w:id="90"/>
    </w:p>
    <w:p>
      <w:pPr>
        <w:pStyle w:val="4"/>
        <w:rPr>
          <w:rFonts w:hint="eastAsia" w:ascii="仿宋" w:hAnsi="仿宋" w:eastAsia="仿宋"/>
          <w:b w:val="0"/>
          <w:color w:val="000000"/>
        </w:rPr>
      </w:pPr>
      <w:bookmarkStart w:id="91" w:name="_Toc15396630"/>
      <w:bookmarkStart w:id="92" w:name="_Toc9382"/>
      <w:r>
        <w:rPr>
          <w:rFonts w:hint="eastAsia" w:ascii="仿宋" w:hAnsi="仿宋" w:eastAsia="仿宋"/>
          <w:b w:val="0"/>
          <w:color w:val="000000"/>
        </w:rPr>
        <w:t>十二、政府性基金预算财政拨款“三公”经费支出决算表</w:t>
      </w:r>
      <w:bookmarkEnd w:id="91"/>
      <w:bookmarkEnd w:id="92"/>
    </w:p>
    <w:p>
      <w:pPr>
        <w:pStyle w:val="4"/>
        <w:rPr>
          <w:rFonts w:hint="eastAsia" w:ascii="仿宋" w:hAnsi="仿宋" w:eastAsia="仿宋"/>
          <w:b w:val="0"/>
          <w:color w:val="000000"/>
        </w:rPr>
      </w:pPr>
      <w:bookmarkStart w:id="93" w:name="_Toc22683"/>
      <w:r>
        <w:rPr>
          <w:rFonts w:hint="eastAsia" w:ascii="仿宋" w:hAnsi="仿宋" w:eastAsia="仿宋"/>
          <w:b w:val="0"/>
          <w:color w:val="000000"/>
        </w:rPr>
        <w:t>十三、国有资本经营预算财政拨款收入支出决算表</w:t>
      </w:r>
      <w:bookmarkEnd w:id="93"/>
    </w:p>
    <w:p>
      <w:pPr>
        <w:pStyle w:val="4"/>
        <w:rPr>
          <w:rFonts w:hint="eastAsia" w:ascii="仿宋" w:hAnsi="仿宋" w:eastAsia="仿宋"/>
          <w:b w:val="0"/>
          <w:color w:val="000000"/>
        </w:rPr>
      </w:pPr>
      <w:bookmarkStart w:id="94" w:name="_Toc10257"/>
      <w:r>
        <w:rPr>
          <w:rFonts w:hint="eastAsia" w:ascii="仿宋" w:hAnsi="仿宋" w:eastAsia="仿宋"/>
          <w:b w:val="0"/>
          <w:color w:val="000000"/>
        </w:rPr>
        <w:t>十四、国有资本经营预算财政拨款支出决算表</w:t>
      </w:r>
      <w:bookmarkEnd w:id="94"/>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C5AC3"/>
    <w:multiLevelType w:val="singleLevel"/>
    <w:tmpl w:val="844C5AC3"/>
    <w:lvl w:ilvl="0" w:tentative="0">
      <w:start w:val="1"/>
      <w:numFmt w:val="decimal"/>
      <w:lvlText w:val="%1."/>
      <w:lvlJc w:val="left"/>
      <w:pPr>
        <w:tabs>
          <w:tab w:val="left" w:pos="312"/>
        </w:tabs>
      </w:pPr>
    </w:lvl>
  </w:abstractNum>
  <w:abstractNum w:abstractNumId="1">
    <w:nsid w:val="8FB361AA"/>
    <w:multiLevelType w:val="singleLevel"/>
    <w:tmpl w:val="8FB361AA"/>
    <w:lvl w:ilvl="0" w:tentative="0">
      <w:start w:val="1"/>
      <w:numFmt w:val="chineseCounting"/>
      <w:suff w:val="nothing"/>
      <w:lvlText w:val="（%1）"/>
      <w:lvlJc w:val="left"/>
      <w:rPr>
        <w:rFonts w:hint="eastAsia"/>
      </w:rPr>
    </w:lvl>
  </w:abstractNum>
  <w:abstractNum w:abstractNumId="2">
    <w:nsid w:val="9B6398C9"/>
    <w:multiLevelType w:val="singleLevel"/>
    <w:tmpl w:val="9B6398C9"/>
    <w:lvl w:ilvl="0" w:tentative="0">
      <w:start w:val="1"/>
      <w:numFmt w:val="decimal"/>
      <w:lvlText w:val="%1."/>
      <w:lvlJc w:val="left"/>
      <w:pPr>
        <w:tabs>
          <w:tab w:val="left" w:pos="312"/>
        </w:tabs>
      </w:pPr>
    </w:lvl>
  </w:abstractNum>
  <w:abstractNum w:abstractNumId="3">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4">
    <w:nsid w:val="DA28FE7D"/>
    <w:multiLevelType w:val="singleLevel"/>
    <w:tmpl w:val="DA28FE7D"/>
    <w:lvl w:ilvl="0" w:tentative="0">
      <w:start w:val="2"/>
      <w:numFmt w:val="decimal"/>
      <w:suff w:val="nothing"/>
      <w:lvlText w:val="（%1）"/>
      <w:lvlJc w:val="left"/>
    </w:lvl>
  </w:abstractNum>
  <w:abstractNum w:abstractNumId="5">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6">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7">
    <w:nsid w:val="2BBA4A60"/>
    <w:multiLevelType w:val="singleLevel"/>
    <w:tmpl w:val="2BBA4A60"/>
    <w:lvl w:ilvl="0" w:tentative="0">
      <w:start w:val="5"/>
      <w:numFmt w:val="chineseCounting"/>
      <w:suff w:val="nothing"/>
      <w:lvlText w:val="（%1）"/>
      <w:lvlJc w:val="left"/>
      <w:rPr>
        <w:rFonts w:hint="eastAsia"/>
      </w:rPr>
    </w:lvl>
  </w:abstractNum>
  <w:num w:numId="1">
    <w:abstractNumId w:val="6"/>
  </w:num>
  <w:num w:numId="2">
    <w:abstractNumId w:val="2"/>
  </w:num>
  <w:num w:numId="3">
    <w:abstractNumId w:val="3"/>
  </w:num>
  <w:num w:numId="4">
    <w:abstractNumId w:val="4"/>
  </w:num>
  <w:num w:numId="5">
    <w:abstractNumId w:val="0"/>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6D96529"/>
    <w:rsid w:val="06E72551"/>
    <w:rsid w:val="07A25992"/>
    <w:rsid w:val="143858C7"/>
    <w:rsid w:val="16DB364A"/>
    <w:rsid w:val="1EDF0BAD"/>
    <w:rsid w:val="1FED2AA0"/>
    <w:rsid w:val="299564DB"/>
    <w:rsid w:val="2AC65C17"/>
    <w:rsid w:val="2BDE6B25"/>
    <w:rsid w:val="2EC3520F"/>
    <w:rsid w:val="30165A50"/>
    <w:rsid w:val="30466D0C"/>
    <w:rsid w:val="30DE7816"/>
    <w:rsid w:val="31A4358E"/>
    <w:rsid w:val="35DD071B"/>
    <w:rsid w:val="38152DE0"/>
    <w:rsid w:val="3A0953D8"/>
    <w:rsid w:val="3E4169FF"/>
    <w:rsid w:val="3ECD020E"/>
    <w:rsid w:val="3F0E3633"/>
    <w:rsid w:val="44FC66A3"/>
    <w:rsid w:val="466E525B"/>
    <w:rsid w:val="4BEC641D"/>
    <w:rsid w:val="4D4345E4"/>
    <w:rsid w:val="4E3A4862"/>
    <w:rsid w:val="4F885211"/>
    <w:rsid w:val="578B7BED"/>
    <w:rsid w:val="5B0D3DD0"/>
    <w:rsid w:val="5C725E6D"/>
    <w:rsid w:val="5D2B49E2"/>
    <w:rsid w:val="5D3E75DF"/>
    <w:rsid w:val="5DB12260"/>
    <w:rsid w:val="62281029"/>
    <w:rsid w:val="6504078C"/>
    <w:rsid w:val="65F65B2D"/>
    <w:rsid w:val="680F0AAC"/>
    <w:rsid w:val="695535AB"/>
    <w:rsid w:val="6A797D5A"/>
    <w:rsid w:val="6A8455FB"/>
    <w:rsid w:val="6DDA577D"/>
    <w:rsid w:val="6E5E34D8"/>
    <w:rsid w:val="726E3979"/>
    <w:rsid w:val="76A714A7"/>
    <w:rsid w:val="77F07ABB"/>
    <w:rsid w:val="7D036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beforeLines="30"/>
    </w:pPr>
    <w:rPr>
      <w:rFonts w:ascii="仿宋_GB2312" w:eastAsia="仿宋_GB2312"/>
      <w:kern w:val="0"/>
      <w:sz w:val="24"/>
      <w:szCs w:val="20"/>
    </w:rPr>
  </w:style>
  <w:style w:type="paragraph" w:styleId="5">
    <w:name w:val="toc 5"/>
    <w:basedOn w:val="1"/>
    <w:next w:val="1"/>
    <w:qFormat/>
    <w:uiPriority w:val="99"/>
    <w:pPr>
      <w:ind w:left="1680"/>
    </w:pPr>
    <w:rPr>
      <w:rFonts w:ascii="黑体" w:eastAsia="黑体"/>
      <w:sz w:val="32"/>
      <w:szCs w:val="32"/>
    </w:rPr>
  </w:style>
  <w:style w:type="paragraph" w:styleId="6">
    <w:name w:val="Plain Text"/>
    <w:basedOn w:val="1"/>
    <w:qFormat/>
    <w:uiPriority w:val="0"/>
    <w:rPr>
      <w:rFonts w:ascii="宋体" w:hAnsi="Courier New"/>
    </w:rPr>
  </w:style>
  <w:style w:type="paragraph" w:styleId="7">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8">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9">
    <w:name w:val="toc 1"/>
    <w:basedOn w:val="1"/>
    <w:next w:val="1"/>
    <w:unhideWhenUsed/>
    <w:qFormat/>
    <w:uiPriority w:val="39"/>
    <w:pPr>
      <w:spacing w:before="120"/>
      <w:jc w:val="left"/>
    </w:pPr>
    <w:rPr>
      <w:rFonts w:ascii="等线" w:eastAsia="等线"/>
      <w:b/>
      <w:bCs/>
      <w:i/>
      <w:iCs/>
      <w:sz w:val="24"/>
    </w:rPr>
  </w:style>
  <w:style w:type="paragraph" w:styleId="10">
    <w:name w:val="toc 2"/>
    <w:basedOn w:val="1"/>
    <w:next w:val="1"/>
    <w:unhideWhenUsed/>
    <w:qFormat/>
    <w:uiPriority w:val="39"/>
    <w:pPr>
      <w:spacing w:before="120"/>
      <w:ind w:left="300"/>
      <w:jc w:val="left"/>
    </w:pPr>
    <w:rPr>
      <w:rFonts w:ascii="等线" w:eastAsia="等线"/>
      <w:b/>
      <w:bCs/>
      <w:sz w:val="22"/>
      <w:szCs w:val="22"/>
    </w:rPr>
  </w:style>
  <w:style w:type="paragraph" w:styleId="11">
    <w:name w:val="Body Text First Indent"/>
    <w:basedOn w:val="2"/>
    <w:unhideWhenUsed/>
    <w:qFormat/>
    <w:uiPriority w:val="99"/>
    <w:pPr>
      <w:ind w:firstLine="420" w:firstLineChars="100"/>
    </w:pPr>
  </w:style>
  <w:style w:type="character" w:styleId="14">
    <w:name w:val="Strong"/>
    <w:basedOn w:val="13"/>
    <w:qFormat/>
    <w:uiPriority w:val="99"/>
    <w:rPr>
      <w:rFonts w:cs="Times New Roman"/>
      <w:b/>
    </w:rPr>
  </w:style>
  <w:style w:type="character" w:styleId="15">
    <w:name w:val="Hyperlink"/>
    <w:unhideWhenUsed/>
    <w:qFormat/>
    <w:uiPriority w:val="99"/>
    <w:rPr>
      <w:color w:val="0000FF"/>
      <w:u w:val="single"/>
    </w:rPr>
  </w:style>
  <w:style w:type="paragraph" w:customStyle="1" w:styleId="1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17">
    <w:name w:val=" Char Char6"/>
    <w:basedOn w:val="13"/>
    <w:link w:val="3"/>
    <w:qFormat/>
    <w:locked/>
    <w:uiPriority w:val="9"/>
    <w:rPr>
      <w:b/>
      <w:bCs/>
      <w:kern w:val="44"/>
      <w:sz w:val="44"/>
      <w:szCs w:val="44"/>
    </w:rPr>
  </w:style>
  <w:style w:type="character" w:customStyle="1" w:styleId="18">
    <w:name w:val=" Char Char5"/>
    <w:basedOn w:val="13"/>
    <w:link w:val="4"/>
    <w:qFormat/>
    <w:locked/>
    <w:uiPriority w:val="9"/>
    <w:rPr>
      <w:rFonts w:ascii="Cambria" w:hAnsi="Cambria"/>
      <w:b/>
      <w:bCs/>
      <w:sz w:val="32"/>
      <w:szCs w:val="32"/>
    </w:rPr>
  </w:style>
  <w:style w:type="paragraph" w:customStyle="1"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hart" Target="charts/chart5.xml"/><Relationship Id="rId8" Type="http://schemas.openxmlformats.org/officeDocument/2006/relationships/chart" Target="charts/chart4.xml"/><Relationship Id="rId7" Type="http://schemas.openxmlformats.org/officeDocument/2006/relationships/chart" Target="charts/chart3.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chart" Target="charts/chart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收、支决算总计变动情况图</a:t>
            </a:r>
          </a:p>
        </c:rich>
      </c:tx>
      <c:layout>
        <c:manualLayout>
          <c:xMode val="edge"/>
          <c:yMode val="edge"/>
          <c:x val="0.301125"/>
          <c:y val="0.0225"/>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2019年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Sheet1!$B$2:$B$3</c:f>
              <c:numCache>
                <c:formatCode>General</c:formatCode>
                <c:ptCount val="2"/>
                <c:pt idx="0">
                  <c:v>1479.17</c:v>
                </c:pt>
                <c:pt idx="1">
                  <c:v>1483.64</c:v>
                </c:pt>
              </c:numCache>
            </c:numRef>
          </c:val>
        </c:ser>
        <c:ser>
          <c:idx val="1"/>
          <c:order val="1"/>
          <c:tx>
            <c:strRef>
              <c:f>Sheet1!$C$1</c:f>
              <c:strCache>
                <c:ptCount val="1"/>
                <c:pt idx="0">
                  <c:v>2020年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Sheet1!$C$2:$C$3</c:f>
              <c:numCache>
                <c:formatCode>General</c:formatCode>
                <c:ptCount val="2"/>
                <c:pt idx="0">
                  <c:v>833.55</c:v>
                </c:pt>
                <c:pt idx="1">
                  <c:v>843.58</c:v>
                </c:pt>
              </c:numCache>
            </c:numRef>
          </c:val>
        </c:ser>
        <c:dLbls>
          <c:showLegendKey val="0"/>
          <c:showVal val="1"/>
          <c:showCatName val="0"/>
          <c:showSerName val="0"/>
          <c:showPercent val="0"/>
          <c:showBubbleSize val="0"/>
        </c:dLbls>
        <c:gapWidth val="219"/>
        <c:overlap val="-27"/>
        <c:axId val="325466104"/>
        <c:axId val="585499241"/>
      </c:barChart>
      <c:catAx>
        <c:axId val="32546610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85499241"/>
        <c:crosses val="autoZero"/>
        <c:auto val="1"/>
        <c:lblAlgn val="ctr"/>
        <c:lblOffset val="100"/>
        <c:noMultiLvlLbl val="0"/>
      </c:catAx>
      <c:valAx>
        <c:axId val="58549924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2546610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财政拨款收入</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dLbl>
              <c:idx val="0"/>
              <c:layout>
                <c:manualLayout>
                  <c:x val="-0.0134525506110088"/>
                  <c:y val="-0.138620119757364"/>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dLbl>
              <c:idx val="1"/>
              <c:layout>
                <c:manualLayout>
                  <c:x val="0.00809177554325143"/>
                  <c:y val="0.118524498032594"/>
                </c:manualLayout>
              </c:layout>
              <c:dLblPos val="bestFit"/>
              <c:showLegendKey val="0"/>
              <c:showVal val="1"/>
              <c:showCatName val="0"/>
              <c:showSerName val="0"/>
              <c:showPercent val="1"/>
              <c:showBubbleSize val="0"/>
              <c:extLst>
                <c:ext xmlns:c15="http://schemas.microsoft.com/office/drawing/2012/chart" uri="{CE6537A1-D6FC-4f65-9D91-7224C49458BB}">
                  <c15:layout>
                    <c:manualLayout>
                      <c:w val="0.0667561630461318"/>
                      <c:h val="0.0767507002801121"/>
                    </c:manualLayout>
                  </c15:layout>
                </c:ext>
              </c:extLst>
            </c:dLbl>
            <c:dLbl>
              <c:idx val="2"/>
              <c:delete val="1"/>
            </c:dLbl>
            <c:dLbl>
              <c:idx val="3"/>
              <c:delete val="1"/>
            </c:dLbl>
            <c:dLbl>
              <c:idx val="4"/>
              <c:delete val="1"/>
            </c:dLbl>
            <c:dLbl>
              <c:idx val="5"/>
              <c:delete val="1"/>
            </c:dLbl>
            <c:dLbl>
              <c:idx val="6"/>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一般公共预算财政拨款收入</c:v>
                </c:pt>
                <c:pt idx="1">
                  <c:v>政府性基金预算财政拨款收入</c:v>
                </c:pt>
                <c:pt idx="2">
                  <c:v>上级补助收入</c:v>
                </c:pt>
                <c:pt idx="3">
                  <c:v>事业收入</c:v>
                </c:pt>
                <c:pt idx="4">
                  <c:v>经营收入</c:v>
                </c:pt>
                <c:pt idx="5">
                  <c:v>附属单位上缴收入</c:v>
                </c:pt>
                <c:pt idx="6">
                  <c:v>其他收入</c:v>
                </c:pt>
              </c:strCache>
            </c:strRef>
          </c:cat>
          <c:val>
            <c:numRef>
              <c:f>Sheet1!$B$2:$B$8</c:f>
              <c:numCache>
                <c:formatCode>General</c:formatCode>
                <c:ptCount val="7"/>
                <c:pt idx="0">
                  <c:v>810.25</c:v>
                </c:pt>
                <c:pt idx="1">
                  <c:v>23.3</c:v>
                </c:pt>
                <c:pt idx="2">
                  <c:v>0</c:v>
                </c:pt>
                <c:pt idx="3">
                  <c:v>0</c:v>
                </c:pt>
                <c:pt idx="4">
                  <c:v>0</c:v>
                </c:pt>
                <c:pt idx="5">
                  <c:v>0</c:v>
                </c:pt>
                <c:pt idx="6">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本年支出</c:v>
                </c:pt>
              </c:strCache>
            </c:strRef>
          </c:tx>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ctr"/>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290.72</c:v>
                </c:pt>
                <c:pt idx="1">
                  <c:v>552.86</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2019年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财政拨款收、支决算总计</c:v>
                </c:pt>
              </c:strCache>
            </c:strRef>
          </c:cat>
          <c:val>
            <c:numRef>
              <c:f>Sheet1!$B$2</c:f>
              <c:numCache>
                <c:formatCode>General</c:formatCode>
                <c:ptCount val="1"/>
                <c:pt idx="0">
                  <c:v>1518.69</c:v>
                </c:pt>
              </c:numCache>
            </c:numRef>
          </c:val>
        </c:ser>
        <c:ser>
          <c:idx val="1"/>
          <c:order val="1"/>
          <c:tx>
            <c:strRef>
              <c:f>Sheet1!$C$1</c:f>
              <c:strCache>
                <c:ptCount val="1"/>
                <c:pt idx="0">
                  <c:v>2020年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财政拨款收、支决算总计</c:v>
                </c:pt>
              </c:strCache>
            </c:strRef>
          </c:cat>
          <c:val>
            <c:numRef>
              <c:f>Sheet1!$C$2</c:f>
              <c:numCache>
                <c:formatCode>General</c:formatCode>
                <c:ptCount val="1"/>
                <c:pt idx="0">
                  <c:v>886.54</c:v>
                </c:pt>
              </c:numCache>
            </c:numRef>
          </c:val>
        </c:ser>
        <c:dLbls>
          <c:showLegendKey val="0"/>
          <c:showVal val="0"/>
          <c:showCatName val="0"/>
          <c:showSerName val="0"/>
          <c:showPercent val="0"/>
          <c:showBubbleSize val="0"/>
        </c:dLbls>
        <c:gapWidth val="219"/>
        <c:overlap val="-27"/>
        <c:axId val="389438742"/>
        <c:axId val="808738497"/>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elete val="1"/>
                </c:dLbls>
                <c:cat>
                  <c:strRef>
                    <c:extLst>
                      <c:ext uri="{02D57815-91ED-43cb-92C2-25804820EDAC}">
                        <c15:fullRef>
                          <c15:sqref/>
                        </c15:fullRef>
                        <c15:formulaRef>
                          <c15:sqref>Sheet1!$A$2</c15:sqref>
                        </c15:formulaRef>
                      </c:ext>
                    </c:extLst>
                    <c:strCache>
                      <c:ptCount val="1"/>
                      <c:pt idx="0">
                        <c:v>财政拨款收、支决算总计</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38943874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08738497"/>
        <c:crosses val="autoZero"/>
        <c:auto val="1"/>
        <c:lblAlgn val="ctr"/>
        <c:lblOffset val="100"/>
        <c:noMultiLvlLbl val="0"/>
      </c:catAx>
      <c:valAx>
        <c:axId val="80873849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89438742"/>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col"/>
        <c:grouping val="clustered"/>
        <c:varyColors val="0"/>
        <c:ser>
          <c:idx val="0"/>
          <c:order val="0"/>
          <c:tx>
            <c:strRef>
              <c:f>Sheet1!$B$1</c:f>
              <c:strCache>
                <c:ptCount val="1"/>
                <c:pt idx="0">
                  <c:v>一般公共预算财政拨款支出</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2019年</c:v>
                </c:pt>
                <c:pt idx="1">
                  <c:v>2020年</c:v>
                </c:pt>
                <c:pt idx="2">
                  <c:v>比上年增减</c:v>
                </c:pt>
              </c:strCache>
            </c:strRef>
          </c:cat>
          <c:val>
            <c:numRef>
              <c:f>Sheet1!$B$2:$B$4</c:f>
              <c:numCache>
                <c:formatCode>General</c:formatCode>
                <c:ptCount val="3"/>
                <c:pt idx="0">
                  <c:v>1483.64</c:v>
                </c:pt>
                <c:pt idx="1">
                  <c:v>843.58</c:v>
                </c:pt>
                <c:pt idx="2">
                  <c:v>640.06</c:v>
                </c:pt>
              </c:numCache>
            </c:numRef>
          </c:val>
        </c:ser>
        <c:dLbls>
          <c:showLegendKey val="0"/>
          <c:showVal val="1"/>
          <c:showCatName val="0"/>
          <c:showSerName val="0"/>
          <c:showPercent val="0"/>
          <c:showBubbleSize val="0"/>
        </c:dLbls>
        <c:gapWidth val="219"/>
        <c:overlap val="-27"/>
        <c:axId val="977550612"/>
        <c:axId val="564549391"/>
      </c:barChart>
      <c:catAx>
        <c:axId val="97755061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64549391"/>
        <c:crosses val="autoZero"/>
        <c:auto val="1"/>
        <c:lblAlgn val="ctr"/>
        <c:lblOffset val="100"/>
        <c:noMultiLvlLbl val="0"/>
      </c:catAx>
      <c:valAx>
        <c:axId val="56454939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7550612"/>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600" b="1" i="0" u="none" strike="noStrike" kern="1200" spc="0" normalizeH="0" baseline="0">
              <a:solidFill>
                <a:schemeClr val="dk1">
                  <a:lumMod val="50000"/>
                  <a:lumOff val="50000"/>
                </a:schemeClr>
              </a:solidFill>
              <a:latin typeface="+mj-lt"/>
              <a:ea typeface="+mj-ea"/>
              <a:cs typeface="+mj-cs"/>
            </a:defRPr>
          </a:pPr>
        </a:p>
      </c:txPr>
    </c:title>
    <c:autoTitleDeleted val="0"/>
    <c:plotArea>
      <c:layout/>
      <c:pieChart>
        <c:varyColors val="1"/>
        <c:ser>
          <c:idx val="0"/>
          <c:order val="0"/>
          <c:tx>
            <c:strRef>
              <c:f>Sheet1!$B$1</c:f>
              <c:strCache>
                <c:ptCount val="1"/>
                <c:pt idx="0">
                  <c:v>一般公共预算财政拨款支出</c:v>
                </c:pt>
              </c:strCache>
            </c:strRef>
          </c:tx>
          <c:spPr/>
          <c:explosion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dPt>
          <c:dPt>
            <c:idx val="9"/>
            <c:bubble3D val="0"/>
            <c:spPr>
              <a:gradFill>
                <a:gsLst>
                  <a:gs pos="100000">
                    <a:schemeClr val="accent4">
                      <a:lumMod val="60000"/>
                      <a:lumMod val="60000"/>
                      <a:lumOff val="40000"/>
                    </a:schemeClr>
                  </a:gs>
                  <a:gs pos="0">
                    <a:schemeClr val="accent4">
                      <a:lumMod val="60000"/>
                    </a:schemeClr>
                  </a:gs>
                </a:gsLst>
                <a:lin ang="5400000" scaled="0"/>
              </a:gradFill>
              <a:ln w="19050">
                <a:solidFill>
                  <a:schemeClr val="lt1"/>
                </a:solidFill>
              </a:ln>
              <a:effectLst/>
            </c:spPr>
          </c:dPt>
          <c:dLbls>
            <c:dLbl>
              <c:idx val="0"/>
              <c:layout>
                <c:manualLayout>
                  <c:x val="-0.1425"/>
                  <c:y val="0.1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9375"/>
                  <c:y val="-0.087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24375"/>
                  <c:y val="0.087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01875"/>
                  <c:y val="-0.00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0.02625"/>
                  <c:y val="0.127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0.020625"/>
                  <c:y val="-0.00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031875"/>
                  <c:y val="-0.01"/>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Sheet1!$A$2:$A$11</c:f>
              <c:strCache>
                <c:ptCount val="10"/>
                <c:pt idx="0">
                  <c:v>一般公共服务（类）</c:v>
                </c:pt>
                <c:pt idx="1">
                  <c:v>教育支出（类)</c:v>
                </c:pt>
                <c:pt idx="2">
                  <c:v>科学技术（类）</c:v>
                </c:pt>
                <c:pt idx="3">
                  <c:v>文化旅游体育与传媒（类）</c:v>
                </c:pt>
                <c:pt idx="4">
                  <c:v>社会保障和就业（类）</c:v>
                </c:pt>
                <c:pt idx="5">
                  <c:v>卫生健康支出（类）</c:v>
                </c:pt>
                <c:pt idx="6">
                  <c:v>节能环保支出（类)</c:v>
                </c:pt>
                <c:pt idx="7">
                  <c:v>城乡社区支出（类）</c:v>
                </c:pt>
                <c:pt idx="8">
                  <c:v>农林水支出（类）</c:v>
                </c:pt>
                <c:pt idx="9">
                  <c:v>住房保障支出(类）</c:v>
                </c:pt>
              </c:strCache>
            </c:strRef>
          </c:cat>
          <c:val>
            <c:numRef>
              <c:f>Sheet1!$B$2:$B$11</c:f>
              <c:numCache>
                <c:formatCode>General</c:formatCode>
                <c:ptCount val="10"/>
                <c:pt idx="0">
                  <c:v>224.31</c:v>
                </c:pt>
                <c:pt idx="1">
                  <c:v>0</c:v>
                </c:pt>
                <c:pt idx="2">
                  <c:v>0</c:v>
                </c:pt>
                <c:pt idx="3">
                  <c:v>0</c:v>
                </c:pt>
                <c:pt idx="4">
                  <c:v>561.25</c:v>
                </c:pt>
                <c:pt idx="5">
                  <c:v>6.8</c:v>
                </c:pt>
                <c:pt idx="6">
                  <c:v>0.12</c:v>
                </c:pt>
                <c:pt idx="7">
                  <c:v>34.9</c:v>
                </c:pt>
                <c:pt idx="8">
                  <c:v>6</c:v>
                </c:pt>
                <c:pt idx="9">
                  <c:v>10.2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20409</Words>
  <Characters>21667</Characters>
  <Lines>0</Lines>
  <Paragraphs>0</Paragraphs>
  <TotalTime>6</TotalTime>
  <ScaleCrop>false</ScaleCrop>
  <LinksUpToDate>false</LinksUpToDate>
  <CharactersWithSpaces>21773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2021-10-12T07:27:00Z</cp:lastPrinted>
  <dcterms:modified xsi:type="dcterms:W3CDTF">2022-05-31T03:23:22Z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D3718D39C00049B091ECAAEA65A2BC78</vt:lpwstr>
  </property>
</Properties>
</file>