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default" w:ascii="方正小标宋简体" w:eastAsia="方正小标宋简体"/>
          <w:sz w:val="44"/>
          <w:szCs w:val="44"/>
          <w:lang w:val="en-US" w:eastAsia="zh-CN"/>
        </w:rPr>
      </w:pPr>
      <w:r>
        <w:rPr>
          <w:rFonts w:hint="eastAsia" w:ascii="方正小标宋简体" w:eastAsia="方正小标宋简体"/>
          <w:sz w:val="44"/>
          <w:szCs w:val="44"/>
          <w:lang w:val="en-US" w:eastAsia="zh-CN"/>
        </w:rPr>
        <w:t>中共自贡市自流井区委员会宣传部</w:t>
      </w:r>
      <w:bookmarkStart w:id="91" w:name="_GoBack"/>
      <w:bookmarkEnd w:id="91"/>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_Toc21498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_Toc6092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9</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_Toc23109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10</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 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_Toc7163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10</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 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_Toc25258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10</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 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_Toc13725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_Toc10354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_Toc10967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_Toc31021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_Toc6926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_Toc9843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18</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 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_Toc10775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18</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18</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6</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附件1</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6</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_Toc11602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附件2</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_Toc15699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_Toc27106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_Toc26817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_Toc21747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_Toc12959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_Toc23749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_Toc30634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_Toc15170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_Toc17603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_Toc7313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_Toc9382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_Toc22683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_Toc10257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r>
        <w:br w:type="page"/>
      </w:r>
    </w:p>
    <w:p>
      <w:pPr>
        <w:pStyle w:val="3"/>
        <w:jc w:val="center"/>
        <w:rPr>
          <w:rStyle w:val="14"/>
          <w:rFonts w:ascii="黑体" w:hAnsi="黑体" w:eastAsia="黑体"/>
          <w:b/>
          <w:bCs w:val="0"/>
        </w:rPr>
      </w:pPr>
      <w:bookmarkStart w:id="0" w:name="_Toc10567"/>
      <w:r>
        <w:rPr>
          <w:rFonts w:hint="eastAsia" w:ascii="黑体" w:hAnsi="黑体" w:eastAsia="黑体"/>
          <w:b w:val="0"/>
        </w:rPr>
        <w:t>第一部分</w:t>
      </w:r>
      <w:r>
        <w:rPr>
          <w:rFonts w:ascii="黑体" w:hAnsi="黑体" w:eastAsia="黑体"/>
          <w:b w:val="0"/>
        </w:rPr>
        <w:t xml:space="preserve"> </w:t>
      </w:r>
      <w:r>
        <w:rPr>
          <w:rStyle w:val="14"/>
          <w:rFonts w:hint="eastAsia" w:ascii="黑体" w:hAnsi="黑体" w:eastAsia="黑体"/>
          <w:b w:val="0"/>
          <w:bCs w:val="0"/>
        </w:rPr>
        <w:t>部门概况</w:t>
      </w:r>
      <w:bookmarkEnd w:id="0"/>
    </w:p>
    <w:p>
      <w:pPr>
        <w:widowControl/>
        <w:jc w:val="left"/>
        <w:rPr>
          <w:rFonts w:ascii="黑体" w:eastAsia="黑体"/>
          <w:color w:val="000000"/>
          <w:sz w:val="32"/>
          <w:szCs w:val="32"/>
        </w:rPr>
      </w:pPr>
    </w:p>
    <w:p>
      <w:pPr>
        <w:pStyle w:val="4"/>
        <w:rPr>
          <w:rStyle w:val="15"/>
          <w:rFonts w:ascii="仿宋" w:hAnsi="仿宋" w:eastAsia="仿宋"/>
          <w:b w:val="0"/>
          <w:bCs w:val="0"/>
        </w:rPr>
      </w:pPr>
      <w:bookmarkStart w:id="1" w:name="_Toc15396600"/>
      <w:bookmarkStart w:id="2" w:name="_Toc15377197"/>
      <w:bookmarkStart w:id="3" w:name="_Toc21498"/>
      <w:r>
        <w:rPr>
          <w:rFonts w:hint="eastAsia" w:ascii="黑体" w:hAnsi="黑体" w:eastAsia="黑体"/>
          <w:b w:val="0"/>
          <w:color w:val="000000"/>
        </w:rPr>
        <w:t>一、基</w:t>
      </w:r>
      <w:r>
        <w:rPr>
          <w:rStyle w:val="15"/>
          <w:rFonts w:hint="eastAsia" w:ascii="黑体" w:hAnsi="黑体" w:eastAsia="黑体"/>
          <w:b w:val="0"/>
          <w:bCs w:val="0"/>
        </w:rPr>
        <w:t>本职能及主要工作</w:t>
      </w:r>
      <w:bookmarkEnd w:id="1"/>
      <w:bookmarkEnd w:id="2"/>
      <w:bookmarkEnd w:id="3"/>
    </w:p>
    <w:p>
      <w:pPr>
        <w:pStyle w:val="5"/>
        <w:adjustRightInd w:val="0"/>
        <w:snapToGrid w:val="0"/>
        <w:spacing w:before="93" w:line="600" w:lineRule="exact"/>
        <w:ind w:firstLine="675" w:firstLineChars="210"/>
        <w:outlineLvl w:val="2"/>
        <w:rPr>
          <w:rFonts w:hint="eastAsia" w:ascii="楷体_GB2312" w:hAnsi="楷体_GB2312" w:eastAsia="楷体_GB2312" w:cs="楷体_GB2312"/>
          <w:b/>
          <w:bCs/>
          <w:kern w:val="2"/>
          <w:sz w:val="32"/>
          <w:szCs w:val="32"/>
          <w:lang w:val="en-US" w:eastAsia="zh-CN" w:bidi="ar-SA"/>
        </w:rPr>
      </w:pPr>
      <w:bookmarkStart w:id="4" w:name="_Toc15378445"/>
      <w:bookmarkStart w:id="5" w:name="_Toc15377198"/>
      <w:r>
        <w:rPr>
          <w:rFonts w:hint="eastAsia" w:ascii="楷体_GB2312" w:hAnsi="楷体_GB2312" w:eastAsia="楷体_GB2312" w:cs="楷体_GB2312"/>
          <w:b/>
          <w:bCs/>
          <w:kern w:val="2"/>
          <w:sz w:val="32"/>
          <w:szCs w:val="32"/>
          <w:lang w:val="en-US" w:eastAsia="zh-CN" w:bidi="ar-SA"/>
        </w:rPr>
        <w:t>（一）主要职能。</w:t>
      </w:r>
      <w:bookmarkEnd w:id="4"/>
      <w:bookmarkEnd w:id="5"/>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1</w:t>
      </w:r>
      <w:r>
        <w:rPr>
          <w:rFonts w:hint="eastAsia" w:eastAsia="仿宋_GB2312"/>
          <w:sz w:val="32"/>
          <w:szCs w:val="32"/>
        </w:rPr>
        <w:t>）拟定全区宣传思想文化工作重大政策和事业产业发展总体规划，统筹协调推进宣传思想文化领域法治建设，按照区委统一部署，协调宣传思想</w:t>
      </w:r>
      <w:r>
        <w:rPr>
          <w:rFonts w:hint="eastAsia" w:eastAsia="仿宋_GB2312"/>
          <w:sz w:val="32"/>
          <w:szCs w:val="32"/>
          <w:lang w:eastAsia="zh-CN"/>
        </w:rPr>
        <w:t>战线</w:t>
      </w:r>
      <w:r>
        <w:rPr>
          <w:rFonts w:hint="eastAsia" w:eastAsia="仿宋_GB2312"/>
          <w:sz w:val="32"/>
          <w:szCs w:val="32"/>
        </w:rPr>
        <w:t>各部门（单位）之间的工作。</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2</w:t>
      </w:r>
      <w:r>
        <w:rPr>
          <w:rFonts w:hint="eastAsia" w:eastAsia="仿宋_GB2312"/>
          <w:sz w:val="32"/>
          <w:szCs w:val="32"/>
        </w:rPr>
        <w:t>）统筹协调全区党的意识形态工作，贯彻落实党中央和省委、市委、区委关于意识形态工作的决策部署，组织协调意识形态工作责任制落实和日常监督检查，分析研判意识形态领域情况，配合巡查工作开展专项检查。</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3</w:t>
      </w:r>
      <w:r>
        <w:rPr>
          <w:rFonts w:hint="eastAsia" w:eastAsia="仿宋_GB2312"/>
          <w:sz w:val="32"/>
          <w:szCs w:val="32"/>
        </w:rPr>
        <w:t>）统筹指导协调理论研究、理论学习、理论宣传工作，组织推动理论武装工作，指导推动哲学社会科学工作，实施马克思主义理论研究和建设工程。配合区委组织部做好党员教育工作。</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4</w:t>
      </w:r>
      <w:r>
        <w:rPr>
          <w:rFonts w:hint="eastAsia" w:eastAsia="仿宋_GB2312"/>
          <w:sz w:val="32"/>
          <w:szCs w:val="32"/>
        </w:rPr>
        <w:t>）负责规划组织全局性思想政治工作，会同有关部门研究和改进群众思想教育工作。负责社会主义核心价值观建设和爱国主义教育工作。组织重大先进典型的学习和推广。负责指导协调全区的社会宣传工作。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5</w:t>
      </w:r>
      <w:r>
        <w:rPr>
          <w:rFonts w:hint="eastAsia" w:eastAsia="仿宋_GB2312"/>
          <w:sz w:val="32"/>
          <w:szCs w:val="32"/>
        </w:rPr>
        <w:t>）统筹协调组织开展新闻发布工作，承担区委新闻发布有关组织协调工作，负责区政府新闻发布组织实施工作，指导区委、区政府各部门（单位）新闻发布工作，推动新闻发言人制度建设。指导协调区级新闻单位工作，负责组织协调重大新闻宣传活动和重大突发公共事件应急新闻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6</w:t>
      </w:r>
      <w:r>
        <w:rPr>
          <w:rFonts w:hint="eastAsia" w:eastAsia="仿宋_GB2312"/>
          <w:sz w:val="32"/>
          <w:szCs w:val="32"/>
        </w:rPr>
        <w:t>）负责人权宣传工作的组织协调,会同有关部门组织反邪教等方面的对外宣传和舆论斗争工作。组织指导重大对外宣传活动和对外文化交流工作，会同有关部门（单位）做好境外来访记者采访事务方面的工作。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7</w:t>
      </w:r>
      <w:r>
        <w:rPr>
          <w:rFonts w:hint="eastAsia" w:eastAsia="仿宋_GB2312"/>
          <w:sz w:val="32"/>
          <w:szCs w:val="32"/>
        </w:rPr>
        <w:t>）组织推动传播能力建设。统筹协调新媒体的建设与管理，推动媒体融合发展和地方融媒体中心建设。</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8</w:t>
      </w:r>
      <w:r>
        <w:rPr>
          <w:rFonts w:hint="eastAsia" w:eastAsia="仿宋_GB2312"/>
          <w:sz w:val="32"/>
          <w:szCs w:val="32"/>
        </w:rPr>
        <w:t>）统筹指导协调推动精神文化产品的创作和生产，协调组织中华优秀传统文化和本土特色文化传承发展工作，指导协调推动群众文化建设。统筹推动中华文化走出去工作。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9</w:t>
      </w:r>
      <w:r>
        <w:rPr>
          <w:rFonts w:hint="eastAsia" w:eastAsia="仿宋_GB2312"/>
          <w:sz w:val="32"/>
          <w:szCs w:val="32"/>
        </w:rPr>
        <w:t>）</w:t>
      </w:r>
      <w:r>
        <w:rPr>
          <w:rFonts w:hint="eastAsia" w:eastAsia="仿宋_GB2312"/>
          <w:sz w:val="32"/>
          <w:szCs w:val="32"/>
          <w:lang w:eastAsia="zh-CN"/>
        </w:rPr>
        <w:t>统筹指导推进文化体制改革和文化产业、旅游业发展，</w:t>
      </w:r>
      <w:r>
        <w:rPr>
          <w:rFonts w:hint="eastAsia" w:eastAsia="仿宋_GB2312"/>
          <w:sz w:val="32"/>
          <w:szCs w:val="32"/>
        </w:rPr>
        <w:t>统筹指导区属国有文化资产监管工作，组织研究区属国有文化资产监管</w:t>
      </w:r>
      <w:r>
        <w:rPr>
          <w:rFonts w:hint="eastAsia" w:eastAsia="仿宋_GB2312"/>
          <w:sz w:val="32"/>
          <w:szCs w:val="32"/>
          <w:lang w:eastAsia="zh-CN"/>
        </w:rPr>
        <w:t>规范性文件</w:t>
      </w:r>
      <w:r>
        <w:rPr>
          <w:rFonts w:hint="eastAsia" w:eastAsia="仿宋_GB2312"/>
          <w:sz w:val="32"/>
          <w:szCs w:val="32"/>
        </w:rPr>
        <w:t>，会同有关单位负责相关工作开展。</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10</w:t>
      </w:r>
      <w:r>
        <w:rPr>
          <w:rFonts w:hint="eastAsia" w:eastAsia="仿宋_GB2312"/>
          <w:sz w:val="32"/>
          <w:szCs w:val="32"/>
        </w:rPr>
        <w:t>）负责管理电影行政事务，指导监管电影制作、发行、放映工作,指导协调和参与重大电影活动和电影对外合作交流等。</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11</w:t>
      </w:r>
      <w:r>
        <w:rPr>
          <w:rFonts w:hint="eastAsia" w:eastAsia="仿宋_GB2312"/>
          <w:sz w:val="32"/>
          <w:szCs w:val="32"/>
        </w:rPr>
        <w:t>）负责管理新闻出版行政事务和涉及的行政审批工作,监督管理出版物内容和质量,监督管理印刷业,管理著作权。组织指导协调“扫黄打非”工作。</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12</w:t>
      </w:r>
      <w:r>
        <w:rPr>
          <w:rFonts w:hint="eastAsia" w:eastAsia="仿宋_GB2312"/>
          <w:sz w:val="32"/>
          <w:szCs w:val="32"/>
        </w:rPr>
        <w:t>）统筹组织协调精神文明建设工作，协调推动精神文明创建、公民思想道德建设和志愿服务工作。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13</w:t>
      </w:r>
      <w:r>
        <w:rPr>
          <w:rFonts w:hint="eastAsia" w:eastAsia="仿宋_GB2312"/>
          <w:sz w:val="32"/>
          <w:szCs w:val="32"/>
        </w:rPr>
        <w:t>）负责全区互联网信息内容管理，统筹组织互联网宣传管理和舆论引导工作。组织协调网络评论和互联网新闻宣传工作，组织全区重大主题网络宣传。负责网上有害信息处置，组织开展互联网专项整治。依法管理从事新闻信息服务、具有媒体属性和舆论功能的网络传播平台、相关业务和从业人员。统筹组织互联网信息内容监督管理执法，协调督促有关部门查办网络重大案件的具体工作，指导和督促网络行政执法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14</w:t>
      </w:r>
      <w:r>
        <w:rPr>
          <w:rFonts w:hint="eastAsia" w:eastAsia="仿宋_GB2312"/>
          <w:sz w:val="32"/>
          <w:szCs w:val="32"/>
        </w:rPr>
        <w:t>）统筹指导关键信息基础设施网络安全保障工作，协调推动网络安全和信息化技术开发和应用，指导推进新技术新应用安全评估。</w:t>
      </w:r>
      <w:r>
        <w:rPr>
          <w:rFonts w:hint="eastAsia" w:eastAsia="仿宋_GB2312"/>
          <w:sz w:val="32"/>
          <w:szCs w:val="32"/>
          <w:lang w:eastAsia="zh-CN"/>
        </w:rPr>
        <w:t>拟订网络安全发展规划。</w:t>
      </w:r>
      <w:r>
        <w:rPr>
          <w:rFonts w:hint="eastAsia" w:eastAsia="仿宋_GB2312"/>
          <w:sz w:val="32"/>
          <w:szCs w:val="32"/>
        </w:rPr>
        <w:t>统筹协调网络安全服务和保障工作。指导协调信息化工作，协调拟订推动信息化领域自主创新和发展的政策体系。统筹协调重要信息资源的开发利用与共享，统筹推进信息化领域军民融合深度发展。</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15</w:t>
      </w:r>
      <w:r>
        <w:rPr>
          <w:rFonts w:hint="eastAsia" w:eastAsia="仿宋_GB2312"/>
          <w:sz w:val="32"/>
          <w:szCs w:val="32"/>
        </w:rPr>
        <w:t>）受区委委托，会同区委组织部管理文化、艺术、新闻、出版、广播电视、电影、</w:t>
      </w:r>
      <w:r>
        <w:rPr>
          <w:rFonts w:hint="eastAsia" w:eastAsia="仿宋_GB2312"/>
          <w:sz w:val="32"/>
          <w:szCs w:val="32"/>
          <w:lang w:eastAsia="zh-CN"/>
        </w:rPr>
        <w:t>旅游、</w:t>
      </w:r>
      <w:r>
        <w:rPr>
          <w:rFonts w:hint="eastAsia" w:eastAsia="仿宋_GB2312"/>
          <w:sz w:val="32"/>
          <w:szCs w:val="32"/>
        </w:rPr>
        <w:t>社会科学研究和互联网信息等方面区直宣传文化单位的领导干部。负责有关重要宣传舆论阵地和重要岗位领导干部管理。负责组织开展宣传思想战线干部教育培训和人才工作。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16</w:t>
      </w:r>
      <w:r>
        <w:rPr>
          <w:rFonts w:hint="eastAsia" w:eastAsia="仿宋_GB2312"/>
          <w:sz w:val="32"/>
          <w:szCs w:val="32"/>
        </w:rPr>
        <w:t>）归口领导区文化广播电视和旅游局。受区委委托,代管区文联、区社科联等宣传思想文化单位。</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17</w:t>
      </w:r>
      <w:r>
        <w:rPr>
          <w:rFonts w:hint="eastAsia" w:eastAsia="仿宋_GB2312"/>
          <w:sz w:val="32"/>
          <w:szCs w:val="32"/>
        </w:rPr>
        <w:t>）承担区精神文明建设委员会等</w:t>
      </w:r>
      <w:r>
        <w:rPr>
          <w:rFonts w:hint="eastAsia" w:eastAsia="仿宋_GB2312"/>
          <w:sz w:val="32"/>
          <w:szCs w:val="32"/>
          <w:lang w:eastAsia="zh-CN"/>
        </w:rPr>
        <w:t>议事协调机构</w:t>
      </w:r>
      <w:r>
        <w:rPr>
          <w:rFonts w:hint="eastAsia" w:eastAsia="仿宋_GB2312"/>
          <w:sz w:val="32"/>
          <w:szCs w:val="32"/>
        </w:rPr>
        <w:t>的日常工作。</w:t>
      </w:r>
    </w:p>
    <w:p>
      <w:pPr>
        <w:spacing w:line="592" w:lineRule="exact"/>
        <w:ind w:firstLine="640"/>
        <w:rPr>
          <w:rFonts w:hint="eastAsia" w:eastAsia="仿宋_GB2312"/>
          <w:sz w:val="32"/>
          <w:szCs w:val="32"/>
          <w:lang w:val="en-US" w:eastAsia="zh-CN"/>
        </w:rPr>
      </w:pPr>
      <w:r>
        <w:rPr>
          <w:rFonts w:hint="eastAsia" w:eastAsia="仿宋_GB2312"/>
          <w:sz w:val="32"/>
          <w:szCs w:val="32"/>
        </w:rPr>
        <w:t>（</w:t>
      </w:r>
      <w:r>
        <w:rPr>
          <w:rFonts w:hint="eastAsia"/>
          <w:sz w:val="32"/>
          <w:szCs w:val="32"/>
          <w:lang w:val="en-US" w:eastAsia="zh-CN"/>
        </w:rPr>
        <w:t>18</w:t>
      </w:r>
      <w:r>
        <w:rPr>
          <w:rFonts w:hint="eastAsia" w:eastAsia="仿宋_GB2312"/>
          <w:sz w:val="32"/>
          <w:szCs w:val="32"/>
        </w:rPr>
        <w:t>）</w:t>
      </w:r>
      <w:r>
        <w:rPr>
          <w:rFonts w:hint="eastAsia" w:eastAsia="仿宋_GB2312"/>
          <w:sz w:val="32"/>
          <w:szCs w:val="32"/>
          <w:lang w:val="en-US" w:eastAsia="zh-CN"/>
        </w:rPr>
        <w:t>负责职责范围内的安全生产和职业健康、生态环境保护工作。</w:t>
      </w:r>
    </w:p>
    <w:p>
      <w:pPr>
        <w:spacing w:line="592" w:lineRule="exact"/>
        <w:ind w:firstLine="640"/>
        <w:rPr>
          <w:rFonts w:hint="eastAsia" w:ascii="仿宋" w:hAnsi="仿宋" w:eastAsia="仿宋"/>
          <w:bCs/>
          <w:color w:val="000000"/>
          <w:sz w:val="32"/>
          <w:szCs w:val="32"/>
        </w:rPr>
      </w:pPr>
      <w:r>
        <w:rPr>
          <w:rFonts w:hint="eastAsia" w:eastAsia="仿宋_GB2312"/>
          <w:sz w:val="32"/>
          <w:szCs w:val="32"/>
          <w:lang w:val="en-US" w:eastAsia="zh-CN"/>
        </w:rPr>
        <w:t>（</w:t>
      </w:r>
      <w:r>
        <w:rPr>
          <w:rFonts w:hint="eastAsia"/>
          <w:sz w:val="32"/>
          <w:szCs w:val="32"/>
          <w:lang w:val="en-US" w:eastAsia="zh-CN"/>
        </w:rPr>
        <w:t>19</w:t>
      </w:r>
      <w:r>
        <w:rPr>
          <w:rFonts w:hint="eastAsia" w:eastAsia="仿宋_GB2312"/>
          <w:sz w:val="32"/>
          <w:szCs w:val="32"/>
          <w:lang w:val="en-US" w:eastAsia="zh-CN"/>
        </w:rPr>
        <w:t>）</w:t>
      </w:r>
      <w:r>
        <w:rPr>
          <w:rFonts w:hint="eastAsia" w:eastAsia="仿宋_GB2312"/>
          <w:sz w:val="32"/>
          <w:szCs w:val="32"/>
        </w:rPr>
        <w:t>完成区委交办的其他任务。</w:t>
      </w:r>
    </w:p>
    <w:p>
      <w:pPr>
        <w:pStyle w:val="5"/>
        <w:adjustRightInd w:val="0"/>
        <w:snapToGrid w:val="0"/>
        <w:spacing w:before="93" w:line="600" w:lineRule="exact"/>
        <w:ind w:firstLine="675" w:firstLineChars="210"/>
        <w:outlineLvl w:val="2"/>
        <w:rPr>
          <w:rFonts w:hint="eastAsia" w:ascii="楷体_GB2312" w:hAnsi="楷体_GB2312" w:eastAsia="楷体_GB2312" w:cs="楷体_GB2312"/>
          <w:b/>
          <w:bCs/>
          <w:kern w:val="2"/>
          <w:sz w:val="32"/>
          <w:szCs w:val="32"/>
          <w:lang w:val="en-US" w:eastAsia="zh-CN" w:bidi="ar-SA"/>
        </w:rPr>
      </w:pPr>
      <w:bookmarkStart w:id="6" w:name="_Toc15378446"/>
      <w:bookmarkStart w:id="7" w:name="_Toc15377199"/>
      <w:r>
        <w:rPr>
          <w:rFonts w:hint="eastAsia" w:ascii="楷体_GB2312" w:hAnsi="楷体_GB2312" w:eastAsia="楷体_GB2312" w:cs="楷体_GB2312"/>
          <w:b/>
          <w:bCs/>
          <w:kern w:val="2"/>
          <w:sz w:val="32"/>
          <w:szCs w:val="32"/>
          <w:lang w:val="en-US" w:eastAsia="zh-CN" w:bidi="ar-SA"/>
        </w:rPr>
        <w:t>（二）2020年重点工作完成情况。</w:t>
      </w:r>
      <w:bookmarkEnd w:id="6"/>
      <w:bookmarkEnd w:id="7"/>
    </w:p>
    <w:p>
      <w:pPr>
        <w:spacing w:line="592" w:lineRule="exact"/>
        <w:ind w:firstLine="640" w:firstLineChars="200"/>
        <w:jc w:val="left"/>
        <w:rPr>
          <w:rFonts w:hint="eastAsia" w:ascii="仿宋_GB2312" w:eastAsia="仿宋_GB2312"/>
          <w:sz w:val="32"/>
          <w:szCs w:val="32"/>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1</w:t>
      </w:r>
      <w:r>
        <w:rPr>
          <w:rFonts w:hint="eastAsia" w:ascii="楷体_GB2312" w:hAnsi="楷体_GB2312" w:eastAsia="楷体_GB2312" w:cs="楷体_GB2312"/>
          <w:b w:val="0"/>
          <w:bCs w:val="0"/>
          <w:sz w:val="32"/>
          <w:szCs w:val="32"/>
          <w:lang w:eastAsia="zh-CN"/>
        </w:rPr>
        <w:t>）固本培元强根基，主流意识形态持续向好。</w:t>
      </w:r>
      <w:r>
        <w:rPr>
          <w:rFonts w:hint="eastAsia" w:eastAsia="仿宋_GB2312"/>
          <w:b/>
          <w:bCs/>
          <w:sz w:val="32"/>
          <w:szCs w:val="32"/>
          <w:lang w:eastAsia="zh-CN"/>
        </w:rPr>
        <w:t>一</w:t>
      </w:r>
      <w:r>
        <w:rPr>
          <w:rFonts w:hint="eastAsia" w:eastAsia="仿宋_GB2312"/>
          <w:b/>
          <w:bCs/>
          <w:sz w:val="32"/>
          <w:szCs w:val="32"/>
        </w:rPr>
        <w:t>是</w:t>
      </w:r>
      <w:r>
        <w:rPr>
          <w:rFonts w:hint="eastAsia" w:eastAsia="仿宋_GB2312"/>
          <w:sz w:val="32"/>
          <w:szCs w:val="32"/>
        </w:rPr>
        <w:t>强化责任意识。</w:t>
      </w:r>
      <w:r>
        <w:rPr>
          <w:rFonts w:hint="eastAsia" w:eastAsia="仿宋_GB2312"/>
          <w:sz w:val="32"/>
          <w:szCs w:val="32"/>
          <w:lang w:eastAsia="zh-CN"/>
        </w:rPr>
        <w:t>严格贯彻落实意识形态工作责任制，推动《自流井区贯彻落实党委（党组）意识形态工作责任制实施细则》落细落小。完成省委意识形态专项巡视组巡视工作，组织</w:t>
      </w:r>
      <w:r>
        <w:rPr>
          <w:rFonts w:hint="eastAsia" w:ascii="仿宋_GB2312" w:hAnsi="仿宋_GB2312" w:eastAsia="仿宋_GB2312" w:cs="仿宋_GB2312"/>
          <w:i w:val="0"/>
          <w:caps w:val="0"/>
          <w:color w:val="000000"/>
          <w:spacing w:val="0"/>
          <w:kern w:val="0"/>
          <w:sz w:val="32"/>
          <w:szCs w:val="32"/>
          <w:shd w:val="clear" w:fill="FFFFFF"/>
          <w:lang w:val="en-US" w:eastAsia="zh-CN"/>
        </w:rPr>
        <w:t>开展意识形态专项督查，</w:t>
      </w:r>
      <w:r>
        <w:rPr>
          <w:rFonts w:hint="eastAsia" w:ascii="仿宋_GB2312" w:hAnsi="仿宋_GB2312" w:eastAsia="仿宋_GB2312" w:cs="仿宋_GB2312"/>
          <w:i w:val="0"/>
          <w:caps w:val="0"/>
          <w:color w:val="000000"/>
          <w:spacing w:val="0"/>
          <w:kern w:val="0"/>
          <w:sz w:val="32"/>
          <w:szCs w:val="32"/>
          <w:shd w:val="clear" w:fill="FFFFFF"/>
          <w:lang w:eastAsia="zh-CN"/>
        </w:rPr>
        <w:t>成立督查工作小组，对照省委意识形态巡视组相关要求，对各单位意识形态工作组织领导、理论武装、思想引领、</w:t>
      </w:r>
      <w:r>
        <w:rPr>
          <w:rFonts w:hint="eastAsia" w:ascii="仿宋_GB2312" w:hAnsi="仿宋_GB2312" w:eastAsia="仿宋_GB2312" w:cs="仿宋_GB2312"/>
          <w:i w:val="0"/>
          <w:caps w:val="0"/>
          <w:color w:val="000000"/>
          <w:spacing w:val="0"/>
          <w:kern w:val="0"/>
          <w:sz w:val="32"/>
          <w:szCs w:val="32"/>
          <w:shd w:val="clear" w:fill="FFFFFF"/>
          <w:lang w:val="en-US" w:eastAsia="zh-CN"/>
        </w:rPr>
        <w:t>阵地建设等内容进行了检查，扎实做好巡视“后半篇文章”。</w:t>
      </w:r>
      <w:r>
        <w:rPr>
          <w:rFonts w:hint="eastAsia" w:ascii="仿宋_GB2312" w:hAnsi="仿宋_GB2312" w:eastAsia="仿宋_GB2312" w:cs="仿宋_GB2312"/>
          <w:b/>
          <w:bCs/>
          <w:i w:val="0"/>
          <w:caps w:val="0"/>
          <w:color w:val="000000"/>
          <w:spacing w:val="0"/>
          <w:kern w:val="0"/>
          <w:sz w:val="32"/>
          <w:szCs w:val="32"/>
          <w:shd w:val="clear" w:fill="FFFFFF"/>
          <w:lang w:val="en-US" w:eastAsia="zh-CN"/>
        </w:rPr>
        <w:t>二是</w:t>
      </w:r>
      <w:r>
        <w:rPr>
          <w:rFonts w:hint="eastAsia" w:ascii="仿宋_GB2312" w:hAnsi="仿宋_GB2312" w:eastAsia="仿宋_GB2312" w:cs="仿宋_GB2312"/>
          <w:i w:val="0"/>
          <w:caps w:val="0"/>
          <w:color w:val="000000"/>
          <w:spacing w:val="0"/>
          <w:kern w:val="0"/>
          <w:sz w:val="32"/>
          <w:szCs w:val="32"/>
          <w:shd w:val="clear" w:fill="FFFFFF"/>
          <w:lang w:val="en-US" w:eastAsia="zh-CN"/>
        </w:rPr>
        <w:t>深化理论学习。印发《进一步加强和改进党委(党组)理论学习中心组学习的实施细则》，出台</w:t>
      </w:r>
      <w:r>
        <w:rPr>
          <w:rFonts w:hint="eastAsia" w:eastAsia="仿宋_GB2312" w:cs="仿宋_GB2312"/>
          <w:sz w:val="32"/>
          <w:szCs w:val="32"/>
        </w:rPr>
        <w:t>《自流井区20</w:t>
      </w:r>
      <w:r>
        <w:rPr>
          <w:rFonts w:hint="eastAsia" w:eastAsia="仿宋_GB2312" w:cs="仿宋_GB2312"/>
          <w:sz w:val="32"/>
          <w:szCs w:val="32"/>
          <w:lang w:val="en-US" w:eastAsia="zh-CN"/>
        </w:rPr>
        <w:t>20</w:t>
      </w:r>
      <w:r>
        <w:rPr>
          <w:rFonts w:hint="eastAsia" w:eastAsia="仿宋_GB2312" w:cs="仿宋_GB2312"/>
          <w:sz w:val="32"/>
          <w:szCs w:val="32"/>
        </w:rPr>
        <w:t>年度党委（党组）中心组理论学习安排意见》</w:t>
      </w:r>
      <w:r>
        <w:rPr>
          <w:rFonts w:hint="eastAsia" w:eastAsia="仿宋_GB2312" w:cs="仿宋_GB2312"/>
          <w:sz w:val="32"/>
          <w:szCs w:val="32"/>
          <w:lang w:eastAsia="zh-CN"/>
        </w:rPr>
        <w:t>，设置</w:t>
      </w:r>
      <w:r>
        <w:rPr>
          <w:rFonts w:hint="eastAsia" w:eastAsia="仿宋_GB2312" w:cs="仿宋_GB2312"/>
          <w:sz w:val="32"/>
          <w:szCs w:val="32"/>
          <w:lang w:val="en-US" w:eastAsia="zh-CN"/>
        </w:rPr>
        <w:t>10</w:t>
      </w:r>
      <w:r>
        <w:rPr>
          <w:rFonts w:hint="eastAsia" w:eastAsia="仿宋_GB2312" w:cs="仿宋_GB2312"/>
          <w:sz w:val="32"/>
          <w:szCs w:val="32"/>
          <w:lang w:eastAsia="zh-CN"/>
        </w:rPr>
        <w:t>个专题，</w:t>
      </w:r>
      <w:r>
        <w:rPr>
          <w:rFonts w:hint="eastAsia" w:ascii="仿宋_GB2312" w:hAnsi="仿宋_GB2312" w:eastAsia="仿宋_GB2312" w:cs="仿宋_GB2312"/>
          <w:i w:val="0"/>
          <w:caps w:val="0"/>
          <w:color w:val="000000"/>
          <w:spacing w:val="0"/>
          <w:kern w:val="0"/>
          <w:sz w:val="32"/>
          <w:szCs w:val="32"/>
          <w:shd w:val="clear" w:fill="FFFFFF"/>
          <w:lang w:val="en-US" w:eastAsia="zh-CN"/>
        </w:rPr>
        <w:t>组织区委中心组学习7次，通过专家领导辅导报告、学习研讨等方式，围绕党的十九届五中全会、省市委全会精神和《习近平谈治国理政》（第三卷）等重点内容进行了全</w:t>
      </w:r>
      <w:r>
        <w:rPr>
          <w:rFonts w:hint="eastAsia" w:eastAsia="仿宋_GB2312"/>
          <w:sz w:val="32"/>
          <w:szCs w:val="32"/>
        </w:rPr>
        <w:t>面深入的学习，坚定领导干部</w:t>
      </w:r>
      <w:r>
        <w:rPr>
          <w:rFonts w:eastAsia="仿宋_GB2312"/>
          <w:sz w:val="32"/>
          <w:szCs w:val="32"/>
        </w:rPr>
        <w:t>用习近平</w:t>
      </w:r>
      <w:r>
        <w:rPr>
          <w:rFonts w:hint="eastAsia" w:eastAsia="仿宋_GB2312"/>
          <w:sz w:val="32"/>
          <w:szCs w:val="32"/>
        </w:rPr>
        <w:t>新时代</w:t>
      </w:r>
      <w:r>
        <w:rPr>
          <w:rFonts w:eastAsia="仿宋_GB2312"/>
          <w:sz w:val="32"/>
          <w:szCs w:val="32"/>
        </w:rPr>
        <w:t>中国特色社会主义思想武装</w:t>
      </w:r>
      <w:r>
        <w:rPr>
          <w:rFonts w:hint="eastAsia" w:eastAsia="仿宋_GB2312"/>
          <w:sz w:val="32"/>
          <w:szCs w:val="32"/>
        </w:rPr>
        <w:t>头脑的信心。</w:t>
      </w:r>
      <w:r>
        <w:rPr>
          <w:rFonts w:hint="eastAsia" w:ascii="仿宋_GB2312" w:hAnsi="仿宋_GB2312" w:eastAsia="仿宋_GB2312" w:cs="仿宋_GB2312"/>
          <w:b/>
          <w:bCs/>
          <w:color w:val="000000"/>
          <w:sz w:val="32"/>
          <w:szCs w:val="32"/>
          <w:lang w:eastAsia="zh-CN"/>
        </w:rPr>
        <w:t>三是</w:t>
      </w:r>
      <w:r>
        <w:rPr>
          <w:rFonts w:hint="eastAsia" w:ascii="仿宋_GB2312" w:eastAsia="仿宋_GB2312"/>
          <w:sz w:val="32"/>
          <w:szCs w:val="32"/>
          <w:lang w:eastAsia="zh-CN"/>
        </w:rPr>
        <w:t>强化宣讲引领</w:t>
      </w:r>
      <w:r>
        <w:rPr>
          <w:rFonts w:hint="eastAsia" w:ascii="仿宋_GB2312" w:eastAsia="仿宋_GB2312"/>
          <w:sz w:val="32"/>
          <w:szCs w:val="32"/>
        </w:rPr>
        <w:t>。13 名区领导牵头，抽调部分区级部门负责同志组成区委宣讲团，</w:t>
      </w:r>
      <w:r>
        <w:rPr>
          <w:rFonts w:hint="eastAsia" w:ascii="仿宋_GB2312" w:eastAsia="仿宋_GB2312"/>
          <w:sz w:val="32"/>
          <w:szCs w:val="32"/>
          <w:lang w:eastAsia="zh-CN"/>
        </w:rPr>
        <w:t>开展党的十九届五中全会、省市区委全会主题</w:t>
      </w:r>
      <w:r>
        <w:rPr>
          <w:rFonts w:hint="eastAsia" w:ascii="仿宋_GB2312" w:eastAsia="仿宋_GB2312"/>
          <w:sz w:val="32"/>
          <w:szCs w:val="32"/>
        </w:rPr>
        <w:t>宣讲</w:t>
      </w:r>
      <w:r>
        <w:rPr>
          <w:rFonts w:hint="eastAsia" w:ascii="仿宋_GB2312" w:eastAsia="仿宋_GB2312"/>
          <w:sz w:val="32"/>
          <w:szCs w:val="32"/>
          <w:lang w:val="en-US" w:eastAsia="zh-CN"/>
        </w:rPr>
        <w:t>100余场</w:t>
      </w:r>
      <w:r>
        <w:rPr>
          <w:rFonts w:hint="eastAsia" w:ascii="仿宋_GB2312" w:eastAsia="仿宋_GB2312"/>
          <w:sz w:val="32"/>
          <w:szCs w:val="32"/>
        </w:rPr>
        <w:t>，做到</w:t>
      </w:r>
      <w:r>
        <w:rPr>
          <w:rFonts w:ascii="仿宋_GB2312" w:eastAsia="仿宋_GB2312"/>
          <w:sz w:val="32"/>
          <w:szCs w:val="32"/>
        </w:rPr>
        <w:t>全</w:t>
      </w:r>
      <w:r>
        <w:rPr>
          <w:rFonts w:hint="eastAsia" w:ascii="仿宋_GB2312" w:eastAsia="仿宋_GB2312"/>
          <w:sz w:val="32"/>
          <w:szCs w:val="32"/>
        </w:rPr>
        <w:t>区</w:t>
      </w:r>
      <w:r>
        <w:rPr>
          <w:rFonts w:ascii="仿宋_GB2312" w:eastAsia="仿宋_GB2312"/>
          <w:sz w:val="32"/>
          <w:szCs w:val="32"/>
        </w:rPr>
        <w:t>党员干部全覆盖</w:t>
      </w:r>
      <w:r>
        <w:rPr>
          <w:rFonts w:hint="eastAsia" w:ascii="仿宋_GB2312" w:eastAsia="仿宋_GB2312"/>
          <w:sz w:val="32"/>
          <w:szCs w:val="32"/>
        </w:rPr>
        <w:t>。</w:t>
      </w:r>
      <w:r>
        <w:rPr>
          <w:rFonts w:ascii="仿宋_GB2312" w:eastAsia="仿宋_GB2312"/>
          <w:sz w:val="32"/>
          <w:szCs w:val="32"/>
        </w:rPr>
        <w:t>充分发挥</w:t>
      </w:r>
      <w:r>
        <w:rPr>
          <w:rFonts w:hint="eastAsia" w:ascii="仿宋_GB2312" w:eastAsia="仿宋_GB2312"/>
          <w:sz w:val="32"/>
          <w:szCs w:val="32"/>
        </w:rPr>
        <w:t>区</w:t>
      </w:r>
      <w:r>
        <w:rPr>
          <w:rFonts w:ascii="仿宋_GB2312" w:eastAsia="仿宋_GB2312"/>
          <w:sz w:val="32"/>
          <w:szCs w:val="32"/>
        </w:rPr>
        <w:t>融媒体中心、农民夜校等平台的作用，有效运用多种载体，</w:t>
      </w:r>
      <w:r>
        <w:rPr>
          <w:rFonts w:hint="eastAsia" w:ascii="仿宋_GB2312" w:eastAsia="仿宋_GB2312"/>
          <w:sz w:val="32"/>
          <w:szCs w:val="32"/>
        </w:rPr>
        <w:t>推动全会精神深入人心、家喻户晓。</w:t>
      </w:r>
    </w:p>
    <w:p>
      <w:pPr>
        <w:spacing w:line="592" w:lineRule="exact"/>
        <w:ind w:firstLine="640" w:firstLineChars="200"/>
        <w:rPr>
          <w:rFonts w:hint="eastAsia"/>
          <w:lang w:val="en-US" w:eastAsia="zh-CN"/>
        </w:rPr>
      </w:pPr>
      <w:r>
        <w:rPr>
          <w:rFonts w:hint="eastAsia" w:ascii="楷体_GB2312" w:hAnsi="楷体_GB2312" w:eastAsia="楷体_GB2312" w:cs="楷体_GB2312"/>
          <w:b w:val="0"/>
          <w:bCs w:val="0"/>
          <w:color w:val="000000"/>
          <w:sz w:val="32"/>
          <w:szCs w:val="32"/>
          <w:lang w:eastAsia="zh-CN"/>
        </w:rPr>
        <w:t>（</w:t>
      </w:r>
      <w:r>
        <w:rPr>
          <w:rFonts w:hint="eastAsia" w:ascii="楷体_GB2312" w:hAnsi="楷体_GB2312" w:eastAsia="楷体_GB2312" w:cs="楷体_GB2312"/>
          <w:b w:val="0"/>
          <w:bCs w:val="0"/>
          <w:color w:val="000000"/>
          <w:sz w:val="32"/>
          <w:szCs w:val="32"/>
          <w:lang w:val="en-US" w:eastAsia="zh-CN"/>
        </w:rPr>
        <w:t>2</w:t>
      </w:r>
      <w:r>
        <w:rPr>
          <w:rFonts w:hint="eastAsia" w:ascii="楷体_GB2312" w:hAnsi="楷体_GB2312" w:eastAsia="楷体_GB2312" w:cs="楷体_GB2312"/>
          <w:b w:val="0"/>
          <w:bCs w:val="0"/>
          <w:color w:val="000000"/>
          <w:sz w:val="32"/>
          <w:szCs w:val="32"/>
          <w:lang w:eastAsia="zh-CN"/>
        </w:rPr>
        <w:t>）</w:t>
      </w:r>
      <w:r>
        <w:rPr>
          <w:rFonts w:hint="eastAsia" w:ascii="楷体_GB2312" w:hAnsi="楷体_GB2312" w:eastAsia="楷体_GB2312" w:cs="楷体_GB2312"/>
          <w:b w:val="0"/>
          <w:bCs w:val="0"/>
          <w:kern w:val="0"/>
          <w:sz w:val="32"/>
          <w:szCs w:val="32"/>
          <w:lang w:val="en-US" w:eastAsia="zh-CN" w:bidi="ar-SA"/>
        </w:rPr>
        <w:t>凝神铸魂树新风，精神文明建设层次持续提升。</w:t>
      </w:r>
      <w:r>
        <w:rPr>
          <w:rFonts w:hint="eastAsia" w:ascii="楷体_GB2312" w:hAnsi="楷体_GB2312" w:eastAsia="楷体_GB2312" w:cs="楷体_GB2312"/>
          <w:b/>
          <w:bCs/>
          <w:kern w:val="0"/>
          <w:sz w:val="32"/>
          <w:szCs w:val="32"/>
        </w:rPr>
        <w:t>一是</w:t>
      </w:r>
      <w:r>
        <w:rPr>
          <w:rFonts w:hint="eastAsia" w:ascii="仿宋_GB2312" w:eastAsia="仿宋_GB2312" w:cs="Times New Roman"/>
          <w:sz w:val="32"/>
          <w:szCs w:val="32"/>
        </w:rPr>
        <w:t>切实加强未成年人思想道德建设。开展新时代好少年评选活动，开展2020年</w:t>
      </w:r>
      <w:r>
        <w:rPr>
          <w:rFonts w:hint="eastAsia" w:ascii="仿宋_GB2312" w:hAnsi="Times New Roman" w:eastAsia="仿宋_GB2312"/>
          <w:color w:val="000000"/>
          <w:sz w:val="33"/>
          <w:szCs w:val="33"/>
        </w:rPr>
        <w:t>中央项目乡村学校少年宫年度考核，</w:t>
      </w:r>
      <w:r>
        <w:rPr>
          <w:rFonts w:hint="eastAsia" w:ascii="仿宋_GB2312" w:eastAsia="仿宋_GB2312" w:cs="Times New Roman"/>
          <w:sz w:val="32"/>
          <w:szCs w:val="32"/>
        </w:rPr>
        <w:t>进一步规范项目建设使用管理。</w:t>
      </w:r>
      <w:r>
        <w:rPr>
          <w:rFonts w:hint="eastAsia" w:ascii="仿宋_GB2312" w:hAnsi="Times New Roman" w:eastAsia="仿宋_GB2312"/>
          <w:sz w:val="33"/>
          <w:szCs w:val="33"/>
        </w:rPr>
        <w:t>组织开展青少年传承卢德铭烈士精神系列活动,深入开展青少年爱国主义教育</w:t>
      </w:r>
      <w:r>
        <w:rPr>
          <w:rFonts w:hint="eastAsia" w:ascii="仿宋_GB2312" w:hAnsi="Times New Roman" w:eastAsia="仿宋_GB2312"/>
          <w:color w:val="000000"/>
          <w:sz w:val="33"/>
          <w:szCs w:val="33"/>
        </w:rPr>
        <w:t>。</w:t>
      </w:r>
      <w:r>
        <w:rPr>
          <w:rFonts w:hint="eastAsia" w:ascii="楷体_GB2312" w:hAnsi="楷体_GB2312" w:eastAsia="楷体_GB2312" w:cs="楷体_GB2312"/>
          <w:b/>
          <w:bCs/>
          <w:kern w:val="0"/>
          <w:sz w:val="32"/>
          <w:szCs w:val="32"/>
        </w:rPr>
        <w:t>二是</w:t>
      </w:r>
      <w:r>
        <w:rPr>
          <w:rFonts w:hint="eastAsia" w:ascii="仿宋_GB2312" w:eastAsia="仿宋_GB2312" w:cs="Times New Roman"/>
          <w:sz w:val="32"/>
          <w:szCs w:val="32"/>
        </w:rPr>
        <w:t>开展各类精神文明创建活动。</w:t>
      </w:r>
      <w:r>
        <w:rPr>
          <w:rFonts w:hint="eastAsia" w:ascii="仿宋_GB2312" w:eastAsia="仿宋_GB2312"/>
          <w:sz w:val="32"/>
          <w:szCs w:val="32"/>
        </w:rPr>
        <w:t>推荐刘淑英、赖桂芳家庭分别争创省级和全国文明家庭。推荐育英小学争创省级文明校园。积极参加自贡市第六届道德模范评选活动，推荐各类型候选人9名。</w:t>
      </w:r>
      <w:r>
        <w:rPr>
          <w:rFonts w:hint="eastAsia" w:ascii="仿宋_GB2312" w:eastAsia="仿宋_GB2312"/>
          <w:b/>
          <w:bCs/>
          <w:sz w:val="32"/>
          <w:szCs w:val="32"/>
        </w:rPr>
        <w:t>三是</w:t>
      </w:r>
      <w:r>
        <w:rPr>
          <w:rFonts w:hint="eastAsia" w:ascii="仿宋_GB2312" w:eastAsia="仿宋_GB2312"/>
          <w:b w:val="0"/>
          <w:bCs/>
          <w:sz w:val="32"/>
          <w:szCs w:val="32"/>
        </w:rPr>
        <w:t>丰富群众精神文化生活。开展以“弘扬伟大抗疫精神”和“践行社会主义核心价值观”为</w:t>
      </w:r>
      <w:r>
        <w:rPr>
          <w:rFonts w:hint="eastAsia" w:ascii="仿宋_GB2312" w:eastAsia="仿宋_GB2312"/>
          <w:sz w:val="32"/>
          <w:szCs w:val="32"/>
        </w:rPr>
        <w:t>主题的道德讲堂活动。开展“我们的节日—今夕七夕、爱有归期”自流井区青年联谊活动。</w:t>
      </w:r>
      <w:r>
        <w:rPr>
          <w:rFonts w:hint="eastAsia" w:ascii="仿宋_GB2312" w:hAnsi="黑体" w:eastAsia="仿宋_GB2312" w:cs="Times New Roman"/>
          <w:sz w:val="32"/>
          <w:szCs w:val="32"/>
        </w:rPr>
        <w:t>进一步加强“农民夜校”管理和学习</w:t>
      </w:r>
      <w:r>
        <w:rPr>
          <w:rFonts w:hint="eastAsia" w:ascii="仿宋_GB2312" w:hAnsi="黑体" w:eastAsia="仿宋_GB2312"/>
          <w:sz w:val="32"/>
          <w:szCs w:val="32"/>
        </w:rPr>
        <w:t>，</w:t>
      </w:r>
      <w:r>
        <w:rPr>
          <w:rFonts w:hint="eastAsia" w:ascii="Times New Roman" w:hAnsi="Times New Roman" w:eastAsia="仿宋_GB2312" w:cs="Times New Roman"/>
          <w:bCs/>
          <w:color w:val="000000"/>
          <w:w w:val="99"/>
          <w:kern w:val="0"/>
          <w:sz w:val="32"/>
          <w:szCs w:val="32"/>
        </w:rPr>
        <w:t>建立健全夜校建设、教学培训等工作台账，不断提高夜校教学管理规范化和制度化水平。</w:t>
      </w:r>
      <w:r>
        <w:rPr>
          <w:rFonts w:hint="eastAsia" w:ascii="楷体_GB2312" w:hAnsi="楷体_GB2312" w:eastAsia="楷体_GB2312" w:cs="楷体_GB2312"/>
          <w:b/>
          <w:bCs/>
          <w:kern w:val="0"/>
          <w:sz w:val="32"/>
          <w:szCs w:val="32"/>
        </w:rPr>
        <w:t>四是</w:t>
      </w:r>
      <w:r>
        <w:rPr>
          <w:rFonts w:hint="eastAsia" w:ascii="仿宋_GB2312" w:hAnsi="Times New Roman" w:eastAsia="仿宋_GB2312" w:cs="Times New Roman"/>
          <w:bCs/>
          <w:sz w:val="32"/>
          <w:szCs w:val="32"/>
        </w:rPr>
        <w:t>推进新时代文明实践中心、站、所建设。出台《自流井区新时</w:t>
      </w:r>
      <w:r>
        <w:rPr>
          <w:rFonts w:hint="eastAsia" w:ascii="仿宋_GB2312" w:hAnsi="Times New Roman" w:eastAsia="仿宋_GB2312" w:cs="Times New Roman"/>
          <w:sz w:val="32"/>
          <w:szCs w:val="32"/>
        </w:rPr>
        <w:t>代文明实践中心工作实施方案》，</w:t>
      </w:r>
      <w:r>
        <w:rPr>
          <w:rFonts w:hint="eastAsia" w:ascii="仿宋_GB2312" w:eastAsia="仿宋_GB2312" w:cs="Times New Roman"/>
          <w:sz w:val="32"/>
          <w:szCs w:val="32"/>
        </w:rPr>
        <w:t>组建7支富有特色的志愿服务分队。</w:t>
      </w:r>
      <w:r>
        <w:rPr>
          <w:rFonts w:hint="eastAsia" w:ascii="仿宋_GB2312" w:hAnsi="仿宋_GB2312" w:eastAsia="仿宋_GB2312" w:cs="仿宋_GB2312"/>
          <w:sz w:val="32"/>
          <w:szCs w:val="32"/>
        </w:rPr>
        <w:t>新增6个所（站），扩大新时代文明实践覆盖面。</w:t>
      </w:r>
    </w:p>
    <w:p>
      <w:pPr>
        <w:numPr>
          <w:ilvl w:val="0"/>
          <w:numId w:val="0"/>
        </w:numPr>
        <w:spacing w:line="592" w:lineRule="exact"/>
        <w:ind w:firstLine="640" w:firstLineChars="200"/>
        <w:rPr>
          <w:rFonts w:hint="eastAsia" w:eastAsia="仿宋_GB2312"/>
          <w:b w:val="0"/>
          <w:bCs w:val="0"/>
          <w:color w:val="auto"/>
          <w:sz w:val="32"/>
          <w:szCs w:val="32"/>
        </w:rPr>
      </w:pPr>
      <w:r>
        <w:rPr>
          <w:rFonts w:hint="eastAsia" w:ascii="楷体_GB2312" w:hAnsi="楷体_GB2312" w:eastAsia="楷体_GB2312" w:cs="楷体_GB2312"/>
          <w:b w:val="0"/>
          <w:bCs w:val="0"/>
          <w:color w:val="auto"/>
          <w:kern w:val="0"/>
          <w:sz w:val="32"/>
          <w:szCs w:val="32"/>
          <w:lang w:val="en-US" w:eastAsia="zh-CN" w:bidi="ar-SA"/>
        </w:rPr>
        <w:t>（3）凝心鼓劲树形象，新闻宣传时代引领性持续提高。</w:t>
      </w:r>
      <w:r>
        <w:rPr>
          <w:rFonts w:hint="eastAsia" w:ascii="仿宋_GB2312" w:hAnsi="Calibri" w:eastAsia="仿宋_GB2312" w:cs="Times New Roman"/>
          <w:b/>
          <w:sz w:val="32"/>
          <w:szCs w:val="32"/>
          <w:lang w:eastAsia="zh-CN"/>
        </w:rPr>
        <w:t>一是</w:t>
      </w:r>
      <w:r>
        <w:rPr>
          <w:rFonts w:hint="eastAsia" w:ascii="仿宋_GB2312" w:hAnsi="Calibri" w:eastAsia="仿宋_GB2312" w:cs="Times New Roman"/>
          <w:b w:val="0"/>
          <w:bCs/>
          <w:sz w:val="32"/>
          <w:szCs w:val="32"/>
          <w:lang w:eastAsia="zh-CN"/>
        </w:rPr>
        <w:t>深化媒体合作。</w:t>
      </w:r>
      <w:r>
        <w:rPr>
          <w:rFonts w:hint="eastAsia" w:eastAsia="仿宋_GB2312"/>
          <w:b w:val="0"/>
          <w:bCs/>
          <w:sz w:val="32"/>
          <w:szCs w:val="32"/>
          <w:lang w:val="en-US" w:eastAsia="zh-CN"/>
        </w:rPr>
        <w:t>深化与人民网、封面新闻、自贡日报等中省市媒体合作，</w:t>
      </w:r>
      <w:r>
        <w:rPr>
          <w:rFonts w:hint="eastAsia" w:eastAsia="仿宋_GB2312"/>
          <w:b w:val="0"/>
          <w:bCs/>
          <w:color w:val="auto"/>
          <w:sz w:val="32"/>
          <w:szCs w:val="32"/>
          <w:lang w:val="en-US" w:eastAsia="zh-CN"/>
        </w:rPr>
        <w:t>统筹</w:t>
      </w:r>
      <w:r>
        <w:rPr>
          <w:rFonts w:hint="eastAsia" w:eastAsia="仿宋_GB2312"/>
          <w:b w:val="0"/>
          <w:color w:val="auto"/>
          <w:sz w:val="32"/>
          <w:szCs w:val="32"/>
          <w:lang w:val="en-US" w:eastAsia="zh-CN"/>
        </w:rPr>
        <w:t>聚合新闻外宣资源，举办“四川省第十一届乡村文化旅游节”等新闻发布会4场。</w:t>
      </w:r>
      <w:r>
        <w:rPr>
          <w:rFonts w:hint="eastAsia" w:eastAsia="仿宋_GB2312"/>
          <w:b/>
          <w:bCs/>
          <w:color w:val="auto"/>
          <w:sz w:val="32"/>
          <w:szCs w:val="32"/>
          <w:lang w:eastAsia="zh-CN"/>
        </w:rPr>
        <w:t>二是</w:t>
      </w:r>
      <w:r>
        <w:rPr>
          <w:rFonts w:eastAsia="仿宋_GB2312"/>
          <w:b w:val="0"/>
          <w:bCs w:val="0"/>
          <w:color w:val="auto"/>
          <w:sz w:val="32"/>
          <w:szCs w:val="32"/>
        </w:rPr>
        <w:t>壮大主流思想舆论。</w:t>
      </w:r>
      <w:r>
        <w:rPr>
          <w:rFonts w:hint="eastAsia" w:eastAsia="仿宋_GB2312"/>
          <w:b w:val="0"/>
          <w:bCs w:val="0"/>
          <w:color w:val="auto"/>
          <w:sz w:val="32"/>
          <w:szCs w:val="32"/>
        </w:rPr>
        <w:t>聚焦我区中心工作及经济社会事业发展工作成效，围绕“脱贫攻坚”“三创联动”“疫情防控”等适时联动中省媒体推出《自贡自流井：“一港一区一基地”建设助力高质量发展》等新闻报道3000余篇次。《自流井：不一样的防控宣传一样的用“新”入心》新闻稿在人民日报、新华网客户端刊发，点击量达70余万人次。</w:t>
      </w:r>
      <w:r>
        <w:rPr>
          <w:rFonts w:hint="eastAsia" w:ascii="仿宋_GB2312" w:hAnsi="仿宋_GB2312" w:eastAsia="仿宋_GB2312" w:cs="仿宋_GB2312"/>
          <w:b w:val="0"/>
          <w:bCs w:val="0"/>
          <w:color w:val="auto"/>
          <w:sz w:val="32"/>
          <w:szCs w:val="32"/>
        </w:rPr>
        <w:t>新华社客户端</w:t>
      </w:r>
      <w:r>
        <w:rPr>
          <w:rFonts w:hint="eastAsia" w:ascii="仿宋_GB2312" w:eastAsia="仿宋_GB2312"/>
          <w:b w:val="0"/>
          <w:bCs w:val="0"/>
          <w:color w:val="auto"/>
          <w:sz w:val="32"/>
          <w:szCs w:val="32"/>
        </w:rPr>
        <w:t>刊发《自贡自流井：疫情严防控 企业复工忙》，单条点击量达43万人</w:t>
      </w:r>
      <w:r>
        <w:rPr>
          <w:rFonts w:hint="eastAsia" w:ascii="仿宋_GB2312" w:eastAsia="仿宋_GB2312"/>
          <w:b w:val="0"/>
          <w:bCs w:val="0"/>
          <w:color w:val="auto"/>
          <w:sz w:val="32"/>
          <w:szCs w:val="32"/>
          <w:lang w:eastAsia="zh-CN"/>
        </w:rPr>
        <w:t>。</w:t>
      </w:r>
      <w:r>
        <w:rPr>
          <w:rFonts w:hint="eastAsia" w:eastAsia="仿宋_GB2312"/>
          <w:b/>
          <w:bCs/>
          <w:color w:val="auto"/>
          <w:sz w:val="32"/>
          <w:szCs w:val="32"/>
          <w:lang w:eastAsia="zh-CN"/>
        </w:rPr>
        <w:t>三是</w:t>
      </w:r>
      <w:r>
        <w:rPr>
          <w:rFonts w:hint="eastAsia" w:eastAsia="仿宋_GB2312"/>
          <w:b w:val="0"/>
          <w:bCs w:val="0"/>
          <w:color w:val="auto"/>
          <w:sz w:val="32"/>
          <w:szCs w:val="32"/>
          <w:lang w:eastAsia="zh-CN"/>
        </w:rPr>
        <w:t>精心制作融媒产品。</w:t>
      </w:r>
      <w:r>
        <w:rPr>
          <w:rFonts w:hint="eastAsia" w:eastAsia="仿宋_GB2312"/>
          <w:b w:val="0"/>
          <w:bCs w:val="0"/>
          <w:color w:val="auto"/>
          <w:sz w:val="32"/>
          <w:szCs w:val="32"/>
          <w:lang w:val="en-US" w:eastAsia="zh-CN"/>
        </w:rPr>
        <w:t>策划制作10万+融媒产品</w:t>
      </w:r>
      <w:r>
        <w:rPr>
          <w:rFonts w:hint="eastAsia" w:ascii="仿宋_GB2312" w:eastAsia="仿宋_GB2312"/>
          <w:b w:val="0"/>
          <w:bCs w:val="0"/>
          <w:color w:val="auto"/>
          <w:sz w:val="32"/>
          <w:szCs w:val="32"/>
        </w:rPr>
        <w:t>《防范舆情 从我做起》H5</w:t>
      </w: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rPr>
        <w:t>新冠肺炎网上知识问答活动小程序</w:t>
      </w:r>
      <w:r>
        <w:rPr>
          <w:rFonts w:hint="eastAsia" w:ascii="仿宋_GB2312" w:eastAsia="仿宋_GB2312"/>
          <w:b w:val="0"/>
          <w:bCs w:val="0"/>
          <w:color w:val="auto"/>
          <w:sz w:val="32"/>
          <w:szCs w:val="32"/>
          <w:lang w:val="en-US" w:eastAsia="zh-CN"/>
        </w:rPr>
        <w:t>等</w:t>
      </w:r>
      <w:r>
        <w:rPr>
          <w:rFonts w:hint="eastAsia" w:eastAsia="仿宋_GB2312"/>
          <w:b w:val="0"/>
          <w:bCs w:val="0"/>
          <w:color w:val="auto"/>
          <w:sz w:val="32"/>
          <w:szCs w:val="32"/>
          <w:lang w:val="en-US" w:eastAsia="zh-CN"/>
        </w:rPr>
        <w:t>，营造</w:t>
      </w:r>
      <w:r>
        <w:rPr>
          <w:rFonts w:hint="eastAsia" w:eastAsia="仿宋_GB2312"/>
          <w:b w:val="0"/>
          <w:bCs w:val="0"/>
          <w:color w:val="auto"/>
          <w:sz w:val="32"/>
          <w:szCs w:val="32"/>
        </w:rPr>
        <w:t>团结鼓劲、凝聚能量</w:t>
      </w:r>
      <w:r>
        <w:rPr>
          <w:rFonts w:hint="eastAsia" w:eastAsia="仿宋_GB2312"/>
          <w:b w:val="0"/>
          <w:bCs w:val="0"/>
          <w:color w:val="auto"/>
          <w:sz w:val="32"/>
          <w:szCs w:val="32"/>
          <w:lang w:val="en-US" w:eastAsia="zh-CN"/>
        </w:rPr>
        <w:t>的正能量宣传氛围</w:t>
      </w:r>
      <w:r>
        <w:rPr>
          <w:rFonts w:hint="eastAsia" w:eastAsia="仿宋_GB2312"/>
          <w:b w:val="0"/>
          <w:bCs w:val="0"/>
          <w:color w:val="auto"/>
          <w:sz w:val="32"/>
          <w:szCs w:val="32"/>
        </w:rPr>
        <w:t>。</w:t>
      </w:r>
      <w:r>
        <w:rPr>
          <w:rFonts w:hint="eastAsia" w:ascii="仿宋_GB2312" w:eastAsia="仿宋_GB2312"/>
          <w:b w:val="0"/>
          <w:bCs w:val="0"/>
          <w:color w:val="auto"/>
          <w:sz w:val="32"/>
          <w:szCs w:val="32"/>
        </w:rPr>
        <w:t>2月，我区在全省183个县（区）中县级传播力指数赞同度列第9位（全市第一）</w:t>
      </w:r>
      <w:r>
        <w:rPr>
          <w:rFonts w:hint="eastAsia" w:ascii="仿宋_GB2312" w:eastAsia="仿宋_GB2312"/>
          <w:b w:val="0"/>
          <w:bCs w:val="0"/>
          <w:color w:val="auto"/>
          <w:sz w:val="32"/>
          <w:szCs w:val="32"/>
          <w:lang w:eastAsia="zh-CN"/>
        </w:rPr>
        <w:t>。</w:t>
      </w:r>
      <w:r>
        <w:rPr>
          <w:rFonts w:hint="eastAsia" w:eastAsia="仿宋_GB2312"/>
          <w:b w:val="0"/>
          <w:bCs w:val="0"/>
          <w:color w:val="auto"/>
          <w:sz w:val="32"/>
          <w:szCs w:val="32"/>
        </w:rPr>
        <w:t>策划推出《主播看四川-乡村振兴区县行》《全国“扫黄打非”示范点宣传视频》等融媒产品10余个，充分展示全区工作成效和特色亮点。</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592" w:lineRule="exact"/>
        <w:ind w:firstLine="640" w:firstLineChars="200"/>
        <w:textAlignment w:val="auto"/>
        <w:rPr>
          <w:rFonts w:hint="eastAsia" w:ascii="仿宋" w:hAnsi="仿宋" w:eastAsia="仿宋"/>
          <w:bCs/>
          <w:color w:val="000000"/>
          <w:sz w:val="32"/>
          <w:szCs w:val="32"/>
        </w:rPr>
      </w:pPr>
      <w:r>
        <w:rPr>
          <w:rFonts w:hint="eastAsia" w:ascii="楷体_GB2312" w:hAnsi="楷体_GB2312" w:eastAsia="楷体_GB2312" w:cs="楷体_GB2312"/>
          <w:b w:val="0"/>
          <w:bCs w:val="0"/>
          <w:i w:val="0"/>
          <w:caps w:val="0"/>
          <w:color w:val="000000"/>
          <w:spacing w:val="0"/>
          <w:kern w:val="0"/>
          <w:sz w:val="32"/>
          <w:szCs w:val="32"/>
          <w:shd w:val="clear" w:fill="FFFFFF"/>
          <w:lang w:val="en-US" w:eastAsia="zh-CN" w:bidi="ar-SA"/>
        </w:rPr>
        <w:t>（4</w:t>
      </w:r>
      <w:r>
        <w:rPr>
          <w:rFonts w:hint="eastAsia" w:ascii="楷体_GB2312" w:hAnsi="楷体_GB2312" w:eastAsia="楷体_GB2312" w:cs="楷体_GB2312"/>
          <w:b w:val="0"/>
          <w:bCs w:val="0"/>
          <w:i w:val="0"/>
          <w:caps w:val="0"/>
          <w:color w:val="auto"/>
          <w:spacing w:val="0"/>
          <w:kern w:val="0"/>
          <w:sz w:val="32"/>
          <w:szCs w:val="32"/>
          <w:shd w:val="clear" w:fill="FFFFFF"/>
          <w:lang w:val="en-US" w:eastAsia="zh-CN" w:bidi="ar-SA"/>
        </w:rPr>
        <w:t>）</w:t>
      </w:r>
      <w:r>
        <w:rPr>
          <w:rFonts w:hint="eastAsia" w:ascii="楷体_GB2312" w:hAnsi="楷体_GB2312" w:eastAsia="楷体_GB2312" w:cs="楷体_GB2312"/>
          <w:b w:val="0"/>
          <w:bCs w:val="0"/>
          <w:i w:val="0"/>
          <w:caps w:val="0"/>
          <w:color w:val="auto"/>
          <w:spacing w:val="0"/>
          <w:sz w:val="32"/>
          <w:szCs w:val="32"/>
        </w:rPr>
        <w:t>自信自觉促繁荣，文化惠民实践性持续创新。</w:t>
      </w: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b w:val="0"/>
          <w:bCs w:val="0"/>
          <w:sz w:val="32"/>
          <w:szCs w:val="32"/>
          <w:lang w:eastAsia="zh-CN"/>
        </w:rPr>
        <w:t>抓好群众文化活动。</w:t>
      </w:r>
      <w:r>
        <w:rPr>
          <w:rFonts w:hint="eastAsia" w:ascii="Times New Roman" w:hAnsi="Times New Roman" w:eastAsia="仿宋_GB2312" w:cs="仿宋_GB2312"/>
          <w:b w:val="0"/>
          <w:bCs w:val="0"/>
          <w:color w:val="auto"/>
          <w:sz w:val="32"/>
          <w:szCs w:val="32"/>
          <w:lang w:val="en-US" w:eastAsia="zh-CN"/>
        </w:rPr>
        <w:t>组织开展文化科技卫生“三下乡”等活</w:t>
      </w:r>
      <w:r>
        <w:rPr>
          <w:rFonts w:hint="eastAsia" w:ascii="Times New Roman" w:hAnsi="Times New Roman" w:eastAsia="仿宋_GB2312" w:cs="仿宋_GB2312"/>
          <w:color w:val="auto"/>
          <w:sz w:val="32"/>
          <w:szCs w:val="32"/>
          <w:lang w:val="en-US" w:eastAsia="zh-CN"/>
        </w:rPr>
        <w:t>动30余场。深入开展文化惠民扶贫专项工作，组织开展“文明新盐都•快乐自贡人”“全民阅读•书香盐都”等文化活动。深化开展农家书屋改革创新提升服务效能、农村公益电影放映、城市影院的监管和指导等工作</w:t>
      </w:r>
      <w:r>
        <w:rPr>
          <w:rFonts w:hint="eastAsia" w:ascii="仿宋" w:hAnsi="仿宋" w:eastAsia="仿宋" w:cs="仿宋_GB2312"/>
          <w:kern w:val="0"/>
          <w:sz w:val="32"/>
          <w:szCs w:val="32"/>
          <w:lang w:val="en-US" w:eastAsia="zh-CN"/>
        </w:rPr>
        <w:t>。</w:t>
      </w:r>
      <w:r>
        <w:rPr>
          <w:rFonts w:hint="eastAsia" w:ascii="仿宋" w:hAnsi="仿宋" w:eastAsia="仿宋" w:cs="仿宋"/>
          <w:b/>
          <w:bCs/>
          <w:kern w:val="0"/>
          <w:sz w:val="32"/>
          <w:szCs w:val="32"/>
          <w:lang w:val="en-US" w:eastAsia="zh-CN"/>
        </w:rPr>
        <w:t>二是</w:t>
      </w:r>
      <w:r>
        <w:rPr>
          <w:rFonts w:hint="eastAsia" w:ascii="Times New Roman" w:hAnsi="Times New Roman" w:eastAsia="仿宋_GB2312" w:cs="仿宋_GB2312"/>
          <w:color w:val="auto"/>
          <w:sz w:val="32"/>
          <w:szCs w:val="32"/>
          <w:lang w:val="en-US" w:eastAsia="zh-CN"/>
        </w:rPr>
        <w:t>深入推进新闻出版工作。</w:t>
      </w:r>
      <w:r>
        <w:rPr>
          <w:rFonts w:hint="eastAsia" w:ascii="仿宋_GB2312" w:hAnsi="仿宋_GB2312" w:eastAsia="仿宋_GB2312" w:cs="仿宋_GB2312"/>
          <w:b w:val="0"/>
          <w:bCs w:val="0"/>
          <w:sz w:val="32"/>
          <w:szCs w:val="32"/>
          <w:lang w:val="en-US" w:eastAsia="zh-CN"/>
        </w:rPr>
        <w:t>对辖区内印刷复制经营单位及出版物市场进行联合检查5次，查处盗版光碟总计1000余张；</w:t>
      </w:r>
      <w:r>
        <w:rPr>
          <w:rFonts w:hint="eastAsia" w:ascii="Times New Roman" w:eastAsia="仿宋_GB2312"/>
          <w:sz w:val="32"/>
          <w:szCs w:val="32"/>
          <w:lang w:eastAsia="zh-CN"/>
        </w:rPr>
        <w:t>会同区公安分局、区教育局、</w:t>
      </w:r>
      <w:r>
        <w:rPr>
          <w:rFonts w:hint="eastAsia" w:ascii="仿宋_GB2312" w:hAnsi="仿宋_GB2312" w:eastAsia="仿宋_GB2312" w:cs="仿宋_GB2312"/>
          <w:sz w:val="32"/>
          <w:szCs w:val="32"/>
          <w:lang w:val="en-US" w:eastAsia="zh-CN"/>
        </w:rPr>
        <w:t>区文化执法大队</w:t>
      </w:r>
      <w:r>
        <w:rPr>
          <w:rFonts w:hint="eastAsia" w:ascii="Times New Roman" w:eastAsia="仿宋_GB2312"/>
          <w:sz w:val="32"/>
          <w:szCs w:val="32"/>
          <w:lang w:eastAsia="zh-CN"/>
        </w:rPr>
        <w:t>等单位</w:t>
      </w:r>
      <w:r>
        <w:rPr>
          <w:rFonts w:hint="eastAsia" w:ascii="仿宋_GB2312" w:hAnsi="仿宋_GB2312" w:eastAsia="仿宋_GB2312" w:cs="仿宋_GB2312"/>
          <w:sz w:val="32"/>
          <w:szCs w:val="32"/>
          <w:lang w:val="en-US" w:eastAsia="zh-CN"/>
        </w:rPr>
        <w:t>联合开展打击网络侵权盗版专项治理“剑网2020”专项行动，出动执法人员300余人次网下巡查，开展网络巡查100余次，检查辖区相关企业40余家次，下发隐患整改通知18份，排除网络安全隐患20余个。</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进一步夯实“扫黄打非”工作。全面推进基层网格站点规范化标准化建设，积极推进</w:t>
      </w:r>
      <w:r>
        <w:rPr>
          <w:rFonts w:hint="eastAsia" w:ascii="仿宋_GB2312" w:hAnsi="仿宋_GB2312" w:eastAsia="仿宋_GB2312" w:cs="仿宋_GB2312"/>
          <w:bCs/>
          <w:sz w:val="32"/>
          <w:szCs w:val="32"/>
          <w:shd w:val="clear" w:color="auto" w:fill="FFFFFF"/>
          <w:lang w:val="en-US" w:eastAsia="zh-CN"/>
        </w:rPr>
        <w:t>“扫黄打非”先进基层示范点工作，顺利接受</w:t>
      </w:r>
      <w:r>
        <w:rPr>
          <w:rFonts w:hint="eastAsia" w:ascii="仿宋_GB2312" w:hAnsi="仿宋_GB2312" w:eastAsia="仿宋_GB2312" w:cs="仿宋_GB2312"/>
          <w:bCs/>
          <w:sz w:val="32"/>
          <w:szCs w:val="32"/>
          <w:shd w:val="clear" w:color="auto" w:fill="FFFFFF"/>
          <w:lang w:eastAsia="zh-CN"/>
        </w:rPr>
        <w:t>全国“扫黄打非”办专家组莅区检查复核富台山社区“扫黄打非”工作站全国示范点创建</w:t>
      </w:r>
      <w:r>
        <w:rPr>
          <w:rFonts w:hint="eastAsia" w:ascii="仿宋_GB2312" w:hAnsi="仿宋_GB2312" w:eastAsia="仿宋_GB2312" w:cs="仿宋_GB2312"/>
          <w:bCs/>
          <w:sz w:val="32"/>
          <w:szCs w:val="32"/>
          <w:shd w:val="clear" w:color="auto" w:fill="FFFFFF"/>
          <w:lang w:val="en-US" w:eastAsia="zh-CN"/>
        </w:rPr>
        <w:t>验收</w:t>
      </w:r>
      <w:r>
        <w:rPr>
          <w:rFonts w:hint="eastAsia" w:ascii="仿宋_GB2312" w:hAnsi="仿宋_GB2312" w:eastAsia="仿宋_GB2312" w:cs="仿宋_GB2312"/>
          <w:bCs/>
          <w:sz w:val="32"/>
          <w:szCs w:val="32"/>
          <w:shd w:val="clear" w:color="auto" w:fill="FFFFFF"/>
          <w:lang w:eastAsia="zh-CN"/>
        </w:rPr>
        <w:t>。</w:t>
      </w:r>
    </w:p>
    <w:p>
      <w:pPr>
        <w:pStyle w:val="4"/>
        <w:rPr>
          <w:rStyle w:val="15"/>
          <w:b w:val="0"/>
          <w:bCs w:val="0"/>
        </w:rPr>
      </w:pPr>
      <w:bookmarkStart w:id="8" w:name="_Toc15377200"/>
      <w:bookmarkStart w:id="9" w:name="_Toc6092"/>
      <w:bookmarkStart w:id="10" w:name="_Toc15396601"/>
      <w:r>
        <w:rPr>
          <w:rFonts w:hint="eastAsia" w:ascii="黑体" w:eastAsia="黑体"/>
          <w:b w:val="0"/>
          <w:color w:val="000000"/>
        </w:rPr>
        <w:t>二、</w:t>
      </w:r>
      <w:r>
        <w:rPr>
          <w:rFonts w:hint="eastAsia" w:ascii="黑体" w:hAnsi="黑体" w:eastAsia="黑体"/>
          <w:b w:val="0"/>
          <w:color w:val="000000"/>
        </w:rPr>
        <w:t>机</w:t>
      </w:r>
      <w:r>
        <w:rPr>
          <w:rStyle w:val="15"/>
          <w:rFonts w:hint="eastAsia" w:ascii="黑体" w:hAnsi="黑体" w:eastAsia="黑体"/>
          <w:b w:val="0"/>
          <w:bCs w:val="0"/>
        </w:rPr>
        <w:t>构设置</w:t>
      </w:r>
      <w:bookmarkEnd w:id="8"/>
      <w:bookmarkEnd w:id="9"/>
      <w:bookmarkEnd w:id="10"/>
    </w:p>
    <w:p>
      <w:pPr>
        <w:ind w:firstLine="800" w:firstLineChars="250"/>
        <w:rPr>
          <w:rFonts w:ascii="仿宋" w:hAnsi="仿宋" w:eastAsia="仿宋"/>
          <w:color w:val="000000"/>
          <w:kern w:val="0"/>
          <w:sz w:val="32"/>
          <w:szCs w:val="32"/>
        </w:rPr>
      </w:pPr>
      <w:r>
        <w:rPr>
          <w:rFonts w:hint="eastAsia" w:ascii="仿宋" w:hAnsi="仿宋" w:eastAsia="仿宋"/>
          <w:sz w:val="32"/>
          <w:szCs w:val="32"/>
          <w:lang w:eastAsia="zh-CN"/>
        </w:rPr>
        <w:t>中共自贡市自流井区委员会宣传部</w:t>
      </w:r>
      <w:r>
        <w:rPr>
          <w:rFonts w:hint="eastAsia" w:ascii="仿宋" w:hAnsi="仿宋" w:eastAsia="仿宋"/>
          <w:sz w:val="32"/>
          <w:szCs w:val="32"/>
        </w:rPr>
        <w:t>下属二级单位</w:t>
      </w:r>
      <w:r>
        <w:rPr>
          <w:rFonts w:hint="eastAsia" w:ascii="仿宋" w:hAnsi="仿宋" w:eastAsia="仿宋"/>
          <w:sz w:val="32"/>
          <w:szCs w:val="32"/>
          <w:lang w:val="en-US" w:eastAsia="zh-CN"/>
        </w:rPr>
        <w:t>0</w:t>
      </w:r>
      <w:r>
        <w:rPr>
          <w:rFonts w:hint="eastAsia" w:ascii="仿宋" w:hAnsi="仿宋" w:eastAsia="仿宋"/>
          <w:sz w:val="32"/>
          <w:szCs w:val="32"/>
        </w:rPr>
        <w:t>个</w:t>
      </w:r>
      <w:r>
        <w:rPr>
          <w:rFonts w:hint="eastAsia" w:ascii="仿宋" w:hAnsi="仿宋" w:eastAsia="仿宋"/>
          <w:sz w:val="32"/>
          <w:szCs w:val="32"/>
          <w:lang w:eastAsia="zh-CN"/>
        </w:rPr>
        <w:t>（含主管局本级）</w:t>
      </w:r>
      <w:r>
        <w:rPr>
          <w:rFonts w:hint="eastAsia" w:ascii="仿宋" w:hAnsi="仿宋" w:eastAsia="仿宋"/>
          <w:sz w:val="32"/>
          <w:szCs w:val="32"/>
        </w:rPr>
        <w:t>，其中行政单位</w:t>
      </w:r>
      <w:r>
        <w:rPr>
          <w:rFonts w:hint="eastAsia" w:ascii="仿宋" w:hAnsi="仿宋" w:eastAsia="仿宋"/>
          <w:sz w:val="32"/>
          <w:szCs w:val="32"/>
          <w:lang w:val="en-US" w:eastAsia="zh-CN"/>
        </w:rPr>
        <w:t>0</w:t>
      </w:r>
      <w:r>
        <w:rPr>
          <w:rFonts w:hint="eastAsia" w:ascii="仿宋" w:hAnsi="仿宋" w:eastAsia="仿宋"/>
          <w:sz w:val="32"/>
          <w:szCs w:val="32"/>
        </w:rPr>
        <w:t>个，参照公务员法管理的事业单位</w:t>
      </w:r>
      <w:r>
        <w:rPr>
          <w:rFonts w:hint="eastAsia" w:ascii="仿宋" w:hAnsi="仿宋" w:eastAsia="仿宋"/>
          <w:bCs/>
          <w:sz w:val="32"/>
          <w:szCs w:val="32"/>
          <w:lang w:val="en-US" w:eastAsia="zh-CN"/>
        </w:rPr>
        <w:t>0</w:t>
      </w:r>
      <w:r>
        <w:rPr>
          <w:rFonts w:hint="eastAsia" w:ascii="仿宋" w:hAnsi="仿宋" w:eastAsia="仿宋"/>
          <w:sz w:val="32"/>
          <w:szCs w:val="32"/>
        </w:rPr>
        <w:t>个，其他事业单位</w:t>
      </w:r>
      <w:r>
        <w:rPr>
          <w:rFonts w:hint="eastAsia" w:ascii="仿宋" w:hAnsi="仿宋" w:eastAsia="仿宋"/>
          <w:sz w:val="32"/>
          <w:szCs w:val="32"/>
          <w:lang w:val="en-US" w:eastAsia="zh-CN"/>
        </w:rPr>
        <w:t>0</w:t>
      </w:r>
      <w:r>
        <w:rPr>
          <w:rFonts w:hint="eastAsia" w:ascii="仿宋" w:hAnsi="仿宋" w:eastAsia="仿宋"/>
          <w:sz w:val="32"/>
          <w:szCs w:val="32"/>
        </w:rPr>
        <w:t>个。</w:t>
      </w:r>
      <w:r>
        <w:rPr>
          <w:rFonts w:ascii="仿宋" w:hAnsi="仿宋" w:eastAsia="仿宋"/>
          <w:color w:val="000000"/>
          <w:sz w:val="32"/>
          <w:szCs w:val="32"/>
        </w:rPr>
        <w:br w:type="page"/>
      </w:r>
    </w:p>
    <w:p>
      <w:pPr>
        <w:pStyle w:val="3"/>
        <w:ind w:right="440"/>
        <w:jc w:val="right"/>
        <w:rPr>
          <w:rStyle w:val="14"/>
          <w:rFonts w:ascii="黑体" w:hAnsi="黑体" w:eastAsia="黑体"/>
          <w:b w:val="0"/>
          <w:bCs w:val="0"/>
        </w:rPr>
      </w:pPr>
      <w:bookmarkStart w:id="11" w:name="_Toc15396602"/>
      <w:bookmarkStart w:id="12" w:name="_Toc23109"/>
      <w:bookmarkStart w:id="13" w:name="_Toc15377204"/>
      <w:r>
        <w:rPr>
          <w:rFonts w:hint="eastAsia" w:ascii="黑体" w:hAnsi="黑体" w:eastAsia="黑体"/>
          <w:b w:val="0"/>
          <w:color w:val="000000"/>
        </w:rPr>
        <w:t>第二部分</w:t>
      </w:r>
      <w:r>
        <w:rPr>
          <w:rFonts w:ascii="黑体" w:hAnsi="黑体" w:eastAsia="黑体"/>
          <w:color w:val="000000"/>
        </w:rPr>
        <w:t xml:space="preserve"> </w:t>
      </w:r>
      <w:r>
        <w:rPr>
          <w:rStyle w:val="14"/>
          <w:rFonts w:ascii="黑体" w:hAnsi="黑体" w:eastAsia="黑体"/>
          <w:b w:val="0"/>
          <w:bCs w:val="0"/>
        </w:rPr>
        <w:t>2020</w:t>
      </w:r>
      <w:r>
        <w:rPr>
          <w:rStyle w:val="14"/>
          <w:rFonts w:hint="eastAsia" w:ascii="黑体" w:hAnsi="黑体" w:eastAsia="黑体"/>
          <w:b w:val="0"/>
          <w:bCs w:val="0"/>
        </w:rPr>
        <w:t>年度部门决算情况说明</w:t>
      </w:r>
      <w:bookmarkEnd w:id="11"/>
      <w:bookmarkEnd w:id="12"/>
      <w:bookmarkEnd w:id="13"/>
    </w:p>
    <w:p/>
    <w:p>
      <w:pPr>
        <w:pStyle w:val="16"/>
        <w:numPr>
          <w:ilvl w:val="0"/>
          <w:numId w:val="1"/>
        </w:numPr>
        <w:spacing w:line="600" w:lineRule="exact"/>
        <w:ind w:firstLineChars="0"/>
        <w:outlineLvl w:val="1"/>
        <w:rPr>
          <w:rStyle w:val="15"/>
          <w:rFonts w:ascii="黑体" w:hAnsi="黑体" w:eastAsia="黑体"/>
          <w:b w:val="0"/>
        </w:rPr>
      </w:pPr>
      <w:bookmarkStart w:id="14" w:name="_Toc15396603"/>
      <w:bookmarkStart w:id="15" w:name="_Toc15377205"/>
      <w:bookmarkStart w:id="16" w:name="_Toc7163"/>
      <w:r>
        <w:rPr>
          <w:rFonts w:hint="eastAsia" w:ascii="黑体" w:hAnsi="黑体" w:eastAsia="黑体"/>
          <w:color w:val="000000"/>
          <w:sz w:val="32"/>
          <w:szCs w:val="32"/>
        </w:rPr>
        <w:t>收</w:t>
      </w:r>
      <w:r>
        <w:rPr>
          <w:rStyle w:val="15"/>
          <w:rFonts w:hint="eastAsia" w:ascii="黑体" w:hAnsi="黑体" w:eastAsia="黑体"/>
          <w:b w:val="0"/>
        </w:rPr>
        <w:t>入支出决算总体情况说明</w:t>
      </w:r>
      <w:bookmarkEnd w:id="14"/>
      <w:bookmarkEnd w:id="15"/>
      <w:bookmarkEnd w:id="16"/>
    </w:p>
    <w:p>
      <w:pPr>
        <w:spacing w:line="600" w:lineRule="exact"/>
        <w:ind w:firstLine="640" w:firstLineChars="200"/>
        <w:rPr>
          <w:rFonts w:hint="eastAsia" w:ascii="仿宋" w:hAnsi="仿宋" w:eastAsia="仿宋"/>
          <w:color w:val="000000"/>
          <w:sz w:val="32"/>
          <w:szCs w:val="32"/>
          <w:lang w:eastAsia="zh-CN"/>
        </w:rPr>
      </w:pPr>
      <w:r>
        <w:rPr>
          <w:rFonts w:ascii="仿宋" w:hAnsi="仿宋" w:eastAsia="仿宋"/>
          <w:color w:val="000000"/>
          <w:sz w:val="32"/>
          <w:szCs w:val="32"/>
        </w:rPr>
        <w:t>2020</w:t>
      </w:r>
      <w:r>
        <w:rPr>
          <w:rFonts w:hint="eastAsia" w:ascii="仿宋" w:hAnsi="仿宋" w:eastAsia="仿宋"/>
          <w:color w:val="000000"/>
          <w:sz w:val="32"/>
          <w:szCs w:val="32"/>
        </w:rPr>
        <w:t>年度收、支总计</w:t>
      </w:r>
      <w:r>
        <w:rPr>
          <w:rFonts w:hint="eastAsia" w:ascii="仿宋" w:hAnsi="仿宋" w:eastAsia="仿宋"/>
          <w:color w:val="000000"/>
          <w:sz w:val="32"/>
          <w:szCs w:val="32"/>
          <w:lang w:val="en-US" w:eastAsia="zh-CN"/>
        </w:rPr>
        <w:t>921.65</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年相比，收、支总计各减少</w:t>
      </w:r>
      <w:r>
        <w:rPr>
          <w:rFonts w:hint="eastAsia" w:ascii="仿宋" w:hAnsi="仿宋" w:eastAsia="仿宋"/>
          <w:color w:val="000000"/>
          <w:sz w:val="32"/>
          <w:szCs w:val="32"/>
          <w:lang w:val="en-US" w:eastAsia="zh-CN"/>
        </w:rPr>
        <w:t>258.86</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21.93</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缩减开支。</w:t>
      </w:r>
    </w:p>
    <w:p>
      <w:pPr>
        <w:pStyle w:val="2"/>
        <w:rPr>
          <w:rFonts w:hint="eastAsia"/>
          <w:lang w:eastAsia="zh-CN"/>
        </w:rPr>
      </w:pPr>
    </w:p>
    <w:p>
      <w:pPr>
        <w:pStyle w:val="2"/>
        <w:ind w:left="0" w:leftChars="0" w:firstLine="0" w:firstLineChars="0"/>
        <w:rPr>
          <w:rFonts w:hint="eastAsia"/>
          <w:lang w:eastAsia="zh-CN"/>
        </w:rPr>
      </w:pPr>
      <w:r>
        <w:drawing>
          <wp:inline distT="0" distB="0" distL="114300" distR="114300">
            <wp:extent cx="4572000" cy="2301875"/>
            <wp:effectExtent l="4445" t="4445" r="14605" b="17780"/>
            <wp:docPr id="10"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：收、支决算总计变动情况图）（柱状图）</w:t>
      </w:r>
    </w:p>
    <w:p>
      <w:pPr>
        <w:spacing w:line="600" w:lineRule="exact"/>
        <w:ind w:firstLine="640" w:firstLineChars="200"/>
        <w:jc w:val="left"/>
        <w:rPr>
          <w:rFonts w:ascii="仿宋_GB2312" w:eastAsia="仿宋_GB2312"/>
          <w:color w:val="000000"/>
          <w:sz w:val="32"/>
          <w:szCs w:val="32"/>
        </w:rPr>
      </w:pPr>
    </w:p>
    <w:p>
      <w:pPr>
        <w:pStyle w:val="16"/>
        <w:numPr>
          <w:ilvl w:val="0"/>
          <w:numId w:val="1"/>
        </w:numPr>
        <w:spacing w:line="600" w:lineRule="exact"/>
        <w:ind w:firstLineChars="0"/>
        <w:outlineLvl w:val="1"/>
        <w:rPr>
          <w:rStyle w:val="15"/>
          <w:rFonts w:ascii="黑体" w:hAnsi="黑体" w:eastAsia="黑体"/>
          <w:b w:val="0"/>
        </w:rPr>
      </w:pPr>
      <w:bookmarkStart w:id="17" w:name="_Toc25258"/>
      <w:bookmarkStart w:id="18" w:name="_Toc15377206"/>
      <w:bookmarkStart w:id="19" w:name="_Toc15396604"/>
      <w:r>
        <w:rPr>
          <w:rFonts w:hint="eastAsia" w:ascii="黑体" w:hAnsi="黑体" w:eastAsia="黑体"/>
          <w:color w:val="000000"/>
          <w:sz w:val="32"/>
          <w:szCs w:val="32"/>
        </w:rPr>
        <w:t>收</w:t>
      </w:r>
      <w:r>
        <w:rPr>
          <w:rStyle w:val="15"/>
          <w:rFonts w:hint="eastAsia" w:ascii="黑体" w:hAnsi="黑体" w:eastAsia="黑体"/>
          <w:b w:val="0"/>
        </w:rPr>
        <w:t>入决算情况说明</w:t>
      </w:r>
      <w:bookmarkEnd w:id="17"/>
      <w:bookmarkEnd w:id="18"/>
      <w:bookmarkEnd w:id="19"/>
    </w:p>
    <w:p>
      <w:pPr>
        <w:spacing w:line="600" w:lineRule="exact"/>
        <w:ind w:firstLine="640" w:firstLineChars="200"/>
        <w:outlineLvl w:val="9"/>
        <w:rPr>
          <w:rFonts w:hint="eastAsia"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年本年收入合计</w:t>
      </w:r>
      <w:r>
        <w:rPr>
          <w:rFonts w:hint="eastAsia" w:ascii="仿宋" w:hAnsi="仿宋" w:eastAsia="仿宋"/>
          <w:color w:val="000000"/>
          <w:sz w:val="32"/>
          <w:szCs w:val="32"/>
          <w:lang w:val="en-US" w:eastAsia="zh-CN"/>
        </w:rPr>
        <w:t>826.76</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700.30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84.70</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126.46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15.30</w:t>
      </w:r>
      <w:r>
        <w:rPr>
          <w:rFonts w:ascii="仿宋" w:hAnsi="仿宋" w:eastAsia="仿宋"/>
          <w:color w:val="000000"/>
          <w:sz w:val="32"/>
          <w:szCs w:val="32"/>
        </w:rPr>
        <w:t>%</w:t>
      </w:r>
      <w:r>
        <w:rPr>
          <w:rFonts w:hint="eastAsia" w:ascii="仿宋" w:hAnsi="仿宋" w:eastAsia="仿宋"/>
          <w:color w:val="000000"/>
          <w:sz w:val="32"/>
          <w:szCs w:val="32"/>
        </w:rPr>
        <w:t>；上级补助收入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pStyle w:val="2"/>
        <w:ind w:left="0" w:leftChars="0" w:firstLine="0" w:firstLineChars="0"/>
      </w:pPr>
      <w:r>
        <w:drawing>
          <wp:inline distT="0" distB="0" distL="114300" distR="114300">
            <wp:extent cx="4020185" cy="2524125"/>
            <wp:effectExtent l="4445" t="4445" r="13970" b="5080"/>
            <wp:docPr id="13"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640" w:firstLineChars="200"/>
        <w:outlineLvl w:val="1"/>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：收入决算结构图）（饼状图）</w:t>
      </w:r>
    </w:p>
    <w:p>
      <w:pPr>
        <w:spacing w:line="600" w:lineRule="exact"/>
        <w:ind w:firstLine="640" w:firstLineChars="200"/>
        <w:rPr>
          <w:rFonts w:ascii="仿宋_GB2312" w:eastAsia="仿宋_GB2312"/>
          <w:color w:val="FF0000"/>
          <w:sz w:val="32"/>
          <w:szCs w:val="32"/>
        </w:rPr>
      </w:pPr>
    </w:p>
    <w:p>
      <w:pPr>
        <w:pStyle w:val="16"/>
        <w:numPr>
          <w:ilvl w:val="0"/>
          <w:numId w:val="1"/>
        </w:numPr>
        <w:spacing w:line="600" w:lineRule="exact"/>
        <w:ind w:firstLineChars="0"/>
        <w:outlineLvl w:val="1"/>
        <w:rPr>
          <w:rStyle w:val="15"/>
          <w:rFonts w:ascii="黑体" w:hAnsi="黑体" w:eastAsia="黑体"/>
          <w:b w:val="0"/>
        </w:rPr>
      </w:pPr>
      <w:bookmarkStart w:id="20" w:name="_Toc15396605"/>
      <w:bookmarkStart w:id="21" w:name="_Toc15377207"/>
      <w:bookmarkStart w:id="22" w:name="_Toc13725"/>
      <w:r>
        <w:rPr>
          <w:rFonts w:hint="eastAsia" w:ascii="黑体" w:hAnsi="黑体" w:eastAsia="黑体"/>
          <w:color w:val="000000"/>
          <w:sz w:val="32"/>
          <w:szCs w:val="32"/>
        </w:rPr>
        <w:t>支</w:t>
      </w:r>
      <w:r>
        <w:rPr>
          <w:rStyle w:val="15"/>
          <w:rFonts w:hint="eastAsia" w:ascii="黑体" w:hAnsi="黑体" w:eastAsia="黑体"/>
          <w:b w:val="0"/>
        </w:rPr>
        <w:t>出决算情况说明</w:t>
      </w:r>
      <w:bookmarkEnd w:id="20"/>
      <w:bookmarkEnd w:id="21"/>
      <w:bookmarkEnd w:id="22"/>
    </w:p>
    <w:p>
      <w:pPr>
        <w:spacing w:line="600" w:lineRule="exact"/>
        <w:ind w:firstLine="640" w:firstLineChars="200"/>
        <w:outlineLvl w:val="9"/>
        <w:rPr>
          <w:rFonts w:hint="eastAsia"/>
        </w:rPr>
      </w:pPr>
      <w:r>
        <w:rPr>
          <w:rFonts w:ascii="仿宋" w:hAnsi="仿宋" w:eastAsia="仿宋"/>
          <w:color w:val="000000"/>
          <w:sz w:val="32"/>
          <w:szCs w:val="32"/>
        </w:rPr>
        <w:t>2020</w:t>
      </w:r>
      <w:r>
        <w:rPr>
          <w:rFonts w:hint="eastAsia" w:ascii="仿宋" w:hAnsi="仿宋" w:eastAsia="仿宋"/>
          <w:color w:val="000000"/>
          <w:sz w:val="32"/>
          <w:szCs w:val="32"/>
        </w:rPr>
        <w:t>年本年支出合计</w:t>
      </w:r>
      <w:r>
        <w:rPr>
          <w:rFonts w:hint="eastAsia" w:ascii="仿宋" w:hAnsi="仿宋" w:eastAsia="仿宋"/>
          <w:color w:val="000000"/>
          <w:sz w:val="32"/>
          <w:szCs w:val="32"/>
          <w:lang w:val="en-US" w:eastAsia="zh-CN"/>
        </w:rPr>
        <w:t>897.81</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328.62</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36.60</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569.19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63.40</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pStyle w:val="2"/>
        <w:spacing w:line="240" w:lineRule="auto"/>
        <w:ind w:left="0" w:leftChars="0" w:firstLine="0" w:firstLineChars="0"/>
      </w:pPr>
    </w:p>
    <w:p>
      <w:pPr>
        <w:spacing w:line="240" w:lineRule="auto"/>
        <w:ind w:firstLine="640"/>
        <w:outlineLvl w:val="9"/>
        <w:rPr>
          <w:rFonts w:ascii="仿宋" w:hAnsi="仿宋" w:eastAsia="仿宋"/>
          <w:color w:val="000000"/>
          <w:sz w:val="32"/>
          <w:szCs w:val="32"/>
          <w:shd w:val="pct10" w:color="auto" w:fill="FFFFFF"/>
        </w:rPr>
      </w:pPr>
      <w:r>
        <w:drawing>
          <wp:inline distT="0" distB="0" distL="114300" distR="114300">
            <wp:extent cx="4072255" cy="2198370"/>
            <wp:effectExtent l="4445" t="4445" r="19050" b="6985"/>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240" w:lineRule="auto"/>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：支出决算结构图）（饼状图）</w:t>
      </w: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15"/>
          <w:rFonts w:ascii="黑体" w:hAnsi="黑体" w:eastAsia="黑体"/>
          <w:b w:val="0"/>
        </w:rPr>
      </w:pPr>
      <w:bookmarkStart w:id="23" w:name="_Toc15396606"/>
      <w:bookmarkStart w:id="24" w:name="_Toc15377208"/>
      <w:bookmarkStart w:id="25" w:name="_Toc10354"/>
      <w:r>
        <w:rPr>
          <w:rFonts w:hint="eastAsia" w:ascii="黑体" w:hAnsi="黑体" w:eastAsia="黑体"/>
          <w:color w:val="000000"/>
          <w:sz w:val="32"/>
          <w:szCs w:val="32"/>
        </w:rPr>
        <w:t>四、财</w:t>
      </w:r>
      <w:r>
        <w:rPr>
          <w:rStyle w:val="15"/>
          <w:rFonts w:hint="eastAsia" w:ascii="黑体" w:hAnsi="黑体" w:eastAsia="黑体"/>
          <w:b w:val="0"/>
        </w:rPr>
        <w:t>政拨款收入支出决算总体情况说明</w:t>
      </w:r>
      <w:bookmarkEnd w:id="23"/>
      <w:bookmarkEnd w:id="24"/>
      <w:bookmarkEnd w:id="25"/>
    </w:p>
    <w:p>
      <w:pPr>
        <w:spacing w:line="600" w:lineRule="exact"/>
        <w:ind w:firstLine="640"/>
        <w:rPr>
          <w:rFonts w:hint="eastAsia" w:ascii="仿宋" w:hAnsi="仿宋" w:eastAsia="仿宋"/>
          <w:color w:val="000000"/>
          <w:sz w:val="32"/>
          <w:szCs w:val="32"/>
          <w:lang w:eastAsia="zh-CN"/>
        </w:rPr>
      </w:pPr>
      <w:r>
        <w:rPr>
          <w:rFonts w:ascii="仿宋" w:hAnsi="仿宋" w:eastAsia="仿宋"/>
          <w:color w:val="000000"/>
          <w:sz w:val="32"/>
          <w:szCs w:val="32"/>
        </w:rPr>
        <w:t>2020</w:t>
      </w:r>
      <w:r>
        <w:rPr>
          <w:rFonts w:hint="eastAsia" w:ascii="仿宋" w:hAnsi="仿宋" w:eastAsia="仿宋"/>
          <w:color w:val="000000"/>
          <w:sz w:val="32"/>
          <w:szCs w:val="32"/>
        </w:rPr>
        <w:t>年财政拨款收、支总计</w:t>
      </w:r>
      <w:r>
        <w:rPr>
          <w:rFonts w:hint="eastAsia" w:ascii="仿宋" w:hAnsi="仿宋" w:eastAsia="仿宋"/>
          <w:color w:val="000000"/>
          <w:sz w:val="32"/>
          <w:szCs w:val="32"/>
          <w:lang w:val="en-US" w:eastAsia="zh-CN"/>
        </w:rPr>
        <w:t>921.65</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年相比，财政拨款收、支总计各减少</w:t>
      </w:r>
      <w:r>
        <w:rPr>
          <w:rFonts w:hint="eastAsia" w:ascii="仿宋" w:hAnsi="仿宋" w:eastAsia="仿宋"/>
          <w:color w:val="000000"/>
          <w:sz w:val="32"/>
          <w:szCs w:val="32"/>
          <w:lang w:val="en-US" w:eastAsia="zh-CN"/>
        </w:rPr>
        <w:t>258.86</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21.93</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缩减项目经费。</w:t>
      </w:r>
    </w:p>
    <w:p>
      <w:pPr>
        <w:pStyle w:val="2"/>
        <w:rPr>
          <w:rFonts w:hint="eastAsia"/>
          <w:lang w:eastAsia="zh-CN"/>
        </w:rPr>
      </w:pPr>
    </w:p>
    <w:p>
      <w:pPr>
        <w:pStyle w:val="2"/>
        <w:ind w:left="0" w:leftChars="0" w:firstLine="0" w:firstLineChars="0"/>
        <w:rPr>
          <w:rFonts w:hint="eastAsia"/>
          <w:lang w:eastAsia="zh-CN"/>
        </w:rPr>
      </w:pPr>
      <w:r>
        <w:drawing>
          <wp:inline distT="0" distB="0" distL="114300" distR="114300">
            <wp:extent cx="5257800" cy="2743200"/>
            <wp:effectExtent l="4445" t="4445" r="14605" b="14605"/>
            <wp:docPr id="6"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：财政拨款收、支决算总计变动情况）（柱状图）</w:t>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15"/>
          <w:rFonts w:ascii="黑体" w:hAnsi="黑体" w:eastAsia="黑体"/>
          <w:b w:val="0"/>
        </w:rPr>
      </w:pPr>
      <w:bookmarkStart w:id="26" w:name="_Toc10967"/>
      <w:bookmarkStart w:id="27" w:name="_Toc15396607"/>
      <w:bookmarkStart w:id="28" w:name="_Toc15377209"/>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5"/>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 w:val="32"/>
          <w:szCs w:val="32"/>
        </w:rPr>
      </w:pPr>
      <w:bookmarkStart w:id="29" w:name="_Toc15377210"/>
      <w:r>
        <w:rPr>
          <w:rFonts w:hint="eastAsia" w:ascii="仿宋" w:hAnsi="仿宋" w:eastAsia="仿宋"/>
          <w:b/>
          <w:color w:val="000000"/>
          <w:sz w:val="32"/>
          <w:szCs w:val="32"/>
        </w:rPr>
        <w:t>（一）一般公共预算财政拨款支出决算总体情况</w:t>
      </w:r>
      <w:bookmarkEnd w:id="29"/>
    </w:p>
    <w:p>
      <w:pPr>
        <w:spacing w:line="600" w:lineRule="exact"/>
        <w:ind w:firstLine="640" w:firstLineChars="200"/>
        <w:rPr>
          <w:rFonts w:hint="eastAsia" w:ascii="仿宋" w:hAnsi="仿宋" w:eastAsia="仿宋"/>
          <w:color w:val="000000"/>
          <w:sz w:val="32"/>
          <w:szCs w:val="32"/>
          <w:lang w:eastAsia="zh-CN"/>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708.76</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78.94</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2019</w:t>
      </w:r>
      <w:r>
        <w:rPr>
          <w:rFonts w:hint="eastAsia" w:ascii="仿宋" w:hAnsi="仿宋" w:eastAsia="仿宋"/>
          <w:color w:val="000000"/>
          <w:sz w:val="32"/>
          <w:szCs w:val="32"/>
        </w:rPr>
        <w:t>年相比，一般公共预算财政拨款减少</w:t>
      </w:r>
      <w:r>
        <w:rPr>
          <w:rFonts w:hint="eastAsia" w:ascii="仿宋" w:hAnsi="仿宋" w:eastAsia="仿宋"/>
          <w:color w:val="000000"/>
          <w:sz w:val="32"/>
          <w:szCs w:val="32"/>
          <w:lang w:val="en-US" w:eastAsia="zh-CN"/>
        </w:rPr>
        <w:t>291.97</w:t>
      </w:r>
      <w:r>
        <w:rPr>
          <w:rFonts w:hint="eastAsia" w:ascii="仿宋" w:hAnsi="仿宋" w:eastAsia="仿宋"/>
          <w:color w:val="000000"/>
          <w:sz w:val="32"/>
          <w:szCs w:val="32"/>
        </w:rPr>
        <w:t>万元，增长</w:t>
      </w:r>
      <w:r>
        <w:rPr>
          <w:rFonts w:ascii="仿宋" w:hAnsi="仿宋" w:eastAsia="仿宋"/>
          <w:color w:val="000000"/>
          <w:sz w:val="32"/>
          <w:szCs w:val="32"/>
        </w:rPr>
        <w:t>/</w:t>
      </w:r>
      <w:r>
        <w:rPr>
          <w:rFonts w:hint="eastAsia" w:ascii="仿宋" w:hAnsi="仿宋" w:eastAsia="仿宋"/>
          <w:color w:val="000000"/>
          <w:sz w:val="32"/>
          <w:szCs w:val="32"/>
        </w:rPr>
        <w:t>下降</w:t>
      </w:r>
      <w:r>
        <w:rPr>
          <w:rFonts w:hint="eastAsia" w:ascii="仿宋" w:hAnsi="仿宋" w:eastAsia="仿宋"/>
          <w:color w:val="000000"/>
          <w:sz w:val="32"/>
          <w:szCs w:val="32"/>
          <w:lang w:val="en-US" w:eastAsia="zh-CN"/>
        </w:rPr>
        <w:t>29.18</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项目经费缩减。</w:t>
      </w:r>
    </w:p>
    <w:p>
      <w:pPr>
        <w:pStyle w:val="2"/>
        <w:ind w:left="0" w:leftChars="0" w:firstLine="0" w:firstLineChars="0"/>
        <w:rPr>
          <w:rFonts w:hint="eastAsia"/>
          <w:lang w:eastAsia="zh-CN"/>
        </w:rPr>
      </w:pPr>
      <w:r>
        <w:drawing>
          <wp:inline distT="0" distB="0" distL="114300" distR="114300">
            <wp:extent cx="5257800" cy="2743200"/>
            <wp:effectExtent l="4445" t="4445" r="14605" b="14605"/>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：一般公共预算财政拨款支出决算变动情况）（柱状图）</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0" w:name="_Toc15377211"/>
      <w:r>
        <w:rPr>
          <w:rFonts w:hint="eastAsia" w:ascii="仿宋" w:hAnsi="仿宋" w:eastAsia="仿宋"/>
          <w:b/>
          <w:color w:val="000000"/>
          <w:sz w:val="32"/>
          <w:szCs w:val="32"/>
        </w:rPr>
        <w:t>（二）一般公共预算财政拨款支出决算结构情况</w:t>
      </w:r>
      <w:bookmarkEnd w:id="30"/>
    </w:p>
    <w:p>
      <w:pPr>
        <w:spacing w:line="240" w:lineRule="auto"/>
        <w:ind w:firstLine="640" w:firstLineChars="200"/>
        <w:outlineLvl w:val="2"/>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708.76</w:t>
      </w:r>
      <w:r>
        <w:rPr>
          <w:rFonts w:hint="eastAsia" w:ascii="仿宋" w:hAnsi="仿宋" w:eastAsia="仿宋"/>
          <w:color w:val="000000"/>
          <w:sz w:val="32"/>
          <w:szCs w:val="32"/>
        </w:rPr>
        <w:t>万元，主要用于以下方面</w:t>
      </w:r>
      <w:r>
        <w:rPr>
          <w:rFonts w:ascii="仿宋" w:hAnsi="仿宋" w:eastAsia="仿宋"/>
          <w:color w:val="000000"/>
          <w:sz w:val="32"/>
          <w:szCs w:val="32"/>
        </w:rPr>
        <w:t>:</w:t>
      </w:r>
      <w:r>
        <w:rPr>
          <w:rFonts w:hint="eastAsia" w:ascii="仿宋" w:hAnsi="仿宋" w:eastAsia="仿宋"/>
          <w:b/>
          <w:color w:val="000000"/>
          <w:sz w:val="32"/>
          <w:szCs w:val="32"/>
        </w:rPr>
        <w:t>一般公共服务（类）</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654.56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92.35</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文化旅游体育与传媒（类）</w:t>
      </w:r>
      <w:r>
        <w:rPr>
          <w:rFonts w:hint="eastAsia" w:ascii="仿宋" w:hAnsi="仿宋" w:eastAsia="仿宋" w:cs="Times New Roman"/>
          <w:color w:val="000000"/>
          <w:sz w:val="32"/>
          <w:szCs w:val="32"/>
        </w:rPr>
        <w:t>支出</w:t>
      </w:r>
      <w:r>
        <w:rPr>
          <w:rFonts w:hint="eastAsia" w:ascii="仿宋" w:hAnsi="仿宋" w:eastAsia="仿宋" w:cs="Times New Roman"/>
          <w:color w:val="000000"/>
          <w:sz w:val="32"/>
          <w:szCs w:val="32"/>
          <w:lang w:val="en-US" w:eastAsia="zh-CN"/>
        </w:rPr>
        <w:t>23.64</w:t>
      </w:r>
      <w:r>
        <w:rPr>
          <w:rFonts w:hint="eastAsia" w:ascii="仿宋" w:hAnsi="仿宋" w:eastAsia="仿宋" w:cs="Times New Roman"/>
          <w:color w:val="000000"/>
          <w:sz w:val="32"/>
          <w:szCs w:val="32"/>
        </w:rPr>
        <w:t>万元</w:t>
      </w:r>
      <w:r>
        <w:rPr>
          <w:rFonts w:hint="eastAsia" w:ascii="仿宋" w:hAnsi="仿宋" w:eastAsia="仿宋" w:cs="Times New Roman"/>
          <w:b w:val="0"/>
          <w:bCs/>
          <w:color w:val="000000"/>
          <w:sz w:val="32"/>
          <w:szCs w:val="32"/>
        </w:rPr>
        <w:t>，占</w:t>
      </w:r>
      <w:r>
        <w:rPr>
          <w:rFonts w:hint="eastAsia" w:ascii="仿宋" w:hAnsi="仿宋" w:eastAsia="仿宋" w:cs="Times New Roman"/>
          <w:b w:val="0"/>
          <w:bCs/>
          <w:color w:val="000000"/>
          <w:sz w:val="32"/>
          <w:szCs w:val="32"/>
          <w:lang w:val="en-US" w:eastAsia="zh-CN"/>
        </w:rPr>
        <w:t>3.34</w:t>
      </w:r>
      <w:r>
        <w:rPr>
          <w:rFonts w:hint="eastAsia" w:ascii="仿宋" w:hAnsi="仿宋" w:eastAsia="仿宋" w:cs="Times New Roman"/>
          <w:b w:val="0"/>
          <w:bCs/>
          <w:color w:val="000000"/>
          <w:sz w:val="32"/>
          <w:szCs w:val="32"/>
        </w:rPr>
        <w:t>%；</w:t>
      </w:r>
      <w:r>
        <w:rPr>
          <w:rFonts w:hint="eastAsia" w:ascii="仿宋" w:hAnsi="仿宋" w:eastAsia="仿宋"/>
          <w:b/>
          <w:color w:val="000000"/>
          <w:sz w:val="32"/>
          <w:szCs w:val="32"/>
        </w:rPr>
        <w:t>社会保障和就业（类）</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14.15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2.0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卫生健康支出</w:t>
      </w:r>
      <w:r>
        <w:rPr>
          <w:rFonts w:hint="eastAsia" w:ascii="仿宋" w:hAnsi="仿宋" w:eastAsia="仿宋"/>
          <w:color w:val="000000"/>
          <w:sz w:val="32"/>
          <w:szCs w:val="32"/>
          <w:lang w:val="en-US" w:eastAsia="zh-CN"/>
        </w:rPr>
        <w:t>6.55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0.92</w:t>
      </w:r>
      <w:r>
        <w:rPr>
          <w:rFonts w:ascii="仿宋" w:hAnsi="仿宋" w:eastAsia="仿宋"/>
          <w:color w:val="000000"/>
          <w:sz w:val="32"/>
          <w:szCs w:val="32"/>
        </w:rPr>
        <w:t>%</w:t>
      </w:r>
      <w:r>
        <w:rPr>
          <w:rFonts w:hint="eastAsia" w:ascii="仿宋" w:hAnsi="仿宋" w:eastAsia="仿宋"/>
          <w:color w:val="000000"/>
          <w:sz w:val="32"/>
          <w:szCs w:val="32"/>
        </w:rPr>
        <w:t>；住房保障支出</w:t>
      </w:r>
      <w:r>
        <w:rPr>
          <w:rFonts w:hint="eastAsia" w:ascii="仿宋" w:hAnsi="仿宋" w:eastAsia="仿宋"/>
          <w:color w:val="000000"/>
          <w:sz w:val="32"/>
          <w:szCs w:val="32"/>
          <w:lang w:val="en-US" w:eastAsia="zh-CN"/>
        </w:rPr>
        <w:t>9.86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1.39</w:t>
      </w:r>
      <w:r>
        <w:rPr>
          <w:rFonts w:ascii="仿宋" w:hAnsi="仿宋" w:eastAsia="仿宋"/>
          <w:color w:val="000000"/>
          <w:sz w:val="32"/>
          <w:szCs w:val="32"/>
        </w:rPr>
        <w:t>%</w:t>
      </w:r>
      <w:r>
        <w:rPr>
          <w:rFonts w:hint="eastAsia" w:ascii="仿宋" w:hAnsi="仿宋" w:eastAsia="仿宋"/>
          <w:color w:val="000000"/>
          <w:sz w:val="32"/>
          <w:szCs w:val="32"/>
        </w:rPr>
        <w:t>。</w:t>
      </w:r>
      <w:r>
        <w:drawing>
          <wp:inline distT="0" distB="0" distL="114300" distR="114300">
            <wp:extent cx="5257800" cy="2743200"/>
            <wp:effectExtent l="4445" t="4445" r="14605" b="14605"/>
            <wp:docPr id="8"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240" w:lineRule="auto"/>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：一般公共预算财政拨款支出决算结构）（饼状图）</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1" w:name="_Toc15377212"/>
      <w:r>
        <w:rPr>
          <w:rFonts w:hint="eastAsia" w:ascii="仿宋" w:hAnsi="仿宋" w:eastAsia="仿宋"/>
          <w:b/>
          <w:color w:val="000000"/>
          <w:sz w:val="32"/>
          <w:szCs w:val="32"/>
        </w:rPr>
        <w:t>（三）一般公共预算财政拨款支出决算具体情况</w:t>
      </w:r>
      <w:bookmarkEnd w:id="31"/>
    </w:p>
    <w:p>
      <w:pPr>
        <w:spacing w:line="600" w:lineRule="exact"/>
        <w:ind w:firstLine="643" w:firstLineChars="200"/>
        <w:outlineLvl w:val="9"/>
        <w:rPr>
          <w:rFonts w:ascii="仿宋" w:hAnsi="仿宋" w:eastAsia="仿宋"/>
          <w:color w:val="FF0000"/>
          <w:sz w:val="32"/>
          <w:szCs w:val="32"/>
        </w:rPr>
      </w:pPr>
      <w:bookmarkStart w:id="32" w:name="_Toc15378460"/>
      <w:bookmarkStart w:id="33" w:name="_Toc15377444"/>
      <w:bookmarkStart w:id="34" w:name="_Toc15377213"/>
      <w:r>
        <w:rPr>
          <w:rFonts w:ascii="仿宋" w:hAnsi="仿宋" w:eastAsia="仿宋"/>
          <w:b/>
          <w:color w:val="000000"/>
          <w:sz w:val="32"/>
          <w:szCs w:val="32"/>
        </w:rPr>
        <w:t>2020</w:t>
      </w:r>
      <w:r>
        <w:rPr>
          <w:rFonts w:hint="eastAsia" w:ascii="仿宋" w:hAnsi="仿宋" w:eastAsia="仿宋"/>
          <w:b/>
          <w:color w:val="000000"/>
          <w:sz w:val="32"/>
          <w:szCs w:val="32"/>
        </w:rPr>
        <w:t>年一般公共预算支出决算数为</w:t>
      </w:r>
      <w:r>
        <w:rPr>
          <w:rFonts w:hint="eastAsia" w:ascii="仿宋" w:hAnsi="仿宋" w:eastAsia="仿宋"/>
          <w:b/>
          <w:color w:val="000000"/>
          <w:sz w:val="32"/>
          <w:szCs w:val="32"/>
          <w:lang w:val="en-US" w:eastAsia="zh-CN"/>
        </w:rPr>
        <w:t>708.75万元</w:t>
      </w:r>
      <w:r>
        <w:rPr>
          <w:rFonts w:hint="eastAsia" w:ascii="仿宋" w:hAnsi="仿宋" w:eastAsia="仿宋"/>
          <w:color w:val="000000"/>
          <w:sz w:val="32"/>
          <w:szCs w:val="32"/>
        </w:rPr>
        <w:t>，</w:t>
      </w:r>
      <w:r>
        <w:rPr>
          <w:rStyle w:val="12"/>
          <w:rFonts w:hint="eastAsia" w:ascii="仿宋" w:hAnsi="仿宋" w:eastAsia="仿宋"/>
          <w:bCs/>
          <w:color w:val="000000"/>
          <w:sz w:val="32"/>
          <w:szCs w:val="32"/>
        </w:rPr>
        <w:t>完成预算</w:t>
      </w:r>
      <w:r>
        <w:rPr>
          <w:rStyle w:val="12"/>
          <w:rFonts w:hint="eastAsia" w:ascii="仿宋" w:hAnsi="仿宋" w:eastAsia="仿宋"/>
          <w:bCs/>
          <w:color w:val="000000"/>
          <w:sz w:val="32"/>
          <w:szCs w:val="32"/>
          <w:lang w:val="en-US" w:eastAsia="zh-CN"/>
        </w:rPr>
        <w:t>99.74</w:t>
      </w:r>
      <w:r>
        <w:rPr>
          <w:rStyle w:val="12"/>
          <w:rFonts w:ascii="仿宋" w:hAnsi="仿宋" w:eastAsia="仿宋"/>
          <w:bCs/>
          <w:color w:val="000000"/>
          <w:sz w:val="32"/>
          <w:szCs w:val="32"/>
        </w:rPr>
        <w:t>%</w:t>
      </w:r>
      <w:r>
        <w:rPr>
          <w:rStyle w:val="12"/>
          <w:rFonts w:hint="eastAsia" w:ascii="仿宋" w:hAnsi="仿宋" w:eastAsia="仿宋"/>
          <w:bCs/>
          <w:color w:val="000000"/>
          <w:sz w:val="32"/>
          <w:szCs w:val="32"/>
        </w:rPr>
        <w:t>。其中：</w:t>
      </w:r>
      <w:bookmarkEnd w:id="32"/>
      <w:bookmarkEnd w:id="33"/>
      <w:bookmarkEnd w:id="34"/>
    </w:p>
    <w:p>
      <w:pPr>
        <w:spacing w:line="600" w:lineRule="exact"/>
        <w:ind w:firstLine="643" w:firstLineChars="200"/>
        <w:rPr>
          <w:rStyle w:val="12"/>
          <w:rFonts w:ascii="仿宋" w:hAnsi="仿宋" w:eastAsia="仿宋"/>
          <w:b w:val="0"/>
          <w:bCs/>
          <w:color w:val="000000"/>
          <w:sz w:val="32"/>
          <w:szCs w:val="32"/>
        </w:rPr>
      </w:pPr>
      <w:r>
        <w:rPr>
          <w:rStyle w:val="12"/>
          <w:rFonts w:ascii="仿宋" w:hAnsi="仿宋" w:eastAsia="仿宋"/>
          <w:bCs/>
          <w:color w:val="000000"/>
          <w:sz w:val="32"/>
          <w:szCs w:val="32"/>
        </w:rPr>
        <w:t>1.</w:t>
      </w:r>
      <w:r>
        <w:rPr>
          <w:rStyle w:val="12"/>
          <w:rFonts w:hint="eastAsia" w:ascii="仿宋" w:hAnsi="仿宋" w:eastAsia="仿宋"/>
          <w:bCs/>
          <w:color w:val="000000"/>
          <w:sz w:val="32"/>
          <w:szCs w:val="32"/>
        </w:rPr>
        <w:t>一般公共服务（类）宣传事务（款）行政运行（宣传）（项）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119</w:t>
      </w:r>
      <w:r>
        <w:rPr>
          <w:rStyle w:val="12"/>
          <w:rFonts w:hint="eastAsia" w:ascii="仿宋" w:hAnsi="仿宋" w:eastAsia="仿宋"/>
          <w:b w:val="0"/>
          <w:bCs/>
          <w:color w:val="000000"/>
          <w:sz w:val="32"/>
          <w:szCs w:val="32"/>
        </w:rPr>
        <w:t>.</w:t>
      </w:r>
      <w:r>
        <w:rPr>
          <w:rStyle w:val="12"/>
          <w:rFonts w:hint="eastAsia" w:ascii="仿宋" w:hAnsi="仿宋" w:eastAsia="仿宋"/>
          <w:b w:val="0"/>
          <w:bCs/>
          <w:color w:val="000000"/>
          <w:sz w:val="32"/>
          <w:szCs w:val="32"/>
          <w:lang w:val="en-US" w:eastAsia="zh-CN"/>
        </w:rPr>
        <w:t>22</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Style w:val="12"/>
          <w:rFonts w:hint="eastAsia" w:ascii="仿宋" w:hAnsi="仿宋" w:eastAsia="仿宋"/>
          <w:b w:val="0"/>
          <w:bCs/>
          <w:color w:val="000000"/>
          <w:sz w:val="32"/>
          <w:szCs w:val="32"/>
        </w:rPr>
      </w:pPr>
      <w:r>
        <w:rPr>
          <w:rStyle w:val="12"/>
          <w:rFonts w:hint="eastAsia" w:ascii="仿宋" w:hAnsi="仿宋" w:eastAsia="仿宋"/>
          <w:bCs/>
          <w:color w:val="000000"/>
          <w:sz w:val="32"/>
          <w:szCs w:val="32"/>
        </w:rPr>
        <w:t>2.一般公共服务（类）宣传事务（款）</w:t>
      </w:r>
      <w:r>
        <w:rPr>
          <w:rStyle w:val="12"/>
          <w:rFonts w:hint="eastAsia" w:ascii="仿宋" w:hAnsi="仿宋" w:eastAsia="仿宋"/>
          <w:bCs/>
          <w:color w:val="000000"/>
          <w:sz w:val="32"/>
          <w:szCs w:val="32"/>
          <w:lang w:eastAsia="zh-CN"/>
        </w:rPr>
        <w:t>事业运行</w:t>
      </w:r>
      <w:r>
        <w:rPr>
          <w:rStyle w:val="12"/>
          <w:rFonts w:hint="eastAsia" w:ascii="仿宋" w:hAnsi="仿宋" w:eastAsia="仿宋"/>
          <w:bCs/>
          <w:color w:val="000000"/>
          <w:sz w:val="32"/>
          <w:szCs w:val="32"/>
        </w:rPr>
        <w:t>（宣传）（项）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6</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，决算数小于预算数的主要原因是项目支出结转和结余增加。</w:t>
      </w:r>
    </w:p>
    <w:p>
      <w:pPr>
        <w:spacing w:line="600" w:lineRule="exact"/>
        <w:ind w:firstLine="643" w:firstLineChars="200"/>
      </w:pPr>
      <w:r>
        <w:rPr>
          <w:rStyle w:val="12"/>
          <w:rFonts w:hint="eastAsia" w:ascii="仿宋" w:hAnsi="仿宋" w:eastAsia="仿宋"/>
          <w:bCs/>
          <w:color w:val="000000"/>
          <w:sz w:val="32"/>
          <w:szCs w:val="32"/>
          <w:lang w:val="en-US" w:eastAsia="zh-CN"/>
        </w:rPr>
        <w:t>3</w:t>
      </w:r>
      <w:r>
        <w:rPr>
          <w:rStyle w:val="12"/>
          <w:rFonts w:ascii="仿宋" w:hAnsi="仿宋" w:eastAsia="仿宋"/>
          <w:bCs/>
          <w:color w:val="000000"/>
          <w:sz w:val="32"/>
          <w:szCs w:val="32"/>
        </w:rPr>
        <w:t>.</w:t>
      </w:r>
      <w:r>
        <w:rPr>
          <w:rStyle w:val="12"/>
          <w:rFonts w:hint="eastAsia" w:ascii="仿宋" w:hAnsi="仿宋" w:eastAsia="仿宋"/>
          <w:bCs/>
          <w:color w:val="000000"/>
          <w:sz w:val="32"/>
          <w:szCs w:val="32"/>
        </w:rPr>
        <w:t>一般公共服务（类）宣传事务（款）</w:t>
      </w:r>
      <w:r>
        <w:rPr>
          <w:rStyle w:val="12"/>
          <w:rFonts w:hint="eastAsia" w:ascii="仿宋" w:hAnsi="仿宋" w:eastAsia="仿宋"/>
          <w:bCs/>
          <w:color w:val="000000"/>
          <w:sz w:val="32"/>
          <w:szCs w:val="32"/>
          <w:lang w:eastAsia="zh-CN"/>
        </w:rPr>
        <w:t>其他宣传事务支出</w:t>
      </w:r>
      <w:r>
        <w:rPr>
          <w:rStyle w:val="12"/>
          <w:rFonts w:hint="eastAsia" w:ascii="仿宋" w:hAnsi="仿宋" w:eastAsia="仿宋"/>
          <w:bCs/>
          <w:color w:val="000000"/>
          <w:sz w:val="32"/>
          <w:szCs w:val="32"/>
        </w:rPr>
        <w:t>（宣传）（项）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529.33</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Style w:val="12"/>
          <w:rFonts w:ascii="仿宋" w:hAnsi="仿宋" w:eastAsia="仿宋"/>
          <w:b w:val="0"/>
          <w:bCs/>
          <w:color w:val="000000"/>
          <w:sz w:val="32"/>
          <w:szCs w:val="32"/>
        </w:rPr>
      </w:pPr>
      <w:r>
        <w:rPr>
          <w:rStyle w:val="12"/>
          <w:rFonts w:hint="eastAsia" w:ascii="仿宋" w:hAnsi="仿宋" w:eastAsia="仿宋"/>
          <w:bCs/>
          <w:color w:val="000000"/>
          <w:sz w:val="32"/>
          <w:szCs w:val="32"/>
          <w:lang w:val="en-US" w:eastAsia="zh-CN"/>
        </w:rPr>
        <w:t>4</w:t>
      </w:r>
      <w:r>
        <w:rPr>
          <w:rStyle w:val="12"/>
          <w:rFonts w:hint="eastAsia" w:ascii="仿宋" w:hAnsi="仿宋" w:eastAsia="仿宋"/>
          <w:bCs/>
          <w:color w:val="000000"/>
          <w:sz w:val="32"/>
          <w:szCs w:val="32"/>
        </w:rPr>
        <w:t>.文化旅游体育与传媒（类）文化和旅游（款）其他文化和旅游支出（项）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6</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，决算数小于</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等于预算数的主要原因是其他文化和旅游支出减少；</w:t>
      </w:r>
    </w:p>
    <w:p>
      <w:pPr>
        <w:spacing w:line="600" w:lineRule="exact"/>
        <w:ind w:firstLine="643" w:firstLineChars="200"/>
        <w:rPr>
          <w:rStyle w:val="12"/>
          <w:rFonts w:hint="eastAsia" w:ascii="仿宋" w:hAnsi="仿宋" w:eastAsia="仿宋"/>
          <w:b w:val="0"/>
          <w:bCs/>
          <w:color w:val="000000"/>
          <w:sz w:val="32"/>
          <w:szCs w:val="32"/>
        </w:rPr>
      </w:pPr>
      <w:r>
        <w:rPr>
          <w:rStyle w:val="12"/>
          <w:rFonts w:hint="eastAsia" w:ascii="仿宋" w:hAnsi="仿宋" w:eastAsia="仿宋"/>
          <w:bCs/>
          <w:color w:val="000000"/>
          <w:sz w:val="32"/>
          <w:szCs w:val="32"/>
          <w:lang w:val="en-US" w:eastAsia="zh-CN"/>
        </w:rPr>
        <w:t>5</w:t>
      </w:r>
      <w:r>
        <w:rPr>
          <w:rStyle w:val="12"/>
          <w:rFonts w:hint="eastAsia" w:ascii="仿宋" w:hAnsi="仿宋" w:eastAsia="仿宋"/>
          <w:bCs/>
          <w:color w:val="000000"/>
          <w:sz w:val="32"/>
          <w:szCs w:val="32"/>
        </w:rPr>
        <w:t>.文化旅游体育与传媒（类）</w:t>
      </w:r>
      <w:r>
        <w:rPr>
          <w:rStyle w:val="12"/>
          <w:rFonts w:hint="eastAsia" w:ascii="仿宋" w:hAnsi="仿宋" w:eastAsia="仿宋"/>
          <w:bCs/>
          <w:color w:val="000000"/>
          <w:sz w:val="32"/>
          <w:szCs w:val="32"/>
          <w:lang w:eastAsia="zh-CN"/>
        </w:rPr>
        <w:t>新闻出版电影</w:t>
      </w:r>
      <w:r>
        <w:rPr>
          <w:rStyle w:val="12"/>
          <w:rFonts w:hint="eastAsia" w:ascii="仿宋" w:hAnsi="仿宋" w:eastAsia="仿宋"/>
          <w:bCs/>
          <w:color w:val="000000"/>
          <w:sz w:val="32"/>
          <w:szCs w:val="32"/>
        </w:rPr>
        <w:t>（款）</w:t>
      </w:r>
      <w:r>
        <w:rPr>
          <w:rStyle w:val="12"/>
          <w:rFonts w:hint="eastAsia" w:ascii="仿宋" w:hAnsi="仿宋" w:eastAsia="仿宋"/>
          <w:bCs/>
          <w:color w:val="000000"/>
          <w:sz w:val="32"/>
          <w:szCs w:val="32"/>
          <w:lang w:eastAsia="zh-CN"/>
        </w:rPr>
        <w:t>电影</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11.09</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Style w:val="12"/>
          <w:rFonts w:hint="eastAsia" w:ascii="仿宋" w:hAnsi="仿宋" w:eastAsia="仿宋"/>
          <w:b w:val="0"/>
          <w:bCs/>
          <w:color w:val="000000"/>
          <w:sz w:val="32"/>
          <w:szCs w:val="32"/>
          <w:lang w:val="en-US" w:eastAsia="zh-CN"/>
        </w:rPr>
      </w:pPr>
      <w:r>
        <w:rPr>
          <w:rStyle w:val="12"/>
          <w:rFonts w:hint="eastAsia" w:ascii="仿宋" w:hAnsi="仿宋" w:eastAsia="仿宋"/>
          <w:bCs/>
          <w:color w:val="000000"/>
          <w:sz w:val="32"/>
          <w:szCs w:val="32"/>
          <w:lang w:val="en-US" w:eastAsia="zh-CN"/>
        </w:rPr>
        <w:t>6</w:t>
      </w:r>
      <w:r>
        <w:rPr>
          <w:rStyle w:val="12"/>
          <w:rFonts w:hint="eastAsia" w:ascii="仿宋" w:hAnsi="仿宋" w:eastAsia="仿宋"/>
          <w:bCs/>
          <w:color w:val="000000"/>
          <w:sz w:val="32"/>
          <w:szCs w:val="32"/>
        </w:rPr>
        <w:t>.文化旅游体育与传媒（类）</w:t>
      </w:r>
      <w:r>
        <w:rPr>
          <w:rStyle w:val="12"/>
          <w:rFonts w:hint="eastAsia" w:ascii="仿宋" w:hAnsi="仿宋" w:eastAsia="仿宋"/>
          <w:bCs/>
          <w:color w:val="000000"/>
          <w:sz w:val="32"/>
          <w:szCs w:val="32"/>
          <w:lang w:eastAsia="zh-CN"/>
        </w:rPr>
        <w:t>新闻出版电影</w:t>
      </w:r>
      <w:r>
        <w:rPr>
          <w:rStyle w:val="12"/>
          <w:rFonts w:hint="eastAsia" w:ascii="仿宋" w:hAnsi="仿宋" w:eastAsia="仿宋"/>
          <w:bCs/>
          <w:color w:val="000000"/>
          <w:sz w:val="32"/>
          <w:szCs w:val="32"/>
        </w:rPr>
        <w:t>（款）</w:t>
      </w:r>
      <w:r>
        <w:rPr>
          <w:rStyle w:val="12"/>
          <w:rFonts w:hint="eastAsia" w:ascii="仿宋" w:hAnsi="仿宋" w:eastAsia="仿宋"/>
          <w:bCs/>
          <w:color w:val="000000"/>
          <w:sz w:val="32"/>
          <w:szCs w:val="32"/>
          <w:lang w:eastAsia="zh-CN"/>
        </w:rPr>
        <w:t>其他新闻出版电影支出</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5.02</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73.21</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lang w:eastAsia="zh-CN"/>
        </w:rPr>
        <w:t>，</w:t>
      </w:r>
      <w:r>
        <w:rPr>
          <w:rStyle w:val="12"/>
          <w:rFonts w:hint="eastAsia" w:ascii="仿宋" w:hAnsi="仿宋" w:eastAsia="仿宋"/>
          <w:b w:val="0"/>
          <w:bCs/>
          <w:color w:val="000000"/>
          <w:sz w:val="32"/>
          <w:szCs w:val="32"/>
        </w:rPr>
        <w:t>决算数小于预算数的主要原因是项目支出结转和结余增加。</w:t>
      </w:r>
    </w:p>
    <w:p>
      <w:pPr>
        <w:pStyle w:val="2"/>
        <w:ind w:left="0" w:leftChars="0" w:firstLine="643" w:firstLineChars="200"/>
      </w:pPr>
      <w:r>
        <w:rPr>
          <w:rStyle w:val="12"/>
          <w:rFonts w:hint="eastAsia" w:ascii="仿宋" w:hAnsi="仿宋" w:eastAsia="仿宋"/>
          <w:bCs/>
          <w:color w:val="000000"/>
          <w:sz w:val="32"/>
          <w:szCs w:val="32"/>
          <w:lang w:val="en-US" w:eastAsia="zh-CN"/>
        </w:rPr>
        <w:t>7</w:t>
      </w:r>
      <w:r>
        <w:rPr>
          <w:rStyle w:val="12"/>
          <w:rFonts w:hint="eastAsia" w:ascii="仿宋" w:hAnsi="仿宋" w:eastAsia="仿宋"/>
          <w:bCs/>
          <w:color w:val="000000"/>
          <w:sz w:val="32"/>
          <w:szCs w:val="32"/>
        </w:rPr>
        <w:t>.文化旅游体育与传媒（类）文化和旅游（款）其他文化旅游体育与传媒支出（项）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1.53</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Style w:val="12"/>
          <w:rFonts w:hint="eastAsia" w:ascii="仿宋" w:hAnsi="仿宋" w:eastAsia="仿宋"/>
          <w:b w:val="0"/>
          <w:bCs/>
          <w:color w:val="000000"/>
          <w:sz w:val="32"/>
          <w:szCs w:val="32"/>
        </w:rPr>
      </w:pPr>
      <w:r>
        <w:rPr>
          <w:rStyle w:val="12"/>
          <w:rFonts w:hint="eastAsia" w:ascii="仿宋" w:hAnsi="仿宋" w:eastAsia="仿宋"/>
          <w:bCs/>
          <w:color w:val="000000"/>
          <w:sz w:val="32"/>
          <w:szCs w:val="32"/>
          <w:lang w:val="en-US" w:eastAsia="zh-CN"/>
        </w:rPr>
        <w:t>8</w:t>
      </w:r>
      <w:r>
        <w:rPr>
          <w:rStyle w:val="12"/>
          <w:rFonts w:ascii="仿宋" w:hAnsi="仿宋" w:eastAsia="仿宋"/>
          <w:bCs/>
          <w:color w:val="000000"/>
          <w:sz w:val="32"/>
          <w:szCs w:val="32"/>
        </w:rPr>
        <w:t>.</w:t>
      </w:r>
      <w:r>
        <w:rPr>
          <w:rStyle w:val="12"/>
          <w:rFonts w:hint="eastAsia" w:ascii="仿宋" w:hAnsi="仿宋" w:eastAsia="仿宋"/>
          <w:bCs/>
          <w:color w:val="000000"/>
          <w:sz w:val="32"/>
          <w:szCs w:val="32"/>
        </w:rPr>
        <w:t>社会保障和就业（类）行政事业单位</w:t>
      </w:r>
      <w:r>
        <w:rPr>
          <w:rStyle w:val="12"/>
          <w:rFonts w:hint="eastAsia" w:ascii="仿宋" w:hAnsi="仿宋" w:eastAsia="仿宋"/>
          <w:bCs/>
          <w:color w:val="000000"/>
          <w:sz w:val="32"/>
          <w:szCs w:val="32"/>
          <w:lang w:eastAsia="zh-CN"/>
        </w:rPr>
        <w:t>养老支出</w:t>
      </w:r>
      <w:r>
        <w:rPr>
          <w:rStyle w:val="12"/>
          <w:rFonts w:hint="eastAsia" w:ascii="仿宋" w:hAnsi="仿宋" w:eastAsia="仿宋"/>
          <w:bCs/>
          <w:color w:val="000000"/>
          <w:sz w:val="32"/>
          <w:szCs w:val="32"/>
        </w:rPr>
        <w:t>（款）</w:t>
      </w:r>
      <w:r>
        <w:rPr>
          <w:rStyle w:val="12"/>
          <w:rFonts w:hint="eastAsia" w:ascii="仿宋" w:hAnsi="仿宋" w:eastAsia="仿宋"/>
          <w:bCs/>
          <w:color w:val="000000"/>
          <w:sz w:val="32"/>
          <w:szCs w:val="32"/>
          <w:lang w:eastAsia="zh-CN"/>
        </w:rPr>
        <w:t>行政单位离退休</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3.14</w:t>
      </w:r>
      <w:r>
        <w:rPr>
          <w:rStyle w:val="12"/>
          <w:rFonts w:hint="eastAsia" w:ascii="仿宋" w:hAnsi="仿宋" w:eastAsia="仿宋"/>
          <w:b w:val="0"/>
          <w:bCs/>
          <w:color w:val="000000"/>
          <w:sz w:val="32"/>
          <w:szCs w:val="32"/>
        </w:rPr>
        <w:t>万元，完成预算100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Style w:val="12"/>
          <w:rFonts w:ascii="仿宋" w:hAnsi="仿宋" w:eastAsia="仿宋"/>
          <w:b w:val="0"/>
          <w:bCs/>
          <w:color w:val="000000"/>
          <w:sz w:val="32"/>
          <w:szCs w:val="32"/>
        </w:rPr>
      </w:pPr>
      <w:r>
        <w:rPr>
          <w:rStyle w:val="12"/>
          <w:rFonts w:hint="eastAsia" w:ascii="仿宋" w:hAnsi="仿宋" w:eastAsia="仿宋"/>
          <w:bCs/>
          <w:color w:val="000000"/>
          <w:sz w:val="32"/>
          <w:szCs w:val="32"/>
          <w:lang w:val="en-US" w:eastAsia="zh-CN"/>
        </w:rPr>
        <w:t>9</w:t>
      </w:r>
      <w:r>
        <w:rPr>
          <w:rStyle w:val="12"/>
          <w:rFonts w:ascii="仿宋" w:hAnsi="仿宋" w:eastAsia="仿宋"/>
          <w:bCs/>
          <w:color w:val="000000"/>
          <w:sz w:val="32"/>
          <w:szCs w:val="32"/>
        </w:rPr>
        <w:t>.</w:t>
      </w:r>
      <w:r>
        <w:rPr>
          <w:rStyle w:val="12"/>
          <w:rFonts w:hint="eastAsia" w:ascii="仿宋" w:hAnsi="仿宋" w:eastAsia="仿宋"/>
          <w:bCs/>
          <w:color w:val="000000"/>
          <w:sz w:val="32"/>
          <w:szCs w:val="32"/>
        </w:rPr>
        <w:t>社会保障和就业（类）行政事业单位</w:t>
      </w:r>
      <w:r>
        <w:rPr>
          <w:rStyle w:val="12"/>
          <w:rFonts w:hint="eastAsia" w:ascii="仿宋" w:hAnsi="仿宋" w:eastAsia="仿宋"/>
          <w:bCs/>
          <w:color w:val="000000"/>
          <w:sz w:val="32"/>
          <w:szCs w:val="32"/>
          <w:lang w:eastAsia="zh-CN"/>
        </w:rPr>
        <w:t>养老支出</w:t>
      </w:r>
      <w:r>
        <w:rPr>
          <w:rStyle w:val="12"/>
          <w:rFonts w:hint="eastAsia" w:ascii="仿宋" w:hAnsi="仿宋" w:eastAsia="仿宋"/>
          <w:bCs/>
          <w:color w:val="000000"/>
          <w:sz w:val="32"/>
          <w:szCs w:val="32"/>
        </w:rPr>
        <w:t>（款）</w:t>
      </w:r>
      <w:r>
        <w:rPr>
          <w:rStyle w:val="12"/>
          <w:rFonts w:hint="eastAsia" w:ascii="仿宋" w:hAnsi="仿宋" w:eastAsia="仿宋"/>
          <w:bCs/>
          <w:color w:val="000000"/>
          <w:sz w:val="32"/>
          <w:szCs w:val="32"/>
          <w:lang w:eastAsia="zh-CN"/>
        </w:rPr>
        <w:t>机关事业单位基本养老保险缴费支出（</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10.62</w:t>
      </w:r>
      <w:r>
        <w:rPr>
          <w:rStyle w:val="12"/>
          <w:rFonts w:hint="eastAsia" w:ascii="仿宋" w:hAnsi="仿宋" w:eastAsia="仿宋"/>
          <w:b w:val="0"/>
          <w:bCs/>
          <w:color w:val="000000"/>
          <w:sz w:val="32"/>
          <w:szCs w:val="32"/>
        </w:rPr>
        <w:t>万元，完成预算100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2"/>
          <w:rFonts w:hint="eastAsia" w:ascii="仿宋" w:hAnsi="仿宋" w:eastAsia="仿宋"/>
          <w:bCs/>
          <w:color w:val="000000"/>
          <w:sz w:val="32"/>
          <w:szCs w:val="32"/>
          <w:lang w:val="en-US" w:eastAsia="zh-CN"/>
        </w:rPr>
        <w:t>10.</w:t>
      </w:r>
      <w:r>
        <w:rPr>
          <w:rStyle w:val="12"/>
          <w:rFonts w:hint="eastAsia" w:ascii="仿宋" w:hAnsi="仿宋" w:eastAsia="仿宋"/>
          <w:bCs/>
          <w:color w:val="000000"/>
          <w:sz w:val="32"/>
          <w:szCs w:val="32"/>
        </w:rPr>
        <w:t>社会保障和就业（类）其他社会保障和就业支出（款）其他社会保障和就业支出（项）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支出决算为0.</w:t>
      </w:r>
      <w:r>
        <w:rPr>
          <w:rStyle w:val="12"/>
          <w:rFonts w:hint="eastAsia" w:ascii="仿宋" w:hAnsi="仿宋" w:eastAsia="仿宋"/>
          <w:b w:val="0"/>
          <w:bCs/>
          <w:color w:val="000000"/>
          <w:sz w:val="32"/>
          <w:szCs w:val="32"/>
          <w:lang w:val="en-US" w:eastAsia="zh-CN"/>
        </w:rPr>
        <w:t>39</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Style w:val="12"/>
          <w:rFonts w:ascii="仿宋" w:hAnsi="仿宋" w:eastAsia="仿宋"/>
          <w:b w:val="0"/>
          <w:bCs/>
          <w:color w:val="000000"/>
          <w:sz w:val="32"/>
          <w:szCs w:val="32"/>
        </w:rPr>
      </w:pPr>
      <w:r>
        <w:rPr>
          <w:rStyle w:val="12"/>
          <w:rFonts w:hint="eastAsia" w:ascii="仿宋" w:hAnsi="仿宋" w:eastAsia="仿宋"/>
          <w:bCs/>
          <w:color w:val="000000"/>
          <w:sz w:val="32"/>
          <w:szCs w:val="32"/>
          <w:lang w:val="en-US" w:eastAsia="zh-CN"/>
        </w:rPr>
        <w:t>11</w:t>
      </w:r>
      <w:r>
        <w:rPr>
          <w:rStyle w:val="12"/>
          <w:rFonts w:ascii="仿宋" w:hAnsi="仿宋" w:eastAsia="仿宋"/>
          <w:bCs/>
          <w:color w:val="000000"/>
          <w:sz w:val="32"/>
          <w:szCs w:val="32"/>
        </w:rPr>
        <w:t>.</w:t>
      </w:r>
      <w:r>
        <w:rPr>
          <w:rFonts w:hint="eastAsia" w:ascii="仿宋" w:hAnsi="仿宋" w:eastAsia="仿宋"/>
          <w:b/>
          <w:bCs/>
          <w:color w:val="000000" w:themeColor="text1"/>
          <w:sz w:val="32"/>
          <w:szCs w:val="32"/>
          <w14:textFill>
            <w14:solidFill>
              <w14:schemeClr w14:val="tx1"/>
            </w14:solidFill>
          </w14:textFill>
        </w:rPr>
        <w:t>卫生健康</w:t>
      </w:r>
      <w:r>
        <w:rPr>
          <w:rStyle w:val="12"/>
          <w:rFonts w:hint="eastAsia" w:ascii="仿宋" w:hAnsi="仿宋" w:eastAsia="仿宋"/>
          <w:bCs/>
          <w:color w:val="000000"/>
          <w:sz w:val="32"/>
          <w:szCs w:val="32"/>
        </w:rPr>
        <w:t>（类）行政事业单位医疗（款）行政单位医疗（项）</w:t>
      </w:r>
      <w:r>
        <w:rPr>
          <w:rStyle w:val="12"/>
          <w:rFonts w:ascii="仿宋" w:hAnsi="仿宋" w:eastAsia="仿宋"/>
          <w:bCs/>
          <w:color w:val="000000"/>
          <w:sz w:val="32"/>
          <w:szCs w:val="32"/>
        </w:rPr>
        <w:t>:</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6.55</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2"/>
          <w:rFonts w:hint="eastAsia" w:ascii="仿宋" w:hAnsi="仿宋" w:eastAsia="仿宋"/>
          <w:bCs/>
          <w:color w:val="000000"/>
          <w:sz w:val="32"/>
          <w:szCs w:val="32"/>
          <w:lang w:val="en-US" w:eastAsia="zh-CN"/>
        </w:rPr>
        <w:t>12</w:t>
      </w:r>
      <w:r>
        <w:rPr>
          <w:rStyle w:val="12"/>
          <w:rFonts w:ascii="仿宋" w:hAnsi="仿宋" w:eastAsia="仿宋"/>
          <w:bCs/>
          <w:color w:val="000000"/>
          <w:sz w:val="32"/>
          <w:szCs w:val="32"/>
        </w:rPr>
        <w:t>.</w:t>
      </w:r>
      <w:r>
        <w:rPr>
          <w:rFonts w:hint="eastAsia" w:ascii="仿宋" w:hAnsi="仿宋" w:eastAsia="仿宋"/>
          <w:b/>
          <w:bCs/>
          <w:color w:val="000000" w:themeColor="text1"/>
          <w:sz w:val="32"/>
          <w:szCs w:val="32"/>
          <w14:textFill>
            <w14:solidFill>
              <w14:schemeClr w14:val="tx1"/>
            </w14:solidFill>
          </w14:textFill>
        </w:rPr>
        <w:t>住房保障</w:t>
      </w:r>
      <w:r>
        <w:rPr>
          <w:rStyle w:val="12"/>
          <w:rFonts w:hint="eastAsia" w:ascii="仿宋" w:hAnsi="仿宋" w:eastAsia="仿宋"/>
          <w:bCs/>
          <w:color w:val="000000"/>
          <w:sz w:val="32"/>
          <w:szCs w:val="32"/>
        </w:rPr>
        <w:t>（类）住房改革支出（款）住房公积金（项）</w:t>
      </w:r>
      <w:r>
        <w:rPr>
          <w:rStyle w:val="12"/>
          <w:rFonts w:ascii="仿宋" w:hAnsi="仿宋" w:eastAsia="仿宋"/>
          <w:bCs/>
          <w:color w:val="000000"/>
          <w:sz w:val="32"/>
          <w:szCs w:val="32"/>
        </w:rPr>
        <w:t>:</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9.86</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15"/>
        </w:rPr>
      </w:pPr>
      <w:bookmarkStart w:id="35" w:name="_Toc31021"/>
      <w:bookmarkStart w:id="36" w:name="_Toc15396608"/>
      <w:bookmarkStart w:id="37"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5"/>
          <w:rFonts w:hint="eastAsia" w:ascii="黑体" w:hAnsi="黑体" w:eastAsia="黑体"/>
          <w:b w:val="0"/>
        </w:rPr>
        <w:t>般公共预算财政拨款基本支出决算情况说明</w:t>
      </w:r>
      <w:bookmarkEnd w:id="35"/>
      <w:bookmarkEnd w:id="36"/>
      <w:bookmarkEnd w:id="37"/>
      <w:r>
        <w:rPr>
          <w:rStyle w:val="15"/>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年一般公共预算财政拨款基本支出</w:t>
      </w:r>
      <w:r>
        <w:rPr>
          <w:rFonts w:hint="eastAsia" w:ascii="仿宋" w:hAnsi="仿宋" w:eastAsia="仿宋"/>
          <w:color w:val="000000"/>
          <w:sz w:val="32"/>
          <w:szCs w:val="32"/>
          <w:lang w:val="en-US" w:eastAsia="zh-CN"/>
        </w:rPr>
        <w:t>328.61</w:t>
      </w:r>
      <w:r>
        <w:rPr>
          <w:rFonts w:hint="eastAsia" w:ascii="仿宋" w:hAnsi="仿宋" w:eastAsia="仿宋"/>
          <w:color w:val="000000"/>
          <w:sz w:val="32"/>
          <w:szCs w:val="32"/>
        </w:rPr>
        <w:t>万元，其中：</w:t>
      </w:r>
    </w:p>
    <w:p>
      <w:pPr>
        <w:spacing w:line="600" w:lineRule="exact"/>
        <w:ind w:firstLine="645"/>
        <w:rPr>
          <w:rFonts w:hint="eastAsia" w:ascii="仿宋" w:hAnsi="仿宋" w:eastAsia="仿宋"/>
          <w:color w:val="000000"/>
          <w:sz w:val="32"/>
          <w:szCs w:val="32"/>
          <w:lang w:eastAsia="zh-CN"/>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171.22</w:t>
      </w:r>
      <w:r>
        <w:rPr>
          <w:rFonts w:hint="eastAsia" w:ascii="仿宋" w:hAnsi="仿宋" w:eastAsia="仿宋"/>
          <w:color w:val="000000"/>
          <w:sz w:val="32"/>
          <w:szCs w:val="32"/>
        </w:rPr>
        <w:t>万元，主要包括：基本工资、津贴补贴、奖金、绩效工资、机关事业单位基本养老保险缴费、职工基本医疗保险缴费</w:t>
      </w:r>
      <w:r>
        <w:rPr>
          <w:rFonts w:hint="eastAsia" w:ascii="仿宋" w:hAnsi="仿宋" w:eastAsia="仿宋"/>
          <w:color w:val="000000"/>
          <w:sz w:val="32"/>
          <w:szCs w:val="32"/>
          <w:lang w:eastAsia="zh-CN"/>
        </w:rPr>
        <w:t>、其他社会保障缴费、</w:t>
      </w:r>
      <w:r>
        <w:rPr>
          <w:rFonts w:hint="eastAsia" w:ascii="仿宋" w:hAnsi="仿宋" w:eastAsia="仿宋"/>
          <w:color w:val="000000"/>
          <w:sz w:val="32"/>
          <w:szCs w:val="32"/>
        </w:rPr>
        <w:t>住房公积金、其他工资福利支出</w:t>
      </w:r>
      <w:r>
        <w:rPr>
          <w:rFonts w:hint="eastAsia" w:ascii="仿宋" w:hAnsi="仿宋" w:eastAsia="仿宋"/>
          <w:color w:val="000000"/>
          <w:sz w:val="32"/>
          <w:szCs w:val="32"/>
          <w:lang w:eastAsia="zh-CN"/>
        </w:rPr>
        <w:t>、奖励金、</w:t>
      </w:r>
      <w:r>
        <w:rPr>
          <w:rFonts w:hint="eastAsia" w:ascii="仿宋" w:hAnsi="仿宋" w:eastAsia="仿宋"/>
          <w:color w:val="000000"/>
          <w:sz w:val="32"/>
          <w:szCs w:val="32"/>
        </w:rPr>
        <w:t>其他个人和家庭的补助支出。</w:t>
      </w:r>
      <w:r>
        <w:rPr>
          <w:rFonts w:ascii="仿宋" w:hAnsi="仿宋" w:eastAsia="仿宋"/>
          <w:color w:val="000000"/>
          <w:sz w:val="32"/>
          <w:szCs w:val="32"/>
        </w:rPr>
        <w:br w:type="textWrapping"/>
      </w:r>
      <w:r>
        <w:rPr>
          <w:rFonts w:hint="eastAsia" w:ascii="仿宋" w:hAnsi="仿宋" w:eastAsia="仿宋"/>
          <w:color w:val="000000"/>
          <w:sz w:val="32"/>
          <w:szCs w:val="32"/>
        </w:rPr>
        <w:t>　　日常公用经费</w:t>
      </w:r>
      <w:r>
        <w:rPr>
          <w:rFonts w:hint="eastAsia" w:ascii="仿宋" w:hAnsi="仿宋" w:eastAsia="仿宋"/>
          <w:color w:val="000000"/>
          <w:sz w:val="32"/>
          <w:szCs w:val="32"/>
          <w:lang w:val="en-US" w:eastAsia="zh-CN"/>
        </w:rPr>
        <w:t>157.39</w:t>
      </w:r>
      <w:r>
        <w:rPr>
          <w:rFonts w:hint="eastAsia" w:ascii="仿宋" w:hAnsi="仿宋" w:eastAsia="仿宋"/>
          <w:color w:val="000000"/>
          <w:sz w:val="32"/>
          <w:szCs w:val="32"/>
        </w:rPr>
        <w:t>万元，主要包括：办公费、印刷费、差旅费、维修（护）费、会议费、培训费、公务接待费、劳务费、工会经费、其他交通费、其他商品和服务支出</w:t>
      </w:r>
      <w:r>
        <w:rPr>
          <w:rFonts w:hint="eastAsia" w:ascii="仿宋" w:hAnsi="仿宋" w:eastAsia="仿宋"/>
          <w:color w:val="000000"/>
          <w:sz w:val="32"/>
          <w:szCs w:val="32"/>
          <w:lang w:eastAsia="zh-CN"/>
        </w:rPr>
        <w:t>。</w:t>
      </w:r>
    </w:p>
    <w:p>
      <w:pPr>
        <w:spacing w:line="600" w:lineRule="exact"/>
        <w:ind w:firstLine="640"/>
        <w:rPr>
          <w:rFonts w:ascii="仿宋" w:hAnsi="仿宋" w:eastAsia="仿宋"/>
          <w:b/>
          <w:color w:val="FF0000"/>
          <w:sz w:val="32"/>
          <w:szCs w:val="32"/>
        </w:rPr>
      </w:pPr>
    </w:p>
    <w:p>
      <w:pPr>
        <w:spacing w:line="600" w:lineRule="exact"/>
        <w:ind w:firstLine="640"/>
        <w:outlineLvl w:val="1"/>
        <w:rPr>
          <w:rStyle w:val="15"/>
          <w:rFonts w:ascii="黑体" w:hAnsi="黑体" w:eastAsia="黑体"/>
          <w:b w:val="0"/>
        </w:rPr>
      </w:pPr>
      <w:bookmarkStart w:id="38" w:name="_Toc6926"/>
      <w:bookmarkStart w:id="39" w:name="_Toc15396609"/>
      <w:bookmarkStart w:id="40" w:name="_Toc15377215"/>
      <w:r>
        <w:rPr>
          <w:rFonts w:hint="eastAsia" w:ascii="黑体" w:eastAsia="黑体"/>
          <w:color w:val="000000"/>
          <w:sz w:val="32"/>
          <w:szCs w:val="32"/>
        </w:rPr>
        <w:t>七、</w:t>
      </w:r>
      <w:r>
        <w:rPr>
          <w:rStyle w:val="15"/>
          <w:rFonts w:hint="eastAsia" w:ascii="黑体" w:hAnsi="黑体" w:eastAsia="黑体"/>
        </w:rPr>
        <w:t>“</w:t>
      </w:r>
      <w:r>
        <w:rPr>
          <w:rStyle w:val="15"/>
          <w:rFonts w:hint="eastAsia" w:ascii="黑体" w:hAnsi="黑体" w:eastAsia="黑体"/>
          <w:b w:val="0"/>
        </w:rPr>
        <w:t>三公”经费财政拨款支出决算情况说明</w:t>
      </w:r>
      <w:bookmarkEnd w:id="38"/>
      <w:bookmarkEnd w:id="39"/>
      <w:bookmarkEnd w:id="40"/>
    </w:p>
    <w:p>
      <w:pPr>
        <w:spacing w:line="600" w:lineRule="exact"/>
        <w:ind w:firstLine="640"/>
        <w:outlineLvl w:val="2"/>
        <w:rPr>
          <w:rFonts w:ascii="仿宋" w:hAnsi="仿宋" w:eastAsia="仿宋"/>
          <w:b/>
          <w:color w:val="000000"/>
          <w:sz w:val="32"/>
          <w:szCs w:val="32"/>
        </w:rPr>
      </w:pPr>
      <w:bookmarkStart w:id="41" w:name="_Toc15377216"/>
      <w:r>
        <w:rPr>
          <w:rFonts w:hint="eastAsia" w:ascii="仿宋" w:hAnsi="仿宋" w:eastAsia="仿宋"/>
          <w:b/>
          <w:color w:val="000000"/>
          <w:sz w:val="32"/>
          <w:szCs w:val="32"/>
        </w:rPr>
        <w:t>（一）“三公”经费财政拨款支出决算总体情况说明</w:t>
      </w:r>
      <w:bookmarkEnd w:id="41"/>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年“三公”经费财政拨款支出决算为</w:t>
      </w:r>
      <w:r>
        <w:rPr>
          <w:rFonts w:hint="eastAsia" w:ascii="仿宋" w:hAnsi="仿宋" w:eastAsia="仿宋"/>
          <w:color w:val="000000"/>
          <w:sz w:val="32"/>
          <w:szCs w:val="32"/>
          <w:lang w:val="en-US" w:eastAsia="zh-CN"/>
        </w:rPr>
        <w:t>1.42</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75.26</w:t>
      </w:r>
      <w:r>
        <w:rPr>
          <w:rFonts w:ascii="仿宋" w:hAnsi="仿宋" w:eastAsia="仿宋"/>
          <w:color w:val="000000"/>
          <w:sz w:val="32"/>
          <w:szCs w:val="32"/>
        </w:rPr>
        <w:t>%</w:t>
      </w:r>
      <w:r>
        <w:rPr>
          <w:rFonts w:hint="eastAsia" w:ascii="仿宋" w:hAnsi="仿宋" w:eastAsia="仿宋"/>
          <w:color w:val="000000"/>
          <w:sz w:val="32"/>
          <w:szCs w:val="32"/>
        </w:rPr>
        <w:t>，决算数小于预算数的主要原因是</w:t>
      </w:r>
      <w:r>
        <w:rPr>
          <w:rFonts w:hint="eastAsia" w:ascii="仿宋" w:hAnsi="仿宋" w:eastAsia="仿宋"/>
          <w:color w:val="000000"/>
          <w:sz w:val="32"/>
          <w:szCs w:val="32"/>
          <w:lang w:eastAsia="zh-CN"/>
        </w:rPr>
        <w:t>缩减开支，三公经费减少</w:t>
      </w:r>
      <w:r>
        <w:rPr>
          <w:rFonts w:hint="eastAsia" w:ascii="仿宋" w:hAnsi="仿宋" w:eastAsia="仿宋"/>
          <w:color w:val="000000"/>
          <w:sz w:val="32"/>
          <w:szCs w:val="32"/>
        </w:rPr>
        <w:t>。</w:t>
      </w:r>
    </w:p>
    <w:p>
      <w:pPr>
        <w:spacing w:line="600" w:lineRule="exact"/>
        <w:ind w:firstLine="640"/>
        <w:outlineLvl w:val="2"/>
        <w:rPr>
          <w:rFonts w:ascii="仿宋" w:hAnsi="仿宋" w:eastAsia="仿宋"/>
          <w:b/>
          <w:color w:val="000000"/>
          <w:sz w:val="32"/>
          <w:szCs w:val="32"/>
        </w:rPr>
      </w:pPr>
      <w:bookmarkStart w:id="42" w:name="_Toc15377217"/>
      <w:r>
        <w:rPr>
          <w:rFonts w:hint="eastAsia" w:ascii="仿宋" w:hAnsi="仿宋" w:eastAsia="仿宋"/>
          <w:b/>
          <w:color w:val="000000"/>
          <w:sz w:val="32"/>
          <w:szCs w:val="32"/>
        </w:rPr>
        <w:t>（二）“三公”经费财政拨款支出决算具体情况说明</w:t>
      </w:r>
      <w:bookmarkEnd w:id="42"/>
    </w:p>
    <w:p>
      <w:pPr>
        <w:spacing w:line="600" w:lineRule="exact"/>
        <w:ind w:firstLine="640"/>
        <w:rPr>
          <w:rFonts w:hint="eastAsia"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年“三公”经费财政拨款支出决算中，因公出国（境）费支出决算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1.42</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。具体情况如下：</w:t>
      </w:r>
    </w:p>
    <w:p>
      <w:pPr>
        <w:pStyle w:val="2"/>
        <w:ind w:left="0" w:leftChars="0" w:firstLine="0" w:firstLineChars="0"/>
      </w:pPr>
      <w:r>
        <w:drawing>
          <wp:inline distT="0" distB="0" distL="114300" distR="114300">
            <wp:extent cx="4572000" cy="2569845"/>
            <wp:effectExtent l="4445" t="4445" r="14605" b="1651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7</w:t>
      </w:r>
      <w:r>
        <w:rPr>
          <w:rFonts w:hint="eastAsia" w:ascii="仿宋" w:hAnsi="仿宋" w:eastAsia="仿宋"/>
          <w:color w:val="000000"/>
          <w:sz w:val="32"/>
          <w:szCs w:val="32"/>
        </w:rPr>
        <w:t>：“三公”经费财政拨款支出结构）（饼状图）</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Style w:val="12"/>
          <w:rFonts w:hint="eastAsia" w:ascii="仿宋" w:hAnsi="仿宋" w:eastAsia="仿宋"/>
          <w:b w:val="0"/>
          <w:bCs/>
          <w:color w:val="000000"/>
          <w:sz w:val="32"/>
          <w:szCs w:val="32"/>
        </w:rPr>
        <w:t>完成预算</w:t>
      </w:r>
      <w:r>
        <w:rPr>
          <w:rStyle w:val="12"/>
          <w:rFonts w:hint="eastAsia" w:ascii="仿宋" w:hAnsi="仿宋" w:eastAsia="仿宋"/>
          <w:b w:val="0"/>
          <w:bCs/>
          <w:color w:val="000000"/>
          <w:sz w:val="32"/>
          <w:szCs w:val="32"/>
          <w:lang w:val="en-US" w:eastAsia="zh-CN"/>
        </w:rPr>
        <w:t>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仿宋_GB2312"/>
          <w:color w:val="000000"/>
          <w:sz w:val="32"/>
          <w:szCs w:val="32"/>
          <w:lang w:val="en-US" w:eastAsia="zh-CN"/>
        </w:rPr>
        <w:t>0</w:t>
      </w:r>
      <w:r>
        <w:rPr>
          <w:rFonts w:hint="eastAsia" w:ascii="仿宋_GB2312" w:eastAsia="仿宋_GB2312"/>
          <w:color w:val="000000"/>
          <w:sz w:val="32"/>
          <w:szCs w:val="32"/>
        </w:rPr>
        <w:t>次，出国（境</w:t>
      </w:r>
      <w:r>
        <w:rPr>
          <w:rFonts w:hint="eastAsia" w:ascii="仿宋_GB2312"/>
          <w:color w:val="000000"/>
          <w:sz w:val="32"/>
          <w:szCs w:val="32"/>
          <w:lang w:val="en-US" w:eastAsia="zh-CN"/>
        </w:rPr>
        <w:t>0</w:t>
      </w:r>
      <w:r>
        <w:rPr>
          <w:rFonts w:hint="eastAsia" w:ascii="仿宋_GB2312" w:eastAsia="仿宋_GB2312"/>
          <w:color w:val="000000"/>
          <w:sz w:val="32"/>
          <w:szCs w:val="32"/>
        </w:rPr>
        <w:t>人。因公出国（境）支出决算比</w:t>
      </w:r>
      <w:r>
        <w:rPr>
          <w:rFonts w:ascii="仿宋_GB2312" w:eastAsia="仿宋_GB2312"/>
          <w:color w:val="000000"/>
          <w:sz w:val="32"/>
          <w:szCs w:val="32"/>
        </w:rPr>
        <w:t>201</w:t>
      </w:r>
      <w:r>
        <w:rPr>
          <w:rFonts w:hint="eastAsia" w:ascii="仿宋_GB2312"/>
          <w:color w:val="000000"/>
          <w:sz w:val="32"/>
          <w:szCs w:val="32"/>
          <w:lang w:val="en-US" w:eastAsia="zh-CN"/>
        </w:rPr>
        <w:t>9</w:t>
      </w:r>
      <w:r>
        <w:rPr>
          <w:rFonts w:hint="eastAsia" w:ascii="仿宋_GB2312" w:eastAsia="仿宋_GB2312"/>
          <w:color w:val="000000"/>
          <w:sz w:val="32"/>
          <w:szCs w:val="32"/>
        </w:rPr>
        <w:t>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。主要原因是是无因公出国（境）。</w:t>
      </w:r>
    </w:p>
    <w:p>
      <w:pPr>
        <w:spacing w:line="600" w:lineRule="exact"/>
        <w:ind w:firstLine="640"/>
        <w:rPr>
          <w:rFonts w:hint="eastAsia" w:ascii="仿宋_GB2312"/>
          <w:color w:val="000000"/>
          <w:sz w:val="32"/>
          <w:szCs w:val="32"/>
          <w:lang w:eastAsia="zh-CN"/>
        </w:rPr>
      </w:pPr>
      <w:r>
        <w:rPr>
          <w:rFonts w:hint="eastAsia" w:ascii="仿宋_GB2312" w:eastAsia="仿宋_GB2312"/>
          <w:color w:val="000000"/>
          <w:sz w:val="32"/>
          <w:szCs w:val="32"/>
        </w:rPr>
        <w:t>开支内容包括：</w:t>
      </w:r>
      <w:r>
        <w:rPr>
          <w:rFonts w:hint="eastAsia" w:ascii="仿宋_GB2312"/>
          <w:color w:val="000000"/>
          <w:sz w:val="32"/>
          <w:szCs w:val="32"/>
          <w:lang w:eastAsia="zh-CN"/>
        </w:rPr>
        <w:t>无</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Fonts w:ascii="仿宋_GB2312" w:eastAsia="仿宋_GB2312"/>
          <w:color w:val="000000"/>
          <w:sz w:val="32"/>
          <w:szCs w:val="32"/>
        </w:rPr>
        <w:t>,</w:t>
      </w:r>
      <w:r>
        <w:rPr>
          <w:rStyle w:val="12"/>
          <w:rFonts w:hint="eastAsia" w:ascii="仿宋" w:hAnsi="仿宋" w:eastAsia="仿宋"/>
          <w:b w:val="0"/>
          <w:bCs/>
          <w:color w:val="000000"/>
          <w:sz w:val="32"/>
          <w:szCs w:val="32"/>
        </w:rPr>
        <w:t>完成预算</w:t>
      </w:r>
      <w:r>
        <w:rPr>
          <w:rStyle w:val="12"/>
          <w:rFonts w:hint="eastAsia" w:ascii="仿宋" w:hAnsi="仿宋" w:eastAsia="仿宋"/>
          <w:b w:val="0"/>
          <w:bCs/>
          <w:color w:val="000000"/>
          <w:sz w:val="32"/>
          <w:szCs w:val="32"/>
          <w:lang w:val="en-US" w:eastAsia="zh-CN"/>
        </w:rPr>
        <w:t>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hint="eastAsia" w:ascii="仿宋_GB2312"/>
          <w:color w:val="000000"/>
          <w:sz w:val="32"/>
          <w:szCs w:val="32"/>
          <w:lang w:val="en-US" w:eastAsia="zh-CN"/>
        </w:rPr>
        <w:t>2019</w:t>
      </w:r>
      <w:r>
        <w:rPr>
          <w:rFonts w:hint="eastAsia" w:ascii="仿宋_GB2312" w:eastAsia="仿宋_GB2312"/>
          <w:color w:val="000000"/>
          <w:sz w:val="32"/>
          <w:szCs w:val="32"/>
        </w:rPr>
        <w:t>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。主要原因是是无公车。</w:t>
      </w:r>
    </w:p>
    <w:p>
      <w:pPr>
        <w:spacing w:line="600" w:lineRule="exact"/>
        <w:ind w:firstLine="640" w:firstLineChars="200"/>
        <w:rPr>
          <w:rFonts w:ascii="仿宋_GB2312" w:eastAsia="仿宋_GB2312"/>
          <w:b/>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仿宋_GB2312"/>
          <w:color w:val="000000"/>
          <w:sz w:val="32"/>
          <w:szCs w:val="32"/>
          <w:lang w:val="en-US" w:eastAsia="zh-CN"/>
        </w:rPr>
        <w:t>0</w:t>
      </w:r>
      <w:r>
        <w:rPr>
          <w:rFonts w:hint="eastAsia" w:ascii="仿宋_GB2312" w:eastAsia="仿宋_GB2312"/>
          <w:color w:val="000000"/>
          <w:sz w:val="32"/>
          <w:szCs w:val="32"/>
        </w:rPr>
        <w:t>辆，其中：轿车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万元，越野车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万元，载客汽车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color w:val="000000"/>
          <w:sz w:val="32"/>
          <w:szCs w:val="32"/>
          <w:lang w:val="en-US" w:eastAsia="zh-CN"/>
        </w:rPr>
        <w:t>0</w:t>
      </w:r>
      <w:r>
        <w:rPr>
          <w:rFonts w:hint="eastAsia" w:ascii="仿宋_GB2312" w:eastAsia="仿宋_GB2312"/>
          <w:color w:val="000000"/>
          <w:sz w:val="32"/>
          <w:szCs w:val="32"/>
        </w:rPr>
        <w:t>辆，其中：轿车</w:t>
      </w:r>
      <w:r>
        <w:rPr>
          <w:rFonts w:hint="eastAsia" w:ascii="仿宋_GB2312"/>
          <w:color w:val="000000"/>
          <w:sz w:val="32"/>
          <w:szCs w:val="32"/>
          <w:lang w:val="en-US" w:eastAsia="zh-CN"/>
        </w:rPr>
        <w:t>0</w:t>
      </w:r>
      <w:r>
        <w:rPr>
          <w:rFonts w:hint="eastAsia" w:ascii="仿宋_GB2312" w:eastAsia="仿宋_GB2312"/>
          <w:color w:val="000000"/>
          <w:sz w:val="32"/>
          <w:szCs w:val="32"/>
        </w:rPr>
        <w:t>辆、越野车</w:t>
      </w:r>
      <w:r>
        <w:rPr>
          <w:rFonts w:hint="eastAsia" w:ascii="仿宋_GB2312"/>
          <w:color w:val="000000"/>
          <w:sz w:val="32"/>
          <w:szCs w:val="32"/>
          <w:lang w:val="en-US" w:eastAsia="zh-CN"/>
        </w:rPr>
        <w:t>0</w:t>
      </w:r>
      <w:r>
        <w:rPr>
          <w:rFonts w:hint="eastAsia" w:ascii="仿宋_GB2312" w:eastAsia="仿宋_GB2312"/>
          <w:color w:val="000000"/>
          <w:sz w:val="32"/>
          <w:szCs w:val="32"/>
        </w:rPr>
        <w:t>辆、载客汽车</w:t>
      </w:r>
      <w:r>
        <w:rPr>
          <w:rFonts w:hint="eastAsia" w:ascii="仿宋_GB2312"/>
          <w:color w:val="000000"/>
          <w:sz w:val="32"/>
          <w:szCs w:val="32"/>
          <w:lang w:val="en-US" w:eastAsia="zh-CN"/>
        </w:rPr>
        <w:t>0</w:t>
      </w:r>
      <w:r>
        <w:rPr>
          <w:rFonts w:hint="eastAsia" w:ascii="仿宋_GB2312" w:eastAsia="仿宋_GB2312"/>
          <w:color w:val="000000"/>
          <w:sz w:val="32"/>
          <w:szCs w:val="32"/>
        </w:rPr>
        <w:t>辆。</w:t>
      </w:r>
    </w:p>
    <w:p>
      <w:pPr>
        <w:spacing w:line="600" w:lineRule="exact"/>
        <w:ind w:firstLine="640"/>
        <w:rPr>
          <w:rFonts w:hint="eastAsia"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color w:val="000000"/>
          <w:sz w:val="32"/>
          <w:szCs w:val="32"/>
          <w:lang w:val="en-US" w:eastAsia="zh-CN"/>
        </w:rPr>
        <w:t>1.42</w:t>
      </w:r>
      <w:r>
        <w:rPr>
          <w:rFonts w:hint="eastAsia" w:ascii="仿宋_GB2312" w:eastAsia="仿宋_GB2312"/>
          <w:color w:val="000000"/>
          <w:sz w:val="32"/>
          <w:szCs w:val="32"/>
        </w:rPr>
        <w:t>万元，</w:t>
      </w:r>
      <w:r>
        <w:rPr>
          <w:rStyle w:val="12"/>
          <w:rFonts w:hint="eastAsia" w:ascii="仿宋" w:hAnsi="仿宋" w:eastAsia="仿宋"/>
          <w:b w:val="0"/>
          <w:bCs/>
          <w:color w:val="000000"/>
          <w:sz w:val="32"/>
          <w:szCs w:val="32"/>
        </w:rPr>
        <w:t>完成预算</w:t>
      </w:r>
      <w:r>
        <w:rPr>
          <w:rStyle w:val="12"/>
          <w:rFonts w:hint="eastAsia" w:ascii="仿宋" w:hAnsi="仿宋" w:eastAsia="仿宋"/>
          <w:b w:val="0"/>
          <w:bCs/>
          <w:color w:val="000000"/>
          <w:sz w:val="32"/>
          <w:szCs w:val="32"/>
          <w:lang w:val="en-US" w:eastAsia="zh-CN"/>
        </w:rPr>
        <w:t>75.25</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2019</w:t>
      </w:r>
      <w:r>
        <w:rPr>
          <w:rFonts w:hint="eastAsia" w:ascii="仿宋_GB2312" w:eastAsia="仿宋_GB2312"/>
          <w:color w:val="000000"/>
          <w:sz w:val="32"/>
          <w:szCs w:val="32"/>
        </w:rPr>
        <w:t>年减少</w:t>
      </w:r>
      <w:r>
        <w:rPr>
          <w:rFonts w:hint="eastAsia" w:ascii="仿宋_GB2312"/>
          <w:color w:val="000000"/>
          <w:sz w:val="32"/>
          <w:szCs w:val="32"/>
          <w:lang w:val="en-US" w:eastAsia="zh-CN"/>
        </w:rPr>
        <w:t>0.04</w:t>
      </w:r>
      <w:r>
        <w:rPr>
          <w:rFonts w:hint="eastAsia" w:ascii="仿宋_GB2312" w:eastAsia="仿宋_GB2312"/>
          <w:color w:val="000000"/>
          <w:sz w:val="32"/>
          <w:szCs w:val="32"/>
        </w:rPr>
        <w:t>万元，下降</w:t>
      </w:r>
      <w:r>
        <w:rPr>
          <w:rFonts w:hint="eastAsia" w:ascii="仿宋_GB2312"/>
          <w:color w:val="000000"/>
          <w:sz w:val="32"/>
          <w:szCs w:val="32"/>
          <w:lang w:val="en-US" w:eastAsia="zh-CN"/>
        </w:rPr>
        <w:t>2.74</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color w:val="000000"/>
          <w:sz w:val="32"/>
          <w:szCs w:val="32"/>
          <w:lang w:eastAsia="zh-CN"/>
        </w:rPr>
        <w:t>缩减开支</w:t>
      </w:r>
      <w:r>
        <w:rPr>
          <w:rFonts w:hint="eastAsia" w:ascii="仿宋_GB2312" w:eastAsia="仿宋_GB2312"/>
          <w:color w:val="000000"/>
          <w:sz w:val="32"/>
          <w:szCs w:val="32"/>
        </w:rPr>
        <w:t>。其中：</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lang w:val="en-US" w:eastAsia="zh-CN"/>
        </w:rPr>
        <w:t>1.42</w:t>
      </w:r>
      <w:r>
        <w:rPr>
          <w:rFonts w:hint="eastAsia" w:ascii="仿宋_GB2312" w:eastAsia="仿宋_GB2312"/>
          <w:color w:val="000000"/>
          <w:sz w:val="32"/>
          <w:szCs w:val="32"/>
        </w:rPr>
        <w:t>万元，主要用于开展业务活动开支的用餐费等。国内公务接待</w:t>
      </w:r>
      <w:r>
        <w:rPr>
          <w:rFonts w:hint="eastAsia" w:ascii="仿宋_GB2312"/>
          <w:color w:val="000000"/>
          <w:sz w:val="32"/>
          <w:szCs w:val="32"/>
          <w:lang w:val="en-US" w:eastAsia="zh-CN"/>
        </w:rPr>
        <w:t>10</w:t>
      </w:r>
      <w:r>
        <w:rPr>
          <w:rFonts w:hint="eastAsia" w:ascii="仿宋_GB2312" w:eastAsia="仿宋_GB2312"/>
          <w:color w:val="000000"/>
          <w:sz w:val="32"/>
          <w:szCs w:val="32"/>
        </w:rPr>
        <w:t>批次，</w:t>
      </w:r>
      <w:r>
        <w:rPr>
          <w:rFonts w:hint="eastAsia" w:ascii="仿宋_GB2312"/>
          <w:color w:val="000000"/>
          <w:sz w:val="32"/>
          <w:szCs w:val="32"/>
          <w:lang w:val="en-US" w:eastAsia="zh-CN"/>
        </w:rPr>
        <w:t>96</w:t>
      </w:r>
      <w:r>
        <w:rPr>
          <w:rFonts w:hint="eastAsia" w:ascii="仿宋_GB2312" w:eastAsia="仿宋_GB2312"/>
          <w:color w:val="000000"/>
          <w:sz w:val="32"/>
          <w:szCs w:val="32"/>
        </w:rPr>
        <w:t>人次，共计支出</w:t>
      </w:r>
      <w:r>
        <w:rPr>
          <w:rFonts w:hint="eastAsia" w:ascii="仿宋_GB2312"/>
          <w:color w:val="000000"/>
          <w:sz w:val="32"/>
          <w:szCs w:val="32"/>
          <w:lang w:val="en-US" w:eastAsia="zh-CN"/>
        </w:rPr>
        <w:t>1.42</w:t>
      </w:r>
      <w:r>
        <w:rPr>
          <w:rFonts w:hint="eastAsia" w:ascii="仿宋_GB2312" w:eastAsia="仿宋_GB2312"/>
          <w:color w:val="000000"/>
          <w:sz w:val="32"/>
          <w:szCs w:val="32"/>
        </w:rPr>
        <w:t>万元。</w:t>
      </w:r>
    </w:p>
    <w:p>
      <w:pPr>
        <w:spacing w:line="600" w:lineRule="exact"/>
        <w:ind w:firstLine="643" w:firstLineChars="200"/>
        <w:rPr>
          <w:rFonts w:ascii="仿宋_GB2312" w:eastAsia="仿宋_GB2312"/>
          <w:color w:val="000000"/>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万元，外事接待</w:t>
      </w:r>
      <w:r>
        <w:rPr>
          <w:rFonts w:hint="eastAsia" w:ascii="仿宋_GB2312"/>
          <w:color w:val="000000"/>
          <w:sz w:val="32"/>
          <w:szCs w:val="32"/>
          <w:lang w:val="en-US" w:eastAsia="zh-CN"/>
        </w:rPr>
        <w:t>0</w:t>
      </w:r>
      <w:r>
        <w:rPr>
          <w:rFonts w:hint="eastAsia" w:ascii="仿宋_GB2312" w:eastAsia="仿宋_GB2312"/>
          <w:color w:val="000000"/>
          <w:sz w:val="32"/>
          <w:szCs w:val="32"/>
        </w:rPr>
        <w:t>批次，</w:t>
      </w:r>
      <w:r>
        <w:rPr>
          <w:rFonts w:hint="eastAsia" w:ascii="仿宋_GB2312"/>
          <w:color w:val="000000"/>
          <w:sz w:val="32"/>
          <w:szCs w:val="32"/>
          <w:lang w:val="en-US" w:eastAsia="zh-CN"/>
        </w:rPr>
        <w:t>0</w:t>
      </w:r>
      <w:r>
        <w:rPr>
          <w:rFonts w:hint="eastAsia" w:ascii="仿宋_GB2312" w:eastAsia="仿宋_GB2312"/>
          <w:color w:val="000000"/>
          <w:sz w:val="32"/>
          <w:szCs w:val="32"/>
        </w:rPr>
        <w:t>人，共计支出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outlineLvl w:val="1"/>
        <w:rPr>
          <w:rFonts w:ascii="黑体" w:eastAsia="黑体"/>
          <w:color w:val="000000"/>
          <w:sz w:val="32"/>
          <w:szCs w:val="32"/>
        </w:rPr>
      </w:pPr>
      <w:bookmarkStart w:id="43" w:name="_Toc15377218"/>
      <w:bookmarkStart w:id="44" w:name="_Toc15396610"/>
    </w:p>
    <w:p>
      <w:pPr>
        <w:spacing w:line="600" w:lineRule="exact"/>
        <w:ind w:firstLine="640"/>
        <w:outlineLvl w:val="1"/>
        <w:rPr>
          <w:rStyle w:val="15"/>
          <w:rFonts w:ascii="黑体" w:hAnsi="黑体" w:eastAsia="黑体"/>
        </w:rPr>
      </w:pPr>
      <w:bookmarkStart w:id="45" w:name="_Toc9843"/>
      <w:r>
        <w:rPr>
          <w:rFonts w:hint="eastAsia" w:ascii="黑体" w:eastAsia="黑体"/>
          <w:color w:val="000000"/>
          <w:sz w:val="32"/>
          <w:szCs w:val="32"/>
        </w:rPr>
        <w:t>八、</w:t>
      </w:r>
      <w:r>
        <w:rPr>
          <w:rStyle w:val="15"/>
          <w:rFonts w:hint="eastAsia" w:ascii="黑体" w:hAnsi="黑体" w:eastAsia="黑体"/>
          <w:b w:val="0"/>
        </w:rPr>
        <w:t>政府性基金预算支出决算情况说明</w:t>
      </w:r>
      <w:bookmarkEnd w:id="43"/>
      <w:bookmarkEnd w:id="44"/>
      <w:bookmarkEnd w:id="45"/>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年政府性基金预算拨款支出</w:t>
      </w:r>
      <w:r>
        <w:rPr>
          <w:rFonts w:hint="eastAsia" w:ascii="仿宋_GB2312"/>
          <w:color w:val="000000"/>
          <w:sz w:val="32"/>
          <w:szCs w:val="32"/>
          <w:lang w:val="en-US" w:eastAsia="zh-CN"/>
        </w:rPr>
        <w:t>189.06</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p>
    <w:p>
      <w:pPr>
        <w:numPr>
          <w:ilvl w:val="0"/>
          <w:numId w:val="2"/>
        </w:numPr>
        <w:spacing w:line="600" w:lineRule="exact"/>
        <w:ind w:firstLine="640"/>
        <w:outlineLvl w:val="1"/>
        <w:rPr>
          <w:rStyle w:val="15"/>
          <w:rFonts w:ascii="黑体" w:hAnsi="黑体" w:eastAsia="黑体"/>
          <w:b w:val="0"/>
        </w:rPr>
      </w:pPr>
      <w:bookmarkStart w:id="46" w:name="_Toc15396611"/>
      <w:bookmarkStart w:id="47" w:name="_Toc10775"/>
      <w:bookmarkStart w:id="48" w:name="_Toc15377219"/>
      <w:r>
        <w:rPr>
          <w:rStyle w:val="15"/>
          <w:rFonts w:hint="eastAsia" w:ascii="黑体" w:hAnsi="黑体" w:eastAsia="黑体"/>
          <w:b w:val="0"/>
        </w:rPr>
        <w:t>国有资本经营预算支出决算情况说明</w:t>
      </w:r>
      <w:bookmarkEnd w:id="46"/>
      <w:bookmarkEnd w:id="47"/>
      <w:bookmarkEnd w:id="48"/>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年国有资本经营预算拨款支出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15"/>
          <w:rFonts w:ascii="黑体" w:hAnsi="黑体" w:eastAsia="黑体"/>
        </w:rPr>
      </w:pPr>
      <w:bookmarkStart w:id="49" w:name="_Toc15377221"/>
      <w:bookmarkStart w:id="50" w:name="_Toc738"/>
      <w:bookmarkStart w:id="51" w:name="_Toc15396612"/>
      <w:r>
        <w:rPr>
          <w:rFonts w:hint="eastAsia" w:ascii="黑体" w:hAnsi="黑体" w:eastAsia="黑体"/>
          <w:color w:val="000000"/>
          <w:sz w:val="32"/>
          <w:szCs w:val="32"/>
        </w:rPr>
        <w:t>十</w:t>
      </w:r>
      <w:r>
        <w:rPr>
          <w:rStyle w:val="15"/>
          <w:rFonts w:hint="eastAsia" w:ascii="黑体" w:hAnsi="黑体" w:eastAsia="黑体"/>
        </w:rPr>
        <w:t>、</w:t>
      </w:r>
      <w:r>
        <w:rPr>
          <w:rStyle w:val="15"/>
          <w:rFonts w:hint="eastAsia" w:ascii="黑体" w:hAnsi="黑体" w:eastAsia="黑体"/>
          <w:b w:val="0"/>
        </w:rPr>
        <w:t>其他重要事项的情况说明</w:t>
      </w:r>
      <w:bookmarkEnd w:id="49"/>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hint="eastAsia" w:ascii="仿宋_GB2312" w:eastAsia="仿宋_GB2312"/>
          <w:color w:val="000000"/>
          <w:sz w:val="32"/>
          <w:szCs w:val="32"/>
          <w:lang w:eastAsia="zh-CN"/>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中共自贡市自流井区委员会宣传部</w:t>
      </w:r>
      <w:r>
        <w:rPr>
          <w:rFonts w:hint="eastAsia" w:ascii="仿宋_GB2312" w:eastAsia="仿宋_GB2312"/>
          <w:color w:val="000000"/>
          <w:sz w:val="32"/>
          <w:szCs w:val="32"/>
        </w:rPr>
        <w:t>机关运行经费支出</w:t>
      </w:r>
      <w:r>
        <w:rPr>
          <w:rFonts w:hint="eastAsia" w:ascii="仿宋_GB2312"/>
          <w:color w:val="000000"/>
          <w:sz w:val="32"/>
          <w:szCs w:val="32"/>
          <w:lang w:val="en-US" w:eastAsia="zh-CN"/>
        </w:rPr>
        <w:t>157.39</w:t>
      </w:r>
      <w:r>
        <w:rPr>
          <w:rFonts w:hint="eastAsia" w:ascii="仿宋_GB2312" w:eastAsia="仿宋_GB2312"/>
          <w:color w:val="000000"/>
          <w:sz w:val="32"/>
          <w:szCs w:val="32"/>
        </w:rPr>
        <w:t>万元，比</w:t>
      </w:r>
      <w:r>
        <w:rPr>
          <w:rFonts w:ascii="仿宋_GB2312" w:eastAsia="仿宋_GB2312"/>
          <w:color w:val="000000"/>
          <w:sz w:val="32"/>
          <w:szCs w:val="32"/>
        </w:rPr>
        <w:t>2019</w:t>
      </w:r>
      <w:r>
        <w:rPr>
          <w:rFonts w:hint="eastAsia" w:ascii="仿宋_GB2312" w:eastAsia="仿宋_GB2312"/>
          <w:color w:val="000000"/>
          <w:sz w:val="32"/>
          <w:szCs w:val="32"/>
        </w:rPr>
        <w:t>年增加</w:t>
      </w:r>
      <w:r>
        <w:rPr>
          <w:rFonts w:hint="eastAsia" w:ascii="仿宋_GB2312"/>
          <w:color w:val="000000"/>
          <w:sz w:val="32"/>
          <w:szCs w:val="32"/>
          <w:lang w:val="en-US" w:eastAsia="zh-CN"/>
        </w:rPr>
        <w:t>151.62</w:t>
      </w:r>
      <w:r>
        <w:rPr>
          <w:rFonts w:hint="eastAsia" w:ascii="仿宋_GB2312" w:eastAsia="仿宋_GB2312"/>
          <w:color w:val="000000"/>
          <w:sz w:val="32"/>
          <w:szCs w:val="32"/>
        </w:rPr>
        <w:t>万元，增长</w:t>
      </w:r>
      <w:r>
        <w:rPr>
          <w:rFonts w:hint="eastAsia" w:ascii="仿宋_GB2312"/>
          <w:color w:val="000000"/>
          <w:sz w:val="32"/>
          <w:szCs w:val="32"/>
          <w:lang w:val="en-US" w:eastAsia="zh-CN"/>
        </w:rPr>
        <w:t>96.33</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color w:val="000000"/>
          <w:sz w:val="32"/>
          <w:szCs w:val="32"/>
          <w:lang w:eastAsia="zh-CN"/>
        </w:rPr>
        <w:t>办公费增加。</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中共自贡市自流井区率委员会宣传部</w:t>
      </w:r>
      <w:r>
        <w:rPr>
          <w:rFonts w:hint="eastAsia" w:ascii="仿宋_GB2312" w:eastAsia="仿宋_GB2312"/>
          <w:color w:val="000000"/>
          <w:sz w:val="32"/>
          <w:szCs w:val="32"/>
        </w:rPr>
        <w:t>政府采购支出总额</w:t>
      </w:r>
      <w:r>
        <w:rPr>
          <w:rFonts w:hint="eastAsia" w:ascii="仿宋_GB2312"/>
          <w:color w:val="000000"/>
          <w:sz w:val="32"/>
          <w:szCs w:val="32"/>
          <w:lang w:val="en-US" w:eastAsia="zh-CN"/>
        </w:rPr>
        <w:t>30.35</w:t>
      </w:r>
      <w:r>
        <w:rPr>
          <w:rFonts w:hint="eastAsia" w:ascii="仿宋_GB2312" w:eastAsia="仿宋_GB2312"/>
          <w:color w:val="000000"/>
          <w:sz w:val="32"/>
          <w:szCs w:val="32"/>
        </w:rPr>
        <w:t>万元，其中：政府采购货物支出</w:t>
      </w:r>
      <w:r>
        <w:rPr>
          <w:rFonts w:hint="eastAsia" w:ascii="仿宋_GB2312"/>
          <w:color w:val="000000"/>
          <w:sz w:val="32"/>
          <w:szCs w:val="32"/>
          <w:lang w:val="en-US" w:eastAsia="zh-CN"/>
        </w:rPr>
        <w:t>30.35</w:t>
      </w:r>
      <w:r>
        <w:rPr>
          <w:rFonts w:hint="eastAsia" w:ascii="仿宋_GB2312" w:eastAsia="仿宋_GB2312"/>
          <w:color w:val="000000"/>
          <w:sz w:val="32"/>
          <w:szCs w:val="32"/>
        </w:rPr>
        <w:t>万元、政府采购工程支出</w:t>
      </w:r>
      <w:r>
        <w:rPr>
          <w:rFonts w:hint="eastAsia" w:ascii="仿宋_GB2312"/>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Fonts w:hint="eastAsia" w:ascii="仿宋_GB2312"/>
          <w:color w:val="000000"/>
          <w:sz w:val="32"/>
          <w:szCs w:val="32"/>
          <w:lang w:val="en-US" w:eastAsia="zh-CN"/>
        </w:rPr>
        <w:t>0</w:t>
      </w:r>
      <w:r>
        <w:rPr>
          <w:rFonts w:hint="eastAsia" w:ascii="仿宋_GB2312" w:eastAsia="仿宋_GB2312"/>
          <w:color w:val="000000"/>
          <w:sz w:val="32"/>
          <w:szCs w:val="32"/>
        </w:rPr>
        <w:t>。授予中小企业合同金额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color w:val="000000"/>
          <w:sz w:val="32"/>
          <w:szCs w:val="32"/>
          <w:lang w:eastAsia="zh-CN"/>
        </w:rPr>
        <w:t>中共自贡市自流井区委员会宣传部</w:t>
      </w:r>
      <w:r>
        <w:rPr>
          <w:rFonts w:hint="eastAsia" w:ascii="仿宋_GB2312" w:eastAsia="仿宋_GB2312"/>
          <w:color w:val="000000"/>
          <w:sz w:val="32"/>
          <w:szCs w:val="32"/>
        </w:rPr>
        <w:t>共有车辆</w:t>
      </w:r>
      <w:r>
        <w:rPr>
          <w:rFonts w:hint="eastAsia" w:ascii="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color w:val="000000"/>
          <w:sz w:val="32"/>
          <w:szCs w:val="32"/>
          <w:lang w:eastAsia="zh-CN"/>
        </w:rPr>
        <w:t>。</w:t>
      </w:r>
      <w:r>
        <w:rPr>
          <w:rFonts w:hint="eastAsia" w:ascii="仿宋_GB2312" w:eastAsia="仿宋_GB2312"/>
          <w:color w:val="000000"/>
          <w:sz w:val="32"/>
          <w:szCs w:val="32"/>
        </w:rPr>
        <w:t>单价</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hint="eastAsia" w:ascii="仿宋_GB2312"/>
          <w:color w:val="000000"/>
          <w:sz w:val="32"/>
          <w:szCs w:val="32"/>
          <w:lang w:val="en-US" w:eastAsia="zh-CN"/>
        </w:rPr>
        <w:t>0</w:t>
      </w:r>
      <w:r>
        <w:rPr>
          <w:rFonts w:hint="eastAsia" w:ascii="仿宋_GB2312" w:eastAsia="仿宋_GB2312"/>
          <w:color w:val="000000"/>
          <w:sz w:val="32"/>
          <w:szCs w:val="32"/>
        </w:rPr>
        <w:t>台（套），单价</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hint="eastAsia" w:ascii="仿宋_GB2312"/>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根据预算绩效管理要求，本部门在年初预算编制阶段，组织对</w:t>
      </w:r>
      <w:r>
        <w:rPr>
          <w:rFonts w:hint="eastAsia" w:ascii="仿宋_GB2312" w:hAnsi="仿宋_GB2312" w:cs="仿宋_GB2312"/>
          <w:sz w:val="32"/>
          <w:szCs w:val="32"/>
          <w:lang w:val="en-US" w:eastAsia="zh-CN"/>
        </w:rPr>
        <w:t>0个</w:t>
      </w:r>
      <w:r>
        <w:rPr>
          <w:rFonts w:hint="eastAsia" w:ascii="仿宋_GB2312" w:hAnsi="仿宋_GB2312" w:eastAsia="仿宋_GB2312" w:cs="仿宋_GB2312"/>
          <w:sz w:val="32"/>
          <w:szCs w:val="32"/>
        </w:rPr>
        <w:t>项目（项目名称）开展了预算事前绩效评估，对</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rPr>
        <w:t>个项目编制了绩效目标，预算执行过程中，选取</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rPr>
        <w:t>个项目开展绩效监控，年终执行完毕后，对</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rPr>
        <w:t>个项目开展了绩效目标完成情况自评。</w:t>
      </w:r>
    </w:p>
    <w:p>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eastAsia" w:ascii="仿宋_GB2312" w:eastAsia="仿宋_GB2312"/>
          <w:sz w:val="32"/>
          <w:szCs w:val="32"/>
          <w:lang w:eastAsia="zh-CN"/>
        </w:rPr>
      </w:pPr>
      <w:r>
        <w:rPr>
          <w:rFonts w:hint="eastAsia" w:ascii="Times New Roman" w:hAnsi="Times New Roman" w:cs="仿宋_GB2312"/>
          <w:kern w:val="2"/>
          <w:sz w:val="32"/>
          <w:szCs w:val="24"/>
          <w:lang w:val="en-US" w:eastAsia="zh-CN" w:bidi="ar"/>
        </w:rPr>
        <w:t>2020年</w:t>
      </w:r>
      <w:r>
        <w:rPr>
          <w:rFonts w:hint="eastAsia" w:ascii="Times New Roman" w:hAnsi="Times New Roman" w:eastAsia="仿宋_GB2312" w:cs="仿宋_GB2312"/>
          <w:kern w:val="2"/>
          <w:sz w:val="32"/>
          <w:szCs w:val="24"/>
          <w:lang w:val="en-US" w:eastAsia="zh-CN" w:bidi="ar"/>
        </w:rPr>
        <w:t>按规范流程向区财政局申请2020年创文工作经费财政预算500万元，到位资金500万元。</w:t>
      </w:r>
      <w:r>
        <w:rPr>
          <w:rFonts w:hint="eastAsia" w:ascii="Times New Roman" w:hAnsi="Times New Roman" w:eastAsia="仿宋_GB2312" w:cs="仿宋_GB2312"/>
          <w:b/>
          <w:bCs/>
          <w:kern w:val="2"/>
          <w:sz w:val="32"/>
          <w:szCs w:val="24"/>
          <w:lang w:val="zh-CN" w:eastAsia="zh-CN" w:bidi="ar"/>
        </w:rPr>
        <w:t>二是</w:t>
      </w:r>
      <w:r>
        <w:rPr>
          <w:rFonts w:hint="eastAsia" w:ascii="Times New Roman" w:hAnsi="Times New Roman" w:eastAsia="仿宋_GB2312" w:cs="仿宋_GB2312"/>
          <w:kern w:val="2"/>
          <w:sz w:val="32"/>
          <w:szCs w:val="24"/>
          <w:lang w:val="zh-CN" w:eastAsia="zh-CN" w:bidi="ar"/>
        </w:rPr>
        <w:t>紧紧围绕全市“创则必成”的创建目标，牢固树立“创建为民，为民创建”理念，深入推进“六大攻坚行动”，聚焦突出问题和薄弱环节，压紧压实责任，以高度的政治责任感完成各项创建任务。</w:t>
      </w:r>
      <w:r>
        <w:rPr>
          <w:rFonts w:hint="eastAsia" w:ascii="Times New Roman" w:hAnsi="Times New Roman" w:eastAsia="仿宋_GB2312" w:cs="仿宋_GB2312"/>
          <w:b/>
          <w:bCs/>
          <w:kern w:val="2"/>
          <w:sz w:val="32"/>
          <w:szCs w:val="24"/>
          <w:lang w:val="zh-CN" w:eastAsia="zh-CN" w:bidi="ar"/>
        </w:rPr>
        <w:t>三是</w:t>
      </w:r>
      <w:r>
        <w:rPr>
          <w:rFonts w:hint="eastAsia" w:ascii="Times New Roman" w:hAnsi="Times New Roman" w:eastAsia="仿宋_GB2312" w:cs="仿宋_GB2312"/>
          <w:kern w:val="2"/>
          <w:sz w:val="32"/>
          <w:szCs w:val="24"/>
          <w:lang w:val="zh-CN" w:eastAsia="zh-CN" w:bidi="ar"/>
        </w:rPr>
        <w:t>申报</w:t>
      </w:r>
      <w:r>
        <w:rPr>
          <w:rFonts w:hint="eastAsia" w:cs="仿宋_GB2312"/>
          <w:kern w:val="2"/>
          <w:sz w:val="32"/>
          <w:szCs w:val="24"/>
          <w:lang w:val="zh-CN" w:eastAsia="zh-CN" w:bidi="ar"/>
        </w:rPr>
        <w:t>创文经费具体用于网报材料报送、硬件设施改造、环境卫生整治、交通秩序规范、乡镇创建攻坚、问卷调查宣传等工作，并根据市委、区委创建目标任务，全面开展各项创建工作</w:t>
      </w:r>
      <w:r>
        <w:rPr>
          <w:rFonts w:hint="eastAsia" w:ascii="Times New Roman" w:hAnsi="Times New Roman" w:eastAsia="仿宋_GB2312" w:cs="仿宋_GB2312"/>
          <w:kern w:val="2"/>
          <w:sz w:val="32"/>
          <w:szCs w:val="24"/>
          <w:lang w:val="zh-CN" w:eastAsia="zh-CN" w:bidi="ar"/>
        </w:rPr>
        <w:t>。</w:t>
      </w:r>
    </w:p>
    <w:p>
      <w:pPr>
        <w:numPr>
          <w:ilvl w:val="0"/>
          <w:numId w:val="3"/>
        </w:numPr>
        <w:spacing w:line="58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项目绩效目标完成情况</w:t>
      </w:r>
      <w:r>
        <w:rPr>
          <w:rFonts w:hint="eastAsia" w:ascii="楷体_GB2312" w:hAnsi="楷体_GB2312" w:eastAsia="楷体_GB2312" w:cs="楷体_GB2312"/>
          <w:sz w:val="32"/>
          <w:szCs w:val="32"/>
          <w:lang w:eastAsia="zh-CN"/>
        </w:rPr>
        <w:t>。</w:t>
      </w:r>
    </w:p>
    <w:p>
      <w:pPr>
        <w:spacing w:line="580" w:lineRule="exact"/>
        <w:ind w:firstLine="640" w:firstLineChars="200"/>
        <w:rPr>
          <w:rFonts w:ascii="楷体_GB2312" w:hAnsi="楷体_GB2312" w:eastAsia="楷体_GB2312" w:cs="楷体_GB2312"/>
          <w:szCs w:val="32"/>
        </w:rPr>
      </w:pPr>
      <w:r>
        <w:rPr>
          <w:rFonts w:hint="eastAsia" w:ascii="仿宋_GB2312" w:hAnsi="仿宋_GB2312" w:cs="仿宋_GB2312"/>
          <w:szCs w:val="32"/>
        </w:rPr>
        <w:t>本部门在</w:t>
      </w:r>
      <w:r>
        <w:rPr>
          <w:rFonts w:ascii="仿宋_GB2312" w:hAnsi="仿宋_GB2312" w:cs="仿宋_GB2312"/>
          <w:szCs w:val="32"/>
        </w:rPr>
        <w:t>2020</w:t>
      </w:r>
      <w:r>
        <w:rPr>
          <w:rFonts w:hint="eastAsia" w:ascii="仿宋_GB2312" w:hAnsi="仿宋_GB2312" w:cs="仿宋_GB2312"/>
          <w:szCs w:val="32"/>
        </w:rPr>
        <w:t>年度部门决算中反映</w:t>
      </w:r>
      <w:r>
        <w:rPr>
          <w:rFonts w:hint="eastAsia" w:ascii="仿宋_GB2312" w:hAnsi="仿宋_GB2312" w:cs="仿宋_GB2312"/>
          <w:szCs w:val="32"/>
          <w:lang w:val="en-US" w:eastAsia="zh-CN"/>
        </w:rPr>
        <w:t>2</w:t>
      </w:r>
      <w:r>
        <w:rPr>
          <w:rFonts w:hint="eastAsia" w:ascii="仿宋_GB2312" w:hAnsi="仿宋_GB2312" w:cs="仿宋_GB2312"/>
          <w:szCs w:val="32"/>
        </w:rPr>
        <w:t>个项目绩效目标实际完成情况。</w:t>
      </w:r>
    </w:p>
    <w:tbl>
      <w:tblPr>
        <w:tblStyle w:val="10"/>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ascii="宋体" w:cs="宋体"/>
                <w:color w:val="000000"/>
                <w:sz w:val="36"/>
                <w:szCs w:val="36"/>
              </w:rPr>
            </w:pPr>
            <w:r>
              <w:rPr>
                <w:rFonts w:hint="eastAsia" w:ascii="宋体" w:hAnsi="宋体" w:cs="宋体"/>
                <w:b/>
                <w:bCs/>
                <w:color w:val="000000"/>
                <w:kern w:val="0"/>
                <w:sz w:val="36"/>
                <w:szCs w:val="36"/>
              </w:rPr>
              <w:t>项目绩效目标完成情况表</w:t>
            </w:r>
            <w:r>
              <w:rPr>
                <w:rFonts w:ascii="宋体" w:cs="宋体"/>
                <w:b/>
                <w:bCs/>
                <w:color w:val="000000"/>
                <w:kern w:val="0"/>
                <w:sz w:val="36"/>
                <w:szCs w:val="36"/>
              </w:rPr>
              <w:br w:type="textWrapping"/>
            </w: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Times New Roman" w:cs="宋体"/>
                <w:color w:val="000000"/>
                <w:sz w:val="24"/>
                <w:lang w:val="en-US" w:eastAsia="zh-CN"/>
              </w:rPr>
              <w:t>农家书屋图书采购专项资金</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中共自贡市自流井区委员会宣传部</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49930.55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5</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49930.55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rPr>
            </w:pPr>
            <w:r>
              <w:rPr>
                <w:rFonts w:hint="eastAsia" w:ascii="宋体" w:hAnsi="宋体" w:cs="宋体"/>
                <w:color w:val="000000"/>
                <w:kern w:val="0"/>
                <w:sz w:val="24"/>
                <w:lang w:val="en-US" w:eastAsia="zh-CN"/>
              </w:rPr>
              <w:t>2020年每个农家书屋补充图书不少于60种，国家重点推荐目录列入的品种和数量比例不得低于 70%（42种），本省（区、市）出版物比例不得 超过 30%（18种）。</w:t>
            </w:r>
          </w:p>
          <w:p>
            <w:pPr>
              <w:widowControl/>
              <w:jc w:val="center"/>
              <w:textAlignment w:val="center"/>
              <w:rPr>
                <w:rFonts w:ascii="宋体" w:cs="宋体"/>
                <w:color w:val="000000"/>
                <w:sz w:val="24"/>
              </w:rPr>
            </w:pP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hAnsi="宋体" w:cs="宋体"/>
                <w:color w:val="000000"/>
                <w:kern w:val="0"/>
                <w:sz w:val="24"/>
                <w:lang w:val="en-US" w:eastAsia="zh-CN"/>
              </w:rPr>
              <w:t>2020年25个农家书屋按照国家重点推荐书目要求共计选购图书1985种，同时选购电子图书共计12500种，完全全面目标任务</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每个农家书屋补充更新图书</w:t>
            </w:r>
            <w:r>
              <w:rPr>
                <w:rFonts w:hint="default" w:ascii="宋体" w:hAnsi="宋体" w:cs="宋体"/>
                <w:color w:val="000000"/>
                <w:kern w:val="0"/>
                <w:sz w:val="24"/>
                <w:lang w:val="en-US" w:eastAsia="zh-CN"/>
              </w:rPr>
              <w:t>不少于 60 种</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 xml:space="preserve">每个农家书屋补充更新图书60种 </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 xml:space="preserve">每个农家书屋实际补充更新图书69种 </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质量指标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提供全新的图书，保证正版图书，且权属清楚，不得侵害他人的知识产权</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全部采购正版图书，不涉及侵害他人知识产权</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按照要求全部采购正版图书，不涉及侵害他人知识产权</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时效指标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年内完成当年图书采购工作</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年内完成图书采购，并发放到各农家书屋</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已于年内完成图书采购，并发放到各农家书屋</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成本指标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rPr>
            </w:pPr>
            <w:r>
              <w:rPr>
                <w:rFonts w:hint="default" w:ascii="宋体" w:hAnsi="宋体" w:cs="宋体"/>
                <w:color w:val="000000"/>
                <w:kern w:val="0"/>
                <w:sz w:val="24"/>
                <w:lang w:val="en-US" w:eastAsia="zh-CN"/>
              </w:rPr>
              <w:t>每个农家书屋出版物配备资金应不少于2000元</w:t>
            </w:r>
          </w:p>
          <w:p>
            <w:pPr>
              <w:widowControl/>
              <w:jc w:val="center"/>
              <w:textAlignment w:val="center"/>
              <w:rPr>
                <w:rFonts w:hint="eastAsia" w:ascii="宋体" w:hAnsi="宋体" w:cs="宋体"/>
                <w:color w:val="000000"/>
                <w:kern w:val="0"/>
                <w:sz w:val="24"/>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按照资金标准采购图书</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已按照资金标准采购图书</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rPr>
            </w:pPr>
            <w:r>
              <w:rPr>
                <w:rFonts w:hint="eastAsia" w:ascii="宋体" w:hAnsi="宋体" w:cs="宋体"/>
                <w:color w:val="000000"/>
                <w:kern w:val="0"/>
                <w:sz w:val="24"/>
              </w:rPr>
              <w:t>社会效益</w:t>
            </w:r>
          </w:p>
          <w:p>
            <w:pPr>
              <w:widowControl/>
              <w:jc w:val="center"/>
              <w:textAlignment w:val="center"/>
              <w:rPr>
                <w:rFonts w:hint="default" w:ascii="宋体" w:hAnsi="宋体" w:cs="宋体"/>
                <w:color w:val="000000"/>
                <w:kern w:val="0"/>
                <w:sz w:val="24"/>
                <w:lang w:val="en-US" w:eastAsia="zh-CN"/>
              </w:rPr>
            </w:pPr>
            <w:r>
              <w:rPr>
                <w:rFonts w:hint="eastAsia" w:ascii="宋体" w:hAnsi="宋体" w:cs="宋体"/>
                <w:color w:val="000000"/>
                <w:kern w:val="0"/>
                <w:sz w:val="24"/>
              </w:rPr>
              <w:t>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rPr>
            </w:pPr>
            <w:r>
              <w:rPr>
                <w:rFonts w:hint="eastAsia" w:ascii="宋体" w:hAnsi="宋体" w:cs="宋体"/>
                <w:color w:val="000000"/>
                <w:kern w:val="0"/>
                <w:sz w:val="24"/>
                <w:lang w:val="en-US" w:eastAsia="zh-CN"/>
              </w:rPr>
              <w:t>确保每个农家书屋图书发挥实效</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发动宣传，充分利用农家书屋图书丰富群众文化生活</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已发动宣传，充分利用农家书屋图书丰富群众文化生活</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rPr>
            </w:pPr>
            <w:r>
              <w:rPr>
                <w:rFonts w:hint="eastAsia" w:ascii="宋体" w:hAnsi="宋体" w:cs="宋体"/>
                <w:color w:val="000000"/>
                <w:kern w:val="0"/>
                <w:sz w:val="24"/>
              </w:rPr>
              <w:t>生态效益</w:t>
            </w:r>
          </w:p>
          <w:p>
            <w:pPr>
              <w:widowControl/>
              <w:jc w:val="center"/>
              <w:textAlignment w:val="center"/>
              <w:rPr>
                <w:rFonts w:hint="default" w:ascii="宋体" w:hAnsi="宋体" w:cs="宋体"/>
                <w:color w:val="000000"/>
                <w:kern w:val="0"/>
                <w:sz w:val="24"/>
                <w:lang w:val="en-US" w:eastAsia="zh-CN"/>
              </w:rPr>
            </w:pPr>
            <w:r>
              <w:rPr>
                <w:rFonts w:hint="eastAsia" w:ascii="宋体" w:hAnsi="宋体" w:cs="宋体"/>
                <w:color w:val="000000"/>
                <w:kern w:val="0"/>
                <w:sz w:val="24"/>
              </w:rPr>
              <w:t>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rPr>
            </w:pPr>
            <w:r>
              <w:rPr>
                <w:rFonts w:hint="eastAsia" w:ascii="宋体" w:hAnsi="宋体" w:cs="宋体"/>
                <w:color w:val="000000"/>
                <w:kern w:val="0"/>
                <w:sz w:val="24"/>
                <w:lang w:eastAsia="zh-CN"/>
              </w:rPr>
              <w:t>增加疫情防控力度，营造良好的</w:t>
            </w:r>
            <w:r>
              <w:rPr>
                <w:rFonts w:hint="eastAsia" w:ascii="宋体" w:hAnsi="宋体" w:cs="宋体"/>
                <w:color w:val="000000"/>
                <w:kern w:val="0"/>
                <w:sz w:val="24"/>
                <w:lang w:val="en-US" w:eastAsia="zh-CN"/>
              </w:rPr>
              <w:t>读书</w:t>
            </w:r>
            <w:r>
              <w:rPr>
                <w:rFonts w:hint="eastAsia" w:ascii="宋体" w:hAnsi="宋体" w:cs="宋体"/>
                <w:color w:val="000000"/>
                <w:kern w:val="0"/>
                <w:sz w:val="24"/>
                <w:lang w:eastAsia="zh-CN"/>
              </w:rPr>
              <w:t>环境</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eastAsia="zh-CN"/>
              </w:rPr>
              <w:t>加强日常检查监管</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已</w:t>
            </w:r>
            <w:r>
              <w:rPr>
                <w:rFonts w:hint="eastAsia" w:ascii="宋体" w:hAnsi="宋体" w:cs="宋体"/>
                <w:color w:val="000000"/>
                <w:kern w:val="0"/>
                <w:sz w:val="24"/>
                <w:lang w:eastAsia="zh-CN"/>
              </w:rPr>
              <w:t>加强日常检查监管</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rPr>
            </w:pPr>
            <w:r>
              <w:rPr>
                <w:rFonts w:hint="eastAsia" w:ascii="宋体" w:hAnsi="宋体" w:cs="宋体"/>
                <w:color w:val="000000"/>
                <w:kern w:val="0"/>
                <w:sz w:val="24"/>
              </w:rPr>
              <w:t>服务对象满意度指标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rPr>
            </w:pPr>
            <w:r>
              <w:rPr>
                <w:rFonts w:hint="eastAsia" w:ascii="宋体" w:hAnsi="宋体" w:cs="宋体"/>
                <w:color w:val="000000"/>
                <w:kern w:val="0"/>
                <w:sz w:val="24"/>
                <w:lang w:eastAsia="zh-CN"/>
              </w:rPr>
              <w:t>督促</w:t>
            </w:r>
            <w:r>
              <w:rPr>
                <w:rFonts w:hint="eastAsia" w:ascii="宋体" w:hAnsi="宋体" w:cs="宋体"/>
                <w:color w:val="000000"/>
                <w:kern w:val="0"/>
                <w:sz w:val="24"/>
                <w:lang w:val="en-US" w:eastAsia="zh-CN"/>
              </w:rPr>
              <w:t>各村</w:t>
            </w:r>
            <w:r>
              <w:rPr>
                <w:rFonts w:hint="eastAsia" w:ascii="宋体" w:hAnsi="宋体" w:cs="宋体"/>
                <w:color w:val="000000"/>
                <w:kern w:val="0"/>
                <w:sz w:val="24"/>
                <w:lang w:eastAsia="zh-CN"/>
              </w:rPr>
              <w:t>持续引导</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default" w:ascii="宋体" w:hAnsi="宋体" w:cs="宋体"/>
                <w:color w:val="000000"/>
                <w:kern w:val="0"/>
                <w:sz w:val="24"/>
                <w:lang w:eastAsia="zh-CN"/>
              </w:rPr>
              <w:t>≥</w:t>
            </w:r>
            <w:r>
              <w:rPr>
                <w:rFonts w:hint="eastAsia" w:ascii="宋体" w:hAnsi="宋体" w:cs="宋体"/>
                <w:color w:val="000000"/>
                <w:kern w:val="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实际完成</w:t>
            </w:r>
            <w:r>
              <w:rPr>
                <w:rFonts w:hint="default" w:ascii="宋体" w:hAnsi="宋体" w:cs="宋体"/>
                <w:color w:val="000000"/>
                <w:kern w:val="0"/>
                <w:sz w:val="24"/>
                <w:lang w:eastAsia="zh-CN"/>
              </w:rPr>
              <w:t>≥</w:t>
            </w:r>
            <w:r>
              <w:rPr>
                <w:rFonts w:hint="eastAsia" w:ascii="宋体" w:hAnsi="宋体" w:cs="宋体"/>
                <w:color w:val="000000"/>
                <w:kern w:val="0"/>
                <w:sz w:val="24"/>
                <w:lang w:val="en-US" w:eastAsia="zh-CN"/>
              </w:rPr>
              <w:t>90%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both"/>
              <w:textAlignment w:val="center"/>
              <w:rPr>
                <w:rFonts w:ascii="宋体" w:cs="宋体"/>
                <w:color w:val="000000"/>
                <w:sz w:val="36"/>
                <w:szCs w:val="36"/>
              </w:rPr>
            </w:pP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创文工作经费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中共自贡市自流井区委员会宣传部</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500万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500万</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500万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500万</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按照市创文办要求，对标创建标准，常态化落实完成全国文明城市创建工作，按要求完成公益景观小品新增任务，落实开展好交通文明劝导员工作，确保顺利通过年度中央测评，</w:t>
            </w:r>
            <w:r>
              <w:rPr>
                <w:rFonts w:hint="default" w:ascii="宋体" w:hAnsi="宋体" w:cs="宋体"/>
                <w:color w:val="000000"/>
                <w:kern w:val="0"/>
                <w:sz w:val="24"/>
                <w:lang w:val="en-US" w:eastAsia="zh-CN"/>
              </w:rPr>
              <w:t>辖区人居环境</w:t>
            </w:r>
            <w:r>
              <w:rPr>
                <w:rFonts w:hint="eastAsia" w:ascii="宋体" w:hAnsi="宋体" w:cs="宋体"/>
                <w:color w:val="000000"/>
                <w:kern w:val="0"/>
                <w:sz w:val="24"/>
                <w:lang w:val="en-US" w:eastAsia="zh-CN"/>
              </w:rPr>
              <w:t>、</w:t>
            </w:r>
            <w:r>
              <w:rPr>
                <w:rFonts w:hint="default" w:ascii="宋体" w:hAnsi="宋体" w:cs="宋体"/>
                <w:color w:val="000000"/>
                <w:kern w:val="0"/>
                <w:sz w:val="24"/>
                <w:lang w:val="en-US" w:eastAsia="zh-CN"/>
              </w:rPr>
              <w:t>群众文明素养</w:t>
            </w:r>
            <w:r>
              <w:rPr>
                <w:rFonts w:hint="eastAsia" w:ascii="宋体" w:hAnsi="宋体" w:cs="宋体"/>
                <w:color w:val="000000"/>
                <w:kern w:val="0"/>
                <w:sz w:val="24"/>
                <w:lang w:val="en-US" w:eastAsia="zh-CN"/>
              </w:rPr>
              <w:t>显著</w:t>
            </w:r>
            <w:r>
              <w:rPr>
                <w:rFonts w:hint="default" w:ascii="宋体" w:hAnsi="宋体" w:cs="宋体"/>
                <w:color w:val="000000"/>
                <w:kern w:val="0"/>
                <w:sz w:val="24"/>
                <w:lang w:val="en-US" w:eastAsia="zh-CN"/>
              </w:rPr>
              <w:t>提升</w:t>
            </w:r>
            <w:r>
              <w:rPr>
                <w:rFonts w:hint="eastAsia" w:ascii="宋体" w:hAnsi="宋体" w:cs="宋体"/>
                <w:color w:val="000000"/>
                <w:kern w:val="0"/>
                <w:sz w:val="24"/>
                <w:lang w:val="en-US" w:eastAsia="zh-CN"/>
              </w:rPr>
              <w:t>，</w:t>
            </w:r>
            <w:r>
              <w:rPr>
                <w:rFonts w:hint="eastAsia" w:ascii="宋体" w:cs="宋体"/>
                <w:color w:val="000000"/>
                <w:sz w:val="24"/>
                <w:lang w:eastAsia="zh-CN"/>
              </w:rPr>
              <w:t>群众满意率高。</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按照市创文办要求，对标创建标准，常态化落实完成全国文明城市创建工作，按要求完成公益景观小品新增任务</w:t>
            </w:r>
            <w:r>
              <w:rPr>
                <w:rFonts w:hint="eastAsia" w:ascii="宋体" w:cs="宋体"/>
                <w:color w:val="000000"/>
                <w:sz w:val="24"/>
                <w:lang w:val="en-US" w:eastAsia="zh-CN"/>
              </w:rPr>
              <w:t>39个</w:t>
            </w:r>
            <w:r>
              <w:rPr>
                <w:rFonts w:hint="eastAsia" w:ascii="宋体" w:cs="宋体"/>
                <w:color w:val="000000"/>
                <w:sz w:val="24"/>
                <w:lang w:eastAsia="zh-CN"/>
              </w:rPr>
              <w:t>，落实开展好</w:t>
            </w:r>
            <w:r>
              <w:rPr>
                <w:rFonts w:hint="eastAsia" w:ascii="宋体" w:cs="宋体"/>
                <w:color w:val="000000"/>
                <w:sz w:val="24"/>
                <w:lang w:val="en-US" w:eastAsia="zh-CN"/>
              </w:rPr>
              <w:t>35个重要交通路口点位</w:t>
            </w:r>
            <w:r>
              <w:rPr>
                <w:rFonts w:hint="eastAsia" w:ascii="宋体" w:cs="宋体"/>
                <w:color w:val="000000"/>
                <w:sz w:val="24"/>
                <w:lang w:eastAsia="zh-CN"/>
              </w:rPr>
              <w:t>交通文明劝导工作，顺利通过年度中央测评。全区卫生环境、公共秩序、硬件设施等得到显著改善</w:t>
            </w:r>
            <w:r>
              <w:rPr>
                <w:rFonts w:hint="eastAsia" w:ascii="宋体" w:hAnsi="宋体" w:cs="宋体"/>
                <w:color w:val="000000"/>
                <w:kern w:val="0"/>
                <w:sz w:val="24"/>
                <w:lang w:val="en-US" w:eastAsia="zh-CN"/>
              </w:rPr>
              <w:t>，</w:t>
            </w:r>
            <w:r>
              <w:rPr>
                <w:rFonts w:hint="eastAsia" w:ascii="宋体" w:cs="宋体"/>
                <w:color w:val="000000"/>
                <w:sz w:val="24"/>
                <w:lang w:eastAsia="zh-CN"/>
              </w:rPr>
              <w:t>群众满意率高。</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指标1：</w:t>
            </w:r>
            <w:r>
              <w:rPr>
                <w:rFonts w:hint="eastAsia" w:ascii="宋体" w:cs="宋体"/>
                <w:color w:val="000000"/>
                <w:sz w:val="24"/>
                <w:lang w:eastAsia="zh-CN"/>
              </w:rPr>
              <w:t>新增公益景观小品</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39个</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39个</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指标2：</w:t>
            </w:r>
            <w:r>
              <w:rPr>
                <w:rFonts w:hint="eastAsia" w:ascii="宋体" w:cs="宋体"/>
                <w:color w:val="000000"/>
                <w:sz w:val="24"/>
                <w:lang w:eastAsia="zh-CN"/>
              </w:rPr>
              <w:t>开展交通文明劝导点位数量</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w:t>
            </w:r>
            <w:r>
              <w:rPr>
                <w:rFonts w:hint="eastAsia" w:ascii="宋体" w:cs="宋体"/>
                <w:color w:val="000000"/>
                <w:sz w:val="24"/>
                <w:lang w:val="en-US" w:eastAsia="zh-CN"/>
              </w:rPr>
              <w:t>26个</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35个</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质量指标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指标1：</w:t>
            </w:r>
            <w:r>
              <w:rPr>
                <w:rFonts w:hint="eastAsia" w:ascii="宋体" w:cs="宋体"/>
                <w:color w:val="000000"/>
                <w:sz w:val="24"/>
                <w:lang w:eastAsia="zh-CN"/>
              </w:rPr>
              <w:t>全国文明城市创建成效</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通过中央测评</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成功通过中央测评</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时效指标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指标</w:t>
            </w:r>
            <w:r>
              <w:rPr>
                <w:rFonts w:hint="eastAsia" w:ascii="宋体" w:cs="宋体"/>
                <w:color w:val="000000"/>
                <w:sz w:val="24"/>
                <w:lang w:val="en-US" w:eastAsia="zh-CN"/>
              </w:rPr>
              <w:t>1</w:t>
            </w:r>
            <w:r>
              <w:rPr>
                <w:rFonts w:hint="eastAsia" w:ascii="宋体" w:cs="宋体"/>
                <w:color w:val="000000"/>
                <w:sz w:val="24"/>
              </w:rPr>
              <w:t>：</w:t>
            </w:r>
            <w:r>
              <w:rPr>
                <w:rFonts w:hint="eastAsia" w:ascii="宋体" w:cs="宋体"/>
                <w:color w:val="000000"/>
                <w:sz w:val="24"/>
                <w:lang w:eastAsia="zh-CN"/>
              </w:rPr>
              <w:t>常态化开展全国文明城市创建工作巩固成果</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全年</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全年</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rPr>
            </w:pPr>
            <w:r>
              <w:rPr>
                <w:rFonts w:hint="default" w:ascii="宋体" w:hAnsi="宋体" w:cs="宋体"/>
                <w:color w:val="000000"/>
                <w:kern w:val="0"/>
                <w:sz w:val="24"/>
                <w:lang w:val="en-US" w:eastAsia="zh-CN"/>
              </w:rPr>
              <w:t>社会效益</w:t>
            </w:r>
          </w:p>
          <w:p>
            <w:pPr>
              <w:widowControl/>
              <w:jc w:val="center"/>
              <w:textAlignment w:val="center"/>
              <w:rPr>
                <w:rFonts w:hint="default" w:ascii="宋体" w:hAnsi="宋体" w:eastAsia="宋体" w:cs="宋体"/>
                <w:kern w:val="0"/>
                <w:sz w:val="18"/>
                <w:szCs w:val="18"/>
                <w:lang w:val="en-US" w:eastAsia="zh-CN" w:bidi="ar-SA"/>
              </w:rPr>
            </w:pPr>
            <w:r>
              <w:rPr>
                <w:rFonts w:hint="default" w:ascii="宋体" w:hAnsi="宋体" w:cs="宋体"/>
                <w:color w:val="000000"/>
                <w:kern w:val="0"/>
                <w:sz w:val="24"/>
                <w:lang w:val="en-US" w:eastAsia="zh-CN"/>
              </w:rPr>
              <w:t>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hint="default" w:ascii="宋体" w:hAnsi="宋体" w:eastAsia="宋体" w:cs="宋体"/>
                <w:color w:val="000000"/>
                <w:kern w:val="0"/>
                <w:sz w:val="18"/>
                <w:szCs w:val="18"/>
                <w:lang w:val="en-US" w:eastAsia="zh-CN" w:bidi="ar-SA"/>
              </w:rPr>
            </w:pPr>
            <w:r>
              <w:rPr>
                <w:rFonts w:hint="default" w:ascii="宋体" w:hAnsi="宋体" w:eastAsia="宋体" w:cs="宋体"/>
                <w:color w:val="000000"/>
                <w:kern w:val="0"/>
                <w:sz w:val="18"/>
                <w:szCs w:val="18"/>
                <w:lang w:val="en-US" w:eastAsia="zh-CN" w:bidi="ar-SA"/>
              </w:rPr>
              <w:t>指</w:t>
            </w:r>
            <w:r>
              <w:rPr>
                <w:rFonts w:hint="default" w:ascii="宋体" w:hAnsi="宋体" w:cs="宋体"/>
                <w:color w:val="000000"/>
                <w:kern w:val="0"/>
                <w:sz w:val="24"/>
                <w:lang w:val="en-US" w:eastAsia="zh-CN"/>
              </w:rPr>
              <w:t>标1：通过全国文明城市创建改善辖区群众人居环境提升群众文明素养效果</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显著</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通过创建工作，全区卫生环境、公共秩序、硬件设施等得到显著改善</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生态效益指标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24"/>
                <w:lang w:eastAsia="zh-CN"/>
              </w:rPr>
              <w:t>营造良好的</w:t>
            </w:r>
            <w:r>
              <w:rPr>
                <w:rFonts w:hint="eastAsia" w:ascii="宋体" w:hAnsi="宋体" w:cs="宋体"/>
                <w:color w:val="000000"/>
                <w:kern w:val="0"/>
                <w:sz w:val="24"/>
                <w:lang w:val="en-US" w:eastAsia="zh-CN"/>
              </w:rPr>
              <w:t>生活</w:t>
            </w:r>
            <w:r>
              <w:rPr>
                <w:rFonts w:hint="eastAsia" w:ascii="宋体" w:hAnsi="宋体" w:cs="宋体"/>
                <w:color w:val="000000"/>
                <w:kern w:val="0"/>
                <w:sz w:val="24"/>
                <w:lang w:eastAsia="zh-CN"/>
              </w:rPr>
              <w:t>环境</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仿宋_GB2312" w:cs="宋体"/>
                <w:color w:val="000000"/>
                <w:kern w:val="0"/>
                <w:sz w:val="24"/>
                <w:szCs w:val="24"/>
                <w:lang w:val="en-US" w:eastAsia="zh-CN" w:bidi="ar-SA"/>
              </w:rPr>
            </w:pPr>
            <w:r>
              <w:rPr>
                <w:rFonts w:hint="eastAsia" w:ascii="宋体" w:hAnsi="宋体" w:cs="宋体"/>
                <w:color w:val="000000"/>
                <w:kern w:val="0"/>
                <w:sz w:val="24"/>
                <w:lang w:eastAsia="zh-CN"/>
              </w:rPr>
              <w:t>加强日常检查监管</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仿宋_GB2312" w:cs="宋体"/>
                <w:color w:val="000000"/>
                <w:kern w:val="0"/>
                <w:sz w:val="24"/>
                <w:szCs w:val="24"/>
                <w:lang w:val="en-US" w:eastAsia="zh-CN" w:bidi="ar-SA"/>
              </w:rPr>
            </w:pPr>
            <w:r>
              <w:rPr>
                <w:rFonts w:hint="eastAsia" w:ascii="宋体" w:hAnsi="宋体" w:cs="宋体"/>
                <w:color w:val="000000"/>
                <w:kern w:val="0"/>
                <w:sz w:val="24"/>
                <w:lang w:val="en-US" w:eastAsia="zh-CN"/>
              </w:rPr>
              <w:t>已</w:t>
            </w:r>
            <w:r>
              <w:rPr>
                <w:rFonts w:hint="eastAsia" w:ascii="宋体" w:hAnsi="宋体" w:cs="宋体"/>
                <w:color w:val="000000"/>
                <w:kern w:val="0"/>
                <w:sz w:val="24"/>
                <w:lang w:eastAsia="zh-CN"/>
              </w:rPr>
              <w:t>加强日常检查监管</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center"/>
              <w:rPr>
                <w:rFonts w:hint="default" w:ascii="宋体" w:hAnsi="宋体" w:eastAsia="宋体" w:cs="宋体"/>
                <w:kern w:val="0"/>
                <w:sz w:val="18"/>
                <w:szCs w:val="18"/>
                <w:lang w:val="en-US" w:eastAsia="zh-CN" w:bidi="ar-SA"/>
              </w:rPr>
            </w:pPr>
            <w:r>
              <w:rPr>
                <w:rFonts w:hint="default" w:ascii="宋体" w:hAnsi="宋体" w:cs="宋体"/>
                <w:color w:val="000000"/>
                <w:kern w:val="0"/>
                <w:sz w:val="24"/>
                <w:lang w:val="en-US" w:eastAsia="zh-CN"/>
              </w:rPr>
              <w:t>服务对象满意度指标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hint="default" w:ascii="宋体" w:hAnsi="宋体" w:eastAsia="宋体" w:cs="宋体"/>
                <w:color w:val="000000"/>
                <w:kern w:val="0"/>
                <w:sz w:val="18"/>
                <w:szCs w:val="18"/>
                <w:lang w:val="en-US" w:eastAsia="zh-CN" w:bidi="ar-SA"/>
              </w:rPr>
            </w:pPr>
            <w:r>
              <w:rPr>
                <w:rFonts w:hint="default" w:ascii="宋体" w:hAnsi="宋体" w:cs="宋体"/>
                <w:color w:val="000000"/>
                <w:kern w:val="0"/>
                <w:sz w:val="24"/>
                <w:lang w:val="en-US" w:eastAsia="zh-CN"/>
              </w:rPr>
              <w:t>指标1：辖区群众对全国文明城市创建工作的满意率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w:t>
            </w:r>
            <w:r>
              <w:rPr>
                <w:rFonts w:hint="eastAsia" w:ascii="宋体" w:cs="宋体"/>
                <w:color w:val="000000"/>
                <w:sz w:val="24"/>
                <w:lang w:val="en-US" w:eastAsia="zh-CN"/>
              </w:rPr>
              <w:t>95%</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96%</w:t>
            </w:r>
          </w:p>
        </w:tc>
      </w:tr>
    </w:tbl>
    <w:p/>
    <w:p>
      <w:pPr>
        <w:spacing w:line="580" w:lineRule="exact"/>
        <w:ind w:left="630"/>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年部门整体支出绩效评价情况开展自评，《</w:t>
      </w:r>
      <w:r>
        <w:rPr>
          <w:rFonts w:hint="eastAsia" w:ascii="仿宋_GB2312" w:hAnsi="仿宋_GB2312" w:cs="仿宋_GB2312"/>
          <w:sz w:val="32"/>
          <w:szCs w:val="32"/>
          <w:lang w:eastAsia="zh-CN"/>
        </w:rPr>
        <w:t>中共自贡市自流井区委员会宣传部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年部门整体支出绩效评价报告》见附件（附件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numPr>
          <w:ilvl w:val="0"/>
          <w:numId w:val="4"/>
        </w:numPr>
        <w:spacing w:line="600" w:lineRule="exact"/>
        <w:ind w:firstLine="660" w:firstLineChars="150"/>
        <w:jc w:val="center"/>
        <w:outlineLvl w:val="0"/>
        <w:rPr>
          <w:rStyle w:val="14"/>
          <w:rFonts w:ascii="黑体" w:hAnsi="黑体" w:eastAsia="黑体"/>
          <w:b w:val="0"/>
        </w:rPr>
      </w:pPr>
      <w:bookmarkStart w:id="55" w:name="_Toc3536"/>
      <w:bookmarkStart w:id="56" w:name="_Toc15396613"/>
      <w:bookmarkStart w:id="57" w:name="_Toc15377225"/>
      <w:r>
        <w:rPr>
          <w:rFonts w:hint="eastAsia" w:ascii="黑体" w:hAnsi="黑体" w:eastAsia="黑体"/>
          <w:color w:val="000000"/>
          <w:sz w:val="44"/>
          <w:szCs w:val="44"/>
        </w:rPr>
        <w:t>名</w:t>
      </w:r>
      <w:r>
        <w:rPr>
          <w:rStyle w:val="14"/>
          <w:rFonts w:hint="eastAsia" w:ascii="黑体" w:hAnsi="黑体" w:eastAsia="黑体"/>
          <w:b w:val="0"/>
        </w:rPr>
        <w:t>词解释</w:t>
      </w:r>
      <w:bookmarkEnd w:id="55"/>
      <w:bookmarkEnd w:id="56"/>
      <w:bookmarkEnd w:id="57"/>
    </w:p>
    <w:p>
      <w:pPr>
        <w:spacing w:line="600" w:lineRule="exact"/>
        <w:jc w:val="left"/>
        <w:rPr>
          <w:rFonts w:ascii="宋体"/>
          <w:b/>
          <w:color w:val="000000"/>
          <w:sz w:val="44"/>
          <w:szCs w:val="44"/>
        </w:rPr>
      </w:pPr>
    </w:p>
    <w:p>
      <w:pPr>
        <w:pStyle w:val="17"/>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17"/>
        <w:spacing w:line="560" w:lineRule="exact"/>
        <w:ind w:firstLine="640" w:firstLineChars="200"/>
        <w:rPr>
          <w:rFonts w:hint="eastAsia"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w:t>
      </w:r>
      <w:r>
        <w:rPr>
          <w:rFonts w:ascii="仿宋_GB2312" w:eastAsia="仿宋_GB2312"/>
          <w:sz w:val="32"/>
          <w:szCs w:val="32"/>
        </w:rPr>
        <w:t xml:space="preserve"> </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使用非财政拨款结余：指事业单位使用以前年度积累的非财政拨款结余弥补当年收支差额的金额。</w:t>
      </w:r>
      <w:r>
        <w:rPr>
          <w:rFonts w:ascii="仿宋_GB2312" w:eastAsia="仿宋_GB2312"/>
          <w:sz w:val="32"/>
          <w:szCs w:val="32"/>
        </w:rPr>
        <w:t xml:space="preserve"> </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结余分配：指事业单位按照会计制度规定缴纳的所得税、提取的专用结余以及转入非财政拨款结余的金额等。</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spacing w:line="620" w:lineRule="exact"/>
        <w:ind w:firstLine="645"/>
        <w:rPr>
          <w:rFonts w:ascii="仿宋_GB2312" w:eastAsia="仿宋_GB2312"/>
          <w:sz w:val="32"/>
          <w:szCs w:val="32"/>
        </w:rPr>
      </w:pPr>
      <w:r>
        <w:rPr>
          <w:rFonts w:hint="eastAsia" w:ascii="仿宋_GB2312" w:hAnsi="Calibri"/>
          <w:sz w:val="32"/>
          <w:szCs w:val="32"/>
          <w:lang w:val="en-US" w:eastAsia="zh-CN"/>
        </w:rPr>
        <w:t>9</w:t>
      </w:r>
      <w:r>
        <w:rPr>
          <w:rFonts w:ascii="仿宋_GB2312" w:hAnsi="Calibri" w:eastAsia="仿宋_GB2312"/>
          <w:sz w:val="32"/>
          <w:szCs w:val="32"/>
        </w:rPr>
        <w:t>.</w:t>
      </w:r>
      <w:r>
        <w:rPr>
          <w:rFonts w:hint="eastAsia" w:ascii="仿宋_GB2312" w:hAnsi="Calibri" w:eastAsia="仿宋_GB2312"/>
          <w:sz w:val="32"/>
          <w:szCs w:val="32"/>
        </w:rPr>
        <w:t>一般公共服务（类）宣传事务（款）行政运行（宣传）（项）</w:t>
      </w:r>
      <w:r>
        <w:rPr>
          <w:rFonts w:ascii="仿宋_GB2312" w:hAnsi="Calibri" w:eastAsia="仿宋_GB2312"/>
          <w:sz w:val="32"/>
          <w:szCs w:val="32"/>
        </w:rPr>
        <w:t>:</w:t>
      </w:r>
      <w:r>
        <w:rPr>
          <w:rFonts w:hint="eastAsia" w:ascii="仿宋_GB2312" w:eastAsia="仿宋_GB2312"/>
          <w:color w:val="333333"/>
          <w:sz w:val="32"/>
          <w:szCs w:val="32"/>
        </w:rPr>
        <w:t>反映行政单位（包括实行公务员管理的事业单位）的基本支出。</w:t>
      </w:r>
    </w:p>
    <w:p>
      <w:pPr>
        <w:spacing w:line="620" w:lineRule="exact"/>
        <w:ind w:firstLine="645"/>
        <w:rPr>
          <w:rFonts w:hint="eastAsia" w:ascii="仿宋_GB2312" w:eastAsia="仿宋_GB2312"/>
          <w:color w:val="333333"/>
          <w:sz w:val="32"/>
          <w:szCs w:val="32"/>
        </w:rPr>
      </w:pPr>
      <w:r>
        <w:rPr>
          <w:rFonts w:hint="eastAsia" w:ascii="仿宋_GB2312"/>
          <w:sz w:val="32"/>
          <w:szCs w:val="32"/>
          <w:lang w:val="en-US" w:eastAsia="zh-CN"/>
        </w:rPr>
        <w:t>10</w:t>
      </w:r>
      <w:r>
        <w:rPr>
          <w:rFonts w:hint="eastAsia" w:ascii="仿宋_GB2312" w:eastAsia="仿宋_GB2312"/>
          <w:sz w:val="32"/>
          <w:szCs w:val="32"/>
        </w:rPr>
        <w:t>.一般公共服务（类）宣传事务（款）</w:t>
      </w:r>
      <w:r>
        <w:rPr>
          <w:rFonts w:hint="eastAsia" w:ascii="仿宋_GB2312"/>
          <w:sz w:val="32"/>
          <w:szCs w:val="32"/>
          <w:lang w:eastAsia="zh-CN"/>
        </w:rPr>
        <w:t>事业运行</w:t>
      </w:r>
      <w:r>
        <w:rPr>
          <w:rFonts w:hint="eastAsia" w:ascii="仿宋_GB2312" w:eastAsia="仿宋_GB2312"/>
          <w:sz w:val="32"/>
          <w:szCs w:val="32"/>
        </w:rPr>
        <w:t>（宣传）（项）：</w:t>
      </w:r>
      <w:r>
        <w:rPr>
          <w:rFonts w:hint="eastAsia" w:ascii="仿宋_GB2312" w:eastAsia="仿宋_GB2312"/>
          <w:color w:val="333333"/>
          <w:sz w:val="32"/>
          <w:szCs w:val="32"/>
        </w:rPr>
        <w:t>反映</w:t>
      </w:r>
      <w:r>
        <w:rPr>
          <w:rFonts w:hint="eastAsia" w:ascii="仿宋_GB2312"/>
          <w:color w:val="333333"/>
          <w:sz w:val="32"/>
          <w:szCs w:val="32"/>
          <w:lang w:eastAsia="zh-CN"/>
        </w:rPr>
        <w:t>事业单位的基本支出，不包括行政单位（包括实行公务员管理的事业单位）后勤服务中心、医务室等附属事业单位</w:t>
      </w:r>
      <w:r>
        <w:rPr>
          <w:rFonts w:hint="eastAsia" w:ascii="仿宋_GB2312" w:eastAsia="仿宋_GB2312"/>
          <w:color w:val="333333"/>
          <w:sz w:val="32"/>
          <w:szCs w:val="32"/>
        </w:rPr>
        <w:t>。</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eastAsia="仿宋_GB2312"/>
          <w:lang w:eastAsia="zh-CN"/>
        </w:rPr>
      </w:pPr>
      <w:r>
        <w:rPr>
          <w:rFonts w:hint="eastAsia" w:ascii="仿宋_GB2312"/>
          <w:sz w:val="32"/>
          <w:szCs w:val="32"/>
          <w:lang w:val="en-US" w:eastAsia="zh-CN"/>
        </w:rPr>
        <w:t>11</w:t>
      </w:r>
      <w:r>
        <w:rPr>
          <w:rFonts w:hint="eastAsia" w:ascii="仿宋_GB2312" w:eastAsia="仿宋_GB2312"/>
          <w:sz w:val="32"/>
          <w:szCs w:val="32"/>
        </w:rPr>
        <w:t>.一般公共服务（类）宣传事务（款）</w:t>
      </w:r>
      <w:r>
        <w:rPr>
          <w:rFonts w:hint="eastAsia" w:ascii="仿宋_GB2312"/>
          <w:sz w:val="32"/>
          <w:szCs w:val="32"/>
          <w:lang w:eastAsia="zh-CN"/>
        </w:rPr>
        <w:t>其他宣传事务支出</w:t>
      </w:r>
      <w:r>
        <w:rPr>
          <w:rFonts w:hint="eastAsia" w:ascii="仿宋_GB2312" w:eastAsia="仿宋_GB2312"/>
          <w:sz w:val="32"/>
          <w:szCs w:val="32"/>
        </w:rPr>
        <w:t>（宣传）（项）：</w:t>
      </w:r>
      <w:r>
        <w:rPr>
          <w:rFonts w:hint="eastAsia" w:ascii="仿宋_GB2312"/>
          <w:sz w:val="32"/>
          <w:szCs w:val="32"/>
          <w:lang w:eastAsia="zh-CN"/>
        </w:rPr>
        <w:t>反映除上述项目以外其他用于中国共产党宣传部门的事务支出。</w:t>
      </w:r>
    </w:p>
    <w:p>
      <w:pPr>
        <w:pStyle w:val="17"/>
        <w:spacing w:line="560" w:lineRule="exact"/>
        <w:ind w:firstLine="640" w:firstLineChars="200"/>
        <w:rPr>
          <w:rFonts w:hint="eastAsia"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lang w:val="en-US" w:eastAsia="zh-CN"/>
        </w:rPr>
        <w:t>12</w:t>
      </w:r>
      <w:r>
        <w:rPr>
          <w:rFonts w:hint="eastAsia" w:ascii="仿宋_GB2312" w:hAnsi="Times New Roman" w:eastAsia="仿宋_GB2312" w:cs="Times New Roman"/>
          <w:kern w:val="2"/>
          <w:sz w:val="32"/>
          <w:szCs w:val="32"/>
        </w:rPr>
        <w:t>.文化旅游体育与传媒（类）</w:t>
      </w:r>
      <w:r>
        <w:rPr>
          <w:rFonts w:hint="eastAsia" w:ascii="仿宋_GB2312" w:hAnsi="Times New Roman" w:eastAsia="仿宋_GB2312" w:cs="Times New Roman"/>
          <w:kern w:val="2"/>
          <w:sz w:val="32"/>
          <w:szCs w:val="32"/>
          <w:lang w:eastAsia="zh-CN"/>
        </w:rPr>
        <w:t>新闻出版电影</w:t>
      </w:r>
      <w:r>
        <w:rPr>
          <w:rFonts w:hint="eastAsia" w:ascii="仿宋_GB2312" w:hAnsi="Times New Roman" w:eastAsia="仿宋_GB2312" w:cs="Times New Roman"/>
          <w:kern w:val="2"/>
          <w:sz w:val="32"/>
          <w:szCs w:val="32"/>
        </w:rPr>
        <w:t>（款）</w:t>
      </w:r>
      <w:r>
        <w:rPr>
          <w:rFonts w:hint="eastAsia" w:ascii="仿宋_GB2312" w:hAnsi="Times New Roman" w:eastAsia="仿宋_GB2312" w:cs="Times New Roman"/>
          <w:kern w:val="2"/>
          <w:sz w:val="32"/>
          <w:szCs w:val="32"/>
          <w:lang w:eastAsia="zh-CN"/>
        </w:rPr>
        <w:t>电影</w:t>
      </w:r>
      <w:r>
        <w:rPr>
          <w:rFonts w:hint="eastAsia" w:ascii="仿宋_GB2312" w:hAnsi="Times New Roman" w:eastAsia="仿宋_GB2312" w:cs="Times New Roman"/>
          <w:kern w:val="2"/>
          <w:sz w:val="32"/>
          <w:szCs w:val="32"/>
        </w:rPr>
        <w:t>（项）</w:t>
      </w:r>
      <w:r>
        <w:rPr>
          <w:rFonts w:ascii="仿宋_GB2312" w:hAnsi="Times New Roman" w:eastAsia="仿宋_GB2312" w:cs="Times New Roman"/>
          <w:kern w:val="2"/>
          <w:sz w:val="32"/>
          <w:szCs w:val="32"/>
        </w:rPr>
        <w:t xml:space="preserve">: </w:t>
      </w:r>
      <w:r>
        <w:rPr>
          <w:rFonts w:hint="eastAsia" w:ascii="仿宋_GB2312" w:hAnsi="Times New Roman" w:eastAsia="仿宋_GB2312" w:cs="Times New Roman"/>
          <w:kern w:val="2"/>
          <w:sz w:val="32"/>
          <w:szCs w:val="32"/>
        </w:rPr>
        <w:t>反映</w:t>
      </w:r>
      <w:r>
        <w:rPr>
          <w:rFonts w:hint="eastAsia" w:ascii="仿宋_GB2312" w:hAnsi="Times New Roman" w:eastAsia="仿宋_GB2312" w:cs="Times New Roman"/>
          <w:kern w:val="2"/>
          <w:sz w:val="32"/>
          <w:szCs w:val="32"/>
          <w:lang w:eastAsia="zh-CN"/>
        </w:rPr>
        <w:t>电影制片、发行、放映等方面的支出</w:t>
      </w:r>
      <w:r>
        <w:rPr>
          <w:rFonts w:hint="eastAsia" w:ascii="仿宋_GB2312" w:hAnsi="Times New Roman" w:eastAsia="仿宋_GB2312" w:cs="Times New Roman"/>
          <w:kern w:val="2"/>
          <w:sz w:val="32"/>
          <w:szCs w:val="32"/>
        </w:rPr>
        <w:t>。</w:t>
      </w:r>
    </w:p>
    <w:p>
      <w:pPr>
        <w:pStyle w:val="17"/>
        <w:spacing w:line="560" w:lineRule="exact"/>
        <w:ind w:firstLine="640" w:firstLineChars="200"/>
        <w:rPr>
          <w:rFonts w:hint="eastAsia"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lang w:val="en-US" w:eastAsia="zh-CN"/>
        </w:rPr>
        <w:t>13</w:t>
      </w:r>
      <w:r>
        <w:rPr>
          <w:rFonts w:hint="eastAsia" w:ascii="仿宋_GB2312" w:hAnsi="Times New Roman" w:eastAsia="仿宋_GB2312" w:cs="Times New Roman"/>
          <w:kern w:val="2"/>
          <w:sz w:val="32"/>
          <w:szCs w:val="32"/>
        </w:rPr>
        <w:t>.文化旅游体育与传媒（类）</w:t>
      </w:r>
      <w:r>
        <w:rPr>
          <w:rFonts w:hint="eastAsia" w:ascii="仿宋_GB2312" w:hAnsi="Times New Roman" w:eastAsia="仿宋_GB2312" w:cs="Times New Roman"/>
          <w:kern w:val="2"/>
          <w:sz w:val="32"/>
          <w:szCs w:val="32"/>
          <w:lang w:eastAsia="zh-CN"/>
        </w:rPr>
        <w:t>新闻出版电影</w:t>
      </w:r>
      <w:r>
        <w:rPr>
          <w:rFonts w:hint="eastAsia" w:ascii="仿宋_GB2312" w:hAnsi="Times New Roman" w:eastAsia="仿宋_GB2312" w:cs="Times New Roman"/>
          <w:kern w:val="2"/>
          <w:sz w:val="32"/>
          <w:szCs w:val="32"/>
        </w:rPr>
        <w:t>（款）</w:t>
      </w:r>
      <w:r>
        <w:rPr>
          <w:rFonts w:hint="eastAsia" w:ascii="仿宋_GB2312" w:hAnsi="Times New Roman" w:eastAsia="仿宋_GB2312" w:cs="Times New Roman"/>
          <w:kern w:val="2"/>
          <w:sz w:val="32"/>
          <w:szCs w:val="32"/>
          <w:lang w:eastAsia="zh-CN"/>
        </w:rPr>
        <w:t>其他新闻出版电影支出</w:t>
      </w:r>
      <w:r>
        <w:rPr>
          <w:rFonts w:hint="eastAsia" w:ascii="仿宋_GB2312" w:hAnsi="Times New Roman" w:eastAsia="仿宋_GB2312" w:cs="Times New Roman"/>
          <w:kern w:val="2"/>
          <w:sz w:val="32"/>
          <w:szCs w:val="32"/>
        </w:rPr>
        <w:t>（项）</w:t>
      </w:r>
      <w:r>
        <w:rPr>
          <w:rFonts w:ascii="仿宋_GB2312" w:hAnsi="Times New Roman" w:eastAsia="仿宋_GB2312" w:cs="Times New Roman"/>
          <w:kern w:val="2"/>
          <w:sz w:val="32"/>
          <w:szCs w:val="32"/>
        </w:rPr>
        <w:t xml:space="preserve">: </w:t>
      </w:r>
      <w:r>
        <w:rPr>
          <w:rFonts w:hint="eastAsia" w:ascii="仿宋_GB2312" w:hAnsi="Times New Roman" w:eastAsia="仿宋_GB2312" w:cs="Times New Roman"/>
          <w:kern w:val="2"/>
          <w:sz w:val="32"/>
          <w:szCs w:val="32"/>
        </w:rPr>
        <w:t>反映</w:t>
      </w:r>
      <w:r>
        <w:rPr>
          <w:rFonts w:hint="eastAsia" w:ascii="仿宋_GB2312" w:hAnsi="Times New Roman" w:eastAsia="仿宋_GB2312" w:cs="Times New Roman"/>
          <w:kern w:val="2"/>
          <w:sz w:val="32"/>
          <w:szCs w:val="32"/>
          <w:lang w:eastAsia="zh-CN"/>
        </w:rPr>
        <w:t>除上述项目以外其他用于新闻出版电影方面的支出。</w:t>
      </w:r>
    </w:p>
    <w:p>
      <w:pPr>
        <w:pStyle w:val="17"/>
        <w:spacing w:line="560" w:lineRule="exact"/>
        <w:ind w:firstLine="640" w:firstLineChars="200"/>
        <w:rPr>
          <w:rFonts w:hint="eastAsia"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lang w:val="en-US" w:eastAsia="zh-CN"/>
        </w:rPr>
        <w:t>14</w:t>
      </w:r>
      <w:r>
        <w:rPr>
          <w:rFonts w:hint="eastAsia" w:ascii="仿宋_GB2312" w:hAnsi="Times New Roman" w:eastAsia="仿宋_GB2312" w:cs="Times New Roman"/>
          <w:kern w:val="2"/>
          <w:sz w:val="32"/>
          <w:szCs w:val="32"/>
        </w:rPr>
        <w:t>.文化旅游体育与传媒（类）文化和旅游（款）其他文化旅游</w:t>
      </w:r>
      <w:r>
        <w:rPr>
          <w:rFonts w:hint="eastAsia" w:ascii="仿宋_GB2312" w:hAnsi="Times New Roman" w:eastAsia="仿宋_GB2312" w:cs="Times New Roman"/>
          <w:kern w:val="2"/>
          <w:sz w:val="32"/>
          <w:szCs w:val="32"/>
          <w:lang w:eastAsia="zh-CN"/>
        </w:rPr>
        <w:t>体育和传媒支出</w:t>
      </w:r>
      <w:r>
        <w:rPr>
          <w:rFonts w:hint="eastAsia" w:ascii="仿宋_GB2312" w:hAnsi="Times New Roman" w:eastAsia="仿宋_GB2312" w:cs="Times New Roman"/>
          <w:kern w:val="2"/>
          <w:sz w:val="32"/>
          <w:szCs w:val="32"/>
        </w:rPr>
        <w:t>支出（项）</w:t>
      </w:r>
      <w:r>
        <w:rPr>
          <w:rFonts w:ascii="仿宋_GB2312" w:hAnsi="Times New Roman" w:eastAsia="仿宋_GB2312" w:cs="Times New Roman"/>
          <w:kern w:val="2"/>
          <w:sz w:val="32"/>
          <w:szCs w:val="32"/>
        </w:rPr>
        <w:t xml:space="preserve">: </w:t>
      </w:r>
      <w:r>
        <w:rPr>
          <w:rFonts w:hint="eastAsia" w:ascii="仿宋_GB2312" w:hAnsi="Times New Roman" w:eastAsia="仿宋_GB2312" w:cs="Times New Roman"/>
          <w:kern w:val="2"/>
          <w:sz w:val="32"/>
          <w:szCs w:val="32"/>
        </w:rPr>
        <w:t>反映除上述项目以外其他用于</w:t>
      </w:r>
      <w:r>
        <w:rPr>
          <w:rFonts w:hint="eastAsia" w:ascii="仿宋_GB2312" w:hAnsi="Times New Roman" w:eastAsia="仿宋_GB2312" w:cs="Times New Roman"/>
          <w:kern w:val="2"/>
          <w:sz w:val="32"/>
          <w:szCs w:val="32"/>
          <w:lang w:eastAsia="zh-CN"/>
        </w:rPr>
        <w:t>文化旅游体育与传媒方面的支出</w:t>
      </w:r>
      <w:r>
        <w:rPr>
          <w:rFonts w:hint="eastAsia" w:ascii="仿宋_GB2312" w:hAnsi="Times New Roman" w:eastAsia="仿宋_GB2312" w:cs="Times New Roman"/>
          <w:kern w:val="2"/>
          <w:sz w:val="32"/>
          <w:szCs w:val="32"/>
        </w:rPr>
        <w:t>。</w:t>
      </w:r>
    </w:p>
    <w:p>
      <w:pPr>
        <w:pStyle w:val="17"/>
        <w:spacing w:line="560" w:lineRule="exact"/>
        <w:ind w:firstLine="640" w:firstLineChars="200"/>
        <w:rPr>
          <w:rFonts w:hint="default" w:ascii="仿宋_GB2312" w:hAnsi="Times New Roman" w:eastAsia="仿宋_GB2312" w:cs="Times New Roman"/>
          <w:kern w:val="2"/>
          <w:sz w:val="32"/>
          <w:szCs w:val="32"/>
          <w:lang w:val="en-US" w:eastAsia="zh-CN"/>
        </w:rPr>
      </w:pPr>
      <w:r>
        <w:rPr>
          <w:rFonts w:hint="eastAsia" w:ascii="仿宋_GB2312" w:eastAsia="仿宋_GB2312"/>
          <w:color w:val="000000" w:themeColor="text1"/>
          <w:sz w:val="32"/>
          <w:szCs w:val="32"/>
          <w:lang w:val="en-US" w:eastAsia="zh-CN"/>
          <w14:textFill>
            <w14:solidFill>
              <w14:schemeClr w14:val="tx1"/>
            </w14:solidFill>
          </w14:textFill>
        </w:rPr>
        <w:t>15</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社会保障和就业（类）行政事业单位</w:t>
      </w:r>
      <w:r>
        <w:rPr>
          <w:rFonts w:hint="eastAsia" w:ascii="仿宋_GB2312" w:eastAsia="仿宋_GB2312"/>
          <w:color w:val="000000" w:themeColor="text1"/>
          <w:sz w:val="32"/>
          <w:szCs w:val="32"/>
          <w:lang w:eastAsia="zh-CN"/>
          <w14:textFill>
            <w14:solidFill>
              <w14:schemeClr w14:val="tx1"/>
            </w14:solidFill>
          </w14:textFill>
        </w:rPr>
        <w:t>养老支出</w:t>
      </w:r>
      <w:r>
        <w:rPr>
          <w:rFonts w:hint="eastAsia" w:ascii="仿宋_GB2312" w:eastAsia="仿宋_GB2312"/>
          <w:color w:val="000000" w:themeColor="text1"/>
          <w:sz w:val="32"/>
          <w:szCs w:val="32"/>
          <w14:textFill>
            <w14:solidFill>
              <w14:schemeClr w14:val="tx1"/>
            </w14:solidFill>
          </w14:textFill>
        </w:rPr>
        <w:t>（款）</w:t>
      </w:r>
      <w:r>
        <w:rPr>
          <w:rFonts w:hint="eastAsia" w:ascii="仿宋_GB2312" w:eastAsia="仿宋_GB2312"/>
          <w:color w:val="000000" w:themeColor="text1"/>
          <w:sz w:val="32"/>
          <w:szCs w:val="32"/>
          <w:lang w:eastAsia="zh-CN"/>
          <w14:textFill>
            <w14:solidFill>
              <w14:schemeClr w14:val="tx1"/>
            </w14:solidFill>
          </w14:textFill>
        </w:rPr>
        <w:t>行政单位离退休</w:t>
      </w:r>
      <w:r>
        <w:rPr>
          <w:rFonts w:hint="eastAsia" w:ascii="仿宋_GB2312" w:eastAsia="仿宋_GB2312"/>
          <w:color w:val="000000" w:themeColor="text1"/>
          <w:sz w:val="32"/>
          <w:szCs w:val="32"/>
          <w14:textFill>
            <w14:solidFill>
              <w14:schemeClr w14:val="tx1"/>
            </w14:solidFill>
          </w14:textFill>
        </w:rPr>
        <w:t>（项）</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反映</w:t>
      </w:r>
      <w:r>
        <w:rPr>
          <w:rFonts w:hint="eastAsia" w:ascii="仿宋_GB2312" w:hAnsi="Times New Roman" w:eastAsia="仿宋_GB2312" w:cs="Times New Roman"/>
          <w:kern w:val="2"/>
          <w:sz w:val="32"/>
          <w:szCs w:val="32"/>
          <w:lang w:eastAsia="zh-CN"/>
        </w:rPr>
        <w:t>行政单位（包括实行公务员管理的事业单位）开支的离退休经费。</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16</w:t>
      </w:r>
      <w:r>
        <w:rPr>
          <w:rFonts w:hint="eastAsia" w:ascii="仿宋_GB2312" w:eastAsia="仿宋_GB2312"/>
          <w:sz w:val="32"/>
          <w:szCs w:val="32"/>
        </w:rPr>
        <w:t>.社会保障和就业（类）行政事业单位离退休（款）机关事业单位基本养老保险缴费支出（项）</w:t>
      </w:r>
      <w:r>
        <w:rPr>
          <w:rFonts w:ascii="仿宋_GB2312" w:eastAsia="仿宋_GB2312"/>
          <w:sz w:val="32"/>
          <w:szCs w:val="32"/>
        </w:rPr>
        <w:t xml:space="preserve">: </w:t>
      </w:r>
      <w:r>
        <w:rPr>
          <w:rFonts w:hint="eastAsia"/>
          <w:sz w:val="32"/>
          <w:szCs w:val="32"/>
        </w:rPr>
        <w:t>反映机关事业单位实施养老保险制度由单位缴纳的基本养老保险费支出。</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17</w:t>
      </w:r>
      <w:r>
        <w:rPr>
          <w:rFonts w:hint="eastAsia" w:ascii="仿宋_GB2312" w:eastAsia="仿宋_GB2312"/>
          <w:sz w:val="32"/>
          <w:szCs w:val="32"/>
        </w:rPr>
        <w:t>.社会保障和就业（类）其他社会保障和就业支出（款）其他社会保障和就业支出（项）</w:t>
      </w:r>
      <w:r>
        <w:rPr>
          <w:rFonts w:ascii="仿宋_GB2312" w:eastAsia="仿宋_GB2312"/>
          <w:sz w:val="32"/>
          <w:szCs w:val="32"/>
        </w:rPr>
        <w:t xml:space="preserve">: </w:t>
      </w:r>
      <w:r>
        <w:rPr>
          <w:rFonts w:ascii="仿宋_GB2312" w:hAnsi="宋体" w:eastAsia="仿宋_GB2312" w:cs="仿宋_GB2312"/>
          <w:sz w:val="32"/>
          <w:szCs w:val="32"/>
        </w:rPr>
        <w:t>指除上述项目外，其他用于行政事业单位离退休方面的支出。</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18</w:t>
      </w:r>
      <w:r>
        <w:rPr>
          <w:rFonts w:ascii="仿宋_GB2312" w:eastAsia="仿宋_GB2312"/>
          <w:sz w:val="32"/>
          <w:szCs w:val="32"/>
        </w:rPr>
        <w:t>.</w:t>
      </w:r>
      <w:r>
        <w:rPr>
          <w:rFonts w:hint="eastAsia" w:ascii="仿宋_GB2312" w:eastAsia="仿宋_GB2312"/>
          <w:sz w:val="32"/>
          <w:szCs w:val="32"/>
        </w:rPr>
        <w:t>卫生健康</w:t>
      </w:r>
      <w:r>
        <w:rPr>
          <w:rFonts w:hint="eastAsia" w:ascii="仿宋_GB2312" w:eastAsia="仿宋_GB2312"/>
          <w:b/>
          <w:sz w:val="32"/>
          <w:szCs w:val="32"/>
        </w:rPr>
        <w:t>（</w:t>
      </w:r>
      <w:r>
        <w:rPr>
          <w:rFonts w:hint="eastAsia" w:ascii="仿宋_GB2312" w:eastAsia="仿宋_GB2312"/>
          <w:sz w:val="32"/>
          <w:szCs w:val="32"/>
        </w:rPr>
        <w:t>类）行政事业单位医疗（款）行政单位医疗（项）</w:t>
      </w:r>
      <w:r>
        <w:rPr>
          <w:rFonts w:ascii="仿宋_GB2312" w:eastAsia="仿宋_GB2312"/>
          <w:sz w:val="32"/>
          <w:szCs w:val="32"/>
        </w:rPr>
        <w:t>:</w:t>
      </w:r>
      <w:r>
        <w:rPr>
          <w:rFonts w:hint="eastAsia" w:ascii="仿宋_GB2312" w:eastAsia="仿宋_GB2312"/>
          <w:sz w:val="32"/>
          <w:szCs w:val="32"/>
        </w:rPr>
        <w:t xml:space="preserve"> </w:t>
      </w:r>
      <w:r>
        <w:rPr>
          <w:rFonts w:hint="eastAsia"/>
          <w:sz w:val="32"/>
          <w:szCs w:val="32"/>
        </w:rPr>
        <w:t>反映财政部门集中安排的行政单位基本医疗保险缴费经费，未参加医疗保险的事业单位的公费医疗经费，按国家规定享受离休人员待遇的医疗经费。</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19</w:t>
      </w:r>
      <w:r>
        <w:rPr>
          <w:rFonts w:ascii="仿宋_GB2312" w:eastAsia="仿宋_GB2312"/>
          <w:sz w:val="32"/>
          <w:szCs w:val="32"/>
        </w:rPr>
        <w:t>.</w:t>
      </w:r>
      <w:r>
        <w:rPr>
          <w:rFonts w:hint="eastAsia" w:ascii="仿宋_GB2312" w:eastAsia="仿宋_GB2312"/>
          <w:sz w:val="32"/>
          <w:szCs w:val="32"/>
        </w:rPr>
        <w:t>住房保障</w:t>
      </w:r>
      <w:r>
        <w:rPr>
          <w:rFonts w:hint="eastAsia" w:ascii="仿宋_GB2312" w:eastAsia="仿宋_GB2312"/>
          <w:b/>
          <w:sz w:val="32"/>
          <w:szCs w:val="32"/>
        </w:rPr>
        <w:t>（</w:t>
      </w:r>
      <w:r>
        <w:rPr>
          <w:rFonts w:hint="eastAsia" w:ascii="仿宋_GB2312" w:eastAsia="仿宋_GB2312"/>
          <w:sz w:val="32"/>
          <w:szCs w:val="32"/>
        </w:rPr>
        <w:t>类）住房改革支出（款）住房公积金（项）</w:t>
      </w:r>
      <w:r>
        <w:rPr>
          <w:rFonts w:ascii="仿宋_GB2312" w:eastAsia="仿宋_GB2312"/>
          <w:sz w:val="32"/>
          <w:szCs w:val="32"/>
        </w:rPr>
        <w:t xml:space="preserve">: </w:t>
      </w:r>
    </w:p>
    <w:p>
      <w:pPr>
        <w:pStyle w:val="17"/>
        <w:spacing w:line="560" w:lineRule="exact"/>
        <w:ind w:firstLine="640" w:firstLineChars="200"/>
        <w:rPr>
          <w:rFonts w:ascii="仿宋_GB2312" w:eastAsia="仿宋_GB2312"/>
          <w:sz w:val="32"/>
          <w:szCs w:val="32"/>
        </w:rPr>
      </w:pPr>
      <w:r>
        <w:rPr>
          <w:rFonts w:hint="eastAsia"/>
          <w:sz w:val="32"/>
          <w:szCs w:val="32"/>
        </w:rPr>
        <w:t>反映行政事业单位按人力资源和社会保障部、财政部规定的基本工资和津贴补贴以及规定比例为职工缴纳的住房公积金。</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20</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w:t>
      </w:r>
      <w:r>
        <w:rPr>
          <w:rFonts w:hint="eastAsia" w:ascii="仿宋_GB2312"/>
          <w:color w:val="000000"/>
          <w:sz w:val="32"/>
          <w:szCs w:val="32"/>
          <w:lang w:val="en-US" w:eastAsia="zh-CN"/>
        </w:rPr>
        <w:t>1</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w:t>
      </w:r>
      <w:r>
        <w:rPr>
          <w:rFonts w:hint="eastAsia" w:ascii="仿宋_GB2312"/>
          <w:color w:val="000000"/>
          <w:sz w:val="32"/>
          <w:szCs w:val="32"/>
          <w:lang w:val="en-US" w:eastAsia="zh-CN"/>
        </w:rPr>
        <w:t>2</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23</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24</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7"/>
        <w:spacing w:line="560" w:lineRule="exact"/>
        <w:ind w:firstLine="640" w:firstLineChars="200"/>
        <w:rPr>
          <w:rFonts w:ascii="仿宋_GB2312" w:eastAsia="仿宋_GB2312" w:cs="黑体"/>
          <w:sz w:val="32"/>
          <w:szCs w:val="32"/>
        </w:rPr>
      </w:pPr>
    </w:p>
    <w:p>
      <w:pPr>
        <w:spacing w:line="600" w:lineRule="exact"/>
        <w:jc w:val="center"/>
        <w:outlineLvl w:val="0"/>
        <w:rPr>
          <w:rStyle w:val="14"/>
          <w:rFonts w:ascii="黑体" w:hAnsi="黑体" w:eastAsia="黑体"/>
          <w:b w:val="0"/>
        </w:rPr>
      </w:pPr>
      <w:bookmarkStart w:id="58" w:name="_Toc15377226"/>
      <w:r>
        <w:rPr>
          <w:rFonts w:ascii="宋体"/>
          <w:b/>
          <w:color w:val="000000"/>
          <w:sz w:val="44"/>
          <w:szCs w:val="44"/>
        </w:rPr>
        <w:br w:type="page"/>
      </w:r>
      <w:bookmarkStart w:id="59" w:name="_Toc15396614"/>
      <w:bookmarkStart w:id="60" w:name="_Toc11207"/>
      <w:r>
        <w:rPr>
          <w:rFonts w:hint="eastAsia" w:ascii="黑体" w:hAnsi="黑体" w:eastAsia="黑体"/>
          <w:color w:val="000000"/>
          <w:sz w:val="44"/>
          <w:szCs w:val="44"/>
        </w:rPr>
        <w:t>第</w:t>
      </w:r>
      <w:r>
        <w:rPr>
          <w:rStyle w:val="14"/>
          <w:rFonts w:hint="eastAsia" w:ascii="黑体" w:hAnsi="黑体" w:eastAsia="黑体"/>
          <w:b w:val="0"/>
        </w:rPr>
        <w:t>四部分</w:t>
      </w:r>
      <w:r>
        <w:rPr>
          <w:rStyle w:val="14"/>
          <w:rFonts w:ascii="黑体" w:hAnsi="黑体" w:eastAsia="黑体"/>
          <w:b w:val="0"/>
        </w:rPr>
        <w:t xml:space="preserve"> </w:t>
      </w:r>
      <w:r>
        <w:rPr>
          <w:rStyle w:val="14"/>
          <w:rFonts w:hint="eastAsia" w:ascii="黑体" w:hAnsi="黑体" w:eastAsia="黑体"/>
          <w:b w:val="0"/>
        </w:rPr>
        <w:t>附件</w:t>
      </w:r>
      <w:bookmarkEnd w:id="59"/>
      <w:bookmarkEnd w:id="60"/>
    </w:p>
    <w:p>
      <w:pPr>
        <w:spacing w:line="600" w:lineRule="exact"/>
        <w:jc w:val="left"/>
        <w:outlineLvl w:val="1"/>
        <w:rPr>
          <w:rFonts w:ascii="方正小标宋简体" w:hAnsi="方正小标宋简体" w:eastAsia="方正小标宋简体" w:cs="方正小标宋简体"/>
          <w:sz w:val="32"/>
          <w:szCs w:val="32"/>
        </w:rPr>
      </w:pPr>
      <w:bookmarkStart w:id="61" w:name="_Toc22930"/>
      <w:r>
        <w:rPr>
          <w:rFonts w:hint="eastAsia" w:ascii="黑体" w:hAnsi="黑体" w:eastAsia="黑体" w:cs="黑体"/>
          <w:sz w:val="32"/>
          <w:szCs w:val="32"/>
        </w:rPr>
        <w:t>附件</w:t>
      </w:r>
      <w:r>
        <w:rPr>
          <w:rFonts w:ascii="黑体" w:hAnsi="黑体" w:eastAsia="黑体" w:cs="黑体"/>
          <w:sz w:val="32"/>
          <w:szCs w:val="32"/>
        </w:rPr>
        <w:t>1</w:t>
      </w:r>
      <w:bookmarkEnd w:id="61"/>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eastAsia="zh-CN"/>
        </w:rPr>
        <w:t>中共自贡市自流井区委员会宣传部</w:t>
      </w: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ind w:firstLine="800" w:firstLineChars="250"/>
        <w:rPr>
          <w:lang w:val="zh-CN"/>
        </w:rPr>
      </w:pPr>
      <w:r>
        <w:rPr>
          <w:rFonts w:hint="eastAsia" w:ascii="仿宋" w:hAnsi="仿宋" w:eastAsia="仿宋"/>
          <w:sz w:val="32"/>
          <w:szCs w:val="32"/>
        </w:rPr>
        <w:t>中共自贡市自流井区委宣传部下属二级单位</w:t>
      </w:r>
      <w:r>
        <w:rPr>
          <w:rFonts w:hint="eastAsia" w:ascii="仿宋" w:hAnsi="仿宋" w:eastAsia="仿宋"/>
          <w:sz w:val="32"/>
          <w:szCs w:val="32"/>
          <w:lang w:val="en-US" w:eastAsia="zh-CN"/>
        </w:rPr>
        <w:t>0</w:t>
      </w:r>
      <w:r>
        <w:rPr>
          <w:rFonts w:hint="eastAsia" w:ascii="仿宋" w:hAnsi="仿宋" w:eastAsia="仿宋"/>
          <w:sz w:val="32"/>
          <w:szCs w:val="32"/>
        </w:rPr>
        <w:t>个，其中行政单位0个，参照公务员法管理的事业单位</w:t>
      </w:r>
      <w:r>
        <w:rPr>
          <w:rFonts w:hint="eastAsia" w:ascii="仿宋" w:hAnsi="仿宋" w:eastAsia="仿宋"/>
          <w:bCs/>
          <w:sz w:val="32"/>
          <w:szCs w:val="32"/>
        </w:rPr>
        <w:t>0</w:t>
      </w:r>
      <w:r>
        <w:rPr>
          <w:rFonts w:hint="eastAsia" w:ascii="仿宋" w:hAnsi="仿宋" w:eastAsia="仿宋"/>
          <w:sz w:val="32"/>
          <w:szCs w:val="32"/>
        </w:rPr>
        <w:t>个，其他事业单位0个。</w:t>
      </w:r>
    </w:p>
    <w:p>
      <w:pPr>
        <w:widowControl/>
        <w:numPr>
          <w:ilvl w:val="0"/>
          <w:numId w:val="5"/>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机构职能。</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1</w:t>
      </w:r>
      <w:r>
        <w:rPr>
          <w:rFonts w:hint="eastAsia" w:eastAsia="仿宋_GB2312"/>
          <w:sz w:val="32"/>
          <w:szCs w:val="32"/>
        </w:rPr>
        <w:t>）拟定全区宣传思想文化工作重大政策和事业产业发展总体规划，统筹协调推进宣传思想文化领域法治建设，按照区委统一部署，协调宣传思想</w:t>
      </w:r>
      <w:r>
        <w:rPr>
          <w:rFonts w:hint="eastAsia" w:eastAsia="仿宋_GB2312"/>
          <w:sz w:val="32"/>
          <w:szCs w:val="32"/>
          <w:lang w:eastAsia="zh-CN"/>
        </w:rPr>
        <w:t>战线</w:t>
      </w:r>
      <w:r>
        <w:rPr>
          <w:rFonts w:hint="eastAsia" w:eastAsia="仿宋_GB2312"/>
          <w:sz w:val="32"/>
          <w:szCs w:val="32"/>
        </w:rPr>
        <w:t>各部门（单位）之间的工作。</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2</w:t>
      </w:r>
      <w:r>
        <w:rPr>
          <w:rFonts w:hint="eastAsia" w:eastAsia="仿宋_GB2312"/>
          <w:sz w:val="32"/>
          <w:szCs w:val="32"/>
        </w:rPr>
        <w:t>）统筹协调全区党的意识形态工作，贯彻落实党中央和省委、市委、区委关于意识形态工作的决策部署，组织协调意识形态工作责任制落实和日常监督检查，分析研判意识形态领域情况，配合巡查工作开展专项检查。</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3</w:t>
      </w:r>
      <w:r>
        <w:rPr>
          <w:rFonts w:hint="eastAsia" w:eastAsia="仿宋_GB2312"/>
          <w:sz w:val="32"/>
          <w:szCs w:val="32"/>
        </w:rPr>
        <w:t>）统筹指导协调理论研究、理论学习、理论宣传工作，组织推动理论武装工作，指导推动哲学社会科学工作，实施马克思主义理论研究和建设工程。配合区委组织部做好党员教育工作。</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4</w:t>
      </w:r>
      <w:r>
        <w:rPr>
          <w:rFonts w:hint="eastAsia" w:eastAsia="仿宋_GB2312"/>
          <w:sz w:val="32"/>
          <w:szCs w:val="32"/>
        </w:rPr>
        <w:t>）负责规划组织全局性思想政治工作，会同有关部门研究和改进群众思想教育工作。负责社会主义核心价值观建设和爱国主义教育工作。组织重大先进典型的学习和推广。负责指导协调全区的社会宣传工作。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5</w:t>
      </w:r>
      <w:r>
        <w:rPr>
          <w:rFonts w:hint="eastAsia" w:eastAsia="仿宋_GB2312"/>
          <w:sz w:val="32"/>
          <w:szCs w:val="32"/>
        </w:rPr>
        <w:t>）统筹协调组织开展新闻发布工作，承担区委新闻发布有关组织协调工作，负责区政府新闻发布组织实施工作，指导区委、区政府各部门（单位）新闻发布工作，推动新闻发言人制度建设。指导协调区级新闻单位工作，负责组织协调重大新闻宣传活动和重大突发公共事件应急新闻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6</w:t>
      </w:r>
      <w:r>
        <w:rPr>
          <w:rFonts w:hint="eastAsia" w:eastAsia="仿宋_GB2312"/>
          <w:sz w:val="32"/>
          <w:szCs w:val="32"/>
        </w:rPr>
        <w:t>）负责人权宣传工作的组织协调,会同有关部门组织反邪教等方面的对外宣传和舆论斗争工作。组织指导重大对外宣传活动和对外文化交流工作，会同有关部门（单位）做好境外来访记者采访事务方面的工作。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7</w:t>
      </w:r>
      <w:r>
        <w:rPr>
          <w:rFonts w:hint="eastAsia" w:eastAsia="仿宋_GB2312"/>
          <w:sz w:val="32"/>
          <w:szCs w:val="32"/>
        </w:rPr>
        <w:t>）组织推动传播能力建设。统筹协调新媒体的建设与管理，推动媒体融合发展和地方融媒体中心建设。</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8</w:t>
      </w:r>
      <w:r>
        <w:rPr>
          <w:rFonts w:hint="eastAsia" w:eastAsia="仿宋_GB2312"/>
          <w:sz w:val="32"/>
          <w:szCs w:val="32"/>
        </w:rPr>
        <w:t>）统筹指导协调推动精神文化产品的创作和生产，协调组织中华优秀传统文化和本土特色文化传承发展工作，指导协调推动群众文化建设。统筹推动中华文化走出去工作。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9</w:t>
      </w:r>
      <w:r>
        <w:rPr>
          <w:rFonts w:hint="eastAsia" w:eastAsia="仿宋_GB2312"/>
          <w:sz w:val="32"/>
          <w:szCs w:val="32"/>
        </w:rPr>
        <w:t>）</w:t>
      </w:r>
      <w:r>
        <w:rPr>
          <w:rFonts w:hint="eastAsia" w:eastAsia="仿宋_GB2312"/>
          <w:sz w:val="32"/>
          <w:szCs w:val="32"/>
          <w:lang w:eastAsia="zh-CN"/>
        </w:rPr>
        <w:t>统筹指导推进文化体制改革和文化产业、旅游业发展，</w:t>
      </w:r>
      <w:r>
        <w:rPr>
          <w:rFonts w:hint="eastAsia" w:eastAsia="仿宋_GB2312"/>
          <w:sz w:val="32"/>
          <w:szCs w:val="32"/>
        </w:rPr>
        <w:t>统筹指导区属国有文化资产监管工作，组织研究区属国有文化资产监管</w:t>
      </w:r>
      <w:r>
        <w:rPr>
          <w:rFonts w:hint="eastAsia" w:eastAsia="仿宋_GB2312"/>
          <w:sz w:val="32"/>
          <w:szCs w:val="32"/>
          <w:lang w:eastAsia="zh-CN"/>
        </w:rPr>
        <w:t>规范性文件</w:t>
      </w:r>
      <w:r>
        <w:rPr>
          <w:rFonts w:hint="eastAsia" w:eastAsia="仿宋_GB2312"/>
          <w:sz w:val="32"/>
          <w:szCs w:val="32"/>
        </w:rPr>
        <w:t>，会同有关单位负责相关工作开展。</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10</w:t>
      </w:r>
      <w:r>
        <w:rPr>
          <w:rFonts w:hint="eastAsia" w:eastAsia="仿宋_GB2312"/>
          <w:sz w:val="32"/>
          <w:szCs w:val="32"/>
        </w:rPr>
        <w:t>）负责管理电影行政事务，指导监管电影制作、发行、放映工作,指导协调和参与重大电影活动和电影对外合作交流等。</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11</w:t>
      </w:r>
      <w:r>
        <w:rPr>
          <w:rFonts w:hint="eastAsia" w:eastAsia="仿宋_GB2312"/>
          <w:sz w:val="32"/>
          <w:szCs w:val="32"/>
        </w:rPr>
        <w:t>）负责管理新闻出版行政事务和涉及的行政审批工作,监督管理出版物内容和质量,监督管理印刷业,管理著作权。组织指导协调“扫黄打非”工作。</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12</w:t>
      </w:r>
      <w:r>
        <w:rPr>
          <w:rFonts w:hint="eastAsia" w:eastAsia="仿宋_GB2312"/>
          <w:sz w:val="32"/>
          <w:szCs w:val="32"/>
        </w:rPr>
        <w:t>）统筹组织协调精神文明建设工作，协调推动精神文明创建、公民思想道德建设和志愿服务工作。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13</w:t>
      </w:r>
      <w:r>
        <w:rPr>
          <w:rFonts w:hint="eastAsia" w:eastAsia="仿宋_GB2312"/>
          <w:sz w:val="32"/>
          <w:szCs w:val="32"/>
        </w:rPr>
        <w:t>）负责全区互联网信息内容管理，统筹组织互联网宣传管理和舆论引导工作。组织协调网络评论和互联网新闻宣传工作，组织全区重大主题网络宣传。负责网上有害信息处置，组织开展互联网专项整治。依法管理从事新闻信息服务、具有媒体属性和舆论功能的网络传播平台、相关业务和从业人员。统筹组织互联网信息内容监督管理执法，协调督促有关部门查办网络重大案件的具体工作，指导和督促网络行政执法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14</w:t>
      </w:r>
      <w:r>
        <w:rPr>
          <w:rFonts w:hint="eastAsia" w:eastAsia="仿宋_GB2312"/>
          <w:sz w:val="32"/>
          <w:szCs w:val="32"/>
        </w:rPr>
        <w:t>）统筹指导关键信息基础设施网络安全保障工作，协调推动网络安全和信息化技术开发和应用，指导推进新技术新应用安全评估。</w:t>
      </w:r>
      <w:r>
        <w:rPr>
          <w:rFonts w:hint="eastAsia" w:eastAsia="仿宋_GB2312"/>
          <w:sz w:val="32"/>
          <w:szCs w:val="32"/>
          <w:lang w:eastAsia="zh-CN"/>
        </w:rPr>
        <w:t>拟订网络安全发展规划。</w:t>
      </w:r>
      <w:r>
        <w:rPr>
          <w:rFonts w:hint="eastAsia" w:eastAsia="仿宋_GB2312"/>
          <w:sz w:val="32"/>
          <w:szCs w:val="32"/>
        </w:rPr>
        <w:t>统筹协调网络安全服务和保障工作。指导协调信息化工作，协调拟订推动信息化领域自主创新和发展的政策体系。统筹协调重要信息资源的开发利用与共享，统筹推进信息化领域军民融合深度发展。</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15</w:t>
      </w:r>
      <w:r>
        <w:rPr>
          <w:rFonts w:hint="eastAsia" w:eastAsia="仿宋_GB2312"/>
          <w:sz w:val="32"/>
          <w:szCs w:val="32"/>
        </w:rPr>
        <w:t>）受区委委托，会同区委组织部管理文化、艺术、新闻、出版、广播电视、电影、</w:t>
      </w:r>
      <w:r>
        <w:rPr>
          <w:rFonts w:hint="eastAsia" w:eastAsia="仿宋_GB2312"/>
          <w:sz w:val="32"/>
          <w:szCs w:val="32"/>
          <w:lang w:eastAsia="zh-CN"/>
        </w:rPr>
        <w:t>旅游、</w:t>
      </w:r>
      <w:r>
        <w:rPr>
          <w:rFonts w:hint="eastAsia" w:eastAsia="仿宋_GB2312"/>
          <w:sz w:val="32"/>
          <w:szCs w:val="32"/>
        </w:rPr>
        <w:t>社会科学研究和互联网信息等方面区直宣传文化单位的领导干部。负责有关重要宣传舆论阵地和重要岗位领导干部管理。负责组织开展宣传思想战线干部教育培训和人才工作。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16</w:t>
      </w:r>
      <w:r>
        <w:rPr>
          <w:rFonts w:hint="eastAsia" w:eastAsia="仿宋_GB2312"/>
          <w:sz w:val="32"/>
          <w:szCs w:val="32"/>
        </w:rPr>
        <w:t>）归口领导区文化广播电视和旅游局。受区委委托,代管区文联、区社科联等宣传思想文化单位。</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17</w:t>
      </w:r>
      <w:r>
        <w:rPr>
          <w:rFonts w:hint="eastAsia" w:eastAsia="仿宋_GB2312"/>
          <w:sz w:val="32"/>
          <w:szCs w:val="32"/>
        </w:rPr>
        <w:t>）承担区精神文明建设委员会等</w:t>
      </w:r>
      <w:r>
        <w:rPr>
          <w:rFonts w:hint="eastAsia" w:eastAsia="仿宋_GB2312"/>
          <w:sz w:val="32"/>
          <w:szCs w:val="32"/>
          <w:lang w:eastAsia="zh-CN"/>
        </w:rPr>
        <w:t>议事协调机构</w:t>
      </w:r>
      <w:r>
        <w:rPr>
          <w:rFonts w:hint="eastAsia" w:eastAsia="仿宋_GB2312"/>
          <w:sz w:val="32"/>
          <w:szCs w:val="32"/>
        </w:rPr>
        <w:t>的日常工作。</w:t>
      </w:r>
    </w:p>
    <w:p>
      <w:pPr>
        <w:spacing w:line="592" w:lineRule="exact"/>
        <w:ind w:firstLine="640"/>
        <w:rPr>
          <w:rFonts w:hint="eastAsia" w:eastAsia="仿宋_GB2312"/>
          <w:sz w:val="32"/>
          <w:szCs w:val="32"/>
          <w:lang w:val="en-US" w:eastAsia="zh-CN"/>
        </w:rPr>
      </w:pPr>
      <w:r>
        <w:rPr>
          <w:rFonts w:hint="eastAsia" w:eastAsia="仿宋_GB2312"/>
          <w:sz w:val="32"/>
          <w:szCs w:val="32"/>
        </w:rPr>
        <w:t>（</w:t>
      </w:r>
      <w:r>
        <w:rPr>
          <w:rFonts w:hint="eastAsia"/>
          <w:sz w:val="32"/>
          <w:szCs w:val="32"/>
          <w:lang w:val="en-US" w:eastAsia="zh-CN"/>
        </w:rPr>
        <w:t>18</w:t>
      </w:r>
      <w:r>
        <w:rPr>
          <w:rFonts w:hint="eastAsia" w:eastAsia="仿宋_GB2312"/>
          <w:sz w:val="32"/>
          <w:szCs w:val="32"/>
        </w:rPr>
        <w:t>）</w:t>
      </w:r>
      <w:r>
        <w:rPr>
          <w:rFonts w:hint="eastAsia" w:eastAsia="仿宋_GB2312"/>
          <w:sz w:val="32"/>
          <w:szCs w:val="32"/>
          <w:lang w:val="en-US" w:eastAsia="zh-CN"/>
        </w:rPr>
        <w:t>负责职责范围内的安全生产和职业健康、生态环境保护工作。</w:t>
      </w:r>
    </w:p>
    <w:p>
      <w:pPr>
        <w:spacing w:line="592" w:lineRule="exact"/>
        <w:ind w:firstLine="640"/>
        <w:rPr>
          <w:lang w:val="zh-CN"/>
        </w:rPr>
      </w:pPr>
      <w:r>
        <w:rPr>
          <w:rFonts w:hint="eastAsia" w:eastAsia="仿宋_GB2312"/>
          <w:sz w:val="32"/>
          <w:szCs w:val="32"/>
          <w:lang w:val="en-US" w:eastAsia="zh-CN"/>
        </w:rPr>
        <w:t>（</w:t>
      </w:r>
      <w:r>
        <w:rPr>
          <w:rFonts w:hint="eastAsia"/>
          <w:sz w:val="32"/>
          <w:szCs w:val="32"/>
          <w:lang w:val="en-US" w:eastAsia="zh-CN"/>
        </w:rPr>
        <w:t>19</w:t>
      </w:r>
      <w:r>
        <w:rPr>
          <w:rFonts w:hint="eastAsia" w:eastAsia="仿宋_GB2312"/>
          <w:sz w:val="32"/>
          <w:szCs w:val="32"/>
          <w:lang w:val="en-US" w:eastAsia="zh-CN"/>
        </w:rPr>
        <w:t>）</w:t>
      </w:r>
      <w:r>
        <w:rPr>
          <w:rFonts w:hint="eastAsia" w:eastAsia="仿宋_GB2312"/>
          <w:sz w:val="32"/>
          <w:szCs w:val="32"/>
        </w:rPr>
        <w:t>完成区委交办的其他任务。</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（三）人员概况。</w:t>
      </w:r>
    </w:p>
    <w:p>
      <w:pPr>
        <w:widowControl/>
        <w:adjustRightInd w:val="0"/>
        <w:snapToGrid w:val="0"/>
        <w:spacing w:line="580" w:lineRule="exact"/>
        <w:ind w:firstLine="800" w:firstLineChars="25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Calibri" w:eastAsia="仿宋_GB2312" w:cs="仿宋_GB2312"/>
          <w:kern w:val="0"/>
          <w:sz w:val="32"/>
          <w:szCs w:val="32"/>
          <w:lang w:bidi="ar"/>
        </w:rPr>
        <w:t>编制</w:t>
      </w:r>
      <w:r>
        <w:rPr>
          <w:rFonts w:hint="eastAsia" w:ascii="仿宋_GB2312" w:hAnsi="Calibri" w:cs="仿宋_GB2312"/>
          <w:kern w:val="0"/>
          <w:sz w:val="32"/>
          <w:szCs w:val="32"/>
          <w:lang w:val="en-US" w:eastAsia="zh-CN" w:bidi="ar"/>
        </w:rPr>
        <w:t>14</w:t>
      </w:r>
      <w:r>
        <w:rPr>
          <w:rFonts w:hint="eastAsia" w:ascii="仿宋_GB2312" w:hAnsi="Calibri" w:eastAsia="仿宋_GB2312" w:cs="仿宋_GB2312"/>
          <w:kern w:val="0"/>
          <w:sz w:val="32"/>
          <w:szCs w:val="32"/>
          <w:lang w:bidi="ar"/>
        </w:rPr>
        <w:t>名，其中：行政编制</w:t>
      </w:r>
      <w:r>
        <w:rPr>
          <w:rFonts w:hint="eastAsia" w:ascii="仿宋_GB2312" w:hAnsi="Calibri" w:cs="仿宋_GB2312"/>
          <w:kern w:val="0"/>
          <w:sz w:val="32"/>
          <w:szCs w:val="32"/>
          <w:lang w:val="en-US" w:eastAsia="zh-CN" w:bidi="ar"/>
        </w:rPr>
        <w:t>6</w:t>
      </w:r>
      <w:r>
        <w:rPr>
          <w:rFonts w:hint="eastAsia" w:ascii="仿宋_GB2312" w:hAnsi="Calibri" w:eastAsia="仿宋_GB2312" w:cs="仿宋_GB2312"/>
          <w:kern w:val="0"/>
          <w:sz w:val="32"/>
          <w:szCs w:val="32"/>
          <w:lang w:bidi="ar"/>
        </w:rPr>
        <w:t>名，工勤编制0名；事业编制</w:t>
      </w:r>
      <w:r>
        <w:rPr>
          <w:rFonts w:hint="eastAsia" w:ascii="仿宋_GB2312" w:hAnsi="Calibri" w:cs="仿宋_GB2312"/>
          <w:kern w:val="0"/>
          <w:sz w:val="32"/>
          <w:szCs w:val="32"/>
          <w:lang w:val="en-US" w:eastAsia="zh-CN" w:bidi="ar"/>
        </w:rPr>
        <w:t>8</w:t>
      </w:r>
      <w:r>
        <w:rPr>
          <w:rFonts w:hint="eastAsia" w:ascii="仿宋_GB2312" w:hAnsi="Calibri" w:eastAsia="仿宋_GB2312" w:cs="仿宋_GB2312"/>
          <w:kern w:val="0"/>
          <w:sz w:val="32"/>
          <w:szCs w:val="32"/>
          <w:lang w:bidi="ar"/>
        </w:rPr>
        <w:t>名，工勤编制0名。实际在职人数</w:t>
      </w:r>
      <w:r>
        <w:rPr>
          <w:rFonts w:hint="eastAsia" w:ascii="仿宋_GB2312" w:hAnsi="Calibri" w:cs="仿宋_GB2312"/>
          <w:kern w:val="0"/>
          <w:sz w:val="32"/>
          <w:szCs w:val="32"/>
          <w:lang w:val="en-US" w:eastAsia="zh-CN" w:bidi="ar"/>
        </w:rPr>
        <w:t>14</w:t>
      </w:r>
      <w:r>
        <w:rPr>
          <w:rFonts w:hint="eastAsia" w:ascii="仿宋_GB2312" w:hAnsi="Calibri" w:eastAsia="仿宋_GB2312" w:cs="仿宋_GB2312"/>
          <w:kern w:val="0"/>
          <w:sz w:val="32"/>
          <w:szCs w:val="32"/>
          <w:lang w:bidi="ar"/>
        </w:rPr>
        <w:t>人，其中：公务员</w:t>
      </w:r>
      <w:r>
        <w:rPr>
          <w:rFonts w:hint="eastAsia" w:ascii="仿宋_GB2312" w:eastAsia="仿宋_GB2312" w:cs="仿宋_GB2312"/>
          <w:kern w:val="0"/>
          <w:sz w:val="32"/>
          <w:szCs w:val="32"/>
          <w:lang w:bidi="ar"/>
        </w:rPr>
        <w:t>6</w:t>
      </w:r>
      <w:r>
        <w:rPr>
          <w:rFonts w:hint="eastAsia" w:ascii="仿宋_GB2312" w:hAnsi="Calibri" w:eastAsia="仿宋_GB2312" w:cs="仿宋_GB2312"/>
          <w:kern w:val="0"/>
          <w:sz w:val="32"/>
          <w:szCs w:val="32"/>
          <w:lang w:bidi="ar"/>
        </w:rPr>
        <w:t>人，工勤人员0人；事业人员</w:t>
      </w:r>
      <w:r>
        <w:rPr>
          <w:rFonts w:hint="eastAsia" w:ascii="仿宋_GB2312" w:cs="仿宋_GB2312"/>
          <w:kern w:val="0"/>
          <w:sz w:val="32"/>
          <w:szCs w:val="32"/>
          <w:lang w:val="en-US" w:eastAsia="zh-CN" w:bidi="ar"/>
        </w:rPr>
        <w:t>6</w:t>
      </w:r>
      <w:r>
        <w:rPr>
          <w:rFonts w:hint="eastAsia" w:ascii="仿宋_GB2312" w:hAnsi="Calibri" w:eastAsia="仿宋_GB2312" w:cs="仿宋_GB2312"/>
          <w:kern w:val="0"/>
          <w:sz w:val="32"/>
          <w:szCs w:val="32"/>
          <w:lang w:bidi="ar"/>
        </w:rPr>
        <w:t>人，工勤人员0人。离退休人员</w:t>
      </w:r>
      <w:r>
        <w:rPr>
          <w:rFonts w:hint="eastAsia" w:ascii="仿宋_GB2312" w:hAnsi="Calibri" w:cs="仿宋_GB2312"/>
          <w:kern w:val="0"/>
          <w:sz w:val="32"/>
          <w:szCs w:val="32"/>
          <w:lang w:val="en-US" w:eastAsia="zh-CN" w:bidi="ar"/>
        </w:rPr>
        <w:t>2</w:t>
      </w:r>
      <w:r>
        <w:rPr>
          <w:rFonts w:hint="eastAsia" w:ascii="仿宋_GB2312" w:hAnsi="Calibri" w:eastAsia="仿宋_GB2312" w:cs="仿宋_GB2312"/>
          <w:kern w:val="0"/>
          <w:sz w:val="32"/>
          <w:szCs w:val="32"/>
          <w:lang w:bidi="ar"/>
        </w:rPr>
        <w:t>人，其中：行政离退休人员</w:t>
      </w:r>
      <w:r>
        <w:rPr>
          <w:rFonts w:hint="eastAsia" w:ascii="仿宋_GB2312" w:hAnsi="Calibri" w:cs="仿宋_GB2312"/>
          <w:kern w:val="0"/>
          <w:sz w:val="32"/>
          <w:szCs w:val="32"/>
          <w:lang w:val="en-US" w:eastAsia="zh-CN" w:bidi="ar"/>
        </w:rPr>
        <w:t>2</w:t>
      </w:r>
      <w:r>
        <w:rPr>
          <w:rFonts w:hint="eastAsia" w:ascii="仿宋_GB2312" w:hAnsi="Calibri" w:eastAsia="仿宋_GB2312" w:cs="仿宋_GB2312"/>
          <w:kern w:val="0"/>
          <w:sz w:val="32"/>
          <w:szCs w:val="32"/>
          <w:lang w:bidi="ar"/>
        </w:rPr>
        <w:t>人，事业离退休人员0人</w:t>
      </w:r>
    </w:p>
    <w:p>
      <w:pPr>
        <w:pStyle w:val="2"/>
        <w:rPr>
          <w:lang w:val="zh-CN"/>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spacing w:line="600" w:lineRule="exact"/>
        <w:ind w:firstLine="640" w:firstLineChars="200"/>
        <w:outlineLvl w:val="1"/>
        <w:rPr>
          <w:lang w:val="zh-CN"/>
        </w:rPr>
      </w:pPr>
      <w:r>
        <w:rPr>
          <w:rFonts w:ascii="仿宋" w:hAnsi="仿宋" w:eastAsia="仿宋"/>
          <w:color w:val="000000"/>
          <w:sz w:val="32"/>
          <w:szCs w:val="32"/>
        </w:rPr>
        <w:t>20</w:t>
      </w:r>
      <w:r>
        <w:rPr>
          <w:rFonts w:hint="eastAsia" w:ascii="仿宋" w:hAnsi="仿宋" w:eastAsia="仿宋"/>
          <w:color w:val="000000"/>
          <w:sz w:val="32"/>
          <w:szCs w:val="32"/>
          <w:lang w:val="en-US" w:eastAsia="zh-CN"/>
        </w:rPr>
        <w:t>20</w:t>
      </w:r>
      <w:r>
        <w:rPr>
          <w:rFonts w:hint="eastAsia" w:ascii="仿宋" w:hAnsi="仿宋" w:eastAsia="仿宋"/>
          <w:color w:val="000000"/>
          <w:sz w:val="32"/>
          <w:szCs w:val="32"/>
        </w:rPr>
        <w:t>年本年收入合计</w:t>
      </w:r>
      <w:r>
        <w:rPr>
          <w:rFonts w:hint="eastAsia" w:ascii="仿宋" w:hAnsi="仿宋" w:eastAsia="仿宋"/>
          <w:color w:val="000000"/>
          <w:sz w:val="32"/>
          <w:szCs w:val="32"/>
          <w:lang w:val="en-US" w:eastAsia="zh-CN"/>
        </w:rPr>
        <w:t>826.76</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700.3</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84.7</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126.46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15.3</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14:textFill>
            <w14:solidFill>
              <w14:schemeClr w14:val="tx1"/>
            </w14:solidFill>
          </w14:textFill>
        </w:rPr>
        <w:t>上级补助收入0</w:t>
      </w:r>
      <w:r>
        <w:rPr>
          <w:rFonts w:hint="eastAsia" w:ascii="仿宋" w:hAnsi="仿宋" w:eastAsia="仿宋"/>
          <w:color w:val="000000"/>
          <w:sz w:val="32"/>
          <w:szCs w:val="32"/>
        </w:rPr>
        <w:t>万元，占0</w:t>
      </w:r>
      <w:r>
        <w:rPr>
          <w:rFonts w:ascii="仿宋" w:hAnsi="仿宋" w:eastAsia="仿宋"/>
          <w:color w:val="000000"/>
          <w:sz w:val="32"/>
          <w:szCs w:val="32"/>
        </w:rPr>
        <w:t>%</w:t>
      </w:r>
      <w:r>
        <w:rPr>
          <w:rFonts w:hint="eastAsia" w:ascii="仿宋" w:hAnsi="仿宋" w:eastAsia="仿宋"/>
          <w:color w:val="000000"/>
          <w:sz w:val="32"/>
          <w:szCs w:val="32"/>
        </w:rPr>
        <w:t>；事业收入0万元，占0</w:t>
      </w:r>
      <w:r>
        <w:rPr>
          <w:rFonts w:ascii="仿宋" w:hAnsi="仿宋" w:eastAsia="仿宋"/>
          <w:color w:val="000000"/>
          <w:sz w:val="32"/>
          <w:szCs w:val="32"/>
        </w:rPr>
        <w:t>%</w:t>
      </w:r>
      <w:r>
        <w:rPr>
          <w:rFonts w:hint="eastAsia" w:ascii="仿宋" w:hAnsi="仿宋" w:eastAsia="仿宋"/>
          <w:color w:val="000000"/>
          <w:sz w:val="32"/>
          <w:szCs w:val="32"/>
        </w:rPr>
        <w:t>；经营收入0万元，占0</w:t>
      </w:r>
      <w:r>
        <w:rPr>
          <w:rFonts w:ascii="仿宋" w:hAnsi="仿宋" w:eastAsia="仿宋"/>
          <w:color w:val="000000"/>
          <w:sz w:val="32"/>
          <w:szCs w:val="32"/>
        </w:rPr>
        <w:t>%</w:t>
      </w:r>
      <w:r>
        <w:rPr>
          <w:rFonts w:hint="eastAsia" w:ascii="仿宋" w:hAnsi="仿宋" w:eastAsia="仿宋"/>
          <w:color w:val="000000"/>
          <w:sz w:val="32"/>
          <w:szCs w:val="32"/>
        </w:rPr>
        <w:t>；附属单位上缴收入0万元，占0</w:t>
      </w:r>
      <w:r>
        <w:rPr>
          <w:rFonts w:ascii="仿宋" w:hAnsi="仿宋" w:eastAsia="仿宋"/>
          <w:color w:val="000000"/>
          <w:sz w:val="32"/>
          <w:szCs w:val="32"/>
        </w:rPr>
        <w:t>%</w:t>
      </w:r>
      <w:r>
        <w:rPr>
          <w:rFonts w:hint="eastAsia" w:ascii="仿宋" w:hAnsi="仿宋" w:eastAsia="仿宋"/>
          <w:color w:val="000000"/>
          <w:sz w:val="32"/>
          <w:szCs w:val="32"/>
        </w:rPr>
        <w:t>；其他收入0万元，占0</w:t>
      </w:r>
      <w:r>
        <w:rPr>
          <w:rFonts w:ascii="仿宋" w:hAnsi="仿宋" w:eastAsia="仿宋"/>
          <w:color w:val="000000"/>
          <w:sz w:val="32"/>
          <w:szCs w:val="32"/>
        </w:rPr>
        <w:t>%</w:t>
      </w:r>
      <w:r>
        <w:rPr>
          <w:rFonts w:hint="eastAsia" w:ascii="仿宋" w:hAnsi="仿宋" w:eastAsia="仿宋"/>
          <w:color w:val="000000"/>
          <w:sz w:val="32"/>
          <w:szCs w:val="32"/>
        </w:rPr>
        <w:t>。</w:t>
      </w:r>
    </w:p>
    <w:p>
      <w:pPr>
        <w:widowControl/>
        <w:numPr>
          <w:ilvl w:val="0"/>
          <w:numId w:val="5"/>
        </w:numPr>
        <w:adjustRightInd w:val="0"/>
        <w:snapToGrid w:val="0"/>
        <w:spacing w:line="580" w:lineRule="exact"/>
        <w:ind w:left="0" w:leftChars="0"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部门财政资金支出情况。</w:t>
      </w:r>
    </w:p>
    <w:p>
      <w:pPr>
        <w:spacing w:line="600" w:lineRule="exact"/>
        <w:ind w:firstLine="640" w:firstLineChars="200"/>
        <w:outlineLvl w:val="1"/>
        <w:rPr>
          <w:rFonts w:ascii="仿宋" w:hAnsi="仿宋" w:eastAsia="仿宋"/>
          <w:color w:val="000000"/>
          <w:sz w:val="32"/>
          <w:szCs w:val="32"/>
        </w:rPr>
      </w:pPr>
      <w:r>
        <w:rPr>
          <w:rFonts w:hint="eastAsia" w:ascii="仿宋" w:hAnsi="仿宋" w:eastAsia="仿宋"/>
          <w:color w:val="000000"/>
          <w:sz w:val="32"/>
          <w:szCs w:val="32"/>
          <w:lang w:val="en-US" w:eastAsia="zh-CN"/>
        </w:rPr>
        <w:t>2020</w:t>
      </w:r>
      <w:r>
        <w:rPr>
          <w:rFonts w:hint="eastAsia" w:ascii="仿宋" w:hAnsi="仿宋" w:eastAsia="仿宋"/>
          <w:color w:val="000000"/>
          <w:sz w:val="32"/>
          <w:szCs w:val="32"/>
        </w:rPr>
        <w:t>年本年支出合计</w:t>
      </w:r>
      <w:r>
        <w:rPr>
          <w:rFonts w:hint="eastAsia" w:ascii="仿宋" w:hAnsi="仿宋" w:eastAsia="仿宋"/>
          <w:color w:val="000000"/>
          <w:sz w:val="32"/>
          <w:szCs w:val="32"/>
          <w:lang w:val="en-US" w:eastAsia="zh-CN"/>
        </w:rPr>
        <w:t>897.81</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328.62</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36.6</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569.19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63.4</w:t>
      </w:r>
      <w:r>
        <w:rPr>
          <w:rFonts w:ascii="仿宋" w:hAnsi="仿宋" w:eastAsia="仿宋"/>
          <w:color w:val="000000"/>
          <w:sz w:val="32"/>
          <w:szCs w:val="32"/>
        </w:rPr>
        <w:t>%</w:t>
      </w:r>
      <w:r>
        <w:rPr>
          <w:rFonts w:hint="eastAsia" w:ascii="仿宋" w:hAnsi="仿宋" w:eastAsia="仿宋"/>
          <w:color w:val="000000"/>
          <w:sz w:val="32"/>
          <w:szCs w:val="32"/>
        </w:rPr>
        <w:t>；上缴上级支出0万元，占0</w:t>
      </w:r>
      <w:r>
        <w:rPr>
          <w:rFonts w:ascii="仿宋" w:hAnsi="仿宋" w:eastAsia="仿宋"/>
          <w:color w:val="000000"/>
          <w:sz w:val="32"/>
          <w:szCs w:val="32"/>
        </w:rPr>
        <w:t>%</w:t>
      </w:r>
      <w:r>
        <w:rPr>
          <w:rFonts w:hint="eastAsia" w:ascii="仿宋" w:hAnsi="仿宋" w:eastAsia="仿宋"/>
          <w:color w:val="000000"/>
          <w:sz w:val="32"/>
          <w:szCs w:val="32"/>
        </w:rPr>
        <w:t>；经营支出0万元，占0</w:t>
      </w:r>
      <w:r>
        <w:rPr>
          <w:rFonts w:ascii="仿宋" w:hAnsi="仿宋" w:eastAsia="仿宋"/>
          <w:color w:val="000000"/>
          <w:sz w:val="32"/>
          <w:szCs w:val="32"/>
        </w:rPr>
        <w:t>%</w:t>
      </w:r>
      <w:r>
        <w:rPr>
          <w:rFonts w:hint="eastAsia" w:ascii="仿宋" w:hAnsi="仿宋" w:eastAsia="仿宋"/>
          <w:color w:val="000000"/>
          <w:sz w:val="32"/>
          <w:szCs w:val="32"/>
        </w:rPr>
        <w:t>；对附属单位补助支出0万元，占0</w:t>
      </w:r>
      <w:r>
        <w:rPr>
          <w:rFonts w:ascii="仿宋" w:hAnsi="仿宋" w:eastAsia="仿宋"/>
          <w:color w:val="000000"/>
          <w:sz w:val="32"/>
          <w:szCs w:val="32"/>
        </w:rPr>
        <w:t>%</w:t>
      </w:r>
      <w:r>
        <w:rPr>
          <w:rFonts w:hint="eastAsia" w:ascii="仿宋" w:hAnsi="仿宋" w:eastAsia="仿宋"/>
          <w:color w:val="000000"/>
          <w:sz w:val="32"/>
          <w:szCs w:val="32"/>
        </w:rPr>
        <w:t>。</w:t>
      </w:r>
    </w:p>
    <w:p>
      <w:pPr>
        <w:pStyle w:val="2"/>
        <w:numPr>
          <w:ilvl w:val="0"/>
          <w:numId w:val="0"/>
        </w:numPr>
        <w:ind w:leftChars="200"/>
        <w:rPr>
          <w:lang w:val="zh-CN"/>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lang w:val="zh-CN"/>
        </w:rPr>
      </w:pPr>
      <w:r>
        <w:rPr>
          <w:rFonts w:ascii="仿宋_GB2312" w:hAnsi="宋体" w:eastAsia="仿宋_GB2312" w:cs="宋体"/>
          <w:color w:val="000000"/>
          <w:kern w:val="0"/>
          <w:sz w:val="32"/>
          <w:szCs w:val="32"/>
          <w:shd w:val="clear" w:color="auto" w:fill="FFFFFF"/>
          <w:lang w:val="zh-CN"/>
        </w:rPr>
        <w:t>1.20</w:t>
      </w:r>
      <w:r>
        <w:rPr>
          <w:rFonts w:hint="eastAsia" w:ascii="仿宋_GB2312" w:hAnsi="宋体" w:cs="宋体"/>
          <w:color w:val="000000"/>
          <w:kern w:val="0"/>
          <w:sz w:val="32"/>
          <w:szCs w:val="32"/>
          <w:shd w:val="clear" w:color="auto" w:fill="FFFFFF"/>
          <w:lang w:val="en-US" w:eastAsia="zh-CN"/>
        </w:rPr>
        <w:t>20</w:t>
      </w:r>
      <w:r>
        <w:rPr>
          <w:rFonts w:ascii="仿宋_GB2312" w:hAnsi="宋体" w:eastAsia="仿宋_GB2312" w:cs="宋体"/>
          <w:color w:val="000000"/>
          <w:kern w:val="0"/>
          <w:sz w:val="32"/>
          <w:szCs w:val="32"/>
          <w:shd w:val="clear" w:color="auto" w:fill="FFFFFF"/>
          <w:lang w:val="zh-CN"/>
        </w:rPr>
        <w:t>年本部门的预决算编制均按照</w:t>
      </w:r>
      <w:r>
        <w:rPr>
          <w:rFonts w:hint="eastAsia" w:ascii="仿宋_GB2312" w:hAnsi="宋体" w:eastAsia="仿宋_GB2312" w:cs="宋体"/>
          <w:color w:val="000000"/>
          <w:kern w:val="0"/>
          <w:sz w:val="32"/>
          <w:szCs w:val="32"/>
          <w:shd w:val="clear" w:color="auto" w:fill="FFFFFF"/>
          <w:lang w:val="zh-CN"/>
        </w:rPr>
        <w:t>区</w:t>
      </w:r>
      <w:r>
        <w:rPr>
          <w:rFonts w:ascii="仿宋_GB2312" w:hAnsi="宋体" w:eastAsia="仿宋_GB2312" w:cs="宋体"/>
          <w:color w:val="000000"/>
          <w:kern w:val="0"/>
          <w:sz w:val="32"/>
          <w:szCs w:val="32"/>
          <w:shd w:val="clear" w:color="auto" w:fill="FFFFFF"/>
          <w:lang w:val="zh-CN"/>
        </w:rPr>
        <w:t>财政局下达的相关文件指标进行了编制，按时完成经、编制工作，决算报表和说明均在</w:t>
      </w:r>
      <w:r>
        <w:rPr>
          <w:rFonts w:hint="eastAsia" w:ascii="仿宋_GB2312" w:hAnsi="宋体" w:eastAsia="仿宋_GB2312" w:cs="宋体"/>
          <w:color w:val="000000"/>
          <w:kern w:val="0"/>
          <w:sz w:val="32"/>
          <w:szCs w:val="32"/>
          <w:shd w:val="clear" w:color="auto" w:fill="FFFFFF"/>
          <w:lang w:val="zh-CN"/>
        </w:rPr>
        <w:t>自流井区</w:t>
      </w:r>
      <w:r>
        <w:rPr>
          <w:rFonts w:ascii="仿宋_GB2312" w:hAnsi="宋体" w:eastAsia="仿宋_GB2312" w:cs="宋体"/>
          <w:color w:val="000000"/>
          <w:kern w:val="0"/>
          <w:sz w:val="32"/>
          <w:szCs w:val="32"/>
          <w:shd w:val="clear" w:color="auto" w:fill="FFFFFF"/>
          <w:lang w:val="zh-CN"/>
        </w:rPr>
        <w:t>政府门户网站公开。2.绩效目标也按照有关文件如实进行了填报。3.</w:t>
      </w:r>
      <w:r>
        <w:rPr>
          <w:rFonts w:hint="eastAsia" w:ascii="仿宋_GB2312" w:hAnsi="宋体" w:eastAsia="仿宋_GB2312" w:cs="宋体"/>
          <w:color w:val="000000"/>
          <w:kern w:val="0"/>
          <w:sz w:val="32"/>
          <w:szCs w:val="32"/>
          <w:shd w:val="clear" w:color="auto" w:fill="FFFFFF"/>
          <w:lang w:val="zh-CN"/>
        </w:rPr>
        <w:t>电影行政事务</w:t>
      </w:r>
      <w:r>
        <w:rPr>
          <w:rFonts w:ascii="仿宋_GB2312" w:hAnsi="宋体" w:eastAsia="仿宋_GB2312" w:cs="宋体"/>
          <w:color w:val="000000"/>
          <w:kern w:val="0"/>
          <w:sz w:val="32"/>
          <w:szCs w:val="32"/>
          <w:shd w:val="clear" w:color="auto" w:fill="FFFFFF"/>
          <w:lang w:val="zh-CN"/>
        </w:rPr>
        <w:t>、</w:t>
      </w:r>
      <w:r>
        <w:rPr>
          <w:rFonts w:hint="eastAsia" w:ascii="仿宋_GB2312" w:hAnsi="宋体" w:eastAsia="仿宋_GB2312" w:cs="宋体"/>
          <w:color w:val="000000"/>
          <w:kern w:val="0"/>
          <w:sz w:val="32"/>
          <w:szCs w:val="32"/>
          <w:shd w:val="clear" w:color="auto" w:fill="FFFFFF"/>
          <w:lang w:val="zh-CN"/>
        </w:rPr>
        <w:t>“扫黄打非”</w:t>
      </w:r>
      <w:r>
        <w:rPr>
          <w:rFonts w:ascii="仿宋_GB2312" w:hAnsi="宋体" w:eastAsia="仿宋_GB2312" w:cs="宋体"/>
          <w:color w:val="000000"/>
          <w:kern w:val="0"/>
          <w:sz w:val="32"/>
          <w:szCs w:val="32"/>
          <w:shd w:val="clear" w:color="auto" w:fill="FFFFFF"/>
          <w:lang w:val="zh-CN"/>
        </w:rPr>
        <w:t>等专项预算也提前进行了规划和筹划。</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ascii="仿宋_GB2312" w:hAnsi="宋体" w:eastAsia="仿宋_GB2312" w:cs="宋体"/>
          <w:color w:val="000000"/>
          <w:kern w:val="0"/>
          <w:sz w:val="32"/>
          <w:szCs w:val="32"/>
          <w:shd w:val="clear" w:color="auto" w:fill="FFFFFF"/>
          <w:lang w:val="zh-CN"/>
        </w:rPr>
        <w:t>本单位按照财政局下达的预算指标，严格执行预算内开支，保障了单位正常运转。本部门的预决算编制均按照县财政局下达的相关文件指标进行了编制，按时完成经、编制工作，决算报表和说明均在</w:t>
      </w:r>
      <w:r>
        <w:rPr>
          <w:rFonts w:hint="eastAsia" w:ascii="仿宋_GB2312" w:hAnsi="宋体" w:cs="宋体"/>
          <w:color w:val="000000"/>
          <w:kern w:val="0"/>
          <w:sz w:val="32"/>
          <w:szCs w:val="32"/>
          <w:shd w:val="clear" w:color="auto" w:fill="FFFFFF"/>
          <w:lang w:val="zh-CN"/>
        </w:rPr>
        <w:t>自流井区</w:t>
      </w:r>
      <w:r>
        <w:rPr>
          <w:rFonts w:ascii="仿宋_GB2312" w:hAnsi="宋体" w:eastAsia="仿宋_GB2312" w:cs="宋体"/>
          <w:color w:val="000000"/>
          <w:kern w:val="0"/>
          <w:sz w:val="32"/>
          <w:szCs w:val="32"/>
          <w:shd w:val="clear" w:color="auto" w:fill="FFFFFF"/>
          <w:lang w:val="zh-CN"/>
        </w:rPr>
        <w:t>政府门户网站公开。绩效目标也按照有关文件如实进行了填报。专项预算也提前进行了规划和筹划。 </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widowControl/>
        <w:adjustRightInd w:val="0"/>
        <w:snapToGrid w:val="0"/>
        <w:spacing w:line="580" w:lineRule="exact"/>
        <w:ind w:firstLine="640" w:firstLineChars="200"/>
        <w:contextualSpacing/>
        <w:jc w:val="left"/>
        <w:rPr>
          <w:lang w:val="zh-CN"/>
        </w:rPr>
      </w:pPr>
      <w:r>
        <w:rPr>
          <w:rFonts w:ascii="仿宋_GB2312" w:hAnsi="宋体" w:eastAsia="仿宋_GB2312" w:cs="宋体"/>
          <w:color w:val="000000"/>
          <w:kern w:val="0"/>
          <w:sz w:val="32"/>
          <w:szCs w:val="32"/>
          <w:shd w:val="clear" w:color="auto" w:fill="FFFFFF"/>
          <w:lang w:val="zh-CN"/>
        </w:rPr>
        <w:t>本部门按照</w:t>
      </w:r>
      <w:r>
        <w:rPr>
          <w:rFonts w:hint="eastAsia" w:ascii="仿宋_GB2312" w:hAnsi="宋体" w:eastAsia="仿宋_GB2312" w:cs="宋体"/>
          <w:color w:val="000000"/>
          <w:kern w:val="0"/>
          <w:sz w:val="32"/>
          <w:szCs w:val="32"/>
          <w:shd w:val="clear" w:color="auto" w:fill="FFFFFF"/>
          <w:lang w:val="zh-CN"/>
        </w:rPr>
        <w:t>区</w:t>
      </w:r>
      <w:r>
        <w:rPr>
          <w:rFonts w:ascii="仿宋_GB2312" w:hAnsi="宋体" w:eastAsia="仿宋_GB2312" w:cs="宋体"/>
          <w:color w:val="000000"/>
          <w:kern w:val="0"/>
          <w:sz w:val="32"/>
          <w:szCs w:val="32"/>
          <w:shd w:val="clear" w:color="auto" w:fill="FFFFFF"/>
          <w:lang w:val="zh-CN"/>
        </w:rPr>
        <w:t>级部门预算编制通知和有关要求，按时完成基础工作，项目报送工作，按时提交部门预算草案；在财政部门批复日内向社会公开本部门的“三公”经费、机关运行经费的安排、使用情况；本部门的预算执行都达到了执行进度；本单位的财务制度健全，制度执行严格，会计核算符合财政局的相关规定，资金达到了专款专用，开支标准合理、合法。</w:t>
      </w:r>
    </w:p>
    <w:p>
      <w:pPr>
        <w:widowControl/>
        <w:numPr>
          <w:ilvl w:val="0"/>
          <w:numId w:val="6"/>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存在问题。</w:t>
      </w:r>
    </w:p>
    <w:p>
      <w:pPr>
        <w:widowControl/>
        <w:adjustRightInd w:val="0"/>
        <w:snapToGrid w:val="0"/>
        <w:spacing w:line="580" w:lineRule="exact"/>
        <w:ind w:firstLine="640" w:firstLineChars="200"/>
        <w:contextualSpacing/>
        <w:jc w:val="left"/>
        <w:rPr>
          <w:lang w:val="zh-CN"/>
        </w:rPr>
      </w:pPr>
      <w:r>
        <w:rPr>
          <w:rFonts w:ascii="仿宋_GB2312" w:hAnsi="宋体" w:eastAsia="仿宋_GB2312" w:cs="宋体"/>
          <w:color w:val="000000"/>
          <w:kern w:val="0"/>
          <w:sz w:val="32"/>
          <w:szCs w:val="32"/>
          <w:shd w:val="clear" w:color="auto" w:fill="FFFFFF"/>
          <w:lang w:val="zh-CN"/>
        </w:rPr>
        <w:t>本单位暂时不存在问题。</w:t>
      </w:r>
    </w:p>
    <w:p>
      <w:pPr>
        <w:widowControl/>
        <w:numPr>
          <w:ilvl w:val="0"/>
          <w:numId w:val="6"/>
        </w:numPr>
        <w:adjustRightInd w:val="0"/>
        <w:snapToGrid w:val="0"/>
        <w:spacing w:line="580" w:lineRule="exact"/>
        <w:ind w:left="0" w:leftChars="0"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改进建议。</w:t>
      </w:r>
    </w:p>
    <w:p>
      <w:pPr>
        <w:widowControl/>
        <w:adjustRightInd w:val="0"/>
        <w:snapToGrid w:val="0"/>
        <w:spacing w:line="580" w:lineRule="exact"/>
        <w:ind w:firstLine="640" w:firstLineChars="200"/>
        <w:contextualSpacing/>
        <w:jc w:val="left"/>
        <w:rPr>
          <w:rFonts w:ascii="仿宋_GB2312" w:hAnsi="仿宋_GB2312" w:eastAsia="仿宋_GB2312" w:cs="仿宋_GB2312"/>
          <w:sz w:val="32"/>
          <w:szCs w:val="32"/>
        </w:rPr>
      </w:pPr>
      <w:r>
        <w:rPr>
          <w:rFonts w:ascii="仿宋_GB2312" w:hAnsi="宋体" w:eastAsia="仿宋_GB2312" w:cs="宋体"/>
          <w:color w:val="000000"/>
          <w:kern w:val="0"/>
          <w:sz w:val="32"/>
          <w:szCs w:val="32"/>
          <w:shd w:val="clear" w:color="auto" w:fill="FFFFFF"/>
          <w:lang w:val="zh-CN"/>
        </w:rPr>
        <w:t>本单位暂时不存在有改进建议。</w:t>
      </w:r>
    </w:p>
    <w:p>
      <w:pPr>
        <w:spacing w:line="580" w:lineRule="exact"/>
        <w:ind w:firstLine="640" w:firstLineChars="200"/>
        <w:rPr>
          <w:rFonts w:ascii="仿宋_GB2312" w:hAnsi="仿宋_GB2312" w:eastAsia="仿宋_GB2312" w:cs="仿宋_GB2312"/>
          <w:sz w:val="32"/>
          <w:szCs w:val="32"/>
        </w:rPr>
      </w:pPr>
    </w:p>
    <w:p>
      <w:pPr>
        <w:spacing w:line="580" w:lineRule="exact"/>
        <w:outlineLvl w:val="1"/>
        <w:rPr>
          <w:rFonts w:ascii="仿宋_GB2312" w:hAnsi="仿宋_GB2312" w:eastAsia="仿宋_GB2312" w:cs="仿宋_GB2312"/>
          <w:sz w:val="32"/>
          <w:szCs w:val="32"/>
        </w:rPr>
      </w:pPr>
      <w:bookmarkStart w:id="62" w:name="_Toc11602"/>
      <w:r>
        <w:rPr>
          <w:rFonts w:hint="eastAsia" w:ascii="黑体" w:hAnsi="黑体" w:eastAsia="黑体" w:cs="黑体"/>
          <w:sz w:val="32"/>
          <w:szCs w:val="32"/>
        </w:rPr>
        <w:t>附件</w:t>
      </w:r>
      <w:r>
        <w:rPr>
          <w:rFonts w:ascii="黑体" w:hAnsi="黑体" w:eastAsia="黑体" w:cs="黑体"/>
          <w:sz w:val="32"/>
          <w:szCs w:val="32"/>
        </w:rPr>
        <w:t>2</w:t>
      </w:r>
      <w:bookmarkEnd w:id="62"/>
    </w:p>
    <w:p>
      <w:pPr>
        <w:spacing w:line="580" w:lineRule="exact"/>
        <w:ind w:firstLine="640" w:firstLineChars="200"/>
        <w:jc w:val="center"/>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．说明项目主管部门（单位）在该项目管理中的职能。</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．项目立项、资金申报的依据。</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3</w:t>
      </w:r>
      <w:r>
        <w:rPr>
          <w:rFonts w:hint="eastAsia" w:ascii="仿宋_GB2312" w:hAnsi="宋体" w:eastAsia="仿宋_GB2312"/>
          <w:sz w:val="32"/>
          <w:szCs w:val="32"/>
          <w:lang w:val="zh-CN"/>
        </w:rPr>
        <w:t>．资金管理办法制定情况，资金支持具体项目的条件、范围与支持方式概况。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4</w:t>
      </w:r>
      <w:r>
        <w:rPr>
          <w:rFonts w:hint="eastAsia" w:ascii="仿宋_GB2312" w:hAnsi="宋体" w:eastAsia="仿宋_GB2312"/>
          <w:sz w:val="32"/>
          <w:szCs w:val="32"/>
          <w:lang w:val="zh-CN"/>
        </w:rPr>
        <w:t>．资金分配的原则及考虑因素。</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．项目主要内容。</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．项目应实现的具体绩效目标，包括目标的量化、细化情况以及项目实施进度计划等。</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3</w:t>
      </w:r>
      <w:r>
        <w:rPr>
          <w:rFonts w:hint="eastAsia" w:ascii="仿宋_GB2312" w:hAnsi="宋体" w:eastAsia="仿宋_GB2312"/>
          <w:sz w:val="32"/>
          <w:szCs w:val="32"/>
          <w:lang w:val="zh-CN"/>
        </w:rPr>
        <w:t>．分析评价申报内容是否与实际相符，申报目标是否合理可行。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说明项目资金申报、批复及预算调整等程序的相关情况。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w:t>
      </w:r>
      <w:r>
        <w:rPr>
          <w:rFonts w:hint="eastAsia" w:ascii="仿宋_GB2312" w:hAnsi="宋体" w:eastAsia="仿宋_GB2312"/>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总体评价各项目实施单位财务管理制度是否健全，是否严格执行财务管理制度，账务处理是否及时，会计核算是否规范等。</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eastAsia="仿宋_GB2312"/>
          <w:sz w:val="32"/>
          <w:szCs w:val="32"/>
          <w:lang w:val="zh-CN"/>
        </w:rPr>
        <w:t>结合项目特点，总体评价各项目实施单位执行相关法律法规及项目管理制度等情况，如招投标、政府采购、项目公示制等相关规定。</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eastAsia="仿宋_GB2312"/>
          <w:sz w:val="32"/>
          <w:szCs w:val="32"/>
          <w:lang w:val="zh-CN"/>
        </w:rPr>
        <w:t>说明项目主管部门为加强项目管理所采取的监管手段、监管程序、监管工作开展情况及实现的效果等。</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eastAsia="仿宋_GB2312"/>
          <w:sz w:val="32"/>
          <w:szCs w:val="32"/>
          <w:lang w:val="zh-CN"/>
        </w:rPr>
        <w:t>结合项目自身特点、评价重点及管理办法等要求，围绕专项项目支出绩效评价指标体系对项目进行总体评价。</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结合自评情况，分析存在的问题及原因。</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针对项目自评中发现的问题，提出下一步改进完善的意见及有关政策性建议。</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14"/>
          <w:rFonts w:ascii="黑体" w:hAnsi="黑体" w:eastAsia="黑体"/>
          <w:b w:val="0"/>
        </w:rPr>
      </w:pPr>
    </w:p>
    <w:p>
      <w:pPr>
        <w:widowControl/>
        <w:jc w:val="left"/>
        <w:rPr>
          <w:rStyle w:val="14"/>
          <w:rFonts w:ascii="黑体" w:hAnsi="黑体" w:eastAsia="黑体"/>
          <w:b w:val="0"/>
        </w:rPr>
      </w:pPr>
      <w:r>
        <w:rPr>
          <w:rStyle w:val="14"/>
          <w:rFonts w:ascii="黑体" w:hAnsi="黑体" w:eastAsia="黑体"/>
          <w:b w:val="0"/>
        </w:rPr>
        <w:br w:type="page"/>
      </w:r>
    </w:p>
    <w:p>
      <w:pPr>
        <w:spacing w:line="600" w:lineRule="exact"/>
        <w:jc w:val="center"/>
        <w:outlineLvl w:val="0"/>
        <w:rPr>
          <w:rStyle w:val="14"/>
          <w:rFonts w:ascii="黑体" w:hAnsi="黑体" w:eastAsia="黑体"/>
          <w:b w:val="0"/>
        </w:rPr>
      </w:pPr>
      <w:bookmarkStart w:id="63" w:name="_Toc32283"/>
      <w:bookmarkStart w:id="64" w:name="_Toc15396618"/>
      <w:r>
        <w:rPr>
          <w:rFonts w:hint="eastAsia" w:ascii="黑体" w:hAnsi="黑体" w:eastAsia="黑体"/>
          <w:color w:val="000000"/>
          <w:sz w:val="44"/>
          <w:szCs w:val="44"/>
        </w:rPr>
        <w:t>第</w:t>
      </w:r>
      <w:r>
        <w:rPr>
          <w:rStyle w:val="14"/>
          <w:rFonts w:hint="eastAsia" w:ascii="黑体" w:hAnsi="黑体" w:eastAsia="黑体"/>
          <w:b w:val="0"/>
        </w:rPr>
        <w:t>五部分</w:t>
      </w:r>
      <w:r>
        <w:rPr>
          <w:rStyle w:val="14"/>
          <w:rFonts w:ascii="黑体" w:hAnsi="黑体" w:eastAsia="黑体"/>
          <w:b w:val="0"/>
        </w:rPr>
        <w:t xml:space="preserve"> </w:t>
      </w:r>
      <w:r>
        <w:rPr>
          <w:rStyle w:val="14"/>
          <w:rFonts w:hint="eastAsia" w:ascii="黑体" w:hAnsi="黑体" w:eastAsia="黑体"/>
          <w:b w:val="0"/>
        </w:rPr>
        <w:t>附表</w:t>
      </w:r>
      <w:bookmarkEnd w:id="58"/>
      <w:bookmarkEnd w:id="63"/>
      <w:bookmarkEnd w:id="64"/>
    </w:p>
    <w:p>
      <w:pPr>
        <w:spacing w:line="600" w:lineRule="exact"/>
        <w:jc w:val="center"/>
        <w:outlineLvl w:val="0"/>
        <w:rPr>
          <w:rFonts w:ascii="仿宋" w:hAnsi="仿宋" w:eastAsia="仿宋"/>
          <w:b/>
          <w:color w:val="000000"/>
          <w:sz w:val="44"/>
          <w:szCs w:val="44"/>
        </w:rPr>
      </w:pPr>
    </w:p>
    <w:p>
      <w:pPr>
        <w:pStyle w:val="4"/>
        <w:rPr>
          <w:rFonts w:ascii="仿宋" w:hAnsi="仿宋" w:eastAsia="仿宋"/>
          <w:color w:val="000000"/>
        </w:rPr>
      </w:pPr>
      <w:bookmarkStart w:id="65" w:name="_Toc15699"/>
      <w:bookmarkStart w:id="66" w:name="_Toc15396619"/>
      <w:r>
        <w:rPr>
          <w:rFonts w:hint="eastAsia" w:ascii="仿宋" w:hAnsi="仿宋" w:eastAsia="仿宋"/>
          <w:b w:val="0"/>
          <w:color w:val="000000"/>
        </w:rPr>
        <w:t>一、收</w:t>
      </w:r>
      <w:r>
        <w:rPr>
          <w:rStyle w:val="15"/>
          <w:rFonts w:hint="eastAsia" w:ascii="仿宋" w:hAnsi="仿宋" w:eastAsia="仿宋"/>
          <w:b w:val="0"/>
          <w:bCs w:val="0"/>
        </w:rPr>
        <w:t>入支出决算总表</w:t>
      </w:r>
      <w:bookmarkEnd w:id="65"/>
      <w:bookmarkEnd w:id="66"/>
    </w:p>
    <w:p>
      <w:pPr>
        <w:pStyle w:val="4"/>
        <w:rPr>
          <w:rFonts w:ascii="仿宋" w:hAnsi="仿宋" w:eastAsia="仿宋"/>
          <w:color w:val="000000"/>
        </w:rPr>
      </w:pPr>
      <w:bookmarkStart w:id="67" w:name="_Toc15396620"/>
      <w:bookmarkStart w:id="68" w:name="_Toc27106"/>
      <w:r>
        <w:rPr>
          <w:rFonts w:hint="eastAsia" w:ascii="仿宋" w:hAnsi="仿宋" w:eastAsia="仿宋"/>
          <w:b w:val="0"/>
          <w:color w:val="000000"/>
        </w:rPr>
        <w:t>二、收</w:t>
      </w:r>
      <w:r>
        <w:rPr>
          <w:rStyle w:val="15"/>
          <w:rFonts w:hint="eastAsia" w:ascii="仿宋" w:hAnsi="仿宋" w:eastAsia="仿宋"/>
          <w:b w:val="0"/>
          <w:bCs w:val="0"/>
        </w:rPr>
        <w:t>入决算表</w:t>
      </w:r>
      <w:bookmarkEnd w:id="67"/>
      <w:bookmarkEnd w:id="68"/>
    </w:p>
    <w:p>
      <w:pPr>
        <w:pStyle w:val="4"/>
        <w:rPr>
          <w:rFonts w:ascii="仿宋" w:hAnsi="仿宋" w:eastAsia="仿宋"/>
          <w:color w:val="000000"/>
        </w:rPr>
      </w:pPr>
      <w:bookmarkStart w:id="69" w:name="_Toc26817"/>
      <w:bookmarkStart w:id="70" w:name="_Toc15396621"/>
      <w:r>
        <w:rPr>
          <w:rStyle w:val="15"/>
          <w:rFonts w:hint="eastAsia" w:ascii="仿宋" w:hAnsi="仿宋" w:eastAsia="仿宋"/>
          <w:b w:val="0"/>
          <w:bCs w:val="0"/>
        </w:rPr>
        <w:t>三、</w:t>
      </w:r>
      <w:r>
        <w:rPr>
          <w:rFonts w:hint="eastAsia" w:ascii="仿宋" w:hAnsi="仿宋" w:eastAsia="仿宋"/>
          <w:b w:val="0"/>
          <w:color w:val="000000"/>
        </w:rPr>
        <w:t>支</w:t>
      </w:r>
      <w:r>
        <w:rPr>
          <w:rStyle w:val="15"/>
          <w:rFonts w:hint="eastAsia" w:ascii="仿宋" w:hAnsi="仿宋" w:eastAsia="仿宋"/>
          <w:b w:val="0"/>
          <w:bCs w:val="0"/>
        </w:rPr>
        <w:t>出决算表</w:t>
      </w:r>
      <w:bookmarkEnd w:id="69"/>
      <w:bookmarkEnd w:id="70"/>
    </w:p>
    <w:p>
      <w:pPr>
        <w:pStyle w:val="4"/>
        <w:rPr>
          <w:rFonts w:ascii="仿宋" w:hAnsi="仿宋" w:eastAsia="仿宋"/>
          <w:b w:val="0"/>
          <w:color w:val="000000"/>
        </w:rPr>
      </w:pPr>
      <w:bookmarkStart w:id="71" w:name="_Toc15396622"/>
      <w:bookmarkStart w:id="72" w:name="_Toc21747"/>
      <w:r>
        <w:rPr>
          <w:rStyle w:val="15"/>
          <w:rFonts w:hint="eastAsia" w:ascii="仿宋" w:hAnsi="仿宋" w:eastAsia="仿宋"/>
          <w:b w:val="0"/>
          <w:bCs w:val="0"/>
        </w:rPr>
        <w:t>四、</w:t>
      </w:r>
      <w:r>
        <w:rPr>
          <w:rFonts w:hint="eastAsia" w:ascii="仿宋" w:hAnsi="仿宋" w:eastAsia="仿宋"/>
          <w:b w:val="0"/>
          <w:color w:val="000000"/>
        </w:rPr>
        <w:t>财</w:t>
      </w:r>
      <w:r>
        <w:rPr>
          <w:rStyle w:val="15"/>
          <w:rFonts w:hint="eastAsia" w:ascii="仿宋" w:hAnsi="仿宋" w:eastAsia="仿宋"/>
          <w:b w:val="0"/>
          <w:bCs w:val="0"/>
        </w:rPr>
        <w:t>政拨款收入支出决算总表</w:t>
      </w:r>
      <w:bookmarkEnd w:id="71"/>
      <w:bookmarkEnd w:id="72"/>
    </w:p>
    <w:p>
      <w:pPr>
        <w:pStyle w:val="4"/>
        <w:rPr>
          <w:rStyle w:val="15"/>
          <w:rFonts w:ascii="仿宋" w:hAnsi="仿宋" w:eastAsia="仿宋"/>
          <w:b w:val="0"/>
          <w:bCs w:val="0"/>
        </w:rPr>
      </w:pPr>
      <w:bookmarkStart w:id="73" w:name="_Toc15396623"/>
      <w:bookmarkStart w:id="74" w:name="_Toc12959"/>
      <w:r>
        <w:rPr>
          <w:rStyle w:val="15"/>
          <w:rFonts w:hint="eastAsia" w:ascii="仿宋" w:hAnsi="仿宋" w:eastAsia="仿宋"/>
          <w:b w:val="0"/>
          <w:bCs w:val="0"/>
        </w:rPr>
        <w:t>五、</w:t>
      </w:r>
      <w:r>
        <w:rPr>
          <w:rFonts w:hint="eastAsia" w:ascii="仿宋" w:hAnsi="仿宋" w:eastAsia="仿宋"/>
          <w:b w:val="0"/>
          <w:color w:val="000000"/>
        </w:rPr>
        <w:t>财</w:t>
      </w:r>
      <w:r>
        <w:rPr>
          <w:rStyle w:val="15"/>
          <w:rFonts w:hint="eastAsia" w:ascii="仿宋" w:hAnsi="仿宋" w:eastAsia="仿宋"/>
          <w:b w:val="0"/>
          <w:bCs w:val="0"/>
        </w:rPr>
        <w:t>政拨款支出决算明细表</w:t>
      </w:r>
      <w:bookmarkEnd w:id="73"/>
      <w:bookmarkEnd w:id="74"/>
      <w:bookmarkStart w:id="75" w:name="_Toc15396624"/>
    </w:p>
    <w:p>
      <w:pPr>
        <w:pStyle w:val="4"/>
        <w:rPr>
          <w:rFonts w:ascii="仿宋" w:hAnsi="仿宋" w:eastAsia="仿宋"/>
          <w:color w:val="000000"/>
        </w:rPr>
      </w:pPr>
      <w:bookmarkStart w:id="76" w:name="_Toc23749"/>
      <w:r>
        <w:rPr>
          <w:rStyle w:val="15"/>
          <w:rFonts w:hint="eastAsia" w:ascii="仿宋" w:hAnsi="仿宋" w:eastAsia="仿宋"/>
          <w:b w:val="0"/>
          <w:bCs w:val="0"/>
        </w:rPr>
        <w:t>六、</w:t>
      </w:r>
      <w:r>
        <w:rPr>
          <w:rFonts w:hint="eastAsia" w:ascii="仿宋" w:hAnsi="仿宋" w:eastAsia="仿宋"/>
          <w:b w:val="0"/>
          <w:color w:val="000000"/>
        </w:rPr>
        <w:t>一</w:t>
      </w:r>
      <w:r>
        <w:rPr>
          <w:rStyle w:val="15"/>
          <w:rFonts w:hint="eastAsia" w:ascii="仿宋" w:hAnsi="仿宋" w:eastAsia="仿宋"/>
          <w:b w:val="0"/>
          <w:bCs w:val="0"/>
        </w:rPr>
        <w:t>般公共预算财政拨款支出决算表</w:t>
      </w:r>
      <w:bookmarkEnd w:id="75"/>
      <w:bookmarkEnd w:id="76"/>
    </w:p>
    <w:p>
      <w:pPr>
        <w:pStyle w:val="4"/>
        <w:rPr>
          <w:rFonts w:ascii="仿宋" w:hAnsi="仿宋" w:eastAsia="仿宋"/>
          <w:color w:val="000000"/>
        </w:rPr>
      </w:pPr>
      <w:bookmarkStart w:id="77" w:name="_Toc22275"/>
      <w:bookmarkStart w:id="78" w:name="_Toc15396625"/>
      <w:r>
        <w:rPr>
          <w:rStyle w:val="15"/>
          <w:rFonts w:hint="eastAsia" w:ascii="仿宋" w:hAnsi="仿宋" w:eastAsia="仿宋"/>
          <w:b w:val="0"/>
          <w:bCs w:val="0"/>
        </w:rPr>
        <w:t>七、</w:t>
      </w:r>
      <w:r>
        <w:rPr>
          <w:rFonts w:hint="eastAsia" w:ascii="仿宋" w:hAnsi="仿宋" w:eastAsia="仿宋"/>
          <w:b w:val="0"/>
          <w:color w:val="000000"/>
        </w:rPr>
        <w:t>一</w:t>
      </w:r>
      <w:r>
        <w:rPr>
          <w:rStyle w:val="15"/>
          <w:rFonts w:hint="eastAsia" w:ascii="仿宋" w:hAnsi="仿宋" w:eastAsia="仿宋"/>
          <w:b w:val="0"/>
          <w:bCs w:val="0"/>
        </w:rPr>
        <w:t>般公共预算财政拨款支出决算明细表</w:t>
      </w:r>
      <w:bookmarkEnd w:id="77"/>
      <w:bookmarkEnd w:id="78"/>
    </w:p>
    <w:p>
      <w:pPr>
        <w:pStyle w:val="4"/>
        <w:rPr>
          <w:rFonts w:ascii="仿宋" w:hAnsi="仿宋" w:eastAsia="仿宋"/>
          <w:color w:val="000000"/>
        </w:rPr>
      </w:pPr>
      <w:bookmarkStart w:id="79" w:name="_Toc15396626"/>
      <w:bookmarkStart w:id="80" w:name="_Toc30634"/>
      <w:r>
        <w:rPr>
          <w:rStyle w:val="15"/>
          <w:rFonts w:hint="eastAsia" w:ascii="仿宋" w:hAnsi="仿宋" w:eastAsia="仿宋"/>
          <w:b w:val="0"/>
          <w:bCs w:val="0"/>
        </w:rPr>
        <w:t>八、</w:t>
      </w:r>
      <w:r>
        <w:rPr>
          <w:rFonts w:hint="eastAsia" w:ascii="仿宋" w:hAnsi="仿宋" w:eastAsia="仿宋"/>
          <w:b w:val="0"/>
          <w:color w:val="000000"/>
        </w:rPr>
        <w:t>一</w:t>
      </w:r>
      <w:r>
        <w:rPr>
          <w:rStyle w:val="15"/>
          <w:rFonts w:hint="eastAsia" w:ascii="仿宋" w:hAnsi="仿宋" w:eastAsia="仿宋"/>
          <w:b w:val="0"/>
          <w:bCs w:val="0"/>
        </w:rPr>
        <w:t>般公共预算财政拨款基本支出决算表</w:t>
      </w:r>
      <w:bookmarkEnd w:id="79"/>
      <w:bookmarkEnd w:id="80"/>
    </w:p>
    <w:p>
      <w:pPr>
        <w:pStyle w:val="4"/>
        <w:rPr>
          <w:rFonts w:ascii="仿宋" w:hAnsi="仿宋" w:eastAsia="仿宋"/>
          <w:color w:val="000000"/>
        </w:rPr>
      </w:pPr>
      <w:bookmarkStart w:id="81" w:name="_Toc15396627"/>
      <w:bookmarkStart w:id="82" w:name="_Toc15170"/>
      <w:r>
        <w:rPr>
          <w:rStyle w:val="15"/>
          <w:rFonts w:hint="eastAsia" w:ascii="仿宋" w:hAnsi="仿宋" w:eastAsia="仿宋"/>
          <w:b w:val="0"/>
          <w:bCs w:val="0"/>
        </w:rPr>
        <w:t>九、</w:t>
      </w:r>
      <w:r>
        <w:rPr>
          <w:rFonts w:hint="eastAsia" w:ascii="仿宋" w:hAnsi="仿宋" w:eastAsia="仿宋"/>
          <w:b w:val="0"/>
          <w:color w:val="000000"/>
        </w:rPr>
        <w:t>一</w:t>
      </w:r>
      <w:r>
        <w:rPr>
          <w:rStyle w:val="15"/>
          <w:rFonts w:hint="eastAsia" w:ascii="仿宋" w:hAnsi="仿宋" w:eastAsia="仿宋"/>
          <w:b w:val="0"/>
          <w:bCs w:val="0"/>
        </w:rPr>
        <w:t>般公共预算财政拨款项目支出决算表</w:t>
      </w:r>
      <w:bookmarkEnd w:id="81"/>
      <w:bookmarkEnd w:id="82"/>
    </w:p>
    <w:p>
      <w:pPr>
        <w:pStyle w:val="4"/>
        <w:spacing w:line="360" w:lineRule="auto"/>
        <w:rPr>
          <w:rFonts w:ascii="仿宋" w:hAnsi="仿宋" w:eastAsia="仿宋"/>
          <w:color w:val="000000"/>
        </w:rPr>
      </w:pPr>
      <w:bookmarkStart w:id="83" w:name="_Toc17603"/>
      <w:bookmarkStart w:id="84" w:name="_Toc15396628"/>
      <w:r>
        <w:rPr>
          <w:rStyle w:val="15"/>
          <w:rFonts w:hint="eastAsia" w:ascii="仿宋" w:hAnsi="仿宋" w:eastAsia="仿宋"/>
          <w:b w:val="0"/>
          <w:bCs w:val="0"/>
        </w:rPr>
        <w:t>十、</w:t>
      </w:r>
      <w:r>
        <w:rPr>
          <w:rFonts w:hint="eastAsia" w:ascii="仿宋" w:hAnsi="仿宋" w:eastAsia="仿宋"/>
          <w:b w:val="0"/>
          <w:color w:val="000000"/>
        </w:rPr>
        <w:t>一</w:t>
      </w:r>
      <w:r>
        <w:rPr>
          <w:rStyle w:val="15"/>
          <w:rFonts w:hint="eastAsia" w:ascii="仿宋" w:hAnsi="仿宋" w:eastAsia="仿宋"/>
          <w:b w:val="0"/>
          <w:bCs w:val="0"/>
        </w:rPr>
        <w:t>般公共预算财政拨款“三公”经费支出决算表</w:t>
      </w:r>
      <w:bookmarkEnd w:id="83"/>
      <w:bookmarkEnd w:id="84"/>
    </w:p>
    <w:p>
      <w:pPr>
        <w:pStyle w:val="4"/>
        <w:spacing w:line="360" w:lineRule="auto"/>
        <w:rPr>
          <w:rFonts w:ascii="仿宋" w:hAnsi="仿宋" w:eastAsia="仿宋"/>
          <w:color w:val="000000"/>
        </w:rPr>
      </w:pPr>
      <w:bookmarkStart w:id="85" w:name="_Toc15396629"/>
      <w:bookmarkStart w:id="86" w:name="_Toc7313"/>
      <w:r>
        <w:rPr>
          <w:rStyle w:val="15"/>
          <w:rFonts w:hint="eastAsia" w:ascii="仿宋" w:hAnsi="仿宋" w:eastAsia="仿宋"/>
          <w:b w:val="0"/>
          <w:bCs w:val="0"/>
        </w:rPr>
        <w:t>十一、</w:t>
      </w:r>
      <w:r>
        <w:rPr>
          <w:rFonts w:hint="eastAsia" w:ascii="仿宋" w:hAnsi="仿宋" w:eastAsia="仿宋"/>
          <w:b w:val="0"/>
          <w:color w:val="000000"/>
        </w:rPr>
        <w:t>政</w:t>
      </w:r>
      <w:r>
        <w:rPr>
          <w:rStyle w:val="15"/>
          <w:rFonts w:hint="eastAsia" w:ascii="仿宋" w:hAnsi="仿宋" w:eastAsia="仿宋"/>
          <w:b w:val="0"/>
          <w:bCs w:val="0"/>
        </w:rPr>
        <w:t>府性基金预算财政拨款收入支出决算表</w:t>
      </w:r>
      <w:bookmarkEnd w:id="85"/>
      <w:bookmarkEnd w:id="86"/>
    </w:p>
    <w:p>
      <w:pPr>
        <w:pStyle w:val="4"/>
        <w:rPr>
          <w:rFonts w:hint="eastAsia" w:ascii="仿宋" w:hAnsi="仿宋" w:eastAsia="仿宋"/>
          <w:b w:val="0"/>
          <w:color w:val="000000"/>
        </w:rPr>
      </w:pPr>
      <w:bookmarkStart w:id="87" w:name="_Toc9382"/>
      <w:bookmarkStart w:id="88" w:name="_Toc15396630"/>
      <w:r>
        <w:rPr>
          <w:rFonts w:hint="eastAsia" w:ascii="仿宋" w:hAnsi="仿宋" w:eastAsia="仿宋"/>
          <w:b w:val="0"/>
          <w:color w:val="000000"/>
        </w:rPr>
        <w:t>十二、政府性基金预算财政拨款“三公”经费支出决算表</w:t>
      </w:r>
      <w:bookmarkEnd w:id="87"/>
      <w:bookmarkEnd w:id="88"/>
    </w:p>
    <w:p>
      <w:pPr>
        <w:pStyle w:val="4"/>
        <w:rPr>
          <w:rFonts w:hint="eastAsia" w:ascii="仿宋" w:hAnsi="仿宋" w:eastAsia="仿宋"/>
          <w:b w:val="0"/>
          <w:color w:val="000000"/>
        </w:rPr>
      </w:pPr>
      <w:bookmarkStart w:id="89" w:name="_Toc22683"/>
      <w:r>
        <w:rPr>
          <w:rFonts w:hint="eastAsia" w:ascii="仿宋" w:hAnsi="仿宋" w:eastAsia="仿宋"/>
          <w:b w:val="0"/>
          <w:color w:val="000000"/>
        </w:rPr>
        <w:t>十三、国有资本经营预算财政拨款收入支出决算表</w:t>
      </w:r>
      <w:bookmarkEnd w:id="89"/>
    </w:p>
    <w:p>
      <w:pPr>
        <w:pStyle w:val="4"/>
        <w:rPr>
          <w:rFonts w:hint="eastAsia" w:ascii="仿宋" w:hAnsi="仿宋" w:eastAsia="仿宋"/>
          <w:b w:val="0"/>
          <w:color w:val="000000"/>
        </w:rPr>
      </w:pPr>
      <w:bookmarkStart w:id="90" w:name="_Toc10257"/>
      <w:r>
        <w:rPr>
          <w:rFonts w:hint="eastAsia" w:ascii="仿宋" w:hAnsi="仿宋" w:eastAsia="仿宋"/>
          <w:b w:val="0"/>
          <w:color w:val="000000"/>
        </w:rPr>
        <w:t>十四、国有资本经营预算财政拨款支出决算表</w:t>
      </w:r>
      <w:bookmarkEnd w:id="9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简体">
    <w:altName w:val="宋体-方正超大字符集"/>
    <w:panose1 w:val="03000509000000000000"/>
    <w:charset w:val="86"/>
    <w:family w:val="script"/>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C47DF3"/>
    <w:multiLevelType w:val="singleLevel"/>
    <w:tmpl w:val="97C47DF3"/>
    <w:lvl w:ilvl="0" w:tentative="0">
      <w:start w:val="2"/>
      <w:numFmt w:val="chineseCounting"/>
      <w:suff w:val="nothing"/>
      <w:lvlText w:val="（%1）"/>
      <w:lvlJc w:val="left"/>
      <w:rPr>
        <w:rFonts w:hint="eastAsia"/>
      </w:rPr>
    </w:lvl>
  </w:abstractNum>
  <w:abstractNum w:abstractNumId="1">
    <w:nsid w:val="BE51ADA7"/>
    <w:multiLevelType w:val="singleLevel"/>
    <w:tmpl w:val="BE51ADA7"/>
    <w:lvl w:ilvl="0" w:tentative="0">
      <w:start w:val="1"/>
      <w:numFmt w:val="decimal"/>
      <w:lvlText w:val="%1."/>
      <w:lvlJc w:val="left"/>
      <w:pPr>
        <w:tabs>
          <w:tab w:val="left" w:pos="312"/>
        </w:tabs>
      </w:pPr>
    </w:lvl>
  </w:abstractNum>
  <w:abstractNum w:abstractNumId="2">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3">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4">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5">
    <w:nsid w:val="7D379676"/>
    <w:multiLevelType w:val="singleLevel"/>
    <w:tmpl w:val="7D379676"/>
    <w:lvl w:ilvl="0" w:tentative="0">
      <w:start w:val="2"/>
      <w:numFmt w:val="chineseCounting"/>
      <w:suff w:val="nothing"/>
      <w:lvlText w:val="（%1）"/>
      <w:lvlJc w:val="left"/>
      <w:rPr>
        <w:rFonts w:hint="eastAsia"/>
      </w:r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0957DC9"/>
    <w:rsid w:val="010E21A9"/>
    <w:rsid w:val="016F4865"/>
    <w:rsid w:val="01E0560A"/>
    <w:rsid w:val="021C7D04"/>
    <w:rsid w:val="021F6D07"/>
    <w:rsid w:val="022870B3"/>
    <w:rsid w:val="03123DCA"/>
    <w:rsid w:val="03C83692"/>
    <w:rsid w:val="03EB0DF5"/>
    <w:rsid w:val="042A3930"/>
    <w:rsid w:val="043607A6"/>
    <w:rsid w:val="04424B61"/>
    <w:rsid w:val="047363A5"/>
    <w:rsid w:val="04831458"/>
    <w:rsid w:val="049350BE"/>
    <w:rsid w:val="0497070E"/>
    <w:rsid w:val="04DF6350"/>
    <w:rsid w:val="05AE70B8"/>
    <w:rsid w:val="05B178CA"/>
    <w:rsid w:val="05F874BD"/>
    <w:rsid w:val="061C449D"/>
    <w:rsid w:val="061E5082"/>
    <w:rsid w:val="06437449"/>
    <w:rsid w:val="06A922BE"/>
    <w:rsid w:val="06D96529"/>
    <w:rsid w:val="07093127"/>
    <w:rsid w:val="07201657"/>
    <w:rsid w:val="073F24CB"/>
    <w:rsid w:val="082D4DAD"/>
    <w:rsid w:val="08E40841"/>
    <w:rsid w:val="08FA2421"/>
    <w:rsid w:val="094742E3"/>
    <w:rsid w:val="097D026F"/>
    <w:rsid w:val="09896F84"/>
    <w:rsid w:val="09F67718"/>
    <w:rsid w:val="0A0A54D2"/>
    <w:rsid w:val="0B395DE8"/>
    <w:rsid w:val="0B4933B7"/>
    <w:rsid w:val="0BB818BD"/>
    <w:rsid w:val="0BE55F21"/>
    <w:rsid w:val="0BFC122A"/>
    <w:rsid w:val="0C4D161B"/>
    <w:rsid w:val="0C581137"/>
    <w:rsid w:val="0C695EB7"/>
    <w:rsid w:val="0C703544"/>
    <w:rsid w:val="0C95774A"/>
    <w:rsid w:val="0CD648D5"/>
    <w:rsid w:val="0CDD1E6A"/>
    <w:rsid w:val="0D692F46"/>
    <w:rsid w:val="0D6F3FA4"/>
    <w:rsid w:val="0D7C09F1"/>
    <w:rsid w:val="0D890DFC"/>
    <w:rsid w:val="0DAC4290"/>
    <w:rsid w:val="0DC13A32"/>
    <w:rsid w:val="0DF62AB4"/>
    <w:rsid w:val="0E0A5296"/>
    <w:rsid w:val="0E1F7316"/>
    <w:rsid w:val="0EC846BF"/>
    <w:rsid w:val="0EE574E2"/>
    <w:rsid w:val="0EE80EF3"/>
    <w:rsid w:val="0F3D13EE"/>
    <w:rsid w:val="0F4E1CE6"/>
    <w:rsid w:val="0FAE4B13"/>
    <w:rsid w:val="0FCC731B"/>
    <w:rsid w:val="0FD928F7"/>
    <w:rsid w:val="0FF37A93"/>
    <w:rsid w:val="0FFC226D"/>
    <w:rsid w:val="10150A92"/>
    <w:rsid w:val="10561B5F"/>
    <w:rsid w:val="1087295C"/>
    <w:rsid w:val="10ED245F"/>
    <w:rsid w:val="1175326E"/>
    <w:rsid w:val="118A6058"/>
    <w:rsid w:val="122672C7"/>
    <w:rsid w:val="12385E97"/>
    <w:rsid w:val="12B847D8"/>
    <w:rsid w:val="131719AF"/>
    <w:rsid w:val="131E0E99"/>
    <w:rsid w:val="13A02FF3"/>
    <w:rsid w:val="13A85092"/>
    <w:rsid w:val="13B052FA"/>
    <w:rsid w:val="13C41DF2"/>
    <w:rsid w:val="140E1CAA"/>
    <w:rsid w:val="1449590A"/>
    <w:rsid w:val="14D128DC"/>
    <w:rsid w:val="15585F9D"/>
    <w:rsid w:val="155A7041"/>
    <w:rsid w:val="157E7A9B"/>
    <w:rsid w:val="15857909"/>
    <w:rsid w:val="158C3C80"/>
    <w:rsid w:val="15AB5A95"/>
    <w:rsid w:val="15E65287"/>
    <w:rsid w:val="16116EC1"/>
    <w:rsid w:val="165C5B71"/>
    <w:rsid w:val="167B7D2C"/>
    <w:rsid w:val="169C5515"/>
    <w:rsid w:val="16A645B9"/>
    <w:rsid w:val="16AC06C3"/>
    <w:rsid w:val="178527C4"/>
    <w:rsid w:val="1791776C"/>
    <w:rsid w:val="17CE5AE1"/>
    <w:rsid w:val="17FB63D0"/>
    <w:rsid w:val="180460FA"/>
    <w:rsid w:val="180C2A05"/>
    <w:rsid w:val="18181E30"/>
    <w:rsid w:val="182F284B"/>
    <w:rsid w:val="1866791E"/>
    <w:rsid w:val="1874671F"/>
    <w:rsid w:val="18A95E0B"/>
    <w:rsid w:val="18CC45CC"/>
    <w:rsid w:val="18D34D38"/>
    <w:rsid w:val="191B2D13"/>
    <w:rsid w:val="19324403"/>
    <w:rsid w:val="19C7112E"/>
    <w:rsid w:val="1A8159F9"/>
    <w:rsid w:val="1ACD168C"/>
    <w:rsid w:val="1BA023C3"/>
    <w:rsid w:val="1BD733F8"/>
    <w:rsid w:val="1CA754EB"/>
    <w:rsid w:val="1CE24642"/>
    <w:rsid w:val="1D33169F"/>
    <w:rsid w:val="1D6F6BEA"/>
    <w:rsid w:val="1E034783"/>
    <w:rsid w:val="1E52579F"/>
    <w:rsid w:val="1EBF1D13"/>
    <w:rsid w:val="1ED47E73"/>
    <w:rsid w:val="1F0D1438"/>
    <w:rsid w:val="1F12134A"/>
    <w:rsid w:val="1F221C0F"/>
    <w:rsid w:val="1F762B0C"/>
    <w:rsid w:val="1F8970A9"/>
    <w:rsid w:val="1FED7497"/>
    <w:rsid w:val="20274615"/>
    <w:rsid w:val="20965CA9"/>
    <w:rsid w:val="2125341B"/>
    <w:rsid w:val="2185262B"/>
    <w:rsid w:val="21BE2CC2"/>
    <w:rsid w:val="21C84979"/>
    <w:rsid w:val="21DD3A71"/>
    <w:rsid w:val="21FD20E6"/>
    <w:rsid w:val="221D6C29"/>
    <w:rsid w:val="2249757B"/>
    <w:rsid w:val="22CD0A7E"/>
    <w:rsid w:val="22D15835"/>
    <w:rsid w:val="236C1894"/>
    <w:rsid w:val="23B71E83"/>
    <w:rsid w:val="23BB4F5B"/>
    <w:rsid w:val="23C12D63"/>
    <w:rsid w:val="23CE7DE5"/>
    <w:rsid w:val="247E7EAB"/>
    <w:rsid w:val="2496271B"/>
    <w:rsid w:val="24BB526F"/>
    <w:rsid w:val="25164092"/>
    <w:rsid w:val="25657DA2"/>
    <w:rsid w:val="25AD6589"/>
    <w:rsid w:val="25D81423"/>
    <w:rsid w:val="260F5BB1"/>
    <w:rsid w:val="26155D33"/>
    <w:rsid w:val="27344056"/>
    <w:rsid w:val="279A15D5"/>
    <w:rsid w:val="279F649D"/>
    <w:rsid w:val="27E95734"/>
    <w:rsid w:val="285F7A7A"/>
    <w:rsid w:val="28631919"/>
    <w:rsid w:val="28750A8B"/>
    <w:rsid w:val="28B229AD"/>
    <w:rsid w:val="290C24A9"/>
    <w:rsid w:val="297027E2"/>
    <w:rsid w:val="29782579"/>
    <w:rsid w:val="29E55157"/>
    <w:rsid w:val="2A5D3BE1"/>
    <w:rsid w:val="2A8867C7"/>
    <w:rsid w:val="2A8A2314"/>
    <w:rsid w:val="2AB93E46"/>
    <w:rsid w:val="2AC01553"/>
    <w:rsid w:val="2AC65C17"/>
    <w:rsid w:val="2B1C6C8D"/>
    <w:rsid w:val="2B883EA5"/>
    <w:rsid w:val="2B983D97"/>
    <w:rsid w:val="2BEF7B64"/>
    <w:rsid w:val="2C0048E3"/>
    <w:rsid w:val="2C0A1E32"/>
    <w:rsid w:val="2C167338"/>
    <w:rsid w:val="2C1E4773"/>
    <w:rsid w:val="2C272EFA"/>
    <w:rsid w:val="2C320875"/>
    <w:rsid w:val="2C3C7379"/>
    <w:rsid w:val="2C7B3D4C"/>
    <w:rsid w:val="2D3E1CE1"/>
    <w:rsid w:val="2D432291"/>
    <w:rsid w:val="2D931D86"/>
    <w:rsid w:val="2DAC1005"/>
    <w:rsid w:val="2DAF5B17"/>
    <w:rsid w:val="2DB06386"/>
    <w:rsid w:val="2E345E0C"/>
    <w:rsid w:val="2E5D5676"/>
    <w:rsid w:val="2E78598E"/>
    <w:rsid w:val="2E866CDF"/>
    <w:rsid w:val="2E903684"/>
    <w:rsid w:val="2ECD6DB3"/>
    <w:rsid w:val="2EF76E60"/>
    <w:rsid w:val="2F2C070C"/>
    <w:rsid w:val="2FB6035F"/>
    <w:rsid w:val="2FFF6EAB"/>
    <w:rsid w:val="305D27C7"/>
    <w:rsid w:val="30957E2F"/>
    <w:rsid w:val="30B55277"/>
    <w:rsid w:val="30D775C2"/>
    <w:rsid w:val="30E32EBC"/>
    <w:rsid w:val="314F4DA8"/>
    <w:rsid w:val="31527A93"/>
    <w:rsid w:val="31BC674F"/>
    <w:rsid w:val="31BE08E2"/>
    <w:rsid w:val="31C915E2"/>
    <w:rsid w:val="31DA0876"/>
    <w:rsid w:val="32B60C4A"/>
    <w:rsid w:val="32E44CB8"/>
    <w:rsid w:val="332A7AAF"/>
    <w:rsid w:val="33F702EF"/>
    <w:rsid w:val="351246BB"/>
    <w:rsid w:val="35753BB3"/>
    <w:rsid w:val="35EA2340"/>
    <w:rsid w:val="364A3629"/>
    <w:rsid w:val="36D85EF1"/>
    <w:rsid w:val="36F73855"/>
    <w:rsid w:val="377C6B9B"/>
    <w:rsid w:val="37A648FF"/>
    <w:rsid w:val="37B0716C"/>
    <w:rsid w:val="37B6017D"/>
    <w:rsid w:val="38064B3F"/>
    <w:rsid w:val="381F6485"/>
    <w:rsid w:val="383A2D25"/>
    <w:rsid w:val="389347AD"/>
    <w:rsid w:val="38B55707"/>
    <w:rsid w:val="38DB1F8D"/>
    <w:rsid w:val="38F02330"/>
    <w:rsid w:val="392D0AA0"/>
    <w:rsid w:val="39534E42"/>
    <w:rsid w:val="397C7BBA"/>
    <w:rsid w:val="39AB79E5"/>
    <w:rsid w:val="39D60008"/>
    <w:rsid w:val="3A0C0C70"/>
    <w:rsid w:val="3A1B3D31"/>
    <w:rsid w:val="3A697EBC"/>
    <w:rsid w:val="3A7B4365"/>
    <w:rsid w:val="3A9C27DE"/>
    <w:rsid w:val="3AB97A9C"/>
    <w:rsid w:val="3AE12CF5"/>
    <w:rsid w:val="3AEA0289"/>
    <w:rsid w:val="3AEC5304"/>
    <w:rsid w:val="3B2379C5"/>
    <w:rsid w:val="3B307F69"/>
    <w:rsid w:val="3B413306"/>
    <w:rsid w:val="3B7611EA"/>
    <w:rsid w:val="3B774263"/>
    <w:rsid w:val="3B776C8F"/>
    <w:rsid w:val="3BE12398"/>
    <w:rsid w:val="3C4B7AC5"/>
    <w:rsid w:val="3CB63928"/>
    <w:rsid w:val="3CE2440F"/>
    <w:rsid w:val="3CE25C14"/>
    <w:rsid w:val="3D1C3FFB"/>
    <w:rsid w:val="3D66173F"/>
    <w:rsid w:val="3D9560AC"/>
    <w:rsid w:val="3DEF3C82"/>
    <w:rsid w:val="3E4169FF"/>
    <w:rsid w:val="3ED46C4C"/>
    <w:rsid w:val="3F0142D8"/>
    <w:rsid w:val="3F66390C"/>
    <w:rsid w:val="3FF657A7"/>
    <w:rsid w:val="40203827"/>
    <w:rsid w:val="406B2553"/>
    <w:rsid w:val="406F404D"/>
    <w:rsid w:val="40754F54"/>
    <w:rsid w:val="40924C94"/>
    <w:rsid w:val="41900B56"/>
    <w:rsid w:val="41E823B4"/>
    <w:rsid w:val="4214210F"/>
    <w:rsid w:val="4245239D"/>
    <w:rsid w:val="427C7AA8"/>
    <w:rsid w:val="42892416"/>
    <w:rsid w:val="43180865"/>
    <w:rsid w:val="435C5DDB"/>
    <w:rsid w:val="438B65C2"/>
    <w:rsid w:val="43A575E9"/>
    <w:rsid w:val="441C4937"/>
    <w:rsid w:val="446C24ED"/>
    <w:rsid w:val="44D202D8"/>
    <w:rsid w:val="44D807A7"/>
    <w:rsid w:val="450117B8"/>
    <w:rsid w:val="4502293C"/>
    <w:rsid w:val="453D3696"/>
    <w:rsid w:val="45483AC2"/>
    <w:rsid w:val="454D091C"/>
    <w:rsid w:val="456A4DC4"/>
    <w:rsid w:val="457F4C5A"/>
    <w:rsid w:val="45D75A5F"/>
    <w:rsid w:val="45FC47AC"/>
    <w:rsid w:val="461B746E"/>
    <w:rsid w:val="467408D3"/>
    <w:rsid w:val="479B208E"/>
    <w:rsid w:val="480815D7"/>
    <w:rsid w:val="481E22A4"/>
    <w:rsid w:val="483305BD"/>
    <w:rsid w:val="483F03E4"/>
    <w:rsid w:val="488062EC"/>
    <w:rsid w:val="488D4C37"/>
    <w:rsid w:val="48ED5A2F"/>
    <w:rsid w:val="49791A14"/>
    <w:rsid w:val="49892E48"/>
    <w:rsid w:val="498930A2"/>
    <w:rsid w:val="498B1645"/>
    <w:rsid w:val="49955684"/>
    <w:rsid w:val="49ED70DE"/>
    <w:rsid w:val="4A5C09FF"/>
    <w:rsid w:val="4A7751FF"/>
    <w:rsid w:val="4AD86F83"/>
    <w:rsid w:val="4ADB101D"/>
    <w:rsid w:val="4B512525"/>
    <w:rsid w:val="4B6B64DF"/>
    <w:rsid w:val="4C853749"/>
    <w:rsid w:val="4CB34B95"/>
    <w:rsid w:val="4D03555E"/>
    <w:rsid w:val="4D1C7E74"/>
    <w:rsid w:val="4D310E9F"/>
    <w:rsid w:val="4D5250B0"/>
    <w:rsid w:val="4D561CE9"/>
    <w:rsid w:val="4D92310A"/>
    <w:rsid w:val="4E3431A6"/>
    <w:rsid w:val="4E3A4862"/>
    <w:rsid w:val="4E4E774B"/>
    <w:rsid w:val="4EE52C2A"/>
    <w:rsid w:val="4F0B5FF2"/>
    <w:rsid w:val="4F1556B7"/>
    <w:rsid w:val="4F37175C"/>
    <w:rsid w:val="4F48528E"/>
    <w:rsid w:val="4F521D31"/>
    <w:rsid w:val="4F550A47"/>
    <w:rsid w:val="4F9D4D3C"/>
    <w:rsid w:val="4FAE6D6A"/>
    <w:rsid w:val="502677EC"/>
    <w:rsid w:val="505D3FFA"/>
    <w:rsid w:val="50651148"/>
    <w:rsid w:val="5111582E"/>
    <w:rsid w:val="51487F5F"/>
    <w:rsid w:val="51D201C1"/>
    <w:rsid w:val="51F0444E"/>
    <w:rsid w:val="52233879"/>
    <w:rsid w:val="52576A86"/>
    <w:rsid w:val="5271173F"/>
    <w:rsid w:val="5289060B"/>
    <w:rsid w:val="52937E03"/>
    <w:rsid w:val="5298102F"/>
    <w:rsid w:val="53231607"/>
    <w:rsid w:val="53464253"/>
    <w:rsid w:val="5383325D"/>
    <w:rsid w:val="54C43CE4"/>
    <w:rsid w:val="54C54943"/>
    <w:rsid w:val="54E85C22"/>
    <w:rsid w:val="54F40DCA"/>
    <w:rsid w:val="552B6FDD"/>
    <w:rsid w:val="55374483"/>
    <w:rsid w:val="55673E5A"/>
    <w:rsid w:val="55D96418"/>
    <w:rsid w:val="56976D8A"/>
    <w:rsid w:val="56A92FB1"/>
    <w:rsid w:val="56AD160C"/>
    <w:rsid w:val="56C514D3"/>
    <w:rsid w:val="56D65A42"/>
    <w:rsid w:val="57104078"/>
    <w:rsid w:val="571B4E6C"/>
    <w:rsid w:val="585D7B99"/>
    <w:rsid w:val="58663B66"/>
    <w:rsid w:val="5867354A"/>
    <w:rsid w:val="58A60C1F"/>
    <w:rsid w:val="58BE4AB5"/>
    <w:rsid w:val="59461395"/>
    <w:rsid w:val="59723626"/>
    <w:rsid w:val="59A22CA4"/>
    <w:rsid w:val="5A5113EE"/>
    <w:rsid w:val="5A6B3243"/>
    <w:rsid w:val="5A734F19"/>
    <w:rsid w:val="5A9346FF"/>
    <w:rsid w:val="5ADD3D32"/>
    <w:rsid w:val="5AE45F1C"/>
    <w:rsid w:val="5AEC65EF"/>
    <w:rsid w:val="5B687E50"/>
    <w:rsid w:val="5B6F6AAE"/>
    <w:rsid w:val="5BCC2412"/>
    <w:rsid w:val="5BD03217"/>
    <w:rsid w:val="5BFF1079"/>
    <w:rsid w:val="5C364121"/>
    <w:rsid w:val="5CCC43EF"/>
    <w:rsid w:val="5D007DE8"/>
    <w:rsid w:val="5D2B2C34"/>
    <w:rsid w:val="5D3E75DF"/>
    <w:rsid w:val="5D6352E8"/>
    <w:rsid w:val="5D8865F0"/>
    <w:rsid w:val="5E012988"/>
    <w:rsid w:val="5E742712"/>
    <w:rsid w:val="5E8C6F40"/>
    <w:rsid w:val="5ED328A9"/>
    <w:rsid w:val="5EE57EA3"/>
    <w:rsid w:val="5EEA06A4"/>
    <w:rsid w:val="5F0875D7"/>
    <w:rsid w:val="5F4B0FC4"/>
    <w:rsid w:val="5F6678FF"/>
    <w:rsid w:val="5FA62522"/>
    <w:rsid w:val="5FED1460"/>
    <w:rsid w:val="5FF0580E"/>
    <w:rsid w:val="60026C70"/>
    <w:rsid w:val="60243288"/>
    <w:rsid w:val="6041329D"/>
    <w:rsid w:val="604D4C1B"/>
    <w:rsid w:val="61023DEA"/>
    <w:rsid w:val="610735A9"/>
    <w:rsid w:val="615D4773"/>
    <w:rsid w:val="61955DCB"/>
    <w:rsid w:val="61994546"/>
    <w:rsid w:val="61BC3673"/>
    <w:rsid w:val="61D46358"/>
    <w:rsid w:val="61E759FC"/>
    <w:rsid w:val="6235059D"/>
    <w:rsid w:val="624B6EB0"/>
    <w:rsid w:val="629E207C"/>
    <w:rsid w:val="63237924"/>
    <w:rsid w:val="63C931DD"/>
    <w:rsid w:val="63F92020"/>
    <w:rsid w:val="64157ABA"/>
    <w:rsid w:val="64891D0F"/>
    <w:rsid w:val="6494638B"/>
    <w:rsid w:val="6504078C"/>
    <w:rsid w:val="650E35E5"/>
    <w:rsid w:val="65104ADD"/>
    <w:rsid w:val="651C3F4F"/>
    <w:rsid w:val="6650643A"/>
    <w:rsid w:val="669B2D42"/>
    <w:rsid w:val="66EE1BF6"/>
    <w:rsid w:val="673A70AF"/>
    <w:rsid w:val="673D4466"/>
    <w:rsid w:val="674F7B50"/>
    <w:rsid w:val="675149B3"/>
    <w:rsid w:val="679F2557"/>
    <w:rsid w:val="67F26F07"/>
    <w:rsid w:val="680655DF"/>
    <w:rsid w:val="680A2E89"/>
    <w:rsid w:val="681638C8"/>
    <w:rsid w:val="685925D1"/>
    <w:rsid w:val="68686315"/>
    <w:rsid w:val="68D96477"/>
    <w:rsid w:val="6901055E"/>
    <w:rsid w:val="692A270A"/>
    <w:rsid w:val="695535AB"/>
    <w:rsid w:val="6A0E06A6"/>
    <w:rsid w:val="6A1E6AA7"/>
    <w:rsid w:val="6A1F1763"/>
    <w:rsid w:val="6A5034F1"/>
    <w:rsid w:val="6AC53299"/>
    <w:rsid w:val="6B250EDB"/>
    <w:rsid w:val="6B5463F9"/>
    <w:rsid w:val="6BA87A19"/>
    <w:rsid w:val="6BAF536B"/>
    <w:rsid w:val="6BCD3F52"/>
    <w:rsid w:val="6CE22BD4"/>
    <w:rsid w:val="6CF272CA"/>
    <w:rsid w:val="6D0A6ADB"/>
    <w:rsid w:val="6D7C4DB8"/>
    <w:rsid w:val="6DB716F4"/>
    <w:rsid w:val="6E0A0B74"/>
    <w:rsid w:val="6EDD3163"/>
    <w:rsid w:val="6F33788B"/>
    <w:rsid w:val="6F982B68"/>
    <w:rsid w:val="7012357F"/>
    <w:rsid w:val="70A44097"/>
    <w:rsid w:val="70AB3C1F"/>
    <w:rsid w:val="70F9378F"/>
    <w:rsid w:val="711E6AFD"/>
    <w:rsid w:val="71356121"/>
    <w:rsid w:val="7147388D"/>
    <w:rsid w:val="71A212BE"/>
    <w:rsid w:val="71B7404D"/>
    <w:rsid w:val="71BF485E"/>
    <w:rsid w:val="71C21841"/>
    <w:rsid w:val="724070D4"/>
    <w:rsid w:val="72443DBE"/>
    <w:rsid w:val="726E3979"/>
    <w:rsid w:val="727F2CE2"/>
    <w:rsid w:val="72B35C18"/>
    <w:rsid w:val="72FE44E2"/>
    <w:rsid w:val="730D464D"/>
    <w:rsid w:val="730E5DED"/>
    <w:rsid w:val="732475D7"/>
    <w:rsid w:val="73435804"/>
    <w:rsid w:val="73514D9A"/>
    <w:rsid w:val="735445DA"/>
    <w:rsid w:val="73722CFF"/>
    <w:rsid w:val="73B517C6"/>
    <w:rsid w:val="741F79DF"/>
    <w:rsid w:val="746111AE"/>
    <w:rsid w:val="746A3519"/>
    <w:rsid w:val="74866862"/>
    <w:rsid w:val="74D34AD3"/>
    <w:rsid w:val="750652FD"/>
    <w:rsid w:val="752554A1"/>
    <w:rsid w:val="75B11995"/>
    <w:rsid w:val="75CB77A1"/>
    <w:rsid w:val="76265512"/>
    <w:rsid w:val="76CE446C"/>
    <w:rsid w:val="76CE6228"/>
    <w:rsid w:val="77113BB3"/>
    <w:rsid w:val="775B39B0"/>
    <w:rsid w:val="776D2F24"/>
    <w:rsid w:val="77E64B5F"/>
    <w:rsid w:val="783D5F38"/>
    <w:rsid w:val="785E3CCE"/>
    <w:rsid w:val="78756CBD"/>
    <w:rsid w:val="787976DA"/>
    <w:rsid w:val="78EE7CAB"/>
    <w:rsid w:val="79057877"/>
    <w:rsid w:val="793A275E"/>
    <w:rsid w:val="794739D9"/>
    <w:rsid w:val="794A7A5B"/>
    <w:rsid w:val="79947AA3"/>
    <w:rsid w:val="79BF4D70"/>
    <w:rsid w:val="79E85CDC"/>
    <w:rsid w:val="79F77618"/>
    <w:rsid w:val="7A487043"/>
    <w:rsid w:val="7A537082"/>
    <w:rsid w:val="7A591070"/>
    <w:rsid w:val="7AA20EDB"/>
    <w:rsid w:val="7ACC261A"/>
    <w:rsid w:val="7B18592F"/>
    <w:rsid w:val="7B1F7596"/>
    <w:rsid w:val="7BA33E41"/>
    <w:rsid w:val="7BFD194E"/>
    <w:rsid w:val="7C0360D5"/>
    <w:rsid w:val="7C782880"/>
    <w:rsid w:val="7C8D7010"/>
    <w:rsid w:val="7C9B20DD"/>
    <w:rsid w:val="7CB678DA"/>
    <w:rsid w:val="7D0B4FF9"/>
    <w:rsid w:val="7D3138F8"/>
    <w:rsid w:val="7D613AC6"/>
    <w:rsid w:val="7DC7731C"/>
    <w:rsid w:val="7E121071"/>
    <w:rsid w:val="7E5A16F1"/>
    <w:rsid w:val="7E7E1937"/>
    <w:rsid w:val="7EEC4ACE"/>
    <w:rsid w:val="7F1001AF"/>
    <w:rsid w:val="7F38720D"/>
    <w:rsid w:val="7F463498"/>
    <w:rsid w:val="7F5F6593"/>
    <w:rsid w:val="7F604233"/>
    <w:rsid w:val="7F6130AD"/>
    <w:rsid w:val="7FAC461F"/>
    <w:rsid w:val="7FBF5C0A"/>
    <w:rsid w:val="7FC1290B"/>
    <w:rsid w:val="7FE15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Cambria" w:hAnsi="Cambria"/>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oc 5"/>
    <w:basedOn w:val="1"/>
    <w:next w:val="1"/>
    <w:unhideWhenUsed/>
    <w:qFormat/>
    <w:uiPriority w:val="39"/>
    <w:pPr>
      <w:ind w:left="1680" w:leftChars="800"/>
    </w:pPr>
    <w:rPr>
      <w:sz w:val="32"/>
      <w:szCs w:val="32"/>
    </w:rPr>
  </w:style>
  <w:style w:type="paragraph" w:styleId="5">
    <w:name w:val="Body Text"/>
    <w:basedOn w:val="1"/>
    <w:qFormat/>
    <w:uiPriority w:val="99"/>
    <w:pPr>
      <w:spacing w:beforeLines="30"/>
    </w:pPr>
    <w:rPr>
      <w:rFonts w:ascii="仿宋_GB2312" w:eastAsia="仿宋_GB2312"/>
      <w:kern w:val="0"/>
      <w:sz w:val="24"/>
      <w:szCs w:val="20"/>
    </w:rPr>
  </w:style>
  <w:style w:type="paragraph" w:styleId="6">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7">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8">
    <w:name w:val="toc 1"/>
    <w:basedOn w:val="1"/>
    <w:next w:val="1"/>
    <w:unhideWhenUsed/>
    <w:qFormat/>
    <w:uiPriority w:val="39"/>
    <w:pPr>
      <w:spacing w:before="120"/>
      <w:jc w:val="left"/>
    </w:pPr>
    <w:rPr>
      <w:rFonts w:ascii="等线" w:eastAsia="等线"/>
      <w:b/>
      <w:bCs/>
      <w:i/>
      <w:iCs/>
      <w:sz w:val="24"/>
    </w:rPr>
  </w:style>
  <w:style w:type="paragraph" w:styleId="9">
    <w:name w:val="toc 2"/>
    <w:basedOn w:val="1"/>
    <w:next w:val="1"/>
    <w:unhideWhenUsed/>
    <w:qFormat/>
    <w:uiPriority w:val="39"/>
    <w:pPr>
      <w:spacing w:before="120"/>
      <w:ind w:left="300"/>
      <w:jc w:val="left"/>
    </w:pPr>
    <w:rPr>
      <w:rFonts w:ascii="等线" w:eastAsia="等线"/>
      <w:b/>
      <w:bCs/>
      <w:sz w:val="22"/>
      <w:szCs w:val="22"/>
    </w:rPr>
  </w:style>
  <w:style w:type="character" w:styleId="12">
    <w:name w:val="Strong"/>
    <w:basedOn w:val="11"/>
    <w:qFormat/>
    <w:uiPriority w:val="99"/>
    <w:rPr>
      <w:rFonts w:cs="Times New Roman"/>
      <w:b/>
    </w:rPr>
  </w:style>
  <w:style w:type="character" w:styleId="13">
    <w:name w:val="Hyperlink"/>
    <w:unhideWhenUsed/>
    <w:qFormat/>
    <w:uiPriority w:val="99"/>
    <w:rPr>
      <w:color w:val="0000FF"/>
      <w:u w:val="single"/>
    </w:rPr>
  </w:style>
  <w:style w:type="character" w:customStyle="1" w:styleId="14">
    <w:name w:val=" Char Char6"/>
    <w:basedOn w:val="11"/>
    <w:link w:val="3"/>
    <w:qFormat/>
    <w:locked/>
    <w:uiPriority w:val="9"/>
    <w:rPr>
      <w:b/>
      <w:bCs/>
      <w:kern w:val="44"/>
      <w:sz w:val="44"/>
      <w:szCs w:val="44"/>
    </w:rPr>
  </w:style>
  <w:style w:type="character" w:customStyle="1" w:styleId="15">
    <w:name w:val=" Char Char5"/>
    <w:basedOn w:val="11"/>
    <w:link w:val="4"/>
    <w:qFormat/>
    <w:locked/>
    <w:uiPriority w:val="9"/>
    <w:rPr>
      <w:rFonts w:ascii="Cambria" w:hAnsi="Cambria"/>
      <w:b/>
      <w:bCs/>
      <w:sz w:val="32"/>
      <w:szCs w:val="32"/>
    </w:rPr>
  </w:style>
  <w:style w:type="paragraph" w:customStyle="1" w:styleId="16">
    <w:name w:val="List Paragraph"/>
    <w:basedOn w:val="1"/>
    <w:qFormat/>
    <w:uiPriority w:val="34"/>
    <w:pPr>
      <w:ind w:firstLine="420" w:firstLineChars="200"/>
    </w:pPr>
  </w:style>
  <w:style w:type="paragraph" w:customStyle="1" w:styleId="1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26609;&#29366;&#2227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Desktop\&#26609;&#29366;&#2227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inistrator\Desktop\&#26609;&#29366;&#2227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inistrator\Desktop\&#26609;&#29366;&#2227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inistrator\Desktop\&#26609;&#29366;&#22270;.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dministrator\Desktop\&#26609;&#29366;&#2227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dministrator\Desktop\&#26609;&#29366;&#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收、支决算总计变动情况图</a:t>
            </a:r>
          </a:p>
          <a:p>
            <a:pPr defTabSz="914400">
              <a:defRPr lang="zh-CN" sz="1400" b="0" i="0" u="none" strike="noStrike" kern="1200" spc="0" baseline="0">
                <a:solidFill>
                  <a:schemeClr val="tx1">
                    <a:lumMod val="65000"/>
                    <a:lumOff val="35000"/>
                  </a:schemeClr>
                </a:solidFill>
                <a:latin typeface="+mn-lt"/>
                <a:ea typeface="+mn-ea"/>
                <a:cs typeface="+mn-cs"/>
              </a:defRPr>
            </a:pPr>
          </a:p>
        </c:rich>
      </c:tx>
      <c:layout/>
      <c:overlay val="0"/>
      <c:spPr>
        <a:noFill/>
        <a:ln>
          <a:noFill/>
        </a:ln>
        <a:effectLst/>
      </c:spPr>
    </c:title>
    <c:autoTitleDeleted val="0"/>
    <c:plotArea>
      <c:layout>
        <c:manualLayout>
          <c:layoutTarget val="inner"/>
          <c:xMode val="edge"/>
          <c:yMode val="edge"/>
          <c:x val="0.0777222222222222"/>
          <c:y val="0.192592592592593"/>
          <c:w val="0.882"/>
          <c:h val="0.711666666666667"/>
        </c:manualLayout>
      </c:layout>
      <c:barChart>
        <c:barDir val="col"/>
        <c:grouping val="stacked"/>
        <c:varyColors val="0"/>
        <c:ser>
          <c:idx val="0"/>
          <c:order val="0"/>
          <c:spPr>
            <a:solidFill>
              <a:schemeClr val="accent1"/>
            </a:solidFill>
            <a:ln>
              <a:noFill/>
            </a:ln>
            <a:effectLst/>
          </c:spPr>
          <c:invertIfNegative val="0"/>
          <c:dLbls>
            <c:delete val="1"/>
          </c:dLbls>
          <c:cat>
            <c:strRef>
              <c:f>[柱状图.xlsx]Sheet1!$F$2:$F$3</c:f>
              <c:strCache>
                <c:ptCount val="2"/>
                <c:pt idx="0">
                  <c:v>2019年</c:v>
                </c:pt>
                <c:pt idx="1">
                  <c:v>2020年</c:v>
                </c:pt>
              </c:strCache>
            </c:strRef>
          </c:cat>
          <c:val>
            <c:numRef>
              <c:f>[柱状图.xlsx]Sheet1!$G$2:$G$3</c:f>
              <c:numCache>
                <c:formatCode>General</c:formatCode>
                <c:ptCount val="2"/>
                <c:pt idx="0">
                  <c:v>1180.51</c:v>
                </c:pt>
                <c:pt idx="1">
                  <c:v>921.65</c:v>
                </c:pt>
              </c:numCache>
            </c:numRef>
          </c:val>
        </c:ser>
        <c:dLbls>
          <c:showLegendKey val="0"/>
          <c:showVal val="0"/>
          <c:showCatName val="0"/>
          <c:showSerName val="0"/>
          <c:showPercent val="0"/>
          <c:showBubbleSize val="0"/>
        </c:dLbls>
        <c:gapWidth val="150"/>
        <c:overlap val="100"/>
        <c:axId val="341873631"/>
        <c:axId val="11817497"/>
      </c:barChart>
      <c:catAx>
        <c:axId val="34187363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817497"/>
        <c:crosses val="autoZero"/>
        <c:auto val="1"/>
        <c:lblAlgn val="ctr"/>
        <c:lblOffset val="100"/>
        <c:noMultiLvlLbl val="0"/>
      </c:catAx>
      <c:valAx>
        <c:axId val="1181749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4187363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收入决算结构图</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[柱状图.xlsx]Sheet1!$F$26:$F$27</c:f>
              <c:strCache>
                <c:ptCount val="2"/>
                <c:pt idx="0">
                  <c:v>一般公共预算财政拨款收入</c:v>
                </c:pt>
                <c:pt idx="1">
                  <c:v>政府性基金预算财政拨款收入</c:v>
                </c:pt>
              </c:strCache>
            </c:strRef>
          </c:cat>
          <c:val>
            <c:numRef>
              <c:f>[柱状图.xlsx]Sheet1!$G$26:$G$27</c:f>
              <c:numCache>
                <c:formatCode>General</c:formatCode>
                <c:ptCount val="2"/>
                <c:pt idx="0">
                  <c:v>700.3</c:v>
                </c:pt>
                <c:pt idx="1">
                  <c:v>126.46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支出结构决算图</a:t>
            </a:r>
            <a:endParaRPr lang="zh-CN" altLang="en-US" sz="1400" b="0"/>
          </a:p>
        </c:rich>
      </c:tx>
      <c:layout>
        <c:manualLayout>
          <c:xMode val="edge"/>
          <c:yMode val="edge"/>
          <c:x val="0.314586956521739"/>
          <c:y val="0.0451388888888889"/>
        </c:manualLayout>
      </c:layout>
      <c:overlay val="0"/>
    </c:title>
    <c:autoTitleDeleted val="0"/>
    <c:plotArea>
      <c:layout/>
      <c:pieChart>
        <c:varyColors val="1"/>
        <c:ser>
          <c:idx val="0"/>
          <c:order val="0"/>
          <c:explosion val="0"/>
          <c:dPt>
            <c:idx val="0"/>
            <c:bubble3D val="0"/>
          </c:dPt>
          <c:dPt>
            <c:idx val="1"/>
            <c:bubble3D val="0"/>
          </c:dPt>
          <c:dLbls>
            <c:dLbl>
              <c:idx val="0"/>
              <c:layout/>
              <c:dLblPos val="ctr"/>
              <c:showLegendKey val="0"/>
              <c:showVal val="1"/>
              <c:showCatName val="0"/>
              <c:showSerName val="0"/>
              <c:showPercent val="0"/>
              <c:showBubbleSize val="0"/>
              <c:extLst>
                <c:ext xmlns:c15="http://schemas.microsoft.com/office/drawing/2012/chart" uri="{CE6537A1-D6FC-4f65-9D91-7224C49458BB}"/>
              </c:extLst>
            </c:dLbl>
            <c:dLbl>
              <c:idx val="1"/>
              <c:layout/>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ctr"/>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[柱状图.xlsx]Sheet1!$F$66:$F$67</c:f>
              <c:strCache>
                <c:ptCount val="2"/>
                <c:pt idx="0">
                  <c:v>基本支出</c:v>
                </c:pt>
                <c:pt idx="1">
                  <c:v>项目支出</c:v>
                </c:pt>
              </c:strCache>
            </c:strRef>
          </c:cat>
          <c:val>
            <c:numRef>
              <c:f>[柱状图.xlsx]Sheet1!$G$66:$G$67</c:f>
              <c:numCache>
                <c:formatCode>General</c:formatCode>
                <c:ptCount val="2"/>
                <c:pt idx="0">
                  <c:v>328.62</c:v>
                </c:pt>
                <c:pt idx="1">
                  <c:v>569.19</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200" b="0" i="0" u="none" strike="noStrike" kern="1200" baseline="0">
                <a:solidFill>
                  <a:schemeClr val="tx1"/>
                </a:solidFill>
                <a:latin typeface="+mn-lt"/>
                <a:ea typeface="+mn-ea"/>
                <a:cs typeface="+mn-cs"/>
              </a:defRPr>
            </a:pPr>
            <a:r>
              <a:rPr lang="zh-CN" altLang="en-US" sz="1200" b="0"/>
              <a:t>财政拨款收、支决算总计变动情况</a:t>
            </a:r>
            <a:endParaRPr lang="zh-CN" altLang="en-US" sz="1200" b="0"/>
          </a:p>
        </c:rich>
      </c:tx>
      <c:layout/>
      <c:overlay val="0"/>
    </c:title>
    <c:autoTitleDeleted val="0"/>
    <c:plotArea>
      <c:layout/>
      <c:barChart>
        <c:barDir val="col"/>
        <c:grouping val="clustered"/>
        <c:varyColors val="0"/>
        <c:ser>
          <c:idx val="0"/>
          <c:order val="0"/>
          <c:invertIfNegative val="0"/>
          <c:dLbls>
            <c:delete val="1"/>
          </c:dLbls>
          <c:cat>
            <c:strRef>
              <c:f>[柱状图.xlsx]Sheet1!$F$92:$F$93</c:f>
              <c:strCache>
                <c:ptCount val="2"/>
                <c:pt idx="0">
                  <c:v>2019年</c:v>
                </c:pt>
                <c:pt idx="1">
                  <c:v>2020年</c:v>
                </c:pt>
              </c:strCache>
            </c:strRef>
          </c:cat>
          <c:val>
            <c:numRef>
              <c:f>[柱状图.xlsx]Sheet1!$G$92:$G$93</c:f>
              <c:numCache>
                <c:formatCode>General</c:formatCode>
                <c:ptCount val="2"/>
                <c:pt idx="0">
                  <c:v>1180.51</c:v>
                </c:pt>
                <c:pt idx="1">
                  <c:v>921.65</c:v>
                </c:pt>
              </c:numCache>
            </c:numRef>
          </c:val>
        </c:ser>
        <c:dLbls>
          <c:showLegendKey val="0"/>
          <c:showVal val="0"/>
          <c:showCatName val="0"/>
          <c:showSerName val="0"/>
          <c:showPercent val="0"/>
          <c:showBubbleSize val="0"/>
        </c:dLbls>
        <c:gapWidth val="150"/>
        <c:axId val="90327680"/>
        <c:axId val="90341760"/>
      </c:barChart>
      <c:catAx>
        <c:axId val="90327680"/>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90341760"/>
        <c:crosses val="autoZero"/>
        <c:auto val="1"/>
        <c:lblAlgn val="ctr"/>
        <c:lblOffset val="100"/>
        <c:noMultiLvlLbl val="0"/>
      </c:catAx>
      <c:valAx>
        <c:axId val="90341760"/>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90327680"/>
        <c:crosses val="autoZero"/>
        <c:crossBetween val="between"/>
      </c:valAx>
    </c:plotArea>
    <c:plotVisOnly val="1"/>
    <c:dispBlanksAs val="gap"/>
    <c:showDLblsOverMax val="0"/>
  </c:chart>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900" b="1" i="0" u="none" strike="noStrike" kern="1200" baseline="0">
                <a:solidFill>
                  <a:schemeClr val="tx1"/>
                </a:solidFill>
                <a:latin typeface="+mn-lt"/>
                <a:ea typeface="+mn-ea"/>
                <a:cs typeface="+mn-cs"/>
              </a:defRPr>
            </a:pPr>
            <a:r>
              <a:rPr lang="zh-CN" altLang="en-US" sz="900" b="0"/>
              <a:t>一般公共预算财政拨款支出决算变动情况</a:t>
            </a:r>
            <a:endParaRPr lang="zh-CN" altLang="en-US" sz="900" b="0"/>
          </a:p>
        </c:rich>
      </c:tx>
      <c:layout/>
      <c:overlay val="0"/>
    </c:title>
    <c:autoTitleDeleted val="0"/>
    <c:plotArea>
      <c:layout>
        <c:manualLayout>
          <c:layoutTarget val="inner"/>
          <c:xMode val="edge"/>
          <c:yMode val="edge"/>
          <c:x val="0.0721828521434821"/>
          <c:y val="0.0745487022455526"/>
          <c:w val="0.74988801399825"/>
          <c:h val="0.828939195100612"/>
        </c:manualLayout>
      </c:layout>
      <c:barChart>
        <c:barDir val="col"/>
        <c:grouping val="clustered"/>
        <c:varyColors val="0"/>
        <c:ser>
          <c:idx val="0"/>
          <c:order val="0"/>
          <c:invertIfNegative val="0"/>
          <c:dLbls>
            <c:delete val="1"/>
          </c:dLbls>
          <c:cat>
            <c:strRef>
              <c:f>[柱状图.xlsx]Sheet1!$F$119:$F$120</c:f>
              <c:strCache>
                <c:ptCount val="2"/>
                <c:pt idx="0">
                  <c:v>2019年</c:v>
                </c:pt>
                <c:pt idx="1">
                  <c:v>2020年</c:v>
                </c:pt>
              </c:strCache>
            </c:strRef>
          </c:cat>
          <c:val>
            <c:numRef>
              <c:f>[柱状图.xlsx]Sheet1!$G$119:$G$120</c:f>
              <c:numCache>
                <c:formatCode>General</c:formatCode>
                <c:ptCount val="2"/>
                <c:pt idx="0">
                  <c:v>1000.73</c:v>
                </c:pt>
                <c:pt idx="1">
                  <c:v>708.76</c:v>
                </c:pt>
              </c:numCache>
            </c:numRef>
          </c:val>
        </c:ser>
        <c:dLbls>
          <c:showLegendKey val="0"/>
          <c:showVal val="0"/>
          <c:showCatName val="0"/>
          <c:showSerName val="0"/>
          <c:showPercent val="0"/>
          <c:showBubbleSize val="0"/>
        </c:dLbls>
        <c:gapWidth val="150"/>
        <c:axId val="90363392"/>
        <c:axId val="90364928"/>
      </c:barChart>
      <c:catAx>
        <c:axId val="90363392"/>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90364928"/>
        <c:crosses val="autoZero"/>
        <c:auto val="1"/>
        <c:lblAlgn val="ctr"/>
        <c:lblOffset val="100"/>
        <c:noMultiLvlLbl val="0"/>
      </c:catAx>
      <c:valAx>
        <c:axId val="90364928"/>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90363392"/>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200" b="0"/>
              <a:t>一般公共预算财政拨款支出决算结构</a:t>
            </a:r>
            <a:endParaRPr lang="zh-CN" altLang="en-US" sz="1200" b="0"/>
          </a:p>
        </c:rich>
      </c:tx>
      <c:layout/>
      <c:overlay val="0"/>
    </c:title>
    <c:autoTitleDeleted val="0"/>
    <c:plotArea>
      <c:layout/>
      <c:pieChart>
        <c:varyColors val="1"/>
        <c:ser>
          <c:idx val="0"/>
          <c:order val="0"/>
          <c:explosion val="0"/>
          <c:dPt>
            <c:idx val="0"/>
            <c:bubble3D val="0"/>
          </c:dPt>
          <c:dPt>
            <c:idx val="1"/>
            <c:bubble3D val="0"/>
          </c:dPt>
          <c:dPt>
            <c:idx val="2"/>
            <c:bubble3D val="0"/>
          </c:dPt>
          <c:dPt>
            <c:idx val="3"/>
            <c:bubble3D val="0"/>
          </c:dPt>
          <c:dPt>
            <c:idx val="4"/>
            <c:bubble3D val="0"/>
          </c:dPt>
          <c:dLbls>
            <c:dLbl>
              <c:idx val="1"/>
              <c:layout>
                <c:manualLayout>
                  <c:x val="-0.0444444444444444"/>
                  <c:y val="0.018518518518518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0144927536231884"/>
                  <c:y val="-0.024305555555555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648550724637681"/>
                  <c:y val="-0.015046296296296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114130434782609"/>
                  <c:y val="0.0104166666666667"/>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[柱状图.xlsx]Sheet1!$F$147:$F$151</c:f>
              <c:strCache>
                <c:ptCount val="5"/>
                <c:pt idx="0">
                  <c:v>一般公共服务支出</c:v>
                </c:pt>
                <c:pt idx="1">
                  <c:v>文化旅游体育与传媒支出</c:v>
                </c:pt>
                <c:pt idx="2">
                  <c:v>社会保障和就业支出</c:v>
                </c:pt>
                <c:pt idx="3">
                  <c:v>卫生健康支出</c:v>
                </c:pt>
                <c:pt idx="4">
                  <c:v>住房保障支出</c:v>
                </c:pt>
              </c:strCache>
            </c:strRef>
          </c:cat>
          <c:val>
            <c:numRef>
              <c:f>[柱状图.xlsx]Sheet1!$G$147:$G$151</c:f>
              <c:numCache>
                <c:formatCode>General</c:formatCode>
                <c:ptCount val="5"/>
                <c:pt idx="0">
                  <c:v>654.56</c:v>
                </c:pt>
                <c:pt idx="1">
                  <c:v>23.64</c:v>
                </c:pt>
                <c:pt idx="2">
                  <c:v>14.15</c:v>
                </c:pt>
                <c:pt idx="3">
                  <c:v>6.55</c:v>
                </c:pt>
                <c:pt idx="4">
                  <c:v>9.86</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zh-CN" sz="1200" b="0" i="0" u="none" strike="noStrike" baseline="0">
                <a:effectLst/>
              </a:rPr>
              <a:t>“三公”经费财政拨款支出结构</a:t>
            </a:r>
            <a:endParaRPr lang="zh-CN" altLang="en-US" sz="1200" b="0"/>
          </a:p>
        </c:rich>
      </c:tx>
      <c:layout>
        <c:manualLayout>
          <c:xMode val="edge"/>
          <c:yMode val="edge"/>
          <c:x val="0.402388888888889"/>
          <c:y val="0.0277777777777778"/>
        </c:manualLayout>
      </c:layout>
      <c:overlay val="0"/>
    </c:title>
    <c:autoTitleDeleted val="0"/>
    <c:plotArea>
      <c:layout/>
      <c:pieChart>
        <c:varyColors val="1"/>
        <c:ser>
          <c:idx val="0"/>
          <c:order val="0"/>
          <c:explosion val="0"/>
          <c:dPt>
            <c:idx val="0"/>
            <c:bubble3D val="0"/>
          </c:dPt>
          <c:dPt>
            <c:idx val="1"/>
            <c:bubble3D val="0"/>
          </c:dPt>
          <c:dPt>
            <c:idx val="2"/>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ctr"/>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[柱状图.xlsx]Sheet1!$F$175:$F$177</c:f>
              <c:strCache>
                <c:ptCount val="3"/>
                <c:pt idx="0">
                  <c:v>因公出国（境）经费</c:v>
                </c:pt>
                <c:pt idx="1">
                  <c:v>公务接待费</c:v>
                </c:pt>
                <c:pt idx="2">
                  <c:v>公务用车购置及运行维护费</c:v>
                </c:pt>
              </c:strCache>
            </c:strRef>
          </c:cat>
          <c:val>
            <c:numRef>
              <c:f>[柱状图.xlsx]Sheet1!$G$175:$G$177</c:f>
              <c:numCache>
                <c:formatCode>General</c:formatCode>
                <c:ptCount val="3"/>
                <c:pt idx="0">
                  <c:v>0</c:v>
                </c:pt>
                <c:pt idx="1">
                  <c:v>1.42</c:v>
                </c:pt>
                <c:pt idx="2">
                  <c:v>0</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13957</Words>
  <Characters>14669</Characters>
  <Lines>0</Lines>
  <Paragraphs>0</Paragraphs>
  <TotalTime>4</TotalTime>
  <ScaleCrop>false</ScaleCrop>
  <LinksUpToDate>false</LinksUpToDate>
  <CharactersWithSpaces>14753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cp:lastPrinted>2021-10-19T03:11:00Z</cp:lastPrinted>
  <dcterms:modified xsi:type="dcterms:W3CDTF">2022-05-30T03:03:53Z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B6459530B2AF4DB9847AF33DD3217C27</vt:lpwstr>
  </property>
  <property fmtid="{D5CDD505-2E9C-101B-9397-08002B2CF9AE}" pid="4" name="commondata">
    <vt:lpwstr>eyJoZGlkIjoiYTViYzIwNWIyM2QxOTkxZGQxNzgwZmYyMDY2NDUzYzkifQ==</vt:lpwstr>
  </property>
</Properties>
</file>