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hint="eastAsia" w:ascii="方正小标宋简体" w:eastAsia="方正小标宋简体"/>
          <w:sz w:val="44"/>
          <w:szCs w:val="44"/>
          <w:lang w:eastAsia="zh-CN"/>
        </w:rPr>
      </w:pPr>
      <w:r>
        <w:rPr>
          <w:rFonts w:hint="eastAsia" w:ascii="方正小标宋简体" w:eastAsia="方正小标宋简体"/>
          <w:w w:val="80"/>
          <w:sz w:val="44"/>
          <w:szCs w:val="44"/>
        </w:rPr>
        <w:t>中共自贡市自流井区委巡察工作领导小组办公室</w:t>
      </w:r>
      <w:r>
        <w:rPr>
          <w:rFonts w:hint="eastAsia" w:ascii="方正小标宋简体" w:eastAsia="方正小标宋简体"/>
          <w:w w:val="80"/>
          <w:sz w:val="44"/>
          <w:szCs w:val="44"/>
          <w:lang w:eastAsia="zh-CN"/>
        </w:rPr>
        <w:t>（本级</w:t>
      </w:r>
      <w:bookmarkStart w:id="91" w:name="_GoBack"/>
      <w:bookmarkEnd w:id="91"/>
      <w:r>
        <w:rPr>
          <w:rFonts w:hint="eastAsia" w:ascii="方正小标宋简体" w:eastAsia="方正小标宋简体"/>
          <w:w w:val="80"/>
          <w:sz w:val="44"/>
          <w:szCs w:val="44"/>
          <w:lang w:eastAsia="zh-CN"/>
        </w:rPr>
        <w:t>）</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w:t>
      </w:r>
      <w:r>
        <w:rPr>
          <w:rFonts w:hint="eastAsia" w:ascii="方正小标宋简体" w:eastAsia="方正小标宋简体"/>
          <w:sz w:val="44"/>
          <w:szCs w:val="44"/>
          <w:lang w:eastAsia="zh-CN"/>
        </w:rPr>
        <w:t>本级</w:t>
      </w:r>
      <w:r>
        <w:rPr>
          <w:rFonts w:hint="eastAsia" w:ascii="方正小标宋简体" w:eastAsia="方正小标宋简体"/>
          <w:sz w:val="44"/>
          <w:szCs w:val="44"/>
        </w:rPr>
        <w:t>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 录</w:t>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fldChar w:fldCharType="begin"/>
      </w:r>
      <w:r>
        <w:instrText xml:space="preserve"> HYPERLINK \l "_Toc10567" </w:instrText>
      </w:r>
      <w:r>
        <w:fldChar w:fldCharType="separate"/>
      </w:r>
      <w:r>
        <w:rPr>
          <w:rFonts w:hint="eastAsia" w:ascii="仿宋_GB2312" w:hAnsi="仿宋_GB2312" w:eastAsia="仿宋_GB2312" w:cs="仿宋_GB2312"/>
          <w:b w:val="0"/>
          <w:bCs w:val="0"/>
          <w:i w:val="0"/>
          <w:iCs w:val="0"/>
          <w:sz w:val="28"/>
          <w:szCs w:val="28"/>
        </w:rPr>
        <w:t xml:space="preserve">第一部分 </w:t>
      </w:r>
      <w:r>
        <w:rPr>
          <w:rFonts w:hint="eastAsia" w:ascii="仿宋_GB2312" w:hAnsi="仿宋_GB2312" w:eastAsia="仿宋_GB2312" w:cs="仿宋_GB2312"/>
          <w:b w:val="0"/>
          <w:bCs w:val="0"/>
          <w:i w:val="0"/>
          <w:iCs w:val="0"/>
          <w:sz w:val="28"/>
          <w:szCs w:val="28"/>
          <w:lang w:eastAsia="zh-CN"/>
        </w:rPr>
        <w:t>单位</w:t>
      </w:r>
      <w:r>
        <w:rPr>
          <w:rFonts w:hint="eastAsia" w:ascii="仿宋_GB2312" w:hAnsi="仿宋_GB2312" w:eastAsia="仿宋_GB2312" w:cs="仿宋_GB2312"/>
          <w:b w:val="0"/>
          <w:bCs w:val="0"/>
          <w:i w:val="0"/>
          <w:iCs w:val="0"/>
          <w:sz w:val="28"/>
          <w:szCs w:val="28"/>
        </w:rPr>
        <w:t>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"_Toc21498" </w:instrText>
      </w:r>
      <w:r>
        <w:fldChar w:fldCharType="separate"/>
      </w:r>
      <w:r>
        <w:rPr>
          <w:rFonts w:hint="eastAsia" w:ascii="仿宋_GB2312" w:hAnsi="仿宋_GB2312" w:eastAsia="仿宋_GB2312" w:cs="仿宋_GB2312"/>
          <w:b w:val="0"/>
          <w:bCs w:val="0"/>
          <w:sz w:val="28"/>
          <w:szCs w:val="28"/>
        </w:rPr>
        <w:t>一、基本职能及主要工作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_Toc21498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"_Toc6092" </w:instrText>
      </w:r>
      <w:r>
        <w:fldChar w:fldCharType="separate"/>
      </w:r>
      <w:r>
        <w:rPr>
          <w:rFonts w:hint="eastAsia" w:ascii="仿宋_GB2312" w:hAnsi="仿宋_GB2312" w:eastAsia="仿宋_GB2312" w:cs="仿宋_GB2312"/>
          <w:b w:val="0"/>
          <w:bCs w:val="0"/>
          <w:sz w:val="28"/>
          <w:szCs w:val="28"/>
        </w:rPr>
        <w:t>二、机构设置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_Toc6092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"_Toc23109" </w:instrText>
      </w:r>
      <w:r>
        <w:fldChar w:fldCharType="separate"/>
      </w:r>
      <w:r>
        <w:rPr>
          <w:rFonts w:hint="eastAsia" w:ascii="仿宋_GB2312" w:hAnsi="仿宋_GB2312" w:eastAsia="仿宋_GB2312" w:cs="仿宋_GB2312"/>
          <w:b w:val="0"/>
          <w:bCs w:val="0"/>
          <w:i w:val="0"/>
          <w:iCs w:val="0"/>
          <w:sz w:val="28"/>
          <w:szCs w:val="28"/>
        </w:rPr>
        <w:t>第二部分 2020年度</w:t>
      </w:r>
      <w:r>
        <w:rPr>
          <w:rFonts w:hint="eastAsia" w:ascii="仿宋_GB2312" w:hAnsi="仿宋_GB2312" w:eastAsia="仿宋_GB2312" w:cs="仿宋_GB2312"/>
          <w:b w:val="0"/>
          <w:bCs w:val="0"/>
          <w:i w:val="0"/>
          <w:iCs w:val="0"/>
          <w:sz w:val="28"/>
          <w:szCs w:val="28"/>
          <w:lang w:eastAsia="zh-CN"/>
        </w:rPr>
        <w:t>本级</w:t>
      </w:r>
      <w:r>
        <w:rPr>
          <w:rFonts w:hint="eastAsia" w:ascii="仿宋_GB2312" w:hAnsi="仿宋_GB2312" w:eastAsia="仿宋_GB2312" w:cs="仿宋_GB2312"/>
          <w:b w:val="0"/>
          <w:bCs w:val="0"/>
          <w:i w:val="0"/>
          <w:iCs w:val="0"/>
          <w:sz w:val="28"/>
          <w:szCs w:val="28"/>
        </w:rPr>
        <w:t>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_Toc23109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"_Toc7163" </w:instrText>
      </w:r>
      <w:r>
        <w:fldChar w:fldCharType="separate"/>
      </w:r>
      <w:r>
        <w:rPr>
          <w:rFonts w:hint="eastAsia" w:ascii="仿宋_GB2312" w:hAnsi="仿宋_GB2312" w:eastAsia="仿宋_GB2312" w:cs="仿宋_GB2312"/>
          <w:b w:val="0"/>
          <w:bCs w:val="0"/>
          <w:sz w:val="28"/>
          <w:szCs w:val="28"/>
        </w:rPr>
        <w:t>一、 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_Toc7163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"_Toc25258" </w:instrText>
      </w:r>
      <w:r>
        <w:fldChar w:fldCharType="separate"/>
      </w:r>
      <w:r>
        <w:rPr>
          <w:rFonts w:hint="eastAsia" w:ascii="仿宋_GB2312" w:hAnsi="仿宋_GB2312" w:eastAsia="仿宋_GB2312" w:cs="仿宋_GB2312"/>
          <w:b w:val="0"/>
          <w:bCs w:val="0"/>
          <w:sz w:val="28"/>
          <w:szCs w:val="28"/>
        </w:rPr>
        <w:t>二、 收入决算情况说明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_Toc25258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"_Toc13725" </w:instrText>
      </w:r>
      <w:r>
        <w:fldChar w:fldCharType="separate"/>
      </w:r>
      <w:r>
        <w:rPr>
          <w:rFonts w:hint="eastAsia" w:ascii="仿宋_GB2312" w:hAnsi="仿宋_GB2312" w:eastAsia="仿宋_GB2312" w:cs="仿宋_GB2312"/>
          <w:b w:val="0"/>
          <w:bCs w:val="0"/>
          <w:sz w:val="28"/>
          <w:szCs w:val="28"/>
        </w:rPr>
        <w:t>三、 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_Toc13725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"_Toc10354" </w:instrText>
      </w:r>
      <w:r>
        <w:fldChar w:fldCharType="separate"/>
      </w:r>
      <w:r>
        <w:rPr>
          <w:rFonts w:hint="eastAsia" w:ascii="仿宋_GB2312" w:hAnsi="仿宋_GB2312" w:eastAsia="仿宋_GB2312" w:cs="仿宋_GB2312"/>
          <w:b w:val="0"/>
          <w:bCs w:val="0"/>
          <w:sz w:val="28"/>
          <w:szCs w:val="28"/>
        </w:rPr>
        <w:t>四、财政拨款收入支出决算总体情况说明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_Toc10354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"_Toc10967" </w:instrText>
      </w:r>
      <w:r>
        <w:fldChar w:fldCharType="separate"/>
      </w:r>
      <w:r>
        <w:rPr>
          <w:rFonts w:hint="eastAsia" w:ascii="仿宋_GB2312" w:hAnsi="仿宋_GB2312" w:eastAsia="仿宋_GB2312" w:cs="仿宋_GB2312"/>
          <w:b w:val="0"/>
          <w:bCs w:val="0"/>
          <w:sz w:val="28"/>
          <w:szCs w:val="28"/>
        </w:rPr>
        <w:t>五、一般公共预算财政拨款支出决算情况说明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_Toc10967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"_Toc31021" </w:instrText>
      </w:r>
      <w:r>
        <w:fldChar w:fldCharType="separate"/>
      </w:r>
      <w:r>
        <w:rPr>
          <w:rFonts w:hint="eastAsia" w:ascii="仿宋_GB2312" w:hAnsi="仿宋_GB2312" w:eastAsia="仿宋_GB2312" w:cs="仿宋_GB2312"/>
          <w:b w:val="0"/>
          <w:bCs w:val="0"/>
          <w:sz w:val="28"/>
          <w:szCs w:val="28"/>
        </w:rPr>
        <w:t>六、一般公共预算财政拨款基本支出决算情况说明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_Toc31021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"_Toc6926" </w:instrText>
      </w:r>
      <w:r>
        <w:fldChar w:fldCharType="separate"/>
      </w:r>
      <w:r>
        <w:rPr>
          <w:rFonts w:hint="eastAsia" w:ascii="仿宋_GB2312" w:hAnsi="仿宋_GB2312" w:eastAsia="仿宋_GB2312" w:cs="仿宋_GB2312"/>
          <w:b w:val="0"/>
          <w:bCs w:val="0"/>
          <w:sz w:val="28"/>
          <w:szCs w:val="28"/>
        </w:rPr>
        <w:t>七、“三公”经费财政拨款支出决算情况说明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_Toc6926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"_Toc9843" </w:instrText>
      </w:r>
      <w:r>
        <w:fldChar w:fldCharType="separate"/>
      </w:r>
      <w:r>
        <w:rPr>
          <w:rFonts w:hint="eastAsia" w:ascii="仿宋_GB2312" w:hAnsi="仿宋_GB2312" w:eastAsia="仿宋_GB2312" w:cs="仿宋_GB2312"/>
          <w:b w:val="0"/>
          <w:bCs w:val="0"/>
          <w:sz w:val="28"/>
          <w:szCs w:val="28"/>
        </w:rPr>
        <w:t>八、政府性基金预算支出决算情况说明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_Toc9843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"_Toc10775" </w:instrText>
      </w:r>
      <w:r>
        <w:fldChar w:fldCharType="separate"/>
      </w:r>
      <w:r>
        <w:rPr>
          <w:rFonts w:hint="eastAsia" w:ascii="仿宋_GB2312" w:hAnsi="仿宋_GB2312" w:eastAsia="仿宋_GB2312" w:cs="仿宋_GB2312"/>
          <w:b w:val="0"/>
          <w:bCs w:val="0"/>
          <w:sz w:val="28"/>
          <w:szCs w:val="28"/>
        </w:rPr>
        <w:t>九、 国有资本经营预算支出决算情况说明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_Toc10775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"_Toc738" </w:instrText>
      </w:r>
      <w:r>
        <w:fldChar w:fldCharType="separate"/>
      </w:r>
      <w:r>
        <w:rPr>
          <w:rFonts w:hint="eastAsia" w:ascii="仿宋_GB2312" w:hAnsi="仿宋_GB2312" w:eastAsia="仿宋_GB2312" w:cs="仿宋_GB2312"/>
          <w:b w:val="0"/>
          <w:bCs w:val="0"/>
          <w:sz w:val="28"/>
          <w:szCs w:val="28"/>
        </w:rPr>
        <w:t>十、其他重要事项的情况说明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"_Toc3536" </w:instrText>
      </w:r>
      <w: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_Toc3536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"_Toc11207" </w:instrText>
      </w:r>
      <w: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_Toc11207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19</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caps/>
          <w:sz w:val="28"/>
          <w:szCs w:val="28"/>
        </w:rPr>
        <w:sectPr>
          <w:pgSz w:w="11906" w:h="16838"/>
          <w:pgMar w:top="1440" w:right="1800" w:bottom="1440" w:left="1800" w:header="851" w:footer="992" w:gutter="0"/>
          <w:cols w:space="425" w:num="1"/>
          <w:docGrid w:type="lines" w:linePitch="312" w:charSpace="0"/>
        </w:sectPr>
      </w:pP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"_Toc22930" </w:instrText>
      </w:r>
      <w:r>
        <w:fldChar w:fldCharType="separate"/>
      </w:r>
      <w:r>
        <w:rPr>
          <w:rFonts w:hint="eastAsia" w:ascii="仿宋_GB2312" w:hAnsi="仿宋_GB2312" w:eastAsia="仿宋_GB2312" w:cs="仿宋_GB2312"/>
          <w:b w:val="0"/>
          <w:bCs w:val="0"/>
          <w:sz w:val="28"/>
          <w:szCs w:val="28"/>
        </w:rPr>
        <w:t>附件1</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_Toc22930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"_Toc11602" </w:instrText>
      </w:r>
      <w:r>
        <w:fldChar w:fldCharType="separate"/>
      </w:r>
      <w:r>
        <w:rPr>
          <w:rFonts w:hint="eastAsia" w:ascii="仿宋_GB2312" w:hAnsi="仿宋_GB2312" w:eastAsia="仿宋_GB2312" w:cs="仿宋_GB2312"/>
          <w:b w:val="0"/>
          <w:bCs w:val="0"/>
          <w:sz w:val="28"/>
          <w:szCs w:val="28"/>
        </w:rPr>
        <w:t>附件2</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_Toc11602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"_Toc32283" </w:instrText>
      </w:r>
      <w: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_Toc32283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29</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"_Toc15699" </w:instrText>
      </w:r>
      <w:r>
        <w:fldChar w:fldCharType="separate"/>
      </w:r>
      <w:r>
        <w:rPr>
          <w:rFonts w:hint="eastAsia" w:ascii="仿宋_GB2312" w:hAnsi="仿宋_GB2312" w:eastAsia="仿宋_GB2312" w:cs="仿宋_GB2312"/>
          <w:b w:val="0"/>
          <w:bCs w:val="0"/>
          <w:sz w:val="28"/>
          <w:szCs w:val="28"/>
        </w:rPr>
        <w:t>一、收入支出决算总表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_Toc15699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"_Toc27106" </w:instrText>
      </w:r>
      <w:r>
        <w:fldChar w:fldCharType="separate"/>
      </w:r>
      <w:r>
        <w:rPr>
          <w:rFonts w:hint="eastAsia" w:ascii="仿宋_GB2312" w:hAnsi="仿宋_GB2312" w:eastAsia="仿宋_GB2312" w:cs="仿宋_GB2312"/>
          <w:b w:val="0"/>
          <w:bCs w:val="0"/>
          <w:sz w:val="28"/>
          <w:szCs w:val="28"/>
        </w:rPr>
        <w:t>二、收入决算表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_Toc27106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"_Toc26817" </w:instrText>
      </w:r>
      <w:r>
        <w:fldChar w:fldCharType="separate"/>
      </w:r>
      <w:r>
        <w:rPr>
          <w:rFonts w:hint="eastAsia" w:ascii="仿宋_GB2312" w:hAnsi="仿宋_GB2312" w:eastAsia="仿宋_GB2312" w:cs="仿宋_GB2312"/>
          <w:b w:val="0"/>
          <w:bCs w:val="0"/>
          <w:sz w:val="28"/>
          <w:szCs w:val="28"/>
        </w:rPr>
        <w:t>三、支出决算表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_Toc26817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"_Toc21747" </w:instrText>
      </w:r>
      <w:r>
        <w:fldChar w:fldCharType="separate"/>
      </w:r>
      <w:r>
        <w:rPr>
          <w:rFonts w:hint="eastAsia" w:ascii="仿宋_GB2312" w:hAnsi="仿宋_GB2312" w:eastAsia="仿宋_GB2312" w:cs="仿宋_GB2312"/>
          <w:b w:val="0"/>
          <w:bCs w:val="0"/>
          <w:sz w:val="28"/>
          <w:szCs w:val="28"/>
        </w:rPr>
        <w:t>四、财政拨款收入支出决算总表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_Toc21747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"_Toc12959" </w:instrText>
      </w:r>
      <w:r>
        <w:fldChar w:fldCharType="separate"/>
      </w:r>
      <w:r>
        <w:rPr>
          <w:rFonts w:hint="eastAsia" w:ascii="仿宋_GB2312" w:hAnsi="仿宋_GB2312" w:eastAsia="仿宋_GB2312" w:cs="仿宋_GB2312"/>
          <w:b w:val="0"/>
          <w:bCs w:val="0"/>
          <w:sz w:val="28"/>
          <w:szCs w:val="28"/>
        </w:rPr>
        <w:t>五、财政拨款支出决算明细表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_Toc12959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"_Toc23749" </w:instrText>
      </w:r>
      <w:r>
        <w:fldChar w:fldCharType="separate"/>
      </w:r>
      <w:r>
        <w:rPr>
          <w:rFonts w:hint="eastAsia" w:ascii="仿宋_GB2312" w:hAnsi="仿宋_GB2312" w:eastAsia="仿宋_GB2312" w:cs="仿宋_GB2312"/>
          <w:b w:val="0"/>
          <w:bCs w:val="0"/>
          <w:sz w:val="28"/>
          <w:szCs w:val="28"/>
        </w:rPr>
        <w:t>六、一般公共预算财政拨款支出决算表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_Toc23749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"_Toc22275" </w:instrText>
      </w:r>
      <w:r>
        <w:fldChar w:fldCharType="separate"/>
      </w:r>
      <w:r>
        <w:rPr>
          <w:rFonts w:hint="eastAsia" w:ascii="仿宋_GB2312" w:hAnsi="仿宋_GB2312" w:eastAsia="仿宋_GB2312" w:cs="仿宋_GB2312"/>
          <w:b w:val="0"/>
          <w:bCs w:val="0"/>
          <w:sz w:val="28"/>
          <w:szCs w:val="28"/>
        </w:rPr>
        <w:t>七、一般公共预算财政拨款支出决算明细表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_Toc22275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"_Toc30634" </w:instrText>
      </w:r>
      <w:r>
        <w:fldChar w:fldCharType="separate"/>
      </w:r>
      <w:r>
        <w:rPr>
          <w:rFonts w:hint="eastAsia" w:ascii="仿宋_GB2312" w:hAnsi="仿宋_GB2312" w:eastAsia="仿宋_GB2312" w:cs="仿宋_GB2312"/>
          <w:b w:val="0"/>
          <w:bCs w:val="0"/>
          <w:sz w:val="28"/>
          <w:szCs w:val="28"/>
        </w:rPr>
        <w:t>八、一般公共预算财政拨款基本支出决算表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_Toc30634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"_Toc15170" </w:instrText>
      </w:r>
      <w:r>
        <w:fldChar w:fldCharType="separate"/>
      </w:r>
      <w:r>
        <w:rPr>
          <w:rFonts w:hint="eastAsia" w:ascii="仿宋_GB2312" w:hAnsi="仿宋_GB2312" w:eastAsia="仿宋_GB2312" w:cs="仿宋_GB2312"/>
          <w:b w:val="0"/>
          <w:bCs w:val="0"/>
          <w:sz w:val="28"/>
          <w:szCs w:val="28"/>
        </w:rPr>
        <w:t>九、一般公共预算财政拨款项目支出决算表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_Toc15170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"_Toc17603" </w:instrText>
      </w:r>
      <w:r>
        <w:fldChar w:fldCharType="separate"/>
      </w:r>
      <w:r>
        <w:rPr>
          <w:rFonts w:hint="eastAsia" w:ascii="仿宋_GB2312" w:hAnsi="仿宋_GB2312" w:eastAsia="仿宋_GB2312" w:cs="仿宋_GB2312"/>
          <w:b w:val="0"/>
          <w:bCs w:val="0"/>
          <w:sz w:val="28"/>
          <w:szCs w:val="28"/>
        </w:rPr>
        <w:t>十、一般公共预算财政拨款“三公”经费支出决算表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_Toc17603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"_Toc7313" </w:instrText>
      </w:r>
      <w:r>
        <w:fldChar w:fldCharType="separate"/>
      </w:r>
      <w:r>
        <w:rPr>
          <w:rFonts w:hint="eastAsia" w:ascii="仿宋_GB2312" w:hAnsi="仿宋_GB2312" w:eastAsia="仿宋_GB2312" w:cs="仿宋_GB2312"/>
          <w:b w:val="0"/>
          <w:bCs w:val="0"/>
          <w:sz w:val="28"/>
          <w:szCs w:val="28"/>
        </w:rPr>
        <w:t>十一、政府性基金预算财政拨款收入支出决算表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_Toc7313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"_Toc9382" </w:instrText>
      </w:r>
      <w:r>
        <w:fldChar w:fldCharType="separate"/>
      </w:r>
      <w:r>
        <w:rPr>
          <w:rFonts w:hint="eastAsia" w:ascii="仿宋_GB2312" w:hAnsi="仿宋_GB2312" w:eastAsia="仿宋_GB2312" w:cs="仿宋_GB2312"/>
          <w:b w:val="0"/>
          <w:bCs w:val="0"/>
          <w:sz w:val="28"/>
          <w:szCs w:val="28"/>
        </w:rPr>
        <w:t>十二、政府性基金预算财政拨款“三公”经费支出决算表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_Toc9382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"_Toc22683" </w:instrText>
      </w:r>
      <w:r>
        <w:fldChar w:fldCharType="separate"/>
      </w:r>
      <w:r>
        <w:rPr>
          <w:rFonts w:hint="eastAsia" w:ascii="仿宋_GB2312" w:hAnsi="仿宋_GB2312" w:eastAsia="仿宋_GB2312" w:cs="仿宋_GB2312"/>
          <w:b w:val="0"/>
          <w:bCs w:val="0"/>
          <w:sz w:val="28"/>
          <w:szCs w:val="28"/>
        </w:rPr>
        <w:t>十三、国有资本经营预算财政拨款收入支出决算表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_Toc22683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"_Toc10257" </w:instrText>
      </w:r>
      <w:r>
        <w:fldChar w:fldCharType="separate"/>
      </w:r>
      <w:r>
        <w:rPr>
          <w:rFonts w:hint="eastAsia" w:ascii="仿宋_GB2312" w:hAnsi="仿宋_GB2312" w:eastAsia="仿宋_GB2312" w:cs="仿宋_GB2312"/>
          <w:b w:val="0"/>
          <w:bCs w:val="0"/>
          <w:sz w:val="28"/>
          <w:szCs w:val="28"/>
        </w:rPr>
        <w:t>十四、国有资本经营预算财政拨款支出决算表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_Toc10257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r>
        <w:rPr>
          <w:rFonts w:hint="eastAsia" w:ascii="仿宋_GB2312" w:hAnsi="仿宋_GB2312" w:cs="仿宋_GB2312"/>
          <w:caps/>
          <w:sz w:val="28"/>
          <w:szCs w:val="28"/>
        </w:rPr>
        <w:fldChar w:fldCharType="end"/>
      </w:r>
    </w:p>
    <w:p>
      <w:pPr>
        <w:pStyle w:val="2"/>
        <w:jc w:val="center"/>
        <w:rPr>
          <w:rFonts w:ascii="黑体" w:hAnsi="黑体" w:eastAsia="黑体"/>
          <w:b w:val="0"/>
        </w:rPr>
        <w:sectPr>
          <w:footerReference r:id="rId3" w:type="default"/>
          <w:pgSz w:w="11906" w:h="16838"/>
          <w:pgMar w:top="1440" w:right="1800" w:bottom="1440" w:left="1800" w:header="851" w:footer="992" w:gutter="0"/>
          <w:pgNumType w:start="1"/>
          <w:cols w:space="425" w:num="1"/>
          <w:docGrid w:type="lines" w:linePitch="312" w:charSpace="0"/>
        </w:sectPr>
      </w:pPr>
      <w:bookmarkStart w:id="0" w:name="_Toc10567"/>
    </w:p>
    <w:p>
      <w:pPr>
        <w:pStyle w:val="2"/>
        <w:jc w:val="center"/>
        <w:rPr>
          <w:rStyle w:val="15"/>
          <w:rFonts w:ascii="黑体" w:hAnsi="黑体" w:eastAsia="黑体"/>
          <w:b/>
          <w:bCs w:val="0"/>
        </w:rPr>
      </w:pPr>
      <w:r>
        <w:rPr>
          <w:rFonts w:hint="eastAsia" w:ascii="黑体" w:hAnsi="黑体" w:eastAsia="黑体"/>
          <w:b w:val="0"/>
        </w:rPr>
        <w:t>第一部分</w:t>
      </w:r>
      <w:r>
        <w:rPr>
          <w:rFonts w:ascii="黑体" w:hAnsi="黑体" w:eastAsia="黑体"/>
          <w:b w:val="0"/>
        </w:rPr>
        <w:t xml:space="preserve"> </w:t>
      </w:r>
      <w:r>
        <w:rPr>
          <w:rStyle w:val="15"/>
          <w:rFonts w:hint="eastAsia" w:ascii="黑体" w:hAnsi="黑体" w:eastAsia="黑体"/>
          <w:b w:val="0"/>
          <w:bCs w:val="0"/>
          <w:lang w:eastAsia="zh-CN"/>
        </w:rPr>
        <w:t>单位</w:t>
      </w:r>
      <w:r>
        <w:rPr>
          <w:rStyle w:val="15"/>
          <w:rFonts w:hint="eastAsia" w:ascii="黑体" w:hAnsi="黑体" w:eastAsia="黑体"/>
          <w:b w:val="0"/>
          <w:bCs w:val="0"/>
        </w:rPr>
        <w:t>概况</w:t>
      </w:r>
      <w:bookmarkEnd w:id="0"/>
    </w:p>
    <w:p>
      <w:pPr>
        <w:widowControl/>
        <w:jc w:val="left"/>
        <w:rPr>
          <w:rFonts w:ascii="黑体" w:eastAsia="黑体"/>
          <w:color w:val="000000"/>
          <w:szCs w:val="32"/>
        </w:rPr>
      </w:pPr>
    </w:p>
    <w:p>
      <w:pPr>
        <w:pStyle w:val="3"/>
        <w:rPr>
          <w:rStyle w:val="16"/>
          <w:rFonts w:ascii="仿宋" w:hAnsi="仿宋" w:eastAsia="仿宋"/>
          <w:b w:val="0"/>
          <w:bCs w:val="0"/>
        </w:rPr>
      </w:pPr>
      <w:bookmarkStart w:id="1" w:name="_Toc15377197"/>
      <w:bookmarkStart w:id="2" w:name="_Toc15396600"/>
      <w:bookmarkStart w:id="3" w:name="_Toc21498"/>
      <w:r>
        <w:rPr>
          <w:rFonts w:hint="eastAsia" w:ascii="黑体" w:hAnsi="黑体" w:eastAsia="黑体"/>
          <w:b w:val="0"/>
          <w:color w:val="000000"/>
        </w:rPr>
        <w:t>一、基</w:t>
      </w:r>
      <w:r>
        <w:rPr>
          <w:rStyle w:val="16"/>
          <w:rFonts w:hint="eastAsia" w:ascii="黑体" w:hAnsi="黑体" w:eastAsia="黑体"/>
          <w:b w:val="0"/>
          <w:bCs w:val="0"/>
        </w:rPr>
        <w:t>本职能及主要工作</w:t>
      </w:r>
      <w:bookmarkEnd w:id="1"/>
      <w:bookmarkEnd w:id="2"/>
      <w:bookmarkEnd w:id="3"/>
    </w:p>
    <w:p>
      <w:pPr>
        <w:pStyle w:val="4"/>
        <w:adjustRightInd w:val="0"/>
        <w:snapToGrid w:val="0"/>
        <w:spacing w:before="93" w:line="600" w:lineRule="exact"/>
        <w:ind w:firstLine="672" w:firstLineChars="210"/>
        <w:outlineLvl w:val="2"/>
        <w:rPr>
          <w:rFonts w:ascii="仿宋" w:hAnsi="仿宋" w:eastAsia="仿宋"/>
          <w:bCs/>
          <w:color w:val="000000"/>
          <w:sz w:val="32"/>
          <w:szCs w:val="32"/>
        </w:rPr>
      </w:pPr>
      <w:bookmarkStart w:id="4" w:name="_Toc15378445"/>
      <w:bookmarkStart w:id="5" w:name="_Toc15377198"/>
      <w:r>
        <w:rPr>
          <w:rFonts w:hint="eastAsia" w:ascii="仿宋" w:hAnsi="仿宋" w:eastAsia="仿宋"/>
          <w:bCs/>
          <w:color w:val="000000"/>
          <w:sz w:val="32"/>
          <w:szCs w:val="32"/>
        </w:rPr>
        <w:t>（一）主要职能。</w:t>
      </w:r>
      <w:bookmarkEnd w:id="4"/>
      <w:bookmarkEnd w:id="5"/>
    </w:p>
    <w:p>
      <w:pPr>
        <w:snapToGrid w:val="0"/>
        <w:spacing w:line="520" w:lineRule="exact"/>
        <w:ind w:firstLine="640" w:firstLineChars="200"/>
        <w:rPr>
          <w:rFonts w:ascii="仿宋" w:hAnsi="仿宋" w:eastAsia="仿宋"/>
          <w:bCs/>
          <w:color w:val="000000"/>
          <w:szCs w:val="32"/>
        </w:rPr>
      </w:pPr>
      <w:r>
        <w:rPr>
          <w:rFonts w:hint="eastAsia" w:ascii="仿宋_GB2312"/>
          <w:szCs w:val="32"/>
        </w:rPr>
        <w:t>向市委巡察办和区</w:t>
      </w:r>
      <w:r>
        <w:rPr>
          <w:rFonts w:ascii="仿宋_GB2312"/>
          <w:szCs w:val="32"/>
        </w:rPr>
        <w:t>委巡察工作领导</w:t>
      </w:r>
      <w:r>
        <w:rPr>
          <w:rFonts w:hint="eastAsia" w:ascii="仿宋_GB2312"/>
          <w:szCs w:val="32"/>
        </w:rPr>
        <w:t>小组报告</w:t>
      </w:r>
      <w:r>
        <w:rPr>
          <w:rFonts w:ascii="仿宋_GB2312"/>
          <w:szCs w:val="32"/>
        </w:rPr>
        <w:t>工作情况</w:t>
      </w:r>
      <w:r>
        <w:rPr>
          <w:rFonts w:hint="eastAsia" w:ascii="仿宋_GB2312"/>
          <w:szCs w:val="32"/>
        </w:rPr>
        <w:t>，</w:t>
      </w:r>
      <w:r>
        <w:rPr>
          <w:rFonts w:ascii="仿宋_GB2312"/>
          <w:szCs w:val="32"/>
        </w:rPr>
        <w:t>传达</w:t>
      </w:r>
      <w:r>
        <w:rPr>
          <w:rFonts w:hint="eastAsia" w:ascii="仿宋_GB2312"/>
          <w:szCs w:val="32"/>
        </w:rPr>
        <w:t>贯彻中央、省委巡视办、市委巡察办和区</w:t>
      </w:r>
      <w:r>
        <w:rPr>
          <w:rFonts w:ascii="仿宋_GB2312"/>
          <w:szCs w:val="32"/>
        </w:rPr>
        <w:t>委巡察工作领导小组的决策和部署</w:t>
      </w:r>
      <w:r>
        <w:rPr>
          <w:rFonts w:hint="eastAsia" w:ascii="仿宋_GB2312"/>
          <w:szCs w:val="32"/>
        </w:rPr>
        <w:t>；统筹</w:t>
      </w:r>
      <w:r>
        <w:rPr>
          <w:rFonts w:ascii="仿宋_GB2312"/>
          <w:szCs w:val="32"/>
        </w:rPr>
        <w:t>、协调、指导</w:t>
      </w:r>
      <w:r>
        <w:rPr>
          <w:rFonts w:hint="eastAsia" w:ascii="仿宋_GB2312"/>
          <w:szCs w:val="32"/>
        </w:rPr>
        <w:t>区委巡察组开展</w:t>
      </w:r>
      <w:r>
        <w:rPr>
          <w:rFonts w:ascii="仿宋_GB2312"/>
          <w:szCs w:val="32"/>
        </w:rPr>
        <w:t>工作</w:t>
      </w:r>
      <w:r>
        <w:rPr>
          <w:rFonts w:hint="eastAsia" w:ascii="仿宋_GB2312"/>
          <w:szCs w:val="32"/>
        </w:rPr>
        <w:t>；承担有关</w:t>
      </w:r>
      <w:r>
        <w:rPr>
          <w:rFonts w:ascii="仿宋_GB2312"/>
          <w:szCs w:val="32"/>
        </w:rPr>
        <w:t>政策研究、制度建设等工作</w:t>
      </w:r>
      <w:r>
        <w:rPr>
          <w:rFonts w:hint="eastAsia" w:ascii="仿宋_GB2312"/>
          <w:szCs w:val="32"/>
        </w:rPr>
        <w:t>，组织起草区</w:t>
      </w:r>
      <w:r>
        <w:rPr>
          <w:rFonts w:ascii="仿宋_GB2312"/>
          <w:szCs w:val="32"/>
        </w:rPr>
        <w:t>委巡察工作规划、</w:t>
      </w:r>
      <w:r>
        <w:rPr>
          <w:rFonts w:hint="eastAsia" w:ascii="仿宋_GB2312"/>
          <w:szCs w:val="32"/>
        </w:rPr>
        <w:t>年度计划</w:t>
      </w:r>
      <w:r>
        <w:rPr>
          <w:rFonts w:ascii="仿宋_GB2312"/>
          <w:szCs w:val="32"/>
        </w:rPr>
        <w:t>、年度巡察工作总结</w:t>
      </w:r>
      <w:r>
        <w:rPr>
          <w:rFonts w:hint="eastAsia" w:ascii="仿宋_GB2312"/>
          <w:szCs w:val="32"/>
        </w:rPr>
        <w:t>等</w:t>
      </w:r>
      <w:r>
        <w:rPr>
          <w:rFonts w:ascii="仿宋_GB2312"/>
          <w:szCs w:val="32"/>
        </w:rPr>
        <w:t>重要</w:t>
      </w:r>
      <w:r>
        <w:rPr>
          <w:rFonts w:hint="eastAsia" w:ascii="仿宋_GB2312"/>
          <w:szCs w:val="32"/>
        </w:rPr>
        <w:t>材料；对区</w:t>
      </w:r>
      <w:r>
        <w:rPr>
          <w:rFonts w:ascii="仿宋_GB2312"/>
          <w:szCs w:val="32"/>
        </w:rPr>
        <w:t>委和</w:t>
      </w:r>
      <w:r>
        <w:rPr>
          <w:rFonts w:hint="eastAsia" w:ascii="仿宋_GB2312"/>
          <w:szCs w:val="32"/>
        </w:rPr>
        <w:t>区</w:t>
      </w:r>
      <w:r>
        <w:rPr>
          <w:rFonts w:ascii="仿宋_GB2312"/>
          <w:szCs w:val="32"/>
        </w:rPr>
        <w:t>委巡察工作领导小组决定的事项进行督办</w:t>
      </w:r>
      <w:r>
        <w:rPr>
          <w:rFonts w:hint="eastAsia" w:ascii="仿宋_GB2312"/>
          <w:szCs w:val="32"/>
        </w:rPr>
        <w:t>；组织</w:t>
      </w:r>
      <w:r>
        <w:rPr>
          <w:rFonts w:ascii="仿宋_GB2312"/>
          <w:szCs w:val="32"/>
        </w:rPr>
        <w:t>对巡察</w:t>
      </w:r>
      <w:r>
        <w:rPr>
          <w:rFonts w:hint="eastAsia" w:ascii="仿宋_GB2312"/>
          <w:szCs w:val="32"/>
        </w:rPr>
        <w:t>干部</w:t>
      </w:r>
      <w:r>
        <w:rPr>
          <w:rFonts w:ascii="仿宋_GB2312"/>
          <w:szCs w:val="32"/>
        </w:rPr>
        <w:t>进行培训、考核、监督和管理</w:t>
      </w:r>
      <w:r>
        <w:rPr>
          <w:rFonts w:hint="eastAsia" w:ascii="仿宋_GB2312"/>
          <w:szCs w:val="32"/>
        </w:rPr>
        <w:t>；健全与区</w:t>
      </w:r>
      <w:r>
        <w:rPr>
          <w:rFonts w:ascii="仿宋_GB2312"/>
          <w:szCs w:val="32"/>
        </w:rPr>
        <w:t>纪委监委</w:t>
      </w:r>
      <w:r>
        <w:rPr>
          <w:rFonts w:hint="eastAsia" w:ascii="仿宋_GB2312"/>
          <w:szCs w:val="32"/>
        </w:rPr>
        <w:t>机关、政法机关和组织、宣传、审计、信访等部门的协作机制，负责与其进行沟通衔接；</w:t>
      </w:r>
      <w:r>
        <w:rPr>
          <w:rFonts w:ascii="仿宋_GB2312"/>
          <w:szCs w:val="32"/>
        </w:rPr>
        <w:t>负责职责范围内的安全生产和职业健康、生态环境保护等工作</w:t>
      </w:r>
      <w:r>
        <w:rPr>
          <w:rFonts w:hint="eastAsia" w:ascii="仿宋_GB2312"/>
          <w:szCs w:val="32"/>
        </w:rPr>
        <w:t>；承担区委巡察工作领导小组办公室职责，办理区委、区</w:t>
      </w:r>
      <w:r>
        <w:rPr>
          <w:rFonts w:ascii="仿宋_GB2312"/>
          <w:szCs w:val="32"/>
        </w:rPr>
        <w:t>委巡察工作领导小组</w:t>
      </w:r>
      <w:r>
        <w:rPr>
          <w:rFonts w:hint="eastAsia" w:ascii="仿宋_GB2312"/>
          <w:szCs w:val="32"/>
        </w:rPr>
        <w:t>交办的其它事项。</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bookmarkStart w:id="6" w:name="_Toc15378446"/>
      <w:bookmarkStart w:id="7" w:name="_Toc15377199"/>
      <w:r>
        <w:rPr>
          <w:rFonts w:hint="eastAsia" w:ascii="仿宋" w:hAnsi="仿宋" w:eastAsia="仿宋"/>
          <w:bCs/>
          <w:color w:val="000000"/>
          <w:sz w:val="32"/>
          <w:szCs w:val="32"/>
        </w:rPr>
        <w:t>（二）</w:t>
      </w:r>
      <w:r>
        <w:rPr>
          <w:rFonts w:ascii="仿宋" w:hAnsi="仿宋" w:eastAsia="仿宋"/>
          <w:bCs/>
          <w:color w:val="000000"/>
          <w:sz w:val="32"/>
          <w:szCs w:val="32"/>
        </w:rPr>
        <w:t>2020</w:t>
      </w:r>
      <w:r>
        <w:rPr>
          <w:rFonts w:hint="eastAsia" w:ascii="仿宋" w:hAnsi="仿宋" w:eastAsia="仿宋"/>
          <w:bCs/>
          <w:color w:val="000000"/>
          <w:sz w:val="32"/>
          <w:szCs w:val="32"/>
        </w:rPr>
        <w:t>年重点工作完成情况。</w:t>
      </w:r>
      <w:bookmarkEnd w:id="6"/>
      <w:bookmarkEnd w:id="7"/>
    </w:p>
    <w:p>
      <w:pPr>
        <w:snapToGrid w:val="0"/>
        <w:spacing w:line="520" w:lineRule="exact"/>
        <w:ind w:firstLine="640" w:firstLineChars="200"/>
        <w:rPr>
          <w:rFonts w:ascii="仿宋" w:hAnsi="仿宋" w:eastAsia="仿宋"/>
          <w:bCs/>
          <w:color w:val="000000"/>
          <w:szCs w:val="32"/>
        </w:rPr>
      </w:pPr>
      <w:r>
        <w:rPr>
          <w:rFonts w:hint="eastAsia"/>
          <w:szCs w:val="32"/>
        </w:rPr>
        <w:t>2020年，全区巡察工作坚持以习近平新时代中国特色社会主义思想为指导，坚决贯彻落实中央和省、市委关于区县巡察工作决策部署，始终把“两个维护”作为政治巡察的“纲”和“魂”，切实发挥巡察政治监督作用，发现问题，形成震慑，积极助力构建自流井区良好政治生态。全年，区委分两轮对区委政法委、区综合行政执法局等17个单位进行了常规巡察。其中，2020年6月，在省委第十一巡视组领导下，区委巡视联动巡察组开展了对区人民法院、区公安分局的巡视联动巡察。同时，开展扶贫领域专项巡察1次，延伸村级党组织25个。2020年，巡察共发现问题367个，向区纪委监委移交问题线索23个，</w:t>
      </w:r>
      <w:r>
        <w:rPr>
          <w:rFonts w:hint="eastAsia" w:ascii="仿宋_GB2312"/>
          <w:szCs w:val="32"/>
        </w:rPr>
        <w:t>立</w:t>
      </w:r>
      <w:r>
        <w:rPr>
          <w:rFonts w:hint="eastAsia"/>
          <w:szCs w:val="32"/>
        </w:rPr>
        <w:t>案8个，党纪政务处分3人，街道纪工委党纪处分社区干部1人。</w:t>
      </w:r>
    </w:p>
    <w:p>
      <w:pPr>
        <w:pStyle w:val="3"/>
        <w:rPr>
          <w:rStyle w:val="16"/>
          <w:b w:val="0"/>
          <w:bCs w:val="0"/>
        </w:rPr>
      </w:pPr>
      <w:bookmarkStart w:id="8" w:name="_Toc6092"/>
      <w:bookmarkStart w:id="9" w:name="_Toc15396601"/>
      <w:bookmarkStart w:id="10" w:name="_Toc15377200"/>
      <w:r>
        <w:rPr>
          <w:rFonts w:hint="eastAsia" w:ascii="黑体" w:eastAsia="黑体"/>
          <w:b w:val="0"/>
          <w:color w:val="000000"/>
        </w:rPr>
        <w:t>二、</w:t>
      </w:r>
      <w:r>
        <w:rPr>
          <w:rFonts w:hint="eastAsia" w:ascii="黑体" w:hAnsi="黑体" w:eastAsia="黑体"/>
          <w:b w:val="0"/>
          <w:color w:val="000000"/>
        </w:rPr>
        <w:t>机</w:t>
      </w:r>
      <w:r>
        <w:rPr>
          <w:rStyle w:val="16"/>
          <w:rFonts w:hint="eastAsia" w:ascii="黑体" w:hAnsi="黑体" w:eastAsia="黑体"/>
          <w:b w:val="0"/>
          <w:bCs w:val="0"/>
        </w:rPr>
        <w:t>构设置</w:t>
      </w:r>
      <w:bookmarkEnd w:id="8"/>
      <w:bookmarkEnd w:id="9"/>
      <w:bookmarkEnd w:id="10"/>
    </w:p>
    <w:p>
      <w:pPr>
        <w:pStyle w:val="4"/>
        <w:numPr>
          <w:ilvl w:val="0"/>
          <w:numId w:val="0"/>
        </w:numPr>
        <w:adjustRightInd w:val="0"/>
        <w:snapToGrid w:val="0"/>
        <w:spacing w:before="93" w:line="600" w:lineRule="exact"/>
        <w:ind w:firstLine="640" w:firstLineChars="200"/>
        <w:outlineLvl w:val="2"/>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中共自贡市自流井区委巡察工作领导小组办公室（本级）设下列内设机构：综合股、巡察股。</w:t>
      </w:r>
    </w:p>
    <w:p>
      <w:pPr>
        <w:widowControl/>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br w:type="page"/>
      </w:r>
    </w:p>
    <w:p>
      <w:pPr>
        <w:pStyle w:val="2"/>
        <w:ind w:right="440"/>
        <w:jc w:val="right"/>
        <w:rPr>
          <w:rStyle w:val="15"/>
          <w:rFonts w:ascii="黑体" w:hAnsi="黑体" w:eastAsia="黑体"/>
          <w:b w:val="0"/>
          <w:bCs w:val="0"/>
        </w:rPr>
      </w:pPr>
      <w:bookmarkStart w:id="11" w:name="_Toc15377204"/>
      <w:bookmarkStart w:id="12" w:name="_Toc15396602"/>
      <w:bookmarkStart w:id="13" w:name="_Toc23109"/>
      <w:r>
        <w:rPr>
          <w:rFonts w:hint="eastAsia" w:ascii="黑体" w:hAnsi="黑体" w:eastAsia="黑体"/>
          <w:b w:val="0"/>
          <w:color w:val="000000"/>
        </w:rPr>
        <w:t>第二部分</w:t>
      </w:r>
      <w:r>
        <w:rPr>
          <w:rFonts w:ascii="黑体" w:hAnsi="黑体" w:eastAsia="黑体"/>
          <w:color w:val="000000"/>
        </w:rPr>
        <w:t xml:space="preserve"> </w:t>
      </w:r>
      <w:r>
        <w:rPr>
          <w:rStyle w:val="15"/>
          <w:rFonts w:ascii="黑体" w:hAnsi="黑体" w:eastAsia="黑体"/>
          <w:b w:val="0"/>
          <w:bCs w:val="0"/>
        </w:rPr>
        <w:t>2020</w:t>
      </w:r>
      <w:r>
        <w:rPr>
          <w:rStyle w:val="15"/>
          <w:rFonts w:hint="eastAsia" w:ascii="黑体" w:hAnsi="黑体" w:eastAsia="黑体"/>
          <w:b w:val="0"/>
          <w:bCs w:val="0"/>
        </w:rPr>
        <w:t>年度</w:t>
      </w:r>
      <w:r>
        <w:rPr>
          <w:rStyle w:val="15"/>
          <w:rFonts w:hint="eastAsia" w:ascii="黑体" w:hAnsi="黑体" w:eastAsia="黑体"/>
          <w:b w:val="0"/>
          <w:bCs w:val="0"/>
          <w:lang w:eastAsia="zh-CN"/>
        </w:rPr>
        <w:t>本级</w:t>
      </w:r>
      <w:r>
        <w:rPr>
          <w:rStyle w:val="15"/>
          <w:rFonts w:hint="eastAsia" w:ascii="黑体" w:hAnsi="黑体" w:eastAsia="黑体"/>
          <w:b w:val="0"/>
          <w:bCs w:val="0"/>
        </w:rPr>
        <w:t>决算情况说明</w:t>
      </w:r>
      <w:bookmarkEnd w:id="11"/>
      <w:bookmarkEnd w:id="12"/>
      <w:bookmarkEnd w:id="13"/>
    </w:p>
    <w:p/>
    <w:p>
      <w:pPr>
        <w:pStyle w:val="17"/>
        <w:numPr>
          <w:ilvl w:val="0"/>
          <w:numId w:val="1"/>
        </w:numPr>
        <w:spacing w:line="600" w:lineRule="exact"/>
        <w:ind w:firstLineChars="0"/>
        <w:outlineLvl w:val="1"/>
        <w:rPr>
          <w:rStyle w:val="16"/>
          <w:rFonts w:ascii="黑体" w:hAnsi="黑体" w:eastAsia="黑体"/>
          <w:b w:val="0"/>
        </w:rPr>
      </w:pPr>
      <w:bookmarkStart w:id="14" w:name="_Toc7163"/>
      <w:bookmarkStart w:id="15" w:name="_Toc15377205"/>
      <w:bookmarkStart w:id="16" w:name="_Toc15396603"/>
      <w:r>
        <w:rPr>
          <w:rFonts w:hint="eastAsia" w:ascii="黑体" w:hAnsi="黑体" w:eastAsia="黑体"/>
          <w:color w:val="000000"/>
          <w:szCs w:val="32"/>
        </w:rPr>
        <w:t>收</w:t>
      </w:r>
      <w:r>
        <w:rPr>
          <w:rStyle w:val="16"/>
          <w:rFonts w:hint="eastAsia" w:ascii="黑体" w:hAnsi="黑体" w:eastAsia="黑体"/>
          <w:b w:val="0"/>
        </w:rPr>
        <w:t>入支出决算总体情况说明</w:t>
      </w:r>
      <w:bookmarkEnd w:id="14"/>
      <w:bookmarkEnd w:id="15"/>
      <w:bookmarkEnd w:id="16"/>
    </w:p>
    <w:p>
      <w:pPr>
        <w:spacing w:line="60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2020年度收、支总计194.67万元。与2019年相比，收、支总计各增加66.14万元，增长54.4%。主要变动原因是</w:t>
      </w:r>
      <w:r>
        <w:rPr>
          <w:rFonts w:hint="eastAsia" w:ascii="仿宋_GB2312" w:hAnsi="仿宋_GB2312" w:cs="仿宋_GB2312"/>
          <w:szCs w:val="32"/>
        </w:rPr>
        <w:t>2019年单位人员未配齐，自2020年1月起至年底，财政供养人员配齐13人，因此而产生的人员经费、养老、公积金等费用增加，属于正常变动。</w:t>
      </w:r>
    </w:p>
    <w:p>
      <w:pPr>
        <w:spacing w:line="600" w:lineRule="exact"/>
        <w:ind w:firstLine="640" w:firstLineChars="200"/>
        <w:jc w:val="left"/>
        <w:rPr>
          <w:rFonts w:ascii="仿宋_GB2312"/>
          <w:color w:val="000000"/>
          <w:szCs w:val="32"/>
        </w:rPr>
      </w:pPr>
      <w:r>
        <w:rPr>
          <w:rFonts w:hint="eastAsia" w:ascii="仿宋" w:hAnsi="仿宋" w:eastAsia="仿宋"/>
          <w:color w:val="000000"/>
          <w:szCs w:val="32"/>
        </w:rPr>
        <w:drawing>
          <wp:anchor distT="0" distB="0" distL="114300" distR="114300" simplePos="0" relativeHeight="251659264" behindDoc="0" locked="0" layoutInCell="1" allowOverlap="1">
            <wp:simplePos x="0" y="0"/>
            <wp:positionH relativeFrom="column">
              <wp:posOffset>213360</wp:posOffset>
            </wp:positionH>
            <wp:positionV relativeFrom="page">
              <wp:posOffset>4389755</wp:posOffset>
            </wp:positionV>
            <wp:extent cx="5080000" cy="3810000"/>
            <wp:effectExtent l="4445" t="4445" r="20955" b="1460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olor w:val="000000"/>
          <w:szCs w:val="32"/>
        </w:rPr>
        <w:t>（图</w:t>
      </w:r>
      <w:r>
        <w:rPr>
          <w:rFonts w:ascii="仿宋" w:hAnsi="仿宋" w:eastAsia="仿宋"/>
          <w:color w:val="000000"/>
          <w:szCs w:val="32"/>
        </w:rPr>
        <w:t>1</w:t>
      </w:r>
      <w:r>
        <w:rPr>
          <w:rFonts w:hint="eastAsia" w:ascii="仿宋" w:hAnsi="仿宋" w:eastAsia="仿宋"/>
          <w:color w:val="000000"/>
          <w:szCs w:val="32"/>
        </w:rPr>
        <w:t>：收、支决算总计变动情况图）（单位：万元）</w:t>
      </w:r>
    </w:p>
    <w:p>
      <w:pPr>
        <w:pStyle w:val="17"/>
        <w:numPr>
          <w:ilvl w:val="0"/>
          <w:numId w:val="1"/>
        </w:numPr>
        <w:spacing w:line="600" w:lineRule="exact"/>
        <w:ind w:firstLineChars="0"/>
        <w:outlineLvl w:val="1"/>
        <w:rPr>
          <w:rStyle w:val="16"/>
          <w:rFonts w:ascii="黑体" w:hAnsi="黑体" w:eastAsia="黑体"/>
          <w:b w:val="0"/>
        </w:rPr>
      </w:pPr>
      <w:bookmarkStart w:id="17" w:name="_Toc15396604"/>
      <w:bookmarkStart w:id="18" w:name="_Toc15377206"/>
      <w:bookmarkStart w:id="19" w:name="_Toc25258"/>
      <w:r>
        <w:rPr>
          <w:rFonts w:hint="eastAsia" w:ascii="黑体" w:hAnsi="黑体" w:eastAsia="黑体"/>
          <w:color w:val="000000"/>
          <w:szCs w:val="32"/>
        </w:rPr>
        <w:t>收</w:t>
      </w:r>
      <w:r>
        <w:rPr>
          <w:rStyle w:val="16"/>
          <w:rFonts w:hint="eastAsia" w:ascii="黑体" w:hAnsi="黑体" w:eastAsia="黑体"/>
          <w:b w:val="0"/>
        </w:rPr>
        <w:t>入决算情况说明</w:t>
      </w:r>
      <w:bookmarkEnd w:id="17"/>
      <w:bookmarkEnd w:id="18"/>
      <w:bookmarkEnd w:id="19"/>
    </w:p>
    <w:p>
      <w:pPr>
        <w:spacing w:line="60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2020年本年收入合计187.71万元，其中：一般公共预算财政拨款收入187.71万元，占100%；政府性基金预算财政拨款收入0万元，占0%；上级补助收入0万元，占0%；事业收入0万元，占0%；经营收入0万元，占0%；附属单位上缴收入0万元，占0%；其他收入0万元，占0%。</w:t>
      </w:r>
    </w:p>
    <w:p>
      <w:pPr>
        <w:spacing w:line="600" w:lineRule="exact"/>
        <w:ind w:firstLine="640" w:firstLineChars="200"/>
        <w:outlineLvl w:val="1"/>
        <w:rPr>
          <w:rFonts w:ascii="仿宋_GB2312"/>
          <w:color w:val="FF0000"/>
          <w:szCs w:val="32"/>
        </w:rPr>
      </w:pPr>
      <w:r>
        <w:rPr>
          <w:rFonts w:hint="eastAsia" w:ascii="仿宋" w:hAnsi="仿宋" w:eastAsia="仿宋"/>
          <w:color w:val="000000"/>
          <w:szCs w:val="32"/>
        </w:rPr>
        <w:drawing>
          <wp:anchor distT="0" distB="0" distL="114300" distR="114300" simplePos="0" relativeHeight="251660288" behindDoc="0" locked="0" layoutInCell="1" allowOverlap="1">
            <wp:simplePos x="0" y="0"/>
            <wp:positionH relativeFrom="column">
              <wp:posOffset>114300</wp:posOffset>
            </wp:positionH>
            <wp:positionV relativeFrom="page">
              <wp:posOffset>2322830</wp:posOffset>
            </wp:positionV>
            <wp:extent cx="5080000" cy="3810000"/>
            <wp:effectExtent l="4445" t="4445" r="20955" b="14605"/>
            <wp:wrapTopAndBottom/>
            <wp:docPr id="3" name="图表 3"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color w:val="000000"/>
          <w:szCs w:val="32"/>
        </w:rPr>
        <w:t>（图</w:t>
      </w:r>
      <w:r>
        <w:rPr>
          <w:rFonts w:ascii="仿宋" w:hAnsi="仿宋" w:eastAsia="仿宋"/>
          <w:color w:val="000000"/>
          <w:szCs w:val="32"/>
        </w:rPr>
        <w:t>2</w:t>
      </w:r>
      <w:r>
        <w:rPr>
          <w:rFonts w:hint="eastAsia" w:ascii="仿宋" w:hAnsi="仿宋" w:eastAsia="仿宋"/>
          <w:color w:val="000000"/>
          <w:szCs w:val="32"/>
        </w:rPr>
        <w:t>：收入决算结构图）（单位：万元）</w:t>
      </w:r>
    </w:p>
    <w:p>
      <w:pPr>
        <w:pStyle w:val="17"/>
        <w:numPr>
          <w:ilvl w:val="0"/>
          <w:numId w:val="1"/>
        </w:numPr>
        <w:spacing w:line="600" w:lineRule="exact"/>
        <w:ind w:firstLineChars="0"/>
        <w:outlineLvl w:val="1"/>
        <w:rPr>
          <w:rStyle w:val="16"/>
          <w:rFonts w:ascii="黑体" w:hAnsi="黑体" w:eastAsia="黑体"/>
          <w:b w:val="0"/>
        </w:rPr>
      </w:pPr>
      <w:bookmarkStart w:id="20" w:name="_Toc13725"/>
      <w:bookmarkStart w:id="21" w:name="_Toc15396605"/>
      <w:bookmarkStart w:id="22" w:name="_Toc15377207"/>
      <w:r>
        <w:rPr>
          <w:rFonts w:hint="eastAsia" w:ascii="黑体" w:hAnsi="黑体" w:eastAsia="黑体"/>
          <w:color w:val="000000"/>
          <w:szCs w:val="32"/>
        </w:rPr>
        <w:t>支</w:t>
      </w:r>
      <w:r>
        <w:rPr>
          <w:rStyle w:val="16"/>
          <w:rFonts w:hint="eastAsia" w:ascii="黑体" w:hAnsi="黑体" w:eastAsia="黑体"/>
          <w:b w:val="0"/>
        </w:rPr>
        <w:t>出决算情况说明</w:t>
      </w:r>
      <w:bookmarkEnd w:id="20"/>
      <w:bookmarkEnd w:id="21"/>
      <w:bookmarkEnd w:id="22"/>
    </w:p>
    <w:p>
      <w:pPr>
        <w:spacing w:line="60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2020年本年支出合计194.67万元，其中：基本支出180.83万元，占92.89%；项目支出13.84万元，占7.11%；上缴上级支出0万元，占0%；经营支出0万元，占0%；对附属单位补助支出0万元，占0%。</w:t>
      </w:r>
    </w:p>
    <w:p>
      <w:pPr>
        <w:spacing w:line="600" w:lineRule="exact"/>
        <w:ind w:firstLine="640" w:firstLineChars="200"/>
        <w:jc w:val="center"/>
        <w:rPr>
          <w:rFonts w:ascii="仿宋_GB2312"/>
          <w:color w:val="FF0000"/>
          <w:szCs w:val="32"/>
        </w:rPr>
      </w:pPr>
      <w:r>
        <w:rPr>
          <w:rFonts w:hint="eastAsia" w:ascii="仿宋" w:hAnsi="仿宋" w:eastAsia="仿宋"/>
          <w:color w:val="000000"/>
          <w:szCs w:val="32"/>
        </w:rPr>
        <w:drawing>
          <wp:anchor distT="0" distB="0" distL="114300" distR="114300" simplePos="0" relativeHeight="251661312" behindDoc="0" locked="0" layoutInCell="1" allowOverlap="1">
            <wp:simplePos x="0" y="0"/>
            <wp:positionH relativeFrom="column">
              <wp:posOffset>146050</wp:posOffset>
            </wp:positionH>
            <wp:positionV relativeFrom="page">
              <wp:posOffset>1271905</wp:posOffset>
            </wp:positionV>
            <wp:extent cx="5080000" cy="3810000"/>
            <wp:effectExtent l="4445" t="4445" r="20955" b="14605"/>
            <wp:wrapTopAndBottom/>
            <wp:docPr id="4" name="图表 4"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color w:val="000000"/>
          <w:szCs w:val="32"/>
        </w:rPr>
        <w:t>（图</w:t>
      </w:r>
      <w:r>
        <w:rPr>
          <w:rFonts w:ascii="仿宋" w:hAnsi="仿宋" w:eastAsia="仿宋"/>
          <w:color w:val="000000"/>
          <w:szCs w:val="32"/>
        </w:rPr>
        <w:t>3</w:t>
      </w:r>
      <w:r>
        <w:rPr>
          <w:rFonts w:hint="eastAsia" w:ascii="仿宋" w:hAnsi="仿宋" w:eastAsia="仿宋"/>
          <w:color w:val="000000"/>
          <w:szCs w:val="32"/>
        </w:rPr>
        <w:t>：支出决算结构图）（单位：万元）</w:t>
      </w:r>
    </w:p>
    <w:p>
      <w:pPr>
        <w:spacing w:line="600" w:lineRule="exact"/>
        <w:ind w:firstLine="640" w:firstLineChars="200"/>
        <w:outlineLvl w:val="1"/>
        <w:rPr>
          <w:rStyle w:val="16"/>
          <w:rFonts w:ascii="黑体" w:hAnsi="黑体" w:eastAsia="黑体"/>
          <w:b w:val="0"/>
        </w:rPr>
      </w:pPr>
      <w:bookmarkStart w:id="23" w:name="_Toc10354"/>
      <w:bookmarkStart w:id="24" w:name="_Toc15377208"/>
      <w:bookmarkStart w:id="25" w:name="_Toc15396606"/>
      <w:r>
        <w:rPr>
          <w:rFonts w:hint="eastAsia" w:ascii="黑体" w:hAnsi="黑体" w:eastAsia="黑体"/>
          <w:color w:val="000000"/>
          <w:szCs w:val="32"/>
        </w:rPr>
        <w:t>四、财</w:t>
      </w:r>
      <w:r>
        <w:rPr>
          <w:rStyle w:val="16"/>
          <w:rFonts w:hint="eastAsia" w:ascii="黑体" w:hAnsi="黑体" w:eastAsia="黑体"/>
          <w:b w:val="0"/>
        </w:rPr>
        <w:t>政拨款收入支出决算总体情况说明</w:t>
      </w:r>
      <w:bookmarkEnd w:id="23"/>
      <w:bookmarkEnd w:id="24"/>
      <w:bookmarkEnd w:id="25"/>
    </w:p>
    <w:p>
      <w:pPr>
        <w:spacing w:line="60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2020年财政拨款收、支总计194.67万元。与2019年相比，财政拨款收、支总计各增加66.14万元，增长54.4%。主要变动原因是</w:t>
      </w:r>
      <w:r>
        <w:rPr>
          <w:rFonts w:hint="eastAsia" w:ascii="仿宋_GB2312" w:hAnsi="仿宋_GB2312" w:cs="仿宋_GB2312"/>
          <w:szCs w:val="32"/>
        </w:rPr>
        <w:t>2019年单位人员未配齐，自2020年1月起至年底，财政供养人员配齐13人，因此而产生的人员经费、养老、公积金等费用增加，属于正常变动。</w:t>
      </w: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2336" behindDoc="0" locked="0" layoutInCell="1" allowOverlap="1">
            <wp:simplePos x="0" y="0"/>
            <wp:positionH relativeFrom="column">
              <wp:posOffset>-6350</wp:posOffset>
            </wp:positionH>
            <wp:positionV relativeFrom="page">
              <wp:posOffset>941705</wp:posOffset>
            </wp:positionV>
            <wp:extent cx="5080000" cy="3117850"/>
            <wp:effectExtent l="4445" t="4445" r="20955" b="2095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color w:val="000000"/>
          <w:szCs w:val="32"/>
        </w:rPr>
        <w:t>（图</w:t>
      </w:r>
      <w:r>
        <w:rPr>
          <w:rFonts w:ascii="仿宋" w:hAnsi="仿宋" w:eastAsia="仿宋"/>
          <w:color w:val="000000"/>
          <w:szCs w:val="32"/>
        </w:rPr>
        <w:t>4</w:t>
      </w:r>
      <w:r>
        <w:rPr>
          <w:rFonts w:hint="eastAsia" w:ascii="仿宋" w:hAnsi="仿宋" w:eastAsia="仿宋"/>
          <w:color w:val="000000"/>
          <w:szCs w:val="32"/>
        </w:rPr>
        <w:t>：财政拨款收、支决算总计变动情况）（单位：万元）</w:t>
      </w:r>
    </w:p>
    <w:p>
      <w:pPr>
        <w:spacing w:line="600" w:lineRule="exact"/>
        <w:ind w:firstLine="640" w:firstLineChars="200"/>
        <w:outlineLvl w:val="1"/>
        <w:rPr>
          <w:rStyle w:val="16"/>
          <w:rFonts w:ascii="黑体" w:hAnsi="黑体" w:eastAsia="黑体"/>
          <w:b w:val="0"/>
        </w:rPr>
      </w:pPr>
      <w:bookmarkStart w:id="26" w:name="_Toc15396607"/>
      <w:bookmarkStart w:id="27" w:name="_Toc10967"/>
      <w:bookmarkStart w:id="28" w:name="_Toc15377209"/>
      <w:r>
        <w:rPr>
          <w:rFonts w:hint="eastAsia" w:ascii="黑体" w:hAnsi="黑体" w:eastAsia="黑体"/>
          <w:color w:val="000000"/>
          <w:szCs w:val="32"/>
        </w:rPr>
        <w:t>五、</w:t>
      </w:r>
      <w:r>
        <w:rPr>
          <w:rFonts w:hint="eastAsia" w:ascii="黑体" w:hAnsi="黑体" w:eastAsia="黑体"/>
          <w:b/>
          <w:color w:val="000000"/>
          <w:szCs w:val="32"/>
        </w:rPr>
        <w:t>一</w:t>
      </w:r>
      <w:r>
        <w:rPr>
          <w:rStyle w:val="16"/>
          <w:rFonts w:hint="eastAsia" w:ascii="黑体" w:hAnsi="黑体" w:eastAsia="黑体"/>
          <w:b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color w:val="000000"/>
          <w:szCs w:val="32"/>
        </w:rPr>
      </w:pPr>
      <w:bookmarkStart w:id="29" w:name="_Toc15377210"/>
      <w:r>
        <w:rPr>
          <w:rFonts w:hint="eastAsia" w:ascii="仿宋" w:hAnsi="仿宋" w:eastAsia="仿宋"/>
          <w:b/>
          <w:color w:val="000000"/>
          <w:szCs w:val="32"/>
        </w:rPr>
        <w:t>（一）一般公共预算财政拨款支出决算总体情况</w:t>
      </w:r>
      <w:bookmarkEnd w:id="29"/>
    </w:p>
    <w:p>
      <w:pPr>
        <w:spacing w:line="600" w:lineRule="exact"/>
        <w:ind w:firstLine="640" w:firstLineChars="200"/>
        <w:rPr>
          <w:rFonts w:ascii="仿宋_GB2312" w:hAnsi="仿宋_GB2312" w:cs="仿宋_GB2312"/>
          <w:szCs w:val="32"/>
        </w:rPr>
      </w:pPr>
      <w:r>
        <w:rPr>
          <w:rFonts w:hint="eastAsia" w:ascii="仿宋" w:hAnsi="仿宋" w:eastAsia="仿宋"/>
          <w:color w:val="000000"/>
          <w:szCs w:val="32"/>
        </w:rPr>
        <w:drawing>
          <wp:anchor distT="0" distB="0" distL="114300" distR="114300" simplePos="0" relativeHeight="251663360" behindDoc="0" locked="0" layoutInCell="1" allowOverlap="1">
            <wp:simplePos x="0" y="0"/>
            <wp:positionH relativeFrom="column">
              <wp:posOffset>422910</wp:posOffset>
            </wp:positionH>
            <wp:positionV relativeFrom="page">
              <wp:posOffset>7562215</wp:posOffset>
            </wp:positionV>
            <wp:extent cx="4451350" cy="2561590"/>
            <wp:effectExtent l="4445" t="4445" r="20955" b="5715"/>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_GB2312" w:hAnsi="仿宋_GB2312" w:cs="仿宋_GB2312"/>
          <w:color w:val="000000"/>
          <w:szCs w:val="32"/>
        </w:rPr>
        <w:t>2020年一般公共预算财政拨款支出194.67万元，占本年支出合计的100%。与2019年相比，一般公共预算财政拨款增加80.06万元，增长69.86%。主要变动原因是</w:t>
      </w:r>
      <w:r>
        <w:rPr>
          <w:rFonts w:hint="eastAsia" w:ascii="仿宋_GB2312" w:hAnsi="仿宋_GB2312" w:cs="仿宋_GB2312"/>
          <w:szCs w:val="32"/>
        </w:rPr>
        <w:t>2019年单位人员未配齐，自2020年1月起至年底，财政供养人员配齐13人，因此而产生的人员经费、养老、公积金等费用增加，属于正常变动。</w:t>
      </w:r>
    </w:p>
    <w:p>
      <w:pPr>
        <w:spacing w:line="600" w:lineRule="exact"/>
        <w:jc w:val="center"/>
        <w:rPr>
          <w:rFonts w:ascii="仿宋" w:hAnsi="仿宋" w:eastAsia="仿宋"/>
          <w:color w:val="000000"/>
          <w:szCs w:val="32"/>
        </w:rPr>
      </w:pPr>
      <w:r>
        <w:rPr>
          <w:rFonts w:hint="eastAsia" w:ascii="仿宋_GB2312" w:hAnsi="仿宋_GB2312" w:cs="仿宋_GB2312"/>
          <w:color w:val="000000"/>
          <w:sz w:val="28"/>
          <w:szCs w:val="28"/>
        </w:rPr>
        <w:t>（图5：一般公共预算财政拨款支出决算变动情况）（单位：万元）</w:t>
      </w:r>
    </w:p>
    <w:p>
      <w:pPr>
        <w:spacing w:line="600" w:lineRule="exact"/>
        <w:ind w:firstLine="643" w:firstLineChars="200"/>
        <w:outlineLvl w:val="2"/>
        <w:rPr>
          <w:rFonts w:ascii="仿宋" w:hAnsi="仿宋" w:eastAsia="仿宋"/>
          <w:b/>
          <w:color w:val="000000"/>
          <w:szCs w:val="32"/>
        </w:rPr>
      </w:pPr>
      <w:bookmarkStart w:id="30" w:name="_Toc15377211"/>
      <w:r>
        <w:rPr>
          <w:rFonts w:hint="eastAsia" w:ascii="仿宋" w:hAnsi="仿宋" w:eastAsia="仿宋"/>
          <w:b/>
          <w:color w:val="000000"/>
          <w:szCs w:val="32"/>
        </w:rPr>
        <w:t>（二）一般公共预算财政拨款支出决算结构情况</w:t>
      </w:r>
      <w:bookmarkEnd w:id="30"/>
    </w:p>
    <w:p>
      <w:pPr>
        <w:spacing w:line="600" w:lineRule="exact"/>
        <w:ind w:firstLine="640"/>
        <w:rPr>
          <w:rFonts w:ascii="仿宋" w:hAnsi="仿宋" w:eastAsia="仿宋"/>
          <w:color w:val="000000"/>
          <w:szCs w:val="32"/>
        </w:rPr>
      </w:pPr>
      <w:r>
        <w:rPr>
          <w:rFonts w:hint="eastAsia" w:ascii="仿宋_GB2312" w:hAnsi="仿宋_GB2312" w:cs="仿宋_GB2312"/>
          <w:color w:val="000000"/>
          <w:szCs w:val="32"/>
        </w:rPr>
        <w:t>2020年一般公共预算财政拨款支出194.67万元，主要用于以下方面:一般公共服务（类）支出162.50万元，占83.48%；教育支出（类）0万元，占0%；科学技术（类）支出0万元，占0%；文化旅游体育与传媒（类）支出0万元，占0%；社会保障和就业（类）支出14.19万元，占7.29%；卫生健康支出7.05万元，占3.62%；住房保障支出10.93万元，占5.61%。</w:t>
      </w:r>
    </w:p>
    <w:p>
      <w:pPr>
        <w:spacing w:line="600" w:lineRule="exact"/>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4384" behindDoc="0" locked="0" layoutInCell="1" allowOverlap="1">
            <wp:simplePos x="0" y="0"/>
            <wp:positionH relativeFrom="column">
              <wp:posOffset>210185</wp:posOffset>
            </wp:positionH>
            <wp:positionV relativeFrom="page">
              <wp:posOffset>4408805</wp:posOffset>
            </wp:positionV>
            <wp:extent cx="5080000" cy="3810000"/>
            <wp:effectExtent l="4445" t="4445" r="20955" b="14605"/>
            <wp:wrapTopAndBottom/>
            <wp:docPr id="7" name="图表 7"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olor w:val="000000"/>
          <w:szCs w:val="32"/>
        </w:rPr>
        <w:t>（图</w:t>
      </w:r>
      <w:r>
        <w:rPr>
          <w:rFonts w:ascii="仿宋" w:hAnsi="仿宋" w:eastAsia="仿宋"/>
          <w:color w:val="000000"/>
          <w:szCs w:val="32"/>
        </w:rPr>
        <w:t>6</w:t>
      </w:r>
      <w:r>
        <w:rPr>
          <w:rFonts w:hint="eastAsia" w:ascii="仿宋" w:hAnsi="仿宋" w:eastAsia="仿宋"/>
          <w:color w:val="000000"/>
          <w:szCs w:val="32"/>
        </w:rPr>
        <w:t>：一般公共预算财政拨款支出决算结构）（</w:t>
      </w:r>
      <w:r>
        <w:rPr>
          <w:rFonts w:hint="eastAsia" w:ascii="仿宋_GB2312" w:hAnsi="仿宋_GB2312" w:cs="仿宋_GB2312"/>
          <w:color w:val="000000"/>
          <w:sz w:val="28"/>
          <w:szCs w:val="28"/>
        </w:rPr>
        <w:t>单位：万元</w:t>
      </w:r>
      <w:r>
        <w:rPr>
          <w:rFonts w:hint="eastAsia" w:ascii="仿宋" w:hAnsi="仿宋" w:eastAsia="仿宋"/>
          <w:color w:val="000000"/>
          <w:szCs w:val="32"/>
        </w:rPr>
        <w:t>）</w:t>
      </w:r>
    </w:p>
    <w:p>
      <w:pPr>
        <w:spacing w:line="600" w:lineRule="exact"/>
        <w:ind w:firstLine="643" w:firstLineChars="200"/>
        <w:outlineLvl w:val="2"/>
        <w:rPr>
          <w:rFonts w:ascii="仿宋" w:hAnsi="仿宋" w:eastAsia="仿宋"/>
          <w:b/>
          <w:color w:val="000000"/>
          <w:szCs w:val="32"/>
        </w:rPr>
      </w:pPr>
      <w:bookmarkStart w:id="31" w:name="_Toc15377212"/>
      <w:r>
        <w:rPr>
          <w:rFonts w:hint="eastAsia" w:ascii="仿宋" w:hAnsi="仿宋" w:eastAsia="仿宋"/>
          <w:b/>
          <w:color w:val="000000"/>
          <w:szCs w:val="32"/>
        </w:rPr>
        <w:t>（三）一般公共预算财政拨款支出决算具体情况</w:t>
      </w:r>
      <w:bookmarkEnd w:id="31"/>
    </w:p>
    <w:p>
      <w:pPr>
        <w:spacing w:line="600" w:lineRule="exact"/>
        <w:ind w:firstLine="643" w:firstLineChars="200"/>
        <w:rPr>
          <w:rFonts w:ascii="仿宋" w:hAnsi="仿宋" w:eastAsia="仿宋"/>
          <w:color w:val="FF0000"/>
          <w:szCs w:val="32"/>
        </w:rPr>
      </w:pPr>
      <w:bookmarkStart w:id="32" w:name="_Toc15378460"/>
      <w:bookmarkStart w:id="33" w:name="_Toc15377213"/>
      <w:bookmarkStart w:id="34" w:name="_Toc15377444"/>
      <w:r>
        <w:rPr>
          <w:rFonts w:ascii="仿宋" w:hAnsi="仿宋" w:eastAsia="仿宋"/>
          <w:b/>
          <w:color w:val="000000"/>
          <w:szCs w:val="32"/>
        </w:rPr>
        <w:t>2020</w:t>
      </w:r>
      <w:r>
        <w:rPr>
          <w:rFonts w:hint="eastAsia" w:ascii="仿宋" w:hAnsi="仿宋" w:eastAsia="仿宋"/>
          <w:b/>
          <w:color w:val="000000"/>
          <w:szCs w:val="32"/>
        </w:rPr>
        <w:t>年一般公共预算支出决算数为194.67</w:t>
      </w:r>
      <w:r>
        <w:rPr>
          <w:rFonts w:hint="eastAsia" w:ascii="仿宋" w:hAnsi="仿宋" w:eastAsia="仿宋"/>
          <w:color w:val="000000"/>
          <w:szCs w:val="32"/>
        </w:rPr>
        <w:t>，</w:t>
      </w:r>
      <w:r>
        <w:rPr>
          <w:rStyle w:val="13"/>
          <w:rFonts w:hint="eastAsia" w:ascii="仿宋" w:hAnsi="仿宋" w:eastAsia="仿宋"/>
          <w:bCs/>
          <w:color w:val="000000"/>
          <w:szCs w:val="32"/>
        </w:rPr>
        <w:t>完成预算100</w:t>
      </w:r>
      <w:r>
        <w:rPr>
          <w:rStyle w:val="13"/>
          <w:rFonts w:ascii="仿宋" w:hAnsi="仿宋" w:eastAsia="仿宋"/>
          <w:bCs/>
          <w:color w:val="000000"/>
          <w:szCs w:val="32"/>
        </w:rPr>
        <w:t>%</w:t>
      </w:r>
      <w:r>
        <w:rPr>
          <w:rStyle w:val="13"/>
          <w:rFonts w:hint="eastAsia" w:ascii="仿宋" w:hAnsi="仿宋" w:eastAsia="仿宋"/>
          <w:bCs/>
          <w:color w:val="000000"/>
          <w:szCs w:val="32"/>
        </w:rPr>
        <w:t>。其中：</w:t>
      </w:r>
      <w:bookmarkEnd w:id="32"/>
      <w:bookmarkEnd w:id="33"/>
      <w:bookmarkEnd w:id="34"/>
    </w:p>
    <w:p>
      <w:pPr>
        <w:spacing w:line="600" w:lineRule="exact"/>
        <w:ind w:firstLine="643" w:firstLineChars="200"/>
        <w:rPr>
          <w:rStyle w:val="13"/>
          <w:rFonts w:ascii="仿宋" w:hAnsi="仿宋" w:eastAsia="仿宋"/>
          <w:b w:val="0"/>
          <w:bCs/>
          <w:color w:val="000000"/>
          <w:szCs w:val="32"/>
        </w:rPr>
      </w:pPr>
      <w:r>
        <w:rPr>
          <w:rStyle w:val="13"/>
          <w:rFonts w:hint="eastAsia" w:ascii="仿宋" w:hAnsi="仿宋" w:eastAsia="仿宋"/>
          <w:bCs/>
          <w:color w:val="000000"/>
          <w:szCs w:val="32"/>
        </w:rPr>
        <w:t>1.一般公共服务（类）纪检监察事务（款） 行政运行（项）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支出决算为132.73万元，完成预算100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2</w:t>
      </w:r>
      <w:r>
        <w:rPr>
          <w:rStyle w:val="13"/>
          <w:rFonts w:ascii="仿宋" w:hAnsi="仿宋" w:eastAsia="仿宋"/>
          <w:bCs/>
          <w:color w:val="000000"/>
          <w:szCs w:val="32"/>
        </w:rPr>
        <w:t>.</w:t>
      </w:r>
      <w:r>
        <w:rPr>
          <w:rStyle w:val="13"/>
          <w:rFonts w:hint="eastAsia" w:ascii="仿宋" w:hAnsi="仿宋" w:eastAsia="仿宋"/>
          <w:bCs/>
          <w:color w:val="000000"/>
          <w:szCs w:val="32"/>
        </w:rPr>
        <w:t>一般公共服务（类）纪检监察事务（款） 一般行政管理事务（项）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支出决算为6.52万元，完成预算100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Style w:val="13"/>
          <w:rFonts w:ascii="仿宋" w:hAnsi="仿宋" w:eastAsia="仿宋"/>
          <w:b w:val="0"/>
          <w:bCs/>
          <w:color w:val="000000"/>
          <w:szCs w:val="32"/>
        </w:rPr>
      </w:pPr>
      <w:r>
        <w:rPr>
          <w:rStyle w:val="13"/>
          <w:rFonts w:hint="eastAsia" w:ascii="仿宋" w:hAnsi="仿宋" w:eastAsia="仿宋"/>
          <w:bCs/>
          <w:color w:val="000000"/>
          <w:szCs w:val="32"/>
        </w:rPr>
        <w:t>3</w:t>
      </w:r>
      <w:r>
        <w:rPr>
          <w:rStyle w:val="13"/>
          <w:rFonts w:ascii="仿宋" w:hAnsi="仿宋" w:eastAsia="仿宋"/>
          <w:bCs/>
          <w:color w:val="000000"/>
          <w:szCs w:val="32"/>
        </w:rPr>
        <w:t>.</w:t>
      </w:r>
      <w:r>
        <w:rPr>
          <w:rStyle w:val="13"/>
          <w:rFonts w:hint="eastAsia" w:ascii="仿宋" w:hAnsi="仿宋" w:eastAsia="仿宋"/>
          <w:bCs/>
          <w:color w:val="000000"/>
          <w:szCs w:val="32"/>
        </w:rPr>
        <w:t>一般公共服务（类）纪检监察事务（款） 巡视工作（项）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支出决算为13.84万元，完成预算100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Style w:val="13"/>
          <w:rFonts w:ascii="仿宋" w:hAnsi="仿宋" w:eastAsia="仿宋"/>
          <w:b w:val="0"/>
          <w:bCs/>
          <w:color w:val="000000"/>
          <w:szCs w:val="32"/>
        </w:rPr>
      </w:pPr>
      <w:r>
        <w:rPr>
          <w:rStyle w:val="13"/>
          <w:rFonts w:hint="eastAsia" w:ascii="仿宋" w:hAnsi="仿宋" w:eastAsia="仿宋"/>
          <w:bCs/>
          <w:color w:val="000000"/>
          <w:szCs w:val="32"/>
        </w:rPr>
        <w:t>4</w:t>
      </w:r>
      <w:r>
        <w:rPr>
          <w:rStyle w:val="13"/>
          <w:rFonts w:ascii="仿宋" w:hAnsi="仿宋" w:eastAsia="仿宋"/>
          <w:bCs/>
          <w:color w:val="000000"/>
          <w:szCs w:val="32"/>
        </w:rPr>
        <w:t>.</w:t>
      </w:r>
      <w:r>
        <w:rPr>
          <w:rStyle w:val="13"/>
          <w:rFonts w:hint="eastAsia" w:ascii="仿宋" w:hAnsi="仿宋" w:eastAsia="仿宋"/>
          <w:bCs/>
          <w:color w:val="000000"/>
          <w:szCs w:val="32"/>
        </w:rPr>
        <w:t>一般公共服务（类）纪检监察事务（款） 其他纪检监察事务支出（项）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支出决算为9.41万元，完成预算100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5</w:t>
      </w:r>
      <w:r>
        <w:rPr>
          <w:rStyle w:val="13"/>
          <w:rFonts w:ascii="仿宋" w:hAnsi="仿宋" w:eastAsia="仿宋"/>
          <w:bCs/>
          <w:color w:val="000000"/>
          <w:szCs w:val="32"/>
        </w:rPr>
        <w:t>.</w:t>
      </w:r>
      <w:r>
        <w:rPr>
          <w:rStyle w:val="13"/>
          <w:rFonts w:hint="eastAsia" w:ascii="仿宋" w:hAnsi="仿宋" w:eastAsia="仿宋"/>
          <w:bCs/>
          <w:color w:val="000000"/>
          <w:szCs w:val="32"/>
        </w:rPr>
        <w:t>教育（类）（款）（项）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支出决算为0万元，完成预算100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6</w:t>
      </w:r>
      <w:r>
        <w:rPr>
          <w:rStyle w:val="13"/>
          <w:rFonts w:ascii="仿宋" w:hAnsi="仿宋" w:eastAsia="仿宋"/>
          <w:bCs/>
          <w:color w:val="000000"/>
          <w:szCs w:val="32"/>
        </w:rPr>
        <w:t>.</w:t>
      </w:r>
      <w:r>
        <w:rPr>
          <w:rStyle w:val="13"/>
          <w:rFonts w:hint="eastAsia" w:ascii="仿宋" w:hAnsi="仿宋" w:eastAsia="仿宋"/>
          <w:bCs/>
          <w:color w:val="000000"/>
          <w:szCs w:val="32"/>
        </w:rPr>
        <w:t>科学技术（类）（款）（项）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支出决算为0万元，完成预算100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7</w:t>
      </w:r>
      <w:r>
        <w:rPr>
          <w:rStyle w:val="13"/>
          <w:rFonts w:ascii="仿宋" w:hAnsi="仿宋" w:eastAsia="仿宋"/>
          <w:bCs/>
          <w:color w:val="000000"/>
          <w:szCs w:val="32"/>
        </w:rPr>
        <w:t>.</w:t>
      </w:r>
      <w:r>
        <w:rPr>
          <w:rStyle w:val="13"/>
          <w:rFonts w:hint="eastAsia" w:ascii="仿宋" w:hAnsi="仿宋" w:eastAsia="仿宋"/>
          <w:bCs/>
          <w:color w:val="000000"/>
          <w:szCs w:val="32"/>
        </w:rPr>
        <w:t>文化旅游体育与传媒（类）（款）（项）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支出决算为0万元，完成预算100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8</w:t>
      </w:r>
      <w:r>
        <w:rPr>
          <w:rStyle w:val="13"/>
          <w:rFonts w:ascii="仿宋" w:hAnsi="仿宋" w:eastAsia="仿宋"/>
          <w:bCs/>
          <w:color w:val="000000"/>
          <w:szCs w:val="32"/>
        </w:rPr>
        <w:t>.</w:t>
      </w:r>
      <w:r>
        <w:rPr>
          <w:rStyle w:val="13"/>
          <w:rFonts w:hint="eastAsia" w:ascii="仿宋" w:hAnsi="仿宋" w:eastAsia="仿宋"/>
          <w:bCs/>
          <w:color w:val="000000"/>
          <w:szCs w:val="32"/>
        </w:rPr>
        <w:t>社会保障和就业（类）行政事业单位离退休（款）机关事业单位基本养老保险缴费支出（项）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支出决算为14.19万元，完成预算100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9</w:t>
      </w:r>
      <w:r>
        <w:rPr>
          <w:rStyle w:val="13"/>
          <w:rFonts w:ascii="仿宋" w:hAnsi="仿宋" w:eastAsia="仿宋"/>
          <w:bCs/>
          <w:color w:val="000000"/>
          <w:szCs w:val="32"/>
        </w:rPr>
        <w:t>.</w:t>
      </w:r>
      <w:r>
        <w:rPr>
          <w:rFonts w:hint="eastAsia" w:ascii="仿宋" w:hAnsi="仿宋" w:eastAsia="仿宋"/>
          <w:b/>
          <w:bCs/>
          <w:color w:val="000000" w:themeColor="text1"/>
          <w:szCs w:val="32"/>
        </w:rPr>
        <w:t>卫生健康</w:t>
      </w:r>
      <w:r>
        <w:rPr>
          <w:rStyle w:val="13"/>
          <w:rFonts w:hint="eastAsia" w:ascii="仿宋" w:hAnsi="仿宋" w:eastAsia="仿宋"/>
          <w:bCs/>
          <w:color w:val="000000"/>
          <w:szCs w:val="32"/>
        </w:rPr>
        <w:t>（类）行政事业单位医疗（款）行政单位医疗（项）</w:t>
      </w:r>
      <w:r>
        <w:rPr>
          <w:rStyle w:val="13"/>
          <w:rFonts w:ascii="仿宋" w:hAnsi="仿宋" w:eastAsia="仿宋"/>
          <w:bCs/>
          <w:color w:val="000000"/>
          <w:szCs w:val="32"/>
        </w:rPr>
        <w:t>:</w:t>
      </w:r>
      <w:r>
        <w:rPr>
          <w:rStyle w:val="13"/>
          <w:rFonts w:hint="eastAsia" w:ascii="仿宋" w:hAnsi="仿宋" w:eastAsia="仿宋"/>
          <w:b w:val="0"/>
          <w:bCs/>
          <w:color w:val="000000"/>
          <w:szCs w:val="32"/>
        </w:rPr>
        <w:t>支出决算为7.05万元，完成预算100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10</w:t>
      </w:r>
      <w:r>
        <w:rPr>
          <w:rStyle w:val="13"/>
          <w:rFonts w:ascii="仿宋" w:hAnsi="仿宋" w:eastAsia="仿宋"/>
          <w:bCs/>
          <w:color w:val="000000"/>
          <w:szCs w:val="32"/>
        </w:rPr>
        <w:t>.</w:t>
      </w:r>
      <w:r>
        <w:rPr>
          <w:rStyle w:val="13"/>
          <w:rFonts w:hint="eastAsia" w:ascii="仿宋" w:hAnsi="仿宋" w:eastAsia="仿宋"/>
          <w:bCs/>
          <w:color w:val="000000"/>
          <w:szCs w:val="32"/>
        </w:rPr>
        <w:t>住房保障支出（类）住房改革支出（款）住房公积金（项）：</w:t>
      </w:r>
      <w:r>
        <w:rPr>
          <w:rStyle w:val="13"/>
          <w:rFonts w:hint="eastAsia" w:ascii="仿宋" w:hAnsi="仿宋" w:eastAsia="仿宋"/>
          <w:b w:val="0"/>
          <w:bCs/>
          <w:color w:val="000000"/>
          <w:szCs w:val="32"/>
        </w:rPr>
        <w:t>支出决算为10.93万元，完成预算100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tabs>
          <w:tab w:val="right" w:pos="8306"/>
        </w:tabs>
        <w:spacing w:line="600" w:lineRule="exact"/>
        <w:ind w:firstLine="640"/>
        <w:outlineLvl w:val="1"/>
        <w:rPr>
          <w:rStyle w:val="16"/>
        </w:rPr>
      </w:pPr>
      <w:bookmarkStart w:id="35" w:name="_Toc15396608"/>
      <w:bookmarkStart w:id="36" w:name="_Toc15377214"/>
      <w:bookmarkStart w:id="37" w:name="_Toc31021"/>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6"/>
          <w:rFonts w:hint="eastAsia" w:ascii="黑体" w:hAnsi="黑体" w:eastAsia="黑体"/>
          <w:b w:val="0"/>
        </w:rPr>
        <w:t>般公共预算财政拨款基本支出决算情况说明</w:t>
      </w:r>
      <w:bookmarkEnd w:id="35"/>
      <w:bookmarkEnd w:id="36"/>
      <w:bookmarkEnd w:id="37"/>
      <w:r>
        <w:rPr>
          <w:rStyle w:val="16"/>
          <w:rFonts w:ascii="黑体" w:hAnsi="黑体" w:eastAsia="黑体"/>
          <w:b w:val="0"/>
        </w:rPr>
        <w:tab/>
      </w:r>
    </w:p>
    <w:p>
      <w:pPr>
        <w:spacing w:line="600" w:lineRule="exact"/>
        <w:ind w:firstLine="645"/>
        <w:rPr>
          <w:rFonts w:ascii="仿宋_GB2312" w:hAnsi="仿宋_GB2312" w:cs="仿宋_GB2312"/>
          <w:color w:val="000000"/>
          <w:szCs w:val="32"/>
        </w:rPr>
      </w:pPr>
      <w:r>
        <w:rPr>
          <w:rFonts w:hint="eastAsia" w:ascii="仿宋_GB2312" w:hAnsi="仿宋_GB2312" w:cs="仿宋_GB2312"/>
          <w:color w:val="000000"/>
          <w:szCs w:val="32"/>
        </w:rPr>
        <w:t>2020年一般公共预算财政拨款基本支出180.83万元，其中：</w:t>
      </w:r>
    </w:p>
    <w:p>
      <w:pPr>
        <w:spacing w:line="600" w:lineRule="exact"/>
        <w:ind w:firstLine="645"/>
        <w:rPr>
          <w:rFonts w:ascii="仿宋_GB2312" w:hAnsi="仿宋_GB2312" w:cs="仿宋_GB2312"/>
          <w:color w:val="000000"/>
          <w:szCs w:val="32"/>
        </w:rPr>
      </w:pPr>
      <w:r>
        <w:rPr>
          <w:rFonts w:hint="eastAsia" w:ascii="仿宋_GB2312" w:hAnsi="仿宋_GB2312" w:cs="仿宋_GB2312"/>
          <w:color w:val="000000"/>
          <w:szCs w:val="32"/>
        </w:rPr>
        <w:t>人员经费126.62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ascii="仿宋_GB2312" w:hAnsi="仿宋_GB2312" w:cs="仿宋_GB2312"/>
          <w:color w:val="000000"/>
          <w:szCs w:val="32"/>
        </w:rPr>
      </w:pPr>
      <w:r>
        <w:rPr>
          <w:rFonts w:hint="eastAsia" w:ascii="仿宋_GB2312" w:hAnsi="仿宋_GB2312" w:cs="仿宋_GB2312"/>
          <w:color w:val="000000"/>
          <w:szCs w:val="32"/>
        </w:rPr>
        <w:t>日常公用经费54.21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Style w:val="16"/>
          <w:rFonts w:ascii="黑体" w:hAnsi="黑体" w:eastAsia="黑体"/>
          <w:b w:val="0"/>
        </w:rPr>
      </w:pPr>
      <w:bookmarkStart w:id="38" w:name="_Toc15396609"/>
      <w:bookmarkStart w:id="39" w:name="_Toc15377215"/>
      <w:bookmarkStart w:id="40" w:name="_Toc6926"/>
      <w:r>
        <w:rPr>
          <w:rFonts w:hint="eastAsia" w:ascii="黑体" w:eastAsia="黑体"/>
          <w:color w:val="000000"/>
          <w:szCs w:val="32"/>
        </w:rPr>
        <w:t>七、</w:t>
      </w:r>
      <w:r>
        <w:rPr>
          <w:rStyle w:val="16"/>
          <w:rFonts w:hint="eastAsia" w:ascii="黑体" w:hAnsi="黑体" w:eastAsia="黑体"/>
        </w:rPr>
        <w:t>“</w:t>
      </w:r>
      <w:r>
        <w:rPr>
          <w:rStyle w:val="16"/>
          <w:rFonts w:hint="eastAsia" w:ascii="黑体" w:hAnsi="黑体" w:eastAsia="黑体"/>
          <w:b w:val="0"/>
        </w:rPr>
        <w:t>三公”经费财政拨款支出决算情况说明</w:t>
      </w:r>
      <w:bookmarkEnd w:id="38"/>
      <w:bookmarkEnd w:id="39"/>
      <w:bookmarkEnd w:id="40"/>
    </w:p>
    <w:p>
      <w:pPr>
        <w:spacing w:line="600" w:lineRule="exact"/>
        <w:ind w:firstLine="640"/>
        <w:outlineLvl w:val="2"/>
        <w:rPr>
          <w:rFonts w:ascii="仿宋" w:hAnsi="仿宋" w:eastAsia="仿宋"/>
          <w:b/>
          <w:color w:val="000000"/>
          <w:szCs w:val="32"/>
        </w:rPr>
      </w:pPr>
      <w:bookmarkStart w:id="41" w:name="_Toc15377216"/>
      <w:r>
        <w:rPr>
          <w:rFonts w:hint="eastAsia" w:ascii="仿宋" w:hAnsi="仿宋" w:eastAsia="仿宋"/>
          <w:b/>
          <w:color w:val="000000"/>
          <w:szCs w:val="32"/>
        </w:rPr>
        <w:t>（一）“三公”经费财政拨款支出决算总体情况说明</w:t>
      </w:r>
      <w:bookmarkEnd w:id="41"/>
    </w:p>
    <w:p>
      <w:pPr>
        <w:spacing w:line="600" w:lineRule="exact"/>
        <w:ind w:firstLine="645"/>
        <w:rPr>
          <w:rFonts w:ascii="仿宋_GB2312" w:hAnsi="仿宋_GB2312" w:cs="仿宋_GB2312"/>
          <w:color w:val="000000"/>
          <w:szCs w:val="32"/>
        </w:rPr>
      </w:pPr>
      <w:r>
        <w:rPr>
          <w:color w:val="000000"/>
          <w:szCs w:val="32"/>
        </w:rPr>
        <w:t>2020</w:t>
      </w:r>
      <w:r>
        <w:rPr>
          <w:rFonts w:hint="eastAsia" w:ascii="仿宋_GB2312" w:hAnsi="仿宋_GB2312" w:cs="仿宋_GB2312"/>
          <w:color w:val="000000"/>
          <w:szCs w:val="32"/>
        </w:rPr>
        <w:t>年“三公”经费财政拨款支出决算为</w:t>
      </w:r>
      <w:r>
        <w:rPr>
          <w:rFonts w:hint="eastAsia"/>
          <w:color w:val="000000"/>
          <w:szCs w:val="32"/>
        </w:rPr>
        <w:t>0.2</w:t>
      </w:r>
      <w:r>
        <w:rPr>
          <w:rFonts w:hint="eastAsia" w:ascii="仿宋_GB2312" w:hAnsi="仿宋_GB2312" w:cs="仿宋_GB2312"/>
          <w:color w:val="000000"/>
          <w:szCs w:val="32"/>
        </w:rPr>
        <w:t>万元，完成预算</w:t>
      </w:r>
      <w:r>
        <w:rPr>
          <w:rFonts w:hint="eastAsia"/>
          <w:color w:val="000000"/>
          <w:szCs w:val="32"/>
        </w:rPr>
        <w:t>100%</w:t>
      </w:r>
      <w:r>
        <w:rPr>
          <w:rFonts w:hint="eastAsia" w:ascii="仿宋_GB2312" w:hAnsi="仿宋_GB2312" w:cs="仿宋_GB2312"/>
          <w:color w:val="000000"/>
          <w:szCs w:val="32"/>
        </w:rPr>
        <w:t>，决算数等于预算数。</w:t>
      </w:r>
    </w:p>
    <w:p>
      <w:pPr>
        <w:spacing w:line="600" w:lineRule="exact"/>
        <w:ind w:firstLine="640"/>
        <w:outlineLvl w:val="2"/>
        <w:rPr>
          <w:rFonts w:ascii="仿宋" w:hAnsi="仿宋" w:eastAsia="仿宋"/>
          <w:b/>
          <w:color w:val="000000"/>
          <w:szCs w:val="32"/>
        </w:rPr>
      </w:pPr>
      <w:bookmarkStart w:id="42" w:name="_Toc15377217"/>
      <w:r>
        <w:rPr>
          <w:rFonts w:hint="eastAsia" w:ascii="仿宋" w:hAnsi="仿宋" w:eastAsia="仿宋"/>
          <w:b/>
          <w:color w:val="000000"/>
          <w:szCs w:val="32"/>
        </w:rPr>
        <w:t>（二）“三公”经费财政拨款支出决算具体情况说明</w:t>
      </w:r>
      <w:bookmarkEnd w:id="42"/>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年“三公”经费财政拨款支出决算中，因公出国（境）费支出决算0万元，占0</w:t>
      </w:r>
      <w:r>
        <w:rPr>
          <w:rFonts w:ascii="仿宋" w:hAnsi="仿宋" w:eastAsia="仿宋"/>
          <w:color w:val="000000"/>
          <w:szCs w:val="32"/>
        </w:rPr>
        <w:t>%</w:t>
      </w:r>
      <w:r>
        <w:rPr>
          <w:rFonts w:hint="eastAsia" w:ascii="仿宋" w:hAnsi="仿宋" w:eastAsia="仿宋"/>
          <w:color w:val="000000"/>
          <w:szCs w:val="32"/>
        </w:rPr>
        <w:t>；公务用车购置及运行维护费支出决算0万元，占0</w:t>
      </w:r>
      <w:r>
        <w:rPr>
          <w:rFonts w:ascii="仿宋" w:hAnsi="仿宋" w:eastAsia="仿宋"/>
          <w:color w:val="000000"/>
          <w:szCs w:val="32"/>
        </w:rPr>
        <w:t>%</w:t>
      </w:r>
      <w:r>
        <w:rPr>
          <w:rFonts w:hint="eastAsia" w:ascii="仿宋" w:hAnsi="仿宋" w:eastAsia="仿宋"/>
          <w:color w:val="000000"/>
          <w:szCs w:val="32"/>
        </w:rPr>
        <w:t>；公务接待费支出决算0.2万元，占100</w:t>
      </w:r>
      <w:r>
        <w:rPr>
          <w:rFonts w:ascii="仿宋" w:hAnsi="仿宋" w:eastAsia="仿宋"/>
          <w:color w:val="000000"/>
          <w:szCs w:val="32"/>
        </w:rPr>
        <w:t>%</w:t>
      </w:r>
      <w:r>
        <w:rPr>
          <w:rFonts w:hint="eastAsia" w:ascii="仿宋" w:hAnsi="仿宋" w:eastAsia="仿宋"/>
          <w:color w:val="000000"/>
          <w:szCs w:val="32"/>
        </w:rPr>
        <w:t>。具体情况如下：</w:t>
      </w:r>
    </w:p>
    <w:p>
      <w:pPr>
        <w:spacing w:line="600" w:lineRule="exact"/>
        <w:ind w:firstLine="640"/>
        <w:jc w:val="center"/>
        <w:rPr>
          <w:rFonts w:ascii="仿宋" w:hAnsi="仿宋" w:eastAsia="仿宋"/>
          <w:color w:val="000000"/>
          <w:sz w:val="30"/>
          <w:szCs w:val="30"/>
        </w:rPr>
      </w:pPr>
      <w:r>
        <w:rPr>
          <w:rFonts w:hint="eastAsia" w:ascii="仿宋" w:hAnsi="仿宋" w:eastAsia="仿宋"/>
          <w:color w:val="000000"/>
          <w:sz w:val="30"/>
          <w:szCs w:val="30"/>
        </w:rPr>
        <w:drawing>
          <wp:anchor distT="0" distB="0" distL="114300" distR="114300" simplePos="0" relativeHeight="251665408" behindDoc="0" locked="0" layoutInCell="1" allowOverlap="1">
            <wp:simplePos x="0" y="0"/>
            <wp:positionH relativeFrom="column">
              <wp:posOffset>254635</wp:posOffset>
            </wp:positionH>
            <wp:positionV relativeFrom="page">
              <wp:posOffset>2974340</wp:posOffset>
            </wp:positionV>
            <wp:extent cx="5080000" cy="3810000"/>
            <wp:effectExtent l="4445" t="4445" r="20955" b="14605"/>
            <wp:wrapTopAndBottom/>
            <wp:docPr id="8" name="图表 8"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olor w:val="000000"/>
          <w:sz w:val="30"/>
          <w:szCs w:val="30"/>
        </w:rPr>
        <w:t>（图</w:t>
      </w:r>
      <w:r>
        <w:rPr>
          <w:rFonts w:ascii="仿宋" w:hAnsi="仿宋" w:eastAsia="仿宋"/>
          <w:color w:val="000000"/>
          <w:sz w:val="30"/>
          <w:szCs w:val="30"/>
        </w:rPr>
        <w:t>7</w:t>
      </w:r>
      <w:r>
        <w:rPr>
          <w:rFonts w:hint="eastAsia" w:ascii="仿宋" w:hAnsi="仿宋" w:eastAsia="仿宋"/>
          <w:color w:val="000000"/>
          <w:sz w:val="30"/>
          <w:szCs w:val="30"/>
        </w:rPr>
        <w:t>：“三公”经费财政拨款支出结构）（单位：万元）</w:t>
      </w:r>
    </w:p>
    <w:p>
      <w:pPr>
        <w:spacing w:line="600" w:lineRule="exact"/>
        <w:ind w:firstLine="640"/>
        <w:rPr>
          <w:rFonts w:ascii="仿宋_GB2312"/>
          <w:color w:val="000000"/>
          <w:szCs w:val="32"/>
        </w:rPr>
      </w:pPr>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rPr>
        <w:t>0万元，</w:t>
      </w:r>
      <w:r>
        <w:rPr>
          <w:rStyle w:val="13"/>
          <w:rFonts w:hint="eastAsia" w:ascii="仿宋" w:hAnsi="仿宋" w:eastAsia="仿宋"/>
          <w:b w:val="0"/>
          <w:bCs/>
          <w:color w:val="000000"/>
          <w:szCs w:val="32"/>
        </w:rPr>
        <w:t>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全年安排因公出国（境）团组0次，出国（境）0人。因公出国（境）支出决算与上年持平。</w:t>
      </w:r>
    </w:p>
    <w:p>
      <w:pPr>
        <w:spacing w:line="600" w:lineRule="exact"/>
        <w:ind w:firstLine="640"/>
        <w:rPr>
          <w:rFonts w:ascii="仿宋_GB2312"/>
          <w:b/>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hint="eastAsia" w:ascii="仿宋_GB2312"/>
          <w:color w:val="000000"/>
          <w:szCs w:val="32"/>
        </w:rPr>
        <w:t>0万元</w:t>
      </w:r>
      <w:r>
        <w:rPr>
          <w:rFonts w:ascii="仿宋_GB2312"/>
          <w:color w:val="000000"/>
          <w:szCs w:val="32"/>
        </w:rPr>
        <w:t>,</w:t>
      </w:r>
      <w:r>
        <w:rPr>
          <w:rStyle w:val="13"/>
          <w:rFonts w:hint="eastAsia" w:ascii="仿宋" w:hAnsi="仿宋" w:eastAsia="仿宋"/>
          <w:b w:val="0"/>
          <w:bCs/>
          <w:color w:val="000000"/>
          <w:szCs w:val="32"/>
        </w:rPr>
        <w:t>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公务用车购置及运行维护费支出决算与上年持平。</w:t>
      </w:r>
    </w:p>
    <w:p>
      <w:pPr>
        <w:spacing w:line="600" w:lineRule="exact"/>
        <w:ind w:firstLine="640" w:firstLineChars="200"/>
        <w:rPr>
          <w:rFonts w:ascii="仿宋_GB2312"/>
          <w:b/>
          <w:color w:val="000000"/>
          <w:szCs w:val="32"/>
        </w:rPr>
      </w:pPr>
      <w:r>
        <w:rPr>
          <w:rFonts w:hint="eastAsia" w:ascii="仿宋_GB2312"/>
          <w:color w:val="000000"/>
          <w:szCs w:val="32"/>
        </w:rPr>
        <w:t>其中：</w:t>
      </w:r>
      <w:r>
        <w:rPr>
          <w:rFonts w:hint="eastAsia" w:ascii="仿宋_GB2312"/>
          <w:b/>
          <w:color w:val="000000"/>
          <w:szCs w:val="32"/>
        </w:rPr>
        <w:t>公务用车购置支出</w:t>
      </w:r>
      <w:r>
        <w:rPr>
          <w:rFonts w:hint="eastAsia" w:ascii="仿宋_GB2312"/>
          <w:color w:val="000000"/>
          <w:szCs w:val="32"/>
        </w:rPr>
        <w:t>0万元。全年按规定更新购置公务用车0辆，其中：轿车0辆、金额0万元，越野车0辆、金额0万元，载客汽车0辆、金额0万元。截至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月底，单位共有公务用车0辆，其中：轿车0辆、越野车0辆、载客汽车0辆。</w:t>
      </w:r>
    </w:p>
    <w:p>
      <w:pPr>
        <w:spacing w:line="600" w:lineRule="exact"/>
        <w:ind w:firstLine="640"/>
        <w:rPr>
          <w:rFonts w:ascii="仿宋_GB2312"/>
          <w:color w:val="000000"/>
          <w:szCs w:val="32"/>
        </w:rPr>
      </w:pPr>
      <w:r>
        <w:rPr>
          <w:rFonts w:hint="eastAsia" w:ascii="仿宋_GB2312"/>
          <w:b/>
          <w:color w:val="000000"/>
          <w:szCs w:val="32"/>
        </w:rPr>
        <w:t>公务用车运行维护费支出</w:t>
      </w:r>
      <w:r>
        <w:rPr>
          <w:rFonts w:hint="eastAsia" w:ascii="仿宋_GB2312"/>
          <w:color w:val="000000"/>
          <w:szCs w:val="32"/>
        </w:rPr>
        <w:t>0万元。</w:t>
      </w:r>
    </w:p>
    <w:p>
      <w:pPr>
        <w:spacing w:line="600" w:lineRule="exact"/>
        <w:ind w:firstLine="640"/>
        <w:rPr>
          <w:rFonts w:ascii="仿宋_GB2312"/>
          <w:color w:val="000000"/>
          <w:szCs w:val="32"/>
        </w:rPr>
      </w:pPr>
      <w:r>
        <w:rPr>
          <w:rFonts w:ascii="仿宋_GB2312"/>
          <w:b/>
          <w:color w:val="000000"/>
          <w:szCs w:val="32"/>
        </w:rPr>
        <w:t>3.</w:t>
      </w:r>
      <w:r>
        <w:rPr>
          <w:rFonts w:hint="eastAsia" w:ascii="仿宋_GB2312"/>
          <w:b/>
          <w:color w:val="000000"/>
          <w:szCs w:val="32"/>
        </w:rPr>
        <w:t>公务接待费支出</w:t>
      </w:r>
      <w:r>
        <w:rPr>
          <w:rFonts w:hint="eastAsia" w:ascii="仿宋_GB2312"/>
          <w:color w:val="000000"/>
          <w:szCs w:val="32"/>
        </w:rPr>
        <w:t>0.2万元，</w:t>
      </w:r>
      <w:r>
        <w:rPr>
          <w:rStyle w:val="13"/>
          <w:rFonts w:hint="eastAsia" w:ascii="仿宋" w:hAnsi="仿宋" w:eastAsia="仿宋"/>
          <w:b w:val="0"/>
          <w:bCs/>
          <w:color w:val="000000"/>
          <w:szCs w:val="32"/>
        </w:rPr>
        <w:t>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公务接待费支出决算与上年持平。其中：</w:t>
      </w:r>
    </w:p>
    <w:p>
      <w:pPr>
        <w:spacing w:line="600" w:lineRule="exact"/>
        <w:ind w:firstLine="640"/>
        <w:rPr>
          <w:rFonts w:ascii="仿宋_GB2312"/>
          <w:color w:val="000000"/>
          <w:szCs w:val="32"/>
        </w:rPr>
      </w:pPr>
      <w:r>
        <w:rPr>
          <w:rFonts w:hint="eastAsia" w:ascii="仿宋" w:hAnsi="仿宋" w:eastAsia="仿宋"/>
          <w:b/>
          <w:color w:val="000000"/>
          <w:szCs w:val="32"/>
        </w:rPr>
        <w:t>国内公务接待支出</w:t>
      </w:r>
      <w:r>
        <w:rPr>
          <w:rFonts w:hint="eastAsia" w:ascii="仿宋" w:hAnsi="仿宋" w:eastAsia="仿宋"/>
          <w:color w:val="000000"/>
          <w:szCs w:val="32"/>
        </w:rPr>
        <w:t>0.2</w:t>
      </w:r>
      <w:r>
        <w:rPr>
          <w:rFonts w:hint="eastAsia" w:ascii="仿宋_GB2312"/>
          <w:color w:val="000000"/>
          <w:szCs w:val="32"/>
        </w:rPr>
        <w:t>万元，主要用于执行公务、开展业务活动开支的交通费、住宿费、用餐费等。国内公务接待20批次，20人次（不包括陪同人员），共计支出0.2万元，具体内容包括：上级巡视巡察机构调研座谈以及其他区县巡察机构交流联系，合计0.2万元。</w:t>
      </w:r>
    </w:p>
    <w:p>
      <w:pPr>
        <w:spacing w:line="600" w:lineRule="exact"/>
        <w:ind w:firstLine="643" w:firstLineChars="200"/>
        <w:rPr>
          <w:rFonts w:ascii="黑体" w:eastAsia="黑体"/>
          <w:color w:val="000000"/>
          <w:szCs w:val="32"/>
        </w:rPr>
      </w:pPr>
      <w:r>
        <w:rPr>
          <w:rFonts w:hint="eastAsia" w:ascii="仿宋" w:hAnsi="仿宋" w:eastAsia="仿宋"/>
          <w:b/>
          <w:color w:val="000000"/>
          <w:szCs w:val="32"/>
        </w:rPr>
        <w:t>外事接待支出</w:t>
      </w:r>
      <w:r>
        <w:rPr>
          <w:rFonts w:hint="eastAsia" w:ascii="仿宋" w:hAnsi="仿宋" w:eastAsia="仿宋"/>
          <w:color w:val="000000"/>
          <w:szCs w:val="32"/>
        </w:rPr>
        <w:t>0</w:t>
      </w:r>
      <w:r>
        <w:rPr>
          <w:rFonts w:hint="eastAsia" w:ascii="仿宋_GB2312"/>
          <w:color w:val="000000"/>
          <w:szCs w:val="32"/>
        </w:rPr>
        <w:t>万元，外事接待0批次，0人，共计支出0万元。</w:t>
      </w:r>
      <w:bookmarkStart w:id="43" w:name="_Toc15377218"/>
      <w:bookmarkStart w:id="44" w:name="_Toc15396610"/>
    </w:p>
    <w:p>
      <w:pPr>
        <w:spacing w:line="600" w:lineRule="exact"/>
        <w:ind w:firstLine="640"/>
        <w:outlineLvl w:val="1"/>
        <w:rPr>
          <w:rStyle w:val="16"/>
          <w:rFonts w:ascii="黑体" w:hAnsi="黑体" w:eastAsia="黑体"/>
        </w:rPr>
      </w:pPr>
      <w:bookmarkStart w:id="45" w:name="_Toc9843"/>
      <w:r>
        <w:rPr>
          <w:rFonts w:hint="eastAsia" w:ascii="黑体" w:eastAsia="黑体"/>
          <w:color w:val="000000"/>
          <w:szCs w:val="32"/>
        </w:rPr>
        <w:t>八、</w:t>
      </w:r>
      <w:r>
        <w:rPr>
          <w:rStyle w:val="16"/>
          <w:rFonts w:hint="eastAsia" w:ascii="黑体" w:hAnsi="黑体" w:eastAsia="黑体"/>
          <w:b w:val="0"/>
        </w:rPr>
        <w:t>政府性基金预算支出决算情况说明</w:t>
      </w:r>
      <w:bookmarkEnd w:id="43"/>
      <w:bookmarkEnd w:id="44"/>
      <w:bookmarkEnd w:id="45"/>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年政府性基金预算拨款支出0万元。</w:t>
      </w:r>
    </w:p>
    <w:p>
      <w:pPr>
        <w:numPr>
          <w:ilvl w:val="0"/>
          <w:numId w:val="2"/>
        </w:numPr>
        <w:spacing w:line="600" w:lineRule="exact"/>
        <w:ind w:firstLine="640"/>
        <w:outlineLvl w:val="1"/>
        <w:rPr>
          <w:rStyle w:val="16"/>
          <w:rFonts w:ascii="黑体" w:hAnsi="黑体" w:eastAsia="黑体"/>
          <w:b w:val="0"/>
        </w:rPr>
      </w:pPr>
      <w:bookmarkStart w:id="46" w:name="_Toc15377219"/>
      <w:bookmarkStart w:id="47" w:name="_Toc15396611"/>
      <w:bookmarkStart w:id="48" w:name="_Toc10775"/>
      <w:r>
        <w:rPr>
          <w:rStyle w:val="16"/>
          <w:rFonts w:hint="eastAsia" w:ascii="黑体" w:hAnsi="黑体" w:eastAsia="黑体"/>
          <w:b w:val="0"/>
        </w:rPr>
        <w:t>国有资本经营预算支出决算情况说明</w:t>
      </w:r>
      <w:bookmarkEnd w:id="46"/>
      <w:bookmarkEnd w:id="47"/>
      <w:bookmarkEnd w:id="48"/>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年国有资本经营预算拨款支出0万元。</w:t>
      </w:r>
    </w:p>
    <w:p>
      <w:pPr>
        <w:spacing w:line="600" w:lineRule="exact"/>
        <w:ind w:firstLine="800" w:firstLineChars="250"/>
        <w:outlineLvl w:val="1"/>
        <w:rPr>
          <w:rStyle w:val="16"/>
          <w:rFonts w:ascii="黑体" w:hAnsi="黑体" w:eastAsia="黑体"/>
        </w:rPr>
      </w:pPr>
      <w:bookmarkStart w:id="49" w:name="_Toc15396612"/>
      <w:bookmarkStart w:id="50" w:name="_Toc15377221"/>
      <w:bookmarkStart w:id="51" w:name="_Toc738"/>
      <w:r>
        <w:rPr>
          <w:rFonts w:hint="eastAsia" w:ascii="黑体" w:hAnsi="黑体" w:eastAsia="黑体"/>
          <w:color w:val="000000"/>
          <w:szCs w:val="32"/>
        </w:rPr>
        <w:t>十</w:t>
      </w:r>
      <w:r>
        <w:rPr>
          <w:rStyle w:val="16"/>
          <w:rFonts w:hint="eastAsia" w:ascii="黑体" w:hAnsi="黑体" w:eastAsia="黑体"/>
        </w:rPr>
        <w:t>、</w:t>
      </w:r>
      <w:r>
        <w:rPr>
          <w:rStyle w:val="16"/>
          <w:rFonts w:hint="eastAsia" w:ascii="黑体" w:hAnsi="黑体" w:eastAsia="黑体"/>
          <w:b w:val="0"/>
        </w:rPr>
        <w:t>其他重要事项的情况说明</w:t>
      </w:r>
      <w:bookmarkEnd w:id="49"/>
      <w:bookmarkEnd w:id="50"/>
      <w:bookmarkEnd w:id="51"/>
    </w:p>
    <w:p>
      <w:pPr>
        <w:spacing w:line="600" w:lineRule="exact"/>
        <w:ind w:firstLine="643" w:firstLineChars="200"/>
        <w:outlineLvl w:val="2"/>
        <w:rPr>
          <w:rFonts w:ascii="仿宋" w:hAnsi="仿宋" w:eastAsia="仿宋"/>
          <w:color w:val="000000"/>
          <w:szCs w:val="32"/>
        </w:rPr>
      </w:pPr>
      <w:bookmarkStart w:id="52" w:name="_Toc15377222"/>
      <w:r>
        <w:rPr>
          <w:rFonts w:hint="eastAsia" w:ascii="仿宋" w:hAnsi="仿宋" w:eastAsia="仿宋"/>
          <w:b/>
          <w:color w:val="000000"/>
          <w:szCs w:val="32"/>
        </w:rPr>
        <w:t>（一）机关运行经费支出情况</w:t>
      </w:r>
      <w:bookmarkEnd w:id="52"/>
    </w:p>
    <w:p>
      <w:pPr>
        <w:spacing w:line="600" w:lineRule="exact"/>
        <w:ind w:firstLine="640" w:firstLineChars="200"/>
        <w:rPr>
          <w:rFonts w:ascii="仿宋" w:hAnsi="仿宋" w:eastAsia="仿宋"/>
          <w:b/>
          <w:color w:val="FF0000"/>
          <w:szCs w:val="32"/>
        </w:rPr>
      </w:pPr>
      <w:r>
        <w:rPr>
          <w:rFonts w:ascii="仿宋_GB2312"/>
          <w:color w:val="000000"/>
          <w:szCs w:val="32"/>
        </w:rPr>
        <w:t>2020</w:t>
      </w:r>
      <w:r>
        <w:rPr>
          <w:rFonts w:hint="eastAsia" w:ascii="仿宋_GB2312"/>
          <w:color w:val="000000"/>
          <w:szCs w:val="32"/>
        </w:rPr>
        <w:t>年，自流井区委巡察办</w:t>
      </w:r>
      <w:r>
        <w:rPr>
          <w:rFonts w:hint="eastAsia" w:ascii="仿宋_GB2312"/>
          <w:color w:val="000000"/>
          <w:szCs w:val="32"/>
          <w:lang w:eastAsia="zh-CN"/>
        </w:rPr>
        <w:t>（本级）</w:t>
      </w:r>
      <w:r>
        <w:rPr>
          <w:rFonts w:hint="eastAsia" w:ascii="仿宋_GB2312"/>
          <w:color w:val="000000"/>
          <w:szCs w:val="32"/>
        </w:rPr>
        <w:t>机关运行经费支出54.21万元，比</w:t>
      </w:r>
      <w:r>
        <w:rPr>
          <w:rFonts w:ascii="仿宋_GB2312"/>
          <w:color w:val="000000"/>
          <w:szCs w:val="32"/>
        </w:rPr>
        <w:t>2019</w:t>
      </w:r>
      <w:r>
        <w:rPr>
          <w:rFonts w:hint="eastAsia" w:ascii="仿宋_GB2312"/>
          <w:color w:val="000000"/>
          <w:szCs w:val="32"/>
        </w:rPr>
        <w:t>年增加32.62万元，增长151</w:t>
      </w:r>
      <w:r>
        <w:rPr>
          <w:rFonts w:ascii="仿宋_GB2312"/>
          <w:color w:val="000000"/>
          <w:szCs w:val="32"/>
        </w:rPr>
        <w:t>%</w:t>
      </w:r>
      <w:r>
        <w:rPr>
          <w:rFonts w:hint="eastAsia" w:ascii="仿宋_GB2312"/>
          <w:color w:val="000000"/>
          <w:szCs w:val="32"/>
        </w:rPr>
        <w:t>。</w:t>
      </w:r>
      <w:r>
        <w:rPr>
          <w:rFonts w:hint="eastAsia" w:ascii="仿宋_GB2312" w:hAnsi="仿宋_GB2312" w:cs="仿宋_GB2312"/>
          <w:color w:val="000000"/>
          <w:szCs w:val="32"/>
        </w:rPr>
        <w:t>主要变动原因是</w:t>
      </w:r>
      <w:r>
        <w:rPr>
          <w:rFonts w:hint="eastAsia" w:ascii="仿宋_GB2312" w:hAnsi="仿宋_GB2312" w:cs="仿宋_GB2312"/>
          <w:szCs w:val="32"/>
        </w:rPr>
        <w:t>2019年单位人员未配齐，自2020年1月起至年底，财政供养人员配齐13人，因此而产生的人员经费、养老、公积金等费用增加，属于正常变动。</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3" w:name="_Toc15377223"/>
      <w:r>
        <w:rPr>
          <w:rFonts w:hint="eastAsia" w:ascii="仿宋" w:hAnsi="仿宋" w:eastAsia="仿宋"/>
          <w:b/>
          <w:color w:val="000000"/>
          <w:szCs w:val="32"/>
        </w:rPr>
        <w:t>（二）政府采购支出情况</w:t>
      </w:r>
      <w:bookmarkEnd w:id="53"/>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年，自流井区委巡察办</w:t>
      </w:r>
      <w:r>
        <w:rPr>
          <w:rFonts w:hint="eastAsia" w:ascii="仿宋_GB2312"/>
          <w:color w:val="000000"/>
          <w:szCs w:val="32"/>
          <w:lang w:eastAsia="zh-CN"/>
        </w:rPr>
        <w:t>（本级）</w:t>
      </w:r>
      <w:r>
        <w:rPr>
          <w:rFonts w:hint="eastAsia" w:ascii="仿宋_GB2312"/>
          <w:color w:val="000000"/>
          <w:szCs w:val="32"/>
        </w:rPr>
        <w:t>政府采购支出总额3.89万元，其中：政府采购货物支出3.89万元、政府采购工程支出0万元、政府采购服务支出0万元。主要用于办公设备购置。授予中小企业合同金额3.89万元，占政府采购支出总额的100</w:t>
      </w:r>
      <w:r>
        <w:rPr>
          <w:rFonts w:ascii="仿宋_GB2312"/>
          <w:color w:val="000000"/>
          <w:szCs w:val="32"/>
        </w:rPr>
        <w:t>%</w:t>
      </w:r>
      <w:r>
        <w:rPr>
          <w:rFonts w:hint="eastAsia" w:ascii="仿宋_GB2312"/>
          <w:color w:val="000000"/>
          <w:szCs w:val="32"/>
        </w:rPr>
        <w:t>，其中：授予小微企业合同金额3.89万元，占政府采购支出总额的100</w:t>
      </w:r>
      <w:r>
        <w:rPr>
          <w:rFonts w:ascii="仿宋_GB2312"/>
          <w:color w:val="000000"/>
          <w:szCs w:val="32"/>
        </w:rPr>
        <w:t>%</w:t>
      </w:r>
      <w:r>
        <w:rPr>
          <w:rFonts w:hint="eastAsia" w:ascii="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4" w:name="_Toc15377224"/>
      <w:r>
        <w:rPr>
          <w:rFonts w:hint="eastAsia" w:ascii="仿宋" w:hAnsi="仿宋" w:eastAsia="仿宋"/>
          <w:b/>
          <w:color w:val="000000"/>
          <w:szCs w:val="32"/>
        </w:rPr>
        <w:t>（三）国有资产占有使用情况</w:t>
      </w:r>
      <w:bookmarkEnd w:id="54"/>
    </w:p>
    <w:p>
      <w:pPr>
        <w:autoSpaceDE w:val="0"/>
        <w:autoSpaceDN w:val="0"/>
        <w:adjustRightInd w:val="0"/>
        <w:spacing w:line="600" w:lineRule="exact"/>
        <w:ind w:firstLine="640" w:firstLineChars="200"/>
        <w:jc w:val="left"/>
        <w:rPr>
          <w:rFonts w:ascii="仿宋" w:hAnsi="仿宋" w:eastAsia="仿宋"/>
          <w:b/>
          <w:color w:val="FF0000"/>
          <w:szCs w:val="32"/>
        </w:rPr>
      </w:pPr>
      <w:r>
        <w:rPr>
          <w:rFonts w:hint="eastAsia" w:ascii="仿宋_GB2312"/>
          <w:color w:val="000000"/>
          <w:szCs w:val="32"/>
        </w:rPr>
        <w:t>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w:t>
      </w:r>
      <w:r>
        <w:rPr>
          <w:rFonts w:ascii="仿宋_GB2312"/>
          <w:color w:val="000000"/>
          <w:szCs w:val="32"/>
        </w:rPr>
        <w:t>31</w:t>
      </w:r>
      <w:r>
        <w:rPr>
          <w:rFonts w:hint="eastAsia" w:ascii="仿宋_GB2312"/>
          <w:color w:val="000000"/>
          <w:szCs w:val="32"/>
        </w:rPr>
        <w:t>日，自流井区委巡察办</w:t>
      </w:r>
      <w:r>
        <w:rPr>
          <w:rFonts w:hint="eastAsia" w:ascii="仿宋_GB2312"/>
          <w:color w:val="000000"/>
          <w:szCs w:val="32"/>
          <w:lang w:eastAsia="zh-CN"/>
        </w:rPr>
        <w:t>（本级）</w:t>
      </w:r>
      <w:r>
        <w:rPr>
          <w:rFonts w:hint="eastAsia" w:ascii="仿宋_GB2312"/>
          <w:color w:val="000000"/>
          <w:szCs w:val="32"/>
        </w:rPr>
        <w:t>共有车辆0辆，其中：主要领导干部用车0辆、机要通信用车0辆、应急保障用车0辆、其他用车0辆，单价</w:t>
      </w:r>
      <w:r>
        <w:rPr>
          <w:rFonts w:ascii="仿宋_GB2312"/>
          <w:color w:val="000000"/>
          <w:szCs w:val="32"/>
        </w:rPr>
        <w:t>50</w:t>
      </w:r>
      <w:r>
        <w:rPr>
          <w:rFonts w:hint="eastAsia" w:ascii="仿宋_GB2312"/>
          <w:color w:val="000000"/>
          <w:szCs w:val="32"/>
        </w:rPr>
        <w:t>万元以上通用设备0台（套），单价</w:t>
      </w:r>
      <w:r>
        <w:rPr>
          <w:rFonts w:ascii="仿宋_GB2312"/>
          <w:color w:val="000000"/>
          <w:szCs w:val="32"/>
        </w:rPr>
        <w:t>100</w:t>
      </w:r>
      <w:r>
        <w:rPr>
          <w:rFonts w:hint="eastAsia" w:ascii="仿宋_GB2312"/>
          <w:color w:val="000000"/>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color w:val="000000"/>
          <w:szCs w:val="32"/>
        </w:rPr>
      </w:pPr>
      <w:r>
        <w:rPr>
          <w:rFonts w:hint="eastAsia" w:ascii="仿宋" w:hAnsi="仿宋" w:eastAsia="仿宋"/>
          <w:b/>
          <w:color w:val="000000"/>
          <w:szCs w:val="32"/>
        </w:rPr>
        <w:t>（四）预算绩效管理情况。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根据预算绩效管理要求，本单位在年初预算编制阶段，组织对巡察办巡察组工作经费项目开展了预算事前绩效评估，对1个项目编制了绩效目标，预算执行过程中，选取1个项目开展绩效监控，年终执行完毕后，对1个项目开展了绩效目标完成情况自评。</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lang w:eastAsia="zh-CN"/>
        </w:rPr>
        <w:t>本单位</w:t>
      </w:r>
      <w:r>
        <w:rPr>
          <w:rFonts w:hint="eastAsia" w:ascii="仿宋_GB2312" w:hAnsi="仿宋_GB2312" w:cs="仿宋_GB2312"/>
          <w:szCs w:val="32"/>
        </w:rPr>
        <w:t>按要求对</w:t>
      </w:r>
      <w:r>
        <w:rPr>
          <w:rFonts w:ascii="仿宋_GB2312" w:hAnsi="仿宋_GB2312" w:cs="仿宋_GB2312"/>
          <w:szCs w:val="32"/>
        </w:rPr>
        <w:t>2020</w:t>
      </w:r>
      <w:r>
        <w:rPr>
          <w:rFonts w:hint="eastAsia" w:ascii="仿宋_GB2312" w:hAnsi="仿宋_GB2312" w:cs="仿宋_GB2312"/>
          <w:szCs w:val="32"/>
        </w:rPr>
        <w:t>年部门整体支出开展绩效自评，从评价情况来看按照《中共自贡市自流井区委巡察工作规划（2017年—2021年）》（新修订）和《中共自贡市自流井区委员会关于以政治建设为统领全面深化政治巡察的实施意见》要求，牢牢把握政治巡察定位，进一步完善巡察协作、问题线索移交、情况通报等各项机制，提升巡察工作制度化、规范化、科学化水平，加强工作创新，强化队伍建设，高质量推进巡察工作，提前完成本届巡察任务。</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w:t>
      </w:r>
      <w:r>
        <w:rPr>
          <w:rFonts w:hint="eastAsia" w:ascii="仿宋_GB2312" w:hAnsi="仿宋_GB2312" w:cs="仿宋_GB2312"/>
          <w:szCs w:val="32"/>
          <w:lang w:eastAsia="zh-CN"/>
        </w:rPr>
        <w:t>单位</w:t>
      </w:r>
      <w:r>
        <w:rPr>
          <w:rFonts w:hint="eastAsia" w:ascii="仿宋_GB2312" w:hAnsi="仿宋_GB2312" w:cs="仿宋_GB2312"/>
          <w:szCs w:val="32"/>
        </w:rPr>
        <w:t>还自行组织了1个项目支出绩效评价，从评价情况来看高质量推进巡察工作，完成对17个党组织的常规巡察，占本届巡察任务的30%，提前完成本届巡察任务。</w:t>
      </w:r>
    </w:p>
    <w:p>
      <w:pPr>
        <w:numPr>
          <w:ilvl w:val="0"/>
          <w:numId w:val="3"/>
        </w:numPr>
        <w:spacing w:line="580" w:lineRule="exact"/>
        <w:ind w:firstLine="640" w:firstLineChars="200"/>
        <w:rPr>
          <w:rFonts w:ascii="仿宋_GB2312" w:hAnsi="仿宋_GB2312" w:cs="仿宋_GB2312"/>
          <w:szCs w:val="32"/>
        </w:rPr>
      </w:pPr>
      <w:r>
        <w:rPr>
          <w:rFonts w:hint="eastAsia" w:ascii="楷体_GB2312" w:hAnsi="楷体_GB2312" w:eastAsia="楷体_GB2312" w:cs="楷体_GB2312"/>
          <w:szCs w:val="32"/>
        </w:rPr>
        <w:t>项目绩效目标完成情况。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lang w:eastAsia="zh-CN"/>
        </w:rPr>
        <w:t>本单位</w:t>
      </w:r>
      <w:r>
        <w:rPr>
          <w:rFonts w:hint="eastAsia" w:ascii="仿宋_GB2312" w:hAnsi="仿宋_GB2312" w:cs="仿宋_GB2312"/>
          <w:szCs w:val="32"/>
        </w:rPr>
        <w:t>在</w:t>
      </w:r>
      <w:r>
        <w:rPr>
          <w:rFonts w:ascii="仿宋_GB2312" w:hAnsi="仿宋_GB2312" w:cs="仿宋_GB2312"/>
          <w:szCs w:val="32"/>
        </w:rPr>
        <w:t>2020</w:t>
      </w:r>
      <w:r>
        <w:rPr>
          <w:rFonts w:hint="eastAsia" w:ascii="仿宋_GB2312" w:hAnsi="仿宋_GB2312" w:cs="仿宋_GB2312"/>
          <w:szCs w:val="32"/>
        </w:rPr>
        <w:t>年度部门决算中反映“巡察办巡察组工作经费”专项1个项目绩效目标实际完成情况。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w:t>
      </w:r>
      <w:r>
        <w:rPr>
          <w:rFonts w:ascii="仿宋_GB2312" w:hAnsi="仿宋_GB2312" w:cs="仿宋_GB2312"/>
          <w:szCs w:val="32"/>
        </w:rPr>
        <w:t>1</w:t>
      </w:r>
      <w:r>
        <w:rPr>
          <w:rFonts w:hint="eastAsia" w:ascii="仿宋_GB2312" w:hAnsi="仿宋_GB2312" w:cs="仿宋_GB2312"/>
          <w:szCs w:val="32"/>
        </w:rPr>
        <w:t>）巡察办巡察组工作经费项目绩效目标完成情况综述。项目全年预算数13.84万元，执行数为13.84万元，完成预算的100</w:t>
      </w:r>
      <w:r>
        <w:rPr>
          <w:rFonts w:ascii="仿宋_GB2312" w:hAnsi="仿宋_GB2312" w:cs="仿宋_GB2312"/>
          <w:szCs w:val="32"/>
        </w:rPr>
        <w:t>%</w:t>
      </w:r>
      <w:r>
        <w:rPr>
          <w:rFonts w:hint="eastAsia" w:ascii="仿宋_GB2312" w:hAnsi="仿宋_GB2312" w:cs="仿宋_GB2312"/>
          <w:szCs w:val="32"/>
        </w:rPr>
        <w:t>。通过项目实施，牢牢把握政治巡察定位，进一步完善巡察协作、问题线索移交、情况通报等各项机制，提升巡察工作制度化、规范化、科学化水平，加强工作创新，强化队伍建设，高质量推进巡察工作，提前完成本届巡察任务。</w:t>
      </w:r>
    </w:p>
    <w:p>
      <w:pPr>
        <w:spacing w:line="580" w:lineRule="exact"/>
        <w:ind w:firstLine="640" w:firstLineChars="200"/>
        <w:rPr>
          <w:rFonts w:ascii="仿宋_GB2312" w:hAnsi="仿宋_GB2312" w:cs="仿宋_GB2312"/>
          <w:szCs w:val="32"/>
        </w:rPr>
      </w:pPr>
    </w:p>
    <w:tbl>
      <w:tblPr>
        <w:tblStyle w:val="11"/>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b/>
                <w:bCs/>
                <w:color w:val="000000"/>
                <w:kern w:val="0"/>
                <w:sz w:val="36"/>
                <w:szCs w:val="36"/>
              </w:rPr>
            </w:pPr>
          </w:p>
          <w:p>
            <w:pPr>
              <w:widowControl/>
              <w:jc w:val="center"/>
              <w:textAlignment w:val="center"/>
              <w:rPr>
                <w:rFonts w:ascii="宋体" w:hAnsi="宋体" w:cs="宋体"/>
                <w:b/>
                <w:bCs/>
                <w:color w:val="000000"/>
                <w:kern w:val="0"/>
                <w:sz w:val="36"/>
                <w:szCs w:val="36"/>
              </w:rPr>
            </w:pPr>
          </w:p>
          <w:p>
            <w:pPr>
              <w:widowControl/>
              <w:jc w:val="center"/>
              <w:textAlignment w:val="center"/>
              <w:rPr>
                <w:rFonts w:ascii="宋体" w:hAnsi="宋体" w:cs="宋体"/>
                <w:b/>
                <w:bCs/>
                <w:color w:val="000000"/>
                <w:kern w:val="0"/>
                <w:sz w:val="36"/>
                <w:szCs w:val="36"/>
              </w:rPr>
            </w:pPr>
          </w:p>
          <w:p>
            <w:pPr>
              <w:widowControl/>
              <w:jc w:val="center"/>
              <w:textAlignment w:val="center"/>
              <w:rPr>
                <w:rFonts w:hint="eastAsia" w:ascii="宋体" w:hAnsi="宋体" w:cs="宋体"/>
                <w:b/>
                <w:bCs/>
                <w:color w:val="000000"/>
                <w:kern w:val="0"/>
                <w:sz w:val="36"/>
                <w:szCs w:val="36"/>
              </w:rPr>
            </w:pPr>
          </w:p>
          <w:p>
            <w:pPr>
              <w:widowControl/>
              <w:jc w:val="center"/>
              <w:textAlignment w:val="center"/>
              <w:rPr>
                <w:rFonts w:ascii="宋体" w:hAnsi="宋体" w:cs="宋体"/>
                <w:b/>
                <w:bCs/>
                <w:color w:val="000000"/>
                <w:kern w:val="0"/>
                <w:sz w:val="36"/>
                <w:szCs w:val="36"/>
              </w:rPr>
            </w:pPr>
            <w:r>
              <w:rPr>
                <w:rFonts w:hint="eastAsia" w:ascii="宋体" w:hAnsi="宋体" w:cs="宋体"/>
                <w:b/>
                <w:bCs/>
                <w:color w:val="000000"/>
                <w:kern w:val="0"/>
                <w:sz w:val="36"/>
                <w:szCs w:val="36"/>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rPr>
              <w:t>(2020</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仿宋_GB2312" w:hAnsi="仿宋_GB2312" w:cs="仿宋_GB2312"/>
                <w:sz w:val="24"/>
              </w:rPr>
              <w:t>巡察办巡察组工作经费</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自流井区委巡察办</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13.84</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13.84</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13.84</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13.84</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r>
              <w:rPr>
                <w:rFonts w:hint="eastAsia" w:ascii="宋体" w:cs="宋体"/>
                <w:color w:val="000000"/>
                <w:sz w:val="24"/>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bottom w:val="single" w:color="FFFFFF" w:sz="4" w:space="31"/>
              </w:pBdr>
              <w:overflowPunct w:val="0"/>
              <w:spacing w:line="320" w:lineRule="exact"/>
              <w:rPr>
                <w:rFonts w:hint="eastAsia" w:ascii="宋体" w:cs="宋体"/>
                <w:color w:val="000000"/>
                <w:sz w:val="24"/>
              </w:rPr>
            </w:pPr>
          </w:p>
          <w:p>
            <w:pPr>
              <w:pBdr>
                <w:bottom w:val="single" w:color="FFFFFF" w:sz="4" w:space="31"/>
              </w:pBdr>
              <w:overflowPunct w:val="0"/>
              <w:spacing w:line="320" w:lineRule="exact"/>
              <w:rPr>
                <w:rFonts w:ascii="宋体" w:cs="宋体"/>
                <w:color w:val="000000"/>
                <w:sz w:val="24"/>
              </w:rPr>
            </w:pPr>
            <w:r>
              <w:rPr>
                <w:rFonts w:hint="eastAsia" w:ascii="宋体" w:cs="宋体"/>
                <w:color w:val="000000"/>
                <w:sz w:val="24"/>
              </w:rPr>
              <w:t>按照《中共自贡市自流井区委巡察工作规划（2017年—2021年）》（新修订）和《中共自贡市自流井区委员会关于以政治建设为统领全面深化政治巡察的实施意见》要求，高质量推进巡察工作，完成对17个单位的常规巡察，完成本届巡察任务的30%，提前完成本届巡察任务。</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p>
            <w:pPr>
              <w:jc w:val="left"/>
            </w:pPr>
            <w:r>
              <w:rPr>
                <w:rFonts w:hint="eastAsia" w:ascii="宋体" w:cs="宋体"/>
                <w:color w:val="000000"/>
                <w:sz w:val="24"/>
              </w:rPr>
              <w:t>高质量推进巡察工作，完成对17个党组织的常规巡察，占本届巡察任务的30%，提前完成本届巡察任务。完成年初目标。</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巡察党组织数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rPr>
              <w:t>完成对17个党组织的常规巡察。</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rPr>
              <w:t>完成对17个党组织的常规巡察。</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巡察工作完成率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100%完成预定计划</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100%完成预定计划</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保障巡察工作顺利开展。</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为巡察工作提供物资设备等后勤保障。</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完成预定目标。</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生态效益</w:t>
            </w:r>
          </w:p>
          <w:p>
            <w:pPr>
              <w:widowControl/>
              <w:jc w:val="center"/>
              <w:textAlignment w:val="center"/>
              <w:rPr>
                <w:rFonts w:ascii="宋体" w:cs="宋体"/>
                <w:color w:val="000000"/>
                <w:sz w:val="24"/>
              </w:rPr>
            </w:pPr>
            <w:r>
              <w:rPr>
                <w:rFonts w:hint="eastAsia" w:asci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rPr>
              <w:t>助力营造风清气正良好政治生态</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bottom w:val="single" w:color="FFFFFF" w:sz="4" w:space="31"/>
              </w:pBdr>
              <w:overflowPunct w:val="0"/>
              <w:spacing w:line="320" w:lineRule="exact"/>
              <w:rPr>
                <w:rFonts w:ascii="宋体" w:cs="宋体"/>
                <w:color w:val="000000"/>
                <w:sz w:val="24"/>
              </w:rPr>
            </w:pPr>
            <w:r>
              <w:rPr>
                <w:rFonts w:hint="eastAsia" w:ascii="宋体" w:cs="宋体"/>
                <w:color w:val="000000"/>
                <w:sz w:val="24"/>
              </w:rPr>
              <w:t>坚持在党的全面领导上聚神、加强党的建设上聚力、推进全面从严治党上聚焦，发现问题、形成震慑，助力营造自流井区风清气正良好政治生态。</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达到预期目标。</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可持续影响指标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rPr>
              <w:t>巡察工作持续高效进行。</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20" w:lineRule="exact"/>
              <w:textAlignment w:val="center"/>
              <w:rPr>
                <w:rFonts w:ascii="宋体" w:cs="宋体"/>
                <w:color w:val="000000"/>
                <w:sz w:val="24"/>
              </w:rPr>
            </w:pPr>
            <w:r>
              <w:rPr>
                <w:rFonts w:hint="eastAsia" w:ascii="宋体" w:cs="宋体"/>
                <w:color w:val="000000"/>
                <w:sz w:val="24"/>
              </w:rPr>
              <w:t>进一步完善巡察协作、问题线索移交等各项机制，提升巡察工作制度化、规范化、科学化水平。强化成果运用，对巡察发现的共性问题、普遍性问题，提出巡察建议，督促相关部门从制度层面进行规范，建立长效管用的机制，切实做好巡察“后半篇文章”。</w:t>
            </w:r>
            <w:r>
              <w:rPr>
                <w:rFonts w:hint="eastAsia" w:ascii="仿宋_GB2312"/>
                <w:color w:val="000000" w:themeColor="text1"/>
                <w:szCs w:val="32"/>
              </w:rPr>
              <w:t xml:space="preserve">  </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达到预期目标。</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公众满意度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≥98%</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达到预期目标。</w:t>
            </w:r>
          </w:p>
        </w:tc>
      </w:tr>
    </w:tbl>
    <w:p>
      <w:pPr>
        <w:spacing w:line="580" w:lineRule="exact"/>
        <w:ind w:left="630"/>
        <w:rPr>
          <w:rFonts w:ascii="仿宋_GB2312" w:hAnsi="仿宋_GB2312" w:cs="仿宋_GB2312"/>
          <w:szCs w:val="32"/>
        </w:rPr>
      </w:pPr>
    </w:p>
    <w:p>
      <w:pPr>
        <w:spacing w:line="580" w:lineRule="exact"/>
        <w:ind w:left="630"/>
        <w:rPr>
          <w:rFonts w:ascii="仿宋_GB2312" w:hAnsi="仿宋_GB2312" w:cs="仿宋_GB2312"/>
          <w:szCs w:val="32"/>
        </w:rPr>
      </w:pPr>
      <w:r>
        <w:rPr>
          <w:rFonts w:ascii="楷体_GB2312" w:hAnsi="楷体_GB2312" w:eastAsia="楷体_GB2312" w:cs="楷体_GB2312"/>
          <w:szCs w:val="32"/>
        </w:rPr>
        <w:t>2.</w:t>
      </w:r>
      <w:r>
        <w:rPr>
          <w:rFonts w:hint="eastAsia" w:ascii="楷体_GB2312" w:hAnsi="楷体_GB2312" w:eastAsia="楷体_GB2312" w:cs="楷体_GB2312"/>
          <w:szCs w:val="32"/>
        </w:rPr>
        <w:t>部门绩效评价结果。</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lang w:eastAsia="zh-CN"/>
        </w:rPr>
        <w:t>本单位</w:t>
      </w:r>
      <w:r>
        <w:rPr>
          <w:rFonts w:hint="eastAsia" w:ascii="仿宋_GB2312" w:hAnsi="仿宋_GB2312" w:cs="仿宋_GB2312"/>
          <w:szCs w:val="32"/>
        </w:rPr>
        <w:t>按要求对</w:t>
      </w:r>
      <w:r>
        <w:rPr>
          <w:rFonts w:ascii="仿宋_GB2312" w:hAnsi="仿宋_GB2312" w:cs="仿宋_GB2312"/>
          <w:szCs w:val="32"/>
        </w:rPr>
        <w:t>2020</w:t>
      </w:r>
      <w:r>
        <w:rPr>
          <w:rFonts w:hint="eastAsia" w:ascii="仿宋_GB2312" w:hAnsi="仿宋_GB2312" w:cs="仿宋_GB2312"/>
          <w:szCs w:val="32"/>
        </w:rPr>
        <w:t>年部门整体支出绩效评价情况开展自评，《自流井区委巡察办部门</w:t>
      </w:r>
      <w:r>
        <w:rPr>
          <w:rFonts w:ascii="仿宋_GB2312" w:hAnsi="仿宋_GB2312" w:cs="仿宋_GB2312"/>
          <w:szCs w:val="32"/>
        </w:rPr>
        <w:t>2020</w:t>
      </w:r>
      <w:r>
        <w:rPr>
          <w:rFonts w:hint="eastAsia" w:ascii="仿宋_GB2312" w:hAnsi="仿宋_GB2312" w:cs="仿宋_GB2312"/>
          <w:szCs w:val="32"/>
        </w:rPr>
        <w:t>年部门整体支出绩效评价报告》见附件（附件</w:t>
      </w:r>
      <w:r>
        <w:rPr>
          <w:rFonts w:ascii="仿宋_GB2312" w:hAnsi="仿宋_GB2312" w:cs="仿宋_GB2312"/>
          <w:szCs w:val="32"/>
        </w:rPr>
        <w:t>1</w:t>
      </w:r>
      <w:r>
        <w:rPr>
          <w:rFonts w:hint="eastAsia" w:ascii="仿宋_GB2312" w:hAnsi="仿宋_GB2312" w:cs="仿宋_GB2312"/>
          <w:szCs w:val="32"/>
        </w:rPr>
        <w:t>）。</w:t>
      </w:r>
    </w:p>
    <w:p>
      <w:pPr>
        <w:spacing w:line="580" w:lineRule="exact"/>
        <w:ind w:firstLine="640" w:firstLineChars="200"/>
        <w:rPr>
          <w:rFonts w:ascii="仿宋_GB2312"/>
          <w:b/>
          <w:color w:val="000000"/>
          <w:szCs w:val="32"/>
        </w:rPr>
      </w:pPr>
      <w:r>
        <w:rPr>
          <w:rFonts w:hint="eastAsia" w:ascii="仿宋_GB2312" w:hAnsi="仿宋_GB2312" w:cs="仿宋_GB2312"/>
          <w:szCs w:val="32"/>
          <w:lang w:eastAsia="zh-CN"/>
        </w:rPr>
        <w:t>本单位</w:t>
      </w:r>
      <w:r>
        <w:rPr>
          <w:rFonts w:hint="eastAsia" w:ascii="仿宋_GB2312" w:hAnsi="仿宋_GB2312" w:cs="仿宋_GB2312"/>
          <w:szCs w:val="32"/>
        </w:rPr>
        <w:t>自行组织对“巡察办巡察组工作经费”项目开展了绩效评价，《巡察办巡察组工作经费项目</w:t>
      </w:r>
      <w:r>
        <w:rPr>
          <w:rFonts w:ascii="仿宋_GB2312" w:hAnsi="仿宋_GB2312" w:cs="仿宋_GB2312"/>
          <w:szCs w:val="32"/>
        </w:rPr>
        <w:t>2020</w:t>
      </w:r>
      <w:r>
        <w:rPr>
          <w:rFonts w:hint="eastAsia" w:ascii="仿宋_GB2312" w:hAnsi="仿宋_GB2312" w:cs="仿宋_GB2312"/>
          <w:szCs w:val="32"/>
        </w:rPr>
        <w:t>年绩效评价报告》见附件（附件</w:t>
      </w:r>
      <w:r>
        <w:rPr>
          <w:rFonts w:ascii="仿宋_GB2312" w:hAnsi="仿宋_GB2312" w:cs="仿宋_GB2312"/>
          <w:szCs w:val="32"/>
        </w:rPr>
        <w:t>2</w:t>
      </w:r>
      <w:r>
        <w:rPr>
          <w:rFonts w:hint="eastAsia" w:ascii="仿宋_GB2312" w:hAnsi="仿宋_GB2312" w:cs="仿宋_GB2312"/>
          <w:szCs w:val="32"/>
        </w:rPr>
        <w:t>）。</w:t>
      </w:r>
    </w:p>
    <w:p>
      <w:pPr>
        <w:widowControl/>
        <w:jc w:val="left"/>
        <w:rPr>
          <w:rFonts w:ascii="仿宋_GB2312"/>
          <w:b/>
          <w:color w:val="000000"/>
          <w:szCs w:val="32"/>
        </w:rPr>
      </w:pPr>
      <w:r>
        <w:rPr>
          <w:rFonts w:ascii="仿宋_GB2312"/>
          <w:b/>
          <w:color w:val="000000"/>
          <w:szCs w:val="32"/>
        </w:rPr>
        <w:br w:type="page"/>
      </w:r>
    </w:p>
    <w:p>
      <w:pPr>
        <w:numPr>
          <w:ilvl w:val="0"/>
          <w:numId w:val="4"/>
        </w:numPr>
        <w:spacing w:line="600" w:lineRule="exact"/>
        <w:ind w:firstLine="660" w:firstLineChars="150"/>
        <w:jc w:val="center"/>
        <w:outlineLvl w:val="0"/>
        <w:rPr>
          <w:rStyle w:val="15"/>
          <w:rFonts w:ascii="黑体" w:hAnsi="黑体" w:eastAsia="黑体"/>
          <w:b w:val="0"/>
        </w:rPr>
      </w:pPr>
      <w:bookmarkStart w:id="55" w:name="_Toc15396613"/>
      <w:bookmarkStart w:id="56" w:name="_Toc15377225"/>
      <w:bookmarkStart w:id="57" w:name="_Toc3536"/>
      <w:r>
        <w:rPr>
          <w:rFonts w:hint="eastAsia" w:ascii="黑体" w:hAnsi="黑体" w:eastAsia="黑体"/>
          <w:color w:val="000000"/>
          <w:sz w:val="44"/>
          <w:szCs w:val="44"/>
        </w:rPr>
        <w:t>名</w:t>
      </w:r>
      <w:r>
        <w:rPr>
          <w:rStyle w:val="15"/>
          <w:rFonts w:hint="eastAsia" w:ascii="黑体" w:hAnsi="黑体" w:eastAsia="黑体"/>
          <w:b w:val="0"/>
        </w:rPr>
        <w:t>词解释</w:t>
      </w:r>
      <w:bookmarkEnd w:id="55"/>
      <w:bookmarkEnd w:id="56"/>
      <w:bookmarkEnd w:id="57"/>
    </w:p>
    <w:p>
      <w:pPr>
        <w:spacing w:line="600" w:lineRule="exact"/>
        <w:jc w:val="left"/>
        <w:rPr>
          <w:rFonts w:ascii="宋体"/>
          <w:b/>
          <w:color w:val="000000"/>
          <w:sz w:val="44"/>
          <w:szCs w:val="44"/>
        </w:rPr>
      </w:pPr>
    </w:p>
    <w:p>
      <w:pPr>
        <w:pStyle w:val="18"/>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其他收入：指单位取得的除上述收入以外的各项收入。</w:t>
      </w:r>
      <w:r>
        <w:rPr>
          <w:rFonts w:ascii="仿宋_GB2312" w:eastAsia="仿宋_GB2312"/>
          <w:sz w:val="32"/>
          <w:szCs w:val="32"/>
        </w:rPr>
        <w:t xml:space="preserve"> </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使用非财政拨款结余：指事业单位使用以前年度积累的非财政拨款结余弥补当年收支差额的金额。</w:t>
      </w:r>
      <w:r>
        <w:rPr>
          <w:rFonts w:ascii="仿宋_GB2312" w:eastAsia="仿宋_GB2312"/>
          <w:sz w:val="32"/>
          <w:szCs w:val="32"/>
        </w:rPr>
        <w:t xml:space="preserve"> </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结余分配：指事业单位按照会计制度规定缴纳的所得税、提取的专用结余以及转入非财政拨款结余的金额等。</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、年末结转和结余：指单位按有关规定结转到下年或以后年度继续使用的资金。</w:t>
      </w:r>
    </w:p>
    <w:p>
      <w:pPr>
        <w:widowControl/>
        <w:ind w:firstLine="640" w:firstLineChars="200"/>
        <w:jc w:val="left"/>
        <w:rPr>
          <w:rFonts w:ascii="仿宋_GB2312"/>
          <w:color w:val="000000"/>
          <w:szCs w:val="32"/>
        </w:rPr>
      </w:pPr>
      <w:r>
        <w:rPr>
          <w:rFonts w:hint="eastAsia" w:ascii="仿宋_GB2312"/>
          <w:color w:val="000000"/>
          <w:szCs w:val="32"/>
          <w:lang w:val="en-US" w:eastAsia="zh-CN"/>
        </w:rPr>
        <w:t>7</w:t>
      </w:r>
      <w:r>
        <w:rPr>
          <w:rFonts w:ascii="仿宋_GB2312"/>
          <w:color w:val="000000"/>
          <w:szCs w:val="32"/>
        </w:rPr>
        <w:t>.</w:t>
      </w:r>
      <w:r>
        <w:rPr>
          <w:rFonts w:hint="eastAsia" w:ascii="仿宋_GB2312"/>
          <w:color w:val="000000"/>
          <w:szCs w:val="32"/>
        </w:rPr>
        <w:t>一般公共服务（类）纪检监察事项</w:t>
      </w:r>
      <w:r>
        <w:rPr>
          <w:rFonts w:ascii="仿宋_GB2312"/>
          <w:color w:val="000000"/>
          <w:szCs w:val="32"/>
        </w:rPr>
        <w:t>（款</w:t>
      </w:r>
      <w:r>
        <w:rPr>
          <w:rFonts w:hint="eastAsia" w:ascii="仿宋_GB2312"/>
          <w:color w:val="000000"/>
          <w:szCs w:val="32"/>
        </w:rPr>
        <w:t>）行政运行（项）</w:t>
      </w:r>
      <w:r>
        <w:rPr>
          <w:rFonts w:ascii="仿宋_GB2312"/>
          <w:color w:val="000000"/>
          <w:szCs w:val="32"/>
        </w:rPr>
        <w:t>：指行政</w:t>
      </w:r>
      <w:r>
        <w:rPr>
          <w:rFonts w:hint="eastAsia" w:ascii="仿宋_GB2312"/>
          <w:color w:val="000000"/>
          <w:szCs w:val="32"/>
        </w:rPr>
        <w:t>单位及参照公务员法管理的事业单位用于保障机构正常运行、开展日常工作的基本支出</w:t>
      </w:r>
      <w:r>
        <w:rPr>
          <w:rFonts w:hint="eastAsia" w:ascii="仿宋_GB2312"/>
          <w:szCs w:val="32"/>
        </w:rPr>
        <w:t>。</w:t>
      </w:r>
    </w:p>
    <w:p>
      <w:pPr>
        <w:ind w:firstLine="640" w:firstLineChars="200"/>
        <w:rPr>
          <w:rFonts w:ascii="仿宋_GB2312"/>
          <w:color w:val="000000"/>
          <w:szCs w:val="32"/>
        </w:rPr>
      </w:pPr>
      <w:r>
        <w:rPr>
          <w:rFonts w:hint="eastAsia" w:ascii="仿宋_GB2312"/>
          <w:color w:val="000000"/>
          <w:szCs w:val="32"/>
          <w:lang w:val="en-US" w:eastAsia="zh-CN"/>
        </w:rPr>
        <w:t>8</w:t>
      </w:r>
      <w:r>
        <w:rPr>
          <w:rFonts w:ascii="仿宋_GB2312"/>
          <w:color w:val="000000"/>
          <w:szCs w:val="32"/>
        </w:rPr>
        <w:t>.</w:t>
      </w:r>
      <w:r>
        <w:rPr>
          <w:rFonts w:hint="eastAsia" w:ascii="仿宋_GB2312"/>
          <w:color w:val="000000"/>
          <w:szCs w:val="32"/>
        </w:rPr>
        <w:t>一般公共服务（类）纪检监察事项</w:t>
      </w:r>
      <w:r>
        <w:rPr>
          <w:rFonts w:ascii="仿宋_GB2312"/>
          <w:color w:val="000000"/>
          <w:szCs w:val="32"/>
        </w:rPr>
        <w:t>（款</w:t>
      </w:r>
      <w:r>
        <w:rPr>
          <w:rFonts w:hint="eastAsia" w:ascii="仿宋_GB2312"/>
          <w:color w:val="000000"/>
          <w:szCs w:val="32"/>
        </w:rPr>
        <w:t>）行政运行（项）</w:t>
      </w:r>
      <w:r>
        <w:rPr>
          <w:rFonts w:ascii="仿宋_GB2312"/>
          <w:color w:val="000000"/>
          <w:szCs w:val="32"/>
        </w:rPr>
        <w:t>：指行政</w:t>
      </w:r>
      <w:r>
        <w:rPr>
          <w:rFonts w:hint="eastAsia" w:ascii="仿宋_GB2312"/>
          <w:color w:val="000000"/>
          <w:szCs w:val="32"/>
        </w:rPr>
        <w:t>单位及参照公务员法管理的事业单位用于保障机构正常运行、开展日常工作的基本支出</w:t>
      </w:r>
      <w:r>
        <w:rPr>
          <w:rFonts w:hint="eastAsia" w:ascii="仿宋_GB2312"/>
          <w:szCs w:val="32"/>
        </w:rPr>
        <w:t>。</w:t>
      </w:r>
      <w:r>
        <w:rPr>
          <w:rFonts w:hint="eastAsia" w:ascii="仿宋_GB2312"/>
          <w:color w:val="000000"/>
          <w:szCs w:val="32"/>
        </w:rPr>
        <w:t>。</w:t>
      </w:r>
    </w:p>
    <w:p>
      <w:pPr>
        <w:ind w:firstLine="640" w:firstLineChars="200"/>
        <w:rPr>
          <w:rFonts w:ascii="仿宋_GB2312"/>
          <w:szCs w:val="32"/>
        </w:rPr>
      </w:pPr>
      <w:r>
        <w:rPr>
          <w:rFonts w:hint="eastAsia" w:ascii="仿宋_GB2312"/>
          <w:color w:val="000000"/>
          <w:szCs w:val="32"/>
          <w:lang w:val="en-US" w:eastAsia="zh-CN"/>
        </w:rPr>
        <w:t>9</w:t>
      </w:r>
      <w:r>
        <w:rPr>
          <w:rFonts w:ascii="仿宋_GB2312"/>
          <w:color w:val="000000"/>
          <w:szCs w:val="32"/>
        </w:rPr>
        <w:t>.</w:t>
      </w:r>
      <w:r>
        <w:rPr>
          <w:rFonts w:hint="eastAsia" w:ascii="仿宋_GB2312"/>
          <w:color w:val="000000"/>
          <w:szCs w:val="32"/>
        </w:rPr>
        <w:t>一般公共服务（类）纪检监察事项</w:t>
      </w:r>
      <w:r>
        <w:rPr>
          <w:rFonts w:ascii="仿宋_GB2312"/>
          <w:color w:val="000000"/>
          <w:szCs w:val="32"/>
        </w:rPr>
        <w:t>（款</w:t>
      </w:r>
      <w:r>
        <w:rPr>
          <w:rFonts w:hint="eastAsia" w:ascii="仿宋_GB2312"/>
          <w:color w:val="000000"/>
          <w:szCs w:val="32"/>
        </w:rPr>
        <w:t>）一般行政管理事务（项）</w:t>
      </w:r>
      <w:r>
        <w:rPr>
          <w:rFonts w:ascii="仿宋_GB2312"/>
          <w:color w:val="000000"/>
          <w:szCs w:val="32"/>
        </w:rPr>
        <w:t>：指行政</w:t>
      </w:r>
      <w:r>
        <w:rPr>
          <w:rFonts w:hint="eastAsia" w:ascii="仿宋_GB2312"/>
          <w:color w:val="000000"/>
          <w:szCs w:val="32"/>
        </w:rPr>
        <w:t>单位及参照公务员法管理的事业单位未单独设置项级科目的其他项目支出</w:t>
      </w:r>
      <w:r>
        <w:rPr>
          <w:rFonts w:hint="eastAsia" w:ascii="仿宋_GB2312"/>
          <w:szCs w:val="32"/>
        </w:rPr>
        <w:t>。</w:t>
      </w:r>
    </w:p>
    <w:p>
      <w:pPr>
        <w:ind w:firstLine="640" w:firstLineChars="200"/>
        <w:rPr>
          <w:rFonts w:ascii="仿宋_GB2312"/>
          <w:color w:val="000000"/>
          <w:szCs w:val="32"/>
        </w:rPr>
      </w:pPr>
      <w:r>
        <w:rPr>
          <w:rFonts w:hint="eastAsia" w:ascii="仿宋_GB2312"/>
          <w:color w:val="000000"/>
          <w:szCs w:val="32"/>
          <w:lang w:val="en-US" w:eastAsia="zh-CN"/>
        </w:rPr>
        <w:t>10</w:t>
      </w:r>
      <w:r>
        <w:rPr>
          <w:rFonts w:ascii="仿宋_GB2312"/>
          <w:color w:val="000000"/>
          <w:szCs w:val="32"/>
        </w:rPr>
        <w:t>.</w:t>
      </w:r>
      <w:r>
        <w:rPr>
          <w:rFonts w:hint="eastAsia" w:ascii="仿宋_GB2312"/>
          <w:color w:val="000000"/>
          <w:szCs w:val="32"/>
        </w:rPr>
        <w:t>一般公共服务（类）纪检监察事项</w:t>
      </w:r>
      <w:r>
        <w:rPr>
          <w:rFonts w:ascii="仿宋_GB2312"/>
          <w:color w:val="000000"/>
          <w:szCs w:val="32"/>
        </w:rPr>
        <w:t>（款</w:t>
      </w:r>
      <w:r>
        <w:rPr>
          <w:rFonts w:hint="eastAsia" w:ascii="仿宋_GB2312"/>
          <w:color w:val="000000"/>
          <w:szCs w:val="32"/>
        </w:rPr>
        <w:t>）其他纪检监察事务支出（项）</w:t>
      </w:r>
      <w:r>
        <w:rPr>
          <w:rFonts w:ascii="仿宋_GB2312"/>
          <w:color w:val="000000"/>
          <w:szCs w:val="32"/>
        </w:rPr>
        <w:t>：</w:t>
      </w:r>
      <w:r>
        <w:rPr>
          <w:rFonts w:hint="eastAsia" w:ascii="仿宋_GB2312"/>
          <w:color w:val="000000"/>
          <w:szCs w:val="32"/>
        </w:rPr>
        <w:t>反应上述纪检监察支出方面以外的其他支出。</w:t>
      </w:r>
    </w:p>
    <w:p>
      <w:pPr>
        <w:ind w:firstLine="640" w:firstLineChars="200"/>
        <w:rPr>
          <w:rFonts w:ascii="仿宋_GB2312"/>
          <w:color w:val="000000"/>
          <w:szCs w:val="32"/>
        </w:rPr>
      </w:pPr>
      <w:r>
        <w:rPr>
          <w:rFonts w:ascii="仿宋_GB2312"/>
          <w:color w:val="000000"/>
          <w:szCs w:val="32"/>
        </w:rPr>
        <w:t>1</w:t>
      </w:r>
      <w:r>
        <w:rPr>
          <w:rFonts w:hint="eastAsia" w:ascii="仿宋_GB2312"/>
          <w:color w:val="000000"/>
          <w:szCs w:val="32"/>
          <w:lang w:val="en-US" w:eastAsia="zh-CN"/>
        </w:rPr>
        <w:t>1</w:t>
      </w:r>
      <w:r>
        <w:rPr>
          <w:rFonts w:ascii="仿宋_GB2312"/>
          <w:color w:val="000000"/>
          <w:szCs w:val="32"/>
        </w:rPr>
        <w:t>.社会保障和就业（类）行政事业单位离退休（款）</w:t>
      </w:r>
      <w:r>
        <w:rPr>
          <w:rFonts w:hint="eastAsia" w:ascii="仿宋_GB2312"/>
          <w:color w:val="000000"/>
          <w:szCs w:val="32"/>
        </w:rPr>
        <w:t>机关事业单位基本养老保险缴费支出（项）</w:t>
      </w:r>
      <w:r>
        <w:rPr>
          <w:rFonts w:ascii="仿宋_GB2312"/>
          <w:color w:val="000000"/>
          <w:szCs w:val="32"/>
        </w:rPr>
        <w:t>：指实行归口管理的行政单位（包括实行公务员管理的事业单位）开支的</w:t>
      </w:r>
      <w:r>
        <w:rPr>
          <w:rFonts w:hint="eastAsia" w:ascii="仿宋_GB2312"/>
          <w:color w:val="000000"/>
          <w:szCs w:val="32"/>
        </w:rPr>
        <w:t>基本养老保险费用支出</w:t>
      </w:r>
      <w:r>
        <w:rPr>
          <w:rFonts w:ascii="仿宋_GB2312"/>
          <w:color w:val="000000"/>
          <w:szCs w:val="32"/>
        </w:rPr>
        <w:t>。</w:t>
      </w:r>
    </w:p>
    <w:p>
      <w:pPr>
        <w:ind w:firstLine="640" w:firstLineChars="200"/>
        <w:rPr>
          <w:rFonts w:ascii="仿宋_GB2312"/>
          <w:color w:val="000000"/>
          <w:szCs w:val="32"/>
        </w:rPr>
      </w:pPr>
      <w:r>
        <w:rPr>
          <w:rFonts w:ascii="仿宋_GB2312"/>
          <w:color w:val="000000"/>
          <w:szCs w:val="32"/>
        </w:rPr>
        <w:t>1</w:t>
      </w:r>
      <w:r>
        <w:rPr>
          <w:rFonts w:hint="eastAsia" w:ascii="仿宋_GB2312"/>
          <w:color w:val="000000"/>
          <w:szCs w:val="32"/>
          <w:lang w:val="en-US" w:eastAsia="zh-CN"/>
        </w:rPr>
        <w:t>2</w:t>
      </w:r>
      <w:r>
        <w:rPr>
          <w:rFonts w:ascii="仿宋_GB2312"/>
          <w:color w:val="000000"/>
          <w:szCs w:val="32"/>
        </w:rPr>
        <w:t>.医疗卫生与计划生育支出（类）医疗保障（款）行政单位医疗（项）：反映财政部门集中安排的行政单位基本医疗保险缴费经费，未参加医疗保险的行政单位的公费医疗经费，按国家规定享受离休人员、红军老战士待遇人员的医疗经费。</w:t>
      </w:r>
    </w:p>
    <w:p>
      <w:pPr>
        <w:ind w:firstLine="640" w:firstLineChars="200"/>
        <w:rPr>
          <w:rFonts w:ascii="仿宋_GB2312"/>
          <w:color w:val="000000"/>
          <w:szCs w:val="32"/>
        </w:rPr>
      </w:pPr>
      <w:r>
        <w:rPr>
          <w:rFonts w:ascii="仿宋_GB2312"/>
          <w:color w:val="000000"/>
          <w:szCs w:val="32"/>
        </w:rPr>
        <w:t>1</w:t>
      </w:r>
      <w:r>
        <w:rPr>
          <w:rFonts w:hint="eastAsia" w:ascii="仿宋_GB2312"/>
          <w:color w:val="000000"/>
          <w:szCs w:val="32"/>
          <w:lang w:val="en-US" w:eastAsia="zh-CN"/>
        </w:rPr>
        <w:t>3</w:t>
      </w:r>
      <w:r>
        <w:rPr>
          <w:rFonts w:ascii="仿宋_GB2312"/>
          <w:color w:val="000000"/>
          <w:szCs w:val="32"/>
        </w:rPr>
        <w:t>.住房保障支出（类）住房改革支出（款）住房公积金（项）：反映区委</w:t>
      </w:r>
      <w:r>
        <w:rPr>
          <w:rFonts w:hint="eastAsia" w:ascii="仿宋_GB2312"/>
          <w:color w:val="000000"/>
          <w:szCs w:val="32"/>
        </w:rPr>
        <w:t>巡察办</w:t>
      </w:r>
      <w:r>
        <w:rPr>
          <w:rFonts w:ascii="仿宋_GB2312"/>
          <w:color w:val="000000"/>
          <w:szCs w:val="32"/>
        </w:rPr>
        <w:t>按人力资源和社会保障部、财政部规定的基本工资和津贴补贴以及规定比例为职工缴纳的住房公积金。</w:t>
      </w:r>
    </w:p>
    <w:p>
      <w:pPr>
        <w:ind w:firstLine="640" w:firstLineChars="200"/>
        <w:rPr>
          <w:rFonts w:ascii="仿宋_GB2312"/>
          <w:color w:val="000000"/>
          <w:szCs w:val="32"/>
        </w:rPr>
      </w:pPr>
      <w:r>
        <w:rPr>
          <w:rFonts w:hint="eastAsia" w:ascii="仿宋_GB2312"/>
          <w:color w:val="000000"/>
          <w:szCs w:val="32"/>
        </w:rPr>
        <w:t>1</w:t>
      </w:r>
      <w:r>
        <w:rPr>
          <w:rFonts w:hint="eastAsia" w:ascii="仿宋_GB2312"/>
          <w:color w:val="000000"/>
          <w:szCs w:val="32"/>
          <w:lang w:val="en-US" w:eastAsia="zh-CN"/>
        </w:rPr>
        <w:t>4</w:t>
      </w:r>
      <w:r>
        <w:rPr>
          <w:rFonts w:ascii="仿宋_GB2312"/>
          <w:color w:val="000000"/>
          <w:szCs w:val="32"/>
        </w:rPr>
        <w:t>.</w:t>
      </w:r>
      <w:r>
        <w:rPr>
          <w:rFonts w:hint="eastAsia" w:ascii="仿宋_GB2312"/>
          <w:color w:val="000000"/>
          <w:szCs w:val="32"/>
        </w:rPr>
        <w:t>基本支出：指为保障机构正常运转、完成日常工作任务而发生的人员支出和公用支出。</w:t>
      </w:r>
    </w:p>
    <w:p>
      <w:pPr>
        <w:ind w:firstLine="640" w:firstLineChars="200"/>
        <w:rPr>
          <w:rFonts w:ascii="仿宋_GB2312"/>
          <w:color w:val="000000"/>
          <w:szCs w:val="32"/>
        </w:rPr>
      </w:pPr>
      <w:r>
        <w:rPr>
          <w:rFonts w:hint="eastAsia" w:ascii="仿宋_GB2312"/>
          <w:color w:val="000000"/>
          <w:szCs w:val="32"/>
        </w:rPr>
        <w:t>1</w:t>
      </w:r>
      <w:r>
        <w:rPr>
          <w:rFonts w:hint="eastAsia" w:ascii="仿宋_GB2312"/>
          <w:color w:val="000000"/>
          <w:szCs w:val="32"/>
          <w:lang w:val="en-US" w:eastAsia="zh-CN"/>
        </w:rPr>
        <w:t>5</w:t>
      </w:r>
      <w:r>
        <w:rPr>
          <w:rFonts w:ascii="仿宋_GB2312"/>
          <w:color w:val="000000"/>
          <w:szCs w:val="32"/>
        </w:rPr>
        <w:t>.</w:t>
      </w:r>
      <w:r>
        <w:rPr>
          <w:rFonts w:hint="eastAsia" w:ascii="仿宋_GB2312"/>
          <w:color w:val="000000"/>
          <w:szCs w:val="32"/>
        </w:rPr>
        <w:t>项目支出：指在基本支出之外为完成特定行政任务和事业发展目标所发生的支出。</w:t>
      </w:r>
      <w:r>
        <w:rPr>
          <w:rFonts w:ascii="仿宋_GB2312"/>
          <w:color w:val="000000"/>
          <w:szCs w:val="32"/>
        </w:rPr>
        <w:t xml:space="preserve"> </w:t>
      </w:r>
    </w:p>
    <w:p>
      <w:pPr>
        <w:ind w:firstLine="640" w:firstLineChars="200"/>
        <w:rPr>
          <w:rFonts w:ascii="仿宋_GB2312"/>
          <w:color w:val="000000"/>
          <w:szCs w:val="32"/>
        </w:rPr>
      </w:pPr>
      <w:r>
        <w:rPr>
          <w:rFonts w:hint="eastAsia" w:ascii="仿宋_GB2312"/>
          <w:color w:val="000000"/>
          <w:szCs w:val="32"/>
        </w:rPr>
        <w:t>1</w:t>
      </w:r>
      <w:r>
        <w:rPr>
          <w:rFonts w:hint="eastAsia" w:ascii="仿宋_GB2312"/>
          <w:color w:val="000000"/>
          <w:szCs w:val="32"/>
          <w:lang w:val="en-US" w:eastAsia="zh-CN"/>
        </w:rPr>
        <w:t>6</w:t>
      </w:r>
      <w:r>
        <w:rPr>
          <w:rFonts w:ascii="仿宋_GB2312"/>
          <w:color w:val="000000"/>
          <w:szCs w:val="32"/>
        </w:rPr>
        <w:t>.</w:t>
      </w:r>
      <w:r>
        <w:rPr>
          <w:rFonts w:hint="eastAsia" w:ascii="仿宋_GB2312"/>
          <w:color w:val="000000"/>
          <w:szCs w:val="32"/>
        </w:rPr>
        <w:t>经营支出：指事业单位在专业业务活动及其辅助活动之外开展非独立核算经营活动发生的支出。</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7</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18</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15"/>
          <w:rFonts w:ascii="黑体" w:hAnsi="黑体" w:eastAsia="黑体"/>
          <w:b w:val="0"/>
        </w:rPr>
      </w:pPr>
      <w:bookmarkStart w:id="58" w:name="_Toc15377226"/>
      <w:r>
        <w:rPr>
          <w:rFonts w:ascii="宋体"/>
          <w:b/>
          <w:color w:val="000000"/>
          <w:sz w:val="44"/>
          <w:szCs w:val="44"/>
        </w:rPr>
        <w:br w:type="page"/>
      </w:r>
      <w:bookmarkStart w:id="59" w:name="_Toc15396614"/>
      <w:bookmarkStart w:id="60" w:name="_Toc11207"/>
      <w:r>
        <w:rPr>
          <w:rFonts w:hint="eastAsia" w:ascii="黑体" w:hAnsi="黑体" w:eastAsia="黑体"/>
          <w:color w:val="000000"/>
          <w:sz w:val="44"/>
          <w:szCs w:val="44"/>
        </w:rPr>
        <w:t>第</w:t>
      </w:r>
      <w:r>
        <w:rPr>
          <w:rStyle w:val="15"/>
          <w:rFonts w:hint="eastAsia" w:ascii="黑体" w:hAnsi="黑体" w:eastAsia="黑体"/>
          <w:b w:val="0"/>
        </w:rPr>
        <w:t>四部分</w:t>
      </w:r>
      <w:r>
        <w:rPr>
          <w:rStyle w:val="15"/>
          <w:rFonts w:ascii="黑体" w:hAnsi="黑体" w:eastAsia="黑体"/>
          <w:b w:val="0"/>
        </w:rPr>
        <w:t xml:space="preserve"> </w:t>
      </w:r>
      <w:r>
        <w:rPr>
          <w:rStyle w:val="15"/>
          <w:rFonts w:hint="eastAsia" w:ascii="黑体" w:hAnsi="黑体" w:eastAsia="黑体"/>
          <w:b w:val="0"/>
        </w:rPr>
        <w:t>附件</w:t>
      </w:r>
      <w:bookmarkEnd w:id="59"/>
      <w:bookmarkEnd w:id="60"/>
    </w:p>
    <w:p>
      <w:pPr>
        <w:spacing w:line="600" w:lineRule="exact"/>
        <w:jc w:val="left"/>
        <w:outlineLvl w:val="1"/>
        <w:rPr>
          <w:rFonts w:ascii="方正小标宋简体" w:hAnsi="方正小标宋简体" w:eastAsia="方正小标宋简体" w:cs="方正小标宋简体"/>
          <w:szCs w:val="32"/>
        </w:rPr>
      </w:pPr>
      <w:bookmarkStart w:id="61" w:name="_Toc22930"/>
      <w:r>
        <w:rPr>
          <w:rFonts w:hint="eastAsia" w:ascii="黑体" w:hAnsi="黑体" w:eastAsia="黑体" w:cs="黑体"/>
          <w:szCs w:val="32"/>
        </w:rPr>
        <w:t>附件</w:t>
      </w:r>
      <w:r>
        <w:rPr>
          <w:rFonts w:ascii="黑体" w:hAnsi="黑体" w:eastAsia="黑体" w:cs="黑体"/>
          <w:szCs w:val="32"/>
        </w:rPr>
        <w:t>1</w:t>
      </w:r>
      <w:bookmarkEnd w:id="61"/>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ascii="方正小标宋简体" w:hAnsi="宋体" w:eastAsia="方正小标宋简体"/>
          <w:color w:val="000000"/>
          <w:kern w:val="0"/>
          <w:sz w:val="40"/>
          <w:szCs w:val="44"/>
        </w:rPr>
      </w:pPr>
      <w:r>
        <w:rPr>
          <w:rFonts w:hint="eastAsia" w:ascii="方正小标宋简体" w:hAnsi="宋体" w:eastAsia="方正小标宋简体"/>
          <w:color w:val="000000"/>
          <w:kern w:val="0"/>
          <w:sz w:val="40"/>
          <w:szCs w:val="44"/>
        </w:rPr>
        <w:t>自流井区委巡察办</w:t>
      </w: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w:t>
      </w:r>
      <w:r>
        <w:rPr>
          <w:rFonts w:hint="eastAsia" w:ascii="方正小标宋简体" w:hAnsi="宋体" w:eastAsia="方正小标宋简体"/>
          <w:color w:val="000000"/>
          <w:kern w:val="0"/>
          <w:sz w:val="40"/>
          <w:szCs w:val="44"/>
          <w:lang w:eastAsia="zh-CN"/>
        </w:rPr>
        <w:t>本级</w:t>
      </w:r>
      <w:r>
        <w:rPr>
          <w:rFonts w:hint="eastAsia" w:ascii="方正小标宋简体" w:hAnsi="宋体" w:eastAsia="方正小标宋简体"/>
          <w:color w:val="000000"/>
          <w:kern w:val="0"/>
          <w:sz w:val="40"/>
          <w:szCs w:val="44"/>
          <w:lang w:val="zh-CN"/>
        </w:rPr>
        <w:t>整体支出绩效评价报告</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lang w:val="zh-CN"/>
        </w:rPr>
      </w:pPr>
      <w:r>
        <w:rPr>
          <w:rFonts w:hint="eastAsia" w:ascii="黑体" w:hAnsi="宋体" w:eastAsia="黑体" w:cs="宋体"/>
          <w:color w:val="000000"/>
          <w:kern w:val="0"/>
          <w:szCs w:val="32"/>
          <w:shd w:val="clear" w:color="auto" w:fill="FFFFFF"/>
        </w:rPr>
        <w:t>一、</w:t>
      </w:r>
      <w:r>
        <w:rPr>
          <w:rFonts w:hint="eastAsia" w:ascii="黑体" w:hAnsi="宋体" w:eastAsia="黑体" w:cs="宋体"/>
          <w:color w:val="000000"/>
          <w:kern w:val="0"/>
          <w:szCs w:val="32"/>
          <w:shd w:val="clear" w:color="auto" w:fill="FFFFFF"/>
          <w:lang w:val="zh-CN"/>
        </w:rPr>
        <w:t>单位概况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（一）机构组成。</w:t>
      </w:r>
    </w:p>
    <w:p>
      <w:pPr>
        <w:spacing w:line="560" w:lineRule="exact"/>
        <w:ind w:firstLine="640" w:firstLineChars="200"/>
        <w:rPr>
          <w:rFonts w:ascii="仿宋_GB2312" w:hAnsi="宋体" w:cs="宋体"/>
          <w:color w:val="000000"/>
          <w:kern w:val="0"/>
          <w:szCs w:val="32"/>
          <w:shd w:val="clear" w:color="auto" w:fill="FFFFFF"/>
          <w:lang w:val="zh-CN"/>
        </w:rPr>
      </w:pPr>
      <w:r>
        <w:rPr>
          <w:rFonts w:hint="eastAsia" w:ascii="仿宋_GB2312" w:hAnsi="仿宋_GB2312" w:cs="仿宋_GB2312"/>
          <w:szCs w:val="32"/>
        </w:rPr>
        <w:t>区委巡察办设下列内设机构：综合股。区委巡察办下属二级单位0个，其中行政单位0个，参照公务员法管理的事业单位0个，其他事业单位0个。</w:t>
      </w:r>
    </w:p>
    <w:p>
      <w:pPr>
        <w:widowControl/>
        <w:numPr>
          <w:ilvl w:val="0"/>
          <w:numId w:val="5"/>
        </w:numPr>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机构职能。</w:t>
      </w:r>
    </w:p>
    <w:p>
      <w:pPr>
        <w:spacing w:line="560" w:lineRule="exact"/>
        <w:ind w:firstLine="640" w:firstLineChars="200"/>
        <w:rPr>
          <w:rFonts w:ascii="仿宋_GB2312"/>
          <w:szCs w:val="32"/>
        </w:rPr>
      </w:pPr>
      <w:r>
        <w:rPr>
          <w:rFonts w:hint="eastAsia" w:ascii="仿宋_GB2312"/>
          <w:szCs w:val="32"/>
        </w:rPr>
        <w:t>综合股</w:t>
      </w:r>
      <w:r>
        <w:rPr>
          <w:rFonts w:hint="eastAsia"/>
          <w:szCs w:val="32"/>
        </w:rPr>
        <w:t>。</w:t>
      </w:r>
      <w:r>
        <w:rPr>
          <w:rFonts w:hint="eastAsia" w:ascii="仿宋_GB2312"/>
          <w:szCs w:val="32"/>
        </w:rPr>
        <w:t>负责区委巡察办日常事务及业务工作。承担综合协调、服务保障、内部管理、</w:t>
      </w:r>
      <w:r>
        <w:rPr>
          <w:rFonts w:ascii="仿宋_GB2312"/>
          <w:szCs w:val="32"/>
        </w:rPr>
        <w:t>制度建设</w:t>
      </w:r>
      <w:r>
        <w:rPr>
          <w:rFonts w:hint="eastAsia" w:ascii="仿宋_GB2312"/>
          <w:szCs w:val="32"/>
        </w:rPr>
        <w:t>、业务指导、协调联络、督查</w:t>
      </w:r>
      <w:r>
        <w:rPr>
          <w:rFonts w:ascii="仿宋_GB2312"/>
          <w:szCs w:val="32"/>
        </w:rPr>
        <w:t>督</w:t>
      </w:r>
      <w:r>
        <w:rPr>
          <w:rFonts w:hint="eastAsia" w:ascii="仿宋_GB2312"/>
          <w:szCs w:val="32"/>
        </w:rPr>
        <w:t>办等职责。负责组织起草巡察工作综合性</w:t>
      </w:r>
      <w:r>
        <w:rPr>
          <w:rFonts w:ascii="仿宋_GB2312"/>
          <w:szCs w:val="32"/>
        </w:rPr>
        <w:t>文稿</w:t>
      </w:r>
      <w:r>
        <w:rPr>
          <w:rFonts w:hint="eastAsia" w:ascii="仿宋_GB2312"/>
          <w:szCs w:val="32"/>
        </w:rPr>
        <w:t>；</w:t>
      </w:r>
      <w:r>
        <w:rPr>
          <w:rFonts w:hint="eastAsia" w:ascii="仿宋_GB2312"/>
          <w:color w:val="000000"/>
          <w:szCs w:val="32"/>
        </w:rPr>
        <w:t>承担文电、会务、印章、档案管理及安</w:t>
      </w:r>
      <w:r>
        <w:rPr>
          <w:rFonts w:hint="eastAsia" w:ascii="仿宋_GB2312"/>
          <w:szCs w:val="32"/>
        </w:rPr>
        <w:t>全、保密机要管理工作；负责区委巡察机构的后勤保障、信息化建设、宣传信息等工作；承办对</w:t>
      </w:r>
      <w:r>
        <w:rPr>
          <w:rFonts w:ascii="仿宋_GB2312"/>
          <w:szCs w:val="32"/>
        </w:rPr>
        <w:t>巡察</w:t>
      </w:r>
      <w:r>
        <w:rPr>
          <w:rFonts w:hint="eastAsia" w:ascii="仿宋_GB2312"/>
          <w:szCs w:val="32"/>
        </w:rPr>
        <w:t>干部</w:t>
      </w:r>
      <w:r>
        <w:rPr>
          <w:rFonts w:ascii="仿宋_GB2312"/>
          <w:szCs w:val="32"/>
        </w:rPr>
        <w:t>进行</w:t>
      </w:r>
      <w:r>
        <w:rPr>
          <w:rFonts w:hint="eastAsia" w:ascii="仿宋_GB2312"/>
          <w:szCs w:val="32"/>
        </w:rPr>
        <w:t>培训、</w:t>
      </w:r>
      <w:r>
        <w:rPr>
          <w:rFonts w:ascii="仿宋_GB2312"/>
          <w:szCs w:val="32"/>
        </w:rPr>
        <w:t>考核、</w:t>
      </w:r>
      <w:r>
        <w:rPr>
          <w:rFonts w:hint="eastAsia" w:ascii="仿宋_GB2312"/>
          <w:szCs w:val="32"/>
        </w:rPr>
        <w:t>监督</w:t>
      </w:r>
      <w:r>
        <w:rPr>
          <w:rFonts w:ascii="仿宋_GB2312"/>
          <w:szCs w:val="32"/>
        </w:rPr>
        <w:t>和管理，做好与相关单位的沟通协调；</w:t>
      </w:r>
      <w:r>
        <w:rPr>
          <w:rFonts w:hint="eastAsia" w:ascii="仿宋_GB2312"/>
          <w:szCs w:val="32"/>
        </w:rPr>
        <w:t>负责督办市委巡察办和区委、区委巡察工作领导小组有关决定事项。</w:t>
      </w:r>
    </w:p>
    <w:p>
      <w:pPr>
        <w:spacing w:line="560" w:lineRule="exact"/>
        <w:ind w:firstLine="640" w:firstLineChars="200"/>
        <w:rPr>
          <w:rFonts w:ascii="仿宋_GB2312"/>
          <w:szCs w:val="32"/>
        </w:rPr>
      </w:pPr>
      <w:r>
        <w:rPr>
          <w:rFonts w:hint="eastAsia" w:ascii="仿宋_GB2312"/>
          <w:szCs w:val="32"/>
        </w:rPr>
        <w:t>组织起草巡察工作规划、计划、方案和年度工作综合报告；负责区委巡察组工作的协调</w:t>
      </w:r>
      <w:r>
        <w:rPr>
          <w:rFonts w:ascii="仿宋_GB2312"/>
          <w:szCs w:val="32"/>
        </w:rPr>
        <w:t>、</w:t>
      </w:r>
      <w:r>
        <w:rPr>
          <w:rFonts w:hint="eastAsia" w:ascii="仿宋_GB2312"/>
          <w:szCs w:val="32"/>
        </w:rPr>
        <w:t>联络</w:t>
      </w:r>
      <w:r>
        <w:rPr>
          <w:rFonts w:ascii="仿宋_GB2312"/>
          <w:szCs w:val="32"/>
        </w:rPr>
        <w:t>、指导</w:t>
      </w:r>
      <w:r>
        <w:rPr>
          <w:rFonts w:hint="eastAsia" w:ascii="仿宋_GB2312"/>
          <w:szCs w:val="32"/>
        </w:rPr>
        <w:t>；开展巡察工作调研，汇总分析巡察工作情况，起草相关制度规定；承办巡察工作的重要文稿、政策咨询和意见答复；负责问题线索管理、信访举报件移送，督促被巡察单位落实问题整改；办理区管干部任职征求意见回复等工作；负责巡察工作的信息数据管理工作。</w:t>
      </w:r>
    </w:p>
    <w:p>
      <w:pPr>
        <w:widowControl/>
        <w:numPr>
          <w:ilvl w:val="0"/>
          <w:numId w:val="5"/>
        </w:numPr>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人员概况。</w:t>
      </w:r>
    </w:p>
    <w:p>
      <w:pPr>
        <w:spacing w:line="592" w:lineRule="exact"/>
        <w:ind w:firstLine="640" w:firstLineChars="200"/>
        <w:rPr>
          <w:rFonts w:ascii="仿宋_GB2312"/>
          <w:szCs w:val="32"/>
        </w:rPr>
      </w:pPr>
      <w:r>
        <w:rPr>
          <w:rFonts w:hint="eastAsia" w:ascii="仿宋_GB2312"/>
          <w:szCs w:val="32"/>
        </w:rPr>
        <w:t>区委巡察工作领导小组办公室行政编制</w:t>
      </w:r>
      <w:r>
        <w:rPr>
          <w:szCs w:val="32"/>
        </w:rPr>
        <w:t>4</w:t>
      </w:r>
      <w:r>
        <w:rPr>
          <w:rFonts w:hint="eastAsia" w:ascii="仿宋_GB2312"/>
          <w:szCs w:val="32"/>
        </w:rPr>
        <w:t>名，其中：主任1名，副主任1名。</w:t>
      </w:r>
    </w:p>
    <w:p>
      <w:pPr>
        <w:spacing w:line="580" w:lineRule="exact"/>
        <w:ind w:firstLine="640" w:firstLineChars="200"/>
        <w:rPr>
          <w:rFonts w:ascii="仿宋" w:hAnsi="仿宋" w:eastAsia="仿宋" w:cs="仿宋_GB2312"/>
          <w:szCs w:val="32"/>
        </w:rPr>
      </w:pPr>
      <w:r>
        <w:rPr>
          <w:rFonts w:hint="eastAsia" w:ascii="仿宋_GB2312"/>
          <w:szCs w:val="32"/>
        </w:rPr>
        <w:t>区委设</w:t>
      </w:r>
      <w:r>
        <w:rPr>
          <w:rFonts w:hint="eastAsia"/>
          <w:szCs w:val="32"/>
        </w:rPr>
        <w:t>3个巡察组，行政编制9名，其中：组长3名（正科级），副组长3名（副科级），巡察专员3名（副科级）</w:t>
      </w:r>
      <w:r>
        <w:rPr>
          <w:rFonts w:hint="eastAsia" w:ascii="仿宋_GB2312"/>
          <w:szCs w:val="32"/>
        </w:rPr>
        <w:t>。</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二、</w:t>
      </w:r>
      <w:r>
        <w:rPr>
          <w:rFonts w:hint="eastAsia" w:ascii="黑体" w:hAnsi="宋体" w:eastAsia="黑体" w:cs="宋体"/>
          <w:color w:val="000000"/>
          <w:kern w:val="0"/>
          <w:szCs w:val="32"/>
          <w:shd w:val="clear" w:color="auto" w:fill="FFFFFF"/>
          <w:lang w:eastAsia="zh-CN"/>
        </w:rPr>
        <w:t>本级</w:t>
      </w:r>
      <w:r>
        <w:rPr>
          <w:rFonts w:hint="eastAsia" w:ascii="黑体" w:hAnsi="宋体" w:eastAsia="黑体" w:cs="宋体"/>
          <w:color w:val="000000"/>
          <w:kern w:val="0"/>
          <w:szCs w:val="32"/>
          <w:shd w:val="clear" w:color="auto" w:fill="FFFFFF"/>
        </w:rPr>
        <w:t>财政资金收支情况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（一）本级财政资金收入情况。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仿宋_GB2312" w:cs="仿宋_GB2312"/>
          <w:color w:val="000000"/>
          <w:szCs w:val="32"/>
        </w:rPr>
        <w:t>2020年本年收入合计187.71万元，其中：一般公共预算财政拨款收入187.71万元。</w:t>
      </w:r>
    </w:p>
    <w:p>
      <w:pPr>
        <w:widowControl/>
        <w:numPr>
          <w:ilvl w:val="0"/>
          <w:numId w:val="6"/>
        </w:numPr>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本级财政资金支出情况。</w:t>
      </w:r>
    </w:p>
    <w:p>
      <w:pPr>
        <w:spacing w:line="600" w:lineRule="exact"/>
        <w:ind w:firstLine="640"/>
        <w:rPr>
          <w:rFonts w:ascii="仿宋" w:hAnsi="仿宋" w:eastAsia="仿宋"/>
          <w:color w:val="000000"/>
          <w:szCs w:val="32"/>
        </w:rPr>
      </w:pPr>
      <w:r>
        <w:rPr>
          <w:rFonts w:hint="eastAsia" w:ascii="仿宋_GB2312" w:hAnsi="仿宋_GB2312" w:cs="仿宋_GB2312"/>
          <w:color w:val="000000"/>
          <w:szCs w:val="32"/>
        </w:rPr>
        <w:t>2020年一般公共预算财政拨款支出194.67万元，主要用于以下方面:一般公共服务（类）支出162.50万元，占83.48%；社会保障和就业（类）支出14.19万元，占7.29%；卫生健康支出7.05万元，占3.62%；住房保障支出10.93万元，占5.61%。</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三、</w:t>
      </w:r>
      <w:r>
        <w:rPr>
          <w:rFonts w:hint="eastAsia" w:ascii="黑体" w:hAnsi="宋体" w:eastAsia="黑体" w:cs="宋体"/>
          <w:color w:val="000000"/>
          <w:kern w:val="0"/>
          <w:szCs w:val="32"/>
          <w:shd w:val="clear" w:color="auto" w:fill="FFFFFF"/>
          <w:lang w:eastAsia="zh-CN"/>
        </w:rPr>
        <w:t>本级</w:t>
      </w:r>
      <w:r>
        <w:rPr>
          <w:rFonts w:hint="eastAsia" w:ascii="黑体" w:hAnsi="宋体" w:eastAsia="黑体" w:cs="宋体"/>
          <w:color w:val="000000"/>
          <w:kern w:val="0"/>
          <w:szCs w:val="32"/>
          <w:shd w:val="clear" w:color="auto" w:fill="FFFFFF"/>
        </w:rPr>
        <w:t>整体预算绩效管理情况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w:t>
      </w:r>
      <w:r>
        <w:rPr>
          <w:rFonts w:hint="eastAsia" w:ascii="仿宋_GB2312" w:hAnsi="宋体" w:cs="宋体"/>
          <w:color w:val="000000"/>
          <w:kern w:val="0"/>
          <w:szCs w:val="32"/>
          <w:shd w:val="clear" w:color="auto" w:fill="FFFFFF"/>
          <w:lang w:val="zh-CN" w:eastAsia="zh-CN"/>
        </w:rPr>
        <w:t>本级</w:t>
      </w:r>
      <w:r>
        <w:rPr>
          <w:rFonts w:hint="eastAsia" w:ascii="仿宋_GB2312" w:hAnsi="宋体" w:cs="宋体"/>
          <w:color w:val="000000"/>
          <w:kern w:val="0"/>
          <w:szCs w:val="32"/>
          <w:shd w:val="clear" w:color="auto" w:fill="FFFFFF"/>
          <w:lang w:val="zh-CN"/>
        </w:rPr>
        <w:t>预算管理。</w:t>
      </w:r>
    </w:p>
    <w:p>
      <w:pPr>
        <w:pStyle w:val="4"/>
        <w:adjustRightInd w:val="0"/>
        <w:snapToGrid w:val="0"/>
        <w:spacing w:before="93" w:line="560" w:lineRule="exact"/>
        <w:ind w:firstLine="640" w:firstLineChars="200"/>
        <w:rPr>
          <w:rFonts w:hAnsi="宋体" w:cs="宋体"/>
          <w:color w:val="000000"/>
          <w:sz w:val="32"/>
          <w:szCs w:val="32"/>
          <w:shd w:val="clear" w:color="auto" w:fill="FFFFFF"/>
          <w:lang w:val="zh-CN"/>
        </w:rPr>
      </w:pPr>
      <w:r>
        <w:rPr>
          <w:rFonts w:hint="eastAsia" w:hAnsi="宋体" w:cs="宋体"/>
          <w:color w:val="000000"/>
          <w:sz w:val="32"/>
          <w:szCs w:val="32"/>
          <w:shd w:val="clear" w:color="auto" w:fill="FFFFFF"/>
          <w:lang w:val="zh-CN"/>
        </w:rPr>
        <w:t>(1)目标制定。根据《中华人民共和国预算法》《中华人民共和国保守国家秘密法》《四川省省级预算绩效目标管理办法》(川财绩[</w:t>
      </w:r>
      <w:r>
        <w:rPr>
          <w:rFonts w:ascii="Times New Roman"/>
          <w:color w:val="000000"/>
          <w:sz w:val="32"/>
          <w:szCs w:val="32"/>
          <w:shd w:val="clear" w:color="auto" w:fill="FFFFFF"/>
          <w:lang w:val="zh-CN"/>
        </w:rPr>
        <w:t>2017</w:t>
      </w:r>
      <w:r>
        <w:rPr>
          <w:rFonts w:hint="eastAsia" w:hAnsi="宋体" w:cs="宋体"/>
          <w:color w:val="000000"/>
          <w:sz w:val="32"/>
          <w:szCs w:val="32"/>
          <w:shd w:val="clear" w:color="auto" w:fill="FFFFFF"/>
          <w:lang w:val="zh-CN"/>
        </w:rPr>
        <w:t xml:space="preserve">] </w:t>
      </w:r>
      <w:r>
        <w:rPr>
          <w:rFonts w:hint="eastAsia" w:ascii="Times New Roman"/>
          <w:color w:val="000000"/>
          <w:sz w:val="32"/>
          <w:szCs w:val="32"/>
          <w:shd w:val="clear" w:color="auto" w:fill="FFFFFF"/>
          <w:lang w:val="zh-CN"/>
        </w:rPr>
        <w:t>5</w:t>
      </w:r>
      <w:r>
        <w:rPr>
          <w:rFonts w:hint="eastAsia" w:hAnsi="宋体" w:cs="宋体"/>
          <w:color w:val="000000"/>
          <w:sz w:val="32"/>
          <w:szCs w:val="32"/>
          <w:shd w:val="clear" w:color="auto" w:fill="FFFFFF"/>
          <w:lang w:val="zh-CN"/>
        </w:rPr>
        <w:t>号)和《自贡市自流井区财政局关于编制区级部门</w:t>
      </w:r>
      <w:r>
        <w:rPr>
          <w:rFonts w:hint="eastAsia" w:ascii="Times New Roman"/>
          <w:color w:val="000000"/>
          <w:sz w:val="32"/>
          <w:szCs w:val="32"/>
          <w:shd w:val="clear" w:color="auto" w:fill="FFFFFF"/>
          <w:lang w:val="zh-CN"/>
        </w:rPr>
        <w:t>20</w:t>
      </w:r>
      <w:r>
        <w:rPr>
          <w:rFonts w:hint="eastAsia" w:ascii="Times New Roman"/>
          <w:color w:val="000000"/>
          <w:sz w:val="32"/>
          <w:szCs w:val="32"/>
          <w:shd w:val="clear" w:color="auto" w:fill="FFFFFF"/>
        </w:rPr>
        <w:t>20</w:t>
      </w:r>
      <w:r>
        <w:rPr>
          <w:rFonts w:hint="eastAsia" w:ascii="Times New Roman"/>
          <w:color w:val="000000"/>
          <w:sz w:val="32"/>
          <w:szCs w:val="32"/>
          <w:shd w:val="clear" w:color="auto" w:fill="FFFFFF"/>
          <w:lang w:val="zh-CN"/>
        </w:rPr>
        <w:t>-202</w:t>
      </w:r>
      <w:r>
        <w:rPr>
          <w:rFonts w:hint="eastAsia" w:ascii="Times New Roman"/>
          <w:color w:val="000000"/>
          <w:sz w:val="32"/>
          <w:szCs w:val="32"/>
          <w:shd w:val="clear" w:color="auto" w:fill="FFFFFF"/>
        </w:rPr>
        <w:t>2</w:t>
      </w:r>
      <w:r>
        <w:rPr>
          <w:rFonts w:hint="eastAsia" w:hAnsi="宋体" w:cs="宋体"/>
          <w:color w:val="000000"/>
          <w:sz w:val="32"/>
          <w:szCs w:val="32"/>
          <w:shd w:val="clear" w:color="auto" w:fill="FFFFFF"/>
          <w:lang w:val="zh-CN"/>
        </w:rPr>
        <w:t>年支出规划和</w:t>
      </w:r>
      <w:r>
        <w:rPr>
          <w:rFonts w:hint="eastAsia" w:ascii="Times New Roman"/>
          <w:color w:val="000000"/>
          <w:sz w:val="32"/>
          <w:szCs w:val="32"/>
          <w:shd w:val="clear" w:color="auto" w:fill="FFFFFF"/>
          <w:lang w:val="zh-CN"/>
        </w:rPr>
        <w:t>20</w:t>
      </w:r>
      <w:r>
        <w:rPr>
          <w:rFonts w:hint="eastAsia" w:ascii="Times New Roman"/>
          <w:color w:val="000000"/>
          <w:sz w:val="32"/>
          <w:szCs w:val="32"/>
          <w:shd w:val="clear" w:color="auto" w:fill="FFFFFF"/>
        </w:rPr>
        <w:t>20</w:t>
      </w:r>
      <w:r>
        <w:rPr>
          <w:rFonts w:hint="eastAsia" w:hAnsi="宋体" w:cs="宋体"/>
          <w:color w:val="000000"/>
          <w:sz w:val="32"/>
          <w:szCs w:val="32"/>
          <w:shd w:val="clear" w:color="auto" w:fill="FFFFFF"/>
          <w:lang w:val="zh-CN"/>
        </w:rPr>
        <w:t>年部门预算的通知》(</w:t>
      </w:r>
      <w:r>
        <w:rPr>
          <w:rFonts w:hint="eastAsia" w:cs="仿宋_GB2312"/>
          <w:sz w:val="32"/>
          <w:szCs w:val="32"/>
        </w:rPr>
        <w:t>自井财发</w:t>
      </w:r>
      <w:r>
        <w:rPr>
          <w:rFonts w:ascii="Times New Roman"/>
          <w:sz w:val="32"/>
          <w:szCs w:val="32"/>
        </w:rPr>
        <w:t>〔</w:t>
      </w:r>
      <w:r>
        <w:rPr>
          <w:rFonts w:hint="eastAsia" w:ascii="Times New Roman"/>
          <w:color w:val="000000"/>
          <w:sz w:val="32"/>
          <w:szCs w:val="32"/>
          <w:shd w:val="clear" w:color="auto" w:fill="FFFFFF"/>
          <w:lang w:val="zh-CN"/>
        </w:rPr>
        <w:t>201</w:t>
      </w:r>
      <w:r>
        <w:rPr>
          <w:rFonts w:hint="eastAsia" w:ascii="Times New Roman"/>
          <w:color w:val="000000"/>
          <w:sz w:val="32"/>
          <w:szCs w:val="32"/>
          <w:shd w:val="clear" w:color="auto" w:fill="FFFFFF"/>
        </w:rPr>
        <w:t>9</w:t>
      </w:r>
      <w:r>
        <w:rPr>
          <w:rFonts w:hint="eastAsia" w:ascii="Times New Roman"/>
          <w:color w:val="000000"/>
          <w:sz w:val="32"/>
          <w:szCs w:val="32"/>
          <w:shd w:val="clear" w:color="auto" w:fill="FFFFFF"/>
          <w:lang w:val="zh-CN"/>
        </w:rPr>
        <w:t>〕</w:t>
      </w:r>
      <w:r>
        <w:rPr>
          <w:rFonts w:hint="eastAsia" w:ascii="Times New Roman"/>
          <w:color w:val="000000"/>
          <w:sz w:val="32"/>
          <w:szCs w:val="32"/>
          <w:shd w:val="clear" w:color="auto" w:fill="FFFFFF"/>
        </w:rPr>
        <w:t>120</w:t>
      </w:r>
      <w:r>
        <w:rPr>
          <w:rFonts w:hint="eastAsia" w:cs="仿宋_GB2312"/>
          <w:sz w:val="32"/>
          <w:szCs w:val="32"/>
        </w:rPr>
        <w:t>号</w:t>
      </w:r>
      <w:r>
        <w:rPr>
          <w:rFonts w:hint="eastAsia" w:hAnsi="宋体" w:cs="宋体"/>
          <w:color w:val="000000"/>
          <w:sz w:val="32"/>
          <w:szCs w:val="32"/>
          <w:shd w:val="clear" w:color="auto" w:fill="FFFFFF"/>
          <w:lang w:val="zh-CN"/>
        </w:rPr>
        <w:t>)的相关要求，自流井区委巡察办</w:t>
      </w:r>
      <w:r>
        <w:rPr>
          <w:rFonts w:ascii="Times New Roman"/>
          <w:color w:val="000000"/>
          <w:sz w:val="32"/>
          <w:szCs w:val="32"/>
          <w:shd w:val="clear" w:color="auto" w:fill="FFFFFF"/>
          <w:lang w:val="zh-CN"/>
        </w:rPr>
        <w:t>20</w:t>
      </w:r>
      <w:r>
        <w:rPr>
          <w:rFonts w:hint="eastAsia" w:ascii="Times New Roman"/>
          <w:color w:val="000000"/>
          <w:sz w:val="32"/>
          <w:szCs w:val="32"/>
          <w:shd w:val="clear" w:color="auto" w:fill="FFFFFF"/>
        </w:rPr>
        <w:t>20</w:t>
      </w:r>
      <w:r>
        <w:rPr>
          <w:rFonts w:hint="eastAsia" w:hAnsi="宋体" w:cs="宋体"/>
          <w:color w:val="000000"/>
          <w:sz w:val="32"/>
          <w:szCs w:val="32"/>
          <w:shd w:val="clear" w:color="auto" w:fill="FFFFFF"/>
          <w:lang w:val="zh-CN"/>
        </w:rPr>
        <w:t>年度制定绩效目标的专项预算</w:t>
      </w:r>
      <w:r>
        <w:rPr>
          <w:rFonts w:hint="eastAsia" w:hAnsi="宋体" w:cs="宋体"/>
          <w:color w:val="000000"/>
          <w:sz w:val="32"/>
          <w:szCs w:val="32"/>
          <w:shd w:val="clear" w:color="auto" w:fill="FFFFFF"/>
        </w:rPr>
        <w:t>1</w:t>
      </w:r>
      <w:r>
        <w:rPr>
          <w:rFonts w:hint="eastAsia" w:hAnsi="宋体" w:cs="宋体"/>
          <w:color w:val="000000"/>
          <w:sz w:val="32"/>
          <w:szCs w:val="32"/>
          <w:shd w:val="clear" w:color="auto" w:fill="FFFFFF"/>
          <w:lang w:val="zh-CN"/>
        </w:rPr>
        <w:t>项，为巡察办巡察组工作经费</w:t>
      </w:r>
      <w:r>
        <w:rPr>
          <w:rFonts w:hint="eastAsia" w:ascii="Times New Roman"/>
          <w:color w:val="000000"/>
          <w:sz w:val="32"/>
          <w:szCs w:val="32"/>
          <w:shd w:val="clear" w:color="auto" w:fill="FFFFFF"/>
        </w:rPr>
        <w:t>13.84</w:t>
      </w:r>
      <w:r>
        <w:rPr>
          <w:rFonts w:hint="eastAsia" w:hAnsi="宋体" w:cs="宋体"/>
          <w:color w:val="000000"/>
          <w:sz w:val="32"/>
          <w:szCs w:val="32"/>
          <w:shd w:val="clear" w:color="auto" w:fill="FFFFFF"/>
        </w:rPr>
        <w:t>万元，</w:t>
      </w:r>
      <w:r>
        <w:rPr>
          <w:rFonts w:hint="eastAsia" w:hAnsi="宋体" w:cs="宋体"/>
          <w:color w:val="000000"/>
          <w:sz w:val="32"/>
          <w:szCs w:val="32"/>
          <w:shd w:val="clear" w:color="auto" w:fill="FFFFFF"/>
          <w:lang w:val="zh-CN"/>
        </w:rPr>
        <w:t>其中财政拨款</w:t>
      </w:r>
      <w:r>
        <w:rPr>
          <w:rFonts w:hint="eastAsia" w:ascii="Times New Roman"/>
          <w:color w:val="000000"/>
          <w:sz w:val="32"/>
          <w:szCs w:val="32"/>
          <w:shd w:val="clear" w:color="auto" w:fill="FFFFFF"/>
        </w:rPr>
        <w:t>13.84</w:t>
      </w:r>
      <w:r>
        <w:rPr>
          <w:rFonts w:hint="eastAsia" w:hAnsi="宋体" w:cs="宋体"/>
          <w:color w:val="000000"/>
          <w:sz w:val="32"/>
          <w:szCs w:val="32"/>
          <w:shd w:val="clear" w:color="auto" w:fill="FFFFFF"/>
          <w:lang w:val="zh-CN"/>
        </w:rPr>
        <w:t>万元。绩效目标根据项目实际情况和年度工作任务，从项目产出、项目效益和满意度等方面进行了量化和细化，编制要素完整，可操作性强。</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(2)目标实现。</w:t>
      </w:r>
      <w:r>
        <w:rPr>
          <w:color w:val="000000"/>
          <w:kern w:val="0"/>
          <w:szCs w:val="32"/>
          <w:shd w:val="clear" w:color="auto" w:fill="FFFFFF"/>
          <w:lang w:val="zh-CN"/>
        </w:rPr>
        <w:t>20</w:t>
      </w:r>
      <w:r>
        <w:rPr>
          <w:rFonts w:hint="eastAsia"/>
          <w:color w:val="000000"/>
          <w:kern w:val="0"/>
          <w:szCs w:val="32"/>
          <w:shd w:val="clear" w:color="auto" w:fill="FFFFFF"/>
        </w:rPr>
        <w:t>20</w:t>
      </w:r>
      <w:r>
        <w:rPr>
          <w:rFonts w:hint="eastAsia" w:ascii="仿宋_GB2312" w:hAnsi="宋体" w:cs="宋体"/>
          <w:color w:val="000000"/>
          <w:kern w:val="0"/>
          <w:szCs w:val="32"/>
          <w:shd w:val="clear" w:color="auto" w:fill="FFFFFF"/>
          <w:lang w:val="zh-CN"/>
        </w:rPr>
        <w:t>年自流井区委巡察办（本级）</w:t>
      </w:r>
      <w:r>
        <w:rPr>
          <w:color w:val="000000"/>
          <w:kern w:val="0"/>
          <w:szCs w:val="32"/>
          <w:shd w:val="clear" w:color="auto" w:fill="FFFFFF"/>
        </w:rPr>
        <w:t>1</w:t>
      </w:r>
      <w:r>
        <w:rPr>
          <w:rFonts w:hint="eastAsia" w:ascii="仿宋_GB2312" w:hAnsi="宋体" w:cs="宋体"/>
          <w:color w:val="000000"/>
          <w:kern w:val="0"/>
          <w:szCs w:val="32"/>
          <w:shd w:val="clear" w:color="auto" w:fill="FFFFFF"/>
          <w:lang w:val="zh-CN"/>
        </w:rPr>
        <w:t>个项目绩效目标实现情况如下:</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hAnsi="宋体" w:cs="宋体"/>
          <w:color w:val="000000"/>
          <w:szCs w:val="32"/>
          <w:shd w:val="clear" w:color="auto" w:fill="FFFFFF"/>
          <w:lang w:val="zh-CN"/>
        </w:rPr>
        <w:t>巡察办巡察组工作</w:t>
      </w:r>
      <w:r>
        <w:rPr>
          <w:rFonts w:hint="eastAsia" w:ascii="仿宋_GB2312" w:hAnsi="宋体" w:cs="宋体"/>
          <w:color w:val="000000"/>
          <w:kern w:val="0"/>
          <w:szCs w:val="32"/>
          <w:shd w:val="clear" w:color="auto" w:fill="FFFFFF"/>
          <w:lang w:val="zh-CN"/>
        </w:rPr>
        <w:t>经费项目:</w:t>
      </w:r>
      <w:r>
        <w:rPr>
          <w:rFonts w:hint="eastAsia"/>
          <w:color w:val="000000"/>
          <w:kern w:val="0"/>
          <w:szCs w:val="32"/>
          <w:shd w:val="clear" w:color="auto" w:fill="FFFFFF"/>
          <w:lang w:val="zh-CN"/>
        </w:rPr>
        <w:t>按照《中共自贡市自流井区委巡察工作规划（2017年—2021年）》（新修订）和《中共自贡市自流井区委员会关于以政治建设为统领全面深化政治巡察的实施意见》要求，牢牢把握政治巡察定位，进一步完善巡察协作、问题线索移交、情况通报等各项机制，提升巡察工作制度化、规范化、科学化水平，加强工作创新，强化队伍建设，高质量推进巡察工作，提前完成本届巡察任务。</w:t>
      </w:r>
      <w:r>
        <w:rPr>
          <w:rFonts w:hint="eastAsia" w:ascii="仿宋_GB2312" w:hAnsi="宋体" w:cs="宋体"/>
          <w:color w:val="000000"/>
          <w:kern w:val="0"/>
          <w:szCs w:val="32"/>
          <w:shd w:val="clear" w:color="auto" w:fill="FFFFFF"/>
          <w:lang w:val="zh-CN"/>
        </w:rPr>
        <w:t>验收通过率为</w:t>
      </w:r>
      <w:r>
        <w:rPr>
          <w:color w:val="000000"/>
          <w:kern w:val="0"/>
          <w:szCs w:val="32"/>
          <w:shd w:val="clear" w:color="auto" w:fill="FFFFFF"/>
          <w:lang w:val="zh-CN"/>
        </w:rPr>
        <w:t>100%。</w:t>
      </w:r>
      <w:r>
        <w:rPr>
          <w:rFonts w:hint="eastAsia" w:ascii="仿宋_GB2312" w:hAnsi="宋体" w:cs="宋体"/>
          <w:color w:val="000000"/>
          <w:kern w:val="0"/>
          <w:szCs w:val="32"/>
          <w:shd w:val="clear" w:color="auto" w:fill="FFFFFF"/>
          <w:lang w:val="zh-CN"/>
        </w:rPr>
        <w:t>该项目绩效目标实际实现程度与预期目标一致。</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w:t>
      </w:r>
      <w:r>
        <w:rPr>
          <w:rFonts w:hint="eastAsia" w:ascii="仿宋_GB2312" w:hAnsi="宋体" w:cs="宋体"/>
          <w:color w:val="000000"/>
          <w:kern w:val="0"/>
          <w:szCs w:val="32"/>
          <w:shd w:val="clear" w:color="auto" w:fill="FFFFFF"/>
        </w:rPr>
        <w:t>3</w:t>
      </w:r>
      <w:r>
        <w:rPr>
          <w:rFonts w:hint="eastAsia" w:ascii="仿宋_GB2312" w:hAnsi="宋体" w:cs="宋体"/>
          <w:color w:val="000000"/>
          <w:kern w:val="0"/>
          <w:szCs w:val="32"/>
          <w:shd w:val="clear" w:color="auto" w:fill="FFFFFF"/>
          <w:lang w:val="zh-CN"/>
        </w:rPr>
        <w:t>)预算编制准确。</w:t>
      </w:r>
      <w:r>
        <w:rPr>
          <w:color w:val="000000"/>
          <w:kern w:val="0"/>
          <w:szCs w:val="32"/>
          <w:shd w:val="clear" w:color="auto" w:fill="FFFFFF"/>
        </w:rPr>
        <w:t>20</w:t>
      </w:r>
      <w:r>
        <w:rPr>
          <w:rFonts w:hint="eastAsia"/>
          <w:color w:val="000000"/>
          <w:kern w:val="0"/>
          <w:szCs w:val="32"/>
          <w:shd w:val="clear" w:color="auto" w:fill="FFFFFF"/>
        </w:rPr>
        <w:t>20年</w:t>
      </w:r>
      <w:r>
        <w:rPr>
          <w:rFonts w:hint="eastAsia" w:ascii="仿宋_GB2312" w:hAnsi="宋体" w:cs="宋体"/>
          <w:color w:val="000000"/>
          <w:kern w:val="0"/>
          <w:szCs w:val="32"/>
          <w:shd w:val="clear" w:color="auto" w:fill="FFFFFF"/>
          <w:lang w:val="zh-CN"/>
        </w:rPr>
        <w:t>自流井区委巡察办（本级）预算编制准确，无调剂资金。</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w:t>
      </w:r>
      <w:r>
        <w:rPr>
          <w:rFonts w:hint="eastAsia" w:ascii="仿宋_GB2312" w:hAnsi="宋体" w:cs="宋体"/>
          <w:color w:val="000000"/>
          <w:kern w:val="0"/>
          <w:szCs w:val="32"/>
          <w:shd w:val="clear" w:color="auto" w:fill="FFFFFF"/>
        </w:rPr>
        <w:t>4</w:t>
      </w:r>
      <w:r>
        <w:rPr>
          <w:rFonts w:hint="eastAsia" w:ascii="仿宋_GB2312" w:hAnsi="宋体" w:cs="宋体"/>
          <w:color w:val="000000"/>
          <w:kern w:val="0"/>
          <w:szCs w:val="32"/>
          <w:shd w:val="clear" w:color="auto" w:fill="FFFFFF"/>
          <w:lang w:val="zh-CN"/>
        </w:rPr>
        <w:t>)预算完成。</w:t>
      </w:r>
      <w:r>
        <w:rPr>
          <w:rFonts w:hint="eastAsia"/>
          <w:color w:val="000000"/>
          <w:kern w:val="0"/>
          <w:szCs w:val="32"/>
          <w:shd w:val="clear" w:color="auto" w:fill="FFFFFF"/>
          <w:lang w:val="zh-CN"/>
        </w:rPr>
        <w:t>20</w:t>
      </w:r>
      <w:r>
        <w:rPr>
          <w:rFonts w:hint="eastAsia"/>
          <w:color w:val="000000"/>
          <w:kern w:val="0"/>
          <w:szCs w:val="32"/>
          <w:shd w:val="clear" w:color="auto" w:fill="FFFFFF"/>
        </w:rPr>
        <w:t>20</w:t>
      </w:r>
      <w:r>
        <w:rPr>
          <w:rFonts w:hint="eastAsia" w:ascii="仿宋_GB2312" w:hAnsi="宋体" w:cs="宋体"/>
          <w:color w:val="000000"/>
          <w:kern w:val="0"/>
          <w:szCs w:val="32"/>
          <w:shd w:val="clear" w:color="auto" w:fill="FFFFFF"/>
          <w:lang w:val="zh-CN"/>
        </w:rPr>
        <w:t>年，自流井区委巡察办（本级）预算收入总额</w:t>
      </w:r>
      <w:r>
        <w:rPr>
          <w:rFonts w:hint="eastAsia"/>
          <w:color w:val="000000"/>
          <w:kern w:val="0"/>
          <w:szCs w:val="32"/>
          <w:shd w:val="clear" w:color="auto" w:fill="FFFFFF"/>
        </w:rPr>
        <w:t>194.67</w:t>
      </w:r>
      <w:r>
        <w:rPr>
          <w:rFonts w:hint="eastAsia" w:ascii="仿宋_GB2312" w:hAnsi="宋体" w:cs="宋体"/>
          <w:color w:val="000000"/>
          <w:kern w:val="0"/>
          <w:szCs w:val="32"/>
          <w:shd w:val="clear" w:color="auto" w:fill="FFFFFF"/>
          <w:lang w:val="zh-CN"/>
        </w:rPr>
        <w:t>万元，决算支出</w:t>
      </w:r>
      <w:r>
        <w:rPr>
          <w:rFonts w:hint="eastAsia"/>
          <w:color w:val="000000"/>
          <w:kern w:val="0"/>
          <w:szCs w:val="32"/>
          <w:shd w:val="clear" w:color="auto" w:fill="FFFFFF"/>
        </w:rPr>
        <w:t>194.67</w:t>
      </w:r>
      <w:r>
        <w:rPr>
          <w:rFonts w:hint="eastAsia" w:ascii="仿宋_GB2312" w:hAnsi="宋体" w:cs="宋体"/>
          <w:color w:val="000000"/>
          <w:kern w:val="0"/>
          <w:szCs w:val="32"/>
          <w:shd w:val="clear" w:color="auto" w:fill="FFFFFF"/>
          <w:lang w:val="zh-CN"/>
        </w:rPr>
        <w:t>万元，年终整体预算执行进度</w:t>
      </w:r>
      <w:r>
        <w:rPr>
          <w:rFonts w:hint="eastAsia"/>
          <w:color w:val="000000"/>
          <w:kern w:val="0"/>
          <w:szCs w:val="32"/>
          <w:shd w:val="clear" w:color="auto" w:fill="FFFFFF"/>
        </w:rPr>
        <w:t>100</w:t>
      </w:r>
      <w:r>
        <w:rPr>
          <w:rFonts w:hint="eastAsia" w:ascii="仿宋_GB2312" w:hAnsi="宋体" w:cs="宋体"/>
          <w:color w:val="000000"/>
          <w:kern w:val="0"/>
          <w:szCs w:val="32"/>
          <w:shd w:val="clear" w:color="auto" w:fill="FFFFFF"/>
          <w:lang w:val="zh-CN"/>
        </w:rPr>
        <w:t>%。其中，项目预算</w:t>
      </w:r>
      <w:r>
        <w:rPr>
          <w:rFonts w:hint="eastAsia"/>
          <w:color w:val="000000"/>
          <w:kern w:val="0"/>
          <w:szCs w:val="32"/>
          <w:shd w:val="clear" w:color="auto" w:fill="FFFFFF"/>
        </w:rPr>
        <w:t>13.84</w:t>
      </w:r>
      <w:r>
        <w:rPr>
          <w:rFonts w:hint="eastAsia" w:ascii="仿宋_GB2312" w:hAnsi="宋体" w:cs="宋体"/>
          <w:color w:val="000000"/>
          <w:kern w:val="0"/>
          <w:szCs w:val="32"/>
          <w:shd w:val="clear" w:color="auto" w:fill="FFFFFF"/>
          <w:lang w:val="zh-CN"/>
        </w:rPr>
        <w:t>万元，决算支出</w:t>
      </w:r>
      <w:r>
        <w:rPr>
          <w:rFonts w:hint="eastAsia"/>
          <w:color w:val="000000"/>
          <w:kern w:val="0"/>
          <w:szCs w:val="32"/>
          <w:shd w:val="clear" w:color="auto" w:fill="FFFFFF"/>
        </w:rPr>
        <w:t>13.84</w:t>
      </w:r>
      <w:r>
        <w:rPr>
          <w:rFonts w:hint="eastAsia" w:ascii="仿宋_GB2312" w:hAnsi="宋体" w:cs="宋体"/>
          <w:color w:val="000000"/>
          <w:kern w:val="0"/>
          <w:szCs w:val="32"/>
          <w:shd w:val="clear" w:color="auto" w:fill="FFFFFF"/>
          <w:lang w:val="zh-CN"/>
        </w:rPr>
        <w:t>万元，年终项目预算执行进度</w:t>
      </w:r>
      <w:r>
        <w:rPr>
          <w:rFonts w:hint="eastAsia"/>
          <w:color w:val="000000"/>
          <w:kern w:val="0"/>
          <w:szCs w:val="32"/>
          <w:shd w:val="clear" w:color="auto" w:fill="FFFFFF"/>
        </w:rPr>
        <w:t>100</w:t>
      </w:r>
      <w:r>
        <w:rPr>
          <w:rFonts w:hint="eastAsia" w:ascii="仿宋_GB2312" w:hAnsi="宋体" w:cs="宋体"/>
          <w:color w:val="000000"/>
          <w:kern w:val="0"/>
          <w:szCs w:val="32"/>
          <w:shd w:val="clear" w:color="auto" w:fill="FFFFFF"/>
          <w:lang w:val="zh-CN"/>
        </w:rPr>
        <w:t>%。</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w:t>
      </w:r>
      <w:r>
        <w:rPr>
          <w:rFonts w:hint="eastAsia" w:ascii="仿宋_GB2312" w:hAnsi="宋体" w:cs="宋体"/>
          <w:color w:val="000000"/>
          <w:kern w:val="0"/>
          <w:szCs w:val="32"/>
          <w:shd w:val="clear" w:color="auto" w:fill="FFFFFF"/>
        </w:rPr>
        <w:t>5</w:t>
      </w:r>
      <w:r>
        <w:rPr>
          <w:rFonts w:hint="eastAsia" w:ascii="仿宋_GB2312" w:hAnsi="宋体" w:cs="宋体"/>
          <w:color w:val="000000"/>
          <w:kern w:val="0"/>
          <w:szCs w:val="32"/>
          <w:shd w:val="clear" w:color="auto" w:fill="FFFFFF"/>
          <w:lang w:val="zh-CN"/>
        </w:rPr>
        <w:t>)违规记录。20</w:t>
      </w:r>
      <w:r>
        <w:rPr>
          <w:rFonts w:hint="eastAsia" w:ascii="仿宋_GB2312" w:hAnsi="宋体" w:cs="宋体"/>
          <w:color w:val="000000"/>
          <w:kern w:val="0"/>
          <w:szCs w:val="32"/>
          <w:shd w:val="clear" w:color="auto" w:fill="FFFFFF"/>
        </w:rPr>
        <w:t>20</w:t>
      </w:r>
      <w:r>
        <w:rPr>
          <w:rFonts w:hint="eastAsia" w:ascii="仿宋_GB2312" w:hAnsi="宋体" w:cs="宋体"/>
          <w:color w:val="000000"/>
          <w:kern w:val="0"/>
          <w:szCs w:val="32"/>
          <w:shd w:val="clear" w:color="auto" w:fill="FFFFFF"/>
          <w:lang w:val="zh-CN"/>
        </w:rPr>
        <w:t>年度预算无审计监督、财政检查预算管理方面违纪违规问题。</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（二）结果应用情况。</w:t>
      </w:r>
    </w:p>
    <w:p>
      <w:pPr>
        <w:widowControl/>
        <w:ind w:firstLine="640" w:firstLineChars="200"/>
        <w:jc w:val="left"/>
        <w:rPr>
          <w:rFonts w:ascii="仿宋_GB2312" w:hAnsi="仿宋_GB2312" w:cs="仿宋_GB2312"/>
          <w:color w:val="000000"/>
          <w:szCs w:val="32"/>
          <w:shd w:val="clear" w:color="auto" w:fill="FFFFFF"/>
        </w:rPr>
      </w:pPr>
      <w:r>
        <w:rPr>
          <w:rFonts w:hint="eastAsia" w:ascii="仿宋_GB2312" w:hAnsi="仿宋_GB2312" w:cs="仿宋_GB2312"/>
          <w:color w:val="000000"/>
          <w:szCs w:val="32"/>
          <w:shd w:val="clear" w:color="auto" w:fill="FFFFFF"/>
        </w:rPr>
        <w:t>围绕财政局部署的整体绩效自评、绩效监控自评、项目实施自评、绩效管理工作自评等工作，认真落实预算绩效考核各项要求，绩效管理结果应用成绩显著。一是按要求将相关绩效信息随同决算公开，信息公开更加准确及时。二是结合项目特性和上年绩效目标评价结果，合理设置绩效目标，尽量量化设定年度绩效数量指标、成本指标、效益指标等，详细反映相应项目工作任务、达成的效果，进一步提高绩效目标的针对性、有效性，便于对项目的实施情况进行考核，工作效能明显提升。</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pPr>
        <w:widowControl/>
        <w:ind w:firstLine="640" w:firstLineChars="200"/>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rPr>
      </w:pPr>
      <w:r>
        <w:rPr>
          <w:rFonts w:hint="eastAsia" w:ascii="仿宋_GB2312" w:hAnsi="宋体" w:cs="宋体"/>
          <w:color w:val="000000"/>
          <w:kern w:val="0"/>
          <w:szCs w:val="32"/>
          <w:shd w:val="clear" w:color="auto" w:fill="FFFFFF"/>
        </w:rPr>
        <w:t>2020 年我办</w:t>
      </w:r>
      <w:r>
        <w:rPr>
          <w:rFonts w:hint="eastAsia" w:ascii="仿宋_GB2312" w:hAnsi="宋体" w:cs="宋体"/>
          <w:color w:val="000000"/>
          <w:kern w:val="0"/>
          <w:szCs w:val="32"/>
          <w:shd w:val="clear" w:color="auto" w:fill="FFFFFF"/>
          <w:lang w:eastAsia="zh-CN"/>
        </w:rPr>
        <w:t>本级</w:t>
      </w:r>
      <w:r>
        <w:rPr>
          <w:rFonts w:hint="eastAsia" w:ascii="仿宋_GB2312" w:hAnsi="宋体" w:cs="宋体"/>
          <w:color w:val="000000"/>
          <w:kern w:val="0"/>
          <w:szCs w:val="32"/>
          <w:shd w:val="clear" w:color="auto" w:fill="FFFFFF"/>
        </w:rPr>
        <w:t>整体支出绩效自查自评结果良好，全年基本支出保证了</w:t>
      </w:r>
      <w:r>
        <w:rPr>
          <w:rFonts w:hint="eastAsia" w:ascii="仿宋_GB2312" w:hAnsi="宋体" w:cs="宋体"/>
          <w:color w:val="000000"/>
          <w:kern w:val="0"/>
          <w:szCs w:val="32"/>
          <w:shd w:val="clear" w:color="auto" w:fill="FFFFFF"/>
          <w:lang w:eastAsia="zh-CN"/>
        </w:rPr>
        <w:t>单位</w:t>
      </w:r>
      <w:r>
        <w:rPr>
          <w:rFonts w:hint="eastAsia" w:ascii="仿宋_GB2312" w:hAnsi="宋体" w:cs="宋体"/>
          <w:color w:val="000000"/>
          <w:kern w:val="0"/>
          <w:szCs w:val="32"/>
          <w:shd w:val="clear" w:color="auto" w:fill="FFFFFF"/>
        </w:rPr>
        <w:t>的正常运转，项目支出保障了重点工作的开展，按照</w:t>
      </w:r>
      <w:r>
        <w:rPr>
          <w:rFonts w:hint="eastAsia" w:ascii="仿宋_GB2312" w:hAnsi="宋体" w:cs="宋体"/>
          <w:color w:val="000000"/>
          <w:kern w:val="0"/>
          <w:szCs w:val="32"/>
          <w:shd w:val="clear" w:color="auto" w:fill="FFFFFF"/>
          <w:lang w:val="en-US" w:eastAsia="zh-CN"/>
        </w:rPr>
        <w:t>2</w:t>
      </w:r>
      <w:r>
        <w:rPr>
          <w:rFonts w:hint="eastAsia" w:ascii="仿宋_GB2312" w:hAnsi="宋体" w:cs="宋体"/>
          <w:color w:val="000000"/>
          <w:kern w:val="0"/>
          <w:szCs w:val="32"/>
          <w:shd w:val="clear" w:color="auto" w:fill="FFFFFF"/>
        </w:rPr>
        <w:t>020年度部门整体支出绩效评价指标体系对部门预算编制、预算执行、完成结果、信息公开、整改反馈等方面进行了自评。</w:t>
      </w:r>
    </w:p>
    <w:p>
      <w:pPr>
        <w:widowControl/>
        <w:adjustRightInd w:val="0"/>
        <w:snapToGrid w:val="0"/>
        <w:spacing w:line="580" w:lineRule="exact"/>
        <w:ind w:left="640" w:left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（二）存在问题。</w:t>
      </w:r>
    </w:p>
    <w:p>
      <w:pPr>
        <w:widowControl/>
        <w:ind w:firstLine="640" w:firstLineChars="200"/>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rPr>
        <w:t>一是预算编制准确性需提高。二是</w:t>
      </w:r>
      <w:r>
        <w:rPr>
          <w:rFonts w:hint="eastAsia" w:ascii="仿宋_GB2312" w:hAnsi="宋体" w:cs="宋体"/>
          <w:color w:val="000000"/>
          <w:kern w:val="0"/>
          <w:szCs w:val="32"/>
          <w:shd w:val="clear" w:color="auto" w:fill="FFFFFF"/>
          <w:lang w:eastAsia="zh-CN"/>
        </w:rPr>
        <w:t>单位</w:t>
      </w:r>
      <w:r>
        <w:rPr>
          <w:rFonts w:hint="eastAsia" w:ascii="仿宋_GB2312" w:hAnsi="宋体" w:cs="宋体"/>
          <w:color w:val="000000"/>
          <w:kern w:val="0"/>
          <w:szCs w:val="32"/>
          <w:shd w:val="clear" w:color="auto" w:fill="FFFFFF"/>
        </w:rPr>
        <w:t xml:space="preserve">预算执行进度需加快。 </w:t>
      </w:r>
    </w:p>
    <w:p>
      <w:pPr>
        <w:widowControl/>
        <w:numPr>
          <w:ilvl w:val="0"/>
          <w:numId w:val="6"/>
        </w:numPr>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改进建议。</w:t>
      </w:r>
    </w:p>
    <w:p>
      <w:pPr>
        <w:widowControl/>
        <w:ind w:firstLine="640" w:firstLineChars="200"/>
        <w:jc w:val="left"/>
        <w:rPr>
          <w:rFonts w:ascii="仿宋_GB2312" w:hAnsi="仿宋_GB2312" w:cs="仿宋_GB2312"/>
          <w:szCs w:val="32"/>
        </w:rPr>
      </w:pPr>
      <w:r>
        <w:rPr>
          <w:rFonts w:hint="eastAsia" w:ascii="仿宋_GB2312" w:hAnsi="宋体" w:cs="宋体"/>
          <w:color w:val="000000"/>
          <w:kern w:val="0"/>
          <w:szCs w:val="32"/>
          <w:shd w:val="clear" w:color="auto" w:fill="FFFFFF"/>
        </w:rPr>
        <w:t>一是建立健全项目入库管理机制，研究完善项目设立标准，规范项目审核程序、立项依据、实施期限、支出标准、预算需求等要素，做实做细项目储备，纳入预算项目库的项目应当按规定完成各项前期工作，能按照轻重缓急保障重点工作，切实提高预算编制的准确性。二是做好绩效运行监控，及时了解预算执行差异，及时进行预算调整，切实加快项目预算执行进度，减少结余注销资金量，提高财政资金的使用效益。</w:t>
      </w:r>
    </w:p>
    <w:p>
      <w:pPr>
        <w:pageBreakBefore/>
        <w:widowControl/>
        <w:spacing w:line="580" w:lineRule="exact"/>
        <w:outlineLvl w:val="1"/>
        <w:rPr>
          <w:rFonts w:ascii="仿宋_GB2312" w:hAnsi="仿宋_GB2312" w:cs="仿宋_GB2312"/>
          <w:szCs w:val="32"/>
        </w:rPr>
      </w:pPr>
      <w:bookmarkStart w:id="62" w:name="_Toc11602"/>
      <w:r>
        <w:rPr>
          <w:rFonts w:hint="eastAsia" w:ascii="黑体" w:hAnsi="黑体" w:eastAsia="黑体" w:cs="黑体"/>
          <w:szCs w:val="32"/>
        </w:rPr>
        <w:t>附件</w:t>
      </w:r>
      <w:r>
        <w:rPr>
          <w:rFonts w:ascii="黑体" w:hAnsi="黑体" w:eastAsia="黑体" w:cs="黑体"/>
          <w:szCs w:val="32"/>
        </w:rPr>
        <w:t>2</w:t>
      </w:r>
      <w:bookmarkEnd w:id="62"/>
    </w:p>
    <w:p>
      <w:pPr>
        <w:spacing w:line="580" w:lineRule="exact"/>
        <w:ind w:firstLine="640" w:firstLineChars="200"/>
        <w:rPr>
          <w:rFonts w:ascii="仿宋_GB2312" w:hAnsi="仿宋_GB2312" w:cs="仿宋_GB2312"/>
          <w:szCs w:val="32"/>
        </w:rPr>
      </w:pP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lang w:val="zh-CN"/>
        </w:rPr>
        <w:t>巡察办巡察组工作经费项目</w:t>
      </w:r>
    </w:p>
    <w:p>
      <w:pPr>
        <w:spacing w:line="600" w:lineRule="exact"/>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Cs w:val="32"/>
          <w:lang w:val="zh-CN"/>
        </w:rPr>
      </w:pPr>
    </w:p>
    <w:p>
      <w:pPr>
        <w:adjustRightInd w:val="0"/>
        <w:snapToGrid w:val="0"/>
        <w:spacing w:line="600" w:lineRule="exact"/>
        <w:ind w:firstLine="720"/>
        <w:rPr>
          <w:rFonts w:ascii="黑体" w:hAnsi="宋体" w:eastAsia="黑体"/>
          <w:szCs w:val="32"/>
          <w:lang w:val="zh-CN"/>
        </w:rPr>
      </w:pPr>
      <w:r>
        <w:rPr>
          <w:rFonts w:hint="eastAsia" w:ascii="黑体" w:hAnsi="宋体" w:eastAsia="黑体"/>
          <w:szCs w:val="32"/>
        </w:rPr>
        <w:t>一、</w:t>
      </w:r>
      <w:r>
        <w:rPr>
          <w:rFonts w:hint="eastAsia" w:ascii="黑体" w:hAnsi="宋体" w:eastAsia="黑体"/>
          <w:szCs w:val="32"/>
          <w:lang w:val="zh-CN"/>
        </w:rPr>
        <w:t>项目概况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（一）项目基本情况。</w:t>
      </w:r>
    </w:p>
    <w:p>
      <w:pPr>
        <w:adjustRightInd w:val="0"/>
        <w:snapToGrid w:val="0"/>
        <w:spacing w:line="600" w:lineRule="exact"/>
        <w:ind w:firstLine="720"/>
        <w:rPr>
          <w:rFonts w:ascii="仿宋_GB2312" w:hAnsi="宋体"/>
          <w:szCs w:val="32"/>
          <w:lang w:val="zh-CN"/>
        </w:rPr>
      </w:pPr>
      <w:r>
        <w:rPr>
          <w:rFonts w:ascii="仿宋_GB2312" w:hAnsi="宋体"/>
          <w:szCs w:val="32"/>
          <w:lang w:val="zh-CN"/>
        </w:rPr>
        <w:t>1</w:t>
      </w:r>
      <w:r>
        <w:rPr>
          <w:rFonts w:hint="eastAsia" w:ascii="仿宋_GB2312" w:hAnsi="宋体"/>
          <w:szCs w:val="32"/>
          <w:lang w:val="zh-CN"/>
        </w:rPr>
        <w:t>．在该项目管理中的职能：区委3个巡察组按照区委巡察工作安排，在区委巡察办的统筹协调和指导下，扎实推进巡察工作，全面完成当年巡察工作任务。</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2．项目立项、资金申报的依据：根据区委工作安排，按照区财政下发的规章制度，对资金使用严格进行测算后按规定申报。</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3．资金管理办法制定情况：我单位于201</w:t>
      </w:r>
      <w:r>
        <w:rPr>
          <w:rFonts w:hint="eastAsia" w:ascii="仿宋_GB2312" w:hAnsi="宋体"/>
          <w:szCs w:val="32"/>
        </w:rPr>
        <w:t>8</w:t>
      </w:r>
      <w:r>
        <w:rPr>
          <w:rFonts w:hint="eastAsia" w:ascii="仿宋_GB2312" w:hAnsi="宋体"/>
          <w:szCs w:val="32"/>
          <w:lang w:val="zh-CN"/>
        </w:rPr>
        <w:t>年明确了预算绩效管理职能，并有专人负责。完善内部规章制度，制定了本单位预算绩效管理工作的具体办法。资金严格按照预算法，实行专款专用。</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4．资金分配的原则及考虑因素。按照实际工作需要，涉及会议费、培训费、劳务费等相关费用，按需进行资金分配使用。</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（二）项目绩效目标。</w:t>
      </w:r>
    </w:p>
    <w:p>
      <w:pPr>
        <w:adjustRightInd w:val="0"/>
        <w:snapToGrid w:val="0"/>
        <w:spacing w:line="600" w:lineRule="exact"/>
        <w:ind w:firstLine="720"/>
        <w:rPr>
          <w:rFonts w:ascii="仿宋_GB2312" w:hAnsi="宋体"/>
          <w:szCs w:val="32"/>
          <w:lang w:val="zh-CN"/>
        </w:rPr>
      </w:pPr>
      <w:r>
        <w:rPr>
          <w:rFonts w:ascii="仿宋_GB2312" w:hAnsi="宋体"/>
          <w:szCs w:val="32"/>
          <w:lang w:val="zh-CN"/>
        </w:rPr>
        <w:t>1</w:t>
      </w:r>
      <w:r>
        <w:rPr>
          <w:rFonts w:hint="eastAsia" w:ascii="仿宋_GB2312" w:hAnsi="宋体"/>
          <w:szCs w:val="32"/>
          <w:lang w:val="zh-CN"/>
        </w:rPr>
        <w:t>．项目主要内容。</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按照《中共自贡市自流井区委巡察工作规划（2017年—2021年）》（新修订）和《中共自贡市自流井区委员会关于以政治建设为统领全面深化政治巡察的实施意见》要求，牢牢把握政治巡察定位，进一步完善巡察协作、问题线索移交、情况通报等各项机制，提升巡察工作制度化、规范化、科学化水平，加强工作创新，强化队伍建设，高质量推进巡察工作，提前完成本届巡察任务。</w:t>
      </w:r>
    </w:p>
    <w:p>
      <w:pPr>
        <w:numPr>
          <w:ilvl w:val="0"/>
          <w:numId w:val="3"/>
        </w:numPr>
        <w:adjustRightInd w:val="0"/>
        <w:snapToGrid w:val="0"/>
        <w:spacing w:line="600" w:lineRule="exact"/>
        <w:ind w:firstLine="640" w:firstLineChars="200"/>
        <w:rPr>
          <w:rFonts w:ascii="仿宋_GB2312" w:hAnsi="宋体"/>
          <w:szCs w:val="32"/>
          <w:lang w:val="zh-CN"/>
        </w:rPr>
      </w:pPr>
      <w:r>
        <w:rPr>
          <w:rFonts w:hint="eastAsia" w:ascii="仿宋_GB2312" w:hAnsi="宋体"/>
          <w:szCs w:val="32"/>
          <w:lang w:val="zh-CN"/>
        </w:rPr>
        <w:t>项目应实现的具体绩效目标：全年，区委分两轮对区委政法委、区综合行政执法局等17个单位进行了常规巡察。</w:t>
      </w:r>
    </w:p>
    <w:p>
      <w:pPr>
        <w:adjustRightInd w:val="0"/>
        <w:snapToGrid w:val="0"/>
        <w:spacing w:line="560" w:lineRule="exact"/>
        <w:ind w:firstLine="640" w:firstLineChars="200"/>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整个项目评价体系包括项目完成指标、效益指标以及满意度指标</w:t>
      </w:r>
      <w:r>
        <w:rPr>
          <w:rFonts w:hint="eastAsia" w:ascii="仿宋_GB2312" w:hAnsi="宋体" w:cs="宋体"/>
          <w:color w:val="000000"/>
          <w:kern w:val="0"/>
          <w:szCs w:val="32"/>
          <w:shd w:val="clear" w:color="auto" w:fill="FFFFFF"/>
        </w:rPr>
        <w:t>3</w:t>
      </w:r>
      <w:r>
        <w:rPr>
          <w:rFonts w:hint="eastAsia" w:ascii="仿宋_GB2312" w:hAnsi="宋体" w:cs="宋体"/>
          <w:color w:val="000000"/>
          <w:kern w:val="0"/>
          <w:szCs w:val="32"/>
          <w:shd w:val="clear" w:color="auto" w:fill="FFFFFF"/>
          <w:lang w:val="zh-CN"/>
        </w:rPr>
        <w:t>个一级指标和数量指标、质量指标、时效指标、生态效益指标、可持续影响指标、满意度指标等</w:t>
      </w:r>
      <w:r>
        <w:rPr>
          <w:rFonts w:hint="eastAsia" w:ascii="仿宋_GB2312" w:hAnsi="宋体" w:cs="宋体"/>
          <w:color w:val="000000"/>
          <w:kern w:val="0"/>
          <w:szCs w:val="32"/>
          <w:shd w:val="clear" w:color="auto" w:fill="FFFFFF"/>
        </w:rPr>
        <w:t>6</w:t>
      </w:r>
      <w:r>
        <w:rPr>
          <w:rFonts w:hint="eastAsia" w:ascii="仿宋_GB2312" w:hAnsi="宋体" w:cs="宋体"/>
          <w:color w:val="000000"/>
          <w:kern w:val="0"/>
          <w:szCs w:val="32"/>
          <w:shd w:val="clear" w:color="auto" w:fill="FFFFFF"/>
          <w:lang w:val="zh-CN"/>
        </w:rPr>
        <w:t>个二级指标，并按进度有序执行，完成率100%。</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lang w:val="zh-CN"/>
        </w:rPr>
        <w:t>3．</w:t>
      </w:r>
      <w:r>
        <w:rPr>
          <w:rFonts w:hint="eastAsia" w:ascii="仿宋_GB2312" w:hAnsi="宋体" w:cs="宋体"/>
          <w:color w:val="000000"/>
          <w:kern w:val="0"/>
          <w:szCs w:val="32"/>
          <w:shd w:val="clear" w:color="auto" w:fill="FFFFFF"/>
          <w:lang w:val="zh-CN"/>
        </w:rPr>
        <w:t>整个项目申报内容与实际相符，申报目标合理可行。</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（三）项目自评步骤及方法。</w:t>
      </w:r>
    </w:p>
    <w:p>
      <w:pPr>
        <w:adjustRightInd w:val="0"/>
        <w:snapToGrid w:val="0"/>
        <w:spacing w:line="600" w:lineRule="exact"/>
        <w:ind w:firstLine="720"/>
        <w:rPr>
          <w:rFonts w:ascii="宋体" w:hAnsi="宋体" w:eastAsia="宋体" w:cs="宋体"/>
          <w:color w:val="666666"/>
          <w:sz w:val="24"/>
          <w:shd w:val="clear" w:color="auto" w:fill="FFFFFF"/>
        </w:rPr>
      </w:pPr>
      <w:r>
        <w:rPr>
          <w:rFonts w:hint="eastAsia" w:ascii="仿宋_GB2312" w:hAnsi="宋体" w:cs="宋体"/>
          <w:color w:val="000000"/>
          <w:kern w:val="0"/>
          <w:szCs w:val="32"/>
          <w:shd w:val="clear" w:color="auto" w:fill="FFFFFF"/>
          <w:lang w:val="zh-CN"/>
        </w:rPr>
        <w:t>经财务人员草拟自评报告，分别报分管领导、主要领导审阅后再报送。</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二、项目资金申报及使用情况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（一）项目资金申报及批复情况。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20</w:t>
      </w:r>
      <w:r>
        <w:rPr>
          <w:rFonts w:hint="eastAsia" w:ascii="仿宋_GB2312" w:hAnsi="宋体"/>
          <w:szCs w:val="32"/>
        </w:rPr>
        <w:t>20</w:t>
      </w:r>
      <w:r>
        <w:rPr>
          <w:rFonts w:hint="eastAsia" w:ascii="仿宋_GB2312" w:hAnsi="宋体"/>
          <w:szCs w:val="32"/>
          <w:lang w:val="zh-CN"/>
        </w:rPr>
        <w:t>年，自流井区委巡察领导小组办公室根据区财政预算编制管理的相关规定，有效整合所有常年性专项，并结合近</w:t>
      </w:r>
      <w:r>
        <w:rPr>
          <w:rFonts w:hint="eastAsia" w:ascii="仿宋_GB2312" w:hAnsi="宋体"/>
          <w:szCs w:val="32"/>
        </w:rPr>
        <w:t>2</w:t>
      </w:r>
      <w:r>
        <w:rPr>
          <w:rFonts w:hint="eastAsia" w:ascii="仿宋_GB2312" w:hAnsi="宋体"/>
          <w:szCs w:val="32"/>
          <w:lang w:val="zh-CN"/>
        </w:rPr>
        <w:t>年巡察组工作中后勤保障支出，科学合理编制巡察组巡察经费专项，并报区财政局按程序报审通过后批复同意。</w:t>
      </w:r>
      <w:r>
        <w:rPr>
          <w:rFonts w:hint="eastAsia" w:ascii="楷体_GB2312" w:hAnsi="宋体" w:eastAsia="楷体_GB2312"/>
          <w:b/>
          <w:szCs w:val="32"/>
          <w:lang w:val="zh-CN"/>
        </w:rPr>
        <w:t>（二）资金计划、到位及使用情况（可用表格形式反映）。</w:t>
      </w:r>
    </w:p>
    <w:p>
      <w:pPr>
        <w:numPr>
          <w:ilvl w:val="0"/>
          <w:numId w:val="7"/>
        </w:numPr>
        <w:adjustRightInd w:val="0"/>
        <w:snapToGrid w:val="0"/>
        <w:spacing w:line="600" w:lineRule="exact"/>
        <w:ind w:firstLine="720"/>
        <w:rPr>
          <w:rFonts w:ascii="仿宋_GB2312" w:hAnsi="宋体"/>
          <w:szCs w:val="32"/>
          <w:lang w:val="zh-CN"/>
        </w:rPr>
      </w:pPr>
      <w:r>
        <w:rPr>
          <w:rFonts w:hint="eastAsia" w:ascii="楷体_GB2312" w:hAnsi="宋体" w:eastAsia="楷体_GB2312"/>
          <w:szCs w:val="32"/>
          <w:lang w:val="zh-CN"/>
        </w:rPr>
        <w:t>资金计划及到位情况。</w:t>
      </w:r>
      <w:r>
        <w:rPr>
          <w:rFonts w:hint="eastAsia" w:ascii="仿宋_GB2312" w:hAnsi="宋体"/>
          <w:szCs w:val="32"/>
          <w:lang w:val="zh-CN"/>
        </w:rPr>
        <w:t>该项目由自流井区财政局安排资金</w:t>
      </w:r>
      <w:r>
        <w:rPr>
          <w:rFonts w:hint="eastAsia"/>
          <w:szCs w:val="32"/>
        </w:rPr>
        <w:t>13.8</w:t>
      </w:r>
      <w:r>
        <w:rPr>
          <w:rFonts w:hint="eastAsia"/>
          <w:szCs w:val="32"/>
          <w:lang w:val="en-US" w:eastAsia="zh-CN"/>
        </w:rPr>
        <w:t>4</w:t>
      </w:r>
      <w:r>
        <w:rPr>
          <w:rFonts w:hint="eastAsia" w:ascii="仿宋_GB2312" w:hAnsi="宋体"/>
          <w:szCs w:val="32"/>
          <w:lang w:val="zh-CN"/>
        </w:rPr>
        <w:t>万元，资金到位及时。</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szCs w:val="32"/>
        </w:rPr>
        <w:t>2</w:t>
      </w:r>
      <w:r>
        <w:rPr>
          <w:rFonts w:hint="eastAsia" w:ascii="楷体_GB2312" w:hAnsi="宋体" w:eastAsia="楷体_GB2312"/>
          <w:szCs w:val="32"/>
          <w:lang w:val="zh-CN"/>
        </w:rPr>
        <w:t>．资金使用。</w:t>
      </w:r>
      <w:r>
        <w:rPr>
          <w:rFonts w:hint="eastAsia"/>
          <w:szCs w:val="32"/>
          <w:lang w:val="zh-CN"/>
        </w:rPr>
        <w:t>20</w:t>
      </w:r>
      <w:r>
        <w:rPr>
          <w:rFonts w:hint="eastAsia"/>
          <w:szCs w:val="32"/>
        </w:rPr>
        <w:t>20</w:t>
      </w:r>
      <w:r>
        <w:rPr>
          <w:rFonts w:hint="eastAsia" w:ascii="仿宋_GB2312" w:hAnsi="宋体"/>
          <w:szCs w:val="32"/>
          <w:lang w:val="zh-CN"/>
        </w:rPr>
        <w:t>年度支付巡察办巡察组工作经费</w:t>
      </w:r>
      <w:r>
        <w:rPr>
          <w:rFonts w:hint="eastAsia"/>
          <w:szCs w:val="32"/>
        </w:rPr>
        <w:t>13.8</w:t>
      </w:r>
      <w:r>
        <w:rPr>
          <w:rFonts w:hint="eastAsia"/>
          <w:szCs w:val="32"/>
          <w:lang w:val="en-US" w:eastAsia="zh-CN"/>
        </w:rPr>
        <w:t>4</w:t>
      </w:r>
      <w:r>
        <w:rPr>
          <w:rFonts w:hint="eastAsia" w:ascii="仿宋_GB2312" w:hAnsi="宋体"/>
          <w:szCs w:val="32"/>
          <w:lang w:val="zh-CN"/>
        </w:rPr>
        <w:t>万元，支付范围主要用于保障巡察组在开展巡察业务过程中产生的劳务费、培训费、租赁费等开支。</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该项目资金在试用过程中严格按照财政相关规定以及单位内控制度进行资金支付，资金支付范围、支付标准、支付进度、支付依据等合规合法、与预算相符。</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（三）项目财务管理情况。</w:t>
      </w:r>
    </w:p>
    <w:p>
      <w:pPr>
        <w:pStyle w:val="10"/>
        <w:spacing w:line="560" w:lineRule="exact"/>
        <w:ind w:left="0" w:leftChars="0" w:firstLine="640"/>
        <w:rPr>
          <w:rFonts w:ascii="仿宋_GB2312" w:hAnsi="宋体"/>
          <w:szCs w:val="32"/>
          <w:lang w:val="zh-CN"/>
        </w:rPr>
      </w:pPr>
      <w:r>
        <w:rPr>
          <w:rFonts w:hint="eastAsia" w:ascii="仿宋_GB2312" w:hAnsi="宋体"/>
          <w:szCs w:val="32"/>
          <w:lang w:val="zh-CN"/>
        </w:rPr>
        <w:t>资金下达后，我办严格按照财务管理有关规定，没有改变资金用途和分解项目支出，没有超范围、超标准支出，没有以任何理由和方式虚列、转移、挤占挪用、滞留资金。资金使用严格按照市、区及我办财务管理有关规定审批执行，实行专账核算、专人管理，确保了资金专款专用。</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三、项目实施及管理情况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结合项目组织实施管理办法，重点围绕以下内容进行分析评价，并对自评中发现的问题分析说明。</w:t>
      </w:r>
    </w:p>
    <w:p>
      <w:pPr>
        <w:numPr>
          <w:ilvl w:val="0"/>
          <w:numId w:val="8"/>
        </w:num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项目组织架构及实施流程。</w:t>
      </w:r>
    </w:p>
    <w:p>
      <w:pPr>
        <w:adjustRightInd w:val="0"/>
        <w:snapToGrid w:val="0"/>
        <w:spacing w:line="600" w:lineRule="exact"/>
        <w:ind w:firstLine="640" w:firstLineChars="200"/>
        <w:rPr>
          <w:rFonts w:ascii="楷体_GB2312" w:hAnsi="宋体" w:eastAsia="楷体_GB2312"/>
          <w:b/>
          <w:szCs w:val="32"/>
          <w:lang w:val="zh-CN"/>
        </w:rPr>
      </w:pPr>
      <w:r>
        <w:rPr>
          <w:rFonts w:hint="eastAsia" w:ascii="仿宋_GB2312" w:hAnsi="宋体"/>
          <w:szCs w:val="32"/>
          <w:lang w:val="zh-CN"/>
        </w:rPr>
        <w:t>认真贯彻落实区委决策部署，结合巡察工作实际情况，设定项目绩效目标—填制“部门预算项目立项审核表”，并上报财政—项目执行中对项目绩效目标实现程度和预算执行进度监控—定期对项目进行绩效自评。</w:t>
      </w:r>
    </w:p>
    <w:p>
      <w:pPr>
        <w:adjustRightInd w:val="0"/>
        <w:snapToGrid w:val="0"/>
        <w:spacing w:line="600" w:lineRule="exact"/>
        <w:ind w:firstLine="643" w:firstLineChars="200"/>
        <w:rPr>
          <w:rFonts w:ascii="仿宋_GB2312" w:hAnsi="宋体"/>
          <w:szCs w:val="32"/>
          <w:lang w:val="zh-CN"/>
        </w:rPr>
      </w:pPr>
      <w:r>
        <w:rPr>
          <w:rFonts w:hint="eastAsia" w:ascii="楷体_GB2312" w:hAnsi="宋体" w:eastAsia="楷体_GB2312"/>
          <w:b/>
          <w:szCs w:val="32"/>
          <w:lang w:val="zh-CN"/>
        </w:rPr>
        <w:t>（二）项目管理情况。</w:t>
      </w:r>
      <w:r>
        <w:rPr>
          <w:rFonts w:hint="eastAsia" w:ascii="仿宋_GB2312" w:hAnsi="宋体"/>
          <w:szCs w:val="32"/>
          <w:lang w:val="zh-CN"/>
        </w:rPr>
        <w:t>我办目标任务的制定与国家政策法规、部门职责、部门中长期规划相符。目标任务制定明确，全面反映部门目标任务完成和预期效益情。目标任务合理可行，财政资源配置合理。</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（三）项目监管情况。</w:t>
      </w:r>
      <w:r>
        <w:rPr>
          <w:rFonts w:hint="eastAsia" w:ascii="仿宋_GB2312" w:hAnsi="宋体"/>
          <w:szCs w:val="32"/>
          <w:lang w:val="zh-CN"/>
        </w:rPr>
        <w:t>办公室负责人对项目的真实性、项目进度、项目质量等进行审核把关负总责，财务分管领导对项目资金支付的合规性和支付的标准等进行审核把关，全方位确保项目的高效、规范、有序实施。</w:t>
      </w:r>
    </w:p>
    <w:p>
      <w:pPr>
        <w:adjustRightInd w:val="0"/>
        <w:snapToGrid w:val="0"/>
        <w:spacing w:line="600" w:lineRule="exact"/>
        <w:ind w:firstLine="720"/>
        <w:rPr>
          <w:rFonts w:ascii="仿宋_GB2312" w:hAnsi="宋体"/>
          <w:szCs w:val="32"/>
          <w:lang w:val="zh-CN"/>
        </w:rPr>
      </w:pPr>
      <w:r>
        <w:rPr>
          <w:rFonts w:hint="eastAsia" w:ascii="黑体" w:hAnsi="宋体" w:eastAsia="黑体"/>
          <w:szCs w:val="32"/>
        </w:rPr>
        <w:t>四、项目绩效情况</w:t>
      </w:r>
      <w:r>
        <w:rPr>
          <w:rFonts w:ascii="仿宋_GB2312" w:hAnsi="宋体"/>
          <w:szCs w:val="32"/>
          <w:lang w:val="zh-CN"/>
        </w:rPr>
        <w:tab/>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（一）项目完成情况。</w:t>
      </w:r>
    </w:p>
    <w:p>
      <w:pPr>
        <w:snapToGrid w:val="0"/>
        <w:spacing w:line="520" w:lineRule="exact"/>
        <w:ind w:firstLine="640" w:firstLineChars="200"/>
        <w:rPr>
          <w:rFonts w:ascii="仿宋" w:hAnsi="仿宋" w:eastAsia="仿宋"/>
          <w:bCs/>
          <w:color w:val="000000"/>
          <w:szCs w:val="32"/>
        </w:rPr>
      </w:pPr>
      <w:r>
        <w:rPr>
          <w:rFonts w:hint="eastAsia" w:ascii="仿宋_GB2312" w:hAnsi="宋体"/>
          <w:szCs w:val="32"/>
          <w:lang w:val="zh-CN"/>
        </w:rPr>
        <w:t>本项目全年预算数</w:t>
      </w:r>
      <w:r>
        <w:rPr>
          <w:rFonts w:hint="eastAsia"/>
          <w:szCs w:val="32"/>
        </w:rPr>
        <w:t>13.8</w:t>
      </w:r>
      <w:r>
        <w:rPr>
          <w:rFonts w:hint="eastAsia"/>
          <w:szCs w:val="32"/>
          <w:lang w:val="en-US" w:eastAsia="zh-CN"/>
        </w:rPr>
        <w:t>4</w:t>
      </w:r>
      <w:r>
        <w:rPr>
          <w:rFonts w:hint="eastAsia" w:ascii="仿宋_GB2312" w:hAnsi="宋体"/>
          <w:szCs w:val="32"/>
          <w:lang w:val="zh-CN"/>
        </w:rPr>
        <w:t>万元，执行数为</w:t>
      </w:r>
      <w:r>
        <w:rPr>
          <w:rFonts w:hint="eastAsia"/>
          <w:szCs w:val="32"/>
        </w:rPr>
        <w:t>13.8</w:t>
      </w:r>
      <w:r>
        <w:rPr>
          <w:rFonts w:hint="eastAsia"/>
          <w:szCs w:val="32"/>
          <w:lang w:val="en-US" w:eastAsia="zh-CN"/>
        </w:rPr>
        <w:t>4</w:t>
      </w:r>
      <w:r>
        <w:rPr>
          <w:rFonts w:hint="eastAsia" w:ascii="仿宋_GB2312" w:hAnsi="宋体"/>
          <w:szCs w:val="32"/>
          <w:lang w:val="zh-CN"/>
        </w:rPr>
        <w:t>万元，</w:t>
      </w:r>
      <w:r>
        <w:rPr>
          <w:rFonts w:hint="eastAsia"/>
          <w:szCs w:val="32"/>
        </w:rPr>
        <w:t>全年，区委分两轮对区委政法委、区综合行政执法局等17个单位进行了常规巡察。其中，2020年6月，在省委第十一巡视组领导下，区委巡视联动巡察组开展了对区人民法院、区公安分局的巡视联动巡察。同时，开展扶贫领域专项巡察1次，延伸村级党组织25个。2020年，巡察共发现问题367个，向区纪委监委移交问题线索23个，</w:t>
      </w:r>
      <w:r>
        <w:rPr>
          <w:rFonts w:hint="eastAsia" w:ascii="仿宋_GB2312"/>
          <w:szCs w:val="32"/>
        </w:rPr>
        <w:t>立</w:t>
      </w:r>
      <w:r>
        <w:rPr>
          <w:rFonts w:hint="eastAsia"/>
          <w:szCs w:val="32"/>
        </w:rPr>
        <w:t>案8个，党纪政务处分3人，街道纪工委党纪处分社区干部1人。</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（二）项目效益情况。</w:t>
      </w:r>
    </w:p>
    <w:p>
      <w:pPr>
        <w:adjustRightInd w:val="0"/>
        <w:snapToGrid w:val="0"/>
        <w:spacing w:line="600" w:lineRule="exact"/>
        <w:ind w:firstLine="720"/>
        <w:rPr>
          <w:rFonts w:ascii="仿宋_GB2312" w:hAnsi="仿宋_GB2312" w:cs="仿宋_GB2312"/>
          <w:color w:val="000000"/>
          <w:szCs w:val="32"/>
        </w:rPr>
      </w:pPr>
      <w:r>
        <w:rPr>
          <w:rFonts w:hint="eastAsia" w:ascii="仿宋_GB2312" w:hAnsi="仿宋_GB2312" w:cs="仿宋_GB2312"/>
          <w:color w:val="000000"/>
          <w:szCs w:val="32"/>
          <w:lang w:val="zh-CN"/>
        </w:rPr>
        <w:t>完成确定的目标任务和年度职责，</w:t>
      </w:r>
      <w:r>
        <w:rPr>
          <w:rFonts w:hint="eastAsia" w:ascii="仿宋_GB2312" w:hAnsi="仿宋_GB2312" w:cs="仿宋_GB2312"/>
          <w:color w:val="000000"/>
          <w:szCs w:val="32"/>
        </w:rPr>
        <w:t>服务对象满意度达到了95%以上。</w:t>
      </w:r>
      <w:r>
        <w:rPr>
          <w:rFonts w:hint="eastAsia" w:ascii="仿宋_GB2312" w:hAnsi="仿宋_GB2312" w:cs="仿宋_GB2312"/>
          <w:color w:val="000000"/>
          <w:szCs w:val="32"/>
          <w:lang w:val="zh-CN"/>
        </w:rPr>
        <w:t>整个项目绩效评价结果较好。</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五、评价结论及建议</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（一）评价结论。</w:t>
      </w:r>
    </w:p>
    <w:p>
      <w:pPr>
        <w:adjustRightInd w:val="0"/>
        <w:snapToGrid w:val="0"/>
        <w:spacing w:line="600" w:lineRule="exact"/>
        <w:ind w:firstLine="720"/>
        <w:rPr>
          <w:rFonts w:ascii="仿宋_GB2312" w:hAnsi="仿宋_GB2312" w:cs="仿宋_GB2312"/>
          <w:color w:val="000000"/>
          <w:szCs w:val="32"/>
        </w:rPr>
      </w:pPr>
      <w:r>
        <w:rPr>
          <w:rFonts w:hint="eastAsia" w:ascii="仿宋_GB2312" w:hAnsi="仿宋_GB2312" w:cs="仿宋_GB2312"/>
          <w:color w:val="000000"/>
          <w:szCs w:val="32"/>
        </w:rPr>
        <w:t>将评价结果作为次年预算编制的重要依据，并优化支出结构、完善相关办法、改进预算管理，将部门自行开展的绩效评价结果，按要求进行公开。</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（二）存在的问题。</w:t>
      </w:r>
    </w:p>
    <w:p>
      <w:pPr>
        <w:adjustRightInd w:val="0"/>
        <w:snapToGrid w:val="0"/>
        <w:spacing w:line="600" w:lineRule="exact"/>
        <w:ind w:firstLine="640" w:firstLineChars="200"/>
        <w:rPr>
          <w:rFonts w:ascii="仿宋_GB2312" w:hAnsi="仿宋_GB2312" w:cs="仿宋_GB2312"/>
          <w:color w:val="000000"/>
          <w:szCs w:val="32"/>
          <w:lang w:val="zh-CN"/>
        </w:rPr>
      </w:pPr>
      <w:r>
        <w:rPr>
          <w:rFonts w:hint="eastAsia" w:ascii="仿宋_GB2312" w:hAnsi="仿宋_GB2312" w:cs="仿宋_GB2312"/>
          <w:color w:val="000000"/>
          <w:szCs w:val="32"/>
          <w:lang w:val="zh-CN"/>
        </w:rPr>
        <w:t>巡察工作推进过程中，由于上级巡察机构及区委对巡察任务或要求可能进行调整，年初绩效目标制定与实际完成情况可能存在一定差异，年初预算可能存在高估和低估的情况。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（三）相关建议。</w:t>
      </w:r>
    </w:p>
    <w:p>
      <w:pPr>
        <w:widowControl/>
        <w:ind w:firstLine="640" w:firstLineChars="200"/>
        <w:jc w:val="left"/>
        <w:rPr>
          <w:rFonts w:ascii="仿宋_GB2312" w:hAnsi="仿宋_GB2312" w:cs="仿宋_GB2312"/>
          <w:color w:val="000000"/>
          <w:szCs w:val="32"/>
          <w:lang w:val="zh-CN"/>
        </w:rPr>
      </w:pPr>
      <w:r>
        <w:rPr>
          <w:rFonts w:hint="eastAsia" w:ascii="仿宋_GB2312" w:hAnsi="仿宋_GB2312" w:cs="仿宋_GB2312"/>
          <w:color w:val="000000"/>
          <w:szCs w:val="32"/>
          <w:lang w:val="zh-CN"/>
        </w:rPr>
        <w:t>一是加强与上级巡察机构沟通联系，严格按照上级巡察机构和区委要求制定年初目标任务。二是加强绩效目标设定审核和项目细化工作，提升绩效目标设定的科学性和准确性。三</w:t>
      </w:r>
      <w:r>
        <w:rPr>
          <w:rFonts w:hint="eastAsia" w:ascii="仿宋_GB2312" w:hAnsi="仿宋_GB2312" w:cs="仿宋_GB2312"/>
          <w:color w:val="000000"/>
          <w:szCs w:val="32"/>
        </w:rPr>
        <w:t>是由于预算绩效管理具有一定的专业性和复杂性，需加强对单位预算绩效管理人员的培训，提升绩效评价人员的业务水平。</w:t>
      </w:r>
    </w:p>
    <w:p>
      <w:pPr>
        <w:spacing w:line="580" w:lineRule="exact"/>
        <w:ind w:firstLine="640"/>
        <w:rPr>
          <w:rFonts w:ascii="仿宋_GB2312" w:hAnsi="仿宋_GB2312" w:cs="仿宋_GB2312"/>
          <w:szCs w:val="32"/>
        </w:rPr>
      </w:pPr>
    </w:p>
    <w:p>
      <w:pPr>
        <w:widowControl/>
        <w:jc w:val="left"/>
        <w:rPr>
          <w:rStyle w:val="15"/>
          <w:rFonts w:ascii="黑体" w:hAnsi="黑体" w:eastAsia="黑体"/>
          <w:b w:val="0"/>
        </w:rPr>
      </w:pPr>
    </w:p>
    <w:p>
      <w:pPr>
        <w:widowControl/>
        <w:jc w:val="left"/>
        <w:rPr>
          <w:rStyle w:val="15"/>
          <w:rFonts w:ascii="黑体" w:hAnsi="黑体" w:eastAsia="黑体"/>
          <w:b w:val="0"/>
        </w:rPr>
      </w:pPr>
      <w:r>
        <w:rPr>
          <w:rStyle w:val="15"/>
          <w:rFonts w:ascii="黑体" w:hAnsi="黑体" w:eastAsia="黑体"/>
          <w:b w:val="0"/>
        </w:rPr>
        <w:br w:type="page"/>
      </w:r>
    </w:p>
    <w:p>
      <w:pPr>
        <w:spacing w:line="600" w:lineRule="exact"/>
        <w:jc w:val="center"/>
        <w:outlineLvl w:val="0"/>
        <w:rPr>
          <w:rStyle w:val="15"/>
          <w:rFonts w:ascii="黑体" w:hAnsi="黑体" w:eastAsia="黑体"/>
          <w:b w:val="0"/>
        </w:rPr>
      </w:pPr>
      <w:bookmarkStart w:id="63" w:name="_Toc32283"/>
      <w:bookmarkStart w:id="64" w:name="_Toc15396618"/>
      <w:r>
        <w:rPr>
          <w:rFonts w:hint="eastAsia" w:ascii="黑体" w:hAnsi="黑体" w:eastAsia="黑体"/>
          <w:color w:val="000000"/>
          <w:sz w:val="44"/>
          <w:szCs w:val="44"/>
        </w:rPr>
        <w:t>第</w:t>
      </w:r>
      <w:r>
        <w:rPr>
          <w:rStyle w:val="15"/>
          <w:rFonts w:hint="eastAsia" w:ascii="黑体" w:hAnsi="黑体" w:eastAsia="黑体"/>
          <w:b w:val="0"/>
        </w:rPr>
        <w:t>五部分</w:t>
      </w:r>
      <w:r>
        <w:rPr>
          <w:rStyle w:val="15"/>
          <w:rFonts w:ascii="黑体" w:hAnsi="黑体" w:eastAsia="黑体"/>
          <w:b w:val="0"/>
        </w:rPr>
        <w:t xml:space="preserve"> </w:t>
      </w:r>
      <w:r>
        <w:rPr>
          <w:rStyle w:val="15"/>
          <w:rFonts w:hint="eastAsia" w:ascii="黑体" w:hAnsi="黑体" w:eastAsia="黑体"/>
          <w:b w:val="0"/>
        </w:rPr>
        <w:t>附表</w:t>
      </w:r>
      <w:bookmarkEnd w:id="58"/>
      <w:bookmarkEnd w:id="63"/>
      <w:bookmarkEnd w:id="64"/>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5" w:name="_Toc15699"/>
      <w:bookmarkStart w:id="66" w:name="_Toc15396619"/>
      <w:r>
        <w:rPr>
          <w:rFonts w:hint="eastAsia" w:ascii="仿宋" w:hAnsi="仿宋" w:eastAsia="仿宋"/>
          <w:b w:val="0"/>
          <w:color w:val="000000"/>
        </w:rPr>
        <w:t>一、收</w:t>
      </w:r>
      <w:r>
        <w:rPr>
          <w:rStyle w:val="16"/>
          <w:rFonts w:hint="eastAsia" w:ascii="仿宋" w:hAnsi="仿宋" w:eastAsia="仿宋"/>
          <w:b w:val="0"/>
          <w:bCs w:val="0"/>
        </w:rPr>
        <w:t>入支出决算总表</w:t>
      </w:r>
      <w:bookmarkEnd w:id="65"/>
      <w:bookmarkEnd w:id="66"/>
    </w:p>
    <w:p>
      <w:pPr>
        <w:pStyle w:val="3"/>
        <w:rPr>
          <w:rFonts w:ascii="仿宋" w:hAnsi="仿宋" w:eastAsia="仿宋"/>
          <w:color w:val="000000"/>
        </w:rPr>
      </w:pPr>
      <w:bookmarkStart w:id="67" w:name="_Toc27106"/>
      <w:bookmarkStart w:id="68" w:name="_Toc15396620"/>
      <w:r>
        <w:rPr>
          <w:rFonts w:hint="eastAsia" w:ascii="仿宋" w:hAnsi="仿宋" w:eastAsia="仿宋"/>
          <w:b w:val="0"/>
          <w:color w:val="000000"/>
        </w:rPr>
        <w:t>二、收</w:t>
      </w:r>
      <w:r>
        <w:rPr>
          <w:rStyle w:val="16"/>
          <w:rFonts w:hint="eastAsia" w:ascii="仿宋" w:hAnsi="仿宋" w:eastAsia="仿宋"/>
          <w:b w:val="0"/>
          <w:bCs w:val="0"/>
        </w:rPr>
        <w:t>入决算表</w:t>
      </w:r>
      <w:bookmarkEnd w:id="67"/>
      <w:bookmarkEnd w:id="68"/>
    </w:p>
    <w:p>
      <w:pPr>
        <w:pStyle w:val="3"/>
        <w:rPr>
          <w:rFonts w:ascii="仿宋" w:hAnsi="仿宋" w:eastAsia="仿宋"/>
          <w:color w:val="000000"/>
        </w:rPr>
      </w:pPr>
      <w:bookmarkStart w:id="69" w:name="_Toc15396621"/>
      <w:bookmarkStart w:id="70" w:name="_Toc26817"/>
      <w:r>
        <w:rPr>
          <w:rStyle w:val="16"/>
          <w:rFonts w:hint="eastAsia" w:ascii="仿宋" w:hAnsi="仿宋" w:eastAsia="仿宋"/>
          <w:b w:val="0"/>
          <w:bCs w:val="0"/>
        </w:rPr>
        <w:t>三、</w:t>
      </w:r>
      <w:r>
        <w:rPr>
          <w:rFonts w:hint="eastAsia" w:ascii="仿宋" w:hAnsi="仿宋" w:eastAsia="仿宋"/>
          <w:b w:val="0"/>
          <w:color w:val="000000"/>
        </w:rPr>
        <w:t>支</w:t>
      </w:r>
      <w:r>
        <w:rPr>
          <w:rStyle w:val="16"/>
          <w:rFonts w:hint="eastAsia" w:ascii="仿宋" w:hAnsi="仿宋" w:eastAsia="仿宋"/>
          <w:b w:val="0"/>
          <w:bCs w:val="0"/>
        </w:rPr>
        <w:t>出决算表</w:t>
      </w:r>
      <w:bookmarkEnd w:id="69"/>
      <w:bookmarkEnd w:id="70"/>
    </w:p>
    <w:p>
      <w:pPr>
        <w:pStyle w:val="3"/>
        <w:rPr>
          <w:rFonts w:ascii="仿宋" w:hAnsi="仿宋" w:eastAsia="仿宋"/>
          <w:b w:val="0"/>
          <w:color w:val="000000"/>
        </w:rPr>
      </w:pPr>
      <w:bookmarkStart w:id="71" w:name="_Toc15396622"/>
      <w:bookmarkStart w:id="72" w:name="_Toc21747"/>
      <w:r>
        <w:rPr>
          <w:rStyle w:val="16"/>
          <w:rFonts w:hint="eastAsia" w:ascii="仿宋" w:hAnsi="仿宋" w:eastAsia="仿宋"/>
          <w:b w:val="0"/>
          <w:bCs w:val="0"/>
        </w:rPr>
        <w:t>四、</w:t>
      </w:r>
      <w:r>
        <w:rPr>
          <w:rFonts w:hint="eastAsia" w:ascii="仿宋" w:hAnsi="仿宋" w:eastAsia="仿宋"/>
          <w:b w:val="0"/>
          <w:color w:val="000000"/>
        </w:rPr>
        <w:t>财</w:t>
      </w:r>
      <w:r>
        <w:rPr>
          <w:rStyle w:val="16"/>
          <w:rFonts w:hint="eastAsia" w:ascii="仿宋" w:hAnsi="仿宋" w:eastAsia="仿宋"/>
          <w:b w:val="0"/>
          <w:bCs w:val="0"/>
        </w:rPr>
        <w:t>政拨款收入支出决算总表</w:t>
      </w:r>
      <w:bookmarkEnd w:id="71"/>
      <w:bookmarkEnd w:id="72"/>
    </w:p>
    <w:p>
      <w:pPr>
        <w:pStyle w:val="3"/>
        <w:rPr>
          <w:rStyle w:val="16"/>
          <w:rFonts w:ascii="仿宋" w:hAnsi="仿宋" w:eastAsia="仿宋"/>
          <w:b w:val="0"/>
          <w:bCs w:val="0"/>
        </w:rPr>
      </w:pPr>
      <w:bookmarkStart w:id="73" w:name="_Toc15396623"/>
      <w:bookmarkStart w:id="74" w:name="_Toc12959"/>
      <w:r>
        <w:rPr>
          <w:rStyle w:val="16"/>
          <w:rFonts w:hint="eastAsia" w:ascii="仿宋" w:hAnsi="仿宋" w:eastAsia="仿宋"/>
          <w:b w:val="0"/>
          <w:bCs w:val="0"/>
        </w:rPr>
        <w:t>五、</w:t>
      </w:r>
      <w:r>
        <w:rPr>
          <w:rFonts w:hint="eastAsia" w:ascii="仿宋" w:hAnsi="仿宋" w:eastAsia="仿宋"/>
          <w:b w:val="0"/>
          <w:color w:val="000000"/>
        </w:rPr>
        <w:t>财</w:t>
      </w:r>
      <w:r>
        <w:rPr>
          <w:rStyle w:val="16"/>
          <w:rFonts w:hint="eastAsia" w:ascii="仿宋" w:hAnsi="仿宋" w:eastAsia="仿宋"/>
          <w:b w:val="0"/>
          <w:bCs w:val="0"/>
        </w:rPr>
        <w:t>政拨款支出决算明细表</w:t>
      </w:r>
      <w:bookmarkEnd w:id="73"/>
      <w:bookmarkEnd w:id="74"/>
      <w:bookmarkStart w:id="75" w:name="_Toc15396624"/>
    </w:p>
    <w:p>
      <w:pPr>
        <w:pStyle w:val="3"/>
        <w:rPr>
          <w:rFonts w:ascii="仿宋" w:hAnsi="仿宋" w:eastAsia="仿宋"/>
          <w:color w:val="000000"/>
        </w:rPr>
      </w:pPr>
      <w:bookmarkStart w:id="76" w:name="_Toc23749"/>
      <w:r>
        <w:rPr>
          <w:rStyle w:val="16"/>
          <w:rFonts w:hint="eastAsia" w:ascii="仿宋" w:hAnsi="仿宋" w:eastAsia="仿宋"/>
          <w:b w:val="0"/>
          <w:bCs w:val="0"/>
        </w:rPr>
        <w:t>六、</w:t>
      </w:r>
      <w:r>
        <w:rPr>
          <w:rFonts w:hint="eastAsia" w:ascii="仿宋" w:hAnsi="仿宋" w:eastAsia="仿宋"/>
          <w:b w:val="0"/>
          <w:color w:val="000000"/>
        </w:rPr>
        <w:t>一</w:t>
      </w:r>
      <w:r>
        <w:rPr>
          <w:rStyle w:val="16"/>
          <w:rFonts w:hint="eastAsia" w:ascii="仿宋" w:hAnsi="仿宋" w:eastAsia="仿宋"/>
          <w:b w:val="0"/>
          <w:bCs w:val="0"/>
        </w:rPr>
        <w:t>般公共预算财政拨款支出决算表</w:t>
      </w:r>
      <w:bookmarkEnd w:id="75"/>
      <w:bookmarkEnd w:id="76"/>
    </w:p>
    <w:p>
      <w:pPr>
        <w:pStyle w:val="3"/>
        <w:rPr>
          <w:rFonts w:ascii="仿宋" w:hAnsi="仿宋" w:eastAsia="仿宋"/>
          <w:color w:val="000000"/>
        </w:rPr>
      </w:pPr>
      <w:bookmarkStart w:id="77" w:name="_Toc15396625"/>
      <w:bookmarkStart w:id="78" w:name="_Toc22275"/>
      <w:r>
        <w:rPr>
          <w:rStyle w:val="16"/>
          <w:rFonts w:hint="eastAsia" w:ascii="仿宋" w:hAnsi="仿宋" w:eastAsia="仿宋"/>
          <w:b w:val="0"/>
          <w:bCs w:val="0"/>
        </w:rPr>
        <w:t>七、</w:t>
      </w:r>
      <w:r>
        <w:rPr>
          <w:rFonts w:hint="eastAsia" w:ascii="仿宋" w:hAnsi="仿宋" w:eastAsia="仿宋"/>
          <w:b w:val="0"/>
          <w:color w:val="000000"/>
        </w:rPr>
        <w:t>一</w:t>
      </w:r>
      <w:r>
        <w:rPr>
          <w:rStyle w:val="16"/>
          <w:rFonts w:hint="eastAsia" w:ascii="仿宋" w:hAnsi="仿宋" w:eastAsia="仿宋"/>
          <w:b w:val="0"/>
          <w:bCs w:val="0"/>
        </w:rPr>
        <w:t>般公共预算财政拨款支出决算明细表</w:t>
      </w:r>
      <w:bookmarkEnd w:id="77"/>
      <w:bookmarkEnd w:id="78"/>
    </w:p>
    <w:p>
      <w:pPr>
        <w:pStyle w:val="3"/>
        <w:rPr>
          <w:rFonts w:ascii="仿宋" w:hAnsi="仿宋" w:eastAsia="仿宋"/>
          <w:color w:val="000000"/>
        </w:rPr>
      </w:pPr>
      <w:bookmarkStart w:id="79" w:name="_Toc15396626"/>
      <w:bookmarkStart w:id="80" w:name="_Toc30634"/>
      <w:r>
        <w:rPr>
          <w:rStyle w:val="16"/>
          <w:rFonts w:hint="eastAsia" w:ascii="仿宋" w:hAnsi="仿宋" w:eastAsia="仿宋"/>
          <w:b w:val="0"/>
          <w:bCs w:val="0"/>
        </w:rPr>
        <w:t>八、</w:t>
      </w:r>
      <w:r>
        <w:rPr>
          <w:rFonts w:hint="eastAsia" w:ascii="仿宋" w:hAnsi="仿宋" w:eastAsia="仿宋"/>
          <w:b w:val="0"/>
          <w:color w:val="000000"/>
        </w:rPr>
        <w:t>一</w:t>
      </w:r>
      <w:r>
        <w:rPr>
          <w:rStyle w:val="16"/>
          <w:rFonts w:hint="eastAsia" w:ascii="仿宋" w:hAnsi="仿宋" w:eastAsia="仿宋"/>
          <w:b w:val="0"/>
          <w:bCs w:val="0"/>
        </w:rPr>
        <w:t>般公共预算财政拨款基本支出决算表</w:t>
      </w:r>
      <w:bookmarkEnd w:id="79"/>
      <w:bookmarkEnd w:id="80"/>
    </w:p>
    <w:p>
      <w:pPr>
        <w:pStyle w:val="3"/>
        <w:rPr>
          <w:rFonts w:ascii="仿宋" w:hAnsi="仿宋" w:eastAsia="仿宋"/>
          <w:color w:val="000000"/>
        </w:rPr>
      </w:pPr>
      <w:bookmarkStart w:id="81" w:name="_Toc15396627"/>
      <w:bookmarkStart w:id="82" w:name="_Toc15170"/>
      <w:r>
        <w:rPr>
          <w:rStyle w:val="16"/>
          <w:rFonts w:hint="eastAsia" w:ascii="仿宋" w:hAnsi="仿宋" w:eastAsia="仿宋"/>
          <w:b w:val="0"/>
          <w:bCs w:val="0"/>
        </w:rPr>
        <w:t>九、</w:t>
      </w:r>
      <w:r>
        <w:rPr>
          <w:rFonts w:hint="eastAsia" w:ascii="仿宋" w:hAnsi="仿宋" w:eastAsia="仿宋"/>
          <w:b w:val="0"/>
          <w:color w:val="000000"/>
        </w:rPr>
        <w:t>一</w:t>
      </w:r>
      <w:r>
        <w:rPr>
          <w:rStyle w:val="16"/>
          <w:rFonts w:hint="eastAsia" w:ascii="仿宋" w:hAnsi="仿宋" w:eastAsia="仿宋"/>
          <w:b w:val="0"/>
          <w:bCs w:val="0"/>
        </w:rPr>
        <w:t>般公共预算财政拨款项目支出决算表</w:t>
      </w:r>
      <w:bookmarkEnd w:id="81"/>
      <w:bookmarkEnd w:id="82"/>
    </w:p>
    <w:p>
      <w:pPr>
        <w:pStyle w:val="3"/>
        <w:spacing w:line="360" w:lineRule="auto"/>
        <w:rPr>
          <w:rFonts w:ascii="仿宋" w:hAnsi="仿宋" w:eastAsia="仿宋"/>
          <w:color w:val="000000"/>
        </w:rPr>
      </w:pPr>
      <w:bookmarkStart w:id="83" w:name="_Toc15396628"/>
      <w:bookmarkStart w:id="84" w:name="_Toc17603"/>
      <w:r>
        <w:rPr>
          <w:rStyle w:val="16"/>
          <w:rFonts w:hint="eastAsia" w:ascii="仿宋" w:hAnsi="仿宋" w:eastAsia="仿宋"/>
          <w:b w:val="0"/>
          <w:bCs w:val="0"/>
        </w:rPr>
        <w:t>十、</w:t>
      </w:r>
      <w:r>
        <w:rPr>
          <w:rFonts w:hint="eastAsia" w:ascii="仿宋" w:hAnsi="仿宋" w:eastAsia="仿宋"/>
          <w:b w:val="0"/>
          <w:color w:val="000000"/>
        </w:rPr>
        <w:t>一</w:t>
      </w:r>
      <w:r>
        <w:rPr>
          <w:rStyle w:val="16"/>
          <w:rFonts w:hint="eastAsia" w:ascii="仿宋" w:hAnsi="仿宋" w:eastAsia="仿宋"/>
          <w:b w:val="0"/>
          <w:bCs w:val="0"/>
        </w:rPr>
        <w:t>般公共预算财政拨款“三公”经费支出决算表</w:t>
      </w:r>
      <w:bookmarkEnd w:id="83"/>
      <w:bookmarkEnd w:id="84"/>
    </w:p>
    <w:p>
      <w:pPr>
        <w:pStyle w:val="3"/>
        <w:spacing w:line="360" w:lineRule="auto"/>
        <w:rPr>
          <w:rFonts w:ascii="仿宋" w:hAnsi="仿宋" w:eastAsia="仿宋"/>
          <w:color w:val="000000"/>
        </w:rPr>
      </w:pPr>
      <w:bookmarkStart w:id="85" w:name="_Toc15396629"/>
      <w:bookmarkStart w:id="86" w:name="_Toc7313"/>
      <w:r>
        <w:rPr>
          <w:rStyle w:val="16"/>
          <w:rFonts w:hint="eastAsia" w:ascii="仿宋" w:hAnsi="仿宋" w:eastAsia="仿宋"/>
          <w:b w:val="0"/>
          <w:bCs w:val="0"/>
        </w:rPr>
        <w:t>十一、</w:t>
      </w:r>
      <w:r>
        <w:rPr>
          <w:rFonts w:hint="eastAsia" w:ascii="仿宋" w:hAnsi="仿宋" w:eastAsia="仿宋"/>
          <w:b w:val="0"/>
          <w:color w:val="000000"/>
        </w:rPr>
        <w:t>政</w:t>
      </w:r>
      <w:r>
        <w:rPr>
          <w:rStyle w:val="16"/>
          <w:rFonts w:hint="eastAsia" w:ascii="仿宋" w:hAnsi="仿宋" w:eastAsia="仿宋"/>
          <w:b w:val="0"/>
          <w:bCs w:val="0"/>
        </w:rPr>
        <w:t>府性基金预算财政拨款收入支出决算表</w:t>
      </w:r>
      <w:bookmarkEnd w:id="85"/>
      <w:bookmarkEnd w:id="86"/>
    </w:p>
    <w:p>
      <w:pPr>
        <w:pStyle w:val="3"/>
        <w:rPr>
          <w:rFonts w:ascii="仿宋" w:hAnsi="仿宋" w:eastAsia="仿宋"/>
          <w:b w:val="0"/>
          <w:color w:val="000000"/>
        </w:rPr>
      </w:pPr>
      <w:bookmarkStart w:id="87" w:name="_Toc15396630"/>
      <w:bookmarkStart w:id="88" w:name="_Toc9382"/>
      <w:r>
        <w:rPr>
          <w:rFonts w:hint="eastAsia" w:ascii="仿宋" w:hAnsi="仿宋" w:eastAsia="仿宋"/>
          <w:b w:val="0"/>
          <w:color w:val="000000"/>
        </w:rPr>
        <w:t>十二、政府性基金预算财政拨款“三公”经费支出决算表</w:t>
      </w:r>
      <w:bookmarkEnd w:id="87"/>
      <w:bookmarkEnd w:id="88"/>
    </w:p>
    <w:p>
      <w:pPr>
        <w:pStyle w:val="3"/>
        <w:rPr>
          <w:rFonts w:ascii="仿宋" w:hAnsi="仿宋" w:eastAsia="仿宋"/>
          <w:b w:val="0"/>
          <w:color w:val="000000"/>
        </w:rPr>
      </w:pPr>
      <w:bookmarkStart w:id="89" w:name="_Toc22683"/>
      <w:r>
        <w:rPr>
          <w:rFonts w:hint="eastAsia" w:ascii="仿宋" w:hAnsi="仿宋" w:eastAsia="仿宋"/>
          <w:b w:val="0"/>
          <w:color w:val="000000"/>
        </w:rPr>
        <w:t>十三、国有资本经营预算财政拨款收入支出决算表</w:t>
      </w:r>
      <w:bookmarkEnd w:id="89"/>
    </w:p>
    <w:p>
      <w:pPr>
        <w:pStyle w:val="3"/>
        <w:rPr>
          <w:rFonts w:ascii="仿宋" w:hAnsi="仿宋" w:eastAsia="仿宋"/>
          <w:b w:val="0"/>
          <w:color w:val="000000"/>
        </w:rPr>
      </w:pPr>
      <w:bookmarkStart w:id="90" w:name="_Toc10257"/>
      <w:r>
        <w:rPr>
          <w:rFonts w:hint="eastAsia" w:ascii="仿宋" w:hAnsi="仿宋" w:eastAsia="仿宋"/>
          <w:b w:val="0"/>
          <w:color w:val="000000"/>
        </w:rPr>
        <w:t>十四、国有资本经营预算财政拨款支出决算表</w:t>
      </w:r>
      <w:bookmarkEnd w:id="90"/>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宋体"/>
    <w:panose1 w:val="00000000000000000000"/>
    <w:charset w:val="86"/>
    <w:family w:val="auto"/>
    <w:pitch w:val="default"/>
    <w:sig w:usb0="00000000" w:usb1="00000000" w:usb2="00000016" w:usb3="00000000" w:csb0="0004000F" w:csb1="00000000"/>
  </w:font>
  <w:font w:name="方正小标宋简体">
    <w:altName w:val="宋体-方正超大字符集"/>
    <w:panose1 w:val="03000509000000000000"/>
    <w:charset w:val="86"/>
    <w:family w:val="script"/>
    <w:pitch w:val="default"/>
    <w:sig w:usb0="00000000" w:usb1="0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2049" o:spid="_x0000_s2049"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path/>
          <v:fill on="f" focussize="0,0"/>
          <v:stroke on="f" weight="0.5pt" joinstyle="miter"/>
          <v:imagedata o:title=""/>
          <o:lock v:ext="edit"/>
          <v:textbox inset="0mm,0mm,0mm,0mm" style="mso-fit-shape-to-text:t;">
            <w:txbxContent>
              <w:p>
                <w:pPr>
                  <w:pStyle w:val="6"/>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29</w:t>
                </w:r>
                <w:r>
                  <w:rPr>
                    <w:rFonts w:ascii="宋体" w:hAnsi="宋体"/>
                    <w:sz w:val="28"/>
                    <w:szCs w:val="28"/>
                  </w:rPr>
                  <w:fldChar w:fldCharType="end"/>
                </w:r>
                <w:r>
                  <w:rPr>
                    <w:rFonts w:hint="eastAsia" w:ascii="宋体" w:hAnsi="宋体"/>
                    <w:sz w:val="28"/>
                    <w:szCs w:val="28"/>
                  </w:rPr>
                  <w:t xml:space="preserve"> —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2C4043"/>
    <w:multiLevelType w:val="singleLevel"/>
    <w:tmpl w:val="9F2C4043"/>
    <w:lvl w:ilvl="0" w:tentative="0">
      <w:start w:val="1"/>
      <w:numFmt w:val="decimal"/>
      <w:suff w:val="nothing"/>
      <w:lvlText w:val="%1．"/>
      <w:lvlJc w:val="left"/>
    </w:lvl>
  </w:abstractNum>
  <w:abstractNum w:abstractNumId="1">
    <w:nsid w:val="AD1F51F9"/>
    <w:multiLevelType w:val="singleLevel"/>
    <w:tmpl w:val="AD1F51F9"/>
    <w:lvl w:ilvl="0" w:tentative="0">
      <w:start w:val="2"/>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3">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4">
    <w:nsid w:val="F22B2FBD"/>
    <w:multiLevelType w:val="singleLevel"/>
    <w:tmpl w:val="F22B2FBD"/>
    <w:lvl w:ilvl="0" w:tentative="0">
      <w:start w:val="1"/>
      <w:numFmt w:val="decimal"/>
      <w:lvlText w:val="%1."/>
      <w:lvlJc w:val="left"/>
      <w:pPr>
        <w:tabs>
          <w:tab w:val="left" w:pos="312"/>
        </w:tabs>
      </w:p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6">
    <w:nsid w:val="2EB4413A"/>
    <w:multiLevelType w:val="singleLevel"/>
    <w:tmpl w:val="2EB4413A"/>
    <w:lvl w:ilvl="0" w:tentative="0">
      <w:start w:val="2"/>
      <w:numFmt w:val="chineseCounting"/>
      <w:suff w:val="nothing"/>
      <w:lvlText w:val="（%1）"/>
      <w:lvlJc w:val="left"/>
      <w:rPr>
        <w:rFonts w:hint="eastAsia"/>
      </w:rPr>
    </w:lvl>
  </w:abstractNum>
  <w:abstractNum w:abstractNumId="7">
    <w:nsid w:val="3A9477DD"/>
    <w:multiLevelType w:val="singleLevel"/>
    <w:tmpl w:val="3A9477DD"/>
    <w:lvl w:ilvl="0" w:tentative="0">
      <w:start w:val="1"/>
      <w:numFmt w:val="chineseCounting"/>
      <w:suff w:val="nothing"/>
      <w:lvlText w:val="（%1）"/>
      <w:lvlJc w:val="left"/>
      <w:rPr>
        <w:rFonts w:hint="eastAsia"/>
      </w:rPr>
    </w:lvl>
  </w:abstractNum>
  <w:num w:numId="1">
    <w:abstractNumId w:val="5"/>
  </w:num>
  <w:num w:numId="2">
    <w:abstractNumId w:val="2"/>
  </w:num>
  <w:num w:numId="3">
    <w:abstractNumId w:val="4"/>
  </w:num>
  <w:num w:numId="4">
    <w:abstractNumId w:val="3"/>
  </w:num>
  <w:num w:numId="5">
    <w:abstractNumId w:val="6"/>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EyZjhjMDljN2ZmZDI4MDM1OTczNmZkYWIwMTM0OGUifQ=="/>
  </w:docVars>
  <w:rsids>
    <w:rsidRoot w:val="6504078C"/>
    <w:rsid w:val="001F7FE5"/>
    <w:rsid w:val="00303B46"/>
    <w:rsid w:val="00541ACC"/>
    <w:rsid w:val="006252EB"/>
    <w:rsid w:val="0079291A"/>
    <w:rsid w:val="008D7EB6"/>
    <w:rsid w:val="00E63E93"/>
    <w:rsid w:val="00FF2C1C"/>
    <w:rsid w:val="02A777E8"/>
    <w:rsid w:val="042742F5"/>
    <w:rsid w:val="06146A9D"/>
    <w:rsid w:val="062C6F51"/>
    <w:rsid w:val="06C21D5B"/>
    <w:rsid w:val="06D65805"/>
    <w:rsid w:val="06D96529"/>
    <w:rsid w:val="07545325"/>
    <w:rsid w:val="07BA3126"/>
    <w:rsid w:val="0BF50DC7"/>
    <w:rsid w:val="0CF05482"/>
    <w:rsid w:val="0E522F4A"/>
    <w:rsid w:val="0E600908"/>
    <w:rsid w:val="0FF360CA"/>
    <w:rsid w:val="1250027F"/>
    <w:rsid w:val="12ED3FE9"/>
    <w:rsid w:val="13920341"/>
    <w:rsid w:val="13994982"/>
    <w:rsid w:val="151F5634"/>
    <w:rsid w:val="16A824BF"/>
    <w:rsid w:val="17BD59DC"/>
    <w:rsid w:val="17F044E5"/>
    <w:rsid w:val="19834F08"/>
    <w:rsid w:val="1AC47C7E"/>
    <w:rsid w:val="1CF44BCD"/>
    <w:rsid w:val="1D2C209E"/>
    <w:rsid w:val="1DE71A19"/>
    <w:rsid w:val="217F054F"/>
    <w:rsid w:val="22007537"/>
    <w:rsid w:val="258970A1"/>
    <w:rsid w:val="270E40A1"/>
    <w:rsid w:val="27F619A3"/>
    <w:rsid w:val="28C16307"/>
    <w:rsid w:val="29163107"/>
    <w:rsid w:val="2958140D"/>
    <w:rsid w:val="29BC4313"/>
    <w:rsid w:val="2A220878"/>
    <w:rsid w:val="2A463AC0"/>
    <w:rsid w:val="2AC65C17"/>
    <w:rsid w:val="2C2D3BCD"/>
    <w:rsid w:val="2CC80ED2"/>
    <w:rsid w:val="2CFB68C6"/>
    <w:rsid w:val="30252F24"/>
    <w:rsid w:val="30B04CC1"/>
    <w:rsid w:val="30BD7B3E"/>
    <w:rsid w:val="31365460"/>
    <w:rsid w:val="325D6066"/>
    <w:rsid w:val="340772FE"/>
    <w:rsid w:val="35236EF3"/>
    <w:rsid w:val="39C00D70"/>
    <w:rsid w:val="3B8223F3"/>
    <w:rsid w:val="3CB26806"/>
    <w:rsid w:val="3DD5678C"/>
    <w:rsid w:val="3E4169FF"/>
    <w:rsid w:val="3F8178D9"/>
    <w:rsid w:val="42CE2CBE"/>
    <w:rsid w:val="4483164F"/>
    <w:rsid w:val="448D7308"/>
    <w:rsid w:val="4830747C"/>
    <w:rsid w:val="490F3B0B"/>
    <w:rsid w:val="49961747"/>
    <w:rsid w:val="4C4B036E"/>
    <w:rsid w:val="4C9D0B19"/>
    <w:rsid w:val="4D0D2AC8"/>
    <w:rsid w:val="4D735F9C"/>
    <w:rsid w:val="4D7E351F"/>
    <w:rsid w:val="4E3A4862"/>
    <w:rsid w:val="4EC70068"/>
    <w:rsid w:val="4F64048F"/>
    <w:rsid w:val="4F76469E"/>
    <w:rsid w:val="4FC379B7"/>
    <w:rsid w:val="50884351"/>
    <w:rsid w:val="50EF3A67"/>
    <w:rsid w:val="51C45122"/>
    <w:rsid w:val="52412716"/>
    <w:rsid w:val="538D1AE2"/>
    <w:rsid w:val="552E4D6B"/>
    <w:rsid w:val="55753541"/>
    <w:rsid w:val="55836757"/>
    <w:rsid w:val="560761CD"/>
    <w:rsid w:val="56BF5087"/>
    <w:rsid w:val="56D26AA1"/>
    <w:rsid w:val="59711ABB"/>
    <w:rsid w:val="59BC09D4"/>
    <w:rsid w:val="59D91C67"/>
    <w:rsid w:val="5B9A569A"/>
    <w:rsid w:val="5BD23C76"/>
    <w:rsid w:val="5BD44886"/>
    <w:rsid w:val="5CCD4BD2"/>
    <w:rsid w:val="5D3E75DF"/>
    <w:rsid w:val="5D726EC2"/>
    <w:rsid w:val="60EE0A62"/>
    <w:rsid w:val="61926D89"/>
    <w:rsid w:val="6504078C"/>
    <w:rsid w:val="66B90D18"/>
    <w:rsid w:val="695535AB"/>
    <w:rsid w:val="6B98728A"/>
    <w:rsid w:val="6E7C3504"/>
    <w:rsid w:val="6ECC4053"/>
    <w:rsid w:val="726E3979"/>
    <w:rsid w:val="734A0C56"/>
    <w:rsid w:val="749E1C26"/>
    <w:rsid w:val="751C6C91"/>
    <w:rsid w:val="76752E14"/>
    <w:rsid w:val="76F47FF0"/>
    <w:rsid w:val="790C42F2"/>
    <w:rsid w:val="7938417A"/>
    <w:rsid w:val="79A50144"/>
    <w:rsid w:val="7A8D484C"/>
    <w:rsid w:val="7A940B3D"/>
    <w:rsid w:val="7BD94F6F"/>
    <w:rsid w:val="7C287298"/>
    <w:rsid w:val="7C4C15F2"/>
    <w:rsid w:val="7DB9165E"/>
    <w:rsid w:val="7F0B5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kern w:val="0"/>
      <w:sz w:val="24"/>
      <w:szCs w:val="20"/>
    </w:rPr>
  </w:style>
  <w:style w:type="paragraph" w:styleId="5">
    <w:name w:val="Body Text Indent"/>
    <w:basedOn w:val="1"/>
    <w:qFormat/>
    <w:uiPriority w:val="0"/>
    <w:pPr>
      <w:spacing w:after="120"/>
      <w:ind w:left="420" w:leftChars="200"/>
    </w:pPr>
  </w:style>
  <w:style w:type="paragraph" w:styleId="6">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paragraph" w:styleId="10">
    <w:name w:val="Body Text First Indent 2"/>
    <w:basedOn w:val="5"/>
    <w:qFormat/>
    <w:uiPriority w:val="0"/>
    <w:pPr>
      <w:ind w:firstLine="420" w:firstLineChars="200"/>
    </w:pPr>
  </w:style>
  <w:style w:type="character" w:styleId="13">
    <w:name w:val="Strong"/>
    <w:basedOn w:val="12"/>
    <w:qFormat/>
    <w:uiPriority w:val="99"/>
    <w:rPr>
      <w:rFonts w:cs="Times New Roman"/>
      <w:b/>
    </w:rPr>
  </w:style>
  <w:style w:type="character" w:styleId="14">
    <w:name w:val="Hyperlink"/>
    <w:unhideWhenUsed/>
    <w:qFormat/>
    <w:uiPriority w:val="99"/>
    <w:rPr>
      <w:color w:val="0000FF"/>
      <w:u w:val="single"/>
    </w:rPr>
  </w:style>
  <w:style w:type="character" w:customStyle="1" w:styleId="15">
    <w:name w:val="标题 1 Char"/>
    <w:basedOn w:val="12"/>
    <w:link w:val="2"/>
    <w:qFormat/>
    <w:locked/>
    <w:uiPriority w:val="9"/>
    <w:rPr>
      <w:b/>
      <w:bCs/>
      <w:kern w:val="44"/>
      <w:sz w:val="44"/>
      <w:szCs w:val="44"/>
    </w:rPr>
  </w:style>
  <w:style w:type="character" w:customStyle="1" w:styleId="16">
    <w:name w:val="标题 2 Char"/>
    <w:basedOn w:val="12"/>
    <w:link w:val="3"/>
    <w:qFormat/>
    <w:locked/>
    <w:uiPriority w:val="9"/>
    <w:rPr>
      <w:rFonts w:ascii="Cambria" w:hAnsi="Cambria"/>
      <w:b/>
      <w:bCs/>
      <w:sz w:val="32"/>
      <w:szCs w:val="32"/>
    </w:rPr>
  </w:style>
  <w:style w:type="paragraph" w:customStyle="1" w:styleId="17">
    <w:name w:val="列出段落1"/>
    <w:basedOn w:val="1"/>
    <w:qFormat/>
    <w:uiPriority w:val="34"/>
    <w:pPr>
      <w:ind w:firstLine="420" w:firstLineChars="200"/>
    </w:pPr>
  </w:style>
  <w:style w:type="paragraph" w:customStyle="1" w:styleId="1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2" Type="http://schemas.openxmlformats.org/officeDocument/2006/relationships/themeOverride" Target="../theme/themeOverride2.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5595"/>
          <c:y val="0.124666666666667"/>
          <c:w val="0.91655"/>
          <c:h val="0.716566666666667"/>
        </c:manualLayout>
      </c:layout>
      <c:barChart>
        <c:barDir val="col"/>
        <c:grouping val="stacked"/>
        <c:varyColors val="0"/>
        <c:ser>
          <c:idx val="0"/>
          <c:order val="0"/>
          <c:tx>
            <c:strRef>
              <c:f>Sheet1!$B$1</c:f>
              <c:strCache>
                <c:ptCount val="1"/>
                <c:pt idx="0">
                  <c:v>收、支决算总计</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121.56</c:v>
                </c:pt>
                <c:pt idx="1">
                  <c:v>194.67</c:v>
                </c:pt>
              </c:numCache>
            </c:numRef>
          </c:val>
        </c:ser>
        <c:dLbls>
          <c:showLegendKey val="0"/>
          <c:showVal val="1"/>
          <c:showCatName val="0"/>
          <c:showSerName val="0"/>
          <c:showPercent val="0"/>
          <c:showBubbleSize val="0"/>
        </c:dLbls>
        <c:gapWidth val="150"/>
        <c:overlap val="100"/>
        <c:axId val="114662016"/>
        <c:axId val="114669824"/>
      </c:barChart>
      <c:catAx>
        <c:axId val="11466201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4669824"/>
        <c:crosses val="autoZero"/>
        <c:auto val="1"/>
        <c:lblAlgn val="ctr"/>
        <c:lblOffset val="100"/>
        <c:noMultiLvlLbl val="0"/>
      </c:catAx>
      <c:valAx>
        <c:axId val="11466982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46620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pieChart>
        <c:varyColors val="1"/>
        <c:ser>
          <c:idx val="0"/>
          <c:order val="0"/>
          <c:tx>
            <c:strRef>
              <c:f>Sheet1!$B$1</c:f>
              <c:strCache>
                <c:ptCount val="1"/>
                <c:pt idx="0">
                  <c:v>本年收入</c:v>
                </c:pt>
              </c:strCache>
            </c:strRef>
          </c:tx>
          <c:explosion val="0"/>
          <c:dPt>
            <c:idx val="0"/>
            <c:bubble3D val="0"/>
            <c:spPr>
              <a:solidFill>
                <a:schemeClr val="accent1">
                  <a:shade val="50000"/>
                </a:schemeClr>
              </a:solidFill>
              <a:ln w="19050">
                <a:solidFill>
                  <a:schemeClr val="lt1"/>
                </a:solidFill>
              </a:ln>
              <a:effectLst/>
            </c:spPr>
          </c:dPt>
          <c:dPt>
            <c:idx val="1"/>
            <c:bubble3D val="0"/>
            <c:spPr>
              <a:solidFill>
                <a:schemeClr val="accent1">
                  <a:shade val="70000"/>
                </a:schemeClr>
              </a:solidFill>
              <a:ln w="19050">
                <a:solidFill>
                  <a:schemeClr val="lt1"/>
                </a:solidFill>
              </a:ln>
              <a:effectLst/>
            </c:spPr>
          </c:dPt>
          <c:dPt>
            <c:idx val="2"/>
            <c:bubble3D val="0"/>
            <c:spPr>
              <a:solidFill>
                <a:schemeClr val="accent1">
                  <a:shade val="90000"/>
                </a:schemeClr>
              </a:solidFill>
              <a:ln w="19050">
                <a:solidFill>
                  <a:schemeClr val="lt1"/>
                </a:solidFill>
              </a:ln>
              <a:effectLst/>
            </c:spPr>
          </c:dPt>
          <c:dPt>
            <c:idx val="3"/>
            <c:bubble3D val="0"/>
            <c:spPr>
              <a:solidFill>
                <a:schemeClr val="accent1">
                  <a:tint val="90000"/>
                </a:schemeClr>
              </a:solidFill>
              <a:ln w="19050">
                <a:solidFill>
                  <a:schemeClr val="lt1"/>
                </a:solidFill>
              </a:ln>
              <a:effectLst/>
            </c:spPr>
          </c:dPt>
          <c:dPt>
            <c:idx val="4"/>
            <c:bubble3D val="0"/>
            <c:spPr>
              <a:solidFill>
                <a:schemeClr val="accent1">
                  <a:tint val="70000"/>
                </a:schemeClr>
              </a:solidFill>
              <a:ln w="19050">
                <a:solidFill>
                  <a:schemeClr val="lt1"/>
                </a:solidFill>
              </a:ln>
              <a:effectLst/>
            </c:spPr>
          </c:dPt>
          <c:dPt>
            <c:idx val="5"/>
            <c:bubble3D val="0"/>
            <c:spPr>
              <a:solidFill>
                <a:schemeClr val="accent1">
                  <a:tint val="5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Sheet1!$A$2:$A$7</c:f>
              <c:strCache>
                <c:ptCount val="6"/>
                <c:pt idx="0">
                  <c:v>一般公共预算财政拨款收入</c:v>
                </c:pt>
                <c:pt idx="1">
                  <c:v>政府性基金预算财政拨款收入</c:v>
                </c:pt>
                <c:pt idx="2">
                  <c:v>上级补助收入</c:v>
                </c:pt>
                <c:pt idx="3">
                  <c:v>经营收入</c:v>
                </c:pt>
                <c:pt idx="4">
                  <c:v>附属单位上缴收入</c:v>
                </c:pt>
                <c:pt idx="5">
                  <c:v>其他收入</c:v>
                </c:pt>
              </c:strCache>
            </c:strRef>
          </c:cat>
          <c:val>
            <c:numRef>
              <c:f>Sheet1!$B$2:$B$7</c:f>
              <c:numCache>
                <c:formatCode>General</c:formatCode>
                <c:ptCount val="6"/>
                <c:pt idx="0">
                  <c:v>187.71</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24399"/>
          <c:y val="0.10357"/>
          <c:w val="0.50127"/>
          <c:h val="0.66836"/>
        </c:manualLayout>
      </c:layout>
      <c:pieChart>
        <c:varyColors val="1"/>
        <c:ser>
          <c:idx val="0"/>
          <c:order val="0"/>
          <c:tx>
            <c:strRef>
              <c:f>Sheet1!$B$1</c:f>
              <c:strCache>
                <c:ptCount val="1"/>
                <c:pt idx="0">
                  <c:v>本年支出</c:v>
                </c:pt>
              </c:strCache>
            </c:strRef>
          </c:tx>
          <c:explosion val="0"/>
          <c:dPt>
            <c:idx val="0"/>
            <c:bubble3D val="0"/>
            <c:spPr>
              <a:solidFill>
                <a:schemeClr val="accent1">
                  <a:shade val="53333"/>
                </a:schemeClr>
              </a:solidFill>
              <a:ln w="19050">
                <a:solidFill>
                  <a:schemeClr val="lt1"/>
                </a:solidFill>
              </a:ln>
              <a:effectLst/>
            </c:spPr>
          </c:dPt>
          <c:dPt>
            <c:idx val="1"/>
            <c:bubble3D val="0"/>
            <c:spPr>
              <a:solidFill>
                <a:schemeClr val="accent1">
                  <a:shade val="76667"/>
                </a:schemeClr>
              </a:solidFill>
              <a:ln w="19050">
                <a:solidFill>
                  <a:schemeClr val="lt1"/>
                </a:solidFill>
              </a:ln>
              <a:effectLst/>
            </c:spPr>
          </c:dPt>
          <c:dPt>
            <c:idx val="2"/>
            <c:bubble3D val="0"/>
            <c:spPr>
              <a:solidFill>
                <a:schemeClr val="accent1"/>
              </a:solidFill>
              <a:ln w="19050">
                <a:solidFill>
                  <a:schemeClr val="lt1"/>
                </a:solidFill>
              </a:ln>
              <a:effectLst/>
            </c:spPr>
          </c:dPt>
          <c:dPt>
            <c:idx val="3"/>
            <c:bubble3D val="0"/>
            <c:spPr>
              <a:solidFill>
                <a:schemeClr val="accent1">
                  <a:tint val="76667"/>
                </a:schemeClr>
              </a:solidFill>
              <a:ln w="19050">
                <a:solidFill>
                  <a:schemeClr val="lt1"/>
                </a:solidFill>
              </a:ln>
              <a:effectLst/>
            </c:spPr>
          </c:dPt>
          <c:dPt>
            <c:idx val="4"/>
            <c:bubble3D val="0"/>
            <c:spPr>
              <a:solidFill>
                <a:schemeClr val="accent1">
                  <a:tint val="53333"/>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180.83</c:v>
                </c:pt>
                <c:pt idx="1">
                  <c:v>13.84</c:v>
                </c:pt>
                <c:pt idx="2">
                  <c:v>0</c:v>
                </c:pt>
                <c:pt idx="3">
                  <c:v>0</c:v>
                </c:pt>
                <c:pt idx="4">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65575"/>
          <c:y val="0.14949083503055"/>
          <c:w val="0.91655"/>
          <c:h val="0.716566666666667"/>
        </c:manualLayout>
      </c:layout>
      <c:barChart>
        <c:barDir val="col"/>
        <c:grouping val="stacked"/>
        <c:varyColors val="0"/>
        <c:ser>
          <c:idx val="0"/>
          <c:order val="0"/>
          <c:tx>
            <c:strRef>
              <c:f>Sheet1!$B$1</c:f>
              <c:strCache>
                <c:ptCount val="1"/>
                <c:pt idx="0">
                  <c:v>收入支出决算总体变动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121.56</c:v>
                </c:pt>
                <c:pt idx="1">
                  <c:v>194.67</c:v>
                </c:pt>
              </c:numCache>
            </c:numRef>
          </c:val>
        </c:ser>
        <c:dLbls>
          <c:showLegendKey val="0"/>
          <c:showVal val="1"/>
          <c:showCatName val="0"/>
          <c:showSerName val="0"/>
          <c:showPercent val="0"/>
          <c:showBubbleSize val="0"/>
        </c:dLbls>
        <c:gapWidth val="150"/>
        <c:overlap val="100"/>
        <c:axId val="68220800"/>
        <c:axId val="68222336"/>
      </c:barChart>
      <c:catAx>
        <c:axId val="6822080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222336"/>
        <c:crosses val="autoZero"/>
        <c:auto val="1"/>
        <c:lblAlgn val="ctr"/>
        <c:lblOffset val="100"/>
        <c:noMultiLvlLbl val="0"/>
      </c:catAx>
      <c:valAx>
        <c:axId val="6822233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2208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65575"/>
          <c:y val="0.14949083503055"/>
          <c:w val="0.91655"/>
          <c:h val="0.716566666666667"/>
        </c:manualLayout>
      </c:layout>
      <c:barChart>
        <c:barDir val="col"/>
        <c:grouping val="stacked"/>
        <c:varyColors val="0"/>
        <c:ser>
          <c:idx val="0"/>
          <c:order val="0"/>
          <c:tx>
            <c:strRef>
              <c:f>Sheet1!$B$1</c:f>
              <c:strCache>
                <c:ptCount val="1"/>
                <c:pt idx="0">
                  <c:v>一般公共预算财政拨款支出</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114.6</c:v>
                </c:pt>
                <c:pt idx="1">
                  <c:v>194.67</c:v>
                </c:pt>
              </c:numCache>
            </c:numRef>
          </c:val>
        </c:ser>
        <c:dLbls>
          <c:showLegendKey val="0"/>
          <c:showVal val="1"/>
          <c:showCatName val="0"/>
          <c:showSerName val="0"/>
          <c:showPercent val="0"/>
          <c:showBubbleSize val="0"/>
        </c:dLbls>
        <c:gapWidth val="150"/>
        <c:overlap val="100"/>
        <c:axId val="112249472"/>
        <c:axId val="114823552"/>
      </c:barChart>
      <c:catAx>
        <c:axId val="112249472"/>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4823552"/>
        <c:crosses val="autoZero"/>
        <c:auto val="1"/>
        <c:lblAlgn val="ctr"/>
        <c:lblOffset val="100"/>
        <c:noMultiLvlLbl val="0"/>
      </c:catAx>
      <c:valAx>
        <c:axId val="11482355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22494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4399"/>
          <c:y val="0.10357"/>
          <c:w val="0.50127"/>
          <c:h val="0.66836"/>
        </c:manualLayout>
      </c:layout>
      <c:pieChart>
        <c:varyColors val="1"/>
        <c:ser>
          <c:idx val="0"/>
          <c:order val="0"/>
          <c:tx>
            <c:strRef>
              <c:f>Sheet1!$B$1</c:f>
              <c:strCache>
                <c:ptCount val="1"/>
                <c:pt idx="0">
                  <c:v>一般公共预算财政拨款支出</c:v>
                </c:pt>
              </c:strCache>
            </c:strRef>
          </c:tx>
          <c:explosion val="0"/>
          <c:dPt>
            <c:idx val="0"/>
            <c:bubble3D val="0"/>
            <c:spPr>
              <a:solidFill>
                <a:schemeClr val="accent1">
                  <a:shade val="47500"/>
                </a:schemeClr>
              </a:solidFill>
              <a:ln w="19050">
                <a:solidFill>
                  <a:schemeClr val="lt1"/>
                </a:solidFill>
              </a:ln>
              <a:effectLst/>
            </c:spPr>
          </c:dPt>
          <c:dPt>
            <c:idx val="1"/>
            <c:bubble3D val="0"/>
            <c:spPr>
              <a:solidFill>
                <a:schemeClr val="accent1">
                  <a:shade val="65000"/>
                </a:schemeClr>
              </a:solidFill>
              <a:ln w="19050">
                <a:solidFill>
                  <a:schemeClr val="lt1"/>
                </a:solidFill>
              </a:ln>
              <a:effectLst/>
            </c:spPr>
          </c:dPt>
          <c:dPt>
            <c:idx val="2"/>
            <c:bubble3D val="0"/>
            <c:spPr>
              <a:solidFill>
                <a:schemeClr val="accent1">
                  <a:shade val="82500"/>
                </a:schemeClr>
              </a:solidFill>
              <a:ln w="19050">
                <a:solidFill>
                  <a:schemeClr val="lt1"/>
                </a:solidFill>
              </a:ln>
              <a:effectLst/>
            </c:spPr>
          </c:dPt>
          <c:dPt>
            <c:idx val="3"/>
            <c:bubble3D val="0"/>
            <c:spPr>
              <a:solidFill>
                <a:schemeClr val="accent1"/>
              </a:solidFill>
              <a:ln w="19050">
                <a:solidFill>
                  <a:schemeClr val="lt1"/>
                </a:solidFill>
              </a:ln>
              <a:effectLst/>
            </c:spPr>
          </c:dPt>
          <c:dPt>
            <c:idx val="4"/>
            <c:bubble3D val="0"/>
            <c:spPr>
              <a:solidFill>
                <a:schemeClr val="accent1">
                  <a:tint val="82500"/>
                </a:schemeClr>
              </a:solidFill>
              <a:ln w="19050">
                <a:solidFill>
                  <a:schemeClr val="lt1"/>
                </a:solidFill>
              </a:ln>
              <a:effectLst/>
            </c:spPr>
          </c:dPt>
          <c:dPt>
            <c:idx val="5"/>
            <c:bubble3D val="0"/>
            <c:spPr>
              <a:solidFill>
                <a:schemeClr val="accent1">
                  <a:tint val="65000"/>
                </a:schemeClr>
              </a:solidFill>
              <a:ln w="19050">
                <a:solidFill>
                  <a:schemeClr val="lt1"/>
                </a:solidFill>
              </a:ln>
              <a:effectLst/>
            </c:spPr>
          </c:dPt>
          <c:dPt>
            <c:idx val="6"/>
            <c:bubble3D val="0"/>
            <c:spPr>
              <a:solidFill>
                <a:schemeClr val="accent1">
                  <a:tint val="475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Sheet1!$A$2:$A$8</c:f>
              <c:strCache>
                <c:ptCount val="7"/>
                <c:pt idx="0">
                  <c:v>一般公共服务（类）支出</c:v>
                </c:pt>
                <c:pt idx="1">
                  <c:v>教育支出（类）</c:v>
                </c:pt>
                <c:pt idx="2">
                  <c:v>科学技术（类）支出</c:v>
                </c:pt>
                <c:pt idx="3">
                  <c:v>文化旅游体育与传媒（类）支出</c:v>
                </c:pt>
                <c:pt idx="4">
                  <c:v>社会保障和就业（类）支出</c:v>
                </c:pt>
                <c:pt idx="5">
                  <c:v>卫生健康支出</c:v>
                </c:pt>
                <c:pt idx="6">
                  <c:v>住房保障支出</c:v>
                </c:pt>
              </c:strCache>
            </c:strRef>
          </c:cat>
          <c:val>
            <c:numRef>
              <c:f>Sheet1!$B$2:$B$8</c:f>
              <c:numCache>
                <c:formatCode>General</c:formatCode>
                <c:ptCount val="7"/>
                <c:pt idx="0">
                  <c:v>162.5</c:v>
                </c:pt>
                <c:pt idx="1">
                  <c:v>0</c:v>
                </c:pt>
                <c:pt idx="2">
                  <c:v>0</c:v>
                </c:pt>
                <c:pt idx="3">
                  <c:v>0</c:v>
                </c:pt>
                <c:pt idx="4">
                  <c:v>14.19</c:v>
                </c:pt>
                <c:pt idx="5">
                  <c:v>7.05</c:v>
                </c:pt>
                <c:pt idx="6">
                  <c:v>10.93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4399"/>
          <c:y val="0.10357"/>
          <c:w val="0.50127"/>
          <c:h val="0.66836"/>
        </c:manualLayout>
      </c:layout>
      <c:pieChart>
        <c:varyColors val="1"/>
        <c:ser>
          <c:idx val="0"/>
          <c:order val="0"/>
          <c:tx>
            <c:strRef>
              <c:f>Sheet1!$B$1</c:f>
              <c:strCache>
                <c:ptCount val="1"/>
                <c:pt idx="0">
                  <c:v>一般公共预算财政拨款支出</c:v>
                </c:pt>
              </c:strCache>
            </c:strRef>
          </c:tx>
          <c:explosion val="0"/>
          <c:dPt>
            <c:idx val="0"/>
            <c:bubble3D val="0"/>
            <c:spPr>
              <a:solidFill>
                <a:schemeClr val="accent1">
                  <a:shade val="65000"/>
                </a:schemeClr>
              </a:solidFill>
              <a:ln w="19050">
                <a:solidFill>
                  <a:schemeClr val="lt1"/>
                </a:solidFill>
              </a:ln>
              <a:effectLst/>
            </c:spPr>
          </c:dPt>
          <c:dPt>
            <c:idx val="1"/>
            <c:bubble3D val="0"/>
            <c:spPr>
              <a:solidFill>
                <a:schemeClr val="accent1"/>
              </a:solidFill>
              <a:ln w="19050">
                <a:solidFill>
                  <a:schemeClr val="lt1"/>
                </a:solidFill>
              </a:ln>
              <a:effectLst/>
            </c:spPr>
          </c:dPt>
          <c:dPt>
            <c:idx val="2"/>
            <c:bubble3D val="0"/>
            <c:spPr>
              <a:solidFill>
                <a:schemeClr val="accent1">
                  <a:tint val="65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0</c:v>
                </c:pt>
                <c:pt idx="2">
                  <c:v>0.2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1466875"/>
          <c:y val="0.80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自定义 1">
    <a:dk1>
      <a:sysClr val="windowText" lastClr="000000"/>
    </a:dk1>
    <a:lt1>
      <a:sysClr val="window" lastClr="FFFFFF"/>
    </a:lt1>
    <a:dk2>
      <a:srgbClr val="9C27B0"/>
    </a:dk2>
    <a:lt2>
      <a:srgbClr val="673AB7"/>
    </a:lt2>
    <a:accent1>
      <a:srgbClr val="2196F3"/>
    </a:accent1>
    <a:accent2>
      <a:srgbClr val="00BCD4"/>
    </a:accent2>
    <a:accent3>
      <a:srgbClr val="4CAF50"/>
    </a:accent3>
    <a:accent4>
      <a:srgbClr val="CDDC39"/>
    </a:accent4>
    <a:accent5>
      <a:srgbClr val="FFC107"/>
    </a:accent5>
    <a:accent6>
      <a:srgbClr val="FF5722"/>
    </a:accent6>
    <a:hlink>
      <a:srgbClr val="9C27B0"/>
    </a:hlink>
    <a:folHlink>
      <a:srgbClr val="673AB7"/>
    </a:folHlink>
  </a:clrScheme>
  <a:fontScheme name="Office 主题​​">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自定义 1">
    <a:dk1>
      <a:sysClr val="windowText" lastClr="000000"/>
    </a:dk1>
    <a:lt1>
      <a:sysClr val="window" lastClr="FFFFFF"/>
    </a:lt1>
    <a:dk2>
      <a:srgbClr val="9C27B0"/>
    </a:dk2>
    <a:lt2>
      <a:srgbClr val="673AB7"/>
    </a:lt2>
    <a:accent1>
      <a:srgbClr val="2196F3"/>
    </a:accent1>
    <a:accent2>
      <a:srgbClr val="00BCD4"/>
    </a:accent2>
    <a:accent3>
      <a:srgbClr val="4CAF50"/>
    </a:accent3>
    <a:accent4>
      <a:srgbClr val="CDDC39"/>
    </a:accent4>
    <a:accent5>
      <a:srgbClr val="FFC107"/>
    </a:accent5>
    <a:accent6>
      <a:srgbClr val="FF5722"/>
    </a:accent6>
    <a:hlink>
      <a:srgbClr val="9C27B0"/>
    </a:hlink>
    <a:folHlink>
      <a:srgbClr val="673AB7"/>
    </a:folHlink>
  </a:clrScheme>
  <a:fontScheme name="Office 主题​​">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11024</Words>
  <Characters>11752</Characters>
  <Lines>99</Lines>
  <Paragraphs>28</Paragraphs>
  <TotalTime>1</TotalTime>
  <ScaleCrop>false</ScaleCrop>
  <LinksUpToDate>false</LinksUpToDate>
  <CharactersWithSpaces>11823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cp:lastPrinted>2021-10-20T06:48:00Z</cp:lastPrinted>
  <dcterms:modified xsi:type="dcterms:W3CDTF">2022-05-30T03:27:46Z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96A93EED36A441BBB369671D4EA986A8</vt:lpwstr>
  </property>
</Properties>
</file>