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theme/themeOverride1.xml" ContentType="application/vnd.openxmlformats-officedocument.themeOverride+xml"/>
  <Override PartName="/word/theme/themeOverride2.xml" ContentType="application/vnd.openxmlformats-officedocument.themeOverrid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80" w:lineRule="exact"/>
        <w:jc w:val="center"/>
        <w:rPr>
          <w:rFonts w:ascii="方正小标宋简体" w:eastAsia="方正小标宋简体"/>
          <w:sz w:val="44"/>
          <w:szCs w:val="44"/>
        </w:rPr>
      </w:pPr>
      <w:r>
        <w:rPr>
          <w:rFonts w:hint="eastAsia" w:ascii="方正小标宋简体" w:eastAsia="方正小标宋简体"/>
          <w:w w:val="80"/>
          <w:sz w:val="44"/>
          <w:szCs w:val="44"/>
        </w:rPr>
        <w:t>中共自贡市自流井区委巡察工作领导小组办公室</w:t>
      </w:r>
    </w:p>
    <w:p>
      <w:pPr>
        <w:widowControl/>
        <w:spacing w:line="580" w:lineRule="exact"/>
        <w:jc w:val="center"/>
        <w:rPr>
          <w:rFonts w:ascii="方正小标宋简体" w:eastAsia="方正小标宋简体"/>
          <w:sz w:val="44"/>
          <w:szCs w:val="44"/>
        </w:rPr>
      </w:pPr>
      <w:r>
        <w:rPr>
          <w:rFonts w:hint="eastAsia" w:ascii="方正小标宋简体" w:eastAsia="方正小标宋简体"/>
          <w:sz w:val="44"/>
          <w:szCs w:val="44"/>
        </w:rPr>
        <w:t>2020年度</w:t>
      </w:r>
      <w:r>
        <w:rPr>
          <w:rFonts w:hint="eastAsia" w:ascii="方正小标宋简体" w:eastAsia="方正小标宋简体"/>
          <w:sz w:val="44"/>
          <w:szCs w:val="44"/>
          <w:lang w:eastAsia="zh-CN"/>
        </w:rPr>
        <w:t>本级</w:t>
      </w:r>
      <w:r>
        <w:rPr>
          <w:rFonts w:hint="eastAsia" w:ascii="方正小标宋简体" w:eastAsia="方正小标宋简体"/>
          <w:sz w:val="44"/>
          <w:szCs w:val="44"/>
        </w:rPr>
        <w:t>决算编制的说明</w:t>
      </w:r>
    </w:p>
    <w:p>
      <w:pPr>
        <w:widowControl/>
        <w:jc w:val="center"/>
        <w:rPr>
          <w:rFonts w:ascii="仿宋_GB2312"/>
          <w:sz w:val="28"/>
          <w:szCs w:val="28"/>
        </w:rPr>
      </w:pPr>
    </w:p>
    <w:p>
      <w:pPr>
        <w:widowControl/>
        <w:jc w:val="center"/>
        <w:rPr>
          <w:rFonts w:ascii="黑体" w:hAnsi="黑体" w:eastAsia="黑体"/>
          <w:color w:val="000000"/>
          <w:sz w:val="48"/>
          <w:szCs w:val="48"/>
        </w:rPr>
      </w:pPr>
      <w:r>
        <w:rPr>
          <w:rFonts w:hint="eastAsia" w:ascii="黑体" w:hAnsi="黑体" w:eastAsia="黑体"/>
          <w:color w:val="000000"/>
          <w:sz w:val="44"/>
          <w:szCs w:val="44"/>
        </w:rPr>
        <w:t>目 录</w:t>
      </w:r>
    </w:p>
    <w:p>
      <w:pPr>
        <w:pStyle w:val="8"/>
        <w:tabs>
          <w:tab w:val="right" w:leader="dot" w:pos="8306"/>
        </w:tabs>
        <w:spacing w:line="560" w:lineRule="exact"/>
        <w:rPr>
          <w:rFonts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TOC \o "1-2" \h \z \u </w:instrText>
      </w:r>
      <w:r>
        <w:rPr>
          <w:rFonts w:hint="eastAsia" w:ascii="仿宋_GB2312" w:hAnsi="仿宋_GB2312" w:eastAsia="仿宋_GB2312" w:cs="仿宋_GB2312"/>
          <w:b w:val="0"/>
          <w:bCs w:val="0"/>
          <w:i w:val="0"/>
          <w:iCs w:val="0"/>
          <w:caps/>
          <w:sz w:val="28"/>
          <w:szCs w:val="28"/>
        </w:rPr>
        <w:fldChar w:fldCharType="separate"/>
      </w:r>
      <w:r>
        <w:fldChar w:fldCharType="begin"/>
      </w:r>
      <w:r>
        <w:instrText xml:space="preserve"> HYPERLINK \l "_Toc10567" </w:instrText>
      </w:r>
      <w:r>
        <w:fldChar w:fldCharType="separate"/>
      </w:r>
      <w:r>
        <w:rPr>
          <w:rFonts w:hint="eastAsia" w:ascii="仿宋_GB2312" w:hAnsi="仿宋_GB2312" w:eastAsia="仿宋_GB2312" w:cs="仿宋_GB2312"/>
          <w:b w:val="0"/>
          <w:bCs w:val="0"/>
          <w:i w:val="0"/>
          <w:iCs w:val="0"/>
          <w:sz w:val="28"/>
          <w:szCs w:val="28"/>
        </w:rPr>
        <w:t xml:space="preserve">第一部分 </w:t>
      </w:r>
      <w:r>
        <w:rPr>
          <w:rFonts w:hint="eastAsia" w:ascii="仿宋_GB2312" w:hAnsi="仿宋_GB2312" w:eastAsia="仿宋_GB2312" w:cs="仿宋_GB2312"/>
          <w:b w:val="0"/>
          <w:bCs w:val="0"/>
          <w:i w:val="0"/>
          <w:iCs w:val="0"/>
          <w:sz w:val="28"/>
          <w:szCs w:val="28"/>
          <w:lang w:eastAsia="zh-CN"/>
        </w:rPr>
        <w:t>单位</w:t>
      </w:r>
      <w:r>
        <w:rPr>
          <w:rFonts w:hint="eastAsia" w:ascii="仿宋_GB2312" w:hAnsi="仿宋_GB2312" w:eastAsia="仿宋_GB2312" w:cs="仿宋_GB2312"/>
          <w:b w:val="0"/>
          <w:bCs w:val="0"/>
          <w:i w:val="0"/>
          <w:iCs w:val="0"/>
          <w:sz w:val="28"/>
          <w:szCs w:val="28"/>
        </w:rPr>
        <w:t>概况</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_Toc10567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1</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"_Toc21498" </w:instrText>
      </w:r>
      <w:r>
        <w:fldChar w:fldCharType="separate"/>
      </w:r>
      <w:r>
        <w:rPr>
          <w:rFonts w:hint="eastAsia" w:ascii="仿宋_GB2312" w:hAnsi="仿宋_GB2312" w:eastAsia="仿宋_GB2312" w:cs="仿宋_GB2312"/>
          <w:b w:val="0"/>
          <w:bCs w:val="0"/>
          <w:sz w:val="28"/>
          <w:szCs w:val="28"/>
        </w:rPr>
        <w:t>一、基本职能及主要工作</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_Toc21498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1</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"_Toc6092" </w:instrText>
      </w:r>
      <w:r>
        <w:fldChar w:fldCharType="separate"/>
      </w:r>
      <w:r>
        <w:rPr>
          <w:rFonts w:hint="eastAsia" w:ascii="仿宋_GB2312" w:hAnsi="仿宋_GB2312" w:eastAsia="仿宋_GB2312" w:cs="仿宋_GB2312"/>
          <w:b w:val="0"/>
          <w:bCs w:val="0"/>
          <w:sz w:val="28"/>
          <w:szCs w:val="28"/>
        </w:rPr>
        <w:t>二、机构设置</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_Toc6092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2</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8"/>
        <w:tabs>
          <w:tab w:val="right" w:leader="dot" w:pos="8306"/>
        </w:tabs>
        <w:spacing w:line="560" w:lineRule="exact"/>
        <w:rPr>
          <w:rFonts w:ascii="仿宋_GB2312" w:hAnsi="仿宋_GB2312" w:eastAsia="仿宋_GB2312" w:cs="仿宋_GB2312"/>
          <w:b w:val="0"/>
          <w:bCs w:val="0"/>
          <w:i w:val="0"/>
          <w:iCs w:val="0"/>
          <w:sz w:val="28"/>
          <w:szCs w:val="28"/>
        </w:rPr>
      </w:pPr>
      <w:r>
        <w:fldChar w:fldCharType="begin"/>
      </w:r>
      <w:r>
        <w:instrText xml:space="preserve"> HYPERLINK \l "_Toc23109" </w:instrText>
      </w:r>
      <w:r>
        <w:fldChar w:fldCharType="separate"/>
      </w:r>
      <w:r>
        <w:rPr>
          <w:rFonts w:hint="eastAsia" w:ascii="仿宋_GB2312" w:hAnsi="仿宋_GB2312" w:eastAsia="仿宋_GB2312" w:cs="仿宋_GB2312"/>
          <w:b w:val="0"/>
          <w:bCs w:val="0"/>
          <w:i w:val="0"/>
          <w:iCs w:val="0"/>
          <w:sz w:val="28"/>
          <w:szCs w:val="28"/>
        </w:rPr>
        <w:t>第二部分 2020年度</w:t>
      </w:r>
      <w:r>
        <w:rPr>
          <w:rFonts w:hint="eastAsia" w:ascii="仿宋_GB2312" w:hAnsi="仿宋_GB2312" w:eastAsia="仿宋_GB2312" w:cs="仿宋_GB2312"/>
          <w:b w:val="0"/>
          <w:bCs w:val="0"/>
          <w:i w:val="0"/>
          <w:iCs w:val="0"/>
          <w:sz w:val="28"/>
          <w:szCs w:val="28"/>
          <w:lang w:eastAsia="zh-CN"/>
        </w:rPr>
        <w:t>本级</w:t>
      </w:r>
      <w:r>
        <w:rPr>
          <w:rFonts w:hint="eastAsia" w:ascii="仿宋_GB2312" w:hAnsi="仿宋_GB2312" w:eastAsia="仿宋_GB2312" w:cs="仿宋_GB2312"/>
          <w:b w:val="0"/>
          <w:bCs w:val="0"/>
          <w:i w:val="0"/>
          <w:iCs w:val="0"/>
          <w:sz w:val="28"/>
          <w:szCs w:val="28"/>
        </w:rPr>
        <w:t>决算情况说明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_Toc23109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3</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"_Toc7163" </w:instrText>
      </w:r>
      <w:r>
        <w:fldChar w:fldCharType="separate"/>
      </w:r>
      <w:r>
        <w:rPr>
          <w:rFonts w:hint="eastAsia" w:ascii="仿宋_GB2312" w:hAnsi="仿宋_GB2312" w:eastAsia="仿宋_GB2312" w:cs="仿宋_GB2312"/>
          <w:b w:val="0"/>
          <w:bCs w:val="0"/>
          <w:sz w:val="28"/>
          <w:szCs w:val="28"/>
        </w:rPr>
        <w:t>一、 收入支出决算总体情况说明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_Toc7163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3</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"_Toc25258" </w:instrText>
      </w:r>
      <w:r>
        <w:fldChar w:fldCharType="separate"/>
      </w:r>
      <w:r>
        <w:rPr>
          <w:rFonts w:hint="eastAsia" w:ascii="仿宋_GB2312" w:hAnsi="仿宋_GB2312" w:eastAsia="仿宋_GB2312" w:cs="仿宋_GB2312"/>
          <w:b w:val="0"/>
          <w:bCs w:val="0"/>
          <w:sz w:val="28"/>
          <w:szCs w:val="28"/>
        </w:rPr>
        <w:t>二、 收入决算情况说明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_Toc25258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3</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"_Toc13725" </w:instrText>
      </w:r>
      <w:r>
        <w:fldChar w:fldCharType="separate"/>
      </w:r>
      <w:r>
        <w:rPr>
          <w:rFonts w:hint="eastAsia" w:ascii="仿宋_GB2312" w:hAnsi="仿宋_GB2312" w:eastAsia="仿宋_GB2312" w:cs="仿宋_GB2312"/>
          <w:b w:val="0"/>
          <w:bCs w:val="0"/>
          <w:sz w:val="28"/>
          <w:szCs w:val="28"/>
        </w:rPr>
        <w:t>三、 支出决算情况说明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_Toc13725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4</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"_Toc10354" </w:instrText>
      </w:r>
      <w:r>
        <w:fldChar w:fldCharType="separate"/>
      </w:r>
      <w:r>
        <w:rPr>
          <w:rFonts w:hint="eastAsia" w:ascii="仿宋_GB2312" w:hAnsi="仿宋_GB2312" w:eastAsia="仿宋_GB2312" w:cs="仿宋_GB2312"/>
          <w:b w:val="0"/>
          <w:bCs w:val="0"/>
          <w:sz w:val="28"/>
          <w:szCs w:val="28"/>
        </w:rPr>
        <w:t>四、财政拨款收入支出决算总体情况说明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_Toc10354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5</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"_Toc10967" </w:instrText>
      </w:r>
      <w:r>
        <w:fldChar w:fldCharType="separate"/>
      </w:r>
      <w:r>
        <w:rPr>
          <w:rFonts w:hint="eastAsia" w:ascii="仿宋_GB2312" w:hAnsi="仿宋_GB2312" w:eastAsia="仿宋_GB2312" w:cs="仿宋_GB2312"/>
          <w:b w:val="0"/>
          <w:bCs w:val="0"/>
          <w:sz w:val="28"/>
          <w:szCs w:val="28"/>
        </w:rPr>
        <w:t>五、一般公共预算财政拨款支出决算情况说明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_Toc10967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6</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"_Toc31021" </w:instrText>
      </w:r>
      <w:r>
        <w:fldChar w:fldCharType="separate"/>
      </w:r>
      <w:r>
        <w:rPr>
          <w:rFonts w:hint="eastAsia" w:ascii="仿宋_GB2312" w:hAnsi="仿宋_GB2312" w:eastAsia="仿宋_GB2312" w:cs="仿宋_GB2312"/>
          <w:b w:val="0"/>
          <w:bCs w:val="0"/>
          <w:sz w:val="28"/>
          <w:szCs w:val="28"/>
        </w:rPr>
        <w:t>六、一般公共预算财政拨款基本支出决算情况说明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_Toc31021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9</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"_Toc6926" </w:instrText>
      </w:r>
      <w:r>
        <w:fldChar w:fldCharType="separate"/>
      </w:r>
      <w:r>
        <w:rPr>
          <w:rFonts w:hint="eastAsia" w:ascii="仿宋_GB2312" w:hAnsi="仿宋_GB2312" w:eastAsia="仿宋_GB2312" w:cs="仿宋_GB2312"/>
          <w:b w:val="0"/>
          <w:bCs w:val="0"/>
          <w:sz w:val="28"/>
          <w:szCs w:val="28"/>
        </w:rPr>
        <w:t>七、“三公”经费财政拨款支出决算情况说明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_Toc6926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9</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"_Toc9843" </w:instrText>
      </w:r>
      <w:r>
        <w:fldChar w:fldCharType="separate"/>
      </w:r>
      <w:r>
        <w:rPr>
          <w:rFonts w:hint="eastAsia" w:ascii="仿宋_GB2312" w:hAnsi="仿宋_GB2312" w:eastAsia="仿宋_GB2312" w:cs="仿宋_GB2312"/>
          <w:b w:val="0"/>
          <w:bCs w:val="0"/>
          <w:sz w:val="28"/>
          <w:szCs w:val="28"/>
        </w:rPr>
        <w:t>八、政府性基金预算支出决算情况说明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_Toc9843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11</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"_Toc10775" </w:instrText>
      </w:r>
      <w:r>
        <w:fldChar w:fldCharType="separate"/>
      </w:r>
      <w:r>
        <w:rPr>
          <w:rFonts w:hint="eastAsia" w:ascii="仿宋_GB2312" w:hAnsi="仿宋_GB2312" w:eastAsia="仿宋_GB2312" w:cs="仿宋_GB2312"/>
          <w:b w:val="0"/>
          <w:bCs w:val="0"/>
          <w:sz w:val="28"/>
          <w:szCs w:val="28"/>
        </w:rPr>
        <w:t>九、 国有资本经营预算支出决算情况说明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_Toc10775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11</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"_Toc738" </w:instrText>
      </w:r>
      <w:r>
        <w:fldChar w:fldCharType="separate"/>
      </w:r>
      <w:r>
        <w:rPr>
          <w:rFonts w:hint="eastAsia" w:ascii="仿宋_GB2312" w:hAnsi="仿宋_GB2312" w:eastAsia="仿宋_GB2312" w:cs="仿宋_GB2312"/>
          <w:b w:val="0"/>
          <w:bCs w:val="0"/>
          <w:sz w:val="28"/>
          <w:szCs w:val="28"/>
        </w:rPr>
        <w:t>十、其他重要事项的情况说明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_Toc738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11</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8"/>
        <w:tabs>
          <w:tab w:val="right" w:leader="dot" w:pos="8306"/>
        </w:tabs>
        <w:spacing w:line="560" w:lineRule="exact"/>
        <w:rPr>
          <w:rFonts w:ascii="仿宋_GB2312" w:hAnsi="仿宋_GB2312" w:eastAsia="仿宋_GB2312" w:cs="仿宋_GB2312"/>
          <w:b w:val="0"/>
          <w:bCs w:val="0"/>
          <w:i w:val="0"/>
          <w:iCs w:val="0"/>
          <w:sz w:val="28"/>
          <w:szCs w:val="28"/>
        </w:rPr>
      </w:pPr>
      <w:r>
        <w:fldChar w:fldCharType="begin"/>
      </w:r>
      <w:r>
        <w:instrText xml:space="preserve"> HYPERLINK \l "_Toc3536" </w:instrText>
      </w:r>
      <w:r>
        <w:fldChar w:fldCharType="separate"/>
      </w:r>
      <w:r>
        <w:rPr>
          <w:rFonts w:hint="eastAsia" w:ascii="仿宋_GB2312" w:hAnsi="仿宋_GB2312" w:eastAsia="仿宋_GB2312" w:cs="仿宋_GB2312"/>
          <w:b w:val="0"/>
          <w:bCs w:val="0"/>
          <w:i w:val="0"/>
          <w:iCs w:val="0"/>
          <w:sz w:val="28"/>
          <w:szCs w:val="28"/>
        </w:rPr>
        <w:t>第三部分 名词解释</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_Toc3536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16</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sz w:val="28"/>
          <w:szCs w:val="28"/>
        </w:rPr>
        <w:fldChar w:fldCharType="end"/>
      </w:r>
    </w:p>
    <w:p>
      <w:pPr>
        <w:pStyle w:val="8"/>
        <w:tabs>
          <w:tab w:val="right" w:leader="dot" w:pos="8306"/>
        </w:tabs>
        <w:spacing w:line="560" w:lineRule="exact"/>
        <w:rPr>
          <w:rFonts w:ascii="仿宋_GB2312" w:hAnsi="仿宋_GB2312" w:eastAsia="仿宋_GB2312" w:cs="仿宋_GB2312"/>
          <w:b w:val="0"/>
          <w:bCs w:val="0"/>
          <w:i w:val="0"/>
          <w:iCs w:val="0"/>
          <w:sz w:val="28"/>
          <w:szCs w:val="28"/>
        </w:rPr>
      </w:pPr>
      <w:r>
        <w:fldChar w:fldCharType="begin"/>
      </w:r>
      <w:r>
        <w:instrText xml:space="preserve"> HYPERLINK \l "_Toc11207" </w:instrText>
      </w:r>
      <w:r>
        <w:fldChar w:fldCharType="separate"/>
      </w:r>
      <w:r>
        <w:rPr>
          <w:rFonts w:hint="eastAsia" w:ascii="仿宋_GB2312" w:hAnsi="仿宋_GB2312" w:eastAsia="仿宋_GB2312" w:cs="仿宋_GB2312"/>
          <w:b w:val="0"/>
          <w:bCs w:val="0"/>
          <w:i w:val="0"/>
          <w:iCs w:val="0"/>
          <w:sz w:val="28"/>
          <w:szCs w:val="28"/>
        </w:rPr>
        <w:t>第四部分 附件</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_Toc11207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19</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caps/>
          <w:sz w:val="28"/>
          <w:szCs w:val="28"/>
        </w:rPr>
        <w:sectPr>
          <w:pgSz w:w="11906" w:h="16838"/>
          <w:pgMar w:top="1440" w:right="1800" w:bottom="1440" w:left="1800" w:header="851" w:footer="992" w:gutter="0"/>
          <w:cols w:space="425" w:num="1"/>
          <w:docGrid w:type="lines" w:linePitch="312" w:charSpace="0"/>
        </w:sectPr>
      </w:pP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"_Toc22930" </w:instrText>
      </w:r>
      <w:r>
        <w:fldChar w:fldCharType="separate"/>
      </w:r>
      <w:r>
        <w:rPr>
          <w:rFonts w:hint="eastAsia" w:ascii="仿宋_GB2312" w:hAnsi="仿宋_GB2312" w:eastAsia="仿宋_GB2312" w:cs="仿宋_GB2312"/>
          <w:b w:val="0"/>
          <w:bCs w:val="0"/>
          <w:sz w:val="28"/>
          <w:szCs w:val="28"/>
        </w:rPr>
        <w:t>附件1</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_Toc22930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19</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"_Toc11602" </w:instrText>
      </w:r>
      <w:r>
        <w:fldChar w:fldCharType="separate"/>
      </w:r>
      <w:r>
        <w:rPr>
          <w:rFonts w:hint="eastAsia" w:ascii="仿宋_GB2312" w:hAnsi="仿宋_GB2312" w:eastAsia="仿宋_GB2312" w:cs="仿宋_GB2312"/>
          <w:b w:val="0"/>
          <w:bCs w:val="0"/>
          <w:sz w:val="28"/>
          <w:szCs w:val="28"/>
        </w:rPr>
        <w:t>附件2</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_Toc11602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24</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8"/>
        <w:tabs>
          <w:tab w:val="right" w:leader="dot" w:pos="8306"/>
        </w:tabs>
        <w:spacing w:line="560" w:lineRule="exact"/>
        <w:rPr>
          <w:rFonts w:ascii="仿宋_GB2312" w:hAnsi="仿宋_GB2312" w:eastAsia="仿宋_GB2312" w:cs="仿宋_GB2312"/>
          <w:b w:val="0"/>
          <w:bCs w:val="0"/>
          <w:i w:val="0"/>
          <w:iCs w:val="0"/>
          <w:sz w:val="28"/>
          <w:szCs w:val="28"/>
        </w:rPr>
      </w:pPr>
      <w:r>
        <w:fldChar w:fldCharType="begin"/>
      </w:r>
      <w:r>
        <w:instrText xml:space="preserve"> HYPERLINK \l "_Toc32283" </w:instrText>
      </w:r>
      <w:r>
        <w:fldChar w:fldCharType="separate"/>
      </w:r>
      <w:r>
        <w:rPr>
          <w:rFonts w:hint="eastAsia" w:ascii="仿宋_GB2312" w:hAnsi="仿宋_GB2312" w:eastAsia="仿宋_GB2312" w:cs="仿宋_GB2312"/>
          <w:b w:val="0"/>
          <w:bCs w:val="0"/>
          <w:i w:val="0"/>
          <w:iCs w:val="0"/>
          <w:sz w:val="28"/>
          <w:szCs w:val="28"/>
        </w:rPr>
        <w:t>第五部分 附表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_Toc32283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29</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"_Toc15699" </w:instrText>
      </w:r>
      <w:r>
        <w:fldChar w:fldCharType="separate"/>
      </w:r>
      <w:r>
        <w:rPr>
          <w:rFonts w:hint="eastAsia" w:ascii="仿宋_GB2312" w:hAnsi="仿宋_GB2312" w:eastAsia="仿宋_GB2312" w:cs="仿宋_GB2312"/>
          <w:b w:val="0"/>
          <w:bCs w:val="0"/>
          <w:sz w:val="28"/>
          <w:szCs w:val="28"/>
        </w:rPr>
        <w:t>一、收入支出决算总表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_Toc15699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29</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"_Toc27106" </w:instrText>
      </w:r>
      <w:r>
        <w:fldChar w:fldCharType="separate"/>
      </w:r>
      <w:r>
        <w:rPr>
          <w:rFonts w:hint="eastAsia" w:ascii="仿宋_GB2312" w:hAnsi="仿宋_GB2312" w:eastAsia="仿宋_GB2312" w:cs="仿宋_GB2312"/>
          <w:b w:val="0"/>
          <w:bCs w:val="0"/>
          <w:sz w:val="28"/>
          <w:szCs w:val="28"/>
        </w:rPr>
        <w:t>二、收入决算表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_Toc27106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29</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"_Toc26817" </w:instrText>
      </w:r>
      <w:r>
        <w:fldChar w:fldCharType="separate"/>
      </w:r>
      <w:r>
        <w:rPr>
          <w:rFonts w:hint="eastAsia" w:ascii="仿宋_GB2312" w:hAnsi="仿宋_GB2312" w:eastAsia="仿宋_GB2312" w:cs="仿宋_GB2312"/>
          <w:b w:val="0"/>
          <w:bCs w:val="0"/>
          <w:sz w:val="28"/>
          <w:szCs w:val="28"/>
        </w:rPr>
        <w:t>三、支出决算表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_Toc26817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29</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"_Toc21747" </w:instrText>
      </w:r>
      <w:r>
        <w:fldChar w:fldCharType="separate"/>
      </w:r>
      <w:r>
        <w:rPr>
          <w:rFonts w:hint="eastAsia" w:ascii="仿宋_GB2312" w:hAnsi="仿宋_GB2312" w:eastAsia="仿宋_GB2312" w:cs="仿宋_GB2312"/>
          <w:b w:val="0"/>
          <w:bCs w:val="0"/>
          <w:sz w:val="28"/>
          <w:szCs w:val="28"/>
        </w:rPr>
        <w:t>四、财政拨款收入支出决算总表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_Toc21747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29</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"_Toc12959" </w:instrText>
      </w:r>
      <w:r>
        <w:fldChar w:fldCharType="separate"/>
      </w:r>
      <w:r>
        <w:rPr>
          <w:rFonts w:hint="eastAsia" w:ascii="仿宋_GB2312" w:hAnsi="仿宋_GB2312" w:eastAsia="仿宋_GB2312" w:cs="仿宋_GB2312"/>
          <w:b w:val="0"/>
          <w:bCs w:val="0"/>
          <w:sz w:val="28"/>
          <w:szCs w:val="28"/>
        </w:rPr>
        <w:t>五、财政拨款支出决算明细表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_Toc12959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29</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"_Toc23749" </w:instrText>
      </w:r>
      <w:r>
        <w:fldChar w:fldCharType="separate"/>
      </w:r>
      <w:r>
        <w:rPr>
          <w:rFonts w:hint="eastAsia" w:ascii="仿宋_GB2312" w:hAnsi="仿宋_GB2312" w:eastAsia="仿宋_GB2312" w:cs="仿宋_GB2312"/>
          <w:b w:val="0"/>
          <w:bCs w:val="0"/>
          <w:sz w:val="28"/>
          <w:szCs w:val="28"/>
        </w:rPr>
        <w:t>六、一般公共预算财政拨款支出决算表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_Toc23749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29</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"_Toc22275" </w:instrText>
      </w:r>
      <w:r>
        <w:fldChar w:fldCharType="separate"/>
      </w:r>
      <w:r>
        <w:rPr>
          <w:rFonts w:hint="eastAsia" w:ascii="仿宋_GB2312" w:hAnsi="仿宋_GB2312" w:eastAsia="仿宋_GB2312" w:cs="仿宋_GB2312"/>
          <w:b w:val="0"/>
          <w:bCs w:val="0"/>
          <w:sz w:val="28"/>
          <w:szCs w:val="28"/>
        </w:rPr>
        <w:t>七、一般公共预算财政拨款支出决算明细表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_Toc22275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29</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"_Toc30634" </w:instrText>
      </w:r>
      <w:r>
        <w:fldChar w:fldCharType="separate"/>
      </w:r>
      <w:r>
        <w:rPr>
          <w:rFonts w:hint="eastAsia" w:ascii="仿宋_GB2312" w:hAnsi="仿宋_GB2312" w:eastAsia="仿宋_GB2312" w:cs="仿宋_GB2312"/>
          <w:b w:val="0"/>
          <w:bCs w:val="0"/>
          <w:sz w:val="28"/>
          <w:szCs w:val="28"/>
        </w:rPr>
        <w:t>八、一般公共预算财政拨款基本支出决算表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_Toc30634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29</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"_Toc15170" </w:instrText>
      </w:r>
      <w:r>
        <w:fldChar w:fldCharType="separate"/>
      </w:r>
      <w:r>
        <w:rPr>
          <w:rFonts w:hint="eastAsia" w:ascii="仿宋_GB2312" w:hAnsi="仿宋_GB2312" w:eastAsia="仿宋_GB2312" w:cs="仿宋_GB2312"/>
          <w:b w:val="0"/>
          <w:bCs w:val="0"/>
          <w:sz w:val="28"/>
          <w:szCs w:val="28"/>
        </w:rPr>
        <w:t>九、一般公共预算财政拨款项目支出决算表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_Toc15170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29</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"_Toc17603" </w:instrText>
      </w:r>
      <w:r>
        <w:fldChar w:fldCharType="separate"/>
      </w:r>
      <w:r>
        <w:rPr>
          <w:rFonts w:hint="eastAsia" w:ascii="仿宋_GB2312" w:hAnsi="仿宋_GB2312" w:eastAsia="仿宋_GB2312" w:cs="仿宋_GB2312"/>
          <w:b w:val="0"/>
          <w:bCs w:val="0"/>
          <w:sz w:val="28"/>
          <w:szCs w:val="28"/>
        </w:rPr>
        <w:t>十、一般公共预算财政拨款“三公”经费支出决算表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_Toc17603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29</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"_Toc7313" </w:instrText>
      </w:r>
      <w:r>
        <w:fldChar w:fldCharType="separate"/>
      </w:r>
      <w:r>
        <w:rPr>
          <w:rFonts w:hint="eastAsia" w:ascii="仿宋_GB2312" w:hAnsi="仿宋_GB2312" w:eastAsia="仿宋_GB2312" w:cs="仿宋_GB2312"/>
          <w:b w:val="0"/>
          <w:bCs w:val="0"/>
          <w:sz w:val="28"/>
          <w:szCs w:val="28"/>
        </w:rPr>
        <w:t>十一、政府性基金预算财政拨款收入支出决算表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_Toc7313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29</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"_Toc9382" </w:instrText>
      </w:r>
      <w:r>
        <w:fldChar w:fldCharType="separate"/>
      </w:r>
      <w:r>
        <w:rPr>
          <w:rFonts w:hint="eastAsia" w:ascii="仿宋_GB2312" w:hAnsi="仿宋_GB2312" w:eastAsia="仿宋_GB2312" w:cs="仿宋_GB2312"/>
          <w:b w:val="0"/>
          <w:bCs w:val="0"/>
          <w:sz w:val="28"/>
          <w:szCs w:val="28"/>
        </w:rPr>
        <w:t>十二、政府性基金预算财政拨款“三公”经费支出决算表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_Toc9382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29</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"_Toc22683" </w:instrText>
      </w:r>
      <w:r>
        <w:fldChar w:fldCharType="separate"/>
      </w:r>
      <w:r>
        <w:rPr>
          <w:rFonts w:hint="eastAsia" w:ascii="仿宋_GB2312" w:hAnsi="仿宋_GB2312" w:eastAsia="仿宋_GB2312" w:cs="仿宋_GB2312"/>
          <w:b w:val="0"/>
          <w:bCs w:val="0"/>
          <w:sz w:val="28"/>
          <w:szCs w:val="28"/>
        </w:rPr>
        <w:t>十三、国有资本经营预算财政拨款收入支出决算表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_Toc22683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29</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"_Toc10257" </w:instrText>
      </w:r>
      <w:r>
        <w:fldChar w:fldCharType="separate"/>
      </w:r>
      <w:r>
        <w:rPr>
          <w:rFonts w:hint="eastAsia" w:ascii="仿宋_GB2312" w:hAnsi="仿宋_GB2312" w:eastAsia="仿宋_GB2312" w:cs="仿宋_GB2312"/>
          <w:b w:val="0"/>
          <w:bCs w:val="0"/>
          <w:sz w:val="28"/>
          <w:szCs w:val="28"/>
        </w:rPr>
        <w:t>十四、国有资本经营预算财政拨款支出决算表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_Toc10257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29</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r>
        <w:rPr>
          <w:rFonts w:hint="eastAsia" w:ascii="仿宋_GB2312" w:hAnsi="仿宋_GB2312" w:cs="仿宋_GB2312"/>
          <w:caps/>
          <w:sz w:val="28"/>
          <w:szCs w:val="28"/>
        </w:rPr>
        <w:fldChar w:fldCharType="end"/>
      </w:r>
    </w:p>
    <w:p>
      <w:pPr>
        <w:pStyle w:val="2"/>
        <w:jc w:val="center"/>
        <w:rPr>
          <w:rFonts w:ascii="黑体" w:hAnsi="黑体" w:eastAsia="黑体"/>
          <w:b w:val="0"/>
        </w:rPr>
        <w:sectPr>
          <w:footerReference r:id="rId3" w:type="default"/>
          <w:pgSz w:w="11906" w:h="16838"/>
          <w:pgMar w:top="1440" w:right="1800" w:bottom="1440" w:left="1800" w:header="851" w:footer="992" w:gutter="0"/>
          <w:pgNumType w:start="1"/>
          <w:cols w:space="425" w:num="1"/>
          <w:docGrid w:type="lines" w:linePitch="312" w:charSpace="0"/>
        </w:sectPr>
      </w:pPr>
      <w:bookmarkStart w:id="0" w:name="_Toc10567"/>
    </w:p>
    <w:p>
      <w:pPr>
        <w:pStyle w:val="2"/>
        <w:jc w:val="center"/>
        <w:rPr>
          <w:rStyle w:val="15"/>
          <w:rFonts w:ascii="黑体" w:hAnsi="黑体" w:eastAsia="黑体"/>
          <w:b/>
          <w:bCs w:val="0"/>
        </w:rPr>
      </w:pPr>
      <w:r>
        <w:rPr>
          <w:rFonts w:hint="eastAsia" w:ascii="黑体" w:hAnsi="黑体" w:eastAsia="黑体"/>
          <w:b w:val="0"/>
        </w:rPr>
        <w:t>第一部分</w:t>
      </w:r>
      <w:r>
        <w:rPr>
          <w:rFonts w:ascii="黑体" w:hAnsi="黑体" w:eastAsia="黑体"/>
          <w:b w:val="0"/>
        </w:rPr>
        <w:t xml:space="preserve"> </w:t>
      </w:r>
      <w:r>
        <w:rPr>
          <w:rStyle w:val="15"/>
          <w:rFonts w:hint="eastAsia" w:ascii="黑体" w:hAnsi="黑体" w:eastAsia="黑体"/>
          <w:b w:val="0"/>
          <w:bCs w:val="0"/>
          <w:lang w:eastAsia="zh-CN"/>
        </w:rPr>
        <w:t>单位</w:t>
      </w:r>
      <w:r>
        <w:rPr>
          <w:rStyle w:val="15"/>
          <w:rFonts w:hint="eastAsia" w:ascii="黑体" w:hAnsi="黑体" w:eastAsia="黑体"/>
          <w:b w:val="0"/>
          <w:bCs w:val="0"/>
        </w:rPr>
        <w:t>概况</w:t>
      </w:r>
      <w:bookmarkEnd w:id="0"/>
    </w:p>
    <w:p>
      <w:pPr>
        <w:widowControl/>
        <w:jc w:val="left"/>
        <w:rPr>
          <w:rFonts w:ascii="黑体" w:eastAsia="黑体"/>
          <w:color w:val="000000"/>
          <w:szCs w:val="32"/>
        </w:rPr>
      </w:pPr>
    </w:p>
    <w:p>
      <w:pPr>
        <w:pStyle w:val="3"/>
        <w:rPr>
          <w:rStyle w:val="16"/>
          <w:rFonts w:ascii="仿宋" w:hAnsi="仿宋" w:eastAsia="仿宋"/>
          <w:b w:val="0"/>
          <w:bCs w:val="0"/>
        </w:rPr>
      </w:pPr>
      <w:bookmarkStart w:id="1" w:name="_Toc15377197"/>
      <w:bookmarkStart w:id="2" w:name="_Toc21498"/>
      <w:bookmarkStart w:id="3" w:name="_Toc15396600"/>
      <w:r>
        <w:rPr>
          <w:rFonts w:hint="eastAsia" w:ascii="黑体" w:hAnsi="黑体" w:eastAsia="黑体"/>
          <w:b w:val="0"/>
          <w:color w:val="000000"/>
        </w:rPr>
        <w:t>一、基</w:t>
      </w:r>
      <w:r>
        <w:rPr>
          <w:rStyle w:val="16"/>
          <w:rFonts w:hint="eastAsia" w:ascii="黑体" w:hAnsi="黑体" w:eastAsia="黑体"/>
          <w:b w:val="0"/>
          <w:bCs w:val="0"/>
        </w:rPr>
        <w:t>本职能及主要工作</w:t>
      </w:r>
      <w:bookmarkEnd w:id="1"/>
      <w:bookmarkEnd w:id="2"/>
      <w:bookmarkEnd w:id="3"/>
    </w:p>
    <w:p>
      <w:pPr>
        <w:pStyle w:val="4"/>
        <w:adjustRightInd w:val="0"/>
        <w:snapToGrid w:val="0"/>
        <w:spacing w:before="93" w:line="600" w:lineRule="exact"/>
        <w:ind w:firstLine="672" w:firstLineChars="210"/>
        <w:outlineLvl w:val="2"/>
        <w:rPr>
          <w:rFonts w:ascii="仿宋" w:hAnsi="仿宋" w:eastAsia="仿宋"/>
          <w:bCs/>
          <w:color w:val="000000"/>
          <w:sz w:val="32"/>
          <w:szCs w:val="32"/>
        </w:rPr>
      </w:pPr>
      <w:bookmarkStart w:id="4" w:name="_Toc15377198"/>
      <w:bookmarkStart w:id="5" w:name="_Toc15378445"/>
      <w:r>
        <w:rPr>
          <w:rFonts w:hint="eastAsia" w:ascii="仿宋" w:hAnsi="仿宋" w:eastAsia="仿宋"/>
          <w:bCs/>
          <w:color w:val="000000"/>
          <w:sz w:val="32"/>
          <w:szCs w:val="32"/>
        </w:rPr>
        <w:t>（一）主要职能。</w:t>
      </w:r>
      <w:bookmarkEnd w:id="4"/>
      <w:bookmarkEnd w:id="5"/>
    </w:p>
    <w:p>
      <w:pPr>
        <w:snapToGrid w:val="0"/>
        <w:spacing w:line="520" w:lineRule="exact"/>
        <w:ind w:firstLine="640" w:firstLineChars="200"/>
        <w:rPr>
          <w:rFonts w:ascii="仿宋" w:hAnsi="仿宋" w:eastAsia="仿宋"/>
          <w:bCs/>
          <w:color w:val="000000"/>
          <w:szCs w:val="32"/>
        </w:rPr>
      </w:pPr>
      <w:r>
        <w:rPr>
          <w:rFonts w:hint="eastAsia" w:ascii="仿宋_GB2312"/>
          <w:szCs w:val="32"/>
        </w:rPr>
        <w:t>向市委巡察办和区</w:t>
      </w:r>
      <w:r>
        <w:rPr>
          <w:rFonts w:ascii="仿宋_GB2312"/>
          <w:szCs w:val="32"/>
        </w:rPr>
        <w:t>委巡察工作领导</w:t>
      </w:r>
      <w:r>
        <w:rPr>
          <w:rFonts w:hint="eastAsia" w:ascii="仿宋_GB2312"/>
          <w:szCs w:val="32"/>
        </w:rPr>
        <w:t>小组报告</w:t>
      </w:r>
      <w:r>
        <w:rPr>
          <w:rFonts w:ascii="仿宋_GB2312"/>
          <w:szCs w:val="32"/>
        </w:rPr>
        <w:t>工作情况</w:t>
      </w:r>
      <w:r>
        <w:rPr>
          <w:rFonts w:hint="eastAsia" w:ascii="仿宋_GB2312"/>
          <w:szCs w:val="32"/>
        </w:rPr>
        <w:t>，</w:t>
      </w:r>
      <w:r>
        <w:rPr>
          <w:rFonts w:ascii="仿宋_GB2312"/>
          <w:szCs w:val="32"/>
        </w:rPr>
        <w:t>传达</w:t>
      </w:r>
      <w:r>
        <w:rPr>
          <w:rFonts w:hint="eastAsia" w:ascii="仿宋_GB2312"/>
          <w:szCs w:val="32"/>
        </w:rPr>
        <w:t>贯彻中央、省委巡视办、市委巡察办和区</w:t>
      </w:r>
      <w:r>
        <w:rPr>
          <w:rFonts w:ascii="仿宋_GB2312"/>
          <w:szCs w:val="32"/>
        </w:rPr>
        <w:t>委巡察工作领导小组的决策和部署</w:t>
      </w:r>
      <w:r>
        <w:rPr>
          <w:rFonts w:hint="eastAsia" w:ascii="仿宋_GB2312"/>
          <w:szCs w:val="32"/>
        </w:rPr>
        <w:t>；统筹</w:t>
      </w:r>
      <w:r>
        <w:rPr>
          <w:rFonts w:ascii="仿宋_GB2312"/>
          <w:szCs w:val="32"/>
        </w:rPr>
        <w:t>、协调、指导</w:t>
      </w:r>
      <w:r>
        <w:rPr>
          <w:rFonts w:hint="eastAsia" w:ascii="仿宋_GB2312"/>
          <w:szCs w:val="32"/>
        </w:rPr>
        <w:t>区委巡察组开展</w:t>
      </w:r>
      <w:r>
        <w:rPr>
          <w:rFonts w:ascii="仿宋_GB2312"/>
          <w:szCs w:val="32"/>
        </w:rPr>
        <w:t>工作</w:t>
      </w:r>
      <w:r>
        <w:rPr>
          <w:rFonts w:hint="eastAsia" w:ascii="仿宋_GB2312"/>
          <w:szCs w:val="32"/>
        </w:rPr>
        <w:t>；承担有关</w:t>
      </w:r>
      <w:r>
        <w:rPr>
          <w:rFonts w:ascii="仿宋_GB2312"/>
          <w:szCs w:val="32"/>
        </w:rPr>
        <w:t>政策研究、制度建设等工作</w:t>
      </w:r>
      <w:r>
        <w:rPr>
          <w:rFonts w:hint="eastAsia" w:ascii="仿宋_GB2312"/>
          <w:szCs w:val="32"/>
        </w:rPr>
        <w:t>，组织起草区</w:t>
      </w:r>
      <w:r>
        <w:rPr>
          <w:rFonts w:ascii="仿宋_GB2312"/>
          <w:szCs w:val="32"/>
        </w:rPr>
        <w:t>委巡察工作规划、</w:t>
      </w:r>
      <w:r>
        <w:rPr>
          <w:rFonts w:hint="eastAsia" w:ascii="仿宋_GB2312"/>
          <w:szCs w:val="32"/>
        </w:rPr>
        <w:t>年度计划</w:t>
      </w:r>
      <w:r>
        <w:rPr>
          <w:rFonts w:ascii="仿宋_GB2312"/>
          <w:szCs w:val="32"/>
        </w:rPr>
        <w:t>、年度巡察工作总结</w:t>
      </w:r>
      <w:r>
        <w:rPr>
          <w:rFonts w:hint="eastAsia" w:ascii="仿宋_GB2312"/>
          <w:szCs w:val="32"/>
        </w:rPr>
        <w:t>等</w:t>
      </w:r>
      <w:r>
        <w:rPr>
          <w:rFonts w:ascii="仿宋_GB2312"/>
          <w:szCs w:val="32"/>
        </w:rPr>
        <w:t>重要</w:t>
      </w:r>
      <w:r>
        <w:rPr>
          <w:rFonts w:hint="eastAsia" w:ascii="仿宋_GB2312"/>
          <w:szCs w:val="32"/>
        </w:rPr>
        <w:t>材料；对区</w:t>
      </w:r>
      <w:r>
        <w:rPr>
          <w:rFonts w:ascii="仿宋_GB2312"/>
          <w:szCs w:val="32"/>
        </w:rPr>
        <w:t>委和</w:t>
      </w:r>
      <w:r>
        <w:rPr>
          <w:rFonts w:hint="eastAsia" w:ascii="仿宋_GB2312"/>
          <w:szCs w:val="32"/>
        </w:rPr>
        <w:t>区</w:t>
      </w:r>
      <w:r>
        <w:rPr>
          <w:rFonts w:ascii="仿宋_GB2312"/>
          <w:szCs w:val="32"/>
        </w:rPr>
        <w:t>委巡察工作领导小组决定的事项进行督办</w:t>
      </w:r>
      <w:r>
        <w:rPr>
          <w:rFonts w:hint="eastAsia" w:ascii="仿宋_GB2312"/>
          <w:szCs w:val="32"/>
        </w:rPr>
        <w:t>；组织</w:t>
      </w:r>
      <w:r>
        <w:rPr>
          <w:rFonts w:ascii="仿宋_GB2312"/>
          <w:szCs w:val="32"/>
        </w:rPr>
        <w:t>对巡察</w:t>
      </w:r>
      <w:r>
        <w:rPr>
          <w:rFonts w:hint="eastAsia" w:ascii="仿宋_GB2312"/>
          <w:szCs w:val="32"/>
        </w:rPr>
        <w:t>干部</w:t>
      </w:r>
      <w:r>
        <w:rPr>
          <w:rFonts w:ascii="仿宋_GB2312"/>
          <w:szCs w:val="32"/>
        </w:rPr>
        <w:t>进行培训、考核、监督和管理</w:t>
      </w:r>
      <w:r>
        <w:rPr>
          <w:rFonts w:hint="eastAsia" w:ascii="仿宋_GB2312"/>
          <w:szCs w:val="32"/>
        </w:rPr>
        <w:t>；健全与区</w:t>
      </w:r>
      <w:r>
        <w:rPr>
          <w:rFonts w:ascii="仿宋_GB2312"/>
          <w:szCs w:val="32"/>
        </w:rPr>
        <w:t>纪委监委</w:t>
      </w:r>
      <w:r>
        <w:rPr>
          <w:rFonts w:hint="eastAsia" w:ascii="仿宋_GB2312"/>
          <w:szCs w:val="32"/>
        </w:rPr>
        <w:t>机关、政法机关和组织、宣传、审计、信访等部门的协作机制，负责与其进行沟通衔接；</w:t>
      </w:r>
      <w:r>
        <w:rPr>
          <w:rFonts w:ascii="仿宋_GB2312"/>
          <w:szCs w:val="32"/>
        </w:rPr>
        <w:t>负责职责范围内的安全生产和职业健康、生态环境保护等工作</w:t>
      </w:r>
      <w:r>
        <w:rPr>
          <w:rFonts w:hint="eastAsia" w:ascii="仿宋_GB2312"/>
          <w:szCs w:val="32"/>
        </w:rPr>
        <w:t>；承担区委巡察工作领导小组办公室职责，办理区委、区</w:t>
      </w:r>
      <w:r>
        <w:rPr>
          <w:rFonts w:ascii="仿宋_GB2312"/>
          <w:szCs w:val="32"/>
        </w:rPr>
        <w:t>委巡察工作领导小组</w:t>
      </w:r>
      <w:r>
        <w:rPr>
          <w:rFonts w:hint="eastAsia" w:ascii="仿宋_GB2312"/>
          <w:szCs w:val="32"/>
        </w:rPr>
        <w:t>交办的其它事项。</w:t>
      </w:r>
    </w:p>
    <w:p>
      <w:pPr>
        <w:pStyle w:val="4"/>
        <w:adjustRightInd w:val="0"/>
        <w:snapToGrid w:val="0"/>
        <w:spacing w:before="93" w:line="600" w:lineRule="exact"/>
        <w:ind w:firstLine="672" w:firstLineChars="210"/>
        <w:outlineLvl w:val="2"/>
        <w:rPr>
          <w:rFonts w:ascii="仿宋" w:hAnsi="仿宋" w:eastAsia="仿宋"/>
          <w:bCs/>
          <w:color w:val="000000"/>
          <w:sz w:val="32"/>
          <w:szCs w:val="32"/>
        </w:rPr>
      </w:pPr>
      <w:bookmarkStart w:id="6" w:name="_Toc15377199"/>
      <w:bookmarkStart w:id="7" w:name="_Toc15378446"/>
      <w:r>
        <w:rPr>
          <w:rFonts w:hint="eastAsia" w:ascii="仿宋" w:hAnsi="仿宋" w:eastAsia="仿宋"/>
          <w:bCs/>
          <w:color w:val="000000"/>
          <w:sz w:val="32"/>
          <w:szCs w:val="32"/>
        </w:rPr>
        <w:t>（二）</w:t>
      </w:r>
      <w:r>
        <w:rPr>
          <w:rFonts w:ascii="仿宋" w:hAnsi="仿宋" w:eastAsia="仿宋"/>
          <w:bCs/>
          <w:color w:val="000000"/>
          <w:sz w:val="32"/>
          <w:szCs w:val="32"/>
        </w:rPr>
        <w:t>2020</w:t>
      </w:r>
      <w:r>
        <w:rPr>
          <w:rFonts w:hint="eastAsia" w:ascii="仿宋" w:hAnsi="仿宋" w:eastAsia="仿宋"/>
          <w:bCs/>
          <w:color w:val="000000"/>
          <w:sz w:val="32"/>
          <w:szCs w:val="32"/>
        </w:rPr>
        <w:t>年重点工作完成情况。</w:t>
      </w:r>
      <w:bookmarkEnd w:id="6"/>
      <w:bookmarkEnd w:id="7"/>
    </w:p>
    <w:p>
      <w:pPr>
        <w:snapToGrid w:val="0"/>
        <w:spacing w:line="520" w:lineRule="exact"/>
        <w:ind w:firstLine="640" w:firstLineChars="200"/>
        <w:rPr>
          <w:rFonts w:ascii="仿宋" w:hAnsi="仿宋" w:eastAsia="仿宋"/>
          <w:bCs/>
          <w:color w:val="000000"/>
          <w:szCs w:val="32"/>
        </w:rPr>
      </w:pPr>
      <w:r>
        <w:rPr>
          <w:rFonts w:hint="eastAsia"/>
          <w:szCs w:val="32"/>
        </w:rPr>
        <w:t>2020年，全区巡察工作坚持以习近平新时代中国特色社会主义思想为指导，坚决贯彻落实中央和省、市委关于区县巡察工作决策部署，始终把“两个维护”作为政治巡察的“纲”和“魂”，切实发挥巡察政治监督作用，发现问题，形成震慑，积极助力构建自流井区良好政治生态。全年，区委分两轮对区委政法委、区综合行政执法局等17个单位进行了常规巡察。其中，2020年6月，在省委第十一巡视组领导下，区委巡视联动巡察组开展了对区人民法院、区公安分局的巡视联动巡察。同时，开展扶贫领域专项巡察1次，延伸村级党组织25个。2020年，巡察共发现问题367个，向区纪委监委移交问题线索23个，</w:t>
      </w:r>
      <w:r>
        <w:rPr>
          <w:rFonts w:hint="eastAsia" w:ascii="仿宋_GB2312"/>
          <w:szCs w:val="32"/>
        </w:rPr>
        <w:t>立</w:t>
      </w:r>
      <w:r>
        <w:rPr>
          <w:rFonts w:hint="eastAsia"/>
          <w:szCs w:val="32"/>
        </w:rPr>
        <w:t>案8个，党纪政务处分3人，街道纪工委党纪处分社区干部1人。</w:t>
      </w:r>
    </w:p>
    <w:p>
      <w:pPr>
        <w:pStyle w:val="3"/>
        <w:rPr>
          <w:rStyle w:val="16"/>
          <w:b w:val="0"/>
          <w:bCs w:val="0"/>
        </w:rPr>
      </w:pPr>
      <w:bookmarkStart w:id="8" w:name="_Toc6092"/>
      <w:bookmarkStart w:id="9" w:name="_Toc15396601"/>
      <w:bookmarkStart w:id="10" w:name="_Toc15377200"/>
      <w:r>
        <w:rPr>
          <w:rFonts w:hint="eastAsia" w:ascii="黑体" w:eastAsia="黑体"/>
          <w:b w:val="0"/>
          <w:color w:val="000000"/>
        </w:rPr>
        <w:t>二、</w:t>
      </w:r>
      <w:r>
        <w:rPr>
          <w:rFonts w:hint="eastAsia" w:ascii="黑体" w:hAnsi="黑体" w:eastAsia="黑体"/>
          <w:b w:val="0"/>
          <w:color w:val="000000"/>
        </w:rPr>
        <w:t>机</w:t>
      </w:r>
      <w:r>
        <w:rPr>
          <w:rStyle w:val="16"/>
          <w:rFonts w:hint="eastAsia" w:ascii="黑体" w:hAnsi="黑体" w:eastAsia="黑体"/>
          <w:b w:val="0"/>
          <w:bCs w:val="0"/>
        </w:rPr>
        <w:t>构设置</w:t>
      </w:r>
      <w:bookmarkEnd w:id="8"/>
      <w:bookmarkEnd w:id="9"/>
      <w:bookmarkEnd w:id="10"/>
    </w:p>
    <w:p>
      <w:pPr>
        <w:pStyle w:val="4"/>
        <w:numPr>
          <w:numId w:val="0"/>
        </w:numPr>
        <w:adjustRightInd w:val="0"/>
        <w:snapToGrid w:val="0"/>
        <w:spacing w:before="93" w:line="600" w:lineRule="exact"/>
        <w:ind w:firstLine="640" w:firstLineChars="200"/>
        <w:outlineLvl w:val="2"/>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中共自贡市自流井区委巡察工作领导小组办公室（本级）设下列内设机构：综合股、巡察股。</w:t>
      </w:r>
    </w:p>
    <w:p>
      <w:pPr>
        <w:widowControl/>
        <w:jc w:val="left"/>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br w:type="page"/>
      </w:r>
    </w:p>
    <w:p>
      <w:pPr>
        <w:pStyle w:val="2"/>
        <w:ind w:right="440"/>
        <w:jc w:val="right"/>
        <w:rPr>
          <w:rStyle w:val="15"/>
          <w:rFonts w:ascii="黑体" w:hAnsi="黑体" w:eastAsia="黑体"/>
          <w:b w:val="0"/>
          <w:bCs w:val="0"/>
        </w:rPr>
      </w:pPr>
      <w:bookmarkStart w:id="11" w:name="_Toc15377204"/>
      <w:bookmarkStart w:id="12" w:name="_Toc15396602"/>
      <w:bookmarkStart w:id="13" w:name="_Toc23109"/>
      <w:r>
        <w:rPr>
          <w:rFonts w:hint="eastAsia" w:ascii="黑体" w:hAnsi="黑体" w:eastAsia="黑体"/>
          <w:b w:val="0"/>
          <w:color w:val="000000"/>
        </w:rPr>
        <w:t>第二部分</w:t>
      </w:r>
      <w:r>
        <w:rPr>
          <w:rFonts w:ascii="黑体" w:hAnsi="黑体" w:eastAsia="黑体"/>
          <w:color w:val="000000"/>
        </w:rPr>
        <w:t xml:space="preserve"> </w:t>
      </w:r>
      <w:r>
        <w:rPr>
          <w:rStyle w:val="15"/>
          <w:rFonts w:ascii="黑体" w:hAnsi="黑体" w:eastAsia="黑体"/>
          <w:b w:val="0"/>
          <w:bCs w:val="0"/>
        </w:rPr>
        <w:t>2020</w:t>
      </w:r>
      <w:r>
        <w:rPr>
          <w:rStyle w:val="15"/>
          <w:rFonts w:hint="eastAsia" w:ascii="黑体" w:hAnsi="黑体" w:eastAsia="黑体"/>
          <w:b w:val="0"/>
          <w:bCs w:val="0"/>
        </w:rPr>
        <w:t>年度</w:t>
      </w:r>
      <w:r>
        <w:rPr>
          <w:rStyle w:val="15"/>
          <w:rFonts w:hint="eastAsia" w:ascii="黑体" w:hAnsi="黑体" w:eastAsia="黑体"/>
          <w:b w:val="0"/>
          <w:bCs w:val="0"/>
          <w:lang w:eastAsia="zh-CN"/>
        </w:rPr>
        <w:t>本级</w:t>
      </w:r>
      <w:r>
        <w:rPr>
          <w:rStyle w:val="15"/>
          <w:rFonts w:hint="eastAsia" w:ascii="黑体" w:hAnsi="黑体" w:eastAsia="黑体"/>
          <w:b w:val="0"/>
          <w:bCs w:val="0"/>
        </w:rPr>
        <w:t>决算情况说明</w:t>
      </w:r>
      <w:bookmarkEnd w:id="11"/>
      <w:bookmarkEnd w:id="12"/>
      <w:bookmarkEnd w:id="13"/>
    </w:p>
    <w:p/>
    <w:p>
      <w:pPr>
        <w:pStyle w:val="17"/>
        <w:numPr>
          <w:ilvl w:val="0"/>
          <w:numId w:val="1"/>
        </w:numPr>
        <w:spacing w:line="600" w:lineRule="exact"/>
        <w:ind w:firstLineChars="0"/>
        <w:outlineLvl w:val="1"/>
        <w:rPr>
          <w:rStyle w:val="16"/>
          <w:rFonts w:ascii="黑体" w:hAnsi="黑体" w:eastAsia="黑体"/>
          <w:b w:val="0"/>
        </w:rPr>
      </w:pPr>
      <w:bookmarkStart w:id="14" w:name="_Toc15377205"/>
      <w:bookmarkStart w:id="15" w:name="_Toc15396603"/>
      <w:bookmarkStart w:id="16" w:name="_Toc7163"/>
      <w:r>
        <w:rPr>
          <w:rFonts w:hint="eastAsia" w:ascii="黑体" w:hAnsi="黑体" w:eastAsia="黑体"/>
          <w:color w:val="000000"/>
          <w:szCs w:val="32"/>
        </w:rPr>
        <w:t>收</w:t>
      </w:r>
      <w:r>
        <w:rPr>
          <w:rStyle w:val="16"/>
          <w:rFonts w:hint="eastAsia" w:ascii="黑体" w:hAnsi="黑体" w:eastAsia="黑体"/>
          <w:b w:val="0"/>
        </w:rPr>
        <w:t>入支出决算总体情况说明</w:t>
      </w:r>
      <w:bookmarkEnd w:id="14"/>
      <w:bookmarkEnd w:id="15"/>
      <w:bookmarkEnd w:id="16"/>
    </w:p>
    <w:p>
      <w:pPr>
        <w:spacing w:line="600" w:lineRule="exact"/>
        <w:ind w:firstLine="640" w:firstLineChars="200"/>
        <w:rPr>
          <w:rFonts w:ascii="仿宋_GB2312" w:hAnsi="仿宋_GB2312" w:cs="仿宋_GB2312"/>
          <w:color w:val="000000"/>
          <w:szCs w:val="32"/>
        </w:rPr>
      </w:pPr>
      <w:r>
        <w:rPr>
          <w:rFonts w:hint="eastAsia" w:ascii="仿宋_GB2312" w:hAnsi="仿宋_GB2312" w:cs="仿宋_GB2312"/>
          <w:color w:val="000000"/>
          <w:szCs w:val="32"/>
        </w:rPr>
        <w:t>2020年度收、支总计194.67万元。与2019年相比，收、支总计各增加66.14万元，增长54.4%。主要变动原因是</w:t>
      </w:r>
      <w:r>
        <w:rPr>
          <w:rFonts w:hint="eastAsia" w:ascii="仿宋_GB2312" w:hAnsi="仿宋_GB2312" w:cs="仿宋_GB2312"/>
          <w:szCs w:val="32"/>
        </w:rPr>
        <w:t>2019年单位人员未配齐，自2020年1月起至年底，财政供养人员配齐13人，因此而产生的人员经费、养老、公积金等费用增加，属于正常变动。</w:t>
      </w:r>
    </w:p>
    <w:p>
      <w:pPr>
        <w:spacing w:line="600" w:lineRule="exact"/>
        <w:ind w:firstLine="640" w:firstLineChars="200"/>
        <w:jc w:val="left"/>
        <w:rPr>
          <w:rFonts w:ascii="仿宋_GB2312"/>
          <w:color w:val="000000"/>
          <w:szCs w:val="32"/>
        </w:rPr>
      </w:pPr>
      <w:r>
        <w:rPr>
          <w:rFonts w:hint="eastAsia" w:ascii="仿宋" w:hAnsi="仿宋" w:eastAsia="仿宋"/>
          <w:color w:val="000000"/>
          <w:szCs w:val="32"/>
        </w:rPr>
        <w:drawing>
          <wp:anchor distT="0" distB="0" distL="114300" distR="114300" simplePos="0" relativeHeight="251659264" behindDoc="0" locked="0" layoutInCell="1" allowOverlap="1">
            <wp:simplePos x="0" y="0"/>
            <wp:positionH relativeFrom="column">
              <wp:posOffset>213360</wp:posOffset>
            </wp:positionH>
            <wp:positionV relativeFrom="page">
              <wp:posOffset>4389755</wp:posOffset>
            </wp:positionV>
            <wp:extent cx="5080000" cy="3810000"/>
            <wp:effectExtent l="4445" t="4445" r="20955" b="14605"/>
            <wp:wrapTopAndBottom/>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anchor>
        </w:drawing>
      </w:r>
      <w:r>
        <w:rPr>
          <w:rFonts w:hint="eastAsia" w:ascii="仿宋" w:hAnsi="仿宋" w:eastAsia="仿宋"/>
          <w:color w:val="000000"/>
          <w:szCs w:val="32"/>
        </w:rPr>
        <w:t>（图</w:t>
      </w:r>
      <w:r>
        <w:rPr>
          <w:rFonts w:ascii="仿宋" w:hAnsi="仿宋" w:eastAsia="仿宋"/>
          <w:color w:val="000000"/>
          <w:szCs w:val="32"/>
        </w:rPr>
        <w:t>1</w:t>
      </w:r>
      <w:r>
        <w:rPr>
          <w:rFonts w:hint="eastAsia" w:ascii="仿宋" w:hAnsi="仿宋" w:eastAsia="仿宋"/>
          <w:color w:val="000000"/>
          <w:szCs w:val="32"/>
        </w:rPr>
        <w:t>：收、支决算总计变动情况图）（单位：万元）</w:t>
      </w:r>
    </w:p>
    <w:p>
      <w:pPr>
        <w:pStyle w:val="17"/>
        <w:numPr>
          <w:ilvl w:val="0"/>
          <w:numId w:val="1"/>
        </w:numPr>
        <w:spacing w:line="600" w:lineRule="exact"/>
        <w:ind w:firstLineChars="0"/>
        <w:outlineLvl w:val="1"/>
        <w:rPr>
          <w:rStyle w:val="16"/>
          <w:rFonts w:ascii="黑体" w:hAnsi="黑体" w:eastAsia="黑体"/>
          <w:b w:val="0"/>
        </w:rPr>
      </w:pPr>
      <w:bookmarkStart w:id="17" w:name="_Toc15396604"/>
      <w:bookmarkStart w:id="18" w:name="_Toc15377206"/>
      <w:bookmarkStart w:id="19" w:name="_Toc25258"/>
      <w:r>
        <w:rPr>
          <w:rFonts w:hint="eastAsia" w:ascii="黑体" w:hAnsi="黑体" w:eastAsia="黑体"/>
          <w:color w:val="000000"/>
          <w:szCs w:val="32"/>
        </w:rPr>
        <w:t>收</w:t>
      </w:r>
      <w:r>
        <w:rPr>
          <w:rStyle w:val="16"/>
          <w:rFonts w:hint="eastAsia" w:ascii="黑体" w:hAnsi="黑体" w:eastAsia="黑体"/>
          <w:b w:val="0"/>
        </w:rPr>
        <w:t>入决算情况说明</w:t>
      </w:r>
      <w:bookmarkEnd w:id="17"/>
      <w:bookmarkEnd w:id="18"/>
      <w:bookmarkEnd w:id="19"/>
    </w:p>
    <w:p>
      <w:pPr>
        <w:spacing w:line="600" w:lineRule="exact"/>
        <w:ind w:firstLine="640" w:firstLineChars="200"/>
        <w:rPr>
          <w:rFonts w:ascii="仿宋_GB2312" w:hAnsi="仿宋_GB2312" w:cs="仿宋_GB2312"/>
          <w:color w:val="000000"/>
          <w:szCs w:val="32"/>
        </w:rPr>
      </w:pPr>
      <w:r>
        <w:rPr>
          <w:rFonts w:hint="eastAsia" w:ascii="仿宋_GB2312" w:hAnsi="仿宋_GB2312" w:cs="仿宋_GB2312"/>
          <w:color w:val="000000"/>
          <w:szCs w:val="32"/>
        </w:rPr>
        <w:t>2020年本年收入合计187.71万元，其中：一般公共预算财政拨款收入187.71万元，占100%；政府性基金预算财政拨款收入0万元，占0%；上级补助收入0万元，占0%；事业收入0万元，占0%；经营收入0万元，占0%；附属单位上缴收入0万元，占0%；其他收入0万元，占0%。</w:t>
      </w:r>
    </w:p>
    <w:p>
      <w:pPr>
        <w:spacing w:line="600" w:lineRule="exact"/>
        <w:ind w:firstLine="640" w:firstLineChars="200"/>
        <w:outlineLvl w:val="1"/>
        <w:rPr>
          <w:rFonts w:ascii="仿宋_GB2312"/>
          <w:color w:val="FF0000"/>
          <w:szCs w:val="32"/>
        </w:rPr>
      </w:pPr>
      <w:r>
        <w:rPr>
          <w:rFonts w:hint="eastAsia" w:ascii="仿宋" w:hAnsi="仿宋" w:eastAsia="仿宋"/>
          <w:color w:val="000000"/>
          <w:szCs w:val="32"/>
        </w:rPr>
        <w:drawing>
          <wp:anchor distT="0" distB="0" distL="114300" distR="114300" simplePos="0" relativeHeight="251660288" behindDoc="0" locked="0" layoutInCell="1" allowOverlap="1">
            <wp:simplePos x="0" y="0"/>
            <wp:positionH relativeFrom="column">
              <wp:posOffset>114300</wp:posOffset>
            </wp:positionH>
            <wp:positionV relativeFrom="page">
              <wp:posOffset>2322830</wp:posOffset>
            </wp:positionV>
            <wp:extent cx="5080000" cy="3810000"/>
            <wp:effectExtent l="4445" t="4445" r="20955" b="14605"/>
            <wp:wrapTopAndBottom/>
            <wp:docPr id="3" name="图表 3" descr="7b0a202020202263686172745265734964223a2022383733373733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r>
        <w:rPr>
          <w:rFonts w:hint="eastAsia" w:ascii="仿宋" w:hAnsi="仿宋" w:eastAsia="仿宋"/>
          <w:color w:val="000000"/>
          <w:szCs w:val="32"/>
        </w:rPr>
        <w:t>（图</w:t>
      </w:r>
      <w:r>
        <w:rPr>
          <w:rFonts w:ascii="仿宋" w:hAnsi="仿宋" w:eastAsia="仿宋"/>
          <w:color w:val="000000"/>
          <w:szCs w:val="32"/>
        </w:rPr>
        <w:t>2</w:t>
      </w:r>
      <w:r>
        <w:rPr>
          <w:rFonts w:hint="eastAsia" w:ascii="仿宋" w:hAnsi="仿宋" w:eastAsia="仿宋"/>
          <w:color w:val="000000"/>
          <w:szCs w:val="32"/>
        </w:rPr>
        <w:t>：收入决算结构图）（单位：万元）</w:t>
      </w:r>
    </w:p>
    <w:p>
      <w:pPr>
        <w:pStyle w:val="17"/>
        <w:numPr>
          <w:ilvl w:val="0"/>
          <w:numId w:val="1"/>
        </w:numPr>
        <w:spacing w:line="600" w:lineRule="exact"/>
        <w:ind w:firstLineChars="0"/>
        <w:outlineLvl w:val="1"/>
        <w:rPr>
          <w:rStyle w:val="16"/>
          <w:rFonts w:ascii="黑体" w:hAnsi="黑体" w:eastAsia="黑体"/>
          <w:b w:val="0"/>
        </w:rPr>
      </w:pPr>
      <w:bookmarkStart w:id="20" w:name="_Toc13725"/>
      <w:bookmarkStart w:id="21" w:name="_Toc15396605"/>
      <w:bookmarkStart w:id="22" w:name="_Toc15377207"/>
      <w:r>
        <w:rPr>
          <w:rFonts w:hint="eastAsia" w:ascii="黑体" w:hAnsi="黑体" w:eastAsia="黑体"/>
          <w:color w:val="000000"/>
          <w:szCs w:val="32"/>
        </w:rPr>
        <w:t>支</w:t>
      </w:r>
      <w:r>
        <w:rPr>
          <w:rStyle w:val="16"/>
          <w:rFonts w:hint="eastAsia" w:ascii="黑体" w:hAnsi="黑体" w:eastAsia="黑体"/>
          <w:b w:val="0"/>
        </w:rPr>
        <w:t>出决算情况说明</w:t>
      </w:r>
      <w:bookmarkEnd w:id="20"/>
      <w:bookmarkEnd w:id="21"/>
      <w:bookmarkEnd w:id="22"/>
    </w:p>
    <w:p>
      <w:pPr>
        <w:spacing w:line="600" w:lineRule="exact"/>
        <w:ind w:firstLine="640" w:firstLineChars="200"/>
        <w:rPr>
          <w:rFonts w:ascii="仿宋_GB2312" w:hAnsi="仿宋_GB2312" w:cs="仿宋_GB2312"/>
          <w:color w:val="000000"/>
          <w:szCs w:val="32"/>
        </w:rPr>
      </w:pPr>
      <w:r>
        <w:rPr>
          <w:rFonts w:hint="eastAsia" w:ascii="仿宋_GB2312" w:hAnsi="仿宋_GB2312" w:cs="仿宋_GB2312"/>
          <w:color w:val="000000"/>
          <w:szCs w:val="32"/>
        </w:rPr>
        <w:t>2020年本年支出合计194.67万元，其中：基本支出180.83万元，占92.89%；项目支出13.84万元，占7.11%；上缴上级支出0万元，占0%；经营支出0万元，占0%；对附属单位补助支出0万元，占0%。</w:t>
      </w:r>
    </w:p>
    <w:p>
      <w:pPr>
        <w:spacing w:line="600" w:lineRule="exact"/>
        <w:ind w:firstLine="640" w:firstLineChars="200"/>
        <w:jc w:val="center"/>
        <w:rPr>
          <w:rFonts w:ascii="仿宋_GB2312"/>
          <w:color w:val="FF0000"/>
          <w:szCs w:val="32"/>
        </w:rPr>
      </w:pPr>
      <w:r>
        <w:rPr>
          <w:rFonts w:hint="eastAsia" w:ascii="仿宋" w:hAnsi="仿宋" w:eastAsia="仿宋"/>
          <w:color w:val="000000"/>
          <w:szCs w:val="32"/>
        </w:rPr>
        <w:drawing>
          <wp:anchor distT="0" distB="0" distL="114300" distR="114300" simplePos="0" relativeHeight="251661312" behindDoc="0" locked="0" layoutInCell="1" allowOverlap="1">
            <wp:simplePos x="0" y="0"/>
            <wp:positionH relativeFrom="column">
              <wp:posOffset>146050</wp:posOffset>
            </wp:positionH>
            <wp:positionV relativeFrom="page">
              <wp:posOffset>1271905</wp:posOffset>
            </wp:positionV>
            <wp:extent cx="5080000" cy="3810000"/>
            <wp:effectExtent l="4445" t="4445" r="20955" b="14605"/>
            <wp:wrapTopAndBottom/>
            <wp:docPr id="4" name="图表 4" descr="7b0a202020202263686172745265734964223a2022383733373733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r>
        <w:rPr>
          <w:rFonts w:hint="eastAsia" w:ascii="仿宋" w:hAnsi="仿宋" w:eastAsia="仿宋"/>
          <w:color w:val="000000"/>
          <w:szCs w:val="32"/>
        </w:rPr>
        <w:t>（图</w:t>
      </w:r>
      <w:r>
        <w:rPr>
          <w:rFonts w:ascii="仿宋" w:hAnsi="仿宋" w:eastAsia="仿宋"/>
          <w:color w:val="000000"/>
          <w:szCs w:val="32"/>
        </w:rPr>
        <w:t>3</w:t>
      </w:r>
      <w:r>
        <w:rPr>
          <w:rFonts w:hint="eastAsia" w:ascii="仿宋" w:hAnsi="仿宋" w:eastAsia="仿宋"/>
          <w:color w:val="000000"/>
          <w:szCs w:val="32"/>
        </w:rPr>
        <w:t>：支出决算结构图）（单位：万元）</w:t>
      </w:r>
    </w:p>
    <w:p>
      <w:pPr>
        <w:spacing w:line="600" w:lineRule="exact"/>
        <w:ind w:firstLine="640" w:firstLineChars="200"/>
        <w:outlineLvl w:val="1"/>
        <w:rPr>
          <w:rStyle w:val="16"/>
          <w:rFonts w:ascii="黑体" w:hAnsi="黑体" w:eastAsia="黑体"/>
          <w:b w:val="0"/>
        </w:rPr>
      </w:pPr>
      <w:bookmarkStart w:id="23" w:name="_Toc15377208"/>
      <w:bookmarkStart w:id="24" w:name="_Toc15396606"/>
      <w:bookmarkStart w:id="25" w:name="_Toc10354"/>
      <w:r>
        <w:rPr>
          <w:rFonts w:hint="eastAsia" w:ascii="黑体" w:hAnsi="黑体" w:eastAsia="黑体"/>
          <w:color w:val="000000"/>
          <w:szCs w:val="32"/>
        </w:rPr>
        <w:t>四、财</w:t>
      </w:r>
      <w:r>
        <w:rPr>
          <w:rStyle w:val="16"/>
          <w:rFonts w:hint="eastAsia" w:ascii="黑体" w:hAnsi="黑体" w:eastAsia="黑体"/>
          <w:b w:val="0"/>
        </w:rPr>
        <w:t>政拨款收入支出决算总体情况说明</w:t>
      </w:r>
      <w:bookmarkEnd w:id="23"/>
      <w:bookmarkEnd w:id="24"/>
      <w:bookmarkEnd w:id="25"/>
    </w:p>
    <w:p>
      <w:pPr>
        <w:spacing w:line="600" w:lineRule="exact"/>
        <w:ind w:firstLine="640" w:firstLineChars="200"/>
        <w:rPr>
          <w:rFonts w:ascii="仿宋_GB2312" w:hAnsi="仿宋_GB2312" w:cs="仿宋_GB2312"/>
          <w:color w:val="000000"/>
          <w:szCs w:val="32"/>
        </w:rPr>
      </w:pPr>
      <w:r>
        <w:rPr>
          <w:rFonts w:hint="eastAsia" w:ascii="仿宋_GB2312" w:hAnsi="仿宋_GB2312" w:cs="仿宋_GB2312"/>
          <w:color w:val="000000"/>
          <w:szCs w:val="32"/>
        </w:rPr>
        <w:t>2020年财政拨款收、支总计194.67万元。与2019年相比，财政拨款收、支总计各增加66.14万元，增长54.4%。主要变动原因是</w:t>
      </w:r>
      <w:r>
        <w:rPr>
          <w:rFonts w:hint="eastAsia" w:ascii="仿宋_GB2312" w:hAnsi="仿宋_GB2312" w:cs="仿宋_GB2312"/>
          <w:szCs w:val="32"/>
        </w:rPr>
        <w:t>2019年单位人员未配齐，自2020年1月起至年底，财政供养人员配齐13人，因此而产生的人员经费、养老、公积金等费用增加，属于正常变动。</w:t>
      </w:r>
    </w:p>
    <w:p>
      <w:pPr>
        <w:spacing w:line="600" w:lineRule="exact"/>
        <w:rPr>
          <w:rFonts w:ascii="仿宋" w:hAnsi="仿宋" w:eastAsia="仿宋"/>
          <w:color w:val="000000"/>
          <w:szCs w:val="32"/>
        </w:rPr>
      </w:pPr>
    </w:p>
    <w:p>
      <w:pPr>
        <w:spacing w:line="600" w:lineRule="exact"/>
        <w:rPr>
          <w:rFonts w:ascii="仿宋" w:hAnsi="仿宋" w:eastAsia="仿宋"/>
          <w:color w:val="000000"/>
          <w:szCs w:val="32"/>
        </w:rPr>
      </w:pPr>
    </w:p>
    <w:p>
      <w:pPr>
        <w:spacing w:line="600" w:lineRule="exact"/>
        <w:rPr>
          <w:rFonts w:ascii="仿宋" w:hAnsi="仿宋" w:eastAsia="仿宋"/>
          <w:color w:val="000000"/>
          <w:szCs w:val="32"/>
        </w:rPr>
      </w:pPr>
    </w:p>
    <w:p>
      <w:pPr>
        <w:spacing w:line="600" w:lineRule="exact"/>
        <w:rPr>
          <w:rFonts w:ascii="仿宋" w:hAnsi="仿宋" w:eastAsia="仿宋"/>
          <w:color w:val="000000"/>
          <w:szCs w:val="32"/>
        </w:rPr>
      </w:pPr>
    </w:p>
    <w:p>
      <w:pPr>
        <w:spacing w:line="600" w:lineRule="exact"/>
        <w:rPr>
          <w:rFonts w:ascii="仿宋" w:hAnsi="仿宋" w:eastAsia="仿宋"/>
          <w:color w:val="000000"/>
          <w:szCs w:val="32"/>
        </w:rPr>
      </w:pPr>
    </w:p>
    <w:p>
      <w:pPr>
        <w:spacing w:line="600" w:lineRule="exact"/>
        <w:rPr>
          <w:rFonts w:ascii="仿宋" w:hAnsi="仿宋" w:eastAsia="仿宋"/>
          <w:color w:val="000000"/>
          <w:szCs w:val="32"/>
        </w:rPr>
      </w:pPr>
      <w:r>
        <w:rPr>
          <w:rFonts w:hint="eastAsia" w:ascii="仿宋" w:hAnsi="仿宋" w:eastAsia="仿宋"/>
          <w:color w:val="000000"/>
          <w:szCs w:val="32"/>
        </w:rPr>
        <w:drawing>
          <wp:anchor distT="0" distB="0" distL="114300" distR="114300" simplePos="0" relativeHeight="251662336" behindDoc="0" locked="0" layoutInCell="1" allowOverlap="1">
            <wp:simplePos x="0" y="0"/>
            <wp:positionH relativeFrom="column">
              <wp:posOffset>-6350</wp:posOffset>
            </wp:positionH>
            <wp:positionV relativeFrom="page">
              <wp:posOffset>941705</wp:posOffset>
            </wp:positionV>
            <wp:extent cx="5080000" cy="3117850"/>
            <wp:effectExtent l="4445" t="4445" r="20955" b="20955"/>
            <wp:wrapTopAndBottom/>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r>
        <w:rPr>
          <w:rFonts w:hint="eastAsia" w:ascii="仿宋" w:hAnsi="仿宋" w:eastAsia="仿宋"/>
          <w:color w:val="000000"/>
          <w:szCs w:val="32"/>
        </w:rPr>
        <w:t>（图</w:t>
      </w:r>
      <w:r>
        <w:rPr>
          <w:rFonts w:ascii="仿宋" w:hAnsi="仿宋" w:eastAsia="仿宋"/>
          <w:color w:val="000000"/>
          <w:szCs w:val="32"/>
        </w:rPr>
        <w:t>4</w:t>
      </w:r>
      <w:r>
        <w:rPr>
          <w:rFonts w:hint="eastAsia" w:ascii="仿宋" w:hAnsi="仿宋" w:eastAsia="仿宋"/>
          <w:color w:val="000000"/>
          <w:szCs w:val="32"/>
        </w:rPr>
        <w:t>：财政拨款收、支决算总计变动情况）（单位：万元）</w:t>
      </w:r>
    </w:p>
    <w:p>
      <w:pPr>
        <w:spacing w:line="600" w:lineRule="exact"/>
        <w:ind w:firstLine="640" w:firstLineChars="200"/>
        <w:outlineLvl w:val="1"/>
        <w:rPr>
          <w:rStyle w:val="16"/>
          <w:rFonts w:ascii="黑体" w:hAnsi="黑体" w:eastAsia="黑体"/>
          <w:b w:val="0"/>
        </w:rPr>
      </w:pPr>
      <w:bookmarkStart w:id="26" w:name="_Toc15377209"/>
      <w:bookmarkStart w:id="27" w:name="_Toc15396607"/>
      <w:bookmarkStart w:id="28" w:name="_Toc10967"/>
      <w:r>
        <w:rPr>
          <w:rFonts w:hint="eastAsia" w:ascii="黑体" w:hAnsi="黑体" w:eastAsia="黑体"/>
          <w:color w:val="000000"/>
          <w:szCs w:val="32"/>
        </w:rPr>
        <w:t>五、</w:t>
      </w:r>
      <w:r>
        <w:rPr>
          <w:rFonts w:hint="eastAsia" w:ascii="黑体" w:hAnsi="黑体" w:eastAsia="黑体"/>
          <w:b/>
          <w:color w:val="000000"/>
          <w:szCs w:val="32"/>
        </w:rPr>
        <w:t>一</w:t>
      </w:r>
      <w:r>
        <w:rPr>
          <w:rStyle w:val="16"/>
          <w:rFonts w:hint="eastAsia" w:ascii="黑体" w:hAnsi="黑体" w:eastAsia="黑体"/>
          <w:b w:val="0"/>
        </w:rPr>
        <w:t>般公共预算财政拨款支出决算情况说明</w:t>
      </w:r>
      <w:bookmarkEnd w:id="26"/>
      <w:bookmarkEnd w:id="27"/>
      <w:bookmarkEnd w:id="28"/>
    </w:p>
    <w:p>
      <w:pPr>
        <w:spacing w:line="600" w:lineRule="exact"/>
        <w:ind w:firstLine="643" w:firstLineChars="200"/>
        <w:outlineLvl w:val="2"/>
        <w:rPr>
          <w:rFonts w:ascii="仿宋" w:hAnsi="仿宋" w:eastAsia="仿宋"/>
          <w:b/>
          <w:color w:val="000000"/>
          <w:szCs w:val="32"/>
        </w:rPr>
      </w:pPr>
      <w:bookmarkStart w:id="29" w:name="_Toc15377210"/>
      <w:r>
        <w:rPr>
          <w:rFonts w:hint="eastAsia" w:ascii="仿宋" w:hAnsi="仿宋" w:eastAsia="仿宋"/>
          <w:b/>
          <w:color w:val="000000"/>
          <w:szCs w:val="32"/>
        </w:rPr>
        <w:t>（一）一般公共预算财政拨款支出决算总体情况</w:t>
      </w:r>
      <w:bookmarkEnd w:id="29"/>
    </w:p>
    <w:p>
      <w:pPr>
        <w:spacing w:line="600" w:lineRule="exact"/>
        <w:ind w:firstLine="640" w:firstLineChars="200"/>
        <w:rPr>
          <w:rFonts w:ascii="仿宋_GB2312" w:hAnsi="仿宋_GB2312" w:cs="仿宋_GB2312"/>
          <w:szCs w:val="32"/>
        </w:rPr>
      </w:pPr>
      <w:r>
        <w:rPr>
          <w:rFonts w:hint="eastAsia" w:ascii="仿宋" w:hAnsi="仿宋" w:eastAsia="仿宋"/>
          <w:color w:val="000000"/>
          <w:szCs w:val="32"/>
        </w:rPr>
        <w:drawing>
          <wp:anchor distT="0" distB="0" distL="114300" distR="114300" simplePos="0" relativeHeight="251663360" behindDoc="0" locked="0" layoutInCell="1" allowOverlap="1">
            <wp:simplePos x="0" y="0"/>
            <wp:positionH relativeFrom="column">
              <wp:posOffset>422910</wp:posOffset>
            </wp:positionH>
            <wp:positionV relativeFrom="page">
              <wp:posOffset>7562215</wp:posOffset>
            </wp:positionV>
            <wp:extent cx="4451350" cy="2561590"/>
            <wp:effectExtent l="4445" t="4445" r="20955" b="5715"/>
            <wp:wrapTopAndBottom/>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Pr>
          <w:rFonts w:hint="eastAsia" w:ascii="仿宋_GB2312" w:hAnsi="仿宋_GB2312" w:cs="仿宋_GB2312"/>
          <w:color w:val="000000"/>
          <w:szCs w:val="32"/>
        </w:rPr>
        <w:t>2020年一般公共预算财政拨款支出194.67万元，占本年支出合计的100%。与2019年相比，一般公共预算财政拨款增加80.06万元，增长69.86%。主要变动原因是</w:t>
      </w:r>
      <w:r>
        <w:rPr>
          <w:rFonts w:hint="eastAsia" w:ascii="仿宋_GB2312" w:hAnsi="仿宋_GB2312" w:cs="仿宋_GB2312"/>
          <w:szCs w:val="32"/>
        </w:rPr>
        <w:t>2019年单位人员未配齐，自2020年1月起至年底，财政供养人员配齐13人，因此而产生的人员经费、养老、公积金等费用增加，属于正常变动。</w:t>
      </w:r>
    </w:p>
    <w:p>
      <w:pPr>
        <w:spacing w:line="600" w:lineRule="exact"/>
        <w:jc w:val="center"/>
        <w:rPr>
          <w:rFonts w:ascii="仿宋" w:hAnsi="仿宋" w:eastAsia="仿宋"/>
          <w:color w:val="000000"/>
          <w:szCs w:val="32"/>
        </w:rPr>
      </w:pPr>
      <w:r>
        <w:rPr>
          <w:rFonts w:hint="eastAsia" w:ascii="仿宋_GB2312" w:hAnsi="仿宋_GB2312" w:cs="仿宋_GB2312"/>
          <w:color w:val="000000"/>
          <w:sz w:val="28"/>
          <w:szCs w:val="28"/>
        </w:rPr>
        <w:t>（图5：一般公共预算财政拨款支出决算变动情况）（单位：万元）</w:t>
      </w:r>
    </w:p>
    <w:p>
      <w:pPr>
        <w:spacing w:line="600" w:lineRule="exact"/>
        <w:ind w:firstLine="643" w:firstLineChars="200"/>
        <w:outlineLvl w:val="2"/>
        <w:rPr>
          <w:rFonts w:ascii="仿宋" w:hAnsi="仿宋" w:eastAsia="仿宋"/>
          <w:b/>
          <w:color w:val="000000"/>
          <w:szCs w:val="32"/>
        </w:rPr>
      </w:pPr>
      <w:bookmarkStart w:id="30" w:name="_Toc15377211"/>
      <w:r>
        <w:rPr>
          <w:rFonts w:hint="eastAsia" w:ascii="仿宋" w:hAnsi="仿宋" w:eastAsia="仿宋"/>
          <w:b/>
          <w:color w:val="000000"/>
          <w:szCs w:val="32"/>
        </w:rPr>
        <w:t>（二）一般公共预算财政拨款支出决算结构情况</w:t>
      </w:r>
      <w:bookmarkEnd w:id="30"/>
    </w:p>
    <w:p>
      <w:pPr>
        <w:spacing w:line="600" w:lineRule="exact"/>
        <w:ind w:firstLine="640"/>
        <w:rPr>
          <w:rFonts w:ascii="仿宋" w:hAnsi="仿宋" w:eastAsia="仿宋"/>
          <w:color w:val="000000"/>
          <w:szCs w:val="32"/>
        </w:rPr>
      </w:pPr>
      <w:r>
        <w:rPr>
          <w:rFonts w:hint="eastAsia" w:ascii="仿宋_GB2312" w:hAnsi="仿宋_GB2312" w:cs="仿宋_GB2312"/>
          <w:color w:val="000000"/>
          <w:szCs w:val="32"/>
        </w:rPr>
        <w:t>2020年一般公共预算财政拨款支出194.67万元，主要用于以下方面:一般公共服务（类）支出162.50万元，占83.48%；教育支出（类）0万元，占0%；科学技术（类）支出0万元，占0%；文化旅游体育与传媒（类）支出0万元，占0%；社会保障和就业（类）支出14.19万元，占7.29%；卫生健康支出7.05万元，占3.62%；住房保障支出10.93万元，占5.61%。</w:t>
      </w:r>
    </w:p>
    <w:p>
      <w:pPr>
        <w:spacing w:line="600" w:lineRule="exact"/>
        <w:rPr>
          <w:rFonts w:ascii="仿宋" w:hAnsi="仿宋" w:eastAsia="仿宋"/>
          <w:color w:val="000000"/>
          <w:szCs w:val="32"/>
        </w:rPr>
      </w:pPr>
      <w:r>
        <w:rPr>
          <w:rFonts w:hint="eastAsia" w:ascii="仿宋" w:hAnsi="仿宋" w:eastAsia="仿宋"/>
          <w:color w:val="000000"/>
          <w:szCs w:val="32"/>
        </w:rPr>
        <w:drawing>
          <wp:anchor distT="0" distB="0" distL="114300" distR="114300" simplePos="0" relativeHeight="251664384" behindDoc="0" locked="0" layoutInCell="1" allowOverlap="1">
            <wp:simplePos x="0" y="0"/>
            <wp:positionH relativeFrom="column">
              <wp:posOffset>210185</wp:posOffset>
            </wp:positionH>
            <wp:positionV relativeFrom="page">
              <wp:posOffset>4408805</wp:posOffset>
            </wp:positionV>
            <wp:extent cx="5080000" cy="3810000"/>
            <wp:effectExtent l="4445" t="4445" r="20955" b="14605"/>
            <wp:wrapTopAndBottom/>
            <wp:docPr id="7" name="图表 7" descr="7b0a202020202263686172745265734964223a2022383733373733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Pr>
          <w:rFonts w:hint="eastAsia" w:ascii="仿宋" w:hAnsi="仿宋" w:eastAsia="仿宋"/>
          <w:color w:val="000000"/>
          <w:szCs w:val="32"/>
        </w:rPr>
        <w:t>（图</w:t>
      </w:r>
      <w:r>
        <w:rPr>
          <w:rFonts w:ascii="仿宋" w:hAnsi="仿宋" w:eastAsia="仿宋"/>
          <w:color w:val="000000"/>
          <w:szCs w:val="32"/>
        </w:rPr>
        <w:t>6</w:t>
      </w:r>
      <w:r>
        <w:rPr>
          <w:rFonts w:hint="eastAsia" w:ascii="仿宋" w:hAnsi="仿宋" w:eastAsia="仿宋"/>
          <w:color w:val="000000"/>
          <w:szCs w:val="32"/>
        </w:rPr>
        <w:t>：一般公共预算财政拨款支出决算结构）（</w:t>
      </w:r>
      <w:r>
        <w:rPr>
          <w:rFonts w:hint="eastAsia" w:ascii="仿宋_GB2312" w:hAnsi="仿宋_GB2312" w:cs="仿宋_GB2312"/>
          <w:color w:val="000000"/>
          <w:sz w:val="28"/>
          <w:szCs w:val="28"/>
        </w:rPr>
        <w:t>单位：万元</w:t>
      </w:r>
      <w:r>
        <w:rPr>
          <w:rFonts w:hint="eastAsia" w:ascii="仿宋" w:hAnsi="仿宋" w:eastAsia="仿宋"/>
          <w:color w:val="000000"/>
          <w:szCs w:val="32"/>
        </w:rPr>
        <w:t>）</w:t>
      </w:r>
    </w:p>
    <w:p>
      <w:pPr>
        <w:spacing w:line="600" w:lineRule="exact"/>
        <w:ind w:firstLine="643" w:firstLineChars="200"/>
        <w:outlineLvl w:val="2"/>
        <w:rPr>
          <w:rFonts w:ascii="仿宋" w:hAnsi="仿宋" w:eastAsia="仿宋"/>
          <w:b/>
          <w:color w:val="000000"/>
          <w:szCs w:val="32"/>
        </w:rPr>
      </w:pPr>
      <w:bookmarkStart w:id="31" w:name="_Toc15377212"/>
      <w:r>
        <w:rPr>
          <w:rFonts w:hint="eastAsia" w:ascii="仿宋" w:hAnsi="仿宋" w:eastAsia="仿宋"/>
          <w:b/>
          <w:color w:val="000000"/>
          <w:szCs w:val="32"/>
        </w:rPr>
        <w:t>（三）一般公共预算财政拨款支出决算具体情况</w:t>
      </w:r>
      <w:bookmarkEnd w:id="31"/>
    </w:p>
    <w:p>
      <w:pPr>
        <w:spacing w:line="600" w:lineRule="exact"/>
        <w:ind w:firstLine="643" w:firstLineChars="200"/>
        <w:rPr>
          <w:rFonts w:ascii="仿宋" w:hAnsi="仿宋" w:eastAsia="仿宋"/>
          <w:color w:val="FF0000"/>
          <w:szCs w:val="32"/>
        </w:rPr>
      </w:pPr>
      <w:bookmarkStart w:id="32" w:name="_Toc15378460"/>
      <w:bookmarkStart w:id="33" w:name="_Toc15377213"/>
      <w:bookmarkStart w:id="34" w:name="_Toc15377444"/>
      <w:r>
        <w:rPr>
          <w:rFonts w:ascii="仿宋" w:hAnsi="仿宋" w:eastAsia="仿宋"/>
          <w:b/>
          <w:color w:val="000000"/>
          <w:szCs w:val="32"/>
        </w:rPr>
        <w:t>2020</w:t>
      </w:r>
      <w:r>
        <w:rPr>
          <w:rFonts w:hint="eastAsia" w:ascii="仿宋" w:hAnsi="仿宋" w:eastAsia="仿宋"/>
          <w:b/>
          <w:color w:val="000000"/>
          <w:szCs w:val="32"/>
        </w:rPr>
        <w:t>年一般公共预算支出决算数为194.67</w:t>
      </w:r>
      <w:r>
        <w:rPr>
          <w:rFonts w:hint="eastAsia" w:ascii="仿宋" w:hAnsi="仿宋" w:eastAsia="仿宋"/>
          <w:color w:val="000000"/>
          <w:szCs w:val="32"/>
        </w:rPr>
        <w:t>，</w:t>
      </w:r>
      <w:r>
        <w:rPr>
          <w:rStyle w:val="13"/>
          <w:rFonts w:hint="eastAsia" w:ascii="仿宋" w:hAnsi="仿宋" w:eastAsia="仿宋"/>
          <w:bCs/>
          <w:color w:val="000000"/>
          <w:szCs w:val="32"/>
        </w:rPr>
        <w:t>完成预算100</w:t>
      </w:r>
      <w:r>
        <w:rPr>
          <w:rStyle w:val="13"/>
          <w:rFonts w:ascii="仿宋" w:hAnsi="仿宋" w:eastAsia="仿宋"/>
          <w:bCs/>
          <w:color w:val="000000"/>
          <w:szCs w:val="32"/>
        </w:rPr>
        <w:t>%</w:t>
      </w:r>
      <w:r>
        <w:rPr>
          <w:rStyle w:val="13"/>
          <w:rFonts w:hint="eastAsia" w:ascii="仿宋" w:hAnsi="仿宋" w:eastAsia="仿宋"/>
          <w:bCs/>
          <w:color w:val="000000"/>
          <w:szCs w:val="32"/>
        </w:rPr>
        <w:t>。其中：</w:t>
      </w:r>
      <w:bookmarkEnd w:id="32"/>
      <w:bookmarkEnd w:id="33"/>
      <w:bookmarkEnd w:id="34"/>
    </w:p>
    <w:p>
      <w:pPr>
        <w:spacing w:line="600" w:lineRule="exact"/>
        <w:ind w:firstLine="643" w:firstLineChars="200"/>
        <w:rPr>
          <w:rStyle w:val="13"/>
          <w:rFonts w:ascii="仿宋" w:hAnsi="仿宋" w:eastAsia="仿宋"/>
          <w:b w:val="0"/>
          <w:bCs/>
          <w:color w:val="000000"/>
          <w:szCs w:val="32"/>
        </w:rPr>
      </w:pPr>
      <w:r>
        <w:rPr>
          <w:rStyle w:val="13"/>
          <w:rFonts w:hint="eastAsia" w:ascii="仿宋" w:hAnsi="仿宋" w:eastAsia="仿宋"/>
          <w:bCs/>
          <w:color w:val="000000"/>
          <w:szCs w:val="32"/>
        </w:rPr>
        <w:t>1.一般公共服务（类）纪检监察事务（款） 行政运行（项）</w:t>
      </w:r>
      <w:r>
        <w:rPr>
          <w:rStyle w:val="13"/>
          <w:rFonts w:ascii="仿宋" w:hAnsi="仿宋" w:eastAsia="仿宋"/>
          <w:bCs/>
          <w:color w:val="000000"/>
          <w:szCs w:val="32"/>
        </w:rPr>
        <w:t>:</w:t>
      </w:r>
      <w:r>
        <w:rPr>
          <w:rStyle w:val="13"/>
          <w:rFonts w:ascii="仿宋" w:hAnsi="仿宋" w:eastAsia="仿宋"/>
          <w:b w:val="0"/>
          <w:bCs/>
          <w:color w:val="000000"/>
          <w:szCs w:val="32"/>
        </w:rPr>
        <w:t xml:space="preserve"> </w:t>
      </w:r>
      <w:r>
        <w:rPr>
          <w:rStyle w:val="13"/>
          <w:rFonts w:hint="eastAsia" w:ascii="仿宋" w:hAnsi="仿宋" w:eastAsia="仿宋"/>
          <w:b w:val="0"/>
          <w:bCs/>
          <w:color w:val="000000"/>
          <w:szCs w:val="32"/>
        </w:rPr>
        <w:t>支出决算为132.73万元，完成预算100</w:t>
      </w:r>
      <w:r>
        <w:rPr>
          <w:rStyle w:val="13"/>
          <w:rFonts w:ascii="仿宋" w:hAnsi="仿宋" w:eastAsia="仿宋"/>
          <w:b w:val="0"/>
          <w:bCs/>
          <w:color w:val="000000"/>
          <w:szCs w:val="32"/>
        </w:rPr>
        <w:t>%</w:t>
      </w:r>
      <w:r>
        <w:rPr>
          <w:rStyle w:val="13"/>
          <w:rFonts w:hint="eastAsia" w:ascii="仿宋" w:hAnsi="仿宋" w:eastAsia="仿宋"/>
          <w:b w:val="0"/>
          <w:bCs/>
          <w:color w:val="000000"/>
          <w:szCs w:val="32"/>
        </w:rPr>
        <w:t>，决算数等于预算数。</w:t>
      </w:r>
    </w:p>
    <w:p>
      <w:pPr>
        <w:spacing w:line="600" w:lineRule="exact"/>
        <w:ind w:firstLine="643" w:firstLineChars="200"/>
        <w:rPr>
          <w:rFonts w:ascii="仿宋" w:hAnsi="仿宋" w:eastAsia="仿宋"/>
          <w:b/>
          <w:color w:val="000000"/>
          <w:szCs w:val="32"/>
        </w:rPr>
      </w:pPr>
      <w:r>
        <w:rPr>
          <w:rStyle w:val="13"/>
          <w:rFonts w:hint="eastAsia" w:ascii="仿宋" w:hAnsi="仿宋" w:eastAsia="仿宋"/>
          <w:bCs/>
          <w:color w:val="000000"/>
          <w:szCs w:val="32"/>
        </w:rPr>
        <w:t>2</w:t>
      </w:r>
      <w:r>
        <w:rPr>
          <w:rStyle w:val="13"/>
          <w:rFonts w:ascii="仿宋" w:hAnsi="仿宋" w:eastAsia="仿宋"/>
          <w:bCs/>
          <w:color w:val="000000"/>
          <w:szCs w:val="32"/>
        </w:rPr>
        <w:t>.</w:t>
      </w:r>
      <w:r>
        <w:rPr>
          <w:rStyle w:val="13"/>
          <w:rFonts w:hint="eastAsia" w:ascii="仿宋" w:hAnsi="仿宋" w:eastAsia="仿宋"/>
          <w:bCs/>
          <w:color w:val="000000"/>
          <w:szCs w:val="32"/>
        </w:rPr>
        <w:t>一般公共服务（类）纪检监察事务（款） 一般行政管理事务（项）</w:t>
      </w:r>
      <w:r>
        <w:rPr>
          <w:rStyle w:val="13"/>
          <w:rFonts w:ascii="仿宋" w:hAnsi="仿宋" w:eastAsia="仿宋"/>
          <w:bCs/>
          <w:color w:val="000000"/>
          <w:szCs w:val="32"/>
        </w:rPr>
        <w:t>:</w:t>
      </w:r>
      <w:r>
        <w:rPr>
          <w:rStyle w:val="13"/>
          <w:rFonts w:ascii="仿宋" w:hAnsi="仿宋" w:eastAsia="仿宋"/>
          <w:b w:val="0"/>
          <w:bCs/>
          <w:color w:val="000000"/>
          <w:szCs w:val="32"/>
        </w:rPr>
        <w:t xml:space="preserve"> </w:t>
      </w:r>
      <w:r>
        <w:rPr>
          <w:rStyle w:val="13"/>
          <w:rFonts w:hint="eastAsia" w:ascii="仿宋" w:hAnsi="仿宋" w:eastAsia="仿宋"/>
          <w:b w:val="0"/>
          <w:bCs/>
          <w:color w:val="000000"/>
          <w:szCs w:val="32"/>
        </w:rPr>
        <w:t>支出决算为6.52万元，完成预算100</w:t>
      </w:r>
      <w:r>
        <w:rPr>
          <w:rStyle w:val="13"/>
          <w:rFonts w:ascii="仿宋" w:hAnsi="仿宋" w:eastAsia="仿宋"/>
          <w:b w:val="0"/>
          <w:bCs/>
          <w:color w:val="000000"/>
          <w:szCs w:val="32"/>
        </w:rPr>
        <w:t>%</w:t>
      </w:r>
      <w:r>
        <w:rPr>
          <w:rStyle w:val="13"/>
          <w:rFonts w:hint="eastAsia" w:ascii="仿宋" w:hAnsi="仿宋" w:eastAsia="仿宋"/>
          <w:b w:val="0"/>
          <w:bCs/>
          <w:color w:val="000000"/>
          <w:szCs w:val="32"/>
        </w:rPr>
        <w:t>，决算数等于预算数。</w:t>
      </w:r>
    </w:p>
    <w:p>
      <w:pPr>
        <w:spacing w:line="600" w:lineRule="exact"/>
        <w:ind w:firstLine="643" w:firstLineChars="200"/>
        <w:rPr>
          <w:rStyle w:val="13"/>
          <w:rFonts w:ascii="仿宋" w:hAnsi="仿宋" w:eastAsia="仿宋"/>
          <w:b w:val="0"/>
          <w:bCs/>
          <w:color w:val="000000"/>
          <w:szCs w:val="32"/>
        </w:rPr>
      </w:pPr>
      <w:r>
        <w:rPr>
          <w:rStyle w:val="13"/>
          <w:rFonts w:hint="eastAsia" w:ascii="仿宋" w:hAnsi="仿宋" w:eastAsia="仿宋"/>
          <w:bCs/>
          <w:color w:val="000000"/>
          <w:szCs w:val="32"/>
        </w:rPr>
        <w:t>3</w:t>
      </w:r>
      <w:r>
        <w:rPr>
          <w:rStyle w:val="13"/>
          <w:rFonts w:ascii="仿宋" w:hAnsi="仿宋" w:eastAsia="仿宋"/>
          <w:bCs/>
          <w:color w:val="000000"/>
          <w:szCs w:val="32"/>
        </w:rPr>
        <w:t>.</w:t>
      </w:r>
      <w:r>
        <w:rPr>
          <w:rStyle w:val="13"/>
          <w:rFonts w:hint="eastAsia" w:ascii="仿宋" w:hAnsi="仿宋" w:eastAsia="仿宋"/>
          <w:bCs/>
          <w:color w:val="000000"/>
          <w:szCs w:val="32"/>
        </w:rPr>
        <w:t>一般公共服务（类）纪检监察事务（款） 巡视工作（项）</w:t>
      </w:r>
      <w:r>
        <w:rPr>
          <w:rStyle w:val="13"/>
          <w:rFonts w:ascii="仿宋" w:hAnsi="仿宋" w:eastAsia="仿宋"/>
          <w:bCs/>
          <w:color w:val="000000"/>
          <w:szCs w:val="32"/>
        </w:rPr>
        <w:t>:</w:t>
      </w:r>
      <w:r>
        <w:rPr>
          <w:rStyle w:val="13"/>
          <w:rFonts w:ascii="仿宋" w:hAnsi="仿宋" w:eastAsia="仿宋"/>
          <w:b w:val="0"/>
          <w:bCs/>
          <w:color w:val="000000"/>
          <w:szCs w:val="32"/>
        </w:rPr>
        <w:t xml:space="preserve"> </w:t>
      </w:r>
      <w:r>
        <w:rPr>
          <w:rStyle w:val="13"/>
          <w:rFonts w:hint="eastAsia" w:ascii="仿宋" w:hAnsi="仿宋" w:eastAsia="仿宋"/>
          <w:b w:val="0"/>
          <w:bCs/>
          <w:color w:val="000000"/>
          <w:szCs w:val="32"/>
        </w:rPr>
        <w:t>支出决算为13.84万元，完成预算100</w:t>
      </w:r>
      <w:r>
        <w:rPr>
          <w:rStyle w:val="13"/>
          <w:rFonts w:ascii="仿宋" w:hAnsi="仿宋" w:eastAsia="仿宋"/>
          <w:b w:val="0"/>
          <w:bCs/>
          <w:color w:val="000000"/>
          <w:szCs w:val="32"/>
        </w:rPr>
        <w:t>%</w:t>
      </w:r>
      <w:r>
        <w:rPr>
          <w:rStyle w:val="13"/>
          <w:rFonts w:hint="eastAsia" w:ascii="仿宋" w:hAnsi="仿宋" w:eastAsia="仿宋"/>
          <w:b w:val="0"/>
          <w:bCs/>
          <w:color w:val="000000"/>
          <w:szCs w:val="32"/>
        </w:rPr>
        <w:t>，决算数等于预算数。</w:t>
      </w:r>
    </w:p>
    <w:p>
      <w:pPr>
        <w:spacing w:line="600" w:lineRule="exact"/>
        <w:ind w:firstLine="643" w:firstLineChars="200"/>
        <w:rPr>
          <w:rStyle w:val="13"/>
          <w:rFonts w:ascii="仿宋" w:hAnsi="仿宋" w:eastAsia="仿宋"/>
          <w:b w:val="0"/>
          <w:bCs/>
          <w:color w:val="000000"/>
          <w:szCs w:val="32"/>
        </w:rPr>
      </w:pPr>
      <w:r>
        <w:rPr>
          <w:rStyle w:val="13"/>
          <w:rFonts w:hint="eastAsia" w:ascii="仿宋" w:hAnsi="仿宋" w:eastAsia="仿宋"/>
          <w:bCs/>
          <w:color w:val="000000"/>
          <w:szCs w:val="32"/>
        </w:rPr>
        <w:t>4</w:t>
      </w:r>
      <w:r>
        <w:rPr>
          <w:rStyle w:val="13"/>
          <w:rFonts w:ascii="仿宋" w:hAnsi="仿宋" w:eastAsia="仿宋"/>
          <w:bCs/>
          <w:color w:val="000000"/>
          <w:szCs w:val="32"/>
        </w:rPr>
        <w:t>.</w:t>
      </w:r>
      <w:r>
        <w:rPr>
          <w:rStyle w:val="13"/>
          <w:rFonts w:hint="eastAsia" w:ascii="仿宋" w:hAnsi="仿宋" w:eastAsia="仿宋"/>
          <w:bCs/>
          <w:color w:val="000000"/>
          <w:szCs w:val="32"/>
        </w:rPr>
        <w:t>一般公共服务（类）纪检监察事务（款） 其他纪检监察事务支出（项）</w:t>
      </w:r>
      <w:r>
        <w:rPr>
          <w:rStyle w:val="13"/>
          <w:rFonts w:ascii="仿宋" w:hAnsi="仿宋" w:eastAsia="仿宋"/>
          <w:bCs/>
          <w:color w:val="000000"/>
          <w:szCs w:val="32"/>
        </w:rPr>
        <w:t>:</w:t>
      </w:r>
      <w:r>
        <w:rPr>
          <w:rStyle w:val="13"/>
          <w:rFonts w:ascii="仿宋" w:hAnsi="仿宋" w:eastAsia="仿宋"/>
          <w:b w:val="0"/>
          <w:bCs/>
          <w:color w:val="000000"/>
          <w:szCs w:val="32"/>
        </w:rPr>
        <w:t xml:space="preserve"> </w:t>
      </w:r>
      <w:r>
        <w:rPr>
          <w:rStyle w:val="13"/>
          <w:rFonts w:hint="eastAsia" w:ascii="仿宋" w:hAnsi="仿宋" w:eastAsia="仿宋"/>
          <w:b w:val="0"/>
          <w:bCs/>
          <w:color w:val="000000"/>
          <w:szCs w:val="32"/>
        </w:rPr>
        <w:t>支出决算为9.41万元，完成预算100</w:t>
      </w:r>
      <w:r>
        <w:rPr>
          <w:rStyle w:val="13"/>
          <w:rFonts w:ascii="仿宋" w:hAnsi="仿宋" w:eastAsia="仿宋"/>
          <w:b w:val="0"/>
          <w:bCs/>
          <w:color w:val="000000"/>
          <w:szCs w:val="32"/>
        </w:rPr>
        <w:t>%</w:t>
      </w:r>
      <w:r>
        <w:rPr>
          <w:rStyle w:val="13"/>
          <w:rFonts w:hint="eastAsia" w:ascii="仿宋" w:hAnsi="仿宋" w:eastAsia="仿宋"/>
          <w:b w:val="0"/>
          <w:bCs/>
          <w:color w:val="000000"/>
          <w:szCs w:val="32"/>
        </w:rPr>
        <w:t>，决算数等于预算数。</w:t>
      </w:r>
    </w:p>
    <w:p>
      <w:pPr>
        <w:spacing w:line="600" w:lineRule="exact"/>
        <w:ind w:firstLine="643" w:firstLineChars="200"/>
        <w:rPr>
          <w:rFonts w:ascii="仿宋" w:hAnsi="仿宋" w:eastAsia="仿宋"/>
          <w:b/>
          <w:color w:val="000000"/>
          <w:szCs w:val="32"/>
        </w:rPr>
      </w:pPr>
      <w:r>
        <w:rPr>
          <w:rStyle w:val="13"/>
          <w:rFonts w:hint="eastAsia" w:ascii="仿宋" w:hAnsi="仿宋" w:eastAsia="仿宋"/>
          <w:bCs/>
          <w:color w:val="000000"/>
          <w:szCs w:val="32"/>
        </w:rPr>
        <w:t>5</w:t>
      </w:r>
      <w:r>
        <w:rPr>
          <w:rStyle w:val="13"/>
          <w:rFonts w:ascii="仿宋" w:hAnsi="仿宋" w:eastAsia="仿宋"/>
          <w:bCs/>
          <w:color w:val="000000"/>
          <w:szCs w:val="32"/>
        </w:rPr>
        <w:t>.</w:t>
      </w:r>
      <w:r>
        <w:rPr>
          <w:rStyle w:val="13"/>
          <w:rFonts w:hint="eastAsia" w:ascii="仿宋" w:hAnsi="仿宋" w:eastAsia="仿宋"/>
          <w:bCs/>
          <w:color w:val="000000"/>
          <w:szCs w:val="32"/>
        </w:rPr>
        <w:t>教育（类）（款）（项）</w:t>
      </w:r>
      <w:r>
        <w:rPr>
          <w:rStyle w:val="13"/>
          <w:rFonts w:ascii="仿宋" w:hAnsi="仿宋" w:eastAsia="仿宋"/>
          <w:bCs/>
          <w:color w:val="000000"/>
          <w:szCs w:val="32"/>
        </w:rPr>
        <w:t>:</w:t>
      </w:r>
      <w:r>
        <w:rPr>
          <w:rStyle w:val="13"/>
          <w:rFonts w:ascii="仿宋" w:hAnsi="仿宋" w:eastAsia="仿宋"/>
          <w:b w:val="0"/>
          <w:bCs/>
          <w:color w:val="000000"/>
          <w:szCs w:val="32"/>
        </w:rPr>
        <w:t xml:space="preserve"> </w:t>
      </w:r>
      <w:r>
        <w:rPr>
          <w:rStyle w:val="13"/>
          <w:rFonts w:hint="eastAsia" w:ascii="仿宋" w:hAnsi="仿宋" w:eastAsia="仿宋"/>
          <w:b w:val="0"/>
          <w:bCs/>
          <w:color w:val="000000"/>
          <w:szCs w:val="32"/>
        </w:rPr>
        <w:t>支出决算为0万元，完成预算100</w:t>
      </w:r>
      <w:r>
        <w:rPr>
          <w:rStyle w:val="13"/>
          <w:rFonts w:ascii="仿宋" w:hAnsi="仿宋" w:eastAsia="仿宋"/>
          <w:b w:val="0"/>
          <w:bCs/>
          <w:color w:val="000000"/>
          <w:szCs w:val="32"/>
        </w:rPr>
        <w:t>%</w:t>
      </w:r>
      <w:r>
        <w:rPr>
          <w:rStyle w:val="13"/>
          <w:rFonts w:hint="eastAsia" w:ascii="仿宋" w:hAnsi="仿宋" w:eastAsia="仿宋"/>
          <w:b w:val="0"/>
          <w:bCs/>
          <w:color w:val="000000"/>
          <w:szCs w:val="32"/>
        </w:rPr>
        <w:t>，决算数等于预算数。</w:t>
      </w:r>
    </w:p>
    <w:p>
      <w:pPr>
        <w:spacing w:line="600" w:lineRule="exact"/>
        <w:ind w:firstLine="643" w:firstLineChars="200"/>
        <w:rPr>
          <w:rFonts w:ascii="仿宋" w:hAnsi="仿宋" w:eastAsia="仿宋"/>
          <w:b/>
          <w:color w:val="000000"/>
          <w:szCs w:val="32"/>
        </w:rPr>
      </w:pPr>
      <w:r>
        <w:rPr>
          <w:rStyle w:val="13"/>
          <w:rFonts w:hint="eastAsia" w:ascii="仿宋" w:hAnsi="仿宋" w:eastAsia="仿宋"/>
          <w:bCs/>
          <w:color w:val="000000"/>
          <w:szCs w:val="32"/>
        </w:rPr>
        <w:t>6</w:t>
      </w:r>
      <w:r>
        <w:rPr>
          <w:rStyle w:val="13"/>
          <w:rFonts w:ascii="仿宋" w:hAnsi="仿宋" w:eastAsia="仿宋"/>
          <w:bCs/>
          <w:color w:val="000000"/>
          <w:szCs w:val="32"/>
        </w:rPr>
        <w:t>.</w:t>
      </w:r>
      <w:r>
        <w:rPr>
          <w:rStyle w:val="13"/>
          <w:rFonts w:hint="eastAsia" w:ascii="仿宋" w:hAnsi="仿宋" w:eastAsia="仿宋"/>
          <w:bCs/>
          <w:color w:val="000000"/>
          <w:szCs w:val="32"/>
        </w:rPr>
        <w:t>科学技术（类）（款）（项）</w:t>
      </w:r>
      <w:r>
        <w:rPr>
          <w:rStyle w:val="13"/>
          <w:rFonts w:ascii="仿宋" w:hAnsi="仿宋" w:eastAsia="仿宋"/>
          <w:bCs/>
          <w:color w:val="000000"/>
          <w:szCs w:val="32"/>
        </w:rPr>
        <w:t>:</w:t>
      </w:r>
      <w:r>
        <w:rPr>
          <w:rStyle w:val="13"/>
          <w:rFonts w:ascii="仿宋" w:hAnsi="仿宋" w:eastAsia="仿宋"/>
          <w:b w:val="0"/>
          <w:bCs/>
          <w:color w:val="000000"/>
          <w:szCs w:val="32"/>
        </w:rPr>
        <w:t xml:space="preserve"> </w:t>
      </w:r>
      <w:r>
        <w:rPr>
          <w:rStyle w:val="13"/>
          <w:rFonts w:hint="eastAsia" w:ascii="仿宋" w:hAnsi="仿宋" w:eastAsia="仿宋"/>
          <w:b w:val="0"/>
          <w:bCs/>
          <w:color w:val="000000"/>
          <w:szCs w:val="32"/>
        </w:rPr>
        <w:t>支出决算为0万元，完成预算100</w:t>
      </w:r>
      <w:r>
        <w:rPr>
          <w:rStyle w:val="13"/>
          <w:rFonts w:ascii="仿宋" w:hAnsi="仿宋" w:eastAsia="仿宋"/>
          <w:b w:val="0"/>
          <w:bCs/>
          <w:color w:val="000000"/>
          <w:szCs w:val="32"/>
        </w:rPr>
        <w:t>%</w:t>
      </w:r>
      <w:r>
        <w:rPr>
          <w:rStyle w:val="13"/>
          <w:rFonts w:hint="eastAsia" w:ascii="仿宋" w:hAnsi="仿宋" w:eastAsia="仿宋"/>
          <w:b w:val="0"/>
          <w:bCs/>
          <w:color w:val="000000"/>
          <w:szCs w:val="32"/>
        </w:rPr>
        <w:t>，决算数等于预算数。</w:t>
      </w:r>
    </w:p>
    <w:p>
      <w:pPr>
        <w:spacing w:line="600" w:lineRule="exact"/>
        <w:ind w:firstLine="643" w:firstLineChars="200"/>
        <w:rPr>
          <w:rFonts w:ascii="仿宋" w:hAnsi="仿宋" w:eastAsia="仿宋"/>
          <w:b/>
          <w:color w:val="000000"/>
          <w:szCs w:val="32"/>
        </w:rPr>
      </w:pPr>
      <w:r>
        <w:rPr>
          <w:rStyle w:val="13"/>
          <w:rFonts w:hint="eastAsia" w:ascii="仿宋" w:hAnsi="仿宋" w:eastAsia="仿宋"/>
          <w:bCs/>
          <w:color w:val="000000"/>
          <w:szCs w:val="32"/>
        </w:rPr>
        <w:t>7</w:t>
      </w:r>
      <w:r>
        <w:rPr>
          <w:rStyle w:val="13"/>
          <w:rFonts w:ascii="仿宋" w:hAnsi="仿宋" w:eastAsia="仿宋"/>
          <w:bCs/>
          <w:color w:val="000000"/>
          <w:szCs w:val="32"/>
        </w:rPr>
        <w:t>.</w:t>
      </w:r>
      <w:r>
        <w:rPr>
          <w:rStyle w:val="13"/>
          <w:rFonts w:hint="eastAsia" w:ascii="仿宋" w:hAnsi="仿宋" w:eastAsia="仿宋"/>
          <w:bCs/>
          <w:color w:val="000000"/>
          <w:szCs w:val="32"/>
        </w:rPr>
        <w:t>文化旅游体育与传媒（类）（款）（项）</w:t>
      </w:r>
      <w:r>
        <w:rPr>
          <w:rStyle w:val="13"/>
          <w:rFonts w:ascii="仿宋" w:hAnsi="仿宋" w:eastAsia="仿宋"/>
          <w:bCs/>
          <w:color w:val="000000"/>
          <w:szCs w:val="32"/>
        </w:rPr>
        <w:t>:</w:t>
      </w:r>
      <w:r>
        <w:rPr>
          <w:rStyle w:val="13"/>
          <w:rFonts w:ascii="仿宋" w:hAnsi="仿宋" w:eastAsia="仿宋"/>
          <w:b w:val="0"/>
          <w:bCs/>
          <w:color w:val="000000"/>
          <w:szCs w:val="32"/>
        </w:rPr>
        <w:t xml:space="preserve">  </w:t>
      </w:r>
      <w:r>
        <w:rPr>
          <w:rStyle w:val="13"/>
          <w:rFonts w:hint="eastAsia" w:ascii="仿宋" w:hAnsi="仿宋" w:eastAsia="仿宋"/>
          <w:b w:val="0"/>
          <w:bCs/>
          <w:color w:val="000000"/>
          <w:szCs w:val="32"/>
        </w:rPr>
        <w:t>支出决算为0万元，完成预算100</w:t>
      </w:r>
      <w:r>
        <w:rPr>
          <w:rStyle w:val="13"/>
          <w:rFonts w:ascii="仿宋" w:hAnsi="仿宋" w:eastAsia="仿宋"/>
          <w:b w:val="0"/>
          <w:bCs/>
          <w:color w:val="000000"/>
          <w:szCs w:val="32"/>
        </w:rPr>
        <w:t>%</w:t>
      </w:r>
      <w:r>
        <w:rPr>
          <w:rStyle w:val="13"/>
          <w:rFonts w:hint="eastAsia" w:ascii="仿宋" w:hAnsi="仿宋" w:eastAsia="仿宋"/>
          <w:b w:val="0"/>
          <w:bCs/>
          <w:color w:val="000000"/>
          <w:szCs w:val="32"/>
        </w:rPr>
        <w:t>，决算数等于预算数。</w:t>
      </w:r>
    </w:p>
    <w:p>
      <w:pPr>
        <w:spacing w:line="600" w:lineRule="exact"/>
        <w:ind w:firstLine="643" w:firstLineChars="200"/>
        <w:rPr>
          <w:rFonts w:ascii="仿宋" w:hAnsi="仿宋" w:eastAsia="仿宋"/>
          <w:b/>
          <w:color w:val="000000"/>
          <w:szCs w:val="32"/>
        </w:rPr>
      </w:pPr>
      <w:r>
        <w:rPr>
          <w:rStyle w:val="13"/>
          <w:rFonts w:hint="eastAsia" w:ascii="仿宋" w:hAnsi="仿宋" w:eastAsia="仿宋"/>
          <w:bCs/>
          <w:color w:val="000000"/>
          <w:szCs w:val="32"/>
        </w:rPr>
        <w:t>8</w:t>
      </w:r>
      <w:r>
        <w:rPr>
          <w:rStyle w:val="13"/>
          <w:rFonts w:ascii="仿宋" w:hAnsi="仿宋" w:eastAsia="仿宋"/>
          <w:bCs/>
          <w:color w:val="000000"/>
          <w:szCs w:val="32"/>
        </w:rPr>
        <w:t>.</w:t>
      </w:r>
      <w:r>
        <w:rPr>
          <w:rStyle w:val="13"/>
          <w:rFonts w:hint="eastAsia" w:ascii="仿宋" w:hAnsi="仿宋" w:eastAsia="仿宋"/>
          <w:bCs/>
          <w:color w:val="000000"/>
          <w:szCs w:val="32"/>
        </w:rPr>
        <w:t>社会保障和就业（类）行政事业单位离退休（款）机关事业单位基本养老保险缴费支出（项）</w:t>
      </w:r>
      <w:r>
        <w:rPr>
          <w:rStyle w:val="13"/>
          <w:rFonts w:ascii="仿宋" w:hAnsi="仿宋" w:eastAsia="仿宋"/>
          <w:bCs/>
          <w:color w:val="000000"/>
          <w:szCs w:val="32"/>
        </w:rPr>
        <w:t>:</w:t>
      </w:r>
      <w:r>
        <w:rPr>
          <w:rStyle w:val="13"/>
          <w:rFonts w:ascii="仿宋" w:hAnsi="仿宋" w:eastAsia="仿宋"/>
          <w:b w:val="0"/>
          <w:bCs/>
          <w:color w:val="000000"/>
          <w:szCs w:val="32"/>
        </w:rPr>
        <w:t xml:space="preserve"> </w:t>
      </w:r>
      <w:r>
        <w:rPr>
          <w:rStyle w:val="13"/>
          <w:rFonts w:hint="eastAsia" w:ascii="仿宋" w:hAnsi="仿宋" w:eastAsia="仿宋"/>
          <w:b w:val="0"/>
          <w:bCs/>
          <w:color w:val="000000"/>
          <w:szCs w:val="32"/>
        </w:rPr>
        <w:t>支出决算为14.19万元，完成预算100</w:t>
      </w:r>
      <w:r>
        <w:rPr>
          <w:rStyle w:val="13"/>
          <w:rFonts w:ascii="仿宋" w:hAnsi="仿宋" w:eastAsia="仿宋"/>
          <w:b w:val="0"/>
          <w:bCs/>
          <w:color w:val="000000"/>
          <w:szCs w:val="32"/>
        </w:rPr>
        <w:t>%</w:t>
      </w:r>
      <w:r>
        <w:rPr>
          <w:rStyle w:val="13"/>
          <w:rFonts w:hint="eastAsia" w:ascii="仿宋" w:hAnsi="仿宋" w:eastAsia="仿宋"/>
          <w:b w:val="0"/>
          <w:bCs/>
          <w:color w:val="000000"/>
          <w:szCs w:val="32"/>
        </w:rPr>
        <w:t>，决算数等于预算数。</w:t>
      </w:r>
    </w:p>
    <w:p>
      <w:pPr>
        <w:spacing w:line="600" w:lineRule="exact"/>
        <w:ind w:firstLine="643" w:firstLineChars="200"/>
        <w:rPr>
          <w:rFonts w:ascii="仿宋" w:hAnsi="仿宋" w:eastAsia="仿宋"/>
          <w:b/>
          <w:color w:val="000000"/>
          <w:szCs w:val="32"/>
        </w:rPr>
      </w:pPr>
      <w:r>
        <w:rPr>
          <w:rStyle w:val="13"/>
          <w:rFonts w:hint="eastAsia" w:ascii="仿宋" w:hAnsi="仿宋" w:eastAsia="仿宋"/>
          <w:bCs/>
          <w:color w:val="000000"/>
          <w:szCs w:val="32"/>
        </w:rPr>
        <w:t>9</w:t>
      </w:r>
      <w:r>
        <w:rPr>
          <w:rStyle w:val="13"/>
          <w:rFonts w:ascii="仿宋" w:hAnsi="仿宋" w:eastAsia="仿宋"/>
          <w:bCs/>
          <w:color w:val="000000"/>
          <w:szCs w:val="32"/>
        </w:rPr>
        <w:t>.</w:t>
      </w:r>
      <w:r>
        <w:rPr>
          <w:rFonts w:hint="eastAsia" w:ascii="仿宋" w:hAnsi="仿宋" w:eastAsia="仿宋"/>
          <w:b/>
          <w:bCs/>
          <w:color w:val="000000" w:themeColor="text1"/>
          <w:szCs w:val="32"/>
        </w:rPr>
        <w:t>卫生健康</w:t>
      </w:r>
      <w:r>
        <w:rPr>
          <w:rStyle w:val="13"/>
          <w:rFonts w:hint="eastAsia" w:ascii="仿宋" w:hAnsi="仿宋" w:eastAsia="仿宋"/>
          <w:bCs/>
          <w:color w:val="000000"/>
          <w:szCs w:val="32"/>
        </w:rPr>
        <w:t>（类）行政事业单位医疗（款）行政单位医疗（项）</w:t>
      </w:r>
      <w:r>
        <w:rPr>
          <w:rStyle w:val="13"/>
          <w:rFonts w:ascii="仿宋" w:hAnsi="仿宋" w:eastAsia="仿宋"/>
          <w:bCs/>
          <w:color w:val="000000"/>
          <w:szCs w:val="32"/>
        </w:rPr>
        <w:t>:</w:t>
      </w:r>
      <w:r>
        <w:rPr>
          <w:rStyle w:val="13"/>
          <w:rFonts w:hint="eastAsia" w:ascii="仿宋" w:hAnsi="仿宋" w:eastAsia="仿宋"/>
          <w:b w:val="0"/>
          <w:bCs/>
          <w:color w:val="000000"/>
          <w:szCs w:val="32"/>
        </w:rPr>
        <w:t>支出决算为7.05万元，完成预算100</w:t>
      </w:r>
      <w:r>
        <w:rPr>
          <w:rStyle w:val="13"/>
          <w:rFonts w:ascii="仿宋" w:hAnsi="仿宋" w:eastAsia="仿宋"/>
          <w:b w:val="0"/>
          <w:bCs/>
          <w:color w:val="000000"/>
          <w:szCs w:val="32"/>
        </w:rPr>
        <w:t>%</w:t>
      </w:r>
      <w:r>
        <w:rPr>
          <w:rStyle w:val="13"/>
          <w:rFonts w:hint="eastAsia" w:ascii="仿宋" w:hAnsi="仿宋" w:eastAsia="仿宋"/>
          <w:b w:val="0"/>
          <w:bCs/>
          <w:color w:val="000000"/>
          <w:szCs w:val="32"/>
        </w:rPr>
        <w:t>，决算数等于预算数。</w:t>
      </w:r>
    </w:p>
    <w:p>
      <w:pPr>
        <w:spacing w:line="600" w:lineRule="exact"/>
        <w:ind w:firstLine="643" w:firstLineChars="200"/>
        <w:rPr>
          <w:rFonts w:ascii="仿宋" w:hAnsi="仿宋" w:eastAsia="仿宋"/>
          <w:b/>
          <w:color w:val="000000"/>
          <w:szCs w:val="32"/>
        </w:rPr>
      </w:pPr>
      <w:r>
        <w:rPr>
          <w:rStyle w:val="13"/>
          <w:rFonts w:hint="eastAsia" w:ascii="仿宋" w:hAnsi="仿宋" w:eastAsia="仿宋"/>
          <w:bCs/>
          <w:color w:val="000000"/>
          <w:szCs w:val="32"/>
        </w:rPr>
        <w:t>10</w:t>
      </w:r>
      <w:r>
        <w:rPr>
          <w:rStyle w:val="13"/>
          <w:rFonts w:ascii="仿宋" w:hAnsi="仿宋" w:eastAsia="仿宋"/>
          <w:bCs/>
          <w:color w:val="000000"/>
          <w:szCs w:val="32"/>
        </w:rPr>
        <w:t>.</w:t>
      </w:r>
      <w:r>
        <w:rPr>
          <w:rStyle w:val="13"/>
          <w:rFonts w:hint="eastAsia" w:ascii="仿宋" w:hAnsi="仿宋" w:eastAsia="仿宋"/>
          <w:bCs/>
          <w:color w:val="000000"/>
          <w:szCs w:val="32"/>
        </w:rPr>
        <w:t>住房保障支出（类）住房改革支出（款）住房公积金（项）：</w:t>
      </w:r>
      <w:r>
        <w:rPr>
          <w:rStyle w:val="13"/>
          <w:rFonts w:hint="eastAsia" w:ascii="仿宋" w:hAnsi="仿宋" w:eastAsia="仿宋"/>
          <w:b w:val="0"/>
          <w:bCs/>
          <w:color w:val="000000"/>
          <w:szCs w:val="32"/>
        </w:rPr>
        <w:t>支出决算为10.93万元，完成预算100</w:t>
      </w:r>
      <w:r>
        <w:rPr>
          <w:rStyle w:val="13"/>
          <w:rFonts w:ascii="仿宋" w:hAnsi="仿宋" w:eastAsia="仿宋"/>
          <w:b w:val="0"/>
          <w:bCs/>
          <w:color w:val="000000"/>
          <w:szCs w:val="32"/>
        </w:rPr>
        <w:t>%</w:t>
      </w:r>
      <w:r>
        <w:rPr>
          <w:rStyle w:val="13"/>
          <w:rFonts w:hint="eastAsia" w:ascii="仿宋" w:hAnsi="仿宋" w:eastAsia="仿宋"/>
          <w:b w:val="0"/>
          <w:bCs/>
          <w:color w:val="000000"/>
          <w:szCs w:val="32"/>
        </w:rPr>
        <w:t>，决算数等于预算数。</w:t>
      </w:r>
    </w:p>
    <w:p>
      <w:pPr>
        <w:tabs>
          <w:tab w:val="right" w:pos="8306"/>
        </w:tabs>
        <w:spacing w:line="600" w:lineRule="exact"/>
        <w:ind w:firstLine="640"/>
        <w:outlineLvl w:val="1"/>
        <w:rPr>
          <w:rStyle w:val="16"/>
        </w:rPr>
      </w:pPr>
      <w:bookmarkStart w:id="35" w:name="_Toc15396608"/>
      <w:bookmarkStart w:id="36" w:name="_Toc15377214"/>
      <w:bookmarkStart w:id="37" w:name="_Toc31021"/>
      <w:r>
        <w:rPr>
          <w:rFonts w:hint="eastAsia" w:ascii="黑体" w:eastAsia="黑体"/>
          <w:color w:val="000000"/>
          <w:szCs w:val="32"/>
        </w:rPr>
        <w:t>六</w:t>
      </w:r>
      <w:r>
        <w:rPr>
          <w:rFonts w:hint="eastAsia" w:ascii="黑体" w:eastAsia="黑体"/>
          <w:b/>
          <w:color w:val="000000"/>
          <w:szCs w:val="32"/>
        </w:rPr>
        <w:t>、</w:t>
      </w:r>
      <w:r>
        <w:rPr>
          <w:rFonts w:hint="eastAsia" w:ascii="黑体" w:hAnsi="黑体" w:eastAsia="黑体"/>
          <w:b/>
          <w:color w:val="000000"/>
          <w:szCs w:val="32"/>
        </w:rPr>
        <w:t>一</w:t>
      </w:r>
      <w:r>
        <w:rPr>
          <w:rStyle w:val="16"/>
          <w:rFonts w:hint="eastAsia" w:ascii="黑体" w:hAnsi="黑体" w:eastAsia="黑体"/>
          <w:b w:val="0"/>
        </w:rPr>
        <w:t>般公共预算财政拨款基本支出决算情况说明</w:t>
      </w:r>
      <w:bookmarkEnd w:id="35"/>
      <w:bookmarkEnd w:id="36"/>
      <w:bookmarkEnd w:id="37"/>
      <w:r>
        <w:rPr>
          <w:rStyle w:val="16"/>
          <w:rFonts w:ascii="黑体" w:hAnsi="黑体" w:eastAsia="黑体"/>
          <w:b w:val="0"/>
        </w:rPr>
        <w:tab/>
      </w:r>
    </w:p>
    <w:p>
      <w:pPr>
        <w:spacing w:line="600" w:lineRule="exact"/>
        <w:ind w:firstLine="645"/>
        <w:rPr>
          <w:rFonts w:ascii="仿宋_GB2312" w:hAnsi="仿宋_GB2312" w:cs="仿宋_GB2312"/>
          <w:color w:val="000000"/>
          <w:szCs w:val="32"/>
        </w:rPr>
      </w:pPr>
      <w:r>
        <w:rPr>
          <w:rFonts w:hint="eastAsia" w:ascii="仿宋_GB2312" w:hAnsi="仿宋_GB2312" w:cs="仿宋_GB2312"/>
          <w:color w:val="000000"/>
          <w:szCs w:val="32"/>
        </w:rPr>
        <w:t>2020年一般公共预算财政拨款基本支出180.83万元，其中：</w:t>
      </w:r>
    </w:p>
    <w:p>
      <w:pPr>
        <w:spacing w:line="600" w:lineRule="exact"/>
        <w:ind w:firstLine="645"/>
        <w:rPr>
          <w:rFonts w:ascii="仿宋_GB2312" w:hAnsi="仿宋_GB2312" w:cs="仿宋_GB2312"/>
          <w:color w:val="000000"/>
          <w:szCs w:val="32"/>
        </w:rPr>
      </w:pPr>
      <w:r>
        <w:rPr>
          <w:rFonts w:hint="eastAsia" w:ascii="仿宋_GB2312" w:hAnsi="仿宋_GB2312" w:cs="仿宋_GB2312"/>
          <w:color w:val="000000"/>
          <w:szCs w:val="32"/>
        </w:rPr>
        <w:t>人员经费126.62万元，主要包括：基本工资、津贴补贴、奖金、伙食补助费、绩效工资、机关事业单位基本养老保险缴费、职业年金缴费、其他社会保障缴费、其他工资福利支出、离休费、退休费、抚恤金、生活补助、医疗费补助、奖励金、住房公积金、其他对个人和家庭的补助支出等。</w:t>
      </w:r>
    </w:p>
    <w:p>
      <w:pPr>
        <w:spacing w:line="600" w:lineRule="exact"/>
        <w:ind w:firstLine="645"/>
        <w:rPr>
          <w:rFonts w:ascii="仿宋_GB2312" w:hAnsi="仿宋_GB2312" w:cs="仿宋_GB2312"/>
          <w:color w:val="000000"/>
          <w:szCs w:val="32"/>
        </w:rPr>
      </w:pPr>
      <w:r>
        <w:rPr>
          <w:rFonts w:hint="eastAsia" w:ascii="仿宋_GB2312" w:hAnsi="仿宋_GB2312" w:cs="仿宋_GB2312"/>
          <w:color w:val="000000"/>
          <w:szCs w:val="32"/>
        </w:rPr>
        <w:t>日常公用经费54.21万元，主要包括：办公费、印刷费、咨询费、手续费、水费、电费、邮电费、取暖费、物业管理费、差旅费、因公出国（境）费用、维修（护）费、租赁费、会议费、培训费、公务接待费、劳务费、委托业务费、工会经费、福利费、公务用车运行维护费、其他交通费、税金及附加费用、其他商品和服务支出、办公设备购置、专用设备购置、信息网络及软件购置更新、其他资本性支出等。</w:t>
      </w:r>
    </w:p>
    <w:p>
      <w:pPr>
        <w:spacing w:line="600" w:lineRule="exact"/>
        <w:ind w:firstLine="640"/>
        <w:outlineLvl w:val="1"/>
        <w:rPr>
          <w:rStyle w:val="16"/>
          <w:rFonts w:ascii="黑体" w:hAnsi="黑体" w:eastAsia="黑体"/>
          <w:b w:val="0"/>
        </w:rPr>
      </w:pPr>
      <w:bookmarkStart w:id="38" w:name="_Toc15396609"/>
      <w:bookmarkStart w:id="39" w:name="_Toc15377215"/>
      <w:bookmarkStart w:id="40" w:name="_Toc6926"/>
      <w:r>
        <w:rPr>
          <w:rFonts w:hint="eastAsia" w:ascii="黑体" w:eastAsia="黑体"/>
          <w:color w:val="000000"/>
          <w:szCs w:val="32"/>
        </w:rPr>
        <w:t>七、</w:t>
      </w:r>
      <w:r>
        <w:rPr>
          <w:rStyle w:val="16"/>
          <w:rFonts w:hint="eastAsia" w:ascii="黑体" w:hAnsi="黑体" w:eastAsia="黑体"/>
        </w:rPr>
        <w:t>“</w:t>
      </w:r>
      <w:r>
        <w:rPr>
          <w:rStyle w:val="16"/>
          <w:rFonts w:hint="eastAsia" w:ascii="黑体" w:hAnsi="黑体" w:eastAsia="黑体"/>
          <w:b w:val="0"/>
        </w:rPr>
        <w:t>三公”经费财政拨款支出决算情况说明</w:t>
      </w:r>
      <w:bookmarkEnd w:id="38"/>
      <w:bookmarkEnd w:id="39"/>
      <w:bookmarkEnd w:id="40"/>
    </w:p>
    <w:p>
      <w:pPr>
        <w:spacing w:line="600" w:lineRule="exact"/>
        <w:ind w:firstLine="640"/>
        <w:outlineLvl w:val="2"/>
        <w:rPr>
          <w:rFonts w:ascii="仿宋" w:hAnsi="仿宋" w:eastAsia="仿宋"/>
          <w:b/>
          <w:color w:val="000000"/>
          <w:szCs w:val="32"/>
        </w:rPr>
      </w:pPr>
      <w:bookmarkStart w:id="41" w:name="_Toc15377216"/>
      <w:r>
        <w:rPr>
          <w:rFonts w:hint="eastAsia" w:ascii="仿宋" w:hAnsi="仿宋" w:eastAsia="仿宋"/>
          <w:b/>
          <w:color w:val="000000"/>
          <w:szCs w:val="32"/>
        </w:rPr>
        <w:t>（一）“三公”经费财政拨款支出决算总体情况说明</w:t>
      </w:r>
      <w:bookmarkEnd w:id="41"/>
    </w:p>
    <w:p>
      <w:pPr>
        <w:spacing w:line="600" w:lineRule="exact"/>
        <w:ind w:firstLine="645"/>
        <w:rPr>
          <w:rFonts w:ascii="仿宋_GB2312" w:hAnsi="仿宋_GB2312" w:cs="仿宋_GB2312"/>
          <w:color w:val="000000"/>
          <w:szCs w:val="32"/>
        </w:rPr>
      </w:pPr>
      <w:r>
        <w:rPr>
          <w:color w:val="000000"/>
          <w:szCs w:val="32"/>
        </w:rPr>
        <w:t>2020</w:t>
      </w:r>
      <w:r>
        <w:rPr>
          <w:rFonts w:hint="eastAsia" w:ascii="仿宋_GB2312" w:hAnsi="仿宋_GB2312" w:cs="仿宋_GB2312"/>
          <w:color w:val="000000"/>
          <w:szCs w:val="32"/>
        </w:rPr>
        <w:t>年“三公”经费财政拨款支出决算为</w:t>
      </w:r>
      <w:r>
        <w:rPr>
          <w:rFonts w:hint="eastAsia"/>
          <w:color w:val="000000"/>
          <w:szCs w:val="32"/>
        </w:rPr>
        <w:t>0.2</w:t>
      </w:r>
      <w:r>
        <w:rPr>
          <w:rFonts w:hint="eastAsia" w:ascii="仿宋_GB2312" w:hAnsi="仿宋_GB2312" w:cs="仿宋_GB2312"/>
          <w:color w:val="000000"/>
          <w:szCs w:val="32"/>
        </w:rPr>
        <w:t>万元，完成预算</w:t>
      </w:r>
      <w:r>
        <w:rPr>
          <w:rFonts w:hint="eastAsia"/>
          <w:color w:val="000000"/>
          <w:szCs w:val="32"/>
        </w:rPr>
        <w:t>100%</w:t>
      </w:r>
      <w:r>
        <w:rPr>
          <w:rFonts w:hint="eastAsia" w:ascii="仿宋_GB2312" w:hAnsi="仿宋_GB2312" w:cs="仿宋_GB2312"/>
          <w:color w:val="000000"/>
          <w:szCs w:val="32"/>
        </w:rPr>
        <w:t>，决算数等于预算数。</w:t>
      </w:r>
    </w:p>
    <w:p>
      <w:pPr>
        <w:spacing w:line="600" w:lineRule="exact"/>
        <w:ind w:firstLine="640"/>
        <w:outlineLvl w:val="2"/>
        <w:rPr>
          <w:rFonts w:ascii="仿宋" w:hAnsi="仿宋" w:eastAsia="仿宋"/>
          <w:b/>
          <w:color w:val="000000"/>
          <w:szCs w:val="32"/>
        </w:rPr>
      </w:pPr>
      <w:bookmarkStart w:id="42" w:name="_Toc15377217"/>
      <w:r>
        <w:rPr>
          <w:rFonts w:hint="eastAsia" w:ascii="仿宋" w:hAnsi="仿宋" w:eastAsia="仿宋"/>
          <w:b/>
          <w:color w:val="000000"/>
          <w:szCs w:val="32"/>
        </w:rPr>
        <w:t>（二）“三公”经费财政拨款支出决算具体情况说明</w:t>
      </w:r>
      <w:bookmarkEnd w:id="42"/>
    </w:p>
    <w:p>
      <w:pPr>
        <w:spacing w:line="600" w:lineRule="exact"/>
        <w:ind w:firstLine="640"/>
        <w:rPr>
          <w:rFonts w:ascii="仿宋" w:hAnsi="仿宋" w:eastAsia="仿宋"/>
          <w:color w:val="000000"/>
          <w:szCs w:val="32"/>
        </w:rPr>
      </w:pPr>
      <w:r>
        <w:rPr>
          <w:rFonts w:ascii="仿宋" w:hAnsi="仿宋" w:eastAsia="仿宋"/>
          <w:color w:val="000000"/>
          <w:szCs w:val="32"/>
        </w:rPr>
        <w:t>2020</w:t>
      </w:r>
      <w:r>
        <w:rPr>
          <w:rFonts w:hint="eastAsia" w:ascii="仿宋" w:hAnsi="仿宋" w:eastAsia="仿宋"/>
          <w:color w:val="000000"/>
          <w:szCs w:val="32"/>
        </w:rPr>
        <w:t>年“三公”经费财政拨款支出决算中，因公出国（境）费支出决算0万元，占0</w:t>
      </w:r>
      <w:r>
        <w:rPr>
          <w:rFonts w:ascii="仿宋" w:hAnsi="仿宋" w:eastAsia="仿宋"/>
          <w:color w:val="000000"/>
          <w:szCs w:val="32"/>
        </w:rPr>
        <w:t>%</w:t>
      </w:r>
      <w:r>
        <w:rPr>
          <w:rFonts w:hint="eastAsia" w:ascii="仿宋" w:hAnsi="仿宋" w:eastAsia="仿宋"/>
          <w:color w:val="000000"/>
          <w:szCs w:val="32"/>
        </w:rPr>
        <w:t>；公务用车购置及运行维护费支出决算0万元，占0</w:t>
      </w:r>
      <w:r>
        <w:rPr>
          <w:rFonts w:ascii="仿宋" w:hAnsi="仿宋" w:eastAsia="仿宋"/>
          <w:color w:val="000000"/>
          <w:szCs w:val="32"/>
        </w:rPr>
        <w:t>%</w:t>
      </w:r>
      <w:r>
        <w:rPr>
          <w:rFonts w:hint="eastAsia" w:ascii="仿宋" w:hAnsi="仿宋" w:eastAsia="仿宋"/>
          <w:color w:val="000000"/>
          <w:szCs w:val="32"/>
        </w:rPr>
        <w:t>；公务接待费支出决算0.2万元，占100</w:t>
      </w:r>
      <w:r>
        <w:rPr>
          <w:rFonts w:ascii="仿宋" w:hAnsi="仿宋" w:eastAsia="仿宋"/>
          <w:color w:val="000000"/>
          <w:szCs w:val="32"/>
        </w:rPr>
        <w:t>%</w:t>
      </w:r>
      <w:r>
        <w:rPr>
          <w:rFonts w:hint="eastAsia" w:ascii="仿宋" w:hAnsi="仿宋" w:eastAsia="仿宋"/>
          <w:color w:val="000000"/>
          <w:szCs w:val="32"/>
        </w:rPr>
        <w:t>。具体情况如下：</w:t>
      </w:r>
    </w:p>
    <w:p>
      <w:pPr>
        <w:spacing w:line="600" w:lineRule="exact"/>
        <w:ind w:firstLine="640"/>
        <w:jc w:val="center"/>
        <w:rPr>
          <w:rFonts w:ascii="仿宋" w:hAnsi="仿宋" w:eastAsia="仿宋"/>
          <w:color w:val="000000"/>
          <w:sz w:val="30"/>
          <w:szCs w:val="30"/>
        </w:rPr>
      </w:pPr>
      <w:r>
        <w:rPr>
          <w:rFonts w:hint="eastAsia" w:ascii="仿宋" w:hAnsi="仿宋" w:eastAsia="仿宋"/>
          <w:color w:val="000000"/>
          <w:sz w:val="30"/>
          <w:szCs w:val="30"/>
        </w:rPr>
        <w:drawing>
          <wp:anchor distT="0" distB="0" distL="114300" distR="114300" simplePos="0" relativeHeight="251665408" behindDoc="0" locked="0" layoutInCell="1" allowOverlap="1">
            <wp:simplePos x="0" y="0"/>
            <wp:positionH relativeFrom="column">
              <wp:posOffset>254635</wp:posOffset>
            </wp:positionH>
            <wp:positionV relativeFrom="page">
              <wp:posOffset>2974340</wp:posOffset>
            </wp:positionV>
            <wp:extent cx="5080000" cy="3810000"/>
            <wp:effectExtent l="4445" t="4445" r="20955" b="14605"/>
            <wp:wrapTopAndBottom/>
            <wp:docPr id="8" name="图表 8" descr="7b0a202020202263686172745265734964223a2022383733373733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Pr>
          <w:rFonts w:hint="eastAsia" w:ascii="仿宋" w:hAnsi="仿宋" w:eastAsia="仿宋"/>
          <w:color w:val="000000"/>
          <w:sz w:val="30"/>
          <w:szCs w:val="30"/>
        </w:rPr>
        <w:t>（图</w:t>
      </w:r>
      <w:r>
        <w:rPr>
          <w:rFonts w:ascii="仿宋" w:hAnsi="仿宋" w:eastAsia="仿宋"/>
          <w:color w:val="000000"/>
          <w:sz w:val="30"/>
          <w:szCs w:val="30"/>
        </w:rPr>
        <w:t>7</w:t>
      </w:r>
      <w:r>
        <w:rPr>
          <w:rFonts w:hint="eastAsia" w:ascii="仿宋" w:hAnsi="仿宋" w:eastAsia="仿宋"/>
          <w:color w:val="000000"/>
          <w:sz w:val="30"/>
          <w:szCs w:val="30"/>
        </w:rPr>
        <w:t>：“三公”经费财政拨款支出结构）（单位：万元）</w:t>
      </w:r>
    </w:p>
    <w:p>
      <w:pPr>
        <w:spacing w:line="600" w:lineRule="exact"/>
        <w:ind w:firstLine="640"/>
        <w:rPr>
          <w:rFonts w:ascii="仿宋_GB2312"/>
          <w:color w:val="000000"/>
          <w:szCs w:val="32"/>
        </w:rPr>
      </w:pPr>
      <w:r>
        <w:rPr>
          <w:rFonts w:ascii="仿宋_GB2312"/>
          <w:b/>
          <w:color w:val="000000"/>
          <w:szCs w:val="32"/>
        </w:rPr>
        <w:t>1.</w:t>
      </w:r>
      <w:r>
        <w:rPr>
          <w:rFonts w:hint="eastAsia" w:ascii="仿宋_GB2312"/>
          <w:b/>
          <w:color w:val="000000"/>
          <w:szCs w:val="32"/>
        </w:rPr>
        <w:t>因公出国（境）经费支出</w:t>
      </w:r>
      <w:r>
        <w:rPr>
          <w:rFonts w:hint="eastAsia" w:ascii="仿宋_GB2312"/>
          <w:color w:val="000000"/>
          <w:szCs w:val="32"/>
        </w:rPr>
        <w:t>0万元，</w:t>
      </w:r>
      <w:r>
        <w:rPr>
          <w:rStyle w:val="13"/>
          <w:rFonts w:hint="eastAsia" w:ascii="仿宋" w:hAnsi="仿宋" w:eastAsia="仿宋"/>
          <w:b w:val="0"/>
          <w:bCs/>
          <w:color w:val="000000"/>
          <w:szCs w:val="32"/>
        </w:rPr>
        <w:t>完成预算100</w:t>
      </w:r>
      <w:r>
        <w:rPr>
          <w:rStyle w:val="13"/>
          <w:rFonts w:ascii="仿宋" w:hAnsi="仿宋" w:eastAsia="仿宋"/>
          <w:b w:val="0"/>
          <w:bCs/>
          <w:color w:val="000000"/>
          <w:szCs w:val="32"/>
        </w:rPr>
        <w:t>%</w:t>
      </w:r>
      <w:r>
        <w:rPr>
          <w:rStyle w:val="13"/>
          <w:rFonts w:hint="eastAsia" w:ascii="仿宋" w:hAnsi="仿宋" w:eastAsia="仿宋"/>
          <w:b w:val="0"/>
          <w:bCs/>
          <w:color w:val="000000"/>
          <w:szCs w:val="32"/>
        </w:rPr>
        <w:t>。</w:t>
      </w:r>
      <w:r>
        <w:rPr>
          <w:rFonts w:hint="eastAsia" w:ascii="仿宋_GB2312"/>
          <w:color w:val="000000"/>
          <w:szCs w:val="32"/>
        </w:rPr>
        <w:t>全年安排因公出国（境）团组0次，出国（境）0人。因公出国（境）支出决算与上年持平。</w:t>
      </w:r>
    </w:p>
    <w:p>
      <w:pPr>
        <w:spacing w:line="600" w:lineRule="exact"/>
        <w:ind w:firstLine="640"/>
        <w:rPr>
          <w:rFonts w:ascii="仿宋_GB2312"/>
          <w:b/>
          <w:color w:val="000000"/>
          <w:szCs w:val="32"/>
        </w:rPr>
      </w:pPr>
      <w:r>
        <w:rPr>
          <w:rFonts w:ascii="仿宋_GB2312"/>
          <w:b/>
          <w:color w:val="000000"/>
          <w:szCs w:val="32"/>
        </w:rPr>
        <w:t>2.</w:t>
      </w:r>
      <w:r>
        <w:rPr>
          <w:rFonts w:hint="eastAsia" w:ascii="仿宋_GB2312"/>
          <w:b/>
          <w:color w:val="000000"/>
          <w:szCs w:val="32"/>
        </w:rPr>
        <w:t>公务用车购置及运行维护费支出</w:t>
      </w:r>
      <w:r>
        <w:rPr>
          <w:rFonts w:hint="eastAsia" w:ascii="仿宋_GB2312"/>
          <w:color w:val="000000"/>
          <w:szCs w:val="32"/>
        </w:rPr>
        <w:t>0万元</w:t>
      </w:r>
      <w:r>
        <w:rPr>
          <w:rFonts w:ascii="仿宋_GB2312"/>
          <w:color w:val="000000"/>
          <w:szCs w:val="32"/>
        </w:rPr>
        <w:t>,</w:t>
      </w:r>
      <w:r>
        <w:rPr>
          <w:rStyle w:val="13"/>
          <w:rFonts w:hint="eastAsia" w:ascii="仿宋" w:hAnsi="仿宋" w:eastAsia="仿宋"/>
          <w:b w:val="0"/>
          <w:bCs/>
          <w:color w:val="000000"/>
          <w:szCs w:val="32"/>
        </w:rPr>
        <w:t>完成预算100</w:t>
      </w:r>
      <w:r>
        <w:rPr>
          <w:rStyle w:val="13"/>
          <w:rFonts w:ascii="仿宋" w:hAnsi="仿宋" w:eastAsia="仿宋"/>
          <w:b w:val="0"/>
          <w:bCs/>
          <w:color w:val="000000"/>
          <w:szCs w:val="32"/>
        </w:rPr>
        <w:t>%</w:t>
      </w:r>
      <w:r>
        <w:rPr>
          <w:rStyle w:val="13"/>
          <w:rFonts w:hint="eastAsia" w:ascii="仿宋" w:hAnsi="仿宋" w:eastAsia="仿宋"/>
          <w:b w:val="0"/>
          <w:bCs/>
          <w:color w:val="000000"/>
          <w:szCs w:val="32"/>
        </w:rPr>
        <w:t>。</w:t>
      </w:r>
      <w:r>
        <w:rPr>
          <w:rFonts w:hint="eastAsia" w:ascii="仿宋_GB2312"/>
          <w:color w:val="000000"/>
          <w:szCs w:val="32"/>
        </w:rPr>
        <w:t>公务用车购置及运行维护费支出决算与上年持平。</w:t>
      </w:r>
    </w:p>
    <w:p>
      <w:pPr>
        <w:spacing w:line="600" w:lineRule="exact"/>
        <w:ind w:firstLine="640" w:firstLineChars="200"/>
        <w:rPr>
          <w:rFonts w:ascii="仿宋_GB2312"/>
          <w:b/>
          <w:color w:val="000000"/>
          <w:szCs w:val="32"/>
        </w:rPr>
      </w:pPr>
      <w:r>
        <w:rPr>
          <w:rFonts w:hint="eastAsia" w:ascii="仿宋_GB2312"/>
          <w:color w:val="000000"/>
          <w:szCs w:val="32"/>
        </w:rPr>
        <w:t>其中：</w:t>
      </w:r>
      <w:r>
        <w:rPr>
          <w:rFonts w:hint="eastAsia" w:ascii="仿宋_GB2312"/>
          <w:b/>
          <w:color w:val="000000"/>
          <w:szCs w:val="32"/>
        </w:rPr>
        <w:t>公务用车购置支出</w:t>
      </w:r>
      <w:r>
        <w:rPr>
          <w:rFonts w:hint="eastAsia" w:ascii="仿宋_GB2312"/>
          <w:color w:val="000000"/>
          <w:szCs w:val="32"/>
        </w:rPr>
        <w:t>0万元。全年按规定更新购置公务用车0辆，其中：轿车0辆、金额0万元，越野车0辆、金额0万元，载客汽车0辆、金额0万元。截至</w:t>
      </w:r>
      <w:r>
        <w:rPr>
          <w:rFonts w:ascii="仿宋_GB2312"/>
          <w:color w:val="000000"/>
          <w:szCs w:val="32"/>
        </w:rPr>
        <w:t>2020</w:t>
      </w:r>
      <w:r>
        <w:rPr>
          <w:rFonts w:hint="eastAsia" w:ascii="仿宋_GB2312"/>
          <w:color w:val="000000"/>
          <w:szCs w:val="32"/>
        </w:rPr>
        <w:t>年</w:t>
      </w:r>
      <w:r>
        <w:rPr>
          <w:rFonts w:ascii="仿宋_GB2312"/>
          <w:color w:val="000000"/>
          <w:szCs w:val="32"/>
        </w:rPr>
        <w:t>12</w:t>
      </w:r>
      <w:r>
        <w:rPr>
          <w:rFonts w:hint="eastAsia" w:ascii="仿宋_GB2312"/>
          <w:color w:val="000000"/>
          <w:szCs w:val="32"/>
        </w:rPr>
        <w:t>月底，单位共有公务用车0辆，其中：轿车0辆、越野车0辆、载客汽车0辆。</w:t>
      </w:r>
    </w:p>
    <w:p>
      <w:pPr>
        <w:spacing w:line="600" w:lineRule="exact"/>
        <w:ind w:firstLine="640"/>
        <w:rPr>
          <w:rFonts w:ascii="仿宋_GB2312"/>
          <w:color w:val="000000"/>
          <w:szCs w:val="32"/>
        </w:rPr>
      </w:pPr>
      <w:r>
        <w:rPr>
          <w:rFonts w:hint="eastAsia" w:ascii="仿宋_GB2312"/>
          <w:b/>
          <w:color w:val="000000"/>
          <w:szCs w:val="32"/>
        </w:rPr>
        <w:t>公务用车运行维护费支出</w:t>
      </w:r>
      <w:r>
        <w:rPr>
          <w:rFonts w:hint="eastAsia" w:ascii="仿宋_GB2312"/>
          <w:color w:val="000000"/>
          <w:szCs w:val="32"/>
        </w:rPr>
        <w:t>0万元。</w:t>
      </w:r>
    </w:p>
    <w:p>
      <w:pPr>
        <w:spacing w:line="600" w:lineRule="exact"/>
        <w:ind w:firstLine="640"/>
        <w:rPr>
          <w:rFonts w:ascii="仿宋_GB2312"/>
          <w:color w:val="000000"/>
          <w:szCs w:val="32"/>
        </w:rPr>
      </w:pPr>
      <w:r>
        <w:rPr>
          <w:rFonts w:ascii="仿宋_GB2312"/>
          <w:b/>
          <w:color w:val="000000"/>
          <w:szCs w:val="32"/>
        </w:rPr>
        <w:t>3.</w:t>
      </w:r>
      <w:r>
        <w:rPr>
          <w:rFonts w:hint="eastAsia" w:ascii="仿宋_GB2312"/>
          <w:b/>
          <w:color w:val="000000"/>
          <w:szCs w:val="32"/>
        </w:rPr>
        <w:t>公务接待费支出</w:t>
      </w:r>
      <w:r>
        <w:rPr>
          <w:rFonts w:hint="eastAsia" w:ascii="仿宋_GB2312"/>
          <w:color w:val="000000"/>
          <w:szCs w:val="32"/>
        </w:rPr>
        <w:t>0.2万元，</w:t>
      </w:r>
      <w:r>
        <w:rPr>
          <w:rStyle w:val="13"/>
          <w:rFonts w:hint="eastAsia" w:ascii="仿宋" w:hAnsi="仿宋" w:eastAsia="仿宋"/>
          <w:b w:val="0"/>
          <w:bCs/>
          <w:color w:val="000000"/>
          <w:szCs w:val="32"/>
        </w:rPr>
        <w:t>完成预算100</w:t>
      </w:r>
      <w:r>
        <w:rPr>
          <w:rStyle w:val="13"/>
          <w:rFonts w:ascii="仿宋" w:hAnsi="仿宋" w:eastAsia="仿宋"/>
          <w:b w:val="0"/>
          <w:bCs/>
          <w:color w:val="000000"/>
          <w:szCs w:val="32"/>
        </w:rPr>
        <w:t>%</w:t>
      </w:r>
      <w:r>
        <w:rPr>
          <w:rStyle w:val="13"/>
          <w:rFonts w:hint="eastAsia" w:ascii="仿宋" w:hAnsi="仿宋" w:eastAsia="仿宋"/>
          <w:b w:val="0"/>
          <w:bCs/>
          <w:color w:val="000000"/>
          <w:szCs w:val="32"/>
        </w:rPr>
        <w:t>。</w:t>
      </w:r>
      <w:r>
        <w:rPr>
          <w:rFonts w:hint="eastAsia" w:ascii="仿宋_GB2312"/>
          <w:color w:val="000000"/>
          <w:szCs w:val="32"/>
        </w:rPr>
        <w:t>公务接待费支出决算与上年持平。其中：</w:t>
      </w:r>
    </w:p>
    <w:p>
      <w:pPr>
        <w:spacing w:line="600" w:lineRule="exact"/>
        <w:ind w:firstLine="640"/>
        <w:rPr>
          <w:rFonts w:ascii="仿宋_GB2312"/>
          <w:color w:val="000000"/>
          <w:szCs w:val="32"/>
        </w:rPr>
      </w:pPr>
      <w:r>
        <w:rPr>
          <w:rFonts w:hint="eastAsia" w:ascii="仿宋" w:hAnsi="仿宋" w:eastAsia="仿宋"/>
          <w:b/>
          <w:color w:val="000000"/>
          <w:szCs w:val="32"/>
        </w:rPr>
        <w:t>国内公务接待支出</w:t>
      </w:r>
      <w:r>
        <w:rPr>
          <w:rFonts w:hint="eastAsia" w:ascii="仿宋" w:hAnsi="仿宋" w:eastAsia="仿宋"/>
          <w:color w:val="000000"/>
          <w:szCs w:val="32"/>
        </w:rPr>
        <w:t>0.2</w:t>
      </w:r>
      <w:r>
        <w:rPr>
          <w:rFonts w:hint="eastAsia" w:ascii="仿宋_GB2312"/>
          <w:color w:val="000000"/>
          <w:szCs w:val="32"/>
        </w:rPr>
        <w:t>万元，主要用于执行公务、开展业务活动开支的交通费、住宿费、用餐费等。国内公务接待20批次，20人次（不包括陪同人员），共计支出0.2万元，具体内容包括：上级巡视巡察机构调研座谈以及其他区县巡察机构交流联系，合计0.2万元。</w:t>
      </w:r>
    </w:p>
    <w:p>
      <w:pPr>
        <w:spacing w:line="600" w:lineRule="exact"/>
        <w:ind w:firstLine="643" w:firstLineChars="200"/>
        <w:rPr>
          <w:rFonts w:ascii="黑体" w:eastAsia="黑体"/>
          <w:color w:val="000000"/>
          <w:szCs w:val="32"/>
        </w:rPr>
      </w:pPr>
      <w:r>
        <w:rPr>
          <w:rFonts w:hint="eastAsia" w:ascii="仿宋" w:hAnsi="仿宋" w:eastAsia="仿宋"/>
          <w:b/>
          <w:color w:val="000000"/>
          <w:szCs w:val="32"/>
        </w:rPr>
        <w:t>外事接待支出</w:t>
      </w:r>
      <w:r>
        <w:rPr>
          <w:rFonts w:hint="eastAsia" w:ascii="仿宋" w:hAnsi="仿宋" w:eastAsia="仿宋"/>
          <w:color w:val="000000"/>
          <w:szCs w:val="32"/>
        </w:rPr>
        <w:t>0</w:t>
      </w:r>
      <w:r>
        <w:rPr>
          <w:rFonts w:hint="eastAsia" w:ascii="仿宋_GB2312"/>
          <w:color w:val="000000"/>
          <w:szCs w:val="32"/>
        </w:rPr>
        <w:t>万元，外事接待0批次，0人，共计支出0万元。</w:t>
      </w:r>
      <w:bookmarkStart w:id="43" w:name="_Toc15377218"/>
      <w:bookmarkStart w:id="44" w:name="_Toc15396610"/>
    </w:p>
    <w:p>
      <w:pPr>
        <w:spacing w:line="600" w:lineRule="exact"/>
        <w:ind w:firstLine="640"/>
        <w:outlineLvl w:val="1"/>
        <w:rPr>
          <w:rStyle w:val="16"/>
          <w:rFonts w:ascii="黑体" w:hAnsi="黑体" w:eastAsia="黑体"/>
        </w:rPr>
      </w:pPr>
      <w:bookmarkStart w:id="45" w:name="_Toc9843"/>
      <w:r>
        <w:rPr>
          <w:rFonts w:hint="eastAsia" w:ascii="黑体" w:eastAsia="黑体"/>
          <w:color w:val="000000"/>
          <w:szCs w:val="32"/>
        </w:rPr>
        <w:t>八、</w:t>
      </w:r>
      <w:r>
        <w:rPr>
          <w:rStyle w:val="16"/>
          <w:rFonts w:hint="eastAsia" w:ascii="黑体" w:hAnsi="黑体" w:eastAsia="黑体"/>
          <w:b w:val="0"/>
        </w:rPr>
        <w:t>政府性基金预算支出决算情况说明</w:t>
      </w:r>
      <w:bookmarkEnd w:id="43"/>
      <w:bookmarkEnd w:id="44"/>
      <w:bookmarkEnd w:id="45"/>
    </w:p>
    <w:p>
      <w:pPr>
        <w:spacing w:line="600" w:lineRule="exact"/>
        <w:ind w:firstLine="640"/>
        <w:rPr>
          <w:rFonts w:ascii="仿宋_GB2312"/>
          <w:color w:val="000000"/>
          <w:szCs w:val="32"/>
        </w:rPr>
      </w:pPr>
      <w:r>
        <w:rPr>
          <w:rFonts w:ascii="仿宋_GB2312"/>
          <w:color w:val="000000"/>
          <w:szCs w:val="32"/>
        </w:rPr>
        <w:t>2020</w:t>
      </w:r>
      <w:r>
        <w:rPr>
          <w:rFonts w:hint="eastAsia" w:ascii="仿宋_GB2312"/>
          <w:color w:val="000000"/>
          <w:szCs w:val="32"/>
        </w:rPr>
        <w:t>年政府性基金预算拨款支出0万元。</w:t>
      </w:r>
    </w:p>
    <w:p>
      <w:pPr>
        <w:numPr>
          <w:ilvl w:val="0"/>
          <w:numId w:val="2"/>
        </w:numPr>
        <w:spacing w:line="600" w:lineRule="exact"/>
        <w:ind w:firstLine="640"/>
        <w:outlineLvl w:val="1"/>
        <w:rPr>
          <w:rStyle w:val="16"/>
          <w:rFonts w:ascii="黑体" w:hAnsi="黑体" w:eastAsia="黑体"/>
          <w:b w:val="0"/>
        </w:rPr>
      </w:pPr>
      <w:bookmarkStart w:id="46" w:name="_Toc15377219"/>
      <w:bookmarkStart w:id="47" w:name="_Toc15396611"/>
      <w:bookmarkStart w:id="48" w:name="_Toc10775"/>
      <w:r>
        <w:rPr>
          <w:rStyle w:val="16"/>
          <w:rFonts w:hint="eastAsia" w:ascii="黑体" w:hAnsi="黑体" w:eastAsia="黑体"/>
          <w:b w:val="0"/>
        </w:rPr>
        <w:t>国有资本经营预算支出决算情况说明</w:t>
      </w:r>
      <w:bookmarkEnd w:id="46"/>
      <w:bookmarkEnd w:id="47"/>
      <w:bookmarkEnd w:id="48"/>
    </w:p>
    <w:p>
      <w:pPr>
        <w:spacing w:line="600" w:lineRule="exact"/>
        <w:ind w:firstLine="640"/>
        <w:rPr>
          <w:rFonts w:ascii="仿宋_GB2312"/>
          <w:color w:val="000000"/>
          <w:szCs w:val="32"/>
        </w:rPr>
      </w:pPr>
      <w:r>
        <w:rPr>
          <w:rFonts w:ascii="仿宋_GB2312"/>
          <w:color w:val="000000"/>
          <w:szCs w:val="32"/>
        </w:rPr>
        <w:t>2020</w:t>
      </w:r>
      <w:r>
        <w:rPr>
          <w:rFonts w:hint="eastAsia" w:ascii="仿宋_GB2312"/>
          <w:color w:val="000000"/>
          <w:szCs w:val="32"/>
        </w:rPr>
        <w:t>年国有资本经营预算拨款支出0万元。</w:t>
      </w:r>
    </w:p>
    <w:p>
      <w:pPr>
        <w:spacing w:line="600" w:lineRule="exact"/>
        <w:ind w:firstLine="800" w:firstLineChars="250"/>
        <w:outlineLvl w:val="1"/>
        <w:rPr>
          <w:rStyle w:val="16"/>
          <w:rFonts w:ascii="黑体" w:hAnsi="黑体" w:eastAsia="黑体"/>
        </w:rPr>
      </w:pPr>
      <w:bookmarkStart w:id="49" w:name="_Toc15396612"/>
      <w:bookmarkStart w:id="50" w:name="_Toc15377221"/>
      <w:bookmarkStart w:id="51" w:name="_Toc738"/>
      <w:r>
        <w:rPr>
          <w:rFonts w:hint="eastAsia" w:ascii="黑体" w:hAnsi="黑体" w:eastAsia="黑体"/>
          <w:color w:val="000000"/>
          <w:szCs w:val="32"/>
        </w:rPr>
        <w:t>十</w:t>
      </w:r>
      <w:r>
        <w:rPr>
          <w:rStyle w:val="16"/>
          <w:rFonts w:hint="eastAsia" w:ascii="黑体" w:hAnsi="黑体" w:eastAsia="黑体"/>
        </w:rPr>
        <w:t>、</w:t>
      </w:r>
      <w:r>
        <w:rPr>
          <w:rStyle w:val="16"/>
          <w:rFonts w:hint="eastAsia" w:ascii="黑体" w:hAnsi="黑体" w:eastAsia="黑体"/>
          <w:b w:val="0"/>
        </w:rPr>
        <w:t>其他重要事项的情况说明</w:t>
      </w:r>
      <w:bookmarkEnd w:id="49"/>
      <w:bookmarkEnd w:id="50"/>
      <w:bookmarkEnd w:id="51"/>
    </w:p>
    <w:p>
      <w:pPr>
        <w:spacing w:line="600" w:lineRule="exact"/>
        <w:ind w:firstLine="643" w:firstLineChars="200"/>
        <w:outlineLvl w:val="2"/>
        <w:rPr>
          <w:rFonts w:ascii="仿宋" w:hAnsi="仿宋" w:eastAsia="仿宋"/>
          <w:color w:val="000000"/>
          <w:szCs w:val="32"/>
        </w:rPr>
      </w:pPr>
      <w:bookmarkStart w:id="52" w:name="_Toc15377222"/>
      <w:r>
        <w:rPr>
          <w:rFonts w:hint="eastAsia" w:ascii="仿宋" w:hAnsi="仿宋" w:eastAsia="仿宋"/>
          <w:b/>
          <w:color w:val="000000"/>
          <w:szCs w:val="32"/>
        </w:rPr>
        <w:t>（一）机关运行经费支出情况</w:t>
      </w:r>
      <w:bookmarkEnd w:id="52"/>
    </w:p>
    <w:p>
      <w:pPr>
        <w:spacing w:line="600" w:lineRule="exact"/>
        <w:ind w:firstLine="640" w:firstLineChars="200"/>
        <w:rPr>
          <w:rFonts w:ascii="仿宋" w:hAnsi="仿宋" w:eastAsia="仿宋"/>
          <w:b/>
          <w:color w:val="FF0000"/>
          <w:szCs w:val="32"/>
        </w:rPr>
      </w:pPr>
      <w:r>
        <w:rPr>
          <w:rFonts w:ascii="仿宋_GB2312"/>
          <w:color w:val="000000"/>
          <w:szCs w:val="32"/>
        </w:rPr>
        <w:t>2020</w:t>
      </w:r>
      <w:r>
        <w:rPr>
          <w:rFonts w:hint="eastAsia" w:ascii="仿宋_GB2312"/>
          <w:color w:val="000000"/>
          <w:szCs w:val="32"/>
        </w:rPr>
        <w:t>年，自流井区委巡察办</w:t>
      </w:r>
      <w:r>
        <w:rPr>
          <w:rFonts w:hint="eastAsia" w:ascii="仿宋_GB2312"/>
          <w:color w:val="000000"/>
          <w:szCs w:val="32"/>
          <w:lang w:eastAsia="zh-CN"/>
        </w:rPr>
        <w:t>（本级）</w:t>
      </w:r>
      <w:r>
        <w:rPr>
          <w:rFonts w:hint="eastAsia" w:ascii="仿宋_GB2312"/>
          <w:color w:val="000000"/>
          <w:szCs w:val="32"/>
        </w:rPr>
        <w:t>机关运行经费支出54.21万元，比</w:t>
      </w:r>
      <w:r>
        <w:rPr>
          <w:rFonts w:ascii="仿宋_GB2312"/>
          <w:color w:val="000000"/>
          <w:szCs w:val="32"/>
        </w:rPr>
        <w:t>2019</w:t>
      </w:r>
      <w:r>
        <w:rPr>
          <w:rFonts w:hint="eastAsia" w:ascii="仿宋_GB2312"/>
          <w:color w:val="000000"/>
          <w:szCs w:val="32"/>
        </w:rPr>
        <w:t>年增加32.62万元，增长151</w:t>
      </w:r>
      <w:r>
        <w:rPr>
          <w:rFonts w:ascii="仿宋_GB2312"/>
          <w:color w:val="000000"/>
          <w:szCs w:val="32"/>
        </w:rPr>
        <w:t>%</w:t>
      </w:r>
      <w:r>
        <w:rPr>
          <w:rFonts w:hint="eastAsia" w:ascii="仿宋_GB2312"/>
          <w:color w:val="000000"/>
          <w:szCs w:val="32"/>
        </w:rPr>
        <w:t>。</w:t>
      </w:r>
      <w:r>
        <w:rPr>
          <w:rFonts w:hint="eastAsia" w:ascii="仿宋_GB2312" w:hAnsi="仿宋_GB2312" w:cs="仿宋_GB2312"/>
          <w:color w:val="000000"/>
          <w:szCs w:val="32"/>
        </w:rPr>
        <w:t>主要变动原因是</w:t>
      </w:r>
      <w:r>
        <w:rPr>
          <w:rFonts w:hint="eastAsia" w:ascii="仿宋_GB2312" w:hAnsi="仿宋_GB2312" w:cs="仿宋_GB2312"/>
          <w:szCs w:val="32"/>
        </w:rPr>
        <w:t>2019年单位人员未配齐，自2020年1月起至年底，财政供养人员配齐13人，因此而产生的人员经费、养老、公积金等费用增加，属于正常变动。</w:t>
      </w:r>
    </w:p>
    <w:p>
      <w:pPr>
        <w:autoSpaceDE w:val="0"/>
        <w:autoSpaceDN w:val="0"/>
        <w:adjustRightInd w:val="0"/>
        <w:spacing w:line="600" w:lineRule="exact"/>
        <w:ind w:firstLine="643" w:firstLineChars="200"/>
        <w:jc w:val="left"/>
        <w:outlineLvl w:val="2"/>
        <w:rPr>
          <w:rFonts w:ascii="仿宋" w:hAnsi="仿宋" w:eastAsia="仿宋"/>
          <w:b/>
          <w:color w:val="000000"/>
          <w:szCs w:val="32"/>
        </w:rPr>
      </w:pPr>
      <w:bookmarkStart w:id="53" w:name="_Toc15377223"/>
      <w:r>
        <w:rPr>
          <w:rFonts w:hint="eastAsia" w:ascii="仿宋" w:hAnsi="仿宋" w:eastAsia="仿宋"/>
          <w:b/>
          <w:color w:val="000000"/>
          <w:szCs w:val="32"/>
        </w:rPr>
        <w:t>（二）政府采购支出情况</w:t>
      </w:r>
      <w:bookmarkEnd w:id="53"/>
    </w:p>
    <w:p>
      <w:pPr>
        <w:spacing w:line="600" w:lineRule="exact"/>
        <w:ind w:firstLine="640" w:firstLineChars="200"/>
        <w:rPr>
          <w:rFonts w:ascii="仿宋_GB2312"/>
          <w:color w:val="000000"/>
          <w:szCs w:val="32"/>
        </w:rPr>
      </w:pPr>
      <w:r>
        <w:rPr>
          <w:rFonts w:ascii="仿宋_GB2312"/>
          <w:color w:val="000000"/>
          <w:szCs w:val="32"/>
        </w:rPr>
        <w:t>2020</w:t>
      </w:r>
      <w:r>
        <w:rPr>
          <w:rFonts w:hint="eastAsia" w:ascii="仿宋_GB2312"/>
          <w:color w:val="000000"/>
          <w:szCs w:val="32"/>
        </w:rPr>
        <w:t>年，自流井区委巡察办</w:t>
      </w:r>
      <w:r>
        <w:rPr>
          <w:rFonts w:hint="eastAsia" w:ascii="仿宋_GB2312"/>
          <w:color w:val="000000"/>
          <w:szCs w:val="32"/>
          <w:lang w:eastAsia="zh-CN"/>
        </w:rPr>
        <w:t>（本级）</w:t>
      </w:r>
      <w:r>
        <w:rPr>
          <w:rFonts w:hint="eastAsia" w:ascii="仿宋_GB2312"/>
          <w:color w:val="000000"/>
          <w:szCs w:val="32"/>
        </w:rPr>
        <w:t>政府采购支出总额3.89万元，其中：政府采购货物支出3.89万元、政府采购工程支出0万元、政府采购服务支出0万元。主要用于办公设备购置。授予中小企业合同金额3.89万元，占政府采购支出总额的100</w:t>
      </w:r>
      <w:r>
        <w:rPr>
          <w:rFonts w:ascii="仿宋_GB2312"/>
          <w:color w:val="000000"/>
          <w:szCs w:val="32"/>
        </w:rPr>
        <w:t>%</w:t>
      </w:r>
      <w:r>
        <w:rPr>
          <w:rFonts w:hint="eastAsia" w:ascii="仿宋_GB2312"/>
          <w:color w:val="000000"/>
          <w:szCs w:val="32"/>
        </w:rPr>
        <w:t>，其中：授予小微企业合同金额3.89万元，占政府采购支出总额的100</w:t>
      </w:r>
      <w:r>
        <w:rPr>
          <w:rFonts w:ascii="仿宋_GB2312"/>
          <w:color w:val="000000"/>
          <w:szCs w:val="32"/>
        </w:rPr>
        <w:t>%</w:t>
      </w:r>
      <w:r>
        <w:rPr>
          <w:rFonts w:hint="eastAsia" w:ascii="仿宋_GB2312"/>
          <w:color w:val="000000"/>
          <w:szCs w:val="32"/>
        </w:rPr>
        <w:t>。</w:t>
      </w:r>
    </w:p>
    <w:p>
      <w:pPr>
        <w:autoSpaceDE w:val="0"/>
        <w:autoSpaceDN w:val="0"/>
        <w:adjustRightInd w:val="0"/>
        <w:spacing w:line="600" w:lineRule="exact"/>
        <w:ind w:firstLine="643" w:firstLineChars="200"/>
        <w:jc w:val="left"/>
        <w:outlineLvl w:val="2"/>
        <w:rPr>
          <w:rFonts w:ascii="仿宋" w:hAnsi="仿宋" w:eastAsia="仿宋"/>
          <w:b/>
          <w:color w:val="000000"/>
          <w:szCs w:val="32"/>
        </w:rPr>
      </w:pPr>
      <w:bookmarkStart w:id="54" w:name="_Toc15377224"/>
      <w:r>
        <w:rPr>
          <w:rFonts w:hint="eastAsia" w:ascii="仿宋" w:hAnsi="仿宋" w:eastAsia="仿宋"/>
          <w:b/>
          <w:color w:val="000000"/>
          <w:szCs w:val="32"/>
        </w:rPr>
        <w:t>（三）国有资产占有使用情况</w:t>
      </w:r>
      <w:bookmarkEnd w:id="54"/>
    </w:p>
    <w:p>
      <w:pPr>
        <w:autoSpaceDE w:val="0"/>
        <w:autoSpaceDN w:val="0"/>
        <w:adjustRightInd w:val="0"/>
        <w:spacing w:line="600" w:lineRule="exact"/>
        <w:ind w:firstLine="640" w:firstLineChars="200"/>
        <w:jc w:val="left"/>
        <w:rPr>
          <w:rFonts w:ascii="仿宋" w:hAnsi="仿宋" w:eastAsia="仿宋"/>
          <w:b/>
          <w:color w:val="FF0000"/>
          <w:szCs w:val="32"/>
        </w:rPr>
      </w:pPr>
      <w:r>
        <w:rPr>
          <w:rFonts w:hint="eastAsia" w:ascii="仿宋_GB2312"/>
          <w:color w:val="000000"/>
          <w:szCs w:val="32"/>
        </w:rPr>
        <w:t>截至</w:t>
      </w:r>
      <w:r>
        <w:rPr>
          <w:rFonts w:ascii="仿宋_GB2312"/>
          <w:color w:val="000000"/>
          <w:szCs w:val="32"/>
        </w:rPr>
        <w:t>2020</w:t>
      </w:r>
      <w:r>
        <w:rPr>
          <w:rFonts w:hint="eastAsia" w:ascii="仿宋_GB2312"/>
          <w:color w:val="000000"/>
          <w:szCs w:val="32"/>
        </w:rPr>
        <w:t>年</w:t>
      </w:r>
      <w:r>
        <w:rPr>
          <w:rFonts w:ascii="仿宋_GB2312"/>
          <w:color w:val="000000"/>
          <w:szCs w:val="32"/>
        </w:rPr>
        <w:t>12</w:t>
      </w:r>
      <w:r>
        <w:rPr>
          <w:rFonts w:hint="eastAsia" w:ascii="仿宋_GB2312"/>
          <w:color w:val="000000"/>
          <w:szCs w:val="32"/>
        </w:rPr>
        <w:t>月</w:t>
      </w:r>
      <w:r>
        <w:rPr>
          <w:rFonts w:ascii="仿宋_GB2312"/>
          <w:color w:val="000000"/>
          <w:szCs w:val="32"/>
        </w:rPr>
        <w:t>31</w:t>
      </w:r>
      <w:r>
        <w:rPr>
          <w:rFonts w:hint="eastAsia" w:ascii="仿宋_GB2312"/>
          <w:color w:val="000000"/>
          <w:szCs w:val="32"/>
        </w:rPr>
        <w:t>日，自流井区委巡察办</w:t>
      </w:r>
      <w:r>
        <w:rPr>
          <w:rFonts w:hint="eastAsia" w:ascii="仿宋_GB2312"/>
          <w:color w:val="000000"/>
          <w:szCs w:val="32"/>
          <w:lang w:eastAsia="zh-CN"/>
        </w:rPr>
        <w:t>（本级）</w:t>
      </w:r>
      <w:r>
        <w:rPr>
          <w:rFonts w:hint="eastAsia" w:ascii="仿宋_GB2312"/>
          <w:color w:val="000000"/>
          <w:szCs w:val="32"/>
        </w:rPr>
        <w:t>共有车辆0辆，其中：主要领导干部用车0辆、机要通信用车0辆、应急保障用车0辆、其他用车0辆，单价</w:t>
      </w:r>
      <w:r>
        <w:rPr>
          <w:rFonts w:ascii="仿宋_GB2312"/>
          <w:color w:val="000000"/>
          <w:szCs w:val="32"/>
        </w:rPr>
        <w:t>50</w:t>
      </w:r>
      <w:r>
        <w:rPr>
          <w:rFonts w:hint="eastAsia" w:ascii="仿宋_GB2312"/>
          <w:color w:val="000000"/>
          <w:szCs w:val="32"/>
        </w:rPr>
        <w:t>万元以上通用设备0台（套），单价</w:t>
      </w:r>
      <w:r>
        <w:rPr>
          <w:rFonts w:ascii="仿宋_GB2312"/>
          <w:color w:val="000000"/>
          <w:szCs w:val="32"/>
        </w:rPr>
        <w:t>100</w:t>
      </w:r>
      <w:r>
        <w:rPr>
          <w:rFonts w:hint="eastAsia" w:ascii="仿宋_GB2312"/>
          <w:color w:val="000000"/>
          <w:szCs w:val="32"/>
        </w:rPr>
        <w:t>万元以上专用设备0台（套）。</w:t>
      </w:r>
    </w:p>
    <w:p>
      <w:pPr>
        <w:autoSpaceDE w:val="0"/>
        <w:autoSpaceDN w:val="0"/>
        <w:adjustRightInd w:val="0"/>
        <w:spacing w:line="600" w:lineRule="exact"/>
        <w:ind w:firstLine="643" w:firstLineChars="200"/>
        <w:jc w:val="left"/>
        <w:outlineLvl w:val="2"/>
        <w:rPr>
          <w:rFonts w:ascii="仿宋" w:hAnsi="仿宋" w:eastAsia="仿宋"/>
          <w:b/>
          <w:color w:val="000000"/>
          <w:szCs w:val="32"/>
        </w:rPr>
      </w:pPr>
      <w:r>
        <w:rPr>
          <w:rFonts w:hint="eastAsia" w:ascii="仿宋" w:hAnsi="仿宋" w:eastAsia="仿宋"/>
          <w:b/>
          <w:color w:val="000000"/>
          <w:szCs w:val="32"/>
        </w:rPr>
        <w:t>（四）预算绩效管理情况。</w:t>
      </w:r>
    </w:p>
    <w:p>
      <w:pPr>
        <w:spacing w:line="580" w:lineRule="exact"/>
        <w:ind w:firstLine="640" w:firstLineChars="200"/>
        <w:rPr>
          <w:rFonts w:ascii="仿宋_GB2312" w:hAnsi="仿宋_GB2312" w:cs="仿宋_GB2312"/>
          <w:szCs w:val="32"/>
        </w:rPr>
      </w:pPr>
      <w:r>
        <w:rPr>
          <w:rFonts w:hint="eastAsia" w:ascii="仿宋_GB2312" w:hAnsi="仿宋_GB2312" w:cs="仿宋_GB2312"/>
          <w:szCs w:val="32"/>
        </w:rPr>
        <w:t>根据预算绩效管理要求，本单位在年初预算编制阶段，组织对巡察办巡察组工作经费项目开展了预算事前绩效评估，对1个项目编制了绩效目标，预算执行过程中，选取1个项目开展绩效监控，年终执行完毕后，对1个项目开展了绩效目标完成情况自评。</w:t>
      </w:r>
    </w:p>
    <w:p>
      <w:pPr>
        <w:spacing w:line="580" w:lineRule="exact"/>
        <w:ind w:firstLine="640" w:firstLineChars="200"/>
        <w:rPr>
          <w:rFonts w:ascii="仿宋_GB2312" w:hAnsi="仿宋_GB2312" w:cs="仿宋_GB2312"/>
          <w:szCs w:val="32"/>
        </w:rPr>
      </w:pPr>
      <w:r>
        <w:rPr>
          <w:rFonts w:hint="eastAsia" w:ascii="仿宋_GB2312" w:hAnsi="仿宋_GB2312" w:cs="仿宋_GB2312"/>
          <w:szCs w:val="32"/>
          <w:lang w:eastAsia="zh-CN"/>
        </w:rPr>
        <w:t>本单位</w:t>
      </w:r>
      <w:r>
        <w:rPr>
          <w:rFonts w:hint="eastAsia" w:ascii="仿宋_GB2312" w:hAnsi="仿宋_GB2312" w:cs="仿宋_GB2312"/>
          <w:szCs w:val="32"/>
        </w:rPr>
        <w:t>按要求对</w:t>
      </w:r>
      <w:r>
        <w:rPr>
          <w:rFonts w:ascii="仿宋_GB2312" w:hAnsi="仿宋_GB2312" w:cs="仿宋_GB2312"/>
          <w:szCs w:val="32"/>
        </w:rPr>
        <w:t>2020</w:t>
      </w:r>
      <w:r>
        <w:rPr>
          <w:rFonts w:hint="eastAsia" w:ascii="仿宋_GB2312" w:hAnsi="仿宋_GB2312" w:cs="仿宋_GB2312"/>
          <w:szCs w:val="32"/>
        </w:rPr>
        <w:t>年部门整体支出开展绩效自评，从评价情况来看按照《中共自贡市自流井区委巡察工作规划（2017年—2021年）》（新修订）和《中共自贡市自流井区委员会关于以政治建设为统领全面深化政治巡察的实施意见》要求，牢牢把握政治巡察定位，进一步完善巡察协作、问题线索移交、情况通报等各项机制，提升巡察工作制度化、规范化、科学化水平，加强工作创新，强化队伍建设，高质量推进巡察工作，提前完成本届巡察任务。</w:t>
      </w:r>
    </w:p>
    <w:p>
      <w:pPr>
        <w:spacing w:line="580" w:lineRule="exact"/>
        <w:ind w:firstLine="640" w:firstLineChars="200"/>
        <w:rPr>
          <w:rFonts w:ascii="仿宋_GB2312" w:hAnsi="仿宋_GB2312" w:cs="仿宋_GB2312"/>
          <w:szCs w:val="32"/>
        </w:rPr>
      </w:pPr>
      <w:r>
        <w:rPr>
          <w:rFonts w:hint="eastAsia" w:ascii="仿宋_GB2312" w:hAnsi="仿宋_GB2312" w:cs="仿宋_GB2312"/>
          <w:szCs w:val="32"/>
        </w:rPr>
        <w:t>本</w:t>
      </w:r>
      <w:r>
        <w:rPr>
          <w:rFonts w:hint="eastAsia" w:ascii="仿宋_GB2312" w:hAnsi="仿宋_GB2312" w:cs="仿宋_GB2312"/>
          <w:szCs w:val="32"/>
          <w:lang w:eastAsia="zh-CN"/>
        </w:rPr>
        <w:t>单位</w:t>
      </w:r>
      <w:r>
        <w:rPr>
          <w:rFonts w:hint="eastAsia" w:ascii="仿宋_GB2312" w:hAnsi="仿宋_GB2312" w:cs="仿宋_GB2312"/>
          <w:szCs w:val="32"/>
        </w:rPr>
        <w:t>还自行组织了1个项目支出绩效评价，从评价情况来看高质量推进巡察工作，完成对17个党组织的常规巡察，占本届巡察任务的30%，提前完成本届巡察任务。</w:t>
      </w:r>
    </w:p>
    <w:p>
      <w:pPr>
        <w:numPr>
          <w:ilvl w:val="0"/>
          <w:numId w:val="3"/>
        </w:numPr>
        <w:spacing w:line="580" w:lineRule="exact"/>
        <w:ind w:firstLine="640" w:firstLineChars="200"/>
        <w:rPr>
          <w:rFonts w:ascii="仿宋_GB2312" w:hAnsi="仿宋_GB2312" w:cs="仿宋_GB2312"/>
          <w:szCs w:val="32"/>
        </w:rPr>
      </w:pPr>
      <w:r>
        <w:rPr>
          <w:rFonts w:hint="eastAsia" w:ascii="楷体_GB2312" w:hAnsi="楷体_GB2312" w:eastAsia="楷体_GB2312" w:cs="楷体_GB2312"/>
          <w:szCs w:val="32"/>
        </w:rPr>
        <w:t>项目绩效目标完成情况。</w:t>
      </w:r>
    </w:p>
    <w:p>
      <w:pPr>
        <w:spacing w:line="580" w:lineRule="exact"/>
        <w:ind w:firstLine="640" w:firstLineChars="200"/>
        <w:rPr>
          <w:rFonts w:ascii="仿宋_GB2312" w:hAnsi="仿宋_GB2312" w:cs="仿宋_GB2312"/>
          <w:szCs w:val="32"/>
        </w:rPr>
      </w:pPr>
      <w:r>
        <w:rPr>
          <w:rFonts w:hint="eastAsia" w:ascii="仿宋_GB2312" w:hAnsi="仿宋_GB2312" w:cs="仿宋_GB2312"/>
          <w:szCs w:val="32"/>
          <w:lang w:eastAsia="zh-CN"/>
        </w:rPr>
        <w:t>本单位</w:t>
      </w:r>
      <w:r>
        <w:rPr>
          <w:rFonts w:hint="eastAsia" w:ascii="仿宋_GB2312" w:hAnsi="仿宋_GB2312" w:cs="仿宋_GB2312"/>
          <w:szCs w:val="32"/>
        </w:rPr>
        <w:t>在</w:t>
      </w:r>
      <w:r>
        <w:rPr>
          <w:rFonts w:ascii="仿宋_GB2312" w:hAnsi="仿宋_GB2312" w:cs="仿宋_GB2312"/>
          <w:szCs w:val="32"/>
        </w:rPr>
        <w:t>2020</w:t>
      </w:r>
      <w:r>
        <w:rPr>
          <w:rFonts w:hint="eastAsia" w:ascii="仿宋_GB2312" w:hAnsi="仿宋_GB2312" w:cs="仿宋_GB2312"/>
          <w:szCs w:val="32"/>
        </w:rPr>
        <w:t>年度部门决算中反映“巡察办巡察组工作经费”专项1个项目绩效目标实际完成情况。</w:t>
      </w:r>
    </w:p>
    <w:p>
      <w:pPr>
        <w:spacing w:line="580" w:lineRule="exact"/>
        <w:ind w:firstLine="640" w:firstLineChars="200"/>
        <w:rPr>
          <w:rFonts w:ascii="仿宋_GB2312" w:hAnsi="仿宋_GB2312" w:cs="仿宋_GB2312"/>
          <w:szCs w:val="32"/>
        </w:rPr>
      </w:pPr>
      <w:r>
        <w:rPr>
          <w:rFonts w:hint="eastAsia" w:ascii="仿宋_GB2312" w:hAnsi="仿宋_GB2312" w:cs="仿宋_GB2312"/>
          <w:szCs w:val="32"/>
        </w:rPr>
        <w:t>（</w:t>
      </w:r>
      <w:r>
        <w:rPr>
          <w:rFonts w:ascii="仿宋_GB2312" w:hAnsi="仿宋_GB2312" w:cs="仿宋_GB2312"/>
          <w:szCs w:val="32"/>
        </w:rPr>
        <w:t>1</w:t>
      </w:r>
      <w:r>
        <w:rPr>
          <w:rFonts w:hint="eastAsia" w:ascii="仿宋_GB2312" w:hAnsi="仿宋_GB2312" w:cs="仿宋_GB2312"/>
          <w:szCs w:val="32"/>
        </w:rPr>
        <w:t>）巡察办巡察组工作经费项目绩效目标完成情况综述。项目全年预算数13.84万元，执行数为13.84万元，完成预算的100</w:t>
      </w:r>
      <w:r>
        <w:rPr>
          <w:rFonts w:ascii="仿宋_GB2312" w:hAnsi="仿宋_GB2312" w:cs="仿宋_GB2312"/>
          <w:szCs w:val="32"/>
        </w:rPr>
        <w:t>%</w:t>
      </w:r>
      <w:r>
        <w:rPr>
          <w:rFonts w:hint="eastAsia" w:ascii="仿宋_GB2312" w:hAnsi="仿宋_GB2312" w:cs="仿宋_GB2312"/>
          <w:szCs w:val="32"/>
        </w:rPr>
        <w:t>。通过项目实施，牢牢把握政治巡察定位，进一步完善巡察协作、问题线索移交、情况通报等各项机制，提升巡察工作制度化、规范化、科学化水平，加强工作创新，强化队伍建设，高质量推进巡察工作，提前完成本届巡察任务。</w:t>
      </w:r>
    </w:p>
    <w:p>
      <w:pPr>
        <w:spacing w:line="580" w:lineRule="exact"/>
        <w:ind w:firstLine="640" w:firstLineChars="200"/>
        <w:rPr>
          <w:rFonts w:ascii="仿宋_GB2312" w:hAnsi="仿宋_GB2312" w:cs="仿宋_GB2312"/>
          <w:szCs w:val="32"/>
        </w:rPr>
      </w:pPr>
    </w:p>
    <w:tbl>
      <w:tblPr>
        <w:tblStyle w:val="11"/>
        <w:tblpPr w:leftFromText="180" w:rightFromText="180" w:vertAnchor="text" w:horzAnchor="page" w:tblpXSpec="center" w:tblpY="423"/>
        <w:tblOverlap w:val="never"/>
        <w:tblW w:w="9960" w:type="dxa"/>
        <w:jc w:val="center"/>
        <w:tblLayout w:type="fixed"/>
        <w:tblCellMar>
          <w:top w:w="0" w:type="dxa"/>
          <w:left w:w="0" w:type="dxa"/>
          <w:bottom w:w="0" w:type="dxa"/>
          <w:right w:w="0" w:type="dxa"/>
        </w:tblCellMar>
      </w:tblPr>
      <w:tblGrid>
        <w:gridCol w:w="390"/>
        <w:gridCol w:w="1367"/>
        <w:gridCol w:w="1025"/>
        <w:gridCol w:w="2392"/>
        <w:gridCol w:w="2394"/>
        <w:gridCol w:w="2392"/>
      </w:tblGrid>
      <w:tr>
        <w:tblPrEx>
          <w:tblCellMar>
            <w:top w:w="0" w:type="dxa"/>
            <w:left w:w="0" w:type="dxa"/>
            <w:bottom w:w="0" w:type="dxa"/>
            <w:right w:w="0" w:type="dxa"/>
          </w:tblCellMar>
        </w:tblPrEx>
        <w:trPr>
          <w:trHeight w:val="1034" w:hRule="atLeast"/>
          <w:jc w:val="center"/>
        </w:trPr>
        <w:tc>
          <w:tcPr>
            <w:tcW w:w="9960" w:type="dxa"/>
            <w:gridSpan w:val="6"/>
            <w:tcBorders>
              <w:top w:val="nil"/>
              <w:left w:val="nil"/>
              <w:bottom w:val="nil"/>
              <w:right w:val="nil"/>
            </w:tcBorders>
            <w:tcMar>
              <w:top w:w="15" w:type="dxa"/>
              <w:left w:w="15" w:type="dxa"/>
              <w:right w:w="15" w:type="dxa"/>
            </w:tcMar>
            <w:vAlign w:val="center"/>
          </w:tcPr>
          <w:p>
            <w:pPr>
              <w:widowControl/>
              <w:jc w:val="center"/>
              <w:textAlignment w:val="center"/>
              <w:rPr>
                <w:rFonts w:ascii="宋体" w:hAnsi="宋体" w:cs="宋体"/>
                <w:b/>
                <w:bCs/>
                <w:color w:val="000000"/>
                <w:kern w:val="0"/>
                <w:sz w:val="36"/>
                <w:szCs w:val="36"/>
              </w:rPr>
            </w:pPr>
          </w:p>
          <w:p>
            <w:pPr>
              <w:widowControl/>
              <w:jc w:val="center"/>
              <w:textAlignment w:val="center"/>
              <w:rPr>
                <w:rFonts w:ascii="宋体" w:hAnsi="宋体" w:cs="宋体"/>
                <w:b/>
                <w:bCs/>
                <w:color w:val="000000"/>
                <w:kern w:val="0"/>
                <w:sz w:val="36"/>
                <w:szCs w:val="36"/>
              </w:rPr>
            </w:pPr>
          </w:p>
          <w:p>
            <w:pPr>
              <w:widowControl/>
              <w:jc w:val="center"/>
              <w:textAlignment w:val="center"/>
              <w:rPr>
                <w:rFonts w:ascii="宋体" w:hAnsi="宋体" w:cs="宋体"/>
                <w:b/>
                <w:bCs/>
                <w:color w:val="000000"/>
                <w:kern w:val="0"/>
                <w:sz w:val="36"/>
                <w:szCs w:val="36"/>
              </w:rPr>
            </w:pPr>
          </w:p>
          <w:p>
            <w:pPr>
              <w:widowControl/>
              <w:jc w:val="center"/>
              <w:textAlignment w:val="center"/>
              <w:rPr>
                <w:rFonts w:hint="eastAsia" w:ascii="宋体" w:hAnsi="宋体" w:cs="宋体"/>
                <w:b/>
                <w:bCs/>
                <w:color w:val="000000"/>
                <w:kern w:val="0"/>
                <w:sz w:val="36"/>
                <w:szCs w:val="36"/>
              </w:rPr>
            </w:pPr>
          </w:p>
          <w:p>
            <w:pPr>
              <w:widowControl/>
              <w:jc w:val="center"/>
              <w:textAlignment w:val="center"/>
              <w:rPr>
                <w:rFonts w:ascii="宋体" w:hAnsi="宋体" w:cs="宋体"/>
                <w:b/>
                <w:bCs/>
                <w:color w:val="000000"/>
                <w:kern w:val="0"/>
                <w:sz w:val="36"/>
                <w:szCs w:val="36"/>
              </w:rPr>
            </w:pPr>
            <w:r>
              <w:rPr>
                <w:rFonts w:hint="eastAsia" w:ascii="宋体" w:hAnsi="宋体" w:cs="宋体"/>
                <w:b/>
                <w:bCs/>
                <w:color w:val="000000"/>
                <w:kern w:val="0"/>
                <w:sz w:val="36"/>
                <w:szCs w:val="36"/>
              </w:rPr>
              <w:t>项目绩效目标完成情况表</w:t>
            </w:r>
          </w:p>
          <w:p>
            <w:pPr>
              <w:widowControl/>
              <w:jc w:val="center"/>
              <w:textAlignment w:val="center"/>
              <w:rPr>
                <w:rFonts w:ascii="宋体" w:cs="宋体"/>
                <w:color w:val="000000"/>
                <w:sz w:val="36"/>
                <w:szCs w:val="36"/>
              </w:rPr>
            </w:pPr>
            <w:r>
              <w:rPr>
                <w:rFonts w:ascii="宋体" w:hAnsi="宋体" w:cs="宋体"/>
                <w:color w:val="000000"/>
                <w:kern w:val="0"/>
                <w:sz w:val="36"/>
                <w:szCs w:val="36"/>
              </w:rPr>
              <w:t>(2020</w:t>
            </w:r>
            <w:r>
              <w:rPr>
                <w:rFonts w:hint="eastAsia" w:ascii="宋体" w:hAnsi="宋体" w:cs="宋体"/>
                <w:color w:val="000000"/>
                <w:kern w:val="0"/>
                <w:sz w:val="36"/>
                <w:szCs w:val="36"/>
              </w:rPr>
              <w:t>年度</w:t>
            </w:r>
            <w:r>
              <w:rPr>
                <w:rFonts w:ascii="宋体" w:hAnsi="宋体" w:cs="宋体"/>
                <w:color w:val="000000"/>
                <w:kern w:val="0"/>
                <w:sz w:val="36"/>
                <w:szCs w:val="36"/>
              </w:rPr>
              <w:t>)</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项目名称</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仿宋_GB2312" w:hAnsi="仿宋_GB2312" w:cs="仿宋_GB2312"/>
                <w:sz w:val="24"/>
              </w:rPr>
              <w:t>巡察办巡察组工作经费</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预算单位</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自流井区委巡察办</w:t>
            </w: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预算执行情况</w:t>
            </w:r>
            <w:r>
              <w:rPr>
                <w:rFonts w:ascii="宋体" w:hAnsi="宋体" w:cs="宋体"/>
                <w:color w:val="000000"/>
                <w:kern w:val="0"/>
                <w:sz w:val="24"/>
              </w:rPr>
              <w:t>(</w:t>
            </w:r>
            <w:r>
              <w:rPr>
                <w:rFonts w:hint="eastAsia" w:ascii="宋体" w:hAnsi="宋体" w:cs="宋体"/>
                <w:color w:val="000000"/>
                <w:kern w:val="0"/>
                <w:sz w:val="24"/>
              </w:rPr>
              <w:t>万元</w:t>
            </w:r>
            <w:r>
              <w:rPr>
                <w:rFonts w:ascii="宋体" w:hAnsi="宋体" w:cs="宋体"/>
                <w:color w:val="000000"/>
                <w:kern w:val="0"/>
                <w:sz w:val="24"/>
              </w:rPr>
              <w:t>)</w:t>
            </w: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预算数</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13.84</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执行数</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13.84</w:t>
            </w:r>
          </w:p>
        </w:tc>
      </w:tr>
      <w:tr>
        <w:tblPrEx>
          <w:tblCellMar>
            <w:top w:w="0" w:type="dxa"/>
            <w:left w:w="0" w:type="dxa"/>
            <w:bottom w:w="0" w:type="dxa"/>
            <w:right w:w="0" w:type="dxa"/>
          </w:tblCellMar>
        </w:tblPrEx>
        <w:trPr>
          <w:trHeight w:val="276"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其中</w:t>
            </w:r>
            <w:r>
              <w:rPr>
                <w:rFonts w:ascii="宋体" w:cs="宋体"/>
                <w:color w:val="000000"/>
                <w:kern w:val="0"/>
                <w:sz w:val="24"/>
              </w:rPr>
              <w:t>-</w:t>
            </w:r>
            <w:r>
              <w:rPr>
                <w:rFonts w:hint="eastAsia" w:ascii="宋体" w:hAnsi="宋体" w:cs="宋体"/>
                <w:color w:val="000000"/>
                <w:kern w:val="0"/>
                <w:sz w:val="24"/>
              </w:rPr>
              <w:t>财政拨款</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13.84</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其中</w:t>
            </w:r>
            <w:r>
              <w:rPr>
                <w:rFonts w:ascii="宋体" w:cs="宋体"/>
                <w:color w:val="000000"/>
                <w:kern w:val="0"/>
                <w:sz w:val="24"/>
              </w:rPr>
              <w:t>-</w:t>
            </w:r>
            <w:r>
              <w:rPr>
                <w:rFonts w:hint="eastAsia" w:ascii="宋体" w:hAnsi="宋体" w:cs="宋体"/>
                <w:color w:val="000000"/>
                <w:kern w:val="0"/>
                <w:sz w:val="24"/>
              </w:rPr>
              <w:t>财政拨款</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13.84</w:t>
            </w:r>
          </w:p>
        </w:tc>
      </w:tr>
      <w:tr>
        <w:tblPrEx>
          <w:tblCellMar>
            <w:top w:w="0" w:type="dxa"/>
            <w:left w:w="0" w:type="dxa"/>
            <w:bottom w:w="0" w:type="dxa"/>
            <w:right w:w="0" w:type="dxa"/>
          </w:tblCellMar>
        </w:tblPrEx>
        <w:trPr>
          <w:trHeight w:val="1511"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其它资金</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0</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其它资金</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r>
              <w:rPr>
                <w:rFonts w:hint="eastAsia" w:ascii="宋体" w:cs="宋体"/>
                <w:color w:val="000000"/>
                <w:sz w:val="24"/>
              </w:rPr>
              <w:t>0</w:t>
            </w: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年度目标完成情况</w:t>
            </w: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预期目标</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实际完成目标</w:t>
            </w:r>
          </w:p>
        </w:tc>
      </w:tr>
      <w:tr>
        <w:tblPrEx>
          <w:tblCellMar>
            <w:top w:w="0" w:type="dxa"/>
            <w:left w:w="0" w:type="dxa"/>
            <w:bottom w:w="0" w:type="dxa"/>
            <w:right w:w="0" w:type="dxa"/>
          </w:tblCellMar>
        </w:tblPrEx>
        <w:trPr>
          <w:trHeight w:val="1159"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Bdr>
                <w:bottom w:val="single" w:color="FFFFFF" w:sz="4" w:space="31"/>
              </w:pBdr>
              <w:overflowPunct w:val="0"/>
              <w:spacing w:line="320" w:lineRule="exact"/>
              <w:rPr>
                <w:rFonts w:hint="eastAsia" w:ascii="宋体" w:cs="宋体"/>
                <w:color w:val="000000"/>
                <w:sz w:val="24"/>
              </w:rPr>
            </w:pPr>
          </w:p>
          <w:p>
            <w:pPr>
              <w:pBdr>
                <w:bottom w:val="single" w:color="FFFFFF" w:sz="4" w:space="31"/>
              </w:pBdr>
              <w:overflowPunct w:val="0"/>
              <w:spacing w:line="320" w:lineRule="exact"/>
              <w:rPr>
                <w:rFonts w:ascii="宋体" w:cs="宋体"/>
                <w:color w:val="000000"/>
                <w:sz w:val="24"/>
              </w:rPr>
            </w:pPr>
            <w:r>
              <w:rPr>
                <w:rFonts w:hint="eastAsia" w:ascii="宋体" w:cs="宋体"/>
                <w:color w:val="000000"/>
                <w:sz w:val="24"/>
              </w:rPr>
              <w:t>按照《中共自贡市自流井区委巡察工作规划（2017年—2021年）》（新修订）和《中共自贡市自流井区委员会关于以政治建设为统领全面深化政治巡察的实施意见》要求，高质量推进巡察工作，完成对17个单位的常规巡察，完成本届巡察任务的30%，提前完成本届巡察任务。</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cs="宋体"/>
                <w:color w:val="000000"/>
                <w:sz w:val="24"/>
              </w:rPr>
            </w:pPr>
          </w:p>
          <w:p>
            <w:pPr>
              <w:jc w:val="left"/>
            </w:pPr>
            <w:r>
              <w:rPr>
                <w:rFonts w:hint="eastAsia" w:ascii="宋体" w:cs="宋体"/>
                <w:color w:val="000000"/>
                <w:sz w:val="24"/>
              </w:rPr>
              <w:t>高质量推进巡察工作，完成对17个党组织的常规巡察，占本届巡察任务的30%，提前完成本届巡察任务。完成年初目标。</w:t>
            </w:r>
          </w:p>
        </w:tc>
      </w:tr>
      <w:tr>
        <w:tblPrEx>
          <w:tblCellMar>
            <w:top w:w="0" w:type="dxa"/>
            <w:left w:w="0" w:type="dxa"/>
            <w:bottom w:w="0" w:type="dxa"/>
            <w:right w:w="0" w:type="dxa"/>
          </w:tblCellMar>
        </w:tblPrEx>
        <w:trPr>
          <w:trHeight w:val="1042" w:hRule="atLeast"/>
          <w:jc w:val="center"/>
        </w:trPr>
        <w:tc>
          <w:tcPr>
            <w:tcW w:w="390"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绩效指标完成情况</w:t>
            </w: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一级指标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二级指标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三级指标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预期指标值</w:t>
            </w:r>
            <w:r>
              <w:rPr>
                <w:rFonts w:ascii="宋体" w:hAnsi="宋体" w:cs="宋体"/>
                <w:color w:val="000000"/>
                <w:kern w:val="0"/>
                <w:sz w:val="24"/>
              </w:rPr>
              <w:t>(</w:t>
            </w:r>
            <w:r>
              <w:rPr>
                <w:rFonts w:hint="eastAsia" w:ascii="宋体" w:hAnsi="宋体" w:cs="宋体"/>
                <w:color w:val="000000"/>
                <w:kern w:val="0"/>
                <w:sz w:val="24"/>
              </w:rPr>
              <w:t>包含数字及文字描述</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实际完成指标值</w:t>
            </w:r>
            <w:r>
              <w:rPr>
                <w:rFonts w:ascii="宋体" w:hAnsi="宋体" w:cs="宋体"/>
                <w:color w:val="000000"/>
                <w:kern w:val="0"/>
                <w:sz w:val="24"/>
              </w:rPr>
              <w:t>(</w:t>
            </w:r>
            <w:r>
              <w:rPr>
                <w:rFonts w:hint="eastAsia" w:ascii="宋体" w:hAnsi="宋体" w:cs="宋体"/>
                <w:color w:val="000000"/>
                <w:kern w:val="0"/>
                <w:sz w:val="24"/>
              </w:rPr>
              <w:t>包含数字及文字描述</w:t>
            </w:r>
            <w:r>
              <w:rPr>
                <w:rFonts w:ascii="宋体" w:hAnsi="宋体" w:cs="宋体"/>
                <w:color w:val="000000"/>
                <w:kern w:val="0"/>
                <w:sz w:val="24"/>
              </w:rPr>
              <w:t>)</w:t>
            </w:r>
          </w:p>
        </w:tc>
      </w:tr>
      <w:tr>
        <w:tblPrEx>
          <w:tblCellMar>
            <w:top w:w="0" w:type="dxa"/>
            <w:left w:w="0" w:type="dxa"/>
            <w:bottom w:w="0" w:type="dxa"/>
            <w:right w:w="0" w:type="dxa"/>
          </w:tblCellMar>
        </w:tblPrEx>
        <w:trPr>
          <w:trHeight w:val="953"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数量指标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巡察党组织数</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cs="宋体"/>
                <w:color w:val="000000"/>
                <w:sz w:val="24"/>
              </w:rPr>
            </w:pPr>
            <w:r>
              <w:rPr>
                <w:rFonts w:hint="eastAsia" w:ascii="宋体" w:cs="宋体"/>
                <w:color w:val="000000"/>
                <w:sz w:val="24"/>
              </w:rPr>
              <w:t>完成对17个党组织的常规巡察。</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cs="宋体"/>
                <w:color w:val="000000"/>
                <w:sz w:val="24"/>
              </w:rPr>
            </w:pPr>
            <w:r>
              <w:rPr>
                <w:rFonts w:hint="eastAsia" w:ascii="宋体" w:cs="宋体"/>
                <w:color w:val="000000"/>
                <w:sz w:val="24"/>
              </w:rPr>
              <w:t>完成对17个党组织的常规巡察。</w:t>
            </w:r>
          </w:p>
        </w:tc>
      </w:tr>
      <w:tr>
        <w:tblPrEx>
          <w:tblCellMar>
            <w:top w:w="0" w:type="dxa"/>
            <w:left w:w="0" w:type="dxa"/>
            <w:bottom w:w="0" w:type="dxa"/>
            <w:right w:w="0" w:type="dxa"/>
          </w:tblCellMar>
        </w:tblPrEx>
        <w:trPr>
          <w:trHeight w:val="1297"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时效指标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巡察工作完成率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100%完成预定计划</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100%完成预定计划</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质量指标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保障巡察工作顺利开展。</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为巡察工作提供物资设备等后勤保障。</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完成预定目标。</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kern w:val="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效益指标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生态效益</w:t>
            </w:r>
          </w:p>
          <w:p>
            <w:pPr>
              <w:widowControl/>
              <w:jc w:val="center"/>
              <w:textAlignment w:val="center"/>
              <w:rPr>
                <w:rFonts w:ascii="宋体" w:cs="宋体"/>
                <w:color w:val="000000"/>
                <w:sz w:val="24"/>
              </w:rPr>
            </w:pPr>
            <w:r>
              <w:rPr>
                <w:rFonts w:hint="eastAsia" w:ascii="宋体" w:cs="宋体"/>
                <w:color w:val="000000"/>
                <w:sz w:val="24"/>
              </w:rPr>
              <w:t>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cs="宋体"/>
                <w:color w:val="000000"/>
                <w:sz w:val="24"/>
              </w:rPr>
            </w:pPr>
            <w:r>
              <w:rPr>
                <w:rFonts w:hint="eastAsia" w:ascii="宋体" w:cs="宋体"/>
                <w:color w:val="000000"/>
                <w:sz w:val="24"/>
              </w:rPr>
              <w:t>助力营造风清气正良好政治生态</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Bdr>
                <w:bottom w:val="single" w:color="FFFFFF" w:sz="4" w:space="31"/>
              </w:pBdr>
              <w:overflowPunct w:val="0"/>
              <w:spacing w:line="320" w:lineRule="exact"/>
              <w:rPr>
                <w:rFonts w:ascii="宋体" w:cs="宋体"/>
                <w:color w:val="000000"/>
                <w:sz w:val="24"/>
              </w:rPr>
            </w:pPr>
            <w:r>
              <w:rPr>
                <w:rFonts w:hint="eastAsia" w:ascii="宋体" w:cs="宋体"/>
                <w:color w:val="000000"/>
                <w:sz w:val="24"/>
              </w:rPr>
              <w:t>坚持在党的全面领导上聚神、加强党的建设上聚力、推进全面从严治党上聚焦，发现问题、形成震慑，助力营造自流井区风清气正良好政治生态。</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达到预期目标。</w:t>
            </w:r>
          </w:p>
        </w:tc>
      </w:tr>
      <w:tr>
        <w:tblPrEx>
          <w:tblCellMar>
            <w:top w:w="0" w:type="dxa"/>
            <w:left w:w="0" w:type="dxa"/>
            <w:bottom w:w="0" w:type="dxa"/>
            <w:right w:w="0" w:type="dxa"/>
          </w:tblCellMar>
        </w:tblPrEx>
        <w:trPr>
          <w:trHeight w:val="1297"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效益指标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可持续影响指标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cs="宋体"/>
                <w:color w:val="000000"/>
                <w:sz w:val="24"/>
              </w:rPr>
            </w:pPr>
            <w:r>
              <w:rPr>
                <w:rFonts w:hint="eastAsia" w:ascii="宋体" w:cs="宋体"/>
                <w:color w:val="000000"/>
                <w:sz w:val="24"/>
              </w:rPr>
              <w:t>巡察工作持续高效进行。</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20" w:lineRule="exact"/>
              <w:textAlignment w:val="center"/>
              <w:rPr>
                <w:rFonts w:ascii="宋体" w:cs="宋体"/>
                <w:color w:val="000000"/>
                <w:sz w:val="24"/>
              </w:rPr>
            </w:pPr>
            <w:r>
              <w:rPr>
                <w:rFonts w:hint="eastAsia" w:ascii="宋体" w:cs="宋体"/>
                <w:color w:val="000000"/>
                <w:sz w:val="24"/>
              </w:rPr>
              <w:t>进一步完善巡察协作、问题线索移交等各项机制，提升巡察工作制度化、规范化、科学化水平。强化成果运用，对巡察发现的共性问题、普遍性问题，提出巡察建议，督促相关部门从制度层面进行规范，建立长效管用的机制，切实做好巡察“后半篇文章”。</w:t>
            </w:r>
            <w:r>
              <w:rPr>
                <w:rFonts w:hint="eastAsia" w:ascii="仿宋_GB2312"/>
                <w:color w:val="000000" w:themeColor="text1"/>
                <w:szCs w:val="32"/>
              </w:rPr>
              <w:t xml:space="preserve">  </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达到预期目标。</w:t>
            </w:r>
          </w:p>
        </w:tc>
      </w:tr>
      <w:tr>
        <w:tblPrEx>
          <w:tblCellMar>
            <w:top w:w="0" w:type="dxa"/>
            <w:left w:w="0" w:type="dxa"/>
            <w:bottom w:w="0" w:type="dxa"/>
            <w:right w:w="0" w:type="dxa"/>
          </w:tblCellMar>
        </w:tblPrEx>
        <w:trPr>
          <w:trHeight w:val="1297"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kern w:val="0"/>
                <w:sz w:val="24"/>
              </w:rPr>
            </w:pPr>
            <w:r>
              <w:rPr>
                <w:rFonts w:hint="eastAsia" w:ascii="宋体" w:hAnsi="宋体" w:cs="宋体"/>
                <w:color w:val="000000"/>
                <w:kern w:val="0"/>
                <w:sz w:val="24"/>
              </w:rPr>
              <w:t>满意度指标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满意度指标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公众满意度</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≥98%</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达到预期目标。</w:t>
            </w:r>
          </w:p>
        </w:tc>
      </w:tr>
    </w:tbl>
    <w:p>
      <w:pPr>
        <w:spacing w:line="580" w:lineRule="exact"/>
        <w:ind w:left="630"/>
        <w:rPr>
          <w:rFonts w:ascii="仿宋_GB2312" w:hAnsi="仿宋_GB2312" w:cs="仿宋_GB2312"/>
          <w:szCs w:val="32"/>
        </w:rPr>
      </w:pPr>
    </w:p>
    <w:p>
      <w:pPr>
        <w:spacing w:line="580" w:lineRule="exact"/>
        <w:ind w:left="630"/>
        <w:rPr>
          <w:rFonts w:ascii="仿宋_GB2312" w:hAnsi="仿宋_GB2312" w:cs="仿宋_GB2312"/>
          <w:szCs w:val="32"/>
        </w:rPr>
      </w:pPr>
      <w:r>
        <w:rPr>
          <w:rFonts w:ascii="楷体_GB2312" w:hAnsi="楷体_GB2312" w:eastAsia="楷体_GB2312" w:cs="楷体_GB2312"/>
          <w:szCs w:val="32"/>
        </w:rPr>
        <w:t>2.</w:t>
      </w:r>
      <w:r>
        <w:rPr>
          <w:rFonts w:hint="eastAsia" w:ascii="楷体_GB2312" w:hAnsi="楷体_GB2312" w:eastAsia="楷体_GB2312" w:cs="楷体_GB2312"/>
          <w:szCs w:val="32"/>
        </w:rPr>
        <w:t>部门绩效评价结果。</w:t>
      </w:r>
    </w:p>
    <w:p>
      <w:pPr>
        <w:spacing w:line="580" w:lineRule="exact"/>
        <w:ind w:firstLine="640" w:firstLineChars="200"/>
        <w:rPr>
          <w:rFonts w:ascii="仿宋_GB2312" w:hAnsi="仿宋_GB2312" w:cs="仿宋_GB2312"/>
          <w:szCs w:val="32"/>
        </w:rPr>
      </w:pPr>
      <w:r>
        <w:rPr>
          <w:rFonts w:hint="eastAsia" w:ascii="仿宋_GB2312" w:hAnsi="仿宋_GB2312" w:cs="仿宋_GB2312"/>
          <w:szCs w:val="32"/>
          <w:lang w:eastAsia="zh-CN"/>
        </w:rPr>
        <w:t>本单位</w:t>
      </w:r>
      <w:r>
        <w:rPr>
          <w:rFonts w:hint="eastAsia" w:ascii="仿宋_GB2312" w:hAnsi="仿宋_GB2312" w:cs="仿宋_GB2312"/>
          <w:szCs w:val="32"/>
        </w:rPr>
        <w:t>按要求对</w:t>
      </w:r>
      <w:r>
        <w:rPr>
          <w:rFonts w:ascii="仿宋_GB2312" w:hAnsi="仿宋_GB2312" w:cs="仿宋_GB2312"/>
          <w:szCs w:val="32"/>
        </w:rPr>
        <w:t>2020</w:t>
      </w:r>
      <w:r>
        <w:rPr>
          <w:rFonts w:hint="eastAsia" w:ascii="仿宋_GB2312" w:hAnsi="仿宋_GB2312" w:cs="仿宋_GB2312"/>
          <w:szCs w:val="32"/>
        </w:rPr>
        <w:t>年部门整体支出绩效评价情况开展自评，《自流井区委巡察办部门</w:t>
      </w:r>
      <w:r>
        <w:rPr>
          <w:rFonts w:ascii="仿宋_GB2312" w:hAnsi="仿宋_GB2312" w:cs="仿宋_GB2312"/>
          <w:szCs w:val="32"/>
        </w:rPr>
        <w:t>2020</w:t>
      </w:r>
      <w:r>
        <w:rPr>
          <w:rFonts w:hint="eastAsia" w:ascii="仿宋_GB2312" w:hAnsi="仿宋_GB2312" w:cs="仿宋_GB2312"/>
          <w:szCs w:val="32"/>
        </w:rPr>
        <w:t>年部门整体支出绩效评价报告》见附件（附件</w:t>
      </w:r>
      <w:r>
        <w:rPr>
          <w:rFonts w:ascii="仿宋_GB2312" w:hAnsi="仿宋_GB2312" w:cs="仿宋_GB2312"/>
          <w:szCs w:val="32"/>
        </w:rPr>
        <w:t>1</w:t>
      </w:r>
      <w:r>
        <w:rPr>
          <w:rFonts w:hint="eastAsia" w:ascii="仿宋_GB2312" w:hAnsi="仿宋_GB2312" w:cs="仿宋_GB2312"/>
          <w:szCs w:val="32"/>
        </w:rPr>
        <w:t>）。</w:t>
      </w:r>
    </w:p>
    <w:p>
      <w:pPr>
        <w:spacing w:line="580" w:lineRule="exact"/>
        <w:ind w:firstLine="640" w:firstLineChars="200"/>
        <w:rPr>
          <w:rFonts w:ascii="仿宋_GB2312"/>
          <w:b/>
          <w:color w:val="000000"/>
          <w:szCs w:val="32"/>
        </w:rPr>
      </w:pPr>
      <w:r>
        <w:rPr>
          <w:rFonts w:hint="eastAsia" w:ascii="仿宋_GB2312" w:hAnsi="仿宋_GB2312" w:cs="仿宋_GB2312"/>
          <w:szCs w:val="32"/>
          <w:lang w:eastAsia="zh-CN"/>
        </w:rPr>
        <w:t>本单位</w:t>
      </w:r>
      <w:r>
        <w:rPr>
          <w:rFonts w:hint="eastAsia" w:ascii="仿宋_GB2312" w:hAnsi="仿宋_GB2312" w:cs="仿宋_GB2312"/>
          <w:szCs w:val="32"/>
        </w:rPr>
        <w:t>自行组织对“巡察办巡察组工作经费”项目开展了绩效评价，《巡察办巡察组工作经费项目</w:t>
      </w:r>
      <w:r>
        <w:rPr>
          <w:rFonts w:ascii="仿宋_GB2312" w:hAnsi="仿宋_GB2312" w:cs="仿宋_GB2312"/>
          <w:szCs w:val="32"/>
        </w:rPr>
        <w:t>2020</w:t>
      </w:r>
      <w:r>
        <w:rPr>
          <w:rFonts w:hint="eastAsia" w:ascii="仿宋_GB2312" w:hAnsi="仿宋_GB2312" w:cs="仿宋_GB2312"/>
          <w:szCs w:val="32"/>
        </w:rPr>
        <w:t>年绩效评价报告》见附件（附件</w:t>
      </w:r>
      <w:r>
        <w:rPr>
          <w:rFonts w:ascii="仿宋_GB2312" w:hAnsi="仿宋_GB2312" w:cs="仿宋_GB2312"/>
          <w:szCs w:val="32"/>
        </w:rPr>
        <w:t>2</w:t>
      </w:r>
      <w:r>
        <w:rPr>
          <w:rFonts w:hint="eastAsia" w:ascii="仿宋_GB2312" w:hAnsi="仿宋_GB2312" w:cs="仿宋_GB2312"/>
          <w:szCs w:val="32"/>
        </w:rPr>
        <w:t>）。</w:t>
      </w:r>
    </w:p>
    <w:p>
      <w:pPr>
        <w:widowControl/>
        <w:jc w:val="left"/>
        <w:rPr>
          <w:rFonts w:ascii="仿宋_GB2312"/>
          <w:b/>
          <w:color w:val="000000"/>
          <w:szCs w:val="32"/>
        </w:rPr>
      </w:pPr>
      <w:r>
        <w:rPr>
          <w:rFonts w:ascii="仿宋_GB2312"/>
          <w:b/>
          <w:color w:val="000000"/>
          <w:szCs w:val="32"/>
        </w:rPr>
        <w:br w:type="page"/>
      </w:r>
    </w:p>
    <w:p>
      <w:pPr>
        <w:numPr>
          <w:ilvl w:val="0"/>
          <w:numId w:val="4"/>
        </w:numPr>
        <w:spacing w:line="600" w:lineRule="exact"/>
        <w:ind w:firstLine="660" w:firstLineChars="150"/>
        <w:jc w:val="center"/>
        <w:outlineLvl w:val="0"/>
        <w:rPr>
          <w:rStyle w:val="15"/>
          <w:rFonts w:ascii="黑体" w:hAnsi="黑体" w:eastAsia="黑体"/>
          <w:b w:val="0"/>
        </w:rPr>
      </w:pPr>
      <w:bookmarkStart w:id="55" w:name="_Toc15396613"/>
      <w:bookmarkStart w:id="56" w:name="_Toc15377225"/>
      <w:bookmarkStart w:id="57" w:name="_Toc3536"/>
      <w:r>
        <w:rPr>
          <w:rFonts w:hint="eastAsia" w:ascii="黑体" w:hAnsi="黑体" w:eastAsia="黑体"/>
          <w:color w:val="000000"/>
          <w:sz w:val="44"/>
          <w:szCs w:val="44"/>
        </w:rPr>
        <w:t>名</w:t>
      </w:r>
      <w:r>
        <w:rPr>
          <w:rStyle w:val="15"/>
          <w:rFonts w:hint="eastAsia" w:ascii="黑体" w:hAnsi="黑体" w:eastAsia="黑体"/>
          <w:b w:val="0"/>
        </w:rPr>
        <w:t>词解释</w:t>
      </w:r>
      <w:bookmarkEnd w:id="55"/>
      <w:bookmarkEnd w:id="56"/>
      <w:bookmarkEnd w:id="57"/>
    </w:p>
    <w:p>
      <w:pPr>
        <w:spacing w:line="600" w:lineRule="exact"/>
        <w:jc w:val="left"/>
        <w:rPr>
          <w:rFonts w:ascii="宋体"/>
          <w:b/>
          <w:color w:val="000000"/>
          <w:sz w:val="44"/>
          <w:szCs w:val="44"/>
        </w:rPr>
      </w:pPr>
    </w:p>
    <w:p>
      <w:pPr>
        <w:pStyle w:val="18"/>
        <w:spacing w:line="560" w:lineRule="exact"/>
        <w:ind w:firstLine="640" w:firstLineChars="200"/>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rPr>
        <w:t>财政拨款收入：指单位从同级财政部门取得的财政预算资金。</w:t>
      </w:r>
    </w:p>
    <w:p>
      <w:pPr>
        <w:pStyle w:val="18"/>
        <w:spacing w:line="560" w:lineRule="exact"/>
        <w:ind w:firstLine="640" w:firstLineChars="200"/>
        <w:rPr>
          <w:rFonts w:ascii="仿宋_GB2312" w:eastAsia="仿宋_GB2312"/>
          <w:sz w:val="32"/>
          <w:szCs w:val="32"/>
        </w:rPr>
      </w:pPr>
      <w:r>
        <w:rPr>
          <w:rFonts w:ascii="仿宋_GB2312" w:eastAsia="仿宋_GB2312"/>
          <w:sz w:val="32"/>
          <w:szCs w:val="32"/>
        </w:rPr>
        <w:t>2.</w:t>
      </w:r>
      <w:r>
        <w:rPr>
          <w:rFonts w:hint="eastAsia" w:ascii="仿宋_GB2312" w:eastAsia="仿宋_GB2312"/>
          <w:sz w:val="32"/>
          <w:szCs w:val="32"/>
        </w:rPr>
        <w:t>其他收入：指单位取得的除上述收入以外的各项收入。</w:t>
      </w:r>
      <w:r>
        <w:rPr>
          <w:rFonts w:ascii="仿宋_GB2312" w:eastAsia="仿宋_GB2312"/>
          <w:sz w:val="32"/>
          <w:szCs w:val="32"/>
        </w:rPr>
        <w:t xml:space="preserve"> </w:t>
      </w:r>
    </w:p>
    <w:p>
      <w:pPr>
        <w:pStyle w:val="18"/>
        <w:spacing w:line="560" w:lineRule="exact"/>
        <w:ind w:firstLine="640" w:firstLineChars="200"/>
        <w:rPr>
          <w:rFonts w:ascii="仿宋_GB2312" w:eastAsia="仿宋_GB2312"/>
          <w:sz w:val="32"/>
          <w:szCs w:val="32"/>
        </w:rPr>
      </w:pPr>
      <w:r>
        <w:rPr>
          <w:rFonts w:hint="eastAsia" w:ascii="仿宋_GB2312" w:eastAsia="仿宋_GB2312"/>
          <w:sz w:val="32"/>
          <w:szCs w:val="32"/>
          <w:lang w:val="en-US" w:eastAsia="zh-CN"/>
        </w:rPr>
        <w:t>3</w:t>
      </w:r>
      <w:r>
        <w:rPr>
          <w:rFonts w:ascii="仿宋_GB2312" w:eastAsia="仿宋_GB2312"/>
          <w:sz w:val="32"/>
          <w:szCs w:val="32"/>
        </w:rPr>
        <w:t>.</w:t>
      </w:r>
      <w:r>
        <w:rPr>
          <w:rFonts w:hint="eastAsia" w:ascii="仿宋_GB2312" w:eastAsia="仿宋_GB2312"/>
          <w:sz w:val="32"/>
          <w:szCs w:val="32"/>
        </w:rPr>
        <w:t>使用非财政拨款结余：指事业单位使用以前年度积累的非财政拨款结余弥补当年收支差额的金额。</w:t>
      </w:r>
      <w:r>
        <w:rPr>
          <w:rFonts w:ascii="仿宋_GB2312" w:eastAsia="仿宋_GB2312"/>
          <w:sz w:val="32"/>
          <w:szCs w:val="32"/>
        </w:rPr>
        <w:t xml:space="preserve"> </w:t>
      </w:r>
    </w:p>
    <w:p>
      <w:pPr>
        <w:pStyle w:val="18"/>
        <w:spacing w:line="560" w:lineRule="exact"/>
        <w:ind w:firstLine="640" w:firstLineChars="200"/>
        <w:rPr>
          <w:rFonts w:ascii="仿宋_GB2312" w:eastAsia="仿宋_GB2312"/>
          <w:sz w:val="32"/>
          <w:szCs w:val="32"/>
        </w:rPr>
      </w:pPr>
      <w:r>
        <w:rPr>
          <w:rFonts w:hint="eastAsia" w:ascii="仿宋_GB2312" w:eastAsia="仿宋_GB2312"/>
          <w:sz w:val="32"/>
          <w:szCs w:val="32"/>
          <w:lang w:val="en-US" w:eastAsia="zh-CN"/>
        </w:rPr>
        <w:t>4</w:t>
      </w:r>
      <w:r>
        <w:rPr>
          <w:rFonts w:ascii="仿宋_GB2312" w:eastAsia="仿宋_GB2312"/>
          <w:sz w:val="32"/>
          <w:szCs w:val="32"/>
        </w:rPr>
        <w:t>.</w:t>
      </w:r>
      <w:r>
        <w:rPr>
          <w:rFonts w:hint="eastAsia" w:ascii="仿宋_GB2312" w:eastAsia="仿宋_GB2312"/>
          <w:sz w:val="32"/>
          <w:szCs w:val="32"/>
        </w:rPr>
        <w:t>年初结转和结余：指以前年度尚未完成、结转到本年按有关规定继续使用的资金。</w:t>
      </w:r>
      <w:r>
        <w:rPr>
          <w:rFonts w:ascii="仿宋_GB2312" w:eastAsia="仿宋_GB2312"/>
          <w:sz w:val="32"/>
          <w:szCs w:val="32"/>
        </w:rPr>
        <w:t xml:space="preserve"> </w:t>
      </w:r>
    </w:p>
    <w:p>
      <w:pPr>
        <w:pStyle w:val="18"/>
        <w:spacing w:line="560" w:lineRule="exact"/>
        <w:ind w:firstLine="640" w:firstLineChars="200"/>
        <w:rPr>
          <w:rFonts w:ascii="仿宋_GB2312" w:eastAsia="仿宋_GB2312"/>
          <w:sz w:val="32"/>
          <w:szCs w:val="32"/>
        </w:rPr>
      </w:pPr>
      <w:r>
        <w:rPr>
          <w:rFonts w:hint="eastAsia" w:ascii="仿宋_GB2312" w:eastAsia="仿宋_GB2312"/>
          <w:sz w:val="32"/>
          <w:szCs w:val="32"/>
          <w:lang w:val="en-US" w:eastAsia="zh-CN"/>
        </w:rPr>
        <w:t>5</w:t>
      </w:r>
      <w:r>
        <w:rPr>
          <w:rFonts w:ascii="仿宋_GB2312" w:eastAsia="仿宋_GB2312"/>
          <w:sz w:val="32"/>
          <w:szCs w:val="32"/>
        </w:rPr>
        <w:t>.</w:t>
      </w:r>
      <w:r>
        <w:rPr>
          <w:rFonts w:hint="eastAsia" w:ascii="仿宋_GB2312" w:eastAsia="仿宋_GB2312"/>
          <w:sz w:val="32"/>
          <w:szCs w:val="32"/>
        </w:rPr>
        <w:t>结余分配：指事业单位按照会计制度规定缴纳的所得税、提取的专用结余以及转入非财政拨款结余的金额等。</w:t>
      </w:r>
    </w:p>
    <w:p>
      <w:pPr>
        <w:pStyle w:val="18"/>
        <w:spacing w:line="560" w:lineRule="exact"/>
        <w:ind w:firstLine="640" w:firstLineChars="200"/>
        <w:rPr>
          <w:rFonts w:ascii="仿宋_GB2312" w:eastAsia="仿宋_GB2312"/>
          <w:sz w:val="32"/>
          <w:szCs w:val="32"/>
        </w:rPr>
      </w:pPr>
      <w:r>
        <w:rPr>
          <w:rFonts w:hint="eastAsia" w:ascii="仿宋_GB2312" w:eastAsia="仿宋_GB2312"/>
          <w:sz w:val="32"/>
          <w:szCs w:val="32"/>
          <w:lang w:val="en-US" w:eastAsia="zh-CN"/>
        </w:rPr>
        <w:t>6</w:t>
      </w:r>
      <w:r>
        <w:rPr>
          <w:rFonts w:hint="eastAsia" w:ascii="仿宋_GB2312" w:eastAsia="仿宋_GB2312"/>
          <w:sz w:val="32"/>
          <w:szCs w:val="32"/>
        </w:rPr>
        <w:t>、年末结转和结余：指单位按有关规定结转到下年或以后年度继续使用的资金。</w:t>
      </w:r>
    </w:p>
    <w:p>
      <w:pPr>
        <w:widowControl/>
        <w:ind w:firstLine="640" w:firstLineChars="200"/>
        <w:jc w:val="left"/>
        <w:rPr>
          <w:rFonts w:ascii="仿宋_GB2312"/>
          <w:color w:val="000000"/>
          <w:szCs w:val="32"/>
        </w:rPr>
      </w:pPr>
      <w:r>
        <w:rPr>
          <w:rFonts w:hint="eastAsia" w:ascii="仿宋_GB2312"/>
          <w:color w:val="000000"/>
          <w:szCs w:val="32"/>
          <w:lang w:val="en-US" w:eastAsia="zh-CN"/>
        </w:rPr>
        <w:t>7</w:t>
      </w:r>
      <w:r>
        <w:rPr>
          <w:rFonts w:ascii="仿宋_GB2312"/>
          <w:color w:val="000000"/>
          <w:szCs w:val="32"/>
        </w:rPr>
        <w:t>.</w:t>
      </w:r>
      <w:r>
        <w:rPr>
          <w:rFonts w:hint="eastAsia" w:ascii="仿宋_GB2312"/>
          <w:color w:val="000000"/>
          <w:szCs w:val="32"/>
        </w:rPr>
        <w:t>一般公共服务（类）纪检监察事项</w:t>
      </w:r>
      <w:r>
        <w:rPr>
          <w:rFonts w:ascii="仿宋_GB2312"/>
          <w:color w:val="000000"/>
          <w:szCs w:val="32"/>
        </w:rPr>
        <w:t>（款</w:t>
      </w:r>
      <w:r>
        <w:rPr>
          <w:rFonts w:hint="eastAsia" w:ascii="仿宋_GB2312"/>
          <w:color w:val="000000"/>
          <w:szCs w:val="32"/>
        </w:rPr>
        <w:t>）行政运行（项）</w:t>
      </w:r>
      <w:r>
        <w:rPr>
          <w:rFonts w:ascii="仿宋_GB2312"/>
          <w:color w:val="000000"/>
          <w:szCs w:val="32"/>
        </w:rPr>
        <w:t>：指行政</w:t>
      </w:r>
      <w:r>
        <w:rPr>
          <w:rFonts w:hint="eastAsia" w:ascii="仿宋_GB2312"/>
          <w:color w:val="000000"/>
          <w:szCs w:val="32"/>
        </w:rPr>
        <w:t>单位及参照公务员法管理的事业单位用于保障机构正常运行、开展日常工作的基本支出</w:t>
      </w:r>
      <w:r>
        <w:rPr>
          <w:rFonts w:hint="eastAsia" w:ascii="仿宋_GB2312"/>
          <w:szCs w:val="32"/>
        </w:rPr>
        <w:t>。</w:t>
      </w:r>
    </w:p>
    <w:p>
      <w:pPr>
        <w:ind w:firstLine="640" w:firstLineChars="200"/>
        <w:rPr>
          <w:rFonts w:ascii="仿宋_GB2312"/>
          <w:color w:val="000000"/>
          <w:szCs w:val="32"/>
        </w:rPr>
      </w:pPr>
      <w:r>
        <w:rPr>
          <w:rFonts w:hint="eastAsia" w:ascii="仿宋_GB2312"/>
          <w:color w:val="000000"/>
          <w:szCs w:val="32"/>
          <w:lang w:val="en-US" w:eastAsia="zh-CN"/>
        </w:rPr>
        <w:t>8</w:t>
      </w:r>
      <w:r>
        <w:rPr>
          <w:rFonts w:ascii="仿宋_GB2312"/>
          <w:color w:val="000000"/>
          <w:szCs w:val="32"/>
        </w:rPr>
        <w:t>.</w:t>
      </w:r>
      <w:r>
        <w:rPr>
          <w:rFonts w:hint="eastAsia" w:ascii="仿宋_GB2312"/>
          <w:color w:val="000000"/>
          <w:szCs w:val="32"/>
        </w:rPr>
        <w:t>一般公共服务（类）纪检监察事项</w:t>
      </w:r>
      <w:r>
        <w:rPr>
          <w:rFonts w:ascii="仿宋_GB2312"/>
          <w:color w:val="000000"/>
          <w:szCs w:val="32"/>
        </w:rPr>
        <w:t>（款</w:t>
      </w:r>
      <w:r>
        <w:rPr>
          <w:rFonts w:hint="eastAsia" w:ascii="仿宋_GB2312"/>
          <w:color w:val="000000"/>
          <w:szCs w:val="32"/>
        </w:rPr>
        <w:t>）行政运行（项）</w:t>
      </w:r>
      <w:r>
        <w:rPr>
          <w:rFonts w:ascii="仿宋_GB2312"/>
          <w:color w:val="000000"/>
          <w:szCs w:val="32"/>
        </w:rPr>
        <w:t>：指行政</w:t>
      </w:r>
      <w:r>
        <w:rPr>
          <w:rFonts w:hint="eastAsia" w:ascii="仿宋_GB2312"/>
          <w:color w:val="000000"/>
          <w:szCs w:val="32"/>
        </w:rPr>
        <w:t>单位及参照公务员法管理的事业单位用于保障机构正常运行、开展日常工作的基本支出</w:t>
      </w:r>
      <w:r>
        <w:rPr>
          <w:rFonts w:hint="eastAsia" w:ascii="仿宋_GB2312"/>
          <w:szCs w:val="32"/>
        </w:rPr>
        <w:t>。</w:t>
      </w:r>
      <w:r>
        <w:rPr>
          <w:rFonts w:hint="eastAsia" w:ascii="仿宋_GB2312"/>
          <w:color w:val="000000"/>
          <w:szCs w:val="32"/>
        </w:rPr>
        <w:t>。</w:t>
      </w:r>
    </w:p>
    <w:p>
      <w:pPr>
        <w:ind w:firstLine="640" w:firstLineChars="200"/>
        <w:rPr>
          <w:rFonts w:ascii="仿宋_GB2312"/>
          <w:szCs w:val="32"/>
        </w:rPr>
      </w:pPr>
      <w:r>
        <w:rPr>
          <w:rFonts w:hint="eastAsia" w:ascii="仿宋_GB2312"/>
          <w:color w:val="000000"/>
          <w:szCs w:val="32"/>
          <w:lang w:val="en-US" w:eastAsia="zh-CN"/>
        </w:rPr>
        <w:t>9</w:t>
      </w:r>
      <w:r>
        <w:rPr>
          <w:rFonts w:ascii="仿宋_GB2312"/>
          <w:color w:val="000000"/>
          <w:szCs w:val="32"/>
        </w:rPr>
        <w:t>.</w:t>
      </w:r>
      <w:r>
        <w:rPr>
          <w:rFonts w:hint="eastAsia" w:ascii="仿宋_GB2312"/>
          <w:color w:val="000000"/>
          <w:szCs w:val="32"/>
        </w:rPr>
        <w:t>一般公共服务（类）纪检监察事项</w:t>
      </w:r>
      <w:r>
        <w:rPr>
          <w:rFonts w:ascii="仿宋_GB2312"/>
          <w:color w:val="000000"/>
          <w:szCs w:val="32"/>
        </w:rPr>
        <w:t>（款</w:t>
      </w:r>
      <w:r>
        <w:rPr>
          <w:rFonts w:hint="eastAsia" w:ascii="仿宋_GB2312"/>
          <w:color w:val="000000"/>
          <w:szCs w:val="32"/>
        </w:rPr>
        <w:t>）一般行政管理事务（项）</w:t>
      </w:r>
      <w:r>
        <w:rPr>
          <w:rFonts w:ascii="仿宋_GB2312"/>
          <w:color w:val="000000"/>
          <w:szCs w:val="32"/>
        </w:rPr>
        <w:t>：指行政</w:t>
      </w:r>
      <w:r>
        <w:rPr>
          <w:rFonts w:hint="eastAsia" w:ascii="仿宋_GB2312"/>
          <w:color w:val="000000"/>
          <w:szCs w:val="32"/>
        </w:rPr>
        <w:t>单位及参照公务员法管理的事业单位未单独设置项级科目的其他项目支出</w:t>
      </w:r>
      <w:r>
        <w:rPr>
          <w:rFonts w:hint="eastAsia" w:ascii="仿宋_GB2312"/>
          <w:szCs w:val="32"/>
        </w:rPr>
        <w:t>。</w:t>
      </w:r>
    </w:p>
    <w:p>
      <w:pPr>
        <w:ind w:firstLine="640" w:firstLineChars="200"/>
        <w:rPr>
          <w:rFonts w:ascii="仿宋_GB2312"/>
          <w:color w:val="000000"/>
          <w:szCs w:val="32"/>
        </w:rPr>
      </w:pPr>
      <w:r>
        <w:rPr>
          <w:rFonts w:hint="eastAsia" w:ascii="仿宋_GB2312"/>
          <w:color w:val="000000"/>
          <w:szCs w:val="32"/>
          <w:lang w:val="en-US" w:eastAsia="zh-CN"/>
        </w:rPr>
        <w:t>10</w:t>
      </w:r>
      <w:r>
        <w:rPr>
          <w:rFonts w:ascii="仿宋_GB2312"/>
          <w:color w:val="000000"/>
          <w:szCs w:val="32"/>
        </w:rPr>
        <w:t>.</w:t>
      </w:r>
      <w:r>
        <w:rPr>
          <w:rFonts w:hint="eastAsia" w:ascii="仿宋_GB2312"/>
          <w:color w:val="000000"/>
          <w:szCs w:val="32"/>
        </w:rPr>
        <w:t>一般公共服务（类）纪检监察事项</w:t>
      </w:r>
      <w:r>
        <w:rPr>
          <w:rFonts w:ascii="仿宋_GB2312"/>
          <w:color w:val="000000"/>
          <w:szCs w:val="32"/>
        </w:rPr>
        <w:t>（款</w:t>
      </w:r>
      <w:r>
        <w:rPr>
          <w:rFonts w:hint="eastAsia" w:ascii="仿宋_GB2312"/>
          <w:color w:val="000000"/>
          <w:szCs w:val="32"/>
        </w:rPr>
        <w:t>）其他纪检监察事务支出（项）</w:t>
      </w:r>
      <w:r>
        <w:rPr>
          <w:rFonts w:ascii="仿宋_GB2312"/>
          <w:color w:val="000000"/>
          <w:szCs w:val="32"/>
        </w:rPr>
        <w:t>：</w:t>
      </w:r>
      <w:r>
        <w:rPr>
          <w:rFonts w:hint="eastAsia" w:ascii="仿宋_GB2312"/>
          <w:color w:val="000000"/>
          <w:szCs w:val="32"/>
        </w:rPr>
        <w:t>反应上述纪检监察支出方面以外的其他支出。</w:t>
      </w:r>
    </w:p>
    <w:p>
      <w:pPr>
        <w:ind w:firstLine="640" w:firstLineChars="200"/>
        <w:rPr>
          <w:rFonts w:ascii="仿宋_GB2312"/>
          <w:color w:val="000000"/>
          <w:szCs w:val="32"/>
        </w:rPr>
      </w:pPr>
      <w:r>
        <w:rPr>
          <w:rFonts w:ascii="仿宋_GB2312"/>
          <w:color w:val="000000"/>
          <w:szCs w:val="32"/>
        </w:rPr>
        <w:t>1</w:t>
      </w:r>
      <w:r>
        <w:rPr>
          <w:rFonts w:hint="eastAsia" w:ascii="仿宋_GB2312"/>
          <w:color w:val="000000"/>
          <w:szCs w:val="32"/>
          <w:lang w:val="en-US" w:eastAsia="zh-CN"/>
        </w:rPr>
        <w:t>1</w:t>
      </w:r>
      <w:r>
        <w:rPr>
          <w:rFonts w:ascii="仿宋_GB2312"/>
          <w:color w:val="000000"/>
          <w:szCs w:val="32"/>
        </w:rPr>
        <w:t>.社会保障和就业（类）行政事业单位离退休（款）</w:t>
      </w:r>
      <w:r>
        <w:rPr>
          <w:rFonts w:hint="eastAsia" w:ascii="仿宋_GB2312"/>
          <w:color w:val="000000"/>
          <w:szCs w:val="32"/>
        </w:rPr>
        <w:t>机关事业单位基本养老保险缴费支出（项）</w:t>
      </w:r>
      <w:r>
        <w:rPr>
          <w:rFonts w:ascii="仿宋_GB2312"/>
          <w:color w:val="000000"/>
          <w:szCs w:val="32"/>
        </w:rPr>
        <w:t>：指实行归口管理的行政单位（包括实行公务员管理的事业单位）开支的</w:t>
      </w:r>
      <w:r>
        <w:rPr>
          <w:rFonts w:hint="eastAsia" w:ascii="仿宋_GB2312"/>
          <w:color w:val="000000"/>
          <w:szCs w:val="32"/>
        </w:rPr>
        <w:t>基本养老保险费用支出</w:t>
      </w:r>
      <w:r>
        <w:rPr>
          <w:rFonts w:ascii="仿宋_GB2312"/>
          <w:color w:val="000000"/>
          <w:szCs w:val="32"/>
        </w:rPr>
        <w:t>。</w:t>
      </w:r>
    </w:p>
    <w:p>
      <w:pPr>
        <w:ind w:firstLine="640" w:firstLineChars="200"/>
        <w:rPr>
          <w:rFonts w:ascii="仿宋_GB2312"/>
          <w:color w:val="000000"/>
          <w:szCs w:val="32"/>
        </w:rPr>
      </w:pPr>
      <w:r>
        <w:rPr>
          <w:rFonts w:ascii="仿宋_GB2312"/>
          <w:color w:val="000000"/>
          <w:szCs w:val="32"/>
        </w:rPr>
        <w:t>1</w:t>
      </w:r>
      <w:r>
        <w:rPr>
          <w:rFonts w:hint="eastAsia" w:ascii="仿宋_GB2312"/>
          <w:color w:val="000000"/>
          <w:szCs w:val="32"/>
          <w:lang w:val="en-US" w:eastAsia="zh-CN"/>
        </w:rPr>
        <w:t>2</w:t>
      </w:r>
      <w:r>
        <w:rPr>
          <w:rFonts w:ascii="仿宋_GB2312"/>
          <w:color w:val="000000"/>
          <w:szCs w:val="32"/>
        </w:rPr>
        <w:t>.医疗卫生与计划生育支出（类）医疗保障（款）行政单位医疗（项）：反映财政部门集中安排的行政单位基本医疗保险缴费经费，未参加医疗保险的行政单位的公费医疗经费，按国家规定享受离休人员、红军老战士待遇人员的医疗经费。</w:t>
      </w:r>
    </w:p>
    <w:p>
      <w:pPr>
        <w:ind w:firstLine="640" w:firstLineChars="200"/>
        <w:rPr>
          <w:rFonts w:ascii="仿宋_GB2312"/>
          <w:color w:val="000000"/>
          <w:szCs w:val="32"/>
        </w:rPr>
      </w:pPr>
      <w:r>
        <w:rPr>
          <w:rFonts w:ascii="仿宋_GB2312"/>
          <w:color w:val="000000"/>
          <w:szCs w:val="32"/>
        </w:rPr>
        <w:t>1</w:t>
      </w:r>
      <w:r>
        <w:rPr>
          <w:rFonts w:hint="eastAsia" w:ascii="仿宋_GB2312"/>
          <w:color w:val="000000"/>
          <w:szCs w:val="32"/>
          <w:lang w:val="en-US" w:eastAsia="zh-CN"/>
        </w:rPr>
        <w:t>3</w:t>
      </w:r>
      <w:r>
        <w:rPr>
          <w:rFonts w:ascii="仿宋_GB2312"/>
          <w:color w:val="000000"/>
          <w:szCs w:val="32"/>
        </w:rPr>
        <w:t>.住房保障支出（类）住房改革支出（款）住房公积金（项）：反映区委</w:t>
      </w:r>
      <w:r>
        <w:rPr>
          <w:rFonts w:hint="eastAsia" w:ascii="仿宋_GB2312"/>
          <w:color w:val="000000"/>
          <w:szCs w:val="32"/>
        </w:rPr>
        <w:t>巡察办</w:t>
      </w:r>
      <w:r>
        <w:rPr>
          <w:rFonts w:ascii="仿宋_GB2312"/>
          <w:color w:val="000000"/>
          <w:szCs w:val="32"/>
        </w:rPr>
        <w:t>按人力资源和社会保障部、财政部规定的基本工资和津贴补贴以及规定比例为职工缴纳的住房公积金。</w:t>
      </w:r>
    </w:p>
    <w:p>
      <w:pPr>
        <w:ind w:firstLine="640" w:firstLineChars="200"/>
        <w:rPr>
          <w:rFonts w:ascii="仿宋_GB2312"/>
          <w:color w:val="000000"/>
          <w:szCs w:val="32"/>
        </w:rPr>
      </w:pPr>
      <w:r>
        <w:rPr>
          <w:rFonts w:hint="eastAsia" w:ascii="仿宋_GB2312"/>
          <w:color w:val="000000"/>
          <w:szCs w:val="32"/>
        </w:rPr>
        <w:t>1</w:t>
      </w:r>
      <w:r>
        <w:rPr>
          <w:rFonts w:hint="eastAsia" w:ascii="仿宋_GB2312"/>
          <w:color w:val="000000"/>
          <w:szCs w:val="32"/>
          <w:lang w:val="en-US" w:eastAsia="zh-CN"/>
        </w:rPr>
        <w:t>4</w:t>
      </w:r>
      <w:r>
        <w:rPr>
          <w:rFonts w:ascii="仿宋_GB2312"/>
          <w:color w:val="000000"/>
          <w:szCs w:val="32"/>
        </w:rPr>
        <w:t>.</w:t>
      </w:r>
      <w:r>
        <w:rPr>
          <w:rFonts w:hint="eastAsia" w:ascii="仿宋_GB2312"/>
          <w:color w:val="000000"/>
          <w:szCs w:val="32"/>
        </w:rPr>
        <w:t>基本支出：指为保障机构正常运转、完成日常工作任务而发生的人员支出和公用支出。</w:t>
      </w:r>
    </w:p>
    <w:p>
      <w:pPr>
        <w:ind w:firstLine="640" w:firstLineChars="200"/>
        <w:rPr>
          <w:rFonts w:ascii="仿宋_GB2312"/>
          <w:color w:val="000000"/>
          <w:szCs w:val="32"/>
        </w:rPr>
      </w:pPr>
      <w:r>
        <w:rPr>
          <w:rFonts w:hint="eastAsia" w:ascii="仿宋_GB2312"/>
          <w:color w:val="000000"/>
          <w:szCs w:val="32"/>
        </w:rPr>
        <w:t>1</w:t>
      </w:r>
      <w:r>
        <w:rPr>
          <w:rFonts w:hint="eastAsia" w:ascii="仿宋_GB2312"/>
          <w:color w:val="000000"/>
          <w:szCs w:val="32"/>
          <w:lang w:val="en-US" w:eastAsia="zh-CN"/>
        </w:rPr>
        <w:t>5</w:t>
      </w:r>
      <w:r>
        <w:rPr>
          <w:rFonts w:ascii="仿宋_GB2312"/>
          <w:color w:val="000000"/>
          <w:szCs w:val="32"/>
        </w:rPr>
        <w:t>.</w:t>
      </w:r>
      <w:r>
        <w:rPr>
          <w:rFonts w:hint="eastAsia" w:ascii="仿宋_GB2312"/>
          <w:color w:val="000000"/>
          <w:szCs w:val="32"/>
        </w:rPr>
        <w:t>项目支出：指在基本支出之外为完成特定行政任务和事业发展目标所发生的支出。</w:t>
      </w:r>
      <w:r>
        <w:rPr>
          <w:rFonts w:ascii="仿宋_GB2312"/>
          <w:color w:val="000000"/>
          <w:szCs w:val="32"/>
        </w:rPr>
        <w:t xml:space="preserve"> </w:t>
      </w:r>
    </w:p>
    <w:p>
      <w:pPr>
        <w:ind w:firstLine="640" w:firstLineChars="200"/>
        <w:rPr>
          <w:rFonts w:ascii="仿宋_GB2312"/>
          <w:color w:val="000000"/>
          <w:szCs w:val="32"/>
        </w:rPr>
      </w:pPr>
      <w:r>
        <w:rPr>
          <w:rFonts w:hint="eastAsia" w:ascii="仿宋_GB2312"/>
          <w:color w:val="000000"/>
          <w:szCs w:val="32"/>
        </w:rPr>
        <w:t>1</w:t>
      </w:r>
      <w:r>
        <w:rPr>
          <w:rFonts w:hint="eastAsia" w:ascii="仿宋_GB2312"/>
          <w:color w:val="000000"/>
          <w:szCs w:val="32"/>
          <w:lang w:val="en-US" w:eastAsia="zh-CN"/>
        </w:rPr>
        <w:t>6</w:t>
      </w:r>
      <w:r>
        <w:rPr>
          <w:rFonts w:ascii="仿宋_GB2312"/>
          <w:color w:val="000000"/>
          <w:szCs w:val="32"/>
        </w:rPr>
        <w:t>.</w:t>
      </w:r>
      <w:r>
        <w:rPr>
          <w:rFonts w:hint="eastAsia" w:ascii="仿宋_GB2312"/>
          <w:color w:val="000000"/>
          <w:szCs w:val="32"/>
        </w:rPr>
        <w:t>经营支出：指事业单位在专业业务活动及其辅助活动之外开展非独立核算经营活动发生的支出。</w:t>
      </w:r>
    </w:p>
    <w:p>
      <w:pPr>
        <w:pStyle w:val="18"/>
        <w:spacing w:line="560" w:lineRule="exact"/>
        <w:ind w:firstLine="640" w:firstLineChars="200"/>
        <w:rPr>
          <w:rFonts w:ascii="仿宋_GB2312" w:eastAsia="仿宋_GB2312"/>
          <w:sz w:val="32"/>
          <w:szCs w:val="32"/>
        </w:rPr>
      </w:pPr>
      <w:r>
        <w:rPr>
          <w:rFonts w:hint="eastAsia" w:ascii="仿宋_GB2312" w:eastAsia="仿宋_GB2312"/>
          <w:sz w:val="32"/>
          <w:szCs w:val="32"/>
        </w:rPr>
        <w:t>1</w:t>
      </w:r>
      <w:r>
        <w:rPr>
          <w:rFonts w:hint="eastAsia" w:ascii="仿宋_GB2312" w:eastAsia="仿宋_GB2312"/>
          <w:sz w:val="32"/>
          <w:szCs w:val="32"/>
          <w:lang w:val="en-US" w:eastAsia="zh-CN"/>
        </w:rPr>
        <w:t>7</w:t>
      </w:r>
      <w:r>
        <w:rPr>
          <w:rFonts w:ascii="仿宋_GB2312" w:eastAsia="仿宋_GB2312"/>
          <w:sz w:val="32"/>
          <w:szCs w:val="32"/>
        </w:rPr>
        <w:t>.</w:t>
      </w:r>
      <w:r>
        <w:rPr>
          <w:rFonts w:hint="eastAsia" w:ascii="仿宋_GB2312" w:eastAsia="仿宋_GB2312"/>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18"/>
        <w:spacing w:line="560" w:lineRule="exact"/>
        <w:ind w:firstLine="640" w:firstLineChars="200"/>
        <w:rPr>
          <w:rFonts w:ascii="仿宋_GB2312" w:eastAsia="仿宋_GB2312"/>
          <w:sz w:val="32"/>
          <w:szCs w:val="32"/>
        </w:rPr>
      </w:pPr>
      <w:r>
        <w:rPr>
          <w:rFonts w:hint="eastAsia" w:ascii="仿宋_GB2312" w:eastAsia="仿宋_GB2312"/>
          <w:sz w:val="32"/>
          <w:szCs w:val="32"/>
          <w:lang w:val="en-US" w:eastAsia="zh-CN"/>
        </w:rPr>
        <w:t>18</w:t>
      </w:r>
      <w:r>
        <w:rPr>
          <w:rFonts w:ascii="仿宋_GB2312" w:eastAsia="仿宋_GB2312"/>
          <w:sz w:val="32"/>
          <w:szCs w:val="32"/>
        </w:rPr>
        <w:t>.</w:t>
      </w: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600" w:lineRule="exact"/>
        <w:jc w:val="center"/>
        <w:outlineLvl w:val="0"/>
        <w:rPr>
          <w:rStyle w:val="15"/>
          <w:rFonts w:ascii="黑体" w:hAnsi="黑体" w:eastAsia="黑体"/>
          <w:b w:val="0"/>
        </w:rPr>
      </w:pPr>
      <w:bookmarkStart w:id="58" w:name="_Toc15377226"/>
      <w:r>
        <w:rPr>
          <w:rFonts w:ascii="宋体"/>
          <w:b/>
          <w:color w:val="000000"/>
          <w:sz w:val="44"/>
          <w:szCs w:val="44"/>
        </w:rPr>
        <w:br w:type="page"/>
      </w:r>
      <w:bookmarkStart w:id="59" w:name="_Toc15396614"/>
      <w:bookmarkStart w:id="60" w:name="_Toc11207"/>
      <w:r>
        <w:rPr>
          <w:rFonts w:hint="eastAsia" w:ascii="黑体" w:hAnsi="黑体" w:eastAsia="黑体"/>
          <w:color w:val="000000"/>
          <w:sz w:val="44"/>
          <w:szCs w:val="44"/>
        </w:rPr>
        <w:t>第</w:t>
      </w:r>
      <w:r>
        <w:rPr>
          <w:rStyle w:val="15"/>
          <w:rFonts w:hint="eastAsia" w:ascii="黑体" w:hAnsi="黑体" w:eastAsia="黑体"/>
          <w:b w:val="0"/>
        </w:rPr>
        <w:t>四部分</w:t>
      </w:r>
      <w:r>
        <w:rPr>
          <w:rStyle w:val="15"/>
          <w:rFonts w:ascii="黑体" w:hAnsi="黑体" w:eastAsia="黑体"/>
          <w:b w:val="0"/>
        </w:rPr>
        <w:t xml:space="preserve"> </w:t>
      </w:r>
      <w:r>
        <w:rPr>
          <w:rStyle w:val="15"/>
          <w:rFonts w:hint="eastAsia" w:ascii="黑体" w:hAnsi="黑体" w:eastAsia="黑体"/>
          <w:b w:val="0"/>
        </w:rPr>
        <w:t>附件</w:t>
      </w:r>
      <w:bookmarkEnd w:id="59"/>
      <w:bookmarkEnd w:id="60"/>
    </w:p>
    <w:p>
      <w:pPr>
        <w:spacing w:line="600" w:lineRule="exact"/>
        <w:jc w:val="left"/>
        <w:outlineLvl w:val="1"/>
        <w:rPr>
          <w:rFonts w:ascii="方正小标宋简体" w:hAnsi="方正小标宋简体" w:eastAsia="方正小标宋简体" w:cs="方正小标宋简体"/>
          <w:szCs w:val="32"/>
        </w:rPr>
      </w:pPr>
      <w:bookmarkStart w:id="61" w:name="_Toc22930"/>
      <w:r>
        <w:rPr>
          <w:rFonts w:hint="eastAsia" w:ascii="黑体" w:hAnsi="黑体" w:eastAsia="黑体" w:cs="黑体"/>
          <w:szCs w:val="32"/>
        </w:rPr>
        <w:t>附件</w:t>
      </w:r>
      <w:r>
        <w:rPr>
          <w:rFonts w:ascii="黑体" w:hAnsi="黑体" w:eastAsia="黑体" w:cs="黑体"/>
          <w:szCs w:val="32"/>
        </w:rPr>
        <w:t>1</w:t>
      </w:r>
      <w:bookmarkEnd w:id="61"/>
    </w:p>
    <w:p>
      <w:pPr>
        <w:spacing w:line="580" w:lineRule="exact"/>
        <w:jc w:val="center"/>
        <w:rPr>
          <w:rFonts w:ascii="方正小标宋简体" w:hAnsi="方正小标宋简体" w:eastAsia="方正小标宋简体" w:cs="方正小标宋简体"/>
          <w:sz w:val="44"/>
          <w:szCs w:val="44"/>
        </w:rPr>
      </w:pPr>
    </w:p>
    <w:p>
      <w:pPr>
        <w:spacing w:line="600" w:lineRule="exact"/>
        <w:jc w:val="center"/>
        <w:rPr>
          <w:rFonts w:ascii="方正小标宋简体" w:hAnsi="宋体" w:eastAsia="方正小标宋简体"/>
          <w:color w:val="000000"/>
          <w:kern w:val="0"/>
          <w:sz w:val="40"/>
          <w:szCs w:val="44"/>
        </w:rPr>
      </w:pPr>
      <w:r>
        <w:rPr>
          <w:rFonts w:hint="eastAsia" w:ascii="方正小标宋简体" w:hAnsi="宋体" w:eastAsia="方正小标宋简体"/>
          <w:color w:val="000000"/>
          <w:kern w:val="0"/>
          <w:sz w:val="40"/>
          <w:szCs w:val="44"/>
        </w:rPr>
        <w:t>自流井区委巡察办</w:t>
      </w:r>
    </w:p>
    <w:p>
      <w:pPr>
        <w:spacing w:line="600" w:lineRule="exact"/>
        <w:jc w:val="center"/>
        <w:rPr>
          <w:rFonts w:ascii="方正小标宋简体" w:hAnsi="宋体" w:eastAsia="方正小标宋简体"/>
          <w:color w:val="000000"/>
          <w:kern w:val="0"/>
          <w:sz w:val="40"/>
          <w:szCs w:val="44"/>
          <w:lang w:val="zh-CN"/>
        </w:rPr>
      </w:pPr>
      <w:r>
        <w:rPr>
          <w:rFonts w:ascii="方正小标宋简体" w:hAnsi="宋体" w:eastAsia="方正小标宋简体"/>
          <w:color w:val="000000"/>
          <w:kern w:val="0"/>
          <w:sz w:val="40"/>
          <w:szCs w:val="44"/>
        </w:rPr>
        <w:t>2020</w:t>
      </w:r>
      <w:r>
        <w:rPr>
          <w:rFonts w:hint="eastAsia" w:ascii="方正小标宋简体" w:hAnsi="宋体" w:eastAsia="方正小标宋简体"/>
          <w:color w:val="000000"/>
          <w:kern w:val="0"/>
          <w:sz w:val="40"/>
          <w:szCs w:val="44"/>
        </w:rPr>
        <w:t>年</w:t>
      </w:r>
      <w:r>
        <w:rPr>
          <w:rFonts w:hint="eastAsia" w:ascii="方正小标宋简体" w:hAnsi="宋体" w:eastAsia="方正小标宋简体"/>
          <w:color w:val="000000"/>
          <w:kern w:val="0"/>
          <w:sz w:val="40"/>
          <w:szCs w:val="44"/>
          <w:lang w:eastAsia="zh-CN"/>
        </w:rPr>
        <w:t>本级</w:t>
      </w:r>
      <w:r>
        <w:rPr>
          <w:rFonts w:hint="eastAsia" w:ascii="方正小标宋简体" w:hAnsi="宋体" w:eastAsia="方正小标宋简体"/>
          <w:color w:val="000000"/>
          <w:kern w:val="0"/>
          <w:sz w:val="40"/>
          <w:szCs w:val="44"/>
          <w:lang w:val="zh-CN"/>
        </w:rPr>
        <w:t>整体支出绩效评价报告</w:t>
      </w:r>
    </w:p>
    <w:p>
      <w:pPr>
        <w:widowControl/>
        <w:adjustRightInd w:val="0"/>
        <w:snapToGrid w:val="0"/>
        <w:spacing w:line="580" w:lineRule="exact"/>
        <w:ind w:firstLine="480" w:firstLineChars="200"/>
        <w:contextualSpacing/>
        <w:jc w:val="left"/>
        <w:rPr>
          <w:rFonts w:ascii="黑体" w:hAnsi="宋体" w:eastAsia="黑体" w:cs="宋体"/>
          <w:color w:val="000000"/>
          <w:kern w:val="0"/>
          <w:sz w:val="24"/>
          <w:szCs w:val="32"/>
          <w:shd w:val="clear" w:color="auto" w:fill="FFFFFF"/>
        </w:rPr>
      </w:pPr>
    </w:p>
    <w:p>
      <w:pPr>
        <w:widowControl/>
        <w:adjustRightInd w:val="0"/>
        <w:snapToGrid w:val="0"/>
        <w:spacing w:line="580" w:lineRule="exact"/>
        <w:ind w:firstLine="640" w:firstLineChars="200"/>
        <w:contextualSpacing/>
        <w:jc w:val="left"/>
        <w:rPr>
          <w:rFonts w:ascii="黑体" w:hAnsi="宋体" w:eastAsia="黑体" w:cs="宋体"/>
          <w:color w:val="000000"/>
          <w:kern w:val="0"/>
          <w:szCs w:val="32"/>
          <w:shd w:val="clear" w:color="auto" w:fill="FFFFFF"/>
          <w:lang w:val="zh-CN"/>
        </w:rPr>
      </w:pPr>
      <w:r>
        <w:rPr>
          <w:rFonts w:hint="eastAsia" w:ascii="黑体" w:hAnsi="宋体" w:eastAsia="黑体" w:cs="宋体"/>
          <w:color w:val="000000"/>
          <w:kern w:val="0"/>
          <w:szCs w:val="32"/>
          <w:shd w:val="clear" w:color="auto" w:fill="FFFFFF"/>
        </w:rPr>
        <w:t>一、</w:t>
      </w:r>
      <w:r>
        <w:rPr>
          <w:rFonts w:hint="eastAsia" w:ascii="黑体" w:hAnsi="宋体" w:eastAsia="黑体" w:cs="宋体"/>
          <w:color w:val="000000"/>
          <w:kern w:val="0"/>
          <w:szCs w:val="32"/>
          <w:shd w:val="clear" w:color="auto" w:fill="FFFFFF"/>
          <w:lang w:val="zh-CN"/>
        </w:rPr>
        <w:t>单位概况</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（一）机构组成。</w:t>
      </w:r>
    </w:p>
    <w:p>
      <w:pPr>
        <w:spacing w:line="560" w:lineRule="exact"/>
        <w:ind w:firstLine="640" w:firstLineChars="200"/>
        <w:rPr>
          <w:rFonts w:ascii="仿宋_GB2312" w:hAnsi="宋体" w:cs="宋体"/>
          <w:color w:val="000000"/>
          <w:kern w:val="0"/>
          <w:szCs w:val="32"/>
          <w:shd w:val="clear" w:color="auto" w:fill="FFFFFF"/>
          <w:lang w:val="zh-CN"/>
        </w:rPr>
      </w:pPr>
      <w:r>
        <w:rPr>
          <w:rFonts w:hint="eastAsia" w:ascii="仿宋_GB2312" w:hAnsi="仿宋_GB2312" w:cs="仿宋_GB2312"/>
          <w:szCs w:val="32"/>
        </w:rPr>
        <w:t>区委巡察办设下列内设机构：综合股。区委巡察办下属二级单位0个，其中行政单位0个，参照公务员法管理的事业单位0个，其他事业单位0个。</w:t>
      </w:r>
    </w:p>
    <w:p>
      <w:pPr>
        <w:widowControl/>
        <w:numPr>
          <w:ilvl w:val="0"/>
          <w:numId w:val="5"/>
        </w:numPr>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机构职能。</w:t>
      </w:r>
    </w:p>
    <w:p>
      <w:pPr>
        <w:spacing w:line="560" w:lineRule="exact"/>
        <w:ind w:firstLine="640" w:firstLineChars="200"/>
        <w:rPr>
          <w:rFonts w:ascii="仿宋_GB2312"/>
          <w:szCs w:val="32"/>
        </w:rPr>
      </w:pPr>
      <w:r>
        <w:rPr>
          <w:rFonts w:hint="eastAsia" w:ascii="仿宋_GB2312"/>
          <w:szCs w:val="32"/>
        </w:rPr>
        <w:t>综合股</w:t>
      </w:r>
      <w:r>
        <w:rPr>
          <w:rFonts w:hint="eastAsia"/>
          <w:szCs w:val="32"/>
        </w:rPr>
        <w:t>。</w:t>
      </w:r>
      <w:r>
        <w:rPr>
          <w:rFonts w:hint="eastAsia" w:ascii="仿宋_GB2312"/>
          <w:szCs w:val="32"/>
        </w:rPr>
        <w:t>负责区委巡察办日常事务及业务工作。承担综合协调、服务保障、内部管理、</w:t>
      </w:r>
      <w:r>
        <w:rPr>
          <w:rFonts w:ascii="仿宋_GB2312"/>
          <w:szCs w:val="32"/>
        </w:rPr>
        <w:t>制度建设</w:t>
      </w:r>
      <w:r>
        <w:rPr>
          <w:rFonts w:hint="eastAsia" w:ascii="仿宋_GB2312"/>
          <w:szCs w:val="32"/>
        </w:rPr>
        <w:t>、业务指导、协调联络、督查</w:t>
      </w:r>
      <w:r>
        <w:rPr>
          <w:rFonts w:ascii="仿宋_GB2312"/>
          <w:szCs w:val="32"/>
        </w:rPr>
        <w:t>督</w:t>
      </w:r>
      <w:r>
        <w:rPr>
          <w:rFonts w:hint="eastAsia" w:ascii="仿宋_GB2312"/>
          <w:szCs w:val="32"/>
        </w:rPr>
        <w:t>办等职责。负责组织起草巡察工作综合性</w:t>
      </w:r>
      <w:r>
        <w:rPr>
          <w:rFonts w:ascii="仿宋_GB2312"/>
          <w:szCs w:val="32"/>
        </w:rPr>
        <w:t>文稿</w:t>
      </w:r>
      <w:r>
        <w:rPr>
          <w:rFonts w:hint="eastAsia" w:ascii="仿宋_GB2312"/>
          <w:szCs w:val="32"/>
        </w:rPr>
        <w:t>；</w:t>
      </w:r>
      <w:r>
        <w:rPr>
          <w:rFonts w:hint="eastAsia" w:ascii="仿宋_GB2312"/>
          <w:color w:val="000000"/>
          <w:szCs w:val="32"/>
        </w:rPr>
        <w:t>承担文电、会务、印章、档案管理及安</w:t>
      </w:r>
      <w:r>
        <w:rPr>
          <w:rFonts w:hint="eastAsia" w:ascii="仿宋_GB2312"/>
          <w:szCs w:val="32"/>
        </w:rPr>
        <w:t>全、保密机要管理工作；负责区委巡察机构的后勤保障、信息化建设、宣传信息等工作；承办对</w:t>
      </w:r>
      <w:r>
        <w:rPr>
          <w:rFonts w:ascii="仿宋_GB2312"/>
          <w:szCs w:val="32"/>
        </w:rPr>
        <w:t>巡察</w:t>
      </w:r>
      <w:r>
        <w:rPr>
          <w:rFonts w:hint="eastAsia" w:ascii="仿宋_GB2312"/>
          <w:szCs w:val="32"/>
        </w:rPr>
        <w:t>干部</w:t>
      </w:r>
      <w:r>
        <w:rPr>
          <w:rFonts w:ascii="仿宋_GB2312"/>
          <w:szCs w:val="32"/>
        </w:rPr>
        <w:t>进行</w:t>
      </w:r>
      <w:r>
        <w:rPr>
          <w:rFonts w:hint="eastAsia" w:ascii="仿宋_GB2312"/>
          <w:szCs w:val="32"/>
        </w:rPr>
        <w:t>培训、</w:t>
      </w:r>
      <w:r>
        <w:rPr>
          <w:rFonts w:ascii="仿宋_GB2312"/>
          <w:szCs w:val="32"/>
        </w:rPr>
        <w:t>考核、</w:t>
      </w:r>
      <w:r>
        <w:rPr>
          <w:rFonts w:hint="eastAsia" w:ascii="仿宋_GB2312"/>
          <w:szCs w:val="32"/>
        </w:rPr>
        <w:t>监督</w:t>
      </w:r>
      <w:r>
        <w:rPr>
          <w:rFonts w:ascii="仿宋_GB2312"/>
          <w:szCs w:val="32"/>
        </w:rPr>
        <w:t>和管理，做好与相关单位的沟通协调；</w:t>
      </w:r>
      <w:r>
        <w:rPr>
          <w:rFonts w:hint="eastAsia" w:ascii="仿宋_GB2312"/>
          <w:szCs w:val="32"/>
        </w:rPr>
        <w:t>负责督办市委巡察办和区委、区委巡察工作领导小组有关决定事项。</w:t>
      </w:r>
    </w:p>
    <w:p>
      <w:pPr>
        <w:spacing w:line="560" w:lineRule="exact"/>
        <w:ind w:firstLine="640" w:firstLineChars="200"/>
        <w:rPr>
          <w:rFonts w:ascii="仿宋_GB2312"/>
          <w:szCs w:val="32"/>
        </w:rPr>
      </w:pPr>
      <w:r>
        <w:rPr>
          <w:rFonts w:hint="eastAsia" w:ascii="仿宋_GB2312"/>
          <w:szCs w:val="32"/>
        </w:rPr>
        <w:t>组织起草巡察工作规划、计划、方案和年度工作综合报告；负责区委巡察组工作的协调</w:t>
      </w:r>
      <w:r>
        <w:rPr>
          <w:rFonts w:ascii="仿宋_GB2312"/>
          <w:szCs w:val="32"/>
        </w:rPr>
        <w:t>、</w:t>
      </w:r>
      <w:r>
        <w:rPr>
          <w:rFonts w:hint="eastAsia" w:ascii="仿宋_GB2312"/>
          <w:szCs w:val="32"/>
        </w:rPr>
        <w:t>联络</w:t>
      </w:r>
      <w:r>
        <w:rPr>
          <w:rFonts w:ascii="仿宋_GB2312"/>
          <w:szCs w:val="32"/>
        </w:rPr>
        <w:t>、指导</w:t>
      </w:r>
      <w:r>
        <w:rPr>
          <w:rFonts w:hint="eastAsia" w:ascii="仿宋_GB2312"/>
          <w:szCs w:val="32"/>
        </w:rPr>
        <w:t>；开展巡察工作调研，汇总分析巡察工作情况，起草相关制度规定；承办巡察工作的重要文稿、政策咨询和意见答复；负责问题线索管理、信访举报件移送，督促被巡察单位落实问题整改；办理区管干部任职征求意见回复等工作；负责巡察工作的信息数据管理工作。</w:t>
      </w:r>
    </w:p>
    <w:p>
      <w:pPr>
        <w:widowControl/>
        <w:numPr>
          <w:ilvl w:val="0"/>
          <w:numId w:val="5"/>
        </w:numPr>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人员概况。</w:t>
      </w:r>
    </w:p>
    <w:p>
      <w:pPr>
        <w:spacing w:line="592" w:lineRule="exact"/>
        <w:ind w:firstLine="640" w:firstLineChars="200"/>
        <w:rPr>
          <w:rFonts w:ascii="仿宋_GB2312"/>
          <w:szCs w:val="32"/>
        </w:rPr>
      </w:pPr>
      <w:r>
        <w:rPr>
          <w:rFonts w:hint="eastAsia" w:ascii="仿宋_GB2312"/>
          <w:szCs w:val="32"/>
        </w:rPr>
        <w:t>区委巡察工作领导小组办公室行政编制</w:t>
      </w:r>
      <w:r>
        <w:rPr>
          <w:szCs w:val="32"/>
        </w:rPr>
        <w:t>4</w:t>
      </w:r>
      <w:r>
        <w:rPr>
          <w:rFonts w:hint="eastAsia" w:ascii="仿宋_GB2312"/>
          <w:szCs w:val="32"/>
        </w:rPr>
        <w:t>名，其中：主任1名，副主任1名。</w:t>
      </w:r>
    </w:p>
    <w:p>
      <w:pPr>
        <w:spacing w:line="580" w:lineRule="exact"/>
        <w:ind w:firstLine="640" w:firstLineChars="200"/>
        <w:rPr>
          <w:rFonts w:ascii="仿宋" w:hAnsi="仿宋" w:eastAsia="仿宋" w:cs="仿宋_GB2312"/>
          <w:szCs w:val="32"/>
        </w:rPr>
      </w:pPr>
      <w:r>
        <w:rPr>
          <w:rFonts w:hint="eastAsia" w:ascii="仿宋_GB2312"/>
          <w:szCs w:val="32"/>
        </w:rPr>
        <w:t>区委设</w:t>
      </w:r>
      <w:r>
        <w:rPr>
          <w:rFonts w:hint="eastAsia"/>
          <w:szCs w:val="32"/>
        </w:rPr>
        <w:t>3个巡察组，行政编制9名，其中：组长3名（正科级），副组长3名（副科级），巡察专员3名（副科级）</w:t>
      </w:r>
      <w:r>
        <w:rPr>
          <w:rFonts w:hint="eastAsia" w:ascii="仿宋_GB2312"/>
          <w:szCs w:val="32"/>
        </w:rPr>
        <w:t>。</w:t>
      </w:r>
    </w:p>
    <w:p>
      <w:pPr>
        <w:widowControl/>
        <w:adjustRightInd w:val="0"/>
        <w:snapToGrid w:val="0"/>
        <w:spacing w:line="580" w:lineRule="exact"/>
        <w:ind w:firstLine="640" w:firstLineChars="200"/>
        <w:contextualSpacing/>
        <w:jc w:val="left"/>
        <w:rPr>
          <w:rFonts w:ascii="黑体" w:hAnsi="宋体" w:eastAsia="黑体" w:cs="宋体"/>
          <w:color w:val="000000"/>
          <w:kern w:val="0"/>
          <w:szCs w:val="32"/>
          <w:shd w:val="clear" w:color="auto" w:fill="FFFFFF"/>
        </w:rPr>
      </w:pPr>
      <w:r>
        <w:rPr>
          <w:rFonts w:hint="eastAsia" w:ascii="黑体" w:hAnsi="宋体" w:eastAsia="黑体" w:cs="宋体"/>
          <w:color w:val="000000"/>
          <w:kern w:val="0"/>
          <w:szCs w:val="32"/>
          <w:shd w:val="clear" w:color="auto" w:fill="FFFFFF"/>
        </w:rPr>
        <w:t>二、</w:t>
      </w:r>
      <w:r>
        <w:rPr>
          <w:rFonts w:hint="eastAsia" w:ascii="黑体" w:hAnsi="宋体" w:eastAsia="黑体" w:cs="宋体"/>
          <w:color w:val="000000"/>
          <w:kern w:val="0"/>
          <w:szCs w:val="32"/>
          <w:shd w:val="clear" w:color="auto" w:fill="FFFFFF"/>
          <w:lang w:eastAsia="zh-CN"/>
        </w:rPr>
        <w:t>本级</w:t>
      </w:r>
      <w:r>
        <w:rPr>
          <w:rFonts w:hint="eastAsia" w:ascii="黑体" w:hAnsi="宋体" w:eastAsia="黑体" w:cs="宋体"/>
          <w:color w:val="000000"/>
          <w:kern w:val="0"/>
          <w:szCs w:val="32"/>
          <w:shd w:val="clear" w:color="auto" w:fill="FFFFFF"/>
        </w:rPr>
        <w:t>财政资金收支情况</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（一）本级财政资金收入情况。</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仿宋_GB2312" w:cs="仿宋_GB2312"/>
          <w:color w:val="000000"/>
          <w:szCs w:val="32"/>
        </w:rPr>
        <w:t>2020年本年收入合计187.71万元，其中：一般公共预算财政拨款收入187.71万元。</w:t>
      </w:r>
    </w:p>
    <w:p>
      <w:pPr>
        <w:widowControl/>
        <w:numPr>
          <w:ilvl w:val="0"/>
          <w:numId w:val="6"/>
        </w:numPr>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本级财政资金支出情况。</w:t>
      </w:r>
    </w:p>
    <w:p>
      <w:pPr>
        <w:spacing w:line="600" w:lineRule="exact"/>
        <w:ind w:firstLine="640"/>
        <w:rPr>
          <w:rFonts w:ascii="仿宋" w:hAnsi="仿宋" w:eastAsia="仿宋"/>
          <w:color w:val="000000"/>
          <w:szCs w:val="32"/>
        </w:rPr>
      </w:pPr>
      <w:r>
        <w:rPr>
          <w:rFonts w:hint="eastAsia" w:ascii="仿宋_GB2312" w:hAnsi="仿宋_GB2312" w:cs="仿宋_GB2312"/>
          <w:color w:val="000000"/>
          <w:szCs w:val="32"/>
        </w:rPr>
        <w:t>2020年一般公共预算财政拨款支出194.67万元，主要用于以下方面:一般公共服务（类）支出162.50万元，占83.48%；社会保障和就业（类）支出14.19万元，占7.29%；卫生健康支出7.05万元，占3.62%；住房保障支出10.93万元，占5.61%。</w:t>
      </w:r>
    </w:p>
    <w:p>
      <w:pPr>
        <w:widowControl/>
        <w:adjustRightInd w:val="0"/>
        <w:snapToGrid w:val="0"/>
        <w:spacing w:line="580" w:lineRule="exact"/>
        <w:ind w:firstLine="640" w:firstLineChars="200"/>
        <w:contextualSpacing/>
        <w:jc w:val="left"/>
        <w:rPr>
          <w:rFonts w:ascii="黑体" w:hAnsi="宋体" w:eastAsia="黑体" w:cs="宋体"/>
          <w:color w:val="000000"/>
          <w:kern w:val="0"/>
          <w:szCs w:val="32"/>
          <w:shd w:val="clear" w:color="auto" w:fill="FFFFFF"/>
        </w:rPr>
      </w:pPr>
      <w:r>
        <w:rPr>
          <w:rFonts w:hint="eastAsia" w:ascii="黑体" w:hAnsi="宋体" w:eastAsia="黑体" w:cs="宋体"/>
          <w:color w:val="000000"/>
          <w:kern w:val="0"/>
          <w:szCs w:val="32"/>
          <w:shd w:val="clear" w:color="auto" w:fill="FFFFFF"/>
        </w:rPr>
        <w:t>三、</w:t>
      </w:r>
      <w:r>
        <w:rPr>
          <w:rFonts w:hint="eastAsia" w:ascii="黑体" w:hAnsi="宋体" w:eastAsia="黑体" w:cs="宋体"/>
          <w:color w:val="000000"/>
          <w:kern w:val="0"/>
          <w:szCs w:val="32"/>
          <w:shd w:val="clear" w:color="auto" w:fill="FFFFFF"/>
          <w:lang w:eastAsia="zh-CN"/>
        </w:rPr>
        <w:t>本级</w:t>
      </w:r>
      <w:r>
        <w:rPr>
          <w:rFonts w:hint="eastAsia" w:ascii="黑体" w:hAnsi="宋体" w:eastAsia="黑体" w:cs="宋体"/>
          <w:color w:val="000000"/>
          <w:kern w:val="0"/>
          <w:szCs w:val="32"/>
          <w:shd w:val="clear" w:color="auto" w:fill="FFFFFF"/>
        </w:rPr>
        <w:t>整体预算绩效管理情况</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（一）</w:t>
      </w:r>
      <w:r>
        <w:rPr>
          <w:rFonts w:hint="eastAsia" w:ascii="仿宋_GB2312" w:hAnsi="宋体" w:cs="宋体"/>
          <w:color w:val="000000"/>
          <w:kern w:val="0"/>
          <w:szCs w:val="32"/>
          <w:shd w:val="clear" w:color="auto" w:fill="FFFFFF"/>
          <w:lang w:val="zh-CN" w:eastAsia="zh-CN"/>
        </w:rPr>
        <w:t>本级</w:t>
      </w:r>
      <w:r>
        <w:rPr>
          <w:rFonts w:hint="eastAsia" w:ascii="仿宋_GB2312" w:hAnsi="宋体" w:cs="宋体"/>
          <w:color w:val="000000"/>
          <w:kern w:val="0"/>
          <w:szCs w:val="32"/>
          <w:shd w:val="clear" w:color="auto" w:fill="FFFFFF"/>
          <w:lang w:val="zh-CN"/>
        </w:rPr>
        <w:t>预算管理。</w:t>
      </w:r>
    </w:p>
    <w:p>
      <w:pPr>
        <w:pStyle w:val="4"/>
        <w:adjustRightInd w:val="0"/>
        <w:snapToGrid w:val="0"/>
        <w:spacing w:before="93" w:line="560" w:lineRule="exact"/>
        <w:ind w:firstLine="640" w:firstLineChars="200"/>
        <w:rPr>
          <w:rFonts w:hAnsi="宋体" w:cs="宋体"/>
          <w:color w:val="000000"/>
          <w:sz w:val="32"/>
          <w:szCs w:val="32"/>
          <w:shd w:val="clear" w:color="auto" w:fill="FFFFFF"/>
          <w:lang w:val="zh-CN"/>
        </w:rPr>
      </w:pPr>
      <w:r>
        <w:rPr>
          <w:rFonts w:hint="eastAsia" w:hAnsi="宋体" w:cs="宋体"/>
          <w:color w:val="000000"/>
          <w:sz w:val="32"/>
          <w:szCs w:val="32"/>
          <w:shd w:val="clear" w:color="auto" w:fill="FFFFFF"/>
          <w:lang w:val="zh-CN"/>
        </w:rPr>
        <w:t>(1)目标制定。根据《中华人民共和国预算法》《中华人民共和国保守国家秘密法》《四川省省级预算绩效目标管理办法》(川财绩[</w:t>
      </w:r>
      <w:r>
        <w:rPr>
          <w:rFonts w:ascii="Times New Roman"/>
          <w:color w:val="000000"/>
          <w:sz w:val="32"/>
          <w:szCs w:val="32"/>
          <w:shd w:val="clear" w:color="auto" w:fill="FFFFFF"/>
          <w:lang w:val="zh-CN"/>
        </w:rPr>
        <w:t>2017</w:t>
      </w:r>
      <w:r>
        <w:rPr>
          <w:rFonts w:hint="eastAsia" w:hAnsi="宋体" w:cs="宋体"/>
          <w:color w:val="000000"/>
          <w:sz w:val="32"/>
          <w:szCs w:val="32"/>
          <w:shd w:val="clear" w:color="auto" w:fill="FFFFFF"/>
          <w:lang w:val="zh-CN"/>
        </w:rPr>
        <w:t xml:space="preserve">] </w:t>
      </w:r>
      <w:r>
        <w:rPr>
          <w:rFonts w:hint="eastAsia" w:ascii="Times New Roman"/>
          <w:color w:val="000000"/>
          <w:sz w:val="32"/>
          <w:szCs w:val="32"/>
          <w:shd w:val="clear" w:color="auto" w:fill="FFFFFF"/>
          <w:lang w:val="zh-CN"/>
        </w:rPr>
        <w:t>5</w:t>
      </w:r>
      <w:r>
        <w:rPr>
          <w:rFonts w:hint="eastAsia" w:hAnsi="宋体" w:cs="宋体"/>
          <w:color w:val="000000"/>
          <w:sz w:val="32"/>
          <w:szCs w:val="32"/>
          <w:shd w:val="clear" w:color="auto" w:fill="FFFFFF"/>
          <w:lang w:val="zh-CN"/>
        </w:rPr>
        <w:t>号)和《自贡市自流井区财政局关于编制区级部门</w:t>
      </w:r>
      <w:r>
        <w:rPr>
          <w:rFonts w:hint="eastAsia" w:ascii="Times New Roman"/>
          <w:color w:val="000000"/>
          <w:sz w:val="32"/>
          <w:szCs w:val="32"/>
          <w:shd w:val="clear" w:color="auto" w:fill="FFFFFF"/>
          <w:lang w:val="zh-CN"/>
        </w:rPr>
        <w:t>20</w:t>
      </w:r>
      <w:r>
        <w:rPr>
          <w:rFonts w:hint="eastAsia" w:ascii="Times New Roman"/>
          <w:color w:val="000000"/>
          <w:sz w:val="32"/>
          <w:szCs w:val="32"/>
          <w:shd w:val="clear" w:color="auto" w:fill="FFFFFF"/>
        </w:rPr>
        <w:t>20</w:t>
      </w:r>
      <w:r>
        <w:rPr>
          <w:rFonts w:hint="eastAsia" w:ascii="Times New Roman"/>
          <w:color w:val="000000"/>
          <w:sz w:val="32"/>
          <w:szCs w:val="32"/>
          <w:shd w:val="clear" w:color="auto" w:fill="FFFFFF"/>
          <w:lang w:val="zh-CN"/>
        </w:rPr>
        <w:t>-202</w:t>
      </w:r>
      <w:r>
        <w:rPr>
          <w:rFonts w:hint="eastAsia" w:ascii="Times New Roman"/>
          <w:color w:val="000000"/>
          <w:sz w:val="32"/>
          <w:szCs w:val="32"/>
          <w:shd w:val="clear" w:color="auto" w:fill="FFFFFF"/>
        </w:rPr>
        <w:t>2</w:t>
      </w:r>
      <w:r>
        <w:rPr>
          <w:rFonts w:hint="eastAsia" w:hAnsi="宋体" w:cs="宋体"/>
          <w:color w:val="000000"/>
          <w:sz w:val="32"/>
          <w:szCs w:val="32"/>
          <w:shd w:val="clear" w:color="auto" w:fill="FFFFFF"/>
          <w:lang w:val="zh-CN"/>
        </w:rPr>
        <w:t>年支出规划和</w:t>
      </w:r>
      <w:r>
        <w:rPr>
          <w:rFonts w:hint="eastAsia" w:ascii="Times New Roman"/>
          <w:color w:val="000000"/>
          <w:sz w:val="32"/>
          <w:szCs w:val="32"/>
          <w:shd w:val="clear" w:color="auto" w:fill="FFFFFF"/>
          <w:lang w:val="zh-CN"/>
        </w:rPr>
        <w:t>20</w:t>
      </w:r>
      <w:r>
        <w:rPr>
          <w:rFonts w:hint="eastAsia" w:ascii="Times New Roman"/>
          <w:color w:val="000000"/>
          <w:sz w:val="32"/>
          <w:szCs w:val="32"/>
          <w:shd w:val="clear" w:color="auto" w:fill="FFFFFF"/>
        </w:rPr>
        <w:t>20</w:t>
      </w:r>
      <w:r>
        <w:rPr>
          <w:rFonts w:hint="eastAsia" w:hAnsi="宋体" w:cs="宋体"/>
          <w:color w:val="000000"/>
          <w:sz w:val="32"/>
          <w:szCs w:val="32"/>
          <w:shd w:val="clear" w:color="auto" w:fill="FFFFFF"/>
          <w:lang w:val="zh-CN"/>
        </w:rPr>
        <w:t>年部门预算的通知》(</w:t>
      </w:r>
      <w:r>
        <w:rPr>
          <w:rFonts w:hint="eastAsia" w:cs="仿宋_GB2312"/>
          <w:sz w:val="32"/>
          <w:szCs w:val="32"/>
        </w:rPr>
        <w:t>自井财发</w:t>
      </w:r>
      <w:r>
        <w:rPr>
          <w:rFonts w:ascii="Times New Roman"/>
          <w:sz w:val="32"/>
          <w:szCs w:val="32"/>
        </w:rPr>
        <w:t>〔</w:t>
      </w:r>
      <w:r>
        <w:rPr>
          <w:rFonts w:hint="eastAsia" w:ascii="Times New Roman"/>
          <w:color w:val="000000"/>
          <w:sz w:val="32"/>
          <w:szCs w:val="32"/>
          <w:shd w:val="clear" w:color="auto" w:fill="FFFFFF"/>
          <w:lang w:val="zh-CN"/>
        </w:rPr>
        <w:t>201</w:t>
      </w:r>
      <w:r>
        <w:rPr>
          <w:rFonts w:hint="eastAsia" w:ascii="Times New Roman"/>
          <w:color w:val="000000"/>
          <w:sz w:val="32"/>
          <w:szCs w:val="32"/>
          <w:shd w:val="clear" w:color="auto" w:fill="FFFFFF"/>
        </w:rPr>
        <w:t>9</w:t>
      </w:r>
      <w:r>
        <w:rPr>
          <w:rFonts w:hint="eastAsia" w:ascii="Times New Roman"/>
          <w:color w:val="000000"/>
          <w:sz w:val="32"/>
          <w:szCs w:val="32"/>
          <w:shd w:val="clear" w:color="auto" w:fill="FFFFFF"/>
          <w:lang w:val="zh-CN"/>
        </w:rPr>
        <w:t>〕</w:t>
      </w:r>
      <w:r>
        <w:rPr>
          <w:rFonts w:hint="eastAsia" w:ascii="Times New Roman"/>
          <w:color w:val="000000"/>
          <w:sz w:val="32"/>
          <w:szCs w:val="32"/>
          <w:shd w:val="clear" w:color="auto" w:fill="FFFFFF"/>
        </w:rPr>
        <w:t>120</w:t>
      </w:r>
      <w:r>
        <w:rPr>
          <w:rFonts w:hint="eastAsia" w:cs="仿宋_GB2312"/>
          <w:sz w:val="32"/>
          <w:szCs w:val="32"/>
        </w:rPr>
        <w:t>号</w:t>
      </w:r>
      <w:r>
        <w:rPr>
          <w:rFonts w:hint="eastAsia" w:hAnsi="宋体" w:cs="宋体"/>
          <w:color w:val="000000"/>
          <w:sz w:val="32"/>
          <w:szCs w:val="32"/>
          <w:shd w:val="clear" w:color="auto" w:fill="FFFFFF"/>
          <w:lang w:val="zh-CN"/>
        </w:rPr>
        <w:t>)的相关要求，自流井区委巡察办</w:t>
      </w:r>
      <w:r>
        <w:rPr>
          <w:rFonts w:ascii="Times New Roman"/>
          <w:color w:val="000000"/>
          <w:sz w:val="32"/>
          <w:szCs w:val="32"/>
          <w:shd w:val="clear" w:color="auto" w:fill="FFFFFF"/>
          <w:lang w:val="zh-CN"/>
        </w:rPr>
        <w:t>20</w:t>
      </w:r>
      <w:r>
        <w:rPr>
          <w:rFonts w:hint="eastAsia" w:ascii="Times New Roman"/>
          <w:color w:val="000000"/>
          <w:sz w:val="32"/>
          <w:szCs w:val="32"/>
          <w:shd w:val="clear" w:color="auto" w:fill="FFFFFF"/>
        </w:rPr>
        <w:t>20</w:t>
      </w:r>
      <w:r>
        <w:rPr>
          <w:rFonts w:hint="eastAsia" w:hAnsi="宋体" w:cs="宋体"/>
          <w:color w:val="000000"/>
          <w:sz w:val="32"/>
          <w:szCs w:val="32"/>
          <w:shd w:val="clear" w:color="auto" w:fill="FFFFFF"/>
          <w:lang w:val="zh-CN"/>
        </w:rPr>
        <w:t>年度制定绩效目标的专项预算</w:t>
      </w:r>
      <w:r>
        <w:rPr>
          <w:rFonts w:hint="eastAsia" w:hAnsi="宋体" w:cs="宋体"/>
          <w:color w:val="000000"/>
          <w:sz w:val="32"/>
          <w:szCs w:val="32"/>
          <w:shd w:val="clear" w:color="auto" w:fill="FFFFFF"/>
        </w:rPr>
        <w:t>1</w:t>
      </w:r>
      <w:r>
        <w:rPr>
          <w:rFonts w:hint="eastAsia" w:hAnsi="宋体" w:cs="宋体"/>
          <w:color w:val="000000"/>
          <w:sz w:val="32"/>
          <w:szCs w:val="32"/>
          <w:shd w:val="clear" w:color="auto" w:fill="FFFFFF"/>
          <w:lang w:val="zh-CN"/>
        </w:rPr>
        <w:t>项，为巡察办巡察组工作经费</w:t>
      </w:r>
      <w:r>
        <w:rPr>
          <w:rFonts w:hint="eastAsia" w:ascii="Times New Roman"/>
          <w:color w:val="000000"/>
          <w:sz w:val="32"/>
          <w:szCs w:val="32"/>
          <w:shd w:val="clear" w:color="auto" w:fill="FFFFFF"/>
        </w:rPr>
        <w:t>13.84</w:t>
      </w:r>
      <w:r>
        <w:rPr>
          <w:rFonts w:hint="eastAsia" w:hAnsi="宋体" w:cs="宋体"/>
          <w:color w:val="000000"/>
          <w:sz w:val="32"/>
          <w:szCs w:val="32"/>
          <w:shd w:val="clear" w:color="auto" w:fill="FFFFFF"/>
        </w:rPr>
        <w:t>万元，</w:t>
      </w:r>
      <w:r>
        <w:rPr>
          <w:rFonts w:hint="eastAsia" w:hAnsi="宋体" w:cs="宋体"/>
          <w:color w:val="000000"/>
          <w:sz w:val="32"/>
          <w:szCs w:val="32"/>
          <w:shd w:val="clear" w:color="auto" w:fill="FFFFFF"/>
          <w:lang w:val="zh-CN"/>
        </w:rPr>
        <w:t>其中财政拨款</w:t>
      </w:r>
      <w:r>
        <w:rPr>
          <w:rFonts w:hint="eastAsia" w:ascii="Times New Roman"/>
          <w:color w:val="000000"/>
          <w:sz w:val="32"/>
          <w:szCs w:val="32"/>
          <w:shd w:val="clear" w:color="auto" w:fill="FFFFFF"/>
        </w:rPr>
        <w:t>13.84</w:t>
      </w:r>
      <w:r>
        <w:rPr>
          <w:rFonts w:hint="eastAsia" w:hAnsi="宋体" w:cs="宋体"/>
          <w:color w:val="000000"/>
          <w:sz w:val="32"/>
          <w:szCs w:val="32"/>
          <w:shd w:val="clear" w:color="auto" w:fill="FFFFFF"/>
          <w:lang w:val="zh-CN"/>
        </w:rPr>
        <w:t>万元。绩效目标根据项目实际情况和年度工作任务，从项目产出、项目效益和满意度等方面进行了量化和细化，编制要素完整，可操作性强。</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(2)目标实现。</w:t>
      </w:r>
      <w:r>
        <w:rPr>
          <w:color w:val="000000"/>
          <w:kern w:val="0"/>
          <w:szCs w:val="32"/>
          <w:shd w:val="clear" w:color="auto" w:fill="FFFFFF"/>
          <w:lang w:val="zh-CN"/>
        </w:rPr>
        <w:t>20</w:t>
      </w:r>
      <w:r>
        <w:rPr>
          <w:rFonts w:hint="eastAsia"/>
          <w:color w:val="000000"/>
          <w:kern w:val="0"/>
          <w:szCs w:val="32"/>
          <w:shd w:val="clear" w:color="auto" w:fill="FFFFFF"/>
        </w:rPr>
        <w:t>20</w:t>
      </w:r>
      <w:r>
        <w:rPr>
          <w:rFonts w:hint="eastAsia" w:ascii="仿宋_GB2312" w:hAnsi="宋体" w:cs="宋体"/>
          <w:color w:val="000000"/>
          <w:kern w:val="0"/>
          <w:szCs w:val="32"/>
          <w:shd w:val="clear" w:color="auto" w:fill="FFFFFF"/>
          <w:lang w:val="zh-CN"/>
        </w:rPr>
        <w:t>年自流井区委巡察办（本级）</w:t>
      </w:r>
      <w:r>
        <w:rPr>
          <w:color w:val="000000"/>
          <w:kern w:val="0"/>
          <w:szCs w:val="32"/>
          <w:shd w:val="clear" w:color="auto" w:fill="FFFFFF"/>
        </w:rPr>
        <w:t>1</w:t>
      </w:r>
      <w:r>
        <w:rPr>
          <w:rFonts w:hint="eastAsia" w:ascii="仿宋_GB2312" w:hAnsi="宋体" w:cs="宋体"/>
          <w:color w:val="000000"/>
          <w:kern w:val="0"/>
          <w:szCs w:val="32"/>
          <w:shd w:val="clear" w:color="auto" w:fill="FFFFFF"/>
          <w:lang w:val="zh-CN"/>
        </w:rPr>
        <w:t>个项目绩效目标实现情况如下:</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hAnsi="宋体" w:cs="宋体"/>
          <w:color w:val="000000"/>
          <w:szCs w:val="32"/>
          <w:shd w:val="clear" w:color="auto" w:fill="FFFFFF"/>
          <w:lang w:val="zh-CN"/>
        </w:rPr>
        <w:t>巡察办巡察组工作</w:t>
      </w:r>
      <w:r>
        <w:rPr>
          <w:rFonts w:hint="eastAsia" w:ascii="仿宋_GB2312" w:hAnsi="宋体" w:cs="宋体"/>
          <w:color w:val="000000"/>
          <w:kern w:val="0"/>
          <w:szCs w:val="32"/>
          <w:shd w:val="clear" w:color="auto" w:fill="FFFFFF"/>
          <w:lang w:val="zh-CN"/>
        </w:rPr>
        <w:t>经费项目:</w:t>
      </w:r>
      <w:r>
        <w:rPr>
          <w:rFonts w:hint="eastAsia"/>
          <w:color w:val="000000"/>
          <w:kern w:val="0"/>
          <w:szCs w:val="32"/>
          <w:shd w:val="clear" w:color="auto" w:fill="FFFFFF"/>
          <w:lang w:val="zh-CN"/>
        </w:rPr>
        <w:t>按照《中共自贡市自流井区委巡察工作规划（2017年—2021年）》（新修订）和《中共自贡市自流井区委员会关于以政治建设为统领全面深化政治巡察的实施意见》要求，牢牢把握政治巡察定位，进一步完善巡察协作、问题线索移交、情况通报等各项机制，提升巡察工作制度化、规范化、科学化水平，加强工作创新，强化队伍建设，高质量推进巡察工作，提前完成本届巡察任务。</w:t>
      </w:r>
      <w:r>
        <w:rPr>
          <w:rFonts w:hint="eastAsia" w:ascii="仿宋_GB2312" w:hAnsi="宋体" w:cs="宋体"/>
          <w:color w:val="000000"/>
          <w:kern w:val="0"/>
          <w:szCs w:val="32"/>
          <w:shd w:val="clear" w:color="auto" w:fill="FFFFFF"/>
          <w:lang w:val="zh-CN"/>
        </w:rPr>
        <w:t>验收通过率为</w:t>
      </w:r>
      <w:r>
        <w:rPr>
          <w:color w:val="000000"/>
          <w:kern w:val="0"/>
          <w:szCs w:val="32"/>
          <w:shd w:val="clear" w:color="auto" w:fill="FFFFFF"/>
          <w:lang w:val="zh-CN"/>
        </w:rPr>
        <w:t>100%。</w:t>
      </w:r>
      <w:r>
        <w:rPr>
          <w:rFonts w:hint="eastAsia" w:ascii="仿宋_GB2312" w:hAnsi="宋体" w:cs="宋体"/>
          <w:color w:val="000000"/>
          <w:kern w:val="0"/>
          <w:szCs w:val="32"/>
          <w:shd w:val="clear" w:color="auto" w:fill="FFFFFF"/>
          <w:lang w:val="zh-CN"/>
        </w:rPr>
        <w:t>该项目绩效目标实际实现程度与预期目标一致。</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w:t>
      </w:r>
      <w:r>
        <w:rPr>
          <w:rFonts w:hint="eastAsia" w:ascii="仿宋_GB2312" w:hAnsi="宋体" w:cs="宋体"/>
          <w:color w:val="000000"/>
          <w:kern w:val="0"/>
          <w:szCs w:val="32"/>
          <w:shd w:val="clear" w:color="auto" w:fill="FFFFFF"/>
        </w:rPr>
        <w:t>3</w:t>
      </w:r>
      <w:r>
        <w:rPr>
          <w:rFonts w:hint="eastAsia" w:ascii="仿宋_GB2312" w:hAnsi="宋体" w:cs="宋体"/>
          <w:color w:val="000000"/>
          <w:kern w:val="0"/>
          <w:szCs w:val="32"/>
          <w:shd w:val="clear" w:color="auto" w:fill="FFFFFF"/>
          <w:lang w:val="zh-CN"/>
        </w:rPr>
        <w:t>)预算编制准确。</w:t>
      </w:r>
      <w:r>
        <w:rPr>
          <w:color w:val="000000"/>
          <w:kern w:val="0"/>
          <w:szCs w:val="32"/>
          <w:shd w:val="clear" w:color="auto" w:fill="FFFFFF"/>
        </w:rPr>
        <w:t>20</w:t>
      </w:r>
      <w:r>
        <w:rPr>
          <w:rFonts w:hint="eastAsia"/>
          <w:color w:val="000000"/>
          <w:kern w:val="0"/>
          <w:szCs w:val="32"/>
          <w:shd w:val="clear" w:color="auto" w:fill="FFFFFF"/>
        </w:rPr>
        <w:t>20年</w:t>
      </w:r>
      <w:r>
        <w:rPr>
          <w:rFonts w:hint="eastAsia" w:ascii="仿宋_GB2312" w:hAnsi="宋体" w:cs="宋体"/>
          <w:color w:val="000000"/>
          <w:kern w:val="0"/>
          <w:szCs w:val="32"/>
          <w:shd w:val="clear" w:color="auto" w:fill="FFFFFF"/>
          <w:lang w:val="zh-CN"/>
        </w:rPr>
        <w:t>自流井区委巡察办（本级）预算编制准确，无调剂资金。</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w:t>
      </w:r>
      <w:r>
        <w:rPr>
          <w:rFonts w:hint="eastAsia" w:ascii="仿宋_GB2312" w:hAnsi="宋体" w:cs="宋体"/>
          <w:color w:val="000000"/>
          <w:kern w:val="0"/>
          <w:szCs w:val="32"/>
          <w:shd w:val="clear" w:color="auto" w:fill="FFFFFF"/>
        </w:rPr>
        <w:t>4</w:t>
      </w:r>
      <w:r>
        <w:rPr>
          <w:rFonts w:hint="eastAsia" w:ascii="仿宋_GB2312" w:hAnsi="宋体" w:cs="宋体"/>
          <w:color w:val="000000"/>
          <w:kern w:val="0"/>
          <w:szCs w:val="32"/>
          <w:shd w:val="clear" w:color="auto" w:fill="FFFFFF"/>
          <w:lang w:val="zh-CN"/>
        </w:rPr>
        <w:t>)预算完成。</w:t>
      </w:r>
      <w:r>
        <w:rPr>
          <w:rFonts w:hint="eastAsia"/>
          <w:color w:val="000000"/>
          <w:kern w:val="0"/>
          <w:szCs w:val="32"/>
          <w:shd w:val="clear" w:color="auto" w:fill="FFFFFF"/>
          <w:lang w:val="zh-CN"/>
        </w:rPr>
        <w:t>20</w:t>
      </w:r>
      <w:r>
        <w:rPr>
          <w:rFonts w:hint="eastAsia"/>
          <w:color w:val="000000"/>
          <w:kern w:val="0"/>
          <w:szCs w:val="32"/>
          <w:shd w:val="clear" w:color="auto" w:fill="FFFFFF"/>
        </w:rPr>
        <w:t>20</w:t>
      </w:r>
      <w:r>
        <w:rPr>
          <w:rFonts w:hint="eastAsia" w:ascii="仿宋_GB2312" w:hAnsi="宋体" w:cs="宋体"/>
          <w:color w:val="000000"/>
          <w:kern w:val="0"/>
          <w:szCs w:val="32"/>
          <w:shd w:val="clear" w:color="auto" w:fill="FFFFFF"/>
          <w:lang w:val="zh-CN"/>
        </w:rPr>
        <w:t>年，自流井区委巡察办（本级）预算收入总额</w:t>
      </w:r>
      <w:r>
        <w:rPr>
          <w:rFonts w:hint="eastAsia"/>
          <w:color w:val="000000"/>
          <w:kern w:val="0"/>
          <w:szCs w:val="32"/>
          <w:shd w:val="clear" w:color="auto" w:fill="FFFFFF"/>
        </w:rPr>
        <w:t>194.67</w:t>
      </w:r>
      <w:r>
        <w:rPr>
          <w:rFonts w:hint="eastAsia" w:ascii="仿宋_GB2312" w:hAnsi="宋体" w:cs="宋体"/>
          <w:color w:val="000000"/>
          <w:kern w:val="0"/>
          <w:szCs w:val="32"/>
          <w:shd w:val="clear" w:color="auto" w:fill="FFFFFF"/>
          <w:lang w:val="zh-CN"/>
        </w:rPr>
        <w:t>万元，决算支出</w:t>
      </w:r>
      <w:r>
        <w:rPr>
          <w:rFonts w:hint="eastAsia"/>
          <w:color w:val="000000"/>
          <w:kern w:val="0"/>
          <w:szCs w:val="32"/>
          <w:shd w:val="clear" w:color="auto" w:fill="FFFFFF"/>
        </w:rPr>
        <w:t>194.67</w:t>
      </w:r>
      <w:r>
        <w:rPr>
          <w:rFonts w:hint="eastAsia" w:ascii="仿宋_GB2312" w:hAnsi="宋体" w:cs="宋体"/>
          <w:color w:val="000000"/>
          <w:kern w:val="0"/>
          <w:szCs w:val="32"/>
          <w:shd w:val="clear" w:color="auto" w:fill="FFFFFF"/>
          <w:lang w:val="zh-CN"/>
        </w:rPr>
        <w:t>万元，年终整体预算执行进度</w:t>
      </w:r>
      <w:r>
        <w:rPr>
          <w:rFonts w:hint="eastAsia"/>
          <w:color w:val="000000"/>
          <w:kern w:val="0"/>
          <w:szCs w:val="32"/>
          <w:shd w:val="clear" w:color="auto" w:fill="FFFFFF"/>
        </w:rPr>
        <w:t>100</w:t>
      </w:r>
      <w:r>
        <w:rPr>
          <w:rFonts w:hint="eastAsia" w:ascii="仿宋_GB2312" w:hAnsi="宋体" w:cs="宋体"/>
          <w:color w:val="000000"/>
          <w:kern w:val="0"/>
          <w:szCs w:val="32"/>
          <w:shd w:val="clear" w:color="auto" w:fill="FFFFFF"/>
          <w:lang w:val="zh-CN"/>
        </w:rPr>
        <w:t>%。其中，项目预算</w:t>
      </w:r>
      <w:r>
        <w:rPr>
          <w:rFonts w:hint="eastAsia"/>
          <w:color w:val="000000"/>
          <w:kern w:val="0"/>
          <w:szCs w:val="32"/>
          <w:shd w:val="clear" w:color="auto" w:fill="FFFFFF"/>
        </w:rPr>
        <w:t>13.84</w:t>
      </w:r>
      <w:r>
        <w:rPr>
          <w:rFonts w:hint="eastAsia" w:ascii="仿宋_GB2312" w:hAnsi="宋体" w:cs="宋体"/>
          <w:color w:val="000000"/>
          <w:kern w:val="0"/>
          <w:szCs w:val="32"/>
          <w:shd w:val="clear" w:color="auto" w:fill="FFFFFF"/>
          <w:lang w:val="zh-CN"/>
        </w:rPr>
        <w:t>万元，决算支出</w:t>
      </w:r>
      <w:r>
        <w:rPr>
          <w:rFonts w:hint="eastAsia"/>
          <w:color w:val="000000"/>
          <w:kern w:val="0"/>
          <w:szCs w:val="32"/>
          <w:shd w:val="clear" w:color="auto" w:fill="FFFFFF"/>
        </w:rPr>
        <w:t>13.84</w:t>
      </w:r>
      <w:r>
        <w:rPr>
          <w:rFonts w:hint="eastAsia" w:ascii="仿宋_GB2312" w:hAnsi="宋体" w:cs="宋体"/>
          <w:color w:val="000000"/>
          <w:kern w:val="0"/>
          <w:szCs w:val="32"/>
          <w:shd w:val="clear" w:color="auto" w:fill="FFFFFF"/>
          <w:lang w:val="zh-CN"/>
        </w:rPr>
        <w:t>万元，年终项目预算执行进度</w:t>
      </w:r>
      <w:r>
        <w:rPr>
          <w:rFonts w:hint="eastAsia"/>
          <w:color w:val="000000"/>
          <w:kern w:val="0"/>
          <w:szCs w:val="32"/>
          <w:shd w:val="clear" w:color="auto" w:fill="FFFFFF"/>
        </w:rPr>
        <w:t>100</w:t>
      </w:r>
      <w:r>
        <w:rPr>
          <w:rFonts w:hint="eastAsia" w:ascii="仿宋_GB2312" w:hAnsi="宋体" w:cs="宋体"/>
          <w:color w:val="000000"/>
          <w:kern w:val="0"/>
          <w:szCs w:val="32"/>
          <w:shd w:val="clear" w:color="auto" w:fill="FFFFFF"/>
          <w:lang w:val="zh-CN"/>
        </w:rPr>
        <w:t>%。</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w:t>
      </w:r>
      <w:r>
        <w:rPr>
          <w:rFonts w:hint="eastAsia" w:ascii="仿宋_GB2312" w:hAnsi="宋体" w:cs="宋体"/>
          <w:color w:val="000000"/>
          <w:kern w:val="0"/>
          <w:szCs w:val="32"/>
          <w:shd w:val="clear" w:color="auto" w:fill="FFFFFF"/>
        </w:rPr>
        <w:t>5</w:t>
      </w:r>
      <w:r>
        <w:rPr>
          <w:rFonts w:hint="eastAsia" w:ascii="仿宋_GB2312" w:hAnsi="宋体" w:cs="宋体"/>
          <w:color w:val="000000"/>
          <w:kern w:val="0"/>
          <w:szCs w:val="32"/>
          <w:shd w:val="clear" w:color="auto" w:fill="FFFFFF"/>
          <w:lang w:val="zh-CN"/>
        </w:rPr>
        <w:t>)违规记录。20</w:t>
      </w:r>
      <w:r>
        <w:rPr>
          <w:rFonts w:hint="eastAsia" w:ascii="仿宋_GB2312" w:hAnsi="宋体" w:cs="宋体"/>
          <w:color w:val="000000"/>
          <w:kern w:val="0"/>
          <w:szCs w:val="32"/>
          <w:shd w:val="clear" w:color="auto" w:fill="FFFFFF"/>
        </w:rPr>
        <w:t>20</w:t>
      </w:r>
      <w:r>
        <w:rPr>
          <w:rFonts w:hint="eastAsia" w:ascii="仿宋_GB2312" w:hAnsi="宋体" w:cs="宋体"/>
          <w:color w:val="000000"/>
          <w:kern w:val="0"/>
          <w:szCs w:val="32"/>
          <w:shd w:val="clear" w:color="auto" w:fill="FFFFFF"/>
          <w:lang w:val="zh-CN"/>
        </w:rPr>
        <w:t>年度预算无审计监督、财政检查预算管理方面违纪违规问题。</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（二）结果应用情况。</w:t>
      </w:r>
    </w:p>
    <w:p>
      <w:pPr>
        <w:widowControl/>
        <w:ind w:firstLine="640" w:firstLineChars="200"/>
        <w:jc w:val="left"/>
        <w:rPr>
          <w:rFonts w:ascii="仿宋_GB2312" w:hAnsi="仿宋_GB2312" w:cs="仿宋_GB2312"/>
          <w:color w:val="000000"/>
          <w:szCs w:val="32"/>
          <w:shd w:val="clear" w:color="auto" w:fill="FFFFFF"/>
        </w:rPr>
      </w:pPr>
      <w:r>
        <w:rPr>
          <w:rFonts w:hint="eastAsia" w:ascii="仿宋_GB2312" w:hAnsi="仿宋_GB2312" w:cs="仿宋_GB2312"/>
          <w:color w:val="000000"/>
          <w:szCs w:val="32"/>
          <w:shd w:val="clear" w:color="auto" w:fill="FFFFFF"/>
        </w:rPr>
        <w:t>围绕财政局部署的整体绩效自评、绩效监控自评、项目实施自评、绩效管理工作自评等工作，认真落实预算绩效考核各项要求，绩效管理结果应用成绩显著。一是按要求将相关绩效信息随同决算公开，信息公开更加准确及时。二是结合项目特性和上年绩效目标评价结果，合理设置绩效目标，尽量量化设定年度绩效数量指标、成本指标、效益指标等，详细反映相应项目工作任务、达成的效果，进一步提高绩效目标的针对性、有效性，便于对项目的实施情况进行考核，工作效能明显提升。</w:t>
      </w:r>
    </w:p>
    <w:p>
      <w:pPr>
        <w:widowControl/>
        <w:adjustRightInd w:val="0"/>
        <w:snapToGrid w:val="0"/>
        <w:spacing w:line="580" w:lineRule="exact"/>
        <w:ind w:firstLine="640" w:firstLineChars="200"/>
        <w:contextualSpacing/>
        <w:jc w:val="left"/>
        <w:rPr>
          <w:rFonts w:ascii="黑体" w:hAnsi="宋体" w:eastAsia="黑体" w:cs="宋体"/>
          <w:color w:val="000000"/>
          <w:kern w:val="0"/>
          <w:szCs w:val="32"/>
          <w:shd w:val="clear" w:color="auto" w:fill="FFFFFF"/>
        </w:rPr>
      </w:pPr>
      <w:r>
        <w:rPr>
          <w:rFonts w:hint="eastAsia" w:ascii="黑体" w:hAnsi="宋体" w:eastAsia="黑体" w:cs="宋体"/>
          <w:color w:val="000000"/>
          <w:kern w:val="0"/>
          <w:szCs w:val="32"/>
          <w:shd w:val="clear" w:color="auto" w:fill="FFFFFF"/>
        </w:rPr>
        <w:t>四、评价结论及建议</w:t>
      </w:r>
    </w:p>
    <w:p>
      <w:pPr>
        <w:widowControl/>
        <w:ind w:firstLine="640" w:firstLineChars="200"/>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（一）评价结论。</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rPr>
      </w:pPr>
      <w:r>
        <w:rPr>
          <w:rFonts w:hint="eastAsia" w:ascii="仿宋_GB2312" w:hAnsi="宋体" w:cs="宋体"/>
          <w:color w:val="000000"/>
          <w:kern w:val="0"/>
          <w:szCs w:val="32"/>
          <w:shd w:val="clear" w:color="auto" w:fill="FFFFFF"/>
        </w:rPr>
        <w:t>2020 年我办</w:t>
      </w:r>
      <w:r>
        <w:rPr>
          <w:rFonts w:hint="eastAsia" w:ascii="仿宋_GB2312" w:hAnsi="宋体" w:cs="宋体"/>
          <w:color w:val="000000"/>
          <w:kern w:val="0"/>
          <w:szCs w:val="32"/>
          <w:shd w:val="clear" w:color="auto" w:fill="FFFFFF"/>
          <w:lang w:eastAsia="zh-CN"/>
        </w:rPr>
        <w:t>本级</w:t>
      </w:r>
      <w:r>
        <w:rPr>
          <w:rFonts w:hint="eastAsia" w:ascii="仿宋_GB2312" w:hAnsi="宋体" w:cs="宋体"/>
          <w:color w:val="000000"/>
          <w:kern w:val="0"/>
          <w:szCs w:val="32"/>
          <w:shd w:val="clear" w:color="auto" w:fill="FFFFFF"/>
        </w:rPr>
        <w:t>整体支出绩效自查自评结果良好，全年基本支出保证了</w:t>
      </w:r>
      <w:r>
        <w:rPr>
          <w:rFonts w:hint="eastAsia" w:ascii="仿宋_GB2312" w:hAnsi="宋体" w:cs="宋体"/>
          <w:color w:val="000000"/>
          <w:kern w:val="0"/>
          <w:szCs w:val="32"/>
          <w:shd w:val="clear" w:color="auto" w:fill="FFFFFF"/>
          <w:lang w:eastAsia="zh-CN"/>
        </w:rPr>
        <w:t>单位</w:t>
      </w:r>
      <w:r>
        <w:rPr>
          <w:rFonts w:hint="eastAsia" w:ascii="仿宋_GB2312" w:hAnsi="宋体" w:cs="宋体"/>
          <w:color w:val="000000"/>
          <w:kern w:val="0"/>
          <w:szCs w:val="32"/>
          <w:shd w:val="clear" w:color="auto" w:fill="FFFFFF"/>
        </w:rPr>
        <w:t>的正常运转，项目支出保障了重点工作的开展，按照</w:t>
      </w:r>
      <w:r>
        <w:rPr>
          <w:rFonts w:hint="eastAsia" w:ascii="仿宋_GB2312" w:hAnsi="宋体" w:cs="宋体"/>
          <w:color w:val="000000"/>
          <w:kern w:val="0"/>
          <w:szCs w:val="32"/>
          <w:shd w:val="clear" w:color="auto" w:fill="FFFFFF"/>
          <w:lang w:val="en-US" w:eastAsia="zh-CN"/>
        </w:rPr>
        <w:t>2</w:t>
      </w:r>
      <w:r>
        <w:rPr>
          <w:rFonts w:hint="eastAsia" w:ascii="仿宋_GB2312" w:hAnsi="宋体" w:cs="宋体"/>
          <w:color w:val="000000"/>
          <w:kern w:val="0"/>
          <w:szCs w:val="32"/>
          <w:shd w:val="clear" w:color="auto" w:fill="FFFFFF"/>
        </w:rPr>
        <w:t>020年度部门整体支出绩效评价指标体系对部门预算编制、预算执行、完成结果、信息公开、整改反馈等方面进行了自评。</w:t>
      </w:r>
    </w:p>
    <w:p>
      <w:pPr>
        <w:widowControl/>
        <w:adjustRightInd w:val="0"/>
        <w:snapToGrid w:val="0"/>
        <w:spacing w:line="580" w:lineRule="exact"/>
        <w:ind w:left="640" w:left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（二）存在问题。</w:t>
      </w:r>
    </w:p>
    <w:p>
      <w:pPr>
        <w:widowControl/>
        <w:ind w:firstLine="640" w:firstLineChars="200"/>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rPr>
        <w:t>一是预算编制准确性需提高。二是</w:t>
      </w:r>
      <w:r>
        <w:rPr>
          <w:rFonts w:hint="eastAsia" w:ascii="仿宋_GB2312" w:hAnsi="宋体" w:cs="宋体"/>
          <w:color w:val="000000"/>
          <w:kern w:val="0"/>
          <w:szCs w:val="32"/>
          <w:shd w:val="clear" w:color="auto" w:fill="FFFFFF"/>
          <w:lang w:eastAsia="zh-CN"/>
        </w:rPr>
        <w:t>单位</w:t>
      </w:r>
      <w:bookmarkStart w:id="91" w:name="_GoBack"/>
      <w:bookmarkEnd w:id="91"/>
      <w:r>
        <w:rPr>
          <w:rFonts w:hint="eastAsia" w:ascii="仿宋_GB2312" w:hAnsi="宋体" w:cs="宋体"/>
          <w:color w:val="000000"/>
          <w:kern w:val="0"/>
          <w:szCs w:val="32"/>
          <w:shd w:val="clear" w:color="auto" w:fill="FFFFFF"/>
        </w:rPr>
        <w:t xml:space="preserve">预算执行进度需加快。 </w:t>
      </w:r>
    </w:p>
    <w:p>
      <w:pPr>
        <w:widowControl/>
        <w:numPr>
          <w:ilvl w:val="0"/>
          <w:numId w:val="6"/>
        </w:numPr>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改进建议。</w:t>
      </w:r>
    </w:p>
    <w:p>
      <w:pPr>
        <w:widowControl/>
        <w:ind w:firstLine="640" w:firstLineChars="200"/>
        <w:jc w:val="left"/>
        <w:rPr>
          <w:rFonts w:ascii="仿宋_GB2312" w:hAnsi="仿宋_GB2312" w:cs="仿宋_GB2312"/>
          <w:szCs w:val="32"/>
        </w:rPr>
      </w:pPr>
      <w:r>
        <w:rPr>
          <w:rFonts w:hint="eastAsia" w:ascii="仿宋_GB2312" w:hAnsi="宋体" w:cs="宋体"/>
          <w:color w:val="000000"/>
          <w:kern w:val="0"/>
          <w:szCs w:val="32"/>
          <w:shd w:val="clear" w:color="auto" w:fill="FFFFFF"/>
        </w:rPr>
        <w:t>一是建立健全项目入库管理机制，研究完善项目设立标准，规范项目审核程序、立项依据、实施期限、支出标准、预算需求等要素，做实做细项目储备，纳入预算项目库的项目应当按规定完成各项前期工作，能按照轻重缓急保障重点工作，切实提高预算编制的准确性。二是做好绩效运行监控，及时了解预算执行差异，及时进行预算调整，切实加快项目预算执行进度，减少结余注销资金量，提高财政资金的使用效益。</w:t>
      </w:r>
    </w:p>
    <w:p>
      <w:pPr>
        <w:pageBreakBefore/>
        <w:widowControl/>
        <w:spacing w:line="580" w:lineRule="exact"/>
        <w:outlineLvl w:val="1"/>
        <w:rPr>
          <w:rFonts w:ascii="仿宋_GB2312" w:hAnsi="仿宋_GB2312" w:cs="仿宋_GB2312"/>
          <w:szCs w:val="32"/>
        </w:rPr>
      </w:pPr>
      <w:bookmarkStart w:id="62" w:name="_Toc11602"/>
      <w:r>
        <w:rPr>
          <w:rFonts w:hint="eastAsia" w:ascii="黑体" w:hAnsi="黑体" w:eastAsia="黑体" w:cs="黑体"/>
          <w:szCs w:val="32"/>
        </w:rPr>
        <w:t>附件</w:t>
      </w:r>
      <w:r>
        <w:rPr>
          <w:rFonts w:ascii="黑体" w:hAnsi="黑体" w:eastAsia="黑体" w:cs="黑体"/>
          <w:szCs w:val="32"/>
        </w:rPr>
        <w:t>2</w:t>
      </w:r>
      <w:bookmarkEnd w:id="62"/>
    </w:p>
    <w:p>
      <w:pPr>
        <w:spacing w:line="580" w:lineRule="exact"/>
        <w:ind w:firstLine="640" w:firstLineChars="200"/>
        <w:rPr>
          <w:rFonts w:ascii="仿宋_GB2312" w:hAnsi="仿宋_GB2312" w:cs="仿宋_GB2312"/>
          <w:szCs w:val="32"/>
        </w:rPr>
      </w:pPr>
    </w:p>
    <w:p>
      <w:pPr>
        <w:spacing w:line="600" w:lineRule="exact"/>
        <w:jc w:val="center"/>
        <w:rPr>
          <w:rFonts w:ascii="方正小标宋简体" w:hAnsi="宋体" w:eastAsia="方正小标宋简体"/>
          <w:color w:val="000000"/>
          <w:kern w:val="0"/>
          <w:sz w:val="44"/>
          <w:szCs w:val="44"/>
          <w:lang w:val="zh-CN"/>
        </w:rPr>
      </w:pPr>
      <w:r>
        <w:rPr>
          <w:rFonts w:hint="eastAsia" w:ascii="方正小标宋简体" w:hAnsi="宋体" w:eastAsia="方正小标宋简体"/>
          <w:color w:val="000000"/>
          <w:kern w:val="0"/>
          <w:sz w:val="44"/>
          <w:szCs w:val="44"/>
          <w:lang w:val="zh-CN"/>
        </w:rPr>
        <w:t>巡察办巡察组工作经费项目</w:t>
      </w:r>
    </w:p>
    <w:p>
      <w:pPr>
        <w:spacing w:line="600" w:lineRule="exact"/>
        <w:jc w:val="center"/>
        <w:rPr>
          <w:rFonts w:ascii="方正小标宋简体" w:hAnsi="宋体" w:eastAsia="方正小标宋简体"/>
          <w:color w:val="000000"/>
          <w:kern w:val="0"/>
          <w:sz w:val="44"/>
          <w:szCs w:val="44"/>
          <w:lang w:val="zh-CN"/>
        </w:rPr>
      </w:pPr>
      <w:r>
        <w:rPr>
          <w:rFonts w:ascii="方正小标宋简体" w:hAnsi="宋体" w:eastAsia="方正小标宋简体"/>
          <w:color w:val="000000"/>
          <w:kern w:val="0"/>
          <w:sz w:val="44"/>
          <w:szCs w:val="44"/>
        </w:rPr>
        <w:t>2020</w:t>
      </w:r>
      <w:r>
        <w:rPr>
          <w:rFonts w:hint="eastAsia" w:ascii="方正小标宋简体" w:hAnsi="宋体" w:eastAsia="方正小标宋简体"/>
          <w:color w:val="000000"/>
          <w:kern w:val="0"/>
          <w:sz w:val="44"/>
          <w:szCs w:val="44"/>
        </w:rPr>
        <w:t>年</w:t>
      </w:r>
      <w:r>
        <w:rPr>
          <w:rFonts w:hint="eastAsia" w:ascii="方正小标宋简体" w:hAnsi="宋体" w:eastAsia="方正小标宋简体"/>
          <w:color w:val="000000"/>
          <w:kern w:val="0"/>
          <w:sz w:val="44"/>
          <w:szCs w:val="44"/>
          <w:lang w:val="zh-CN"/>
        </w:rPr>
        <w:t>绩效评价报告</w:t>
      </w:r>
    </w:p>
    <w:p>
      <w:pPr>
        <w:spacing w:line="600" w:lineRule="exact"/>
        <w:rPr>
          <w:rFonts w:ascii="宋体"/>
          <w:szCs w:val="32"/>
          <w:lang w:val="zh-CN"/>
        </w:rPr>
      </w:pPr>
    </w:p>
    <w:p>
      <w:pPr>
        <w:adjustRightInd w:val="0"/>
        <w:snapToGrid w:val="0"/>
        <w:spacing w:line="600" w:lineRule="exact"/>
        <w:ind w:firstLine="720"/>
        <w:rPr>
          <w:rFonts w:ascii="黑体" w:hAnsi="宋体" w:eastAsia="黑体"/>
          <w:szCs w:val="32"/>
          <w:lang w:val="zh-CN"/>
        </w:rPr>
      </w:pPr>
      <w:r>
        <w:rPr>
          <w:rFonts w:hint="eastAsia" w:ascii="黑体" w:hAnsi="宋体" w:eastAsia="黑体"/>
          <w:szCs w:val="32"/>
        </w:rPr>
        <w:t>一、</w:t>
      </w:r>
      <w:r>
        <w:rPr>
          <w:rFonts w:hint="eastAsia" w:ascii="黑体" w:hAnsi="宋体" w:eastAsia="黑体"/>
          <w:szCs w:val="32"/>
          <w:lang w:val="zh-CN"/>
        </w:rPr>
        <w:t>项目概况</w:t>
      </w:r>
    </w:p>
    <w:p>
      <w:pPr>
        <w:adjustRightInd w:val="0"/>
        <w:snapToGrid w:val="0"/>
        <w:spacing w:line="600" w:lineRule="exact"/>
        <w:ind w:firstLine="720"/>
        <w:rPr>
          <w:rFonts w:ascii="楷体_GB2312" w:hAnsi="宋体" w:eastAsia="楷体_GB2312"/>
          <w:b/>
          <w:szCs w:val="32"/>
          <w:lang w:val="zh-CN"/>
        </w:rPr>
      </w:pPr>
      <w:r>
        <w:rPr>
          <w:rFonts w:hint="eastAsia" w:ascii="楷体_GB2312" w:hAnsi="宋体" w:eastAsia="楷体_GB2312"/>
          <w:b/>
          <w:szCs w:val="32"/>
          <w:lang w:val="zh-CN"/>
        </w:rPr>
        <w:t>（一）项目基本情况。</w:t>
      </w:r>
    </w:p>
    <w:p>
      <w:pPr>
        <w:adjustRightInd w:val="0"/>
        <w:snapToGrid w:val="0"/>
        <w:spacing w:line="600" w:lineRule="exact"/>
        <w:ind w:firstLine="720"/>
        <w:rPr>
          <w:rFonts w:ascii="仿宋_GB2312" w:hAnsi="宋体"/>
          <w:szCs w:val="32"/>
          <w:lang w:val="zh-CN"/>
        </w:rPr>
      </w:pPr>
      <w:r>
        <w:rPr>
          <w:rFonts w:ascii="仿宋_GB2312" w:hAnsi="宋体"/>
          <w:szCs w:val="32"/>
          <w:lang w:val="zh-CN"/>
        </w:rPr>
        <w:t>1</w:t>
      </w:r>
      <w:r>
        <w:rPr>
          <w:rFonts w:hint="eastAsia" w:ascii="仿宋_GB2312" w:hAnsi="宋体"/>
          <w:szCs w:val="32"/>
          <w:lang w:val="zh-CN"/>
        </w:rPr>
        <w:t>．在该项目管理中的职能：区委3个巡察组按照区委巡察工作安排，在区委巡察办的统筹协调和指导下，扎实推进巡察工作，全面完成当年巡察工作任务。</w:t>
      </w:r>
    </w:p>
    <w:p>
      <w:pPr>
        <w:adjustRightInd w:val="0"/>
        <w:snapToGrid w:val="0"/>
        <w:spacing w:line="600" w:lineRule="exact"/>
        <w:ind w:firstLine="720"/>
        <w:rPr>
          <w:rFonts w:ascii="仿宋_GB2312" w:hAnsi="宋体"/>
          <w:szCs w:val="32"/>
          <w:lang w:val="zh-CN"/>
        </w:rPr>
      </w:pPr>
      <w:r>
        <w:rPr>
          <w:rFonts w:hint="eastAsia" w:ascii="仿宋_GB2312" w:hAnsi="宋体"/>
          <w:szCs w:val="32"/>
          <w:lang w:val="zh-CN"/>
        </w:rPr>
        <w:t>2．项目立项、资金申报的依据：根据区委工作安排，按照区财政下发的规章制度，对资金使用严格进行测算后按规定申报。</w:t>
      </w:r>
    </w:p>
    <w:p>
      <w:pPr>
        <w:adjustRightInd w:val="0"/>
        <w:snapToGrid w:val="0"/>
        <w:spacing w:line="600" w:lineRule="exact"/>
        <w:ind w:firstLine="720"/>
        <w:rPr>
          <w:rFonts w:ascii="仿宋_GB2312" w:hAnsi="宋体"/>
          <w:szCs w:val="32"/>
          <w:lang w:val="zh-CN"/>
        </w:rPr>
      </w:pPr>
      <w:r>
        <w:rPr>
          <w:rFonts w:hint="eastAsia" w:ascii="仿宋_GB2312" w:hAnsi="宋体"/>
          <w:szCs w:val="32"/>
          <w:lang w:val="zh-CN"/>
        </w:rPr>
        <w:t>3．资金管理办法制定情况：我单位于201</w:t>
      </w:r>
      <w:r>
        <w:rPr>
          <w:rFonts w:hint="eastAsia" w:ascii="仿宋_GB2312" w:hAnsi="宋体"/>
          <w:szCs w:val="32"/>
        </w:rPr>
        <w:t>8</w:t>
      </w:r>
      <w:r>
        <w:rPr>
          <w:rFonts w:hint="eastAsia" w:ascii="仿宋_GB2312" w:hAnsi="宋体"/>
          <w:szCs w:val="32"/>
          <w:lang w:val="zh-CN"/>
        </w:rPr>
        <w:t>年明确了预算绩效管理职能，并有专人负责。完善内部规章制度，制定了本单位预算绩效管理工作的具体办法。资金严格按照预算法，实行专款专用。</w:t>
      </w:r>
    </w:p>
    <w:p>
      <w:pPr>
        <w:adjustRightInd w:val="0"/>
        <w:snapToGrid w:val="0"/>
        <w:spacing w:line="600" w:lineRule="exact"/>
        <w:ind w:firstLine="720"/>
        <w:rPr>
          <w:rFonts w:ascii="仿宋_GB2312" w:hAnsi="宋体"/>
          <w:szCs w:val="32"/>
          <w:lang w:val="zh-CN"/>
        </w:rPr>
      </w:pPr>
      <w:r>
        <w:rPr>
          <w:rFonts w:hint="eastAsia" w:ascii="仿宋_GB2312" w:hAnsi="宋体"/>
          <w:szCs w:val="32"/>
          <w:lang w:val="zh-CN"/>
        </w:rPr>
        <w:t>4．资金分配的原则及考虑因素。按照实际工作需要，涉及会议费、培训费、劳务费等相关费用，按需进行资金分配使用。</w:t>
      </w:r>
    </w:p>
    <w:p>
      <w:pPr>
        <w:adjustRightInd w:val="0"/>
        <w:snapToGrid w:val="0"/>
        <w:spacing w:line="600" w:lineRule="exact"/>
        <w:ind w:firstLine="720"/>
        <w:rPr>
          <w:rFonts w:ascii="楷体_GB2312" w:hAnsi="宋体" w:eastAsia="楷体_GB2312"/>
          <w:b/>
          <w:szCs w:val="32"/>
          <w:lang w:val="zh-CN"/>
        </w:rPr>
      </w:pPr>
      <w:r>
        <w:rPr>
          <w:rFonts w:hint="eastAsia" w:ascii="楷体_GB2312" w:hAnsi="宋体" w:eastAsia="楷体_GB2312"/>
          <w:b/>
          <w:szCs w:val="32"/>
          <w:lang w:val="zh-CN"/>
        </w:rPr>
        <w:t>（二）项目绩效目标。</w:t>
      </w:r>
    </w:p>
    <w:p>
      <w:pPr>
        <w:adjustRightInd w:val="0"/>
        <w:snapToGrid w:val="0"/>
        <w:spacing w:line="600" w:lineRule="exact"/>
        <w:ind w:firstLine="720"/>
        <w:rPr>
          <w:rFonts w:ascii="仿宋_GB2312" w:hAnsi="宋体"/>
          <w:szCs w:val="32"/>
          <w:lang w:val="zh-CN"/>
        </w:rPr>
      </w:pPr>
      <w:r>
        <w:rPr>
          <w:rFonts w:ascii="仿宋_GB2312" w:hAnsi="宋体"/>
          <w:szCs w:val="32"/>
          <w:lang w:val="zh-CN"/>
        </w:rPr>
        <w:t>1</w:t>
      </w:r>
      <w:r>
        <w:rPr>
          <w:rFonts w:hint="eastAsia" w:ascii="仿宋_GB2312" w:hAnsi="宋体"/>
          <w:szCs w:val="32"/>
          <w:lang w:val="zh-CN"/>
        </w:rPr>
        <w:t>．项目主要内容。</w:t>
      </w:r>
    </w:p>
    <w:p>
      <w:pPr>
        <w:adjustRightInd w:val="0"/>
        <w:snapToGrid w:val="0"/>
        <w:spacing w:line="600" w:lineRule="exact"/>
        <w:ind w:firstLine="720"/>
        <w:rPr>
          <w:rFonts w:ascii="仿宋_GB2312" w:hAnsi="宋体"/>
          <w:szCs w:val="32"/>
          <w:lang w:val="zh-CN"/>
        </w:rPr>
      </w:pPr>
      <w:r>
        <w:rPr>
          <w:rFonts w:hint="eastAsia" w:ascii="仿宋_GB2312" w:hAnsi="宋体"/>
          <w:szCs w:val="32"/>
          <w:lang w:val="zh-CN"/>
        </w:rPr>
        <w:t>按照《中共自贡市自流井区委巡察工作规划（2017年—2021年）》（新修订）和《中共自贡市自流井区委员会关于以政治建设为统领全面深化政治巡察的实施意见》要求，牢牢把握政治巡察定位，进一步完善巡察协作、问题线索移交、情况通报等各项机制，提升巡察工作制度化、规范化、科学化水平，加强工作创新，强化队伍建设，高质量推进巡察工作，提前完成本届巡察任务。</w:t>
      </w:r>
    </w:p>
    <w:p>
      <w:pPr>
        <w:numPr>
          <w:ilvl w:val="0"/>
          <w:numId w:val="3"/>
        </w:numPr>
        <w:adjustRightInd w:val="0"/>
        <w:snapToGrid w:val="0"/>
        <w:spacing w:line="600" w:lineRule="exact"/>
        <w:ind w:firstLine="640" w:firstLineChars="200"/>
        <w:rPr>
          <w:rFonts w:ascii="仿宋_GB2312" w:hAnsi="宋体"/>
          <w:szCs w:val="32"/>
          <w:lang w:val="zh-CN"/>
        </w:rPr>
      </w:pPr>
      <w:r>
        <w:rPr>
          <w:rFonts w:hint="eastAsia" w:ascii="仿宋_GB2312" w:hAnsi="宋体"/>
          <w:szCs w:val="32"/>
          <w:lang w:val="zh-CN"/>
        </w:rPr>
        <w:t>项目应实现的具体绩效目标：全年，区委分两轮对区委政法委、区综合行政执法局等17个单位进行了常规巡察。</w:t>
      </w:r>
    </w:p>
    <w:p>
      <w:pPr>
        <w:adjustRightInd w:val="0"/>
        <w:snapToGrid w:val="0"/>
        <w:spacing w:line="560" w:lineRule="exact"/>
        <w:ind w:firstLine="640" w:firstLineChars="200"/>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整个项目评价体系包括项目完成指标、效益指标以及满意度指标</w:t>
      </w:r>
      <w:r>
        <w:rPr>
          <w:rFonts w:hint="eastAsia" w:ascii="仿宋_GB2312" w:hAnsi="宋体" w:cs="宋体"/>
          <w:color w:val="000000"/>
          <w:kern w:val="0"/>
          <w:szCs w:val="32"/>
          <w:shd w:val="clear" w:color="auto" w:fill="FFFFFF"/>
        </w:rPr>
        <w:t>3</w:t>
      </w:r>
      <w:r>
        <w:rPr>
          <w:rFonts w:hint="eastAsia" w:ascii="仿宋_GB2312" w:hAnsi="宋体" w:cs="宋体"/>
          <w:color w:val="000000"/>
          <w:kern w:val="0"/>
          <w:szCs w:val="32"/>
          <w:shd w:val="clear" w:color="auto" w:fill="FFFFFF"/>
          <w:lang w:val="zh-CN"/>
        </w:rPr>
        <w:t>个一级指标和数量指标、质量指标、时效指标、生态效益指标、可持续影响指标、满意度指标等</w:t>
      </w:r>
      <w:r>
        <w:rPr>
          <w:rFonts w:hint="eastAsia" w:ascii="仿宋_GB2312" w:hAnsi="宋体" w:cs="宋体"/>
          <w:color w:val="000000"/>
          <w:kern w:val="0"/>
          <w:szCs w:val="32"/>
          <w:shd w:val="clear" w:color="auto" w:fill="FFFFFF"/>
        </w:rPr>
        <w:t>6</w:t>
      </w:r>
      <w:r>
        <w:rPr>
          <w:rFonts w:hint="eastAsia" w:ascii="仿宋_GB2312" w:hAnsi="宋体" w:cs="宋体"/>
          <w:color w:val="000000"/>
          <w:kern w:val="0"/>
          <w:szCs w:val="32"/>
          <w:shd w:val="clear" w:color="auto" w:fill="FFFFFF"/>
          <w:lang w:val="zh-CN"/>
        </w:rPr>
        <w:t>个二级指标，并按进度有序执行，完成率100%。</w:t>
      </w:r>
    </w:p>
    <w:p>
      <w:pPr>
        <w:adjustRightInd w:val="0"/>
        <w:snapToGrid w:val="0"/>
        <w:spacing w:line="600" w:lineRule="exact"/>
        <w:ind w:firstLine="640" w:firstLineChars="200"/>
        <w:rPr>
          <w:rFonts w:ascii="仿宋_GB2312" w:hAnsi="宋体"/>
          <w:szCs w:val="32"/>
          <w:lang w:val="zh-CN"/>
        </w:rPr>
      </w:pPr>
      <w:r>
        <w:rPr>
          <w:rFonts w:hint="eastAsia" w:ascii="仿宋_GB2312" w:hAnsi="宋体"/>
          <w:szCs w:val="32"/>
          <w:lang w:val="zh-CN"/>
        </w:rPr>
        <w:t>3．</w:t>
      </w:r>
      <w:r>
        <w:rPr>
          <w:rFonts w:hint="eastAsia" w:ascii="仿宋_GB2312" w:hAnsi="宋体" w:cs="宋体"/>
          <w:color w:val="000000"/>
          <w:kern w:val="0"/>
          <w:szCs w:val="32"/>
          <w:shd w:val="clear" w:color="auto" w:fill="FFFFFF"/>
          <w:lang w:val="zh-CN"/>
        </w:rPr>
        <w:t>整个项目申报内容与实际相符，申报目标合理可行。</w:t>
      </w:r>
    </w:p>
    <w:p>
      <w:pPr>
        <w:adjustRightInd w:val="0"/>
        <w:snapToGrid w:val="0"/>
        <w:spacing w:line="600" w:lineRule="exact"/>
        <w:ind w:firstLine="720"/>
        <w:rPr>
          <w:rFonts w:ascii="楷体_GB2312" w:hAnsi="宋体" w:eastAsia="楷体_GB2312"/>
          <w:b/>
          <w:szCs w:val="32"/>
          <w:lang w:val="zh-CN"/>
        </w:rPr>
      </w:pPr>
      <w:r>
        <w:rPr>
          <w:rFonts w:hint="eastAsia" w:ascii="楷体_GB2312" w:hAnsi="宋体" w:eastAsia="楷体_GB2312"/>
          <w:b/>
          <w:szCs w:val="32"/>
          <w:lang w:val="zh-CN"/>
        </w:rPr>
        <w:t>（三）项目自评步骤及方法。</w:t>
      </w:r>
    </w:p>
    <w:p>
      <w:pPr>
        <w:adjustRightInd w:val="0"/>
        <w:snapToGrid w:val="0"/>
        <w:spacing w:line="600" w:lineRule="exact"/>
        <w:ind w:firstLine="720"/>
        <w:rPr>
          <w:rFonts w:ascii="宋体" w:hAnsi="宋体" w:eastAsia="宋体" w:cs="宋体"/>
          <w:color w:val="666666"/>
          <w:sz w:val="24"/>
          <w:shd w:val="clear" w:color="auto" w:fill="FFFFFF"/>
        </w:rPr>
      </w:pPr>
      <w:r>
        <w:rPr>
          <w:rFonts w:hint="eastAsia" w:ascii="仿宋_GB2312" w:hAnsi="宋体" w:cs="宋体"/>
          <w:color w:val="000000"/>
          <w:kern w:val="0"/>
          <w:szCs w:val="32"/>
          <w:shd w:val="clear" w:color="auto" w:fill="FFFFFF"/>
          <w:lang w:val="zh-CN"/>
        </w:rPr>
        <w:t>经财务人员草拟自评报告，分别报分管领导、主要领导审阅后再报送。</w:t>
      </w:r>
    </w:p>
    <w:p>
      <w:pPr>
        <w:adjustRightInd w:val="0"/>
        <w:snapToGrid w:val="0"/>
        <w:spacing w:line="600" w:lineRule="exact"/>
        <w:ind w:firstLine="720"/>
        <w:rPr>
          <w:rFonts w:ascii="黑体" w:hAnsi="宋体" w:eastAsia="黑体"/>
          <w:szCs w:val="32"/>
        </w:rPr>
      </w:pPr>
      <w:r>
        <w:rPr>
          <w:rFonts w:hint="eastAsia" w:ascii="黑体" w:hAnsi="宋体" w:eastAsia="黑体"/>
          <w:szCs w:val="32"/>
        </w:rPr>
        <w:t>二、项目资金申报及使用情况</w:t>
      </w:r>
    </w:p>
    <w:p>
      <w:pPr>
        <w:adjustRightInd w:val="0"/>
        <w:snapToGrid w:val="0"/>
        <w:spacing w:line="600" w:lineRule="exact"/>
        <w:ind w:firstLine="720"/>
        <w:rPr>
          <w:rFonts w:ascii="楷体_GB2312" w:hAnsi="宋体" w:eastAsia="楷体_GB2312"/>
          <w:b/>
          <w:szCs w:val="32"/>
          <w:lang w:val="zh-CN"/>
        </w:rPr>
      </w:pPr>
      <w:r>
        <w:rPr>
          <w:rFonts w:hint="eastAsia" w:ascii="楷体_GB2312" w:hAnsi="宋体" w:eastAsia="楷体_GB2312"/>
          <w:b/>
          <w:szCs w:val="32"/>
          <w:lang w:val="zh-CN"/>
        </w:rPr>
        <w:t>（一）项目资金申报及批复情况。</w:t>
      </w:r>
    </w:p>
    <w:p>
      <w:pPr>
        <w:adjustRightInd w:val="0"/>
        <w:snapToGrid w:val="0"/>
        <w:spacing w:line="600" w:lineRule="exact"/>
        <w:ind w:firstLine="720"/>
        <w:rPr>
          <w:rFonts w:ascii="仿宋_GB2312" w:hAnsi="宋体"/>
          <w:szCs w:val="32"/>
          <w:lang w:val="zh-CN"/>
        </w:rPr>
      </w:pPr>
      <w:r>
        <w:rPr>
          <w:rFonts w:hint="eastAsia" w:ascii="仿宋_GB2312" w:hAnsi="宋体"/>
          <w:szCs w:val="32"/>
          <w:lang w:val="zh-CN"/>
        </w:rPr>
        <w:t>20</w:t>
      </w:r>
      <w:r>
        <w:rPr>
          <w:rFonts w:hint="eastAsia" w:ascii="仿宋_GB2312" w:hAnsi="宋体"/>
          <w:szCs w:val="32"/>
        </w:rPr>
        <w:t>20</w:t>
      </w:r>
      <w:r>
        <w:rPr>
          <w:rFonts w:hint="eastAsia" w:ascii="仿宋_GB2312" w:hAnsi="宋体"/>
          <w:szCs w:val="32"/>
          <w:lang w:val="zh-CN"/>
        </w:rPr>
        <w:t>年，自流井区委巡察领导小组办公室根据区财政预算编制管理的相关规定，有效整合所有常年性专项，并结合近</w:t>
      </w:r>
      <w:r>
        <w:rPr>
          <w:rFonts w:hint="eastAsia" w:ascii="仿宋_GB2312" w:hAnsi="宋体"/>
          <w:szCs w:val="32"/>
        </w:rPr>
        <w:t>2</w:t>
      </w:r>
      <w:r>
        <w:rPr>
          <w:rFonts w:hint="eastAsia" w:ascii="仿宋_GB2312" w:hAnsi="宋体"/>
          <w:szCs w:val="32"/>
          <w:lang w:val="zh-CN"/>
        </w:rPr>
        <w:t>年巡察组工作中后勤保障支出，科学合理编制巡察组巡察经费专项，并报区财政局按程序报审通过后批复同意。</w:t>
      </w:r>
      <w:r>
        <w:rPr>
          <w:rFonts w:hint="eastAsia" w:ascii="楷体_GB2312" w:hAnsi="宋体" w:eastAsia="楷体_GB2312"/>
          <w:b/>
          <w:szCs w:val="32"/>
          <w:lang w:val="zh-CN"/>
        </w:rPr>
        <w:t>（二）资金计划、到位及使用情况（可用表格形式反映）。</w:t>
      </w:r>
    </w:p>
    <w:p>
      <w:pPr>
        <w:numPr>
          <w:ilvl w:val="0"/>
          <w:numId w:val="7"/>
        </w:numPr>
        <w:adjustRightInd w:val="0"/>
        <w:snapToGrid w:val="0"/>
        <w:spacing w:line="600" w:lineRule="exact"/>
        <w:ind w:firstLine="720"/>
        <w:rPr>
          <w:rFonts w:ascii="仿宋_GB2312" w:hAnsi="宋体"/>
          <w:szCs w:val="32"/>
          <w:lang w:val="zh-CN"/>
        </w:rPr>
      </w:pPr>
      <w:r>
        <w:rPr>
          <w:rFonts w:hint="eastAsia" w:ascii="楷体_GB2312" w:hAnsi="宋体" w:eastAsia="楷体_GB2312"/>
          <w:szCs w:val="32"/>
          <w:lang w:val="zh-CN"/>
        </w:rPr>
        <w:t>资金计划及到位情况。</w:t>
      </w:r>
      <w:r>
        <w:rPr>
          <w:rFonts w:hint="eastAsia" w:ascii="仿宋_GB2312" w:hAnsi="宋体"/>
          <w:szCs w:val="32"/>
          <w:lang w:val="zh-CN"/>
        </w:rPr>
        <w:t>该项目由自流井区财政局安排资金</w:t>
      </w:r>
      <w:r>
        <w:rPr>
          <w:rFonts w:hint="eastAsia"/>
          <w:szCs w:val="32"/>
        </w:rPr>
        <w:t>13.8</w:t>
      </w:r>
      <w:r>
        <w:rPr>
          <w:rFonts w:hint="eastAsia"/>
          <w:szCs w:val="32"/>
          <w:lang w:val="en-US" w:eastAsia="zh-CN"/>
        </w:rPr>
        <w:t>4</w:t>
      </w:r>
      <w:r>
        <w:rPr>
          <w:rFonts w:hint="eastAsia" w:ascii="仿宋_GB2312" w:hAnsi="宋体"/>
          <w:szCs w:val="32"/>
          <w:lang w:val="zh-CN"/>
        </w:rPr>
        <w:t>万元，资金到位及时。</w:t>
      </w:r>
    </w:p>
    <w:p>
      <w:pPr>
        <w:adjustRightInd w:val="0"/>
        <w:snapToGrid w:val="0"/>
        <w:spacing w:line="600" w:lineRule="exact"/>
        <w:ind w:firstLine="720"/>
        <w:rPr>
          <w:rFonts w:ascii="仿宋_GB2312" w:hAnsi="宋体"/>
          <w:szCs w:val="32"/>
          <w:lang w:val="zh-CN"/>
        </w:rPr>
      </w:pPr>
      <w:r>
        <w:rPr>
          <w:rFonts w:hint="eastAsia" w:ascii="楷体_GB2312" w:hAnsi="宋体" w:eastAsia="楷体_GB2312"/>
          <w:szCs w:val="32"/>
        </w:rPr>
        <w:t>2</w:t>
      </w:r>
      <w:r>
        <w:rPr>
          <w:rFonts w:hint="eastAsia" w:ascii="楷体_GB2312" w:hAnsi="宋体" w:eastAsia="楷体_GB2312"/>
          <w:szCs w:val="32"/>
          <w:lang w:val="zh-CN"/>
        </w:rPr>
        <w:t>．资金使用。</w:t>
      </w:r>
      <w:r>
        <w:rPr>
          <w:rFonts w:hint="eastAsia"/>
          <w:szCs w:val="32"/>
          <w:lang w:val="zh-CN"/>
        </w:rPr>
        <w:t>20</w:t>
      </w:r>
      <w:r>
        <w:rPr>
          <w:rFonts w:hint="eastAsia"/>
          <w:szCs w:val="32"/>
        </w:rPr>
        <w:t>20</w:t>
      </w:r>
      <w:r>
        <w:rPr>
          <w:rFonts w:hint="eastAsia" w:ascii="仿宋_GB2312" w:hAnsi="宋体"/>
          <w:szCs w:val="32"/>
          <w:lang w:val="zh-CN"/>
        </w:rPr>
        <w:t>年度支付巡察办巡察组工作经费</w:t>
      </w:r>
      <w:r>
        <w:rPr>
          <w:rFonts w:hint="eastAsia"/>
          <w:szCs w:val="32"/>
        </w:rPr>
        <w:t>13.8</w:t>
      </w:r>
      <w:r>
        <w:rPr>
          <w:rFonts w:hint="eastAsia"/>
          <w:szCs w:val="32"/>
          <w:lang w:val="en-US" w:eastAsia="zh-CN"/>
        </w:rPr>
        <w:t>4</w:t>
      </w:r>
      <w:r>
        <w:rPr>
          <w:rFonts w:hint="eastAsia" w:ascii="仿宋_GB2312" w:hAnsi="宋体"/>
          <w:szCs w:val="32"/>
          <w:lang w:val="zh-CN"/>
        </w:rPr>
        <w:t>万元，支付范围主要用于保障巡察组在开展巡察业务过程中产生的劳务费、培训费、租赁费等开支。</w:t>
      </w:r>
    </w:p>
    <w:p>
      <w:pPr>
        <w:adjustRightInd w:val="0"/>
        <w:snapToGrid w:val="0"/>
        <w:spacing w:line="600" w:lineRule="exact"/>
        <w:ind w:firstLine="720"/>
        <w:rPr>
          <w:rFonts w:ascii="仿宋_GB2312" w:hAnsi="宋体"/>
          <w:szCs w:val="32"/>
          <w:lang w:val="zh-CN"/>
        </w:rPr>
      </w:pPr>
      <w:r>
        <w:rPr>
          <w:rFonts w:hint="eastAsia" w:ascii="仿宋_GB2312" w:hAnsi="宋体"/>
          <w:szCs w:val="32"/>
          <w:lang w:val="zh-CN"/>
        </w:rPr>
        <w:t>该项目资金在试用过程中严格按照财政相关规定以及单位内控制度进行资金支付，资金支付范围、支付标准、支付进度、支付依据等合规合法、与预算相符。</w:t>
      </w:r>
    </w:p>
    <w:p>
      <w:pPr>
        <w:adjustRightInd w:val="0"/>
        <w:snapToGrid w:val="0"/>
        <w:spacing w:line="600" w:lineRule="exact"/>
        <w:ind w:firstLine="720"/>
        <w:rPr>
          <w:rFonts w:ascii="楷体_GB2312" w:hAnsi="宋体" w:eastAsia="楷体_GB2312"/>
          <w:b/>
          <w:szCs w:val="32"/>
          <w:lang w:val="zh-CN"/>
        </w:rPr>
      </w:pPr>
      <w:r>
        <w:rPr>
          <w:rFonts w:hint="eastAsia" w:ascii="楷体_GB2312" w:hAnsi="宋体" w:eastAsia="楷体_GB2312"/>
          <w:b/>
          <w:szCs w:val="32"/>
          <w:lang w:val="zh-CN"/>
        </w:rPr>
        <w:t>（三）项目财务管理情况。</w:t>
      </w:r>
    </w:p>
    <w:p>
      <w:pPr>
        <w:pStyle w:val="10"/>
        <w:spacing w:line="560" w:lineRule="exact"/>
        <w:ind w:left="0" w:leftChars="0" w:firstLine="640"/>
        <w:rPr>
          <w:rFonts w:ascii="仿宋_GB2312" w:hAnsi="宋体"/>
          <w:szCs w:val="32"/>
          <w:lang w:val="zh-CN"/>
        </w:rPr>
      </w:pPr>
      <w:r>
        <w:rPr>
          <w:rFonts w:hint="eastAsia" w:ascii="仿宋_GB2312" w:hAnsi="宋体"/>
          <w:szCs w:val="32"/>
          <w:lang w:val="zh-CN"/>
        </w:rPr>
        <w:t>资金下达后，我办严格按照财务管理有关规定，没有改变资金用途和分解项目支出，没有超范围、超标准支出，没有以任何理由和方式虚列、转移、挤占挪用、滞留资金。资金使用严格按照市、区及我办财务管理有关规定审批执行，实行专账核算、专人管理，确保了资金专款专用。</w:t>
      </w:r>
    </w:p>
    <w:p>
      <w:pPr>
        <w:adjustRightInd w:val="0"/>
        <w:snapToGrid w:val="0"/>
        <w:spacing w:line="600" w:lineRule="exact"/>
        <w:ind w:firstLine="720"/>
        <w:rPr>
          <w:rFonts w:ascii="黑体" w:hAnsi="宋体" w:eastAsia="黑体"/>
          <w:szCs w:val="32"/>
        </w:rPr>
      </w:pPr>
      <w:r>
        <w:rPr>
          <w:rFonts w:hint="eastAsia" w:ascii="黑体" w:hAnsi="宋体" w:eastAsia="黑体"/>
          <w:szCs w:val="32"/>
        </w:rPr>
        <w:t>三、项目实施及管理情况</w:t>
      </w:r>
    </w:p>
    <w:p>
      <w:pPr>
        <w:adjustRightInd w:val="0"/>
        <w:snapToGrid w:val="0"/>
        <w:spacing w:line="600" w:lineRule="exact"/>
        <w:ind w:firstLine="720"/>
        <w:rPr>
          <w:rFonts w:ascii="仿宋_GB2312" w:hAnsi="宋体"/>
          <w:szCs w:val="32"/>
          <w:lang w:val="zh-CN"/>
        </w:rPr>
      </w:pPr>
      <w:r>
        <w:rPr>
          <w:rFonts w:hint="eastAsia" w:ascii="仿宋_GB2312" w:hAnsi="宋体"/>
          <w:szCs w:val="32"/>
          <w:lang w:val="zh-CN"/>
        </w:rPr>
        <w:t>结合项目组织实施管理办法，重点围绕以下内容进行分析评价，并对自评中发现的问题分析说明。</w:t>
      </w:r>
    </w:p>
    <w:p>
      <w:pPr>
        <w:numPr>
          <w:ilvl w:val="0"/>
          <w:numId w:val="8"/>
        </w:numPr>
        <w:adjustRightInd w:val="0"/>
        <w:snapToGrid w:val="0"/>
        <w:spacing w:line="600" w:lineRule="exact"/>
        <w:ind w:firstLine="720"/>
        <w:rPr>
          <w:rFonts w:ascii="楷体_GB2312" w:hAnsi="宋体" w:eastAsia="楷体_GB2312"/>
          <w:b/>
          <w:szCs w:val="32"/>
          <w:lang w:val="zh-CN"/>
        </w:rPr>
      </w:pPr>
      <w:r>
        <w:rPr>
          <w:rFonts w:hint="eastAsia" w:ascii="楷体_GB2312" w:hAnsi="宋体" w:eastAsia="楷体_GB2312"/>
          <w:b/>
          <w:szCs w:val="32"/>
          <w:lang w:val="zh-CN"/>
        </w:rPr>
        <w:t>项目组织架构及实施流程。</w:t>
      </w:r>
    </w:p>
    <w:p>
      <w:pPr>
        <w:adjustRightInd w:val="0"/>
        <w:snapToGrid w:val="0"/>
        <w:spacing w:line="600" w:lineRule="exact"/>
        <w:ind w:firstLine="640" w:firstLineChars="200"/>
        <w:rPr>
          <w:rFonts w:ascii="楷体_GB2312" w:hAnsi="宋体" w:eastAsia="楷体_GB2312"/>
          <w:b/>
          <w:szCs w:val="32"/>
          <w:lang w:val="zh-CN"/>
        </w:rPr>
      </w:pPr>
      <w:r>
        <w:rPr>
          <w:rFonts w:hint="eastAsia" w:ascii="仿宋_GB2312" w:hAnsi="宋体"/>
          <w:szCs w:val="32"/>
          <w:lang w:val="zh-CN"/>
        </w:rPr>
        <w:t>认真贯彻落实区委决策部署，结合巡察工作实际情况，设定项目绩效目标—填制“部门预算项目立项审核表”，并上报财政—项目执行中对项目绩效目标实现程度和预算执行进度监控—定期对项目进行绩效自评。</w:t>
      </w:r>
    </w:p>
    <w:p>
      <w:pPr>
        <w:adjustRightInd w:val="0"/>
        <w:snapToGrid w:val="0"/>
        <w:spacing w:line="600" w:lineRule="exact"/>
        <w:ind w:firstLine="643" w:firstLineChars="200"/>
        <w:rPr>
          <w:rFonts w:ascii="仿宋_GB2312" w:hAnsi="宋体"/>
          <w:szCs w:val="32"/>
          <w:lang w:val="zh-CN"/>
        </w:rPr>
      </w:pPr>
      <w:r>
        <w:rPr>
          <w:rFonts w:hint="eastAsia" w:ascii="楷体_GB2312" w:hAnsi="宋体" w:eastAsia="楷体_GB2312"/>
          <w:b/>
          <w:szCs w:val="32"/>
          <w:lang w:val="zh-CN"/>
        </w:rPr>
        <w:t>（二）项目管理情况。</w:t>
      </w:r>
      <w:r>
        <w:rPr>
          <w:rFonts w:hint="eastAsia" w:ascii="仿宋_GB2312" w:hAnsi="宋体"/>
          <w:szCs w:val="32"/>
          <w:lang w:val="zh-CN"/>
        </w:rPr>
        <w:t>我办目标任务的制定与国家政策法规、部门职责、部门中长期规划相符。目标任务制定明确，全面反映部门目标任务完成和预期效益情。目标任务合理可行，财政资源配置合理。</w:t>
      </w:r>
    </w:p>
    <w:p>
      <w:pPr>
        <w:adjustRightInd w:val="0"/>
        <w:snapToGrid w:val="0"/>
        <w:spacing w:line="600" w:lineRule="exact"/>
        <w:ind w:firstLine="720"/>
        <w:rPr>
          <w:rFonts w:ascii="仿宋_GB2312" w:hAnsi="宋体"/>
          <w:szCs w:val="32"/>
          <w:lang w:val="zh-CN"/>
        </w:rPr>
      </w:pPr>
      <w:r>
        <w:rPr>
          <w:rFonts w:hint="eastAsia" w:ascii="楷体_GB2312" w:hAnsi="宋体" w:eastAsia="楷体_GB2312"/>
          <w:b/>
          <w:szCs w:val="32"/>
          <w:lang w:val="zh-CN"/>
        </w:rPr>
        <w:t>（三）项目监管情况。</w:t>
      </w:r>
      <w:r>
        <w:rPr>
          <w:rFonts w:hint="eastAsia" w:ascii="仿宋_GB2312" w:hAnsi="宋体"/>
          <w:szCs w:val="32"/>
          <w:lang w:val="zh-CN"/>
        </w:rPr>
        <w:t>办公室负责人对项目的真实性、项目进度、项目质量等进行审核把关负总责，财务分管领导对项目资金支付的合规性和支付的标准等进行审核把关，全方位确保项目的高效、规范、有序实施。</w:t>
      </w:r>
    </w:p>
    <w:p>
      <w:pPr>
        <w:adjustRightInd w:val="0"/>
        <w:snapToGrid w:val="0"/>
        <w:spacing w:line="600" w:lineRule="exact"/>
        <w:ind w:firstLine="720"/>
        <w:rPr>
          <w:rFonts w:ascii="仿宋_GB2312" w:hAnsi="宋体"/>
          <w:szCs w:val="32"/>
          <w:lang w:val="zh-CN"/>
        </w:rPr>
      </w:pPr>
      <w:r>
        <w:rPr>
          <w:rFonts w:hint="eastAsia" w:ascii="黑体" w:hAnsi="宋体" w:eastAsia="黑体"/>
          <w:szCs w:val="32"/>
        </w:rPr>
        <w:t>四、项目绩效情况</w:t>
      </w:r>
      <w:r>
        <w:rPr>
          <w:rFonts w:ascii="仿宋_GB2312" w:hAnsi="宋体"/>
          <w:szCs w:val="32"/>
          <w:lang w:val="zh-CN"/>
        </w:rPr>
        <w:tab/>
      </w:r>
    </w:p>
    <w:p>
      <w:pPr>
        <w:adjustRightInd w:val="0"/>
        <w:snapToGrid w:val="0"/>
        <w:spacing w:line="600" w:lineRule="exact"/>
        <w:ind w:firstLine="720"/>
        <w:rPr>
          <w:rFonts w:ascii="楷体_GB2312" w:hAnsi="宋体" w:eastAsia="楷体_GB2312"/>
          <w:b/>
          <w:szCs w:val="32"/>
          <w:lang w:val="zh-CN"/>
        </w:rPr>
      </w:pPr>
      <w:r>
        <w:rPr>
          <w:rFonts w:hint="eastAsia" w:ascii="楷体_GB2312" w:hAnsi="宋体" w:eastAsia="楷体_GB2312"/>
          <w:b/>
          <w:szCs w:val="32"/>
          <w:lang w:val="zh-CN"/>
        </w:rPr>
        <w:t>（一）项目完成情况。</w:t>
      </w:r>
    </w:p>
    <w:p>
      <w:pPr>
        <w:snapToGrid w:val="0"/>
        <w:spacing w:line="520" w:lineRule="exact"/>
        <w:ind w:firstLine="640" w:firstLineChars="200"/>
        <w:rPr>
          <w:rFonts w:ascii="仿宋" w:hAnsi="仿宋" w:eastAsia="仿宋"/>
          <w:bCs/>
          <w:color w:val="000000"/>
          <w:szCs w:val="32"/>
        </w:rPr>
      </w:pPr>
      <w:r>
        <w:rPr>
          <w:rFonts w:hint="eastAsia" w:ascii="仿宋_GB2312" w:hAnsi="宋体"/>
          <w:szCs w:val="32"/>
          <w:lang w:val="zh-CN"/>
        </w:rPr>
        <w:t>本项目全年预算数</w:t>
      </w:r>
      <w:r>
        <w:rPr>
          <w:rFonts w:hint="eastAsia"/>
          <w:szCs w:val="32"/>
        </w:rPr>
        <w:t>13.8</w:t>
      </w:r>
      <w:r>
        <w:rPr>
          <w:rFonts w:hint="eastAsia"/>
          <w:szCs w:val="32"/>
          <w:lang w:val="en-US" w:eastAsia="zh-CN"/>
        </w:rPr>
        <w:t>4</w:t>
      </w:r>
      <w:r>
        <w:rPr>
          <w:rFonts w:hint="eastAsia" w:ascii="仿宋_GB2312" w:hAnsi="宋体"/>
          <w:szCs w:val="32"/>
          <w:lang w:val="zh-CN"/>
        </w:rPr>
        <w:t>万元，执行数为</w:t>
      </w:r>
      <w:r>
        <w:rPr>
          <w:rFonts w:hint="eastAsia"/>
          <w:szCs w:val="32"/>
        </w:rPr>
        <w:t>13.8</w:t>
      </w:r>
      <w:r>
        <w:rPr>
          <w:rFonts w:hint="eastAsia"/>
          <w:szCs w:val="32"/>
          <w:lang w:val="en-US" w:eastAsia="zh-CN"/>
        </w:rPr>
        <w:t>4</w:t>
      </w:r>
      <w:r>
        <w:rPr>
          <w:rFonts w:hint="eastAsia" w:ascii="仿宋_GB2312" w:hAnsi="宋体"/>
          <w:szCs w:val="32"/>
          <w:lang w:val="zh-CN"/>
        </w:rPr>
        <w:t>万元，</w:t>
      </w:r>
      <w:r>
        <w:rPr>
          <w:rFonts w:hint="eastAsia"/>
          <w:szCs w:val="32"/>
        </w:rPr>
        <w:t>全年，区委分两轮对区委政法委、区综合行政执法局等17个单位进行了常规巡察。其中，2020年6月，在省委第十一巡视组领导下，区委巡视联动巡察组开展了对区人民法院、区公安分局的巡视联动巡察。同时，开展扶贫领域专项巡察1次，延伸村级党组织25个。2020年，巡察共发现问题367个，向区纪委监委移交问题线索23个，</w:t>
      </w:r>
      <w:r>
        <w:rPr>
          <w:rFonts w:hint="eastAsia" w:ascii="仿宋_GB2312"/>
          <w:szCs w:val="32"/>
        </w:rPr>
        <w:t>立</w:t>
      </w:r>
      <w:r>
        <w:rPr>
          <w:rFonts w:hint="eastAsia"/>
          <w:szCs w:val="32"/>
        </w:rPr>
        <w:t>案8个，党纪政务处分3人，街道纪工委党纪处分社区干部1人。</w:t>
      </w:r>
    </w:p>
    <w:p>
      <w:pPr>
        <w:adjustRightInd w:val="0"/>
        <w:snapToGrid w:val="0"/>
        <w:spacing w:line="600" w:lineRule="exact"/>
        <w:ind w:firstLine="720"/>
        <w:rPr>
          <w:rFonts w:ascii="楷体_GB2312" w:hAnsi="宋体" w:eastAsia="楷体_GB2312"/>
          <w:b/>
          <w:szCs w:val="32"/>
          <w:lang w:val="zh-CN"/>
        </w:rPr>
      </w:pPr>
      <w:r>
        <w:rPr>
          <w:rFonts w:hint="eastAsia" w:ascii="楷体_GB2312" w:hAnsi="宋体" w:eastAsia="楷体_GB2312"/>
          <w:b/>
          <w:szCs w:val="32"/>
          <w:lang w:val="zh-CN"/>
        </w:rPr>
        <w:t>（二）项目效益情况。</w:t>
      </w:r>
    </w:p>
    <w:p>
      <w:pPr>
        <w:adjustRightInd w:val="0"/>
        <w:snapToGrid w:val="0"/>
        <w:spacing w:line="600" w:lineRule="exact"/>
        <w:ind w:firstLine="720"/>
        <w:rPr>
          <w:rFonts w:ascii="仿宋_GB2312" w:hAnsi="仿宋_GB2312" w:cs="仿宋_GB2312"/>
          <w:color w:val="000000"/>
          <w:szCs w:val="32"/>
        </w:rPr>
      </w:pPr>
      <w:r>
        <w:rPr>
          <w:rFonts w:hint="eastAsia" w:ascii="仿宋_GB2312" w:hAnsi="仿宋_GB2312" w:cs="仿宋_GB2312"/>
          <w:color w:val="000000"/>
          <w:szCs w:val="32"/>
          <w:lang w:val="zh-CN"/>
        </w:rPr>
        <w:t>完成确定的目标任务和年度职责，</w:t>
      </w:r>
      <w:r>
        <w:rPr>
          <w:rFonts w:hint="eastAsia" w:ascii="仿宋_GB2312" w:hAnsi="仿宋_GB2312" w:cs="仿宋_GB2312"/>
          <w:color w:val="000000"/>
          <w:szCs w:val="32"/>
        </w:rPr>
        <w:t>服务对象满意度达到了95%以上。</w:t>
      </w:r>
      <w:r>
        <w:rPr>
          <w:rFonts w:hint="eastAsia" w:ascii="仿宋_GB2312" w:hAnsi="仿宋_GB2312" w:cs="仿宋_GB2312"/>
          <w:color w:val="000000"/>
          <w:szCs w:val="32"/>
          <w:lang w:val="zh-CN"/>
        </w:rPr>
        <w:t>整个项目绩效评价结果较好。</w:t>
      </w:r>
    </w:p>
    <w:p>
      <w:pPr>
        <w:adjustRightInd w:val="0"/>
        <w:snapToGrid w:val="0"/>
        <w:spacing w:line="600" w:lineRule="exact"/>
        <w:ind w:firstLine="720"/>
        <w:rPr>
          <w:rFonts w:ascii="黑体" w:hAnsi="宋体" w:eastAsia="黑体"/>
          <w:szCs w:val="32"/>
        </w:rPr>
      </w:pPr>
      <w:r>
        <w:rPr>
          <w:rFonts w:hint="eastAsia" w:ascii="黑体" w:hAnsi="宋体" w:eastAsia="黑体"/>
          <w:szCs w:val="32"/>
        </w:rPr>
        <w:t>五、评价结论及建议</w:t>
      </w:r>
    </w:p>
    <w:p>
      <w:pPr>
        <w:adjustRightInd w:val="0"/>
        <w:snapToGrid w:val="0"/>
        <w:spacing w:line="600" w:lineRule="exact"/>
        <w:ind w:firstLine="720"/>
        <w:rPr>
          <w:rFonts w:ascii="楷体_GB2312" w:hAnsi="宋体" w:eastAsia="楷体_GB2312"/>
          <w:b/>
          <w:szCs w:val="32"/>
          <w:lang w:val="zh-CN"/>
        </w:rPr>
      </w:pPr>
      <w:r>
        <w:rPr>
          <w:rFonts w:hint="eastAsia" w:ascii="楷体_GB2312" w:hAnsi="宋体" w:eastAsia="楷体_GB2312"/>
          <w:b/>
          <w:szCs w:val="32"/>
          <w:lang w:val="zh-CN"/>
        </w:rPr>
        <w:t>（一）评价结论。</w:t>
      </w:r>
    </w:p>
    <w:p>
      <w:pPr>
        <w:adjustRightInd w:val="0"/>
        <w:snapToGrid w:val="0"/>
        <w:spacing w:line="600" w:lineRule="exact"/>
        <w:ind w:firstLine="720"/>
        <w:rPr>
          <w:rFonts w:ascii="仿宋_GB2312" w:hAnsi="仿宋_GB2312" w:cs="仿宋_GB2312"/>
          <w:color w:val="000000"/>
          <w:szCs w:val="32"/>
        </w:rPr>
      </w:pPr>
      <w:r>
        <w:rPr>
          <w:rFonts w:hint="eastAsia" w:ascii="仿宋_GB2312" w:hAnsi="仿宋_GB2312" w:cs="仿宋_GB2312"/>
          <w:color w:val="000000"/>
          <w:szCs w:val="32"/>
        </w:rPr>
        <w:t>将评价结果作为次年预算编制的重要依据，并优化支出结构、完善相关办法、改进预算管理，将部门自行开展的绩效评价结果，按要求进行公开。</w:t>
      </w:r>
    </w:p>
    <w:p>
      <w:pPr>
        <w:adjustRightInd w:val="0"/>
        <w:snapToGrid w:val="0"/>
        <w:spacing w:line="600" w:lineRule="exact"/>
        <w:ind w:firstLine="720"/>
        <w:rPr>
          <w:rFonts w:ascii="楷体_GB2312" w:hAnsi="宋体" w:eastAsia="楷体_GB2312"/>
          <w:b/>
          <w:szCs w:val="32"/>
          <w:lang w:val="zh-CN"/>
        </w:rPr>
      </w:pPr>
      <w:r>
        <w:rPr>
          <w:rFonts w:hint="eastAsia" w:ascii="楷体_GB2312" w:hAnsi="宋体" w:eastAsia="楷体_GB2312"/>
          <w:b/>
          <w:szCs w:val="32"/>
          <w:lang w:val="zh-CN"/>
        </w:rPr>
        <w:t>（二）存在的问题。</w:t>
      </w:r>
    </w:p>
    <w:p>
      <w:pPr>
        <w:adjustRightInd w:val="0"/>
        <w:snapToGrid w:val="0"/>
        <w:spacing w:line="600" w:lineRule="exact"/>
        <w:ind w:firstLine="640" w:firstLineChars="200"/>
        <w:rPr>
          <w:rFonts w:ascii="仿宋_GB2312" w:hAnsi="仿宋_GB2312" w:cs="仿宋_GB2312"/>
          <w:color w:val="000000"/>
          <w:szCs w:val="32"/>
          <w:lang w:val="zh-CN"/>
        </w:rPr>
      </w:pPr>
      <w:r>
        <w:rPr>
          <w:rFonts w:hint="eastAsia" w:ascii="仿宋_GB2312" w:hAnsi="仿宋_GB2312" w:cs="仿宋_GB2312"/>
          <w:color w:val="000000"/>
          <w:szCs w:val="32"/>
          <w:lang w:val="zh-CN"/>
        </w:rPr>
        <w:t>巡察工作推进过程中，由于上级巡察机构及区委对巡察任务或要求可能进行调整，年初绩效目标制定与实际完成情况可能存在一定差异，年初预算可能存在高估和低估的情况。</w:t>
      </w:r>
    </w:p>
    <w:p>
      <w:pPr>
        <w:adjustRightInd w:val="0"/>
        <w:snapToGrid w:val="0"/>
        <w:spacing w:line="600" w:lineRule="exact"/>
        <w:ind w:firstLine="720"/>
        <w:rPr>
          <w:rFonts w:ascii="楷体_GB2312" w:hAnsi="宋体" w:eastAsia="楷体_GB2312"/>
          <w:b/>
          <w:szCs w:val="32"/>
          <w:lang w:val="zh-CN"/>
        </w:rPr>
      </w:pPr>
      <w:r>
        <w:rPr>
          <w:rFonts w:hint="eastAsia" w:ascii="楷体_GB2312" w:hAnsi="宋体" w:eastAsia="楷体_GB2312"/>
          <w:b/>
          <w:szCs w:val="32"/>
          <w:lang w:val="zh-CN"/>
        </w:rPr>
        <w:t>（三）相关建议。</w:t>
      </w:r>
    </w:p>
    <w:p>
      <w:pPr>
        <w:widowControl/>
        <w:ind w:firstLine="640" w:firstLineChars="200"/>
        <w:jc w:val="left"/>
        <w:rPr>
          <w:rFonts w:ascii="仿宋_GB2312" w:hAnsi="仿宋_GB2312" w:cs="仿宋_GB2312"/>
          <w:color w:val="000000"/>
          <w:szCs w:val="32"/>
          <w:lang w:val="zh-CN"/>
        </w:rPr>
      </w:pPr>
      <w:r>
        <w:rPr>
          <w:rFonts w:hint="eastAsia" w:ascii="仿宋_GB2312" w:hAnsi="仿宋_GB2312" w:cs="仿宋_GB2312"/>
          <w:color w:val="000000"/>
          <w:szCs w:val="32"/>
          <w:lang w:val="zh-CN"/>
        </w:rPr>
        <w:t>一是加强与上级巡察机构沟通联系，严格按照上级巡察机构和区委要求制定年初目标任务。二是加强绩效目标设定审核和项目细化工作，提升绩效目标设定的科学性和准确性。三</w:t>
      </w:r>
      <w:r>
        <w:rPr>
          <w:rFonts w:hint="eastAsia" w:ascii="仿宋_GB2312" w:hAnsi="仿宋_GB2312" w:cs="仿宋_GB2312"/>
          <w:color w:val="000000"/>
          <w:szCs w:val="32"/>
        </w:rPr>
        <w:t>是由于预算绩效管理具有一定的专业性和复杂性，需加强对单位预算绩效管理人员的培训，提升绩效评价人员的业务水平。</w:t>
      </w:r>
    </w:p>
    <w:p>
      <w:pPr>
        <w:spacing w:line="580" w:lineRule="exact"/>
        <w:ind w:firstLine="640"/>
        <w:rPr>
          <w:rFonts w:ascii="仿宋_GB2312" w:hAnsi="仿宋_GB2312" w:cs="仿宋_GB2312"/>
          <w:szCs w:val="32"/>
        </w:rPr>
      </w:pPr>
    </w:p>
    <w:p>
      <w:pPr>
        <w:widowControl/>
        <w:jc w:val="left"/>
        <w:rPr>
          <w:rStyle w:val="15"/>
          <w:rFonts w:ascii="黑体" w:hAnsi="黑体" w:eastAsia="黑体"/>
          <w:b w:val="0"/>
        </w:rPr>
      </w:pPr>
    </w:p>
    <w:p>
      <w:pPr>
        <w:widowControl/>
        <w:jc w:val="left"/>
        <w:rPr>
          <w:rStyle w:val="15"/>
          <w:rFonts w:ascii="黑体" w:hAnsi="黑体" w:eastAsia="黑体"/>
          <w:b w:val="0"/>
        </w:rPr>
      </w:pPr>
      <w:r>
        <w:rPr>
          <w:rStyle w:val="15"/>
          <w:rFonts w:ascii="黑体" w:hAnsi="黑体" w:eastAsia="黑体"/>
          <w:b w:val="0"/>
        </w:rPr>
        <w:br w:type="page"/>
      </w:r>
    </w:p>
    <w:p>
      <w:pPr>
        <w:spacing w:line="600" w:lineRule="exact"/>
        <w:jc w:val="center"/>
        <w:outlineLvl w:val="0"/>
        <w:rPr>
          <w:rStyle w:val="15"/>
          <w:rFonts w:ascii="黑体" w:hAnsi="黑体" w:eastAsia="黑体"/>
          <w:b w:val="0"/>
        </w:rPr>
      </w:pPr>
      <w:bookmarkStart w:id="63" w:name="_Toc32283"/>
      <w:bookmarkStart w:id="64" w:name="_Toc15396618"/>
      <w:r>
        <w:rPr>
          <w:rFonts w:hint="eastAsia" w:ascii="黑体" w:hAnsi="黑体" w:eastAsia="黑体"/>
          <w:color w:val="000000"/>
          <w:sz w:val="44"/>
          <w:szCs w:val="44"/>
        </w:rPr>
        <w:t>第</w:t>
      </w:r>
      <w:r>
        <w:rPr>
          <w:rStyle w:val="15"/>
          <w:rFonts w:hint="eastAsia" w:ascii="黑体" w:hAnsi="黑体" w:eastAsia="黑体"/>
          <w:b w:val="0"/>
        </w:rPr>
        <w:t>五部分</w:t>
      </w:r>
      <w:r>
        <w:rPr>
          <w:rStyle w:val="15"/>
          <w:rFonts w:ascii="黑体" w:hAnsi="黑体" w:eastAsia="黑体"/>
          <w:b w:val="0"/>
        </w:rPr>
        <w:t xml:space="preserve"> </w:t>
      </w:r>
      <w:r>
        <w:rPr>
          <w:rStyle w:val="15"/>
          <w:rFonts w:hint="eastAsia" w:ascii="黑体" w:hAnsi="黑体" w:eastAsia="黑体"/>
          <w:b w:val="0"/>
        </w:rPr>
        <w:t>附表</w:t>
      </w:r>
      <w:bookmarkEnd w:id="58"/>
      <w:bookmarkEnd w:id="63"/>
      <w:bookmarkEnd w:id="64"/>
    </w:p>
    <w:p>
      <w:pPr>
        <w:spacing w:line="600" w:lineRule="exact"/>
        <w:jc w:val="center"/>
        <w:outlineLvl w:val="0"/>
        <w:rPr>
          <w:rFonts w:ascii="仿宋" w:hAnsi="仿宋" w:eastAsia="仿宋"/>
          <w:b/>
          <w:color w:val="000000"/>
          <w:sz w:val="44"/>
          <w:szCs w:val="44"/>
        </w:rPr>
      </w:pPr>
    </w:p>
    <w:p>
      <w:pPr>
        <w:pStyle w:val="3"/>
        <w:rPr>
          <w:rFonts w:ascii="仿宋" w:hAnsi="仿宋" w:eastAsia="仿宋"/>
          <w:color w:val="000000"/>
        </w:rPr>
      </w:pPr>
      <w:bookmarkStart w:id="65" w:name="_Toc15699"/>
      <w:bookmarkStart w:id="66" w:name="_Toc15396619"/>
      <w:r>
        <w:rPr>
          <w:rFonts w:hint="eastAsia" w:ascii="仿宋" w:hAnsi="仿宋" w:eastAsia="仿宋"/>
          <w:b w:val="0"/>
          <w:color w:val="000000"/>
        </w:rPr>
        <w:t>一、收</w:t>
      </w:r>
      <w:r>
        <w:rPr>
          <w:rStyle w:val="16"/>
          <w:rFonts w:hint="eastAsia" w:ascii="仿宋" w:hAnsi="仿宋" w:eastAsia="仿宋"/>
          <w:b w:val="0"/>
          <w:bCs w:val="0"/>
        </w:rPr>
        <w:t>入支出决算总表</w:t>
      </w:r>
      <w:bookmarkEnd w:id="65"/>
      <w:bookmarkEnd w:id="66"/>
    </w:p>
    <w:p>
      <w:pPr>
        <w:pStyle w:val="3"/>
        <w:rPr>
          <w:rFonts w:ascii="仿宋" w:hAnsi="仿宋" w:eastAsia="仿宋"/>
          <w:color w:val="000000"/>
        </w:rPr>
      </w:pPr>
      <w:bookmarkStart w:id="67" w:name="_Toc27106"/>
      <w:bookmarkStart w:id="68" w:name="_Toc15396620"/>
      <w:r>
        <w:rPr>
          <w:rFonts w:hint="eastAsia" w:ascii="仿宋" w:hAnsi="仿宋" w:eastAsia="仿宋"/>
          <w:b w:val="0"/>
          <w:color w:val="000000"/>
        </w:rPr>
        <w:t>二、收</w:t>
      </w:r>
      <w:r>
        <w:rPr>
          <w:rStyle w:val="16"/>
          <w:rFonts w:hint="eastAsia" w:ascii="仿宋" w:hAnsi="仿宋" w:eastAsia="仿宋"/>
          <w:b w:val="0"/>
          <w:bCs w:val="0"/>
        </w:rPr>
        <w:t>入决算表</w:t>
      </w:r>
      <w:bookmarkEnd w:id="67"/>
      <w:bookmarkEnd w:id="68"/>
    </w:p>
    <w:p>
      <w:pPr>
        <w:pStyle w:val="3"/>
        <w:rPr>
          <w:rFonts w:ascii="仿宋" w:hAnsi="仿宋" w:eastAsia="仿宋"/>
          <w:color w:val="000000"/>
        </w:rPr>
      </w:pPr>
      <w:bookmarkStart w:id="69" w:name="_Toc15396621"/>
      <w:bookmarkStart w:id="70" w:name="_Toc26817"/>
      <w:r>
        <w:rPr>
          <w:rStyle w:val="16"/>
          <w:rFonts w:hint="eastAsia" w:ascii="仿宋" w:hAnsi="仿宋" w:eastAsia="仿宋"/>
          <w:b w:val="0"/>
          <w:bCs w:val="0"/>
        </w:rPr>
        <w:t>三、</w:t>
      </w:r>
      <w:r>
        <w:rPr>
          <w:rFonts w:hint="eastAsia" w:ascii="仿宋" w:hAnsi="仿宋" w:eastAsia="仿宋"/>
          <w:b w:val="0"/>
          <w:color w:val="000000"/>
        </w:rPr>
        <w:t>支</w:t>
      </w:r>
      <w:r>
        <w:rPr>
          <w:rStyle w:val="16"/>
          <w:rFonts w:hint="eastAsia" w:ascii="仿宋" w:hAnsi="仿宋" w:eastAsia="仿宋"/>
          <w:b w:val="0"/>
          <w:bCs w:val="0"/>
        </w:rPr>
        <w:t>出决算表</w:t>
      </w:r>
      <w:bookmarkEnd w:id="69"/>
      <w:bookmarkEnd w:id="70"/>
    </w:p>
    <w:p>
      <w:pPr>
        <w:pStyle w:val="3"/>
        <w:rPr>
          <w:rFonts w:ascii="仿宋" w:hAnsi="仿宋" w:eastAsia="仿宋"/>
          <w:b w:val="0"/>
          <w:color w:val="000000"/>
        </w:rPr>
      </w:pPr>
      <w:bookmarkStart w:id="71" w:name="_Toc15396622"/>
      <w:bookmarkStart w:id="72" w:name="_Toc21747"/>
      <w:r>
        <w:rPr>
          <w:rStyle w:val="16"/>
          <w:rFonts w:hint="eastAsia" w:ascii="仿宋" w:hAnsi="仿宋" w:eastAsia="仿宋"/>
          <w:b w:val="0"/>
          <w:bCs w:val="0"/>
        </w:rPr>
        <w:t>四、</w:t>
      </w:r>
      <w:r>
        <w:rPr>
          <w:rFonts w:hint="eastAsia" w:ascii="仿宋" w:hAnsi="仿宋" w:eastAsia="仿宋"/>
          <w:b w:val="0"/>
          <w:color w:val="000000"/>
        </w:rPr>
        <w:t>财</w:t>
      </w:r>
      <w:r>
        <w:rPr>
          <w:rStyle w:val="16"/>
          <w:rFonts w:hint="eastAsia" w:ascii="仿宋" w:hAnsi="仿宋" w:eastAsia="仿宋"/>
          <w:b w:val="0"/>
          <w:bCs w:val="0"/>
        </w:rPr>
        <w:t>政拨款收入支出决算总表</w:t>
      </w:r>
      <w:bookmarkEnd w:id="71"/>
      <w:bookmarkEnd w:id="72"/>
    </w:p>
    <w:p>
      <w:pPr>
        <w:pStyle w:val="3"/>
        <w:rPr>
          <w:rStyle w:val="16"/>
          <w:rFonts w:ascii="仿宋" w:hAnsi="仿宋" w:eastAsia="仿宋"/>
          <w:b w:val="0"/>
          <w:bCs w:val="0"/>
        </w:rPr>
      </w:pPr>
      <w:bookmarkStart w:id="73" w:name="_Toc15396623"/>
      <w:bookmarkStart w:id="74" w:name="_Toc12959"/>
      <w:r>
        <w:rPr>
          <w:rStyle w:val="16"/>
          <w:rFonts w:hint="eastAsia" w:ascii="仿宋" w:hAnsi="仿宋" w:eastAsia="仿宋"/>
          <w:b w:val="0"/>
          <w:bCs w:val="0"/>
        </w:rPr>
        <w:t>五、</w:t>
      </w:r>
      <w:r>
        <w:rPr>
          <w:rFonts w:hint="eastAsia" w:ascii="仿宋" w:hAnsi="仿宋" w:eastAsia="仿宋"/>
          <w:b w:val="0"/>
          <w:color w:val="000000"/>
        </w:rPr>
        <w:t>财</w:t>
      </w:r>
      <w:r>
        <w:rPr>
          <w:rStyle w:val="16"/>
          <w:rFonts w:hint="eastAsia" w:ascii="仿宋" w:hAnsi="仿宋" w:eastAsia="仿宋"/>
          <w:b w:val="0"/>
          <w:bCs w:val="0"/>
        </w:rPr>
        <w:t>政拨款支出决算明细表</w:t>
      </w:r>
      <w:bookmarkEnd w:id="73"/>
      <w:bookmarkEnd w:id="74"/>
      <w:bookmarkStart w:id="75" w:name="_Toc15396624"/>
    </w:p>
    <w:p>
      <w:pPr>
        <w:pStyle w:val="3"/>
        <w:rPr>
          <w:rFonts w:ascii="仿宋" w:hAnsi="仿宋" w:eastAsia="仿宋"/>
          <w:color w:val="000000"/>
        </w:rPr>
      </w:pPr>
      <w:bookmarkStart w:id="76" w:name="_Toc23749"/>
      <w:r>
        <w:rPr>
          <w:rStyle w:val="16"/>
          <w:rFonts w:hint="eastAsia" w:ascii="仿宋" w:hAnsi="仿宋" w:eastAsia="仿宋"/>
          <w:b w:val="0"/>
          <w:bCs w:val="0"/>
        </w:rPr>
        <w:t>六、</w:t>
      </w:r>
      <w:r>
        <w:rPr>
          <w:rFonts w:hint="eastAsia" w:ascii="仿宋" w:hAnsi="仿宋" w:eastAsia="仿宋"/>
          <w:b w:val="0"/>
          <w:color w:val="000000"/>
        </w:rPr>
        <w:t>一</w:t>
      </w:r>
      <w:r>
        <w:rPr>
          <w:rStyle w:val="16"/>
          <w:rFonts w:hint="eastAsia" w:ascii="仿宋" w:hAnsi="仿宋" w:eastAsia="仿宋"/>
          <w:b w:val="0"/>
          <w:bCs w:val="0"/>
        </w:rPr>
        <w:t>般公共预算财政拨款支出决算表</w:t>
      </w:r>
      <w:bookmarkEnd w:id="75"/>
      <w:bookmarkEnd w:id="76"/>
    </w:p>
    <w:p>
      <w:pPr>
        <w:pStyle w:val="3"/>
        <w:rPr>
          <w:rFonts w:ascii="仿宋" w:hAnsi="仿宋" w:eastAsia="仿宋"/>
          <w:color w:val="000000"/>
        </w:rPr>
      </w:pPr>
      <w:bookmarkStart w:id="77" w:name="_Toc15396625"/>
      <w:bookmarkStart w:id="78" w:name="_Toc22275"/>
      <w:r>
        <w:rPr>
          <w:rStyle w:val="16"/>
          <w:rFonts w:hint="eastAsia" w:ascii="仿宋" w:hAnsi="仿宋" w:eastAsia="仿宋"/>
          <w:b w:val="0"/>
          <w:bCs w:val="0"/>
        </w:rPr>
        <w:t>七、</w:t>
      </w:r>
      <w:r>
        <w:rPr>
          <w:rFonts w:hint="eastAsia" w:ascii="仿宋" w:hAnsi="仿宋" w:eastAsia="仿宋"/>
          <w:b w:val="0"/>
          <w:color w:val="000000"/>
        </w:rPr>
        <w:t>一</w:t>
      </w:r>
      <w:r>
        <w:rPr>
          <w:rStyle w:val="16"/>
          <w:rFonts w:hint="eastAsia" w:ascii="仿宋" w:hAnsi="仿宋" w:eastAsia="仿宋"/>
          <w:b w:val="0"/>
          <w:bCs w:val="0"/>
        </w:rPr>
        <w:t>般公共预算财政拨款支出决算明细表</w:t>
      </w:r>
      <w:bookmarkEnd w:id="77"/>
      <w:bookmarkEnd w:id="78"/>
    </w:p>
    <w:p>
      <w:pPr>
        <w:pStyle w:val="3"/>
        <w:rPr>
          <w:rFonts w:ascii="仿宋" w:hAnsi="仿宋" w:eastAsia="仿宋"/>
          <w:color w:val="000000"/>
        </w:rPr>
      </w:pPr>
      <w:bookmarkStart w:id="79" w:name="_Toc15396626"/>
      <w:bookmarkStart w:id="80" w:name="_Toc30634"/>
      <w:r>
        <w:rPr>
          <w:rStyle w:val="16"/>
          <w:rFonts w:hint="eastAsia" w:ascii="仿宋" w:hAnsi="仿宋" w:eastAsia="仿宋"/>
          <w:b w:val="0"/>
          <w:bCs w:val="0"/>
        </w:rPr>
        <w:t>八、</w:t>
      </w:r>
      <w:r>
        <w:rPr>
          <w:rFonts w:hint="eastAsia" w:ascii="仿宋" w:hAnsi="仿宋" w:eastAsia="仿宋"/>
          <w:b w:val="0"/>
          <w:color w:val="000000"/>
        </w:rPr>
        <w:t>一</w:t>
      </w:r>
      <w:r>
        <w:rPr>
          <w:rStyle w:val="16"/>
          <w:rFonts w:hint="eastAsia" w:ascii="仿宋" w:hAnsi="仿宋" w:eastAsia="仿宋"/>
          <w:b w:val="0"/>
          <w:bCs w:val="0"/>
        </w:rPr>
        <w:t>般公共预算财政拨款基本支出决算表</w:t>
      </w:r>
      <w:bookmarkEnd w:id="79"/>
      <w:bookmarkEnd w:id="80"/>
    </w:p>
    <w:p>
      <w:pPr>
        <w:pStyle w:val="3"/>
        <w:rPr>
          <w:rFonts w:ascii="仿宋" w:hAnsi="仿宋" w:eastAsia="仿宋"/>
          <w:color w:val="000000"/>
        </w:rPr>
      </w:pPr>
      <w:bookmarkStart w:id="81" w:name="_Toc15396627"/>
      <w:bookmarkStart w:id="82" w:name="_Toc15170"/>
      <w:r>
        <w:rPr>
          <w:rStyle w:val="16"/>
          <w:rFonts w:hint="eastAsia" w:ascii="仿宋" w:hAnsi="仿宋" w:eastAsia="仿宋"/>
          <w:b w:val="0"/>
          <w:bCs w:val="0"/>
        </w:rPr>
        <w:t>九、</w:t>
      </w:r>
      <w:r>
        <w:rPr>
          <w:rFonts w:hint="eastAsia" w:ascii="仿宋" w:hAnsi="仿宋" w:eastAsia="仿宋"/>
          <w:b w:val="0"/>
          <w:color w:val="000000"/>
        </w:rPr>
        <w:t>一</w:t>
      </w:r>
      <w:r>
        <w:rPr>
          <w:rStyle w:val="16"/>
          <w:rFonts w:hint="eastAsia" w:ascii="仿宋" w:hAnsi="仿宋" w:eastAsia="仿宋"/>
          <w:b w:val="0"/>
          <w:bCs w:val="0"/>
        </w:rPr>
        <w:t>般公共预算财政拨款项目支出决算表</w:t>
      </w:r>
      <w:bookmarkEnd w:id="81"/>
      <w:bookmarkEnd w:id="82"/>
    </w:p>
    <w:p>
      <w:pPr>
        <w:pStyle w:val="3"/>
        <w:spacing w:line="360" w:lineRule="auto"/>
        <w:rPr>
          <w:rFonts w:ascii="仿宋" w:hAnsi="仿宋" w:eastAsia="仿宋"/>
          <w:color w:val="000000"/>
        </w:rPr>
      </w:pPr>
      <w:bookmarkStart w:id="83" w:name="_Toc15396628"/>
      <w:bookmarkStart w:id="84" w:name="_Toc17603"/>
      <w:r>
        <w:rPr>
          <w:rStyle w:val="16"/>
          <w:rFonts w:hint="eastAsia" w:ascii="仿宋" w:hAnsi="仿宋" w:eastAsia="仿宋"/>
          <w:b w:val="0"/>
          <w:bCs w:val="0"/>
        </w:rPr>
        <w:t>十、</w:t>
      </w:r>
      <w:r>
        <w:rPr>
          <w:rFonts w:hint="eastAsia" w:ascii="仿宋" w:hAnsi="仿宋" w:eastAsia="仿宋"/>
          <w:b w:val="0"/>
          <w:color w:val="000000"/>
        </w:rPr>
        <w:t>一</w:t>
      </w:r>
      <w:r>
        <w:rPr>
          <w:rStyle w:val="16"/>
          <w:rFonts w:hint="eastAsia" w:ascii="仿宋" w:hAnsi="仿宋" w:eastAsia="仿宋"/>
          <w:b w:val="0"/>
          <w:bCs w:val="0"/>
        </w:rPr>
        <w:t>般公共预算财政拨款“三公”经费支出决算表</w:t>
      </w:r>
      <w:bookmarkEnd w:id="83"/>
      <w:bookmarkEnd w:id="84"/>
    </w:p>
    <w:p>
      <w:pPr>
        <w:pStyle w:val="3"/>
        <w:spacing w:line="360" w:lineRule="auto"/>
        <w:rPr>
          <w:rFonts w:ascii="仿宋" w:hAnsi="仿宋" w:eastAsia="仿宋"/>
          <w:color w:val="000000"/>
        </w:rPr>
      </w:pPr>
      <w:bookmarkStart w:id="85" w:name="_Toc15396629"/>
      <w:bookmarkStart w:id="86" w:name="_Toc7313"/>
      <w:r>
        <w:rPr>
          <w:rStyle w:val="16"/>
          <w:rFonts w:hint="eastAsia" w:ascii="仿宋" w:hAnsi="仿宋" w:eastAsia="仿宋"/>
          <w:b w:val="0"/>
          <w:bCs w:val="0"/>
        </w:rPr>
        <w:t>十一、</w:t>
      </w:r>
      <w:r>
        <w:rPr>
          <w:rFonts w:hint="eastAsia" w:ascii="仿宋" w:hAnsi="仿宋" w:eastAsia="仿宋"/>
          <w:b w:val="0"/>
          <w:color w:val="000000"/>
        </w:rPr>
        <w:t>政</w:t>
      </w:r>
      <w:r>
        <w:rPr>
          <w:rStyle w:val="16"/>
          <w:rFonts w:hint="eastAsia" w:ascii="仿宋" w:hAnsi="仿宋" w:eastAsia="仿宋"/>
          <w:b w:val="0"/>
          <w:bCs w:val="0"/>
        </w:rPr>
        <w:t>府性基金预算财政拨款收入支出决算表</w:t>
      </w:r>
      <w:bookmarkEnd w:id="85"/>
      <w:bookmarkEnd w:id="86"/>
    </w:p>
    <w:p>
      <w:pPr>
        <w:pStyle w:val="3"/>
        <w:rPr>
          <w:rFonts w:ascii="仿宋" w:hAnsi="仿宋" w:eastAsia="仿宋"/>
          <w:b w:val="0"/>
          <w:color w:val="000000"/>
        </w:rPr>
      </w:pPr>
      <w:bookmarkStart w:id="87" w:name="_Toc15396630"/>
      <w:bookmarkStart w:id="88" w:name="_Toc9382"/>
      <w:r>
        <w:rPr>
          <w:rFonts w:hint="eastAsia" w:ascii="仿宋" w:hAnsi="仿宋" w:eastAsia="仿宋"/>
          <w:b w:val="0"/>
          <w:color w:val="000000"/>
        </w:rPr>
        <w:t>十二、政府性基金预算财政拨款“三公”经费支出决算表</w:t>
      </w:r>
      <w:bookmarkEnd w:id="87"/>
      <w:bookmarkEnd w:id="88"/>
    </w:p>
    <w:p>
      <w:pPr>
        <w:pStyle w:val="3"/>
        <w:rPr>
          <w:rFonts w:ascii="仿宋" w:hAnsi="仿宋" w:eastAsia="仿宋"/>
          <w:b w:val="0"/>
          <w:color w:val="000000"/>
        </w:rPr>
      </w:pPr>
      <w:bookmarkStart w:id="89" w:name="_Toc22683"/>
      <w:r>
        <w:rPr>
          <w:rFonts w:hint="eastAsia" w:ascii="仿宋" w:hAnsi="仿宋" w:eastAsia="仿宋"/>
          <w:b w:val="0"/>
          <w:color w:val="000000"/>
        </w:rPr>
        <w:t>十三、国有资本经营预算财政拨款收入支出决算表</w:t>
      </w:r>
      <w:bookmarkEnd w:id="89"/>
    </w:p>
    <w:p>
      <w:pPr>
        <w:pStyle w:val="3"/>
        <w:rPr>
          <w:rFonts w:ascii="仿宋" w:hAnsi="仿宋" w:eastAsia="仿宋"/>
          <w:b w:val="0"/>
          <w:color w:val="000000"/>
        </w:rPr>
      </w:pPr>
      <w:bookmarkStart w:id="90" w:name="_Toc10257"/>
      <w:r>
        <w:rPr>
          <w:rFonts w:hint="eastAsia" w:ascii="仿宋" w:hAnsi="仿宋" w:eastAsia="仿宋"/>
          <w:b w:val="0"/>
          <w:color w:val="000000"/>
        </w:rPr>
        <w:t>十四、国有资本经营预算财政拨款支出决算表</w:t>
      </w:r>
      <w:bookmarkEnd w:id="90"/>
    </w:p>
    <w:sectPr>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等线">
    <w:altName w:val="宋体"/>
    <w:panose1 w:val="00000000000000000000"/>
    <w:charset w:val="86"/>
    <w:family w:val="auto"/>
    <w:pitch w:val="default"/>
    <w:sig w:usb0="00000000" w:usb1="00000000" w:usb2="00000016" w:usb3="00000000" w:csb0="0004000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pict>
        <v:shape id="_x0000_s2049" o:spid="_x0000_s2049"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path/>
          <v:fill on="f" focussize="0,0"/>
          <v:stroke on="f" weight="0.5pt" joinstyle="miter"/>
          <v:imagedata o:title=""/>
          <o:lock v:ext="edit"/>
          <v:textbox inset="0mm,0mm,0mm,0mm" style="mso-fit-shape-to-text:t;">
            <w:txbxContent>
              <w:p>
                <w:pPr>
                  <w:pStyle w:val="6"/>
                  <w:rPr>
                    <w:rFonts w:ascii="宋体" w:hAnsi="宋体"/>
                    <w:sz w:val="28"/>
                    <w:szCs w:val="28"/>
                  </w:rPr>
                </w:pPr>
                <w:r>
                  <w:rPr>
                    <w:rFonts w:hint="eastAsia" w:ascii="宋体" w:hAnsi="宋体"/>
                    <w:sz w:val="28"/>
                    <w:szCs w:val="28"/>
                  </w:rPr>
                  <w:t xml:space="preserve">— </w:t>
                </w: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29</w:t>
                </w:r>
                <w:r>
                  <w:rPr>
                    <w:rFonts w:ascii="宋体" w:hAnsi="宋体"/>
                    <w:sz w:val="28"/>
                    <w:szCs w:val="28"/>
                  </w:rPr>
                  <w:fldChar w:fldCharType="end"/>
                </w:r>
                <w:r>
                  <w:rPr>
                    <w:rFonts w:hint="eastAsia" w:ascii="宋体" w:hAnsi="宋体"/>
                    <w:sz w:val="28"/>
                    <w:szCs w:val="28"/>
                  </w:rPr>
                  <w:t xml:space="preserve"> — </w:t>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2C4043"/>
    <w:multiLevelType w:val="singleLevel"/>
    <w:tmpl w:val="9F2C4043"/>
    <w:lvl w:ilvl="0" w:tentative="0">
      <w:start w:val="1"/>
      <w:numFmt w:val="decimal"/>
      <w:suff w:val="nothing"/>
      <w:lvlText w:val="%1．"/>
      <w:lvlJc w:val="left"/>
    </w:lvl>
  </w:abstractNum>
  <w:abstractNum w:abstractNumId="1">
    <w:nsid w:val="AD1F51F9"/>
    <w:multiLevelType w:val="singleLevel"/>
    <w:tmpl w:val="AD1F51F9"/>
    <w:lvl w:ilvl="0" w:tentative="0">
      <w:start w:val="2"/>
      <w:numFmt w:val="chineseCounting"/>
      <w:suff w:val="nothing"/>
      <w:lvlText w:val="（%1）"/>
      <w:lvlJc w:val="left"/>
      <w:rPr>
        <w:rFonts w:hint="eastAsia"/>
      </w:rPr>
    </w:lvl>
  </w:abstractNum>
  <w:abstractNum w:abstractNumId="2">
    <w:nsid w:val="CF652CEC"/>
    <w:multiLevelType w:val="singleLevel"/>
    <w:tmpl w:val="CF652CEC"/>
    <w:lvl w:ilvl="0" w:tentative="0">
      <w:start w:val="9"/>
      <w:numFmt w:val="chineseCounting"/>
      <w:suff w:val="nothing"/>
      <w:lvlText w:val="%1、"/>
      <w:lvlJc w:val="left"/>
      <w:rPr>
        <w:rFonts w:hint="eastAsia" w:cs="Times New Roman"/>
      </w:rPr>
    </w:lvl>
  </w:abstractNum>
  <w:abstractNum w:abstractNumId="3">
    <w:nsid w:val="E2FA047D"/>
    <w:multiLevelType w:val="singleLevel"/>
    <w:tmpl w:val="E2FA047D"/>
    <w:lvl w:ilvl="0" w:tentative="0">
      <w:start w:val="3"/>
      <w:numFmt w:val="chineseCounting"/>
      <w:suff w:val="space"/>
      <w:lvlText w:val="第%1部分"/>
      <w:lvlJc w:val="left"/>
      <w:rPr>
        <w:rFonts w:hint="eastAsia" w:cs="Times New Roman"/>
      </w:rPr>
    </w:lvl>
  </w:abstractNum>
  <w:abstractNum w:abstractNumId="4">
    <w:nsid w:val="F22B2FBD"/>
    <w:multiLevelType w:val="singleLevel"/>
    <w:tmpl w:val="F22B2FBD"/>
    <w:lvl w:ilvl="0" w:tentative="0">
      <w:start w:val="1"/>
      <w:numFmt w:val="decimal"/>
      <w:lvlText w:val="%1."/>
      <w:lvlJc w:val="left"/>
      <w:pPr>
        <w:tabs>
          <w:tab w:val="left" w:pos="312"/>
        </w:tabs>
      </w:pPr>
    </w:lvl>
  </w:abstractNum>
  <w:abstractNum w:abstractNumId="5">
    <w:nsid w:val="1272550B"/>
    <w:multiLevelType w:val="multilevel"/>
    <w:tmpl w:val="1272550B"/>
    <w:lvl w:ilvl="0" w:tentative="0">
      <w:start w:val="1"/>
      <w:numFmt w:val="japaneseCounting"/>
      <w:lvlText w:val="%1、"/>
      <w:lvlJc w:val="left"/>
      <w:pPr>
        <w:ind w:left="1360" w:hanging="720"/>
      </w:pPr>
      <w:rPr>
        <w:rFonts w:hint="default" w:cs="Times New Roman"/>
        <w:b w:val="0"/>
      </w:rPr>
    </w:lvl>
    <w:lvl w:ilvl="1" w:tentative="0">
      <w:start w:val="1"/>
      <w:numFmt w:val="lowerLetter"/>
      <w:lvlText w:val="%2)"/>
      <w:lvlJc w:val="left"/>
      <w:pPr>
        <w:ind w:left="1480" w:hanging="420"/>
      </w:pPr>
      <w:rPr>
        <w:rFonts w:cs="Times New Roman"/>
      </w:rPr>
    </w:lvl>
    <w:lvl w:ilvl="2" w:tentative="0">
      <w:start w:val="1"/>
      <w:numFmt w:val="lowerRoman"/>
      <w:lvlText w:val="%3."/>
      <w:lvlJc w:val="right"/>
      <w:pPr>
        <w:ind w:left="1900" w:hanging="420"/>
      </w:pPr>
      <w:rPr>
        <w:rFonts w:cs="Times New Roman"/>
      </w:rPr>
    </w:lvl>
    <w:lvl w:ilvl="3" w:tentative="0">
      <w:start w:val="1"/>
      <w:numFmt w:val="decimal"/>
      <w:lvlText w:val="%4."/>
      <w:lvlJc w:val="left"/>
      <w:pPr>
        <w:ind w:left="2320" w:hanging="420"/>
      </w:pPr>
      <w:rPr>
        <w:rFonts w:cs="Times New Roman"/>
      </w:rPr>
    </w:lvl>
    <w:lvl w:ilvl="4" w:tentative="0">
      <w:start w:val="1"/>
      <w:numFmt w:val="lowerLetter"/>
      <w:lvlText w:val="%5)"/>
      <w:lvlJc w:val="left"/>
      <w:pPr>
        <w:ind w:left="2740" w:hanging="420"/>
      </w:pPr>
      <w:rPr>
        <w:rFonts w:cs="Times New Roman"/>
      </w:rPr>
    </w:lvl>
    <w:lvl w:ilvl="5" w:tentative="0">
      <w:start w:val="1"/>
      <w:numFmt w:val="lowerRoman"/>
      <w:lvlText w:val="%6."/>
      <w:lvlJc w:val="right"/>
      <w:pPr>
        <w:ind w:left="3160" w:hanging="420"/>
      </w:pPr>
      <w:rPr>
        <w:rFonts w:cs="Times New Roman"/>
      </w:rPr>
    </w:lvl>
    <w:lvl w:ilvl="6" w:tentative="0">
      <w:start w:val="1"/>
      <w:numFmt w:val="decimal"/>
      <w:lvlText w:val="%7."/>
      <w:lvlJc w:val="left"/>
      <w:pPr>
        <w:ind w:left="3580" w:hanging="420"/>
      </w:pPr>
      <w:rPr>
        <w:rFonts w:cs="Times New Roman"/>
      </w:rPr>
    </w:lvl>
    <w:lvl w:ilvl="7" w:tentative="0">
      <w:start w:val="1"/>
      <w:numFmt w:val="lowerLetter"/>
      <w:lvlText w:val="%8)"/>
      <w:lvlJc w:val="left"/>
      <w:pPr>
        <w:ind w:left="4000" w:hanging="420"/>
      </w:pPr>
      <w:rPr>
        <w:rFonts w:cs="Times New Roman"/>
      </w:rPr>
    </w:lvl>
    <w:lvl w:ilvl="8" w:tentative="0">
      <w:start w:val="1"/>
      <w:numFmt w:val="lowerRoman"/>
      <w:lvlText w:val="%9."/>
      <w:lvlJc w:val="right"/>
      <w:pPr>
        <w:ind w:left="4420" w:hanging="420"/>
      </w:pPr>
      <w:rPr>
        <w:rFonts w:cs="Times New Roman"/>
      </w:rPr>
    </w:lvl>
  </w:abstractNum>
  <w:abstractNum w:abstractNumId="6">
    <w:nsid w:val="2EB4413A"/>
    <w:multiLevelType w:val="singleLevel"/>
    <w:tmpl w:val="2EB4413A"/>
    <w:lvl w:ilvl="0" w:tentative="0">
      <w:start w:val="2"/>
      <w:numFmt w:val="chineseCounting"/>
      <w:suff w:val="nothing"/>
      <w:lvlText w:val="（%1）"/>
      <w:lvlJc w:val="left"/>
      <w:rPr>
        <w:rFonts w:hint="eastAsia"/>
      </w:rPr>
    </w:lvl>
  </w:abstractNum>
  <w:abstractNum w:abstractNumId="7">
    <w:nsid w:val="3A9477DD"/>
    <w:multiLevelType w:val="singleLevel"/>
    <w:tmpl w:val="3A9477DD"/>
    <w:lvl w:ilvl="0" w:tentative="0">
      <w:start w:val="1"/>
      <w:numFmt w:val="chineseCounting"/>
      <w:suff w:val="nothing"/>
      <w:lvlText w:val="（%1）"/>
      <w:lvlJc w:val="left"/>
      <w:rPr>
        <w:rFonts w:hint="eastAsia"/>
      </w:rPr>
    </w:lvl>
  </w:abstractNum>
  <w:num w:numId="1">
    <w:abstractNumId w:val="5"/>
  </w:num>
  <w:num w:numId="2">
    <w:abstractNumId w:val="2"/>
  </w:num>
  <w:num w:numId="3">
    <w:abstractNumId w:val="4"/>
  </w:num>
  <w:num w:numId="4">
    <w:abstractNumId w:val="3"/>
  </w:num>
  <w:num w:numId="5">
    <w:abstractNumId w:val="6"/>
  </w:num>
  <w:num w:numId="6">
    <w:abstractNumId w:val="1"/>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documentProtection w:enforcement="0"/>
  <w:defaultTabStop w:val="42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6504078C"/>
    <w:rsid w:val="001F7FE5"/>
    <w:rsid w:val="00303B46"/>
    <w:rsid w:val="00541ACC"/>
    <w:rsid w:val="006252EB"/>
    <w:rsid w:val="0079291A"/>
    <w:rsid w:val="008D7EB6"/>
    <w:rsid w:val="00E63E93"/>
    <w:rsid w:val="00FF2C1C"/>
    <w:rsid w:val="02A777E8"/>
    <w:rsid w:val="042742F5"/>
    <w:rsid w:val="06146A9D"/>
    <w:rsid w:val="062C6F51"/>
    <w:rsid w:val="06C21D5B"/>
    <w:rsid w:val="06D65805"/>
    <w:rsid w:val="06D96529"/>
    <w:rsid w:val="07545325"/>
    <w:rsid w:val="07BA3126"/>
    <w:rsid w:val="0BF50DC7"/>
    <w:rsid w:val="0CF05482"/>
    <w:rsid w:val="0E522F4A"/>
    <w:rsid w:val="0E600908"/>
    <w:rsid w:val="0FF360CA"/>
    <w:rsid w:val="1250027F"/>
    <w:rsid w:val="12ED3FE9"/>
    <w:rsid w:val="13920341"/>
    <w:rsid w:val="13994982"/>
    <w:rsid w:val="151F5634"/>
    <w:rsid w:val="16A824BF"/>
    <w:rsid w:val="17BD59DC"/>
    <w:rsid w:val="17F044E5"/>
    <w:rsid w:val="19834F08"/>
    <w:rsid w:val="1AC47C7E"/>
    <w:rsid w:val="1CF44BCD"/>
    <w:rsid w:val="1D2C209E"/>
    <w:rsid w:val="1DE71A19"/>
    <w:rsid w:val="217F054F"/>
    <w:rsid w:val="22007537"/>
    <w:rsid w:val="258970A1"/>
    <w:rsid w:val="270E40A1"/>
    <w:rsid w:val="27F619A3"/>
    <w:rsid w:val="28C16307"/>
    <w:rsid w:val="29163107"/>
    <w:rsid w:val="29BC4313"/>
    <w:rsid w:val="2A220878"/>
    <w:rsid w:val="2A463AC0"/>
    <w:rsid w:val="2AC65C17"/>
    <w:rsid w:val="2C2D3BCD"/>
    <w:rsid w:val="2CC80ED2"/>
    <w:rsid w:val="2CFB68C6"/>
    <w:rsid w:val="30252F24"/>
    <w:rsid w:val="30B04CC1"/>
    <w:rsid w:val="30BD7B3E"/>
    <w:rsid w:val="31365460"/>
    <w:rsid w:val="325D6066"/>
    <w:rsid w:val="340772FE"/>
    <w:rsid w:val="35236EF3"/>
    <w:rsid w:val="39C00D70"/>
    <w:rsid w:val="3B8223F3"/>
    <w:rsid w:val="3CB26806"/>
    <w:rsid w:val="3DD5678C"/>
    <w:rsid w:val="3E4169FF"/>
    <w:rsid w:val="3F8178D9"/>
    <w:rsid w:val="42CE2CBE"/>
    <w:rsid w:val="4483164F"/>
    <w:rsid w:val="448D7308"/>
    <w:rsid w:val="4830747C"/>
    <w:rsid w:val="490F3B0B"/>
    <w:rsid w:val="49961747"/>
    <w:rsid w:val="4C4B036E"/>
    <w:rsid w:val="4C9D0B19"/>
    <w:rsid w:val="4D0D2AC8"/>
    <w:rsid w:val="4D735F9C"/>
    <w:rsid w:val="4D7E351F"/>
    <w:rsid w:val="4E3A4862"/>
    <w:rsid w:val="4EC70068"/>
    <w:rsid w:val="4F64048F"/>
    <w:rsid w:val="4F76469E"/>
    <w:rsid w:val="4FC379B7"/>
    <w:rsid w:val="50884351"/>
    <w:rsid w:val="50EF3A67"/>
    <w:rsid w:val="51C45122"/>
    <w:rsid w:val="52412716"/>
    <w:rsid w:val="538D1AE2"/>
    <w:rsid w:val="552E4D6B"/>
    <w:rsid w:val="55753541"/>
    <w:rsid w:val="55836757"/>
    <w:rsid w:val="560761CD"/>
    <w:rsid w:val="56BF5087"/>
    <w:rsid w:val="56D26AA1"/>
    <w:rsid w:val="59711ABB"/>
    <w:rsid w:val="59BC09D4"/>
    <w:rsid w:val="59D91C67"/>
    <w:rsid w:val="5B9A569A"/>
    <w:rsid w:val="5BD23C76"/>
    <w:rsid w:val="5BD44886"/>
    <w:rsid w:val="5CCD4BD2"/>
    <w:rsid w:val="5D3E75DF"/>
    <w:rsid w:val="5D726EC2"/>
    <w:rsid w:val="60EE0A62"/>
    <w:rsid w:val="61926D89"/>
    <w:rsid w:val="6504078C"/>
    <w:rsid w:val="66B90D18"/>
    <w:rsid w:val="695535AB"/>
    <w:rsid w:val="6B98728A"/>
    <w:rsid w:val="6E7C3504"/>
    <w:rsid w:val="6ECC4053"/>
    <w:rsid w:val="726E3979"/>
    <w:rsid w:val="734A0C56"/>
    <w:rsid w:val="749E1C26"/>
    <w:rsid w:val="751C6C91"/>
    <w:rsid w:val="76752E14"/>
    <w:rsid w:val="76F47FF0"/>
    <w:rsid w:val="790C42F2"/>
    <w:rsid w:val="7938417A"/>
    <w:rsid w:val="79A50144"/>
    <w:rsid w:val="7A8D484C"/>
    <w:rsid w:val="7A940B3D"/>
    <w:rsid w:val="7BD94F6F"/>
    <w:rsid w:val="7C287298"/>
    <w:rsid w:val="7C4C15F2"/>
    <w:rsid w:val="7DB9165E"/>
    <w:rsid w:val="7F0B5D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15"/>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6"/>
    <w:unhideWhenUsed/>
    <w:qFormat/>
    <w:uiPriority w:val="9"/>
    <w:pPr>
      <w:keepNext/>
      <w:keepLines/>
      <w:spacing w:before="260" w:after="260" w:line="416" w:lineRule="auto"/>
      <w:outlineLvl w:val="1"/>
    </w:pPr>
    <w:rPr>
      <w:rFonts w:ascii="Cambria" w:hAnsi="Cambria"/>
      <w:b/>
      <w:bCs/>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99"/>
    <w:pPr>
      <w:spacing w:beforeLines="30"/>
    </w:pPr>
    <w:rPr>
      <w:rFonts w:ascii="仿宋_GB2312"/>
      <w:kern w:val="0"/>
      <w:sz w:val="24"/>
      <w:szCs w:val="20"/>
    </w:rPr>
  </w:style>
  <w:style w:type="paragraph" w:styleId="5">
    <w:name w:val="Body Text Indent"/>
    <w:basedOn w:val="1"/>
    <w:qFormat/>
    <w:uiPriority w:val="0"/>
    <w:pPr>
      <w:spacing w:after="120"/>
      <w:ind w:left="420" w:leftChars="200"/>
    </w:pPr>
  </w:style>
  <w:style w:type="paragraph" w:styleId="6">
    <w:name w:val="footer"/>
    <w:basedOn w:val="1"/>
    <w:qFormat/>
    <w:uiPriority w:val="99"/>
    <w:pPr>
      <w:tabs>
        <w:tab w:val="center" w:pos="4153"/>
        <w:tab w:val="right" w:pos="8306"/>
      </w:tabs>
      <w:snapToGrid w:val="0"/>
      <w:jc w:val="left"/>
    </w:pPr>
    <w:rPr>
      <w:rFonts w:ascii="Calibri" w:hAnsi="Calibri"/>
      <w:kern w:val="0"/>
      <w:sz w:val="18"/>
      <w:szCs w:val="20"/>
    </w:rPr>
  </w:style>
  <w:style w:type="paragraph" w:styleId="7">
    <w:name w:val="header"/>
    <w:basedOn w:val="1"/>
    <w:semiHidden/>
    <w:qFormat/>
    <w:uiPriority w:val="99"/>
    <w:pPr>
      <w:pBdr>
        <w:bottom w:val="single" w:color="auto" w:sz="6" w:space="1"/>
      </w:pBdr>
      <w:tabs>
        <w:tab w:val="center" w:pos="4153"/>
        <w:tab w:val="right" w:pos="8306"/>
      </w:tabs>
      <w:snapToGrid w:val="0"/>
      <w:jc w:val="center"/>
    </w:pPr>
    <w:rPr>
      <w:rFonts w:ascii="Calibri" w:hAnsi="Calibri"/>
      <w:kern w:val="0"/>
      <w:sz w:val="18"/>
      <w:szCs w:val="20"/>
    </w:rPr>
  </w:style>
  <w:style w:type="paragraph" w:styleId="8">
    <w:name w:val="toc 1"/>
    <w:basedOn w:val="1"/>
    <w:next w:val="1"/>
    <w:unhideWhenUsed/>
    <w:qFormat/>
    <w:uiPriority w:val="39"/>
    <w:pPr>
      <w:spacing w:before="120"/>
      <w:jc w:val="left"/>
    </w:pPr>
    <w:rPr>
      <w:rFonts w:ascii="等线" w:eastAsia="等线"/>
      <w:b/>
      <w:bCs/>
      <w:i/>
      <w:iCs/>
      <w:sz w:val="24"/>
    </w:rPr>
  </w:style>
  <w:style w:type="paragraph" w:styleId="9">
    <w:name w:val="toc 2"/>
    <w:basedOn w:val="1"/>
    <w:next w:val="1"/>
    <w:unhideWhenUsed/>
    <w:qFormat/>
    <w:uiPriority w:val="39"/>
    <w:pPr>
      <w:spacing w:before="120"/>
      <w:ind w:left="300"/>
      <w:jc w:val="left"/>
    </w:pPr>
    <w:rPr>
      <w:rFonts w:ascii="等线" w:eastAsia="等线"/>
      <w:b/>
      <w:bCs/>
      <w:sz w:val="22"/>
      <w:szCs w:val="22"/>
    </w:rPr>
  </w:style>
  <w:style w:type="paragraph" w:styleId="10">
    <w:name w:val="Body Text First Indent 2"/>
    <w:basedOn w:val="5"/>
    <w:qFormat/>
    <w:uiPriority w:val="0"/>
    <w:pPr>
      <w:ind w:firstLine="420" w:firstLineChars="200"/>
    </w:pPr>
  </w:style>
  <w:style w:type="character" w:styleId="13">
    <w:name w:val="Strong"/>
    <w:basedOn w:val="12"/>
    <w:qFormat/>
    <w:uiPriority w:val="99"/>
    <w:rPr>
      <w:rFonts w:cs="Times New Roman"/>
      <w:b/>
    </w:rPr>
  </w:style>
  <w:style w:type="character" w:styleId="14">
    <w:name w:val="Hyperlink"/>
    <w:unhideWhenUsed/>
    <w:qFormat/>
    <w:uiPriority w:val="99"/>
    <w:rPr>
      <w:color w:val="0000FF"/>
      <w:u w:val="single"/>
    </w:rPr>
  </w:style>
  <w:style w:type="character" w:customStyle="1" w:styleId="15">
    <w:name w:val="标题 1 Char"/>
    <w:basedOn w:val="12"/>
    <w:link w:val="2"/>
    <w:qFormat/>
    <w:locked/>
    <w:uiPriority w:val="9"/>
    <w:rPr>
      <w:b/>
      <w:bCs/>
      <w:kern w:val="44"/>
      <w:sz w:val="44"/>
      <w:szCs w:val="44"/>
    </w:rPr>
  </w:style>
  <w:style w:type="character" w:customStyle="1" w:styleId="16">
    <w:name w:val="标题 2 Char"/>
    <w:basedOn w:val="12"/>
    <w:link w:val="3"/>
    <w:qFormat/>
    <w:locked/>
    <w:uiPriority w:val="9"/>
    <w:rPr>
      <w:rFonts w:ascii="Cambria" w:hAnsi="Cambria"/>
      <w:b/>
      <w:bCs/>
      <w:sz w:val="32"/>
      <w:szCs w:val="32"/>
    </w:rPr>
  </w:style>
  <w:style w:type="paragraph" w:customStyle="1" w:styleId="17">
    <w:name w:val="列出段落1"/>
    <w:basedOn w:val="1"/>
    <w:qFormat/>
    <w:uiPriority w:val="34"/>
    <w:pPr>
      <w:ind w:firstLine="420" w:firstLineChars="200"/>
    </w:pPr>
  </w:style>
  <w:style w:type="paragraph" w:customStyle="1" w:styleId="18">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hart" Target="charts/chart4.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chart" Target="charts/chart7.xml"/><Relationship Id="rId11" Type="http://schemas.openxmlformats.org/officeDocument/2006/relationships/chart" Target="charts/chart6.xml"/><Relationship Id="rId10" Type="http://schemas.openxmlformats.org/officeDocument/2006/relationships/chart" Target="charts/chart5.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5.xlsx"/></Relationships>
</file>

<file path=word/charts/_rels/chart3.xml.rels><?xml version="1.0" encoding="UTF-8" standalone="yes"?>
<Relationships xmlns="http://schemas.openxmlformats.org/package/2006/relationships"><Relationship Id="rId1" Type="http://schemas.openxmlformats.org/officeDocument/2006/relationships/package" Target="../embeddings/Workbook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5.xml.rels><?xml version="1.0" encoding="UTF-8" standalone="yes"?>
<Relationships xmlns="http://schemas.openxmlformats.org/package/2006/relationships"><Relationship Id="rId1" Type="http://schemas.openxmlformats.org/officeDocument/2006/relationships/package" Target="../embeddings/Workbook4.xlsx"/></Relationships>
</file>

<file path=word/charts/_rels/chart6.xml.rels><?xml version="1.0" encoding="UTF-8" standalone="yes"?>
<Relationships xmlns="http://schemas.openxmlformats.org/package/2006/relationships"><Relationship Id="rId2" Type="http://schemas.openxmlformats.org/officeDocument/2006/relationships/themeOverride" Target="../theme/themeOverride1.xml"/><Relationship Id="rId1" Type="http://schemas.openxmlformats.org/officeDocument/2006/relationships/package" Target="../embeddings/Workbook6.xlsx"/></Relationships>
</file>

<file path=word/charts/_rels/chart7.xml.rels><?xml version="1.0" encoding="UTF-8" standalone="yes"?>
<Relationships xmlns="http://schemas.openxmlformats.org/package/2006/relationships"><Relationship Id="rId2" Type="http://schemas.openxmlformats.org/officeDocument/2006/relationships/themeOverride" Target="../theme/themeOverride2.xml"/><Relationship Id="rId1" Type="http://schemas.openxmlformats.org/officeDocument/2006/relationships/package" Target="../embeddings/Workbook7.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5595"/>
          <c:y val="0.124666666666667"/>
          <c:w val="0.91655"/>
          <c:h val="0.716566666666667"/>
        </c:manualLayout>
      </c:layout>
      <c:barChart>
        <c:barDir val="col"/>
        <c:grouping val="stacked"/>
        <c:varyColors val="0"/>
        <c:ser>
          <c:idx val="0"/>
          <c:order val="0"/>
          <c:tx>
            <c:strRef>
              <c:f>Sheet1!$B$1</c:f>
              <c:strCache>
                <c:ptCount val="1"/>
                <c:pt idx="0">
                  <c:v>收、支决算总计</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Sheet1!$A$2:$A$3</c:f>
              <c:strCache>
                <c:ptCount val="2"/>
                <c:pt idx="0">
                  <c:v>2019年</c:v>
                </c:pt>
                <c:pt idx="1">
                  <c:v>2020年</c:v>
                </c:pt>
              </c:strCache>
            </c:strRef>
          </c:cat>
          <c:val>
            <c:numRef>
              <c:f>Sheet1!$B$2:$B$3</c:f>
              <c:numCache>
                <c:formatCode>General</c:formatCode>
                <c:ptCount val="2"/>
                <c:pt idx="0">
                  <c:v>121.56</c:v>
                </c:pt>
                <c:pt idx="1">
                  <c:v>194.67</c:v>
                </c:pt>
              </c:numCache>
            </c:numRef>
          </c:val>
        </c:ser>
        <c:dLbls>
          <c:showLegendKey val="0"/>
          <c:showVal val="1"/>
          <c:showCatName val="0"/>
          <c:showSerName val="0"/>
          <c:showPercent val="0"/>
          <c:showBubbleSize val="0"/>
        </c:dLbls>
        <c:gapWidth val="150"/>
        <c:overlap val="100"/>
        <c:axId val="114662016"/>
        <c:axId val="114669824"/>
      </c:barChart>
      <c:catAx>
        <c:axId val="114662016"/>
        <c:scaling>
          <c:orientation val="minMax"/>
        </c:scaling>
        <c:delete val="0"/>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14669824"/>
        <c:crosses val="autoZero"/>
        <c:auto val="1"/>
        <c:lblAlgn val="ctr"/>
        <c:lblOffset val="100"/>
        <c:noMultiLvlLbl val="0"/>
      </c:catAx>
      <c:valAx>
        <c:axId val="114669824"/>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1466201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3"/>
    </mc:Choice>
    <mc:Fallback>
      <c:style val="3"/>
    </mc:Fallback>
  </mc:AlternateContent>
  <c:chart>
    <c:autoTitleDeleted val="1"/>
    <c:plotArea>
      <c:layout/>
      <c:pieChart>
        <c:varyColors val="1"/>
        <c:ser>
          <c:idx val="0"/>
          <c:order val="0"/>
          <c:tx>
            <c:strRef>
              <c:f>Sheet1!$B$1</c:f>
              <c:strCache>
                <c:ptCount val="1"/>
                <c:pt idx="0">
                  <c:v>本年收入</c:v>
                </c:pt>
              </c:strCache>
            </c:strRef>
          </c:tx>
          <c:explosion val="0"/>
          <c:dPt>
            <c:idx val="0"/>
            <c:bubble3D val="0"/>
            <c:spPr>
              <a:solidFill>
                <a:schemeClr val="accent1">
                  <a:shade val="50000"/>
                </a:schemeClr>
              </a:solidFill>
              <a:ln w="19050">
                <a:solidFill>
                  <a:schemeClr val="lt1"/>
                </a:solidFill>
              </a:ln>
              <a:effectLst/>
            </c:spPr>
          </c:dPt>
          <c:dPt>
            <c:idx val="1"/>
            <c:bubble3D val="0"/>
            <c:spPr>
              <a:solidFill>
                <a:schemeClr val="accent1">
                  <a:shade val="70000"/>
                </a:schemeClr>
              </a:solidFill>
              <a:ln w="19050">
                <a:solidFill>
                  <a:schemeClr val="lt1"/>
                </a:solidFill>
              </a:ln>
              <a:effectLst/>
            </c:spPr>
          </c:dPt>
          <c:dPt>
            <c:idx val="2"/>
            <c:bubble3D val="0"/>
            <c:spPr>
              <a:solidFill>
                <a:schemeClr val="accent1">
                  <a:shade val="90000"/>
                </a:schemeClr>
              </a:solidFill>
              <a:ln w="19050">
                <a:solidFill>
                  <a:schemeClr val="lt1"/>
                </a:solidFill>
              </a:ln>
              <a:effectLst/>
            </c:spPr>
          </c:dPt>
          <c:dPt>
            <c:idx val="3"/>
            <c:bubble3D val="0"/>
            <c:spPr>
              <a:solidFill>
                <a:schemeClr val="accent1">
                  <a:tint val="90000"/>
                </a:schemeClr>
              </a:solidFill>
              <a:ln w="19050">
                <a:solidFill>
                  <a:schemeClr val="lt1"/>
                </a:solidFill>
              </a:ln>
              <a:effectLst/>
            </c:spPr>
          </c:dPt>
          <c:dPt>
            <c:idx val="4"/>
            <c:bubble3D val="0"/>
            <c:spPr>
              <a:solidFill>
                <a:schemeClr val="accent1">
                  <a:tint val="70000"/>
                </a:schemeClr>
              </a:solidFill>
              <a:ln w="19050">
                <a:solidFill>
                  <a:schemeClr val="lt1"/>
                </a:solidFill>
              </a:ln>
              <a:effectLst/>
            </c:spPr>
          </c:dPt>
          <c:dPt>
            <c:idx val="5"/>
            <c:bubble3D val="0"/>
            <c:spPr>
              <a:solidFill>
                <a:schemeClr val="accent1">
                  <a:tint val="50000"/>
                </a:schemeClr>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Sheet1!$A$2:$A$7</c:f>
              <c:strCache>
                <c:ptCount val="6"/>
                <c:pt idx="0">
                  <c:v>一般公共预算财政拨款收入</c:v>
                </c:pt>
                <c:pt idx="1">
                  <c:v>政府性基金预算财政拨款收入</c:v>
                </c:pt>
                <c:pt idx="2">
                  <c:v>上级补助收入</c:v>
                </c:pt>
                <c:pt idx="3">
                  <c:v>经营收入</c:v>
                </c:pt>
                <c:pt idx="4">
                  <c:v>附属单位上缴收入</c:v>
                </c:pt>
                <c:pt idx="5">
                  <c:v>其他收入</c:v>
                </c:pt>
              </c:strCache>
            </c:strRef>
          </c:cat>
          <c:val>
            <c:numRef>
              <c:f>Sheet1!$B$2:$B$7</c:f>
              <c:numCache>
                <c:formatCode>General</c:formatCode>
                <c:ptCount val="6"/>
                <c:pt idx="0">
                  <c:v>187.71</c:v>
                </c:pt>
                <c:pt idx="1">
                  <c:v>0</c:v>
                </c:pt>
                <c:pt idx="2">
                  <c:v>0</c:v>
                </c:pt>
                <c:pt idx="3">
                  <c:v>0</c:v>
                </c:pt>
                <c:pt idx="4">
                  <c:v>0</c:v>
                </c:pt>
                <c:pt idx="5">
                  <c:v>0</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zero"/>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3"/>
    </mc:Choice>
    <mc:Fallback>
      <c:style val="3"/>
    </mc:Fallback>
  </mc:AlternateContent>
  <c:chart>
    <c:autoTitleDeleted val="1"/>
    <c:plotArea>
      <c:layout>
        <c:manualLayout>
          <c:layoutTarget val="inner"/>
          <c:xMode val="edge"/>
          <c:yMode val="edge"/>
          <c:x val="0.24399"/>
          <c:y val="0.10357"/>
          <c:w val="0.50127"/>
          <c:h val="0.66836"/>
        </c:manualLayout>
      </c:layout>
      <c:pieChart>
        <c:varyColors val="1"/>
        <c:ser>
          <c:idx val="0"/>
          <c:order val="0"/>
          <c:tx>
            <c:strRef>
              <c:f>Sheet1!$B$1</c:f>
              <c:strCache>
                <c:ptCount val="1"/>
                <c:pt idx="0">
                  <c:v>本年支出</c:v>
                </c:pt>
              </c:strCache>
            </c:strRef>
          </c:tx>
          <c:explosion val="0"/>
          <c:dPt>
            <c:idx val="0"/>
            <c:bubble3D val="0"/>
            <c:spPr>
              <a:solidFill>
                <a:schemeClr val="accent1">
                  <a:shade val="53333"/>
                </a:schemeClr>
              </a:solidFill>
              <a:ln w="19050">
                <a:solidFill>
                  <a:schemeClr val="lt1"/>
                </a:solidFill>
              </a:ln>
              <a:effectLst/>
            </c:spPr>
          </c:dPt>
          <c:dPt>
            <c:idx val="1"/>
            <c:bubble3D val="0"/>
            <c:spPr>
              <a:solidFill>
                <a:schemeClr val="accent1">
                  <a:shade val="76667"/>
                </a:schemeClr>
              </a:solidFill>
              <a:ln w="19050">
                <a:solidFill>
                  <a:schemeClr val="lt1"/>
                </a:solidFill>
              </a:ln>
              <a:effectLst/>
            </c:spPr>
          </c:dPt>
          <c:dPt>
            <c:idx val="2"/>
            <c:bubble3D val="0"/>
            <c:spPr>
              <a:solidFill>
                <a:schemeClr val="accent1"/>
              </a:solidFill>
              <a:ln w="19050">
                <a:solidFill>
                  <a:schemeClr val="lt1"/>
                </a:solidFill>
              </a:ln>
              <a:effectLst/>
            </c:spPr>
          </c:dPt>
          <c:dPt>
            <c:idx val="3"/>
            <c:bubble3D val="0"/>
            <c:spPr>
              <a:solidFill>
                <a:schemeClr val="accent1">
                  <a:tint val="76667"/>
                </a:schemeClr>
              </a:solidFill>
              <a:ln w="19050">
                <a:solidFill>
                  <a:schemeClr val="lt1"/>
                </a:solidFill>
              </a:ln>
              <a:effectLst/>
            </c:spPr>
          </c:dPt>
          <c:dPt>
            <c:idx val="4"/>
            <c:bubble3D val="0"/>
            <c:spPr>
              <a:solidFill>
                <a:schemeClr val="accent1">
                  <a:tint val="53333"/>
                </a:schemeClr>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Sheet1!$A$2:$A$6</c:f>
              <c:strCache>
                <c:ptCount val="5"/>
                <c:pt idx="0">
                  <c:v>基本支出</c:v>
                </c:pt>
                <c:pt idx="1">
                  <c:v>项目支出</c:v>
                </c:pt>
                <c:pt idx="2">
                  <c:v>上缴上级支出</c:v>
                </c:pt>
                <c:pt idx="3">
                  <c:v>经营支出</c:v>
                </c:pt>
                <c:pt idx="4">
                  <c:v>对附属单位补助支出</c:v>
                </c:pt>
              </c:strCache>
            </c:strRef>
          </c:cat>
          <c:val>
            <c:numRef>
              <c:f>Sheet1!$B$2:$B$6</c:f>
              <c:numCache>
                <c:formatCode>General</c:formatCode>
                <c:ptCount val="5"/>
                <c:pt idx="0">
                  <c:v>180.83</c:v>
                </c:pt>
                <c:pt idx="1">
                  <c:v>13.84</c:v>
                </c:pt>
                <c:pt idx="2">
                  <c:v>0</c:v>
                </c:pt>
                <c:pt idx="3">
                  <c:v>0</c:v>
                </c:pt>
                <c:pt idx="4">
                  <c:v>0</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zero"/>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65575"/>
          <c:y val="0.14949083503055"/>
          <c:w val="0.91655"/>
          <c:h val="0.716566666666667"/>
        </c:manualLayout>
      </c:layout>
      <c:barChart>
        <c:barDir val="col"/>
        <c:grouping val="stacked"/>
        <c:varyColors val="0"/>
        <c:ser>
          <c:idx val="0"/>
          <c:order val="0"/>
          <c:tx>
            <c:strRef>
              <c:f>Sheet1!$B$1</c:f>
              <c:strCache>
                <c:ptCount val="1"/>
                <c:pt idx="0">
                  <c:v>收入支出决算总体变动</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Sheet1!$A$2:$A$3</c:f>
              <c:strCache>
                <c:ptCount val="2"/>
                <c:pt idx="0">
                  <c:v>2019年</c:v>
                </c:pt>
                <c:pt idx="1">
                  <c:v>2020年</c:v>
                </c:pt>
              </c:strCache>
            </c:strRef>
          </c:cat>
          <c:val>
            <c:numRef>
              <c:f>Sheet1!$B$2:$B$3</c:f>
              <c:numCache>
                <c:formatCode>General</c:formatCode>
                <c:ptCount val="2"/>
                <c:pt idx="0">
                  <c:v>121.56</c:v>
                </c:pt>
                <c:pt idx="1">
                  <c:v>194.67</c:v>
                </c:pt>
              </c:numCache>
            </c:numRef>
          </c:val>
        </c:ser>
        <c:dLbls>
          <c:showLegendKey val="0"/>
          <c:showVal val="1"/>
          <c:showCatName val="0"/>
          <c:showSerName val="0"/>
          <c:showPercent val="0"/>
          <c:showBubbleSize val="0"/>
        </c:dLbls>
        <c:gapWidth val="150"/>
        <c:overlap val="100"/>
        <c:axId val="68220800"/>
        <c:axId val="68222336"/>
      </c:barChart>
      <c:catAx>
        <c:axId val="68220800"/>
        <c:scaling>
          <c:orientation val="minMax"/>
        </c:scaling>
        <c:delete val="0"/>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8222336"/>
        <c:crosses val="autoZero"/>
        <c:auto val="1"/>
        <c:lblAlgn val="ctr"/>
        <c:lblOffset val="100"/>
        <c:noMultiLvlLbl val="0"/>
      </c:catAx>
      <c:valAx>
        <c:axId val="68222336"/>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822080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65575"/>
          <c:y val="0.14949083503055"/>
          <c:w val="0.91655"/>
          <c:h val="0.716566666666667"/>
        </c:manualLayout>
      </c:layout>
      <c:barChart>
        <c:barDir val="col"/>
        <c:grouping val="stacked"/>
        <c:varyColors val="0"/>
        <c:ser>
          <c:idx val="0"/>
          <c:order val="0"/>
          <c:tx>
            <c:strRef>
              <c:f>Sheet1!$B$1</c:f>
              <c:strCache>
                <c:ptCount val="1"/>
                <c:pt idx="0">
                  <c:v>一般公共预算财政拨款支出</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Sheet1!$A$2:$A$3</c:f>
              <c:strCache>
                <c:ptCount val="2"/>
                <c:pt idx="0">
                  <c:v>2019年</c:v>
                </c:pt>
                <c:pt idx="1">
                  <c:v>2020年</c:v>
                </c:pt>
              </c:strCache>
            </c:strRef>
          </c:cat>
          <c:val>
            <c:numRef>
              <c:f>Sheet1!$B$2:$B$3</c:f>
              <c:numCache>
                <c:formatCode>General</c:formatCode>
                <c:ptCount val="2"/>
                <c:pt idx="0">
                  <c:v>114.6</c:v>
                </c:pt>
                <c:pt idx="1">
                  <c:v>194.67</c:v>
                </c:pt>
              </c:numCache>
            </c:numRef>
          </c:val>
        </c:ser>
        <c:dLbls>
          <c:showLegendKey val="0"/>
          <c:showVal val="1"/>
          <c:showCatName val="0"/>
          <c:showSerName val="0"/>
          <c:showPercent val="0"/>
          <c:showBubbleSize val="0"/>
        </c:dLbls>
        <c:gapWidth val="150"/>
        <c:overlap val="100"/>
        <c:axId val="112249472"/>
        <c:axId val="114823552"/>
      </c:barChart>
      <c:catAx>
        <c:axId val="112249472"/>
        <c:scaling>
          <c:orientation val="minMax"/>
        </c:scaling>
        <c:delete val="0"/>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14823552"/>
        <c:crosses val="autoZero"/>
        <c:auto val="1"/>
        <c:lblAlgn val="ctr"/>
        <c:lblOffset val="100"/>
        <c:noMultiLvlLbl val="0"/>
      </c:catAx>
      <c:valAx>
        <c:axId val="114823552"/>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1224947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3"/>
    </mc:Choice>
    <mc:Fallback>
      <c:style val="3"/>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24399"/>
          <c:y val="0.10357"/>
          <c:w val="0.50127"/>
          <c:h val="0.66836"/>
        </c:manualLayout>
      </c:layout>
      <c:pieChart>
        <c:varyColors val="1"/>
        <c:ser>
          <c:idx val="0"/>
          <c:order val="0"/>
          <c:tx>
            <c:strRef>
              <c:f>Sheet1!$B$1</c:f>
              <c:strCache>
                <c:ptCount val="1"/>
                <c:pt idx="0">
                  <c:v>一般公共预算财政拨款支出</c:v>
                </c:pt>
              </c:strCache>
            </c:strRef>
          </c:tx>
          <c:explosion val="0"/>
          <c:dPt>
            <c:idx val="0"/>
            <c:bubble3D val="0"/>
            <c:spPr>
              <a:solidFill>
                <a:schemeClr val="accent1">
                  <a:shade val="47500"/>
                </a:schemeClr>
              </a:solidFill>
              <a:ln w="19050">
                <a:solidFill>
                  <a:schemeClr val="lt1"/>
                </a:solidFill>
              </a:ln>
              <a:effectLst/>
            </c:spPr>
          </c:dPt>
          <c:dPt>
            <c:idx val="1"/>
            <c:bubble3D val="0"/>
            <c:spPr>
              <a:solidFill>
                <a:schemeClr val="accent1">
                  <a:shade val="65000"/>
                </a:schemeClr>
              </a:solidFill>
              <a:ln w="19050">
                <a:solidFill>
                  <a:schemeClr val="lt1"/>
                </a:solidFill>
              </a:ln>
              <a:effectLst/>
            </c:spPr>
          </c:dPt>
          <c:dPt>
            <c:idx val="2"/>
            <c:bubble3D val="0"/>
            <c:spPr>
              <a:solidFill>
                <a:schemeClr val="accent1">
                  <a:shade val="82500"/>
                </a:schemeClr>
              </a:solidFill>
              <a:ln w="19050">
                <a:solidFill>
                  <a:schemeClr val="lt1"/>
                </a:solidFill>
              </a:ln>
              <a:effectLst/>
            </c:spPr>
          </c:dPt>
          <c:dPt>
            <c:idx val="3"/>
            <c:bubble3D val="0"/>
            <c:spPr>
              <a:solidFill>
                <a:schemeClr val="accent1"/>
              </a:solidFill>
              <a:ln w="19050">
                <a:solidFill>
                  <a:schemeClr val="lt1"/>
                </a:solidFill>
              </a:ln>
              <a:effectLst/>
            </c:spPr>
          </c:dPt>
          <c:dPt>
            <c:idx val="4"/>
            <c:bubble3D val="0"/>
            <c:spPr>
              <a:solidFill>
                <a:schemeClr val="accent1">
                  <a:tint val="82500"/>
                </a:schemeClr>
              </a:solidFill>
              <a:ln w="19050">
                <a:solidFill>
                  <a:schemeClr val="lt1"/>
                </a:solidFill>
              </a:ln>
              <a:effectLst/>
            </c:spPr>
          </c:dPt>
          <c:dPt>
            <c:idx val="5"/>
            <c:bubble3D val="0"/>
            <c:spPr>
              <a:solidFill>
                <a:schemeClr val="accent1">
                  <a:tint val="65000"/>
                </a:schemeClr>
              </a:solidFill>
              <a:ln w="19050">
                <a:solidFill>
                  <a:schemeClr val="lt1"/>
                </a:solidFill>
              </a:ln>
              <a:effectLst/>
            </c:spPr>
          </c:dPt>
          <c:dPt>
            <c:idx val="6"/>
            <c:bubble3D val="0"/>
            <c:spPr>
              <a:solidFill>
                <a:schemeClr val="accent1">
                  <a:tint val="47500"/>
                </a:schemeClr>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Sheet1!$A$2:$A$8</c:f>
              <c:strCache>
                <c:ptCount val="7"/>
                <c:pt idx="0">
                  <c:v>一般公共服务（类）支出</c:v>
                </c:pt>
                <c:pt idx="1">
                  <c:v>教育支出（类）</c:v>
                </c:pt>
                <c:pt idx="2">
                  <c:v>科学技术（类）支出</c:v>
                </c:pt>
                <c:pt idx="3">
                  <c:v>文化旅游体育与传媒（类）支出</c:v>
                </c:pt>
                <c:pt idx="4">
                  <c:v>社会保障和就业（类）支出</c:v>
                </c:pt>
                <c:pt idx="5">
                  <c:v>卫生健康支出</c:v>
                </c:pt>
                <c:pt idx="6">
                  <c:v>住房保障支出</c:v>
                </c:pt>
              </c:strCache>
            </c:strRef>
          </c:cat>
          <c:val>
            <c:numRef>
              <c:f>Sheet1!$B$2:$B$8</c:f>
              <c:numCache>
                <c:formatCode>General</c:formatCode>
                <c:ptCount val="7"/>
                <c:pt idx="0">
                  <c:v>162.5</c:v>
                </c:pt>
                <c:pt idx="1">
                  <c:v>0</c:v>
                </c:pt>
                <c:pt idx="2">
                  <c:v>0</c:v>
                </c:pt>
                <c:pt idx="3">
                  <c:v>0</c:v>
                </c:pt>
                <c:pt idx="4">
                  <c:v>14.19</c:v>
                </c:pt>
                <c:pt idx="5">
                  <c:v>7.05</c:v>
                </c:pt>
                <c:pt idx="6">
                  <c:v>10.93</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zero"/>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3"/>
    </mc:Choice>
    <mc:Fallback>
      <c:style val="3"/>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24399"/>
          <c:y val="0.10357"/>
          <c:w val="0.50127"/>
          <c:h val="0.66836"/>
        </c:manualLayout>
      </c:layout>
      <c:pieChart>
        <c:varyColors val="1"/>
        <c:ser>
          <c:idx val="0"/>
          <c:order val="0"/>
          <c:tx>
            <c:strRef>
              <c:f>Sheet1!$B$1</c:f>
              <c:strCache>
                <c:ptCount val="1"/>
                <c:pt idx="0">
                  <c:v>一般公共预算财政拨款支出</c:v>
                </c:pt>
              </c:strCache>
            </c:strRef>
          </c:tx>
          <c:explosion val="0"/>
          <c:dPt>
            <c:idx val="0"/>
            <c:bubble3D val="0"/>
            <c:spPr>
              <a:solidFill>
                <a:schemeClr val="accent1">
                  <a:shade val="65000"/>
                </a:schemeClr>
              </a:solidFill>
              <a:ln w="19050">
                <a:solidFill>
                  <a:schemeClr val="lt1"/>
                </a:solidFill>
              </a:ln>
              <a:effectLst/>
            </c:spPr>
          </c:dPt>
          <c:dPt>
            <c:idx val="1"/>
            <c:bubble3D val="0"/>
            <c:spPr>
              <a:solidFill>
                <a:schemeClr val="accent1"/>
              </a:solidFill>
              <a:ln w="19050">
                <a:solidFill>
                  <a:schemeClr val="lt1"/>
                </a:solidFill>
              </a:ln>
              <a:effectLst/>
            </c:spPr>
          </c:dPt>
          <c:dPt>
            <c:idx val="2"/>
            <c:bubble3D val="0"/>
            <c:spPr>
              <a:solidFill>
                <a:schemeClr val="accent1">
                  <a:tint val="65000"/>
                </a:schemeClr>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Sheet1!$A$2:$A$4</c:f>
              <c:strCache>
                <c:ptCount val="3"/>
                <c:pt idx="0">
                  <c:v>因公出国（境）费支出</c:v>
                </c:pt>
                <c:pt idx="1">
                  <c:v>公务用车购置及运行维护费支出</c:v>
                </c:pt>
                <c:pt idx="2">
                  <c:v>公务接待费支出</c:v>
                </c:pt>
              </c:strCache>
            </c:strRef>
          </c:cat>
          <c:val>
            <c:numRef>
              <c:f>Sheet1!$B$2:$B$4</c:f>
              <c:numCache>
                <c:formatCode>General</c:formatCode>
                <c:ptCount val="3"/>
                <c:pt idx="0">
                  <c:v>0</c:v>
                </c:pt>
                <c:pt idx="1">
                  <c:v>0</c:v>
                </c:pt>
                <c:pt idx="2">
                  <c:v>0.2</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manualLayout>
          <c:xMode val="edge"/>
          <c:yMode val="edge"/>
          <c:x val="0.1466875"/>
          <c:y val="0.802"/>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zero"/>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C8EC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word/theme/themeOverride1.xml><?xml version="1.0" encoding="utf-8"?>
<a:themeOverride xmlns:a="http://schemas.openxmlformats.org/drawingml/2006/main">
  <a:clrScheme name="自定义 1">
    <a:dk1>
      <a:sysClr val="windowText" lastClr="000000"/>
    </a:dk1>
    <a:lt1>
      <a:sysClr val="window" lastClr="C8ECCC"/>
    </a:lt1>
    <a:dk2>
      <a:srgbClr val="9C27B0"/>
    </a:dk2>
    <a:lt2>
      <a:srgbClr val="673AB7"/>
    </a:lt2>
    <a:accent1>
      <a:srgbClr val="2196F3"/>
    </a:accent1>
    <a:accent2>
      <a:srgbClr val="00BCD4"/>
    </a:accent2>
    <a:accent3>
      <a:srgbClr val="4CAF50"/>
    </a:accent3>
    <a:accent4>
      <a:srgbClr val="CDDC39"/>
    </a:accent4>
    <a:accent5>
      <a:srgbClr val="FFC107"/>
    </a:accent5>
    <a:accent6>
      <a:srgbClr val="FF5722"/>
    </a:accent6>
    <a:hlink>
      <a:srgbClr val="9C27B0"/>
    </a:hlink>
    <a:folHlink>
      <a:srgbClr val="673AB7"/>
    </a:folHlink>
  </a:clrScheme>
  <a:fontScheme name="Office 主题​​">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主题​​">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自定义 1">
    <a:dk1>
      <a:sysClr val="windowText" lastClr="000000"/>
    </a:dk1>
    <a:lt1>
      <a:sysClr val="window" lastClr="C8ECCC"/>
    </a:lt1>
    <a:dk2>
      <a:srgbClr val="9C27B0"/>
    </a:dk2>
    <a:lt2>
      <a:srgbClr val="673AB7"/>
    </a:lt2>
    <a:accent1>
      <a:srgbClr val="2196F3"/>
    </a:accent1>
    <a:accent2>
      <a:srgbClr val="00BCD4"/>
    </a:accent2>
    <a:accent3>
      <a:srgbClr val="4CAF50"/>
    </a:accent3>
    <a:accent4>
      <a:srgbClr val="CDDC39"/>
    </a:accent4>
    <a:accent5>
      <a:srgbClr val="FFC107"/>
    </a:accent5>
    <a:accent6>
      <a:srgbClr val="FF5722"/>
    </a:accent6>
    <a:hlink>
      <a:srgbClr val="9C27B0"/>
    </a:hlink>
    <a:folHlink>
      <a:srgbClr val="673AB7"/>
    </a:folHlink>
  </a:clrScheme>
  <a:fontScheme name="Office 主题​​">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主题​​">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31</Pages>
  <Words>11131</Words>
  <Characters>11866</Characters>
  <Lines>99</Lines>
  <Paragraphs>28</Paragraphs>
  <TotalTime>1</TotalTime>
  <ScaleCrop>false</ScaleCrop>
  <LinksUpToDate>false</LinksUpToDate>
  <CharactersWithSpaces>12071</CharactersWithSpaces>
  <Application>WPS Office_11.1.0.11372_F1E327BC-269C-435d-A152-05C5408002CA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2021-09-08T03:29:00Z</dcterms:created>
  <dc:creator>Administrator</dc:creator>
  <cp:lastModifiedBy></cp:lastModifiedBy>
  <cp:lastPrinted>2021-10-20T06:48:00Z</cp:lastPrinted>
  <dcterms:modified xsi:type="dcterms:W3CDTF">2022-04-28T09:45:44Z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2052-11.1.0.11372</vt:lpwstr>
  </property>
  <property fmtid="{D5CDD505-2E9C-101B-9397-08002B2CF9AE}" pid="3" name="ICV">
    <vt:lpwstr>96A93EED36A441BBB369671D4EA986A8</vt:lpwstr>
  </property>
</Properties>
</file>