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自贡市自流井区工商业联合会</w:t>
      </w:r>
      <w:r>
        <w:rPr>
          <w:rFonts w:hint="eastAsia" w:ascii="方正小标宋简体" w:eastAsia="方正小标宋简体"/>
          <w:sz w:val="44"/>
          <w:szCs w:val="44"/>
          <w:lang w:eastAsia="zh-CN"/>
        </w:rPr>
        <w:t>（本级</w:t>
      </w:r>
      <w:bookmarkStart w:id="93" w:name="_GoBack"/>
      <w:bookmarkEnd w:id="93"/>
      <w:r>
        <w:rPr>
          <w:rFonts w:hint="eastAsia" w:ascii="方正小标宋简体" w:eastAsia="方正小标宋简体"/>
          <w:sz w:val="44"/>
          <w:szCs w:val="44"/>
          <w:lang w:eastAsia="zh-CN"/>
        </w:rPr>
        <w:t>）</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2020年度单位决算编制的说明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单位（本级）概况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w:t>
      </w:r>
      <w:bookmarkStart w:id="0" w:name="OLE_LINK1"/>
      <w:bookmarkStart w:id="1" w:name="OLE_LINK2"/>
      <w:r>
        <w:rPr>
          <w:rFonts w:hint="eastAsia" w:ascii="仿宋_GB2312" w:hAnsi="仿宋_GB2312" w:eastAsia="仿宋_GB2312" w:cs="仿宋_GB2312"/>
          <w:b w:val="0"/>
          <w:bCs w:val="0"/>
          <w:i w:val="0"/>
          <w:iCs w:val="0"/>
          <w:sz w:val="28"/>
          <w:szCs w:val="28"/>
        </w:rPr>
        <w:t>单位</w:t>
      </w:r>
      <w:bookmarkEnd w:id="0"/>
      <w:bookmarkEnd w:id="1"/>
      <w:r>
        <w:rPr>
          <w:rFonts w:hint="eastAsia" w:ascii="仿宋_GB2312" w:hAnsi="仿宋_GB2312" w:eastAsia="仿宋_GB2312" w:cs="仿宋_GB2312"/>
          <w:b w:val="0"/>
          <w:bCs w:val="0"/>
          <w:i w:val="0"/>
          <w:iCs w:val="0"/>
          <w:sz w:val="28"/>
          <w:szCs w:val="28"/>
        </w:rPr>
        <w:t>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1</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1</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t>0</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0</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2</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t>6</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6</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3"/>
        <w:jc w:val="center"/>
        <w:rPr>
          <w:rStyle w:val="15"/>
          <w:rFonts w:ascii="黑体" w:hAnsi="黑体" w:eastAsia="黑体"/>
          <w:b/>
          <w:bCs w:val="0"/>
        </w:rPr>
      </w:pPr>
      <w:bookmarkStart w:id="2" w:name="_Toc10567"/>
      <w:r>
        <w:rPr>
          <w:rFonts w:hint="eastAsia" w:ascii="黑体" w:hAnsi="黑体" w:eastAsia="黑体"/>
          <w:b w:val="0"/>
        </w:rPr>
        <w:t>第一部分</w:t>
      </w:r>
      <w:r>
        <w:rPr>
          <w:rFonts w:ascii="黑体" w:hAnsi="黑体" w:eastAsia="黑体"/>
          <w:b w:val="0"/>
        </w:rPr>
        <w:t xml:space="preserve"> </w:t>
      </w:r>
      <w:r>
        <w:rPr>
          <w:rStyle w:val="15"/>
          <w:rFonts w:hint="eastAsia" w:ascii="黑体" w:hAnsi="黑体" w:eastAsia="黑体"/>
          <w:b w:val="0"/>
          <w:bCs w:val="0"/>
        </w:rPr>
        <w:t>单位（本级）概况</w:t>
      </w:r>
      <w:bookmarkEnd w:id="2"/>
    </w:p>
    <w:p>
      <w:pPr>
        <w:widowControl/>
        <w:jc w:val="left"/>
        <w:rPr>
          <w:rFonts w:ascii="黑体" w:eastAsia="黑体"/>
          <w:color w:val="000000"/>
          <w:szCs w:val="32"/>
        </w:rPr>
      </w:pPr>
    </w:p>
    <w:p>
      <w:pPr>
        <w:pStyle w:val="4"/>
        <w:ind w:firstLine="640" w:firstLineChars="200"/>
        <w:rPr>
          <w:rStyle w:val="16"/>
          <w:rFonts w:ascii="仿宋" w:hAnsi="仿宋" w:eastAsia="仿宋"/>
          <w:b w:val="0"/>
          <w:bCs w:val="0"/>
        </w:rPr>
      </w:pPr>
      <w:bookmarkStart w:id="3" w:name="_Toc15377197"/>
      <w:bookmarkStart w:id="4" w:name="_Toc15396600"/>
      <w:bookmarkStart w:id="5" w:name="_Toc21498"/>
      <w:r>
        <w:rPr>
          <w:rFonts w:hint="eastAsia" w:ascii="黑体" w:hAnsi="黑体" w:eastAsia="黑体"/>
          <w:b w:val="0"/>
          <w:color w:val="000000"/>
        </w:rPr>
        <w:t>一、基</w:t>
      </w:r>
      <w:r>
        <w:rPr>
          <w:rStyle w:val="16"/>
          <w:rFonts w:hint="eastAsia" w:ascii="黑体" w:hAnsi="黑体" w:eastAsia="黑体"/>
          <w:b w:val="0"/>
          <w:bCs w:val="0"/>
        </w:rPr>
        <w:t>本职能及主要工作</w:t>
      </w:r>
      <w:bookmarkEnd w:id="3"/>
      <w:bookmarkEnd w:id="4"/>
      <w:bookmarkEnd w:id="5"/>
    </w:p>
    <w:p>
      <w:pPr>
        <w:pStyle w:val="2"/>
        <w:adjustRightInd w:val="0"/>
        <w:snapToGrid w:val="0"/>
        <w:spacing w:before="93" w:line="600" w:lineRule="exact"/>
        <w:ind w:firstLine="672" w:firstLineChars="210"/>
        <w:outlineLvl w:val="2"/>
        <w:rPr>
          <w:rFonts w:ascii="仿宋" w:hAnsi="仿宋" w:eastAsia="仿宋"/>
          <w:bCs/>
          <w:sz w:val="32"/>
          <w:szCs w:val="32"/>
        </w:rPr>
      </w:pPr>
      <w:bookmarkStart w:id="6" w:name="_Toc15378445"/>
      <w:bookmarkStart w:id="7" w:name="_Toc15377198"/>
      <w:r>
        <w:rPr>
          <w:rFonts w:hint="eastAsia" w:ascii="仿宋" w:hAnsi="仿宋" w:eastAsia="仿宋"/>
          <w:bCs/>
          <w:color w:val="000000"/>
          <w:sz w:val="32"/>
          <w:szCs w:val="32"/>
        </w:rPr>
        <w:t>（一）主要职能。</w:t>
      </w:r>
      <w:bookmarkEnd w:id="6"/>
      <w:bookmarkEnd w:id="7"/>
    </w:p>
    <w:p>
      <w:pPr>
        <w:pStyle w:val="2"/>
        <w:adjustRightInd w:val="0"/>
        <w:snapToGrid w:val="0"/>
        <w:spacing w:before="93" w:line="600" w:lineRule="exact"/>
        <w:ind w:firstLine="672" w:firstLineChars="210"/>
        <w:outlineLvl w:val="2"/>
        <w:rPr>
          <w:rFonts w:ascii="仿宋" w:hAnsi="仿宋" w:eastAsia="仿宋"/>
          <w:bCs/>
          <w:sz w:val="32"/>
          <w:szCs w:val="32"/>
        </w:rPr>
      </w:pPr>
      <w:r>
        <w:rPr>
          <w:rFonts w:hint="eastAsia" w:ascii="仿宋" w:hAnsi="仿宋" w:eastAsia="仿宋"/>
          <w:bCs/>
          <w:sz w:val="32"/>
          <w:szCs w:val="32"/>
        </w:rPr>
        <w:t>自流井区工商业联合会的主要职能是：参政议政；做好非公经济代表人士政治安排的推荐工作；发扬自我教育的优良传统、宣传、贯彻党和国家的方针政策；代表并维护会员的合法权益；引导会员弘扬中华民族传统美德；为会员提供市场、技术、人才等信息；开展工商专业培训；组织非公有制企业举办和参加各种对内对外展销会、交易会，帮助非公有制经济开拓国内、国际市场；增进与各地工商界经济人士的联系和友谊；对同级行业协会和同业公会实行业务主管；办好会办企业、事业；筹办政府和有关部门委托事项。</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8" w:name="_Toc15378446"/>
      <w:bookmarkStart w:id="9" w:name="_Toc15377199"/>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8"/>
      <w:bookmarkEnd w:id="9"/>
    </w:p>
    <w:p>
      <w:pPr>
        <w:pStyle w:val="10"/>
        <w:widowControl/>
        <w:numPr>
          <w:ilvl w:val="0"/>
          <w:numId w:val="1"/>
        </w:numPr>
        <w:ind w:left="0" w:leftChars="0" w:firstLine="640"/>
        <w:rPr>
          <w:rFonts w:ascii="仿宋_GB2312" w:eastAsia="仿宋_GB2312"/>
          <w:sz w:val="32"/>
          <w:szCs w:val="32"/>
        </w:rPr>
      </w:pPr>
      <w:r>
        <w:rPr>
          <w:rFonts w:hint="eastAsia" w:ascii="仿宋_GB2312" w:eastAsia="仿宋_GB2312"/>
          <w:sz w:val="32"/>
          <w:szCs w:val="32"/>
        </w:rPr>
        <w:t>强化思想建设，提升政治素养。</w:t>
      </w:r>
    </w:p>
    <w:p>
      <w:pPr>
        <w:pStyle w:val="10"/>
        <w:widowControl/>
        <w:ind w:left="0" w:leftChars="0" w:firstLine="64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000000"/>
          <w:sz w:val="32"/>
          <w:szCs w:val="32"/>
        </w:rPr>
        <w:t>通过党组会、中心组学习会、主席会、执常委会和会员大会，深入贯彻学习党的十九届四中、五中全会、省委十一届六次、七次全会</w:t>
      </w:r>
      <w:r>
        <w:rPr>
          <w:rFonts w:hint="eastAsia" w:ascii="仿宋_GB2312" w:hAnsi="仿宋_GB2312" w:eastAsia="仿宋_GB2312" w:cs="仿宋_GB2312"/>
          <w:bCs/>
          <w:color w:val="000000"/>
          <w:sz w:val="32"/>
          <w:szCs w:val="32"/>
        </w:rPr>
        <w:t>、区委十一届十次、十一次全会精神、</w:t>
      </w:r>
      <w:r>
        <w:rPr>
          <w:rFonts w:hint="eastAsia" w:ascii="仿宋_GB2312" w:hAnsi="仿宋_GB2312" w:eastAsia="仿宋_GB2312" w:cs="仿宋_GB2312"/>
          <w:sz w:val="32"/>
          <w:szCs w:val="32"/>
        </w:rPr>
        <w:t>习近平总书记</w:t>
      </w:r>
      <w:r>
        <w:rPr>
          <w:rFonts w:hint="eastAsia" w:ascii="仿宋_GB2312" w:hAnsi="仿宋_GB2312" w:eastAsia="仿宋_GB2312" w:cs="仿宋_GB2312"/>
          <w:kern w:val="0"/>
          <w:sz w:val="32"/>
          <w:szCs w:val="32"/>
        </w:rPr>
        <w:t>关于统筹推进新冠肺炎疫情防控和经济社会发展的重要论述等9次，参会人数100余人。</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（2）聘请市委党校副教授李翔专题讲解《习近平谈治国理政（第三卷）》——推动经济高质量发展篇（《民营企业家的积极作为与再造产业自贡》。</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（3）广泛发动非公企业家凝聚思想共识，统一抗疫行动，在区工商联的积极倡议下，全区民营经济界这疫情防控共计捐款捐物折合人民币近200余万元。</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（4）树立行业标杆，向区妇联推荐优秀三八红旗手2名，区妇联执委1名，向市统战理论研究理事会推荐理事1名,推荐全省脱贫攻坚奖-奉献奖1名。</w:t>
      </w:r>
    </w:p>
    <w:p>
      <w:pPr>
        <w:spacing w:line="600" w:lineRule="exact"/>
        <w:ind w:firstLine="642"/>
        <w:jc w:val="left"/>
        <w:rPr>
          <w:rFonts w:ascii="仿宋_GB2312" w:hAnsi="仿宋_GB2312" w:cs="仿宋_GB2312"/>
          <w:szCs w:val="32"/>
        </w:rPr>
      </w:pPr>
      <w:r>
        <w:rPr>
          <w:rFonts w:hint="eastAsia" w:ascii="仿宋" w:hAnsi="仿宋" w:eastAsia="仿宋"/>
          <w:bCs/>
          <w:color w:val="000000"/>
          <w:szCs w:val="32"/>
        </w:rPr>
        <w:t>（5）</w:t>
      </w:r>
      <w:r>
        <w:rPr>
          <w:rFonts w:hint="eastAsia" w:ascii="仿宋" w:hAnsi="仿宋" w:eastAsia="仿宋"/>
          <w:szCs w:val="32"/>
        </w:rPr>
        <w:t>开展以</w:t>
      </w:r>
      <w:r>
        <w:rPr>
          <w:rFonts w:hint="eastAsia" w:ascii="仿宋_GB2312" w:hAnsi="仿宋_GB2312" w:cs="仿宋_GB2312"/>
          <w:szCs w:val="32"/>
        </w:rPr>
        <w:t>“坚定理想信念 奋力推进高质量发展”为主题的理想信念活动，参加人员30余人，引导非公经济人士坚定信心，努力抢抓“成渝双城经济圈建设”战略机遇，立足川南，放眼成渝，奋力推进企业高质量发展。</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2、主动靠前服务，助力优化营商环境</w:t>
      </w:r>
    </w:p>
    <w:p>
      <w:pPr>
        <w:pStyle w:val="2"/>
        <w:adjustRightInd w:val="0"/>
        <w:snapToGrid w:val="0"/>
        <w:spacing w:before="93" w:line="600" w:lineRule="exact"/>
        <w:ind w:firstLine="672" w:firstLineChars="210"/>
        <w:outlineLvl w:val="2"/>
        <w:rPr>
          <w:rFonts w:hAnsi="仿宋_GB2312" w:cs="仿宋_GB2312"/>
          <w:sz w:val="32"/>
          <w:szCs w:val="32"/>
        </w:rPr>
      </w:pPr>
      <w:r>
        <w:rPr>
          <w:rFonts w:hint="eastAsia" w:ascii="仿宋" w:hAnsi="仿宋" w:eastAsia="仿宋"/>
          <w:bCs/>
          <w:color w:val="000000"/>
          <w:sz w:val="32"/>
          <w:szCs w:val="32"/>
        </w:rPr>
        <w:t>（1）</w:t>
      </w:r>
      <w:r>
        <w:rPr>
          <w:rFonts w:hint="eastAsia" w:hAnsi="仿宋_GB2312" w:cs="仿宋_GB2312"/>
          <w:bCs/>
          <w:kern w:val="2"/>
          <w:sz w:val="32"/>
          <w:szCs w:val="32"/>
        </w:rPr>
        <w:t>对接市内3家国有商业银行，召开</w:t>
      </w:r>
      <w:r>
        <w:rPr>
          <w:rFonts w:hint="eastAsia" w:hAnsi="仿宋_GB2312" w:cs="仿宋_GB2312"/>
          <w:sz w:val="32"/>
          <w:szCs w:val="32"/>
        </w:rPr>
        <w:t>“服务零距离 融资大融通”金融服务专项行动专场融资对接会</w:t>
      </w:r>
      <w:r>
        <w:rPr>
          <w:rFonts w:hint="eastAsia" w:hAnsi="仿宋_GB2312" w:cs="仿宋_GB2312"/>
          <w:bCs/>
          <w:kern w:val="2"/>
          <w:sz w:val="32"/>
          <w:szCs w:val="32"/>
        </w:rPr>
        <w:t>，现场</w:t>
      </w:r>
      <w:r>
        <w:rPr>
          <w:rFonts w:hint="eastAsia" w:hAnsi="仿宋_GB2312" w:cs="仿宋_GB2312"/>
          <w:sz w:val="32"/>
          <w:szCs w:val="32"/>
        </w:rPr>
        <w:t>签订对自流井区3家民营企业共计金额2700万元的贷款合同。</w:t>
      </w:r>
    </w:p>
    <w:p>
      <w:pPr>
        <w:pStyle w:val="2"/>
        <w:adjustRightInd w:val="0"/>
        <w:snapToGrid w:val="0"/>
        <w:spacing w:before="93" w:line="600" w:lineRule="exact"/>
        <w:ind w:firstLine="672" w:firstLineChars="210"/>
        <w:outlineLvl w:val="2"/>
        <w:rPr>
          <w:rFonts w:ascii="仿宋" w:hAnsi="仿宋" w:eastAsia="仿宋"/>
          <w:sz w:val="32"/>
          <w:szCs w:val="32"/>
        </w:rPr>
      </w:pPr>
      <w:r>
        <w:rPr>
          <w:rFonts w:hint="eastAsia" w:hAnsi="仿宋_GB2312" w:cs="仿宋_GB2312"/>
          <w:sz w:val="32"/>
          <w:szCs w:val="32"/>
        </w:rPr>
        <w:t>（2）助力企业复工复产，采取电话询问和实地走访调研形式30余次。收集企业意见、困难和问题，了解企业需求，</w:t>
      </w:r>
      <w:r>
        <w:rPr>
          <w:rFonts w:hint="eastAsia" w:ascii="仿宋" w:hAnsi="仿宋" w:eastAsia="仿宋"/>
          <w:sz w:val="32"/>
          <w:szCs w:val="32"/>
        </w:rPr>
        <w:t>多方收集防控物资供应信息，多渠道解决会员企业所需口罩、测温仪、消毒液等，为会员企业联系协调解决疫情防控及复工复产具体问题10余个。特别是多年来困扰四川丰来年公司生产旺季进出货车辆排队停车难的问题得到了有效解决，得到企业负责人好评。</w:t>
      </w:r>
    </w:p>
    <w:p>
      <w:pPr>
        <w:pStyle w:val="2"/>
        <w:adjustRightInd w:val="0"/>
        <w:snapToGrid w:val="0"/>
        <w:spacing w:before="93" w:line="600" w:lineRule="exact"/>
        <w:ind w:firstLine="672" w:firstLineChars="210"/>
        <w:outlineLvl w:val="2"/>
        <w:rPr>
          <w:rFonts w:hAnsi="仿宋_GB2312" w:cs="仿宋_GB2312"/>
          <w:sz w:val="32"/>
          <w:szCs w:val="32"/>
        </w:rPr>
      </w:pPr>
      <w:r>
        <w:rPr>
          <w:rFonts w:hint="eastAsia" w:ascii="仿宋" w:hAnsi="仿宋" w:eastAsia="仿宋"/>
          <w:sz w:val="32"/>
          <w:szCs w:val="32"/>
        </w:rPr>
        <w:t>（3）</w:t>
      </w:r>
      <w:r>
        <w:rPr>
          <w:rFonts w:hint="eastAsia" w:hAnsi="仿宋_GB2312" w:cs="仿宋_GB2312"/>
          <w:sz w:val="32"/>
          <w:szCs w:val="32"/>
        </w:rPr>
        <w:t>联合区税务局开办税务知识培训班1期，参加人员100余人，提高民营企业对降税减赋政策知晓度，提高其依法纳税意识；为进一步优化营商环境，增进民营企业对检察院职能了解，联合区检察院开展“</w:t>
      </w:r>
      <w:r>
        <w:rPr>
          <w:sz w:val="32"/>
          <w:szCs w:val="32"/>
        </w:rPr>
        <w:t>服务‘六稳’‘六保’护航民企发展检察开放日活动</w:t>
      </w:r>
      <w:r>
        <w:rPr>
          <w:rFonts w:hint="eastAsia" w:hAnsi="仿宋_GB2312" w:cs="仿宋_GB2312"/>
          <w:sz w:val="32"/>
          <w:szCs w:val="32"/>
        </w:rPr>
        <w:t>”，组织了10余户民营企业参加</w:t>
      </w:r>
    </w:p>
    <w:p>
      <w:pPr>
        <w:pStyle w:val="2"/>
        <w:adjustRightInd w:val="0"/>
        <w:snapToGrid w:val="0"/>
        <w:spacing w:before="93" w:line="600" w:lineRule="exact"/>
        <w:ind w:firstLine="672" w:firstLineChars="210"/>
        <w:outlineLvl w:val="2"/>
        <w:rPr>
          <w:rFonts w:hAnsi="仿宋_GB2312" w:cs="仿宋_GB2312"/>
          <w:sz w:val="32"/>
          <w:szCs w:val="32"/>
        </w:rPr>
      </w:pPr>
      <w:r>
        <w:rPr>
          <w:rFonts w:hint="eastAsia" w:hAnsi="仿宋_GB2312" w:cs="仿宋_GB2312"/>
          <w:sz w:val="32"/>
          <w:szCs w:val="32"/>
        </w:rPr>
        <w:t>3、强化基层队伍建设</w:t>
      </w:r>
    </w:p>
    <w:p>
      <w:pPr>
        <w:pStyle w:val="2"/>
        <w:adjustRightInd w:val="0"/>
        <w:snapToGrid w:val="0"/>
        <w:spacing w:before="93" w:line="600" w:lineRule="exact"/>
        <w:ind w:firstLine="672" w:firstLineChars="210"/>
        <w:outlineLvl w:val="2"/>
        <w:rPr>
          <w:rFonts w:hAnsi="仿宋_GB2312" w:cs="仿宋_GB2312"/>
          <w:bCs/>
          <w:kern w:val="2"/>
          <w:sz w:val="32"/>
          <w:szCs w:val="32"/>
        </w:rPr>
      </w:pPr>
      <w:r>
        <w:rPr>
          <w:rFonts w:hint="eastAsia" w:hAnsi="仿宋_GB2312" w:cs="仿宋_GB2312"/>
          <w:bCs/>
          <w:kern w:val="2"/>
          <w:sz w:val="32"/>
          <w:szCs w:val="32"/>
        </w:rPr>
        <w:t>全年广泛吸收各行业新会员26个，今年成立基层商会1个（飞龙峡商会）。积极谋划成立荣边镇商会和老街商圈商会。</w:t>
      </w:r>
    </w:p>
    <w:p>
      <w:pPr>
        <w:pStyle w:val="2"/>
        <w:numPr>
          <w:ilvl w:val="0"/>
          <w:numId w:val="2"/>
        </w:numPr>
        <w:adjustRightInd w:val="0"/>
        <w:snapToGrid w:val="0"/>
        <w:spacing w:before="93" w:line="600" w:lineRule="exact"/>
        <w:ind w:firstLine="672" w:firstLineChars="210"/>
        <w:outlineLvl w:val="2"/>
        <w:rPr>
          <w:rFonts w:hAnsi="仿宋_GB2312" w:cs="仿宋_GB2312"/>
          <w:bCs/>
          <w:kern w:val="2"/>
          <w:sz w:val="32"/>
          <w:szCs w:val="32"/>
        </w:rPr>
      </w:pPr>
      <w:r>
        <w:rPr>
          <w:rFonts w:hint="eastAsia" w:hAnsi="仿宋_GB2312" w:cs="仿宋_GB2312"/>
          <w:bCs/>
          <w:kern w:val="2"/>
          <w:sz w:val="32"/>
          <w:szCs w:val="32"/>
        </w:rPr>
        <w:t>非公经济人士廉洁联盟工作稳步推进</w:t>
      </w:r>
    </w:p>
    <w:p>
      <w:pPr>
        <w:pStyle w:val="2"/>
        <w:adjustRightInd w:val="0"/>
        <w:snapToGrid w:val="0"/>
        <w:spacing w:before="93" w:line="600" w:lineRule="exact"/>
        <w:ind w:firstLine="640" w:firstLineChars="200"/>
        <w:outlineLvl w:val="2"/>
        <w:rPr>
          <w:rFonts w:hAnsi="仿宋_GB2312" w:cs="仿宋_GB2312"/>
          <w:bCs/>
          <w:kern w:val="2"/>
          <w:sz w:val="32"/>
          <w:szCs w:val="32"/>
        </w:rPr>
      </w:pPr>
      <w:r>
        <w:rPr>
          <w:rFonts w:hint="eastAsia" w:hAnsi="仿宋_GB2312" w:cs="仿宋_GB2312"/>
          <w:bCs/>
          <w:kern w:val="2"/>
          <w:sz w:val="32"/>
          <w:szCs w:val="32"/>
        </w:rPr>
        <w:t>组织开展法律知识讲座2期，税法知识讲座1期，参加人员200余人，大力促进民营企业廉洁从商,依法经营，推进全区营商环境持续优化。</w:t>
      </w:r>
    </w:p>
    <w:p>
      <w:pPr>
        <w:pStyle w:val="2"/>
        <w:numPr>
          <w:ilvl w:val="0"/>
          <w:numId w:val="2"/>
        </w:numPr>
        <w:adjustRightInd w:val="0"/>
        <w:snapToGrid w:val="0"/>
        <w:spacing w:before="93" w:line="600" w:lineRule="exact"/>
        <w:ind w:firstLine="672" w:firstLineChars="210"/>
        <w:outlineLvl w:val="2"/>
        <w:rPr>
          <w:rFonts w:hAnsi="仿宋_GB2312" w:cs="仿宋_GB2312"/>
          <w:bCs/>
          <w:kern w:val="2"/>
          <w:sz w:val="32"/>
          <w:szCs w:val="32"/>
        </w:rPr>
      </w:pPr>
      <w:r>
        <w:rPr>
          <w:rFonts w:hAnsi="仿宋_GB2312" w:cs="仿宋_GB2312"/>
          <w:bCs/>
          <w:kern w:val="2"/>
          <w:sz w:val="32"/>
          <w:szCs w:val="32"/>
        </w:rPr>
        <w:t>社会扶贫工作</w:t>
      </w:r>
    </w:p>
    <w:p>
      <w:pPr>
        <w:pStyle w:val="2"/>
        <w:adjustRightInd w:val="0"/>
        <w:snapToGrid w:val="0"/>
        <w:spacing w:before="93" w:line="600" w:lineRule="exact"/>
        <w:ind w:firstLine="640" w:firstLineChars="200"/>
        <w:outlineLvl w:val="2"/>
        <w:rPr>
          <w:rFonts w:hAnsi="仿宋_GB2312" w:cs="仿宋_GB2312"/>
          <w:bCs/>
          <w:kern w:val="2"/>
          <w:sz w:val="32"/>
          <w:szCs w:val="32"/>
        </w:rPr>
      </w:pPr>
      <w:r>
        <w:rPr>
          <w:rFonts w:hAnsi="仿宋_GB2312" w:cs="仿宋_GB2312"/>
          <w:bCs/>
          <w:kern w:val="2"/>
          <w:sz w:val="32"/>
          <w:szCs w:val="32"/>
        </w:rPr>
        <w:t>扎实推进“万企帮万村”精准扶贫行动，采取会员企业“一帮一”或“多帮一”方式，帮助村解决就业岗位210个、开办职业培训11期，设立扶贫车间3个。积极引导民营企业家弘扬优秀企业家精神，履行社会责任，扎实开展“金秋助学--家乡助你上大学”、集中捐赠建档立卡贫困户、资助边缘贫困户改水等特色扶贫活动活动，共计捐款捐物约10余万元</w:t>
      </w:r>
      <w:r>
        <w:rPr>
          <w:rFonts w:hint="eastAsia" w:hAnsi="仿宋_GB2312" w:cs="仿宋_GB2312"/>
          <w:bCs/>
          <w:kern w:val="2"/>
          <w:sz w:val="32"/>
          <w:szCs w:val="32"/>
        </w:rPr>
        <w:t>。</w:t>
      </w:r>
    </w:p>
    <w:p>
      <w:pPr>
        <w:pStyle w:val="4"/>
        <w:ind w:firstLine="640" w:firstLineChars="200"/>
        <w:rPr>
          <w:rStyle w:val="16"/>
          <w:rFonts w:ascii="黑体" w:hAnsi="黑体" w:eastAsia="黑体"/>
          <w:b w:val="0"/>
          <w:bCs w:val="0"/>
        </w:rPr>
      </w:pPr>
      <w:bookmarkStart w:id="10" w:name="_Toc6092"/>
      <w:bookmarkStart w:id="11" w:name="_Toc15396601"/>
      <w:bookmarkStart w:id="12" w:name="_Toc15377200"/>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10"/>
      <w:bookmarkEnd w:id="11"/>
      <w:bookmarkEnd w:id="12"/>
    </w:p>
    <w:p>
      <w:pPr>
        <w:ind w:firstLine="640" w:firstLineChars="200"/>
      </w:pPr>
      <w:r>
        <w:rPr>
          <w:rFonts w:hint="eastAsia"/>
        </w:rPr>
        <w:t>自贡市自流井区工商业联合会无下属二级预算单位。其中行政单位1个，参照公务员法管理的事业单位0个，其他事业单位0个。</w:t>
      </w:r>
    </w:p>
    <w:p>
      <w:pPr>
        <w:ind w:firstLine="640" w:firstLineChars="200"/>
      </w:pPr>
    </w:p>
    <w:p>
      <w:pPr>
        <w:ind w:firstLine="640" w:firstLineChars="200"/>
      </w:pPr>
    </w:p>
    <w:p>
      <w:pPr>
        <w:ind w:firstLine="640" w:firstLineChars="200"/>
      </w:pPr>
    </w:p>
    <w:p/>
    <w:p>
      <w:pPr>
        <w:pStyle w:val="3"/>
        <w:ind w:right="440"/>
        <w:jc w:val="right"/>
      </w:pPr>
      <w:bookmarkStart w:id="13" w:name="_Toc15377204"/>
      <w:bookmarkStart w:id="14" w:name="_Toc15396602"/>
      <w:bookmarkStart w:id="15" w:name="_Toc23109"/>
      <w:r>
        <w:rPr>
          <w:rFonts w:hint="eastAsia" w:ascii="黑体" w:hAnsi="黑体" w:eastAsia="黑体"/>
          <w:b w:val="0"/>
          <w:color w:val="000000"/>
        </w:rPr>
        <w:t>第二部分</w:t>
      </w:r>
      <w:r>
        <w:rPr>
          <w:rFonts w:ascii="黑体" w:hAnsi="黑体" w:eastAsia="黑体"/>
          <w:color w:val="000000"/>
        </w:rPr>
        <w:t xml:space="preserve"> </w:t>
      </w:r>
      <w:r>
        <w:rPr>
          <w:rStyle w:val="15"/>
          <w:rFonts w:ascii="黑体" w:hAnsi="黑体" w:eastAsia="黑体"/>
          <w:b w:val="0"/>
          <w:bCs w:val="0"/>
        </w:rPr>
        <w:t>2020</w:t>
      </w:r>
      <w:r>
        <w:rPr>
          <w:rStyle w:val="15"/>
          <w:rFonts w:hint="eastAsia" w:ascii="黑体" w:hAnsi="黑体" w:eastAsia="黑体"/>
          <w:b w:val="0"/>
          <w:bCs w:val="0"/>
        </w:rPr>
        <w:t>年度单位决算情况说明</w:t>
      </w:r>
      <w:bookmarkEnd w:id="13"/>
      <w:bookmarkEnd w:id="14"/>
      <w:bookmarkEnd w:id="15"/>
    </w:p>
    <w:p>
      <w:pPr>
        <w:pStyle w:val="17"/>
        <w:numPr>
          <w:ilvl w:val="0"/>
          <w:numId w:val="3"/>
        </w:numPr>
        <w:spacing w:line="600" w:lineRule="exact"/>
        <w:ind w:firstLineChars="0"/>
        <w:outlineLvl w:val="1"/>
        <w:rPr>
          <w:rStyle w:val="16"/>
          <w:rFonts w:ascii="黑体" w:hAnsi="黑体" w:eastAsia="黑体"/>
          <w:b w:val="0"/>
        </w:rPr>
      </w:pPr>
      <w:bookmarkStart w:id="16" w:name="_Toc15377205"/>
      <w:bookmarkStart w:id="17" w:name="_Toc7163"/>
      <w:bookmarkStart w:id="18" w:name="_Toc15396603"/>
      <w:r>
        <w:rPr>
          <w:rFonts w:hint="eastAsia" w:ascii="黑体" w:hAnsi="黑体" w:eastAsia="黑体"/>
          <w:color w:val="000000"/>
          <w:szCs w:val="32"/>
        </w:rPr>
        <w:t>收</w:t>
      </w:r>
      <w:r>
        <w:rPr>
          <w:rStyle w:val="16"/>
          <w:rFonts w:hint="eastAsia" w:ascii="黑体" w:hAnsi="黑体" w:eastAsia="黑体"/>
          <w:b w:val="0"/>
        </w:rPr>
        <w:t>入支出决算总体情况说明</w:t>
      </w:r>
      <w:bookmarkEnd w:id="16"/>
      <w:bookmarkEnd w:id="17"/>
      <w:bookmarkEnd w:id="18"/>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年度收、支总计68.66万元。与</w:t>
      </w:r>
      <w:r>
        <w:rPr>
          <w:rFonts w:ascii="仿宋" w:hAnsi="仿宋" w:eastAsia="仿宋"/>
          <w:color w:val="000000"/>
          <w:szCs w:val="32"/>
        </w:rPr>
        <w:t>2019</w:t>
      </w:r>
      <w:r>
        <w:rPr>
          <w:rFonts w:hint="eastAsia" w:ascii="仿宋" w:hAnsi="仿宋" w:eastAsia="仿宋"/>
          <w:color w:val="000000"/>
          <w:szCs w:val="32"/>
        </w:rPr>
        <w:t>年相比，收、支总计各减少23.72万元，下降25.7</w:t>
      </w:r>
      <w:r>
        <w:rPr>
          <w:rFonts w:ascii="仿宋" w:hAnsi="仿宋" w:eastAsia="仿宋"/>
          <w:color w:val="000000"/>
          <w:szCs w:val="32"/>
        </w:rPr>
        <w:t>%</w:t>
      </w:r>
      <w:r>
        <w:rPr>
          <w:rFonts w:hint="eastAsia" w:ascii="仿宋" w:hAnsi="仿宋" w:eastAsia="仿宋"/>
          <w:color w:val="000000"/>
          <w:szCs w:val="32"/>
        </w:rPr>
        <w:t>。主要变动原因是人员变动，人员支出减少；目标奖支出减少。</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59264" behindDoc="1" locked="0" layoutInCell="1" allowOverlap="1">
            <wp:simplePos x="0" y="0"/>
            <wp:positionH relativeFrom="column">
              <wp:posOffset>939165</wp:posOffset>
            </wp:positionH>
            <wp:positionV relativeFrom="paragraph">
              <wp:posOffset>113030</wp:posOffset>
            </wp:positionV>
            <wp:extent cx="3679825" cy="2823845"/>
            <wp:effectExtent l="0" t="0" r="15875" b="14605"/>
            <wp:wrapNone/>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cstate="print"/>
                    <a:stretch>
                      <a:fillRect/>
                    </a:stretch>
                  </pic:blipFill>
                  <pic:spPr>
                    <a:xfrm>
                      <a:off x="0" y="0"/>
                      <a:ext cx="3679825" cy="2823845"/>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1920" w:firstLineChars="6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w:t>
      </w:r>
    </w:p>
    <w:p>
      <w:pPr>
        <w:spacing w:line="600" w:lineRule="exact"/>
        <w:ind w:firstLine="1920" w:firstLineChars="600"/>
        <w:rPr>
          <w:rFonts w:ascii="仿宋" w:hAnsi="仿宋" w:eastAsia="仿宋"/>
          <w:color w:val="000000"/>
          <w:szCs w:val="32"/>
        </w:rPr>
      </w:pPr>
    </w:p>
    <w:p>
      <w:pPr>
        <w:pStyle w:val="17"/>
        <w:numPr>
          <w:ilvl w:val="0"/>
          <w:numId w:val="3"/>
        </w:numPr>
        <w:spacing w:line="600" w:lineRule="exact"/>
        <w:ind w:firstLineChars="0"/>
        <w:outlineLvl w:val="1"/>
        <w:rPr>
          <w:rStyle w:val="16"/>
          <w:rFonts w:ascii="黑体" w:hAnsi="黑体" w:eastAsia="黑体"/>
          <w:b w:val="0"/>
        </w:rPr>
      </w:pPr>
      <w:bookmarkStart w:id="19" w:name="_Toc15396604"/>
      <w:bookmarkStart w:id="20" w:name="_Toc15377206"/>
      <w:bookmarkStart w:id="21" w:name="_Toc25258"/>
      <w:r>
        <w:rPr>
          <w:rFonts w:hint="eastAsia" w:ascii="黑体" w:hAnsi="黑体" w:eastAsia="黑体"/>
          <w:color w:val="000000"/>
          <w:szCs w:val="32"/>
        </w:rPr>
        <w:t>收</w:t>
      </w:r>
      <w:r>
        <w:rPr>
          <w:rStyle w:val="16"/>
          <w:rFonts w:hint="eastAsia" w:ascii="黑体" w:hAnsi="黑体" w:eastAsia="黑体"/>
          <w:b w:val="0"/>
        </w:rPr>
        <w:t>入决算情况说明</w:t>
      </w:r>
      <w:bookmarkEnd w:id="19"/>
      <w:bookmarkEnd w:id="20"/>
      <w:bookmarkEnd w:id="21"/>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年本年收入合计64.08万元，其中：一般公共预算财政拨款收入64.08万元，占100</w:t>
      </w:r>
      <w:r>
        <w:rPr>
          <w:rFonts w:ascii="仿宋" w:hAnsi="仿宋" w:eastAsia="仿宋"/>
          <w:color w:val="000000"/>
          <w:szCs w:val="32"/>
        </w:rPr>
        <w:t>%</w:t>
      </w:r>
      <w:r>
        <w:rPr>
          <w:rFonts w:hint="eastAsia" w:ascii="仿宋" w:hAnsi="仿宋" w:eastAsia="仿宋"/>
          <w:color w:val="000000"/>
          <w:szCs w:val="32"/>
        </w:rPr>
        <w:t>；政府性基金预算财政拨款收入0万元，占0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outlineLvl w:val="1"/>
        <w:rPr>
          <w:rFonts w:ascii="仿宋" w:hAnsi="仿宋" w:eastAsia="仿宋"/>
          <w:color w:val="000000"/>
          <w:szCs w:val="32"/>
        </w:rPr>
      </w:pP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0288" behindDoc="1" locked="0" layoutInCell="1" allowOverlap="1">
            <wp:simplePos x="0" y="0"/>
            <wp:positionH relativeFrom="column">
              <wp:posOffset>1168400</wp:posOffset>
            </wp:positionH>
            <wp:positionV relativeFrom="paragraph">
              <wp:posOffset>-155575</wp:posOffset>
            </wp:positionV>
            <wp:extent cx="3526790" cy="2415540"/>
            <wp:effectExtent l="0" t="0" r="16510" b="3810"/>
            <wp:wrapNone/>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6" cstate="print"/>
                    <a:stretch>
                      <a:fillRect/>
                    </a:stretch>
                  </pic:blipFill>
                  <pic:spPr>
                    <a:xfrm>
                      <a:off x="0" y="0"/>
                      <a:ext cx="3526790" cy="2415540"/>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2880" w:firstLineChars="9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w:t>
      </w:r>
    </w:p>
    <w:p>
      <w:pPr>
        <w:spacing w:line="600" w:lineRule="exact"/>
        <w:ind w:firstLine="640" w:firstLineChars="200"/>
        <w:rPr>
          <w:rFonts w:ascii="仿宋_GB2312"/>
          <w:color w:val="FF0000"/>
          <w:szCs w:val="32"/>
        </w:rPr>
      </w:pPr>
    </w:p>
    <w:p>
      <w:pPr>
        <w:pStyle w:val="17"/>
        <w:numPr>
          <w:ilvl w:val="0"/>
          <w:numId w:val="3"/>
        </w:numPr>
        <w:spacing w:line="600" w:lineRule="exact"/>
        <w:ind w:firstLineChars="0"/>
        <w:outlineLvl w:val="1"/>
        <w:rPr>
          <w:rStyle w:val="16"/>
          <w:rFonts w:ascii="黑体" w:hAnsi="黑体" w:eastAsia="黑体"/>
          <w:b w:val="0"/>
        </w:rPr>
      </w:pPr>
      <w:bookmarkStart w:id="22" w:name="_Toc15396605"/>
      <w:bookmarkStart w:id="23" w:name="_Toc13725"/>
      <w:bookmarkStart w:id="24" w:name="_Toc15377207"/>
      <w:r>
        <w:rPr>
          <w:rFonts w:hint="eastAsia" w:ascii="黑体" w:hAnsi="黑体" w:eastAsia="黑体"/>
          <w:color w:val="000000"/>
          <w:szCs w:val="32"/>
        </w:rPr>
        <w:t>支</w:t>
      </w:r>
      <w:r>
        <w:rPr>
          <w:rStyle w:val="16"/>
          <w:rFonts w:hint="eastAsia" w:ascii="黑体" w:hAnsi="黑体" w:eastAsia="黑体"/>
          <w:b w:val="0"/>
        </w:rPr>
        <w:t>出决算情况说明</w:t>
      </w:r>
      <w:bookmarkEnd w:id="22"/>
      <w:bookmarkEnd w:id="23"/>
      <w:bookmarkEnd w:id="24"/>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年本年支出合计68.42万元，其中：基本支出57.20万元，占83.6</w:t>
      </w:r>
      <w:r>
        <w:rPr>
          <w:rFonts w:ascii="仿宋" w:hAnsi="仿宋" w:eastAsia="仿宋"/>
          <w:color w:val="000000"/>
          <w:szCs w:val="32"/>
        </w:rPr>
        <w:t>%</w:t>
      </w:r>
      <w:r>
        <w:rPr>
          <w:rFonts w:hint="eastAsia" w:ascii="仿宋" w:hAnsi="仿宋" w:eastAsia="仿宋"/>
          <w:color w:val="000000"/>
          <w:szCs w:val="32"/>
        </w:rPr>
        <w:t>；项目支出11.22万元，占16.4</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 w:hAnsi="仿宋" w:eastAsia="仿宋"/>
          <w:color w:val="000000"/>
          <w:szCs w:val="32"/>
          <w:shd w:val="pct10" w:color="auto" w:fill="FFFFFF"/>
        </w:rPr>
      </w:pPr>
      <w:r>
        <w:rPr>
          <w:rFonts w:hint="eastAsia" w:ascii="仿宋" w:hAnsi="仿宋" w:eastAsia="仿宋"/>
          <w:color w:val="000000"/>
          <w:szCs w:val="32"/>
          <w:shd w:val="pct10" w:color="auto" w:fill="FFFFFF"/>
        </w:rPr>
        <w:drawing>
          <wp:anchor distT="0" distB="0" distL="114300" distR="114300" simplePos="0" relativeHeight="251661312" behindDoc="1" locked="0" layoutInCell="1" allowOverlap="1">
            <wp:simplePos x="0" y="0"/>
            <wp:positionH relativeFrom="column">
              <wp:posOffset>958850</wp:posOffset>
            </wp:positionH>
            <wp:positionV relativeFrom="paragraph">
              <wp:posOffset>92710</wp:posOffset>
            </wp:positionV>
            <wp:extent cx="3898265" cy="2799080"/>
            <wp:effectExtent l="0" t="0" r="6985" b="1270"/>
            <wp:wrapNone/>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7" cstate="print"/>
                    <a:stretch>
                      <a:fillRect/>
                    </a:stretch>
                  </pic:blipFill>
                  <pic:spPr>
                    <a:xfrm>
                      <a:off x="0" y="0"/>
                      <a:ext cx="3898265" cy="2799080"/>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2880" w:firstLineChars="9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w:t>
      </w:r>
    </w:p>
    <w:p>
      <w:pPr>
        <w:spacing w:line="600" w:lineRule="exact"/>
        <w:ind w:firstLine="640" w:firstLineChars="200"/>
        <w:rPr>
          <w:rFonts w:ascii="仿宋_GB2312"/>
          <w:color w:val="FF0000"/>
          <w:szCs w:val="32"/>
        </w:rPr>
      </w:pPr>
    </w:p>
    <w:p>
      <w:pPr>
        <w:spacing w:line="600" w:lineRule="exact"/>
        <w:ind w:firstLine="640" w:firstLineChars="200"/>
        <w:outlineLvl w:val="1"/>
        <w:rPr>
          <w:rStyle w:val="16"/>
          <w:rFonts w:ascii="黑体" w:hAnsi="黑体" w:eastAsia="黑体"/>
          <w:b w:val="0"/>
        </w:rPr>
      </w:pPr>
      <w:bookmarkStart w:id="25" w:name="_Toc10354"/>
      <w:bookmarkStart w:id="26" w:name="_Toc15377208"/>
      <w:bookmarkStart w:id="27" w:name="_Toc15396606"/>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5"/>
      <w:bookmarkEnd w:id="26"/>
      <w:bookmarkEnd w:id="27"/>
    </w:p>
    <w:p>
      <w:pPr>
        <w:spacing w:line="600" w:lineRule="exact"/>
        <w:ind w:firstLine="640"/>
        <w:rPr>
          <w:rFonts w:ascii="仿宋" w:hAnsi="仿宋" w:eastAsia="仿宋"/>
          <w:b/>
          <w:color w:val="FF0000"/>
          <w:szCs w:val="32"/>
        </w:rPr>
      </w:pPr>
      <w:r>
        <w:rPr>
          <w:rFonts w:ascii="仿宋" w:hAnsi="仿宋" w:eastAsia="仿宋"/>
          <w:color w:val="000000"/>
          <w:szCs w:val="32"/>
        </w:rPr>
        <w:t>2020</w:t>
      </w:r>
      <w:r>
        <w:rPr>
          <w:rFonts w:hint="eastAsia" w:ascii="仿宋" w:hAnsi="仿宋" w:eastAsia="仿宋"/>
          <w:color w:val="000000"/>
          <w:szCs w:val="32"/>
        </w:rPr>
        <w:t>年财政拨款收、支总计68.66万元。与</w:t>
      </w:r>
      <w:r>
        <w:rPr>
          <w:rFonts w:ascii="仿宋" w:hAnsi="仿宋" w:eastAsia="仿宋"/>
          <w:color w:val="000000"/>
          <w:szCs w:val="32"/>
        </w:rPr>
        <w:t>2019</w:t>
      </w:r>
      <w:r>
        <w:rPr>
          <w:rFonts w:hint="eastAsia" w:ascii="仿宋" w:hAnsi="仿宋" w:eastAsia="仿宋"/>
          <w:color w:val="000000"/>
          <w:szCs w:val="32"/>
        </w:rPr>
        <w:t>年相比，财政拨款收、支总计各减少23.72万元，下降25.7</w:t>
      </w:r>
      <w:r>
        <w:rPr>
          <w:rFonts w:ascii="仿宋" w:hAnsi="仿宋" w:eastAsia="仿宋"/>
          <w:color w:val="000000"/>
          <w:szCs w:val="32"/>
        </w:rPr>
        <w:t>%</w:t>
      </w:r>
      <w:r>
        <w:rPr>
          <w:rFonts w:hint="eastAsia" w:ascii="仿宋" w:hAnsi="仿宋" w:eastAsia="仿宋"/>
          <w:color w:val="000000"/>
          <w:szCs w:val="32"/>
        </w:rPr>
        <w:t>。主要变动原因是人员变动，人员支出减少；目标奖支出减少。</w:t>
      </w:r>
    </w:p>
    <w:p>
      <w:pPr>
        <w:spacing w:line="600" w:lineRule="exact"/>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3360" behindDoc="1" locked="0" layoutInCell="1" allowOverlap="1">
            <wp:simplePos x="0" y="0"/>
            <wp:positionH relativeFrom="column">
              <wp:posOffset>1304290</wp:posOffset>
            </wp:positionH>
            <wp:positionV relativeFrom="paragraph">
              <wp:posOffset>98425</wp:posOffset>
            </wp:positionV>
            <wp:extent cx="3413125" cy="2618740"/>
            <wp:effectExtent l="0" t="0" r="15875" b="10160"/>
            <wp:wrapNone/>
            <wp:docPr id="6" name="图片 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1"/>
                    </pic:cNvPicPr>
                  </pic:nvPicPr>
                  <pic:blipFill>
                    <a:blip r:embed="rId8" cstate="print"/>
                    <a:stretch>
                      <a:fillRect/>
                    </a:stretch>
                  </pic:blipFill>
                  <pic:spPr>
                    <a:xfrm>
                      <a:off x="0" y="0"/>
                      <a:ext cx="3413125" cy="2618740"/>
                    </a:xfrm>
                    <a:prstGeom prst="rect">
                      <a:avLst/>
                    </a:prstGeom>
                  </pic:spPr>
                </pic:pic>
              </a:graphicData>
            </a:graphic>
          </wp:anchor>
        </w:drawing>
      </w: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1920" w:firstLineChars="6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w:t>
      </w:r>
    </w:p>
    <w:p>
      <w:pPr>
        <w:spacing w:line="600" w:lineRule="exact"/>
        <w:ind w:firstLine="640"/>
        <w:rPr>
          <w:rFonts w:ascii="仿宋" w:hAnsi="仿宋" w:eastAsia="仿宋"/>
          <w:b/>
          <w:color w:val="00B050"/>
          <w:szCs w:val="32"/>
        </w:rPr>
      </w:pPr>
    </w:p>
    <w:p>
      <w:pPr>
        <w:spacing w:line="600" w:lineRule="exact"/>
        <w:ind w:firstLine="640" w:firstLineChars="200"/>
        <w:outlineLvl w:val="1"/>
        <w:rPr>
          <w:rStyle w:val="16"/>
          <w:rFonts w:ascii="黑体" w:hAnsi="黑体" w:eastAsia="黑体"/>
          <w:b w:val="0"/>
        </w:rPr>
      </w:pPr>
      <w:bookmarkStart w:id="28" w:name="_Toc15377209"/>
      <w:bookmarkStart w:id="29" w:name="_Toc10967"/>
      <w:bookmarkStart w:id="30" w:name="_Toc15396607"/>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28"/>
      <w:bookmarkEnd w:id="29"/>
      <w:bookmarkEnd w:id="30"/>
    </w:p>
    <w:p>
      <w:pPr>
        <w:spacing w:line="600" w:lineRule="exact"/>
        <w:ind w:firstLine="643" w:firstLineChars="200"/>
        <w:outlineLvl w:val="2"/>
        <w:rPr>
          <w:rFonts w:ascii="仿宋" w:hAnsi="仿宋" w:eastAsia="仿宋"/>
          <w:b/>
          <w:color w:val="000000"/>
          <w:szCs w:val="32"/>
        </w:rPr>
      </w:pPr>
      <w:bookmarkStart w:id="31" w:name="_Toc15377210"/>
      <w:r>
        <w:rPr>
          <w:rFonts w:hint="eastAsia" w:ascii="仿宋" w:hAnsi="仿宋" w:eastAsia="仿宋"/>
          <w:b/>
          <w:color w:val="000000"/>
          <w:szCs w:val="32"/>
        </w:rPr>
        <w:t>（一）一般公共预算财政拨款支出决算总体情况</w:t>
      </w:r>
      <w:bookmarkEnd w:id="31"/>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年一般公共预算财政拨款支出68.42万元，占本年支出合计的100</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年相比，一般公共预算财政拨款减少19.24万元，下降21.9</w:t>
      </w:r>
      <w:r>
        <w:rPr>
          <w:rFonts w:ascii="仿宋" w:hAnsi="仿宋" w:eastAsia="仿宋"/>
          <w:color w:val="000000"/>
          <w:szCs w:val="32"/>
        </w:rPr>
        <w:t>%</w:t>
      </w:r>
      <w:r>
        <w:rPr>
          <w:rFonts w:hint="eastAsia" w:ascii="仿宋" w:hAnsi="仿宋" w:eastAsia="仿宋"/>
          <w:color w:val="000000"/>
          <w:szCs w:val="32"/>
        </w:rPr>
        <w:t>。主要变动原因是人员变动，人员支出减少；目标奖支出减少。</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2336" behindDoc="1" locked="0" layoutInCell="1" allowOverlap="1">
            <wp:simplePos x="0" y="0"/>
            <wp:positionH relativeFrom="column">
              <wp:posOffset>682625</wp:posOffset>
            </wp:positionH>
            <wp:positionV relativeFrom="paragraph">
              <wp:posOffset>51435</wp:posOffset>
            </wp:positionV>
            <wp:extent cx="3996690" cy="2387600"/>
            <wp:effectExtent l="0" t="0" r="3810" b="12700"/>
            <wp:wrapNone/>
            <wp:docPr id="5" name="图片 5"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5"/>
                    <pic:cNvPicPr>
                      <a:picLocks noChangeAspect="1"/>
                    </pic:cNvPicPr>
                  </pic:nvPicPr>
                  <pic:blipFill>
                    <a:blip r:embed="rId9" cstate="print"/>
                    <a:stretch>
                      <a:fillRect/>
                    </a:stretch>
                  </pic:blipFill>
                  <pic:spPr>
                    <a:xfrm>
                      <a:off x="0" y="0"/>
                      <a:ext cx="3996690" cy="2387600"/>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pStyle w:val="2"/>
        <w:spacing w:before="93"/>
        <w:rPr>
          <w:rFonts w:ascii="仿宋" w:hAnsi="仿宋" w:eastAsia="仿宋"/>
          <w:color w:val="000000"/>
          <w:szCs w:val="32"/>
        </w:rPr>
      </w:pPr>
    </w:p>
    <w:p>
      <w:pPr>
        <w:pStyle w:val="2"/>
        <w:spacing w:before="93"/>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960" w:firstLineChars="3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2" w:name="_Toc15377211"/>
      <w:r>
        <w:rPr>
          <w:rFonts w:hint="eastAsia" w:ascii="仿宋" w:hAnsi="仿宋" w:eastAsia="仿宋"/>
          <w:b/>
          <w:color w:val="000000"/>
          <w:szCs w:val="32"/>
        </w:rPr>
        <w:t>（二）一般公共预算财政拨款支出决算结构情况</w:t>
      </w:r>
      <w:bookmarkEnd w:id="32"/>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年一般公共预算财政拨款支出68.42万元，主要用于以下方面</w:t>
      </w:r>
      <w:r>
        <w:rPr>
          <w:rFonts w:ascii="仿宋" w:hAnsi="仿宋" w:eastAsia="仿宋"/>
          <w:color w:val="000000"/>
          <w:szCs w:val="32"/>
        </w:rPr>
        <w:t>:</w:t>
      </w:r>
      <w:r>
        <w:rPr>
          <w:rFonts w:hint="eastAsia" w:ascii="仿宋" w:hAnsi="仿宋" w:eastAsia="仿宋"/>
          <w:b/>
          <w:color w:val="000000"/>
          <w:szCs w:val="32"/>
        </w:rPr>
        <w:t>一般公共服务支出（类）</w:t>
      </w:r>
      <w:r>
        <w:rPr>
          <w:rFonts w:hint="eastAsia" w:ascii="仿宋" w:hAnsi="仿宋" w:eastAsia="仿宋"/>
          <w:color w:val="000000"/>
          <w:szCs w:val="32"/>
        </w:rPr>
        <w:t>支出56.64万元，占82.8</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支出7.06万元，占10.3</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1.74万元，占2.5</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住房保障</w:t>
      </w:r>
      <w:r>
        <w:rPr>
          <w:rFonts w:hint="eastAsia" w:ascii="仿宋" w:hAnsi="仿宋" w:eastAsia="仿宋"/>
          <w:color w:val="000000"/>
          <w:szCs w:val="32"/>
        </w:rPr>
        <w:t>支出2.98万元，占4.4</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4384" behindDoc="1" locked="0" layoutInCell="1" allowOverlap="1">
            <wp:simplePos x="0" y="0"/>
            <wp:positionH relativeFrom="column">
              <wp:posOffset>586740</wp:posOffset>
            </wp:positionH>
            <wp:positionV relativeFrom="paragraph">
              <wp:posOffset>-194945</wp:posOffset>
            </wp:positionV>
            <wp:extent cx="4079875" cy="2452370"/>
            <wp:effectExtent l="0" t="0" r="15875" b="5080"/>
            <wp:wrapNone/>
            <wp:docPr id="7" name="图片 7"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6"/>
                    <pic:cNvPicPr>
                      <a:picLocks noChangeAspect="1"/>
                    </pic:cNvPicPr>
                  </pic:nvPicPr>
                  <pic:blipFill>
                    <a:blip r:embed="rId10" cstate="print"/>
                    <a:stretch>
                      <a:fillRect/>
                    </a:stretch>
                  </pic:blipFill>
                  <pic:spPr>
                    <a:xfrm>
                      <a:off x="0" y="0"/>
                      <a:ext cx="4079875" cy="2452370"/>
                    </a:xfrm>
                    <a:prstGeom prst="rect">
                      <a:avLst/>
                    </a:prstGeom>
                  </pic:spPr>
                </pic:pic>
              </a:graphicData>
            </a:graphic>
          </wp:anchor>
        </w:drawing>
      </w: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1280" w:firstLineChars="4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p>
    <w:p>
      <w:pPr>
        <w:spacing w:line="600" w:lineRule="exact"/>
        <w:ind w:firstLine="1280" w:firstLineChars="4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3" w:name="_Toc15377212"/>
      <w:r>
        <w:rPr>
          <w:rFonts w:hint="eastAsia" w:ascii="仿宋" w:hAnsi="仿宋" w:eastAsia="仿宋"/>
          <w:b/>
          <w:color w:val="000000"/>
          <w:szCs w:val="32"/>
        </w:rPr>
        <w:t>（三）一般公共预算财政拨款支出决算具体情况</w:t>
      </w:r>
      <w:bookmarkEnd w:id="33"/>
    </w:p>
    <w:p>
      <w:pPr>
        <w:spacing w:line="600" w:lineRule="exact"/>
        <w:ind w:firstLine="643" w:firstLineChars="200"/>
        <w:rPr>
          <w:rFonts w:ascii="仿宋" w:hAnsi="仿宋" w:eastAsia="仿宋"/>
          <w:color w:val="FF0000"/>
          <w:szCs w:val="32"/>
        </w:rPr>
      </w:pPr>
      <w:bookmarkStart w:id="34" w:name="_Toc15377213"/>
      <w:bookmarkStart w:id="35" w:name="_Toc15377444"/>
      <w:bookmarkStart w:id="36" w:name="_Toc15378460"/>
      <w:r>
        <w:rPr>
          <w:rFonts w:ascii="仿宋" w:hAnsi="仿宋" w:eastAsia="仿宋"/>
          <w:b/>
          <w:color w:val="000000"/>
          <w:szCs w:val="32"/>
        </w:rPr>
        <w:t>2020</w:t>
      </w:r>
      <w:r>
        <w:rPr>
          <w:rFonts w:hint="eastAsia" w:ascii="仿宋" w:hAnsi="仿宋" w:eastAsia="仿宋"/>
          <w:b/>
          <w:color w:val="000000"/>
          <w:szCs w:val="32"/>
        </w:rPr>
        <w:t>年一般公共预算支出决算数为68.42</w:t>
      </w:r>
      <w:r>
        <w:rPr>
          <w:rFonts w:hint="eastAsia" w:ascii="仿宋" w:hAnsi="仿宋" w:eastAsia="仿宋"/>
          <w:color w:val="000000"/>
          <w:szCs w:val="32"/>
        </w:rPr>
        <w:t>，</w:t>
      </w:r>
      <w:r>
        <w:rPr>
          <w:rStyle w:val="13"/>
          <w:rFonts w:hint="eastAsia" w:ascii="仿宋" w:hAnsi="仿宋" w:eastAsia="仿宋"/>
          <w:bCs/>
          <w:color w:val="000000"/>
          <w:szCs w:val="32"/>
        </w:rPr>
        <w:t>完成预算的99.65</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4"/>
      <w:bookmarkEnd w:id="35"/>
      <w:bookmarkEnd w:id="36"/>
    </w:p>
    <w:p>
      <w:pPr>
        <w:spacing w:line="600" w:lineRule="exact"/>
        <w:ind w:firstLine="643" w:firstLineChars="200"/>
        <w:rPr>
          <w:rFonts w:ascii="仿宋" w:hAnsi="仿宋" w:eastAsia="仿宋"/>
          <w:b/>
          <w:color w:val="000000"/>
          <w:szCs w:val="32"/>
        </w:rPr>
      </w:pPr>
      <w:r>
        <w:rPr>
          <w:rStyle w:val="13"/>
          <w:rFonts w:ascii="仿宋" w:hAnsi="仿宋" w:eastAsia="仿宋"/>
          <w:bCs/>
          <w:color w:val="000000"/>
          <w:szCs w:val="32"/>
        </w:rPr>
        <w:t>1.</w:t>
      </w:r>
      <w:r>
        <w:rPr>
          <w:rStyle w:val="13"/>
          <w:rFonts w:hint="eastAsia" w:ascii="仿宋" w:hAnsi="仿宋" w:eastAsia="仿宋"/>
          <w:bCs/>
          <w:color w:val="000000"/>
          <w:szCs w:val="32"/>
        </w:rPr>
        <w:t xml:space="preserve"> 一般公共服务支出（类）民主党派及工商联事务（款）行政运行（项）: </w:t>
      </w:r>
      <w:r>
        <w:rPr>
          <w:rStyle w:val="13"/>
          <w:rFonts w:hint="eastAsia" w:ascii="仿宋" w:hAnsi="仿宋" w:eastAsia="仿宋"/>
          <w:b w:val="0"/>
          <w:bCs/>
          <w:color w:val="000000"/>
          <w:szCs w:val="32"/>
        </w:rPr>
        <w:t>支出决算为31.45万元，完成预算的99.24</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，决算数小于预算数的主要原因是厉行节约，减少公用经费支出。</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 xml:space="preserve">2.一般公共服务支出（类）民主党派及工商联事务（款）一般行政管理事务（项）: </w:t>
      </w:r>
      <w:r>
        <w:rPr>
          <w:rStyle w:val="13"/>
          <w:rFonts w:hint="eastAsia" w:ascii="仿宋" w:hAnsi="仿宋" w:eastAsia="仿宋"/>
          <w:b w:val="0"/>
          <w:bCs/>
          <w:color w:val="000000"/>
          <w:szCs w:val="32"/>
        </w:rPr>
        <w:t>支出决算为11.22万元，完成预算的100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3</w:t>
      </w:r>
      <w:r>
        <w:rPr>
          <w:rStyle w:val="13"/>
          <w:rFonts w:ascii="仿宋" w:hAnsi="仿宋" w:eastAsia="仿宋"/>
          <w:bCs/>
          <w:color w:val="000000"/>
          <w:szCs w:val="32"/>
        </w:rPr>
        <w:t>.</w:t>
      </w:r>
      <w:r>
        <w:rPr>
          <w:rStyle w:val="13"/>
          <w:rFonts w:hint="eastAsia" w:ascii="仿宋" w:hAnsi="仿宋" w:eastAsia="仿宋"/>
          <w:bCs/>
          <w:color w:val="000000"/>
          <w:szCs w:val="32"/>
        </w:rPr>
        <w:t xml:space="preserve"> 一般公共服务支出（类）民主党派及工商联事务（款）  其他民主党派及工商联事务支出（项）: </w:t>
      </w:r>
      <w:r>
        <w:rPr>
          <w:rStyle w:val="13"/>
          <w:rFonts w:hint="eastAsia" w:ascii="仿宋" w:hAnsi="仿宋" w:eastAsia="仿宋"/>
          <w:b w:val="0"/>
          <w:bCs/>
          <w:color w:val="000000"/>
          <w:szCs w:val="32"/>
        </w:rPr>
        <w:t>支出决算为13.97万元，完成预算的100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color w:val="000000"/>
          <w:szCs w:val="32"/>
        </w:rPr>
      </w:pPr>
      <w:r>
        <w:rPr>
          <w:rStyle w:val="13"/>
          <w:rFonts w:hint="eastAsia" w:ascii="仿宋" w:hAnsi="仿宋" w:eastAsia="仿宋"/>
          <w:bCs/>
          <w:color w:val="000000"/>
          <w:szCs w:val="32"/>
        </w:rPr>
        <w:t>4</w:t>
      </w:r>
      <w:r>
        <w:rPr>
          <w:rStyle w:val="13"/>
          <w:rFonts w:ascii="仿宋" w:hAnsi="仿宋" w:eastAsia="仿宋"/>
          <w:bCs/>
          <w:color w:val="000000"/>
          <w:szCs w:val="32"/>
        </w:rPr>
        <w:t>.</w:t>
      </w:r>
      <w:r>
        <w:rPr>
          <w:rFonts w:hint="eastAsia" w:ascii="仿宋" w:hAnsi="仿宋" w:eastAsia="仿宋"/>
          <w:color w:val="000000"/>
          <w:szCs w:val="32"/>
        </w:rPr>
        <w:t xml:space="preserve"> </w:t>
      </w:r>
      <w:r>
        <w:rPr>
          <w:rStyle w:val="13"/>
          <w:rFonts w:hint="eastAsia" w:ascii="仿宋" w:hAnsi="仿宋" w:eastAsia="仿宋"/>
          <w:color w:val="000000"/>
          <w:szCs w:val="32"/>
        </w:rPr>
        <w:t>社会保障和就业（类）行政事业单位养老支出（款）行政单位离退休（项）</w:t>
      </w:r>
      <w:r>
        <w:rPr>
          <w:rStyle w:val="13"/>
          <w:rFonts w:ascii="仿宋" w:hAnsi="仿宋" w:eastAsia="仿宋"/>
          <w:color w:val="000000"/>
          <w:szCs w:val="32"/>
        </w:rPr>
        <w:t>:</w:t>
      </w:r>
      <w:r>
        <w:rPr>
          <w:rStyle w:val="13"/>
          <w:rFonts w:ascii="仿宋" w:hAnsi="仿宋" w:eastAsia="仿宋"/>
          <w:b w:val="0"/>
          <w:color w:val="000000"/>
          <w:szCs w:val="32"/>
        </w:rPr>
        <w:t xml:space="preserve"> </w:t>
      </w:r>
      <w:r>
        <w:rPr>
          <w:rStyle w:val="13"/>
          <w:rFonts w:hint="eastAsia" w:ascii="仿宋" w:hAnsi="仿宋" w:eastAsia="仿宋"/>
          <w:b w:val="0"/>
          <w:color w:val="000000"/>
          <w:szCs w:val="32"/>
        </w:rPr>
        <w:t>支出决算为3.54万元，完成预算100</w:t>
      </w:r>
      <w:r>
        <w:rPr>
          <w:rStyle w:val="13"/>
          <w:rFonts w:ascii="仿宋" w:hAnsi="仿宋" w:eastAsia="仿宋"/>
          <w:b w:val="0"/>
          <w:color w:val="000000"/>
          <w:szCs w:val="32"/>
        </w:rPr>
        <w:t>%</w:t>
      </w:r>
      <w:r>
        <w:rPr>
          <w:rStyle w:val="13"/>
          <w:rFonts w:hint="eastAsia" w:ascii="仿宋" w:hAnsi="仿宋" w:eastAsia="仿宋"/>
          <w:b w:val="0"/>
          <w:color w:val="000000"/>
          <w:szCs w:val="32"/>
        </w:rPr>
        <w:t>。</w:t>
      </w:r>
    </w:p>
    <w:p>
      <w:pPr>
        <w:spacing w:line="600" w:lineRule="exact"/>
        <w:ind w:firstLine="643" w:firstLineChars="200"/>
        <w:rPr>
          <w:rStyle w:val="13"/>
          <w:rFonts w:ascii="仿宋" w:hAnsi="仿宋" w:eastAsia="仿宋"/>
          <w:b w:val="0"/>
          <w:color w:val="000000"/>
          <w:szCs w:val="32"/>
        </w:rPr>
      </w:pPr>
      <w:r>
        <w:rPr>
          <w:rStyle w:val="13"/>
          <w:rFonts w:hint="eastAsia" w:ascii="仿宋" w:hAnsi="仿宋" w:eastAsia="仿宋"/>
          <w:color w:val="000000"/>
          <w:szCs w:val="32"/>
        </w:rPr>
        <w:t>5.</w:t>
      </w:r>
      <w:r>
        <w:rPr>
          <w:rStyle w:val="15"/>
          <w:rFonts w:hint="eastAsia" w:ascii="仿宋" w:hAnsi="仿宋" w:eastAsia="仿宋"/>
          <w:b w:val="0"/>
          <w:color w:val="000000"/>
          <w:szCs w:val="32"/>
        </w:rPr>
        <w:t xml:space="preserve"> </w:t>
      </w:r>
      <w:r>
        <w:rPr>
          <w:rStyle w:val="13"/>
          <w:rFonts w:hint="eastAsia" w:ascii="仿宋" w:hAnsi="仿宋" w:eastAsia="仿宋"/>
          <w:color w:val="000000"/>
          <w:szCs w:val="32"/>
        </w:rPr>
        <w:t>社会保障和就业（类）行政事业单位养老支出（款）机关事业单位基本养老保险缴费支出（项）</w:t>
      </w:r>
      <w:r>
        <w:rPr>
          <w:rStyle w:val="13"/>
          <w:rFonts w:ascii="仿宋" w:hAnsi="仿宋" w:eastAsia="仿宋"/>
          <w:color w:val="000000"/>
          <w:szCs w:val="32"/>
        </w:rPr>
        <w:t xml:space="preserve">: </w:t>
      </w:r>
      <w:r>
        <w:rPr>
          <w:rStyle w:val="13"/>
          <w:rFonts w:hint="eastAsia" w:ascii="仿宋" w:hAnsi="仿宋" w:eastAsia="仿宋"/>
          <w:b w:val="0"/>
          <w:color w:val="000000"/>
          <w:szCs w:val="32"/>
        </w:rPr>
        <w:t>支出决算为3.52万元，完成预算100</w:t>
      </w:r>
      <w:r>
        <w:rPr>
          <w:rStyle w:val="13"/>
          <w:rFonts w:ascii="仿宋" w:hAnsi="仿宋" w:eastAsia="仿宋"/>
          <w:b w:val="0"/>
          <w:color w:val="000000"/>
          <w:szCs w:val="32"/>
        </w:rPr>
        <w:t>%</w:t>
      </w:r>
      <w:r>
        <w:rPr>
          <w:rStyle w:val="13"/>
          <w:rFonts w:hint="eastAsia" w:ascii="仿宋" w:hAnsi="仿宋" w:eastAsia="仿宋"/>
          <w:b w:val="0"/>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ascii="仿宋" w:hAnsi="仿宋" w:eastAsia="仿宋"/>
          <w:bCs/>
          <w:color w:val="000000"/>
          <w:szCs w:val="32"/>
        </w:rPr>
        <w:t>6.</w:t>
      </w:r>
      <w:r>
        <w:rPr>
          <w:rFonts w:hint="eastAsia" w:ascii="仿宋" w:hAnsi="仿宋" w:eastAsia="仿宋"/>
          <w:color w:val="000000"/>
          <w:szCs w:val="32"/>
        </w:rPr>
        <w:t xml:space="preserve"> </w:t>
      </w:r>
      <w:r>
        <w:rPr>
          <w:rStyle w:val="13"/>
          <w:rFonts w:hint="eastAsia" w:ascii="仿宋" w:hAnsi="仿宋" w:eastAsia="仿宋"/>
          <w:color w:val="000000"/>
          <w:szCs w:val="32"/>
        </w:rPr>
        <w:t>卫生健康支出（类）行政事业单位医疗（款）行政单位医疗（项）</w:t>
      </w:r>
      <w:r>
        <w:rPr>
          <w:rStyle w:val="13"/>
          <w:rFonts w:ascii="仿宋_GB2312"/>
          <w:bCs/>
          <w:szCs w:val="32"/>
        </w:rPr>
        <w:t>:</w:t>
      </w:r>
      <w:r>
        <w:rPr>
          <w:rStyle w:val="13"/>
          <w:rFonts w:hint="eastAsia" w:ascii="仿宋" w:hAnsi="仿宋" w:eastAsia="仿宋"/>
          <w:b w:val="0"/>
          <w:bCs/>
          <w:color w:val="000000"/>
          <w:szCs w:val="32"/>
        </w:rPr>
        <w:t>支出决算为1.74万元，完成预算100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_GB2312"/>
          <w:bCs/>
          <w:szCs w:val="32"/>
        </w:rPr>
        <w:t>7.</w:t>
      </w:r>
      <w:r>
        <w:rPr>
          <w:rFonts w:hint="eastAsia" w:ascii="仿宋" w:hAnsi="仿宋" w:eastAsia="仿宋"/>
          <w:color w:val="000000"/>
          <w:szCs w:val="32"/>
        </w:rPr>
        <w:t xml:space="preserve"> </w:t>
      </w:r>
      <w:r>
        <w:rPr>
          <w:rStyle w:val="13"/>
          <w:rFonts w:hint="eastAsia" w:ascii="仿宋" w:hAnsi="仿宋" w:eastAsia="仿宋"/>
          <w:color w:val="000000"/>
          <w:szCs w:val="32"/>
        </w:rPr>
        <w:t>住房保障支出（类）住房改革支出（款）住房公积金（项）</w:t>
      </w:r>
      <w:r>
        <w:rPr>
          <w:rStyle w:val="13"/>
          <w:rFonts w:hint="eastAsia" w:ascii="仿宋_GB2312"/>
          <w:bCs/>
          <w:szCs w:val="32"/>
        </w:rPr>
        <w:t>：</w:t>
      </w:r>
      <w:r>
        <w:rPr>
          <w:rStyle w:val="13"/>
          <w:rFonts w:hint="eastAsia" w:ascii="仿宋" w:hAnsi="仿宋" w:eastAsia="仿宋"/>
          <w:b w:val="0"/>
          <w:bCs/>
          <w:szCs w:val="32"/>
        </w:rPr>
        <w:t>支出决算为2.98万元，完成预算100</w:t>
      </w:r>
      <w:r>
        <w:rPr>
          <w:rStyle w:val="13"/>
          <w:rFonts w:ascii="仿宋" w:hAnsi="仿宋" w:eastAsia="仿宋"/>
          <w:b w:val="0"/>
          <w:bCs/>
          <w:szCs w:val="32"/>
        </w:rPr>
        <w:t>%</w:t>
      </w:r>
      <w:r>
        <w:rPr>
          <w:rStyle w:val="13"/>
          <w:rFonts w:hint="eastAsia" w:ascii="仿宋" w:hAnsi="仿宋" w:eastAsia="仿宋"/>
          <w:b w:val="0"/>
          <w:bCs/>
          <w:color w:val="000000"/>
          <w:szCs w:val="32"/>
        </w:rPr>
        <w:t>。</w:t>
      </w:r>
    </w:p>
    <w:p>
      <w:pPr>
        <w:tabs>
          <w:tab w:val="right" w:pos="8306"/>
        </w:tabs>
        <w:spacing w:line="600" w:lineRule="exact"/>
        <w:ind w:firstLine="640"/>
        <w:outlineLvl w:val="1"/>
        <w:rPr>
          <w:rStyle w:val="16"/>
        </w:rPr>
      </w:pPr>
      <w:bookmarkStart w:id="37" w:name="_Toc31021"/>
      <w:bookmarkStart w:id="38" w:name="_Toc15396608"/>
      <w:bookmarkStart w:id="39" w:name="_Toc15377214"/>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7"/>
      <w:bookmarkEnd w:id="38"/>
      <w:bookmarkEnd w:id="39"/>
      <w:r>
        <w:rPr>
          <w:rStyle w:val="16"/>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年一般公共预算财政拨款基本支出57.20万元，其中：</w:t>
      </w:r>
    </w:p>
    <w:p>
      <w:pPr>
        <w:spacing w:line="600" w:lineRule="exact"/>
        <w:ind w:firstLine="645"/>
        <w:rPr>
          <w:rFonts w:hint="eastAsia" w:ascii="仿宋" w:hAnsi="仿宋" w:eastAsia="仿宋"/>
          <w:color w:val="000000"/>
          <w:szCs w:val="32"/>
          <w:lang w:eastAsia="zh-CN"/>
        </w:rPr>
      </w:pPr>
      <w:r>
        <w:rPr>
          <w:rFonts w:hint="eastAsia" w:ascii="仿宋" w:hAnsi="仿宋" w:eastAsia="仿宋"/>
          <w:color w:val="000000"/>
          <w:szCs w:val="32"/>
        </w:rPr>
        <w:t>人员经费49.77万元，主要包括：基本工资、津贴补贴、奖金、机关事业单位基本养老保险缴费、职工基本医疗保险缴费、其他社会保障缴费、住房公积金、其他工资福利支出、奖励金、其他对个人和家庭的补助支出等。</w:t>
      </w:r>
    </w:p>
    <w:p>
      <w:pPr>
        <w:spacing w:line="600" w:lineRule="exact"/>
        <w:ind w:firstLine="645"/>
        <w:rPr>
          <w:rFonts w:ascii="仿宋" w:hAnsi="仿宋" w:eastAsia="仿宋"/>
          <w:b/>
          <w:color w:val="FF0000"/>
          <w:szCs w:val="32"/>
        </w:rPr>
      </w:pPr>
      <w:r>
        <w:rPr>
          <w:rFonts w:hint="eastAsia" w:ascii="仿宋" w:hAnsi="仿宋" w:eastAsia="仿宋"/>
          <w:color w:val="000000"/>
          <w:szCs w:val="32"/>
        </w:rPr>
        <w:t>日常公用经费7.43万元，主要包括：办公费、印刷费、邮电费、差旅费、劳务费、工会经费、其他交通费、其他商品和服务支出等。</w:t>
      </w:r>
      <w:bookmarkStart w:id="40" w:name="_Toc15377215"/>
      <w:bookmarkStart w:id="41" w:name="_Toc6926"/>
      <w:bookmarkStart w:id="42" w:name="_Toc15396609"/>
    </w:p>
    <w:p>
      <w:pPr>
        <w:spacing w:line="600" w:lineRule="exact"/>
        <w:ind w:firstLine="640"/>
        <w:outlineLvl w:val="1"/>
        <w:rPr>
          <w:rStyle w:val="16"/>
          <w:rFonts w:ascii="黑体" w:hAnsi="黑体" w:eastAsia="黑体"/>
          <w:b w:val="0"/>
        </w:rPr>
      </w:pPr>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40"/>
      <w:bookmarkEnd w:id="41"/>
      <w:bookmarkEnd w:id="42"/>
    </w:p>
    <w:p>
      <w:pPr>
        <w:spacing w:line="600" w:lineRule="exact"/>
        <w:ind w:firstLine="640"/>
        <w:outlineLvl w:val="2"/>
        <w:rPr>
          <w:rFonts w:ascii="仿宋" w:hAnsi="仿宋" w:eastAsia="仿宋"/>
          <w:b/>
          <w:color w:val="000000"/>
          <w:szCs w:val="32"/>
        </w:rPr>
      </w:pPr>
      <w:bookmarkStart w:id="43" w:name="_Toc15377216"/>
      <w:r>
        <w:rPr>
          <w:rFonts w:hint="eastAsia" w:ascii="仿宋" w:hAnsi="仿宋" w:eastAsia="仿宋"/>
          <w:b/>
          <w:color w:val="000000"/>
          <w:szCs w:val="32"/>
        </w:rPr>
        <w:t>（一）“三公”经费财政拨款支出决算总体情况说明</w:t>
      </w:r>
      <w:bookmarkEnd w:id="43"/>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年“三公”经费财政拨款支出决算为0万元，预算数为0.38万元，完成预算0</w:t>
      </w:r>
      <w:r>
        <w:rPr>
          <w:rFonts w:ascii="仿宋" w:hAnsi="仿宋" w:eastAsia="仿宋"/>
          <w:color w:val="000000"/>
          <w:szCs w:val="32"/>
        </w:rPr>
        <w:t>%</w:t>
      </w:r>
      <w:r>
        <w:rPr>
          <w:rFonts w:hint="eastAsia" w:ascii="仿宋" w:hAnsi="仿宋" w:eastAsia="仿宋"/>
          <w:color w:val="000000"/>
          <w:szCs w:val="32"/>
        </w:rPr>
        <w:t>，决算数小于预算数的主要原因是厉行节约，减少了支出。</w:t>
      </w:r>
    </w:p>
    <w:p>
      <w:pPr>
        <w:spacing w:line="600" w:lineRule="exact"/>
        <w:ind w:firstLine="640"/>
        <w:outlineLvl w:val="2"/>
        <w:rPr>
          <w:rFonts w:ascii="仿宋" w:hAnsi="仿宋" w:eastAsia="仿宋"/>
          <w:b/>
          <w:color w:val="000000"/>
          <w:szCs w:val="32"/>
        </w:rPr>
      </w:pPr>
      <w:bookmarkStart w:id="44" w:name="_Toc15377217"/>
      <w:r>
        <w:rPr>
          <w:rFonts w:hint="eastAsia" w:ascii="仿宋" w:hAnsi="仿宋" w:eastAsia="仿宋"/>
          <w:b/>
          <w:color w:val="000000"/>
          <w:szCs w:val="32"/>
        </w:rPr>
        <w:t>（二）“三公”经费财政拨款支出决算具体情况说明</w:t>
      </w:r>
      <w:bookmarkEnd w:id="44"/>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3" w:firstLineChars="20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全年安排因公出国（境）团组0次，出国（境）0人。因公出国（境）支出决算与2019年持平。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公务用车购置及运行维护费支出决算与2019年持平。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年减少0.24万元，下降100</w:t>
      </w:r>
      <w:r>
        <w:rPr>
          <w:rFonts w:ascii="仿宋_GB2312"/>
          <w:color w:val="000000"/>
          <w:szCs w:val="32"/>
        </w:rPr>
        <w:t>%</w:t>
      </w:r>
      <w:r>
        <w:rPr>
          <w:rFonts w:hint="eastAsia" w:ascii="仿宋_GB2312"/>
          <w:color w:val="000000"/>
          <w:szCs w:val="32"/>
        </w:rPr>
        <w:t>。主要原因是</w:t>
      </w:r>
      <w:r>
        <w:rPr>
          <w:rFonts w:hint="eastAsia" w:ascii="仿宋" w:hAnsi="仿宋" w:eastAsia="仿宋"/>
          <w:color w:val="000000"/>
          <w:szCs w:val="32"/>
        </w:rPr>
        <w:t>厉行节约，减少了支出</w:t>
      </w:r>
      <w:r>
        <w:rPr>
          <w:rFonts w:hint="eastAsia" w:ascii="仿宋_GB2312"/>
          <w:color w:val="000000"/>
          <w:szCs w:val="32"/>
        </w:rPr>
        <w:t>。其中：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w:t>
      </w:r>
      <w:r>
        <w:rPr>
          <w:rFonts w:hint="eastAsia" w:ascii="仿宋_GB2312"/>
          <w:color w:val="000000"/>
          <w:szCs w:val="32"/>
        </w:rPr>
        <w:t>万元。国内公务接待0批次，0人次（不包括陪同人员），共计支出0万元。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600" w:lineRule="exact"/>
        <w:ind w:firstLine="640"/>
        <w:outlineLvl w:val="1"/>
        <w:rPr>
          <w:rFonts w:ascii="黑体" w:eastAsia="黑体"/>
          <w:color w:val="000000"/>
          <w:szCs w:val="32"/>
        </w:rPr>
      </w:pPr>
      <w:bookmarkStart w:id="45" w:name="_Toc15396610"/>
      <w:bookmarkStart w:id="46" w:name="_Toc15377218"/>
    </w:p>
    <w:p>
      <w:pPr>
        <w:spacing w:line="600" w:lineRule="exact"/>
        <w:ind w:firstLine="640"/>
        <w:outlineLvl w:val="1"/>
        <w:rPr>
          <w:rStyle w:val="16"/>
          <w:rFonts w:ascii="黑体" w:hAnsi="黑体" w:eastAsia="黑体"/>
        </w:rPr>
      </w:pPr>
      <w:bookmarkStart w:id="47" w:name="_Toc9843"/>
      <w:r>
        <w:rPr>
          <w:rFonts w:hint="eastAsia" w:ascii="黑体" w:eastAsia="黑体"/>
          <w:color w:val="000000"/>
          <w:szCs w:val="32"/>
        </w:rPr>
        <w:t>八、</w:t>
      </w:r>
      <w:r>
        <w:rPr>
          <w:rStyle w:val="16"/>
          <w:rFonts w:hint="eastAsia" w:ascii="黑体" w:hAnsi="黑体" w:eastAsia="黑体"/>
          <w:b w:val="0"/>
        </w:rPr>
        <w:t>政府性基金预算支出决算情况说明</w:t>
      </w:r>
      <w:bookmarkEnd w:id="45"/>
      <w:bookmarkEnd w:id="46"/>
      <w:bookmarkEnd w:id="47"/>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4"/>
        </w:numPr>
        <w:spacing w:line="600" w:lineRule="exact"/>
        <w:ind w:firstLine="640"/>
        <w:outlineLvl w:val="1"/>
        <w:rPr>
          <w:rStyle w:val="16"/>
          <w:rFonts w:ascii="黑体" w:hAnsi="黑体" w:eastAsia="黑体"/>
          <w:b w:val="0"/>
        </w:rPr>
      </w:pPr>
      <w:bookmarkStart w:id="48" w:name="_Toc15396611"/>
      <w:bookmarkStart w:id="49" w:name="_Toc10775"/>
      <w:bookmarkStart w:id="50" w:name="_Toc15377219"/>
      <w:r>
        <w:rPr>
          <w:rStyle w:val="16"/>
          <w:rFonts w:hint="eastAsia" w:ascii="黑体" w:hAnsi="黑体" w:eastAsia="黑体"/>
          <w:b w:val="0"/>
        </w:rPr>
        <w:t>国有资本经营预算支出决算情况说明</w:t>
      </w:r>
      <w:bookmarkEnd w:id="48"/>
      <w:bookmarkEnd w:id="49"/>
      <w:bookmarkEnd w:id="50"/>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6"/>
          <w:rFonts w:ascii="黑体" w:hAnsi="黑体" w:eastAsia="黑体"/>
        </w:rPr>
      </w:pPr>
      <w:bookmarkStart w:id="51" w:name="_Toc738"/>
      <w:bookmarkStart w:id="52" w:name="_Toc15377221"/>
      <w:bookmarkStart w:id="53" w:name="_Toc15396612"/>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51"/>
      <w:bookmarkEnd w:id="52"/>
      <w:bookmarkEnd w:id="53"/>
    </w:p>
    <w:p>
      <w:pPr>
        <w:spacing w:line="600" w:lineRule="exact"/>
        <w:ind w:firstLine="643" w:firstLineChars="200"/>
        <w:outlineLvl w:val="2"/>
        <w:rPr>
          <w:rFonts w:ascii="仿宋" w:hAnsi="仿宋" w:eastAsia="仿宋"/>
          <w:color w:val="000000"/>
          <w:szCs w:val="32"/>
        </w:rPr>
      </w:pPr>
      <w:bookmarkStart w:id="54" w:name="_Toc15377222"/>
      <w:r>
        <w:rPr>
          <w:rFonts w:hint="eastAsia" w:ascii="仿宋" w:hAnsi="仿宋" w:eastAsia="仿宋"/>
          <w:b/>
          <w:color w:val="000000"/>
          <w:szCs w:val="32"/>
        </w:rPr>
        <w:t>（一）机关运行经费支出情况</w:t>
      </w:r>
      <w:bookmarkEnd w:id="54"/>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年，机关运行经费支出7.43万元，比</w:t>
      </w:r>
      <w:r>
        <w:rPr>
          <w:rFonts w:ascii="仿宋_GB2312"/>
          <w:color w:val="000000"/>
          <w:szCs w:val="32"/>
        </w:rPr>
        <w:t>2019</w:t>
      </w:r>
      <w:r>
        <w:rPr>
          <w:rFonts w:hint="eastAsia" w:ascii="仿宋_GB2312"/>
          <w:color w:val="000000"/>
          <w:szCs w:val="32"/>
        </w:rPr>
        <w:t>年减少15.14万元，下降67.1</w:t>
      </w:r>
      <w:r>
        <w:rPr>
          <w:rFonts w:ascii="仿宋_GB2312"/>
          <w:color w:val="000000"/>
          <w:szCs w:val="32"/>
        </w:rPr>
        <w:t>%</w:t>
      </w:r>
      <w:r>
        <w:rPr>
          <w:rFonts w:hint="eastAsia" w:ascii="仿宋_GB2312"/>
          <w:color w:val="000000"/>
          <w:szCs w:val="32"/>
        </w:rPr>
        <w:t>。主要原因是厉行节约，减少了支出。</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5" w:name="_Toc15377223"/>
      <w:r>
        <w:rPr>
          <w:rFonts w:hint="eastAsia" w:ascii="仿宋" w:hAnsi="仿宋" w:eastAsia="仿宋"/>
          <w:b/>
          <w:color w:val="000000"/>
          <w:szCs w:val="32"/>
        </w:rPr>
        <w:t>（二）政府采购支出情况</w:t>
      </w:r>
      <w:bookmarkEnd w:id="55"/>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年，政府采购支出总额0万元，其中：政府采购货物支出0万元、政府采购工程支出0万元、政府采购服务支出0万元。授予中小企业合同金额0万元，占政府采购支出总额的0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6" w:name="_Toc15377224"/>
      <w:r>
        <w:rPr>
          <w:rFonts w:hint="eastAsia" w:ascii="仿宋" w:hAnsi="仿宋" w:eastAsia="仿宋"/>
          <w:b/>
          <w:color w:val="000000"/>
          <w:szCs w:val="32"/>
        </w:rPr>
        <w:t>（三）国有资产占有使用情况</w:t>
      </w:r>
      <w:bookmarkEnd w:id="56"/>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日，自流井区工商联共有车辆0辆，其中：主要领导干部用车0辆、机要通信用车0辆、应急保障用车0辆、其他用车0辆，单价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本级）在年初预算编制阶段，组织对1项目开展了预算事前绩效评估，对1个项目编制了绩效目标，预算执行过程中，选取1个项目开展绩效监控，年终执行完毕后，对1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按要求对2020年单位（本级）整体支出开展绩效自评，从评价情况来看全面完成了当年目标任务。本单位还自行组织了1个项目支出绩效评价，由于本单位无专项预算项目，因此未组织开展项目支出绩效评价。</w:t>
      </w:r>
    </w:p>
    <w:p>
      <w:pPr>
        <w:pStyle w:val="2"/>
        <w:spacing w:before="93"/>
        <w:ind w:firstLine="640" w:firstLineChars="200"/>
        <w:rPr>
          <w:rFonts w:hint="eastAsia" w:ascii="楷体_GB2312" w:hAnsi="楷体_GB2312" w:eastAsia="楷体_GB2312" w:cs="楷体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pStyle w:val="2"/>
        <w:spacing w:before="93"/>
        <w:ind w:firstLine="640" w:firstLineChars="200"/>
      </w:pPr>
      <w:r>
        <w:rPr>
          <w:rFonts w:hAnsi="仿宋_GB2312" w:cs="仿宋_GB2312"/>
          <w:sz w:val="32"/>
          <w:szCs w:val="32"/>
        </w:rPr>
        <w:t xml:space="preserve">    </w:t>
      </w:r>
      <w:r>
        <w:rPr>
          <w:rFonts w:hint="eastAsia" w:hAnsi="仿宋_GB2312" w:cs="仿宋_GB2312"/>
          <w:sz w:val="32"/>
          <w:szCs w:val="32"/>
        </w:rPr>
        <w:t>本单位在</w:t>
      </w:r>
      <w:r>
        <w:rPr>
          <w:rFonts w:hAnsi="仿宋_GB2312" w:cs="仿宋_GB2312"/>
          <w:sz w:val="32"/>
          <w:szCs w:val="32"/>
        </w:rPr>
        <w:t>2020</w:t>
      </w:r>
      <w:r>
        <w:rPr>
          <w:rFonts w:hint="eastAsia" w:hAnsi="仿宋_GB2312" w:cs="仿宋_GB2312"/>
          <w:sz w:val="32"/>
          <w:szCs w:val="32"/>
        </w:rPr>
        <w:t>年度单位决算中反映1个项目绩效目标实际完成情况。</w:t>
      </w: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Cs/>
                <w:color w:val="000000"/>
                <w:kern w:val="0"/>
                <w:sz w:val="36"/>
                <w:szCs w:val="36"/>
                <w:lang w:eastAsia="zh-CN"/>
              </w:rPr>
            </w:pPr>
            <w:r>
              <w:rPr>
                <w:rFonts w:hint="eastAsia" w:ascii="宋体" w:hAnsi="宋体" w:cs="宋体"/>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工商联理想信念教育项目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自贡市自流井区工商业联合会</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11.2</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11.2</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0</w:t>
            </w:r>
          </w:p>
        </w:tc>
      </w:tr>
      <w:tr>
        <w:tblPrEx>
          <w:tblCellMar>
            <w:top w:w="0" w:type="dxa"/>
            <w:left w:w="0" w:type="dxa"/>
            <w:bottom w:w="0" w:type="dxa"/>
            <w:right w:w="0" w:type="dxa"/>
          </w:tblCellMar>
        </w:tblPrEx>
        <w:trPr>
          <w:trHeight w:val="401"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1、调研非公企业15家；</w:t>
            </w:r>
          </w:p>
          <w:p>
            <w:pPr>
              <w:pStyle w:val="2"/>
              <w:spacing w:before="93"/>
              <w:jc w:val="left"/>
            </w:pPr>
            <w:r>
              <w:rPr>
                <w:rFonts w:hint="eastAsia"/>
              </w:rPr>
              <w:t>2、组织1次理想信念教育活动；</w:t>
            </w:r>
          </w:p>
          <w:p>
            <w:pPr>
              <w:pStyle w:val="2"/>
              <w:spacing w:before="93"/>
              <w:jc w:val="left"/>
            </w:pPr>
            <w:r>
              <w:rPr>
                <w:rFonts w:hint="eastAsia"/>
              </w:rPr>
              <w:t>3、形成调研报告2篇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kern w:val="0"/>
                <w:sz w:val="24"/>
                <w:szCs w:val="20"/>
              </w:rPr>
            </w:pPr>
            <w:r>
              <w:rPr>
                <w:rFonts w:hint="eastAsia" w:ascii="仿宋_GB2312"/>
                <w:kern w:val="0"/>
                <w:sz w:val="24"/>
                <w:szCs w:val="20"/>
              </w:rPr>
              <w:t>1、调研非公企业20家；</w:t>
            </w:r>
          </w:p>
          <w:p>
            <w:pPr>
              <w:pStyle w:val="2"/>
              <w:spacing w:before="93"/>
              <w:jc w:val="left"/>
            </w:pPr>
            <w:r>
              <w:rPr>
                <w:rFonts w:hint="eastAsia"/>
              </w:rPr>
              <w:t>2、完成1次理想信念教育活动；</w:t>
            </w:r>
          </w:p>
          <w:p>
            <w:pPr>
              <w:widowControl/>
              <w:jc w:val="left"/>
              <w:textAlignment w:val="center"/>
              <w:rPr>
                <w:rFonts w:ascii="宋体" w:cs="宋体"/>
                <w:color w:val="000000"/>
                <w:sz w:val="24"/>
              </w:rPr>
            </w:pPr>
            <w:r>
              <w:rPr>
                <w:rFonts w:hint="eastAsia" w:ascii="仿宋_GB2312"/>
                <w:kern w:val="0"/>
                <w:sz w:val="24"/>
                <w:szCs w:val="20"/>
              </w:rPr>
              <w:t>3、形成调研报告2篇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调研单位个数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≥15个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20个</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完成调研报告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2篇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sz w:val="20"/>
                <w:szCs w:val="20"/>
              </w:rPr>
              <w:t>2篇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12月底前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sz w:val="20"/>
                <w:szCs w:val="20"/>
              </w:rPr>
              <w:t>12月底前</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开展活动次数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≥1次</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1次</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参加人次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≥40人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42人</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11月底前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8月</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非公经济人士理想信念教育</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增强对社会主义的信念，对党和政府的信任，对企业发展的信心，对社会的信誉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sz w:val="20"/>
                <w:szCs w:val="20"/>
              </w:rPr>
              <w:t>完成理想信念教育目标</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促进非公企业间交流发展</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sz w:val="20"/>
                <w:szCs w:val="20"/>
              </w:rPr>
            </w:pPr>
            <w:r>
              <w:rPr>
                <w:rFonts w:hint="eastAsia"/>
                <w:sz w:val="20"/>
                <w:szCs w:val="20"/>
              </w:rPr>
              <w:t>探讨企业发展困境原因及应对对策，如何转型升级，促进非公经济企业发展壮大</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20"/>
                <w:szCs w:val="20"/>
              </w:rPr>
            </w:pPr>
            <w:r>
              <w:rPr>
                <w:rFonts w:hint="eastAsia"/>
                <w:sz w:val="20"/>
                <w:szCs w:val="20"/>
              </w:rPr>
              <w:t>促成非公经济企业间交流发展</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p>
            <w:pPr>
              <w:pStyle w:val="2"/>
              <w:spacing w:before="93"/>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≥96%</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98</w:t>
            </w:r>
          </w:p>
        </w:tc>
      </w:tr>
    </w:tbl>
    <w:p>
      <w:pPr>
        <w:spacing w:line="580" w:lineRule="exact"/>
        <w:rPr>
          <w:rFonts w:ascii="仿宋_GB2312" w:hAnsi="仿宋_GB2312" w:cs="仿宋_GB2312"/>
          <w:szCs w:val="32"/>
        </w:rPr>
      </w:pPr>
    </w:p>
    <w:p>
      <w:pPr>
        <w:pStyle w:val="2"/>
        <w:spacing w:before="93"/>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单位（本级）绩效评价结果。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本单位按要求对</w:t>
      </w:r>
      <w:r>
        <w:rPr>
          <w:rFonts w:ascii="仿宋_GB2312" w:hAnsi="仿宋_GB2312" w:cs="仿宋_GB2312"/>
          <w:szCs w:val="32"/>
        </w:rPr>
        <w:t>2020</w:t>
      </w:r>
      <w:r>
        <w:rPr>
          <w:rFonts w:hint="eastAsia" w:ascii="仿宋_GB2312" w:hAnsi="仿宋_GB2312" w:cs="仿宋_GB2312"/>
          <w:szCs w:val="32"/>
        </w:rPr>
        <w:t>年单位整体支出绩效评价情况开展自评，《自贡市自流井区工商业联合会</w:t>
      </w:r>
      <w:r>
        <w:rPr>
          <w:rFonts w:ascii="仿宋_GB2312" w:hAnsi="仿宋_GB2312" w:cs="仿宋_GB2312"/>
          <w:szCs w:val="32"/>
        </w:rPr>
        <w:t>2020</w:t>
      </w:r>
      <w:r>
        <w:rPr>
          <w:rFonts w:hint="eastAsia" w:ascii="仿宋_GB2312" w:hAnsi="仿宋_GB2312" w:cs="仿宋_GB2312"/>
          <w:szCs w:val="32"/>
        </w:rPr>
        <w:t>年单位（本级）整体支出绩效评价报告》见附件（附件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本单位（本级）未组织项目绩效评价，《项目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5"/>
        </w:numPr>
        <w:spacing w:line="600" w:lineRule="exact"/>
        <w:ind w:firstLine="660" w:firstLineChars="150"/>
        <w:jc w:val="center"/>
        <w:outlineLvl w:val="0"/>
        <w:rPr>
          <w:rStyle w:val="15"/>
          <w:rFonts w:ascii="黑体" w:hAnsi="黑体" w:eastAsia="黑体"/>
          <w:b w:val="0"/>
        </w:rPr>
      </w:pPr>
      <w:bookmarkStart w:id="57" w:name="_Toc15396613"/>
      <w:bookmarkStart w:id="58" w:name="_Toc15377225"/>
      <w:bookmarkStart w:id="59" w:name="_Toc3536"/>
      <w:r>
        <w:rPr>
          <w:rFonts w:hint="eastAsia" w:ascii="黑体" w:hAnsi="黑体" w:eastAsia="黑体"/>
          <w:color w:val="000000"/>
          <w:sz w:val="44"/>
          <w:szCs w:val="44"/>
        </w:rPr>
        <w:t>名</w:t>
      </w:r>
      <w:r>
        <w:rPr>
          <w:rStyle w:val="15"/>
          <w:rFonts w:hint="eastAsia" w:ascii="黑体" w:hAnsi="黑体" w:eastAsia="黑体"/>
          <w:b w:val="0"/>
        </w:rPr>
        <w:t>词解释</w:t>
      </w:r>
      <w:bookmarkEnd w:id="57"/>
      <w:bookmarkEnd w:id="58"/>
      <w:bookmarkEnd w:id="59"/>
    </w:p>
    <w:p>
      <w:pPr>
        <w:spacing w:line="600" w:lineRule="exact"/>
        <w:jc w:val="left"/>
        <w:rPr>
          <w:rFonts w:ascii="宋体"/>
          <w:b/>
          <w:color w:val="000000"/>
          <w:sz w:val="44"/>
          <w:szCs w:val="44"/>
        </w:rPr>
      </w:pPr>
    </w:p>
    <w:p>
      <w:pPr>
        <w:pStyle w:val="18"/>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600" w:lineRule="exact"/>
        <w:ind w:firstLine="640" w:firstLineChars="200"/>
        <w:rPr>
          <w:rStyle w:val="13"/>
          <w:rFonts w:ascii="仿宋" w:hAnsi="仿宋" w:eastAsia="仿宋"/>
          <w:b w:val="0"/>
          <w:color w:val="000000"/>
          <w:szCs w:val="32"/>
        </w:rPr>
      </w:pPr>
      <w:r>
        <w:rPr>
          <w:rFonts w:hint="eastAsia" w:ascii="仿宋_GB2312"/>
          <w:color w:val="000000"/>
          <w:szCs w:val="32"/>
        </w:rPr>
        <w:t>9</w:t>
      </w:r>
      <w:r>
        <w:rPr>
          <w:rFonts w:ascii="仿宋_GB2312"/>
          <w:color w:val="000000"/>
          <w:szCs w:val="32"/>
        </w:rPr>
        <w:t>.</w:t>
      </w:r>
      <w:r>
        <w:rPr>
          <w:rStyle w:val="13"/>
          <w:rFonts w:hint="eastAsia" w:ascii="仿宋" w:hAnsi="仿宋" w:eastAsia="仿宋"/>
          <w:b w:val="0"/>
          <w:bCs/>
          <w:color w:val="000000"/>
          <w:szCs w:val="32"/>
        </w:rPr>
        <w:t xml:space="preserve">一般公共服务支出（类）民主党派及工商联事务（款）行政运行（项）: </w:t>
      </w:r>
      <w:r>
        <w:rPr>
          <w:rStyle w:val="13"/>
          <w:rFonts w:hint="eastAsia" w:ascii="仿宋" w:hAnsi="仿宋" w:eastAsia="仿宋"/>
          <w:b w:val="0"/>
          <w:color w:val="000000"/>
          <w:szCs w:val="32"/>
        </w:rPr>
        <w:t>指反映行政单位（包括实行公务员管理的事业单位）的基本支出。</w:t>
      </w:r>
    </w:p>
    <w:p>
      <w:pPr>
        <w:spacing w:line="600" w:lineRule="exact"/>
        <w:ind w:firstLine="640" w:firstLineChars="200"/>
        <w:rPr>
          <w:rFonts w:ascii="仿宋" w:hAnsi="仿宋" w:eastAsia="仿宋"/>
          <w:b/>
          <w:color w:val="000000"/>
          <w:szCs w:val="32"/>
        </w:rPr>
      </w:pPr>
      <w:r>
        <w:rPr>
          <w:rStyle w:val="13"/>
          <w:rFonts w:hint="eastAsia" w:ascii="仿宋" w:hAnsi="仿宋" w:eastAsia="仿宋"/>
          <w:b w:val="0"/>
          <w:bCs/>
          <w:color w:val="000000"/>
          <w:szCs w:val="32"/>
        </w:rPr>
        <w:t>10.一般公共服务支出（类）民主党派及工商联事务（款）一般行政管理事务（项）: 指反映行政单位</w:t>
      </w:r>
      <w:r>
        <w:rPr>
          <w:rStyle w:val="13"/>
          <w:rFonts w:hint="eastAsia" w:ascii="仿宋" w:hAnsi="仿宋" w:eastAsia="仿宋"/>
          <w:b w:val="0"/>
          <w:color w:val="000000"/>
          <w:szCs w:val="32"/>
        </w:rPr>
        <w:t>（包括实行公务员管理的事业单位）</w:t>
      </w:r>
      <w:r>
        <w:rPr>
          <w:rStyle w:val="13"/>
          <w:rFonts w:hint="eastAsia" w:ascii="仿宋" w:hAnsi="仿宋" w:eastAsia="仿宋"/>
          <w:b w:val="0"/>
          <w:bCs/>
          <w:color w:val="000000"/>
          <w:szCs w:val="32"/>
        </w:rPr>
        <w:t>未单独设置项级科目的其他项目支出。</w:t>
      </w:r>
    </w:p>
    <w:p>
      <w:pPr>
        <w:ind w:firstLine="640" w:firstLineChars="200"/>
        <w:rPr>
          <w:rFonts w:ascii="仿宋" w:hAnsi="仿宋" w:eastAsia="仿宋"/>
          <w:b/>
          <w:color w:val="000000"/>
          <w:szCs w:val="32"/>
        </w:rPr>
      </w:pPr>
      <w:r>
        <w:rPr>
          <w:rStyle w:val="13"/>
          <w:rFonts w:hint="eastAsia" w:ascii="仿宋" w:hAnsi="仿宋" w:eastAsia="仿宋"/>
          <w:b w:val="0"/>
          <w:bCs/>
          <w:color w:val="000000"/>
          <w:szCs w:val="32"/>
        </w:rPr>
        <w:t>11</w:t>
      </w:r>
      <w:r>
        <w:rPr>
          <w:rStyle w:val="13"/>
          <w:rFonts w:ascii="仿宋" w:hAnsi="仿宋" w:eastAsia="仿宋"/>
          <w:b w:val="0"/>
          <w:bCs/>
          <w:color w:val="000000"/>
          <w:szCs w:val="32"/>
        </w:rPr>
        <w:t>.</w:t>
      </w:r>
      <w:r>
        <w:rPr>
          <w:rStyle w:val="13"/>
          <w:rFonts w:hint="eastAsia" w:ascii="仿宋" w:hAnsi="仿宋" w:eastAsia="仿宋"/>
          <w:b w:val="0"/>
          <w:bCs/>
          <w:color w:val="000000"/>
          <w:szCs w:val="32"/>
        </w:rPr>
        <w:t>一般公共服务支出（类）民主党派及工商联事务（款）  其他民主党派及工商联事务支出（项）: 指反映除上述项目以外的其他用于民主党派及工商联</w:t>
      </w:r>
      <w:r>
        <w:rPr>
          <w:rStyle w:val="13"/>
          <w:rFonts w:hint="eastAsia" w:ascii="仿宋" w:hAnsi="仿宋" w:eastAsia="仿宋"/>
          <w:b w:val="0"/>
          <w:color w:val="000000"/>
          <w:szCs w:val="32"/>
        </w:rPr>
        <w:t>事务方面的支出</w:t>
      </w:r>
      <w:r>
        <w:rPr>
          <w:rFonts w:hint="eastAsia" w:ascii="仿宋" w:hAnsi="仿宋" w:eastAsia="仿宋"/>
          <w:b/>
          <w:color w:val="000000"/>
          <w:szCs w:val="32"/>
        </w:rPr>
        <w:t>。</w:t>
      </w:r>
    </w:p>
    <w:p>
      <w:pPr>
        <w:ind w:firstLine="640" w:firstLineChars="200"/>
        <w:rPr>
          <w:rFonts w:ascii="仿宋_GB2312"/>
          <w:b/>
          <w:color w:val="000000"/>
          <w:szCs w:val="32"/>
        </w:rPr>
      </w:pPr>
      <w:r>
        <w:rPr>
          <w:rStyle w:val="13"/>
          <w:rFonts w:hint="eastAsia" w:ascii="仿宋" w:hAnsi="仿宋" w:eastAsia="仿宋"/>
          <w:b w:val="0"/>
          <w:color w:val="000000"/>
          <w:szCs w:val="32"/>
        </w:rPr>
        <w:t>12.社会保障和就业（类）行政事业单位养老支出（款）行政单位离退休（项）：指反映行政单位（包括实行公务员管理的事业单位）开支的离退休经费。</w:t>
      </w:r>
    </w:p>
    <w:p>
      <w:pPr>
        <w:ind w:firstLine="640" w:firstLineChars="200"/>
        <w:rPr>
          <w:rStyle w:val="13"/>
          <w:rFonts w:ascii="仿宋_GB2312" w:hAnsi="仿宋"/>
          <w:b w:val="0"/>
          <w:color w:val="000000"/>
          <w:szCs w:val="32"/>
        </w:rPr>
      </w:pPr>
      <w:r>
        <w:rPr>
          <w:rStyle w:val="13"/>
          <w:rFonts w:hint="eastAsia" w:ascii="仿宋_GB2312"/>
          <w:b w:val="0"/>
          <w:color w:val="000000"/>
          <w:szCs w:val="32"/>
        </w:rPr>
        <w:t>13.</w:t>
      </w:r>
      <w:r>
        <w:rPr>
          <w:rStyle w:val="13"/>
          <w:rFonts w:hint="eastAsia" w:ascii="仿宋" w:hAnsi="仿宋" w:eastAsia="仿宋"/>
          <w:b w:val="0"/>
          <w:color w:val="000000"/>
          <w:szCs w:val="32"/>
        </w:rPr>
        <w:t>社会保障和就业支出（类）行政事业单位养老支出（款）机关事业单位基本养老保险缴费支出（项）</w:t>
      </w:r>
      <w:r>
        <w:rPr>
          <w:rStyle w:val="13"/>
          <w:rFonts w:ascii="仿宋" w:hAnsi="仿宋" w:eastAsia="仿宋"/>
          <w:b w:val="0"/>
          <w:bCs/>
          <w:color w:val="000000"/>
          <w:szCs w:val="32"/>
        </w:rPr>
        <w:t>:</w:t>
      </w:r>
      <w:r>
        <w:rPr>
          <w:rStyle w:val="15"/>
          <w:rFonts w:hint="eastAsia" w:ascii="仿宋_GB2312" w:hAnsi="仿宋"/>
          <w:b w:val="0"/>
          <w:color w:val="000000"/>
          <w:szCs w:val="32"/>
        </w:rPr>
        <w:t xml:space="preserve"> </w:t>
      </w:r>
      <w:r>
        <w:rPr>
          <w:rStyle w:val="15"/>
          <w:rFonts w:hint="eastAsia" w:ascii="仿宋_GB2312" w:hAnsi="仿宋"/>
          <w:b w:val="0"/>
          <w:color w:val="000000"/>
          <w:sz w:val="32"/>
          <w:szCs w:val="32"/>
        </w:rPr>
        <w:t>指</w:t>
      </w:r>
      <w:r>
        <w:rPr>
          <w:rStyle w:val="13"/>
          <w:rFonts w:hint="eastAsia" w:ascii="仿宋_GB2312" w:hAnsi="仿宋"/>
          <w:b w:val="0"/>
          <w:color w:val="000000"/>
          <w:szCs w:val="32"/>
        </w:rPr>
        <w:t>反映机关事业单位实施养老保险制度由单位缴纳的基本养老保险费支出。</w:t>
      </w:r>
    </w:p>
    <w:p>
      <w:pPr>
        <w:ind w:firstLine="640" w:firstLineChars="200"/>
        <w:rPr>
          <w:rStyle w:val="13"/>
          <w:rFonts w:ascii="仿宋_GB2312"/>
          <w:b w:val="0"/>
          <w:color w:val="000000"/>
          <w:szCs w:val="32"/>
        </w:rPr>
      </w:pPr>
      <w:r>
        <w:rPr>
          <w:rStyle w:val="13"/>
          <w:rFonts w:hint="eastAsia" w:ascii="仿宋_GB2312"/>
          <w:b w:val="0"/>
          <w:color w:val="000000"/>
          <w:szCs w:val="32"/>
        </w:rPr>
        <w:t>14</w:t>
      </w:r>
      <w:r>
        <w:rPr>
          <w:rStyle w:val="13"/>
          <w:rFonts w:ascii="仿宋" w:hAnsi="仿宋" w:eastAsia="仿宋"/>
          <w:b w:val="0"/>
          <w:bCs/>
          <w:color w:val="000000"/>
          <w:szCs w:val="32"/>
        </w:rPr>
        <w:t>.</w:t>
      </w:r>
      <w:r>
        <w:rPr>
          <w:rStyle w:val="13"/>
          <w:rFonts w:hint="eastAsia" w:ascii="仿宋" w:hAnsi="仿宋" w:eastAsia="仿宋"/>
          <w:b w:val="0"/>
          <w:color w:val="000000"/>
          <w:szCs w:val="32"/>
        </w:rPr>
        <w:t>卫生健康支出（类）行政事业单位医疗（款）行政单位医疗（项）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指</w:t>
      </w:r>
      <w:r>
        <w:rPr>
          <w:rStyle w:val="13"/>
          <w:rFonts w:hint="eastAsia" w:ascii="仿宋_GB2312" w:hAnsi="仿宋"/>
          <w:b w:val="0"/>
          <w:color w:val="000000"/>
          <w:szCs w:val="32"/>
        </w:rPr>
        <w:t>反映财政部门安排的行政单位</w:t>
      </w:r>
      <w:r>
        <w:rPr>
          <w:rStyle w:val="13"/>
          <w:rFonts w:hint="eastAsia" w:ascii="仿宋" w:hAnsi="仿宋" w:eastAsia="仿宋"/>
          <w:b w:val="0"/>
          <w:szCs w:val="32"/>
        </w:rPr>
        <w:t>（</w:t>
      </w:r>
      <w:r>
        <w:rPr>
          <w:rStyle w:val="13"/>
          <w:rFonts w:hint="eastAsia" w:ascii="仿宋" w:hAnsi="仿宋" w:eastAsia="仿宋"/>
          <w:b w:val="0"/>
          <w:color w:val="000000"/>
          <w:szCs w:val="32"/>
        </w:rPr>
        <w:t>包括实行公务员管理的事业单位</w:t>
      </w:r>
      <w:r>
        <w:rPr>
          <w:rStyle w:val="13"/>
          <w:rFonts w:hint="eastAsia" w:ascii="仿宋" w:hAnsi="仿宋" w:eastAsia="仿宋"/>
          <w:b w:val="0"/>
          <w:szCs w:val="32"/>
        </w:rPr>
        <w:t>）</w:t>
      </w:r>
      <w:r>
        <w:rPr>
          <w:rStyle w:val="13"/>
          <w:rFonts w:hint="eastAsia" w:ascii="仿宋_GB2312" w:hAnsi="仿宋"/>
          <w:b w:val="0"/>
          <w:color w:val="000000"/>
          <w:szCs w:val="32"/>
        </w:rPr>
        <w:t>基本医疗保险缴费经费，未参加医疗保险的行政单位的公费医疗经费，按国家规定享受离休人员、红军老战士待遇的医疗经费。</w:t>
      </w:r>
    </w:p>
    <w:p>
      <w:pPr>
        <w:ind w:firstLine="640" w:firstLineChars="200"/>
        <w:rPr>
          <w:rFonts w:ascii="仿宋_GB2312"/>
          <w:b/>
          <w:color w:val="000000"/>
          <w:szCs w:val="32"/>
        </w:rPr>
      </w:pPr>
      <w:r>
        <w:rPr>
          <w:rStyle w:val="13"/>
          <w:rFonts w:hint="eastAsia" w:ascii="仿宋" w:hAnsi="仿宋" w:eastAsia="仿宋"/>
          <w:b w:val="0"/>
          <w:bCs/>
          <w:color w:val="000000"/>
          <w:szCs w:val="32"/>
        </w:rPr>
        <w:t>15</w:t>
      </w:r>
      <w:r>
        <w:rPr>
          <w:rStyle w:val="13"/>
          <w:rFonts w:ascii="仿宋" w:hAnsi="仿宋" w:eastAsia="仿宋"/>
          <w:b w:val="0"/>
          <w:bCs/>
          <w:color w:val="000000"/>
          <w:szCs w:val="32"/>
        </w:rPr>
        <w:t>.</w:t>
      </w:r>
      <w:r>
        <w:rPr>
          <w:rStyle w:val="13"/>
          <w:rFonts w:hint="eastAsia" w:ascii="仿宋" w:hAnsi="仿宋" w:eastAsia="仿宋"/>
          <w:b w:val="0"/>
          <w:color w:val="000000"/>
          <w:szCs w:val="32"/>
        </w:rPr>
        <w:t>住房保障支出（类）住房改革支出（款）住房公积金（项）</w:t>
      </w:r>
      <w:r>
        <w:rPr>
          <w:rStyle w:val="13"/>
          <w:rFonts w:ascii="仿宋" w:hAnsi="仿宋" w:eastAsia="仿宋"/>
          <w:b w:val="0"/>
          <w:bCs/>
          <w:color w:val="000000"/>
          <w:szCs w:val="32"/>
        </w:rPr>
        <w:t>:</w:t>
      </w:r>
      <w:r>
        <w:rPr>
          <w:rStyle w:val="15"/>
          <w:rFonts w:hint="eastAsia" w:ascii="仿宋_GB2312" w:hAnsi="仿宋"/>
          <w:b w:val="0"/>
          <w:color w:val="000000"/>
          <w:szCs w:val="32"/>
        </w:rPr>
        <w:t xml:space="preserve"> </w:t>
      </w:r>
      <w:r>
        <w:rPr>
          <w:rStyle w:val="15"/>
          <w:rFonts w:hint="eastAsia" w:ascii="仿宋_GB2312" w:hAnsi="仿宋"/>
          <w:b w:val="0"/>
          <w:color w:val="000000"/>
          <w:sz w:val="32"/>
          <w:szCs w:val="32"/>
        </w:rPr>
        <w:t>指</w:t>
      </w:r>
      <w:r>
        <w:rPr>
          <w:rStyle w:val="13"/>
          <w:rFonts w:hint="eastAsia" w:ascii="仿宋_GB2312" w:hAnsi="仿宋"/>
          <w:b w:val="0"/>
          <w:color w:val="000000"/>
          <w:szCs w:val="32"/>
        </w:rPr>
        <w:t>反映行政事业单位按人力资源和社会保障部、财政部规定的基本工资和津贴补贴以及规定比例为职工缴纳的住房公积金</w:t>
      </w:r>
      <w:r>
        <w:rPr>
          <w:rStyle w:val="13"/>
          <w:rFonts w:hint="eastAsia" w:ascii="仿宋" w:hAnsi="仿宋" w:eastAsia="仿宋"/>
          <w:b w:val="0"/>
          <w:bCs/>
          <w:color w:val="000000"/>
          <w:szCs w:val="32"/>
        </w:rPr>
        <w:t>。</w:t>
      </w:r>
    </w:p>
    <w:p>
      <w:pPr>
        <w:ind w:firstLine="640" w:firstLineChars="200"/>
        <w:rPr>
          <w:rFonts w:ascii="仿宋_GB2312"/>
          <w:color w:val="000000"/>
          <w:szCs w:val="32"/>
        </w:rPr>
      </w:pPr>
      <w:r>
        <w:rPr>
          <w:rFonts w:hint="eastAsia" w:ascii="仿宋_GB2312"/>
          <w:color w:val="000000"/>
          <w:szCs w:val="32"/>
        </w:rPr>
        <w:t>16</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17</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w:t>
      </w:r>
      <w:r>
        <w:rPr>
          <w:rFonts w:hint="eastAsia" w:ascii="仿宋_GB2312"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19</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8"/>
        <w:spacing w:line="560" w:lineRule="exact"/>
        <w:ind w:firstLine="640" w:firstLineChars="200"/>
        <w:rPr>
          <w:rFonts w:ascii="仿宋_GB2312" w:eastAsia="仿宋_GB2312" w:cs="黑体"/>
          <w:sz w:val="32"/>
          <w:szCs w:val="32"/>
        </w:rPr>
      </w:pPr>
    </w:p>
    <w:p>
      <w:pPr>
        <w:spacing w:line="600" w:lineRule="exact"/>
        <w:jc w:val="center"/>
        <w:outlineLvl w:val="0"/>
        <w:rPr>
          <w:rStyle w:val="15"/>
          <w:rFonts w:ascii="黑体" w:hAnsi="黑体" w:eastAsia="黑体"/>
          <w:b w:val="0"/>
        </w:rPr>
      </w:pPr>
      <w:bookmarkStart w:id="60" w:name="_Toc15377226"/>
      <w:r>
        <w:rPr>
          <w:rFonts w:ascii="宋体"/>
          <w:b/>
          <w:color w:val="000000"/>
          <w:sz w:val="44"/>
          <w:szCs w:val="44"/>
        </w:rPr>
        <w:br w:type="page"/>
      </w:r>
      <w:bookmarkStart w:id="61" w:name="_Toc11207"/>
      <w:bookmarkStart w:id="62" w:name="_Toc15396614"/>
      <w:r>
        <w:rPr>
          <w:rFonts w:hint="eastAsia" w:ascii="黑体" w:hAnsi="黑体" w:eastAsia="黑体"/>
          <w:color w:val="000000"/>
          <w:sz w:val="44"/>
          <w:szCs w:val="44"/>
        </w:rPr>
        <w:t>第</w:t>
      </w:r>
      <w:r>
        <w:rPr>
          <w:rStyle w:val="15"/>
          <w:rFonts w:hint="eastAsia" w:ascii="黑体" w:hAnsi="黑体" w:eastAsia="黑体"/>
          <w:b w:val="0"/>
        </w:rPr>
        <w:t>四部分</w:t>
      </w:r>
      <w:r>
        <w:rPr>
          <w:rStyle w:val="15"/>
          <w:rFonts w:ascii="黑体" w:hAnsi="黑体" w:eastAsia="黑体"/>
          <w:b w:val="0"/>
        </w:rPr>
        <w:t xml:space="preserve"> </w:t>
      </w:r>
      <w:r>
        <w:rPr>
          <w:rStyle w:val="15"/>
          <w:rFonts w:hint="eastAsia" w:ascii="黑体" w:hAnsi="黑体" w:eastAsia="黑体"/>
          <w:b w:val="0"/>
        </w:rPr>
        <w:t>附件</w:t>
      </w:r>
      <w:bookmarkEnd w:id="61"/>
      <w:bookmarkEnd w:id="62"/>
    </w:p>
    <w:p>
      <w:pPr>
        <w:spacing w:line="600" w:lineRule="exact"/>
        <w:jc w:val="left"/>
        <w:outlineLvl w:val="1"/>
        <w:rPr>
          <w:rFonts w:ascii="方正小标宋简体" w:hAnsi="方正小标宋简体" w:eastAsia="方正小标宋简体" w:cs="方正小标宋简体"/>
          <w:szCs w:val="32"/>
        </w:rPr>
      </w:pPr>
      <w:bookmarkStart w:id="63" w:name="_Toc22930"/>
      <w:r>
        <w:rPr>
          <w:rFonts w:hint="eastAsia" w:ascii="黑体" w:hAnsi="黑体" w:eastAsia="黑体" w:cs="黑体"/>
          <w:szCs w:val="32"/>
        </w:rPr>
        <w:t>附件</w:t>
      </w:r>
      <w:r>
        <w:rPr>
          <w:rFonts w:ascii="黑体" w:hAnsi="黑体" w:eastAsia="黑体" w:cs="黑体"/>
          <w:szCs w:val="32"/>
        </w:rPr>
        <w:t>1</w:t>
      </w:r>
      <w:bookmarkEnd w:id="63"/>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自贡市自流井区工商业联合会</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年单位（本级）</w:t>
      </w:r>
      <w:r>
        <w:rPr>
          <w:rFonts w:hint="eastAsia" w:ascii="方正小标宋简体" w:hAnsi="宋体" w:eastAsia="方正小标宋简体"/>
          <w:color w:val="000000"/>
          <w:kern w:val="0"/>
          <w:sz w:val="40"/>
          <w:szCs w:val="44"/>
          <w:lang w:val="zh-CN"/>
        </w:rPr>
        <w:t>整体支出绩效评价报告</w:t>
      </w:r>
    </w:p>
    <w:p>
      <w:pPr>
        <w:widowControl/>
        <w:spacing w:line="580" w:lineRule="exact"/>
        <w:ind w:firstLine="640" w:firstLineChars="200"/>
        <w:contextualSpacing/>
        <w:jc w:val="center"/>
        <w:rPr>
          <w:rFonts w:ascii="仿宋_GB2312" w:hAnsi="宋体"/>
          <w:szCs w:val="32"/>
          <w:shd w:val="clear" w:color="auto" w:fill="FFFFFF"/>
        </w:rPr>
      </w:pP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kern w:val="0"/>
          <w:szCs w:val="32"/>
          <w:shd w:val="clear" w:color="auto" w:fill="FFFFFF"/>
          <w:lang w:val="zh-CN"/>
        </w:rPr>
      </w:pPr>
      <w:r>
        <w:rPr>
          <w:rFonts w:hint="eastAsia" w:ascii="黑体" w:hAnsi="宋体" w:eastAsia="黑体" w:cs="宋体"/>
          <w:kern w:val="0"/>
          <w:szCs w:val="32"/>
          <w:shd w:val="clear" w:color="auto" w:fill="FFFFFF"/>
        </w:rPr>
        <w:t>一、</w:t>
      </w:r>
      <w:r>
        <w:rPr>
          <w:rFonts w:hint="eastAsia" w:ascii="黑体" w:hAnsi="宋体" w:eastAsia="黑体" w:cs="宋体"/>
          <w:kern w:val="0"/>
          <w:szCs w:val="32"/>
          <w:shd w:val="clear" w:color="auto" w:fill="FFFFFF"/>
          <w:lang w:val="zh-CN"/>
        </w:rPr>
        <w:t>单位概况</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（一）机构组成。</w:t>
      </w:r>
    </w:p>
    <w:p>
      <w:pPr>
        <w:ind w:firstLine="640" w:firstLineChars="200"/>
      </w:pPr>
      <w:r>
        <w:rPr>
          <w:rFonts w:hint="eastAsia"/>
        </w:rPr>
        <w:t>自贡市自流井区工商业联合会无下属二级预算单位。其中行政单位1个，参照公务员法管理的事业单位0个，其他事业单位0个。</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（二）机构职能。</w:t>
      </w:r>
    </w:p>
    <w:p>
      <w:pPr>
        <w:pStyle w:val="2"/>
        <w:adjustRightInd w:val="0"/>
        <w:snapToGrid w:val="0"/>
        <w:spacing w:before="93" w:line="600" w:lineRule="exact"/>
        <w:ind w:firstLine="672" w:firstLineChars="210"/>
        <w:outlineLvl w:val="2"/>
        <w:rPr>
          <w:rFonts w:ascii="仿宋" w:hAnsi="仿宋" w:eastAsia="仿宋"/>
          <w:bCs/>
          <w:sz w:val="32"/>
          <w:szCs w:val="32"/>
        </w:rPr>
      </w:pPr>
      <w:r>
        <w:rPr>
          <w:rFonts w:hint="eastAsia" w:ascii="仿宋" w:hAnsi="仿宋" w:eastAsia="仿宋"/>
          <w:bCs/>
          <w:sz w:val="32"/>
          <w:szCs w:val="32"/>
        </w:rPr>
        <w:t>自流井区工商业联合会的主要职能是：参政议政；做好非公经济代表人士政治安排的推荐工作；发扬自我教育的优良传统、宣传、贯彻党和国家的方针政策；代表并维护会员的合法权益；引导会员弘扬中华民族传统美德；为会员提供市场、技术、人才等信息；开展工商专业培训；组织非公有制企业举办和参加各种对内对外展销会、交易会，帮助非公有制经济开拓国内、国际市场；增进与各地工商界经济人士的联系和友谊；对同级行业协会和同业公会实行业务主管；办好会办企业、事业；筹办政府和有关部门委托事项。</w:t>
      </w:r>
    </w:p>
    <w:p>
      <w:pPr>
        <w:widowControl/>
        <w:adjustRightInd w:val="0"/>
        <w:snapToGrid w:val="0"/>
        <w:spacing w:line="580" w:lineRule="exact"/>
        <w:ind w:firstLine="640" w:firstLineChars="200"/>
        <w:contextualSpacing/>
        <w:jc w:val="left"/>
        <w:rPr>
          <w:rFonts w:ascii="仿宋_GB2312" w:hAnsi="宋体" w:cs="宋体"/>
          <w:color w:val="FF0000"/>
          <w:kern w:val="0"/>
          <w:szCs w:val="32"/>
          <w:shd w:val="clear" w:color="auto" w:fill="FFFFFF"/>
          <w:lang w:val="zh-CN"/>
        </w:rPr>
      </w:pPr>
    </w:p>
    <w:p>
      <w:pPr>
        <w:widowControl/>
        <w:numPr>
          <w:ilvl w:val="0"/>
          <w:numId w:val="6"/>
        </w:numPr>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人员概况。</w:t>
      </w:r>
    </w:p>
    <w:p>
      <w:pPr>
        <w:widowControl/>
        <w:adjustRightInd w:val="0"/>
        <w:snapToGrid w:val="0"/>
        <w:spacing w:line="580" w:lineRule="exact"/>
        <w:ind w:firstLine="640" w:firstLineChars="200"/>
        <w:contextualSpacing/>
        <w:jc w:val="left"/>
        <w:rPr>
          <w:rFonts w:ascii="仿宋_GB2312" w:hAnsi="仿宋_GB2312" w:cs="仿宋_GB2312"/>
          <w:kern w:val="0"/>
          <w:szCs w:val="32"/>
          <w:shd w:val="clear" w:color="auto" w:fill="FFFFFF"/>
          <w:lang w:val="zh-CN"/>
        </w:rPr>
      </w:pPr>
      <w:r>
        <w:rPr>
          <w:rFonts w:hint="eastAsia" w:ascii="仿宋_GB2312" w:hAnsi="仿宋_GB2312" w:cs="仿宋_GB2312"/>
          <w:kern w:val="0"/>
          <w:szCs w:val="32"/>
          <w:shd w:val="clear" w:color="auto" w:fill="FFFFFF"/>
        </w:rPr>
        <w:t>截止2020年12月，实有在编在岗人员共3名。其中公务员3名；正科级领导1名，副科级领导1名，科员1名。</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二、单位财政资金收支情况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（一）单位财政资金收入情况。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仿宋_GB2312" w:cs="仿宋_GB2312"/>
          <w:color w:val="000000"/>
          <w:szCs w:val="32"/>
        </w:rPr>
        <w:t>2020年财政拨款收入64.08万元，其中：一般公共预算财政拨款收入64.08万元，占本年收入合计的100%。</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（二）单位财政资金支出情况。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ascii="仿宋" w:hAnsi="仿宋" w:eastAsia="仿宋"/>
          <w:color w:val="000000"/>
          <w:szCs w:val="32"/>
        </w:rPr>
        <w:t>20</w:t>
      </w:r>
      <w:r>
        <w:rPr>
          <w:rFonts w:hint="eastAsia" w:ascii="仿宋" w:hAnsi="仿宋" w:eastAsia="仿宋"/>
          <w:color w:val="000000"/>
          <w:szCs w:val="32"/>
        </w:rPr>
        <w:t>20年财政拨款支出68.42万元，其中：一般公共预算财政拨款支出68.42万元，占本年支出合计的100</w:t>
      </w:r>
      <w:r>
        <w:rPr>
          <w:rFonts w:ascii="仿宋" w:hAnsi="仿宋" w:eastAsia="仿宋"/>
          <w:color w:val="000000"/>
          <w:szCs w:val="32"/>
        </w:rPr>
        <w:t>%</w:t>
      </w:r>
      <w:r>
        <w:rPr>
          <w:rFonts w:hint="eastAsia" w:ascii="仿宋" w:hAnsi="仿宋" w:eastAsia="仿宋"/>
          <w:color w:val="000000"/>
          <w:szCs w:val="32"/>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三、单位整体预算绩效管理情况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（一）单位预算管理。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仿宋_GB2312"/>
          <w:szCs w:val="32"/>
        </w:rPr>
        <w:t>绩效目标是预算编制的前提和基础，按照“费随事定”的原则，我单位承担年终总结会、理想信念教育活动、调研考察、保障机关正常运行等工作。整体绩效目标涉及总金额68.66万元，从完成的数量、成本、时效、质量等方面进行绩效评价，无违规执行预算的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（三）改进建议。</w:t>
      </w:r>
    </w:p>
    <w:p>
      <w:pPr>
        <w:spacing w:line="580" w:lineRule="exact"/>
        <w:rPr>
          <w:rFonts w:ascii="仿宋_GB2312" w:hAnsi="仿宋_GB2312" w:cs="仿宋_GB2312"/>
          <w:szCs w:val="32"/>
        </w:rPr>
      </w:pPr>
    </w:p>
    <w:p>
      <w:pPr>
        <w:spacing w:line="580" w:lineRule="exact"/>
        <w:outlineLvl w:val="1"/>
        <w:rPr>
          <w:rFonts w:ascii="仿宋_GB2312" w:hAnsi="仿宋_GB2312" w:cs="仿宋_GB2312"/>
          <w:szCs w:val="32"/>
        </w:rPr>
      </w:pPr>
      <w:bookmarkStart w:id="64" w:name="_Toc11602"/>
      <w:r>
        <w:rPr>
          <w:rFonts w:hint="eastAsia" w:ascii="黑体" w:hAnsi="黑体" w:eastAsia="黑体" w:cs="黑体"/>
          <w:szCs w:val="32"/>
        </w:rPr>
        <w:t>附件</w:t>
      </w:r>
      <w:r>
        <w:rPr>
          <w:rFonts w:ascii="黑体" w:hAnsi="黑体" w:eastAsia="黑体" w:cs="黑体"/>
          <w:szCs w:val="32"/>
        </w:rPr>
        <w:t>2</w:t>
      </w:r>
      <w:bookmarkEnd w:id="64"/>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．说明项目主管单位在该项目管理中的职能。</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．项目立项、资金申报的依据。</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．资金管理办法制定情况，资金支持具体项目的条件、范围与支持方式概况。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4</w:t>
      </w:r>
      <w:r>
        <w:rPr>
          <w:rFonts w:hint="eastAsia" w:ascii="仿宋_GB2312" w:hAnsi="宋体"/>
          <w:szCs w:val="32"/>
          <w:lang w:val="zh-CN"/>
        </w:rPr>
        <w:t>．资金分配的原则及考虑因素。</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．项目主要内容。</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．项目应实现的具体绩效目标，包括目标的量化、细化情况以及项目实施进度计划等。</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．分析评价申报内容是否与实际相符，申报目标是否合理可行。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说明项目绩效自评采用的组织实施步骤及方法。</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说明项目资金申报、批复及预算调整等程序的相关情况。</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（二）资金计划、到位及使用情况（可用表格形式反映）。</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1</w:t>
      </w:r>
      <w:r>
        <w:rPr>
          <w:rFonts w:hint="eastAsia" w:ascii="楷体_GB2312" w:hAnsi="宋体" w:eastAsia="楷体_GB2312"/>
          <w:szCs w:val="32"/>
          <w:lang w:val="zh-CN"/>
        </w:rPr>
        <w:t>．资金计划。</w:t>
      </w:r>
      <w:r>
        <w:rPr>
          <w:rFonts w:hint="eastAsia" w:ascii="仿宋_GB2312" w:hAnsi="宋体"/>
          <w:szCs w:val="32"/>
          <w:lang w:val="zh-CN"/>
        </w:rPr>
        <w:t>在说明该项目全省资金计划的基础上，分项目大类或市（州）分别说明各类资金计划情况，包括中央、省、市（州）、县（市、区）财政资金、项目单位自筹、其他渠道资金（包括银行贷款及其他资金等）。</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2</w:t>
      </w:r>
      <w:r>
        <w:rPr>
          <w:rFonts w:hint="eastAsia" w:ascii="楷体_GB2312" w:hAnsi="宋体" w:eastAsia="楷体_GB2312"/>
          <w:szCs w:val="32"/>
          <w:lang w:val="zh-CN"/>
        </w:rPr>
        <w:t>．资金到位。</w:t>
      </w:r>
      <w:r>
        <w:rPr>
          <w:rFonts w:hint="eastAsia" w:ascii="仿宋_GB2312" w:hAnsi="宋体"/>
          <w:szCs w:val="32"/>
          <w:lang w:val="zh-CN"/>
        </w:rPr>
        <w:t>汇总统计截止评价时点该项目全省资金到位情况。在此基础上分项目大类或市（州）统计各类资金到位情况，包括中央、省、市（州）、县（市、区）财政资金、项目单位自筹及其他渠道资金（包括银行贷款及其他资金等）。将资金到位情况与资金计划进行比对，并重点围绕资金到位率、到位及时性等进行评价，对未到位或到位不及时的情况作出分析说明。</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3</w:t>
      </w:r>
      <w:r>
        <w:rPr>
          <w:rFonts w:hint="eastAsia" w:ascii="楷体_GB2312" w:hAnsi="宋体" w:eastAsia="楷体_GB2312"/>
          <w:szCs w:val="32"/>
          <w:lang w:val="zh-CN"/>
        </w:rPr>
        <w:t>．资金使用。</w:t>
      </w:r>
      <w:r>
        <w:rPr>
          <w:rFonts w:hint="eastAsia" w:ascii="仿宋_GB2312" w:hAnsi="宋体"/>
          <w:szCs w:val="32"/>
          <w:lang w:val="zh-CN"/>
        </w:rPr>
        <w:t>汇总统计截止评价时点该项目全省资金支出情况。在此基础上分项目大类或市（州）统计资金支出情况，并对资金使用的安全性、规范性及有效性进行重点分析，包括资金支付范围、支付标准、支付进度、支付依据等是否合规合法、是否与预算相符，并对自评中发现的相关问题进行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（一）项目组织架构及实施流程。</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结合项目特点，总体评价各项目实施单位执行相关法律法规及项目管理制度等情况，如招投标、政府采购、项目公示制等相关规定。</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说明项目主管单位为加强项目管理所采取的监管手段、监管程序、监管工作开展情况及实现的效果等。</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adjustRightInd w:val="0"/>
        <w:snapToGrid w:val="0"/>
        <w:spacing w:line="600" w:lineRule="exact"/>
        <w:ind w:firstLine="720"/>
        <w:rPr>
          <w:rFonts w:ascii="楷体_GB2312" w:hAnsi="宋体" w:eastAsia="楷体_GB2312"/>
          <w:b/>
          <w:szCs w:val="32"/>
          <w:lang w:val="zh-CN"/>
        </w:rPr>
      </w:pPr>
      <w:r>
        <w:rPr>
          <w:rFonts w:hint="eastAsia" w:ascii="仿宋_GB2312" w:hAnsi="宋体"/>
          <w:szCs w:val="32"/>
          <w:lang w:val="zh-CN"/>
        </w:rPr>
        <w:t>包括项目完成数量、质量、时效、成本等情况，对照项目计划完成目标，对截止评价时点的任务量完成、质量标准、进度计划、成本控制目标的实现程度进行评价，并进行分析说明。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从项目经济效益、社会效益、生态效益、可持续效益以及服务对象满意度等方面对项目效益进行全面分析评价。</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640" w:firstLineChars="200"/>
        <w:rPr>
          <w:rFonts w:ascii="仿宋_GB2312" w:hAnsi="宋体"/>
          <w:szCs w:val="32"/>
          <w:bdr w:val="single" w:color="auto" w:sz="4" w:space="0"/>
          <w:lang w:val="zh-CN"/>
        </w:rPr>
      </w:pPr>
      <w:r>
        <w:rPr>
          <w:rFonts w:hint="eastAsia" w:ascii="仿宋_GB2312" w:hAnsi="宋体"/>
          <w:szCs w:val="32"/>
          <w:lang w:val="zh-CN"/>
        </w:rPr>
        <w:t>结合项目自身特点、评价重点及管理办法等要求，围绕专项项目支出绩效评价指标体系对项目进行总体评价。</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（二）存在的问题。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结合自评情况，分析存在的问题及原因。</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（三）相关建议。</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针对项目自评中发现的问题，提出下一步改进完善的意见及有关政策性建议。</w:t>
      </w:r>
    </w:p>
    <w:p>
      <w:pPr>
        <w:spacing w:line="580" w:lineRule="exact"/>
        <w:ind w:firstLine="640"/>
        <w:rPr>
          <w:rFonts w:ascii="仿宋_GB2312" w:hAnsi="仿宋_GB2312" w:cs="仿宋_GB2312"/>
          <w:szCs w:val="32"/>
        </w:rPr>
      </w:pPr>
    </w:p>
    <w:p>
      <w:pPr>
        <w:spacing w:line="580" w:lineRule="exact"/>
        <w:ind w:firstLine="640"/>
        <w:rPr>
          <w:rFonts w:ascii="仿宋_GB2312" w:hAnsi="仿宋_GB2312" w:cs="仿宋_GB2312"/>
          <w:szCs w:val="32"/>
        </w:rPr>
      </w:pPr>
    </w:p>
    <w:p>
      <w:pPr>
        <w:widowControl/>
        <w:jc w:val="left"/>
        <w:rPr>
          <w:rStyle w:val="15"/>
          <w:rFonts w:ascii="黑体" w:hAnsi="黑体" w:eastAsia="黑体"/>
          <w:b w:val="0"/>
        </w:rPr>
      </w:pPr>
    </w:p>
    <w:p>
      <w:pPr>
        <w:widowControl/>
        <w:jc w:val="left"/>
        <w:rPr>
          <w:rStyle w:val="15"/>
          <w:rFonts w:ascii="黑体" w:hAnsi="黑体" w:eastAsia="黑体"/>
          <w:b w:val="0"/>
        </w:rPr>
      </w:pPr>
      <w:r>
        <w:rPr>
          <w:rStyle w:val="15"/>
          <w:rFonts w:ascii="黑体" w:hAnsi="黑体" w:eastAsia="黑体"/>
          <w:b w:val="0"/>
        </w:rPr>
        <w:br w:type="page"/>
      </w:r>
    </w:p>
    <w:p>
      <w:pPr>
        <w:spacing w:line="600" w:lineRule="exact"/>
        <w:jc w:val="center"/>
        <w:outlineLvl w:val="0"/>
        <w:rPr>
          <w:rStyle w:val="15"/>
          <w:rFonts w:ascii="黑体" w:hAnsi="黑体" w:eastAsia="黑体"/>
          <w:b w:val="0"/>
        </w:rPr>
      </w:pPr>
      <w:bookmarkStart w:id="65" w:name="_Toc32283"/>
      <w:bookmarkStart w:id="66" w:name="_Toc15396618"/>
      <w:r>
        <w:rPr>
          <w:rFonts w:hint="eastAsia" w:ascii="黑体" w:hAnsi="黑体" w:eastAsia="黑体"/>
          <w:color w:val="000000"/>
          <w:sz w:val="44"/>
          <w:szCs w:val="44"/>
        </w:rPr>
        <w:t>第</w:t>
      </w:r>
      <w:r>
        <w:rPr>
          <w:rStyle w:val="15"/>
          <w:rFonts w:hint="eastAsia" w:ascii="黑体" w:hAnsi="黑体" w:eastAsia="黑体"/>
          <w:b w:val="0"/>
        </w:rPr>
        <w:t>五部分</w:t>
      </w:r>
      <w:r>
        <w:rPr>
          <w:rStyle w:val="15"/>
          <w:rFonts w:ascii="黑体" w:hAnsi="黑体" w:eastAsia="黑体"/>
          <w:b w:val="0"/>
        </w:rPr>
        <w:t xml:space="preserve"> </w:t>
      </w:r>
      <w:r>
        <w:rPr>
          <w:rStyle w:val="15"/>
          <w:rFonts w:hint="eastAsia" w:ascii="黑体" w:hAnsi="黑体" w:eastAsia="黑体"/>
          <w:b w:val="0"/>
        </w:rPr>
        <w:t>附表</w:t>
      </w:r>
      <w:bookmarkEnd w:id="60"/>
      <w:bookmarkEnd w:id="65"/>
      <w:bookmarkEnd w:id="66"/>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67" w:name="_Toc15699"/>
      <w:bookmarkStart w:id="68" w:name="_Toc15396619"/>
      <w:r>
        <w:rPr>
          <w:rFonts w:hint="eastAsia" w:ascii="仿宋" w:hAnsi="仿宋" w:eastAsia="仿宋"/>
          <w:b w:val="0"/>
          <w:color w:val="000000"/>
        </w:rPr>
        <w:t>一、收</w:t>
      </w:r>
      <w:r>
        <w:rPr>
          <w:rStyle w:val="16"/>
          <w:rFonts w:hint="eastAsia" w:ascii="仿宋" w:hAnsi="仿宋" w:eastAsia="仿宋"/>
          <w:b w:val="0"/>
          <w:bCs w:val="0"/>
        </w:rPr>
        <w:t>入支出决算总表</w:t>
      </w:r>
      <w:bookmarkEnd w:id="67"/>
      <w:bookmarkEnd w:id="68"/>
    </w:p>
    <w:p>
      <w:pPr>
        <w:pStyle w:val="4"/>
        <w:rPr>
          <w:rFonts w:ascii="仿宋" w:hAnsi="仿宋" w:eastAsia="仿宋"/>
          <w:color w:val="000000"/>
        </w:rPr>
      </w:pPr>
      <w:bookmarkStart w:id="69" w:name="_Toc15396620"/>
      <w:bookmarkStart w:id="70" w:name="_Toc27106"/>
      <w:r>
        <w:rPr>
          <w:rFonts w:hint="eastAsia" w:ascii="仿宋" w:hAnsi="仿宋" w:eastAsia="仿宋"/>
          <w:b w:val="0"/>
          <w:color w:val="000000"/>
        </w:rPr>
        <w:t>二、收</w:t>
      </w:r>
      <w:r>
        <w:rPr>
          <w:rStyle w:val="16"/>
          <w:rFonts w:hint="eastAsia" w:ascii="仿宋" w:hAnsi="仿宋" w:eastAsia="仿宋"/>
          <w:b w:val="0"/>
          <w:bCs w:val="0"/>
        </w:rPr>
        <w:t>入决算表</w:t>
      </w:r>
      <w:bookmarkEnd w:id="69"/>
      <w:bookmarkEnd w:id="70"/>
    </w:p>
    <w:p>
      <w:pPr>
        <w:pStyle w:val="4"/>
        <w:rPr>
          <w:rFonts w:ascii="仿宋" w:hAnsi="仿宋" w:eastAsia="仿宋"/>
          <w:color w:val="000000"/>
        </w:rPr>
      </w:pPr>
      <w:bookmarkStart w:id="71" w:name="_Toc26817"/>
      <w:bookmarkStart w:id="72" w:name="_Toc15396621"/>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71"/>
      <w:bookmarkEnd w:id="72"/>
    </w:p>
    <w:p>
      <w:pPr>
        <w:pStyle w:val="4"/>
        <w:rPr>
          <w:rFonts w:ascii="仿宋" w:hAnsi="仿宋" w:eastAsia="仿宋"/>
          <w:b w:val="0"/>
          <w:color w:val="000000"/>
        </w:rPr>
      </w:pPr>
      <w:bookmarkStart w:id="73" w:name="_Toc15396622"/>
      <w:bookmarkStart w:id="74" w:name="_Toc21747"/>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3"/>
      <w:bookmarkEnd w:id="74"/>
    </w:p>
    <w:p>
      <w:pPr>
        <w:pStyle w:val="4"/>
        <w:rPr>
          <w:rStyle w:val="16"/>
          <w:rFonts w:ascii="仿宋" w:hAnsi="仿宋" w:eastAsia="仿宋"/>
          <w:b w:val="0"/>
          <w:bCs w:val="0"/>
        </w:rPr>
      </w:pPr>
      <w:bookmarkStart w:id="75" w:name="_Toc15396623"/>
      <w:bookmarkStart w:id="76" w:name="_Toc12959"/>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5"/>
      <w:bookmarkEnd w:id="76"/>
      <w:bookmarkStart w:id="77" w:name="_Toc15396624"/>
    </w:p>
    <w:p>
      <w:pPr>
        <w:pStyle w:val="4"/>
        <w:rPr>
          <w:rFonts w:ascii="仿宋" w:hAnsi="仿宋" w:eastAsia="仿宋"/>
          <w:color w:val="000000"/>
        </w:rPr>
      </w:pPr>
      <w:bookmarkStart w:id="78" w:name="_Toc23749"/>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7"/>
      <w:bookmarkEnd w:id="78"/>
    </w:p>
    <w:p>
      <w:pPr>
        <w:pStyle w:val="4"/>
        <w:rPr>
          <w:rFonts w:ascii="仿宋" w:hAnsi="仿宋" w:eastAsia="仿宋"/>
          <w:color w:val="000000"/>
        </w:rPr>
      </w:pPr>
      <w:bookmarkStart w:id="79" w:name="_Toc22275"/>
      <w:bookmarkStart w:id="80" w:name="_Toc1539662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79"/>
      <w:bookmarkEnd w:id="80"/>
    </w:p>
    <w:p>
      <w:pPr>
        <w:pStyle w:val="4"/>
        <w:rPr>
          <w:rFonts w:ascii="仿宋" w:hAnsi="仿宋" w:eastAsia="仿宋"/>
          <w:color w:val="000000"/>
        </w:rPr>
      </w:pPr>
      <w:bookmarkStart w:id="81" w:name="_Toc15396626"/>
      <w:bookmarkStart w:id="82" w:name="_Toc30634"/>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81"/>
      <w:bookmarkEnd w:id="82"/>
    </w:p>
    <w:p>
      <w:pPr>
        <w:pStyle w:val="4"/>
        <w:rPr>
          <w:rFonts w:ascii="仿宋" w:hAnsi="仿宋" w:eastAsia="仿宋"/>
          <w:color w:val="000000"/>
        </w:rPr>
      </w:pPr>
      <w:bookmarkStart w:id="83" w:name="_Toc15170"/>
      <w:bookmarkStart w:id="84" w:name="_Toc15396627"/>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3"/>
      <w:bookmarkEnd w:id="84"/>
    </w:p>
    <w:p>
      <w:pPr>
        <w:pStyle w:val="4"/>
        <w:spacing w:line="360" w:lineRule="auto"/>
        <w:rPr>
          <w:rFonts w:ascii="仿宋" w:hAnsi="仿宋" w:eastAsia="仿宋"/>
          <w:color w:val="000000"/>
        </w:rPr>
      </w:pPr>
      <w:bookmarkStart w:id="85" w:name="_Toc15396628"/>
      <w:bookmarkStart w:id="86" w:name="_Toc17603"/>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5"/>
      <w:bookmarkEnd w:id="86"/>
    </w:p>
    <w:p>
      <w:pPr>
        <w:pStyle w:val="4"/>
        <w:spacing w:line="360" w:lineRule="auto"/>
        <w:rPr>
          <w:rFonts w:ascii="仿宋" w:hAnsi="仿宋" w:eastAsia="仿宋"/>
          <w:color w:val="000000"/>
        </w:rPr>
      </w:pPr>
      <w:bookmarkStart w:id="87" w:name="_Toc15396629"/>
      <w:bookmarkStart w:id="88" w:name="_Toc7313"/>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7"/>
      <w:bookmarkEnd w:id="88"/>
    </w:p>
    <w:p>
      <w:pPr>
        <w:pStyle w:val="4"/>
        <w:rPr>
          <w:rFonts w:ascii="仿宋" w:hAnsi="仿宋" w:eastAsia="仿宋"/>
          <w:b w:val="0"/>
          <w:color w:val="000000"/>
        </w:rPr>
      </w:pPr>
      <w:bookmarkStart w:id="89" w:name="_Toc9382"/>
      <w:bookmarkStart w:id="90" w:name="_Toc15396630"/>
      <w:r>
        <w:rPr>
          <w:rFonts w:hint="eastAsia" w:ascii="仿宋" w:hAnsi="仿宋" w:eastAsia="仿宋"/>
          <w:b w:val="0"/>
          <w:color w:val="000000"/>
        </w:rPr>
        <w:t>十二、政府性基金预算财政拨款“三公”经费支出决算表</w:t>
      </w:r>
      <w:bookmarkEnd w:id="89"/>
      <w:bookmarkEnd w:id="90"/>
    </w:p>
    <w:p>
      <w:pPr>
        <w:pStyle w:val="4"/>
        <w:rPr>
          <w:rFonts w:ascii="仿宋" w:hAnsi="仿宋" w:eastAsia="仿宋"/>
          <w:b w:val="0"/>
          <w:color w:val="000000"/>
        </w:rPr>
      </w:pPr>
      <w:bookmarkStart w:id="91" w:name="_Toc22683"/>
      <w:r>
        <w:rPr>
          <w:rFonts w:hint="eastAsia" w:ascii="仿宋" w:hAnsi="仿宋" w:eastAsia="仿宋"/>
          <w:b w:val="0"/>
          <w:color w:val="000000"/>
        </w:rPr>
        <w:t>十三、国有资本经营预算财政拨款收入支出决算表</w:t>
      </w:r>
      <w:bookmarkEnd w:id="91"/>
    </w:p>
    <w:p>
      <w:pPr>
        <w:pStyle w:val="4"/>
        <w:rPr>
          <w:rFonts w:ascii="仿宋" w:hAnsi="仿宋" w:eastAsia="仿宋"/>
          <w:b w:val="0"/>
          <w:color w:val="000000"/>
        </w:rPr>
      </w:pPr>
      <w:bookmarkStart w:id="92" w:name="_Toc10257"/>
      <w:r>
        <w:rPr>
          <w:rFonts w:hint="eastAsia" w:ascii="仿宋" w:hAnsi="仿宋" w:eastAsia="仿宋"/>
          <w:b w:val="0"/>
          <w:color w:val="000000"/>
        </w:rPr>
        <w:t>十四、国有资本经营预算财政拨款支出决算表</w:t>
      </w:r>
      <w:bookmarkEnd w:id="9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path/>
          <v:fill on="f" focussize="0,0"/>
          <v:stroke on="f" weight="0.5pt" joinstyle="miter"/>
          <v:imagedata o:title=""/>
          <o:lock v:ext="edit"/>
          <v:textbox inset="0mm,0mm,0mm,0mm" style="mso-fit-shape-to-text:t;">
            <w:txbxContent>
              <w:p>
                <w:pPr>
                  <w:pStyle w:val="6"/>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EC28AD53"/>
    <w:multiLevelType w:val="singleLevel"/>
    <w:tmpl w:val="EC28AD53"/>
    <w:lvl w:ilvl="0" w:tentative="0">
      <w:start w:val="3"/>
      <w:numFmt w:val="chineseCounting"/>
      <w:suff w:val="nothing"/>
      <w:lvlText w:val="（%1）"/>
      <w:lvlJc w:val="left"/>
      <w:rPr>
        <w:rFonts w:hint="eastAsia"/>
      </w:rPr>
    </w:lvl>
  </w:abstractNum>
  <w:abstractNum w:abstractNumId="3">
    <w:nsid w:val="0A14B733"/>
    <w:multiLevelType w:val="singleLevel"/>
    <w:tmpl w:val="0A14B733"/>
    <w:lvl w:ilvl="0" w:tentative="0">
      <w:start w:val="1"/>
      <w:numFmt w:val="decimal"/>
      <w:suff w:val="nothing"/>
      <w:lvlText w:val="%1、"/>
      <w:lvlJc w:val="left"/>
    </w:lvl>
  </w:abstractNum>
  <w:abstractNum w:abstractNumId="4">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5">
    <w:nsid w:val="6FEA79EB"/>
    <w:multiLevelType w:val="singleLevel"/>
    <w:tmpl w:val="6FEA79EB"/>
    <w:lvl w:ilvl="0" w:tentative="0">
      <w:start w:val="4"/>
      <w:numFmt w:val="decimal"/>
      <w:suff w:val="nothing"/>
      <w:lvlText w:val="%1、"/>
      <w:lvlJc w:val="left"/>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yZjhjMDljN2ZmZDI4MDM1OTczNmZkYWIwMTM0OGUifQ=="/>
  </w:docVars>
  <w:rsids>
    <w:rsidRoot w:val="6504078C"/>
    <w:rsid w:val="00040D1D"/>
    <w:rsid w:val="00061750"/>
    <w:rsid w:val="00095DDD"/>
    <w:rsid w:val="000A0A48"/>
    <w:rsid w:val="000E2E62"/>
    <w:rsid w:val="00197C8F"/>
    <w:rsid w:val="0022225D"/>
    <w:rsid w:val="00274115"/>
    <w:rsid w:val="00285A8D"/>
    <w:rsid w:val="002C0356"/>
    <w:rsid w:val="002D553C"/>
    <w:rsid w:val="002D6638"/>
    <w:rsid w:val="002F110E"/>
    <w:rsid w:val="003046D8"/>
    <w:rsid w:val="00322BED"/>
    <w:rsid w:val="003368B0"/>
    <w:rsid w:val="003761E9"/>
    <w:rsid w:val="005221C6"/>
    <w:rsid w:val="00536DE4"/>
    <w:rsid w:val="005D6168"/>
    <w:rsid w:val="0062039E"/>
    <w:rsid w:val="00643503"/>
    <w:rsid w:val="0067076A"/>
    <w:rsid w:val="00673F0D"/>
    <w:rsid w:val="00695578"/>
    <w:rsid w:val="006A195F"/>
    <w:rsid w:val="006F39CE"/>
    <w:rsid w:val="007D7F37"/>
    <w:rsid w:val="008308E1"/>
    <w:rsid w:val="00841E84"/>
    <w:rsid w:val="00897669"/>
    <w:rsid w:val="009F53FE"/>
    <w:rsid w:val="00A00C31"/>
    <w:rsid w:val="00A16FEB"/>
    <w:rsid w:val="00A66B88"/>
    <w:rsid w:val="00B827E7"/>
    <w:rsid w:val="00BA4897"/>
    <w:rsid w:val="00BD0D2A"/>
    <w:rsid w:val="00DB1099"/>
    <w:rsid w:val="00E61DA6"/>
    <w:rsid w:val="053D3F8D"/>
    <w:rsid w:val="06D96529"/>
    <w:rsid w:val="092630EA"/>
    <w:rsid w:val="12704789"/>
    <w:rsid w:val="149F01E8"/>
    <w:rsid w:val="1861212F"/>
    <w:rsid w:val="1955517C"/>
    <w:rsid w:val="195E2891"/>
    <w:rsid w:val="1A7F7DF7"/>
    <w:rsid w:val="28573959"/>
    <w:rsid w:val="2AC65C17"/>
    <w:rsid w:val="37441B55"/>
    <w:rsid w:val="3E4169FF"/>
    <w:rsid w:val="3FEC3154"/>
    <w:rsid w:val="438B3037"/>
    <w:rsid w:val="4A07657F"/>
    <w:rsid w:val="4E3A4862"/>
    <w:rsid w:val="4E433C45"/>
    <w:rsid w:val="50A46D30"/>
    <w:rsid w:val="52363990"/>
    <w:rsid w:val="57D36D19"/>
    <w:rsid w:val="5D3E75DF"/>
    <w:rsid w:val="5D523DEC"/>
    <w:rsid w:val="6504078C"/>
    <w:rsid w:val="669C6197"/>
    <w:rsid w:val="6785733F"/>
    <w:rsid w:val="695535AB"/>
    <w:rsid w:val="726E3979"/>
    <w:rsid w:val="78207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kern w:val="0"/>
      <w:sz w:val="24"/>
      <w:szCs w:val="20"/>
    </w:rPr>
  </w:style>
  <w:style w:type="paragraph" w:styleId="5">
    <w:name w:val="Body Text Indent"/>
    <w:basedOn w:val="1"/>
    <w:qFormat/>
    <w:uiPriority w:val="0"/>
    <w:pPr>
      <w:ind w:left="420" w:leftChars="200"/>
    </w:p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Body Text First Indent 2"/>
    <w:basedOn w:val="5"/>
    <w:qFormat/>
    <w:uiPriority w:val="0"/>
    <w:pPr>
      <w:spacing w:after="120"/>
      <w:ind w:firstLine="420" w:firstLineChars="200"/>
    </w:pPr>
    <w:rPr>
      <w:rFonts w:ascii="Calibri" w:hAnsi="Calibri" w:eastAsia="宋体"/>
      <w:sz w:val="21"/>
    </w:rPr>
  </w:style>
  <w:style w:type="character" w:styleId="13">
    <w:name w:val="Strong"/>
    <w:basedOn w:val="12"/>
    <w:qFormat/>
    <w:uiPriority w:val="0"/>
    <w:rPr>
      <w:rFonts w:cs="Times New Roman"/>
      <w:b/>
    </w:rPr>
  </w:style>
  <w:style w:type="character" w:styleId="14">
    <w:name w:val="Hyperlink"/>
    <w:unhideWhenUsed/>
    <w:qFormat/>
    <w:uiPriority w:val="99"/>
    <w:rPr>
      <w:color w:val="0000FF"/>
      <w:u w:val="single"/>
    </w:rPr>
  </w:style>
  <w:style w:type="character" w:customStyle="1" w:styleId="15">
    <w:name w:val="标题 1 Char"/>
    <w:basedOn w:val="12"/>
    <w:link w:val="3"/>
    <w:qFormat/>
    <w:locked/>
    <w:uiPriority w:val="9"/>
    <w:rPr>
      <w:b/>
      <w:bCs/>
      <w:kern w:val="44"/>
      <w:sz w:val="44"/>
      <w:szCs w:val="44"/>
    </w:rPr>
  </w:style>
  <w:style w:type="character" w:customStyle="1" w:styleId="16">
    <w:name w:val="标题 2 Char"/>
    <w:basedOn w:val="12"/>
    <w:link w:val="4"/>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8607</Words>
  <Characters>9068</Characters>
  <Lines>77</Lines>
  <Paragraphs>21</Paragraphs>
  <TotalTime>67</TotalTime>
  <ScaleCrop>false</ScaleCrop>
  <LinksUpToDate>false</LinksUpToDate>
  <CharactersWithSpaces>9145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2022-05-31T07:18:08Z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0F4FF84B77734B60830465A11D77B6B8</vt:lpwstr>
  </property>
</Properties>
</file>