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Override PartName="/word/theme/themeOverride2.xml" ContentType="application/vnd.openxmlformats-officedocument.themeOverride+xml"/>
  <Override PartName="/word/theme/themeOverride3.xml" ContentType="application/vnd.openxmlformats-officedocument.themeOverride+xml"/>
  <Override PartName="/word/theme/themeOverride4.xml" ContentType="application/vnd.openxmlformats-officedocument.themeOverride+xml"/>
  <Override PartName="/word/theme/themeOverride5.xml" ContentType="application/vnd.openxmlformats-officedocument.themeOverride+xml"/>
  <Override PartName="/word/theme/themeOverride6.xml" ContentType="application/vnd.openxmlformats-officedocument.themeOverride+xml"/>
  <Override PartName="/word/theme/themeOverride7.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eastAsia="方正小标宋简体" w:cs="黑体"/>
          <w:color w:val="000000"/>
          <w:sz w:val="44"/>
          <w:szCs w:val="44"/>
        </w:rPr>
      </w:pPr>
      <w:bookmarkStart w:id="91" w:name="_GoBack"/>
      <w:bookmarkEnd w:id="91"/>
      <w:r>
        <w:rPr>
          <w:rFonts w:hint="eastAsia" w:ascii="方正小标宋简体" w:eastAsia="方正小标宋简体" w:cs="黑体"/>
          <w:color w:val="000000"/>
          <w:sz w:val="44"/>
          <w:szCs w:val="44"/>
        </w:rPr>
        <w:t>四川省自贡市自流井区投资促进局</w:t>
      </w:r>
    </w:p>
    <w:p>
      <w:pPr>
        <w:widowControl/>
        <w:spacing w:line="580" w:lineRule="exact"/>
        <w:jc w:val="center"/>
        <w:rPr>
          <w:rFonts w:ascii="方正小标宋简体" w:eastAsia="方正小标宋简体"/>
          <w:sz w:val="44"/>
          <w:szCs w:val="44"/>
        </w:rPr>
      </w:pPr>
      <w:r>
        <w:rPr>
          <w:rFonts w:hint="eastAsia" w:ascii="方正小标宋简体" w:eastAsia="方正小标宋简体"/>
          <w:sz w:val="44"/>
          <w:szCs w:val="44"/>
        </w:rPr>
        <w:t>2020年度部门决算编制的说明</w:t>
      </w:r>
    </w:p>
    <w:p>
      <w:pPr>
        <w:widowControl/>
        <w:jc w:val="center"/>
        <w:rPr>
          <w:rFonts w:ascii="仿宋_GB2312"/>
          <w:sz w:val="28"/>
          <w:szCs w:val="28"/>
        </w:rPr>
      </w:pPr>
    </w:p>
    <w:p>
      <w:pPr>
        <w:widowControl/>
        <w:jc w:val="center"/>
        <w:rPr>
          <w:rFonts w:ascii="黑体" w:hAnsi="黑体" w:eastAsia="黑体"/>
          <w:color w:val="000000"/>
          <w:sz w:val="48"/>
          <w:szCs w:val="48"/>
        </w:rPr>
      </w:pPr>
      <w:r>
        <w:rPr>
          <w:rFonts w:hint="eastAsia" w:ascii="黑体" w:hAnsi="黑体" w:eastAsia="黑体"/>
          <w:color w:val="000000"/>
          <w:sz w:val="44"/>
          <w:szCs w:val="44"/>
        </w:rPr>
        <w:t>目 录</w:t>
      </w:r>
    </w:p>
    <w:p>
      <w:pPr>
        <w:pStyle w:val="8"/>
        <w:tabs>
          <w:tab w:val="right" w:leader="dot" w:pos="8306"/>
        </w:tabs>
        <w:spacing w:line="560" w:lineRule="exact"/>
        <w:rPr>
          <w:rFonts w:ascii="仿宋_GB2312" w:hAnsi="仿宋_GB2312" w:eastAsia="仿宋_GB2312" w:cs="仿宋_GB2312"/>
          <w:b w:val="0"/>
          <w:bCs w:val="0"/>
          <w:i w:val="0"/>
          <w:iCs w:val="0"/>
          <w:sz w:val="28"/>
          <w:szCs w:val="28"/>
        </w:rPr>
      </w:pPr>
      <w:r>
        <w:rPr>
          <w:rFonts w:hint="eastAsia" w:ascii="仿宋_GB2312" w:hAnsi="仿宋_GB2312" w:eastAsia="仿宋_GB2312" w:cs="仿宋_GB2312"/>
          <w:b w:val="0"/>
          <w:bCs w:val="0"/>
          <w:i w:val="0"/>
          <w:iCs w:val="0"/>
          <w:caps/>
          <w:sz w:val="28"/>
          <w:szCs w:val="28"/>
        </w:rPr>
        <w:fldChar w:fldCharType="begin"/>
      </w:r>
      <w:r>
        <w:rPr>
          <w:rFonts w:hint="eastAsia" w:ascii="仿宋_GB2312" w:hAnsi="仿宋_GB2312" w:eastAsia="仿宋_GB2312" w:cs="仿宋_GB2312"/>
          <w:b w:val="0"/>
          <w:bCs w:val="0"/>
          <w:i w:val="0"/>
          <w:iCs w:val="0"/>
          <w:caps/>
          <w:sz w:val="28"/>
          <w:szCs w:val="28"/>
        </w:rPr>
        <w:instrText xml:space="preserve"> TOC \o "1-2" \h \z \u </w:instrText>
      </w:r>
      <w:r>
        <w:rPr>
          <w:rFonts w:hint="eastAsia" w:ascii="仿宋_GB2312" w:hAnsi="仿宋_GB2312" w:eastAsia="仿宋_GB2312" w:cs="仿宋_GB2312"/>
          <w:b w:val="0"/>
          <w:bCs w:val="0"/>
          <w:i w:val="0"/>
          <w:iCs w:val="0"/>
          <w:caps/>
          <w:sz w:val="28"/>
          <w:szCs w:val="28"/>
        </w:rPr>
        <w:fldChar w:fldCharType="separate"/>
      </w:r>
      <w:r>
        <w:fldChar w:fldCharType="begin"/>
      </w:r>
      <w:r>
        <w:instrText xml:space="preserve"> HYPERLINK \l "_Toc10567" </w:instrText>
      </w:r>
      <w:r>
        <w:fldChar w:fldCharType="separate"/>
      </w:r>
      <w:r>
        <w:rPr>
          <w:rFonts w:hint="eastAsia" w:ascii="仿宋_GB2312" w:hAnsi="仿宋_GB2312" w:eastAsia="仿宋_GB2312" w:cs="仿宋_GB2312"/>
          <w:b w:val="0"/>
          <w:bCs w:val="0"/>
          <w:i w:val="0"/>
          <w:iCs w:val="0"/>
          <w:sz w:val="28"/>
          <w:szCs w:val="28"/>
        </w:rPr>
        <w:t>第一部分 部门概况</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_Toc10567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3</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"_Toc21498" </w:instrText>
      </w:r>
      <w:r>
        <w:fldChar w:fldCharType="separate"/>
      </w:r>
      <w:r>
        <w:rPr>
          <w:rFonts w:hint="eastAsia" w:ascii="仿宋_GB2312" w:hAnsi="仿宋_GB2312" w:eastAsia="仿宋_GB2312" w:cs="仿宋_GB2312"/>
          <w:b w:val="0"/>
          <w:bCs w:val="0"/>
          <w:sz w:val="28"/>
          <w:szCs w:val="28"/>
        </w:rPr>
        <w:t>一、基本职能及主要工作</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_Toc21498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3</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"_Toc6092" </w:instrText>
      </w:r>
      <w:r>
        <w:fldChar w:fldCharType="separate"/>
      </w:r>
      <w:r>
        <w:rPr>
          <w:rFonts w:hint="eastAsia" w:ascii="仿宋_GB2312" w:hAnsi="仿宋_GB2312" w:eastAsia="仿宋_GB2312" w:cs="仿宋_GB2312"/>
          <w:b w:val="0"/>
          <w:bCs w:val="0"/>
          <w:sz w:val="28"/>
          <w:szCs w:val="28"/>
        </w:rPr>
        <w:t>二、机构设置</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_Toc6092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7</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8"/>
        <w:tabs>
          <w:tab w:val="right" w:leader="dot" w:pos="8306"/>
        </w:tabs>
        <w:spacing w:line="560" w:lineRule="exact"/>
        <w:rPr>
          <w:rFonts w:ascii="仿宋_GB2312" w:hAnsi="仿宋_GB2312" w:eastAsia="仿宋_GB2312" w:cs="仿宋_GB2312"/>
          <w:b w:val="0"/>
          <w:bCs w:val="0"/>
          <w:i w:val="0"/>
          <w:iCs w:val="0"/>
          <w:sz w:val="28"/>
          <w:szCs w:val="28"/>
        </w:rPr>
      </w:pPr>
      <w:r>
        <w:fldChar w:fldCharType="begin"/>
      </w:r>
      <w:r>
        <w:instrText xml:space="preserve"> HYPERLINK \l "_Toc23109" </w:instrText>
      </w:r>
      <w:r>
        <w:fldChar w:fldCharType="separate"/>
      </w:r>
      <w:r>
        <w:rPr>
          <w:rFonts w:hint="eastAsia" w:ascii="仿宋_GB2312" w:hAnsi="仿宋_GB2312" w:eastAsia="仿宋_GB2312" w:cs="仿宋_GB2312"/>
          <w:b w:val="0"/>
          <w:bCs w:val="0"/>
          <w:i w:val="0"/>
          <w:iCs w:val="0"/>
          <w:sz w:val="28"/>
          <w:szCs w:val="28"/>
        </w:rPr>
        <w:t>第二部分 2020年度部门决算情况说明</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_Toc23109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8</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"_Toc7163" </w:instrText>
      </w:r>
      <w:r>
        <w:fldChar w:fldCharType="separate"/>
      </w:r>
      <w:r>
        <w:rPr>
          <w:rFonts w:hint="eastAsia" w:ascii="仿宋_GB2312" w:hAnsi="仿宋_GB2312" w:eastAsia="仿宋_GB2312" w:cs="仿宋_GB2312"/>
          <w:b w:val="0"/>
          <w:bCs w:val="0"/>
          <w:sz w:val="28"/>
          <w:szCs w:val="28"/>
        </w:rPr>
        <w:t>一、 收入支出决算总体情况说明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_Toc7163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8</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"_Toc25258" </w:instrText>
      </w:r>
      <w:r>
        <w:fldChar w:fldCharType="separate"/>
      </w:r>
      <w:r>
        <w:rPr>
          <w:rFonts w:hint="eastAsia" w:ascii="仿宋_GB2312" w:hAnsi="仿宋_GB2312" w:eastAsia="仿宋_GB2312" w:cs="仿宋_GB2312"/>
          <w:b w:val="0"/>
          <w:bCs w:val="0"/>
          <w:sz w:val="28"/>
          <w:szCs w:val="28"/>
        </w:rPr>
        <w:t>二、 收入决算情况说明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_Toc25258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8</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"_Toc13725" </w:instrText>
      </w:r>
      <w:r>
        <w:fldChar w:fldCharType="separate"/>
      </w:r>
      <w:r>
        <w:rPr>
          <w:rFonts w:hint="eastAsia" w:ascii="仿宋_GB2312" w:hAnsi="仿宋_GB2312" w:eastAsia="仿宋_GB2312" w:cs="仿宋_GB2312"/>
          <w:b w:val="0"/>
          <w:bCs w:val="0"/>
          <w:sz w:val="28"/>
          <w:szCs w:val="28"/>
        </w:rPr>
        <w:t>三、 支出决算情况说明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_Toc13725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9</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"_Toc10354" </w:instrText>
      </w:r>
      <w:r>
        <w:fldChar w:fldCharType="separate"/>
      </w:r>
      <w:r>
        <w:rPr>
          <w:rFonts w:hint="eastAsia" w:ascii="仿宋_GB2312" w:hAnsi="仿宋_GB2312" w:eastAsia="仿宋_GB2312" w:cs="仿宋_GB2312"/>
          <w:b w:val="0"/>
          <w:bCs w:val="0"/>
          <w:sz w:val="28"/>
          <w:szCs w:val="28"/>
        </w:rPr>
        <w:t>四、财政拨款收入支出决算总体情况说明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_Toc10354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10</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"_Toc10967" </w:instrText>
      </w:r>
      <w:r>
        <w:fldChar w:fldCharType="separate"/>
      </w:r>
      <w:r>
        <w:rPr>
          <w:rFonts w:hint="eastAsia" w:ascii="仿宋_GB2312" w:hAnsi="仿宋_GB2312" w:eastAsia="仿宋_GB2312" w:cs="仿宋_GB2312"/>
          <w:b w:val="0"/>
          <w:bCs w:val="0"/>
          <w:sz w:val="28"/>
          <w:szCs w:val="28"/>
        </w:rPr>
        <w:t>五、一般公共预算财政拨款支出决算情况说明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_Toc10967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11</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"_Toc31021" </w:instrText>
      </w:r>
      <w:r>
        <w:fldChar w:fldCharType="separate"/>
      </w:r>
      <w:r>
        <w:rPr>
          <w:rFonts w:hint="eastAsia" w:ascii="仿宋_GB2312" w:hAnsi="仿宋_GB2312" w:eastAsia="仿宋_GB2312" w:cs="仿宋_GB2312"/>
          <w:b w:val="0"/>
          <w:bCs w:val="0"/>
          <w:sz w:val="28"/>
          <w:szCs w:val="28"/>
        </w:rPr>
        <w:t>六、一般公共预算财政拨款基本支出决算情况说明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_Toc31021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13</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"_Toc6926" </w:instrText>
      </w:r>
      <w:r>
        <w:fldChar w:fldCharType="separate"/>
      </w:r>
      <w:r>
        <w:rPr>
          <w:rFonts w:hint="eastAsia" w:ascii="仿宋_GB2312" w:hAnsi="仿宋_GB2312" w:eastAsia="仿宋_GB2312" w:cs="仿宋_GB2312"/>
          <w:b w:val="0"/>
          <w:bCs w:val="0"/>
          <w:sz w:val="28"/>
          <w:szCs w:val="28"/>
        </w:rPr>
        <w:t>七、“三公”经费财政拨款支出决算情况说明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_Toc6926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14</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"_Toc9843" </w:instrText>
      </w:r>
      <w:r>
        <w:fldChar w:fldCharType="separate"/>
      </w:r>
      <w:r>
        <w:rPr>
          <w:rFonts w:hint="eastAsia" w:ascii="仿宋_GB2312" w:hAnsi="仿宋_GB2312" w:eastAsia="仿宋_GB2312" w:cs="仿宋_GB2312"/>
          <w:b w:val="0"/>
          <w:bCs w:val="0"/>
          <w:sz w:val="28"/>
          <w:szCs w:val="28"/>
        </w:rPr>
        <w:t>八、政府性基金预算支出决算情况说明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_Toc9843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15</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"_Toc10775" </w:instrText>
      </w:r>
      <w:r>
        <w:fldChar w:fldCharType="separate"/>
      </w:r>
      <w:r>
        <w:rPr>
          <w:rFonts w:hint="eastAsia" w:ascii="仿宋_GB2312" w:hAnsi="仿宋_GB2312" w:eastAsia="仿宋_GB2312" w:cs="仿宋_GB2312"/>
          <w:b w:val="0"/>
          <w:bCs w:val="0"/>
          <w:sz w:val="28"/>
          <w:szCs w:val="28"/>
        </w:rPr>
        <w:t>九、 国有资本经营预算支出决算情况说明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_Toc10775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15</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"_Toc738" </w:instrText>
      </w:r>
      <w:r>
        <w:fldChar w:fldCharType="separate"/>
      </w:r>
      <w:r>
        <w:rPr>
          <w:rFonts w:hint="eastAsia" w:ascii="仿宋_GB2312" w:hAnsi="仿宋_GB2312" w:eastAsia="仿宋_GB2312" w:cs="仿宋_GB2312"/>
          <w:b w:val="0"/>
          <w:bCs w:val="0"/>
          <w:sz w:val="28"/>
          <w:szCs w:val="28"/>
        </w:rPr>
        <w:t>十、其他重要事项的情况说明</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_Toc738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15</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8"/>
        <w:tabs>
          <w:tab w:val="right" w:leader="dot" w:pos="8306"/>
        </w:tabs>
        <w:spacing w:line="560" w:lineRule="exact"/>
        <w:rPr>
          <w:rFonts w:ascii="仿宋_GB2312" w:hAnsi="仿宋_GB2312" w:eastAsia="仿宋_GB2312" w:cs="仿宋_GB2312"/>
          <w:b w:val="0"/>
          <w:bCs w:val="0"/>
          <w:i w:val="0"/>
          <w:iCs w:val="0"/>
          <w:sz w:val="28"/>
          <w:szCs w:val="28"/>
        </w:rPr>
      </w:pPr>
      <w:r>
        <w:fldChar w:fldCharType="begin"/>
      </w:r>
      <w:r>
        <w:instrText xml:space="preserve"> HYPERLINK \l "_Toc3536" </w:instrText>
      </w:r>
      <w:r>
        <w:fldChar w:fldCharType="separate"/>
      </w:r>
      <w:r>
        <w:rPr>
          <w:rFonts w:hint="eastAsia" w:ascii="仿宋_GB2312" w:hAnsi="仿宋_GB2312" w:eastAsia="仿宋_GB2312" w:cs="仿宋_GB2312"/>
          <w:b w:val="0"/>
          <w:bCs w:val="0"/>
          <w:i w:val="0"/>
          <w:iCs w:val="0"/>
          <w:sz w:val="28"/>
          <w:szCs w:val="28"/>
        </w:rPr>
        <w:t>第三部分 名词解释</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_Toc3536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20</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sz w:val="28"/>
          <w:szCs w:val="28"/>
        </w:rPr>
        <w:fldChar w:fldCharType="end"/>
      </w:r>
    </w:p>
    <w:p>
      <w:pPr>
        <w:pStyle w:val="8"/>
        <w:tabs>
          <w:tab w:val="right" w:leader="dot" w:pos="8306"/>
        </w:tabs>
        <w:spacing w:line="560" w:lineRule="exact"/>
        <w:rPr>
          <w:rFonts w:ascii="仿宋_GB2312" w:hAnsi="仿宋_GB2312" w:eastAsia="仿宋_GB2312" w:cs="仿宋_GB2312"/>
          <w:b w:val="0"/>
          <w:bCs w:val="0"/>
          <w:i w:val="0"/>
          <w:iCs w:val="0"/>
          <w:sz w:val="28"/>
          <w:szCs w:val="28"/>
        </w:rPr>
      </w:pPr>
      <w:r>
        <w:fldChar w:fldCharType="begin"/>
      </w:r>
      <w:r>
        <w:instrText xml:space="preserve"> HYPERLINK \l "_Toc11207" </w:instrText>
      </w:r>
      <w:r>
        <w:fldChar w:fldCharType="separate"/>
      </w:r>
      <w:r>
        <w:rPr>
          <w:rFonts w:hint="eastAsia" w:ascii="仿宋_GB2312" w:hAnsi="仿宋_GB2312" w:eastAsia="仿宋_GB2312" w:cs="仿宋_GB2312"/>
          <w:b w:val="0"/>
          <w:bCs w:val="0"/>
          <w:i w:val="0"/>
          <w:iCs w:val="0"/>
          <w:sz w:val="28"/>
          <w:szCs w:val="28"/>
        </w:rPr>
        <w:t>第四部分 附件</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_Toc11207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23</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"_Toc22930" </w:instrText>
      </w:r>
      <w:r>
        <w:fldChar w:fldCharType="separate"/>
      </w:r>
      <w:r>
        <w:rPr>
          <w:rFonts w:hint="eastAsia" w:ascii="仿宋_GB2312" w:hAnsi="仿宋_GB2312" w:eastAsia="仿宋_GB2312" w:cs="仿宋_GB2312"/>
          <w:b w:val="0"/>
          <w:bCs w:val="0"/>
          <w:sz w:val="28"/>
          <w:szCs w:val="28"/>
        </w:rPr>
        <w:t>附件1</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_Toc22930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23</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"_Toc11602" </w:instrText>
      </w:r>
      <w:r>
        <w:fldChar w:fldCharType="separate"/>
      </w:r>
      <w:r>
        <w:rPr>
          <w:rFonts w:hint="eastAsia" w:ascii="仿宋_GB2312" w:hAnsi="仿宋_GB2312" w:eastAsia="仿宋_GB2312" w:cs="仿宋_GB2312"/>
          <w:b w:val="0"/>
          <w:bCs w:val="0"/>
          <w:sz w:val="28"/>
          <w:szCs w:val="28"/>
        </w:rPr>
        <w:t>附件2</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_Toc11602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27</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8"/>
        <w:tabs>
          <w:tab w:val="right" w:leader="dot" w:pos="8306"/>
        </w:tabs>
        <w:spacing w:line="560" w:lineRule="exact"/>
        <w:rPr>
          <w:rFonts w:ascii="仿宋_GB2312" w:hAnsi="仿宋_GB2312" w:eastAsia="仿宋_GB2312" w:cs="仿宋_GB2312"/>
          <w:b w:val="0"/>
          <w:bCs w:val="0"/>
          <w:i w:val="0"/>
          <w:iCs w:val="0"/>
          <w:sz w:val="28"/>
          <w:szCs w:val="28"/>
        </w:rPr>
      </w:pPr>
      <w:r>
        <w:fldChar w:fldCharType="begin"/>
      </w:r>
      <w:r>
        <w:instrText xml:space="preserve"> HYPERLINK \l "_Toc32283" </w:instrText>
      </w:r>
      <w:r>
        <w:fldChar w:fldCharType="separate"/>
      </w:r>
      <w:r>
        <w:rPr>
          <w:rFonts w:hint="eastAsia" w:ascii="仿宋_GB2312" w:hAnsi="仿宋_GB2312" w:eastAsia="仿宋_GB2312" w:cs="仿宋_GB2312"/>
          <w:b w:val="0"/>
          <w:bCs w:val="0"/>
          <w:i w:val="0"/>
          <w:iCs w:val="0"/>
          <w:sz w:val="28"/>
          <w:szCs w:val="28"/>
        </w:rPr>
        <w:t>第五部分 附表</w:t>
      </w:r>
      <w:r>
        <w:rPr>
          <w:rFonts w:hint="eastAsia" w:ascii="仿宋_GB2312" w:hAnsi="仿宋_GB2312" w:eastAsia="仿宋_GB2312" w:cs="仿宋_GB2312"/>
          <w:b w:val="0"/>
          <w:bCs w:val="0"/>
          <w:i w:val="0"/>
          <w:iCs w:val="0"/>
          <w:sz w:val="28"/>
          <w:szCs w:val="28"/>
        </w:rPr>
        <w:tab/>
      </w:r>
      <w:r>
        <w:rPr>
          <w:rFonts w:hint="eastAsia" w:ascii="仿宋_GB2312" w:hAnsi="仿宋_GB2312" w:eastAsia="仿宋_GB2312" w:cs="仿宋_GB2312"/>
          <w:b w:val="0"/>
          <w:bCs w:val="0"/>
          <w:i w:val="0"/>
          <w:iCs w:val="0"/>
          <w:sz w:val="28"/>
          <w:szCs w:val="28"/>
        </w:rPr>
        <w:fldChar w:fldCharType="begin"/>
      </w:r>
      <w:r>
        <w:rPr>
          <w:rFonts w:hint="eastAsia" w:ascii="仿宋_GB2312" w:hAnsi="仿宋_GB2312" w:eastAsia="仿宋_GB2312" w:cs="仿宋_GB2312"/>
          <w:b w:val="0"/>
          <w:bCs w:val="0"/>
          <w:i w:val="0"/>
          <w:iCs w:val="0"/>
          <w:sz w:val="28"/>
          <w:szCs w:val="28"/>
        </w:rPr>
        <w:instrText xml:space="preserve"> PAGEREF _Toc32283 \h </w:instrText>
      </w:r>
      <w:r>
        <w:rPr>
          <w:rFonts w:hint="eastAsia" w:ascii="仿宋_GB2312" w:hAnsi="仿宋_GB2312" w:eastAsia="仿宋_GB2312" w:cs="仿宋_GB2312"/>
          <w:b w:val="0"/>
          <w:bCs w:val="0"/>
          <w:i w:val="0"/>
          <w:iCs w:val="0"/>
          <w:sz w:val="28"/>
          <w:szCs w:val="28"/>
        </w:rPr>
        <w:fldChar w:fldCharType="separate"/>
      </w:r>
      <w:r>
        <w:rPr>
          <w:rFonts w:hint="eastAsia" w:ascii="仿宋_GB2312" w:hAnsi="仿宋_GB2312" w:eastAsia="仿宋_GB2312" w:cs="仿宋_GB2312"/>
          <w:b w:val="0"/>
          <w:bCs w:val="0"/>
          <w:i w:val="0"/>
          <w:iCs w:val="0"/>
          <w:sz w:val="28"/>
          <w:szCs w:val="28"/>
        </w:rPr>
        <w:t>31</w:t>
      </w:r>
      <w:r>
        <w:rPr>
          <w:rFonts w:hint="eastAsia" w:ascii="仿宋_GB2312" w:hAnsi="仿宋_GB2312" w:eastAsia="仿宋_GB2312" w:cs="仿宋_GB2312"/>
          <w:b w:val="0"/>
          <w:bCs w:val="0"/>
          <w:i w:val="0"/>
          <w:iCs w:val="0"/>
          <w:sz w:val="28"/>
          <w:szCs w:val="28"/>
        </w:rPr>
        <w:fldChar w:fldCharType="end"/>
      </w:r>
      <w:r>
        <w:rPr>
          <w:rFonts w:hint="eastAsia" w:ascii="仿宋_GB2312" w:hAnsi="仿宋_GB2312" w:eastAsia="仿宋_GB2312" w:cs="仿宋_GB2312"/>
          <w:b w:val="0"/>
          <w:bCs w:val="0"/>
          <w:i w:val="0"/>
          <w:i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"_Toc15699" </w:instrText>
      </w:r>
      <w:r>
        <w:fldChar w:fldCharType="separate"/>
      </w:r>
      <w:r>
        <w:rPr>
          <w:rFonts w:hint="eastAsia" w:ascii="仿宋_GB2312" w:hAnsi="仿宋_GB2312" w:eastAsia="仿宋_GB2312" w:cs="仿宋_GB2312"/>
          <w:b w:val="0"/>
          <w:bCs w:val="0"/>
          <w:sz w:val="28"/>
          <w:szCs w:val="28"/>
        </w:rPr>
        <w:t>一、收入支出决算总表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_Toc15699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31</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"_Toc27106" </w:instrText>
      </w:r>
      <w:r>
        <w:fldChar w:fldCharType="separate"/>
      </w:r>
      <w:r>
        <w:rPr>
          <w:rFonts w:hint="eastAsia" w:ascii="仿宋_GB2312" w:hAnsi="仿宋_GB2312" w:eastAsia="仿宋_GB2312" w:cs="仿宋_GB2312"/>
          <w:b w:val="0"/>
          <w:bCs w:val="0"/>
          <w:sz w:val="28"/>
          <w:szCs w:val="28"/>
        </w:rPr>
        <w:t>二、收入决算表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_Toc27106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31</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"_Toc26817" </w:instrText>
      </w:r>
      <w:r>
        <w:fldChar w:fldCharType="separate"/>
      </w:r>
      <w:r>
        <w:rPr>
          <w:rFonts w:hint="eastAsia" w:ascii="仿宋_GB2312" w:hAnsi="仿宋_GB2312" w:eastAsia="仿宋_GB2312" w:cs="仿宋_GB2312"/>
          <w:b w:val="0"/>
          <w:bCs w:val="0"/>
          <w:sz w:val="28"/>
          <w:szCs w:val="28"/>
        </w:rPr>
        <w:t>三、支出决算表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_Toc26817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31</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"_Toc21747" </w:instrText>
      </w:r>
      <w:r>
        <w:fldChar w:fldCharType="separate"/>
      </w:r>
      <w:r>
        <w:rPr>
          <w:rFonts w:hint="eastAsia" w:ascii="仿宋_GB2312" w:hAnsi="仿宋_GB2312" w:eastAsia="仿宋_GB2312" w:cs="仿宋_GB2312"/>
          <w:b w:val="0"/>
          <w:bCs w:val="0"/>
          <w:sz w:val="28"/>
          <w:szCs w:val="28"/>
        </w:rPr>
        <w:t>四、财政拨款收入支出决算总表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_Toc21747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31</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"_Toc12959" </w:instrText>
      </w:r>
      <w:r>
        <w:fldChar w:fldCharType="separate"/>
      </w:r>
      <w:r>
        <w:rPr>
          <w:rFonts w:hint="eastAsia" w:ascii="仿宋_GB2312" w:hAnsi="仿宋_GB2312" w:eastAsia="仿宋_GB2312" w:cs="仿宋_GB2312"/>
          <w:b w:val="0"/>
          <w:bCs w:val="0"/>
          <w:sz w:val="28"/>
          <w:szCs w:val="28"/>
        </w:rPr>
        <w:t>五、财政拨款支出决算明细表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_Toc12959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31</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"_Toc23749" </w:instrText>
      </w:r>
      <w:r>
        <w:fldChar w:fldCharType="separate"/>
      </w:r>
      <w:r>
        <w:rPr>
          <w:rFonts w:hint="eastAsia" w:ascii="仿宋_GB2312" w:hAnsi="仿宋_GB2312" w:eastAsia="仿宋_GB2312" w:cs="仿宋_GB2312"/>
          <w:b w:val="0"/>
          <w:bCs w:val="0"/>
          <w:sz w:val="28"/>
          <w:szCs w:val="28"/>
        </w:rPr>
        <w:t>六、一般公共预算财政拨款支出决算表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_Toc23749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31</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"_Toc22275" </w:instrText>
      </w:r>
      <w:r>
        <w:fldChar w:fldCharType="separate"/>
      </w:r>
      <w:r>
        <w:rPr>
          <w:rFonts w:hint="eastAsia" w:ascii="仿宋_GB2312" w:hAnsi="仿宋_GB2312" w:eastAsia="仿宋_GB2312" w:cs="仿宋_GB2312"/>
          <w:b w:val="0"/>
          <w:bCs w:val="0"/>
          <w:sz w:val="28"/>
          <w:szCs w:val="28"/>
        </w:rPr>
        <w:t>七、一般公共预算财政拨款支出决算明细表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_Toc22275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31</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"_Toc30634" </w:instrText>
      </w:r>
      <w:r>
        <w:fldChar w:fldCharType="separate"/>
      </w:r>
      <w:r>
        <w:rPr>
          <w:rFonts w:hint="eastAsia" w:ascii="仿宋_GB2312" w:hAnsi="仿宋_GB2312" w:eastAsia="仿宋_GB2312" w:cs="仿宋_GB2312"/>
          <w:b w:val="0"/>
          <w:bCs w:val="0"/>
          <w:sz w:val="28"/>
          <w:szCs w:val="28"/>
        </w:rPr>
        <w:t>八、一般公共预算财政拨款基本支出决算表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_Toc30634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31</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"_Toc15170" </w:instrText>
      </w:r>
      <w:r>
        <w:fldChar w:fldCharType="separate"/>
      </w:r>
      <w:r>
        <w:rPr>
          <w:rFonts w:hint="eastAsia" w:ascii="仿宋_GB2312" w:hAnsi="仿宋_GB2312" w:eastAsia="仿宋_GB2312" w:cs="仿宋_GB2312"/>
          <w:b w:val="0"/>
          <w:bCs w:val="0"/>
          <w:sz w:val="28"/>
          <w:szCs w:val="28"/>
        </w:rPr>
        <w:t>九、一般公共预算财政拨款项目支出决算表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_Toc15170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31</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"_Toc17603" </w:instrText>
      </w:r>
      <w:r>
        <w:fldChar w:fldCharType="separate"/>
      </w:r>
      <w:r>
        <w:rPr>
          <w:rFonts w:hint="eastAsia" w:ascii="仿宋_GB2312" w:hAnsi="仿宋_GB2312" w:eastAsia="仿宋_GB2312" w:cs="仿宋_GB2312"/>
          <w:b w:val="0"/>
          <w:bCs w:val="0"/>
          <w:sz w:val="28"/>
          <w:szCs w:val="28"/>
        </w:rPr>
        <w:t>十、一般公共预算财政拨款“三公”经费支出决算表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_Toc17603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31</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"_Toc7313" </w:instrText>
      </w:r>
      <w:r>
        <w:fldChar w:fldCharType="separate"/>
      </w:r>
      <w:r>
        <w:rPr>
          <w:rFonts w:hint="eastAsia" w:ascii="仿宋_GB2312" w:hAnsi="仿宋_GB2312" w:eastAsia="仿宋_GB2312" w:cs="仿宋_GB2312"/>
          <w:b w:val="0"/>
          <w:bCs w:val="0"/>
          <w:sz w:val="28"/>
          <w:szCs w:val="28"/>
        </w:rPr>
        <w:t>十一、政府性基金预算财政拨款收入支出决算表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_Toc7313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31</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"_Toc9382" </w:instrText>
      </w:r>
      <w:r>
        <w:fldChar w:fldCharType="separate"/>
      </w:r>
      <w:r>
        <w:rPr>
          <w:rFonts w:hint="eastAsia" w:ascii="仿宋_GB2312" w:hAnsi="仿宋_GB2312" w:eastAsia="仿宋_GB2312" w:cs="仿宋_GB2312"/>
          <w:b w:val="0"/>
          <w:bCs w:val="0"/>
          <w:sz w:val="28"/>
          <w:szCs w:val="28"/>
        </w:rPr>
        <w:t>十二、政府性基金预算财政拨款“三公”经费支出决算表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_Toc9382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31</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"_Toc22683" </w:instrText>
      </w:r>
      <w:r>
        <w:fldChar w:fldCharType="separate"/>
      </w:r>
      <w:r>
        <w:rPr>
          <w:rFonts w:hint="eastAsia" w:ascii="仿宋_GB2312" w:hAnsi="仿宋_GB2312" w:eastAsia="仿宋_GB2312" w:cs="仿宋_GB2312"/>
          <w:b w:val="0"/>
          <w:bCs w:val="0"/>
          <w:sz w:val="28"/>
          <w:szCs w:val="28"/>
        </w:rPr>
        <w:t>十三、国有资本经营预算财政拨款收入支出决算表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_Toc22683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31</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pStyle w:val="9"/>
        <w:tabs>
          <w:tab w:val="right" w:leader="dot" w:pos="8306"/>
        </w:tabs>
        <w:spacing w:line="560" w:lineRule="exact"/>
        <w:rPr>
          <w:rFonts w:ascii="仿宋_GB2312" w:hAnsi="仿宋_GB2312" w:eastAsia="仿宋_GB2312" w:cs="仿宋_GB2312"/>
          <w:b w:val="0"/>
          <w:bCs w:val="0"/>
          <w:sz w:val="28"/>
          <w:szCs w:val="28"/>
        </w:rPr>
      </w:pPr>
      <w:r>
        <w:fldChar w:fldCharType="begin"/>
      </w:r>
      <w:r>
        <w:instrText xml:space="preserve"> HYPERLINK \l "_Toc10257" </w:instrText>
      </w:r>
      <w:r>
        <w:fldChar w:fldCharType="separate"/>
      </w:r>
      <w:r>
        <w:rPr>
          <w:rFonts w:hint="eastAsia" w:ascii="仿宋_GB2312" w:hAnsi="仿宋_GB2312" w:eastAsia="仿宋_GB2312" w:cs="仿宋_GB2312"/>
          <w:b w:val="0"/>
          <w:bCs w:val="0"/>
          <w:sz w:val="28"/>
          <w:szCs w:val="28"/>
        </w:rPr>
        <w:t>十四、国有资本经营预算财政拨款支出决算表</w:t>
      </w:r>
      <w:r>
        <w:rPr>
          <w:rFonts w:hint="eastAsia" w:ascii="仿宋_GB2312" w:hAnsi="仿宋_GB2312" w:eastAsia="仿宋_GB2312" w:cs="仿宋_GB2312"/>
          <w:b w:val="0"/>
          <w:bCs w:val="0"/>
          <w:sz w:val="28"/>
          <w:szCs w:val="28"/>
        </w:rPr>
        <w:tab/>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PAGEREF _Toc10257 \h </w:instrText>
      </w:r>
      <w:r>
        <w:rPr>
          <w:rFonts w:hint="eastAsia" w:ascii="仿宋_GB2312" w:hAnsi="仿宋_GB2312" w:eastAsia="仿宋_GB2312" w:cs="仿宋_GB2312"/>
          <w:b w:val="0"/>
          <w:bCs w:val="0"/>
          <w:sz w:val="28"/>
          <w:szCs w:val="28"/>
        </w:rPr>
        <w:fldChar w:fldCharType="separate"/>
      </w:r>
      <w:r>
        <w:rPr>
          <w:rFonts w:hint="eastAsia" w:ascii="仿宋_GB2312" w:hAnsi="仿宋_GB2312" w:eastAsia="仿宋_GB2312" w:cs="仿宋_GB2312"/>
          <w:b w:val="0"/>
          <w:bCs w:val="0"/>
          <w:sz w:val="28"/>
          <w:szCs w:val="28"/>
        </w:rPr>
        <w:t>31</w:t>
      </w:r>
      <w:r>
        <w:rPr>
          <w:rFonts w:hint="eastAsia" w:ascii="仿宋_GB2312" w:hAnsi="仿宋_GB2312" w:eastAsia="仿宋_GB2312" w:cs="仿宋_GB2312"/>
          <w:b w:val="0"/>
          <w:bCs w:val="0"/>
          <w:sz w:val="28"/>
          <w:szCs w:val="28"/>
        </w:rPr>
        <w:fldChar w:fldCharType="end"/>
      </w:r>
      <w:r>
        <w:rPr>
          <w:rFonts w:hint="eastAsia" w:ascii="仿宋_GB2312" w:hAnsi="仿宋_GB2312" w:eastAsia="仿宋_GB2312" w:cs="仿宋_GB2312"/>
          <w:b w:val="0"/>
          <w:bCs w:val="0"/>
          <w:sz w:val="28"/>
          <w:szCs w:val="28"/>
        </w:rPr>
        <w:fldChar w:fldCharType="end"/>
      </w:r>
    </w:p>
    <w:p>
      <w:pPr>
        <w:spacing w:line="560" w:lineRule="exact"/>
        <w:ind w:firstLine="2100" w:firstLineChars="750"/>
        <w:rPr>
          <w:rFonts w:ascii="仿宋_GB2312" w:hAnsi="仿宋"/>
          <w:color w:val="FF0000"/>
          <w:szCs w:val="32"/>
        </w:rPr>
      </w:pPr>
      <w:r>
        <w:rPr>
          <w:rFonts w:hint="eastAsia" w:ascii="仿宋_GB2312" w:hAnsi="仿宋_GB2312" w:cs="仿宋_GB2312"/>
          <w:caps/>
          <w:sz w:val="28"/>
          <w:szCs w:val="28"/>
        </w:rPr>
        <w:fldChar w:fldCharType="end"/>
      </w:r>
    </w:p>
    <w:p>
      <w:r>
        <w:br w:type="page"/>
      </w:r>
    </w:p>
    <w:p>
      <w:pPr>
        <w:pStyle w:val="3"/>
        <w:jc w:val="center"/>
        <w:rPr>
          <w:rStyle w:val="16"/>
          <w:rFonts w:ascii="黑体" w:hAnsi="黑体" w:eastAsia="黑体"/>
          <w:b/>
          <w:bCs w:val="0"/>
        </w:rPr>
      </w:pPr>
      <w:bookmarkStart w:id="0" w:name="_Toc10567"/>
      <w:r>
        <w:rPr>
          <w:rFonts w:hint="eastAsia" w:ascii="黑体" w:hAnsi="黑体" w:eastAsia="黑体"/>
          <w:b w:val="0"/>
        </w:rPr>
        <w:t>第一部分</w:t>
      </w:r>
      <w:r>
        <w:rPr>
          <w:rFonts w:ascii="黑体" w:hAnsi="黑体" w:eastAsia="黑体"/>
          <w:b w:val="0"/>
        </w:rPr>
        <w:t xml:space="preserve"> </w:t>
      </w:r>
      <w:r>
        <w:rPr>
          <w:rStyle w:val="16"/>
          <w:rFonts w:hint="eastAsia" w:ascii="黑体" w:hAnsi="黑体" w:eastAsia="黑体"/>
          <w:b w:val="0"/>
          <w:bCs w:val="0"/>
        </w:rPr>
        <w:t>部门概况</w:t>
      </w:r>
      <w:bookmarkEnd w:id="0"/>
    </w:p>
    <w:p>
      <w:pPr>
        <w:widowControl/>
        <w:jc w:val="left"/>
        <w:rPr>
          <w:rFonts w:ascii="黑体" w:eastAsia="黑体"/>
          <w:color w:val="000000"/>
          <w:szCs w:val="32"/>
        </w:rPr>
      </w:pPr>
    </w:p>
    <w:p>
      <w:pPr>
        <w:pStyle w:val="4"/>
        <w:rPr>
          <w:rStyle w:val="17"/>
          <w:rFonts w:ascii="仿宋" w:hAnsi="仿宋" w:eastAsia="仿宋"/>
          <w:b w:val="0"/>
          <w:bCs w:val="0"/>
        </w:rPr>
      </w:pPr>
      <w:bookmarkStart w:id="1" w:name="_Toc15396600"/>
      <w:bookmarkStart w:id="2" w:name="_Toc21498"/>
      <w:bookmarkStart w:id="3" w:name="_Toc15377197"/>
      <w:r>
        <w:rPr>
          <w:rFonts w:hint="eastAsia" w:ascii="黑体" w:hAnsi="黑体" w:eastAsia="黑体"/>
          <w:b w:val="0"/>
          <w:color w:val="000000"/>
        </w:rPr>
        <w:t>一、基</w:t>
      </w:r>
      <w:r>
        <w:rPr>
          <w:rStyle w:val="17"/>
          <w:rFonts w:hint="eastAsia" w:ascii="黑体" w:hAnsi="黑体" w:eastAsia="黑体"/>
          <w:b w:val="0"/>
          <w:bCs w:val="0"/>
        </w:rPr>
        <w:t>本职能及主要工作</w:t>
      </w:r>
      <w:bookmarkEnd w:id="1"/>
      <w:bookmarkEnd w:id="2"/>
      <w:bookmarkEnd w:id="3"/>
    </w:p>
    <w:p>
      <w:pPr>
        <w:pStyle w:val="5"/>
        <w:adjustRightInd w:val="0"/>
        <w:snapToGrid w:val="0"/>
        <w:spacing w:before="93" w:line="600" w:lineRule="exact"/>
        <w:ind w:firstLine="672" w:firstLineChars="210"/>
        <w:outlineLvl w:val="2"/>
        <w:rPr>
          <w:rFonts w:ascii="仿宋" w:hAnsi="仿宋" w:eastAsia="仿宋"/>
          <w:bCs/>
          <w:color w:val="000000"/>
          <w:sz w:val="32"/>
          <w:szCs w:val="32"/>
        </w:rPr>
      </w:pPr>
      <w:bookmarkStart w:id="4" w:name="_Toc15378445"/>
      <w:bookmarkStart w:id="5" w:name="_Toc15377198"/>
      <w:r>
        <w:rPr>
          <w:rFonts w:hint="eastAsia" w:ascii="仿宋" w:hAnsi="仿宋" w:eastAsia="仿宋"/>
          <w:bCs/>
          <w:color w:val="000000"/>
          <w:sz w:val="32"/>
          <w:szCs w:val="32"/>
        </w:rPr>
        <w:t>（一）主要职能。</w:t>
      </w:r>
      <w:bookmarkEnd w:id="4"/>
      <w:bookmarkEnd w:id="5"/>
      <w:bookmarkStart w:id="6" w:name="_Toc15378446"/>
      <w:bookmarkStart w:id="7" w:name="_Toc15377199"/>
    </w:p>
    <w:p>
      <w:pPr>
        <w:spacing w:line="560" w:lineRule="exact"/>
        <w:ind w:firstLine="707" w:firstLineChars="221"/>
        <w:rPr>
          <w:szCs w:val="32"/>
        </w:rPr>
      </w:pPr>
      <w:r>
        <w:rPr>
          <w:szCs w:val="32"/>
        </w:rPr>
        <w:t>1．贯彻执行国家和省、市、区有关对外开放、投资促进、经济合作的方针政策；牵头拟订全区吸引外来投资的发展战略、有关政策和规定；组织制定全区投资促进中长期规划、年度计划和项目布局方案并组织实施。</w:t>
      </w:r>
    </w:p>
    <w:p>
      <w:pPr>
        <w:spacing w:line="560" w:lineRule="exact"/>
        <w:ind w:firstLine="707" w:firstLineChars="221"/>
        <w:rPr>
          <w:szCs w:val="32"/>
        </w:rPr>
      </w:pPr>
      <w:r>
        <w:rPr>
          <w:szCs w:val="32"/>
        </w:rPr>
        <w:t>2．建立和完善对外开放、投资促进、经济合作的区内外组织体系、信息网络和项目库，提供相关的咨询和服务；研究、搜集、发布信息，为基层和企业牵线搭桥，搭建发展合作平台，为区政府提供经济合作、招商引资的决策依据。</w:t>
      </w:r>
    </w:p>
    <w:p>
      <w:pPr>
        <w:spacing w:line="560" w:lineRule="exact"/>
        <w:ind w:firstLine="707" w:firstLineChars="221"/>
        <w:rPr>
          <w:szCs w:val="32"/>
        </w:rPr>
      </w:pPr>
      <w:r>
        <w:rPr>
          <w:szCs w:val="32"/>
        </w:rPr>
        <w:t>3．组织、指导重大招商引资项目的编制、推介工作。</w:t>
      </w:r>
    </w:p>
    <w:p>
      <w:pPr>
        <w:spacing w:line="560" w:lineRule="exact"/>
        <w:ind w:firstLine="707" w:firstLineChars="221"/>
        <w:rPr>
          <w:szCs w:val="32"/>
        </w:rPr>
      </w:pPr>
      <w:r>
        <w:rPr>
          <w:szCs w:val="32"/>
        </w:rPr>
        <w:t>4．统筹、协调重大招商引资项目及区内企业扩张性投资项目的布局、落地和实施。</w:t>
      </w:r>
    </w:p>
    <w:p>
      <w:pPr>
        <w:spacing w:line="560" w:lineRule="exact"/>
        <w:ind w:firstLine="707" w:firstLineChars="221"/>
        <w:rPr>
          <w:szCs w:val="32"/>
        </w:rPr>
      </w:pPr>
      <w:r>
        <w:rPr>
          <w:szCs w:val="32"/>
        </w:rPr>
        <w:t>5．负责我区组团参加区域经济合作活动和招商引资重大投资洽谈活动；负责重要投资考察团（组）来访的接洽工作。</w:t>
      </w:r>
    </w:p>
    <w:p>
      <w:pPr>
        <w:spacing w:line="560" w:lineRule="exact"/>
        <w:ind w:firstLine="707" w:firstLineChars="221"/>
        <w:rPr>
          <w:szCs w:val="32"/>
        </w:rPr>
      </w:pPr>
      <w:r>
        <w:rPr>
          <w:szCs w:val="32"/>
        </w:rPr>
        <w:t>6．协调管理全区招商引资政务环境的建设；会同有关职能部门对影响全区投资环境的重大问题进行调查研究，提出加强和改善投资环境工作的建设性意见；协助有关职能部门对全区投资环境进行评议、监督和对影响投资环境的行为开展调查、提出处理建议、跟踪处理结果。</w:t>
      </w:r>
    </w:p>
    <w:p>
      <w:pPr>
        <w:spacing w:line="560" w:lineRule="exact"/>
        <w:ind w:firstLine="707" w:firstLineChars="221"/>
        <w:rPr>
          <w:szCs w:val="32"/>
        </w:rPr>
      </w:pPr>
      <w:r>
        <w:rPr>
          <w:szCs w:val="32"/>
        </w:rPr>
        <w:t xml:space="preserve">7．受理外来企业、外来客商的投诉；对外来企业和外来客商反映的侵权行为开展调查，提出处理意见，维护外来企业、外来客商的合法权益；协助解决外来投资者反映的重大问题。   </w:t>
      </w:r>
    </w:p>
    <w:p>
      <w:pPr>
        <w:spacing w:line="560" w:lineRule="exact"/>
        <w:ind w:firstLine="707" w:firstLineChars="221"/>
        <w:rPr>
          <w:szCs w:val="32"/>
        </w:rPr>
      </w:pPr>
      <w:r>
        <w:rPr>
          <w:szCs w:val="32"/>
        </w:rPr>
        <w:t>8．负责区政府驻外办事机构及其人员的管理工作，监督管理政府驻外办事机构的国有资产，研究提出加强我区政府驻外办事机构及其人员管理的有关规定和布局调整意见；负责外来投资客商联谊工作。</w:t>
      </w:r>
    </w:p>
    <w:p>
      <w:pPr>
        <w:spacing w:line="560" w:lineRule="exact"/>
        <w:ind w:firstLine="707" w:firstLineChars="221"/>
        <w:rPr>
          <w:szCs w:val="32"/>
        </w:rPr>
      </w:pPr>
      <w:r>
        <w:rPr>
          <w:szCs w:val="32"/>
        </w:rPr>
        <w:t>9．负责对驻外招商引资机构、外派招商干部的管理与服务工作。</w:t>
      </w:r>
    </w:p>
    <w:p>
      <w:pPr>
        <w:spacing w:line="560" w:lineRule="exact"/>
        <w:ind w:firstLine="707" w:firstLineChars="221"/>
        <w:rPr>
          <w:szCs w:val="32"/>
        </w:rPr>
      </w:pPr>
      <w:r>
        <w:rPr>
          <w:szCs w:val="32"/>
        </w:rPr>
        <w:t>10．研究制定区域经济合作发展方案，为区政府扩大对外开放提供决策依据；承办有关区域经济协作组织的各项联络服务工作；负责我区同友好城市的联络及相关工作。</w:t>
      </w:r>
    </w:p>
    <w:p>
      <w:pPr>
        <w:spacing w:line="560" w:lineRule="exact"/>
        <w:ind w:firstLine="707" w:firstLineChars="221"/>
        <w:rPr>
          <w:szCs w:val="32"/>
        </w:rPr>
      </w:pPr>
      <w:r>
        <w:rPr>
          <w:szCs w:val="32"/>
        </w:rPr>
        <w:t>11．参与境外资金投资促进工作，负责建立外资项目库和海外客户资源档案，会同有关部门做好外资项目的推介工作。</w:t>
      </w:r>
    </w:p>
    <w:p>
      <w:pPr>
        <w:spacing w:line="560" w:lineRule="exact"/>
        <w:ind w:firstLine="707" w:firstLineChars="221"/>
        <w:rPr>
          <w:szCs w:val="32"/>
        </w:rPr>
      </w:pPr>
      <w:r>
        <w:rPr>
          <w:szCs w:val="32"/>
        </w:rPr>
        <w:t>12．承办全区招商引资工作的年度绩效考核、奖励项目和招商政策的审核工作。</w:t>
      </w:r>
    </w:p>
    <w:p>
      <w:pPr>
        <w:pStyle w:val="15"/>
        <w:ind w:firstLine="640" w:firstLineChars="200"/>
      </w:pPr>
      <w:r>
        <w:rPr>
          <w:rFonts w:ascii="Times New Roman" w:hAnsi="Times New Roman" w:eastAsia="仿宋_GB2312" w:cs="Times New Roman"/>
          <w:sz w:val="32"/>
          <w:szCs w:val="32"/>
        </w:rPr>
        <w:t>13．承办区政府交办的其他事项。</w:t>
      </w:r>
    </w:p>
    <w:p>
      <w:pPr>
        <w:pStyle w:val="5"/>
        <w:adjustRightInd w:val="0"/>
        <w:snapToGrid w:val="0"/>
        <w:spacing w:before="93" w:line="600" w:lineRule="exact"/>
        <w:ind w:firstLine="672" w:firstLineChars="210"/>
        <w:outlineLvl w:val="2"/>
        <w:rPr>
          <w:rFonts w:ascii="仿宋" w:hAnsi="仿宋" w:eastAsia="仿宋"/>
          <w:bCs/>
          <w:color w:val="000000"/>
          <w:sz w:val="32"/>
          <w:szCs w:val="32"/>
        </w:rPr>
      </w:pPr>
      <w:r>
        <w:rPr>
          <w:rFonts w:hint="eastAsia" w:ascii="仿宋" w:hAnsi="仿宋" w:eastAsia="仿宋"/>
          <w:bCs/>
          <w:color w:val="000000"/>
          <w:sz w:val="32"/>
          <w:szCs w:val="32"/>
        </w:rPr>
        <w:t>（二）</w:t>
      </w:r>
      <w:r>
        <w:rPr>
          <w:rFonts w:ascii="仿宋" w:hAnsi="仿宋" w:eastAsia="仿宋"/>
          <w:bCs/>
          <w:color w:val="000000"/>
          <w:sz w:val="32"/>
          <w:szCs w:val="32"/>
        </w:rPr>
        <w:t>2020</w:t>
      </w:r>
      <w:r>
        <w:rPr>
          <w:rFonts w:hint="eastAsia" w:ascii="仿宋" w:hAnsi="仿宋" w:eastAsia="仿宋"/>
          <w:bCs/>
          <w:color w:val="000000"/>
          <w:sz w:val="32"/>
          <w:szCs w:val="32"/>
        </w:rPr>
        <w:t>年重点工作完成情况。</w:t>
      </w:r>
      <w:bookmarkEnd w:id="6"/>
      <w:bookmarkEnd w:id="7"/>
    </w:p>
    <w:p>
      <w:pPr>
        <w:widowControl/>
        <w:spacing w:line="560" w:lineRule="exact"/>
        <w:ind w:firstLine="643" w:firstLineChars="200"/>
        <w:jc w:val="left"/>
        <w:rPr>
          <w:kern w:val="0"/>
          <w:szCs w:val="32"/>
        </w:rPr>
      </w:pPr>
      <w:r>
        <w:rPr>
          <w:rFonts w:hint="eastAsia" w:eastAsia="楷体_GB2312"/>
          <w:b/>
          <w:color w:val="000000"/>
          <w:szCs w:val="32"/>
        </w:rPr>
        <w:t>1.</w:t>
      </w:r>
      <w:r>
        <w:rPr>
          <w:rFonts w:eastAsia="楷体_GB2312"/>
          <w:b/>
          <w:color w:val="000000"/>
          <w:szCs w:val="32"/>
        </w:rPr>
        <w:t>目标任务完成情况</w:t>
      </w:r>
    </w:p>
    <w:p>
      <w:pPr>
        <w:spacing w:line="560" w:lineRule="exact"/>
        <w:jc w:val="left"/>
        <w:rPr>
          <w:szCs w:val="32"/>
        </w:rPr>
      </w:pPr>
      <w:r>
        <w:rPr>
          <w:szCs w:val="32"/>
        </w:rPr>
        <w:t xml:space="preserve">    2020年，全区上报到位市外项目资金165亿元，完成目标任务的100%，其中，省外固投资金60亿元，完成目标任务的95%；全区上报新签约项目23个，其中，工业项目6个，10亿元以上项目4个，总部经济项目2个；2019年新签约25个项目，总投资100.486亿元，其中履约22个，履约率88%，开工22个，开工率88%，资金到位33亿元，资金到位率33%；预计全年自主举办招商活动6次，区委、区政府主要领导带队外出考察20次。</w:t>
      </w:r>
    </w:p>
    <w:p>
      <w:pPr>
        <w:widowControl/>
        <w:spacing w:line="560" w:lineRule="exact"/>
        <w:ind w:firstLine="643" w:firstLineChars="200"/>
        <w:jc w:val="left"/>
        <w:rPr>
          <w:rFonts w:eastAsia="楷体_GB2312"/>
          <w:b/>
          <w:color w:val="000000"/>
          <w:szCs w:val="32"/>
        </w:rPr>
      </w:pPr>
      <w:r>
        <w:rPr>
          <w:rFonts w:hint="eastAsia" w:eastAsia="楷体_GB2312"/>
          <w:b/>
          <w:color w:val="000000"/>
          <w:szCs w:val="32"/>
        </w:rPr>
        <w:t>2.</w:t>
      </w:r>
      <w:r>
        <w:rPr>
          <w:rFonts w:eastAsia="楷体_GB2312"/>
          <w:b/>
          <w:color w:val="000000"/>
          <w:szCs w:val="32"/>
        </w:rPr>
        <w:t>坚持早谋划早部署，疫情期间“不见面”招商</w:t>
      </w:r>
    </w:p>
    <w:p>
      <w:pPr>
        <w:widowControl/>
        <w:spacing w:line="560" w:lineRule="exact"/>
        <w:ind w:firstLine="640" w:firstLineChars="200"/>
        <w:jc w:val="left"/>
        <w:rPr>
          <w:kern w:val="0"/>
          <w:szCs w:val="32"/>
        </w:rPr>
      </w:pPr>
      <w:r>
        <w:rPr>
          <w:szCs w:val="32"/>
        </w:rPr>
        <w:t>认真落实统筹推进疫情防控和经济发展工作要求，提早谋划特殊形势下的招商引资工作举措，迅速启动“不见面”招商。利用微信、电话等方式对接联系重点在谈企业，</w:t>
      </w:r>
      <w:r>
        <w:rPr>
          <w:kern w:val="0"/>
          <w:szCs w:val="32"/>
        </w:rPr>
        <w:t>进一步加强沟通联系，推进洽谈完善协议等工作，开展网上平台招商推介专题活动1次，在线关注6万人次，重点推介国际陆港临港加工项目3个。</w:t>
      </w:r>
    </w:p>
    <w:p>
      <w:pPr>
        <w:widowControl/>
        <w:spacing w:line="560" w:lineRule="exact"/>
        <w:ind w:firstLine="643" w:firstLineChars="200"/>
        <w:jc w:val="left"/>
        <w:rPr>
          <w:rFonts w:eastAsia="楷体_GB2312"/>
          <w:kern w:val="0"/>
          <w:szCs w:val="32"/>
        </w:rPr>
      </w:pPr>
      <w:r>
        <w:rPr>
          <w:rFonts w:hint="eastAsia" w:eastAsia="楷体_GB2312"/>
          <w:b/>
          <w:color w:val="000000"/>
          <w:szCs w:val="32"/>
        </w:rPr>
        <w:t>3.</w:t>
      </w:r>
      <w:r>
        <w:rPr>
          <w:rFonts w:eastAsia="楷体_GB2312"/>
          <w:b/>
          <w:color w:val="000000"/>
          <w:szCs w:val="32"/>
        </w:rPr>
        <w:t>坚持多元化专业化，确保招引项目“不断线”</w:t>
      </w:r>
    </w:p>
    <w:p>
      <w:pPr>
        <w:widowControl/>
        <w:spacing w:line="560" w:lineRule="exact"/>
        <w:ind w:firstLine="640" w:firstLineChars="200"/>
        <w:jc w:val="left"/>
        <w:rPr>
          <w:szCs w:val="32"/>
        </w:rPr>
      </w:pPr>
      <w:r>
        <w:rPr>
          <w:kern w:val="0"/>
          <w:szCs w:val="32"/>
        </w:rPr>
        <w:t>一是强化制度引领。及时修订完善考核办法，明确招商方向和措施，进一步强化精准招商。区级各部门根据我区产业定位，进一步细化主导产业定位，明确招商主攻方向。二是深入实施精准招商。紧紧围绕</w:t>
      </w:r>
      <w:r>
        <w:rPr>
          <w:szCs w:val="32"/>
        </w:rPr>
        <w:t>“一港一区一基地”，紧盯成渝地区双城经济圈，积极与四川天味食品集团股份有限公司、中电光谷联合控股有限公司、重庆果园港、成都青白江港、成都产业集团等对接。三是积极开展多元化招商。灵活运用多种方式，利用企业资源、个人资源、商会资源、市区联动等方式，积极与广州致景信息科技有限公司、北部湾国际港务集团有限公司、新城控股集团股份有限公司、广西万和鼎盛国际物流有限公司、中资鸿运投资有限公司对接，敲定一批在谈项目。</w:t>
      </w:r>
    </w:p>
    <w:p>
      <w:pPr>
        <w:widowControl/>
        <w:spacing w:line="560" w:lineRule="exact"/>
        <w:ind w:firstLine="643" w:firstLineChars="200"/>
        <w:jc w:val="left"/>
        <w:rPr>
          <w:rFonts w:eastAsia="楷体_GB2312"/>
          <w:szCs w:val="32"/>
        </w:rPr>
      </w:pPr>
      <w:r>
        <w:rPr>
          <w:rFonts w:hint="eastAsia" w:eastAsia="楷体_GB2312"/>
          <w:b/>
          <w:color w:val="000000"/>
          <w:szCs w:val="32"/>
        </w:rPr>
        <w:t>4.</w:t>
      </w:r>
      <w:r>
        <w:rPr>
          <w:rFonts w:eastAsia="楷体_GB2312"/>
          <w:b/>
          <w:color w:val="000000"/>
          <w:szCs w:val="32"/>
        </w:rPr>
        <w:t>坚持协调推进，保障签约项目“快落地”</w:t>
      </w:r>
    </w:p>
    <w:p>
      <w:pPr>
        <w:widowControl/>
        <w:spacing w:line="560" w:lineRule="exact"/>
        <w:ind w:firstLine="640" w:firstLineChars="200"/>
        <w:jc w:val="left"/>
        <w:rPr>
          <w:kern w:val="0"/>
          <w:szCs w:val="32"/>
        </w:rPr>
      </w:pPr>
      <w:r>
        <w:rPr>
          <w:kern w:val="0"/>
          <w:szCs w:val="32"/>
        </w:rPr>
        <w:t>坚持把推进项目快落地作为招商引资工作重点推进，认真做好招商引资后续工作。一是</w:t>
      </w:r>
      <w:r>
        <w:rPr>
          <w:szCs w:val="32"/>
        </w:rPr>
        <w:t>持续推进“</w:t>
      </w:r>
      <w:r>
        <w:rPr>
          <w:kern w:val="0"/>
          <w:szCs w:val="32"/>
        </w:rPr>
        <w:t>一个重大项目、一个县级领导、一个部门产业小组</w:t>
      </w:r>
      <w:r>
        <w:rPr>
          <w:szCs w:val="32"/>
        </w:rPr>
        <w:t>”工作机制，按照“</w:t>
      </w:r>
      <w:r>
        <w:rPr>
          <w:kern w:val="0"/>
          <w:szCs w:val="32"/>
        </w:rPr>
        <w:t>专人、定时</w:t>
      </w:r>
      <w:r>
        <w:rPr>
          <w:szCs w:val="32"/>
        </w:rPr>
        <w:t>”要求，实行清单管理、挂图作战、限时推进</w:t>
      </w:r>
      <w:r>
        <w:rPr>
          <w:color w:val="000000"/>
          <w:szCs w:val="32"/>
        </w:rPr>
        <w:t>。</w:t>
      </w:r>
      <w:r>
        <w:rPr>
          <w:kern w:val="0"/>
          <w:szCs w:val="32"/>
        </w:rPr>
        <w:t>二是持续协调跟进签约项目。分类建立签约项目后续进展台账，采取清单式、责任化的推进方式，每月协调签约项目各责任单位推进进展，确保完成目标任务。三是全力帮助招商引资企业排忧解难。积极开展“一对一”、“点对点”服务，切实帮助招商引资企业解决疫情防控、用人用工、证件办理等方面的问题。四是做好招商引资基础工作。根据市场方向，及时修改招商引资宣传折页、招商引资宣传片、招商引资项目库等，以便客商精准了解自流井区现状。</w:t>
      </w:r>
    </w:p>
    <w:p>
      <w:pPr>
        <w:widowControl/>
        <w:spacing w:line="560" w:lineRule="exact"/>
        <w:ind w:firstLine="643" w:firstLineChars="200"/>
        <w:jc w:val="left"/>
        <w:rPr>
          <w:rFonts w:eastAsia="楷体_GB2312"/>
          <w:b/>
          <w:bCs/>
          <w:kern w:val="0"/>
          <w:szCs w:val="32"/>
        </w:rPr>
      </w:pPr>
      <w:r>
        <w:rPr>
          <w:rFonts w:hint="eastAsia" w:eastAsia="楷体_GB2312"/>
          <w:b/>
          <w:color w:val="000000"/>
          <w:szCs w:val="32"/>
        </w:rPr>
        <w:t>5.</w:t>
      </w:r>
      <w:r>
        <w:rPr>
          <w:rFonts w:hAnsi="楷体_GB2312" w:eastAsia="楷体_GB2312"/>
          <w:b/>
          <w:bCs/>
          <w:kern w:val="0"/>
          <w:szCs w:val="32"/>
        </w:rPr>
        <w:t>加强队伍建设，强化党建引领</w:t>
      </w:r>
      <w:r>
        <w:rPr>
          <w:rFonts w:eastAsia="楷体_GB2312"/>
          <w:b/>
          <w:bCs/>
          <w:kern w:val="0"/>
          <w:szCs w:val="32"/>
        </w:rPr>
        <w:t>“</w:t>
      </w:r>
      <w:r>
        <w:rPr>
          <w:rFonts w:hAnsi="楷体_GB2312" w:eastAsia="楷体_GB2312"/>
          <w:b/>
          <w:bCs/>
          <w:kern w:val="0"/>
          <w:szCs w:val="32"/>
        </w:rPr>
        <w:t>战斗力</w:t>
      </w:r>
      <w:r>
        <w:rPr>
          <w:rFonts w:eastAsia="楷体_GB2312"/>
          <w:b/>
          <w:bCs/>
          <w:kern w:val="0"/>
          <w:szCs w:val="32"/>
        </w:rPr>
        <w:t>”</w:t>
      </w:r>
    </w:p>
    <w:p>
      <w:pPr>
        <w:spacing w:line="560" w:lineRule="exact"/>
        <w:ind w:firstLine="640" w:firstLineChars="200"/>
        <w:jc w:val="left"/>
        <w:rPr>
          <w:bCs/>
          <w:color w:val="000000"/>
          <w:szCs w:val="32"/>
        </w:rPr>
      </w:pPr>
      <w:r>
        <w:rPr>
          <w:rFonts w:hAnsi="仿宋_GB2312"/>
          <w:color w:val="000000"/>
          <w:szCs w:val="32"/>
        </w:rPr>
        <w:t>一是认真开展换届选举。今年</w:t>
      </w:r>
      <w:r>
        <w:rPr>
          <w:color w:val="000000"/>
          <w:szCs w:val="32"/>
        </w:rPr>
        <w:t>7</w:t>
      </w:r>
      <w:r>
        <w:rPr>
          <w:rFonts w:hAnsi="仿宋_GB2312"/>
          <w:color w:val="000000"/>
          <w:szCs w:val="32"/>
        </w:rPr>
        <w:t>月份，支部按时进行了换届选举，选举出党支部书记</w:t>
      </w:r>
      <w:r>
        <w:rPr>
          <w:color w:val="000000"/>
          <w:szCs w:val="32"/>
        </w:rPr>
        <w:t>1</w:t>
      </w:r>
      <w:r>
        <w:rPr>
          <w:rFonts w:hAnsi="仿宋_GB2312"/>
          <w:color w:val="000000"/>
          <w:szCs w:val="32"/>
        </w:rPr>
        <w:t>名、其他支委成员</w:t>
      </w:r>
      <w:r>
        <w:rPr>
          <w:color w:val="000000"/>
          <w:szCs w:val="32"/>
        </w:rPr>
        <w:t>2</w:t>
      </w:r>
      <w:r>
        <w:rPr>
          <w:rFonts w:hAnsi="仿宋_GB2312"/>
          <w:color w:val="000000"/>
          <w:szCs w:val="32"/>
        </w:rPr>
        <w:t>名</w:t>
      </w:r>
      <w:r>
        <w:rPr>
          <w:color w:val="000000"/>
          <w:szCs w:val="32"/>
        </w:rPr>
        <w:t xml:space="preserve">, </w:t>
      </w:r>
      <w:r>
        <w:rPr>
          <w:rFonts w:hAnsi="仿宋_GB2312"/>
          <w:color w:val="000000"/>
          <w:szCs w:val="32"/>
        </w:rPr>
        <w:t>并进行了细致分工，支委成员认真履行职责，开展支部各项工作。二是严格落实</w:t>
      </w:r>
      <w:r>
        <w:rPr>
          <w:color w:val="000000"/>
          <w:szCs w:val="32"/>
        </w:rPr>
        <w:t>“</w:t>
      </w:r>
      <w:r>
        <w:rPr>
          <w:rFonts w:hAnsi="仿宋_GB2312"/>
          <w:color w:val="000000"/>
          <w:szCs w:val="32"/>
        </w:rPr>
        <w:t>三会一课</w:t>
      </w:r>
      <w:r>
        <w:rPr>
          <w:color w:val="000000"/>
          <w:szCs w:val="32"/>
        </w:rPr>
        <w:t>”</w:t>
      </w:r>
      <w:r>
        <w:rPr>
          <w:rFonts w:hAnsi="仿宋_GB2312"/>
          <w:color w:val="000000"/>
          <w:szCs w:val="32"/>
        </w:rPr>
        <w:t>制度。深入学习领会《习近平谈治国理政》等重要读物，认真学习了党的十九届四中、五中全会精神，省委十一届七次全会、市委十二届十次全会等全会精神。截止目前共召开</w:t>
      </w:r>
      <w:r>
        <w:rPr>
          <w:color w:val="000000"/>
          <w:szCs w:val="32"/>
        </w:rPr>
        <w:t>13</w:t>
      </w:r>
      <w:r>
        <w:rPr>
          <w:rFonts w:hAnsi="仿宋_GB2312"/>
          <w:color w:val="000000"/>
          <w:szCs w:val="32"/>
        </w:rPr>
        <w:t>次支委会、</w:t>
      </w:r>
      <w:r>
        <w:rPr>
          <w:color w:val="000000"/>
          <w:szCs w:val="32"/>
        </w:rPr>
        <w:t>6</w:t>
      </w:r>
      <w:r>
        <w:rPr>
          <w:rFonts w:hAnsi="仿宋_GB2312"/>
          <w:color w:val="000000"/>
          <w:szCs w:val="32"/>
        </w:rPr>
        <w:t>次党员大会、</w:t>
      </w:r>
      <w:r>
        <w:rPr>
          <w:color w:val="000000"/>
          <w:szCs w:val="32"/>
        </w:rPr>
        <w:t>1</w:t>
      </w:r>
      <w:r>
        <w:rPr>
          <w:rFonts w:hAnsi="仿宋_GB2312"/>
          <w:color w:val="000000"/>
          <w:szCs w:val="32"/>
        </w:rPr>
        <w:t>次班子民主生活会和</w:t>
      </w:r>
      <w:r>
        <w:rPr>
          <w:color w:val="000000"/>
          <w:szCs w:val="32"/>
        </w:rPr>
        <w:t>1</w:t>
      </w:r>
      <w:r>
        <w:rPr>
          <w:rFonts w:hAnsi="仿宋_GB2312"/>
          <w:color w:val="000000"/>
          <w:szCs w:val="32"/>
        </w:rPr>
        <w:t>次专题组织生活会，党组书</w:t>
      </w:r>
      <w:r>
        <w:rPr>
          <w:bCs/>
          <w:color w:val="000000"/>
          <w:szCs w:val="32"/>
        </w:rPr>
        <w:t>记、支部书记上党课各1次。</w:t>
      </w:r>
      <w:r>
        <w:rPr>
          <w:rFonts w:hAnsi="仿宋_GB2312"/>
          <w:bCs/>
          <w:color w:val="000000"/>
          <w:szCs w:val="32"/>
        </w:rPr>
        <w:t>三是丰富主题党日活动。确定</w:t>
      </w:r>
      <w:r>
        <w:rPr>
          <w:rFonts w:hAnsi="仿宋_GB2312"/>
          <w:color w:val="000000"/>
          <w:szCs w:val="32"/>
        </w:rPr>
        <w:t>每月一主题开展主题党日活动，</w:t>
      </w:r>
      <w:r>
        <w:rPr>
          <w:color w:val="000000"/>
          <w:szCs w:val="32"/>
        </w:rPr>
        <w:t>分别开展了庆祝建党99周年</w:t>
      </w:r>
      <w:r>
        <w:rPr>
          <w:bCs/>
          <w:color w:val="000000"/>
          <w:szCs w:val="32"/>
        </w:rPr>
        <w:t>“</w:t>
      </w:r>
      <w:r>
        <w:rPr>
          <w:bCs/>
          <w:color w:val="000000"/>
          <w:szCs w:val="32"/>
          <w:shd w:val="clear" w:color="auto" w:fill="FFFFFF"/>
        </w:rPr>
        <w:t>参观农民廉政漫画，牢筑廉洁思想防线”“创卫攻坚，党员走在先”“</w:t>
      </w:r>
      <w:r>
        <w:rPr>
          <w:color w:val="000000"/>
          <w:szCs w:val="32"/>
        </w:rPr>
        <w:t>走访慰问送关爱”“深入大山村宣讲党的十九届全会”</w:t>
      </w:r>
      <w:r>
        <w:rPr>
          <w:bCs/>
          <w:color w:val="000000"/>
          <w:szCs w:val="32"/>
          <w:shd w:val="clear" w:color="auto" w:fill="FFFFFF"/>
        </w:rPr>
        <w:t>等</w:t>
      </w:r>
      <w:r>
        <w:rPr>
          <w:bCs/>
          <w:color w:val="000000"/>
          <w:szCs w:val="32"/>
        </w:rPr>
        <w:t>丰富多彩的主题党日活动，进一步增强党支部的凝聚力和向心力。</w:t>
      </w:r>
    </w:p>
    <w:p>
      <w:pPr>
        <w:spacing w:line="560" w:lineRule="exact"/>
        <w:ind w:left="638"/>
        <w:jc w:val="left"/>
        <w:rPr>
          <w:rFonts w:eastAsia="楷体_GB2312"/>
          <w:b/>
          <w:bCs/>
          <w:szCs w:val="32"/>
        </w:rPr>
      </w:pPr>
      <w:r>
        <w:rPr>
          <w:rFonts w:hint="eastAsia" w:hAnsi="楷体_GB2312" w:eastAsia="楷体_GB2312"/>
          <w:b/>
          <w:bCs/>
          <w:szCs w:val="32"/>
        </w:rPr>
        <w:t>6.</w:t>
      </w:r>
      <w:r>
        <w:rPr>
          <w:rFonts w:hAnsi="楷体_GB2312" w:eastAsia="楷体_GB2312"/>
          <w:b/>
          <w:bCs/>
          <w:szCs w:val="32"/>
        </w:rPr>
        <w:t>强化教育监管，建设清正廉洁机关</w:t>
      </w:r>
    </w:p>
    <w:p>
      <w:pPr>
        <w:pStyle w:val="15"/>
        <w:widowControl/>
        <w:snapToGrid w:val="0"/>
        <w:spacing w:line="560" w:lineRule="exact"/>
        <w:rPr>
          <w:rFonts w:ascii="Times New Roman" w:hAnsi="仿宋_GB2312" w:eastAsia="仿宋_GB2312" w:cs="Times New Roman"/>
          <w:bCs/>
          <w:kern w:val="2"/>
          <w:sz w:val="32"/>
          <w:szCs w:val="32"/>
        </w:rPr>
      </w:pPr>
      <w:r>
        <w:rPr>
          <w:rFonts w:hint="eastAsia" w:ascii="Times New Roman" w:hAnsi="仿宋_GB2312" w:eastAsia="仿宋_GB2312" w:cs="Times New Roman"/>
          <w:bCs/>
          <w:kern w:val="2"/>
          <w:sz w:val="32"/>
          <w:szCs w:val="32"/>
        </w:rPr>
        <w:t>　　</w:t>
      </w:r>
      <w:r>
        <w:rPr>
          <w:rFonts w:ascii="Times New Roman" w:hAnsi="仿宋_GB2312" w:eastAsia="仿宋_GB2312" w:cs="Times New Roman"/>
          <w:bCs/>
          <w:kern w:val="2"/>
          <w:sz w:val="32"/>
          <w:szCs w:val="32"/>
        </w:rPr>
        <w:t>一是加强廉政教育。今年通过干部职工大会、支部党员大会组织学习《新形势下党内若干部政治生活准则》《中国共产党纪律处分条例》《民法典》等党纪法规</w:t>
      </w:r>
      <w:r>
        <w:rPr>
          <w:rFonts w:hint="eastAsia" w:ascii="Times New Roman" w:hAnsi="仿宋_GB2312" w:eastAsia="仿宋_GB2312" w:cs="Times New Roman"/>
          <w:bCs/>
          <w:kern w:val="2"/>
          <w:sz w:val="32"/>
          <w:szCs w:val="32"/>
        </w:rPr>
        <w:t>，</w:t>
      </w:r>
      <w:r>
        <w:rPr>
          <w:rFonts w:ascii="Times New Roman" w:hAnsi="仿宋_GB2312" w:eastAsia="仿宋_GB2312" w:cs="Times New Roman"/>
          <w:bCs/>
          <w:kern w:val="2"/>
          <w:sz w:val="32"/>
          <w:szCs w:val="32"/>
        </w:rPr>
        <w:t>党组书记召开集体廉政谈话3次。二是开展警示教育，通过通报违纪违法案件、观看警示教育专题片等形式，用好典型反面教材强化廉政教育</w:t>
      </w:r>
      <w:r>
        <w:rPr>
          <w:rFonts w:hint="eastAsia" w:ascii="Times New Roman" w:hAnsi="仿宋_GB2312" w:eastAsia="仿宋_GB2312" w:cs="Times New Roman"/>
          <w:bCs/>
          <w:kern w:val="2"/>
          <w:sz w:val="32"/>
          <w:szCs w:val="32"/>
        </w:rPr>
        <w:t>，</w:t>
      </w:r>
      <w:r>
        <w:rPr>
          <w:rFonts w:ascii="Times New Roman" w:hAnsi="仿宋_GB2312" w:eastAsia="仿宋_GB2312" w:cs="Times New Roman"/>
          <w:bCs/>
          <w:kern w:val="2"/>
          <w:sz w:val="32"/>
          <w:szCs w:val="32"/>
        </w:rPr>
        <w:t>重点通报了多起市区典型案件</w:t>
      </w:r>
      <w:r>
        <w:rPr>
          <w:rFonts w:hint="eastAsia" w:ascii="Times New Roman" w:hAnsi="仿宋_GB2312" w:eastAsia="仿宋_GB2312" w:cs="Times New Roman"/>
          <w:bCs/>
          <w:kern w:val="2"/>
          <w:sz w:val="32"/>
          <w:szCs w:val="32"/>
        </w:rPr>
        <w:t>。</w:t>
      </w:r>
      <w:r>
        <w:rPr>
          <w:rFonts w:ascii="Times New Roman" w:hAnsi="仿宋_GB2312" w:eastAsia="仿宋_GB2312" w:cs="Times New Roman"/>
          <w:bCs/>
          <w:kern w:val="2"/>
          <w:sz w:val="32"/>
          <w:szCs w:val="32"/>
        </w:rPr>
        <w:t>三是强化作风建设。持续纠正“四风”问题，认真贯彻落实厉行勤俭节约，严格控制公务、商务接待标准，加强“三公”经费管理。</w:t>
      </w:r>
      <w:r>
        <w:rPr>
          <w:rFonts w:hint="eastAsia" w:ascii="Times New Roman" w:hAnsi="仿宋_GB2312" w:eastAsia="仿宋_GB2312" w:cs="Times New Roman"/>
          <w:bCs/>
          <w:kern w:val="2"/>
          <w:sz w:val="32"/>
          <w:szCs w:val="32"/>
        </w:rPr>
        <w:t>四是</w:t>
      </w:r>
      <w:r>
        <w:rPr>
          <w:rFonts w:ascii="Times New Roman" w:hAnsi="仿宋_GB2312" w:eastAsia="仿宋_GB2312" w:cs="Times New Roman"/>
          <w:bCs/>
          <w:kern w:val="2"/>
          <w:sz w:val="32"/>
          <w:szCs w:val="32"/>
        </w:rPr>
        <w:t>加强监督检查。在元旦、春节等重要节日节点，采用节前集体廉政谈话、发送廉政短信、召开廉政教育工作会等方式对干部职工进行了教育提醒。全年共针对上下班纪律开展突击检查19次，发送廉洁提醒短信87人次</w:t>
      </w:r>
      <w:r>
        <w:rPr>
          <w:rFonts w:hint="eastAsia" w:ascii="Times New Roman" w:hAnsi="仿宋_GB2312" w:eastAsia="仿宋_GB2312" w:cs="Times New Roman"/>
          <w:bCs/>
          <w:kern w:val="2"/>
          <w:sz w:val="32"/>
          <w:szCs w:val="32"/>
        </w:rPr>
        <w:t>，未发现违法违纪现象。</w:t>
      </w:r>
    </w:p>
    <w:p>
      <w:pPr>
        <w:pStyle w:val="4"/>
        <w:rPr>
          <w:rStyle w:val="17"/>
          <w:b w:val="0"/>
          <w:bCs w:val="0"/>
        </w:rPr>
      </w:pPr>
      <w:bookmarkStart w:id="8" w:name="_Toc6092"/>
      <w:bookmarkStart w:id="9" w:name="_Toc15396601"/>
      <w:bookmarkStart w:id="10" w:name="_Toc15377200"/>
      <w:r>
        <w:rPr>
          <w:rFonts w:hint="eastAsia" w:ascii="黑体" w:eastAsia="黑体"/>
          <w:b w:val="0"/>
          <w:color w:val="000000"/>
        </w:rPr>
        <w:t>二、</w:t>
      </w:r>
      <w:r>
        <w:rPr>
          <w:rFonts w:hint="eastAsia" w:ascii="黑体" w:hAnsi="黑体" w:eastAsia="黑体"/>
          <w:b w:val="0"/>
          <w:color w:val="000000"/>
        </w:rPr>
        <w:t>机</w:t>
      </w:r>
      <w:r>
        <w:rPr>
          <w:rStyle w:val="17"/>
          <w:rFonts w:hint="eastAsia" w:ascii="黑体" w:hAnsi="黑体" w:eastAsia="黑体"/>
          <w:b w:val="0"/>
          <w:bCs w:val="0"/>
        </w:rPr>
        <w:t>构设置</w:t>
      </w:r>
      <w:bookmarkEnd w:id="8"/>
      <w:bookmarkEnd w:id="9"/>
      <w:bookmarkEnd w:id="10"/>
    </w:p>
    <w:p>
      <w:pPr>
        <w:snapToGrid w:val="0"/>
        <w:spacing w:line="520" w:lineRule="exact"/>
        <w:ind w:firstLine="640" w:firstLineChars="200"/>
        <w:rPr>
          <w:szCs w:val="32"/>
        </w:rPr>
      </w:pPr>
      <w:r>
        <w:rPr>
          <w:szCs w:val="32"/>
        </w:rPr>
        <w:t>自贡市自流井区投资促进局下属二级预算单位1个，其中行政单位0个，其他事业单位1个：自贡市自流井区投资促进服务中心。</w:t>
      </w:r>
    </w:p>
    <w:p>
      <w:pPr>
        <w:widowControl/>
        <w:jc w:val="left"/>
        <w:rPr>
          <w:rFonts w:ascii="仿宋" w:hAnsi="仿宋" w:eastAsia="仿宋"/>
          <w:color w:val="000000"/>
          <w:kern w:val="0"/>
          <w:szCs w:val="32"/>
        </w:rPr>
      </w:pPr>
      <w:r>
        <w:rPr>
          <w:rFonts w:ascii="仿宋" w:hAnsi="仿宋" w:eastAsia="仿宋"/>
          <w:color w:val="000000"/>
          <w:szCs w:val="32"/>
        </w:rPr>
        <w:br w:type="page"/>
      </w:r>
    </w:p>
    <w:p>
      <w:pPr>
        <w:pStyle w:val="3"/>
        <w:ind w:right="440"/>
        <w:jc w:val="right"/>
        <w:rPr>
          <w:rStyle w:val="16"/>
          <w:rFonts w:ascii="黑体" w:hAnsi="黑体" w:eastAsia="黑体"/>
          <w:b w:val="0"/>
          <w:bCs w:val="0"/>
        </w:rPr>
      </w:pPr>
      <w:bookmarkStart w:id="11" w:name="_Toc23109"/>
      <w:bookmarkStart w:id="12" w:name="_Toc15396602"/>
      <w:bookmarkStart w:id="13" w:name="_Toc15377204"/>
      <w:r>
        <w:rPr>
          <w:rFonts w:hint="eastAsia" w:ascii="黑体" w:hAnsi="黑体" w:eastAsia="黑体"/>
          <w:b w:val="0"/>
          <w:color w:val="000000"/>
        </w:rPr>
        <w:t>第二部分</w:t>
      </w:r>
      <w:r>
        <w:rPr>
          <w:rFonts w:ascii="黑体" w:hAnsi="黑体" w:eastAsia="黑体"/>
          <w:color w:val="000000"/>
        </w:rPr>
        <w:t xml:space="preserve"> </w:t>
      </w:r>
      <w:r>
        <w:rPr>
          <w:rStyle w:val="16"/>
          <w:rFonts w:ascii="黑体" w:hAnsi="黑体" w:eastAsia="黑体"/>
          <w:b w:val="0"/>
          <w:bCs w:val="0"/>
        </w:rPr>
        <w:t>2020</w:t>
      </w:r>
      <w:r>
        <w:rPr>
          <w:rStyle w:val="16"/>
          <w:rFonts w:hint="eastAsia" w:ascii="黑体" w:hAnsi="黑体" w:eastAsia="黑体"/>
          <w:b w:val="0"/>
          <w:bCs w:val="0"/>
        </w:rPr>
        <w:t>年度部门决算情况说明</w:t>
      </w:r>
      <w:bookmarkEnd w:id="11"/>
      <w:bookmarkEnd w:id="12"/>
      <w:bookmarkEnd w:id="13"/>
    </w:p>
    <w:p/>
    <w:p>
      <w:pPr>
        <w:pStyle w:val="18"/>
        <w:numPr>
          <w:ilvl w:val="0"/>
          <w:numId w:val="1"/>
        </w:numPr>
        <w:spacing w:line="600" w:lineRule="exact"/>
        <w:ind w:firstLineChars="0"/>
        <w:outlineLvl w:val="1"/>
        <w:rPr>
          <w:rStyle w:val="17"/>
          <w:rFonts w:ascii="黑体" w:hAnsi="黑体" w:eastAsia="黑体"/>
          <w:b w:val="0"/>
        </w:rPr>
      </w:pPr>
      <w:bookmarkStart w:id="14" w:name="_Toc15396603"/>
      <w:bookmarkStart w:id="15" w:name="_Toc15377205"/>
      <w:bookmarkStart w:id="16" w:name="_Toc7163"/>
      <w:r>
        <w:rPr>
          <w:rFonts w:hint="eastAsia" w:ascii="黑体" w:hAnsi="黑体" w:eastAsia="黑体"/>
          <w:color w:val="000000"/>
          <w:szCs w:val="32"/>
        </w:rPr>
        <w:t>收</w:t>
      </w:r>
      <w:r>
        <w:rPr>
          <w:rStyle w:val="17"/>
          <w:rFonts w:hint="eastAsia" w:ascii="黑体" w:hAnsi="黑体" w:eastAsia="黑体"/>
          <w:b w:val="0"/>
        </w:rPr>
        <w:t>入支出决算总体情况说明</w:t>
      </w:r>
      <w:bookmarkEnd w:id="14"/>
      <w:bookmarkEnd w:id="15"/>
      <w:bookmarkEnd w:id="16"/>
    </w:p>
    <w:p>
      <w:pPr>
        <w:spacing w:line="600" w:lineRule="exact"/>
        <w:ind w:firstLine="640" w:firstLineChars="200"/>
        <w:rPr>
          <w:rFonts w:ascii="仿宋" w:hAnsi="仿宋"/>
          <w:color w:val="000000"/>
          <w:szCs w:val="32"/>
        </w:rPr>
      </w:pPr>
      <w:r>
        <w:rPr>
          <w:rFonts w:ascii="仿宋" w:hAnsi="仿宋" w:eastAsia="仿宋"/>
          <w:color w:val="000000"/>
          <w:szCs w:val="32"/>
        </w:rPr>
        <w:t>2020</w:t>
      </w:r>
      <w:r>
        <w:rPr>
          <w:rFonts w:hint="eastAsia" w:ascii="仿宋" w:hAnsi="仿宋" w:eastAsia="仿宋"/>
          <w:color w:val="000000"/>
          <w:szCs w:val="32"/>
        </w:rPr>
        <w:t>年度收、支总计317.56万元。与</w:t>
      </w:r>
      <w:r>
        <w:rPr>
          <w:rFonts w:ascii="仿宋" w:hAnsi="仿宋" w:eastAsia="仿宋"/>
          <w:color w:val="000000"/>
          <w:szCs w:val="32"/>
        </w:rPr>
        <w:t>2019</w:t>
      </w:r>
      <w:r>
        <w:rPr>
          <w:rFonts w:hint="eastAsia" w:ascii="仿宋" w:hAnsi="仿宋" w:eastAsia="仿宋"/>
          <w:color w:val="000000"/>
          <w:szCs w:val="32"/>
        </w:rPr>
        <w:t>年相比，收、支总计各减少66.19万元，下降17.25</w:t>
      </w:r>
      <w:r>
        <w:rPr>
          <w:rFonts w:ascii="仿宋" w:hAnsi="仿宋" w:eastAsia="仿宋"/>
          <w:color w:val="000000"/>
          <w:szCs w:val="32"/>
        </w:rPr>
        <w:t>%</w:t>
      </w:r>
      <w:r>
        <w:rPr>
          <w:rFonts w:hint="eastAsia" w:ascii="仿宋" w:hAnsi="仿宋" w:eastAsia="仿宋"/>
          <w:color w:val="000000"/>
          <w:szCs w:val="32"/>
        </w:rPr>
        <w:t>。主要变动原因是</w:t>
      </w:r>
      <w:r>
        <w:rPr>
          <w:rFonts w:hint="eastAsia" w:ascii="仿宋_GB2312" w:hAnsi="仿宋"/>
          <w:szCs w:val="32"/>
        </w:rPr>
        <w:t>追减招商引资经费预算。</w:t>
      </w:r>
    </w:p>
    <w:p>
      <w:pPr>
        <w:spacing w:line="600" w:lineRule="exact"/>
        <w:ind w:firstLine="640" w:firstLineChars="200"/>
        <w:rPr>
          <w:rFonts w:hint="eastAsia" w:ascii="仿宋" w:hAnsi="仿宋" w:eastAsia="仿宋"/>
          <w:color w:val="000000"/>
          <w:szCs w:val="32"/>
          <w:lang w:eastAsia="zh-CN"/>
        </w:rPr>
      </w:pPr>
      <w:r>
        <w:rPr>
          <w:rFonts w:hint="eastAsia" w:ascii="仿宋" w:hAnsi="仿宋" w:eastAsia="仿宋"/>
          <w:color w:val="000000"/>
          <w:szCs w:val="32"/>
          <w:highlight w:val="yellow"/>
          <w:lang w:eastAsia="zh-CN"/>
        </w:rPr>
        <w:drawing>
          <wp:anchor distT="0" distB="0" distL="114300" distR="114300" simplePos="0" relativeHeight="251660288" behindDoc="0" locked="0" layoutInCell="1" allowOverlap="1">
            <wp:simplePos x="0" y="0"/>
            <wp:positionH relativeFrom="column">
              <wp:posOffset>398780</wp:posOffset>
            </wp:positionH>
            <wp:positionV relativeFrom="paragraph">
              <wp:posOffset>302260</wp:posOffset>
            </wp:positionV>
            <wp:extent cx="5080000" cy="3810000"/>
            <wp:effectExtent l="4445" t="4445" r="20955" b="14605"/>
            <wp:wrapNone/>
            <wp:docPr id="3" name="图表 3" descr="7b0a202020202263686172745265734964223a202234343838393834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anchor>
        </w:drawing>
      </w:r>
    </w:p>
    <w:p>
      <w:pPr>
        <w:spacing w:line="600" w:lineRule="exact"/>
        <w:ind w:firstLine="640" w:firstLineChars="200"/>
        <w:rPr>
          <w:rFonts w:hint="eastAsia" w:ascii="仿宋" w:hAnsi="仿宋" w:eastAsia="仿宋"/>
          <w:color w:val="000000"/>
          <w:szCs w:val="32"/>
          <w:highlight w:val="yellow"/>
        </w:rPr>
      </w:pPr>
    </w:p>
    <w:p>
      <w:pPr>
        <w:spacing w:line="600" w:lineRule="exact"/>
        <w:ind w:firstLine="640" w:firstLineChars="200"/>
        <w:rPr>
          <w:rFonts w:hint="eastAsia" w:ascii="仿宋" w:hAnsi="仿宋" w:eastAsia="仿宋"/>
          <w:color w:val="000000"/>
          <w:szCs w:val="32"/>
          <w:highlight w:val="yellow"/>
        </w:rPr>
      </w:pPr>
    </w:p>
    <w:p>
      <w:pPr>
        <w:spacing w:line="600" w:lineRule="exact"/>
        <w:ind w:firstLine="640" w:firstLineChars="200"/>
        <w:rPr>
          <w:rFonts w:hint="eastAsia" w:ascii="仿宋" w:hAnsi="仿宋" w:eastAsia="仿宋"/>
          <w:color w:val="000000"/>
          <w:szCs w:val="32"/>
          <w:highlight w:val="yellow"/>
        </w:rPr>
      </w:pPr>
    </w:p>
    <w:p>
      <w:pPr>
        <w:spacing w:line="600" w:lineRule="exact"/>
        <w:ind w:firstLine="640" w:firstLineChars="200"/>
        <w:rPr>
          <w:rFonts w:hint="eastAsia" w:ascii="仿宋" w:hAnsi="仿宋" w:eastAsia="仿宋"/>
          <w:color w:val="000000"/>
          <w:szCs w:val="32"/>
          <w:highlight w:val="yellow"/>
        </w:rPr>
      </w:pPr>
    </w:p>
    <w:p>
      <w:pPr>
        <w:spacing w:line="600" w:lineRule="exact"/>
        <w:ind w:firstLine="640" w:firstLineChars="200"/>
        <w:rPr>
          <w:rFonts w:hint="eastAsia" w:ascii="仿宋" w:hAnsi="仿宋" w:eastAsia="仿宋"/>
          <w:color w:val="000000"/>
          <w:szCs w:val="32"/>
          <w:highlight w:val="yellow"/>
        </w:rPr>
      </w:pPr>
    </w:p>
    <w:p>
      <w:pPr>
        <w:spacing w:line="600" w:lineRule="exact"/>
        <w:ind w:firstLine="640" w:firstLineChars="200"/>
        <w:rPr>
          <w:rFonts w:hint="eastAsia" w:ascii="仿宋" w:hAnsi="仿宋" w:eastAsia="仿宋"/>
          <w:color w:val="000000"/>
          <w:szCs w:val="32"/>
          <w:highlight w:val="yellow"/>
        </w:rPr>
      </w:pPr>
    </w:p>
    <w:p>
      <w:pPr>
        <w:spacing w:line="600" w:lineRule="exact"/>
        <w:ind w:firstLine="640" w:firstLineChars="200"/>
        <w:rPr>
          <w:rFonts w:hint="eastAsia" w:ascii="仿宋" w:hAnsi="仿宋" w:eastAsia="仿宋"/>
          <w:color w:val="000000"/>
          <w:szCs w:val="32"/>
          <w:highlight w:val="yellow"/>
        </w:rPr>
      </w:pPr>
    </w:p>
    <w:p>
      <w:pPr>
        <w:spacing w:line="600" w:lineRule="exact"/>
        <w:ind w:firstLine="640" w:firstLineChars="200"/>
        <w:rPr>
          <w:rFonts w:hint="eastAsia" w:ascii="仿宋" w:hAnsi="仿宋" w:eastAsia="仿宋"/>
          <w:color w:val="000000"/>
          <w:szCs w:val="32"/>
          <w:highlight w:val="yellow"/>
        </w:rPr>
      </w:pPr>
    </w:p>
    <w:p>
      <w:pPr>
        <w:spacing w:line="600" w:lineRule="exact"/>
        <w:ind w:firstLine="640" w:firstLineChars="200"/>
        <w:rPr>
          <w:rFonts w:hint="eastAsia" w:ascii="仿宋" w:hAnsi="仿宋" w:eastAsia="仿宋"/>
          <w:color w:val="000000"/>
          <w:szCs w:val="32"/>
          <w:highlight w:val="yellow"/>
        </w:rPr>
      </w:pPr>
    </w:p>
    <w:p>
      <w:pPr>
        <w:spacing w:line="600" w:lineRule="exact"/>
        <w:ind w:firstLine="640" w:firstLineChars="200"/>
        <w:rPr>
          <w:rFonts w:hint="eastAsia" w:ascii="仿宋" w:hAnsi="仿宋" w:eastAsia="仿宋"/>
          <w:color w:val="000000"/>
          <w:szCs w:val="32"/>
          <w:highlight w:val="yellow"/>
          <w:lang w:eastAsia="zh-CN"/>
        </w:rPr>
      </w:pPr>
    </w:p>
    <w:p>
      <w:pPr>
        <w:spacing w:line="600" w:lineRule="exact"/>
        <w:ind w:firstLine="640" w:firstLineChars="200"/>
        <w:rPr>
          <w:rFonts w:ascii="仿宋" w:hAnsi="仿宋" w:eastAsia="仿宋"/>
          <w:color w:val="000000"/>
          <w:szCs w:val="32"/>
          <w:highlight w:val="none"/>
        </w:rPr>
      </w:pPr>
      <w:r>
        <w:rPr>
          <w:rFonts w:hint="eastAsia" w:ascii="仿宋" w:hAnsi="仿宋" w:eastAsia="仿宋"/>
          <w:color w:val="000000"/>
          <w:szCs w:val="32"/>
          <w:highlight w:val="none"/>
        </w:rPr>
        <w:t>（图</w:t>
      </w:r>
      <w:r>
        <w:rPr>
          <w:rFonts w:ascii="仿宋" w:hAnsi="仿宋" w:eastAsia="仿宋"/>
          <w:color w:val="000000"/>
          <w:szCs w:val="32"/>
          <w:highlight w:val="none"/>
        </w:rPr>
        <w:t>1</w:t>
      </w:r>
      <w:r>
        <w:rPr>
          <w:rFonts w:hint="eastAsia" w:ascii="仿宋" w:hAnsi="仿宋" w:eastAsia="仿宋"/>
          <w:color w:val="000000"/>
          <w:szCs w:val="32"/>
          <w:highlight w:val="none"/>
        </w:rPr>
        <w:t>：收、支决算总计变动情况图）（柱状图）</w:t>
      </w:r>
    </w:p>
    <w:p>
      <w:pPr>
        <w:spacing w:line="600" w:lineRule="exact"/>
        <w:ind w:firstLine="640" w:firstLineChars="200"/>
        <w:jc w:val="left"/>
        <w:rPr>
          <w:rFonts w:ascii="仿宋_GB2312"/>
          <w:color w:val="000000"/>
          <w:szCs w:val="32"/>
        </w:rPr>
      </w:pPr>
    </w:p>
    <w:p>
      <w:pPr>
        <w:pStyle w:val="18"/>
        <w:numPr>
          <w:ilvl w:val="0"/>
          <w:numId w:val="1"/>
        </w:numPr>
        <w:spacing w:line="600" w:lineRule="exact"/>
        <w:ind w:firstLineChars="0"/>
        <w:outlineLvl w:val="1"/>
        <w:rPr>
          <w:rStyle w:val="17"/>
          <w:rFonts w:ascii="黑体" w:hAnsi="黑体" w:eastAsia="黑体"/>
          <w:b w:val="0"/>
        </w:rPr>
      </w:pPr>
      <w:bookmarkStart w:id="17" w:name="_Toc15377206"/>
      <w:bookmarkStart w:id="18" w:name="_Toc15396604"/>
      <w:bookmarkStart w:id="19" w:name="_Toc25258"/>
      <w:r>
        <w:rPr>
          <w:rFonts w:hint="eastAsia" w:ascii="黑体" w:hAnsi="黑体" w:eastAsia="黑体"/>
          <w:color w:val="000000"/>
          <w:szCs w:val="32"/>
        </w:rPr>
        <w:t>收</w:t>
      </w:r>
      <w:r>
        <w:rPr>
          <w:rStyle w:val="17"/>
          <w:rFonts w:hint="eastAsia" w:ascii="黑体" w:hAnsi="黑体" w:eastAsia="黑体"/>
          <w:b w:val="0"/>
        </w:rPr>
        <w:t>入决算情况说明</w:t>
      </w:r>
      <w:bookmarkEnd w:id="17"/>
      <w:bookmarkEnd w:id="18"/>
      <w:bookmarkEnd w:id="19"/>
    </w:p>
    <w:p>
      <w:pPr>
        <w:spacing w:line="600" w:lineRule="exact"/>
        <w:ind w:firstLine="640" w:firstLineChars="200"/>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年本年收入合计317.56万元，其中：一般公共预算财政拨款收入317.56万元，占100</w:t>
      </w:r>
      <w:r>
        <w:rPr>
          <w:rFonts w:ascii="仿宋" w:hAnsi="仿宋" w:eastAsia="仿宋"/>
          <w:color w:val="000000"/>
          <w:szCs w:val="32"/>
        </w:rPr>
        <w:t>%</w:t>
      </w:r>
      <w:r>
        <w:rPr>
          <w:rFonts w:hint="eastAsia" w:ascii="仿宋" w:hAnsi="仿宋" w:eastAsia="仿宋"/>
          <w:color w:val="000000"/>
          <w:szCs w:val="32"/>
        </w:rPr>
        <w:t>；政府性基金预算财</w:t>
      </w:r>
      <w:r>
        <w:rPr>
          <w:rFonts w:hint="eastAsia" w:ascii="仿宋" w:hAnsi="仿宋" w:eastAsia="仿宋"/>
          <w:color w:val="000000"/>
          <w:szCs w:val="32"/>
          <w:lang w:eastAsia="zh-CN"/>
        </w:rPr>
        <w:drawing>
          <wp:anchor distT="0" distB="0" distL="114300" distR="114300" simplePos="0" relativeHeight="251662336" behindDoc="0" locked="0" layoutInCell="1" allowOverlap="1">
            <wp:simplePos x="0" y="0"/>
            <wp:positionH relativeFrom="column">
              <wp:posOffset>35560</wp:posOffset>
            </wp:positionH>
            <wp:positionV relativeFrom="paragraph">
              <wp:posOffset>1132840</wp:posOffset>
            </wp:positionV>
            <wp:extent cx="5080000" cy="3810000"/>
            <wp:effectExtent l="4445" t="4445" r="20955" b="14605"/>
            <wp:wrapNone/>
            <wp:docPr id="6" name="图表 6" descr="7b0a202020202263686172745265734964223a2022383733373733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anchor>
        </w:drawing>
      </w:r>
      <w:r>
        <w:rPr>
          <w:rFonts w:hint="eastAsia" w:ascii="仿宋" w:hAnsi="仿宋" w:eastAsia="仿宋"/>
          <w:color w:val="000000"/>
          <w:szCs w:val="32"/>
        </w:rPr>
        <w:t>政拨款收入0万元，占0</w:t>
      </w:r>
      <w:r>
        <w:rPr>
          <w:rFonts w:ascii="仿宋" w:hAnsi="仿宋" w:eastAsia="仿宋"/>
          <w:color w:val="000000"/>
          <w:szCs w:val="32"/>
        </w:rPr>
        <w:t>%</w:t>
      </w:r>
      <w:r>
        <w:rPr>
          <w:rFonts w:hint="eastAsia" w:ascii="仿宋" w:hAnsi="仿宋" w:eastAsia="仿宋"/>
          <w:color w:val="000000"/>
          <w:szCs w:val="32"/>
        </w:rPr>
        <w:t>；上级补助收入0万元，占0</w:t>
      </w:r>
      <w:r>
        <w:rPr>
          <w:rFonts w:ascii="仿宋" w:hAnsi="仿宋" w:eastAsia="仿宋"/>
          <w:color w:val="000000"/>
          <w:szCs w:val="32"/>
        </w:rPr>
        <w:t>%</w:t>
      </w:r>
      <w:r>
        <w:rPr>
          <w:rFonts w:hint="eastAsia" w:ascii="仿宋" w:hAnsi="仿宋" w:eastAsia="仿宋"/>
          <w:color w:val="000000"/>
          <w:szCs w:val="32"/>
        </w:rPr>
        <w:t>；事业收入0万元，占0</w:t>
      </w:r>
      <w:r>
        <w:rPr>
          <w:rFonts w:ascii="仿宋" w:hAnsi="仿宋" w:eastAsia="仿宋"/>
          <w:color w:val="000000"/>
          <w:szCs w:val="32"/>
        </w:rPr>
        <w:t>%</w:t>
      </w:r>
      <w:r>
        <w:rPr>
          <w:rFonts w:hint="eastAsia" w:ascii="仿宋" w:hAnsi="仿宋" w:eastAsia="仿宋"/>
          <w:color w:val="000000"/>
          <w:szCs w:val="32"/>
        </w:rPr>
        <w:t>；经营收入0万元，占0</w:t>
      </w:r>
      <w:r>
        <w:rPr>
          <w:rFonts w:ascii="仿宋" w:hAnsi="仿宋" w:eastAsia="仿宋"/>
          <w:color w:val="000000"/>
          <w:szCs w:val="32"/>
        </w:rPr>
        <w:t>%</w:t>
      </w:r>
      <w:r>
        <w:rPr>
          <w:rFonts w:hint="eastAsia" w:ascii="仿宋" w:hAnsi="仿宋" w:eastAsia="仿宋"/>
          <w:color w:val="000000"/>
          <w:szCs w:val="32"/>
        </w:rPr>
        <w:t>；附属单位上缴收入0万元，占0</w:t>
      </w:r>
      <w:r>
        <w:rPr>
          <w:rFonts w:ascii="仿宋" w:hAnsi="仿宋" w:eastAsia="仿宋"/>
          <w:color w:val="000000"/>
          <w:szCs w:val="32"/>
        </w:rPr>
        <w:t>%</w:t>
      </w:r>
      <w:r>
        <w:rPr>
          <w:rFonts w:hint="eastAsia" w:ascii="仿宋" w:hAnsi="仿宋" w:eastAsia="仿宋"/>
          <w:color w:val="000000"/>
          <w:szCs w:val="32"/>
        </w:rPr>
        <w:t>；其他收入0万元，占0</w:t>
      </w:r>
      <w:r>
        <w:rPr>
          <w:rFonts w:ascii="仿宋" w:hAnsi="仿宋" w:eastAsia="仿宋"/>
          <w:color w:val="000000"/>
          <w:szCs w:val="32"/>
        </w:rPr>
        <w:t>%</w:t>
      </w:r>
      <w:r>
        <w:rPr>
          <w:rFonts w:hint="eastAsia" w:ascii="仿宋" w:hAnsi="仿宋" w:eastAsia="仿宋"/>
          <w:color w:val="000000"/>
          <w:szCs w:val="32"/>
        </w:rPr>
        <w:t>。</w:t>
      </w:r>
    </w:p>
    <w:p>
      <w:pPr>
        <w:pStyle w:val="2"/>
        <w:rPr>
          <w:rFonts w:hint="eastAsia" w:ascii="仿宋" w:hAnsi="仿宋" w:eastAsia="仿宋"/>
          <w:color w:val="000000"/>
          <w:szCs w:val="32"/>
          <w:lang w:eastAsia="zh-CN"/>
        </w:rPr>
      </w:pPr>
    </w:p>
    <w:p>
      <w:pPr>
        <w:rPr>
          <w:rFonts w:ascii="仿宋" w:hAnsi="仿宋" w:eastAsia="仿宋"/>
          <w:color w:val="000000"/>
          <w:szCs w:val="32"/>
        </w:rPr>
      </w:pPr>
    </w:p>
    <w:p>
      <w:pPr>
        <w:pStyle w:val="2"/>
        <w:rPr>
          <w:rFonts w:ascii="仿宋" w:hAnsi="仿宋" w:eastAsia="仿宋"/>
          <w:color w:val="000000"/>
          <w:szCs w:val="32"/>
        </w:rPr>
      </w:pPr>
    </w:p>
    <w:p>
      <w:pPr>
        <w:rPr>
          <w:rFonts w:ascii="仿宋" w:hAnsi="仿宋" w:eastAsia="仿宋"/>
          <w:color w:val="000000"/>
          <w:szCs w:val="32"/>
        </w:rPr>
      </w:pPr>
    </w:p>
    <w:p>
      <w:pPr>
        <w:pStyle w:val="2"/>
        <w:rPr>
          <w:rFonts w:ascii="仿宋" w:hAnsi="仿宋" w:eastAsia="仿宋"/>
          <w:color w:val="000000"/>
          <w:szCs w:val="32"/>
        </w:rPr>
      </w:pPr>
    </w:p>
    <w:p>
      <w:pPr>
        <w:rPr>
          <w:rFonts w:ascii="仿宋" w:hAnsi="仿宋" w:eastAsia="仿宋"/>
          <w:color w:val="000000"/>
          <w:szCs w:val="32"/>
        </w:rPr>
      </w:pPr>
    </w:p>
    <w:p>
      <w:pPr>
        <w:pStyle w:val="2"/>
      </w:pPr>
    </w:p>
    <w:p>
      <w:pPr>
        <w:pStyle w:val="2"/>
        <w:rPr>
          <w:rFonts w:ascii="仿宋" w:hAnsi="仿宋" w:eastAsia="仿宋"/>
          <w:color w:val="000000"/>
          <w:szCs w:val="32"/>
        </w:rPr>
      </w:pPr>
    </w:p>
    <w:p>
      <w:pPr>
        <w:rPr>
          <w:rFonts w:hint="eastAsia" w:eastAsia="仿宋"/>
          <w:lang w:eastAsia="zh-CN"/>
        </w:rPr>
      </w:pPr>
    </w:p>
    <w:p>
      <w:pPr>
        <w:spacing w:line="600" w:lineRule="exact"/>
        <w:ind w:firstLine="640" w:firstLineChars="200"/>
        <w:rPr>
          <w:rFonts w:hint="eastAsia" w:ascii="仿宋" w:hAnsi="仿宋" w:eastAsia="仿宋"/>
          <w:color w:val="000000"/>
          <w:szCs w:val="32"/>
          <w:highlight w:val="yellow"/>
        </w:rPr>
      </w:pPr>
    </w:p>
    <w:p>
      <w:pPr>
        <w:spacing w:line="600" w:lineRule="exact"/>
        <w:jc w:val="center"/>
        <w:rPr>
          <w:rFonts w:ascii="仿宋" w:hAnsi="仿宋" w:eastAsia="仿宋"/>
          <w:color w:val="000000"/>
          <w:szCs w:val="32"/>
          <w:highlight w:val="none"/>
        </w:rPr>
      </w:pPr>
      <w:r>
        <w:rPr>
          <w:rFonts w:hint="eastAsia" w:ascii="仿宋" w:hAnsi="仿宋" w:eastAsia="仿宋"/>
          <w:color w:val="000000"/>
          <w:szCs w:val="32"/>
          <w:highlight w:val="none"/>
        </w:rPr>
        <w:t>（图</w:t>
      </w:r>
      <w:r>
        <w:rPr>
          <w:rFonts w:ascii="仿宋" w:hAnsi="仿宋" w:eastAsia="仿宋"/>
          <w:color w:val="000000"/>
          <w:szCs w:val="32"/>
          <w:highlight w:val="none"/>
        </w:rPr>
        <w:t>2</w:t>
      </w:r>
      <w:r>
        <w:rPr>
          <w:rFonts w:hint="eastAsia" w:ascii="仿宋" w:hAnsi="仿宋" w:eastAsia="仿宋"/>
          <w:color w:val="000000"/>
          <w:szCs w:val="32"/>
          <w:highlight w:val="none"/>
        </w:rPr>
        <w:t>：收入决算结构图）（饼状图）</w:t>
      </w:r>
    </w:p>
    <w:p>
      <w:pPr>
        <w:spacing w:line="600" w:lineRule="exact"/>
        <w:ind w:firstLine="640" w:firstLineChars="200"/>
        <w:rPr>
          <w:rFonts w:ascii="仿宋_GB2312"/>
          <w:color w:val="FF0000"/>
          <w:szCs w:val="32"/>
        </w:rPr>
      </w:pPr>
    </w:p>
    <w:p>
      <w:pPr>
        <w:pStyle w:val="18"/>
        <w:numPr>
          <w:ilvl w:val="0"/>
          <w:numId w:val="1"/>
        </w:numPr>
        <w:spacing w:line="600" w:lineRule="exact"/>
        <w:ind w:firstLineChars="0"/>
        <w:outlineLvl w:val="1"/>
        <w:rPr>
          <w:rStyle w:val="17"/>
          <w:rFonts w:ascii="黑体" w:hAnsi="黑体" w:eastAsia="黑体"/>
          <w:b w:val="0"/>
        </w:rPr>
      </w:pPr>
      <w:bookmarkStart w:id="20" w:name="_Toc15396605"/>
      <w:bookmarkStart w:id="21" w:name="_Toc13725"/>
      <w:bookmarkStart w:id="22" w:name="_Toc15377207"/>
      <w:r>
        <w:rPr>
          <w:rFonts w:hint="eastAsia" w:ascii="黑体" w:hAnsi="黑体" w:eastAsia="黑体"/>
          <w:color w:val="000000"/>
          <w:szCs w:val="32"/>
        </w:rPr>
        <w:t>支</w:t>
      </w:r>
      <w:r>
        <w:rPr>
          <w:rStyle w:val="17"/>
          <w:rFonts w:hint="eastAsia" w:ascii="黑体" w:hAnsi="黑体" w:eastAsia="黑体"/>
          <w:b w:val="0"/>
        </w:rPr>
        <w:t>出决算情况说明</w:t>
      </w:r>
      <w:bookmarkEnd w:id="20"/>
      <w:bookmarkEnd w:id="21"/>
      <w:bookmarkEnd w:id="22"/>
    </w:p>
    <w:p>
      <w:pPr>
        <w:spacing w:line="600" w:lineRule="exact"/>
        <w:ind w:firstLine="640" w:firstLineChars="200"/>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年本年支出合计305.06万元，其中：基本支出234.56万元，占76.9</w:t>
      </w:r>
      <w:r>
        <w:rPr>
          <w:rFonts w:ascii="仿宋" w:hAnsi="仿宋" w:eastAsia="仿宋"/>
          <w:color w:val="000000"/>
          <w:szCs w:val="32"/>
        </w:rPr>
        <w:t>%</w:t>
      </w:r>
      <w:r>
        <w:rPr>
          <w:rFonts w:hint="eastAsia" w:ascii="仿宋" w:hAnsi="仿宋" w:eastAsia="仿宋"/>
          <w:color w:val="000000"/>
          <w:szCs w:val="32"/>
        </w:rPr>
        <w:t>；项目支出70.5万元，占23.1</w:t>
      </w:r>
      <w:r>
        <w:rPr>
          <w:rFonts w:ascii="仿宋" w:hAnsi="仿宋" w:eastAsia="仿宋"/>
          <w:color w:val="000000"/>
          <w:szCs w:val="32"/>
        </w:rPr>
        <w:t>%</w:t>
      </w:r>
      <w:r>
        <w:rPr>
          <w:rFonts w:hint="eastAsia" w:ascii="仿宋" w:hAnsi="仿宋" w:eastAsia="仿宋"/>
          <w:color w:val="000000"/>
          <w:szCs w:val="32"/>
        </w:rPr>
        <w:t>；上缴上级支出0万元，占0</w:t>
      </w:r>
      <w:r>
        <w:rPr>
          <w:rFonts w:ascii="仿宋" w:hAnsi="仿宋" w:eastAsia="仿宋"/>
          <w:color w:val="000000"/>
          <w:szCs w:val="32"/>
        </w:rPr>
        <w:t>%</w:t>
      </w:r>
      <w:r>
        <w:rPr>
          <w:rFonts w:hint="eastAsia" w:ascii="仿宋" w:hAnsi="仿宋" w:eastAsia="仿宋"/>
          <w:color w:val="000000"/>
          <w:szCs w:val="32"/>
        </w:rPr>
        <w:t>；经营支出0万元，占0</w:t>
      </w:r>
      <w:r>
        <w:rPr>
          <w:rFonts w:ascii="仿宋" w:hAnsi="仿宋" w:eastAsia="仿宋"/>
          <w:color w:val="000000"/>
          <w:szCs w:val="32"/>
        </w:rPr>
        <w:t>%</w:t>
      </w:r>
      <w:r>
        <w:rPr>
          <w:rFonts w:hint="eastAsia" w:ascii="仿宋" w:hAnsi="仿宋" w:eastAsia="仿宋"/>
          <w:color w:val="000000"/>
          <w:szCs w:val="32"/>
        </w:rPr>
        <w:t>；对附属单位补助支出0万元，占0</w:t>
      </w:r>
      <w:r>
        <w:rPr>
          <w:rFonts w:ascii="仿宋" w:hAnsi="仿宋" w:eastAsia="仿宋"/>
          <w:color w:val="000000"/>
          <w:szCs w:val="32"/>
        </w:rPr>
        <w:t>%</w:t>
      </w:r>
      <w:r>
        <w:rPr>
          <w:rFonts w:hint="eastAsia" w:ascii="仿宋" w:hAnsi="仿宋" w:eastAsia="仿宋"/>
          <w:color w:val="000000"/>
          <w:szCs w:val="32"/>
        </w:rPr>
        <w:t>。</w:t>
      </w:r>
    </w:p>
    <w:p>
      <w:pPr>
        <w:spacing w:line="600" w:lineRule="exact"/>
        <w:ind w:firstLine="640"/>
        <w:rPr>
          <w:rFonts w:ascii="仿宋" w:hAnsi="仿宋" w:eastAsia="仿宋"/>
          <w:color w:val="000000"/>
          <w:szCs w:val="32"/>
          <w:shd w:val="pct10" w:color="auto" w:fill="FFFFFF"/>
        </w:rPr>
      </w:pPr>
    </w:p>
    <w:p>
      <w:pPr>
        <w:pStyle w:val="2"/>
        <w:rPr>
          <w:rFonts w:ascii="仿宋" w:hAnsi="仿宋" w:eastAsia="仿宋"/>
          <w:color w:val="000000"/>
          <w:szCs w:val="32"/>
          <w:shd w:val="pct10" w:color="auto" w:fill="FFFFFF"/>
        </w:rPr>
      </w:pPr>
    </w:p>
    <w:p>
      <w:pPr>
        <w:rPr>
          <w:rFonts w:ascii="仿宋" w:hAnsi="仿宋" w:eastAsia="仿宋"/>
          <w:color w:val="000000"/>
          <w:szCs w:val="32"/>
          <w:shd w:val="pct10" w:color="auto" w:fill="FFFFFF"/>
        </w:rPr>
      </w:pPr>
    </w:p>
    <w:p>
      <w:pPr>
        <w:pStyle w:val="2"/>
        <w:rPr>
          <w:rFonts w:ascii="仿宋" w:hAnsi="仿宋" w:eastAsia="仿宋"/>
          <w:color w:val="000000"/>
          <w:szCs w:val="32"/>
          <w:shd w:val="pct10" w:color="auto" w:fill="FFFFFF"/>
        </w:rPr>
      </w:pPr>
      <w:r>
        <w:rPr>
          <w:rFonts w:hint="eastAsia" w:eastAsia="仿宋"/>
          <w:lang w:eastAsia="zh-CN"/>
        </w:rPr>
        <w:drawing>
          <wp:anchor distT="0" distB="0" distL="114300" distR="114300" simplePos="0" relativeHeight="251661312" behindDoc="0" locked="0" layoutInCell="1" allowOverlap="1">
            <wp:simplePos x="0" y="0"/>
            <wp:positionH relativeFrom="column">
              <wp:posOffset>108585</wp:posOffset>
            </wp:positionH>
            <wp:positionV relativeFrom="paragraph">
              <wp:posOffset>38100</wp:posOffset>
            </wp:positionV>
            <wp:extent cx="5080000" cy="3810000"/>
            <wp:effectExtent l="4445" t="4445" r="20955" b="14605"/>
            <wp:wrapNone/>
            <wp:docPr id="5" name="图表 5" descr="7b0a202020202263686172745265734964223a2022383733373733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p>
    <w:p>
      <w:pPr>
        <w:rPr>
          <w:rFonts w:ascii="仿宋" w:hAnsi="仿宋" w:eastAsia="仿宋"/>
          <w:color w:val="000000"/>
          <w:szCs w:val="32"/>
          <w:shd w:val="pct10" w:color="auto" w:fill="FFFFFF"/>
        </w:rPr>
      </w:pPr>
    </w:p>
    <w:p>
      <w:pPr>
        <w:pStyle w:val="2"/>
        <w:rPr>
          <w:rFonts w:ascii="仿宋" w:hAnsi="仿宋" w:eastAsia="仿宋"/>
          <w:color w:val="000000"/>
          <w:szCs w:val="32"/>
          <w:shd w:val="pct10" w:color="auto" w:fill="FFFFFF"/>
        </w:rPr>
      </w:pPr>
    </w:p>
    <w:p>
      <w:pPr>
        <w:rPr>
          <w:rFonts w:hint="eastAsia" w:eastAsia="仿宋"/>
          <w:lang w:eastAsia="zh-CN"/>
        </w:rPr>
      </w:pPr>
    </w:p>
    <w:p>
      <w:pPr>
        <w:pStyle w:val="2"/>
        <w:rPr>
          <w:rFonts w:hint="eastAsia" w:eastAsia="仿宋"/>
          <w:lang w:eastAsia="zh-CN"/>
        </w:rPr>
      </w:pPr>
    </w:p>
    <w:p>
      <w:pPr>
        <w:rPr>
          <w:rFonts w:hint="eastAsia" w:eastAsia="仿宋"/>
          <w:lang w:eastAsia="zh-CN"/>
        </w:rPr>
      </w:pPr>
    </w:p>
    <w:p>
      <w:pPr>
        <w:pStyle w:val="2"/>
        <w:rPr>
          <w:rFonts w:hint="eastAsia" w:eastAsia="仿宋"/>
          <w:lang w:eastAsia="zh-CN"/>
        </w:rPr>
      </w:pPr>
    </w:p>
    <w:p>
      <w:pPr>
        <w:rPr>
          <w:rFonts w:hint="eastAsia" w:eastAsia="仿宋"/>
          <w:lang w:eastAsia="zh-CN"/>
        </w:rPr>
      </w:pPr>
    </w:p>
    <w:p>
      <w:pPr>
        <w:pStyle w:val="2"/>
        <w:rPr>
          <w:rFonts w:hint="eastAsia"/>
          <w:lang w:eastAsia="zh-CN"/>
        </w:rPr>
      </w:pPr>
    </w:p>
    <w:p>
      <w:pPr>
        <w:spacing w:line="600" w:lineRule="exact"/>
        <w:jc w:val="center"/>
        <w:rPr>
          <w:rFonts w:hint="eastAsia" w:ascii="仿宋" w:hAnsi="仿宋" w:eastAsia="仿宋"/>
          <w:color w:val="000000"/>
          <w:szCs w:val="32"/>
          <w:highlight w:val="yellow"/>
        </w:rPr>
      </w:pPr>
    </w:p>
    <w:p>
      <w:pPr>
        <w:spacing w:line="600" w:lineRule="exact"/>
        <w:jc w:val="center"/>
        <w:rPr>
          <w:rFonts w:ascii="仿宋" w:hAnsi="仿宋" w:eastAsia="仿宋"/>
          <w:color w:val="000000"/>
          <w:szCs w:val="32"/>
          <w:highlight w:val="none"/>
        </w:rPr>
      </w:pPr>
      <w:r>
        <w:rPr>
          <w:rFonts w:hint="eastAsia" w:ascii="仿宋" w:hAnsi="仿宋" w:eastAsia="仿宋"/>
          <w:color w:val="000000"/>
          <w:szCs w:val="32"/>
          <w:highlight w:val="none"/>
        </w:rPr>
        <w:t>（图</w:t>
      </w:r>
      <w:r>
        <w:rPr>
          <w:rFonts w:ascii="仿宋" w:hAnsi="仿宋" w:eastAsia="仿宋"/>
          <w:color w:val="000000"/>
          <w:szCs w:val="32"/>
          <w:highlight w:val="none"/>
        </w:rPr>
        <w:t>3</w:t>
      </w:r>
      <w:r>
        <w:rPr>
          <w:rFonts w:hint="eastAsia" w:ascii="仿宋" w:hAnsi="仿宋" w:eastAsia="仿宋"/>
          <w:color w:val="000000"/>
          <w:szCs w:val="32"/>
          <w:highlight w:val="none"/>
        </w:rPr>
        <w:t>：支出决算结构图）（饼状图）</w:t>
      </w:r>
    </w:p>
    <w:p>
      <w:pPr>
        <w:spacing w:line="600" w:lineRule="exact"/>
        <w:ind w:firstLine="640" w:firstLineChars="200"/>
        <w:outlineLvl w:val="1"/>
        <w:rPr>
          <w:rStyle w:val="17"/>
          <w:rFonts w:ascii="黑体" w:hAnsi="黑体" w:eastAsia="黑体"/>
          <w:b w:val="0"/>
        </w:rPr>
      </w:pPr>
      <w:bookmarkStart w:id="23" w:name="_Toc10354"/>
      <w:bookmarkStart w:id="24" w:name="_Toc15396606"/>
      <w:bookmarkStart w:id="25" w:name="_Toc15377208"/>
      <w:r>
        <w:rPr>
          <w:rFonts w:hint="eastAsia" w:ascii="黑体" w:hAnsi="黑体" w:eastAsia="黑体"/>
          <w:color w:val="000000"/>
          <w:szCs w:val="32"/>
        </w:rPr>
        <w:t>四、财</w:t>
      </w:r>
      <w:r>
        <w:rPr>
          <w:rStyle w:val="17"/>
          <w:rFonts w:hint="eastAsia" w:ascii="黑体" w:hAnsi="黑体" w:eastAsia="黑体"/>
          <w:b w:val="0"/>
        </w:rPr>
        <w:t>政拨款收入支出决算总体情况说明</w:t>
      </w:r>
      <w:bookmarkEnd w:id="23"/>
      <w:bookmarkEnd w:id="24"/>
      <w:bookmarkEnd w:id="25"/>
    </w:p>
    <w:p>
      <w:pPr>
        <w:spacing w:line="600" w:lineRule="exact"/>
        <w:ind w:firstLine="640" w:firstLineChars="200"/>
        <w:rPr>
          <w:rFonts w:ascii="仿宋" w:hAnsi="仿宋"/>
          <w:color w:val="000000"/>
          <w:szCs w:val="32"/>
        </w:rPr>
      </w:pPr>
      <w:r>
        <w:rPr>
          <w:rFonts w:ascii="仿宋" w:hAnsi="仿宋" w:eastAsia="仿宋"/>
          <w:color w:val="000000"/>
          <w:szCs w:val="32"/>
        </w:rPr>
        <w:t>2020</w:t>
      </w:r>
      <w:r>
        <w:rPr>
          <w:rFonts w:hint="eastAsia" w:ascii="仿宋" w:hAnsi="仿宋" w:eastAsia="仿宋"/>
          <w:color w:val="000000"/>
          <w:szCs w:val="32"/>
        </w:rPr>
        <w:t>年财政拨款收、支总计317.56万元。与</w:t>
      </w:r>
      <w:r>
        <w:rPr>
          <w:rFonts w:ascii="仿宋" w:hAnsi="仿宋" w:eastAsia="仿宋"/>
          <w:color w:val="000000"/>
          <w:szCs w:val="32"/>
        </w:rPr>
        <w:t>2019</w:t>
      </w:r>
      <w:r>
        <w:rPr>
          <w:rFonts w:hint="eastAsia" w:ascii="仿宋" w:hAnsi="仿宋" w:eastAsia="仿宋"/>
          <w:color w:val="000000"/>
          <w:szCs w:val="32"/>
        </w:rPr>
        <w:t>年相比，财政拨款收、支总计各减少52.88万元，下降14.3</w:t>
      </w:r>
      <w:r>
        <w:rPr>
          <w:rFonts w:ascii="仿宋" w:hAnsi="仿宋" w:eastAsia="仿宋"/>
          <w:color w:val="000000"/>
          <w:szCs w:val="32"/>
        </w:rPr>
        <w:t>%</w:t>
      </w:r>
      <w:r>
        <w:rPr>
          <w:rFonts w:hint="eastAsia" w:ascii="仿宋" w:hAnsi="仿宋" w:eastAsia="仿宋"/>
          <w:color w:val="000000"/>
          <w:szCs w:val="32"/>
        </w:rPr>
        <w:t>。主要变动原因是</w:t>
      </w:r>
      <w:r>
        <w:rPr>
          <w:rFonts w:hint="eastAsia" w:ascii="仿宋_GB2312" w:hAnsi="仿宋"/>
          <w:szCs w:val="32"/>
        </w:rPr>
        <w:t>追减招商引资经费预算。</w:t>
      </w:r>
    </w:p>
    <w:p>
      <w:pPr>
        <w:spacing w:line="600" w:lineRule="exact"/>
        <w:rPr>
          <w:rFonts w:ascii="仿宋" w:hAnsi="仿宋" w:eastAsia="仿宋"/>
          <w:color w:val="000000"/>
          <w:szCs w:val="32"/>
        </w:rPr>
      </w:pPr>
      <w:r>
        <w:rPr>
          <w:rFonts w:hint="eastAsia" w:eastAsia="仿宋_GB2312"/>
          <w:lang w:eastAsia="zh-CN"/>
        </w:rPr>
        <w:drawing>
          <wp:anchor distT="0" distB="0" distL="114300" distR="114300" simplePos="0" relativeHeight="251663360" behindDoc="0" locked="0" layoutInCell="1" allowOverlap="1">
            <wp:simplePos x="0" y="0"/>
            <wp:positionH relativeFrom="column">
              <wp:posOffset>927735</wp:posOffset>
            </wp:positionH>
            <wp:positionV relativeFrom="paragraph">
              <wp:posOffset>50800</wp:posOffset>
            </wp:positionV>
            <wp:extent cx="3401695" cy="2573020"/>
            <wp:effectExtent l="4445" t="4445" r="22860" b="13335"/>
            <wp:wrapNone/>
            <wp:docPr id="7" name="图表 7" descr="7b0a202020202263686172745265734964223a202234343838393834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pPr>
        <w:pStyle w:val="2"/>
        <w:rPr>
          <w:rFonts w:ascii="仿宋" w:hAnsi="仿宋" w:eastAsia="仿宋"/>
          <w:color w:val="000000"/>
          <w:szCs w:val="32"/>
        </w:rPr>
      </w:pPr>
    </w:p>
    <w:p>
      <w:pPr>
        <w:rPr>
          <w:rFonts w:ascii="仿宋" w:hAnsi="仿宋" w:eastAsia="仿宋"/>
          <w:color w:val="000000"/>
          <w:szCs w:val="32"/>
        </w:rPr>
      </w:pPr>
    </w:p>
    <w:p>
      <w:pPr>
        <w:pStyle w:val="2"/>
        <w:rPr>
          <w:rFonts w:ascii="仿宋" w:hAnsi="仿宋" w:eastAsia="仿宋"/>
          <w:color w:val="000000"/>
          <w:szCs w:val="32"/>
        </w:rPr>
      </w:pPr>
    </w:p>
    <w:p/>
    <w:p>
      <w:pPr>
        <w:pStyle w:val="2"/>
        <w:rPr>
          <w:rFonts w:hint="eastAsia" w:eastAsia="仿宋_GB2312"/>
          <w:lang w:eastAsia="zh-CN"/>
        </w:rPr>
      </w:pPr>
    </w:p>
    <w:p/>
    <w:p>
      <w:pPr>
        <w:spacing w:line="600" w:lineRule="exact"/>
        <w:jc w:val="center"/>
        <w:rPr>
          <w:highlight w:val="none"/>
        </w:rPr>
      </w:pPr>
      <w:r>
        <w:rPr>
          <w:rFonts w:hint="eastAsia" w:ascii="仿宋" w:hAnsi="仿宋" w:eastAsia="仿宋"/>
          <w:color w:val="000000"/>
          <w:szCs w:val="32"/>
          <w:highlight w:val="none"/>
        </w:rPr>
        <w:t>（图</w:t>
      </w:r>
      <w:r>
        <w:rPr>
          <w:rFonts w:ascii="仿宋" w:hAnsi="仿宋" w:eastAsia="仿宋"/>
          <w:color w:val="000000"/>
          <w:szCs w:val="32"/>
          <w:highlight w:val="none"/>
        </w:rPr>
        <w:t>4</w:t>
      </w:r>
      <w:r>
        <w:rPr>
          <w:rFonts w:hint="eastAsia" w:ascii="仿宋" w:hAnsi="仿宋" w:eastAsia="仿宋"/>
          <w:color w:val="000000"/>
          <w:szCs w:val="32"/>
          <w:highlight w:val="none"/>
        </w:rPr>
        <w:t>：财政拨款收、支决算总计变动情况）（柱状图）</w:t>
      </w:r>
    </w:p>
    <w:p>
      <w:pPr>
        <w:spacing w:line="600" w:lineRule="exact"/>
        <w:ind w:firstLine="640" w:firstLineChars="200"/>
        <w:outlineLvl w:val="1"/>
        <w:rPr>
          <w:rStyle w:val="17"/>
          <w:rFonts w:ascii="黑体" w:hAnsi="黑体" w:eastAsia="黑体"/>
          <w:b w:val="0"/>
        </w:rPr>
      </w:pPr>
      <w:bookmarkStart w:id="26" w:name="_Toc10967"/>
      <w:bookmarkStart w:id="27" w:name="_Toc15396607"/>
      <w:bookmarkStart w:id="28" w:name="_Toc15377209"/>
      <w:r>
        <w:rPr>
          <w:rFonts w:hint="eastAsia" w:ascii="黑体" w:hAnsi="黑体" w:eastAsia="黑体"/>
          <w:color w:val="000000"/>
          <w:szCs w:val="32"/>
        </w:rPr>
        <w:t>五、</w:t>
      </w:r>
      <w:r>
        <w:rPr>
          <w:rFonts w:hint="eastAsia" w:ascii="黑体" w:hAnsi="黑体" w:eastAsia="黑体"/>
          <w:b/>
          <w:color w:val="000000"/>
          <w:szCs w:val="32"/>
        </w:rPr>
        <w:t>一</w:t>
      </w:r>
      <w:r>
        <w:rPr>
          <w:rStyle w:val="17"/>
          <w:rFonts w:hint="eastAsia" w:ascii="黑体" w:hAnsi="黑体" w:eastAsia="黑体"/>
          <w:b w:val="0"/>
        </w:rPr>
        <w:t>般公共预算财政拨款支出决算情况说明</w:t>
      </w:r>
      <w:bookmarkEnd w:id="26"/>
      <w:bookmarkEnd w:id="27"/>
      <w:bookmarkEnd w:id="28"/>
    </w:p>
    <w:p>
      <w:pPr>
        <w:spacing w:line="600" w:lineRule="exact"/>
        <w:ind w:firstLine="643" w:firstLineChars="200"/>
        <w:outlineLvl w:val="2"/>
        <w:rPr>
          <w:rFonts w:ascii="仿宋" w:hAnsi="仿宋" w:eastAsia="仿宋"/>
          <w:b/>
          <w:color w:val="000000"/>
          <w:szCs w:val="32"/>
        </w:rPr>
      </w:pPr>
      <w:bookmarkStart w:id="29" w:name="_Toc15377210"/>
      <w:r>
        <w:rPr>
          <w:rFonts w:hint="eastAsia" w:ascii="仿宋" w:hAnsi="仿宋" w:eastAsia="仿宋"/>
          <w:b/>
          <w:color w:val="000000"/>
          <w:szCs w:val="32"/>
        </w:rPr>
        <w:t>（一）一般公共预算财政拨款支出决算总体情况</w:t>
      </w:r>
      <w:bookmarkEnd w:id="29"/>
    </w:p>
    <w:p>
      <w:pPr>
        <w:spacing w:line="600" w:lineRule="exact"/>
        <w:ind w:firstLine="640" w:firstLineChars="200"/>
        <w:rPr>
          <w:rFonts w:hint="eastAsia" w:ascii="仿宋_GB2312" w:hAnsi="仿宋"/>
          <w:szCs w:val="32"/>
        </w:rPr>
      </w:pPr>
      <w:r>
        <w:rPr>
          <w:rFonts w:hint="eastAsia" w:eastAsia="仿宋_GB2312"/>
          <w:lang w:eastAsia="zh-CN"/>
        </w:rPr>
        <w:drawing>
          <wp:anchor distT="0" distB="0" distL="114300" distR="114300" simplePos="0" relativeHeight="251664384" behindDoc="0" locked="0" layoutInCell="1" allowOverlap="1">
            <wp:simplePos x="0" y="0"/>
            <wp:positionH relativeFrom="column">
              <wp:posOffset>52070</wp:posOffset>
            </wp:positionH>
            <wp:positionV relativeFrom="paragraph">
              <wp:posOffset>1463675</wp:posOffset>
            </wp:positionV>
            <wp:extent cx="5080000" cy="3810000"/>
            <wp:effectExtent l="4445" t="4445" r="20955" b="14605"/>
            <wp:wrapNone/>
            <wp:docPr id="8" name="图表 8" descr="7b0a202020202263686172745265734964223a202234343838393834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Pr>
          <w:rFonts w:ascii="仿宋" w:hAnsi="仿宋" w:eastAsia="仿宋"/>
          <w:color w:val="000000"/>
          <w:szCs w:val="32"/>
        </w:rPr>
        <w:t>2020</w:t>
      </w:r>
      <w:r>
        <w:rPr>
          <w:rFonts w:hint="eastAsia" w:ascii="仿宋" w:hAnsi="仿宋" w:eastAsia="仿宋"/>
          <w:color w:val="000000"/>
          <w:szCs w:val="32"/>
        </w:rPr>
        <w:t>年一般公共预算财政拨款支出305.06万元，占本年支出合计的100</w:t>
      </w:r>
      <w:r>
        <w:rPr>
          <w:rFonts w:ascii="仿宋" w:hAnsi="仿宋" w:eastAsia="仿宋"/>
          <w:color w:val="000000"/>
          <w:szCs w:val="32"/>
        </w:rPr>
        <w:t>%</w:t>
      </w:r>
      <w:r>
        <w:rPr>
          <w:rFonts w:hint="eastAsia" w:ascii="仿宋" w:hAnsi="仿宋" w:eastAsia="仿宋"/>
          <w:color w:val="000000"/>
          <w:szCs w:val="32"/>
        </w:rPr>
        <w:t>。与</w:t>
      </w:r>
      <w:r>
        <w:rPr>
          <w:rFonts w:ascii="仿宋" w:hAnsi="仿宋" w:eastAsia="仿宋"/>
          <w:color w:val="000000"/>
          <w:szCs w:val="32"/>
        </w:rPr>
        <w:t>2019</w:t>
      </w:r>
      <w:r>
        <w:rPr>
          <w:rFonts w:hint="eastAsia" w:ascii="仿宋" w:hAnsi="仿宋" w:eastAsia="仿宋"/>
          <w:color w:val="000000"/>
          <w:szCs w:val="32"/>
        </w:rPr>
        <w:t>年相比，一般公共预算财政拨款增加8.36万元，上升2.8</w:t>
      </w:r>
      <w:r>
        <w:rPr>
          <w:rFonts w:ascii="仿宋" w:hAnsi="仿宋" w:eastAsia="仿宋"/>
          <w:color w:val="000000"/>
          <w:szCs w:val="32"/>
        </w:rPr>
        <w:t>%</w:t>
      </w:r>
      <w:r>
        <w:rPr>
          <w:rFonts w:hint="eastAsia" w:ascii="仿宋" w:hAnsi="仿宋" w:eastAsia="仿宋"/>
          <w:color w:val="000000"/>
          <w:szCs w:val="32"/>
        </w:rPr>
        <w:t>。主要变动原因是</w:t>
      </w:r>
      <w:r>
        <w:rPr>
          <w:rFonts w:hint="eastAsia" w:ascii="仿宋_GB2312" w:hAnsi="仿宋"/>
          <w:szCs w:val="32"/>
        </w:rPr>
        <w:t>招商引资成本增加。</w:t>
      </w:r>
    </w:p>
    <w:p>
      <w:pPr>
        <w:pStyle w:val="2"/>
        <w:rPr>
          <w:rFonts w:hint="eastAsia" w:ascii="仿宋_GB2312" w:hAnsi="仿宋"/>
          <w:szCs w:val="32"/>
        </w:rPr>
      </w:pPr>
    </w:p>
    <w:p/>
    <w:p>
      <w:pPr>
        <w:pStyle w:val="2"/>
      </w:pPr>
    </w:p>
    <w:p/>
    <w:p>
      <w:pPr>
        <w:pStyle w:val="2"/>
      </w:pPr>
    </w:p>
    <w:p>
      <w:pPr>
        <w:rPr>
          <w:rFonts w:hint="eastAsia" w:eastAsia="仿宋_GB2312"/>
          <w:lang w:eastAsia="zh-CN"/>
        </w:rPr>
      </w:pPr>
    </w:p>
    <w:p>
      <w:pPr>
        <w:pStyle w:val="2"/>
        <w:rPr>
          <w:rFonts w:hint="eastAsia" w:eastAsia="仿宋_GB2312"/>
          <w:lang w:eastAsia="zh-CN"/>
        </w:rPr>
      </w:pPr>
    </w:p>
    <w:p>
      <w:pPr>
        <w:rPr>
          <w:rFonts w:hint="eastAsia" w:eastAsia="仿宋_GB2312"/>
          <w:lang w:eastAsia="zh-CN"/>
        </w:rPr>
      </w:pPr>
    </w:p>
    <w:p>
      <w:pPr>
        <w:pStyle w:val="2"/>
        <w:rPr>
          <w:rFonts w:hint="eastAsia" w:eastAsia="仿宋_GB2312"/>
          <w:lang w:eastAsia="zh-CN"/>
        </w:rPr>
      </w:pPr>
    </w:p>
    <w:p>
      <w:pPr>
        <w:rPr>
          <w:rFonts w:hint="eastAsia"/>
          <w:lang w:eastAsia="zh-CN"/>
        </w:rPr>
      </w:pPr>
    </w:p>
    <w:p>
      <w:pPr>
        <w:spacing w:line="600" w:lineRule="exact"/>
        <w:rPr>
          <w:rFonts w:ascii="仿宋" w:hAnsi="仿宋" w:eastAsia="仿宋"/>
          <w:color w:val="000000"/>
          <w:szCs w:val="32"/>
          <w:highlight w:val="none"/>
        </w:rPr>
      </w:pPr>
      <w:r>
        <w:rPr>
          <w:rFonts w:hint="eastAsia" w:ascii="仿宋" w:hAnsi="仿宋" w:eastAsia="仿宋"/>
          <w:color w:val="000000"/>
          <w:szCs w:val="32"/>
          <w:highlight w:val="none"/>
        </w:rPr>
        <w:t>（图</w:t>
      </w:r>
      <w:r>
        <w:rPr>
          <w:rFonts w:ascii="仿宋" w:hAnsi="仿宋" w:eastAsia="仿宋"/>
          <w:color w:val="000000"/>
          <w:szCs w:val="32"/>
          <w:highlight w:val="none"/>
        </w:rPr>
        <w:t>5</w:t>
      </w:r>
      <w:r>
        <w:rPr>
          <w:rFonts w:hint="eastAsia" w:ascii="仿宋" w:hAnsi="仿宋" w:eastAsia="仿宋"/>
          <w:color w:val="000000"/>
          <w:szCs w:val="32"/>
          <w:highlight w:val="none"/>
        </w:rPr>
        <w:t>：一般公共预算财政拨款支出决算变动情况）（柱状图）</w:t>
      </w:r>
    </w:p>
    <w:p>
      <w:pPr>
        <w:spacing w:line="600" w:lineRule="exact"/>
        <w:ind w:firstLine="643" w:firstLineChars="200"/>
        <w:outlineLvl w:val="2"/>
        <w:rPr>
          <w:rFonts w:ascii="仿宋" w:hAnsi="仿宋" w:eastAsia="仿宋"/>
          <w:b/>
          <w:color w:val="000000"/>
          <w:szCs w:val="32"/>
        </w:rPr>
      </w:pPr>
      <w:bookmarkStart w:id="30" w:name="_Toc15377211"/>
      <w:r>
        <w:rPr>
          <w:rFonts w:hint="eastAsia" w:ascii="仿宋" w:hAnsi="仿宋" w:eastAsia="仿宋"/>
          <w:b/>
          <w:color w:val="000000"/>
          <w:szCs w:val="32"/>
        </w:rPr>
        <w:t>（二）一般公共预算财政拨款支出决算结构情况</w:t>
      </w:r>
      <w:bookmarkEnd w:id="30"/>
    </w:p>
    <w:p>
      <w:pPr>
        <w:spacing w:line="600" w:lineRule="exact"/>
        <w:ind w:firstLine="640"/>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年一般公共预算财政拨款支出305.06万元，主要用于以下方面</w:t>
      </w:r>
      <w:r>
        <w:rPr>
          <w:rFonts w:ascii="仿宋" w:hAnsi="仿宋" w:eastAsia="仿宋"/>
          <w:color w:val="000000"/>
          <w:szCs w:val="32"/>
        </w:rPr>
        <w:t>:</w:t>
      </w:r>
      <w:r>
        <w:rPr>
          <w:rFonts w:hint="eastAsia" w:ascii="仿宋" w:hAnsi="仿宋" w:eastAsia="仿宋"/>
          <w:b/>
          <w:color w:val="000000"/>
          <w:szCs w:val="32"/>
        </w:rPr>
        <w:t>一般公共服务（类）</w:t>
      </w:r>
      <w:r>
        <w:rPr>
          <w:rFonts w:hint="eastAsia" w:ascii="仿宋" w:hAnsi="仿宋" w:eastAsia="仿宋"/>
          <w:color w:val="000000"/>
          <w:szCs w:val="32"/>
        </w:rPr>
        <w:t>支出270.4万元，占88.64</w:t>
      </w:r>
      <w:r>
        <w:rPr>
          <w:rFonts w:ascii="仿宋" w:hAnsi="仿宋" w:eastAsia="仿宋"/>
          <w:color w:val="000000"/>
          <w:szCs w:val="32"/>
        </w:rPr>
        <w:t>%</w:t>
      </w:r>
      <w:r>
        <w:rPr>
          <w:rFonts w:hint="eastAsia" w:ascii="仿宋" w:hAnsi="仿宋" w:eastAsia="仿宋"/>
          <w:color w:val="000000"/>
          <w:szCs w:val="32"/>
        </w:rPr>
        <w:t>；</w:t>
      </w:r>
      <w:r>
        <w:rPr>
          <w:rFonts w:hint="eastAsia" w:ascii="仿宋" w:hAnsi="仿宋" w:eastAsia="仿宋"/>
          <w:b/>
          <w:color w:val="000000"/>
          <w:szCs w:val="32"/>
        </w:rPr>
        <w:t>社会保障和就业（类）</w:t>
      </w:r>
      <w:r>
        <w:rPr>
          <w:rFonts w:hint="eastAsia" w:ascii="仿宋" w:hAnsi="仿宋" w:eastAsia="仿宋"/>
          <w:color w:val="000000"/>
          <w:szCs w:val="32"/>
        </w:rPr>
        <w:t>支出15.63万元，占5.12</w:t>
      </w:r>
      <w:r>
        <w:rPr>
          <w:rFonts w:ascii="仿宋" w:hAnsi="仿宋" w:eastAsia="仿宋"/>
          <w:color w:val="000000"/>
          <w:szCs w:val="32"/>
        </w:rPr>
        <w:t>%</w:t>
      </w:r>
      <w:r>
        <w:rPr>
          <w:rFonts w:hint="eastAsia" w:ascii="仿宋" w:hAnsi="仿宋" w:eastAsia="仿宋"/>
          <w:color w:val="000000"/>
          <w:szCs w:val="32"/>
        </w:rPr>
        <w:t>；</w:t>
      </w:r>
      <w:r>
        <w:rPr>
          <w:rFonts w:hint="eastAsia" w:ascii="仿宋" w:hAnsi="仿宋" w:eastAsia="仿宋"/>
          <w:b/>
          <w:bCs/>
          <w:color w:val="000000"/>
          <w:szCs w:val="32"/>
        </w:rPr>
        <w:t>卫生健康支出</w:t>
      </w:r>
      <w:r>
        <w:rPr>
          <w:rFonts w:hint="eastAsia" w:ascii="仿宋" w:hAnsi="仿宋" w:eastAsia="仿宋"/>
          <w:color w:val="000000"/>
          <w:szCs w:val="32"/>
        </w:rPr>
        <w:t>7.72万元，占2.53</w:t>
      </w:r>
      <w:r>
        <w:rPr>
          <w:rFonts w:ascii="仿宋" w:hAnsi="仿宋" w:eastAsia="仿宋"/>
          <w:color w:val="000000"/>
          <w:szCs w:val="32"/>
        </w:rPr>
        <w:t>%</w:t>
      </w:r>
      <w:r>
        <w:rPr>
          <w:rFonts w:hint="eastAsia" w:ascii="仿宋" w:hAnsi="仿宋" w:eastAsia="仿宋"/>
          <w:color w:val="000000"/>
          <w:szCs w:val="32"/>
        </w:rPr>
        <w:t>；住房保障支出11.31万元，占3.71</w:t>
      </w:r>
      <w:r>
        <w:rPr>
          <w:rFonts w:ascii="仿宋" w:hAnsi="仿宋" w:eastAsia="仿宋"/>
          <w:color w:val="000000"/>
          <w:szCs w:val="32"/>
        </w:rPr>
        <w:t>%</w:t>
      </w:r>
      <w:r>
        <w:rPr>
          <w:rFonts w:hint="eastAsia" w:ascii="仿宋" w:hAnsi="仿宋" w:eastAsia="仿宋"/>
          <w:color w:val="000000"/>
          <w:szCs w:val="32"/>
        </w:rPr>
        <w:t>。</w:t>
      </w:r>
    </w:p>
    <w:p>
      <w:pPr>
        <w:pStyle w:val="15"/>
        <w:rPr>
          <w:rFonts w:hint="eastAsia" w:eastAsia="仿宋"/>
          <w:lang w:eastAsia="zh-CN"/>
        </w:rPr>
      </w:pPr>
      <w:r>
        <w:rPr>
          <w:rFonts w:hint="eastAsia" w:eastAsia="仿宋"/>
          <w:lang w:eastAsia="zh-CN"/>
        </w:rPr>
        <w:drawing>
          <wp:inline distT="0" distB="0" distL="114300" distR="114300">
            <wp:extent cx="5080000" cy="3810000"/>
            <wp:effectExtent l="4445" t="4445" r="20955" b="14605"/>
            <wp:docPr id="9" name="图表 9" descr="7b0a202020202263686172745265734964223a2022383733373733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pacing w:line="600" w:lineRule="exact"/>
        <w:jc w:val="center"/>
        <w:rPr>
          <w:rFonts w:ascii="仿宋" w:hAnsi="仿宋" w:eastAsia="仿宋"/>
          <w:color w:val="000000"/>
          <w:szCs w:val="32"/>
          <w:highlight w:val="none"/>
        </w:rPr>
      </w:pPr>
      <w:r>
        <w:rPr>
          <w:rFonts w:hint="eastAsia" w:ascii="仿宋" w:hAnsi="仿宋" w:eastAsia="仿宋"/>
          <w:color w:val="000000"/>
          <w:szCs w:val="32"/>
          <w:highlight w:val="none"/>
        </w:rPr>
        <w:t>（图</w:t>
      </w:r>
      <w:r>
        <w:rPr>
          <w:rFonts w:ascii="仿宋" w:hAnsi="仿宋" w:eastAsia="仿宋"/>
          <w:color w:val="000000"/>
          <w:szCs w:val="32"/>
          <w:highlight w:val="none"/>
        </w:rPr>
        <w:t>6</w:t>
      </w:r>
      <w:r>
        <w:rPr>
          <w:rFonts w:hint="eastAsia" w:ascii="仿宋" w:hAnsi="仿宋" w:eastAsia="仿宋"/>
          <w:color w:val="000000"/>
          <w:szCs w:val="32"/>
          <w:highlight w:val="none"/>
        </w:rPr>
        <w:t>：一般公共预算财政拨款支出决算结构）（饼状图）</w:t>
      </w:r>
    </w:p>
    <w:p>
      <w:pPr>
        <w:spacing w:line="600" w:lineRule="exact"/>
        <w:ind w:firstLine="643" w:firstLineChars="200"/>
        <w:outlineLvl w:val="2"/>
        <w:rPr>
          <w:rFonts w:ascii="仿宋" w:hAnsi="仿宋" w:eastAsia="仿宋"/>
          <w:b/>
          <w:color w:val="000000"/>
          <w:szCs w:val="32"/>
        </w:rPr>
      </w:pPr>
      <w:bookmarkStart w:id="31" w:name="_Toc15377212"/>
      <w:r>
        <w:rPr>
          <w:rFonts w:hint="eastAsia" w:ascii="仿宋" w:hAnsi="仿宋" w:eastAsia="仿宋"/>
          <w:b/>
          <w:color w:val="000000"/>
          <w:szCs w:val="32"/>
        </w:rPr>
        <w:t>（三）一般公共预算财政拨款支出决算具体情况</w:t>
      </w:r>
      <w:bookmarkEnd w:id="31"/>
    </w:p>
    <w:p>
      <w:pPr>
        <w:spacing w:line="600" w:lineRule="exact"/>
        <w:ind w:firstLine="643" w:firstLineChars="200"/>
        <w:rPr>
          <w:rStyle w:val="13"/>
          <w:rFonts w:ascii="仿宋" w:hAnsi="仿宋" w:eastAsia="仿宋"/>
          <w:bCs/>
          <w:color w:val="000000"/>
          <w:szCs w:val="32"/>
        </w:rPr>
      </w:pPr>
      <w:bookmarkStart w:id="32" w:name="_Toc15377444"/>
      <w:bookmarkStart w:id="33" w:name="_Toc15378460"/>
      <w:bookmarkStart w:id="34" w:name="_Toc15377213"/>
      <w:r>
        <w:rPr>
          <w:rFonts w:ascii="仿宋" w:hAnsi="仿宋" w:eastAsia="仿宋"/>
          <w:b/>
          <w:color w:val="000000"/>
          <w:szCs w:val="32"/>
        </w:rPr>
        <w:t>2020</w:t>
      </w:r>
      <w:r>
        <w:rPr>
          <w:rFonts w:hint="eastAsia" w:ascii="仿宋" w:hAnsi="仿宋" w:eastAsia="仿宋"/>
          <w:b/>
          <w:color w:val="000000"/>
          <w:szCs w:val="32"/>
        </w:rPr>
        <w:t>年一般公共预算支出决算数为305.06</w:t>
      </w:r>
      <w:r>
        <w:rPr>
          <w:rFonts w:hint="eastAsia" w:ascii="仿宋" w:hAnsi="仿宋" w:eastAsia="仿宋"/>
          <w:color w:val="000000"/>
          <w:szCs w:val="32"/>
        </w:rPr>
        <w:t>，</w:t>
      </w:r>
      <w:r>
        <w:rPr>
          <w:rStyle w:val="13"/>
          <w:rFonts w:hint="eastAsia" w:ascii="仿宋" w:hAnsi="仿宋" w:eastAsia="仿宋"/>
          <w:bCs/>
          <w:color w:val="000000"/>
          <w:szCs w:val="32"/>
        </w:rPr>
        <w:t>完成预算96.06</w:t>
      </w:r>
      <w:r>
        <w:rPr>
          <w:rStyle w:val="13"/>
          <w:rFonts w:ascii="仿宋" w:hAnsi="仿宋" w:eastAsia="仿宋"/>
          <w:bCs/>
          <w:color w:val="000000"/>
          <w:szCs w:val="32"/>
        </w:rPr>
        <w:t>%</w:t>
      </w:r>
      <w:r>
        <w:rPr>
          <w:rStyle w:val="13"/>
          <w:rFonts w:hint="eastAsia" w:ascii="仿宋" w:hAnsi="仿宋" w:eastAsia="仿宋"/>
          <w:bCs/>
          <w:color w:val="000000"/>
          <w:szCs w:val="32"/>
        </w:rPr>
        <w:t>。其中：</w:t>
      </w:r>
      <w:bookmarkEnd w:id="32"/>
      <w:bookmarkEnd w:id="33"/>
      <w:bookmarkEnd w:id="34"/>
    </w:p>
    <w:p>
      <w:pPr>
        <w:spacing w:line="600" w:lineRule="exact"/>
        <w:ind w:firstLine="643" w:firstLineChars="200"/>
        <w:rPr>
          <w:rStyle w:val="13"/>
          <w:rFonts w:ascii="仿宋" w:hAnsi="仿宋" w:eastAsia="仿宋"/>
          <w:b w:val="0"/>
          <w:bCs/>
          <w:color w:val="000000"/>
          <w:szCs w:val="32"/>
        </w:rPr>
      </w:pPr>
      <w:r>
        <w:rPr>
          <w:rFonts w:hint="eastAsia" w:ascii="仿宋" w:hAnsi="仿宋" w:eastAsia="仿宋"/>
          <w:b/>
          <w:color w:val="000000"/>
          <w:szCs w:val="32"/>
        </w:rPr>
        <w:t xml:space="preserve">1.一般公共服务（类）商贸事务（款）行政运行（项）: </w:t>
      </w:r>
      <w:r>
        <w:rPr>
          <w:rFonts w:hint="eastAsia" w:ascii="仿宋" w:hAnsi="仿宋" w:eastAsia="仿宋"/>
          <w:bCs/>
          <w:color w:val="000000"/>
          <w:szCs w:val="32"/>
        </w:rPr>
        <w:t>支出决算为</w:t>
      </w:r>
      <w:r>
        <w:rPr>
          <w:rFonts w:hint="eastAsia"/>
          <w:szCs w:val="32"/>
        </w:rPr>
        <w:t>186.15</w:t>
      </w:r>
      <w:r>
        <w:rPr>
          <w:rFonts w:hint="eastAsia" w:ascii="仿宋" w:hAnsi="仿宋" w:eastAsia="仿宋"/>
          <w:bCs/>
          <w:color w:val="000000"/>
          <w:szCs w:val="32"/>
        </w:rPr>
        <w:t>万元，完成预算</w:t>
      </w:r>
      <w:r>
        <w:rPr>
          <w:rFonts w:hint="eastAsia"/>
          <w:szCs w:val="32"/>
        </w:rPr>
        <w:t>100</w:t>
      </w:r>
      <w:r>
        <w:rPr>
          <w:rFonts w:hint="eastAsia" w:ascii="仿宋" w:hAnsi="仿宋" w:eastAsia="仿宋"/>
          <w:bCs/>
          <w:color w:val="000000"/>
          <w:szCs w:val="32"/>
        </w:rPr>
        <w:t>%。</w:t>
      </w:r>
    </w:p>
    <w:p>
      <w:pPr>
        <w:spacing w:line="600" w:lineRule="exact"/>
        <w:ind w:firstLine="643" w:firstLineChars="200"/>
        <w:rPr>
          <w:rStyle w:val="13"/>
          <w:rFonts w:hint="eastAsia" w:ascii="仿宋" w:hAnsi="仿宋" w:eastAsia="仿宋"/>
          <w:b w:val="0"/>
          <w:bCs/>
          <w:color w:val="000000"/>
          <w:szCs w:val="32"/>
        </w:rPr>
      </w:pPr>
      <w:r>
        <w:rPr>
          <w:rFonts w:hint="eastAsia" w:ascii="仿宋" w:hAnsi="仿宋" w:eastAsia="仿宋"/>
          <w:b/>
          <w:color w:val="000000"/>
          <w:szCs w:val="32"/>
        </w:rPr>
        <w:t xml:space="preserve">2.一般公共服务（类）商贸事务（款）招商引资（项）: </w:t>
      </w:r>
      <w:r>
        <w:rPr>
          <w:rFonts w:hint="eastAsia" w:ascii="仿宋" w:hAnsi="仿宋" w:eastAsia="仿宋"/>
          <w:bCs/>
          <w:color w:val="000000"/>
          <w:szCs w:val="32"/>
        </w:rPr>
        <w:t>支出决算为</w:t>
      </w:r>
      <w:r>
        <w:rPr>
          <w:rFonts w:hint="eastAsia"/>
          <w:szCs w:val="32"/>
        </w:rPr>
        <w:t>70.5</w:t>
      </w:r>
      <w:r>
        <w:rPr>
          <w:rFonts w:hint="eastAsia" w:ascii="仿宋" w:hAnsi="仿宋" w:eastAsia="仿宋"/>
          <w:bCs/>
          <w:color w:val="000000"/>
          <w:szCs w:val="32"/>
        </w:rPr>
        <w:t>万元，完成预算</w:t>
      </w:r>
      <w:r>
        <w:rPr>
          <w:rFonts w:hint="eastAsia"/>
          <w:szCs w:val="32"/>
        </w:rPr>
        <w:t>84.94</w:t>
      </w:r>
      <w:r>
        <w:rPr>
          <w:rFonts w:hint="eastAsia" w:ascii="仿宋" w:hAnsi="仿宋" w:eastAsia="仿宋"/>
          <w:bCs/>
          <w:color w:val="000000"/>
          <w:szCs w:val="32"/>
        </w:rPr>
        <w:t>%。决算数小于预算数的主要原因是厉行节约，减少招商引资支出</w:t>
      </w:r>
      <w:r>
        <w:rPr>
          <w:rStyle w:val="13"/>
          <w:rFonts w:hint="eastAsia" w:ascii="仿宋" w:hAnsi="仿宋" w:eastAsia="仿宋"/>
          <w:b w:val="0"/>
          <w:bCs/>
          <w:color w:val="000000"/>
          <w:szCs w:val="32"/>
        </w:rPr>
        <w:t>。</w:t>
      </w:r>
    </w:p>
    <w:p>
      <w:pPr>
        <w:spacing w:line="600" w:lineRule="exact"/>
        <w:ind w:firstLine="643" w:firstLineChars="200"/>
        <w:rPr>
          <w:rStyle w:val="13"/>
          <w:rFonts w:ascii="仿宋" w:hAnsi="仿宋" w:eastAsia="仿宋"/>
          <w:b w:val="0"/>
          <w:bCs/>
          <w:color w:val="000000"/>
          <w:szCs w:val="32"/>
        </w:rPr>
      </w:pPr>
      <w:r>
        <w:rPr>
          <w:rFonts w:hint="eastAsia" w:ascii="仿宋" w:hAnsi="仿宋" w:eastAsia="仿宋"/>
          <w:b/>
          <w:color w:val="000000"/>
          <w:szCs w:val="32"/>
        </w:rPr>
        <w:t xml:space="preserve">3.一般公共服务（类）商贸事务（款）事业运行（项）: </w:t>
      </w:r>
      <w:r>
        <w:rPr>
          <w:rFonts w:hint="eastAsia" w:ascii="仿宋" w:hAnsi="仿宋" w:eastAsia="仿宋"/>
          <w:bCs/>
          <w:color w:val="000000"/>
          <w:szCs w:val="32"/>
        </w:rPr>
        <w:t>支出决算为</w:t>
      </w:r>
      <w:r>
        <w:rPr>
          <w:rFonts w:hint="eastAsia"/>
          <w:szCs w:val="32"/>
        </w:rPr>
        <w:t>13.75</w:t>
      </w:r>
      <w:r>
        <w:rPr>
          <w:rFonts w:hint="eastAsia" w:ascii="仿宋" w:hAnsi="仿宋" w:eastAsia="仿宋"/>
          <w:bCs/>
          <w:color w:val="000000"/>
          <w:szCs w:val="32"/>
        </w:rPr>
        <w:t>万元，完成预算</w:t>
      </w:r>
      <w:r>
        <w:rPr>
          <w:rFonts w:hint="eastAsia"/>
          <w:szCs w:val="32"/>
        </w:rPr>
        <w:t>100</w:t>
      </w:r>
      <w:r>
        <w:rPr>
          <w:rFonts w:hint="eastAsia" w:ascii="仿宋" w:hAnsi="仿宋" w:eastAsia="仿宋"/>
          <w:bCs/>
          <w:color w:val="000000"/>
          <w:szCs w:val="32"/>
        </w:rPr>
        <w:t>%。</w:t>
      </w:r>
    </w:p>
    <w:p>
      <w:pPr>
        <w:spacing w:line="600" w:lineRule="exact"/>
        <w:ind w:firstLine="643" w:firstLineChars="200"/>
        <w:rPr>
          <w:rStyle w:val="13"/>
          <w:rFonts w:ascii="仿宋" w:hAnsi="仿宋" w:eastAsia="仿宋"/>
          <w:b w:val="0"/>
          <w:bCs/>
          <w:color w:val="000000"/>
          <w:szCs w:val="32"/>
        </w:rPr>
      </w:pPr>
      <w:r>
        <w:rPr>
          <w:rStyle w:val="13"/>
          <w:rFonts w:hint="eastAsia" w:ascii="仿宋" w:hAnsi="仿宋" w:eastAsia="仿宋"/>
          <w:bCs/>
          <w:color w:val="000000"/>
          <w:szCs w:val="32"/>
        </w:rPr>
        <w:t>4.社会保障和就业（类）行政事业单位养老支出（款）机关事业单位基本养老保险缴费支出（项）</w:t>
      </w:r>
      <w:r>
        <w:rPr>
          <w:rStyle w:val="13"/>
          <w:rFonts w:ascii="仿宋" w:hAnsi="仿宋" w:eastAsia="仿宋"/>
          <w:bCs/>
          <w:color w:val="000000"/>
          <w:szCs w:val="32"/>
        </w:rPr>
        <w:t>:</w:t>
      </w:r>
      <w:r>
        <w:rPr>
          <w:rStyle w:val="13"/>
          <w:rFonts w:ascii="仿宋" w:hAnsi="仿宋" w:eastAsia="仿宋"/>
          <w:b w:val="0"/>
          <w:bCs/>
          <w:color w:val="000000"/>
          <w:szCs w:val="32"/>
        </w:rPr>
        <w:t xml:space="preserve"> </w:t>
      </w:r>
      <w:r>
        <w:rPr>
          <w:rStyle w:val="13"/>
          <w:rFonts w:hint="eastAsia" w:ascii="仿宋" w:hAnsi="仿宋" w:eastAsia="仿宋"/>
          <w:b w:val="0"/>
          <w:bCs/>
          <w:color w:val="000000"/>
          <w:szCs w:val="32"/>
        </w:rPr>
        <w:t>支出决算为</w:t>
      </w:r>
      <w:r>
        <w:rPr>
          <w:rFonts w:hint="eastAsia"/>
          <w:szCs w:val="32"/>
        </w:rPr>
        <w:t>14.6</w:t>
      </w:r>
      <w:r>
        <w:rPr>
          <w:rStyle w:val="13"/>
          <w:rFonts w:hint="eastAsia" w:ascii="仿宋" w:hAnsi="仿宋" w:eastAsia="仿宋"/>
          <w:b w:val="0"/>
          <w:bCs/>
          <w:color w:val="000000"/>
          <w:szCs w:val="32"/>
        </w:rPr>
        <w:t>万元，完成预算</w:t>
      </w:r>
      <w:r>
        <w:rPr>
          <w:rFonts w:hint="eastAsia"/>
          <w:szCs w:val="32"/>
        </w:rPr>
        <w:t>100</w:t>
      </w:r>
      <w:r>
        <w:rPr>
          <w:rStyle w:val="13"/>
          <w:rFonts w:ascii="仿宋" w:hAnsi="仿宋" w:eastAsia="仿宋"/>
          <w:b w:val="0"/>
          <w:bCs/>
          <w:color w:val="000000"/>
          <w:szCs w:val="32"/>
        </w:rPr>
        <w:t>%</w:t>
      </w:r>
      <w:r>
        <w:rPr>
          <w:rStyle w:val="13"/>
          <w:rFonts w:hint="eastAsia" w:ascii="仿宋" w:hAnsi="仿宋" w:eastAsia="仿宋"/>
          <w:b w:val="0"/>
          <w:bCs/>
          <w:color w:val="000000"/>
          <w:szCs w:val="32"/>
        </w:rPr>
        <w:t>。</w:t>
      </w:r>
    </w:p>
    <w:p>
      <w:pPr>
        <w:spacing w:line="600" w:lineRule="exact"/>
        <w:ind w:firstLine="643" w:firstLineChars="200"/>
        <w:rPr>
          <w:rStyle w:val="13"/>
          <w:rFonts w:ascii="仿宋" w:hAnsi="仿宋" w:eastAsia="仿宋"/>
          <w:b w:val="0"/>
          <w:bCs/>
          <w:color w:val="000000"/>
          <w:szCs w:val="32"/>
        </w:rPr>
      </w:pPr>
      <w:r>
        <w:rPr>
          <w:rStyle w:val="13"/>
          <w:rFonts w:hint="eastAsia" w:ascii="仿宋" w:hAnsi="仿宋" w:eastAsia="仿宋"/>
          <w:bCs/>
          <w:color w:val="000000"/>
          <w:szCs w:val="32"/>
        </w:rPr>
        <w:t>5.社会保障和就业（类）其他社会保障和就业支出（款）其他社会保障和就业支出（项）</w:t>
      </w:r>
      <w:r>
        <w:rPr>
          <w:rStyle w:val="13"/>
          <w:rFonts w:ascii="仿宋" w:hAnsi="仿宋" w:eastAsia="仿宋"/>
          <w:bCs/>
          <w:color w:val="000000"/>
          <w:szCs w:val="32"/>
        </w:rPr>
        <w:t>:</w:t>
      </w:r>
      <w:r>
        <w:rPr>
          <w:rStyle w:val="13"/>
          <w:rFonts w:ascii="仿宋" w:hAnsi="仿宋" w:eastAsia="仿宋"/>
          <w:b w:val="0"/>
          <w:bCs/>
          <w:color w:val="000000"/>
          <w:szCs w:val="32"/>
        </w:rPr>
        <w:t xml:space="preserve"> </w:t>
      </w:r>
      <w:r>
        <w:rPr>
          <w:rStyle w:val="13"/>
          <w:rFonts w:hint="eastAsia" w:ascii="仿宋" w:hAnsi="仿宋" w:eastAsia="仿宋"/>
          <w:b w:val="0"/>
          <w:bCs/>
          <w:color w:val="000000"/>
          <w:szCs w:val="32"/>
        </w:rPr>
        <w:t>支出决算为</w:t>
      </w:r>
      <w:r>
        <w:rPr>
          <w:rFonts w:hint="eastAsia"/>
          <w:szCs w:val="32"/>
        </w:rPr>
        <w:t>1.03</w:t>
      </w:r>
      <w:r>
        <w:rPr>
          <w:rStyle w:val="13"/>
          <w:rFonts w:hint="eastAsia" w:ascii="仿宋" w:hAnsi="仿宋" w:eastAsia="仿宋"/>
          <w:b w:val="0"/>
          <w:bCs/>
          <w:color w:val="000000"/>
          <w:szCs w:val="32"/>
        </w:rPr>
        <w:t>万元，完成预算</w:t>
      </w:r>
      <w:r>
        <w:rPr>
          <w:rFonts w:hint="eastAsia"/>
          <w:szCs w:val="32"/>
        </w:rPr>
        <w:t>100</w:t>
      </w:r>
      <w:r>
        <w:rPr>
          <w:rStyle w:val="13"/>
          <w:rFonts w:ascii="仿宋" w:hAnsi="仿宋" w:eastAsia="仿宋"/>
          <w:b w:val="0"/>
          <w:bCs/>
          <w:color w:val="000000"/>
          <w:szCs w:val="32"/>
        </w:rPr>
        <w:t>%</w:t>
      </w:r>
      <w:r>
        <w:rPr>
          <w:rStyle w:val="13"/>
          <w:rFonts w:hint="eastAsia" w:ascii="仿宋" w:hAnsi="仿宋" w:eastAsia="仿宋"/>
          <w:b w:val="0"/>
          <w:bCs/>
          <w:color w:val="000000"/>
          <w:szCs w:val="32"/>
        </w:rPr>
        <w:t>。</w:t>
      </w:r>
    </w:p>
    <w:p>
      <w:pPr>
        <w:spacing w:line="600" w:lineRule="exact"/>
        <w:ind w:firstLine="643" w:firstLineChars="200"/>
        <w:rPr>
          <w:rStyle w:val="13"/>
          <w:rFonts w:ascii="仿宋" w:hAnsi="仿宋" w:eastAsia="仿宋"/>
          <w:b w:val="0"/>
          <w:bCs/>
          <w:color w:val="000000"/>
          <w:szCs w:val="32"/>
        </w:rPr>
      </w:pPr>
      <w:r>
        <w:rPr>
          <w:rStyle w:val="13"/>
          <w:rFonts w:hint="eastAsia" w:ascii="仿宋" w:hAnsi="仿宋" w:eastAsia="仿宋"/>
          <w:color w:val="000000"/>
          <w:szCs w:val="32"/>
        </w:rPr>
        <w:t>6.</w:t>
      </w:r>
      <w:r>
        <w:rPr>
          <w:rStyle w:val="13"/>
          <w:rFonts w:hint="eastAsia" w:ascii="仿宋" w:hAnsi="仿宋" w:eastAsia="仿宋"/>
          <w:bCs/>
          <w:color w:val="000000"/>
          <w:szCs w:val="32"/>
        </w:rPr>
        <w:t>医疗卫生与计划生育（类）行政事业单位医疗（款）行政单位医疗（项）</w:t>
      </w:r>
      <w:r>
        <w:rPr>
          <w:rStyle w:val="13"/>
          <w:rFonts w:ascii="仿宋" w:hAnsi="仿宋" w:eastAsia="仿宋"/>
          <w:bCs/>
          <w:color w:val="000000"/>
          <w:szCs w:val="32"/>
        </w:rPr>
        <w:t>:</w:t>
      </w:r>
      <w:r>
        <w:rPr>
          <w:rStyle w:val="13"/>
          <w:rFonts w:hint="eastAsia" w:ascii="仿宋" w:hAnsi="仿宋" w:eastAsia="仿宋"/>
          <w:b w:val="0"/>
          <w:bCs/>
          <w:color w:val="000000"/>
          <w:szCs w:val="32"/>
        </w:rPr>
        <w:t>支出决算为</w:t>
      </w:r>
      <w:r>
        <w:rPr>
          <w:rFonts w:hint="eastAsia"/>
          <w:szCs w:val="32"/>
        </w:rPr>
        <w:t>7.54</w:t>
      </w:r>
      <w:r>
        <w:rPr>
          <w:rStyle w:val="13"/>
          <w:rFonts w:hint="eastAsia" w:ascii="仿宋" w:hAnsi="仿宋" w:eastAsia="仿宋"/>
          <w:b w:val="0"/>
          <w:bCs/>
          <w:color w:val="000000"/>
          <w:szCs w:val="32"/>
        </w:rPr>
        <w:t>万元，完成预算</w:t>
      </w:r>
      <w:r>
        <w:rPr>
          <w:rFonts w:hint="eastAsia"/>
          <w:szCs w:val="32"/>
        </w:rPr>
        <w:t>100</w:t>
      </w:r>
      <w:r>
        <w:rPr>
          <w:rStyle w:val="13"/>
          <w:rFonts w:ascii="仿宋" w:hAnsi="仿宋" w:eastAsia="仿宋"/>
          <w:b w:val="0"/>
          <w:bCs/>
          <w:color w:val="000000"/>
          <w:szCs w:val="32"/>
        </w:rPr>
        <w:t>%</w:t>
      </w:r>
      <w:r>
        <w:rPr>
          <w:rStyle w:val="13"/>
          <w:rFonts w:hint="eastAsia" w:ascii="仿宋" w:hAnsi="仿宋" w:eastAsia="仿宋"/>
          <w:b w:val="0"/>
          <w:bCs/>
          <w:color w:val="000000"/>
          <w:szCs w:val="32"/>
        </w:rPr>
        <w:t>。</w:t>
      </w:r>
    </w:p>
    <w:p>
      <w:pPr>
        <w:spacing w:line="600" w:lineRule="exact"/>
        <w:rPr>
          <w:rStyle w:val="13"/>
          <w:rFonts w:ascii="仿宋" w:hAnsi="仿宋" w:eastAsia="仿宋"/>
          <w:b w:val="0"/>
          <w:bCs/>
          <w:color w:val="000000"/>
          <w:szCs w:val="32"/>
        </w:rPr>
      </w:pPr>
      <w:r>
        <w:rPr>
          <w:rStyle w:val="13"/>
          <w:rFonts w:hint="eastAsia" w:ascii="仿宋" w:hAnsi="仿宋" w:eastAsia="仿宋"/>
          <w:b w:val="0"/>
          <w:bCs/>
          <w:color w:val="000000"/>
          <w:szCs w:val="32"/>
        </w:rPr>
        <w:t>　　7.</w:t>
      </w:r>
      <w:r>
        <w:rPr>
          <w:rStyle w:val="13"/>
          <w:rFonts w:hint="eastAsia" w:ascii="仿宋" w:hAnsi="仿宋" w:eastAsia="仿宋"/>
          <w:bCs/>
          <w:color w:val="000000"/>
          <w:szCs w:val="32"/>
        </w:rPr>
        <w:t>医疗卫生与计划生育（类）行政事业单位医疗（款）事业单位医疗（项）：</w:t>
      </w:r>
      <w:r>
        <w:rPr>
          <w:rStyle w:val="13"/>
          <w:rFonts w:hint="eastAsia" w:ascii="仿宋" w:hAnsi="仿宋" w:eastAsia="仿宋"/>
          <w:b w:val="0"/>
          <w:color w:val="000000"/>
          <w:szCs w:val="32"/>
        </w:rPr>
        <w:t>支出决算数为0.17万元，</w:t>
      </w:r>
      <w:r>
        <w:rPr>
          <w:rStyle w:val="13"/>
          <w:rFonts w:hint="eastAsia" w:ascii="仿宋" w:hAnsi="仿宋" w:eastAsia="仿宋"/>
          <w:b w:val="0"/>
          <w:bCs/>
          <w:color w:val="000000"/>
          <w:szCs w:val="32"/>
        </w:rPr>
        <w:t>完成预算</w:t>
      </w:r>
      <w:r>
        <w:rPr>
          <w:rFonts w:hint="eastAsia"/>
          <w:szCs w:val="32"/>
        </w:rPr>
        <w:t>100</w:t>
      </w:r>
      <w:r>
        <w:rPr>
          <w:rStyle w:val="13"/>
          <w:rFonts w:ascii="仿宋" w:hAnsi="仿宋" w:eastAsia="仿宋"/>
          <w:b w:val="0"/>
          <w:bCs/>
          <w:color w:val="000000"/>
          <w:szCs w:val="32"/>
        </w:rPr>
        <w:t>%</w:t>
      </w:r>
      <w:r>
        <w:rPr>
          <w:rStyle w:val="13"/>
          <w:rFonts w:hint="eastAsia" w:ascii="仿宋" w:hAnsi="仿宋" w:eastAsia="仿宋"/>
          <w:b w:val="0"/>
          <w:bCs/>
          <w:color w:val="000000"/>
          <w:szCs w:val="32"/>
        </w:rPr>
        <w:t>。</w:t>
      </w:r>
    </w:p>
    <w:p>
      <w:pPr>
        <w:spacing w:line="600" w:lineRule="exact"/>
        <w:ind w:firstLine="643" w:firstLineChars="200"/>
        <w:rPr>
          <w:rStyle w:val="13"/>
          <w:rFonts w:ascii="仿宋" w:hAnsi="仿宋" w:eastAsia="仿宋"/>
          <w:b w:val="0"/>
          <w:bCs/>
          <w:color w:val="000000"/>
          <w:szCs w:val="32"/>
        </w:rPr>
      </w:pPr>
      <w:r>
        <w:rPr>
          <w:rStyle w:val="13"/>
          <w:rFonts w:hint="eastAsia" w:ascii="仿宋" w:hAnsi="仿宋" w:eastAsia="仿宋"/>
          <w:color w:val="000000"/>
          <w:szCs w:val="32"/>
        </w:rPr>
        <w:t>8.住房保障支出（类）住房改革支出（款）住房公积金（项）：</w:t>
      </w:r>
      <w:r>
        <w:rPr>
          <w:rStyle w:val="13"/>
          <w:rFonts w:hint="eastAsia" w:ascii="仿宋" w:hAnsi="仿宋" w:eastAsia="仿宋"/>
          <w:b w:val="0"/>
          <w:bCs/>
          <w:color w:val="000000"/>
          <w:szCs w:val="32"/>
        </w:rPr>
        <w:t>支出决算为</w:t>
      </w:r>
      <w:r>
        <w:rPr>
          <w:rFonts w:hint="eastAsia"/>
          <w:szCs w:val="32"/>
        </w:rPr>
        <w:t>11.31</w:t>
      </w:r>
      <w:r>
        <w:rPr>
          <w:rStyle w:val="13"/>
          <w:rFonts w:hint="eastAsia" w:ascii="仿宋" w:hAnsi="仿宋" w:eastAsia="仿宋"/>
          <w:b w:val="0"/>
          <w:bCs/>
          <w:color w:val="000000"/>
          <w:szCs w:val="32"/>
        </w:rPr>
        <w:t>万元，完成预算</w:t>
      </w:r>
      <w:r>
        <w:rPr>
          <w:rFonts w:hint="eastAsia"/>
          <w:szCs w:val="32"/>
        </w:rPr>
        <w:t>100</w:t>
      </w:r>
      <w:r>
        <w:rPr>
          <w:rStyle w:val="13"/>
          <w:rFonts w:ascii="仿宋" w:hAnsi="仿宋" w:eastAsia="仿宋"/>
          <w:b w:val="0"/>
          <w:bCs/>
          <w:color w:val="000000"/>
          <w:szCs w:val="32"/>
        </w:rPr>
        <w:t>%</w:t>
      </w:r>
      <w:r>
        <w:rPr>
          <w:rStyle w:val="13"/>
          <w:rFonts w:hint="eastAsia" w:ascii="仿宋" w:hAnsi="仿宋" w:eastAsia="仿宋"/>
          <w:b w:val="0"/>
          <w:bCs/>
          <w:color w:val="000000"/>
          <w:szCs w:val="32"/>
        </w:rPr>
        <w:t>。</w:t>
      </w:r>
    </w:p>
    <w:p>
      <w:pPr>
        <w:tabs>
          <w:tab w:val="right" w:pos="8306"/>
        </w:tabs>
        <w:spacing w:line="600" w:lineRule="exact"/>
        <w:ind w:firstLine="640"/>
        <w:outlineLvl w:val="1"/>
        <w:rPr>
          <w:rStyle w:val="17"/>
        </w:rPr>
      </w:pPr>
      <w:bookmarkStart w:id="35" w:name="_Toc15396608"/>
      <w:bookmarkStart w:id="36" w:name="_Toc31021"/>
      <w:bookmarkStart w:id="37" w:name="_Toc15377214"/>
      <w:r>
        <w:rPr>
          <w:rFonts w:hint="eastAsia" w:ascii="黑体" w:eastAsia="黑体"/>
          <w:color w:val="000000"/>
          <w:szCs w:val="32"/>
        </w:rPr>
        <w:t>六</w:t>
      </w:r>
      <w:r>
        <w:rPr>
          <w:rFonts w:hint="eastAsia" w:ascii="黑体" w:eastAsia="黑体"/>
          <w:b/>
          <w:color w:val="000000"/>
          <w:szCs w:val="32"/>
        </w:rPr>
        <w:t>、</w:t>
      </w:r>
      <w:r>
        <w:rPr>
          <w:rFonts w:hint="eastAsia" w:ascii="黑体" w:hAnsi="黑体" w:eastAsia="黑体"/>
          <w:b/>
          <w:color w:val="000000"/>
          <w:szCs w:val="32"/>
        </w:rPr>
        <w:t>一</w:t>
      </w:r>
      <w:r>
        <w:rPr>
          <w:rStyle w:val="17"/>
          <w:rFonts w:hint="eastAsia" w:ascii="黑体" w:hAnsi="黑体" w:eastAsia="黑体"/>
          <w:b w:val="0"/>
        </w:rPr>
        <w:t>般公共预算财政拨款基本支出决算情况说明</w:t>
      </w:r>
      <w:bookmarkEnd w:id="35"/>
      <w:bookmarkEnd w:id="36"/>
      <w:bookmarkEnd w:id="37"/>
      <w:r>
        <w:rPr>
          <w:rStyle w:val="17"/>
          <w:rFonts w:ascii="黑体" w:hAnsi="黑体" w:eastAsia="黑体"/>
          <w:b w:val="0"/>
        </w:rPr>
        <w:tab/>
      </w:r>
    </w:p>
    <w:p>
      <w:pPr>
        <w:spacing w:line="600" w:lineRule="exact"/>
        <w:ind w:firstLine="645"/>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年一般公共预算财政拨款基本支出234.56万元，其中：</w:t>
      </w:r>
    </w:p>
    <w:p>
      <w:pPr>
        <w:spacing w:line="600" w:lineRule="exact"/>
        <w:ind w:firstLine="645"/>
        <w:rPr>
          <w:rFonts w:ascii="仿宋" w:hAnsi="仿宋" w:eastAsia="仿宋"/>
          <w:color w:val="000000"/>
          <w:szCs w:val="32"/>
        </w:rPr>
      </w:pPr>
      <w:r>
        <w:rPr>
          <w:rFonts w:hint="eastAsia" w:ascii="仿宋" w:hAnsi="仿宋" w:eastAsia="仿宋"/>
          <w:color w:val="000000"/>
          <w:szCs w:val="32"/>
        </w:rPr>
        <w:t>人员经费189.71万元，主要包括：基本工资、津贴补贴、奖金、伙食补助费、绩效工资、机关事业单位基本养老保险缴费、职业年金缴费、其他社会保障缴费、其他工资福利支出、医疗费补助、奖励金、住房公积金等。</w:t>
      </w:r>
    </w:p>
    <w:p>
      <w:pPr>
        <w:spacing w:line="600" w:lineRule="exact"/>
        <w:ind w:firstLine="645"/>
        <w:rPr>
          <w:rFonts w:ascii="仿宋" w:hAnsi="仿宋" w:eastAsia="仿宋"/>
          <w:color w:val="000000"/>
          <w:szCs w:val="32"/>
        </w:rPr>
      </w:pPr>
      <w:r>
        <w:rPr>
          <w:rFonts w:hint="eastAsia" w:ascii="仿宋" w:hAnsi="仿宋" w:eastAsia="仿宋"/>
          <w:color w:val="000000"/>
          <w:szCs w:val="32"/>
        </w:rPr>
        <w:t>日常公用经费44.85万元，主要包括：办公费、印刷费、手续费、水费、邮电费、物业管理费、差旅费、维修（护）费、租赁费、会议费、公务接待费、劳务费、委托业务费、工会经费、其他商品和服务支出、办公设备购置等。</w:t>
      </w:r>
    </w:p>
    <w:p>
      <w:pPr>
        <w:spacing w:line="600" w:lineRule="exact"/>
        <w:ind w:firstLine="640"/>
        <w:rPr>
          <w:rFonts w:ascii="仿宋" w:hAnsi="仿宋" w:eastAsia="仿宋"/>
          <w:b/>
          <w:color w:val="FF0000"/>
          <w:szCs w:val="32"/>
        </w:rPr>
      </w:pPr>
    </w:p>
    <w:p>
      <w:pPr>
        <w:spacing w:line="600" w:lineRule="exact"/>
        <w:ind w:firstLine="640"/>
        <w:outlineLvl w:val="1"/>
        <w:rPr>
          <w:rStyle w:val="17"/>
          <w:rFonts w:ascii="黑体" w:hAnsi="黑体" w:eastAsia="黑体"/>
          <w:b w:val="0"/>
        </w:rPr>
      </w:pPr>
      <w:bookmarkStart w:id="38" w:name="_Toc15377215"/>
      <w:bookmarkStart w:id="39" w:name="_Toc15396609"/>
      <w:bookmarkStart w:id="40" w:name="_Toc6926"/>
      <w:r>
        <w:rPr>
          <w:rFonts w:hint="eastAsia" w:ascii="黑体" w:eastAsia="黑体"/>
          <w:color w:val="000000"/>
          <w:szCs w:val="32"/>
        </w:rPr>
        <w:t>七、</w:t>
      </w:r>
      <w:r>
        <w:rPr>
          <w:rStyle w:val="17"/>
          <w:rFonts w:hint="eastAsia" w:ascii="黑体" w:hAnsi="黑体" w:eastAsia="黑体"/>
        </w:rPr>
        <w:t>“</w:t>
      </w:r>
      <w:r>
        <w:rPr>
          <w:rStyle w:val="17"/>
          <w:rFonts w:hint="eastAsia" w:ascii="黑体" w:hAnsi="黑体" w:eastAsia="黑体"/>
          <w:b w:val="0"/>
        </w:rPr>
        <w:t>三公”经费财政拨款支出决算情况说明</w:t>
      </w:r>
      <w:bookmarkEnd w:id="38"/>
      <w:bookmarkEnd w:id="39"/>
      <w:bookmarkEnd w:id="40"/>
    </w:p>
    <w:p>
      <w:pPr>
        <w:spacing w:line="600" w:lineRule="exact"/>
        <w:ind w:firstLine="640"/>
        <w:outlineLvl w:val="2"/>
        <w:rPr>
          <w:rFonts w:ascii="仿宋" w:hAnsi="仿宋" w:eastAsia="仿宋"/>
          <w:b/>
          <w:color w:val="000000"/>
          <w:szCs w:val="32"/>
        </w:rPr>
      </w:pPr>
      <w:bookmarkStart w:id="41" w:name="_Toc15377216"/>
      <w:r>
        <w:rPr>
          <w:rFonts w:hint="eastAsia" w:ascii="仿宋" w:hAnsi="仿宋" w:eastAsia="仿宋"/>
          <w:b/>
          <w:color w:val="000000"/>
          <w:szCs w:val="32"/>
        </w:rPr>
        <w:t>（一）“三公”经费财政拨款支出决算总体情况说明</w:t>
      </w:r>
      <w:bookmarkEnd w:id="41"/>
    </w:p>
    <w:p>
      <w:pPr>
        <w:spacing w:line="600" w:lineRule="exact"/>
        <w:ind w:firstLine="640"/>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年“三公”经费财政拨款支出决算为23.83万元，完成预算79.43</w:t>
      </w:r>
      <w:r>
        <w:rPr>
          <w:rFonts w:ascii="仿宋" w:hAnsi="仿宋" w:eastAsia="仿宋"/>
          <w:color w:val="000000"/>
          <w:szCs w:val="32"/>
        </w:rPr>
        <w:t>%</w:t>
      </w:r>
      <w:r>
        <w:rPr>
          <w:rFonts w:hint="eastAsia" w:ascii="仿宋" w:hAnsi="仿宋" w:eastAsia="仿宋"/>
          <w:color w:val="000000"/>
          <w:szCs w:val="32"/>
        </w:rPr>
        <w:t>，决算数小于预算数的主要原因是接待活动减少。</w:t>
      </w:r>
    </w:p>
    <w:p>
      <w:pPr>
        <w:spacing w:line="600" w:lineRule="exact"/>
        <w:ind w:firstLine="640"/>
        <w:outlineLvl w:val="2"/>
        <w:rPr>
          <w:rFonts w:ascii="仿宋" w:hAnsi="仿宋" w:eastAsia="仿宋"/>
          <w:b/>
          <w:color w:val="000000"/>
          <w:szCs w:val="32"/>
        </w:rPr>
      </w:pPr>
      <w:bookmarkStart w:id="42" w:name="_Toc15377217"/>
      <w:r>
        <w:rPr>
          <w:rFonts w:hint="eastAsia" w:ascii="仿宋" w:hAnsi="仿宋" w:eastAsia="仿宋"/>
          <w:b/>
          <w:color w:val="000000"/>
          <w:szCs w:val="32"/>
        </w:rPr>
        <w:t>（二）“三公”经费财政拨款支出决算具体情况说明</w:t>
      </w:r>
      <w:bookmarkEnd w:id="42"/>
    </w:p>
    <w:p>
      <w:pPr>
        <w:spacing w:line="600" w:lineRule="exact"/>
        <w:ind w:firstLine="640"/>
        <w:rPr>
          <w:rFonts w:ascii="仿宋" w:hAnsi="仿宋" w:eastAsia="仿宋"/>
          <w:color w:val="000000"/>
          <w:szCs w:val="32"/>
        </w:rPr>
      </w:pPr>
      <w:r>
        <w:rPr>
          <w:rFonts w:ascii="仿宋" w:hAnsi="仿宋" w:eastAsia="仿宋"/>
          <w:color w:val="000000"/>
          <w:szCs w:val="32"/>
        </w:rPr>
        <w:t>2020</w:t>
      </w:r>
      <w:r>
        <w:rPr>
          <w:rFonts w:hint="eastAsia" w:ascii="仿宋" w:hAnsi="仿宋" w:eastAsia="仿宋"/>
          <w:color w:val="000000"/>
          <w:szCs w:val="32"/>
        </w:rPr>
        <w:t>年“三公”经费财政拨款支出决算中，因公出国（境）费支出决算0万元，占0</w:t>
      </w:r>
      <w:r>
        <w:rPr>
          <w:rFonts w:ascii="仿宋" w:hAnsi="仿宋" w:eastAsia="仿宋"/>
          <w:color w:val="000000"/>
          <w:szCs w:val="32"/>
        </w:rPr>
        <w:t>%</w:t>
      </w:r>
      <w:r>
        <w:rPr>
          <w:rFonts w:hint="eastAsia" w:ascii="仿宋" w:hAnsi="仿宋" w:eastAsia="仿宋"/>
          <w:color w:val="000000"/>
          <w:szCs w:val="32"/>
        </w:rPr>
        <w:t>；公务用车购置及运行维护费支出决算0万元，占0</w:t>
      </w:r>
      <w:r>
        <w:rPr>
          <w:rFonts w:ascii="仿宋" w:hAnsi="仿宋" w:eastAsia="仿宋"/>
          <w:color w:val="000000"/>
          <w:szCs w:val="32"/>
        </w:rPr>
        <w:t>%</w:t>
      </w:r>
      <w:r>
        <w:rPr>
          <w:rFonts w:hint="eastAsia" w:ascii="仿宋" w:hAnsi="仿宋" w:eastAsia="仿宋"/>
          <w:color w:val="000000"/>
          <w:szCs w:val="32"/>
        </w:rPr>
        <w:t>；公务接待费支出决算23.83万元，占100</w:t>
      </w:r>
      <w:r>
        <w:rPr>
          <w:rFonts w:ascii="仿宋" w:hAnsi="仿宋" w:eastAsia="仿宋"/>
          <w:color w:val="000000"/>
          <w:szCs w:val="32"/>
        </w:rPr>
        <w:t>%</w:t>
      </w:r>
      <w:r>
        <w:rPr>
          <w:rFonts w:hint="eastAsia" w:ascii="仿宋" w:hAnsi="仿宋" w:eastAsia="仿宋"/>
          <w:color w:val="000000"/>
          <w:szCs w:val="32"/>
        </w:rPr>
        <w:t>。具体情况如下：</w:t>
      </w:r>
    </w:p>
    <w:p>
      <w:pPr>
        <w:spacing w:line="600" w:lineRule="exact"/>
        <w:rPr>
          <w:rFonts w:hint="eastAsia" w:ascii="仿宋" w:hAnsi="仿宋" w:eastAsia="仿宋"/>
          <w:color w:val="000000"/>
          <w:szCs w:val="32"/>
          <w:highlight w:val="yellow"/>
          <w:lang w:eastAsia="zh-CN"/>
        </w:rPr>
      </w:pPr>
      <w:r>
        <w:rPr>
          <w:rFonts w:hint="eastAsia" w:ascii="仿宋" w:hAnsi="仿宋" w:eastAsia="仿宋"/>
          <w:color w:val="000000"/>
          <w:szCs w:val="32"/>
          <w:highlight w:val="yellow"/>
          <w:lang w:eastAsia="zh-CN"/>
        </w:rPr>
        <w:drawing>
          <wp:anchor distT="0" distB="0" distL="114300" distR="114300" simplePos="0" relativeHeight="251665408" behindDoc="0" locked="0" layoutInCell="1" allowOverlap="1">
            <wp:simplePos x="0" y="0"/>
            <wp:positionH relativeFrom="column">
              <wp:posOffset>3810</wp:posOffset>
            </wp:positionH>
            <wp:positionV relativeFrom="paragraph">
              <wp:posOffset>15875</wp:posOffset>
            </wp:positionV>
            <wp:extent cx="5080000" cy="3810000"/>
            <wp:effectExtent l="4445" t="4445" r="20955" b="14605"/>
            <wp:wrapNone/>
            <wp:docPr id="10" name="图表 10" descr="7b0a202020202263686172745265734964223a2022383733373733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pPr>
        <w:spacing w:line="600" w:lineRule="exact"/>
        <w:rPr>
          <w:rFonts w:hint="eastAsia" w:ascii="仿宋" w:hAnsi="仿宋" w:eastAsia="仿宋"/>
          <w:color w:val="000000"/>
          <w:szCs w:val="32"/>
          <w:highlight w:val="yellow"/>
        </w:rPr>
      </w:pPr>
    </w:p>
    <w:p>
      <w:pPr>
        <w:spacing w:line="600" w:lineRule="exact"/>
        <w:rPr>
          <w:rFonts w:hint="eastAsia" w:ascii="仿宋" w:hAnsi="仿宋" w:eastAsia="仿宋"/>
          <w:color w:val="000000"/>
          <w:szCs w:val="32"/>
          <w:highlight w:val="yellow"/>
        </w:rPr>
      </w:pPr>
    </w:p>
    <w:p>
      <w:pPr>
        <w:spacing w:line="600" w:lineRule="exact"/>
        <w:rPr>
          <w:rFonts w:hint="eastAsia" w:ascii="仿宋" w:hAnsi="仿宋" w:eastAsia="仿宋"/>
          <w:color w:val="000000"/>
          <w:szCs w:val="32"/>
          <w:highlight w:val="yellow"/>
        </w:rPr>
      </w:pPr>
    </w:p>
    <w:p>
      <w:pPr>
        <w:spacing w:line="600" w:lineRule="exact"/>
        <w:rPr>
          <w:rFonts w:hint="eastAsia" w:ascii="仿宋" w:hAnsi="仿宋" w:eastAsia="仿宋"/>
          <w:color w:val="000000"/>
          <w:szCs w:val="32"/>
          <w:highlight w:val="yellow"/>
        </w:rPr>
      </w:pPr>
    </w:p>
    <w:p>
      <w:pPr>
        <w:spacing w:line="600" w:lineRule="exact"/>
        <w:rPr>
          <w:rFonts w:hint="eastAsia" w:ascii="仿宋" w:hAnsi="仿宋" w:eastAsia="仿宋"/>
          <w:color w:val="000000"/>
          <w:szCs w:val="32"/>
          <w:highlight w:val="yellow"/>
        </w:rPr>
      </w:pPr>
    </w:p>
    <w:p>
      <w:pPr>
        <w:spacing w:line="600" w:lineRule="exact"/>
        <w:rPr>
          <w:rFonts w:hint="eastAsia" w:ascii="仿宋" w:hAnsi="仿宋" w:eastAsia="仿宋"/>
          <w:color w:val="000000"/>
          <w:szCs w:val="32"/>
          <w:highlight w:val="yellow"/>
        </w:rPr>
      </w:pPr>
    </w:p>
    <w:p>
      <w:pPr>
        <w:pStyle w:val="2"/>
        <w:rPr>
          <w:rFonts w:hint="eastAsia" w:ascii="仿宋" w:hAnsi="仿宋" w:eastAsia="仿宋"/>
          <w:color w:val="000000"/>
          <w:szCs w:val="32"/>
          <w:highlight w:val="yellow"/>
        </w:rPr>
      </w:pPr>
    </w:p>
    <w:p>
      <w:pPr>
        <w:rPr>
          <w:rFonts w:hint="eastAsia" w:ascii="仿宋" w:hAnsi="仿宋" w:eastAsia="仿宋"/>
          <w:color w:val="000000"/>
          <w:szCs w:val="32"/>
          <w:highlight w:val="yellow"/>
        </w:rPr>
      </w:pPr>
    </w:p>
    <w:p>
      <w:pPr>
        <w:pStyle w:val="2"/>
        <w:rPr>
          <w:rFonts w:hint="eastAsia"/>
        </w:rPr>
      </w:pPr>
    </w:p>
    <w:p>
      <w:pPr>
        <w:spacing w:line="600" w:lineRule="exact"/>
        <w:jc w:val="center"/>
        <w:rPr>
          <w:rFonts w:ascii="仿宋" w:hAnsi="仿宋" w:eastAsia="仿宋"/>
          <w:color w:val="000000"/>
          <w:szCs w:val="32"/>
          <w:highlight w:val="none"/>
        </w:rPr>
      </w:pPr>
      <w:r>
        <w:rPr>
          <w:rFonts w:hint="eastAsia" w:ascii="仿宋" w:hAnsi="仿宋" w:eastAsia="仿宋"/>
          <w:color w:val="000000"/>
          <w:szCs w:val="32"/>
          <w:highlight w:val="none"/>
        </w:rPr>
        <w:t>（图</w:t>
      </w:r>
      <w:r>
        <w:rPr>
          <w:rFonts w:ascii="仿宋" w:hAnsi="仿宋" w:eastAsia="仿宋"/>
          <w:color w:val="000000"/>
          <w:szCs w:val="32"/>
          <w:highlight w:val="none"/>
        </w:rPr>
        <w:t>7</w:t>
      </w:r>
      <w:r>
        <w:rPr>
          <w:rFonts w:hint="eastAsia" w:ascii="仿宋" w:hAnsi="仿宋" w:eastAsia="仿宋"/>
          <w:color w:val="000000"/>
          <w:szCs w:val="32"/>
          <w:highlight w:val="none"/>
        </w:rPr>
        <w:t>：“三公”经费财政拨款支出结构）（饼状图）</w:t>
      </w:r>
    </w:p>
    <w:p>
      <w:pPr>
        <w:spacing w:line="600" w:lineRule="exact"/>
        <w:ind w:firstLine="640"/>
        <w:rPr>
          <w:rFonts w:ascii="仿宋_GB2312"/>
          <w:color w:val="000000"/>
          <w:szCs w:val="32"/>
        </w:rPr>
      </w:pPr>
      <w:r>
        <w:rPr>
          <w:rFonts w:ascii="仿宋_GB2312"/>
          <w:b/>
          <w:color w:val="000000"/>
          <w:szCs w:val="32"/>
        </w:rPr>
        <w:t>1.</w:t>
      </w:r>
      <w:r>
        <w:rPr>
          <w:rFonts w:hint="eastAsia" w:ascii="仿宋_GB2312"/>
          <w:b/>
          <w:color w:val="000000"/>
          <w:szCs w:val="32"/>
        </w:rPr>
        <w:t>因公出国（境）经费支出</w:t>
      </w:r>
      <w:r>
        <w:rPr>
          <w:rFonts w:hint="eastAsia" w:ascii="仿宋_GB2312"/>
          <w:color w:val="000000"/>
          <w:szCs w:val="32"/>
        </w:rPr>
        <w:t>0万元，</w:t>
      </w:r>
      <w:r>
        <w:rPr>
          <w:rStyle w:val="13"/>
          <w:rFonts w:hint="eastAsia" w:ascii="仿宋" w:hAnsi="仿宋" w:eastAsia="仿宋"/>
          <w:b w:val="0"/>
          <w:bCs/>
          <w:color w:val="000000"/>
          <w:szCs w:val="32"/>
        </w:rPr>
        <w:t>完成预算0</w:t>
      </w:r>
      <w:r>
        <w:rPr>
          <w:rStyle w:val="13"/>
          <w:rFonts w:ascii="仿宋" w:hAnsi="仿宋" w:eastAsia="仿宋"/>
          <w:b w:val="0"/>
          <w:bCs/>
          <w:color w:val="000000"/>
          <w:szCs w:val="32"/>
        </w:rPr>
        <w:t>%</w:t>
      </w:r>
      <w:r>
        <w:rPr>
          <w:rStyle w:val="13"/>
          <w:rFonts w:hint="eastAsia" w:ascii="仿宋" w:hAnsi="仿宋" w:eastAsia="仿宋"/>
          <w:b w:val="0"/>
          <w:bCs/>
          <w:color w:val="000000"/>
          <w:szCs w:val="32"/>
        </w:rPr>
        <w:t>。</w:t>
      </w:r>
      <w:r>
        <w:rPr>
          <w:rFonts w:hint="eastAsia" w:ascii="仿宋_GB2312"/>
          <w:color w:val="000000"/>
          <w:szCs w:val="32"/>
        </w:rPr>
        <w:t>全年安排因公出国（境）团组0次，出国（境）0。因公出国（境）支出决算与2019年持平。</w:t>
      </w:r>
    </w:p>
    <w:p>
      <w:pPr>
        <w:spacing w:line="600" w:lineRule="exact"/>
        <w:ind w:firstLine="640"/>
        <w:rPr>
          <w:rFonts w:ascii="仿宋_GB2312"/>
          <w:b/>
          <w:color w:val="000000"/>
          <w:szCs w:val="32"/>
        </w:rPr>
      </w:pPr>
      <w:r>
        <w:rPr>
          <w:rFonts w:ascii="仿宋_GB2312"/>
          <w:b/>
          <w:color w:val="000000"/>
          <w:szCs w:val="32"/>
        </w:rPr>
        <w:t>2.</w:t>
      </w:r>
      <w:r>
        <w:rPr>
          <w:rFonts w:hint="eastAsia" w:ascii="仿宋_GB2312"/>
          <w:b/>
          <w:color w:val="000000"/>
          <w:szCs w:val="32"/>
        </w:rPr>
        <w:t>公务用车购置及运行维护费支出</w:t>
      </w:r>
      <w:r>
        <w:rPr>
          <w:rFonts w:hint="eastAsia" w:ascii="仿宋_GB2312"/>
          <w:color w:val="000000"/>
          <w:szCs w:val="32"/>
        </w:rPr>
        <w:t>0万元</w:t>
      </w:r>
      <w:r>
        <w:rPr>
          <w:rFonts w:ascii="仿宋_GB2312"/>
          <w:color w:val="000000"/>
          <w:szCs w:val="32"/>
        </w:rPr>
        <w:t>,</w:t>
      </w:r>
      <w:r>
        <w:rPr>
          <w:rStyle w:val="13"/>
          <w:rFonts w:hint="eastAsia" w:ascii="仿宋" w:hAnsi="仿宋" w:eastAsia="仿宋"/>
          <w:b w:val="0"/>
          <w:bCs/>
          <w:color w:val="000000"/>
          <w:szCs w:val="32"/>
        </w:rPr>
        <w:t>完成预算0</w:t>
      </w:r>
      <w:r>
        <w:rPr>
          <w:rStyle w:val="13"/>
          <w:rFonts w:ascii="仿宋" w:hAnsi="仿宋" w:eastAsia="仿宋"/>
          <w:b w:val="0"/>
          <w:bCs/>
          <w:color w:val="000000"/>
          <w:szCs w:val="32"/>
        </w:rPr>
        <w:t>%</w:t>
      </w:r>
      <w:r>
        <w:rPr>
          <w:rStyle w:val="13"/>
          <w:rFonts w:hint="eastAsia" w:ascii="仿宋" w:hAnsi="仿宋" w:eastAsia="仿宋"/>
          <w:b w:val="0"/>
          <w:bCs/>
          <w:color w:val="000000"/>
          <w:szCs w:val="32"/>
        </w:rPr>
        <w:t>。</w:t>
      </w:r>
      <w:r>
        <w:rPr>
          <w:rFonts w:hint="eastAsia" w:ascii="仿宋_GB2312"/>
          <w:color w:val="000000"/>
          <w:szCs w:val="32"/>
        </w:rPr>
        <w:t>公务用车购置及运行维护费支出决算比2019年持平。</w:t>
      </w:r>
    </w:p>
    <w:p>
      <w:pPr>
        <w:spacing w:line="600" w:lineRule="exact"/>
        <w:ind w:firstLine="640" w:firstLineChars="200"/>
        <w:rPr>
          <w:rFonts w:ascii="仿宋_GB2312"/>
          <w:b/>
          <w:color w:val="000000"/>
          <w:szCs w:val="32"/>
        </w:rPr>
      </w:pPr>
      <w:r>
        <w:rPr>
          <w:rFonts w:hint="eastAsia" w:ascii="仿宋_GB2312"/>
          <w:color w:val="000000"/>
          <w:szCs w:val="32"/>
        </w:rPr>
        <w:t>其中：</w:t>
      </w:r>
      <w:r>
        <w:rPr>
          <w:rFonts w:hint="eastAsia" w:ascii="仿宋_GB2312"/>
          <w:b/>
          <w:color w:val="000000"/>
          <w:szCs w:val="32"/>
        </w:rPr>
        <w:t>公务用车购置支出</w:t>
      </w:r>
      <w:r>
        <w:rPr>
          <w:rFonts w:hint="eastAsia" w:ascii="仿宋_GB2312"/>
          <w:color w:val="000000"/>
          <w:szCs w:val="32"/>
        </w:rPr>
        <w:t>0万元。全年按规定更新购置公务用车0辆。</w:t>
      </w:r>
    </w:p>
    <w:p>
      <w:pPr>
        <w:spacing w:line="600" w:lineRule="exact"/>
        <w:ind w:firstLine="640"/>
        <w:rPr>
          <w:rFonts w:ascii="仿宋_GB2312"/>
          <w:color w:val="000000"/>
          <w:szCs w:val="32"/>
        </w:rPr>
      </w:pPr>
      <w:r>
        <w:rPr>
          <w:rFonts w:hint="eastAsia" w:ascii="仿宋_GB2312"/>
          <w:b/>
          <w:color w:val="000000"/>
          <w:szCs w:val="32"/>
        </w:rPr>
        <w:t>公务用车运行维护费支出</w:t>
      </w:r>
      <w:r>
        <w:rPr>
          <w:rFonts w:hint="eastAsia" w:ascii="仿宋_GB2312"/>
          <w:color w:val="000000"/>
          <w:szCs w:val="32"/>
        </w:rPr>
        <w:t>0万元。</w:t>
      </w:r>
    </w:p>
    <w:p>
      <w:pPr>
        <w:spacing w:line="600" w:lineRule="exact"/>
        <w:ind w:firstLine="640"/>
        <w:rPr>
          <w:rFonts w:ascii="仿宋_GB2312"/>
          <w:color w:val="000000"/>
          <w:szCs w:val="32"/>
        </w:rPr>
      </w:pPr>
      <w:r>
        <w:rPr>
          <w:rFonts w:ascii="仿宋_GB2312"/>
          <w:b/>
          <w:color w:val="000000"/>
          <w:szCs w:val="32"/>
        </w:rPr>
        <w:t>3.</w:t>
      </w:r>
      <w:r>
        <w:rPr>
          <w:rFonts w:hint="eastAsia" w:ascii="仿宋_GB2312"/>
          <w:b/>
          <w:color w:val="000000"/>
          <w:szCs w:val="32"/>
        </w:rPr>
        <w:t>公务接待费支出</w:t>
      </w:r>
      <w:r>
        <w:rPr>
          <w:rFonts w:hint="eastAsia" w:ascii="仿宋_GB2312"/>
          <w:color w:val="000000"/>
          <w:szCs w:val="32"/>
        </w:rPr>
        <w:t>23.83万元，</w:t>
      </w:r>
      <w:r>
        <w:rPr>
          <w:rStyle w:val="13"/>
          <w:rFonts w:hint="eastAsia" w:ascii="仿宋" w:hAnsi="仿宋" w:eastAsia="仿宋"/>
          <w:b w:val="0"/>
          <w:bCs/>
          <w:color w:val="000000"/>
          <w:szCs w:val="32"/>
        </w:rPr>
        <w:t>完成预算79.43</w:t>
      </w:r>
      <w:r>
        <w:rPr>
          <w:rStyle w:val="13"/>
          <w:rFonts w:ascii="仿宋" w:hAnsi="仿宋" w:eastAsia="仿宋"/>
          <w:b w:val="0"/>
          <w:bCs/>
          <w:color w:val="000000"/>
          <w:szCs w:val="32"/>
        </w:rPr>
        <w:t>%</w:t>
      </w:r>
      <w:r>
        <w:rPr>
          <w:rStyle w:val="13"/>
          <w:rFonts w:hint="eastAsia" w:ascii="仿宋" w:hAnsi="仿宋" w:eastAsia="仿宋"/>
          <w:b w:val="0"/>
          <w:bCs/>
          <w:color w:val="000000"/>
          <w:szCs w:val="32"/>
        </w:rPr>
        <w:t>。</w:t>
      </w:r>
      <w:r>
        <w:rPr>
          <w:rFonts w:hint="eastAsia" w:ascii="仿宋_GB2312"/>
          <w:color w:val="000000"/>
          <w:szCs w:val="32"/>
        </w:rPr>
        <w:t>公务接待费支出决算比</w:t>
      </w:r>
      <w:r>
        <w:rPr>
          <w:rFonts w:ascii="仿宋_GB2312"/>
          <w:color w:val="000000"/>
          <w:szCs w:val="32"/>
        </w:rPr>
        <w:t>2019</w:t>
      </w:r>
      <w:r>
        <w:rPr>
          <w:rFonts w:hint="eastAsia" w:ascii="仿宋_GB2312"/>
          <w:color w:val="000000"/>
          <w:szCs w:val="32"/>
        </w:rPr>
        <w:t>年增加23.83万元，增长100</w:t>
      </w:r>
      <w:r>
        <w:rPr>
          <w:rFonts w:ascii="仿宋_GB2312"/>
          <w:color w:val="000000"/>
          <w:szCs w:val="32"/>
        </w:rPr>
        <w:t>%</w:t>
      </w:r>
      <w:r>
        <w:rPr>
          <w:rFonts w:hint="eastAsia" w:ascii="仿宋_GB2312"/>
          <w:color w:val="000000"/>
          <w:szCs w:val="32"/>
        </w:rPr>
        <w:t>。主要原因是由于上年的接待费归纳在商品服务支出。其中：</w:t>
      </w:r>
    </w:p>
    <w:p>
      <w:pPr>
        <w:spacing w:line="600" w:lineRule="exact"/>
        <w:ind w:firstLine="640"/>
        <w:rPr>
          <w:rFonts w:ascii="仿宋_GB2312"/>
          <w:color w:val="000000"/>
          <w:szCs w:val="32"/>
        </w:rPr>
      </w:pPr>
      <w:r>
        <w:rPr>
          <w:rFonts w:hint="eastAsia" w:ascii="仿宋" w:hAnsi="仿宋" w:eastAsia="仿宋"/>
          <w:b/>
          <w:color w:val="000000"/>
          <w:szCs w:val="32"/>
        </w:rPr>
        <w:t>国内公务接待支出</w:t>
      </w:r>
      <w:r>
        <w:rPr>
          <w:rFonts w:hint="eastAsia" w:ascii="仿宋" w:hAnsi="仿宋" w:eastAsia="仿宋"/>
          <w:color w:val="000000"/>
          <w:szCs w:val="32"/>
        </w:rPr>
        <w:t>23.83</w:t>
      </w:r>
      <w:r>
        <w:rPr>
          <w:rFonts w:hint="eastAsia" w:ascii="仿宋_GB2312"/>
          <w:color w:val="000000"/>
          <w:szCs w:val="32"/>
        </w:rPr>
        <w:t>万元，主要用于招商引资活动中开展业务活动开支的交通费、住宿费、用餐费等。国内公务接待89批次，653人次（不包括陪同人员），共计支出23.83万元，具体内容包括：招商引资接待客商。</w:t>
      </w:r>
    </w:p>
    <w:p>
      <w:pPr>
        <w:spacing w:line="600" w:lineRule="exact"/>
        <w:ind w:firstLine="640"/>
        <w:outlineLvl w:val="1"/>
        <w:rPr>
          <w:rFonts w:ascii="黑体" w:eastAsia="黑体"/>
          <w:color w:val="000000"/>
          <w:szCs w:val="32"/>
        </w:rPr>
      </w:pPr>
      <w:bookmarkStart w:id="43" w:name="_Toc15396610"/>
      <w:bookmarkStart w:id="44" w:name="_Toc15377218"/>
    </w:p>
    <w:p>
      <w:pPr>
        <w:spacing w:line="600" w:lineRule="exact"/>
        <w:ind w:firstLine="640"/>
        <w:outlineLvl w:val="1"/>
        <w:rPr>
          <w:rStyle w:val="17"/>
          <w:rFonts w:ascii="黑体" w:hAnsi="黑体" w:eastAsia="黑体"/>
        </w:rPr>
      </w:pPr>
      <w:bookmarkStart w:id="45" w:name="_Toc9843"/>
      <w:r>
        <w:rPr>
          <w:rFonts w:hint="eastAsia" w:ascii="黑体" w:eastAsia="黑体"/>
          <w:color w:val="000000"/>
          <w:szCs w:val="32"/>
        </w:rPr>
        <w:t>八、</w:t>
      </w:r>
      <w:r>
        <w:rPr>
          <w:rStyle w:val="17"/>
          <w:rFonts w:hint="eastAsia" w:ascii="黑体" w:hAnsi="黑体" w:eastAsia="黑体"/>
          <w:b w:val="0"/>
        </w:rPr>
        <w:t>政府性基金预算支出决算情况说明</w:t>
      </w:r>
      <w:bookmarkEnd w:id="43"/>
      <w:bookmarkEnd w:id="44"/>
      <w:bookmarkEnd w:id="45"/>
    </w:p>
    <w:p>
      <w:pPr>
        <w:spacing w:line="600" w:lineRule="exact"/>
        <w:ind w:firstLine="640"/>
        <w:rPr>
          <w:rFonts w:ascii="仿宋_GB2312"/>
          <w:color w:val="000000"/>
          <w:szCs w:val="32"/>
        </w:rPr>
      </w:pPr>
      <w:r>
        <w:rPr>
          <w:rFonts w:ascii="仿宋_GB2312"/>
          <w:color w:val="000000"/>
          <w:szCs w:val="32"/>
        </w:rPr>
        <w:t>2020</w:t>
      </w:r>
      <w:r>
        <w:rPr>
          <w:rFonts w:hint="eastAsia" w:ascii="仿宋_GB2312"/>
          <w:color w:val="000000"/>
          <w:szCs w:val="32"/>
        </w:rPr>
        <w:t>年政府性基金预算拨款支出0万元。</w:t>
      </w:r>
    </w:p>
    <w:p>
      <w:pPr>
        <w:spacing w:line="600" w:lineRule="exact"/>
        <w:ind w:firstLine="640"/>
        <w:rPr>
          <w:rFonts w:ascii="仿宋_GB2312"/>
          <w:color w:val="000000"/>
          <w:szCs w:val="32"/>
        </w:rPr>
      </w:pPr>
    </w:p>
    <w:p>
      <w:pPr>
        <w:numPr>
          <w:ilvl w:val="0"/>
          <w:numId w:val="2"/>
        </w:numPr>
        <w:spacing w:line="600" w:lineRule="exact"/>
        <w:ind w:firstLine="640"/>
        <w:outlineLvl w:val="1"/>
        <w:rPr>
          <w:rStyle w:val="17"/>
          <w:rFonts w:ascii="黑体" w:hAnsi="黑体" w:eastAsia="黑体"/>
          <w:b w:val="0"/>
        </w:rPr>
      </w:pPr>
      <w:bookmarkStart w:id="46" w:name="_Toc10775"/>
      <w:bookmarkStart w:id="47" w:name="_Toc15396611"/>
      <w:bookmarkStart w:id="48" w:name="_Toc15377219"/>
      <w:r>
        <w:rPr>
          <w:rStyle w:val="17"/>
          <w:rFonts w:hint="eastAsia" w:ascii="黑体" w:hAnsi="黑体" w:eastAsia="黑体"/>
          <w:b w:val="0"/>
        </w:rPr>
        <w:t>国有资本经营预算支出决算情况说明</w:t>
      </w:r>
      <w:bookmarkEnd w:id="46"/>
      <w:bookmarkEnd w:id="47"/>
      <w:bookmarkEnd w:id="48"/>
    </w:p>
    <w:p>
      <w:pPr>
        <w:spacing w:line="600" w:lineRule="exact"/>
        <w:ind w:firstLine="640"/>
        <w:rPr>
          <w:rFonts w:ascii="仿宋_GB2312"/>
          <w:color w:val="000000"/>
          <w:szCs w:val="32"/>
        </w:rPr>
      </w:pPr>
      <w:r>
        <w:rPr>
          <w:rFonts w:ascii="仿宋_GB2312"/>
          <w:color w:val="000000"/>
          <w:szCs w:val="32"/>
        </w:rPr>
        <w:t>2020</w:t>
      </w:r>
      <w:r>
        <w:rPr>
          <w:rFonts w:hint="eastAsia" w:ascii="仿宋_GB2312"/>
          <w:color w:val="000000"/>
          <w:szCs w:val="32"/>
        </w:rPr>
        <w:t>年国有资本经营预算拨款支出0万元。</w:t>
      </w:r>
    </w:p>
    <w:p>
      <w:pPr>
        <w:spacing w:line="580" w:lineRule="exact"/>
        <w:jc w:val="center"/>
        <w:rPr>
          <w:rFonts w:ascii="方正小标宋简体" w:hAnsi="方正小标宋简体" w:eastAsia="方正小标宋简体" w:cs="方正小标宋简体"/>
          <w:sz w:val="44"/>
          <w:szCs w:val="44"/>
        </w:rPr>
      </w:pPr>
    </w:p>
    <w:p>
      <w:pPr>
        <w:spacing w:line="600" w:lineRule="exact"/>
        <w:ind w:firstLine="800" w:firstLineChars="250"/>
        <w:outlineLvl w:val="1"/>
        <w:rPr>
          <w:rStyle w:val="17"/>
          <w:rFonts w:ascii="黑体" w:hAnsi="黑体" w:eastAsia="黑体"/>
        </w:rPr>
      </w:pPr>
      <w:bookmarkStart w:id="49" w:name="_Toc15396612"/>
      <w:bookmarkStart w:id="50" w:name="_Toc15377221"/>
      <w:bookmarkStart w:id="51" w:name="_Toc738"/>
      <w:r>
        <w:rPr>
          <w:rFonts w:hint="eastAsia" w:ascii="黑体" w:hAnsi="黑体" w:eastAsia="黑体"/>
          <w:color w:val="000000"/>
          <w:szCs w:val="32"/>
        </w:rPr>
        <w:t>十</w:t>
      </w:r>
      <w:r>
        <w:rPr>
          <w:rStyle w:val="17"/>
          <w:rFonts w:hint="eastAsia" w:ascii="黑体" w:hAnsi="黑体" w:eastAsia="黑体"/>
        </w:rPr>
        <w:t>、</w:t>
      </w:r>
      <w:r>
        <w:rPr>
          <w:rStyle w:val="17"/>
          <w:rFonts w:hint="eastAsia" w:ascii="黑体" w:hAnsi="黑体" w:eastAsia="黑体"/>
          <w:b w:val="0"/>
        </w:rPr>
        <w:t>其他重要事项的情况说明</w:t>
      </w:r>
      <w:bookmarkEnd w:id="49"/>
      <w:bookmarkEnd w:id="50"/>
      <w:bookmarkEnd w:id="51"/>
    </w:p>
    <w:p>
      <w:pPr>
        <w:spacing w:line="600" w:lineRule="exact"/>
        <w:ind w:firstLine="643" w:firstLineChars="200"/>
        <w:outlineLvl w:val="2"/>
        <w:rPr>
          <w:rFonts w:ascii="仿宋" w:hAnsi="仿宋" w:eastAsia="仿宋"/>
          <w:color w:val="000000"/>
          <w:szCs w:val="32"/>
        </w:rPr>
      </w:pPr>
      <w:bookmarkStart w:id="52" w:name="_Toc15377222"/>
      <w:r>
        <w:rPr>
          <w:rFonts w:hint="eastAsia" w:ascii="仿宋" w:hAnsi="仿宋" w:eastAsia="仿宋"/>
          <w:b/>
          <w:color w:val="000000"/>
          <w:szCs w:val="32"/>
        </w:rPr>
        <w:t>（一）机关运行经费支出情况</w:t>
      </w:r>
      <w:bookmarkEnd w:id="52"/>
    </w:p>
    <w:p>
      <w:pPr>
        <w:spacing w:line="600" w:lineRule="exact"/>
        <w:ind w:firstLine="640" w:firstLineChars="200"/>
        <w:rPr>
          <w:rFonts w:ascii="仿宋_GB2312"/>
          <w:color w:val="000000"/>
          <w:szCs w:val="32"/>
        </w:rPr>
      </w:pPr>
      <w:r>
        <w:rPr>
          <w:rFonts w:ascii="仿宋_GB2312"/>
          <w:color w:val="000000"/>
          <w:szCs w:val="32"/>
        </w:rPr>
        <w:t>2020</w:t>
      </w:r>
      <w:r>
        <w:rPr>
          <w:rFonts w:hint="eastAsia" w:ascii="仿宋_GB2312"/>
          <w:color w:val="000000"/>
          <w:szCs w:val="32"/>
        </w:rPr>
        <w:t>年，自贡市自流井区投资促进局机关运行经费支出44.85万元，比</w:t>
      </w:r>
      <w:r>
        <w:rPr>
          <w:rFonts w:ascii="仿宋_GB2312"/>
          <w:color w:val="000000"/>
          <w:szCs w:val="32"/>
        </w:rPr>
        <w:t>2019</w:t>
      </w:r>
      <w:r>
        <w:rPr>
          <w:rFonts w:hint="eastAsia" w:ascii="仿宋_GB2312"/>
          <w:color w:val="000000"/>
          <w:szCs w:val="32"/>
        </w:rPr>
        <w:t>年减少16.33万元，下降26.69</w:t>
      </w:r>
      <w:r>
        <w:rPr>
          <w:rFonts w:ascii="仿宋_GB2312"/>
          <w:color w:val="000000"/>
          <w:szCs w:val="32"/>
        </w:rPr>
        <w:t>%</w:t>
      </w:r>
      <w:r>
        <w:rPr>
          <w:rFonts w:hint="eastAsia" w:ascii="仿宋_GB2312"/>
          <w:color w:val="000000"/>
          <w:szCs w:val="32"/>
        </w:rPr>
        <w:t>。主要原因是</w:t>
      </w:r>
      <w:r>
        <w:rPr>
          <w:color w:val="000000" w:themeColor="text1"/>
          <w:szCs w:val="32"/>
          <w14:textFill>
            <w14:solidFill>
              <w14:schemeClr w14:val="tx1"/>
            </w14:solidFill>
          </w14:textFill>
        </w:rPr>
        <w:t>主要原因是2019机关人员有所减少，招商引资活动有所减少</w:t>
      </w:r>
      <w:r>
        <w:rPr>
          <w:rFonts w:hint="eastAsia"/>
          <w:color w:val="000000" w:themeColor="text1"/>
          <w:szCs w:val="32"/>
          <w14:textFill>
            <w14:solidFill>
              <w14:schemeClr w14:val="tx1"/>
            </w14:solidFill>
          </w14:textFill>
        </w:rPr>
        <w:t>。</w:t>
      </w:r>
    </w:p>
    <w:p>
      <w:pPr>
        <w:autoSpaceDE w:val="0"/>
        <w:autoSpaceDN w:val="0"/>
        <w:adjustRightInd w:val="0"/>
        <w:spacing w:line="600" w:lineRule="exact"/>
        <w:ind w:firstLine="643" w:firstLineChars="200"/>
        <w:jc w:val="left"/>
        <w:outlineLvl w:val="2"/>
        <w:rPr>
          <w:rFonts w:ascii="仿宋" w:hAnsi="仿宋" w:eastAsia="仿宋"/>
          <w:b/>
          <w:color w:val="000000"/>
          <w:szCs w:val="32"/>
        </w:rPr>
      </w:pPr>
      <w:bookmarkStart w:id="53" w:name="_Toc15377223"/>
      <w:r>
        <w:rPr>
          <w:rFonts w:hint="eastAsia" w:ascii="仿宋" w:hAnsi="仿宋" w:eastAsia="仿宋"/>
          <w:b/>
          <w:color w:val="000000"/>
          <w:szCs w:val="32"/>
        </w:rPr>
        <w:t>（二）政府采购支出情况</w:t>
      </w:r>
      <w:bookmarkEnd w:id="53"/>
    </w:p>
    <w:p>
      <w:pPr>
        <w:spacing w:line="600" w:lineRule="exact"/>
        <w:ind w:firstLine="640" w:firstLineChars="200"/>
        <w:rPr>
          <w:rFonts w:ascii="仿宋_GB2312"/>
          <w:color w:val="000000"/>
          <w:szCs w:val="32"/>
        </w:rPr>
      </w:pPr>
      <w:r>
        <w:rPr>
          <w:rFonts w:ascii="仿宋_GB2312"/>
          <w:color w:val="000000"/>
          <w:szCs w:val="32"/>
        </w:rPr>
        <w:t>2020</w:t>
      </w:r>
      <w:r>
        <w:rPr>
          <w:rFonts w:hint="eastAsia" w:ascii="仿宋_GB2312"/>
          <w:color w:val="000000"/>
          <w:szCs w:val="32"/>
        </w:rPr>
        <w:t>年，自贡市自流井区投资促进局政府采购支出总额9.9万元，其中：政府采购货物支出0万元、政府采购工程支出0万元、政府采购服务支出9.9万元。主要用于招商引资宣传片。授予中小企业合同金额19.8万元，占政府采购支出总额的50</w:t>
      </w:r>
      <w:r>
        <w:rPr>
          <w:rFonts w:ascii="仿宋_GB2312"/>
          <w:color w:val="000000"/>
          <w:szCs w:val="32"/>
        </w:rPr>
        <w:t>%</w:t>
      </w:r>
      <w:r>
        <w:rPr>
          <w:rFonts w:hint="eastAsia" w:ascii="仿宋_GB2312"/>
          <w:color w:val="000000"/>
          <w:szCs w:val="32"/>
        </w:rPr>
        <w:t>，其中：授予小微企业合同金额19.8万元，占政府采购支出总额的50</w:t>
      </w:r>
      <w:r>
        <w:rPr>
          <w:rFonts w:ascii="仿宋_GB2312"/>
          <w:color w:val="000000"/>
          <w:szCs w:val="32"/>
        </w:rPr>
        <w:t>%</w:t>
      </w:r>
      <w:r>
        <w:rPr>
          <w:rFonts w:hint="eastAsia" w:ascii="仿宋_GB2312"/>
          <w:color w:val="000000"/>
          <w:szCs w:val="32"/>
        </w:rPr>
        <w:t>。</w:t>
      </w:r>
    </w:p>
    <w:p>
      <w:pPr>
        <w:autoSpaceDE w:val="0"/>
        <w:autoSpaceDN w:val="0"/>
        <w:adjustRightInd w:val="0"/>
        <w:spacing w:line="600" w:lineRule="exact"/>
        <w:ind w:firstLine="643" w:firstLineChars="200"/>
        <w:jc w:val="left"/>
        <w:outlineLvl w:val="2"/>
        <w:rPr>
          <w:rFonts w:ascii="仿宋" w:hAnsi="仿宋" w:eastAsia="仿宋"/>
          <w:b/>
          <w:color w:val="000000"/>
          <w:szCs w:val="32"/>
        </w:rPr>
      </w:pPr>
      <w:bookmarkStart w:id="54" w:name="_Toc15377224"/>
      <w:r>
        <w:rPr>
          <w:rFonts w:hint="eastAsia" w:ascii="仿宋" w:hAnsi="仿宋" w:eastAsia="仿宋"/>
          <w:b/>
          <w:color w:val="000000"/>
          <w:szCs w:val="32"/>
        </w:rPr>
        <w:t>（三）国有资产占有使用情况</w:t>
      </w:r>
      <w:bookmarkEnd w:id="54"/>
    </w:p>
    <w:p>
      <w:pPr>
        <w:autoSpaceDE w:val="0"/>
        <w:autoSpaceDN w:val="0"/>
        <w:adjustRightInd w:val="0"/>
        <w:spacing w:line="600" w:lineRule="exact"/>
        <w:ind w:firstLine="640" w:firstLineChars="200"/>
        <w:jc w:val="left"/>
        <w:rPr>
          <w:rFonts w:ascii="仿宋" w:hAnsi="仿宋" w:eastAsia="仿宋"/>
          <w:b/>
          <w:color w:val="FF0000"/>
          <w:szCs w:val="32"/>
        </w:rPr>
      </w:pPr>
      <w:r>
        <w:rPr>
          <w:rFonts w:hint="eastAsia" w:ascii="仿宋_GB2312"/>
          <w:color w:val="000000"/>
          <w:szCs w:val="32"/>
        </w:rPr>
        <w:t>截至</w:t>
      </w:r>
      <w:r>
        <w:rPr>
          <w:rFonts w:ascii="仿宋_GB2312"/>
          <w:color w:val="000000"/>
          <w:szCs w:val="32"/>
        </w:rPr>
        <w:t>2020</w:t>
      </w:r>
      <w:r>
        <w:rPr>
          <w:rFonts w:hint="eastAsia" w:ascii="仿宋_GB2312"/>
          <w:color w:val="000000"/>
          <w:szCs w:val="32"/>
        </w:rPr>
        <w:t>年</w:t>
      </w:r>
      <w:r>
        <w:rPr>
          <w:rFonts w:ascii="仿宋_GB2312"/>
          <w:color w:val="000000"/>
          <w:szCs w:val="32"/>
        </w:rPr>
        <w:t>12</w:t>
      </w:r>
      <w:r>
        <w:rPr>
          <w:rFonts w:hint="eastAsia" w:ascii="仿宋_GB2312"/>
          <w:color w:val="000000"/>
          <w:szCs w:val="32"/>
        </w:rPr>
        <w:t>月</w:t>
      </w:r>
      <w:r>
        <w:rPr>
          <w:rFonts w:ascii="仿宋_GB2312"/>
          <w:color w:val="000000"/>
          <w:szCs w:val="32"/>
        </w:rPr>
        <w:t>31</w:t>
      </w:r>
      <w:r>
        <w:rPr>
          <w:rFonts w:hint="eastAsia" w:ascii="仿宋_GB2312"/>
          <w:color w:val="000000"/>
          <w:szCs w:val="32"/>
        </w:rPr>
        <w:t>日，自贡市自流井区投资促进局共有车辆0辆，其中：主要领导干部用车0辆、机要通信用车0辆、应急保障用车0辆、其他用车0辆，单价</w:t>
      </w:r>
      <w:r>
        <w:rPr>
          <w:rFonts w:ascii="仿宋_GB2312"/>
          <w:color w:val="000000"/>
          <w:szCs w:val="32"/>
        </w:rPr>
        <w:t>50</w:t>
      </w:r>
      <w:r>
        <w:rPr>
          <w:rFonts w:hint="eastAsia" w:ascii="仿宋_GB2312"/>
          <w:color w:val="000000"/>
          <w:szCs w:val="32"/>
        </w:rPr>
        <w:t>万元以上通用设备0台（套），单价</w:t>
      </w:r>
      <w:r>
        <w:rPr>
          <w:rFonts w:ascii="仿宋_GB2312"/>
          <w:color w:val="000000"/>
          <w:szCs w:val="32"/>
        </w:rPr>
        <w:t>100</w:t>
      </w:r>
      <w:r>
        <w:rPr>
          <w:rFonts w:hint="eastAsia" w:ascii="仿宋_GB2312"/>
          <w:color w:val="000000"/>
          <w:szCs w:val="32"/>
        </w:rPr>
        <w:t>万元以上专用设备0台（套）。</w:t>
      </w:r>
    </w:p>
    <w:p>
      <w:pPr>
        <w:autoSpaceDE w:val="0"/>
        <w:autoSpaceDN w:val="0"/>
        <w:adjustRightInd w:val="0"/>
        <w:spacing w:line="600" w:lineRule="exact"/>
        <w:ind w:firstLine="643" w:firstLineChars="200"/>
        <w:jc w:val="left"/>
        <w:outlineLvl w:val="2"/>
        <w:rPr>
          <w:rFonts w:ascii="仿宋" w:hAnsi="仿宋" w:eastAsia="仿宋"/>
          <w:b/>
          <w:color w:val="000000"/>
          <w:szCs w:val="32"/>
        </w:rPr>
      </w:pPr>
      <w:r>
        <w:rPr>
          <w:rFonts w:hint="eastAsia" w:ascii="仿宋" w:hAnsi="仿宋" w:eastAsia="仿宋"/>
          <w:b/>
          <w:color w:val="000000"/>
          <w:szCs w:val="32"/>
        </w:rPr>
        <w:t>（四）预算绩效管理情况。</w:t>
      </w:r>
    </w:p>
    <w:p>
      <w:pPr>
        <w:spacing w:line="580" w:lineRule="exact"/>
        <w:ind w:firstLine="640" w:firstLineChars="200"/>
        <w:rPr>
          <w:rFonts w:ascii="仿宋_GB2312" w:hAnsi="仿宋_GB2312" w:cs="仿宋_GB2312"/>
          <w:szCs w:val="32"/>
        </w:rPr>
      </w:pPr>
      <w:r>
        <w:rPr>
          <w:rFonts w:hint="eastAsia" w:ascii="仿宋_GB2312" w:hAnsi="仿宋_GB2312" w:cs="仿宋_GB2312"/>
          <w:szCs w:val="32"/>
        </w:rPr>
        <w:t>根据预算绩效管理要求，本部门（单位）在年初预算编制阶段，组织</w:t>
      </w:r>
      <w:r>
        <w:rPr>
          <w:szCs w:val="32"/>
        </w:rPr>
        <w:t>招商引资推介活动项目</w:t>
      </w:r>
      <w:r>
        <w:rPr>
          <w:rFonts w:hint="eastAsia"/>
          <w:szCs w:val="32"/>
        </w:rPr>
        <w:t>、责任单位招商引资项目、省市招商引资活动项目</w:t>
      </w:r>
      <w:r>
        <w:rPr>
          <w:rFonts w:hint="eastAsia" w:ascii="仿宋_GB2312" w:hAnsi="仿宋_GB2312" w:cs="仿宋_GB2312"/>
          <w:szCs w:val="32"/>
        </w:rPr>
        <w:t>开展了预算事前绩效评估，对1个项目编制了绩效目标，预算执行过程中，选取1个项目开展绩效监控，年终执行完毕后，对1个项目开展了绩效目标完成情况自评。</w:t>
      </w:r>
    </w:p>
    <w:p>
      <w:pPr>
        <w:spacing w:line="580" w:lineRule="exact"/>
        <w:ind w:firstLine="640" w:firstLineChars="200"/>
        <w:rPr>
          <w:rFonts w:ascii="仿宋_GB2312" w:hAnsi="仿宋_GB2312" w:cs="仿宋_GB2312"/>
          <w:szCs w:val="32"/>
        </w:rPr>
      </w:pPr>
      <w:r>
        <w:rPr>
          <w:rFonts w:hint="eastAsia" w:ascii="仿宋_GB2312" w:hAnsi="仿宋_GB2312" w:cs="仿宋_GB2312"/>
          <w:szCs w:val="32"/>
        </w:rPr>
        <w:t>本部门按要求对</w:t>
      </w:r>
      <w:r>
        <w:rPr>
          <w:rFonts w:ascii="仿宋_GB2312" w:hAnsi="仿宋_GB2312" w:cs="仿宋_GB2312"/>
          <w:szCs w:val="32"/>
        </w:rPr>
        <w:t>2020</w:t>
      </w:r>
      <w:r>
        <w:rPr>
          <w:rFonts w:hint="eastAsia" w:ascii="仿宋_GB2312" w:hAnsi="仿宋_GB2312" w:cs="仿宋_GB2312"/>
          <w:szCs w:val="32"/>
        </w:rPr>
        <w:t>年部门整体支出开展绩效自评，看</w:t>
      </w:r>
      <w:r>
        <w:rPr>
          <w:szCs w:val="32"/>
        </w:rPr>
        <w:t>从评价情况来看完成了当年招商引资任务，促进了我区的经济发展，带动了就业发展，提供了用工岗位</w:t>
      </w:r>
      <w:r>
        <w:rPr>
          <w:rFonts w:hint="eastAsia" w:ascii="仿宋_GB2312" w:hAnsi="仿宋_GB2312" w:cs="仿宋_GB2312"/>
          <w:szCs w:val="32"/>
        </w:rPr>
        <w:t>。本部门还自行组织了1个项目支出绩效评价，从评价情况来看各项指标圆满完成。</w:t>
      </w:r>
    </w:p>
    <w:p>
      <w:pPr>
        <w:spacing w:line="580" w:lineRule="exact"/>
        <w:ind w:firstLine="640" w:firstLineChars="200"/>
        <w:rPr>
          <w:rFonts w:ascii="楷体_GB2312" w:hAnsi="楷体_GB2312" w:eastAsia="楷体_GB2312" w:cs="楷体_GB2312"/>
          <w:szCs w:val="32"/>
        </w:rPr>
      </w:pPr>
      <w:r>
        <w:rPr>
          <w:rFonts w:ascii="楷体_GB2312" w:hAnsi="楷体_GB2312" w:eastAsia="楷体_GB2312" w:cs="楷体_GB2312"/>
          <w:szCs w:val="32"/>
        </w:rPr>
        <w:t>1.</w:t>
      </w:r>
      <w:r>
        <w:rPr>
          <w:rFonts w:hint="eastAsia" w:ascii="楷体_GB2312" w:hAnsi="楷体_GB2312" w:eastAsia="楷体_GB2312" w:cs="楷体_GB2312"/>
          <w:szCs w:val="32"/>
        </w:rPr>
        <w:t>项目绩效目标完成情况。</w:t>
      </w:r>
    </w:p>
    <w:p>
      <w:pPr>
        <w:spacing w:line="580" w:lineRule="exact"/>
        <w:ind w:firstLine="640" w:firstLineChars="200"/>
        <w:rPr>
          <w:rFonts w:ascii="仿宋_GB2312" w:hAnsi="仿宋_GB2312" w:cs="仿宋_GB2312"/>
          <w:szCs w:val="32"/>
        </w:rPr>
      </w:pPr>
      <w:r>
        <w:rPr>
          <w:rFonts w:ascii="仿宋_GB2312" w:hAnsi="仿宋_GB2312" w:cs="仿宋_GB2312"/>
          <w:szCs w:val="32"/>
        </w:rPr>
        <w:t xml:space="preserve"> </w:t>
      </w:r>
      <w:r>
        <w:rPr>
          <w:rFonts w:hint="eastAsia" w:ascii="仿宋_GB2312" w:hAnsi="仿宋_GB2312" w:cs="仿宋_GB2312"/>
          <w:szCs w:val="32"/>
        </w:rPr>
        <w:t>本部门在</w:t>
      </w:r>
      <w:r>
        <w:rPr>
          <w:rFonts w:ascii="仿宋_GB2312" w:hAnsi="仿宋_GB2312" w:cs="仿宋_GB2312"/>
          <w:szCs w:val="32"/>
        </w:rPr>
        <w:t>2020</w:t>
      </w:r>
      <w:r>
        <w:rPr>
          <w:rFonts w:hint="eastAsia" w:ascii="仿宋_GB2312" w:hAnsi="仿宋_GB2312" w:cs="仿宋_GB2312"/>
          <w:szCs w:val="32"/>
        </w:rPr>
        <w:t>年度部门决算中反映“</w:t>
      </w:r>
      <w:r>
        <w:rPr>
          <w:szCs w:val="32"/>
        </w:rPr>
        <w:t>招商引资推介活动项目</w:t>
      </w:r>
      <w:r>
        <w:rPr>
          <w:rFonts w:ascii="仿宋_GB2312" w:hAnsi="仿宋_GB2312" w:cs="仿宋_GB2312"/>
          <w:szCs w:val="32"/>
        </w:rPr>
        <w:t>”</w:t>
      </w:r>
      <w:r>
        <w:rPr>
          <w:rFonts w:hint="eastAsia" w:ascii="仿宋_GB2312" w:hAnsi="仿宋_GB2312" w:cs="仿宋_GB2312"/>
          <w:szCs w:val="32"/>
        </w:rPr>
        <w:t>等1个项目绩效目标实际完成情况。</w:t>
      </w:r>
    </w:p>
    <w:p>
      <w:pPr>
        <w:spacing w:line="580" w:lineRule="exact"/>
        <w:ind w:firstLine="640" w:firstLineChars="200"/>
        <w:rPr>
          <w:szCs w:val="32"/>
        </w:rPr>
      </w:pPr>
      <w:r>
        <w:rPr>
          <w:rFonts w:hint="eastAsia" w:ascii="仿宋_GB2312" w:hAnsi="仿宋_GB2312" w:cs="仿宋_GB2312"/>
          <w:szCs w:val="32"/>
        </w:rPr>
        <w:t>（</w:t>
      </w:r>
      <w:r>
        <w:rPr>
          <w:rFonts w:ascii="仿宋_GB2312" w:hAnsi="仿宋_GB2312" w:cs="仿宋_GB2312"/>
          <w:szCs w:val="32"/>
        </w:rPr>
        <w:t>1</w:t>
      </w:r>
      <w:r>
        <w:rPr>
          <w:rFonts w:hint="eastAsia" w:ascii="仿宋_GB2312" w:hAnsi="仿宋_GB2312" w:cs="仿宋_GB2312"/>
          <w:szCs w:val="32"/>
        </w:rPr>
        <w:t>）</w:t>
      </w:r>
      <w:r>
        <w:rPr>
          <w:szCs w:val="32"/>
        </w:rPr>
        <w:t>招商引资推介活动项目</w:t>
      </w:r>
      <w:r>
        <w:rPr>
          <w:rFonts w:hint="eastAsia" w:ascii="仿宋_GB2312" w:hAnsi="仿宋_GB2312" w:cs="仿宋_GB2312"/>
          <w:szCs w:val="32"/>
        </w:rPr>
        <w:t>绩效目标完成情况综述。项目全年预算数</w:t>
      </w:r>
      <w:r>
        <w:rPr>
          <w:rFonts w:hint="eastAsia" w:ascii="仿宋_GB2312" w:hAnsi="仿宋_GB2312" w:cs="仿宋_GB2312"/>
          <w:szCs w:val="32"/>
          <w:lang w:val="en-US" w:eastAsia="zh-CN"/>
        </w:rPr>
        <w:t>120</w:t>
      </w:r>
      <w:r>
        <w:rPr>
          <w:rFonts w:hint="eastAsia" w:ascii="仿宋_GB2312" w:hAnsi="仿宋_GB2312" w:cs="仿宋_GB2312"/>
          <w:szCs w:val="32"/>
        </w:rPr>
        <w:t>万元，执行数为70.5万元，完成预算的</w:t>
      </w:r>
      <w:r>
        <w:rPr>
          <w:rFonts w:hint="eastAsia" w:ascii="仿宋_GB2312" w:hAnsi="仿宋_GB2312" w:cs="仿宋_GB2312"/>
          <w:szCs w:val="32"/>
          <w:lang w:val="en-US" w:eastAsia="zh-CN"/>
        </w:rPr>
        <w:t>70.2</w:t>
      </w:r>
      <w:r>
        <w:rPr>
          <w:rFonts w:ascii="仿宋_GB2312" w:hAnsi="仿宋_GB2312" w:cs="仿宋_GB2312"/>
          <w:szCs w:val="32"/>
        </w:rPr>
        <w:t>%</w:t>
      </w:r>
      <w:r>
        <w:rPr>
          <w:rFonts w:hint="eastAsia" w:ascii="仿宋_GB2312" w:hAnsi="仿宋_GB2312" w:cs="仿宋_GB2312"/>
          <w:szCs w:val="32"/>
        </w:rPr>
        <w:t>。</w:t>
      </w:r>
      <w:r>
        <w:rPr>
          <w:szCs w:val="32"/>
        </w:rPr>
        <w:t>通过项目实施，促进了我区的经济发展，带动了就业发展，提供了用工岗位。</w:t>
      </w:r>
    </w:p>
    <w:p>
      <w:pPr>
        <w:spacing w:line="580" w:lineRule="exact"/>
        <w:ind w:firstLine="640" w:firstLineChars="200"/>
        <w:rPr>
          <w:rFonts w:ascii="仿宋_GB2312" w:hAnsi="仿宋_GB2312" w:cs="仿宋_GB2312"/>
          <w:szCs w:val="32"/>
        </w:rPr>
      </w:pPr>
      <w:r>
        <w:rPr>
          <w:rFonts w:hint="eastAsia" w:ascii="仿宋_GB2312" w:hAnsi="仿宋_GB2312" w:cs="仿宋_GB2312"/>
          <w:szCs w:val="32"/>
        </w:rPr>
        <w:t>下一步改进措施：</w:t>
      </w:r>
    </w:p>
    <w:p>
      <w:pPr>
        <w:pStyle w:val="10"/>
        <w:widowControl/>
        <w:spacing w:before="0" w:beforeAutospacing="0" w:after="300" w:afterAutospacing="0" w:line="596" w:lineRule="exact"/>
        <w:ind w:firstLine="640" w:firstLineChars="200"/>
        <w:jc w:val="both"/>
        <w:rPr>
          <w:rFonts w:ascii="仿宋_GB2312" w:hAnsi="仿宋_GB2312" w:cs="仿宋_GB2312"/>
          <w:kern w:val="2"/>
          <w:sz w:val="32"/>
          <w:szCs w:val="32"/>
        </w:rPr>
      </w:pPr>
      <w:r>
        <w:rPr>
          <w:rFonts w:hint="eastAsia" w:ascii="仿宋_GB2312" w:hAnsi="仿宋_GB2312" w:cs="仿宋_GB2312"/>
          <w:kern w:val="2"/>
          <w:sz w:val="32"/>
          <w:szCs w:val="32"/>
        </w:rPr>
        <w:t>加强项目谋划，充分考虑实际情况进行认真分析研究，按照有关规范和规定要求精准测算预算资金，提高财政资金使用效益。</w:t>
      </w: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pStyle w:val="2"/>
        <w:rPr>
          <w:rFonts w:ascii="仿宋_GB2312" w:hAnsi="仿宋_GB2312" w:cs="仿宋_GB2312"/>
          <w:szCs w:val="32"/>
        </w:rPr>
      </w:pPr>
    </w:p>
    <w:p>
      <w:pPr>
        <w:rPr>
          <w:rFonts w:ascii="仿宋_GB2312" w:hAnsi="仿宋_GB2312" w:cs="仿宋_GB2312"/>
          <w:szCs w:val="32"/>
        </w:rPr>
      </w:pPr>
    </w:p>
    <w:p>
      <w:pPr>
        <w:pStyle w:val="2"/>
        <w:rPr>
          <w:rFonts w:ascii="仿宋_GB2312" w:hAnsi="仿宋_GB2312" w:cs="仿宋_GB2312"/>
          <w:szCs w:val="32"/>
        </w:rPr>
      </w:pPr>
    </w:p>
    <w:p/>
    <w:p>
      <w:pPr>
        <w:spacing w:line="580" w:lineRule="exact"/>
        <w:ind w:firstLine="640" w:firstLineChars="200"/>
        <w:rPr>
          <w:rFonts w:ascii="仿宋_GB2312" w:hAnsi="仿宋_GB2312" w:cs="仿宋_GB2312"/>
          <w:szCs w:val="32"/>
        </w:rPr>
      </w:pPr>
    </w:p>
    <w:tbl>
      <w:tblPr>
        <w:tblStyle w:val="11"/>
        <w:tblpPr w:leftFromText="180" w:rightFromText="180" w:vertAnchor="text" w:horzAnchor="page" w:tblpXSpec="center" w:tblpY="423"/>
        <w:tblOverlap w:val="never"/>
        <w:tblW w:w="9960" w:type="dxa"/>
        <w:jc w:val="center"/>
        <w:tblLayout w:type="fixed"/>
        <w:tblCellMar>
          <w:top w:w="0" w:type="dxa"/>
          <w:left w:w="0" w:type="dxa"/>
          <w:bottom w:w="0" w:type="dxa"/>
          <w:right w:w="0" w:type="dxa"/>
        </w:tblCellMar>
      </w:tblPr>
      <w:tblGrid>
        <w:gridCol w:w="390"/>
        <w:gridCol w:w="1367"/>
        <w:gridCol w:w="1025"/>
        <w:gridCol w:w="2392"/>
        <w:gridCol w:w="2394"/>
        <w:gridCol w:w="2392"/>
      </w:tblGrid>
      <w:tr>
        <w:tblPrEx>
          <w:tblCellMar>
            <w:top w:w="0" w:type="dxa"/>
            <w:left w:w="0" w:type="dxa"/>
            <w:bottom w:w="0" w:type="dxa"/>
            <w:right w:w="0" w:type="dxa"/>
          </w:tblCellMar>
        </w:tblPrEx>
        <w:trPr>
          <w:trHeight w:val="1034" w:hRule="atLeast"/>
          <w:jc w:val="center"/>
        </w:trPr>
        <w:tc>
          <w:tcPr>
            <w:tcW w:w="9960" w:type="dxa"/>
            <w:gridSpan w:val="6"/>
            <w:tcBorders>
              <w:top w:val="nil"/>
              <w:left w:val="nil"/>
              <w:bottom w:val="nil"/>
              <w:right w:val="nil"/>
            </w:tcBorders>
            <w:tcMar>
              <w:top w:w="15" w:type="dxa"/>
              <w:left w:w="15" w:type="dxa"/>
              <w:right w:w="15" w:type="dxa"/>
            </w:tcMar>
            <w:vAlign w:val="center"/>
          </w:tcPr>
          <w:p>
            <w:pPr>
              <w:widowControl/>
              <w:jc w:val="center"/>
              <w:textAlignment w:val="center"/>
              <w:rPr>
                <w:rFonts w:ascii="宋体" w:hAnsi="宋体" w:cs="宋体"/>
                <w:b/>
                <w:bCs/>
                <w:color w:val="000000"/>
                <w:kern w:val="0"/>
                <w:sz w:val="36"/>
                <w:szCs w:val="36"/>
              </w:rPr>
            </w:pPr>
            <w:r>
              <w:rPr>
                <w:rFonts w:hint="eastAsia" w:ascii="宋体" w:hAnsi="宋体" w:cs="宋体"/>
                <w:b/>
                <w:bCs/>
                <w:color w:val="000000"/>
                <w:kern w:val="0"/>
                <w:sz w:val="36"/>
                <w:szCs w:val="36"/>
              </w:rPr>
              <w:t>项目绩效目标完成情况表</w:t>
            </w:r>
          </w:p>
          <w:p>
            <w:pPr>
              <w:widowControl/>
              <w:jc w:val="center"/>
              <w:textAlignment w:val="center"/>
              <w:rPr>
                <w:rFonts w:ascii="宋体" w:cs="宋体"/>
                <w:color w:val="000000"/>
                <w:sz w:val="36"/>
                <w:szCs w:val="36"/>
              </w:rPr>
            </w:pPr>
            <w:r>
              <w:rPr>
                <w:rFonts w:ascii="宋体" w:hAnsi="宋体" w:cs="宋体"/>
                <w:color w:val="000000"/>
                <w:kern w:val="0"/>
                <w:sz w:val="36"/>
                <w:szCs w:val="36"/>
              </w:rPr>
              <w:t>(2020</w:t>
            </w:r>
            <w:r>
              <w:rPr>
                <w:rFonts w:hint="eastAsia" w:ascii="宋体" w:hAnsi="宋体" w:cs="宋体"/>
                <w:color w:val="000000"/>
                <w:kern w:val="0"/>
                <w:sz w:val="36"/>
                <w:szCs w:val="36"/>
              </w:rPr>
              <w:t>年度</w:t>
            </w:r>
            <w:r>
              <w:rPr>
                <w:rFonts w:ascii="宋体" w:hAnsi="宋体" w:cs="宋体"/>
                <w:color w:val="000000"/>
                <w:kern w:val="0"/>
                <w:sz w:val="36"/>
                <w:szCs w:val="36"/>
              </w:rPr>
              <w:t>)</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项目名称</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color w:val="000000"/>
                <w:kern w:val="0"/>
                <w:sz w:val="24"/>
              </w:rPr>
              <w:t>招商引资推介活动项目</w:t>
            </w:r>
          </w:p>
        </w:tc>
      </w:tr>
      <w:tr>
        <w:tblPrEx>
          <w:tblCellMar>
            <w:top w:w="0" w:type="dxa"/>
            <w:left w:w="0" w:type="dxa"/>
            <w:bottom w:w="0" w:type="dxa"/>
            <w:right w:w="0" w:type="dxa"/>
          </w:tblCellMar>
        </w:tblPrEx>
        <w:trPr>
          <w:trHeight w:val="276" w:hRule="atLeast"/>
          <w:jc w:val="center"/>
        </w:trPr>
        <w:tc>
          <w:tcPr>
            <w:tcW w:w="2782"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预算单位</w:t>
            </w:r>
          </w:p>
        </w:tc>
        <w:tc>
          <w:tcPr>
            <w:tcW w:w="717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color w:val="000000"/>
                <w:sz w:val="24"/>
              </w:rPr>
              <w:t>自贡市自流井区投资促进局</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预算执行情况</w:t>
            </w:r>
            <w:r>
              <w:rPr>
                <w:rFonts w:ascii="宋体" w:hAnsi="宋体" w:cs="宋体"/>
                <w:color w:val="000000"/>
                <w:kern w:val="0"/>
                <w:sz w:val="24"/>
              </w:rPr>
              <w:t>(</w:t>
            </w:r>
            <w:r>
              <w:rPr>
                <w:rFonts w:hint="eastAsia" w:ascii="宋体" w:hAnsi="宋体" w:cs="宋体"/>
                <w:color w:val="000000"/>
                <w:kern w:val="0"/>
                <w:sz w:val="24"/>
              </w:rPr>
              <w:t>万元</w:t>
            </w:r>
            <w:r>
              <w:rPr>
                <w:rFonts w:ascii="宋体" w:hAnsi="宋体" w:cs="宋体"/>
                <w:color w:val="000000"/>
                <w:kern w:val="0"/>
                <w:sz w:val="24"/>
              </w:rPr>
              <w:t>)</w:t>
            </w: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预算数</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执行数</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cs="宋体"/>
                <w:color w:val="000000"/>
                <w:sz w:val="24"/>
              </w:rPr>
              <w:t>1</w:t>
            </w:r>
          </w:p>
        </w:tc>
      </w:tr>
      <w:tr>
        <w:tblPrEx>
          <w:tblCellMar>
            <w:top w:w="0" w:type="dxa"/>
            <w:left w:w="0" w:type="dxa"/>
            <w:bottom w:w="0" w:type="dxa"/>
            <w:right w:w="0" w:type="dxa"/>
          </w:tblCellMar>
        </w:tblPrEx>
        <w:trPr>
          <w:trHeight w:val="276"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其中</w:t>
            </w:r>
            <w:r>
              <w:rPr>
                <w:rFonts w:ascii="宋体" w:cs="宋体"/>
                <w:color w:val="000000"/>
                <w:kern w:val="0"/>
                <w:sz w:val="24"/>
              </w:rPr>
              <w:t>-</w:t>
            </w:r>
            <w:r>
              <w:rPr>
                <w:rFonts w:hint="eastAsia" w:ascii="宋体" w:hAnsi="宋体" w:cs="宋体"/>
                <w:color w:val="000000"/>
                <w:kern w:val="0"/>
                <w:sz w:val="24"/>
              </w:rPr>
              <w:t>财政拨款</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其中</w:t>
            </w:r>
            <w:r>
              <w:rPr>
                <w:rFonts w:ascii="宋体" w:cs="宋体"/>
                <w:color w:val="000000"/>
                <w:kern w:val="0"/>
                <w:sz w:val="24"/>
              </w:rPr>
              <w:t>-</w:t>
            </w:r>
            <w:r>
              <w:rPr>
                <w:rFonts w:hint="eastAsia" w:ascii="宋体" w:hAnsi="宋体" w:cs="宋体"/>
                <w:color w:val="000000"/>
                <w:kern w:val="0"/>
                <w:sz w:val="24"/>
              </w:rPr>
              <w:t>财政拨款</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r>
      <w:tr>
        <w:tblPrEx>
          <w:tblCellMar>
            <w:top w:w="0" w:type="dxa"/>
            <w:left w:w="0" w:type="dxa"/>
            <w:bottom w:w="0" w:type="dxa"/>
            <w:right w:w="0" w:type="dxa"/>
          </w:tblCellMar>
        </w:tblPrEx>
        <w:trPr>
          <w:trHeight w:val="1511"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239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其它资金</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eastAsia="仿宋_GB2312" w:cs="宋体"/>
                <w:color w:val="000000"/>
                <w:sz w:val="24"/>
                <w:lang w:val="en-US" w:eastAsia="zh-CN"/>
              </w:rPr>
            </w:pPr>
            <w:r>
              <w:rPr>
                <w:rFonts w:hint="eastAsia" w:ascii="宋体" w:cs="宋体"/>
                <w:color w:val="000000"/>
                <w:sz w:val="24"/>
                <w:lang w:val="en-US" w:eastAsia="zh-CN"/>
              </w:rPr>
              <w:t>120</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其它资金</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r>
              <w:rPr>
                <w:rFonts w:hint="eastAsia" w:ascii="宋体" w:cs="宋体"/>
                <w:color w:val="000000"/>
                <w:sz w:val="24"/>
              </w:rPr>
              <w:t>70.5</w:t>
            </w:r>
          </w:p>
        </w:tc>
      </w:tr>
      <w:tr>
        <w:tblPrEx>
          <w:tblCellMar>
            <w:top w:w="0" w:type="dxa"/>
            <w:left w:w="0" w:type="dxa"/>
            <w:bottom w:w="0" w:type="dxa"/>
            <w:right w:w="0" w:type="dxa"/>
          </w:tblCellMar>
        </w:tblPrEx>
        <w:trPr>
          <w:trHeight w:val="276" w:hRule="atLeast"/>
          <w:jc w:val="center"/>
        </w:trPr>
        <w:tc>
          <w:tcPr>
            <w:tcW w:w="390" w:type="dxa"/>
            <w:vMerge w:val="restart"/>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年度目标完成情况</w:t>
            </w: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预期目标</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实际完成目标</w:t>
            </w:r>
          </w:p>
        </w:tc>
      </w:tr>
      <w:tr>
        <w:tblPrEx>
          <w:tblCellMar>
            <w:top w:w="0" w:type="dxa"/>
            <w:left w:w="0" w:type="dxa"/>
            <w:bottom w:w="0" w:type="dxa"/>
            <w:right w:w="0" w:type="dxa"/>
          </w:tblCellMar>
        </w:tblPrEx>
        <w:trPr>
          <w:trHeight w:val="1159" w:hRule="atLeast"/>
          <w:jc w:val="center"/>
        </w:trPr>
        <w:tc>
          <w:tcPr>
            <w:tcW w:w="390" w:type="dxa"/>
            <w:vMerge w:val="continue"/>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cs="宋体"/>
                <w:color w:val="000000"/>
                <w:sz w:val="24"/>
              </w:rPr>
            </w:pPr>
          </w:p>
        </w:tc>
        <w:tc>
          <w:tcPr>
            <w:tcW w:w="4784"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numPr>
                <w:ilvl w:val="0"/>
                <w:numId w:val="3"/>
              </w:numPr>
              <w:jc w:val="center"/>
              <w:textAlignment w:val="center"/>
              <w:rPr>
                <w:color w:val="000000"/>
                <w:sz w:val="24"/>
              </w:rPr>
            </w:pPr>
            <w:r>
              <w:rPr>
                <w:color w:val="000000"/>
                <w:sz w:val="24"/>
              </w:rPr>
              <w:t>完成省市下达任务</w:t>
            </w:r>
          </w:p>
          <w:p>
            <w:pPr>
              <w:widowControl/>
              <w:numPr>
                <w:ilvl w:val="0"/>
                <w:numId w:val="3"/>
              </w:numPr>
              <w:jc w:val="center"/>
              <w:textAlignment w:val="center"/>
              <w:rPr>
                <w:color w:val="000000"/>
                <w:sz w:val="24"/>
              </w:rPr>
            </w:pPr>
            <w:r>
              <w:rPr>
                <w:color w:val="000000"/>
                <w:sz w:val="24"/>
              </w:rPr>
              <w:t>完成签约数25个</w:t>
            </w:r>
          </w:p>
          <w:p>
            <w:pPr>
              <w:widowControl/>
              <w:jc w:val="center"/>
              <w:textAlignment w:val="center"/>
              <w:rPr>
                <w:rFonts w:ascii="宋体" w:cs="宋体"/>
                <w:color w:val="000000"/>
                <w:sz w:val="24"/>
              </w:rPr>
            </w:pPr>
            <w:r>
              <w:rPr>
                <w:color w:val="000000"/>
                <w:sz w:val="24"/>
              </w:rPr>
              <w:t>增加就业岗位</w:t>
            </w:r>
            <w:r>
              <w:rPr>
                <w:rFonts w:hint="eastAsia"/>
                <w:color w:val="000000"/>
                <w:sz w:val="24"/>
              </w:rPr>
              <w:t>50</w:t>
            </w:r>
            <w:r>
              <w:rPr>
                <w:color w:val="000000"/>
                <w:sz w:val="24"/>
              </w:rPr>
              <w:t>个</w:t>
            </w:r>
          </w:p>
        </w:tc>
        <w:tc>
          <w:tcPr>
            <w:tcW w:w="478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ind w:firstLine="480" w:firstLineChars="200"/>
              <w:textAlignment w:val="center"/>
              <w:rPr>
                <w:color w:val="000000"/>
                <w:sz w:val="24"/>
              </w:rPr>
            </w:pPr>
            <w:r>
              <w:rPr>
                <w:color w:val="000000"/>
                <w:sz w:val="24"/>
              </w:rPr>
              <w:t>1.已完成省市下达任务</w:t>
            </w:r>
          </w:p>
          <w:p>
            <w:pPr>
              <w:widowControl/>
              <w:ind w:firstLine="480"/>
              <w:textAlignment w:val="center"/>
              <w:rPr>
                <w:color w:val="000000"/>
                <w:sz w:val="24"/>
              </w:rPr>
            </w:pPr>
            <w:r>
              <w:rPr>
                <w:color w:val="000000"/>
                <w:sz w:val="24"/>
              </w:rPr>
              <w:t>2.已完成签约数</w:t>
            </w:r>
            <w:r>
              <w:rPr>
                <w:rFonts w:hint="eastAsia"/>
                <w:color w:val="000000"/>
                <w:sz w:val="24"/>
              </w:rPr>
              <w:t>23</w:t>
            </w:r>
            <w:r>
              <w:rPr>
                <w:color w:val="000000"/>
                <w:sz w:val="24"/>
              </w:rPr>
              <w:t>个</w:t>
            </w:r>
          </w:p>
          <w:p>
            <w:pPr>
              <w:widowControl/>
              <w:ind w:firstLine="480"/>
              <w:textAlignment w:val="center"/>
              <w:rPr>
                <w:rFonts w:ascii="宋体" w:cs="宋体"/>
                <w:color w:val="000000"/>
                <w:sz w:val="24"/>
              </w:rPr>
            </w:pPr>
            <w:r>
              <w:rPr>
                <w:color w:val="000000"/>
                <w:sz w:val="24"/>
              </w:rPr>
              <w:t>3.增加就业岗位</w:t>
            </w:r>
            <w:r>
              <w:rPr>
                <w:rFonts w:hint="eastAsia"/>
                <w:color w:val="000000"/>
                <w:sz w:val="24"/>
              </w:rPr>
              <w:t>80</w:t>
            </w:r>
            <w:r>
              <w:rPr>
                <w:color w:val="000000"/>
                <w:sz w:val="24"/>
              </w:rPr>
              <w:t>余个</w:t>
            </w:r>
          </w:p>
        </w:tc>
      </w:tr>
      <w:tr>
        <w:tblPrEx>
          <w:tblCellMar>
            <w:top w:w="0" w:type="dxa"/>
            <w:left w:w="0" w:type="dxa"/>
            <w:bottom w:w="0" w:type="dxa"/>
            <w:right w:w="0" w:type="dxa"/>
          </w:tblCellMar>
        </w:tblPrEx>
        <w:trPr>
          <w:trHeight w:val="1042" w:hRule="atLeast"/>
          <w:jc w:val="center"/>
        </w:trPr>
        <w:tc>
          <w:tcPr>
            <w:tcW w:w="390"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sz w:val="24"/>
              </w:rPr>
              <w:t>绩效指标完成情况</w:t>
            </w: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一级指标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二级指标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三级指标</w:t>
            </w: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预期指标值</w:t>
            </w:r>
            <w:r>
              <w:rPr>
                <w:rFonts w:ascii="宋体" w:hAnsi="宋体" w:cs="宋体"/>
                <w:color w:val="000000"/>
                <w:kern w:val="0"/>
                <w:sz w:val="24"/>
              </w:rPr>
              <w:t>(</w:t>
            </w:r>
            <w:r>
              <w:rPr>
                <w:rFonts w:hint="eastAsia" w:ascii="宋体" w:hAnsi="宋体" w:cs="宋体"/>
                <w:color w:val="000000"/>
                <w:kern w:val="0"/>
                <w:sz w:val="24"/>
              </w:rPr>
              <w:t>包含数字及文字描述</w:t>
            </w:r>
            <w:r>
              <w:rPr>
                <w:rFonts w:ascii="宋体" w:hAnsi="宋体" w:cs="宋体"/>
                <w:color w:val="000000"/>
                <w:kern w:val="0"/>
                <w:sz w:val="24"/>
              </w:rPr>
              <w:t>)</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实际完成指标值</w:t>
            </w:r>
            <w:r>
              <w:rPr>
                <w:rFonts w:ascii="宋体" w:hAnsi="宋体" w:cs="宋体"/>
                <w:color w:val="000000"/>
                <w:kern w:val="0"/>
                <w:sz w:val="24"/>
              </w:rPr>
              <w:t>(</w:t>
            </w:r>
            <w:r>
              <w:rPr>
                <w:rFonts w:hint="eastAsia" w:ascii="宋体" w:hAnsi="宋体" w:cs="宋体"/>
                <w:color w:val="000000"/>
                <w:kern w:val="0"/>
                <w:sz w:val="24"/>
              </w:rPr>
              <w:t>包含数字及文字描述</w:t>
            </w:r>
            <w:r>
              <w:rPr>
                <w:rFonts w:ascii="宋体" w:hAnsi="宋体" w:cs="宋体"/>
                <w:color w:val="000000"/>
                <w:kern w:val="0"/>
                <w:sz w:val="24"/>
              </w:rPr>
              <w:t>)</w:t>
            </w:r>
          </w:p>
        </w:tc>
      </w:tr>
      <w:tr>
        <w:tblPrEx>
          <w:tblCellMar>
            <w:top w:w="0" w:type="dxa"/>
            <w:left w:w="0" w:type="dxa"/>
            <w:bottom w:w="0" w:type="dxa"/>
            <w:right w:w="0" w:type="dxa"/>
          </w:tblCellMar>
        </w:tblPrEx>
        <w:trPr>
          <w:trHeight w:val="953"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eastAsia="宋体"/>
                <w:color w:val="000000"/>
                <w:sz w:val="24"/>
              </w:rPr>
            </w:pPr>
            <w:r>
              <w:rPr>
                <w:color w:val="000000"/>
                <w:sz w:val="24"/>
              </w:rPr>
              <w:t>数量指标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color w:val="000000"/>
                <w:sz w:val="24"/>
              </w:rPr>
            </w:pPr>
            <w:r>
              <w:rPr>
                <w:color w:val="000000"/>
                <w:sz w:val="24"/>
              </w:rPr>
              <w:t>　　</w:t>
            </w:r>
          </w:p>
          <w:p>
            <w:pPr>
              <w:widowControl/>
              <w:jc w:val="center"/>
              <w:textAlignment w:val="center"/>
              <w:rPr>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eastAsia="宋体"/>
                <w:color w:val="000000"/>
                <w:sz w:val="24"/>
              </w:rPr>
            </w:pPr>
            <w:r>
              <w:rPr>
                <w:color w:val="000000"/>
                <w:sz w:val="24"/>
              </w:rPr>
              <w:t>完成签约数25个</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color w:val="000000"/>
                <w:sz w:val="24"/>
              </w:rPr>
            </w:pPr>
            <w:r>
              <w:rPr>
                <w:color w:val="000000"/>
                <w:sz w:val="24"/>
              </w:rPr>
              <w:t>已完成签约数</w:t>
            </w:r>
            <w:r>
              <w:rPr>
                <w:rFonts w:hint="eastAsia"/>
                <w:color w:val="000000"/>
                <w:sz w:val="24"/>
              </w:rPr>
              <w:t>23</w:t>
            </w:r>
            <w:r>
              <w:rPr>
                <w:color w:val="000000"/>
                <w:sz w:val="24"/>
              </w:rPr>
              <w:t>个</w:t>
            </w:r>
          </w:p>
        </w:tc>
      </w:tr>
      <w:tr>
        <w:tblPrEx>
          <w:tblCellMar>
            <w:top w:w="0" w:type="dxa"/>
            <w:left w:w="0" w:type="dxa"/>
            <w:bottom w:w="0" w:type="dxa"/>
            <w:right w:w="0" w:type="dxa"/>
          </w:tblCellMar>
        </w:tblPrEx>
        <w:trPr>
          <w:trHeight w:val="105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eastAsia="宋体"/>
                <w:color w:val="000000"/>
                <w:sz w:val="24"/>
              </w:rPr>
            </w:pPr>
            <w:r>
              <w:rPr>
                <w:color w:val="000000"/>
                <w:sz w:val="24"/>
              </w:rPr>
              <w:t>时效指标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eastAsia="宋体"/>
                <w:color w:val="000000"/>
                <w:sz w:val="24"/>
              </w:rPr>
            </w:pPr>
            <w:r>
              <w:rPr>
                <w:color w:val="000000"/>
                <w:sz w:val="24"/>
              </w:rPr>
              <w:t>完成招商引资期限</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eastAsia="宋体"/>
                <w:color w:val="000000"/>
                <w:sz w:val="24"/>
              </w:rPr>
            </w:pPr>
            <w:r>
              <w:rPr>
                <w:color w:val="000000"/>
                <w:sz w:val="24"/>
              </w:rPr>
              <w:t>已顺利完成开门红，年终考核任务。全市考核第</w:t>
            </w:r>
            <w:r>
              <w:rPr>
                <w:rFonts w:hint="eastAsia"/>
                <w:color w:val="000000"/>
                <w:sz w:val="24"/>
              </w:rPr>
              <w:t>四</w:t>
            </w:r>
            <w:r>
              <w:rPr>
                <w:color w:val="000000"/>
                <w:sz w:val="24"/>
              </w:rPr>
              <w:t>名。</w:t>
            </w:r>
          </w:p>
        </w:tc>
      </w:tr>
      <w:tr>
        <w:tblPrEx>
          <w:tblCellMar>
            <w:top w:w="0" w:type="dxa"/>
            <w:left w:w="0" w:type="dxa"/>
            <w:bottom w:w="0" w:type="dxa"/>
            <w:right w:w="0" w:type="dxa"/>
          </w:tblCellMar>
        </w:tblPrEx>
        <w:trPr>
          <w:trHeight w:val="8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eastAsia="宋体"/>
                <w:color w:val="000000"/>
                <w:sz w:val="24"/>
              </w:rPr>
            </w:pPr>
            <w:r>
              <w:rPr>
                <w:color w:val="000000"/>
                <w:sz w:val="24"/>
              </w:rPr>
              <w:t>社会指标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eastAsia="宋体"/>
                <w:color w:val="000000"/>
                <w:sz w:val="24"/>
              </w:rPr>
            </w:pPr>
            <w:r>
              <w:rPr>
                <w:color w:val="000000"/>
                <w:sz w:val="24"/>
              </w:rPr>
              <w:t>增加就业岗位</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eastAsia="宋体"/>
                <w:color w:val="000000"/>
                <w:sz w:val="24"/>
              </w:rPr>
            </w:pPr>
            <w:r>
              <w:rPr>
                <w:color w:val="000000"/>
                <w:sz w:val="24"/>
              </w:rPr>
              <w:t>增加岗位数达</w:t>
            </w:r>
            <w:r>
              <w:rPr>
                <w:rFonts w:hint="eastAsia"/>
                <w:color w:val="000000"/>
                <w:sz w:val="24"/>
              </w:rPr>
              <w:t>80</w:t>
            </w:r>
            <w:r>
              <w:rPr>
                <w:color w:val="000000"/>
                <w:sz w:val="24"/>
              </w:rPr>
              <w:t>余个</w:t>
            </w:r>
          </w:p>
        </w:tc>
      </w:tr>
      <w:tr>
        <w:tblPrEx>
          <w:tblCellMar>
            <w:top w:w="0" w:type="dxa"/>
            <w:left w:w="0" w:type="dxa"/>
            <w:bottom w:w="0" w:type="dxa"/>
            <w:right w:w="0" w:type="dxa"/>
          </w:tblCellMar>
        </w:tblPrEx>
        <w:trPr>
          <w:trHeight w:val="1042"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kern w:val="0"/>
                <w:sz w:val="24"/>
              </w:rPr>
            </w:pPr>
            <w:r>
              <w:rPr>
                <w:rFonts w:hint="eastAsia" w:ascii="宋体" w:hAnsi="宋体" w:cs="宋体"/>
                <w:color w:val="000000"/>
                <w:kern w:val="0"/>
                <w:sz w:val="24"/>
              </w:rPr>
              <w:t>项目完成指标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eastAsia="宋体"/>
                <w:color w:val="000000"/>
                <w:sz w:val="24"/>
              </w:rPr>
            </w:pPr>
            <w:r>
              <w:rPr>
                <w:color w:val="000000"/>
                <w:sz w:val="24"/>
              </w:rPr>
              <w:t>经济指标</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eastAsia="宋体"/>
                <w:color w:val="000000"/>
                <w:sz w:val="24"/>
              </w:rPr>
            </w:pPr>
            <w:r>
              <w:rPr>
                <w:color w:val="000000"/>
                <w:sz w:val="24"/>
              </w:rPr>
              <w:t>带动就业发展，增加收入</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eastAsia="宋体"/>
                <w:color w:val="000000"/>
                <w:sz w:val="24"/>
              </w:rPr>
            </w:pPr>
            <w:r>
              <w:rPr>
                <w:color w:val="000000"/>
                <w:sz w:val="24"/>
              </w:rPr>
              <w:t>人均年收入达3万</w:t>
            </w:r>
          </w:p>
        </w:tc>
      </w:tr>
      <w:tr>
        <w:tblPrEx>
          <w:tblCellMar>
            <w:top w:w="0" w:type="dxa"/>
            <w:left w:w="0" w:type="dxa"/>
            <w:bottom w:w="0" w:type="dxa"/>
            <w:right w:w="0" w:type="dxa"/>
          </w:tblCellMar>
        </w:tblPrEx>
        <w:trPr>
          <w:trHeight w:val="1297" w:hRule="atLeast"/>
          <w:jc w:val="center"/>
        </w:trPr>
        <w:tc>
          <w:tcPr>
            <w:tcW w:w="390"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136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r>
              <w:rPr>
                <w:rFonts w:hint="eastAsia" w:ascii="宋体" w:hAnsi="宋体" w:cs="宋体"/>
                <w:color w:val="000000"/>
                <w:kern w:val="0"/>
                <w:sz w:val="24"/>
              </w:rPr>
              <w:t>满意度指标</w:t>
            </w:r>
          </w:p>
        </w:tc>
        <w:tc>
          <w:tcPr>
            <w:tcW w:w="102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cs="宋体"/>
                <w:color w:val="000000"/>
                <w:sz w:val="24"/>
              </w:rPr>
            </w:pPr>
          </w:p>
        </w:tc>
        <w:tc>
          <w:tcPr>
            <w:tcW w:w="239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eastAsia="宋体"/>
                <w:color w:val="000000"/>
                <w:sz w:val="24"/>
              </w:rPr>
            </w:pPr>
            <w:r>
              <w:rPr>
                <w:color w:val="000000"/>
                <w:sz w:val="24"/>
              </w:rPr>
              <w:t>招商引资工作服务对象满意</w:t>
            </w:r>
          </w:p>
        </w:tc>
        <w:tc>
          <w:tcPr>
            <w:tcW w:w="239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eastAsia="宋体"/>
                <w:color w:val="000000"/>
                <w:sz w:val="24"/>
              </w:rPr>
            </w:pPr>
            <w:r>
              <w:rPr>
                <w:color w:val="000000"/>
                <w:sz w:val="24"/>
              </w:rPr>
              <w:t>满意度90%</w:t>
            </w:r>
          </w:p>
        </w:tc>
      </w:tr>
    </w:tbl>
    <w:p>
      <w:pPr>
        <w:spacing w:line="580" w:lineRule="exact"/>
        <w:ind w:left="630"/>
        <w:rPr>
          <w:rFonts w:ascii="仿宋_GB2312" w:hAnsi="仿宋_GB2312" w:cs="仿宋_GB2312"/>
          <w:szCs w:val="32"/>
        </w:rPr>
      </w:pPr>
    </w:p>
    <w:p>
      <w:pPr>
        <w:spacing w:line="580" w:lineRule="exact"/>
        <w:ind w:left="630"/>
        <w:rPr>
          <w:rFonts w:ascii="仿宋_GB2312" w:hAnsi="仿宋_GB2312" w:cs="仿宋_GB2312"/>
          <w:szCs w:val="32"/>
        </w:rPr>
      </w:pPr>
    </w:p>
    <w:p>
      <w:pPr>
        <w:spacing w:line="580" w:lineRule="exact"/>
        <w:ind w:left="630"/>
        <w:rPr>
          <w:rFonts w:ascii="仿宋_GB2312" w:hAnsi="仿宋_GB2312" w:cs="仿宋_GB2312"/>
          <w:szCs w:val="32"/>
        </w:rPr>
      </w:pPr>
      <w:r>
        <w:rPr>
          <w:rFonts w:ascii="楷体_GB2312" w:hAnsi="楷体_GB2312" w:eastAsia="楷体_GB2312" w:cs="楷体_GB2312"/>
          <w:szCs w:val="32"/>
        </w:rPr>
        <w:t>2.</w:t>
      </w:r>
      <w:r>
        <w:rPr>
          <w:rFonts w:hint="eastAsia" w:ascii="楷体_GB2312" w:hAnsi="楷体_GB2312" w:eastAsia="楷体_GB2312" w:cs="楷体_GB2312"/>
          <w:szCs w:val="32"/>
        </w:rPr>
        <w:t>部门绩效评价结果。</w:t>
      </w:r>
    </w:p>
    <w:p>
      <w:pPr>
        <w:spacing w:line="580" w:lineRule="exact"/>
        <w:ind w:firstLine="640" w:firstLineChars="200"/>
        <w:rPr>
          <w:rFonts w:ascii="仿宋_GB2312" w:hAnsi="仿宋_GB2312" w:cs="仿宋_GB2312"/>
          <w:szCs w:val="32"/>
        </w:rPr>
      </w:pPr>
      <w:r>
        <w:rPr>
          <w:rFonts w:hint="eastAsia" w:ascii="仿宋_GB2312" w:hAnsi="仿宋_GB2312" w:cs="仿宋_GB2312"/>
          <w:szCs w:val="32"/>
        </w:rPr>
        <w:t>本部门按要求对</w:t>
      </w:r>
      <w:r>
        <w:rPr>
          <w:rFonts w:ascii="仿宋_GB2312" w:hAnsi="仿宋_GB2312" w:cs="仿宋_GB2312"/>
          <w:szCs w:val="32"/>
        </w:rPr>
        <w:t>2020</w:t>
      </w:r>
      <w:r>
        <w:rPr>
          <w:rFonts w:hint="eastAsia" w:ascii="仿宋_GB2312" w:hAnsi="仿宋_GB2312" w:cs="仿宋_GB2312"/>
          <w:szCs w:val="32"/>
        </w:rPr>
        <w:t>年部门整体支出绩效评价情况开展自评，《</w:t>
      </w:r>
      <w:r>
        <w:rPr>
          <w:szCs w:val="32"/>
        </w:rPr>
        <w:t>自贡市自流井区投资促进局</w:t>
      </w:r>
      <w:r>
        <w:rPr>
          <w:rFonts w:ascii="仿宋_GB2312" w:hAnsi="仿宋_GB2312" w:cs="仿宋_GB2312"/>
          <w:szCs w:val="32"/>
        </w:rPr>
        <w:t>2020</w:t>
      </w:r>
      <w:r>
        <w:rPr>
          <w:rFonts w:hint="eastAsia" w:ascii="仿宋_GB2312" w:hAnsi="仿宋_GB2312" w:cs="仿宋_GB2312"/>
          <w:szCs w:val="32"/>
        </w:rPr>
        <w:t>年部门整体支出绩效评价报告》见附件（附件</w:t>
      </w:r>
      <w:r>
        <w:rPr>
          <w:rFonts w:ascii="仿宋_GB2312" w:hAnsi="仿宋_GB2312" w:cs="仿宋_GB2312"/>
          <w:szCs w:val="32"/>
        </w:rPr>
        <w:t>1</w:t>
      </w:r>
      <w:r>
        <w:rPr>
          <w:rFonts w:hint="eastAsia" w:ascii="仿宋_GB2312" w:hAnsi="仿宋_GB2312" w:cs="仿宋_GB2312"/>
          <w:szCs w:val="32"/>
        </w:rPr>
        <w:t>）。</w:t>
      </w:r>
    </w:p>
    <w:p>
      <w:pPr>
        <w:spacing w:line="580" w:lineRule="exact"/>
        <w:ind w:firstLine="640" w:firstLineChars="200"/>
        <w:rPr>
          <w:rFonts w:ascii="仿宋_GB2312"/>
          <w:b/>
          <w:color w:val="000000"/>
          <w:szCs w:val="32"/>
        </w:rPr>
      </w:pPr>
      <w:r>
        <w:rPr>
          <w:rFonts w:hint="eastAsia" w:ascii="仿宋_GB2312" w:hAnsi="仿宋_GB2312" w:cs="仿宋_GB2312"/>
          <w:szCs w:val="32"/>
        </w:rPr>
        <w:t>本部门自行组织对</w:t>
      </w:r>
      <w:r>
        <w:rPr>
          <w:szCs w:val="32"/>
        </w:rPr>
        <w:t>招商引资项目</w:t>
      </w:r>
      <w:r>
        <w:rPr>
          <w:rFonts w:hint="eastAsia" w:ascii="仿宋_GB2312" w:hAnsi="仿宋_GB2312" w:cs="仿宋_GB2312"/>
          <w:szCs w:val="32"/>
        </w:rPr>
        <w:t>开展了绩效评价，《</w:t>
      </w:r>
      <w:r>
        <w:rPr>
          <w:szCs w:val="32"/>
        </w:rPr>
        <w:t>招商引资项目</w:t>
      </w:r>
      <w:r>
        <w:rPr>
          <w:rFonts w:ascii="仿宋_GB2312" w:hAnsi="仿宋_GB2312" w:cs="仿宋_GB2312"/>
          <w:szCs w:val="32"/>
        </w:rPr>
        <w:t>2020</w:t>
      </w:r>
      <w:r>
        <w:rPr>
          <w:rFonts w:hint="eastAsia" w:ascii="仿宋_GB2312" w:hAnsi="仿宋_GB2312" w:cs="仿宋_GB2312"/>
          <w:szCs w:val="32"/>
        </w:rPr>
        <w:t>年绩效评价报告》见附件（附件</w:t>
      </w:r>
      <w:r>
        <w:rPr>
          <w:rFonts w:ascii="仿宋_GB2312" w:hAnsi="仿宋_GB2312" w:cs="仿宋_GB2312"/>
          <w:szCs w:val="32"/>
        </w:rPr>
        <w:t>2</w:t>
      </w:r>
      <w:r>
        <w:rPr>
          <w:rFonts w:hint="eastAsia" w:ascii="仿宋_GB2312" w:hAnsi="仿宋_GB2312" w:cs="仿宋_GB2312"/>
          <w:szCs w:val="32"/>
        </w:rPr>
        <w:t>）。</w:t>
      </w:r>
    </w:p>
    <w:p>
      <w:pPr>
        <w:widowControl/>
        <w:jc w:val="left"/>
        <w:rPr>
          <w:rFonts w:ascii="仿宋_GB2312"/>
          <w:b/>
          <w:color w:val="000000"/>
          <w:szCs w:val="32"/>
        </w:rPr>
      </w:pPr>
      <w:r>
        <w:rPr>
          <w:rFonts w:ascii="仿宋_GB2312"/>
          <w:b/>
          <w:color w:val="000000"/>
          <w:szCs w:val="32"/>
        </w:rPr>
        <w:br w:type="page"/>
      </w:r>
    </w:p>
    <w:p>
      <w:pPr>
        <w:numPr>
          <w:ilvl w:val="0"/>
          <w:numId w:val="4"/>
        </w:numPr>
        <w:spacing w:line="600" w:lineRule="exact"/>
        <w:ind w:firstLine="660" w:firstLineChars="150"/>
        <w:jc w:val="center"/>
        <w:outlineLvl w:val="0"/>
        <w:rPr>
          <w:rStyle w:val="16"/>
          <w:rFonts w:ascii="黑体" w:hAnsi="黑体" w:eastAsia="黑体"/>
          <w:b w:val="0"/>
        </w:rPr>
      </w:pPr>
      <w:bookmarkStart w:id="55" w:name="_Toc3536"/>
      <w:bookmarkStart w:id="56" w:name="_Toc15396613"/>
      <w:bookmarkStart w:id="57" w:name="_Toc15377225"/>
      <w:r>
        <w:rPr>
          <w:rFonts w:hint="eastAsia" w:ascii="黑体" w:hAnsi="黑体" w:eastAsia="黑体"/>
          <w:color w:val="000000"/>
          <w:sz w:val="44"/>
          <w:szCs w:val="44"/>
        </w:rPr>
        <w:t>名</w:t>
      </w:r>
      <w:r>
        <w:rPr>
          <w:rStyle w:val="16"/>
          <w:rFonts w:hint="eastAsia" w:ascii="黑体" w:hAnsi="黑体" w:eastAsia="黑体"/>
          <w:b w:val="0"/>
        </w:rPr>
        <w:t>词解释</w:t>
      </w:r>
      <w:bookmarkEnd w:id="55"/>
      <w:bookmarkEnd w:id="56"/>
      <w:bookmarkEnd w:id="57"/>
    </w:p>
    <w:p>
      <w:pPr>
        <w:spacing w:line="600" w:lineRule="exact"/>
        <w:jc w:val="left"/>
        <w:rPr>
          <w:rFonts w:ascii="宋体"/>
          <w:b/>
          <w:color w:val="000000"/>
          <w:sz w:val="44"/>
          <w:szCs w:val="44"/>
        </w:rPr>
      </w:pPr>
    </w:p>
    <w:p>
      <w:pPr>
        <w:pStyle w:val="15"/>
        <w:spacing w:line="560" w:lineRule="exact"/>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rPr>
        <w:t>财政拨款收入：</w:t>
      </w:r>
      <w:r>
        <w:rPr>
          <w:rFonts w:ascii="Times New Roman" w:hAnsi="Times New Roman" w:eastAsia="仿宋_GB2312" w:cs="Times New Roman"/>
          <w:sz w:val="32"/>
          <w:szCs w:val="32"/>
        </w:rPr>
        <w:t>指区级财政当年拨付给自贡市自流井区投资促进局的资金</w:t>
      </w:r>
      <w:r>
        <w:rPr>
          <w:rFonts w:hint="eastAsia" w:ascii="仿宋_GB2312" w:eastAsia="仿宋_GB2312"/>
          <w:sz w:val="32"/>
          <w:szCs w:val="32"/>
        </w:rPr>
        <w:t>。</w:t>
      </w:r>
    </w:p>
    <w:p>
      <w:pPr>
        <w:pStyle w:val="15"/>
        <w:spacing w:line="560" w:lineRule="exact"/>
        <w:ind w:firstLine="640" w:firstLineChars="200"/>
        <w:rPr>
          <w:rFonts w:ascii="仿宋_GB2312" w:eastAsia="仿宋_GB2312"/>
          <w:sz w:val="32"/>
          <w:szCs w:val="32"/>
        </w:rPr>
      </w:pPr>
      <w:r>
        <w:rPr>
          <w:rFonts w:ascii="仿宋_GB2312" w:eastAsia="仿宋_GB2312"/>
          <w:sz w:val="32"/>
          <w:szCs w:val="32"/>
        </w:rPr>
        <w:t>2.</w:t>
      </w:r>
      <w:r>
        <w:rPr>
          <w:rFonts w:hint="eastAsia" w:ascii="仿宋_GB2312" w:eastAsia="仿宋_GB2312"/>
          <w:sz w:val="32"/>
          <w:szCs w:val="32"/>
        </w:rPr>
        <w:t>事业收入：指</w:t>
      </w:r>
      <w:r>
        <w:rPr>
          <w:rFonts w:ascii="Times New Roman" w:hAnsi="Times New Roman" w:eastAsia="仿宋_GB2312" w:cs="Times New Roman"/>
          <w:sz w:val="32"/>
          <w:szCs w:val="32"/>
        </w:rPr>
        <w:t>自贡市自流井区投资促进服务中心</w:t>
      </w:r>
      <w:r>
        <w:rPr>
          <w:rFonts w:hint="eastAsia" w:ascii="仿宋_GB2312" w:eastAsia="仿宋_GB2312"/>
          <w:sz w:val="32"/>
          <w:szCs w:val="32"/>
        </w:rPr>
        <w:t>事业开展专业业务活动及辅助活动取得的收入。</w:t>
      </w:r>
    </w:p>
    <w:p>
      <w:pPr>
        <w:pStyle w:val="15"/>
        <w:spacing w:line="560" w:lineRule="exact"/>
        <w:ind w:firstLine="640" w:firstLineChars="200"/>
        <w:rPr>
          <w:rFonts w:ascii="仿宋_GB2312" w:eastAsia="仿宋_GB2312"/>
          <w:sz w:val="32"/>
          <w:szCs w:val="32"/>
        </w:rPr>
      </w:pPr>
      <w:r>
        <w:rPr>
          <w:rFonts w:ascii="仿宋_GB2312" w:eastAsia="仿宋_GB2312"/>
          <w:sz w:val="32"/>
          <w:szCs w:val="32"/>
        </w:rPr>
        <w:t>3.</w:t>
      </w:r>
      <w:r>
        <w:rPr>
          <w:rFonts w:hint="eastAsia" w:ascii="仿宋_GB2312" w:eastAsia="仿宋_GB2312"/>
          <w:sz w:val="32"/>
          <w:szCs w:val="32"/>
        </w:rPr>
        <w:t>经营收入：指</w:t>
      </w:r>
      <w:r>
        <w:rPr>
          <w:rFonts w:ascii="Times New Roman" w:hAnsi="Times New Roman" w:eastAsia="仿宋_GB2312" w:cs="Times New Roman"/>
          <w:sz w:val="32"/>
          <w:szCs w:val="32"/>
        </w:rPr>
        <w:t>自贡市自流井区投资促进服务中心</w:t>
      </w:r>
      <w:r>
        <w:rPr>
          <w:rFonts w:hint="eastAsia" w:ascii="仿宋_GB2312" w:eastAsia="仿宋_GB2312"/>
          <w:sz w:val="32"/>
          <w:szCs w:val="32"/>
        </w:rPr>
        <w:t>在专业业务活动及其辅助活动之外开展非独立核算经营活动取得的收入。</w:t>
      </w:r>
    </w:p>
    <w:p>
      <w:pPr>
        <w:pStyle w:val="15"/>
        <w:spacing w:line="560" w:lineRule="exact"/>
        <w:ind w:firstLine="640" w:firstLineChars="200"/>
        <w:rPr>
          <w:rFonts w:ascii="仿宋_GB2312" w:eastAsia="仿宋_GB2312"/>
          <w:sz w:val="32"/>
          <w:szCs w:val="32"/>
        </w:rPr>
      </w:pPr>
      <w:r>
        <w:rPr>
          <w:rFonts w:ascii="仿宋_GB2312" w:eastAsia="仿宋_GB2312"/>
          <w:sz w:val="32"/>
          <w:szCs w:val="32"/>
        </w:rPr>
        <w:t>4.</w:t>
      </w:r>
      <w:r>
        <w:rPr>
          <w:rFonts w:hint="eastAsia" w:ascii="仿宋_GB2312" w:eastAsia="仿宋_GB2312"/>
          <w:sz w:val="32"/>
          <w:szCs w:val="32"/>
        </w:rPr>
        <w:t>其他收入：指</w:t>
      </w:r>
      <w:r>
        <w:rPr>
          <w:rFonts w:ascii="Times New Roman" w:hAnsi="Times New Roman" w:eastAsia="仿宋_GB2312" w:cs="Times New Roman"/>
          <w:sz w:val="32"/>
          <w:szCs w:val="32"/>
        </w:rPr>
        <w:t>自贡市自流井区投资促进局</w:t>
      </w:r>
      <w:r>
        <w:rPr>
          <w:rFonts w:hint="eastAsia" w:ascii="仿宋_GB2312" w:eastAsia="仿宋_GB2312"/>
          <w:sz w:val="32"/>
          <w:szCs w:val="32"/>
        </w:rPr>
        <w:t>取得的除上述收入以外的各项收入。</w:t>
      </w:r>
    </w:p>
    <w:p>
      <w:pPr>
        <w:pStyle w:val="15"/>
        <w:spacing w:line="560" w:lineRule="exact"/>
        <w:ind w:firstLine="640" w:firstLineChars="200"/>
        <w:rPr>
          <w:rFonts w:ascii="仿宋_GB2312" w:eastAsia="仿宋_GB2312"/>
          <w:sz w:val="32"/>
          <w:szCs w:val="32"/>
        </w:rPr>
      </w:pPr>
      <w:r>
        <w:rPr>
          <w:rFonts w:ascii="仿宋_GB2312" w:eastAsia="仿宋_GB2312"/>
          <w:sz w:val="32"/>
          <w:szCs w:val="32"/>
        </w:rPr>
        <w:t>5.</w:t>
      </w:r>
      <w:r>
        <w:rPr>
          <w:rFonts w:hint="eastAsia" w:ascii="仿宋_GB2312" w:eastAsia="仿宋_GB2312"/>
          <w:sz w:val="32"/>
          <w:szCs w:val="32"/>
        </w:rPr>
        <w:t>使用非财政拨款结余：指自</w:t>
      </w:r>
      <w:r>
        <w:rPr>
          <w:rFonts w:ascii="Times New Roman" w:hAnsi="Times New Roman" w:eastAsia="仿宋_GB2312" w:cs="Times New Roman"/>
          <w:sz w:val="32"/>
          <w:szCs w:val="32"/>
        </w:rPr>
        <w:t>贡市自流井区投资促进服务中心</w:t>
      </w:r>
      <w:r>
        <w:rPr>
          <w:rFonts w:hint="eastAsia" w:ascii="仿宋_GB2312" w:eastAsia="仿宋_GB2312"/>
          <w:sz w:val="32"/>
          <w:szCs w:val="32"/>
        </w:rPr>
        <w:t>使用以前年度积累的非财政拨款结余弥补当年收支差额的金额。</w:t>
      </w:r>
      <w:r>
        <w:rPr>
          <w:rFonts w:ascii="仿宋_GB2312" w:eastAsia="仿宋_GB2312"/>
          <w:sz w:val="32"/>
          <w:szCs w:val="32"/>
        </w:rPr>
        <w:t xml:space="preserve"> </w:t>
      </w:r>
    </w:p>
    <w:p>
      <w:pPr>
        <w:pStyle w:val="15"/>
        <w:spacing w:line="560" w:lineRule="exact"/>
        <w:ind w:firstLine="640" w:firstLineChars="200"/>
        <w:rPr>
          <w:rFonts w:ascii="仿宋_GB2312" w:eastAsia="仿宋_GB2312"/>
          <w:sz w:val="32"/>
          <w:szCs w:val="32"/>
        </w:rPr>
      </w:pPr>
      <w:r>
        <w:rPr>
          <w:rFonts w:ascii="仿宋_GB2312" w:eastAsia="仿宋_GB2312"/>
          <w:sz w:val="32"/>
          <w:szCs w:val="32"/>
        </w:rPr>
        <w:t>6.</w:t>
      </w:r>
      <w:r>
        <w:rPr>
          <w:rFonts w:hint="eastAsia" w:ascii="仿宋_GB2312" w:eastAsia="仿宋_GB2312"/>
          <w:sz w:val="32"/>
          <w:szCs w:val="32"/>
        </w:rPr>
        <w:t>年初结转和结余：指</w:t>
      </w:r>
      <w:r>
        <w:rPr>
          <w:rFonts w:ascii="Times New Roman" w:hAnsi="Times New Roman" w:eastAsia="仿宋_GB2312" w:cs="Times New Roman"/>
          <w:sz w:val="32"/>
          <w:szCs w:val="32"/>
        </w:rPr>
        <w:t>自贡市自流井区投资促进局</w:t>
      </w:r>
      <w:r>
        <w:rPr>
          <w:rFonts w:hint="eastAsia" w:ascii="仿宋_GB2312" w:eastAsia="仿宋_GB2312"/>
          <w:sz w:val="32"/>
          <w:szCs w:val="32"/>
        </w:rPr>
        <w:t>以前年度尚未完成、结转到本年按有关规定继续使用的资金。</w:t>
      </w:r>
      <w:r>
        <w:rPr>
          <w:rFonts w:ascii="仿宋_GB2312" w:eastAsia="仿宋_GB2312"/>
          <w:sz w:val="32"/>
          <w:szCs w:val="32"/>
        </w:rPr>
        <w:t xml:space="preserve"> </w:t>
      </w:r>
    </w:p>
    <w:p>
      <w:pPr>
        <w:pStyle w:val="15"/>
        <w:spacing w:line="560" w:lineRule="exact"/>
        <w:ind w:firstLine="640" w:firstLineChars="200"/>
        <w:rPr>
          <w:rFonts w:ascii="仿宋_GB2312" w:eastAsia="仿宋_GB2312"/>
          <w:sz w:val="32"/>
          <w:szCs w:val="32"/>
        </w:rPr>
      </w:pPr>
      <w:r>
        <w:rPr>
          <w:rFonts w:ascii="仿宋_GB2312" w:eastAsia="仿宋_GB2312"/>
          <w:sz w:val="32"/>
          <w:szCs w:val="32"/>
        </w:rPr>
        <w:t>7.</w:t>
      </w:r>
      <w:r>
        <w:rPr>
          <w:rFonts w:hint="eastAsia" w:ascii="仿宋_GB2312" w:eastAsia="仿宋_GB2312"/>
          <w:sz w:val="32"/>
          <w:szCs w:val="32"/>
        </w:rPr>
        <w:t>结余分配：指自</w:t>
      </w:r>
      <w:r>
        <w:rPr>
          <w:rFonts w:ascii="Times New Roman" w:hAnsi="Times New Roman" w:eastAsia="仿宋_GB2312" w:cs="Times New Roman"/>
          <w:sz w:val="32"/>
          <w:szCs w:val="32"/>
        </w:rPr>
        <w:t>贡市自流井区投资促进服务中心</w:t>
      </w:r>
      <w:r>
        <w:rPr>
          <w:rFonts w:hint="eastAsia" w:ascii="仿宋_GB2312" w:eastAsia="仿宋_GB2312"/>
          <w:sz w:val="32"/>
          <w:szCs w:val="32"/>
        </w:rPr>
        <w:t>按照会计制度规定缴纳的所得税、提取的专用结余以及转入非财政拨款结余的金额等。</w:t>
      </w:r>
    </w:p>
    <w:p>
      <w:pPr>
        <w:pStyle w:val="15"/>
        <w:spacing w:line="560" w:lineRule="exact"/>
        <w:ind w:firstLine="640" w:firstLineChars="200"/>
        <w:rPr>
          <w:rFonts w:ascii="仿宋_GB2312" w:eastAsia="仿宋_GB2312"/>
          <w:sz w:val="32"/>
          <w:szCs w:val="32"/>
        </w:rPr>
      </w:pPr>
      <w:r>
        <w:rPr>
          <w:rFonts w:ascii="仿宋_GB2312" w:eastAsia="仿宋_GB2312"/>
          <w:sz w:val="32"/>
          <w:szCs w:val="32"/>
        </w:rPr>
        <w:t>8</w:t>
      </w:r>
      <w:r>
        <w:rPr>
          <w:rFonts w:hint="eastAsia" w:ascii="仿宋_GB2312" w:eastAsia="仿宋_GB2312"/>
          <w:sz w:val="32"/>
          <w:szCs w:val="32"/>
        </w:rPr>
        <w:t>、年末结转和结余：指</w:t>
      </w:r>
      <w:r>
        <w:rPr>
          <w:rFonts w:ascii="Times New Roman" w:hAnsi="Times New Roman" w:eastAsia="仿宋_GB2312" w:cs="Times New Roman"/>
          <w:sz w:val="32"/>
          <w:szCs w:val="32"/>
        </w:rPr>
        <w:t>自贡市自流井区投资促进局</w:t>
      </w:r>
      <w:r>
        <w:rPr>
          <w:rFonts w:hint="eastAsia" w:ascii="仿宋_GB2312" w:eastAsia="仿宋_GB2312"/>
          <w:sz w:val="32"/>
          <w:szCs w:val="32"/>
        </w:rPr>
        <w:t>按有关规定结转到下年或以后年度继续使用的资金。</w:t>
      </w:r>
    </w:p>
    <w:p>
      <w:pPr>
        <w:spacing w:line="620" w:lineRule="exact"/>
        <w:ind w:firstLine="645"/>
        <w:rPr>
          <w:color w:val="000000"/>
          <w:szCs w:val="32"/>
        </w:rPr>
      </w:pPr>
      <w:r>
        <w:rPr>
          <w:rFonts w:ascii="仿宋_GB2312"/>
          <w:color w:val="000000"/>
          <w:szCs w:val="32"/>
        </w:rPr>
        <w:t>9.</w:t>
      </w:r>
      <w:r>
        <w:rPr>
          <w:szCs w:val="32"/>
        </w:rPr>
        <w:t>一般公共服务支出（类）</w:t>
      </w:r>
      <w:r>
        <w:rPr>
          <w:rFonts w:hint="eastAsia"/>
          <w:szCs w:val="32"/>
        </w:rPr>
        <w:t>商贸事务</w:t>
      </w:r>
      <w:r>
        <w:rPr>
          <w:szCs w:val="32"/>
        </w:rPr>
        <w:t>（款）行政运行（项）</w:t>
      </w:r>
      <w:r>
        <w:rPr>
          <w:color w:val="000000"/>
          <w:szCs w:val="32"/>
        </w:rPr>
        <w:t>：指自贡市自流井区投资促进局行政单位及参照公务员法管理的事业单位用于保障机构正常运行、开展日常工作的基本支出。</w:t>
      </w:r>
    </w:p>
    <w:p>
      <w:pPr>
        <w:spacing w:line="592" w:lineRule="exact"/>
        <w:ind w:firstLine="640" w:firstLineChars="200"/>
        <w:jc w:val="left"/>
        <w:rPr>
          <w:color w:val="000000"/>
          <w:szCs w:val="32"/>
        </w:rPr>
      </w:pPr>
      <w:r>
        <w:rPr>
          <w:rFonts w:hint="eastAsia" w:ascii="仿宋_GB2312"/>
          <w:color w:val="000000"/>
          <w:szCs w:val="32"/>
        </w:rPr>
        <w:t>10</w:t>
      </w:r>
      <w:r>
        <w:rPr>
          <w:rFonts w:ascii="仿宋_GB2312"/>
          <w:color w:val="000000"/>
          <w:szCs w:val="32"/>
        </w:rPr>
        <w:t>.</w:t>
      </w:r>
      <w:r>
        <w:rPr>
          <w:szCs w:val="32"/>
        </w:rPr>
        <w:t>社会保障和就业支出（类）行政事业单位养老支出（款）机关事业单位基本养老保险（项）</w:t>
      </w:r>
      <w:r>
        <w:rPr>
          <w:color w:val="000000"/>
          <w:szCs w:val="32"/>
        </w:rPr>
        <w:t>：指自流井区投资促进局机关、投资促进服务中心实施养老保险制度由单位缴纳的养老保险费的支出。</w:t>
      </w:r>
    </w:p>
    <w:p>
      <w:pPr>
        <w:spacing w:line="580" w:lineRule="exact"/>
        <w:ind w:firstLine="570"/>
        <w:rPr>
          <w:szCs w:val="32"/>
        </w:rPr>
      </w:pPr>
      <w:r>
        <w:rPr>
          <w:szCs w:val="32"/>
        </w:rPr>
        <w:t>1</w:t>
      </w:r>
      <w:r>
        <w:rPr>
          <w:rFonts w:hint="eastAsia"/>
          <w:szCs w:val="32"/>
        </w:rPr>
        <w:t>1</w:t>
      </w:r>
      <w:r>
        <w:rPr>
          <w:szCs w:val="32"/>
        </w:rPr>
        <w:t>.社会保障和就业支出（类）其他社会保障和就业支出（款）其他社会保障和就业支出（项）:</w:t>
      </w:r>
      <w:r>
        <w:rPr>
          <w:color w:val="000000"/>
          <w:szCs w:val="32"/>
        </w:rPr>
        <w:t>指自流井区投资促进局机关、投资促进服务中心</w:t>
      </w:r>
      <w:r>
        <w:rPr>
          <w:szCs w:val="32"/>
        </w:rPr>
        <w:t>事业人员的工伤、生育保险费的支出。　</w:t>
      </w:r>
    </w:p>
    <w:p>
      <w:pPr>
        <w:ind w:firstLine="640" w:firstLineChars="200"/>
        <w:rPr>
          <w:rFonts w:ascii="仿宋_GB2312"/>
          <w:color w:val="000000"/>
          <w:szCs w:val="32"/>
        </w:rPr>
      </w:pPr>
      <w:r>
        <w:rPr>
          <w:rFonts w:ascii="仿宋_GB2312"/>
          <w:color w:val="000000"/>
          <w:szCs w:val="32"/>
        </w:rPr>
        <w:t>1</w:t>
      </w:r>
      <w:r>
        <w:rPr>
          <w:rFonts w:hint="eastAsia" w:ascii="仿宋_GB2312"/>
          <w:color w:val="000000"/>
          <w:szCs w:val="32"/>
        </w:rPr>
        <w:t>2</w:t>
      </w:r>
      <w:r>
        <w:rPr>
          <w:rFonts w:ascii="仿宋_GB2312"/>
          <w:color w:val="000000"/>
          <w:szCs w:val="32"/>
        </w:rPr>
        <w:t>.</w:t>
      </w:r>
      <w:r>
        <w:rPr>
          <w:szCs w:val="32"/>
        </w:rPr>
        <w:t>卫生健康支出（类）行政事业单位医疗（款）行政单位医疗（项）</w:t>
      </w:r>
      <w:r>
        <w:rPr>
          <w:color w:val="000000"/>
          <w:szCs w:val="32"/>
        </w:rPr>
        <w:t>：指自流井区投资促进局机关医疗保险的支出</w:t>
      </w:r>
      <w:r>
        <w:rPr>
          <w:rFonts w:hint="eastAsia" w:ascii="仿宋_GB2312"/>
          <w:color w:val="000000"/>
          <w:szCs w:val="32"/>
        </w:rPr>
        <w:t>。</w:t>
      </w:r>
    </w:p>
    <w:p>
      <w:pPr>
        <w:spacing w:line="620" w:lineRule="exact"/>
        <w:ind w:firstLine="645"/>
        <w:rPr>
          <w:color w:val="000000"/>
          <w:szCs w:val="32"/>
        </w:rPr>
      </w:pPr>
      <w:r>
        <w:rPr>
          <w:rFonts w:hint="eastAsia"/>
          <w:szCs w:val="32"/>
        </w:rPr>
        <w:t>13.</w:t>
      </w:r>
      <w:r>
        <w:rPr>
          <w:szCs w:val="32"/>
        </w:rPr>
        <w:t>卫生健康支出（类）行政事业单位医疗（款）事业单位医疗（项）</w:t>
      </w:r>
      <w:r>
        <w:rPr>
          <w:color w:val="000000"/>
          <w:szCs w:val="32"/>
        </w:rPr>
        <w:t>：指自流井区投资促进服务中心</w:t>
      </w:r>
      <w:r>
        <w:rPr>
          <w:szCs w:val="32"/>
        </w:rPr>
        <w:t>事业人员</w:t>
      </w:r>
      <w:r>
        <w:rPr>
          <w:color w:val="000000"/>
          <w:szCs w:val="32"/>
        </w:rPr>
        <w:t>医疗保险的支出。</w:t>
      </w:r>
    </w:p>
    <w:p>
      <w:pPr>
        <w:spacing w:line="600" w:lineRule="exact"/>
        <w:ind w:firstLine="640"/>
        <w:rPr>
          <w:rFonts w:eastAsia="仿宋"/>
          <w:b/>
          <w:color w:val="000000"/>
          <w:szCs w:val="32"/>
        </w:rPr>
      </w:pPr>
      <w:r>
        <w:rPr>
          <w:rFonts w:hint="eastAsia"/>
        </w:rPr>
        <w:t>14.</w:t>
      </w:r>
      <w:r>
        <w:rPr>
          <w:szCs w:val="32"/>
        </w:rPr>
        <w:t>住房保障支出（类）住房改革支出（款）住房公积金（项）</w:t>
      </w:r>
      <w:r>
        <w:rPr>
          <w:color w:val="000000"/>
          <w:szCs w:val="32"/>
        </w:rPr>
        <w:t>：指按照《住房公积金管理条例》的规定，由指自流井区投资促进局机关、投资促进服务中心及其在职职工缴存的长期住房储金。</w:t>
      </w:r>
    </w:p>
    <w:p>
      <w:pPr>
        <w:ind w:firstLine="640" w:firstLineChars="200"/>
        <w:rPr>
          <w:rFonts w:ascii="仿宋_GB2312"/>
          <w:color w:val="000000"/>
          <w:szCs w:val="32"/>
        </w:rPr>
      </w:pPr>
      <w:r>
        <w:rPr>
          <w:rFonts w:hint="eastAsia" w:ascii="仿宋_GB2312"/>
          <w:color w:val="000000"/>
          <w:szCs w:val="32"/>
        </w:rPr>
        <w:t>15</w:t>
      </w:r>
      <w:r>
        <w:rPr>
          <w:rFonts w:ascii="仿宋_GB2312"/>
          <w:color w:val="000000"/>
          <w:szCs w:val="32"/>
        </w:rPr>
        <w:t>.</w:t>
      </w:r>
      <w:r>
        <w:rPr>
          <w:rFonts w:hint="eastAsia" w:ascii="仿宋_GB2312"/>
          <w:color w:val="000000"/>
          <w:szCs w:val="32"/>
        </w:rPr>
        <w:t>基本支出：指</w:t>
      </w:r>
      <w:r>
        <w:rPr>
          <w:color w:val="000000"/>
          <w:szCs w:val="32"/>
        </w:rPr>
        <w:t>指自流井区投资促进局机关、投资促进服务中心</w:t>
      </w:r>
      <w:r>
        <w:rPr>
          <w:rFonts w:hint="eastAsia" w:ascii="仿宋_GB2312"/>
          <w:color w:val="000000"/>
          <w:szCs w:val="32"/>
        </w:rPr>
        <w:t>为保障机构正常运转、完成日常工作任务而发生的人员支出和公用支出。</w:t>
      </w:r>
    </w:p>
    <w:p>
      <w:pPr>
        <w:ind w:firstLine="640" w:firstLineChars="200"/>
        <w:rPr>
          <w:rFonts w:ascii="仿宋_GB2312"/>
          <w:color w:val="000000"/>
          <w:szCs w:val="32"/>
        </w:rPr>
      </w:pPr>
      <w:r>
        <w:rPr>
          <w:rFonts w:hint="eastAsia" w:ascii="仿宋_GB2312"/>
          <w:color w:val="000000"/>
          <w:szCs w:val="32"/>
        </w:rPr>
        <w:t>16</w:t>
      </w:r>
      <w:r>
        <w:rPr>
          <w:rFonts w:ascii="仿宋_GB2312"/>
          <w:color w:val="000000"/>
          <w:szCs w:val="32"/>
        </w:rPr>
        <w:t>.</w:t>
      </w:r>
      <w:r>
        <w:rPr>
          <w:rFonts w:hint="eastAsia" w:ascii="仿宋_GB2312"/>
          <w:color w:val="000000"/>
          <w:szCs w:val="32"/>
        </w:rPr>
        <w:t>项目支出：指</w:t>
      </w:r>
      <w:r>
        <w:rPr>
          <w:color w:val="000000"/>
          <w:szCs w:val="32"/>
        </w:rPr>
        <w:t>指自流井区投资促进局机关、投资促进服务中心</w:t>
      </w:r>
      <w:r>
        <w:rPr>
          <w:rFonts w:hint="eastAsia" w:ascii="仿宋_GB2312"/>
          <w:color w:val="000000"/>
          <w:szCs w:val="32"/>
        </w:rPr>
        <w:t>在基本支出之外为完成特定行政任务和事业发展目标所发生的支出。</w:t>
      </w:r>
      <w:r>
        <w:rPr>
          <w:rFonts w:ascii="仿宋_GB2312"/>
          <w:color w:val="000000"/>
          <w:szCs w:val="32"/>
        </w:rPr>
        <w:t xml:space="preserve"> </w:t>
      </w:r>
    </w:p>
    <w:p>
      <w:pPr>
        <w:ind w:firstLine="640" w:firstLineChars="200"/>
        <w:rPr>
          <w:rFonts w:ascii="仿宋_GB2312"/>
          <w:color w:val="000000"/>
          <w:szCs w:val="32"/>
        </w:rPr>
      </w:pPr>
      <w:r>
        <w:rPr>
          <w:rFonts w:hint="eastAsia" w:ascii="仿宋_GB2312"/>
          <w:color w:val="000000"/>
          <w:szCs w:val="32"/>
        </w:rPr>
        <w:t>17</w:t>
      </w:r>
      <w:r>
        <w:rPr>
          <w:rFonts w:ascii="仿宋_GB2312"/>
          <w:color w:val="000000"/>
          <w:szCs w:val="32"/>
        </w:rPr>
        <w:t>.</w:t>
      </w:r>
      <w:r>
        <w:rPr>
          <w:rFonts w:hint="eastAsia" w:ascii="仿宋_GB2312"/>
          <w:color w:val="000000"/>
          <w:szCs w:val="32"/>
        </w:rPr>
        <w:t>经营支出：指</w:t>
      </w:r>
      <w:r>
        <w:rPr>
          <w:color w:val="000000"/>
          <w:szCs w:val="32"/>
        </w:rPr>
        <w:t>投资促进服务中心</w:t>
      </w:r>
      <w:r>
        <w:rPr>
          <w:rFonts w:hint="eastAsia" w:ascii="仿宋_GB2312"/>
          <w:color w:val="000000"/>
          <w:szCs w:val="32"/>
        </w:rPr>
        <w:t>在专业业务活动及其辅助活动之外开展非独立核算经营活动发生的支出。</w:t>
      </w:r>
    </w:p>
    <w:p>
      <w:pPr>
        <w:pStyle w:val="15"/>
        <w:spacing w:line="560" w:lineRule="exact"/>
        <w:ind w:firstLine="640" w:firstLineChars="200"/>
        <w:rPr>
          <w:rFonts w:ascii="仿宋_GB2312" w:eastAsia="仿宋_GB2312"/>
          <w:sz w:val="32"/>
          <w:szCs w:val="32"/>
        </w:rPr>
      </w:pPr>
      <w:r>
        <w:rPr>
          <w:rFonts w:hint="eastAsia" w:ascii="仿宋_GB2312" w:eastAsia="仿宋_GB2312"/>
          <w:sz w:val="32"/>
          <w:szCs w:val="32"/>
        </w:rPr>
        <w:t>18</w:t>
      </w:r>
      <w:r>
        <w:rPr>
          <w:rFonts w:ascii="仿宋_GB2312" w:eastAsia="仿宋_GB2312"/>
          <w:sz w:val="32"/>
          <w:szCs w:val="32"/>
        </w:rPr>
        <w:t>.</w:t>
      </w:r>
      <w:r>
        <w:rPr>
          <w:rFonts w:hint="eastAsia" w:ascii="仿宋_GB2312" w:eastAsia="仿宋_GB2312"/>
          <w:sz w:val="32"/>
          <w:szCs w:val="32"/>
        </w:rPr>
        <w:t>“三公”经费：指</w:t>
      </w:r>
      <w:r>
        <w:rPr>
          <w:rFonts w:ascii="Times New Roman" w:hAnsi="Times New Roman" w:eastAsia="仿宋_GB2312" w:cs="Times New Roman"/>
          <w:sz w:val="32"/>
          <w:szCs w:val="32"/>
        </w:rPr>
        <w:t>自流井区投资促进局机关、投资促进服务中心</w:t>
      </w:r>
      <w:r>
        <w:rPr>
          <w:rFonts w:hint="eastAsia" w:ascii="仿宋_GB2312" w:eastAsia="仿宋_GB2312"/>
          <w:sz w:val="32"/>
          <w:szCs w:val="32"/>
        </w:rPr>
        <w:t>用于财政拨款安排的公务接待费反映单位按规定开支的各类公务接待支出。</w:t>
      </w:r>
    </w:p>
    <w:p>
      <w:pPr>
        <w:pStyle w:val="15"/>
        <w:spacing w:line="560" w:lineRule="exact"/>
        <w:ind w:firstLine="640" w:firstLineChars="200"/>
        <w:rPr>
          <w:rFonts w:ascii="仿宋_GB2312" w:eastAsia="仿宋_GB2312"/>
          <w:sz w:val="32"/>
          <w:szCs w:val="32"/>
        </w:rPr>
      </w:pPr>
      <w:r>
        <w:rPr>
          <w:rFonts w:hint="eastAsia" w:ascii="仿宋_GB2312" w:eastAsia="仿宋_GB2312"/>
          <w:sz w:val="32"/>
          <w:szCs w:val="32"/>
        </w:rPr>
        <w:t>19</w:t>
      </w:r>
      <w:r>
        <w:rPr>
          <w:rFonts w:ascii="仿宋_GB2312" w:eastAsia="仿宋_GB2312"/>
          <w:sz w:val="32"/>
          <w:szCs w:val="32"/>
        </w:rPr>
        <w:t>.</w:t>
      </w:r>
      <w:r>
        <w:rPr>
          <w:rFonts w:hint="eastAsia" w:ascii="仿宋_GB2312" w:eastAsia="仿宋_GB2312"/>
          <w:sz w:val="32"/>
          <w:szCs w:val="32"/>
        </w:rPr>
        <w:t>机关运行经费：自</w:t>
      </w:r>
      <w:r>
        <w:rPr>
          <w:rFonts w:ascii="Times New Roman" w:hAnsi="Times New Roman" w:eastAsia="仿宋_GB2312" w:cs="Times New Roman"/>
          <w:sz w:val="32"/>
          <w:szCs w:val="32"/>
        </w:rPr>
        <w:t>流井区投资促进局机关、投资促进服务中心</w:t>
      </w:r>
      <w:r>
        <w:rPr>
          <w:rFonts w:hint="eastAsia" w:ascii="Times New Roman" w:hAnsi="Times New Roman" w:eastAsia="仿宋_GB2312" w:cs="Times New Roman"/>
          <w:sz w:val="32"/>
          <w:szCs w:val="32"/>
        </w:rPr>
        <w:t>为</w:t>
      </w:r>
      <w:r>
        <w:rPr>
          <w:rFonts w:hint="eastAsia" w:ascii="仿宋_GB2312" w:eastAsia="仿宋_GB2312"/>
          <w:sz w:val="32"/>
          <w:szCs w:val="32"/>
        </w:rPr>
        <w:t>保障行政单位（含参照公务员法管理的事业单位）运行用于购买货物和服务的各项资金，包括办公及印刷费、邮电费、差旅费、会议费、日常维修费、专用材料及一般设备购置费、办公用房水电费、办公用房物业管理费。</w:t>
      </w:r>
    </w:p>
    <w:p>
      <w:pPr>
        <w:spacing w:line="600" w:lineRule="exact"/>
        <w:jc w:val="center"/>
        <w:outlineLvl w:val="0"/>
        <w:rPr>
          <w:rStyle w:val="16"/>
          <w:rFonts w:ascii="黑体" w:hAnsi="黑体" w:eastAsia="黑体"/>
          <w:b w:val="0"/>
        </w:rPr>
      </w:pPr>
      <w:bookmarkStart w:id="58" w:name="_Toc15377226"/>
      <w:r>
        <w:rPr>
          <w:rFonts w:ascii="宋体"/>
          <w:b/>
          <w:color w:val="000000"/>
          <w:sz w:val="44"/>
          <w:szCs w:val="44"/>
        </w:rPr>
        <w:br w:type="page"/>
      </w:r>
      <w:bookmarkStart w:id="59" w:name="_Toc15396614"/>
      <w:bookmarkStart w:id="60" w:name="_Toc11207"/>
      <w:r>
        <w:rPr>
          <w:rFonts w:hint="eastAsia" w:ascii="黑体" w:hAnsi="黑体" w:eastAsia="黑体"/>
          <w:color w:val="000000"/>
          <w:sz w:val="44"/>
          <w:szCs w:val="44"/>
        </w:rPr>
        <w:t>第</w:t>
      </w:r>
      <w:r>
        <w:rPr>
          <w:rStyle w:val="16"/>
          <w:rFonts w:hint="eastAsia" w:ascii="黑体" w:hAnsi="黑体" w:eastAsia="黑体"/>
          <w:b w:val="0"/>
        </w:rPr>
        <w:t>四部分</w:t>
      </w:r>
      <w:r>
        <w:rPr>
          <w:rStyle w:val="16"/>
          <w:rFonts w:ascii="黑体" w:hAnsi="黑体" w:eastAsia="黑体"/>
          <w:b w:val="0"/>
        </w:rPr>
        <w:t xml:space="preserve"> </w:t>
      </w:r>
      <w:r>
        <w:rPr>
          <w:rStyle w:val="16"/>
          <w:rFonts w:hint="eastAsia" w:ascii="黑体" w:hAnsi="黑体" w:eastAsia="黑体"/>
          <w:b w:val="0"/>
        </w:rPr>
        <w:t>附件</w:t>
      </w:r>
      <w:bookmarkEnd w:id="59"/>
      <w:bookmarkEnd w:id="60"/>
    </w:p>
    <w:p>
      <w:pPr>
        <w:spacing w:line="600" w:lineRule="exact"/>
        <w:jc w:val="left"/>
        <w:outlineLvl w:val="1"/>
        <w:rPr>
          <w:rFonts w:ascii="方正小标宋简体" w:hAnsi="方正小标宋简体" w:eastAsia="方正小标宋简体" w:cs="方正小标宋简体"/>
          <w:szCs w:val="32"/>
        </w:rPr>
      </w:pPr>
      <w:bookmarkStart w:id="61" w:name="_Toc22930"/>
      <w:r>
        <w:rPr>
          <w:rFonts w:hint="eastAsia" w:ascii="黑体" w:hAnsi="黑体" w:eastAsia="黑体" w:cs="黑体"/>
          <w:szCs w:val="32"/>
        </w:rPr>
        <w:t>附件</w:t>
      </w:r>
      <w:r>
        <w:rPr>
          <w:rFonts w:ascii="黑体" w:hAnsi="黑体" w:eastAsia="黑体" w:cs="黑体"/>
          <w:szCs w:val="32"/>
        </w:rPr>
        <w:t>1</w:t>
      </w:r>
      <w:bookmarkEnd w:id="61"/>
    </w:p>
    <w:p>
      <w:pPr>
        <w:spacing w:line="580" w:lineRule="exact"/>
        <w:jc w:val="center"/>
        <w:rPr>
          <w:rFonts w:ascii="方正小标宋简体" w:hAnsi="方正小标宋简体" w:eastAsia="方正小标宋简体" w:cs="方正小标宋简体"/>
          <w:sz w:val="44"/>
          <w:szCs w:val="44"/>
        </w:rPr>
      </w:pPr>
    </w:p>
    <w:p>
      <w:pPr>
        <w:spacing w:line="600" w:lineRule="exact"/>
        <w:jc w:val="center"/>
        <w:rPr>
          <w:rFonts w:eastAsia="方正小标宋简体"/>
          <w:color w:val="000000"/>
          <w:kern w:val="0"/>
          <w:sz w:val="40"/>
          <w:szCs w:val="44"/>
        </w:rPr>
      </w:pPr>
      <w:r>
        <w:rPr>
          <w:rFonts w:eastAsia="方正小标宋简体"/>
          <w:color w:val="000000"/>
          <w:kern w:val="0"/>
          <w:sz w:val="40"/>
          <w:szCs w:val="44"/>
        </w:rPr>
        <w:t>自贡市自流井区投资促进局</w:t>
      </w:r>
    </w:p>
    <w:p>
      <w:pPr>
        <w:spacing w:line="600" w:lineRule="exact"/>
        <w:jc w:val="center"/>
        <w:rPr>
          <w:rFonts w:ascii="方正小标宋简体" w:hAnsi="宋体" w:eastAsia="方正小标宋简体"/>
          <w:color w:val="000000"/>
          <w:kern w:val="0"/>
          <w:sz w:val="40"/>
          <w:szCs w:val="44"/>
          <w:lang w:val="zh-CN"/>
        </w:rPr>
      </w:pPr>
      <w:r>
        <w:rPr>
          <w:rFonts w:ascii="方正小标宋简体" w:hAnsi="宋体" w:eastAsia="方正小标宋简体"/>
          <w:color w:val="000000"/>
          <w:kern w:val="0"/>
          <w:sz w:val="40"/>
          <w:szCs w:val="44"/>
        </w:rPr>
        <w:t>2020</w:t>
      </w:r>
      <w:r>
        <w:rPr>
          <w:rFonts w:hint="eastAsia" w:ascii="方正小标宋简体" w:hAnsi="宋体" w:eastAsia="方正小标宋简体"/>
          <w:color w:val="000000"/>
          <w:kern w:val="0"/>
          <w:sz w:val="40"/>
          <w:szCs w:val="44"/>
        </w:rPr>
        <w:t>年部门</w:t>
      </w:r>
      <w:r>
        <w:rPr>
          <w:rFonts w:hint="eastAsia" w:ascii="方正小标宋简体" w:hAnsi="宋体" w:eastAsia="方正小标宋简体"/>
          <w:color w:val="000000"/>
          <w:kern w:val="0"/>
          <w:sz w:val="40"/>
          <w:szCs w:val="44"/>
          <w:lang w:val="zh-CN"/>
        </w:rPr>
        <w:t>整体支出绩效评价报告</w:t>
      </w:r>
    </w:p>
    <w:p>
      <w:pPr>
        <w:widowControl/>
        <w:spacing w:line="580" w:lineRule="exact"/>
        <w:ind w:firstLine="640" w:firstLineChars="200"/>
        <w:contextualSpacing/>
        <w:jc w:val="center"/>
        <w:rPr>
          <w:rFonts w:ascii="仿宋_GB2312" w:hAnsi="宋体"/>
          <w:szCs w:val="32"/>
          <w:shd w:val="clear" w:color="auto" w:fill="FFFFFF"/>
        </w:rPr>
      </w:pPr>
      <w:r>
        <w:rPr>
          <w:rFonts w:hint="eastAsia" w:ascii="仿宋_GB2312" w:hAnsi="宋体"/>
          <w:szCs w:val="32"/>
          <w:shd w:val="clear" w:color="auto" w:fill="FFFFFF"/>
        </w:rPr>
        <w:t>（报告范围包括机关和下属单位）</w:t>
      </w:r>
    </w:p>
    <w:p>
      <w:pPr>
        <w:widowControl/>
        <w:adjustRightInd w:val="0"/>
        <w:snapToGrid w:val="0"/>
        <w:spacing w:line="580" w:lineRule="exact"/>
        <w:ind w:firstLine="480" w:firstLineChars="200"/>
        <w:contextualSpacing/>
        <w:jc w:val="left"/>
        <w:rPr>
          <w:rFonts w:ascii="黑体" w:hAnsi="宋体" w:eastAsia="黑体" w:cs="宋体"/>
          <w:color w:val="000000"/>
          <w:kern w:val="0"/>
          <w:sz w:val="24"/>
          <w:szCs w:val="32"/>
          <w:shd w:val="clear" w:color="auto" w:fill="FFFFFF"/>
        </w:rPr>
      </w:pPr>
    </w:p>
    <w:p>
      <w:pPr>
        <w:widowControl/>
        <w:adjustRightInd w:val="0"/>
        <w:snapToGrid w:val="0"/>
        <w:spacing w:line="580" w:lineRule="exact"/>
        <w:ind w:firstLine="640" w:firstLineChars="200"/>
        <w:contextualSpacing/>
        <w:jc w:val="left"/>
        <w:rPr>
          <w:rFonts w:ascii="黑体" w:hAnsi="宋体" w:eastAsia="黑体" w:cs="宋体"/>
          <w:color w:val="000000"/>
          <w:kern w:val="0"/>
          <w:szCs w:val="32"/>
          <w:shd w:val="clear" w:color="auto" w:fill="FFFFFF"/>
          <w:lang w:val="zh-CN"/>
        </w:rPr>
      </w:pPr>
      <w:r>
        <w:rPr>
          <w:rFonts w:hint="eastAsia" w:ascii="黑体" w:hAnsi="宋体" w:eastAsia="黑体" w:cs="宋体"/>
          <w:color w:val="000000"/>
          <w:kern w:val="0"/>
          <w:szCs w:val="32"/>
          <w:shd w:val="clear" w:color="auto" w:fill="FFFFFF"/>
        </w:rPr>
        <w:t>一、</w:t>
      </w:r>
      <w:r>
        <w:rPr>
          <w:rFonts w:hint="eastAsia" w:ascii="黑体" w:hAnsi="宋体" w:eastAsia="黑体" w:cs="宋体"/>
          <w:color w:val="000000"/>
          <w:kern w:val="0"/>
          <w:szCs w:val="32"/>
          <w:shd w:val="clear" w:color="auto" w:fill="FFFFFF"/>
          <w:lang w:val="zh-CN"/>
        </w:rPr>
        <w:t>部门（单位）概况</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（一）机构组成。</w:t>
      </w:r>
    </w:p>
    <w:p>
      <w:pPr>
        <w:widowControl/>
        <w:adjustRightInd w:val="0"/>
        <w:snapToGrid w:val="0"/>
        <w:spacing w:line="580" w:lineRule="exact"/>
        <w:ind w:firstLine="640" w:firstLineChars="200"/>
        <w:contextualSpacing/>
        <w:jc w:val="left"/>
        <w:rPr>
          <w:color w:val="000000"/>
          <w:kern w:val="0"/>
          <w:szCs w:val="32"/>
          <w:shd w:val="clear" w:color="auto" w:fill="FFFFFF"/>
          <w:lang w:val="zh-CN"/>
        </w:rPr>
      </w:pPr>
      <w:r>
        <w:rPr>
          <w:rStyle w:val="13"/>
          <w:b w:val="0"/>
          <w:szCs w:val="32"/>
        </w:rPr>
        <w:t>自贡市自流井区投资促进局属行政单位，下属有一个事业单位</w:t>
      </w:r>
      <w:r>
        <w:rPr>
          <w:rStyle w:val="13"/>
          <w:rFonts w:hint="eastAsia"/>
          <w:b w:val="0"/>
          <w:szCs w:val="32"/>
        </w:rPr>
        <w:t>。</w:t>
      </w:r>
    </w:p>
    <w:p>
      <w:pPr>
        <w:widowControl/>
        <w:numPr>
          <w:ilvl w:val="0"/>
          <w:numId w:val="5"/>
        </w:numPr>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机构职能。</w:t>
      </w:r>
    </w:p>
    <w:p>
      <w:pPr>
        <w:spacing w:line="560" w:lineRule="exact"/>
        <w:ind w:firstLine="707" w:firstLineChars="221"/>
        <w:rPr>
          <w:szCs w:val="32"/>
        </w:rPr>
      </w:pPr>
      <w:r>
        <w:rPr>
          <w:szCs w:val="32"/>
        </w:rPr>
        <w:t>1．贯彻执行国家和省、市、区有关对外开放、投资促进、经济合作的方针政策；牵头拟订全区吸引外来投资的发展战略、有关政策和规定；组织制定全区投资促进中长期规划、年度计划和项目布局方案并组织实施。</w:t>
      </w:r>
    </w:p>
    <w:p>
      <w:pPr>
        <w:spacing w:line="560" w:lineRule="exact"/>
        <w:ind w:firstLine="707" w:firstLineChars="221"/>
        <w:rPr>
          <w:szCs w:val="32"/>
        </w:rPr>
      </w:pPr>
      <w:r>
        <w:rPr>
          <w:szCs w:val="32"/>
        </w:rPr>
        <w:t>2．建立和完善对外开放、投资促进、经济合作的区内外组织体系、信息网络和项目库，提供相关的咨询和服务；研究、搜集、发布信息，为基层和企业牵线搭桥，搭建发展合作平台，为区政府提供经济合作、招商引资的决策依据。</w:t>
      </w:r>
    </w:p>
    <w:p>
      <w:pPr>
        <w:spacing w:line="560" w:lineRule="exact"/>
        <w:ind w:firstLine="707" w:firstLineChars="221"/>
        <w:rPr>
          <w:szCs w:val="32"/>
        </w:rPr>
      </w:pPr>
      <w:r>
        <w:rPr>
          <w:szCs w:val="32"/>
        </w:rPr>
        <w:t>3．组织、指导重大招商引资项目的编制、推介工作。</w:t>
      </w:r>
    </w:p>
    <w:p>
      <w:pPr>
        <w:spacing w:line="560" w:lineRule="exact"/>
        <w:ind w:firstLine="707" w:firstLineChars="221"/>
        <w:rPr>
          <w:szCs w:val="32"/>
        </w:rPr>
      </w:pPr>
      <w:r>
        <w:rPr>
          <w:szCs w:val="32"/>
        </w:rPr>
        <w:t>4．统筹、协调重大招商引资项目及区内企业扩张性投资项目的布局、落地和实施。</w:t>
      </w:r>
    </w:p>
    <w:p>
      <w:pPr>
        <w:spacing w:line="560" w:lineRule="exact"/>
        <w:ind w:firstLine="707" w:firstLineChars="221"/>
        <w:rPr>
          <w:szCs w:val="32"/>
        </w:rPr>
      </w:pPr>
      <w:r>
        <w:rPr>
          <w:szCs w:val="32"/>
        </w:rPr>
        <w:t>5．负责我区组团参加区域经济合作活动和招商引资重大投资洽谈活动；负责重要投资考察团（组）来访的接洽工作。</w:t>
      </w:r>
    </w:p>
    <w:p>
      <w:pPr>
        <w:spacing w:line="560" w:lineRule="exact"/>
        <w:ind w:firstLine="707" w:firstLineChars="221"/>
        <w:rPr>
          <w:szCs w:val="32"/>
        </w:rPr>
      </w:pPr>
      <w:r>
        <w:rPr>
          <w:szCs w:val="32"/>
        </w:rPr>
        <w:t>6.协调管理全区招商引资政务环境的建设；会同有关职能部门对影响全区投资环境的重大问题进行调查研究，提出加强和改善投资环境工作的建设性意见；协助有关职能部门对全区投资环境进行评议、监督和对影响投资环境的行为开展调查、提出处理建议、跟踪处理结果。</w:t>
      </w:r>
    </w:p>
    <w:p>
      <w:pPr>
        <w:spacing w:line="560" w:lineRule="exact"/>
        <w:ind w:firstLine="707" w:firstLineChars="221"/>
        <w:rPr>
          <w:szCs w:val="32"/>
        </w:rPr>
      </w:pPr>
      <w:r>
        <w:rPr>
          <w:szCs w:val="32"/>
        </w:rPr>
        <w:t xml:space="preserve">7.受理外来企业、外来客商的投诉；对外来企业和外来客商反映的侵权行为开展调查，提出处理意见，维护外来企业、外来客商的合法权益；协助解决外来投资者反映的重大问题。   </w:t>
      </w:r>
    </w:p>
    <w:p>
      <w:pPr>
        <w:spacing w:line="560" w:lineRule="exact"/>
        <w:ind w:firstLine="707" w:firstLineChars="221"/>
        <w:rPr>
          <w:szCs w:val="32"/>
        </w:rPr>
      </w:pPr>
      <w:r>
        <w:rPr>
          <w:szCs w:val="32"/>
        </w:rPr>
        <w:t>8.负责区政府驻外办事机构及其人员的管理工作，监督管理政府驻外办事机构的国有资产，研究提出加强我区政府驻外办事机构及其人员管理的有关规定和布局调整意见；负责外来投资客商联谊工作。</w:t>
      </w:r>
    </w:p>
    <w:p>
      <w:pPr>
        <w:spacing w:line="560" w:lineRule="exact"/>
        <w:ind w:firstLine="707" w:firstLineChars="221"/>
        <w:rPr>
          <w:szCs w:val="32"/>
        </w:rPr>
      </w:pPr>
      <w:r>
        <w:rPr>
          <w:szCs w:val="32"/>
        </w:rPr>
        <w:t>9.负责对驻外招商引资机构、外派招商干部的管理与服务工作。</w:t>
      </w:r>
    </w:p>
    <w:p>
      <w:pPr>
        <w:spacing w:line="560" w:lineRule="exact"/>
        <w:ind w:firstLine="707" w:firstLineChars="221"/>
        <w:rPr>
          <w:szCs w:val="32"/>
        </w:rPr>
      </w:pPr>
      <w:r>
        <w:rPr>
          <w:szCs w:val="32"/>
        </w:rPr>
        <w:t>10.研究制定区域经济合作发展方案，为区政府扩大对外开放提供决策依据；承办有关区域经济协作组织的各项联络服务工作；负责我区同友好城市的联络及相关工作。</w:t>
      </w:r>
    </w:p>
    <w:p>
      <w:pPr>
        <w:spacing w:line="560" w:lineRule="exact"/>
        <w:ind w:firstLine="707" w:firstLineChars="221"/>
        <w:rPr>
          <w:szCs w:val="32"/>
        </w:rPr>
      </w:pPr>
      <w:r>
        <w:rPr>
          <w:szCs w:val="32"/>
        </w:rPr>
        <w:t>11.参与境外资金投资促进工作，负责建立外资项目库和海外客户资源档案，会同有关部门做好外资项目的推介工作。</w:t>
      </w:r>
    </w:p>
    <w:p>
      <w:pPr>
        <w:spacing w:line="560" w:lineRule="exact"/>
        <w:ind w:firstLine="707" w:firstLineChars="221"/>
        <w:rPr>
          <w:szCs w:val="32"/>
        </w:rPr>
      </w:pPr>
      <w:r>
        <w:rPr>
          <w:szCs w:val="32"/>
        </w:rPr>
        <w:t>12.承办全区招商引资工作的年度绩效考核、奖励项目和招商政策的审核工作。</w:t>
      </w:r>
    </w:p>
    <w:p>
      <w:pPr>
        <w:pStyle w:val="2"/>
        <w:ind w:left="0" w:firstLine="640" w:firstLineChars="200"/>
        <w:rPr>
          <w:lang w:val="zh-CN"/>
        </w:rPr>
      </w:pPr>
      <w:r>
        <w:rPr>
          <w:rFonts w:cs="Times New Roman"/>
          <w:szCs w:val="32"/>
        </w:rPr>
        <w:t>13.承办区政府交办的其他事项。</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（三）人员概况。</w:t>
      </w:r>
    </w:p>
    <w:p>
      <w:pPr>
        <w:widowControl/>
        <w:adjustRightInd w:val="0"/>
        <w:snapToGrid w:val="0"/>
        <w:spacing w:line="580" w:lineRule="exact"/>
        <w:ind w:firstLine="640" w:firstLineChars="200"/>
        <w:contextualSpacing/>
        <w:jc w:val="left"/>
        <w:rPr>
          <w:color w:val="000000"/>
          <w:kern w:val="0"/>
          <w:szCs w:val="32"/>
          <w:shd w:val="clear" w:color="auto" w:fill="FFFFFF"/>
          <w:lang w:val="zh-CN"/>
        </w:rPr>
      </w:pPr>
      <w:r>
        <w:rPr>
          <w:szCs w:val="32"/>
        </w:rPr>
        <w:t>核定区投资促进局机关行政编制5名，其中，局长1名，副局长2名，二级主任科员1名，党组织领导配备按有关规定执行。机关工勤岗位人员控制数1名。区投资促进服务中心事业编制10名。截止20</w:t>
      </w:r>
      <w:r>
        <w:rPr>
          <w:rFonts w:hint="eastAsia"/>
          <w:szCs w:val="32"/>
        </w:rPr>
        <w:t>20</w:t>
      </w:r>
      <w:r>
        <w:rPr>
          <w:szCs w:val="32"/>
        </w:rPr>
        <w:t>年12月31日，实有行政在编在岗人员5名；实有事业编制在编在岗人员</w:t>
      </w:r>
      <w:r>
        <w:rPr>
          <w:rFonts w:hint="eastAsia"/>
          <w:szCs w:val="32"/>
        </w:rPr>
        <w:t>10</w:t>
      </w:r>
      <w:r>
        <w:rPr>
          <w:szCs w:val="32"/>
        </w:rPr>
        <w:t>名。</w:t>
      </w:r>
    </w:p>
    <w:p>
      <w:pPr>
        <w:widowControl/>
        <w:adjustRightInd w:val="0"/>
        <w:snapToGrid w:val="0"/>
        <w:spacing w:line="580" w:lineRule="exact"/>
        <w:ind w:firstLine="640" w:firstLineChars="200"/>
        <w:contextualSpacing/>
        <w:jc w:val="left"/>
        <w:rPr>
          <w:rFonts w:ascii="黑体" w:hAnsi="宋体" w:eastAsia="黑体" w:cs="宋体"/>
          <w:color w:val="000000"/>
          <w:kern w:val="0"/>
          <w:szCs w:val="32"/>
          <w:shd w:val="clear" w:color="auto" w:fill="FFFFFF"/>
        </w:rPr>
      </w:pPr>
      <w:r>
        <w:rPr>
          <w:rFonts w:hint="eastAsia" w:ascii="黑体" w:hAnsi="宋体" w:eastAsia="黑体" w:cs="宋体"/>
          <w:color w:val="000000"/>
          <w:kern w:val="0"/>
          <w:szCs w:val="32"/>
          <w:shd w:val="clear" w:color="auto" w:fill="FFFFFF"/>
        </w:rPr>
        <w:t>二、部门财政资金收支情况</w:t>
      </w:r>
    </w:p>
    <w:p>
      <w:pPr>
        <w:widowControl/>
        <w:adjustRightInd w:val="0"/>
        <w:snapToGrid w:val="0"/>
        <w:spacing w:line="580" w:lineRule="exact"/>
        <w:ind w:firstLine="640" w:firstLineChars="200"/>
        <w:contextualSpacing/>
        <w:jc w:val="left"/>
        <w:rPr>
          <w:rFonts w:ascii="仿宋_GB2312" w:hAnsi="宋体" w:cs="宋体"/>
          <w:color w:val="000000" w:themeColor="text1"/>
          <w:kern w:val="0"/>
          <w:szCs w:val="32"/>
          <w:shd w:val="clear" w:color="auto" w:fill="FFFFFF"/>
          <w:lang w:val="zh-CN"/>
          <w14:textFill>
            <w14:solidFill>
              <w14:schemeClr w14:val="tx1"/>
            </w14:solidFill>
          </w14:textFill>
        </w:rPr>
      </w:pPr>
      <w:r>
        <w:rPr>
          <w:rFonts w:hint="eastAsia" w:ascii="仿宋_GB2312" w:hAnsi="宋体" w:cs="宋体"/>
          <w:color w:val="000000" w:themeColor="text1"/>
          <w:kern w:val="0"/>
          <w:szCs w:val="32"/>
          <w:shd w:val="clear" w:color="auto" w:fill="FFFFFF"/>
          <w:lang w:val="zh-CN"/>
          <w14:textFill>
            <w14:solidFill>
              <w14:schemeClr w14:val="tx1"/>
            </w14:solidFill>
          </w14:textFill>
        </w:rPr>
        <w:t>（一）部门财政资金收入情况。</w:t>
      </w:r>
    </w:p>
    <w:p>
      <w:pPr>
        <w:pStyle w:val="2"/>
        <w:ind w:left="0" w:firstLine="640" w:firstLineChars="200"/>
        <w:rPr>
          <w:color w:val="000000" w:themeColor="text1"/>
          <w:lang w:val="zh-CN"/>
          <w14:textFill>
            <w14:solidFill>
              <w14:schemeClr w14:val="tx1"/>
            </w14:solidFill>
          </w14:textFill>
        </w:rPr>
      </w:pPr>
      <w:r>
        <w:rPr>
          <w:rFonts w:cs="Times New Roman"/>
          <w:bCs/>
          <w:color w:val="000000" w:themeColor="text1"/>
          <w:szCs w:val="32"/>
          <w14:textFill>
            <w14:solidFill>
              <w14:schemeClr w14:val="tx1"/>
            </w14:solidFill>
          </w14:textFill>
        </w:rPr>
        <w:t>部门</w:t>
      </w:r>
      <w:r>
        <w:rPr>
          <w:rFonts w:cs="Times New Roman"/>
          <w:color w:val="000000" w:themeColor="text1"/>
          <w:szCs w:val="32"/>
          <w14:textFill>
            <w14:solidFill>
              <w14:schemeClr w14:val="tx1"/>
            </w14:solidFill>
          </w14:textFill>
        </w:rPr>
        <w:t>20</w:t>
      </w:r>
      <w:r>
        <w:rPr>
          <w:rFonts w:hint="eastAsia" w:cs="Times New Roman"/>
          <w:color w:val="000000" w:themeColor="text1"/>
          <w:szCs w:val="32"/>
          <w14:textFill>
            <w14:solidFill>
              <w14:schemeClr w14:val="tx1"/>
            </w14:solidFill>
          </w14:textFill>
        </w:rPr>
        <w:t>20</w:t>
      </w:r>
      <w:r>
        <w:rPr>
          <w:rFonts w:cs="Times New Roman"/>
          <w:bCs/>
          <w:color w:val="000000" w:themeColor="text1"/>
          <w:szCs w:val="32"/>
          <w14:textFill>
            <w14:solidFill>
              <w14:schemeClr w14:val="tx1"/>
            </w14:solidFill>
          </w14:textFill>
        </w:rPr>
        <w:t>年预算收入情况：</w:t>
      </w:r>
      <w:r>
        <w:rPr>
          <w:rFonts w:cs="Times New Roman"/>
          <w:color w:val="000000" w:themeColor="text1"/>
          <w:szCs w:val="32"/>
          <w14:textFill>
            <w14:solidFill>
              <w14:schemeClr w14:val="tx1"/>
            </w14:solidFill>
          </w14:textFill>
        </w:rPr>
        <w:t>20</w:t>
      </w:r>
      <w:r>
        <w:rPr>
          <w:rFonts w:hint="eastAsia" w:cs="Times New Roman"/>
          <w:color w:val="000000" w:themeColor="text1"/>
          <w:szCs w:val="32"/>
          <w14:textFill>
            <w14:solidFill>
              <w14:schemeClr w14:val="tx1"/>
            </w14:solidFill>
          </w14:textFill>
        </w:rPr>
        <w:t>20</w:t>
      </w:r>
      <w:r>
        <w:rPr>
          <w:rFonts w:cs="Times New Roman"/>
          <w:bCs/>
          <w:color w:val="000000" w:themeColor="text1"/>
          <w:szCs w:val="32"/>
          <w14:textFill>
            <w14:solidFill>
              <w14:schemeClr w14:val="tx1"/>
            </w14:solidFill>
          </w14:textFill>
        </w:rPr>
        <w:t>年预算内安排的公共财政预算收入总计为</w:t>
      </w:r>
      <w:r>
        <w:rPr>
          <w:rFonts w:hint="eastAsia" w:cs="Times New Roman"/>
          <w:bCs/>
          <w:color w:val="000000" w:themeColor="text1"/>
          <w:szCs w:val="32"/>
          <w14:textFill>
            <w14:solidFill>
              <w14:schemeClr w14:val="tx1"/>
            </w14:solidFill>
          </w14:textFill>
        </w:rPr>
        <w:t>317.56</w:t>
      </w:r>
      <w:r>
        <w:rPr>
          <w:rFonts w:cs="Times New Roman"/>
          <w:bCs/>
          <w:color w:val="000000" w:themeColor="text1"/>
          <w:szCs w:val="32"/>
          <w14:textFill>
            <w14:solidFill>
              <w14:schemeClr w14:val="tx1"/>
            </w14:solidFill>
          </w14:textFill>
        </w:rPr>
        <w:t>万元，其中</w:t>
      </w:r>
      <w:r>
        <w:rPr>
          <w:rFonts w:cs="Times New Roman"/>
          <w:color w:val="000000" w:themeColor="text1"/>
          <w:szCs w:val="32"/>
          <w14:textFill>
            <w14:solidFill>
              <w14:schemeClr w14:val="tx1"/>
            </w14:solidFill>
          </w14:textFill>
        </w:rPr>
        <w:t>20</w:t>
      </w:r>
      <w:r>
        <w:rPr>
          <w:rFonts w:hint="eastAsia" w:cs="Times New Roman"/>
          <w:color w:val="000000" w:themeColor="text1"/>
          <w:szCs w:val="32"/>
          <w14:textFill>
            <w14:solidFill>
              <w14:schemeClr w14:val="tx1"/>
            </w14:solidFill>
          </w14:textFill>
        </w:rPr>
        <w:t>20</w:t>
      </w:r>
      <w:r>
        <w:rPr>
          <w:rFonts w:cs="Times New Roman"/>
          <w:bCs/>
          <w:color w:val="000000" w:themeColor="text1"/>
          <w:szCs w:val="32"/>
          <w14:textFill>
            <w14:solidFill>
              <w14:schemeClr w14:val="tx1"/>
            </w14:solidFill>
          </w14:textFill>
        </w:rPr>
        <w:t>年预算收入为</w:t>
      </w:r>
      <w:r>
        <w:rPr>
          <w:rFonts w:hint="eastAsia" w:cs="Times New Roman"/>
          <w:color w:val="000000" w:themeColor="text1"/>
          <w:szCs w:val="32"/>
          <w14:textFill>
            <w14:solidFill>
              <w14:schemeClr w14:val="tx1"/>
            </w14:solidFill>
          </w14:textFill>
        </w:rPr>
        <w:t>317.56</w:t>
      </w:r>
      <w:r>
        <w:rPr>
          <w:rFonts w:cs="Times New Roman"/>
          <w:bCs/>
          <w:color w:val="000000" w:themeColor="text1"/>
          <w:szCs w:val="32"/>
          <w14:textFill>
            <w14:solidFill>
              <w14:schemeClr w14:val="tx1"/>
            </w14:solidFill>
          </w14:textFill>
        </w:rPr>
        <w:t>万元，其中：一般公共服务收入为</w:t>
      </w:r>
      <w:r>
        <w:rPr>
          <w:rFonts w:hint="eastAsia" w:cs="Times New Roman"/>
          <w:color w:val="000000" w:themeColor="text1"/>
          <w:szCs w:val="32"/>
          <w14:textFill>
            <w14:solidFill>
              <w14:schemeClr w14:val="tx1"/>
            </w14:solidFill>
          </w14:textFill>
        </w:rPr>
        <w:t>282.9</w:t>
      </w:r>
      <w:r>
        <w:rPr>
          <w:rFonts w:cs="Times New Roman"/>
          <w:bCs/>
          <w:color w:val="000000" w:themeColor="text1"/>
          <w:szCs w:val="32"/>
          <w14:textFill>
            <w14:solidFill>
              <w14:schemeClr w14:val="tx1"/>
            </w14:solidFill>
          </w14:textFill>
        </w:rPr>
        <w:t>万元;社会保障和就业收入</w:t>
      </w:r>
      <w:r>
        <w:rPr>
          <w:rFonts w:hint="eastAsia" w:cs="Times New Roman"/>
          <w:color w:val="000000" w:themeColor="text1"/>
          <w:szCs w:val="32"/>
          <w14:textFill>
            <w14:solidFill>
              <w14:schemeClr w14:val="tx1"/>
            </w14:solidFill>
          </w14:textFill>
        </w:rPr>
        <w:t>15.63</w:t>
      </w:r>
      <w:r>
        <w:rPr>
          <w:rFonts w:eastAsia="仿宋" w:cs="Times New Roman"/>
          <w:color w:val="000000" w:themeColor="text1"/>
          <w:szCs w:val="32"/>
          <w14:textFill>
            <w14:solidFill>
              <w14:schemeClr w14:val="tx1"/>
            </w14:solidFill>
          </w14:textFill>
        </w:rPr>
        <w:t>万元；医疗卫生收入</w:t>
      </w:r>
      <w:r>
        <w:rPr>
          <w:rFonts w:hint="eastAsia" w:cs="Times New Roman"/>
          <w:color w:val="000000" w:themeColor="text1"/>
          <w:szCs w:val="32"/>
          <w14:textFill>
            <w14:solidFill>
              <w14:schemeClr w14:val="tx1"/>
            </w14:solidFill>
          </w14:textFill>
        </w:rPr>
        <w:t>7.71</w:t>
      </w:r>
      <w:r>
        <w:rPr>
          <w:rFonts w:eastAsia="仿宋" w:cs="Times New Roman"/>
          <w:color w:val="000000" w:themeColor="text1"/>
          <w:szCs w:val="32"/>
          <w14:textFill>
            <w14:solidFill>
              <w14:schemeClr w14:val="tx1"/>
            </w14:solidFill>
          </w14:textFill>
        </w:rPr>
        <w:t>万元；住房保障收入</w:t>
      </w:r>
      <w:r>
        <w:rPr>
          <w:rFonts w:hint="eastAsia" w:cs="Times New Roman"/>
          <w:color w:val="000000" w:themeColor="text1"/>
          <w:szCs w:val="32"/>
          <w14:textFill>
            <w14:solidFill>
              <w14:schemeClr w14:val="tx1"/>
            </w14:solidFill>
          </w14:textFill>
        </w:rPr>
        <w:t>11.32</w:t>
      </w:r>
      <w:r>
        <w:rPr>
          <w:rFonts w:eastAsia="仿宋" w:cs="Times New Roman"/>
          <w:color w:val="000000" w:themeColor="text1"/>
          <w:szCs w:val="32"/>
          <w14:textFill>
            <w14:solidFill>
              <w14:schemeClr w14:val="tx1"/>
            </w14:solidFill>
          </w14:textFill>
        </w:rPr>
        <w:t>万元。</w:t>
      </w:r>
    </w:p>
    <w:p>
      <w:pPr>
        <w:widowControl/>
        <w:numPr>
          <w:ilvl w:val="0"/>
          <w:numId w:val="5"/>
        </w:numPr>
        <w:adjustRightInd w:val="0"/>
        <w:snapToGrid w:val="0"/>
        <w:spacing w:line="580" w:lineRule="exact"/>
        <w:ind w:firstLine="640" w:firstLineChars="200"/>
        <w:contextualSpacing/>
        <w:jc w:val="left"/>
        <w:rPr>
          <w:rFonts w:ascii="仿宋_GB2312" w:hAnsi="宋体" w:cs="宋体"/>
          <w:color w:val="000000" w:themeColor="text1"/>
          <w:kern w:val="0"/>
          <w:szCs w:val="32"/>
          <w:shd w:val="clear" w:color="auto" w:fill="FFFFFF"/>
          <w:lang w:val="zh-CN"/>
          <w14:textFill>
            <w14:solidFill>
              <w14:schemeClr w14:val="tx1"/>
            </w14:solidFill>
          </w14:textFill>
        </w:rPr>
      </w:pPr>
      <w:r>
        <w:rPr>
          <w:rFonts w:hint="eastAsia" w:ascii="仿宋_GB2312" w:hAnsi="宋体" w:cs="宋体"/>
          <w:color w:val="000000" w:themeColor="text1"/>
          <w:kern w:val="0"/>
          <w:szCs w:val="32"/>
          <w:shd w:val="clear" w:color="auto" w:fill="FFFFFF"/>
          <w:lang w:val="zh-CN"/>
          <w14:textFill>
            <w14:solidFill>
              <w14:schemeClr w14:val="tx1"/>
            </w14:solidFill>
          </w14:textFill>
        </w:rPr>
        <w:t>部门财政资金支出情况。</w:t>
      </w:r>
    </w:p>
    <w:p>
      <w:pPr>
        <w:spacing w:line="600" w:lineRule="exact"/>
        <w:ind w:firstLine="640"/>
        <w:rPr>
          <w:color w:val="000000"/>
          <w:kern w:val="0"/>
          <w:szCs w:val="32"/>
          <w:shd w:val="clear" w:color="auto" w:fill="FFFFFF"/>
          <w:lang w:val="zh-CN"/>
        </w:rPr>
      </w:pPr>
      <w:r>
        <w:rPr>
          <w:color w:val="000000" w:themeColor="text1"/>
          <w:szCs w:val="32"/>
          <w14:textFill>
            <w14:solidFill>
              <w14:schemeClr w14:val="tx1"/>
            </w14:solidFill>
          </w14:textFill>
        </w:rPr>
        <w:t>20</w:t>
      </w:r>
      <w:r>
        <w:rPr>
          <w:rFonts w:hint="eastAsia"/>
          <w:color w:val="000000" w:themeColor="text1"/>
          <w:szCs w:val="32"/>
          <w14:textFill>
            <w14:solidFill>
              <w14:schemeClr w14:val="tx1"/>
            </w14:solidFill>
          </w14:textFill>
        </w:rPr>
        <w:t>20</w:t>
      </w:r>
      <w:r>
        <w:rPr>
          <w:color w:val="000000" w:themeColor="text1"/>
          <w:szCs w:val="32"/>
          <w14:textFill>
            <w14:solidFill>
              <w14:schemeClr w14:val="tx1"/>
            </w14:solidFill>
          </w14:textFill>
        </w:rPr>
        <w:t>年本年支出合计</w:t>
      </w:r>
      <w:r>
        <w:rPr>
          <w:rFonts w:hint="eastAsia"/>
          <w:color w:val="000000" w:themeColor="text1"/>
          <w:szCs w:val="32"/>
          <w14:textFill>
            <w14:solidFill>
              <w14:schemeClr w14:val="tx1"/>
            </w14:solidFill>
          </w14:textFill>
        </w:rPr>
        <w:t>305.06</w:t>
      </w:r>
      <w:r>
        <w:rPr>
          <w:color w:val="000000" w:themeColor="text1"/>
          <w:szCs w:val="32"/>
          <w14:textFill>
            <w14:solidFill>
              <w14:schemeClr w14:val="tx1"/>
            </w14:solidFill>
          </w14:textFill>
        </w:rPr>
        <w:t>万元，其中：基本支出</w:t>
      </w:r>
      <w:r>
        <w:rPr>
          <w:rFonts w:hint="eastAsia"/>
          <w:color w:val="000000" w:themeColor="text1"/>
          <w:szCs w:val="32"/>
          <w14:textFill>
            <w14:solidFill>
              <w14:schemeClr w14:val="tx1"/>
            </w14:solidFill>
          </w14:textFill>
        </w:rPr>
        <w:t>234.56</w:t>
      </w:r>
      <w:r>
        <w:rPr>
          <w:color w:val="000000" w:themeColor="text1"/>
          <w:szCs w:val="32"/>
          <w14:textFill>
            <w14:solidFill>
              <w14:schemeClr w14:val="tx1"/>
            </w14:solidFill>
          </w14:textFill>
        </w:rPr>
        <w:t>万元，占</w:t>
      </w:r>
      <w:r>
        <w:rPr>
          <w:rFonts w:hint="eastAsia"/>
          <w:color w:val="000000" w:themeColor="text1"/>
          <w:szCs w:val="32"/>
          <w14:textFill>
            <w14:solidFill>
              <w14:schemeClr w14:val="tx1"/>
            </w14:solidFill>
          </w14:textFill>
        </w:rPr>
        <w:t>76.88</w:t>
      </w:r>
      <w:r>
        <w:rPr>
          <w:color w:val="000000" w:themeColor="text1"/>
          <w:szCs w:val="32"/>
          <w14:textFill>
            <w14:solidFill>
              <w14:schemeClr w14:val="tx1"/>
            </w14:solidFill>
          </w14:textFill>
        </w:rPr>
        <w:t>%；项目支出</w:t>
      </w:r>
      <w:r>
        <w:rPr>
          <w:rFonts w:hint="eastAsia"/>
          <w:color w:val="000000" w:themeColor="text1"/>
          <w:szCs w:val="32"/>
          <w14:textFill>
            <w14:solidFill>
              <w14:schemeClr w14:val="tx1"/>
            </w14:solidFill>
          </w14:textFill>
        </w:rPr>
        <w:t>70.5</w:t>
      </w:r>
      <w:r>
        <w:rPr>
          <w:color w:val="000000" w:themeColor="text1"/>
          <w:szCs w:val="32"/>
          <w14:textFill>
            <w14:solidFill>
              <w14:schemeClr w14:val="tx1"/>
            </w14:solidFill>
          </w14:textFill>
        </w:rPr>
        <w:t>万元，占</w:t>
      </w:r>
      <w:r>
        <w:rPr>
          <w:rFonts w:hint="eastAsia"/>
          <w:color w:val="000000" w:themeColor="text1"/>
          <w:szCs w:val="32"/>
          <w14:textFill>
            <w14:solidFill>
              <w14:schemeClr w14:val="tx1"/>
            </w14:solidFill>
          </w14:textFill>
        </w:rPr>
        <w:t>23.1</w:t>
      </w:r>
      <w:r>
        <w:rPr>
          <w:color w:val="000000" w:themeColor="text1"/>
          <w:szCs w:val="32"/>
          <w14:textFill>
            <w14:solidFill>
              <w14:schemeClr w14:val="tx1"/>
            </w14:solidFill>
          </w14:textFill>
        </w:rPr>
        <w:t>%</w:t>
      </w:r>
      <w:r>
        <w:rPr>
          <w:color w:val="000000"/>
          <w:szCs w:val="32"/>
        </w:rPr>
        <w:t>。</w:t>
      </w:r>
    </w:p>
    <w:p>
      <w:pPr>
        <w:widowControl/>
        <w:adjustRightInd w:val="0"/>
        <w:snapToGrid w:val="0"/>
        <w:spacing w:line="580" w:lineRule="exact"/>
        <w:ind w:firstLine="640" w:firstLineChars="200"/>
        <w:contextualSpacing/>
        <w:jc w:val="left"/>
        <w:rPr>
          <w:rFonts w:ascii="黑体" w:hAnsi="宋体" w:eastAsia="黑体" w:cs="宋体"/>
          <w:color w:val="000000"/>
          <w:kern w:val="0"/>
          <w:szCs w:val="32"/>
          <w:shd w:val="clear" w:color="auto" w:fill="FFFFFF"/>
        </w:rPr>
      </w:pPr>
      <w:r>
        <w:rPr>
          <w:rFonts w:hint="eastAsia" w:ascii="黑体" w:hAnsi="宋体" w:eastAsia="黑体" w:cs="宋体"/>
          <w:color w:val="000000"/>
          <w:kern w:val="0"/>
          <w:szCs w:val="32"/>
          <w:shd w:val="clear" w:color="auto" w:fill="FFFFFF"/>
        </w:rPr>
        <w:t>三、部门整体预算绩效管理情况</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（一）部门预算管理。</w:t>
      </w:r>
    </w:p>
    <w:p>
      <w:pPr>
        <w:spacing w:line="580" w:lineRule="exact"/>
        <w:ind w:firstLine="640" w:firstLineChars="200"/>
        <w:rPr>
          <w:szCs w:val="32"/>
        </w:rPr>
      </w:pPr>
      <w:r>
        <w:rPr>
          <w:szCs w:val="32"/>
        </w:rPr>
        <w:t>我局严格按照预算法规定编制部门预算，规范制定绩效目标。我局严格支出控制，年底项目经费有所结余。其余完成预算100%。</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（二）结果应用情况。</w:t>
      </w:r>
    </w:p>
    <w:p>
      <w:pPr>
        <w:pStyle w:val="10"/>
        <w:widowControl/>
        <w:spacing w:before="0" w:beforeAutospacing="0" w:after="300" w:afterAutospacing="0" w:line="596" w:lineRule="exact"/>
        <w:ind w:firstLine="640" w:firstLineChars="200"/>
        <w:jc w:val="both"/>
        <w:rPr>
          <w:rFonts w:ascii="仿宋_GB2312" w:hAnsi="仿宋_GB2312" w:cs="仿宋_GB2312"/>
          <w:kern w:val="2"/>
          <w:sz w:val="32"/>
          <w:szCs w:val="32"/>
        </w:rPr>
      </w:pPr>
      <w:r>
        <w:rPr>
          <w:rFonts w:hint="eastAsia" w:ascii="仿宋_GB2312" w:hAnsi="宋体" w:cs="宋体"/>
          <w:color w:val="000000"/>
          <w:sz w:val="32"/>
          <w:szCs w:val="32"/>
          <w:shd w:val="clear" w:color="auto" w:fill="FFFFFF"/>
          <w:lang w:val="zh-CN"/>
        </w:rPr>
        <w:t>我局已完成绩效自评公开，下一步将</w:t>
      </w:r>
      <w:r>
        <w:rPr>
          <w:rFonts w:hint="eastAsia" w:ascii="仿宋_GB2312" w:hAnsi="仿宋_GB2312" w:cs="仿宋_GB2312"/>
          <w:kern w:val="2"/>
          <w:sz w:val="32"/>
          <w:szCs w:val="32"/>
        </w:rPr>
        <w:t>加强项目预算谋划，充分考虑实际情况进行认真分析研究，将完成项目绩效目标。</w:t>
      </w:r>
    </w:p>
    <w:p>
      <w:pPr>
        <w:widowControl/>
        <w:adjustRightInd w:val="0"/>
        <w:snapToGrid w:val="0"/>
        <w:spacing w:line="580" w:lineRule="exact"/>
        <w:ind w:firstLine="640" w:firstLineChars="200"/>
        <w:contextualSpacing/>
        <w:jc w:val="left"/>
        <w:rPr>
          <w:rFonts w:ascii="黑体" w:hAnsi="宋体" w:eastAsia="黑体" w:cs="宋体"/>
          <w:color w:val="000000"/>
          <w:kern w:val="0"/>
          <w:szCs w:val="32"/>
          <w:shd w:val="clear" w:color="auto" w:fill="FFFFFF"/>
        </w:rPr>
      </w:pPr>
      <w:r>
        <w:rPr>
          <w:rFonts w:hint="eastAsia" w:ascii="黑体" w:hAnsi="宋体" w:eastAsia="黑体" w:cs="宋体"/>
          <w:color w:val="000000"/>
          <w:kern w:val="0"/>
          <w:szCs w:val="32"/>
          <w:shd w:val="clear" w:color="auto" w:fill="FFFFFF"/>
        </w:rPr>
        <w:t>四、评价结论及建议</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（一）评价结论。</w:t>
      </w:r>
    </w:p>
    <w:p>
      <w:pPr>
        <w:spacing w:line="580" w:lineRule="exact"/>
        <w:ind w:firstLine="640" w:firstLineChars="200"/>
      </w:pPr>
      <w:r>
        <w:rPr>
          <w:szCs w:val="32"/>
        </w:rPr>
        <w:t>通过绩效评价，20</w:t>
      </w:r>
      <w:r>
        <w:rPr>
          <w:rFonts w:hint="eastAsia"/>
          <w:szCs w:val="32"/>
        </w:rPr>
        <w:t>20</w:t>
      </w:r>
      <w:r>
        <w:rPr>
          <w:szCs w:val="32"/>
        </w:rPr>
        <w:t>年度部门预算具有明确的目标，制定了详细的执行计划，资金到位及时严格按照财政有关规定使用，全年收支平衡，略有节余。预算管理、执行规范，取得了良好的经济效益和社会效益。</w:t>
      </w:r>
    </w:p>
    <w:p>
      <w:pPr>
        <w:pStyle w:val="2"/>
        <w:rPr>
          <w:lang w:val="zh-CN"/>
        </w:rPr>
      </w:pPr>
    </w:p>
    <w:p>
      <w:pPr>
        <w:widowControl/>
        <w:numPr>
          <w:ilvl w:val="0"/>
          <w:numId w:val="6"/>
        </w:numPr>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存在问题。</w:t>
      </w:r>
    </w:p>
    <w:p>
      <w:pPr>
        <w:numPr>
          <w:ilvl w:val="0"/>
          <w:numId w:val="0"/>
        </w:numPr>
        <w:ind w:firstLine="640" w:firstLineChars="200"/>
        <w:rPr>
          <w:rFonts w:hint="eastAsia"/>
          <w:lang w:val="en-US" w:eastAsia="zh-CN"/>
        </w:rPr>
      </w:pPr>
      <w:r>
        <w:rPr>
          <w:rFonts w:hint="eastAsia"/>
          <w:lang w:val="en-US" w:eastAsia="zh-CN"/>
        </w:rPr>
        <w:t>1.财务学习有待进一步加强，学习财务相关制度。</w:t>
      </w:r>
    </w:p>
    <w:p>
      <w:pPr>
        <w:pStyle w:val="2"/>
        <w:numPr>
          <w:ilvl w:val="0"/>
          <w:numId w:val="0"/>
        </w:numPr>
        <w:ind w:firstLine="640" w:firstLineChars="200"/>
        <w:rPr>
          <w:rFonts w:hint="eastAsia"/>
          <w:lang w:val="en-US" w:eastAsia="zh-CN"/>
        </w:rPr>
      </w:pPr>
      <w:r>
        <w:rPr>
          <w:rFonts w:hint="eastAsia"/>
          <w:lang w:val="en-US" w:eastAsia="zh-CN"/>
        </w:rPr>
        <w:t>2.业务水平有待进一步提高，会计人员要进一步提高业务水平，做好预决算工作。</w:t>
      </w:r>
    </w:p>
    <w:p>
      <w:pPr>
        <w:widowControl/>
        <w:adjustRightInd w:val="0"/>
        <w:snapToGrid w:val="0"/>
        <w:spacing w:line="580" w:lineRule="exact"/>
        <w:ind w:firstLine="640" w:firstLineChars="200"/>
        <w:contextualSpacing/>
        <w:jc w:val="left"/>
        <w:rPr>
          <w:rFonts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（三）改进建议。</w:t>
      </w:r>
    </w:p>
    <w:p>
      <w:pPr>
        <w:ind w:firstLine="640" w:firstLineChars="200"/>
        <w:rPr>
          <w:rFonts w:hint="eastAsia"/>
        </w:rPr>
      </w:pPr>
      <w:r>
        <w:rPr>
          <w:rFonts w:hint="eastAsia" w:ascii="仿宋_GB2312" w:hAnsi="仿宋_GB2312" w:cs="仿宋_GB2312"/>
          <w:szCs w:val="32"/>
          <w:lang w:val="en-US" w:eastAsia="zh-CN"/>
        </w:rPr>
        <w:t>1.</w:t>
      </w:r>
      <w:r>
        <w:rPr>
          <w:rFonts w:hint="eastAsia"/>
        </w:rPr>
        <w:t>继续从严控制“三公经费”支出，保持厉行节约的工</w:t>
      </w:r>
    </w:p>
    <w:p>
      <w:pPr>
        <w:rPr>
          <w:rFonts w:hint="eastAsia"/>
        </w:rPr>
      </w:pPr>
      <w:r>
        <w:rPr>
          <w:rFonts w:hint="eastAsia"/>
        </w:rPr>
        <w:t>作作风。</w:t>
      </w:r>
    </w:p>
    <w:p>
      <w:pPr>
        <w:pStyle w:val="2"/>
        <w:ind w:left="0" w:leftChars="0" w:firstLine="640" w:firstLineChars="200"/>
        <w:rPr>
          <w:rFonts w:hint="default" w:eastAsia="仿宋_GB2312"/>
          <w:lang w:val="en-US" w:eastAsia="zh-CN"/>
        </w:rPr>
      </w:pPr>
      <w:r>
        <w:rPr>
          <w:rFonts w:hint="eastAsia"/>
          <w:lang w:val="en-US" w:eastAsia="zh-CN"/>
        </w:rPr>
        <w:t>2.加强财务管理，严格执行财经制度，规范资金用途，杜绝超支浪费的现象发生。</w:t>
      </w:r>
    </w:p>
    <w:p>
      <w:pPr>
        <w:spacing w:line="580" w:lineRule="exact"/>
        <w:ind w:firstLine="640" w:firstLineChars="200"/>
        <w:rPr>
          <w:rFonts w:hint="default" w:ascii="仿宋_GB2312" w:hAnsi="仿宋_GB2312" w:eastAsia="仿宋_GB2312" w:cs="仿宋_GB2312"/>
          <w:szCs w:val="32"/>
          <w:lang w:val="en-US" w:eastAsia="zh-CN"/>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p>
    <w:p>
      <w:pPr>
        <w:spacing w:line="580" w:lineRule="exact"/>
        <w:ind w:firstLine="640" w:firstLineChars="200"/>
        <w:rPr>
          <w:rFonts w:ascii="仿宋_GB2312" w:hAnsi="仿宋_GB2312" w:cs="仿宋_GB2312"/>
          <w:szCs w:val="32"/>
        </w:rPr>
      </w:pPr>
      <w:r>
        <w:rPr>
          <w:rFonts w:hint="eastAsia" w:ascii="仿宋_GB2312" w:hAnsi="仿宋_GB2312" w:cs="仿宋_GB2312"/>
          <w:szCs w:val="32"/>
        </w:rPr>
        <w:t xml:space="preserve"> </w:t>
      </w:r>
    </w:p>
    <w:p>
      <w:pPr>
        <w:spacing w:line="580" w:lineRule="exact"/>
        <w:outlineLvl w:val="1"/>
        <w:rPr>
          <w:rFonts w:ascii="仿宋_GB2312" w:hAnsi="仿宋_GB2312" w:cs="仿宋_GB2312"/>
          <w:szCs w:val="32"/>
        </w:rPr>
      </w:pPr>
      <w:bookmarkStart w:id="62" w:name="_Toc11602"/>
      <w:r>
        <w:rPr>
          <w:rFonts w:hint="eastAsia" w:ascii="黑体" w:hAnsi="黑体" w:eastAsia="黑体" w:cs="黑体"/>
          <w:szCs w:val="32"/>
        </w:rPr>
        <w:t>附件</w:t>
      </w:r>
      <w:r>
        <w:rPr>
          <w:rFonts w:ascii="黑体" w:hAnsi="黑体" w:eastAsia="黑体" w:cs="黑体"/>
          <w:szCs w:val="32"/>
        </w:rPr>
        <w:t>2</w:t>
      </w:r>
      <w:bookmarkEnd w:id="62"/>
    </w:p>
    <w:p>
      <w:pPr>
        <w:spacing w:line="600" w:lineRule="exact"/>
        <w:jc w:val="center"/>
        <w:rPr>
          <w:rFonts w:eastAsia="方正小标宋简体"/>
          <w:color w:val="000000"/>
          <w:kern w:val="0"/>
          <w:sz w:val="44"/>
          <w:szCs w:val="44"/>
        </w:rPr>
      </w:pPr>
      <w:r>
        <w:rPr>
          <w:rFonts w:eastAsia="方正小标宋简体"/>
          <w:color w:val="000000"/>
          <w:kern w:val="0"/>
          <w:sz w:val="44"/>
          <w:szCs w:val="44"/>
        </w:rPr>
        <w:t>自贡市自流井区投资促进局</w:t>
      </w:r>
    </w:p>
    <w:p>
      <w:pPr>
        <w:spacing w:line="600" w:lineRule="exact"/>
        <w:jc w:val="center"/>
        <w:rPr>
          <w:rFonts w:ascii="方正小标宋简体" w:hAnsi="宋体" w:eastAsia="方正小标宋简体"/>
          <w:color w:val="000000"/>
          <w:kern w:val="0"/>
          <w:sz w:val="44"/>
          <w:szCs w:val="44"/>
          <w:lang w:val="zh-CN"/>
        </w:rPr>
      </w:pPr>
      <w:r>
        <w:rPr>
          <w:rFonts w:hint="eastAsia" w:ascii="方正小标宋简体" w:hAnsi="宋体" w:eastAsia="方正小标宋简体"/>
          <w:color w:val="000000"/>
          <w:kern w:val="0"/>
          <w:sz w:val="44"/>
          <w:szCs w:val="44"/>
        </w:rPr>
        <w:t>招商引资</w:t>
      </w:r>
      <w:r>
        <w:rPr>
          <w:rFonts w:hint="eastAsia" w:ascii="方正小标宋简体" w:hAnsi="宋体" w:eastAsia="方正小标宋简体"/>
          <w:color w:val="000000"/>
          <w:kern w:val="0"/>
          <w:sz w:val="44"/>
          <w:szCs w:val="44"/>
          <w:lang w:val="zh-CN"/>
        </w:rPr>
        <w:t>项目</w:t>
      </w:r>
      <w:r>
        <w:rPr>
          <w:rFonts w:ascii="方正小标宋简体" w:hAnsi="宋体" w:eastAsia="方正小标宋简体"/>
          <w:color w:val="000000"/>
          <w:kern w:val="0"/>
          <w:sz w:val="44"/>
          <w:szCs w:val="44"/>
        </w:rPr>
        <w:t>2020</w:t>
      </w:r>
      <w:r>
        <w:rPr>
          <w:rFonts w:hint="eastAsia" w:ascii="方正小标宋简体" w:hAnsi="宋体" w:eastAsia="方正小标宋简体"/>
          <w:color w:val="000000"/>
          <w:kern w:val="0"/>
          <w:sz w:val="44"/>
          <w:szCs w:val="44"/>
        </w:rPr>
        <w:t>年</w:t>
      </w:r>
      <w:r>
        <w:rPr>
          <w:rFonts w:hint="eastAsia" w:ascii="方正小标宋简体" w:hAnsi="宋体" w:eastAsia="方正小标宋简体"/>
          <w:color w:val="000000"/>
          <w:kern w:val="0"/>
          <w:sz w:val="44"/>
          <w:szCs w:val="44"/>
          <w:lang w:val="zh-CN"/>
        </w:rPr>
        <w:t>绩效评价报告</w:t>
      </w:r>
    </w:p>
    <w:p>
      <w:pPr>
        <w:spacing w:line="600" w:lineRule="exact"/>
        <w:rPr>
          <w:rFonts w:ascii="宋体"/>
          <w:szCs w:val="32"/>
          <w:lang w:val="zh-CN"/>
        </w:rPr>
      </w:pPr>
    </w:p>
    <w:p>
      <w:pPr>
        <w:adjustRightInd w:val="0"/>
        <w:snapToGrid w:val="0"/>
        <w:spacing w:line="600" w:lineRule="exact"/>
        <w:ind w:firstLine="720"/>
        <w:rPr>
          <w:rFonts w:ascii="黑体" w:hAnsi="宋体" w:eastAsia="黑体"/>
          <w:szCs w:val="32"/>
          <w:lang w:val="zh-CN"/>
        </w:rPr>
      </w:pPr>
      <w:r>
        <w:rPr>
          <w:rFonts w:hint="eastAsia" w:ascii="黑体" w:hAnsi="宋体" w:eastAsia="黑体"/>
          <w:szCs w:val="32"/>
        </w:rPr>
        <w:t>一、</w:t>
      </w:r>
      <w:r>
        <w:rPr>
          <w:rFonts w:hint="eastAsia" w:ascii="黑体" w:hAnsi="宋体" w:eastAsia="黑体"/>
          <w:szCs w:val="32"/>
          <w:lang w:val="zh-CN"/>
        </w:rPr>
        <w:t>项目概况</w:t>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（一）项目基本情况。</w:t>
      </w:r>
    </w:p>
    <w:p>
      <w:pPr>
        <w:adjustRightInd w:val="0"/>
        <w:snapToGrid w:val="0"/>
        <w:spacing w:line="600" w:lineRule="exact"/>
        <w:ind w:firstLine="720"/>
        <w:rPr>
          <w:szCs w:val="32"/>
        </w:rPr>
      </w:pPr>
      <w:r>
        <w:rPr>
          <w:rFonts w:ascii="仿宋_GB2312" w:hAnsi="宋体"/>
          <w:szCs w:val="32"/>
          <w:lang w:val="zh-CN"/>
        </w:rPr>
        <w:t>1</w:t>
      </w:r>
      <w:r>
        <w:rPr>
          <w:rFonts w:hint="eastAsia" w:ascii="仿宋_GB2312" w:hAnsi="宋体"/>
          <w:szCs w:val="32"/>
          <w:lang w:val="zh-CN"/>
        </w:rPr>
        <w:t>．</w:t>
      </w:r>
      <w:r>
        <w:rPr>
          <w:szCs w:val="32"/>
          <w:lang w:val="zh-CN"/>
        </w:rPr>
        <w:t>1</w:t>
      </w:r>
      <w:r>
        <w:rPr>
          <w:szCs w:val="32"/>
        </w:rPr>
        <w:t>.</w:t>
      </w:r>
      <w:r>
        <w:rPr>
          <w:szCs w:val="32"/>
          <w:lang w:val="zh-CN"/>
        </w:rPr>
        <w:t>自贡市自流井区投资促进局负责建立和完善对外开放、投资促进、经济合作的区内外组织体系、信息网络和项目库，组织和指导重大招商引资活动项目。</w:t>
      </w:r>
    </w:p>
    <w:p>
      <w:pPr>
        <w:adjustRightInd w:val="0"/>
        <w:snapToGrid w:val="0"/>
        <w:spacing w:line="600" w:lineRule="exact"/>
        <w:ind w:firstLine="720"/>
        <w:rPr>
          <w:szCs w:val="32"/>
          <w:lang w:val="zh-CN"/>
        </w:rPr>
      </w:pPr>
      <w:r>
        <w:rPr>
          <w:szCs w:val="32"/>
          <w:lang w:val="zh-CN"/>
        </w:rPr>
        <w:t>2</w:t>
      </w:r>
      <w:r>
        <w:rPr>
          <w:szCs w:val="32"/>
        </w:rPr>
        <w:t>.</w:t>
      </w:r>
      <w:r>
        <w:rPr>
          <w:szCs w:val="32"/>
          <w:lang w:val="zh-CN"/>
        </w:rPr>
        <w:t>参加省市重大招商引资活动，自主举办招商推介活动。</w:t>
      </w:r>
    </w:p>
    <w:p>
      <w:pPr>
        <w:adjustRightInd w:val="0"/>
        <w:snapToGrid w:val="0"/>
        <w:spacing w:line="600" w:lineRule="exact"/>
        <w:ind w:firstLine="720"/>
        <w:rPr>
          <w:szCs w:val="32"/>
          <w:lang w:val="zh-CN"/>
        </w:rPr>
      </w:pPr>
      <w:r>
        <w:rPr>
          <w:szCs w:val="32"/>
          <w:lang w:val="zh-CN"/>
        </w:rPr>
        <w:t>3</w:t>
      </w:r>
      <w:r>
        <w:rPr>
          <w:szCs w:val="32"/>
        </w:rPr>
        <w:t>.</w:t>
      </w:r>
      <w:r>
        <w:rPr>
          <w:szCs w:val="32"/>
          <w:lang w:val="zh-CN"/>
        </w:rPr>
        <w:t>招商引资资金管理严格按照专款专用，资金主要用于招商活动中的差旅、租赁、广告等费用。</w:t>
      </w:r>
    </w:p>
    <w:p>
      <w:pPr>
        <w:adjustRightInd w:val="0"/>
        <w:snapToGrid w:val="0"/>
        <w:spacing w:line="600" w:lineRule="exact"/>
        <w:ind w:firstLine="720"/>
        <w:rPr>
          <w:szCs w:val="32"/>
          <w:lang w:val="zh-CN"/>
        </w:rPr>
      </w:pPr>
      <w:r>
        <w:rPr>
          <w:szCs w:val="32"/>
          <w:lang w:val="zh-CN"/>
        </w:rPr>
        <w:t>4．招商引资资金分配的原则按照开展招商活动来分配，考虑因素是在开展活动时是否按时申报了资金计划。</w:t>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（二）项目绩效目标。</w:t>
      </w:r>
    </w:p>
    <w:p>
      <w:pPr>
        <w:adjustRightInd w:val="0"/>
        <w:snapToGrid w:val="0"/>
        <w:spacing w:line="600" w:lineRule="exact"/>
        <w:ind w:firstLine="720"/>
        <w:rPr>
          <w:szCs w:val="32"/>
          <w:lang w:val="zh-CN"/>
        </w:rPr>
      </w:pPr>
      <w:r>
        <w:rPr>
          <w:szCs w:val="32"/>
          <w:lang w:val="zh-CN"/>
        </w:rPr>
        <w:t>1</w:t>
      </w:r>
      <w:r>
        <w:rPr>
          <w:szCs w:val="32"/>
        </w:rPr>
        <w:t>.</w:t>
      </w:r>
      <w:r>
        <w:rPr>
          <w:szCs w:val="32"/>
          <w:lang w:val="zh-CN"/>
        </w:rPr>
        <w:t>招商推介活动的主要内容是展示我区的发展规划和发展理念，突出我区发展优势，引进外资企业入驻。</w:t>
      </w:r>
    </w:p>
    <w:p>
      <w:pPr>
        <w:adjustRightInd w:val="0"/>
        <w:snapToGrid w:val="0"/>
        <w:spacing w:line="600" w:lineRule="exact"/>
        <w:ind w:firstLine="720"/>
        <w:rPr>
          <w:szCs w:val="32"/>
          <w:lang w:val="zh-CN"/>
        </w:rPr>
      </w:pPr>
      <w:r>
        <w:rPr>
          <w:szCs w:val="32"/>
          <w:lang w:val="zh-CN"/>
        </w:rPr>
        <w:t>2</w:t>
      </w:r>
      <w:r>
        <w:rPr>
          <w:szCs w:val="32"/>
        </w:rPr>
        <w:t>.</w:t>
      </w:r>
      <w:r>
        <w:rPr>
          <w:szCs w:val="32"/>
          <w:lang w:val="zh-CN"/>
        </w:rPr>
        <w:t>招商推介活动应实现的具体绩效目标，完成签约数</w:t>
      </w:r>
      <w:r>
        <w:rPr>
          <w:szCs w:val="32"/>
        </w:rPr>
        <w:t>2</w:t>
      </w:r>
      <w:r>
        <w:rPr>
          <w:rFonts w:hint="eastAsia"/>
          <w:szCs w:val="32"/>
        </w:rPr>
        <w:t>3</w:t>
      </w:r>
      <w:r>
        <w:rPr>
          <w:szCs w:val="32"/>
        </w:rPr>
        <w:t>个，增加就业岗位80个，服务对象满意度90%等。</w:t>
      </w:r>
    </w:p>
    <w:p>
      <w:pPr>
        <w:adjustRightInd w:val="0"/>
        <w:snapToGrid w:val="0"/>
        <w:spacing w:line="600" w:lineRule="exact"/>
        <w:ind w:firstLine="720"/>
        <w:rPr>
          <w:szCs w:val="32"/>
          <w:lang w:val="zh-CN"/>
        </w:rPr>
      </w:pPr>
      <w:r>
        <w:rPr>
          <w:szCs w:val="32"/>
          <w:lang w:val="zh-CN"/>
        </w:rPr>
        <w:t>3</w:t>
      </w:r>
      <w:r>
        <w:rPr>
          <w:szCs w:val="32"/>
        </w:rPr>
        <w:t>.</w:t>
      </w:r>
      <w:r>
        <w:rPr>
          <w:szCs w:val="32"/>
          <w:lang w:val="zh-CN"/>
        </w:rPr>
        <w:t>招商推介活动申报的内容与实际相符，申报的目标合理可行。</w:t>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（三）项目自评步骤及方法。</w:t>
      </w:r>
    </w:p>
    <w:p>
      <w:pPr>
        <w:adjustRightInd w:val="0"/>
        <w:snapToGrid w:val="0"/>
        <w:spacing w:line="600" w:lineRule="exact"/>
        <w:ind w:firstLine="720"/>
        <w:rPr>
          <w:szCs w:val="32"/>
          <w:lang w:val="zh-CN"/>
        </w:rPr>
      </w:pPr>
      <w:r>
        <w:rPr>
          <w:szCs w:val="32"/>
          <w:lang w:val="zh-CN"/>
        </w:rPr>
        <w:t>招商推介活动绩效自评采用的是按是否完成省市区下达招商引资任务，完成考核目标。</w:t>
      </w:r>
    </w:p>
    <w:p>
      <w:pPr>
        <w:adjustRightInd w:val="0"/>
        <w:snapToGrid w:val="0"/>
        <w:spacing w:line="600" w:lineRule="exact"/>
        <w:ind w:firstLine="720"/>
        <w:rPr>
          <w:rFonts w:ascii="黑体" w:hAnsi="宋体" w:eastAsia="黑体"/>
          <w:szCs w:val="32"/>
        </w:rPr>
      </w:pPr>
      <w:r>
        <w:rPr>
          <w:rFonts w:hint="eastAsia" w:ascii="黑体" w:hAnsi="宋体" w:eastAsia="黑体"/>
          <w:szCs w:val="32"/>
        </w:rPr>
        <w:t>二、项目资金申报及使用情况</w:t>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（一）项目资金申报及批复情况。</w:t>
      </w:r>
    </w:p>
    <w:p>
      <w:pPr>
        <w:adjustRightInd w:val="0"/>
        <w:snapToGrid w:val="0"/>
        <w:spacing w:line="600" w:lineRule="exact"/>
        <w:ind w:firstLine="720"/>
        <w:rPr>
          <w:szCs w:val="32"/>
          <w:lang w:val="zh-CN"/>
        </w:rPr>
      </w:pPr>
      <w:r>
        <w:rPr>
          <w:szCs w:val="32"/>
          <w:lang w:val="zh-CN"/>
        </w:rPr>
        <w:t>招商推介活动资金每年年初提交预算、财政给予预算批复每年活动资金金额，每月按活动安排申报资金。</w:t>
      </w:r>
    </w:p>
    <w:p>
      <w:pPr>
        <w:adjustRightInd w:val="0"/>
        <w:snapToGrid w:val="0"/>
        <w:spacing w:line="600" w:lineRule="exact"/>
        <w:ind w:firstLine="720"/>
        <w:rPr>
          <w:rFonts w:ascii="仿宋_GB2312" w:hAnsi="宋体"/>
          <w:szCs w:val="32"/>
          <w:lang w:val="zh-CN"/>
        </w:rPr>
      </w:pPr>
      <w:r>
        <w:rPr>
          <w:rFonts w:hint="eastAsia" w:ascii="楷体_GB2312" w:hAnsi="宋体" w:eastAsia="楷体_GB2312"/>
          <w:b/>
          <w:szCs w:val="32"/>
          <w:lang w:val="zh-CN"/>
        </w:rPr>
        <w:t>（二）资金计划、到位及使用情况（可用表格形式反映）。</w:t>
      </w:r>
    </w:p>
    <w:p>
      <w:pPr>
        <w:adjustRightInd w:val="0"/>
        <w:snapToGrid w:val="0"/>
        <w:spacing w:line="600" w:lineRule="exact"/>
        <w:ind w:firstLine="720"/>
        <w:rPr>
          <w:szCs w:val="32"/>
          <w:lang w:val="zh-CN"/>
        </w:rPr>
      </w:pPr>
      <w:r>
        <w:rPr>
          <w:rFonts w:ascii="楷体_GB2312" w:hAnsi="宋体" w:eastAsia="楷体_GB2312"/>
          <w:szCs w:val="32"/>
          <w:lang w:val="zh-CN"/>
        </w:rPr>
        <w:t>1</w:t>
      </w:r>
      <w:r>
        <w:rPr>
          <w:rFonts w:hint="eastAsia" w:ascii="楷体_GB2312" w:hAnsi="宋体" w:eastAsia="楷体_GB2312"/>
          <w:szCs w:val="32"/>
          <w:lang w:val="zh-CN"/>
        </w:rPr>
        <w:t>．资金计划。</w:t>
      </w:r>
      <w:r>
        <w:rPr>
          <w:szCs w:val="32"/>
          <w:lang w:val="zh-CN"/>
        </w:rPr>
        <w:t>年初区财政安排资金预算。</w:t>
      </w:r>
    </w:p>
    <w:p>
      <w:pPr>
        <w:adjustRightInd w:val="0"/>
        <w:snapToGrid w:val="0"/>
        <w:spacing w:line="600" w:lineRule="exact"/>
        <w:ind w:firstLine="720"/>
        <w:rPr>
          <w:szCs w:val="32"/>
        </w:rPr>
      </w:pPr>
      <w:r>
        <w:rPr>
          <w:rFonts w:ascii="楷体_GB2312" w:hAnsi="宋体" w:eastAsia="楷体_GB2312"/>
          <w:szCs w:val="32"/>
          <w:lang w:val="zh-CN"/>
        </w:rPr>
        <w:t>2</w:t>
      </w:r>
      <w:r>
        <w:rPr>
          <w:rFonts w:hint="eastAsia" w:ascii="楷体_GB2312" w:hAnsi="宋体" w:eastAsia="楷体_GB2312"/>
          <w:szCs w:val="32"/>
          <w:lang w:val="zh-CN"/>
        </w:rPr>
        <w:t>．资金到位。</w:t>
      </w:r>
      <w:r>
        <w:rPr>
          <w:szCs w:val="32"/>
          <w:lang w:val="zh-CN"/>
        </w:rPr>
        <w:t>招商推介活动资金全部是区财政资金，无自筹资金。</w:t>
      </w:r>
      <w:r>
        <w:rPr>
          <w:szCs w:val="32"/>
        </w:rPr>
        <w:t>20</w:t>
      </w:r>
      <w:r>
        <w:rPr>
          <w:rFonts w:hint="eastAsia"/>
          <w:szCs w:val="32"/>
        </w:rPr>
        <w:t>20</w:t>
      </w:r>
      <w:r>
        <w:rPr>
          <w:szCs w:val="32"/>
        </w:rPr>
        <w:t>年年初预算</w:t>
      </w:r>
      <w:r>
        <w:rPr>
          <w:rFonts w:hint="eastAsia"/>
          <w:szCs w:val="32"/>
          <w:lang w:val="en-US" w:eastAsia="zh-CN"/>
        </w:rPr>
        <w:t>120</w:t>
      </w:r>
      <w:r>
        <w:rPr>
          <w:szCs w:val="32"/>
        </w:rPr>
        <w:t>万元。</w:t>
      </w:r>
    </w:p>
    <w:p>
      <w:pPr>
        <w:adjustRightInd w:val="0"/>
        <w:snapToGrid w:val="0"/>
        <w:spacing w:line="600" w:lineRule="exact"/>
        <w:ind w:firstLine="720"/>
        <w:rPr>
          <w:szCs w:val="32"/>
          <w:lang w:val="zh-CN"/>
        </w:rPr>
      </w:pPr>
      <w:r>
        <w:rPr>
          <w:rFonts w:ascii="楷体_GB2312" w:hAnsi="宋体" w:eastAsia="楷体_GB2312"/>
          <w:szCs w:val="32"/>
          <w:lang w:val="zh-CN"/>
        </w:rPr>
        <w:t>3</w:t>
      </w:r>
      <w:r>
        <w:rPr>
          <w:rFonts w:hint="eastAsia" w:ascii="楷体_GB2312" w:hAnsi="宋体" w:eastAsia="楷体_GB2312"/>
          <w:szCs w:val="32"/>
          <w:lang w:val="zh-CN"/>
        </w:rPr>
        <w:t>．资金使用。</w:t>
      </w:r>
      <w:r>
        <w:rPr>
          <w:szCs w:val="32"/>
          <w:lang w:val="zh-CN"/>
        </w:rPr>
        <w:t>招商推介活动资金支出</w:t>
      </w:r>
      <w:r>
        <w:rPr>
          <w:rFonts w:hint="eastAsia"/>
          <w:szCs w:val="32"/>
        </w:rPr>
        <w:t>70.5</w:t>
      </w:r>
      <w:r>
        <w:rPr>
          <w:szCs w:val="32"/>
        </w:rPr>
        <w:t>万元，完成严格专款专用。</w:t>
      </w:r>
      <w:r>
        <w:rPr>
          <w:szCs w:val="32"/>
          <w:lang w:val="zh-CN"/>
        </w:rPr>
        <w:t>对资金使用的安全性、规范性及有效性进行重点分析，包括资金支付范围、支付标准、支付进度、支付依据等合规合法、预算相符，无发现其他相关问题。</w:t>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（三）项目财务管理情况。</w:t>
      </w:r>
    </w:p>
    <w:p>
      <w:pPr>
        <w:adjustRightInd w:val="0"/>
        <w:snapToGrid w:val="0"/>
        <w:spacing w:line="600" w:lineRule="exact"/>
        <w:ind w:firstLine="720"/>
        <w:rPr>
          <w:szCs w:val="32"/>
          <w:lang w:val="zh-CN"/>
        </w:rPr>
      </w:pPr>
      <w:r>
        <w:rPr>
          <w:szCs w:val="32"/>
          <w:lang w:val="zh-CN"/>
        </w:rPr>
        <w:t>招商推介活动项目实施单位财务管理制度健全，严格执行财务管理制度，账务处理及时，会计核算规范。</w:t>
      </w:r>
    </w:p>
    <w:p>
      <w:pPr>
        <w:adjustRightInd w:val="0"/>
        <w:snapToGrid w:val="0"/>
        <w:spacing w:line="600" w:lineRule="exact"/>
        <w:ind w:firstLine="720"/>
        <w:rPr>
          <w:rFonts w:ascii="黑体" w:hAnsi="宋体" w:eastAsia="黑体"/>
          <w:szCs w:val="32"/>
        </w:rPr>
      </w:pPr>
      <w:r>
        <w:rPr>
          <w:rFonts w:hint="eastAsia" w:ascii="黑体" w:hAnsi="宋体" w:eastAsia="黑体"/>
          <w:szCs w:val="32"/>
        </w:rPr>
        <w:t>三、项目实施及管理情况</w:t>
      </w:r>
    </w:p>
    <w:p>
      <w:pPr>
        <w:adjustRightInd w:val="0"/>
        <w:snapToGrid w:val="0"/>
        <w:spacing w:line="600" w:lineRule="exact"/>
        <w:ind w:firstLine="720"/>
        <w:rPr>
          <w:szCs w:val="32"/>
          <w:lang w:val="zh-CN"/>
        </w:rPr>
      </w:pPr>
      <w:r>
        <w:rPr>
          <w:rFonts w:hint="eastAsia"/>
          <w:szCs w:val="32"/>
          <w:lang w:val="zh-CN"/>
        </w:rPr>
        <w:t>根据</w:t>
      </w:r>
      <w:r>
        <w:rPr>
          <w:szCs w:val="32"/>
          <w:lang w:val="zh-CN"/>
        </w:rPr>
        <w:t>招商推介活动项目组织实施管理办法</w:t>
      </w:r>
    </w:p>
    <w:p>
      <w:pPr>
        <w:numPr>
          <w:ilvl w:val="0"/>
          <w:numId w:val="7"/>
        </w:num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项目组织架构及实施流程。</w:t>
      </w:r>
    </w:p>
    <w:p>
      <w:pPr>
        <w:adjustRightInd w:val="0"/>
        <w:snapToGrid w:val="0"/>
        <w:spacing w:line="600" w:lineRule="exact"/>
        <w:rPr>
          <w:rFonts w:eastAsia="楷体_GB2312"/>
          <w:b/>
          <w:szCs w:val="32"/>
          <w:lang w:val="zh-CN"/>
        </w:rPr>
      </w:pPr>
      <w:r>
        <w:rPr>
          <w:szCs w:val="32"/>
          <w:lang w:val="zh-CN"/>
        </w:rPr>
        <w:t>　招商推介活动项目首先理出工作方案，按照方案步骤组织实施。</w:t>
      </w:r>
    </w:p>
    <w:p>
      <w:pPr>
        <w:adjustRightInd w:val="0"/>
        <w:snapToGrid w:val="0"/>
        <w:spacing w:line="600" w:lineRule="exact"/>
        <w:ind w:firstLine="720"/>
        <w:rPr>
          <w:szCs w:val="32"/>
          <w:lang w:val="zh-CN"/>
        </w:rPr>
      </w:pPr>
      <w:r>
        <w:rPr>
          <w:rFonts w:hint="eastAsia" w:ascii="楷体_GB2312" w:hAnsi="宋体" w:eastAsia="楷体_GB2312"/>
          <w:b/>
          <w:szCs w:val="32"/>
          <w:lang w:val="zh-CN"/>
        </w:rPr>
        <w:t>（二）项目管理情况。</w:t>
      </w:r>
      <w:r>
        <w:rPr>
          <w:szCs w:val="32"/>
          <w:lang w:val="zh-CN"/>
        </w:rPr>
        <w:t>招商引资工作严格严格按照招商方案进行。</w:t>
      </w:r>
    </w:p>
    <w:p>
      <w:pPr>
        <w:adjustRightInd w:val="0"/>
        <w:snapToGrid w:val="0"/>
        <w:spacing w:line="600" w:lineRule="exact"/>
        <w:ind w:firstLine="720"/>
        <w:rPr>
          <w:rFonts w:ascii="仿宋_GB2312" w:hAnsi="宋体"/>
          <w:szCs w:val="32"/>
          <w:lang w:val="zh-CN"/>
        </w:rPr>
      </w:pPr>
      <w:r>
        <w:rPr>
          <w:rFonts w:hint="eastAsia" w:ascii="楷体_GB2312" w:hAnsi="宋体" w:eastAsia="楷体_GB2312"/>
          <w:b/>
          <w:szCs w:val="32"/>
          <w:lang w:val="zh-CN"/>
        </w:rPr>
        <w:t>（三）项目监管情况。</w:t>
      </w:r>
      <w:r>
        <w:rPr>
          <w:rFonts w:hint="eastAsia" w:ascii="仿宋_GB2312" w:hAnsi="宋体"/>
          <w:szCs w:val="32"/>
          <w:lang w:val="zh-CN"/>
        </w:rPr>
        <w:t>我局在招商引资项目中严格加强项目管理和监管工作，事前做好招商引资方案，然后此方案必须要经区领导同意后方可开展此项目，并完成项目任务工作。</w:t>
      </w:r>
    </w:p>
    <w:p>
      <w:pPr>
        <w:adjustRightInd w:val="0"/>
        <w:snapToGrid w:val="0"/>
        <w:spacing w:line="600" w:lineRule="exact"/>
        <w:ind w:firstLine="720"/>
        <w:rPr>
          <w:rFonts w:ascii="仿宋_GB2312" w:hAnsi="宋体"/>
          <w:szCs w:val="32"/>
          <w:lang w:val="zh-CN"/>
        </w:rPr>
      </w:pPr>
      <w:r>
        <w:rPr>
          <w:rFonts w:hint="eastAsia" w:ascii="黑体" w:hAnsi="宋体" w:eastAsia="黑体"/>
          <w:szCs w:val="32"/>
        </w:rPr>
        <w:t>四、项目绩效情况</w:t>
      </w:r>
      <w:r>
        <w:rPr>
          <w:rFonts w:ascii="仿宋_GB2312" w:hAnsi="宋体"/>
          <w:szCs w:val="32"/>
          <w:lang w:val="zh-CN"/>
        </w:rPr>
        <w:tab/>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（一）项目完成情况。</w:t>
      </w:r>
    </w:p>
    <w:p>
      <w:pPr>
        <w:adjustRightInd w:val="0"/>
        <w:snapToGrid w:val="0"/>
        <w:spacing w:line="600" w:lineRule="exact"/>
        <w:ind w:firstLine="720"/>
        <w:rPr>
          <w:szCs w:val="32"/>
          <w:lang w:val="zh-CN"/>
        </w:rPr>
      </w:pPr>
      <w:r>
        <w:rPr>
          <w:szCs w:val="32"/>
          <w:lang w:val="zh-CN"/>
        </w:rPr>
        <w:t>招商推介活动项目完成签约数量</w:t>
      </w:r>
      <w:r>
        <w:rPr>
          <w:szCs w:val="32"/>
        </w:rPr>
        <w:t>2</w:t>
      </w:r>
      <w:r>
        <w:rPr>
          <w:rFonts w:hint="eastAsia"/>
          <w:szCs w:val="32"/>
        </w:rPr>
        <w:t>3</w:t>
      </w:r>
      <w:r>
        <w:rPr>
          <w:szCs w:val="32"/>
        </w:rPr>
        <w:t>个，提供就业岗位</w:t>
      </w:r>
      <w:r>
        <w:rPr>
          <w:rFonts w:hint="eastAsia"/>
          <w:szCs w:val="32"/>
        </w:rPr>
        <w:t>80</w:t>
      </w:r>
      <w:r>
        <w:rPr>
          <w:szCs w:val="32"/>
        </w:rPr>
        <w:t>余个</w:t>
      </w:r>
      <w:r>
        <w:rPr>
          <w:szCs w:val="32"/>
          <w:lang w:val="zh-CN"/>
        </w:rPr>
        <w:t>、促进了当地经济发展。圆满完成省市区下达的招商引资工作任务。</w:t>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（二）项目效益情况。</w:t>
      </w:r>
    </w:p>
    <w:p>
      <w:pPr>
        <w:adjustRightInd w:val="0"/>
        <w:snapToGrid w:val="0"/>
        <w:spacing w:line="600" w:lineRule="exact"/>
        <w:ind w:firstLine="720"/>
        <w:rPr>
          <w:szCs w:val="32"/>
        </w:rPr>
      </w:pPr>
      <w:r>
        <w:rPr>
          <w:szCs w:val="32"/>
        </w:rPr>
        <w:t>完成了当年招商引资任务，完成签约数2</w:t>
      </w:r>
      <w:r>
        <w:rPr>
          <w:rFonts w:hint="eastAsia"/>
          <w:szCs w:val="32"/>
        </w:rPr>
        <w:t>3</w:t>
      </w:r>
      <w:r>
        <w:rPr>
          <w:szCs w:val="32"/>
        </w:rPr>
        <w:t>个，服务对象满意度达90%，提供用工岗位</w:t>
      </w:r>
      <w:r>
        <w:rPr>
          <w:rFonts w:hint="eastAsia"/>
          <w:szCs w:val="32"/>
        </w:rPr>
        <w:t>80</w:t>
      </w:r>
      <w:r>
        <w:rPr>
          <w:szCs w:val="32"/>
        </w:rPr>
        <w:t>余个，全面提升我区招商引资地位，全市排名第</w:t>
      </w:r>
      <w:r>
        <w:rPr>
          <w:rFonts w:hint="eastAsia"/>
          <w:szCs w:val="32"/>
        </w:rPr>
        <w:t>四</w:t>
      </w:r>
      <w:r>
        <w:rPr>
          <w:szCs w:val="32"/>
        </w:rPr>
        <w:t>位。</w:t>
      </w:r>
    </w:p>
    <w:p>
      <w:pPr>
        <w:adjustRightInd w:val="0"/>
        <w:snapToGrid w:val="0"/>
        <w:spacing w:line="600" w:lineRule="exact"/>
        <w:ind w:firstLine="720"/>
        <w:rPr>
          <w:rFonts w:ascii="黑体" w:hAnsi="宋体" w:eastAsia="黑体"/>
          <w:szCs w:val="32"/>
        </w:rPr>
      </w:pPr>
      <w:r>
        <w:rPr>
          <w:rFonts w:hint="eastAsia" w:ascii="黑体" w:hAnsi="宋体" w:eastAsia="黑体"/>
          <w:szCs w:val="32"/>
        </w:rPr>
        <w:t>五、评价结论及建议</w:t>
      </w:r>
    </w:p>
    <w:p>
      <w:p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（一）评价结论。</w:t>
      </w:r>
    </w:p>
    <w:p>
      <w:pPr>
        <w:adjustRightInd w:val="0"/>
        <w:snapToGrid w:val="0"/>
        <w:spacing w:line="600" w:lineRule="exact"/>
        <w:ind w:firstLine="960" w:firstLineChars="300"/>
        <w:rPr>
          <w:rFonts w:eastAsia="楷体_GB2312"/>
          <w:b/>
          <w:szCs w:val="32"/>
          <w:lang w:val="zh-CN"/>
        </w:rPr>
      </w:pPr>
      <w:r>
        <w:rPr>
          <w:szCs w:val="32"/>
          <w:lang w:val="zh-CN"/>
        </w:rPr>
        <w:t>招商推介活动项目支出绩效评价指标已圆满完成各项指标。</w:t>
      </w:r>
    </w:p>
    <w:p>
      <w:pPr>
        <w:numPr>
          <w:ilvl w:val="0"/>
          <w:numId w:val="7"/>
        </w:numPr>
        <w:adjustRightInd w:val="0"/>
        <w:snapToGrid w:val="0"/>
        <w:spacing w:line="600" w:lineRule="exact"/>
        <w:ind w:firstLine="720"/>
        <w:rPr>
          <w:rFonts w:ascii="楷体_GB2312" w:hAnsi="宋体" w:eastAsia="楷体_GB2312"/>
          <w:b/>
          <w:szCs w:val="32"/>
          <w:lang w:val="zh-CN"/>
        </w:rPr>
      </w:pPr>
      <w:r>
        <w:rPr>
          <w:rFonts w:hint="eastAsia" w:ascii="楷体_GB2312" w:hAnsi="宋体" w:eastAsia="楷体_GB2312"/>
          <w:b/>
          <w:szCs w:val="32"/>
          <w:lang w:val="zh-CN"/>
        </w:rPr>
        <w:t>存在的问题。</w:t>
      </w:r>
    </w:p>
    <w:p>
      <w:pPr>
        <w:ind w:firstLine="640" w:firstLineChars="200"/>
        <w:rPr>
          <w:rFonts w:hint="eastAsia"/>
          <w:lang w:val="en-US" w:eastAsia="zh-CN"/>
        </w:rPr>
      </w:pPr>
      <w:r>
        <w:rPr>
          <w:rFonts w:hint="eastAsia"/>
          <w:lang w:val="en-US" w:eastAsia="zh-CN"/>
        </w:rPr>
        <w:t>1.项目资金预算不太科学、预算编制合理性需要提高。</w:t>
      </w:r>
    </w:p>
    <w:p>
      <w:pPr>
        <w:ind w:firstLine="640" w:firstLineChars="200"/>
        <w:rPr>
          <w:rFonts w:hint="eastAsia"/>
        </w:rPr>
      </w:pPr>
      <w:r>
        <w:rPr>
          <w:rFonts w:hint="eastAsia"/>
          <w:lang w:val="en-US" w:eastAsia="zh-CN"/>
        </w:rPr>
        <w:t>2.</w:t>
      </w:r>
      <w:r>
        <w:rPr>
          <w:rFonts w:hint="eastAsia"/>
        </w:rPr>
        <w:t>财政预算资金到位比较迟缓，支付不能及时到位。</w:t>
      </w:r>
    </w:p>
    <w:p>
      <w:pPr>
        <w:pStyle w:val="2"/>
        <w:ind w:left="720"/>
        <w:rPr>
          <w:rFonts w:ascii="楷体_GB2312" w:hAnsi="宋体" w:eastAsia="楷体_GB2312"/>
          <w:b/>
          <w:szCs w:val="32"/>
          <w:lang w:val="zh-CN"/>
        </w:rPr>
      </w:pPr>
      <w:r>
        <w:rPr>
          <w:rFonts w:hint="eastAsia"/>
        </w:rPr>
        <w:t xml:space="preserve"> </w:t>
      </w:r>
      <w:r>
        <w:rPr>
          <w:rFonts w:hint="eastAsia" w:ascii="楷体_GB2312" w:hAnsi="宋体" w:eastAsia="楷体_GB2312"/>
          <w:b/>
          <w:szCs w:val="32"/>
          <w:lang w:val="zh-CN"/>
        </w:rPr>
        <w:t>（三）相关建议。</w:t>
      </w:r>
    </w:p>
    <w:p>
      <w:pPr>
        <w:ind w:firstLine="640" w:firstLineChars="200"/>
        <w:rPr>
          <w:rFonts w:hint="eastAsia" w:eastAsia="仿宋_GB2312"/>
          <w:lang w:eastAsia="zh-CN"/>
        </w:rPr>
      </w:pPr>
      <w:r>
        <w:rPr>
          <w:rFonts w:hint="eastAsia" w:ascii="仿宋_GB2312" w:hAnsi="仿宋_GB2312" w:cs="仿宋_GB2312"/>
          <w:szCs w:val="32"/>
          <w:lang w:val="en-US" w:eastAsia="zh-CN"/>
        </w:rPr>
        <w:t>1.</w:t>
      </w:r>
      <w:r>
        <w:rPr>
          <w:rFonts w:hint="eastAsia"/>
          <w:lang w:eastAsia="zh-CN"/>
        </w:rPr>
        <w:t>科学预算项目经费，做到有精准。</w:t>
      </w:r>
    </w:p>
    <w:p>
      <w:pPr>
        <w:pStyle w:val="2"/>
        <w:ind w:left="0" w:leftChars="0" w:firstLine="640" w:firstLineChars="200"/>
        <w:rPr>
          <w:rFonts w:hint="eastAsia"/>
          <w:lang w:val="en-US" w:eastAsia="zh-CN"/>
        </w:rPr>
      </w:pPr>
      <w:r>
        <w:rPr>
          <w:rFonts w:hint="eastAsia"/>
          <w:lang w:val="en-US" w:eastAsia="zh-CN"/>
        </w:rPr>
        <w:t>2.加强财务管理，严格执行财经制度，规范资金用途，做到专款专用，杜绝超支浪费的现象发生。</w:t>
      </w:r>
    </w:p>
    <w:p>
      <w:pPr>
        <w:ind w:firstLine="640" w:firstLineChars="200"/>
        <w:rPr>
          <w:rFonts w:hint="eastAsia"/>
        </w:rPr>
      </w:pPr>
      <w:r>
        <w:rPr>
          <w:rFonts w:hint="eastAsia"/>
          <w:lang w:val="en-US" w:eastAsia="zh-CN"/>
        </w:rPr>
        <w:t>3.</w:t>
      </w:r>
      <w:r>
        <w:rPr>
          <w:rFonts w:hint="eastAsia"/>
        </w:rPr>
        <w:t>加大财政资金拨付力度，提高预算执行保障能力。</w:t>
      </w:r>
    </w:p>
    <w:p>
      <w:pPr>
        <w:ind w:firstLine="640" w:firstLineChars="200"/>
        <w:rPr>
          <w:rFonts w:hint="default"/>
          <w:lang w:val="en-US" w:eastAsia="zh-CN"/>
        </w:rPr>
      </w:pPr>
    </w:p>
    <w:p>
      <w:pPr>
        <w:rPr>
          <w:rFonts w:hint="default"/>
          <w:lang w:val="en-US" w:eastAsia="zh-CN"/>
        </w:rPr>
      </w:pPr>
      <w:r>
        <w:rPr>
          <w:rFonts w:hint="eastAsia"/>
          <w:lang w:val="en-US" w:eastAsia="zh-CN"/>
        </w:rPr>
        <w:t xml:space="preserve">  </w:t>
      </w:r>
    </w:p>
    <w:p>
      <w:pPr>
        <w:spacing w:line="580" w:lineRule="exact"/>
        <w:ind w:firstLine="640" w:firstLineChars="200"/>
        <w:rPr>
          <w:rFonts w:hint="default" w:ascii="仿宋_GB2312" w:hAnsi="仿宋_GB2312" w:eastAsia="仿宋_GB2312" w:cs="仿宋_GB2312"/>
          <w:szCs w:val="32"/>
          <w:lang w:val="en-US" w:eastAsia="zh-CN"/>
        </w:rPr>
      </w:pPr>
    </w:p>
    <w:p>
      <w:pPr>
        <w:spacing w:line="580" w:lineRule="exact"/>
        <w:ind w:firstLine="640"/>
        <w:rPr>
          <w:rFonts w:ascii="仿宋_GB2312" w:hAnsi="仿宋_GB2312" w:cs="仿宋_GB2312"/>
          <w:szCs w:val="32"/>
        </w:rPr>
      </w:pPr>
    </w:p>
    <w:p>
      <w:pPr>
        <w:widowControl/>
        <w:jc w:val="left"/>
        <w:rPr>
          <w:rStyle w:val="16"/>
          <w:rFonts w:ascii="黑体" w:hAnsi="黑体" w:eastAsia="黑体"/>
          <w:b w:val="0"/>
        </w:rPr>
      </w:pPr>
    </w:p>
    <w:p>
      <w:pPr>
        <w:widowControl/>
        <w:jc w:val="left"/>
        <w:rPr>
          <w:rStyle w:val="16"/>
          <w:rFonts w:ascii="黑体" w:hAnsi="黑体" w:eastAsia="黑体"/>
          <w:b w:val="0"/>
        </w:rPr>
      </w:pPr>
      <w:r>
        <w:rPr>
          <w:rStyle w:val="16"/>
          <w:rFonts w:ascii="黑体" w:hAnsi="黑体" w:eastAsia="黑体"/>
          <w:b w:val="0"/>
        </w:rPr>
        <w:br w:type="page"/>
      </w:r>
    </w:p>
    <w:p>
      <w:pPr>
        <w:spacing w:line="600" w:lineRule="exact"/>
        <w:jc w:val="center"/>
        <w:outlineLvl w:val="0"/>
        <w:rPr>
          <w:rStyle w:val="16"/>
          <w:rFonts w:ascii="黑体" w:hAnsi="黑体" w:eastAsia="黑体"/>
          <w:b w:val="0"/>
        </w:rPr>
      </w:pPr>
      <w:bookmarkStart w:id="63" w:name="_Toc32283"/>
      <w:bookmarkStart w:id="64" w:name="_Toc15396618"/>
      <w:r>
        <w:rPr>
          <w:rFonts w:hint="eastAsia" w:ascii="黑体" w:hAnsi="黑体" w:eastAsia="黑体"/>
          <w:color w:val="000000"/>
          <w:sz w:val="44"/>
          <w:szCs w:val="44"/>
        </w:rPr>
        <w:t>第</w:t>
      </w:r>
      <w:r>
        <w:rPr>
          <w:rStyle w:val="16"/>
          <w:rFonts w:hint="eastAsia" w:ascii="黑体" w:hAnsi="黑体" w:eastAsia="黑体"/>
          <w:b w:val="0"/>
        </w:rPr>
        <w:t>五部分</w:t>
      </w:r>
      <w:r>
        <w:rPr>
          <w:rStyle w:val="16"/>
          <w:rFonts w:ascii="黑体" w:hAnsi="黑体" w:eastAsia="黑体"/>
          <w:b w:val="0"/>
        </w:rPr>
        <w:t xml:space="preserve"> </w:t>
      </w:r>
      <w:r>
        <w:rPr>
          <w:rStyle w:val="16"/>
          <w:rFonts w:hint="eastAsia" w:ascii="黑体" w:hAnsi="黑体" w:eastAsia="黑体"/>
          <w:b w:val="0"/>
        </w:rPr>
        <w:t>附表</w:t>
      </w:r>
      <w:bookmarkEnd w:id="58"/>
      <w:bookmarkEnd w:id="63"/>
      <w:bookmarkEnd w:id="64"/>
    </w:p>
    <w:p>
      <w:pPr>
        <w:spacing w:line="600" w:lineRule="exact"/>
        <w:jc w:val="center"/>
        <w:outlineLvl w:val="0"/>
        <w:rPr>
          <w:rFonts w:ascii="仿宋" w:hAnsi="仿宋" w:eastAsia="仿宋"/>
          <w:b/>
          <w:color w:val="000000"/>
          <w:sz w:val="44"/>
          <w:szCs w:val="44"/>
        </w:rPr>
      </w:pPr>
    </w:p>
    <w:p>
      <w:pPr>
        <w:pStyle w:val="4"/>
        <w:rPr>
          <w:rFonts w:ascii="仿宋" w:hAnsi="仿宋" w:eastAsia="仿宋"/>
          <w:color w:val="000000"/>
        </w:rPr>
      </w:pPr>
      <w:bookmarkStart w:id="65" w:name="_Toc15396619"/>
      <w:bookmarkStart w:id="66" w:name="_Toc15699"/>
      <w:r>
        <w:rPr>
          <w:rFonts w:hint="eastAsia" w:ascii="仿宋" w:hAnsi="仿宋" w:eastAsia="仿宋"/>
          <w:b w:val="0"/>
          <w:color w:val="000000"/>
        </w:rPr>
        <w:t>一、收</w:t>
      </w:r>
      <w:r>
        <w:rPr>
          <w:rStyle w:val="17"/>
          <w:rFonts w:hint="eastAsia" w:ascii="仿宋" w:hAnsi="仿宋" w:eastAsia="仿宋"/>
          <w:b w:val="0"/>
          <w:bCs w:val="0"/>
        </w:rPr>
        <w:t>入支出决算总表</w:t>
      </w:r>
      <w:bookmarkEnd w:id="65"/>
      <w:bookmarkEnd w:id="66"/>
    </w:p>
    <w:p>
      <w:pPr>
        <w:pStyle w:val="4"/>
        <w:rPr>
          <w:rFonts w:ascii="仿宋" w:hAnsi="仿宋" w:eastAsia="仿宋"/>
          <w:color w:val="000000"/>
        </w:rPr>
      </w:pPr>
      <w:bookmarkStart w:id="67" w:name="_Toc27106"/>
      <w:bookmarkStart w:id="68" w:name="_Toc15396620"/>
      <w:r>
        <w:rPr>
          <w:rFonts w:hint="eastAsia" w:ascii="仿宋" w:hAnsi="仿宋" w:eastAsia="仿宋"/>
          <w:b w:val="0"/>
          <w:color w:val="000000"/>
        </w:rPr>
        <w:t>二、收</w:t>
      </w:r>
      <w:r>
        <w:rPr>
          <w:rStyle w:val="17"/>
          <w:rFonts w:hint="eastAsia" w:ascii="仿宋" w:hAnsi="仿宋" w:eastAsia="仿宋"/>
          <w:b w:val="0"/>
          <w:bCs w:val="0"/>
        </w:rPr>
        <w:t>入决算表</w:t>
      </w:r>
      <w:bookmarkEnd w:id="67"/>
      <w:bookmarkEnd w:id="68"/>
    </w:p>
    <w:p>
      <w:pPr>
        <w:pStyle w:val="4"/>
        <w:rPr>
          <w:rFonts w:ascii="仿宋" w:hAnsi="仿宋" w:eastAsia="仿宋"/>
          <w:color w:val="000000"/>
        </w:rPr>
      </w:pPr>
      <w:bookmarkStart w:id="69" w:name="_Toc15396621"/>
      <w:bookmarkStart w:id="70" w:name="_Toc26817"/>
      <w:r>
        <w:rPr>
          <w:rStyle w:val="17"/>
          <w:rFonts w:hint="eastAsia" w:ascii="仿宋" w:hAnsi="仿宋" w:eastAsia="仿宋"/>
          <w:b w:val="0"/>
          <w:bCs w:val="0"/>
        </w:rPr>
        <w:t>三、</w:t>
      </w:r>
      <w:r>
        <w:rPr>
          <w:rFonts w:hint="eastAsia" w:ascii="仿宋" w:hAnsi="仿宋" w:eastAsia="仿宋"/>
          <w:b w:val="0"/>
          <w:color w:val="000000"/>
        </w:rPr>
        <w:t>支</w:t>
      </w:r>
      <w:r>
        <w:rPr>
          <w:rStyle w:val="17"/>
          <w:rFonts w:hint="eastAsia" w:ascii="仿宋" w:hAnsi="仿宋" w:eastAsia="仿宋"/>
          <w:b w:val="0"/>
          <w:bCs w:val="0"/>
        </w:rPr>
        <w:t>出决算表</w:t>
      </w:r>
      <w:bookmarkEnd w:id="69"/>
      <w:bookmarkEnd w:id="70"/>
    </w:p>
    <w:p>
      <w:pPr>
        <w:pStyle w:val="4"/>
        <w:rPr>
          <w:rFonts w:ascii="仿宋" w:hAnsi="仿宋" w:eastAsia="仿宋"/>
          <w:b w:val="0"/>
          <w:color w:val="000000"/>
        </w:rPr>
      </w:pPr>
      <w:bookmarkStart w:id="71" w:name="_Toc21747"/>
      <w:bookmarkStart w:id="72" w:name="_Toc15396622"/>
      <w:r>
        <w:rPr>
          <w:rStyle w:val="17"/>
          <w:rFonts w:hint="eastAsia" w:ascii="仿宋" w:hAnsi="仿宋" w:eastAsia="仿宋"/>
          <w:b w:val="0"/>
          <w:bCs w:val="0"/>
        </w:rPr>
        <w:t>四、</w:t>
      </w:r>
      <w:r>
        <w:rPr>
          <w:rFonts w:hint="eastAsia" w:ascii="仿宋" w:hAnsi="仿宋" w:eastAsia="仿宋"/>
          <w:b w:val="0"/>
          <w:color w:val="000000"/>
        </w:rPr>
        <w:t>财</w:t>
      </w:r>
      <w:r>
        <w:rPr>
          <w:rStyle w:val="17"/>
          <w:rFonts w:hint="eastAsia" w:ascii="仿宋" w:hAnsi="仿宋" w:eastAsia="仿宋"/>
          <w:b w:val="0"/>
          <w:bCs w:val="0"/>
        </w:rPr>
        <w:t>政拨款收入支出决算总表</w:t>
      </w:r>
      <w:bookmarkEnd w:id="71"/>
      <w:bookmarkEnd w:id="72"/>
    </w:p>
    <w:p>
      <w:pPr>
        <w:pStyle w:val="4"/>
        <w:rPr>
          <w:rStyle w:val="17"/>
          <w:rFonts w:ascii="仿宋" w:hAnsi="仿宋" w:eastAsia="仿宋"/>
          <w:b w:val="0"/>
          <w:bCs w:val="0"/>
        </w:rPr>
      </w:pPr>
      <w:bookmarkStart w:id="73" w:name="_Toc15396623"/>
      <w:bookmarkStart w:id="74" w:name="_Toc12959"/>
      <w:r>
        <w:rPr>
          <w:rStyle w:val="17"/>
          <w:rFonts w:hint="eastAsia" w:ascii="仿宋" w:hAnsi="仿宋" w:eastAsia="仿宋"/>
          <w:b w:val="0"/>
          <w:bCs w:val="0"/>
        </w:rPr>
        <w:t>五、</w:t>
      </w:r>
      <w:r>
        <w:rPr>
          <w:rFonts w:hint="eastAsia" w:ascii="仿宋" w:hAnsi="仿宋" w:eastAsia="仿宋"/>
          <w:b w:val="0"/>
          <w:color w:val="000000"/>
        </w:rPr>
        <w:t>财</w:t>
      </w:r>
      <w:r>
        <w:rPr>
          <w:rStyle w:val="17"/>
          <w:rFonts w:hint="eastAsia" w:ascii="仿宋" w:hAnsi="仿宋" w:eastAsia="仿宋"/>
          <w:b w:val="0"/>
          <w:bCs w:val="0"/>
        </w:rPr>
        <w:t>政拨款支出决算明细表</w:t>
      </w:r>
      <w:bookmarkEnd w:id="73"/>
      <w:bookmarkEnd w:id="74"/>
      <w:bookmarkStart w:id="75" w:name="_Toc15396624"/>
    </w:p>
    <w:p>
      <w:pPr>
        <w:pStyle w:val="4"/>
        <w:rPr>
          <w:rFonts w:ascii="仿宋" w:hAnsi="仿宋" w:eastAsia="仿宋"/>
          <w:color w:val="000000"/>
        </w:rPr>
      </w:pPr>
      <w:bookmarkStart w:id="76" w:name="_Toc23749"/>
      <w:r>
        <w:rPr>
          <w:rStyle w:val="17"/>
          <w:rFonts w:hint="eastAsia" w:ascii="仿宋" w:hAnsi="仿宋" w:eastAsia="仿宋"/>
          <w:b w:val="0"/>
          <w:bCs w:val="0"/>
        </w:rPr>
        <w:t>六、</w:t>
      </w:r>
      <w:r>
        <w:rPr>
          <w:rFonts w:hint="eastAsia" w:ascii="仿宋" w:hAnsi="仿宋" w:eastAsia="仿宋"/>
          <w:b w:val="0"/>
          <w:color w:val="000000"/>
        </w:rPr>
        <w:t>一</w:t>
      </w:r>
      <w:r>
        <w:rPr>
          <w:rStyle w:val="17"/>
          <w:rFonts w:hint="eastAsia" w:ascii="仿宋" w:hAnsi="仿宋" w:eastAsia="仿宋"/>
          <w:b w:val="0"/>
          <w:bCs w:val="0"/>
        </w:rPr>
        <w:t>般公共预算财政拨款支出决算表</w:t>
      </w:r>
      <w:bookmarkEnd w:id="75"/>
      <w:bookmarkEnd w:id="76"/>
    </w:p>
    <w:p>
      <w:pPr>
        <w:pStyle w:val="4"/>
        <w:rPr>
          <w:rFonts w:ascii="仿宋" w:hAnsi="仿宋" w:eastAsia="仿宋"/>
          <w:color w:val="000000"/>
        </w:rPr>
      </w:pPr>
      <w:bookmarkStart w:id="77" w:name="_Toc15396625"/>
      <w:bookmarkStart w:id="78" w:name="_Toc22275"/>
      <w:r>
        <w:rPr>
          <w:rStyle w:val="17"/>
          <w:rFonts w:hint="eastAsia" w:ascii="仿宋" w:hAnsi="仿宋" w:eastAsia="仿宋"/>
          <w:b w:val="0"/>
          <w:bCs w:val="0"/>
        </w:rPr>
        <w:t>七、</w:t>
      </w:r>
      <w:r>
        <w:rPr>
          <w:rFonts w:hint="eastAsia" w:ascii="仿宋" w:hAnsi="仿宋" w:eastAsia="仿宋"/>
          <w:b w:val="0"/>
          <w:color w:val="000000"/>
        </w:rPr>
        <w:t>一</w:t>
      </w:r>
      <w:r>
        <w:rPr>
          <w:rStyle w:val="17"/>
          <w:rFonts w:hint="eastAsia" w:ascii="仿宋" w:hAnsi="仿宋" w:eastAsia="仿宋"/>
          <w:b w:val="0"/>
          <w:bCs w:val="0"/>
        </w:rPr>
        <w:t>般公共预算财政拨款支出决算明细表</w:t>
      </w:r>
      <w:bookmarkEnd w:id="77"/>
      <w:bookmarkEnd w:id="78"/>
    </w:p>
    <w:p>
      <w:pPr>
        <w:pStyle w:val="4"/>
        <w:rPr>
          <w:rFonts w:ascii="仿宋" w:hAnsi="仿宋" w:eastAsia="仿宋"/>
          <w:color w:val="000000"/>
        </w:rPr>
      </w:pPr>
      <w:bookmarkStart w:id="79" w:name="_Toc15396626"/>
      <w:bookmarkStart w:id="80" w:name="_Toc30634"/>
      <w:r>
        <w:rPr>
          <w:rStyle w:val="17"/>
          <w:rFonts w:hint="eastAsia" w:ascii="仿宋" w:hAnsi="仿宋" w:eastAsia="仿宋"/>
          <w:b w:val="0"/>
          <w:bCs w:val="0"/>
        </w:rPr>
        <w:t>八、</w:t>
      </w:r>
      <w:r>
        <w:rPr>
          <w:rFonts w:hint="eastAsia" w:ascii="仿宋" w:hAnsi="仿宋" w:eastAsia="仿宋"/>
          <w:b w:val="0"/>
          <w:color w:val="000000"/>
        </w:rPr>
        <w:t>一</w:t>
      </w:r>
      <w:r>
        <w:rPr>
          <w:rStyle w:val="17"/>
          <w:rFonts w:hint="eastAsia" w:ascii="仿宋" w:hAnsi="仿宋" w:eastAsia="仿宋"/>
          <w:b w:val="0"/>
          <w:bCs w:val="0"/>
        </w:rPr>
        <w:t>般公共预算财政拨款基本支出决算表</w:t>
      </w:r>
      <w:bookmarkEnd w:id="79"/>
      <w:bookmarkEnd w:id="80"/>
    </w:p>
    <w:p>
      <w:pPr>
        <w:pStyle w:val="4"/>
        <w:rPr>
          <w:rFonts w:ascii="仿宋" w:hAnsi="仿宋" w:eastAsia="仿宋"/>
          <w:color w:val="000000"/>
        </w:rPr>
      </w:pPr>
      <w:bookmarkStart w:id="81" w:name="_Toc15170"/>
      <w:bookmarkStart w:id="82" w:name="_Toc15396627"/>
      <w:r>
        <w:rPr>
          <w:rStyle w:val="17"/>
          <w:rFonts w:hint="eastAsia" w:ascii="仿宋" w:hAnsi="仿宋" w:eastAsia="仿宋"/>
          <w:b w:val="0"/>
          <w:bCs w:val="0"/>
        </w:rPr>
        <w:t>九、</w:t>
      </w:r>
      <w:r>
        <w:rPr>
          <w:rFonts w:hint="eastAsia" w:ascii="仿宋" w:hAnsi="仿宋" w:eastAsia="仿宋"/>
          <w:b w:val="0"/>
          <w:color w:val="000000"/>
        </w:rPr>
        <w:t>一</w:t>
      </w:r>
      <w:r>
        <w:rPr>
          <w:rStyle w:val="17"/>
          <w:rFonts w:hint="eastAsia" w:ascii="仿宋" w:hAnsi="仿宋" w:eastAsia="仿宋"/>
          <w:b w:val="0"/>
          <w:bCs w:val="0"/>
        </w:rPr>
        <w:t>般公共预算财政拨款项目支出决算表</w:t>
      </w:r>
      <w:bookmarkEnd w:id="81"/>
      <w:bookmarkEnd w:id="82"/>
    </w:p>
    <w:p>
      <w:pPr>
        <w:pStyle w:val="4"/>
        <w:spacing w:line="360" w:lineRule="auto"/>
        <w:rPr>
          <w:rFonts w:ascii="仿宋" w:hAnsi="仿宋" w:eastAsia="仿宋"/>
          <w:color w:val="000000"/>
        </w:rPr>
      </w:pPr>
      <w:bookmarkStart w:id="83" w:name="_Toc17603"/>
      <w:bookmarkStart w:id="84" w:name="_Toc15396628"/>
      <w:r>
        <w:rPr>
          <w:rStyle w:val="17"/>
          <w:rFonts w:hint="eastAsia" w:ascii="仿宋" w:hAnsi="仿宋" w:eastAsia="仿宋"/>
          <w:b w:val="0"/>
          <w:bCs w:val="0"/>
        </w:rPr>
        <w:t>十、</w:t>
      </w:r>
      <w:r>
        <w:rPr>
          <w:rFonts w:hint="eastAsia" w:ascii="仿宋" w:hAnsi="仿宋" w:eastAsia="仿宋"/>
          <w:b w:val="0"/>
          <w:color w:val="000000"/>
        </w:rPr>
        <w:t>一</w:t>
      </w:r>
      <w:r>
        <w:rPr>
          <w:rStyle w:val="17"/>
          <w:rFonts w:hint="eastAsia" w:ascii="仿宋" w:hAnsi="仿宋" w:eastAsia="仿宋"/>
          <w:b w:val="0"/>
          <w:bCs w:val="0"/>
        </w:rPr>
        <w:t>般公共预算财政拨款“三公”经费支出决算表</w:t>
      </w:r>
      <w:bookmarkEnd w:id="83"/>
      <w:bookmarkEnd w:id="84"/>
    </w:p>
    <w:p>
      <w:pPr>
        <w:pStyle w:val="4"/>
        <w:spacing w:line="360" w:lineRule="auto"/>
        <w:rPr>
          <w:rFonts w:ascii="仿宋" w:hAnsi="仿宋" w:eastAsia="仿宋"/>
          <w:color w:val="000000"/>
        </w:rPr>
      </w:pPr>
      <w:bookmarkStart w:id="85" w:name="_Toc15396629"/>
      <w:bookmarkStart w:id="86" w:name="_Toc7313"/>
      <w:r>
        <w:rPr>
          <w:rStyle w:val="17"/>
          <w:rFonts w:hint="eastAsia" w:ascii="仿宋" w:hAnsi="仿宋" w:eastAsia="仿宋"/>
          <w:b w:val="0"/>
          <w:bCs w:val="0"/>
        </w:rPr>
        <w:t>十一、</w:t>
      </w:r>
      <w:r>
        <w:rPr>
          <w:rFonts w:hint="eastAsia" w:ascii="仿宋" w:hAnsi="仿宋" w:eastAsia="仿宋"/>
          <w:b w:val="0"/>
          <w:color w:val="000000"/>
        </w:rPr>
        <w:t>政</w:t>
      </w:r>
      <w:r>
        <w:rPr>
          <w:rStyle w:val="17"/>
          <w:rFonts w:hint="eastAsia" w:ascii="仿宋" w:hAnsi="仿宋" w:eastAsia="仿宋"/>
          <w:b w:val="0"/>
          <w:bCs w:val="0"/>
        </w:rPr>
        <w:t>府性基金预算财政拨款收入支出决算表</w:t>
      </w:r>
      <w:bookmarkEnd w:id="85"/>
      <w:bookmarkEnd w:id="86"/>
    </w:p>
    <w:p>
      <w:pPr>
        <w:pStyle w:val="4"/>
        <w:rPr>
          <w:rFonts w:ascii="仿宋" w:hAnsi="仿宋" w:eastAsia="仿宋"/>
          <w:b w:val="0"/>
          <w:color w:val="000000"/>
        </w:rPr>
      </w:pPr>
      <w:bookmarkStart w:id="87" w:name="_Toc15396630"/>
      <w:bookmarkStart w:id="88" w:name="_Toc9382"/>
      <w:r>
        <w:rPr>
          <w:rFonts w:hint="eastAsia" w:ascii="仿宋" w:hAnsi="仿宋" w:eastAsia="仿宋"/>
          <w:b w:val="0"/>
          <w:color w:val="000000"/>
        </w:rPr>
        <w:t>十二、政府性基金预算财政拨款“三公”经费支出决算表</w:t>
      </w:r>
      <w:bookmarkEnd w:id="87"/>
      <w:bookmarkEnd w:id="88"/>
    </w:p>
    <w:p>
      <w:pPr>
        <w:pStyle w:val="4"/>
        <w:rPr>
          <w:rFonts w:ascii="仿宋" w:hAnsi="仿宋" w:eastAsia="仿宋"/>
          <w:b w:val="0"/>
          <w:color w:val="000000"/>
        </w:rPr>
      </w:pPr>
      <w:bookmarkStart w:id="89" w:name="_Toc22683"/>
      <w:r>
        <w:rPr>
          <w:rFonts w:hint="eastAsia" w:ascii="仿宋" w:hAnsi="仿宋" w:eastAsia="仿宋"/>
          <w:b w:val="0"/>
          <w:color w:val="000000"/>
        </w:rPr>
        <w:t>十三、国有资本经营预算财政拨款收入支出决算表</w:t>
      </w:r>
      <w:bookmarkEnd w:id="89"/>
    </w:p>
    <w:p>
      <w:pPr>
        <w:pStyle w:val="4"/>
        <w:rPr>
          <w:rFonts w:ascii="仿宋" w:hAnsi="仿宋" w:eastAsia="仿宋"/>
          <w:b w:val="0"/>
          <w:color w:val="000000"/>
        </w:rPr>
      </w:pPr>
      <w:bookmarkStart w:id="90" w:name="_Toc10257"/>
      <w:r>
        <w:rPr>
          <w:rFonts w:hint="eastAsia" w:ascii="仿宋" w:hAnsi="仿宋" w:eastAsia="仿宋"/>
          <w:b w:val="0"/>
          <w:color w:val="000000"/>
        </w:rPr>
        <w:t>十四、国有资本经营预算财政拨款支出决算表</w:t>
      </w:r>
      <w:bookmarkEnd w:id="9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2AAE9DC"/>
    <w:multiLevelType w:val="singleLevel"/>
    <w:tmpl w:val="A2AAE9DC"/>
    <w:lvl w:ilvl="0" w:tentative="0">
      <w:start w:val="2"/>
      <w:numFmt w:val="chineseCounting"/>
      <w:suff w:val="nothing"/>
      <w:lvlText w:val="（%1）"/>
      <w:lvlJc w:val="left"/>
      <w:rPr>
        <w:rFonts w:hint="eastAsia"/>
      </w:rPr>
    </w:lvl>
  </w:abstractNum>
  <w:abstractNum w:abstractNumId="1">
    <w:nsid w:val="B69D8676"/>
    <w:multiLevelType w:val="singleLevel"/>
    <w:tmpl w:val="B69D8676"/>
    <w:lvl w:ilvl="0" w:tentative="0">
      <w:start w:val="1"/>
      <w:numFmt w:val="decimal"/>
      <w:lvlText w:val="%1."/>
      <w:lvlJc w:val="left"/>
      <w:pPr>
        <w:tabs>
          <w:tab w:val="left" w:pos="312"/>
        </w:tabs>
      </w:pPr>
    </w:lvl>
  </w:abstractNum>
  <w:abstractNum w:abstractNumId="2">
    <w:nsid w:val="CF652CEC"/>
    <w:multiLevelType w:val="singleLevel"/>
    <w:tmpl w:val="CF652CEC"/>
    <w:lvl w:ilvl="0" w:tentative="0">
      <w:start w:val="9"/>
      <w:numFmt w:val="chineseCounting"/>
      <w:suff w:val="nothing"/>
      <w:lvlText w:val="%1、"/>
      <w:lvlJc w:val="left"/>
      <w:rPr>
        <w:rFonts w:hint="eastAsia" w:cs="Times New Roman"/>
      </w:rPr>
    </w:lvl>
  </w:abstractNum>
  <w:abstractNum w:abstractNumId="3">
    <w:nsid w:val="E2FA047D"/>
    <w:multiLevelType w:val="singleLevel"/>
    <w:tmpl w:val="E2FA047D"/>
    <w:lvl w:ilvl="0" w:tentative="0">
      <w:start w:val="3"/>
      <w:numFmt w:val="chineseCounting"/>
      <w:suff w:val="space"/>
      <w:lvlText w:val="第%1部分"/>
      <w:lvlJc w:val="left"/>
      <w:rPr>
        <w:rFonts w:hint="eastAsia" w:cs="Times New Roman"/>
      </w:rPr>
    </w:lvl>
  </w:abstractNum>
  <w:abstractNum w:abstractNumId="4">
    <w:nsid w:val="F0E78EAA"/>
    <w:multiLevelType w:val="singleLevel"/>
    <w:tmpl w:val="F0E78EAA"/>
    <w:lvl w:ilvl="0" w:tentative="0">
      <w:start w:val="1"/>
      <w:numFmt w:val="chineseCounting"/>
      <w:suff w:val="nothing"/>
      <w:lvlText w:val="（%1）"/>
      <w:lvlJc w:val="left"/>
      <w:rPr>
        <w:rFonts w:hint="eastAsia"/>
      </w:rPr>
    </w:lvl>
  </w:abstractNum>
  <w:abstractNum w:abstractNumId="5">
    <w:nsid w:val="1272550B"/>
    <w:multiLevelType w:val="multilevel"/>
    <w:tmpl w:val="1272550B"/>
    <w:lvl w:ilvl="0" w:tentative="0">
      <w:start w:val="1"/>
      <w:numFmt w:val="japaneseCounting"/>
      <w:lvlText w:val="%1、"/>
      <w:lvlJc w:val="left"/>
      <w:pPr>
        <w:ind w:left="1360" w:hanging="720"/>
      </w:pPr>
      <w:rPr>
        <w:rFonts w:hint="default" w:cs="Times New Roman"/>
        <w:b w:val="0"/>
      </w:rPr>
    </w:lvl>
    <w:lvl w:ilvl="1" w:tentative="0">
      <w:start w:val="1"/>
      <w:numFmt w:val="lowerLetter"/>
      <w:lvlText w:val="%2)"/>
      <w:lvlJc w:val="left"/>
      <w:pPr>
        <w:ind w:left="1480" w:hanging="420"/>
      </w:pPr>
      <w:rPr>
        <w:rFonts w:cs="Times New Roman"/>
      </w:rPr>
    </w:lvl>
    <w:lvl w:ilvl="2" w:tentative="0">
      <w:start w:val="1"/>
      <w:numFmt w:val="lowerRoman"/>
      <w:lvlText w:val="%3."/>
      <w:lvlJc w:val="right"/>
      <w:pPr>
        <w:ind w:left="1900" w:hanging="420"/>
      </w:pPr>
      <w:rPr>
        <w:rFonts w:cs="Times New Roman"/>
      </w:rPr>
    </w:lvl>
    <w:lvl w:ilvl="3" w:tentative="0">
      <w:start w:val="1"/>
      <w:numFmt w:val="decimal"/>
      <w:lvlText w:val="%4."/>
      <w:lvlJc w:val="left"/>
      <w:pPr>
        <w:ind w:left="2320" w:hanging="420"/>
      </w:pPr>
      <w:rPr>
        <w:rFonts w:cs="Times New Roman"/>
      </w:rPr>
    </w:lvl>
    <w:lvl w:ilvl="4" w:tentative="0">
      <w:start w:val="1"/>
      <w:numFmt w:val="lowerLetter"/>
      <w:lvlText w:val="%5)"/>
      <w:lvlJc w:val="left"/>
      <w:pPr>
        <w:ind w:left="2740" w:hanging="420"/>
      </w:pPr>
      <w:rPr>
        <w:rFonts w:cs="Times New Roman"/>
      </w:rPr>
    </w:lvl>
    <w:lvl w:ilvl="5" w:tentative="0">
      <w:start w:val="1"/>
      <w:numFmt w:val="lowerRoman"/>
      <w:lvlText w:val="%6."/>
      <w:lvlJc w:val="right"/>
      <w:pPr>
        <w:ind w:left="3160" w:hanging="420"/>
      </w:pPr>
      <w:rPr>
        <w:rFonts w:cs="Times New Roman"/>
      </w:rPr>
    </w:lvl>
    <w:lvl w:ilvl="6" w:tentative="0">
      <w:start w:val="1"/>
      <w:numFmt w:val="decimal"/>
      <w:lvlText w:val="%7."/>
      <w:lvlJc w:val="left"/>
      <w:pPr>
        <w:ind w:left="3580" w:hanging="420"/>
      </w:pPr>
      <w:rPr>
        <w:rFonts w:cs="Times New Roman"/>
      </w:rPr>
    </w:lvl>
    <w:lvl w:ilvl="7" w:tentative="0">
      <w:start w:val="1"/>
      <w:numFmt w:val="lowerLetter"/>
      <w:lvlText w:val="%8)"/>
      <w:lvlJc w:val="left"/>
      <w:pPr>
        <w:ind w:left="4000" w:hanging="420"/>
      </w:pPr>
      <w:rPr>
        <w:rFonts w:cs="Times New Roman"/>
      </w:rPr>
    </w:lvl>
    <w:lvl w:ilvl="8" w:tentative="0">
      <w:start w:val="1"/>
      <w:numFmt w:val="lowerRoman"/>
      <w:lvlText w:val="%9."/>
      <w:lvlJc w:val="right"/>
      <w:pPr>
        <w:ind w:left="4420" w:hanging="420"/>
      </w:pPr>
      <w:rPr>
        <w:rFonts w:cs="Times New Roman"/>
      </w:rPr>
    </w:lvl>
  </w:abstractNum>
  <w:abstractNum w:abstractNumId="6">
    <w:nsid w:val="3626BBC4"/>
    <w:multiLevelType w:val="singleLevel"/>
    <w:tmpl w:val="3626BBC4"/>
    <w:lvl w:ilvl="0" w:tentative="0">
      <w:start w:val="2"/>
      <w:numFmt w:val="chineseCounting"/>
      <w:suff w:val="nothing"/>
      <w:lvlText w:val="（%1）"/>
      <w:lvlJc w:val="left"/>
      <w:rPr>
        <w:rFonts w:hint="eastAsia"/>
      </w:rPr>
    </w:lvl>
  </w:abstractNum>
  <w:num w:numId="1">
    <w:abstractNumId w:val="5"/>
  </w:num>
  <w:num w:numId="2">
    <w:abstractNumId w:val="2"/>
  </w:num>
  <w:num w:numId="3">
    <w:abstractNumId w:val="1"/>
  </w:num>
  <w:num w:numId="4">
    <w:abstractNumId w:val="3"/>
  </w:num>
  <w:num w:numId="5">
    <w:abstractNumId w:val="6"/>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yZjhjMDljN2ZmZDI4MDM1OTczNmZkYWIwMTM0OGUifQ=="/>
  </w:docVars>
  <w:rsids>
    <w:rsidRoot w:val="6504078C"/>
    <w:rsid w:val="00181ABC"/>
    <w:rsid w:val="009D7479"/>
    <w:rsid w:val="00A75B79"/>
    <w:rsid w:val="00EC10F1"/>
    <w:rsid w:val="02E64A28"/>
    <w:rsid w:val="035D65CA"/>
    <w:rsid w:val="0394538F"/>
    <w:rsid w:val="04311430"/>
    <w:rsid w:val="048E037D"/>
    <w:rsid w:val="05226688"/>
    <w:rsid w:val="05F06590"/>
    <w:rsid w:val="06D96529"/>
    <w:rsid w:val="07CD26AA"/>
    <w:rsid w:val="08426E98"/>
    <w:rsid w:val="090D46E6"/>
    <w:rsid w:val="092B18FC"/>
    <w:rsid w:val="09521F94"/>
    <w:rsid w:val="09533AAF"/>
    <w:rsid w:val="0967658D"/>
    <w:rsid w:val="09C8764E"/>
    <w:rsid w:val="0BCE38E4"/>
    <w:rsid w:val="0C5A223F"/>
    <w:rsid w:val="0F236BBA"/>
    <w:rsid w:val="0F795E60"/>
    <w:rsid w:val="101A4736"/>
    <w:rsid w:val="10784229"/>
    <w:rsid w:val="116C0EAB"/>
    <w:rsid w:val="124D09E4"/>
    <w:rsid w:val="125C5D57"/>
    <w:rsid w:val="13392F7D"/>
    <w:rsid w:val="13D62DA7"/>
    <w:rsid w:val="13E3431C"/>
    <w:rsid w:val="15740DED"/>
    <w:rsid w:val="16375AAD"/>
    <w:rsid w:val="16AC42D3"/>
    <w:rsid w:val="171346D8"/>
    <w:rsid w:val="17214596"/>
    <w:rsid w:val="17414DFE"/>
    <w:rsid w:val="18561B0C"/>
    <w:rsid w:val="18CD26CC"/>
    <w:rsid w:val="198B77AE"/>
    <w:rsid w:val="1A2A15AA"/>
    <w:rsid w:val="1AA841F3"/>
    <w:rsid w:val="1B684EF1"/>
    <w:rsid w:val="1C0B15E8"/>
    <w:rsid w:val="1C0D4D1E"/>
    <w:rsid w:val="1CB37E88"/>
    <w:rsid w:val="1D3B5250"/>
    <w:rsid w:val="1D511377"/>
    <w:rsid w:val="1DA15970"/>
    <w:rsid w:val="1DD5384E"/>
    <w:rsid w:val="1DD63EB1"/>
    <w:rsid w:val="1F0D2D1F"/>
    <w:rsid w:val="1F3E37E0"/>
    <w:rsid w:val="205525BE"/>
    <w:rsid w:val="20737766"/>
    <w:rsid w:val="2108351C"/>
    <w:rsid w:val="21601757"/>
    <w:rsid w:val="21A02A4B"/>
    <w:rsid w:val="24C6118F"/>
    <w:rsid w:val="250A6F3C"/>
    <w:rsid w:val="269313AF"/>
    <w:rsid w:val="26D044DC"/>
    <w:rsid w:val="26D95228"/>
    <w:rsid w:val="26F536F0"/>
    <w:rsid w:val="290B70C7"/>
    <w:rsid w:val="294749EF"/>
    <w:rsid w:val="298E0DC4"/>
    <w:rsid w:val="2AC65C17"/>
    <w:rsid w:val="2AF2054A"/>
    <w:rsid w:val="2B44090B"/>
    <w:rsid w:val="2B5711A4"/>
    <w:rsid w:val="2C6A3A49"/>
    <w:rsid w:val="2DDC690A"/>
    <w:rsid w:val="2E3D0DC1"/>
    <w:rsid w:val="2EDB00CC"/>
    <w:rsid w:val="2F14153F"/>
    <w:rsid w:val="30CD73D1"/>
    <w:rsid w:val="32800DA1"/>
    <w:rsid w:val="32D022C0"/>
    <w:rsid w:val="332D3425"/>
    <w:rsid w:val="34BC6999"/>
    <w:rsid w:val="359E370E"/>
    <w:rsid w:val="359E5E8E"/>
    <w:rsid w:val="35FF4746"/>
    <w:rsid w:val="36326BA1"/>
    <w:rsid w:val="37561C4B"/>
    <w:rsid w:val="37FE5B87"/>
    <w:rsid w:val="38B04116"/>
    <w:rsid w:val="38DB5286"/>
    <w:rsid w:val="3D8B7C67"/>
    <w:rsid w:val="3DC71E95"/>
    <w:rsid w:val="3DD33B69"/>
    <w:rsid w:val="3DE351A9"/>
    <w:rsid w:val="3E4169FF"/>
    <w:rsid w:val="3EA82A1E"/>
    <w:rsid w:val="3F9F6FE5"/>
    <w:rsid w:val="3FB67937"/>
    <w:rsid w:val="40333B81"/>
    <w:rsid w:val="40F70DAD"/>
    <w:rsid w:val="42536961"/>
    <w:rsid w:val="426E26B6"/>
    <w:rsid w:val="42DF609D"/>
    <w:rsid w:val="43785F44"/>
    <w:rsid w:val="44293D28"/>
    <w:rsid w:val="44494307"/>
    <w:rsid w:val="44CD0887"/>
    <w:rsid w:val="453A1703"/>
    <w:rsid w:val="46D61B6A"/>
    <w:rsid w:val="477A235A"/>
    <w:rsid w:val="477A51D3"/>
    <w:rsid w:val="48FE2567"/>
    <w:rsid w:val="4A44049E"/>
    <w:rsid w:val="4A476D16"/>
    <w:rsid w:val="4B977387"/>
    <w:rsid w:val="4C805650"/>
    <w:rsid w:val="4CAF560C"/>
    <w:rsid w:val="4E3A4862"/>
    <w:rsid w:val="4FA55EC2"/>
    <w:rsid w:val="504901D2"/>
    <w:rsid w:val="505803ED"/>
    <w:rsid w:val="50F22C61"/>
    <w:rsid w:val="512733E6"/>
    <w:rsid w:val="51A90620"/>
    <w:rsid w:val="520E211B"/>
    <w:rsid w:val="52D3130F"/>
    <w:rsid w:val="535104BF"/>
    <w:rsid w:val="538B59EE"/>
    <w:rsid w:val="540C022F"/>
    <w:rsid w:val="545A1F53"/>
    <w:rsid w:val="551C2332"/>
    <w:rsid w:val="5629151F"/>
    <w:rsid w:val="564E4ED8"/>
    <w:rsid w:val="57082C7A"/>
    <w:rsid w:val="58CF7020"/>
    <w:rsid w:val="593167E8"/>
    <w:rsid w:val="593D4E81"/>
    <w:rsid w:val="5A756995"/>
    <w:rsid w:val="5A7975B3"/>
    <w:rsid w:val="5B310B65"/>
    <w:rsid w:val="5B322D72"/>
    <w:rsid w:val="5BFF23B3"/>
    <w:rsid w:val="5C7D1F77"/>
    <w:rsid w:val="5D3E75DF"/>
    <w:rsid w:val="5DBC3271"/>
    <w:rsid w:val="5DC9262D"/>
    <w:rsid w:val="5E3E42E2"/>
    <w:rsid w:val="5EF91CCD"/>
    <w:rsid w:val="5F274720"/>
    <w:rsid w:val="5F6C497E"/>
    <w:rsid w:val="61214922"/>
    <w:rsid w:val="62943465"/>
    <w:rsid w:val="63AD5E45"/>
    <w:rsid w:val="64CE1375"/>
    <w:rsid w:val="6504078C"/>
    <w:rsid w:val="65E905E7"/>
    <w:rsid w:val="66057AC2"/>
    <w:rsid w:val="6607367C"/>
    <w:rsid w:val="674E0756"/>
    <w:rsid w:val="684C1C3B"/>
    <w:rsid w:val="68A27250"/>
    <w:rsid w:val="695535AB"/>
    <w:rsid w:val="69EA2CA9"/>
    <w:rsid w:val="6A1917C8"/>
    <w:rsid w:val="6A8D652E"/>
    <w:rsid w:val="6B255AFD"/>
    <w:rsid w:val="6B5F3D12"/>
    <w:rsid w:val="6CD11D0F"/>
    <w:rsid w:val="6D1730F3"/>
    <w:rsid w:val="6D7F462D"/>
    <w:rsid w:val="6E711DB9"/>
    <w:rsid w:val="6EFB4C58"/>
    <w:rsid w:val="6FB64CF5"/>
    <w:rsid w:val="70696DE1"/>
    <w:rsid w:val="70D87251"/>
    <w:rsid w:val="71F95D92"/>
    <w:rsid w:val="726E3979"/>
    <w:rsid w:val="72BC44AB"/>
    <w:rsid w:val="72C213F7"/>
    <w:rsid w:val="731035F5"/>
    <w:rsid w:val="74933816"/>
    <w:rsid w:val="75745523"/>
    <w:rsid w:val="758E3786"/>
    <w:rsid w:val="75A17246"/>
    <w:rsid w:val="75B156D9"/>
    <w:rsid w:val="76783141"/>
    <w:rsid w:val="774954B3"/>
    <w:rsid w:val="775747DA"/>
    <w:rsid w:val="777A52CC"/>
    <w:rsid w:val="788D6B54"/>
    <w:rsid w:val="7A860475"/>
    <w:rsid w:val="7A9849AD"/>
    <w:rsid w:val="7AEA3D40"/>
    <w:rsid w:val="7AEE0E54"/>
    <w:rsid w:val="7BE20973"/>
    <w:rsid w:val="7D782F48"/>
    <w:rsid w:val="7D7D04EA"/>
    <w:rsid w:val="7DAC30E8"/>
    <w:rsid w:val="7DB97122"/>
    <w:rsid w:val="7E5C1DE3"/>
    <w:rsid w:val="7E950557"/>
    <w:rsid w:val="7EC211EF"/>
    <w:rsid w:val="7F5407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3">
    <w:name w:val="heading 1"/>
    <w:basedOn w:val="1"/>
    <w:next w:val="1"/>
    <w:link w:val="16"/>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7"/>
    <w:unhideWhenUsed/>
    <w:qFormat/>
    <w:uiPriority w:val="9"/>
    <w:pPr>
      <w:keepNext/>
      <w:keepLines/>
      <w:spacing w:before="260" w:after="260" w:line="416" w:lineRule="auto"/>
      <w:outlineLvl w:val="1"/>
    </w:pPr>
    <w:rPr>
      <w:rFonts w:ascii="Cambria" w:hAnsi="Cambria"/>
      <w:b/>
      <w:bCs/>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index 5"/>
    <w:basedOn w:val="1"/>
    <w:next w:val="1"/>
    <w:qFormat/>
    <w:uiPriority w:val="0"/>
    <w:pPr>
      <w:spacing w:line="590" w:lineRule="exact"/>
      <w:ind w:left="1680"/>
    </w:pPr>
    <w:rPr>
      <w:rFonts w:cs="宋体"/>
    </w:rPr>
  </w:style>
  <w:style w:type="paragraph" w:styleId="5">
    <w:name w:val="Body Text"/>
    <w:basedOn w:val="1"/>
    <w:qFormat/>
    <w:uiPriority w:val="99"/>
    <w:pPr>
      <w:spacing w:beforeLines="30"/>
    </w:pPr>
    <w:rPr>
      <w:rFonts w:ascii="仿宋_GB2312"/>
      <w:kern w:val="0"/>
      <w:sz w:val="24"/>
      <w:szCs w:val="20"/>
    </w:rPr>
  </w:style>
  <w:style w:type="paragraph" w:styleId="6">
    <w:name w:val="footer"/>
    <w:basedOn w:val="1"/>
    <w:qFormat/>
    <w:uiPriority w:val="99"/>
    <w:pPr>
      <w:tabs>
        <w:tab w:val="center" w:pos="4153"/>
        <w:tab w:val="right" w:pos="8306"/>
      </w:tabs>
      <w:snapToGrid w:val="0"/>
      <w:jc w:val="left"/>
    </w:pPr>
    <w:rPr>
      <w:rFonts w:ascii="Calibri" w:hAnsi="Calibri"/>
      <w:kern w:val="0"/>
      <w:sz w:val="18"/>
      <w:szCs w:val="20"/>
    </w:rPr>
  </w:style>
  <w:style w:type="paragraph" w:styleId="7">
    <w:name w:val="header"/>
    <w:basedOn w:val="1"/>
    <w:semiHidden/>
    <w:qFormat/>
    <w:uiPriority w:val="99"/>
    <w:pPr>
      <w:pBdr>
        <w:bottom w:val="single" w:color="auto" w:sz="6" w:space="1"/>
      </w:pBdr>
      <w:tabs>
        <w:tab w:val="center" w:pos="4153"/>
        <w:tab w:val="right" w:pos="8306"/>
      </w:tabs>
      <w:snapToGrid w:val="0"/>
      <w:jc w:val="center"/>
    </w:pPr>
    <w:rPr>
      <w:rFonts w:ascii="Calibri" w:hAnsi="Calibri"/>
      <w:kern w:val="0"/>
      <w:sz w:val="18"/>
      <w:szCs w:val="20"/>
    </w:rPr>
  </w:style>
  <w:style w:type="paragraph" w:styleId="8">
    <w:name w:val="toc 1"/>
    <w:basedOn w:val="1"/>
    <w:next w:val="1"/>
    <w:unhideWhenUsed/>
    <w:qFormat/>
    <w:uiPriority w:val="39"/>
    <w:pPr>
      <w:spacing w:before="120"/>
      <w:jc w:val="left"/>
    </w:pPr>
    <w:rPr>
      <w:rFonts w:ascii="等线" w:eastAsia="等线"/>
      <w:b/>
      <w:bCs/>
      <w:i/>
      <w:iCs/>
      <w:sz w:val="24"/>
    </w:rPr>
  </w:style>
  <w:style w:type="paragraph" w:styleId="9">
    <w:name w:val="toc 2"/>
    <w:basedOn w:val="1"/>
    <w:next w:val="1"/>
    <w:unhideWhenUsed/>
    <w:qFormat/>
    <w:uiPriority w:val="39"/>
    <w:pPr>
      <w:spacing w:before="120"/>
      <w:ind w:left="300"/>
      <w:jc w:val="left"/>
    </w:pPr>
    <w:rPr>
      <w:rFonts w:ascii="等线" w:eastAsia="等线"/>
      <w:b/>
      <w:bCs/>
      <w:sz w:val="22"/>
      <w:szCs w:val="22"/>
    </w:rPr>
  </w:style>
  <w:style w:type="paragraph" w:styleId="10">
    <w:name w:val="Normal (Web)"/>
    <w:basedOn w:val="1"/>
    <w:qFormat/>
    <w:uiPriority w:val="0"/>
    <w:pPr>
      <w:spacing w:before="100" w:beforeAutospacing="1" w:after="100" w:afterAutospacing="1"/>
      <w:jc w:val="left"/>
    </w:pPr>
    <w:rPr>
      <w:kern w:val="0"/>
      <w:sz w:val="24"/>
    </w:rPr>
  </w:style>
  <w:style w:type="character" w:styleId="13">
    <w:name w:val="Strong"/>
    <w:basedOn w:val="12"/>
    <w:qFormat/>
    <w:uiPriority w:val="99"/>
    <w:rPr>
      <w:rFonts w:cs="Times New Roman"/>
      <w:b/>
    </w:rPr>
  </w:style>
  <w:style w:type="character" w:styleId="14">
    <w:name w:val="Hyperlink"/>
    <w:unhideWhenUsed/>
    <w:qFormat/>
    <w:uiPriority w:val="99"/>
    <w:rPr>
      <w:color w:val="0000FF"/>
      <w:u w:val="single"/>
    </w:rPr>
  </w:style>
  <w:style w:type="paragraph" w:customStyle="1" w:styleId="15">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character" w:customStyle="1" w:styleId="16">
    <w:name w:val="标题 1 Char"/>
    <w:basedOn w:val="12"/>
    <w:link w:val="3"/>
    <w:qFormat/>
    <w:locked/>
    <w:uiPriority w:val="9"/>
    <w:rPr>
      <w:b/>
      <w:bCs/>
      <w:kern w:val="44"/>
      <w:sz w:val="44"/>
      <w:szCs w:val="44"/>
    </w:rPr>
  </w:style>
  <w:style w:type="character" w:customStyle="1" w:styleId="17">
    <w:name w:val="标题 2 Char"/>
    <w:basedOn w:val="12"/>
    <w:link w:val="4"/>
    <w:qFormat/>
    <w:locked/>
    <w:uiPriority w:val="9"/>
    <w:rPr>
      <w:rFonts w:ascii="Cambria" w:hAnsi="Cambria"/>
      <w:b/>
      <w:bCs/>
      <w:sz w:val="32"/>
      <w:szCs w:val="32"/>
    </w:rPr>
  </w:style>
  <w:style w:type="paragraph" w:customStyle="1" w:styleId="18">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hart" Target="charts/chart5.xml"/><Relationship Id="rId8" Type="http://schemas.openxmlformats.org/officeDocument/2006/relationships/chart" Target="charts/chart4.xml"/><Relationship Id="rId7" Type="http://schemas.openxmlformats.org/officeDocument/2006/relationships/chart" Target="charts/chart3.xml"/><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chart" Target="charts/chart7.xml"/><Relationship Id="rId10" Type="http://schemas.openxmlformats.org/officeDocument/2006/relationships/chart" Target="charts/chart6.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4" Type="http://schemas.microsoft.com/office/2011/relationships/chartColorStyle" Target="colors1.xml"/><Relationship Id="rId3" Type="http://schemas.microsoft.com/office/2011/relationships/chartStyle" Target="style1.xml"/><Relationship Id="rId2" Type="http://schemas.openxmlformats.org/officeDocument/2006/relationships/themeOverride" Target="../theme/themeOverrid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4" Type="http://schemas.microsoft.com/office/2011/relationships/chartColorStyle" Target="colors3.xml"/><Relationship Id="rId3" Type="http://schemas.microsoft.com/office/2011/relationships/chartStyle" Target="style3.xml"/><Relationship Id="rId2" Type="http://schemas.openxmlformats.org/officeDocument/2006/relationships/themeOverride" Target="../theme/themeOverride3.xml"/><Relationship Id="rId1" Type="http://schemas.openxmlformats.org/officeDocument/2006/relationships/package" Target="../embeddings/Workbook3.xlsx"/></Relationships>
</file>

<file path=word/charts/_rels/chart3.xml.rels><?xml version="1.0" encoding="UTF-8" standalone="yes"?>
<Relationships xmlns="http://schemas.openxmlformats.org/package/2006/relationships"><Relationship Id="rId4" Type="http://schemas.microsoft.com/office/2011/relationships/chartColorStyle" Target="colors4.xml"/><Relationship Id="rId3" Type="http://schemas.microsoft.com/office/2011/relationships/chartStyle" Target="style4.xml"/><Relationship Id="rId2" Type="http://schemas.openxmlformats.org/officeDocument/2006/relationships/themeOverride" Target="../theme/themeOverride4.xml"/><Relationship Id="rId1" Type="http://schemas.openxmlformats.org/officeDocument/2006/relationships/package" Target="../embeddings/Workbook4.xlsx"/></Relationships>
</file>

<file path=word/charts/_rels/chart4.xml.rels><?xml version="1.0" encoding="UTF-8" standalone="yes"?>
<Relationships xmlns="http://schemas.openxmlformats.org/package/2006/relationships"><Relationship Id="rId4" Type="http://schemas.microsoft.com/office/2011/relationships/chartColorStyle" Target="colors5.xml"/><Relationship Id="rId3" Type="http://schemas.microsoft.com/office/2011/relationships/chartStyle" Target="style5.xml"/><Relationship Id="rId2" Type="http://schemas.openxmlformats.org/officeDocument/2006/relationships/themeOverride" Target="../theme/themeOverride5.xml"/><Relationship Id="rId1" Type="http://schemas.openxmlformats.org/officeDocument/2006/relationships/package" Target="../embeddings/Workbook5.xlsx"/></Relationships>
</file>

<file path=word/charts/_rels/chart5.xml.rels><?xml version="1.0" encoding="UTF-8" standalone="yes"?>
<Relationships xmlns="http://schemas.openxmlformats.org/package/2006/relationships"><Relationship Id="rId4" Type="http://schemas.microsoft.com/office/2011/relationships/chartColorStyle" Target="colors6.xml"/><Relationship Id="rId3" Type="http://schemas.microsoft.com/office/2011/relationships/chartStyle" Target="style6.xml"/><Relationship Id="rId2" Type="http://schemas.openxmlformats.org/officeDocument/2006/relationships/themeOverride" Target="../theme/themeOverride6.xml"/><Relationship Id="rId1" Type="http://schemas.openxmlformats.org/officeDocument/2006/relationships/package" Target="../embeddings/Workbook6.xlsx"/></Relationships>
</file>

<file path=word/charts/_rels/chart6.xml.rels><?xml version="1.0" encoding="UTF-8" standalone="yes"?>
<Relationships xmlns="http://schemas.openxmlformats.org/package/2006/relationships"><Relationship Id="rId4" Type="http://schemas.microsoft.com/office/2011/relationships/chartColorStyle" Target="colors7.xml"/><Relationship Id="rId3" Type="http://schemas.microsoft.com/office/2011/relationships/chartStyle" Target="style7.xml"/><Relationship Id="rId2" Type="http://schemas.openxmlformats.org/officeDocument/2006/relationships/themeOverride" Target="../theme/themeOverride7.xml"/><Relationship Id="rId1" Type="http://schemas.openxmlformats.org/officeDocument/2006/relationships/package" Target="../embeddings/Workbook7.xlsx"/></Relationships>
</file>

<file path=word/charts/_rels/chart7.xml.rels><?xml version="1.0" encoding="UTF-8" standalone="yes"?>
<Relationships xmlns="http://schemas.openxmlformats.org/package/2006/relationships"><Relationship Id="rId4" Type="http://schemas.microsoft.com/office/2011/relationships/chartColorStyle" Target="colors2.xml"/><Relationship Id="rId3" Type="http://schemas.microsoft.com/office/2011/relationships/chartStyle" Target="style2.xml"/><Relationship Id="rId2" Type="http://schemas.openxmlformats.org/officeDocument/2006/relationships/themeOverride" Target="../theme/themeOverride2.xml"/><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1"/>
    </mc:Choice>
    <mc:Fallback>
      <c:style val="1"/>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Sheet1!$B$1</c:f>
              <c:strCache>
                <c:ptCount val="1"/>
                <c:pt idx="0">
                  <c:v>年度收、支总</c:v>
                </c:pt>
              </c:strCache>
            </c:strRef>
          </c:tx>
          <c:spPr>
            <a:solidFill>
              <a:schemeClr val="dk1">
                <a:tint val="88500"/>
              </a:schemeClr>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bg1">
                        <a:lumMod val="65000"/>
                      </a:schemeClr>
                    </a:solidFill>
                    <a:latin typeface="微软雅黑" panose="020B0503020204020204" charset="-122"/>
                    <a:ea typeface="微软雅黑" panose="020B0503020204020204" charset="-122"/>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Sheet1!$A$2:$A$3</c:f>
              <c:numCache>
                <c:formatCode>General</c:formatCode>
                <c:ptCount val="2"/>
                <c:pt idx="0">
                  <c:v>2019</c:v>
                </c:pt>
                <c:pt idx="1">
                  <c:v>2020</c:v>
                </c:pt>
              </c:numCache>
            </c:numRef>
          </c:cat>
          <c:val>
            <c:numRef>
              <c:f>Sheet1!$B$2:$B$3</c:f>
              <c:numCache>
                <c:formatCode>General</c:formatCode>
                <c:ptCount val="2"/>
                <c:pt idx="0">
                  <c:v>383.75</c:v>
                </c:pt>
                <c:pt idx="1">
                  <c:v>317.56</c:v>
                </c:pt>
              </c:numCache>
            </c:numRef>
          </c:val>
        </c:ser>
        <c:dLbls>
          <c:showLegendKey val="0"/>
          <c:showVal val="0"/>
          <c:showCatName val="0"/>
          <c:showSerName val="0"/>
          <c:showPercent val="0"/>
          <c:showBubbleSize val="0"/>
        </c:dLbls>
        <c:gapWidth val="219"/>
        <c:overlap val="-27"/>
        <c:axId val="106345761"/>
        <c:axId val="780917876"/>
      </c:barChart>
      <c:catAx>
        <c:axId val="10634576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forceAA="0"/>
          <a:lstStyle/>
          <a:p>
            <a:pPr>
              <a:defRPr lang="zh-CN" sz="900" b="0" i="0" u="none" strike="noStrike" kern="1200" baseline="0">
                <a:solidFill>
                  <a:schemeClr val="bg1">
                    <a:lumMod val="65000"/>
                  </a:schemeClr>
                </a:solidFill>
                <a:latin typeface="微软雅黑" panose="020B0503020204020204" charset="-122"/>
                <a:ea typeface="微软雅黑" panose="020B0503020204020204" charset="-122"/>
                <a:cs typeface="+mn-cs"/>
              </a:defRPr>
            </a:pPr>
          </a:p>
        </c:txPr>
        <c:crossAx val="780917876"/>
        <c:crosses val="autoZero"/>
        <c:auto val="1"/>
        <c:lblAlgn val="ctr"/>
        <c:lblOffset val="100"/>
        <c:noMultiLvlLbl val="0"/>
      </c:catAx>
      <c:valAx>
        <c:axId val="78091787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out"/>
        <c:minorTickMark val="none"/>
        <c:tickLblPos val="nextTo"/>
        <c:spPr>
          <a:noFill/>
          <a:ln>
            <a:noFill/>
          </a:ln>
          <a:effectLst/>
        </c:spPr>
        <c:txPr>
          <a:bodyPr rot="-60000000" spcFirstLastPara="0" vertOverflow="ellipsis" vert="horz" wrap="square" anchor="ctr" anchorCtr="1" forceAA="0"/>
          <a:lstStyle/>
          <a:p>
            <a:pPr>
              <a:defRPr lang="zh-CN" sz="900" b="0" i="0" u="none" strike="noStrike" kern="1200" baseline="0">
                <a:solidFill>
                  <a:schemeClr val="bg1">
                    <a:lumMod val="65000"/>
                  </a:schemeClr>
                </a:solidFill>
                <a:latin typeface="微软雅黑" panose="020B0503020204020204" charset="-122"/>
                <a:ea typeface="微软雅黑" panose="020B0503020204020204" charset="-122"/>
                <a:cs typeface="+mn-cs"/>
              </a:defRPr>
            </a:pPr>
          </a:p>
        </c:txPr>
        <c:crossAx val="106345761"/>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forceAA="0"/>
        <a:lstStyle/>
        <a:p>
          <a:pPr>
            <a:defRPr lang="zh-CN" sz="900" b="0" i="0" u="none" strike="noStrike" kern="1200" baseline="0">
              <a:solidFill>
                <a:schemeClr val="bg1">
                  <a:lumMod val="65000"/>
                </a:schemeClr>
              </a:solidFill>
              <a:latin typeface="微软雅黑" panose="020B0503020204020204" charset="-122"/>
              <a:ea typeface="微软雅黑" panose="020B0503020204020204" charset="-122"/>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solidFill>
            <a:schemeClr val="bg1">
              <a:lumMod val="65000"/>
            </a:schemeClr>
          </a:solidFill>
          <a:latin typeface="微软雅黑" panose="020B0503020204020204" charset="-122"/>
          <a:ea typeface="微软雅黑" panose="020B0503020204020204" charset="-122"/>
        </a:defRPr>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5"/>
    </mc:Choice>
    <mc:Fallback>
      <c:style val="5"/>
    </mc:Fallback>
  </mc:AlternateContent>
  <c:clrMapOvr bg1="lt1" tx1="dk1" bg2="lt2" tx2="dk2" accent1="accent1" accent2="accent2" accent3="accent3" accent4="accent4" accent5="accent5" accent6="accent6" hlink="hlink" folHlink="folHlink"/>
  <c:chart>
    <c:autoTitleDeleted val="1"/>
    <c:plotArea>
      <c:layout/>
      <c:pieChart>
        <c:varyColors val="1"/>
        <c:ser>
          <c:idx val="0"/>
          <c:order val="0"/>
          <c:tx>
            <c:strRef>
              <c:f>Sheet1!$B$1</c:f>
              <c:strCache>
                <c:ptCount val="1"/>
                <c:pt idx="0">
                  <c:v>系列 1</c:v>
                </c:pt>
              </c:strCache>
            </c:strRef>
          </c:tx>
          <c:spPr/>
          <c:explosion val="0"/>
          <c:dPt>
            <c:idx val="0"/>
            <c:bubble3D val="0"/>
            <c:spPr>
              <a:gradFill>
                <a:gsLst>
                  <a:gs pos="100000">
                    <a:schemeClr val="accent3">
                      <a:tint val="53333"/>
                      <a:lumMod val="60000"/>
                      <a:lumOff val="40000"/>
                    </a:schemeClr>
                  </a:gs>
                  <a:gs pos="0">
                    <a:schemeClr val="accent3">
                      <a:tint val="53333"/>
                    </a:schemeClr>
                  </a:gs>
                </a:gsLst>
                <a:lin ang="5400000" scaled="0"/>
              </a:gradFill>
              <a:ln w="19050">
                <a:solidFill>
                  <a:schemeClr val="lt1"/>
                </a:solidFill>
              </a:ln>
              <a:effectLst/>
            </c:spPr>
          </c:dPt>
          <c:dPt>
            <c:idx val="1"/>
            <c:bubble3D val="0"/>
            <c:spPr>
              <a:gradFill>
                <a:gsLst>
                  <a:gs pos="100000">
                    <a:schemeClr val="accent3">
                      <a:tint val="76667"/>
                      <a:lumMod val="60000"/>
                      <a:lumOff val="40000"/>
                    </a:schemeClr>
                  </a:gs>
                  <a:gs pos="0">
                    <a:schemeClr val="accent3">
                      <a:tint val="76667"/>
                    </a:schemeClr>
                  </a:gs>
                </a:gsLst>
                <a:lin ang="5400000" scaled="0"/>
              </a:gradFill>
              <a:ln w="19050">
                <a:solidFill>
                  <a:schemeClr val="lt1"/>
                </a:solidFill>
              </a:ln>
              <a:effectLst/>
            </c:spPr>
          </c:dPt>
          <c:dPt>
            <c:idx val="2"/>
            <c:bubble3D val="0"/>
            <c:spPr>
              <a:gradFill>
                <a:gsLst>
                  <a:gs pos="100000">
                    <a:schemeClr val="accent3">
                      <a:tint val="82500"/>
                      <a:lumMod val="60000"/>
                      <a:lumOff val="40000"/>
                    </a:schemeClr>
                  </a:gs>
                  <a:gs pos="0">
                    <a:schemeClr val="accent3">
                      <a:tint val="82500"/>
                    </a:schemeClr>
                  </a:gs>
                </a:gsLst>
                <a:lin ang="5400000" scaled="0"/>
              </a:gradFill>
              <a:ln w="19050">
                <a:solidFill>
                  <a:schemeClr val="lt1"/>
                </a:solidFill>
              </a:ln>
              <a:effectLst/>
            </c:spPr>
          </c:dPt>
          <c:dPt>
            <c:idx val="3"/>
            <c:bubble3D val="0"/>
            <c:spPr>
              <a:gradFill>
                <a:gsLst>
                  <a:gs pos="100000">
                    <a:schemeClr val="accent3">
                      <a:shade val="76667"/>
                      <a:lumMod val="60000"/>
                      <a:lumOff val="40000"/>
                    </a:schemeClr>
                  </a:gs>
                  <a:gs pos="0">
                    <a:schemeClr val="accent3">
                      <a:shade val="76667"/>
                    </a:schemeClr>
                  </a:gs>
                </a:gsLst>
                <a:lin ang="5400000" scaled="0"/>
              </a:gradFill>
              <a:ln w="19050">
                <a:solidFill>
                  <a:schemeClr val="lt1"/>
                </a:solidFill>
              </a:ln>
              <a:effectLst/>
            </c:spPr>
          </c:dPt>
          <c:dPt>
            <c:idx val="4"/>
            <c:bubble3D val="0"/>
            <c:spPr>
              <a:gradFill>
                <a:gsLst>
                  <a:gs pos="100000">
                    <a:schemeClr val="accent3">
                      <a:shade val="82500"/>
                      <a:lumMod val="60000"/>
                      <a:lumOff val="40000"/>
                    </a:schemeClr>
                  </a:gs>
                  <a:gs pos="0">
                    <a:schemeClr val="accent3">
                      <a:shade val="82500"/>
                    </a:schemeClr>
                  </a:gs>
                </a:gsLst>
                <a:lin ang="5400000" scaled="0"/>
              </a:gradFill>
              <a:ln w="19050">
                <a:solidFill>
                  <a:schemeClr val="lt1"/>
                </a:solidFill>
              </a:ln>
              <a:effectLst/>
            </c:spPr>
          </c:dPt>
          <c:dPt>
            <c:idx val="5"/>
            <c:bubble3D val="0"/>
            <c:spPr>
              <a:gradFill>
                <a:gsLst>
                  <a:gs pos="100000">
                    <a:schemeClr val="accent3">
                      <a:shade val="65000"/>
                      <a:lumMod val="60000"/>
                      <a:lumOff val="40000"/>
                    </a:schemeClr>
                  </a:gs>
                  <a:gs pos="0">
                    <a:schemeClr val="accent3">
                      <a:shade val="65000"/>
                    </a:schemeClr>
                  </a:gs>
                </a:gsLst>
                <a:lin ang="5400000" scaled="0"/>
              </a:gradFill>
              <a:ln w="19050">
                <a:solidFill>
                  <a:schemeClr val="lt1"/>
                </a:solidFill>
              </a:ln>
              <a:effectLst/>
            </c:spPr>
          </c:dPt>
          <c:dPt>
            <c:idx val="6"/>
            <c:bubble3D val="0"/>
            <c:spPr>
              <a:gradFill>
                <a:gsLst>
                  <a:gs pos="100000">
                    <a:schemeClr val="accent3">
                      <a:shade val="47500"/>
                      <a:lumMod val="60000"/>
                      <a:lumOff val="40000"/>
                    </a:schemeClr>
                  </a:gs>
                  <a:gs pos="0">
                    <a:schemeClr val="accent3">
                      <a:shade val="47500"/>
                    </a:schemeClr>
                  </a:gs>
                </a:gsLst>
                <a:lin ang="5400000" scaled="0"/>
              </a:gra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dk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Sheet1!$A$2:$A$8</c:f>
              <c:strCache>
                <c:ptCount val="7"/>
                <c:pt idx="0">
                  <c:v>一般公共预算财政拨款收入</c:v>
                </c:pt>
                <c:pt idx="1">
                  <c:v>政府性基金预算财政拨款收入</c:v>
                </c:pt>
                <c:pt idx="2">
                  <c:v>上级补助收入</c:v>
                </c:pt>
                <c:pt idx="3">
                  <c:v>事业收入</c:v>
                </c:pt>
                <c:pt idx="4">
                  <c:v>经营收入</c:v>
                </c:pt>
                <c:pt idx="5">
                  <c:v>附属单位上缴收入</c:v>
                </c:pt>
                <c:pt idx="6">
                  <c:v>其他收入</c:v>
                </c:pt>
              </c:strCache>
            </c:strRef>
          </c:cat>
          <c:val>
            <c:numRef>
              <c:f>Sheet1!$B$2:$B$8</c:f>
              <c:numCache>
                <c:formatCode>General</c:formatCode>
                <c:ptCount val="7"/>
                <c:pt idx="0">
                  <c:v>317.56</c:v>
                </c:pt>
                <c:pt idx="1">
                  <c:v>0</c:v>
                </c:pt>
                <c:pt idx="2">
                  <c:v>0</c:v>
                </c:pt>
                <c:pt idx="3">
                  <c:v>0</c:v>
                </c:pt>
                <c:pt idx="4">
                  <c:v>0</c:v>
                </c:pt>
                <c:pt idx="5">
                  <c:v>0</c:v>
                </c:pt>
                <c:pt idx="6">
                  <c:v>0</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solidFill>
          <a:schemeClr val="lt1">
            <a:alpha val="50000"/>
          </a:schemeClr>
        </a:solidFill>
        <a:ln>
          <a:noFill/>
        </a:ln>
        <a:effectLst/>
      </c:spPr>
      <c:txPr>
        <a:bodyPr rot="0" spcFirstLastPara="0" vertOverflow="ellipsis" vert="horz" wrap="square" anchor="ctr" anchorCtr="1" forceAA="0"/>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chart>
  <c:spPr>
    <a:pattFill prst="dkDnDiag">
      <a:fgClr>
        <a:schemeClr val="lt1"/>
      </a:fgClr>
      <a:bgClr>
        <a:schemeClr val="dk1">
          <a:lumMod val="10000"/>
          <a:lumOff val="90000"/>
        </a:schemeClr>
      </a:bgClr>
    </a:pattFill>
    <a:ln w="9525" cap="flat" cmpd="sng" algn="ctr">
      <a:solidFill>
        <a:schemeClr val="dk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5"/>
    </mc:Choice>
    <mc:Fallback>
      <c:style val="5"/>
    </mc:Fallback>
  </mc:AlternateContent>
  <c:clrMapOvr bg1="lt1" tx1="dk1" bg2="lt2" tx2="dk2" accent1="accent1" accent2="accent2" accent3="accent3" accent4="accent4" accent5="accent5" accent6="accent6" hlink="hlink" folHlink="folHlink"/>
  <c:chart>
    <c:autoTitleDeleted val="1"/>
    <c:plotArea>
      <c:layout/>
      <c:pieChart>
        <c:varyColors val="1"/>
        <c:ser>
          <c:idx val="0"/>
          <c:order val="0"/>
          <c:tx>
            <c:strRef>
              <c:f>Sheet1!$B$1</c:f>
              <c:strCache>
                <c:ptCount val="1"/>
                <c:pt idx="0">
                  <c:v>系列 1</c:v>
                </c:pt>
              </c:strCache>
            </c:strRef>
          </c:tx>
          <c:spPr/>
          <c:explosion val="0"/>
          <c:dPt>
            <c:idx val="0"/>
            <c:bubble3D val="0"/>
            <c:spPr>
              <a:gradFill>
                <a:gsLst>
                  <a:gs pos="100000">
                    <a:schemeClr val="accent3">
                      <a:tint val="53333"/>
                      <a:lumMod val="60000"/>
                      <a:lumOff val="40000"/>
                    </a:schemeClr>
                  </a:gs>
                  <a:gs pos="0">
                    <a:schemeClr val="accent3">
                      <a:tint val="53333"/>
                    </a:schemeClr>
                  </a:gs>
                </a:gsLst>
                <a:lin ang="5400000" scaled="0"/>
              </a:gradFill>
              <a:ln w="19050">
                <a:solidFill>
                  <a:schemeClr val="lt1"/>
                </a:solidFill>
              </a:ln>
              <a:effectLst/>
            </c:spPr>
          </c:dPt>
          <c:dPt>
            <c:idx val="1"/>
            <c:bubble3D val="0"/>
            <c:spPr>
              <a:gradFill>
                <a:gsLst>
                  <a:gs pos="100000">
                    <a:schemeClr val="accent3">
                      <a:tint val="76667"/>
                      <a:lumMod val="60000"/>
                      <a:lumOff val="40000"/>
                    </a:schemeClr>
                  </a:gs>
                  <a:gs pos="0">
                    <a:schemeClr val="accent3">
                      <a:tint val="76667"/>
                    </a:schemeClr>
                  </a:gs>
                </a:gsLst>
                <a:lin ang="5400000" scaled="0"/>
              </a:gradFill>
              <a:ln w="19050">
                <a:solidFill>
                  <a:schemeClr val="lt1"/>
                </a:solidFill>
              </a:ln>
              <a:effectLst/>
            </c:spPr>
          </c:dPt>
          <c:dPt>
            <c:idx val="2"/>
            <c:bubble3D val="0"/>
            <c:spPr>
              <a:gradFill>
                <a:gsLst>
                  <a:gs pos="100000">
                    <a:schemeClr val="accent3">
                      <a:shade val="86000"/>
                      <a:lumMod val="60000"/>
                      <a:lumOff val="40000"/>
                    </a:schemeClr>
                  </a:gs>
                  <a:gs pos="0">
                    <a:schemeClr val="accent3">
                      <a:shade val="86000"/>
                    </a:schemeClr>
                  </a:gs>
                </a:gsLst>
                <a:lin ang="5400000" scaled="0"/>
              </a:gradFill>
              <a:ln w="19050">
                <a:solidFill>
                  <a:schemeClr val="lt1"/>
                </a:solidFill>
              </a:ln>
              <a:effectLst/>
            </c:spPr>
          </c:dPt>
          <c:dPt>
            <c:idx val="3"/>
            <c:bubble3D val="0"/>
            <c:spPr>
              <a:gradFill>
                <a:gsLst>
                  <a:gs pos="100000">
                    <a:schemeClr val="accent3">
                      <a:shade val="76667"/>
                      <a:lumMod val="60000"/>
                      <a:lumOff val="40000"/>
                    </a:schemeClr>
                  </a:gs>
                  <a:gs pos="0">
                    <a:schemeClr val="accent3">
                      <a:shade val="76667"/>
                    </a:schemeClr>
                  </a:gs>
                </a:gsLst>
                <a:lin ang="5400000" scaled="0"/>
              </a:gra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dk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Sheet1!$A$2:$A$5</c:f>
              <c:strCache>
                <c:ptCount val="4"/>
                <c:pt idx="0">
                  <c:v>基本支出</c:v>
                </c:pt>
                <c:pt idx="1">
                  <c:v>项目支出</c:v>
                </c:pt>
                <c:pt idx="2">
                  <c:v>上缴上级支出</c:v>
                </c:pt>
                <c:pt idx="3">
                  <c:v>经营支出</c:v>
                </c:pt>
              </c:strCache>
            </c:strRef>
          </c:cat>
          <c:val>
            <c:numRef>
              <c:f>Sheet1!$B$2:$B$5</c:f>
              <c:numCache>
                <c:formatCode>General</c:formatCode>
                <c:ptCount val="4"/>
                <c:pt idx="0">
                  <c:v>234.56</c:v>
                </c:pt>
                <c:pt idx="1">
                  <c:v>70.5</c:v>
                </c:pt>
                <c:pt idx="2">
                  <c:v>0</c:v>
                </c:pt>
                <c:pt idx="3">
                  <c:v>0</c:v>
                </c:pt>
              </c:numCache>
            </c:numRef>
          </c:val>
        </c:ser>
        <c:ser>
          <c:idx val="1"/>
          <c:order val="1"/>
          <c:tx>
            <c:strRef>
              <c:f>Sheet1!$C$1</c:f>
              <c:strCache>
                <c:ptCount val="1"/>
                <c:pt idx="0">
                  <c:v/>
                </c:pt>
              </c:strCache>
            </c:strRef>
          </c:tx>
          <c:spPr/>
          <c:explosion val="0"/>
          <c:dPt>
            <c:idx val="0"/>
            <c:bubble3D val="0"/>
            <c:spPr>
              <a:gradFill>
                <a:gsLst>
                  <a:gs pos="100000">
                    <a:schemeClr val="accent3">
                      <a:tint val="58000"/>
                      <a:lumMod val="60000"/>
                      <a:lumOff val="40000"/>
                    </a:schemeClr>
                  </a:gs>
                  <a:gs pos="0">
                    <a:schemeClr val="accent3">
                      <a:tint val="58000"/>
                    </a:schemeClr>
                  </a:gs>
                </a:gsLst>
                <a:lin ang="5400000" scaled="0"/>
              </a:gradFill>
              <a:ln w="19050">
                <a:solidFill>
                  <a:schemeClr val="lt1"/>
                </a:solidFill>
              </a:ln>
              <a:effectLst/>
            </c:spPr>
          </c:dPt>
          <c:dPt>
            <c:idx val="1"/>
            <c:bubble3D val="0"/>
            <c:spPr>
              <a:gradFill>
                <a:gsLst>
                  <a:gs pos="100000">
                    <a:schemeClr val="accent3">
                      <a:tint val="86000"/>
                      <a:lumMod val="60000"/>
                      <a:lumOff val="40000"/>
                    </a:schemeClr>
                  </a:gs>
                  <a:gs pos="0">
                    <a:schemeClr val="accent3">
                      <a:tint val="86000"/>
                    </a:schemeClr>
                  </a:gs>
                </a:gsLst>
                <a:lin ang="5400000" scaled="0"/>
              </a:gradFill>
              <a:ln w="19050">
                <a:solidFill>
                  <a:schemeClr val="lt1"/>
                </a:solidFill>
              </a:ln>
              <a:effectLst/>
            </c:spPr>
          </c:dPt>
          <c:dPt>
            <c:idx val="2"/>
            <c:bubble3D val="0"/>
            <c:spPr>
              <a:gradFill>
                <a:gsLst>
                  <a:gs pos="100000">
                    <a:schemeClr val="accent3">
                      <a:shade val="86000"/>
                      <a:lumMod val="60000"/>
                      <a:lumOff val="40000"/>
                    </a:schemeClr>
                  </a:gs>
                  <a:gs pos="0">
                    <a:schemeClr val="accent3">
                      <a:shade val="86000"/>
                    </a:schemeClr>
                  </a:gs>
                </a:gsLst>
                <a:lin ang="5400000" scaled="0"/>
              </a:gradFill>
              <a:ln w="19050">
                <a:solidFill>
                  <a:schemeClr val="lt1"/>
                </a:solidFill>
              </a:ln>
              <a:effectLst/>
            </c:spPr>
          </c:dPt>
          <c:dPt>
            <c:idx val="3"/>
            <c:bubble3D val="0"/>
            <c:spPr>
              <a:gradFill>
                <a:gsLst>
                  <a:gs pos="100000">
                    <a:schemeClr val="accent3">
                      <a:shade val="58000"/>
                      <a:lumMod val="60000"/>
                      <a:lumOff val="40000"/>
                    </a:schemeClr>
                  </a:gs>
                  <a:gs pos="0">
                    <a:schemeClr val="accent3">
                      <a:shade val="58000"/>
                    </a:schemeClr>
                  </a:gs>
                </a:gsLst>
                <a:lin ang="5400000" scaled="0"/>
              </a:gradFill>
              <a:ln w="19050">
                <a:solidFill>
                  <a:schemeClr val="lt1"/>
                </a:solidFill>
              </a:ln>
              <a:effectLst/>
            </c:spPr>
          </c:dPt>
          <c:dLbls>
            <c:numFmt formatCode="General" sourceLinked="1"/>
            <c:spPr>
              <a:noFill/>
              <a:ln>
                <a:noFill/>
              </a:ln>
              <a:effectLst/>
            </c:spPr>
            <c:txPr>
              <a:bodyPr rot="0" spcFirstLastPara="0" vertOverflow="ellipsis" vert="horz" wrap="square" lIns="38100" tIns="19050" rIns="38100" bIns="19050" anchor="ctr" anchorCtr="1" forceAA="0"/>
              <a:lstStyle/>
              <a:p>
                <a:pPr>
                  <a:defRPr lang="zh-CN" sz="900" b="0" i="0" u="none" strike="noStrike" kern="1200" baseline="0">
                    <a:solidFill>
                      <a:schemeClr val="dk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Sheet1!$A$2:$A$5</c:f>
              <c:strCache>
                <c:ptCount val="4"/>
                <c:pt idx="0">
                  <c:v>基本支出</c:v>
                </c:pt>
                <c:pt idx="1">
                  <c:v>项目支出</c:v>
                </c:pt>
                <c:pt idx="2">
                  <c:v>上缴上级支出</c:v>
                </c:pt>
                <c:pt idx="3">
                  <c:v>经营支出</c:v>
                </c:pt>
              </c:strCache>
            </c:strRef>
          </c:cat>
          <c:val>
            <c:numRef>
              <c:f>Sheet1!$C$2:$C$5</c:f>
              <c:numCache>
                <c:formatCode>General</c:formatCode>
                <c:ptCount val="4"/>
              </c:numCache>
            </c:numRef>
          </c:val>
        </c:ser>
        <c:ser>
          <c:idx val="2"/>
          <c:order val="2"/>
          <c:tx>
            <c:strRef>
              <c:f>Sheet1!$D$1</c:f>
              <c:strCache>
                <c:ptCount val="1"/>
                <c:pt idx="0">
                  <c:v/>
                </c:pt>
              </c:strCache>
            </c:strRef>
          </c:tx>
          <c:spPr/>
          <c:explosion val="0"/>
          <c:dPt>
            <c:idx val="0"/>
            <c:bubble3D val="0"/>
            <c:spPr>
              <a:gradFill>
                <a:gsLst>
                  <a:gs pos="100000">
                    <a:schemeClr val="accent3">
                      <a:tint val="58000"/>
                      <a:lumMod val="60000"/>
                      <a:lumOff val="40000"/>
                    </a:schemeClr>
                  </a:gs>
                  <a:gs pos="0">
                    <a:schemeClr val="accent3">
                      <a:tint val="58000"/>
                    </a:schemeClr>
                  </a:gs>
                </a:gsLst>
                <a:lin ang="5400000" scaled="0"/>
              </a:gradFill>
              <a:ln w="19050">
                <a:solidFill>
                  <a:schemeClr val="lt1"/>
                </a:solidFill>
              </a:ln>
              <a:effectLst/>
            </c:spPr>
          </c:dPt>
          <c:dPt>
            <c:idx val="1"/>
            <c:bubble3D val="0"/>
            <c:spPr>
              <a:gradFill>
                <a:gsLst>
                  <a:gs pos="100000">
                    <a:schemeClr val="accent3">
                      <a:tint val="86000"/>
                      <a:lumMod val="60000"/>
                      <a:lumOff val="40000"/>
                    </a:schemeClr>
                  </a:gs>
                  <a:gs pos="0">
                    <a:schemeClr val="accent3">
                      <a:tint val="86000"/>
                    </a:schemeClr>
                  </a:gs>
                </a:gsLst>
                <a:lin ang="5400000" scaled="0"/>
              </a:gradFill>
              <a:ln w="19050">
                <a:solidFill>
                  <a:schemeClr val="lt1"/>
                </a:solidFill>
              </a:ln>
              <a:effectLst/>
            </c:spPr>
          </c:dPt>
          <c:dPt>
            <c:idx val="2"/>
            <c:bubble3D val="0"/>
            <c:spPr>
              <a:gradFill>
                <a:gsLst>
                  <a:gs pos="100000">
                    <a:schemeClr val="accent3">
                      <a:shade val="86000"/>
                      <a:lumMod val="60000"/>
                      <a:lumOff val="40000"/>
                    </a:schemeClr>
                  </a:gs>
                  <a:gs pos="0">
                    <a:schemeClr val="accent3">
                      <a:shade val="86000"/>
                    </a:schemeClr>
                  </a:gs>
                </a:gsLst>
                <a:lin ang="5400000" scaled="0"/>
              </a:gradFill>
              <a:ln w="19050">
                <a:solidFill>
                  <a:schemeClr val="lt1"/>
                </a:solidFill>
              </a:ln>
              <a:effectLst/>
            </c:spPr>
          </c:dPt>
          <c:dPt>
            <c:idx val="3"/>
            <c:bubble3D val="0"/>
            <c:spPr>
              <a:gradFill>
                <a:gsLst>
                  <a:gs pos="100000">
                    <a:schemeClr val="accent3">
                      <a:shade val="58000"/>
                      <a:lumMod val="60000"/>
                      <a:lumOff val="40000"/>
                    </a:schemeClr>
                  </a:gs>
                  <a:gs pos="0">
                    <a:schemeClr val="accent3">
                      <a:shade val="58000"/>
                    </a:schemeClr>
                  </a:gs>
                </a:gsLst>
                <a:lin ang="5400000" scaled="0"/>
              </a:gradFill>
              <a:ln w="19050">
                <a:solidFill>
                  <a:schemeClr val="lt1"/>
                </a:solidFill>
              </a:ln>
              <a:effectLst/>
            </c:spPr>
          </c:dPt>
          <c:dLbls>
            <c:numFmt formatCode="General" sourceLinked="1"/>
            <c:spPr>
              <a:noFill/>
              <a:ln>
                <a:noFill/>
              </a:ln>
              <a:effectLst/>
            </c:spPr>
            <c:txPr>
              <a:bodyPr rot="0" spcFirstLastPara="0" vertOverflow="ellipsis" vert="horz" wrap="square" lIns="38100" tIns="19050" rIns="38100" bIns="19050" anchor="ctr" anchorCtr="1" forceAA="0"/>
              <a:lstStyle/>
              <a:p>
                <a:pPr>
                  <a:defRPr lang="zh-CN" sz="900" b="0" i="0" u="none" strike="noStrike" kern="1200" baseline="0">
                    <a:solidFill>
                      <a:schemeClr val="dk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Sheet1!$A$2:$A$5</c:f>
              <c:strCache>
                <c:ptCount val="4"/>
                <c:pt idx="0">
                  <c:v>基本支出</c:v>
                </c:pt>
                <c:pt idx="1">
                  <c:v>项目支出</c:v>
                </c:pt>
                <c:pt idx="2">
                  <c:v>上缴上级支出</c:v>
                </c:pt>
                <c:pt idx="3">
                  <c:v>经营支出</c:v>
                </c:pt>
              </c:strCache>
            </c:strRef>
          </c:cat>
          <c:val>
            <c:numRef>
              <c:f>Sheet1!$D$2:$D$5</c:f>
              <c:numCache>
                <c:formatCode>General</c:formatCode>
                <c:ptCount val="4"/>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solidFill>
          <a:schemeClr val="lt1">
            <a:alpha val="50000"/>
          </a:schemeClr>
        </a:solidFill>
        <a:ln>
          <a:noFill/>
        </a:ln>
        <a:effectLst/>
      </c:spPr>
      <c:txPr>
        <a:bodyPr rot="0" spcFirstLastPara="0" vertOverflow="ellipsis" vert="horz" wrap="square" anchor="ctr" anchorCtr="1" forceAA="0"/>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chart>
  <c:spPr>
    <a:pattFill prst="dkDnDiag">
      <a:fgClr>
        <a:schemeClr val="lt1"/>
      </a:fgClr>
      <a:bgClr>
        <a:schemeClr val="dk1">
          <a:lumMod val="10000"/>
          <a:lumOff val="90000"/>
        </a:schemeClr>
      </a:bgClr>
    </a:pattFill>
    <a:ln w="9525" cap="flat" cmpd="sng" algn="ctr">
      <a:solidFill>
        <a:schemeClr val="dk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1"/>
    </mc:Choice>
    <mc:Fallback>
      <c:style val="1"/>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Sheet1!$B$1</c:f>
              <c:strCache>
                <c:ptCount val="1"/>
                <c:pt idx="0">
                  <c:v>2020年财政收款、支出
</c:v>
                </c:pt>
              </c:strCache>
            </c:strRef>
          </c:tx>
          <c:spPr>
            <a:solidFill>
              <a:schemeClr val="dk1">
                <a:tint val="88500"/>
              </a:schemeClr>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bg1">
                        <a:lumMod val="65000"/>
                      </a:schemeClr>
                    </a:solidFill>
                    <a:latin typeface="微软雅黑" panose="020B0503020204020204" charset="-122"/>
                    <a:ea typeface="微软雅黑" panose="020B0503020204020204" charset="-122"/>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Sheet1!$A$2:$A$3</c:f>
              <c:numCache>
                <c:formatCode>General</c:formatCode>
                <c:ptCount val="2"/>
                <c:pt idx="0">
                  <c:v>2019</c:v>
                </c:pt>
                <c:pt idx="1">
                  <c:v>2020</c:v>
                </c:pt>
              </c:numCache>
            </c:numRef>
          </c:cat>
          <c:val>
            <c:numRef>
              <c:f>Sheet1!$B$2:$B$3</c:f>
              <c:numCache>
                <c:formatCode>General</c:formatCode>
                <c:ptCount val="2"/>
                <c:pt idx="0">
                  <c:v>317.56</c:v>
                </c:pt>
                <c:pt idx="1">
                  <c:v>370.44</c:v>
                </c:pt>
              </c:numCache>
            </c:numRef>
          </c:val>
        </c:ser>
        <c:dLbls>
          <c:showLegendKey val="0"/>
          <c:showVal val="0"/>
          <c:showCatName val="0"/>
          <c:showSerName val="0"/>
          <c:showPercent val="0"/>
          <c:showBubbleSize val="0"/>
        </c:dLbls>
        <c:gapWidth val="219"/>
        <c:overlap val="-27"/>
        <c:axId val="988796902"/>
        <c:axId val="631029522"/>
      </c:barChart>
      <c:catAx>
        <c:axId val="98879690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forceAA="0"/>
          <a:lstStyle/>
          <a:p>
            <a:pPr>
              <a:defRPr lang="zh-CN" sz="900" b="0" i="0" u="none" strike="noStrike" kern="1200" baseline="0">
                <a:solidFill>
                  <a:schemeClr val="bg1">
                    <a:lumMod val="65000"/>
                  </a:schemeClr>
                </a:solidFill>
                <a:latin typeface="微软雅黑" panose="020B0503020204020204" charset="-122"/>
                <a:ea typeface="微软雅黑" panose="020B0503020204020204" charset="-122"/>
                <a:cs typeface="+mn-cs"/>
              </a:defRPr>
            </a:pPr>
          </a:p>
        </c:txPr>
        <c:crossAx val="631029522"/>
        <c:crosses val="autoZero"/>
        <c:auto val="1"/>
        <c:lblAlgn val="ctr"/>
        <c:lblOffset val="100"/>
        <c:noMultiLvlLbl val="0"/>
      </c:catAx>
      <c:valAx>
        <c:axId val="63102952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out"/>
        <c:minorTickMark val="none"/>
        <c:tickLblPos val="nextTo"/>
        <c:spPr>
          <a:noFill/>
          <a:ln>
            <a:noFill/>
          </a:ln>
          <a:effectLst/>
        </c:spPr>
        <c:txPr>
          <a:bodyPr rot="-60000000" spcFirstLastPara="0" vertOverflow="ellipsis" vert="horz" wrap="square" anchor="ctr" anchorCtr="1" forceAA="0"/>
          <a:lstStyle/>
          <a:p>
            <a:pPr>
              <a:defRPr lang="zh-CN" sz="900" b="0" i="0" u="none" strike="noStrike" kern="1200" baseline="0">
                <a:solidFill>
                  <a:schemeClr val="bg1">
                    <a:lumMod val="65000"/>
                  </a:schemeClr>
                </a:solidFill>
                <a:latin typeface="微软雅黑" panose="020B0503020204020204" charset="-122"/>
                <a:ea typeface="微软雅黑" panose="020B0503020204020204" charset="-122"/>
                <a:cs typeface="+mn-cs"/>
              </a:defRPr>
            </a:pPr>
          </a:p>
        </c:txPr>
        <c:crossAx val="988796902"/>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forceAA="0"/>
        <a:lstStyle/>
        <a:p>
          <a:pPr>
            <a:defRPr lang="zh-CN" sz="900" b="0" i="0" u="none" strike="noStrike" kern="1200" baseline="0">
              <a:solidFill>
                <a:schemeClr val="bg1">
                  <a:lumMod val="65000"/>
                </a:schemeClr>
              </a:solidFill>
              <a:latin typeface="微软雅黑" panose="020B0503020204020204" charset="-122"/>
              <a:ea typeface="微软雅黑" panose="020B0503020204020204" charset="-122"/>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solidFill>
            <a:schemeClr val="bg1">
              <a:lumMod val="65000"/>
            </a:schemeClr>
          </a:solidFill>
          <a:latin typeface="微软雅黑" panose="020B0503020204020204" charset="-122"/>
          <a:ea typeface="微软雅黑" panose="020B0503020204020204" charset="-122"/>
        </a:defRPr>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1"/>
    </mc:Choice>
    <mc:Fallback>
      <c:style val="1"/>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Sheet1!$B$1</c:f>
              <c:strCache>
                <c:ptCount val="1"/>
                <c:pt idx="0">
                  <c:v>一般公共预算财政拨款支出</c:v>
                </c:pt>
              </c:strCache>
            </c:strRef>
          </c:tx>
          <c:spPr>
            <a:solidFill>
              <a:schemeClr val="dk1">
                <a:tint val="88500"/>
              </a:schemeClr>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bg1">
                        <a:lumMod val="65000"/>
                      </a:schemeClr>
                    </a:solidFill>
                    <a:latin typeface="微软雅黑" panose="020B0503020204020204" charset="-122"/>
                    <a:ea typeface="微软雅黑" panose="020B0503020204020204" charset="-122"/>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Sheet1!$A$2:$A$3</c:f>
              <c:numCache>
                <c:formatCode>General</c:formatCode>
                <c:ptCount val="2"/>
                <c:pt idx="0">
                  <c:v>2019</c:v>
                </c:pt>
                <c:pt idx="1">
                  <c:v>2020</c:v>
                </c:pt>
              </c:numCache>
            </c:numRef>
          </c:cat>
          <c:val>
            <c:numRef>
              <c:f>Sheet1!$B$2:$B$3</c:f>
              <c:numCache>
                <c:formatCode>General</c:formatCode>
                <c:ptCount val="2"/>
                <c:pt idx="0">
                  <c:v>296.7</c:v>
                </c:pt>
                <c:pt idx="1">
                  <c:v>305.06</c:v>
                </c:pt>
              </c:numCache>
            </c:numRef>
          </c:val>
        </c:ser>
        <c:dLbls>
          <c:showLegendKey val="0"/>
          <c:showVal val="0"/>
          <c:showCatName val="0"/>
          <c:showSerName val="0"/>
          <c:showPercent val="0"/>
          <c:showBubbleSize val="0"/>
        </c:dLbls>
        <c:gapWidth val="219"/>
        <c:overlap val="-27"/>
        <c:axId val="352112171"/>
        <c:axId val="442103701"/>
      </c:barChart>
      <c:catAx>
        <c:axId val="35211217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forceAA="0"/>
          <a:lstStyle/>
          <a:p>
            <a:pPr>
              <a:defRPr lang="zh-CN" sz="900" b="0" i="0" u="none" strike="noStrike" kern="1200" baseline="0">
                <a:solidFill>
                  <a:schemeClr val="bg1">
                    <a:lumMod val="65000"/>
                  </a:schemeClr>
                </a:solidFill>
                <a:latin typeface="微软雅黑" panose="020B0503020204020204" charset="-122"/>
                <a:ea typeface="微软雅黑" panose="020B0503020204020204" charset="-122"/>
                <a:cs typeface="+mn-cs"/>
              </a:defRPr>
            </a:pPr>
          </a:p>
        </c:txPr>
        <c:crossAx val="442103701"/>
        <c:crosses val="autoZero"/>
        <c:auto val="1"/>
        <c:lblAlgn val="ctr"/>
        <c:lblOffset val="100"/>
        <c:noMultiLvlLbl val="0"/>
      </c:catAx>
      <c:valAx>
        <c:axId val="44210370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out"/>
        <c:minorTickMark val="none"/>
        <c:tickLblPos val="nextTo"/>
        <c:spPr>
          <a:noFill/>
          <a:ln>
            <a:noFill/>
          </a:ln>
          <a:effectLst/>
        </c:spPr>
        <c:txPr>
          <a:bodyPr rot="-60000000" spcFirstLastPara="0" vertOverflow="ellipsis" vert="horz" wrap="square" anchor="ctr" anchorCtr="1" forceAA="0"/>
          <a:lstStyle/>
          <a:p>
            <a:pPr>
              <a:defRPr lang="zh-CN" sz="900" b="0" i="0" u="none" strike="noStrike" kern="1200" baseline="0">
                <a:solidFill>
                  <a:schemeClr val="bg1">
                    <a:lumMod val="65000"/>
                  </a:schemeClr>
                </a:solidFill>
                <a:latin typeface="微软雅黑" panose="020B0503020204020204" charset="-122"/>
                <a:ea typeface="微软雅黑" panose="020B0503020204020204" charset="-122"/>
                <a:cs typeface="+mn-cs"/>
              </a:defRPr>
            </a:pPr>
          </a:p>
        </c:txPr>
        <c:crossAx val="352112171"/>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forceAA="0"/>
        <a:lstStyle/>
        <a:p>
          <a:pPr>
            <a:defRPr lang="zh-CN" sz="900" b="0" i="0" u="none" strike="noStrike" kern="1200" baseline="0">
              <a:solidFill>
                <a:schemeClr val="bg1">
                  <a:lumMod val="65000"/>
                </a:schemeClr>
              </a:solidFill>
              <a:latin typeface="微软雅黑" panose="020B0503020204020204" charset="-122"/>
              <a:ea typeface="微软雅黑" panose="020B0503020204020204" charset="-122"/>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solidFill>
            <a:schemeClr val="bg1">
              <a:lumMod val="65000"/>
            </a:schemeClr>
          </a:solidFill>
          <a:latin typeface="微软雅黑" panose="020B0503020204020204" charset="-122"/>
          <a:ea typeface="微软雅黑" panose="020B0503020204020204" charset="-122"/>
        </a:defRPr>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5"/>
    </mc:Choice>
    <mc:Fallback>
      <c:style val="5"/>
    </mc:Fallback>
  </mc:AlternateContent>
  <c:clrMapOvr bg1="lt1" tx1="dk1" bg2="lt2" tx2="dk2" accent1="accent1" accent2="accent2" accent3="accent3" accent4="accent4" accent5="accent5" accent6="accent6" hlink="hlink" folHlink="folHlink"/>
  <c:chart>
    <c:autoTitleDeleted val="1"/>
    <c:plotArea>
      <c:layout/>
      <c:pieChart>
        <c:varyColors val="1"/>
        <c:ser>
          <c:idx val="0"/>
          <c:order val="0"/>
          <c:tx>
            <c:strRef>
              <c:f>Sheet1!$B$1</c:f>
              <c:strCache>
                <c:ptCount val="1"/>
                <c:pt idx="0">
                  <c:v>2020年一般公共预算财政拨款支出305.06</c:v>
                </c:pt>
              </c:strCache>
            </c:strRef>
          </c:tx>
          <c:spPr/>
          <c:explosion val="0"/>
          <c:dPt>
            <c:idx val="0"/>
            <c:bubble3D val="0"/>
            <c:spPr>
              <a:gradFill>
                <a:gsLst>
                  <a:gs pos="100000">
                    <a:schemeClr val="accent3">
                      <a:tint val="53333"/>
                      <a:lumMod val="60000"/>
                      <a:lumOff val="40000"/>
                    </a:schemeClr>
                  </a:gs>
                  <a:gs pos="0">
                    <a:schemeClr val="accent3">
                      <a:tint val="53333"/>
                    </a:schemeClr>
                  </a:gs>
                </a:gsLst>
                <a:lin ang="5400000" scaled="0"/>
              </a:gradFill>
              <a:ln w="19050">
                <a:solidFill>
                  <a:schemeClr val="lt1"/>
                </a:solidFill>
              </a:ln>
              <a:effectLst/>
            </c:spPr>
          </c:dPt>
          <c:dPt>
            <c:idx val="1"/>
            <c:bubble3D val="0"/>
            <c:spPr>
              <a:gradFill>
                <a:gsLst>
                  <a:gs pos="100000">
                    <a:schemeClr val="accent3">
                      <a:tint val="76667"/>
                      <a:lumMod val="60000"/>
                      <a:lumOff val="40000"/>
                    </a:schemeClr>
                  </a:gs>
                  <a:gs pos="0">
                    <a:schemeClr val="accent3">
                      <a:tint val="76667"/>
                    </a:schemeClr>
                  </a:gs>
                </a:gsLst>
                <a:lin ang="5400000" scaled="0"/>
              </a:gradFill>
              <a:ln w="19050">
                <a:solidFill>
                  <a:schemeClr val="lt1"/>
                </a:solidFill>
              </a:ln>
              <a:effectLst/>
            </c:spPr>
          </c:dPt>
          <c:dPt>
            <c:idx val="2"/>
            <c:bubble3D val="0"/>
            <c:spPr>
              <a:gradFill>
                <a:gsLst>
                  <a:gs pos="100000">
                    <a:schemeClr val="accent3">
                      <a:shade val="86000"/>
                      <a:lumMod val="60000"/>
                      <a:lumOff val="40000"/>
                    </a:schemeClr>
                  </a:gs>
                  <a:gs pos="0">
                    <a:schemeClr val="accent3">
                      <a:shade val="86000"/>
                    </a:schemeClr>
                  </a:gs>
                </a:gsLst>
                <a:lin ang="5400000" scaled="0"/>
              </a:gradFill>
              <a:ln w="19050">
                <a:solidFill>
                  <a:schemeClr val="lt1"/>
                </a:solidFill>
              </a:ln>
              <a:effectLst/>
            </c:spPr>
          </c:dPt>
          <c:dPt>
            <c:idx val="3"/>
            <c:bubble3D val="0"/>
            <c:spPr>
              <a:gradFill>
                <a:gsLst>
                  <a:gs pos="100000">
                    <a:schemeClr val="accent3">
                      <a:shade val="76667"/>
                      <a:lumMod val="60000"/>
                      <a:lumOff val="40000"/>
                    </a:schemeClr>
                  </a:gs>
                  <a:gs pos="0">
                    <a:schemeClr val="accent3">
                      <a:shade val="76667"/>
                    </a:schemeClr>
                  </a:gs>
                </a:gsLst>
                <a:lin ang="5400000" scaled="0"/>
              </a:gradFill>
              <a:ln w="19050">
                <a:solidFill>
                  <a:schemeClr val="lt1"/>
                </a:solidFill>
              </a:ln>
              <a:effectLst/>
            </c:spPr>
          </c:dPt>
          <c:dLbls>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dk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Sheet1!$A$2:$A$5</c:f>
              <c:strCache>
                <c:ptCount val="4"/>
                <c:pt idx="0">
                  <c:v>一般公共服务（类）支出</c:v>
                </c:pt>
                <c:pt idx="1">
                  <c:v>社会保障和就业（类）支出</c:v>
                </c:pt>
                <c:pt idx="2">
                  <c:v>卫生健康支出</c:v>
                </c:pt>
                <c:pt idx="3">
                  <c:v>住房保障支出</c:v>
                </c:pt>
              </c:strCache>
            </c:strRef>
          </c:cat>
          <c:val>
            <c:numRef>
              <c:f>Sheet1!$B$2:$B$5</c:f>
              <c:numCache>
                <c:formatCode>General</c:formatCode>
                <c:ptCount val="4"/>
                <c:pt idx="0">
                  <c:v>270.4</c:v>
                </c:pt>
                <c:pt idx="1">
                  <c:v>15.63</c:v>
                </c:pt>
                <c:pt idx="2">
                  <c:v>7.72</c:v>
                </c:pt>
                <c:pt idx="3">
                  <c:v>11.31</c:v>
                </c:pt>
              </c:numCache>
            </c:numRef>
          </c:val>
        </c:ser>
        <c:ser>
          <c:idx val="1"/>
          <c:order val="1"/>
          <c:tx>
            <c:strRef>
              <c:f>Sheet1!$C$1</c:f>
              <c:strCache>
                <c:ptCount val="1"/>
                <c:pt idx="0">
                  <c:v/>
                </c:pt>
              </c:strCache>
            </c:strRef>
          </c:tx>
          <c:spPr/>
          <c:explosion val="0"/>
          <c:dPt>
            <c:idx val="0"/>
            <c:bubble3D val="0"/>
            <c:spPr>
              <a:gradFill>
                <a:gsLst>
                  <a:gs pos="100000">
                    <a:schemeClr val="accent3">
                      <a:tint val="58000"/>
                      <a:lumMod val="60000"/>
                      <a:lumOff val="40000"/>
                    </a:schemeClr>
                  </a:gs>
                  <a:gs pos="0">
                    <a:schemeClr val="accent3">
                      <a:tint val="58000"/>
                    </a:schemeClr>
                  </a:gs>
                </a:gsLst>
                <a:lin ang="5400000" scaled="0"/>
              </a:gradFill>
              <a:ln w="19050">
                <a:solidFill>
                  <a:schemeClr val="lt1"/>
                </a:solidFill>
              </a:ln>
              <a:effectLst/>
            </c:spPr>
          </c:dPt>
          <c:dPt>
            <c:idx val="1"/>
            <c:bubble3D val="0"/>
            <c:spPr>
              <a:gradFill>
                <a:gsLst>
                  <a:gs pos="100000">
                    <a:schemeClr val="accent3">
                      <a:tint val="86000"/>
                      <a:lumMod val="60000"/>
                      <a:lumOff val="40000"/>
                    </a:schemeClr>
                  </a:gs>
                  <a:gs pos="0">
                    <a:schemeClr val="accent3">
                      <a:tint val="86000"/>
                    </a:schemeClr>
                  </a:gs>
                </a:gsLst>
                <a:lin ang="5400000" scaled="0"/>
              </a:gradFill>
              <a:ln w="19050">
                <a:solidFill>
                  <a:schemeClr val="lt1"/>
                </a:solidFill>
              </a:ln>
              <a:effectLst/>
            </c:spPr>
          </c:dPt>
          <c:dPt>
            <c:idx val="2"/>
            <c:bubble3D val="0"/>
            <c:spPr>
              <a:gradFill>
                <a:gsLst>
                  <a:gs pos="100000">
                    <a:schemeClr val="accent3">
                      <a:shade val="86000"/>
                      <a:lumMod val="60000"/>
                      <a:lumOff val="40000"/>
                    </a:schemeClr>
                  </a:gs>
                  <a:gs pos="0">
                    <a:schemeClr val="accent3">
                      <a:shade val="86000"/>
                    </a:schemeClr>
                  </a:gs>
                </a:gsLst>
                <a:lin ang="5400000" scaled="0"/>
              </a:gradFill>
              <a:ln w="19050">
                <a:solidFill>
                  <a:schemeClr val="lt1"/>
                </a:solidFill>
              </a:ln>
              <a:effectLst/>
            </c:spPr>
          </c:dPt>
          <c:dPt>
            <c:idx val="3"/>
            <c:bubble3D val="0"/>
            <c:spPr>
              <a:gradFill>
                <a:gsLst>
                  <a:gs pos="100000">
                    <a:schemeClr val="accent3">
                      <a:shade val="58000"/>
                      <a:lumMod val="60000"/>
                      <a:lumOff val="40000"/>
                    </a:schemeClr>
                  </a:gs>
                  <a:gs pos="0">
                    <a:schemeClr val="accent3">
                      <a:shade val="58000"/>
                    </a:schemeClr>
                  </a:gs>
                </a:gsLst>
                <a:lin ang="5400000" scaled="0"/>
              </a:gradFill>
              <a:ln w="19050">
                <a:solidFill>
                  <a:schemeClr val="lt1"/>
                </a:solidFill>
              </a:ln>
              <a:effectLst/>
            </c:spPr>
          </c:dPt>
          <c:dLbls>
            <c:numFmt formatCode="General" sourceLinked="1"/>
            <c:spPr>
              <a:noFill/>
              <a:ln>
                <a:noFill/>
              </a:ln>
              <a:effectLst/>
            </c:spPr>
            <c:txPr>
              <a:bodyPr rot="0" spcFirstLastPara="0" vertOverflow="ellipsis" vert="horz" wrap="square" lIns="38100" tIns="19050" rIns="38100" bIns="19050" anchor="ctr" anchorCtr="1" forceAA="0"/>
              <a:lstStyle/>
              <a:p>
                <a:pPr>
                  <a:defRPr lang="zh-CN" sz="900" b="0" i="0" u="none" strike="noStrike" kern="1200" baseline="0">
                    <a:solidFill>
                      <a:schemeClr val="dk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Sheet1!$A$2:$A$5</c:f>
              <c:strCache>
                <c:ptCount val="4"/>
                <c:pt idx="0">
                  <c:v>一般公共服务（类）支出</c:v>
                </c:pt>
                <c:pt idx="1">
                  <c:v>社会保障和就业（类）支出</c:v>
                </c:pt>
                <c:pt idx="2">
                  <c:v>卫生健康支出</c:v>
                </c:pt>
                <c:pt idx="3">
                  <c:v>住房保障支出</c:v>
                </c:pt>
              </c:strCache>
            </c:strRef>
          </c:cat>
          <c:val>
            <c:numRef>
              <c:f>Sheet1!$C$2:$C$5</c:f>
              <c:numCache>
                <c:formatCode>General</c:formatCode>
                <c:ptCount val="4"/>
              </c:numCache>
            </c:numRef>
          </c:val>
        </c:ser>
        <c:ser>
          <c:idx val="2"/>
          <c:order val="2"/>
          <c:tx>
            <c:strRef>
              <c:f>Sheet1!$D$1</c:f>
              <c:strCache>
                <c:ptCount val="1"/>
                <c:pt idx="0">
                  <c:v/>
                </c:pt>
              </c:strCache>
            </c:strRef>
          </c:tx>
          <c:spPr/>
          <c:explosion val="0"/>
          <c:dPt>
            <c:idx val="0"/>
            <c:bubble3D val="0"/>
            <c:spPr>
              <a:gradFill>
                <a:gsLst>
                  <a:gs pos="100000">
                    <a:schemeClr val="accent3">
                      <a:tint val="58000"/>
                      <a:lumMod val="60000"/>
                      <a:lumOff val="40000"/>
                    </a:schemeClr>
                  </a:gs>
                  <a:gs pos="0">
                    <a:schemeClr val="accent3">
                      <a:tint val="58000"/>
                    </a:schemeClr>
                  </a:gs>
                </a:gsLst>
                <a:lin ang="5400000" scaled="0"/>
              </a:gradFill>
              <a:ln w="19050">
                <a:solidFill>
                  <a:schemeClr val="lt1"/>
                </a:solidFill>
              </a:ln>
              <a:effectLst/>
            </c:spPr>
          </c:dPt>
          <c:dPt>
            <c:idx val="1"/>
            <c:bubble3D val="0"/>
            <c:spPr>
              <a:gradFill>
                <a:gsLst>
                  <a:gs pos="100000">
                    <a:schemeClr val="accent3">
                      <a:tint val="86000"/>
                      <a:lumMod val="60000"/>
                      <a:lumOff val="40000"/>
                    </a:schemeClr>
                  </a:gs>
                  <a:gs pos="0">
                    <a:schemeClr val="accent3">
                      <a:tint val="86000"/>
                    </a:schemeClr>
                  </a:gs>
                </a:gsLst>
                <a:lin ang="5400000" scaled="0"/>
              </a:gradFill>
              <a:ln w="19050">
                <a:solidFill>
                  <a:schemeClr val="lt1"/>
                </a:solidFill>
              </a:ln>
              <a:effectLst/>
            </c:spPr>
          </c:dPt>
          <c:dPt>
            <c:idx val="2"/>
            <c:bubble3D val="0"/>
            <c:spPr>
              <a:gradFill>
                <a:gsLst>
                  <a:gs pos="100000">
                    <a:schemeClr val="accent3">
                      <a:shade val="86000"/>
                      <a:lumMod val="60000"/>
                      <a:lumOff val="40000"/>
                    </a:schemeClr>
                  </a:gs>
                  <a:gs pos="0">
                    <a:schemeClr val="accent3">
                      <a:shade val="86000"/>
                    </a:schemeClr>
                  </a:gs>
                </a:gsLst>
                <a:lin ang="5400000" scaled="0"/>
              </a:gradFill>
              <a:ln w="19050">
                <a:solidFill>
                  <a:schemeClr val="lt1"/>
                </a:solidFill>
              </a:ln>
              <a:effectLst/>
            </c:spPr>
          </c:dPt>
          <c:dPt>
            <c:idx val="3"/>
            <c:bubble3D val="0"/>
            <c:spPr>
              <a:gradFill>
                <a:gsLst>
                  <a:gs pos="100000">
                    <a:schemeClr val="accent3">
                      <a:shade val="58000"/>
                      <a:lumMod val="60000"/>
                      <a:lumOff val="40000"/>
                    </a:schemeClr>
                  </a:gs>
                  <a:gs pos="0">
                    <a:schemeClr val="accent3">
                      <a:shade val="58000"/>
                    </a:schemeClr>
                  </a:gs>
                </a:gsLst>
                <a:lin ang="5400000" scaled="0"/>
              </a:gradFill>
              <a:ln w="19050">
                <a:solidFill>
                  <a:schemeClr val="lt1"/>
                </a:solidFill>
              </a:ln>
              <a:effectLst/>
            </c:spPr>
          </c:dPt>
          <c:dLbls>
            <c:numFmt formatCode="General" sourceLinked="1"/>
            <c:spPr>
              <a:noFill/>
              <a:ln>
                <a:noFill/>
              </a:ln>
              <a:effectLst/>
            </c:spPr>
            <c:txPr>
              <a:bodyPr rot="0" spcFirstLastPara="0" vertOverflow="ellipsis" vert="horz" wrap="square" lIns="38100" tIns="19050" rIns="38100" bIns="19050" anchor="ctr" anchorCtr="1" forceAA="0"/>
              <a:lstStyle/>
              <a:p>
                <a:pPr>
                  <a:defRPr lang="zh-CN" sz="900" b="0" i="0" u="none" strike="noStrike" kern="1200" baseline="0">
                    <a:solidFill>
                      <a:schemeClr val="dk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Sheet1!$A$2:$A$5</c:f>
              <c:strCache>
                <c:ptCount val="4"/>
                <c:pt idx="0">
                  <c:v>一般公共服务（类）支出</c:v>
                </c:pt>
                <c:pt idx="1">
                  <c:v>社会保障和就业（类）支出</c:v>
                </c:pt>
                <c:pt idx="2">
                  <c:v>卫生健康支出</c:v>
                </c:pt>
                <c:pt idx="3">
                  <c:v>住房保障支出</c:v>
                </c:pt>
              </c:strCache>
            </c:strRef>
          </c:cat>
          <c:val>
            <c:numRef>
              <c:f>Sheet1!$D$2:$D$5</c:f>
              <c:numCache>
                <c:formatCode>General</c:formatCode>
                <c:ptCount val="4"/>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solidFill>
          <a:schemeClr val="lt1">
            <a:alpha val="50000"/>
          </a:schemeClr>
        </a:solidFill>
        <a:ln>
          <a:noFill/>
        </a:ln>
        <a:effectLst/>
      </c:spPr>
      <c:txPr>
        <a:bodyPr rot="0" spcFirstLastPara="0" vertOverflow="ellipsis" vert="horz" wrap="square" anchor="ctr" anchorCtr="1" forceAA="0"/>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chart>
  <c:spPr>
    <a:pattFill prst="dkDnDiag">
      <a:fgClr>
        <a:schemeClr val="lt1"/>
      </a:fgClr>
      <a:bgClr>
        <a:schemeClr val="dk1">
          <a:lumMod val="10000"/>
          <a:lumOff val="90000"/>
        </a:schemeClr>
      </a:bgClr>
    </a:pattFill>
    <a:ln w="9525" cap="flat" cmpd="sng" algn="ctr">
      <a:solidFill>
        <a:schemeClr val="dk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5"/>
    </mc:Choice>
    <mc:Fallback>
      <c:style val="5"/>
    </mc:Fallback>
  </mc:AlternateContent>
  <c:clrMapOvr bg1="lt1" tx1="dk1" bg2="lt2" tx2="dk2" accent1="accent1" accent2="accent2" accent3="accent3" accent4="accent4" accent5="accent5" accent6="accent6" hlink="hlink" folHlink="folHlink"/>
  <c:chart>
    <c:autoTitleDeleted val="1"/>
    <c:plotArea>
      <c:layout/>
      <c:pieChart>
        <c:varyColors val="1"/>
        <c:ser>
          <c:idx val="0"/>
          <c:order val="0"/>
          <c:tx>
            <c:strRef>
              <c:f>Sheet1!$B$1</c:f>
              <c:strCache>
                <c:ptCount val="1"/>
                <c:pt idx="0">
                  <c:v>系列 1</c:v>
                </c:pt>
              </c:strCache>
            </c:strRef>
          </c:tx>
          <c:spPr/>
          <c:explosion val="0"/>
          <c:dPt>
            <c:idx val="0"/>
            <c:bubble3D val="0"/>
            <c:spPr>
              <a:gradFill>
                <a:gsLst>
                  <a:gs pos="100000">
                    <a:schemeClr val="accent3">
                      <a:tint val="53333"/>
                      <a:lumMod val="60000"/>
                      <a:lumOff val="40000"/>
                    </a:schemeClr>
                  </a:gs>
                  <a:gs pos="0">
                    <a:schemeClr val="accent3">
                      <a:tint val="53333"/>
                    </a:schemeClr>
                  </a:gs>
                </a:gsLst>
                <a:lin ang="5400000" scaled="0"/>
              </a:gradFill>
              <a:ln w="19050">
                <a:solidFill>
                  <a:schemeClr val="lt1"/>
                </a:solidFill>
              </a:ln>
              <a:effectLst/>
            </c:spPr>
          </c:dPt>
          <c:dPt>
            <c:idx val="1"/>
            <c:bubble3D val="0"/>
            <c:spPr>
              <a:gradFill>
                <a:gsLst>
                  <a:gs pos="100000">
                    <a:schemeClr val="accent3">
                      <a:tint val="76667"/>
                      <a:lumMod val="60000"/>
                      <a:lumOff val="40000"/>
                    </a:schemeClr>
                  </a:gs>
                  <a:gs pos="0">
                    <a:schemeClr val="accent3">
                      <a:tint val="76667"/>
                    </a:schemeClr>
                  </a:gs>
                </a:gsLst>
                <a:lin ang="5400000" scaled="0"/>
              </a:gradFill>
              <a:ln w="19050">
                <a:solidFill>
                  <a:schemeClr val="lt1"/>
                </a:solidFill>
              </a:ln>
              <a:effectLst/>
            </c:spPr>
          </c:dPt>
          <c:dPt>
            <c:idx val="2"/>
            <c:bubble3D val="0"/>
            <c:spPr>
              <a:gradFill>
                <a:gsLst>
                  <a:gs pos="100000">
                    <a:schemeClr val="accent3">
                      <a:shade val="86000"/>
                      <a:lumMod val="60000"/>
                      <a:lumOff val="40000"/>
                    </a:schemeClr>
                  </a:gs>
                  <a:gs pos="0">
                    <a:schemeClr val="accent3">
                      <a:shade val="86000"/>
                    </a:schemeClr>
                  </a:gs>
                </a:gsLst>
                <a:lin ang="5400000" scaled="0"/>
              </a:gradFill>
              <a:ln w="19050">
                <a:solidFill>
                  <a:schemeClr val="lt1"/>
                </a:solidFill>
              </a:ln>
              <a:effectLst/>
            </c:spPr>
          </c:dPt>
          <c:dLbls>
            <c:dLbl>
              <c:idx val="0"/>
              <c:delete val="1"/>
            </c:dLbl>
            <c:dLbl>
              <c:idx val="1"/>
              <c:delete val="1"/>
            </c:dLbl>
            <c:dLbl>
              <c:idx val="2"/>
              <c:layout/>
              <c:dLblPos val="bestFit"/>
              <c:showLegendKey val="0"/>
              <c:showVal val="1"/>
              <c:showCatName val="0"/>
              <c:showSerName val="0"/>
              <c:showPercent val="0"/>
              <c:showBubbleSize val="0"/>
              <c:extLst>
                <c:ext xmlns:c15="http://schemas.microsoft.com/office/drawing/2012/chart" uri="{CE6537A1-D6FC-4f65-9D91-7224C49458BB}"/>
              </c:extLst>
            </c:dLbl>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dk1">
                        <a:lumMod val="75000"/>
                        <a:lumOff val="25000"/>
                      </a:schemeClr>
                    </a:solidFill>
                    <a:latin typeface="+mn-lt"/>
                    <a:ea typeface="+mn-ea"/>
                    <a:cs typeface="+mn-cs"/>
                  </a:defRPr>
                </a:pPr>
              </a:p>
            </c:txPr>
            <c:dLblPos val="bestFit"/>
            <c:showLegendKey val="0"/>
            <c:showVal val="0"/>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Sheet1!$A$2:$A$4</c:f>
              <c:strCache>
                <c:ptCount val="3"/>
                <c:pt idx="0">
                  <c:v>因公出国（境）费支出决算</c:v>
                </c:pt>
                <c:pt idx="1">
                  <c:v>公务用车购置及运行维护费支出决算</c:v>
                </c:pt>
                <c:pt idx="2">
                  <c:v>公务接待费支出决算</c:v>
                </c:pt>
              </c:strCache>
            </c:strRef>
          </c:cat>
          <c:val>
            <c:numRef>
              <c:f>Sheet1!$B$2:$B$4</c:f>
              <c:numCache>
                <c:formatCode>General</c:formatCode>
                <c:ptCount val="3"/>
                <c:pt idx="0">
                  <c:v>0</c:v>
                </c:pt>
                <c:pt idx="1">
                  <c:v>0</c:v>
                </c:pt>
                <c:pt idx="2">
                  <c:v>23.83</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r"/>
      <c:layout/>
      <c:overlay val="0"/>
      <c:spPr>
        <a:solidFill>
          <a:schemeClr val="lt1">
            <a:alpha val="50000"/>
          </a:schemeClr>
        </a:solidFill>
        <a:ln>
          <a:noFill/>
        </a:ln>
        <a:effectLst/>
      </c:spPr>
      <c:txPr>
        <a:bodyPr rot="0" spcFirstLastPara="0" vertOverflow="ellipsis" vert="horz" wrap="square" anchor="ctr" anchorCtr="1" forceAA="0"/>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chart>
  <c:spPr>
    <a:pattFill prst="dkDnDiag">
      <a:fgClr>
        <a:schemeClr val="lt1"/>
      </a:fgClr>
      <a:bgClr>
        <a:schemeClr val="dk1">
          <a:lumMod val="10000"/>
          <a:lumOff val="90000"/>
        </a:schemeClr>
      </a:bgClr>
    </a:pattFill>
    <a:ln w="9525" cap="flat" cmpd="sng" algn="ctr">
      <a:solidFill>
        <a:schemeClr val="dk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20">
  <a:schemeClr val="dk1"/>
  <cs:variation>
    <a:tint val="88500"/>
  </cs:variation>
  <cs:variation>
    <a:tint val="55000"/>
  </cs:variation>
  <cs:variation>
    <a:tint val="75000"/>
  </cs:variation>
  <cs:variation>
    <a:tint val="98500"/>
  </cs:variation>
  <cs:variation>
    <a:tint val="30000"/>
  </cs:variation>
  <cs:variation>
    <a:tint val="60000"/>
  </cs:variation>
  <cs:variation>
    <a:tint val="80000"/>
  </cs:variation>
</cs:colorStyle>
</file>

<file path=word/charts/colors2.xml><?xml version="1.0" encoding="utf-8"?>
<cs:colorStyle xmlns:cs="http://schemas.microsoft.com/office/drawing/2012/chartStyle" xmlns:a="http://schemas.openxmlformats.org/drawingml/2006/main" meth="withinLinearReversed" id="23">
  <a:schemeClr val="accent3"/>
</cs:colorStyle>
</file>

<file path=word/charts/colors3.xml><?xml version="1.0" encoding="utf-8"?>
<cs:colorStyle xmlns:cs="http://schemas.microsoft.com/office/drawing/2012/chartStyle" xmlns:a="http://schemas.openxmlformats.org/drawingml/2006/main" meth="withinLinearReversed" id="23">
  <a:schemeClr val="accent3"/>
</cs:colorStyle>
</file>

<file path=word/charts/colors4.xml><?xml version="1.0" encoding="utf-8"?>
<cs:colorStyle xmlns:cs="http://schemas.microsoft.com/office/drawing/2012/chartStyle" xmlns:a="http://schemas.openxmlformats.org/drawingml/2006/main" meth="withinLinearReversed" id="23">
  <a:schemeClr val="accent3"/>
</cs:colorStyle>
</file>

<file path=word/charts/colors5.xml><?xml version="1.0" encoding="utf-8"?>
<cs:colorStyle xmlns:cs="http://schemas.microsoft.com/office/drawing/2012/chartStyle" xmlns:a="http://schemas.openxmlformats.org/drawingml/2006/main" meth="cycle" id="20">
  <a:schemeClr val="dk1"/>
  <cs:variation>
    <a:tint val="88500"/>
  </cs:variation>
  <cs:variation>
    <a:tint val="55000"/>
  </cs:variation>
  <cs:variation>
    <a:tint val="75000"/>
  </cs:variation>
  <cs:variation>
    <a:tint val="98500"/>
  </cs:variation>
  <cs:variation>
    <a:tint val="30000"/>
  </cs:variation>
  <cs:variation>
    <a:tint val="60000"/>
  </cs:variation>
  <cs:variation>
    <a:tint val="80000"/>
  </cs:variation>
</cs:colorStyle>
</file>

<file path=word/charts/colors6.xml><?xml version="1.0" encoding="utf-8"?>
<cs:colorStyle xmlns:cs="http://schemas.microsoft.com/office/drawing/2012/chartStyle" xmlns:a="http://schemas.openxmlformats.org/drawingml/2006/main" meth="cycle" id="20">
  <a:schemeClr val="dk1"/>
  <cs:variation>
    <a:tint val="88500"/>
  </cs:variation>
  <cs:variation>
    <a:tint val="55000"/>
  </cs:variation>
  <cs:variation>
    <a:tint val="75000"/>
  </cs:variation>
  <cs:variation>
    <a:tint val="98500"/>
  </cs:variation>
  <cs:variation>
    <a:tint val="30000"/>
  </cs:variation>
  <cs:variation>
    <a:tint val="60000"/>
  </cs:variation>
  <cs:variation>
    <a:tint val="80000"/>
  </cs:variation>
</cs:colorStyle>
</file>

<file path=word/charts/colors7.xml><?xml version="1.0" encoding="utf-8"?>
<cs:colorStyle xmlns:cs="http://schemas.microsoft.com/office/drawing/2012/chartStyle" xmlns:a="http://schemas.openxmlformats.org/drawingml/2006/main" meth="withinLinearReversed" id="23">
  <a:schemeClr val="accent3"/>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6">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defRPr sz="900" kern="1200" cap="none" spc="0" normalizeH="0" baseline="0"/>
  </cs:categoryAxis>
  <cs:chartArea>
    <cs:lnRef idx="0"/>
    <cs:fillRef idx="0"/>
    <cs:effectRef idx="0"/>
    <cs:fontRef idx="minor">
      <a:schemeClr val="dk1"/>
    </cs:fontRef>
    <cs:spPr>
      <a:pattFill prst="dkDnDiag">
        <a:fgClr>
          <a:schemeClr val="lt1"/>
        </a:fgClr>
        <a:bgClr>
          <a:schemeClr val="dk1">
            <a:lumMod val="10000"/>
            <a:lumOff val="90000"/>
          </a:schemeClr>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gradFill>
        <a:gsLst>
          <a:gs pos="100000">
            <a:schemeClr val="phClr">
              <a:lumMod val="60000"/>
              <a:lumOff val="40000"/>
            </a:schemeClr>
          </a:gs>
          <a:gs pos="0">
            <a:schemeClr val="phClr"/>
          </a:gs>
        </a:gsLst>
        <a:lin ang="5400000" scaled="0"/>
      </a:gradFill>
      <a:ln w="19050">
        <a:solidFill>
          <a:schemeClr val="lt1"/>
        </a:solidFill>
      </a:ln>
    </cs:spPr>
  </cs:dataPoint>
  <cs:dataPoint3D>
    <cs:lnRef idx="0"/>
    <cs:fillRef idx="0">
      <cs:styleClr val="auto"/>
    </cs:fillRef>
    <cs:effectRef idx="0"/>
    <cs:fontRef idx="minor">
      <a:schemeClr val="tx1"/>
    </cs:fontRef>
    <cs:spPr>
      <a:gradFill>
        <a:gsLst>
          <a:gs pos="100000">
            <a:schemeClr val="phClr">
              <a:lumMod val="60000"/>
              <a:lumOff val="40000"/>
            </a:schemeClr>
          </a:gs>
          <a:gs pos="0">
            <a:schemeClr val="phClr"/>
          </a:gs>
        </a:gsLst>
        <a:lin ang="5400000" scaled="0"/>
      </a:gradFill>
      <a:ln w="50800">
        <a:solidFill>
          <a:schemeClr val="lt1"/>
        </a:solidFill>
      </a:ln>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50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56">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defRPr sz="900" kern="1200" cap="none" spc="0" normalizeH="0" baseline="0"/>
  </cs:categoryAxis>
  <cs:chartArea>
    <cs:lnRef idx="0"/>
    <cs:fillRef idx="0"/>
    <cs:effectRef idx="0"/>
    <cs:fontRef idx="minor">
      <a:schemeClr val="dk1"/>
    </cs:fontRef>
    <cs:spPr>
      <a:pattFill prst="dkDnDiag">
        <a:fgClr>
          <a:schemeClr val="lt1"/>
        </a:fgClr>
        <a:bgClr>
          <a:schemeClr val="dk1">
            <a:lumMod val="10000"/>
            <a:lumOff val="90000"/>
          </a:schemeClr>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gradFill>
        <a:gsLst>
          <a:gs pos="100000">
            <a:schemeClr val="phClr">
              <a:lumMod val="60000"/>
              <a:lumOff val="40000"/>
            </a:schemeClr>
          </a:gs>
          <a:gs pos="0">
            <a:schemeClr val="phClr"/>
          </a:gs>
        </a:gsLst>
        <a:lin ang="5400000" scaled="0"/>
      </a:gradFill>
      <a:ln w="19050">
        <a:solidFill>
          <a:schemeClr val="lt1"/>
        </a:solidFill>
      </a:ln>
    </cs:spPr>
  </cs:dataPoint>
  <cs:dataPoint3D>
    <cs:lnRef idx="0"/>
    <cs:fillRef idx="0">
      <cs:styleClr val="auto"/>
    </cs:fillRef>
    <cs:effectRef idx="0"/>
    <cs:fontRef idx="minor">
      <a:schemeClr val="tx1"/>
    </cs:fontRef>
    <cs:spPr>
      <a:gradFill>
        <a:gsLst>
          <a:gs pos="100000">
            <a:schemeClr val="phClr">
              <a:lumMod val="60000"/>
              <a:lumOff val="40000"/>
            </a:schemeClr>
          </a:gs>
          <a:gs pos="0">
            <a:schemeClr val="phClr"/>
          </a:gs>
        </a:gsLst>
        <a:lin ang="5400000" scaled="0"/>
      </a:gradFill>
      <a:ln w="50800">
        <a:solidFill>
          <a:schemeClr val="lt1"/>
        </a:solidFill>
      </a:ln>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50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4.xml><?xml version="1.0" encoding="utf-8"?>
<cs:chartStyle xmlns:cs="http://schemas.microsoft.com/office/drawing/2012/chartStyle" xmlns:a="http://schemas.openxmlformats.org/drawingml/2006/main" id="256">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defRPr sz="900" kern="1200" cap="none" spc="0" normalizeH="0" baseline="0"/>
  </cs:categoryAxis>
  <cs:chartArea>
    <cs:lnRef idx="0"/>
    <cs:fillRef idx="0"/>
    <cs:effectRef idx="0"/>
    <cs:fontRef idx="minor">
      <a:schemeClr val="dk1"/>
    </cs:fontRef>
    <cs:spPr>
      <a:pattFill prst="dkDnDiag">
        <a:fgClr>
          <a:schemeClr val="lt1"/>
        </a:fgClr>
        <a:bgClr>
          <a:schemeClr val="dk1">
            <a:lumMod val="10000"/>
            <a:lumOff val="90000"/>
          </a:schemeClr>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gradFill>
        <a:gsLst>
          <a:gs pos="100000">
            <a:schemeClr val="phClr">
              <a:lumMod val="60000"/>
              <a:lumOff val="40000"/>
            </a:schemeClr>
          </a:gs>
          <a:gs pos="0">
            <a:schemeClr val="phClr"/>
          </a:gs>
        </a:gsLst>
        <a:lin ang="5400000" scaled="0"/>
      </a:gradFill>
      <a:ln w="19050">
        <a:solidFill>
          <a:schemeClr val="lt1"/>
        </a:solidFill>
      </a:ln>
    </cs:spPr>
  </cs:dataPoint>
  <cs:dataPoint3D>
    <cs:lnRef idx="0"/>
    <cs:fillRef idx="0">
      <cs:styleClr val="auto"/>
    </cs:fillRef>
    <cs:effectRef idx="0"/>
    <cs:fontRef idx="minor">
      <a:schemeClr val="tx1"/>
    </cs:fontRef>
    <cs:spPr>
      <a:gradFill>
        <a:gsLst>
          <a:gs pos="100000">
            <a:schemeClr val="phClr">
              <a:lumMod val="60000"/>
              <a:lumOff val="40000"/>
            </a:schemeClr>
          </a:gs>
          <a:gs pos="0">
            <a:schemeClr val="phClr"/>
          </a:gs>
        </a:gsLst>
        <a:lin ang="5400000" scaled="0"/>
      </a:gradFill>
      <a:ln w="50800">
        <a:solidFill>
          <a:schemeClr val="lt1"/>
        </a:solidFill>
      </a:ln>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50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56">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defRPr sz="900" kern="1200" cap="none" spc="0" normalizeH="0" baseline="0"/>
  </cs:categoryAxis>
  <cs:chartArea>
    <cs:lnRef idx="0"/>
    <cs:fillRef idx="0"/>
    <cs:effectRef idx="0"/>
    <cs:fontRef idx="minor">
      <a:schemeClr val="dk1"/>
    </cs:fontRef>
    <cs:spPr>
      <a:pattFill prst="dkDnDiag">
        <a:fgClr>
          <a:schemeClr val="lt1"/>
        </a:fgClr>
        <a:bgClr>
          <a:schemeClr val="dk1">
            <a:lumMod val="10000"/>
            <a:lumOff val="90000"/>
          </a:schemeClr>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gradFill>
        <a:gsLst>
          <a:gs pos="100000">
            <a:schemeClr val="phClr">
              <a:lumMod val="60000"/>
              <a:lumOff val="40000"/>
            </a:schemeClr>
          </a:gs>
          <a:gs pos="0">
            <a:schemeClr val="phClr"/>
          </a:gs>
        </a:gsLst>
        <a:lin ang="5400000" scaled="0"/>
      </a:gradFill>
      <a:ln w="19050">
        <a:solidFill>
          <a:schemeClr val="lt1"/>
        </a:solidFill>
      </a:ln>
    </cs:spPr>
  </cs:dataPoint>
  <cs:dataPoint3D>
    <cs:lnRef idx="0"/>
    <cs:fillRef idx="0">
      <cs:styleClr val="auto"/>
    </cs:fillRef>
    <cs:effectRef idx="0"/>
    <cs:fontRef idx="minor">
      <a:schemeClr val="tx1"/>
    </cs:fontRef>
    <cs:spPr>
      <a:gradFill>
        <a:gsLst>
          <a:gs pos="100000">
            <a:schemeClr val="phClr">
              <a:lumMod val="60000"/>
              <a:lumOff val="40000"/>
            </a:schemeClr>
          </a:gs>
          <a:gs pos="0">
            <a:schemeClr val="phClr"/>
          </a:gs>
        </a:gsLst>
        <a:lin ang="5400000" scaled="0"/>
      </a:gradFill>
      <a:ln w="50800">
        <a:solidFill>
          <a:schemeClr val="lt1"/>
        </a:solidFill>
      </a:ln>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50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word/theme/themeOverride1.xml><?xml version="1.0" encoding="utf-8"?>
<a:themeOverride xmlns:a="http://schemas.openxmlformats.org/drawingml/2006/main">
  <a:clrScheme name="grace1">
    <a:dk1>
      <a:sysClr val="windowText" lastClr="000000"/>
    </a:dk1>
    <a:lt1>
      <a:sysClr val="window" lastClr="FFFFFF"/>
    </a:lt1>
    <a:dk2>
      <a:srgbClr val="F5A6A2"/>
    </a:dk2>
    <a:lt2>
      <a:srgbClr val="E6C3A6"/>
    </a:lt2>
    <a:accent1>
      <a:srgbClr val="F6D383"/>
    </a:accent1>
    <a:accent2>
      <a:srgbClr val="D3D380"/>
    </a:accent2>
    <a:accent3>
      <a:srgbClr val="BFD7AA"/>
    </a:accent3>
    <a:accent4>
      <a:srgbClr val="C2D6D7"/>
    </a:accent4>
    <a:accent5>
      <a:srgbClr val="95DCE8"/>
    </a:accent5>
    <a:accent6>
      <a:srgbClr val="AEE6FF"/>
    </a:accent6>
    <a:hlink>
      <a:srgbClr val="5F5F5F"/>
    </a:hlink>
    <a:folHlink>
      <a:srgbClr val="919191"/>
    </a:folHlink>
  </a:clrScheme>
  <a:fontScheme name="Office">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基本">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基本">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基本">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grace1">
    <a:dk1>
      <a:sysClr val="windowText" lastClr="000000"/>
    </a:dk1>
    <a:lt1>
      <a:sysClr val="window" lastClr="FFFFFF"/>
    </a:lt1>
    <a:dk2>
      <a:srgbClr val="F5A6A2"/>
    </a:dk2>
    <a:lt2>
      <a:srgbClr val="E6C3A6"/>
    </a:lt2>
    <a:accent1>
      <a:srgbClr val="F6D383"/>
    </a:accent1>
    <a:accent2>
      <a:srgbClr val="D3D380"/>
    </a:accent2>
    <a:accent3>
      <a:srgbClr val="BFD7AA"/>
    </a:accent3>
    <a:accent4>
      <a:srgbClr val="C2D6D7"/>
    </a:accent4>
    <a:accent5>
      <a:srgbClr val="95DCE8"/>
    </a:accent5>
    <a:accent6>
      <a:srgbClr val="AEE6FF"/>
    </a:accent6>
    <a:hlink>
      <a:srgbClr val="5F5F5F"/>
    </a:hlink>
    <a:folHlink>
      <a:srgbClr val="919191"/>
    </a:folHlink>
  </a:clrScheme>
  <a:fontScheme name="Office">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grace1">
    <a:dk1>
      <a:sysClr val="windowText" lastClr="000000"/>
    </a:dk1>
    <a:lt1>
      <a:sysClr val="window" lastClr="FFFFFF"/>
    </a:lt1>
    <a:dk2>
      <a:srgbClr val="F5A6A2"/>
    </a:dk2>
    <a:lt2>
      <a:srgbClr val="E6C3A6"/>
    </a:lt2>
    <a:accent1>
      <a:srgbClr val="F6D383"/>
    </a:accent1>
    <a:accent2>
      <a:srgbClr val="D3D380"/>
    </a:accent2>
    <a:accent3>
      <a:srgbClr val="BFD7AA"/>
    </a:accent3>
    <a:accent4>
      <a:srgbClr val="C2D6D7"/>
    </a:accent4>
    <a:accent5>
      <a:srgbClr val="95DCE8"/>
    </a:accent5>
    <a:accent6>
      <a:srgbClr val="AEE6FF"/>
    </a:accent6>
    <a:hlink>
      <a:srgbClr val="5F5F5F"/>
    </a:hlink>
    <a:folHlink>
      <a:srgbClr val="919191"/>
    </a:folHlink>
  </a:clrScheme>
  <a:fontScheme name="Office">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7.xml><?xml version="1.0" encoding="utf-8"?>
<a:themeOverride xmlns:a="http://schemas.openxmlformats.org/drawingml/2006/main">
  <a:clrScheme name="基本">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31</Pages>
  <Words>10630</Words>
  <Characters>11274</Characters>
  <Lines>94</Lines>
  <Paragraphs>26</Paragraphs>
  <TotalTime>2</TotalTime>
  <ScaleCrop>false</ScaleCrop>
  <LinksUpToDate>false</LinksUpToDate>
  <CharactersWithSpaces>11356</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2021-09-08T03:29:00Z</dcterms:created>
  <dc:creator>Administrator</dc:creator>
  <cp:lastModifiedBy>Master'霖</cp:lastModifiedBy>
  <dcterms:modified xsi:type="dcterms:W3CDTF">2022-05-31T07:03:35Z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3B1B7C382EAC4F46B649F5F9375BFEA3</vt:lpwstr>
  </property>
</Properties>
</file>