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2" w:lineRule="exact"/>
        <w:jc w:val="center"/>
        <w:outlineLvl w:val="0"/>
        <w:rPr>
          <w:rFonts w:eastAsia="方正小标宋简体"/>
          <w:sz w:val="44"/>
          <w:szCs w:val="44"/>
        </w:rPr>
      </w:pPr>
      <w:r>
        <w:rPr>
          <w:rFonts w:eastAsia="方正小标宋简体"/>
          <w:sz w:val="44"/>
          <w:szCs w:val="44"/>
        </w:rPr>
        <w:t>自流井区人民代表大会常务委员会办公室</w:t>
      </w:r>
    </w:p>
    <w:p>
      <w:pPr>
        <w:adjustRightInd w:val="0"/>
        <w:snapToGrid w:val="0"/>
        <w:spacing w:line="592" w:lineRule="exact"/>
        <w:jc w:val="center"/>
        <w:outlineLvl w:val="0"/>
        <w:rPr>
          <w:rFonts w:eastAsia="方正小标宋简体"/>
          <w:color w:val="000000"/>
          <w:sz w:val="72"/>
          <w:szCs w:val="72"/>
        </w:rPr>
      </w:pPr>
      <w:r>
        <w:rPr>
          <w:rFonts w:eastAsia="方正小标宋简体"/>
          <w:sz w:val="44"/>
          <w:szCs w:val="44"/>
        </w:rPr>
        <w:t>2020年度部门决算编制的说明</w:t>
      </w:r>
    </w:p>
    <w:p>
      <w:pPr>
        <w:widowControl/>
        <w:adjustRightInd w:val="0"/>
        <w:snapToGrid w:val="0"/>
        <w:spacing w:line="592" w:lineRule="exact"/>
        <w:ind w:firstLine="560" w:firstLineChars="200"/>
        <w:jc w:val="center"/>
        <w:rPr>
          <w:sz w:val="28"/>
          <w:szCs w:val="28"/>
        </w:rPr>
      </w:pPr>
    </w:p>
    <w:p>
      <w:pPr>
        <w:widowControl/>
        <w:adjustRightInd w:val="0"/>
        <w:snapToGrid w:val="0"/>
        <w:spacing w:line="592" w:lineRule="exact"/>
        <w:jc w:val="center"/>
        <w:rPr>
          <w:rFonts w:eastAsia="黑体"/>
          <w:color w:val="000000"/>
          <w:sz w:val="48"/>
          <w:szCs w:val="48"/>
        </w:rPr>
      </w:pPr>
      <w:r>
        <w:rPr>
          <w:rFonts w:eastAsia="黑体"/>
          <w:color w:val="000000"/>
          <w:sz w:val="44"/>
          <w:szCs w:val="44"/>
        </w:rPr>
        <w:t>目 录</w:t>
      </w:r>
    </w:p>
    <w:p>
      <w:pPr>
        <w:pStyle w:val="7"/>
        <w:tabs>
          <w:tab w:val="right" w:leader="dot" w:pos="8306"/>
        </w:tabs>
        <w:adjustRightInd w:val="0"/>
        <w:snapToGrid w:val="0"/>
        <w:spacing w:before="0" w:line="592" w:lineRule="exact"/>
        <w:ind w:firstLine="560" w:firstLineChars="200"/>
        <w:rPr>
          <w:rFonts w:ascii="Times New Roman" w:eastAsia="仿宋_GB2312"/>
          <w:b w:val="0"/>
          <w:bCs w:val="0"/>
          <w:i w:val="0"/>
          <w:iCs w:val="0"/>
          <w:sz w:val="28"/>
          <w:szCs w:val="28"/>
        </w:rPr>
      </w:pPr>
      <w:r>
        <w:rPr>
          <w:rFonts w:ascii="Times New Roman" w:eastAsia="仿宋_GB2312"/>
          <w:b w:val="0"/>
          <w:bCs w:val="0"/>
          <w:i w:val="0"/>
          <w:iCs w:val="0"/>
          <w:caps/>
          <w:sz w:val="28"/>
          <w:szCs w:val="28"/>
        </w:rPr>
        <w:fldChar w:fldCharType="begin"/>
      </w:r>
      <w:r>
        <w:rPr>
          <w:rFonts w:ascii="Times New Roman" w:eastAsia="仿宋_GB2312"/>
          <w:b w:val="0"/>
          <w:bCs w:val="0"/>
          <w:i w:val="0"/>
          <w:iCs w:val="0"/>
          <w:caps/>
          <w:sz w:val="28"/>
          <w:szCs w:val="28"/>
        </w:rPr>
        <w:instrText xml:space="preserve"> TOC \o "1-2" \h \z \u </w:instrText>
      </w:r>
      <w:r>
        <w:rPr>
          <w:rFonts w:ascii="Times New Roman" w:eastAsia="仿宋_GB2312"/>
          <w:b w:val="0"/>
          <w:bCs w:val="0"/>
          <w:i w:val="0"/>
          <w:iCs w:val="0"/>
          <w:caps/>
          <w:sz w:val="28"/>
          <w:szCs w:val="28"/>
        </w:rPr>
        <w:fldChar w:fldCharType="separate"/>
      </w:r>
      <w:r>
        <w:fldChar w:fldCharType="begin"/>
      </w:r>
      <w:r>
        <w:instrText xml:space="preserve"> HYPERLINK \l "_Toc10567" </w:instrText>
      </w:r>
      <w:r>
        <w:fldChar w:fldCharType="separate"/>
      </w:r>
      <w:r>
        <w:rPr>
          <w:rFonts w:ascii="Times New Roman" w:eastAsia="仿宋_GB2312"/>
          <w:b w:val="0"/>
          <w:bCs w:val="0"/>
          <w:i w:val="0"/>
          <w:iCs w:val="0"/>
          <w:sz w:val="28"/>
          <w:szCs w:val="28"/>
        </w:rPr>
        <w:t>第一部分 部门概况</w:t>
      </w:r>
      <w:r>
        <w:rPr>
          <w:rFonts w:ascii="Times New Roman" w:eastAsia="仿宋_GB2312"/>
          <w:b w:val="0"/>
          <w:bCs w:val="0"/>
          <w:i w:val="0"/>
          <w:iCs w:val="0"/>
          <w:sz w:val="28"/>
          <w:szCs w:val="28"/>
        </w:rPr>
        <w:tab/>
      </w:r>
      <w:r>
        <w:rPr>
          <w:rFonts w:ascii="Times New Roman" w:eastAsia="仿宋_GB2312"/>
          <w:b w:val="0"/>
          <w:bCs w:val="0"/>
          <w:i w:val="0"/>
          <w:iCs w:val="0"/>
          <w:sz w:val="28"/>
          <w:szCs w:val="28"/>
        </w:rPr>
        <w:fldChar w:fldCharType="begin"/>
      </w:r>
      <w:r>
        <w:rPr>
          <w:rFonts w:ascii="Times New Roman" w:eastAsia="仿宋_GB2312"/>
          <w:b w:val="0"/>
          <w:bCs w:val="0"/>
          <w:i w:val="0"/>
          <w:iCs w:val="0"/>
          <w:sz w:val="28"/>
          <w:szCs w:val="28"/>
        </w:rPr>
        <w:instrText xml:space="preserve"> PAGEREF _Toc10567 \h </w:instrText>
      </w:r>
      <w:r>
        <w:rPr>
          <w:rFonts w:ascii="Times New Roman" w:eastAsia="仿宋_GB2312"/>
          <w:b w:val="0"/>
          <w:bCs w:val="0"/>
          <w:i w:val="0"/>
          <w:iCs w:val="0"/>
          <w:sz w:val="28"/>
          <w:szCs w:val="28"/>
        </w:rPr>
        <w:fldChar w:fldCharType="separate"/>
      </w:r>
      <w:r>
        <w:rPr>
          <w:rFonts w:ascii="Times New Roman" w:eastAsia="仿宋_GB2312"/>
          <w:b w:val="0"/>
          <w:bCs w:val="0"/>
          <w:i w:val="0"/>
          <w:iCs w:val="0"/>
          <w:sz w:val="28"/>
          <w:szCs w:val="28"/>
        </w:rPr>
        <w:t>3</w:t>
      </w:r>
      <w:r>
        <w:rPr>
          <w:rFonts w:ascii="Times New Roman" w:eastAsia="仿宋_GB2312"/>
          <w:b w:val="0"/>
          <w:bCs w:val="0"/>
          <w:i w:val="0"/>
          <w:iCs w:val="0"/>
          <w:sz w:val="28"/>
          <w:szCs w:val="28"/>
        </w:rPr>
        <w:fldChar w:fldCharType="end"/>
      </w:r>
      <w:r>
        <w:rPr>
          <w:rFonts w:ascii="Times New Roman" w:eastAsia="仿宋_GB2312"/>
          <w:b w:val="0"/>
          <w:bCs w:val="0"/>
          <w:i w:val="0"/>
          <w:i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"_Toc21498" </w:instrText>
      </w:r>
      <w:r>
        <w:fldChar w:fldCharType="separate"/>
      </w:r>
      <w:r>
        <w:rPr>
          <w:rFonts w:ascii="Times New Roman" w:eastAsia="仿宋_GB2312"/>
          <w:b w:val="0"/>
          <w:bCs w:val="0"/>
          <w:sz w:val="28"/>
          <w:szCs w:val="28"/>
        </w:rPr>
        <w:t>一、基本职能及主要工作</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_Toc21498 \h </w:instrText>
      </w:r>
      <w:r>
        <w:rPr>
          <w:rFonts w:ascii="Times New Roman" w:eastAsia="仿宋_GB2312"/>
          <w:b w:val="0"/>
          <w:bCs w:val="0"/>
          <w:sz w:val="28"/>
          <w:szCs w:val="28"/>
        </w:rPr>
        <w:fldChar w:fldCharType="separate"/>
      </w:r>
      <w:r>
        <w:rPr>
          <w:rFonts w:ascii="Times New Roman" w:eastAsia="仿宋_GB2312"/>
          <w:b w:val="0"/>
          <w:bCs w:val="0"/>
          <w:sz w:val="28"/>
          <w:szCs w:val="28"/>
        </w:rPr>
        <w:t>3</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"_Toc6092" </w:instrText>
      </w:r>
      <w:r>
        <w:fldChar w:fldCharType="separate"/>
      </w:r>
      <w:r>
        <w:rPr>
          <w:rFonts w:ascii="Times New Roman" w:eastAsia="仿宋_GB2312"/>
          <w:b w:val="0"/>
          <w:bCs w:val="0"/>
          <w:sz w:val="28"/>
          <w:szCs w:val="28"/>
        </w:rPr>
        <w:t>二、机构设置</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_Toc6092 \h </w:instrText>
      </w:r>
      <w:r>
        <w:rPr>
          <w:rFonts w:ascii="Times New Roman" w:eastAsia="仿宋_GB2312"/>
          <w:b w:val="0"/>
          <w:bCs w:val="0"/>
          <w:sz w:val="28"/>
          <w:szCs w:val="28"/>
        </w:rPr>
        <w:fldChar w:fldCharType="separate"/>
      </w:r>
      <w:r>
        <w:rPr>
          <w:rFonts w:ascii="Times New Roman" w:eastAsia="仿宋_GB2312"/>
          <w:b w:val="0"/>
          <w:bCs w:val="0"/>
          <w:sz w:val="28"/>
          <w:szCs w:val="28"/>
        </w:rPr>
        <w:t>3</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7"/>
        <w:tabs>
          <w:tab w:val="right" w:leader="dot" w:pos="8306"/>
        </w:tabs>
        <w:adjustRightInd w:val="0"/>
        <w:snapToGrid w:val="0"/>
        <w:spacing w:before="0" w:line="592" w:lineRule="exact"/>
        <w:ind w:firstLine="482" w:firstLineChars="200"/>
        <w:rPr>
          <w:rFonts w:ascii="Times New Roman" w:eastAsia="仿宋_GB2312"/>
          <w:b w:val="0"/>
          <w:bCs w:val="0"/>
          <w:i w:val="0"/>
          <w:iCs w:val="0"/>
          <w:sz w:val="28"/>
          <w:szCs w:val="28"/>
        </w:rPr>
      </w:pPr>
      <w:r>
        <w:fldChar w:fldCharType="begin"/>
      </w:r>
      <w:r>
        <w:instrText xml:space="preserve"> HYPERLINK \l "_Toc23109" </w:instrText>
      </w:r>
      <w:r>
        <w:fldChar w:fldCharType="separate"/>
      </w:r>
      <w:r>
        <w:rPr>
          <w:rFonts w:ascii="Times New Roman" w:eastAsia="仿宋_GB2312"/>
          <w:b w:val="0"/>
          <w:bCs w:val="0"/>
          <w:i w:val="0"/>
          <w:iCs w:val="0"/>
          <w:sz w:val="28"/>
          <w:szCs w:val="28"/>
        </w:rPr>
        <w:t>第二部分 2020年度部门决算情况说明</w:t>
      </w:r>
      <w:r>
        <w:rPr>
          <w:rFonts w:ascii="Times New Roman" w:eastAsia="仿宋_GB2312"/>
          <w:b w:val="0"/>
          <w:bCs w:val="0"/>
          <w:i w:val="0"/>
          <w:iCs w:val="0"/>
          <w:sz w:val="28"/>
          <w:szCs w:val="28"/>
        </w:rPr>
        <w:tab/>
      </w:r>
      <w:r>
        <w:rPr>
          <w:rFonts w:ascii="Times New Roman" w:eastAsia="仿宋_GB2312"/>
          <w:b w:val="0"/>
          <w:bCs w:val="0"/>
          <w:i w:val="0"/>
          <w:iCs w:val="0"/>
          <w:sz w:val="28"/>
          <w:szCs w:val="28"/>
        </w:rPr>
        <w:fldChar w:fldCharType="begin"/>
      </w:r>
      <w:r>
        <w:rPr>
          <w:rFonts w:ascii="Times New Roman" w:eastAsia="仿宋_GB2312"/>
          <w:b w:val="0"/>
          <w:bCs w:val="0"/>
          <w:i w:val="0"/>
          <w:iCs w:val="0"/>
          <w:sz w:val="28"/>
          <w:szCs w:val="28"/>
        </w:rPr>
        <w:instrText xml:space="preserve"> PAGEREF _Toc23109 \h </w:instrText>
      </w:r>
      <w:r>
        <w:rPr>
          <w:rFonts w:ascii="Times New Roman" w:eastAsia="仿宋_GB2312"/>
          <w:b w:val="0"/>
          <w:bCs w:val="0"/>
          <w:i w:val="0"/>
          <w:iCs w:val="0"/>
          <w:sz w:val="28"/>
          <w:szCs w:val="28"/>
        </w:rPr>
        <w:fldChar w:fldCharType="separate"/>
      </w:r>
      <w:r>
        <w:rPr>
          <w:rFonts w:ascii="Times New Roman" w:eastAsia="仿宋_GB2312"/>
          <w:b w:val="0"/>
          <w:bCs w:val="0"/>
          <w:i w:val="0"/>
          <w:iCs w:val="0"/>
          <w:sz w:val="28"/>
          <w:szCs w:val="28"/>
        </w:rPr>
        <w:t>4</w:t>
      </w:r>
      <w:r>
        <w:rPr>
          <w:rFonts w:ascii="Times New Roman" w:eastAsia="仿宋_GB2312"/>
          <w:b w:val="0"/>
          <w:bCs w:val="0"/>
          <w:i w:val="0"/>
          <w:iCs w:val="0"/>
          <w:sz w:val="28"/>
          <w:szCs w:val="28"/>
        </w:rPr>
        <w:fldChar w:fldCharType="end"/>
      </w:r>
      <w:r>
        <w:rPr>
          <w:rFonts w:ascii="Times New Roman" w:eastAsia="仿宋_GB2312"/>
          <w:b w:val="0"/>
          <w:bCs w:val="0"/>
          <w:i w:val="0"/>
          <w:i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"_Toc7163" </w:instrText>
      </w:r>
      <w:r>
        <w:fldChar w:fldCharType="separate"/>
      </w:r>
      <w:r>
        <w:rPr>
          <w:rFonts w:ascii="Times New Roman" w:eastAsia="仿宋_GB2312"/>
          <w:b w:val="0"/>
          <w:bCs w:val="0"/>
          <w:sz w:val="28"/>
          <w:szCs w:val="28"/>
        </w:rPr>
        <w:t>一、 收入支出决算总体情况说明</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_Toc7163 \h </w:instrText>
      </w:r>
      <w:r>
        <w:rPr>
          <w:rFonts w:ascii="Times New Roman" w:eastAsia="仿宋_GB2312"/>
          <w:b w:val="0"/>
          <w:bCs w:val="0"/>
          <w:sz w:val="28"/>
          <w:szCs w:val="28"/>
        </w:rPr>
        <w:fldChar w:fldCharType="separate"/>
      </w:r>
      <w:r>
        <w:rPr>
          <w:rFonts w:ascii="Times New Roman" w:eastAsia="仿宋_GB2312"/>
          <w:b w:val="0"/>
          <w:bCs w:val="0"/>
          <w:sz w:val="28"/>
          <w:szCs w:val="28"/>
        </w:rPr>
        <w:t>4</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"_Toc25258" </w:instrText>
      </w:r>
      <w:r>
        <w:fldChar w:fldCharType="separate"/>
      </w:r>
      <w:r>
        <w:rPr>
          <w:rFonts w:ascii="Times New Roman" w:eastAsia="仿宋_GB2312"/>
          <w:b w:val="0"/>
          <w:bCs w:val="0"/>
          <w:sz w:val="28"/>
          <w:szCs w:val="28"/>
        </w:rPr>
        <w:t>二、 收入决算情况说明</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_Toc25258 \h </w:instrText>
      </w:r>
      <w:r>
        <w:rPr>
          <w:rFonts w:ascii="Times New Roman" w:eastAsia="仿宋_GB2312"/>
          <w:b w:val="0"/>
          <w:bCs w:val="0"/>
          <w:sz w:val="28"/>
          <w:szCs w:val="28"/>
        </w:rPr>
        <w:fldChar w:fldCharType="separate"/>
      </w:r>
      <w:r>
        <w:rPr>
          <w:rFonts w:ascii="Times New Roman" w:eastAsia="仿宋_GB2312"/>
          <w:b w:val="0"/>
          <w:bCs w:val="0"/>
          <w:sz w:val="28"/>
          <w:szCs w:val="28"/>
        </w:rPr>
        <w:t>4</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"_Toc13725" </w:instrText>
      </w:r>
      <w:r>
        <w:fldChar w:fldCharType="separate"/>
      </w:r>
      <w:r>
        <w:rPr>
          <w:rFonts w:ascii="Times New Roman" w:eastAsia="仿宋_GB2312"/>
          <w:b w:val="0"/>
          <w:bCs w:val="0"/>
          <w:sz w:val="28"/>
          <w:szCs w:val="28"/>
        </w:rPr>
        <w:t>三、 支出决算情况说明</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_Toc13725 \h </w:instrText>
      </w:r>
      <w:r>
        <w:rPr>
          <w:rFonts w:ascii="Times New Roman" w:eastAsia="仿宋_GB2312"/>
          <w:b w:val="0"/>
          <w:bCs w:val="0"/>
          <w:sz w:val="28"/>
          <w:szCs w:val="28"/>
        </w:rPr>
        <w:fldChar w:fldCharType="separate"/>
      </w:r>
      <w:r>
        <w:rPr>
          <w:rFonts w:ascii="Times New Roman" w:eastAsia="仿宋_GB2312"/>
          <w:b w:val="0"/>
          <w:bCs w:val="0"/>
          <w:sz w:val="28"/>
          <w:szCs w:val="28"/>
        </w:rPr>
        <w:t>5</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"_Toc10354" </w:instrText>
      </w:r>
      <w:r>
        <w:fldChar w:fldCharType="separate"/>
      </w:r>
      <w:r>
        <w:rPr>
          <w:rFonts w:ascii="Times New Roman" w:eastAsia="仿宋_GB2312"/>
          <w:b w:val="0"/>
          <w:bCs w:val="0"/>
          <w:sz w:val="28"/>
          <w:szCs w:val="28"/>
        </w:rPr>
        <w:t>四、财政拨款收入支出决算总体情况说明</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_Toc10354 \h </w:instrText>
      </w:r>
      <w:r>
        <w:rPr>
          <w:rFonts w:ascii="Times New Roman" w:eastAsia="仿宋_GB2312"/>
          <w:b w:val="0"/>
          <w:bCs w:val="0"/>
          <w:sz w:val="28"/>
          <w:szCs w:val="28"/>
        </w:rPr>
        <w:fldChar w:fldCharType="separate"/>
      </w:r>
      <w:r>
        <w:rPr>
          <w:rFonts w:ascii="Times New Roman" w:eastAsia="仿宋_GB2312"/>
          <w:b w:val="0"/>
          <w:bCs w:val="0"/>
          <w:sz w:val="28"/>
          <w:szCs w:val="28"/>
        </w:rPr>
        <w:t>5</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"_Toc10967" </w:instrText>
      </w:r>
      <w:r>
        <w:fldChar w:fldCharType="separate"/>
      </w:r>
      <w:r>
        <w:rPr>
          <w:rFonts w:ascii="Times New Roman" w:eastAsia="仿宋_GB2312"/>
          <w:b w:val="0"/>
          <w:bCs w:val="0"/>
          <w:sz w:val="28"/>
          <w:szCs w:val="28"/>
        </w:rPr>
        <w:t>五、一般公共预算财政拨款支出决算情况说明</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_Toc10967 \h </w:instrText>
      </w:r>
      <w:r>
        <w:rPr>
          <w:rFonts w:ascii="Times New Roman" w:eastAsia="仿宋_GB2312"/>
          <w:b w:val="0"/>
          <w:bCs w:val="0"/>
          <w:sz w:val="28"/>
          <w:szCs w:val="28"/>
        </w:rPr>
        <w:fldChar w:fldCharType="separate"/>
      </w:r>
      <w:r>
        <w:rPr>
          <w:rFonts w:ascii="Times New Roman" w:eastAsia="仿宋_GB2312"/>
          <w:b w:val="0"/>
          <w:bCs w:val="0"/>
          <w:sz w:val="28"/>
          <w:szCs w:val="28"/>
        </w:rPr>
        <w:t>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"_Toc31021" </w:instrText>
      </w:r>
      <w:r>
        <w:fldChar w:fldCharType="separate"/>
      </w:r>
      <w:r>
        <w:rPr>
          <w:rFonts w:ascii="Times New Roman" w:eastAsia="仿宋_GB2312"/>
          <w:b w:val="0"/>
          <w:bCs w:val="0"/>
          <w:sz w:val="28"/>
          <w:szCs w:val="28"/>
        </w:rPr>
        <w:t>六、一般公共预算财政拨款基本支出决算情况说明</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_Toc31021 \h </w:instrText>
      </w:r>
      <w:r>
        <w:rPr>
          <w:rFonts w:ascii="Times New Roman" w:eastAsia="仿宋_GB2312"/>
          <w:b w:val="0"/>
          <w:bCs w:val="0"/>
          <w:sz w:val="28"/>
          <w:szCs w:val="28"/>
        </w:rPr>
        <w:fldChar w:fldCharType="separate"/>
      </w:r>
      <w:r>
        <w:rPr>
          <w:rFonts w:ascii="Times New Roman" w:eastAsia="仿宋_GB2312"/>
          <w:b w:val="0"/>
          <w:bCs w:val="0"/>
          <w:sz w:val="28"/>
          <w:szCs w:val="28"/>
        </w:rPr>
        <w:t>8</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"_Toc6926" </w:instrText>
      </w:r>
      <w:r>
        <w:fldChar w:fldCharType="separate"/>
      </w:r>
      <w:r>
        <w:rPr>
          <w:rFonts w:ascii="Times New Roman" w:eastAsia="仿宋_GB2312"/>
          <w:b w:val="0"/>
          <w:bCs w:val="0"/>
          <w:sz w:val="28"/>
          <w:szCs w:val="28"/>
        </w:rPr>
        <w:t>七、“三公”经费财政拨款支出决算情况说明</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_Toc6926 \h </w:instrText>
      </w:r>
      <w:r>
        <w:rPr>
          <w:rFonts w:ascii="Times New Roman" w:eastAsia="仿宋_GB2312"/>
          <w:b w:val="0"/>
          <w:bCs w:val="0"/>
          <w:sz w:val="28"/>
          <w:szCs w:val="28"/>
        </w:rPr>
        <w:fldChar w:fldCharType="separate"/>
      </w:r>
      <w:r>
        <w:rPr>
          <w:rFonts w:ascii="Times New Roman" w:eastAsia="仿宋_GB2312"/>
          <w:b w:val="0"/>
          <w:bCs w:val="0"/>
          <w:sz w:val="28"/>
          <w:szCs w:val="28"/>
        </w:rPr>
        <w:t>9</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"_Toc9843" </w:instrText>
      </w:r>
      <w:r>
        <w:fldChar w:fldCharType="separate"/>
      </w:r>
      <w:r>
        <w:rPr>
          <w:rFonts w:ascii="Times New Roman" w:eastAsia="仿宋_GB2312"/>
          <w:b w:val="0"/>
          <w:bCs w:val="0"/>
          <w:sz w:val="28"/>
          <w:szCs w:val="28"/>
        </w:rPr>
        <w:t>八、政府性基金预算支出决算情况说明</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_Toc9843 \h </w:instrText>
      </w:r>
      <w:r>
        <w:rPr>
          <w:rFonts w:ascii="Times New Roman" w:eastAsia="仿宋_GB2312"/>
          <w:b w:val="0"/>
          <w:bCs w:val="0"/>
          <w:sz w:val="28"/>
          <w:szCs w:val="28"/>
        </w:rPr>
        <w:fldChar w:fldCharType="separate"/>
      </w:r>
      <w:r>
        <w:rPr>
          <w:rFonts w:ascii="Times New Roman" w:eastAsia="仿宋_GB2312"/>
          <w:b w:val="0"/>
          <w:bCs w:val="0"/>
          <w:sz w:val="28"/>
          <w:szCs w:val="28"/>
        </w:rPr>
        <w:t>11</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"_Toc10775" </w:instrText>
      </w:r>
      <w:r>
        <w:fldChar w:fldCharType="separate"/>
      </w:r>
      <w:r>
        <w:rPr>
          <w:rFonts w:ascii="Times New Roman" w:eastAsia="仿宋_GB2312"/>
          <w:b w:val="0"/>
          <w:bCs w:val="0"/>
          <w:sz w:val="28"/>
          <w:szCs w:val="28"/>
        </w:rPr>
        <w:t>九、 国有资本经营预算支出决算情况说明</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_Toc10775 \h </w:instrText>
      </w:r>
      <w:r>
        <w:rPr>
          <w:rFonts w:ascii="Times New Roman" w:eastAsia="仿宋_GB2312"/>
          <w:b w:val="0"/>
          <w:bCs w:val="0"/>
          <w:sz w:val="28"/>
          <w:szCs w:val="28"/>
        </w:rPr>
        <w:fldChar w:fldCharType="separate"/>
      </w:r>
      <w:r>
        <w:rPr>
          <w:rFonts w:ascii="Times New Roman" w:eastAsia="仿宋_GB2312"/>
          <w:b w:val="0"/>
          <w:bCs w:val="0"/>
          <w:sz w:val="28"/>
          <w:szCs w:val="28"/>
        </w:rPr>
        <w:t>11</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"_Toc738" </w:instrText>
      </w:r>
      <w:r>
        <w:fldChar w:fldCharType="separate"/>
      </w:r>
      <w:r>
        <w:rPr>
          <w:rFonts w:ascii="Times New Roman" w:eastAsia="仿宋_GB2312"/>
          <w:b w:val="0"/>
          <w:bCs w:val="0"/>
          <w:sz w:val="28"/>
          <w:szCs w:val="28"/>
        </w:rPr>
        <w:t>十、其他重要事项的情况说明</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_Toc738 \h </w:instrText>
      </w:r>
      <w:r>
        <w:rPr>
          <w:rFonts w:ascii="Times New Roman" w:eastAsia="仿宋_GB2312"/>
          <w:b w:val="0"/>
          <w:bCs w:val="0"/>
          <w:sz w:val="28"/>
          <w:szCs w:val="28"/>
        </w:rPr>
        <w:fldChar w:fldCharType="separate"/>
      </w:r>
      <w:r>
        <w:rPr>
          <w:rFonts w:ascii="Times New Roman" w:eastAsia="仿宋_GB2312"/>
          <w:b w:val="0"/>
          <w:bCs w:val="0"/>
          <w:sz w:val="28"/>
          <w:szCs w:val="28"/>
        </w:rPr>
        <w:t>11</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7"/>
        <w:tabs>
          <w:tab w:val="right" w:leader="dot" w:pos="8306"/>
        </w:tabs>
        <w:adjustRightInd w:val="0"/>
        <w:snapToGrid w:val="0"/>
        <w:spacing w:before="0" w:line="592" w:lineRule="exact"/>
        <w:ind w:firstLine="482" w:firstLineChars="200"/>
        <w:rPr>
          <w:rFonts w:ascii="Times New Roman" w:eastAsia="仿宋_GB2312"/>
          <w:b w:val="0"/>
          <w:bCs w:val="0"/>
          <w:i w:val="0"/>
          <w:iCs w:val="0"/>
          <w:sz w:val="28"/>
          <w:szCs w:val="28"/>
        </w:rPr>
      </w:pPr>
      <w:r>
        <w:fldChar w:fldCharType="begin"/>
      </w:r>
      <w:r>
        <w:instrText xml:space="preserve"> HYPERLINK \l "_Toc3536" </w:instrText>
      </w:r>
      <w:r>
        <w:fldChar w:fldCharType="separate"/>
      </w:r>
      <w:r>
        <w:rPr>
          <w:rFonts w:ascii="Times New Roman" w:eastAsia="仿宋_GB2312"/>
          <w:b w:val="0"/>
          <w:bCs w:val="0"/>
          <w:i w:val="0"/>
          <w:iCs w:val="0"/>
          <w:sz w:val="28"/>
          <w:szCs w:val="28"/>
        </w:rPr>
        <w:t>第三部分 名词解释</w:t>
      </w:r>
      <w:r>
        <w:rPr>
          <w:rFonts w:ascii="Times New Roman" w:eastAsia="仿宋_GB2312"/>
          <w:b w:val="0"/>
          <w:bCs w:val="0"/>
          <w:i w:val="0"/>
          <w:iCs w:val="0"/>
          <w:sz w:val="28"/>
          <w:szCs w:val="28"/>
        </w:rPr>
        <w:tab/>
      </w:r>
      <w:r>
        <w:rPr>
          <w:rFonts w:ascii="Times New Roman" w:eastAsia="仿宋_GB2312"/>
          <w:b w:val="0"/>
          <w:bCs w:val="0"/>
          <w:i w:val="0"/>
          <w:iCs w:val="0"/>
          <w:sz w:val="28"/>
          <w:szCs w:val="28"/>
        </w:rPr>
        <w:fldChar w:fldCharType="begin"/>
      </w:r>
      <w:r>
        <w:rPr>
          <w:rFonts w:ascii="Times New Roman" w:eastAsia="仿宋_GB2312"/>
          <w:b w:val="0"/>
          <w:bCs w:val="0"/>
          <w:i w:val="0"/>
          <w:iCs w:val="0"/>
          <w:sz w:val="28"/>
          <w:szCs w:val="28"/>
        </w:rPr>
        <w:instrText xml:space="preserve"> PAGEREF _Toc3536 \h </w:instrText>
      </w:r>
      <w:r>
        <w:rPr>
          <w:rFonts w:ascii="Times New Roman" w:eastAsia="仿宋_GB2312"/>
          <w:b w:val="0"/>
          <w:bCs w:val="0"/>
          <w:i w:val="0"/>
          <w:iCs w:val="0"/>
          <w:sz w:val="28"/>
          <w:szCs w:val="28"/>
        </w:rPr>
        <w:fldChar w:fldCharType="separate"/>
      </w:r>
      <w:r>
        <w:rPr>
          <w:rFonts w:ascii="Times New Roman" w:eastAsia="仿宋_GB2312"/>
          <w:b w:val="0"/>
          <w:bCs w:val="0"/>
          <w:i w:val="0"/>
          <w:iCs w:val="0"/>
          <w:sz w:val="28"/>
          <w:szCs w:val="28"/>
        </w:rPr>
        <w:t>15</w:t>
      </w:r>
      <w:r>
        <w:rPr>
          <w:rFonts w:ascii="Times New Roman" w:eastAsia="仿宋_GB2312"/>
          <w:b w:val="0"/>
          <w:bCs w:val="0"/>
          <w:i w:val="0"/>
          <w:iCs w:val="0"/>
          <w:sz w:val="28"/>
          <w:szCs w:val="28"/>
        </w:rPr>
        <w:fldChar w:fldCharType="end"/>
      </w:r>
      <w:r>
        <w:rPr>
          <w:rFonts w:ascii="Times New Roman" w:eastAsia="仿宋_GB2312"/>
          <w:b w:val="0"/>
          <w:bCs w:val="0"/>
          <w:i w:val="0"/>
          <w:iCs w:val="0"/>
          <w:sz w:val="28"/>
          <w:szCs w:val="28"/>
        </w:rPr>
        <w:fldChar w:fldCharType="end"/>
      </w:r>
    </w:p>
    <w:p>
      <w:pPr>
        <w:pStyle w:val="7"/>
        <w:tabs>
          <w:tab w:val="right" w:leader="dot" w:pos="8306"/>
        </w:tabs>
        <w:adjustRightInd w:val="0"/>
        <w:snapToGrid w:val="0"/>
        <w:spacing w:before="0" w:line="592" w:lineRule="exact"/>
        <w:ind w:firstLine="482" w:firstLineChars="200"/>
        <w:rPr>
          <w:rFonts w:ascii="Times New Roman" w:eastAsia="仿宋_GB2312"/>
          <w:b w:val="0"/>
          <w:bCs w:val="0"/>
          <w:i w:val="0"/>
          <w:iCs w:val="0"/>
          <w:sz w:val="28"/>
          <w:szCs w:val="28"/>
        </w:rPr>
      </w:pPr>
      <w:r>
        <w:fldChar w:fldCharType="begin"/>
      </w:r>
      <w:r>
        <w:instrText xml:space="preserve"> HYPERLINK \l "_Toc11207" </w:instrText>
      </w:r>
      <w:r>
        <w:fldChar w:fldCharType="separate"/>
      </w:r>
      <w:r>
        <w:rPr>
          <w:rFonts w:ascii="Times New Roman" w:eastAsia="仿宋_GB2312"/>
          <w:b w:val="0"/>
          <w:bCs w:val="0"/>
          <w:i w:val="0"/>
          <w:iCs w:val="0"/>
          <w:sz w:val="28"/>
          <w:szCs w:val="28"/>
        </w:rPr>
        <w:t>第四部分 附件</w:t>
      </w:r>
      <w:r>
        <w:rPr>
          <w:rFonts w:ascii="Times New Roman" w:eastAsia="仿宋_GB2312"/>
          <w:b w:val="0"/>
          <w:bCs w:val="0"/>
          <w:i w:val="0"/>
          <w:iCs w:val="0"/>
          <w:sz w:val="28"/>
          <w:szCs w:val="28"/>
        </w:rPr>
        <w:tab/>
      </w:r>
      <w:r>
        <w:rPr>
          <w:rFonts w:ascii="Times New Roman" w:eastAsia="仿宋_GB2312"/>
          <w:b w:val="0"/>
          <w:bCs w:val="0"/>
          <w:i w:val="0"/>
          <w:iCs w:val="0"/>
          <w:sz w:val="28"/>
          <w:szCs w:val="28"/>
        </w:rPr>
        <w:fldChar w:fldCharType="begin"/>
      </w:r>
      <w:r>
        <w:rPr>
          <w:rFonts w:ascii="Times New Roman" w:eastAsia="仿宋_GB2312"/>
          <w:b w:val="0"/>
          <w:bCs w:val="0"/>
          <w:i w:val="0"/>
          <w:iCs w:val="0"/>
          <w:sz w:val="28"/>
          <w:szCs w:val="28"/>
        </w:rPr>
        <w:instrText xml:space="preserve"> PAGEREF _Toc11207 \h </w:instrText>
      </w:r>
      <w:r>
        <w:rPr>
          <w:rFonts w:ascii="Times New Roman" w:eastAsia="仿宋_GB2312"/>
          <w:b w:val="0"/>
          <w:bCs w:val="0"/>
          <w:i w:val="0"/>
          <w:iCs w:val="0"/>
          <w:sz w:val="28"/>
          <w:szCs w:val="28"/>
        </w:rPr>
        <w:fldChar w:fldCharType="separate"/>
      </w:r>
      <w:r>
        <w:rPr>
          <w:rFonts w:ascii="Times New Roman" w:eastAsia="仿宋_GB2312"/>
          <w:b w:val="0"/>
          <w:bCs w:val="0"/>
          <w:i w:val="0"/>
          <w:iCs w:val="0"/>
          <w:sz w:val="28"/>
          <w:szCs w:val="28"/>
        </w:rPr>
        <w:t>18</w:t>
      </w:r>
      <w:r>
        <w:rPr>
          <w:rFonts w:ascii="Times New Roman" w:eastAsia="仿宋_GB2312"/>
          <w:b w:val="0"/>
          <w:bCs w:val="0"/>
          <w:i w:val="0"/>
          <w:iCs w:val="0"/>
          <w:sz w:val="28"/>
          <w:szCs w:val="28"/>
        </w:rPr>
        <w:fldChar w:fldCharType="end"/>
      </w:r>
      <w:r>
        <w:rPr>
          <w:rFonts w:ascii="Times New Roman" w:eastAsia="仿宋_GB2312"/>
          <w:b w:val="0"/>
          <w:bCs w:val="0"/>
          <w:i w:val="0"/>
          <w:i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"_Toc22930" </w:instrText>
      </w:r>
      <w:r>
        <w:fldChar w:fldCharType="separate"/>
      </w:r>
      <w:r>
        <w:rPr>
          <w:rFonts w:ascii="Times New Roman" w:eastAsia="仿宋_GB2312"/>
          <w:b w:val="0"/>
          <w:bCs w:val="0"/>
          <w:sz w:val="28"/>
          <w:szCs w:val="28"/>
        </w:rPr>
        <w:t>附件1</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_Toc22930 \h </w:instrText>
      </w:r>
      <w:r>
        <w:rPr>
          <w:rFonts w:ascii="Times New Roman" w:eastAsia="仿宋_GB2312"/>
          <w:b w:val="0"/>
          <w:bCs w:val="0"/>
          <w:sz w:val="28"/>
          <w:szCs w:val="28"/>
        </w:rPr>
        <w:fldChar w:fldCharType="separate"/>
      </w:r>
      <w:r>
        <w:rPr>
          <w:rFonts w:ascii="Times New Roman" w:eastAsia="仿宋_GB2312"/>
          <w:b w:val="0"/>
          <w:bCs w:val="0"/>
          <w:sz w:val="28"/>
          <w:szCs w:val="28"/>
        </w:rPr>
        <w:t>18</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"_Toc11602" </w:instrText>
      </w:r>
      <w:r>
        <w:fldChar w:fldCharType="separate"/>
      </w:r>
      <w:r>
        <w:rPr>
          <w:rFonts w:ascii="Times New Roman" w:eastAsia="仿宋_GB2312"/>
          <w:b w:val="0"/>
          <w:bCs w:val="0"/>
          <w:sz w:val="28"/>
          <w:szCs w:val="28"/>
        </w:rPr>
        <w:t>附件2</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_Toc11602 \h </w:instrText>
      </w:r>
      <w:r>
        <w:rPr>
          <w:rFonts w:ascii="Times New Roman" w:eastAsia="仿宋_GB2312"/>
          <w:b w:val="0"/>
          <w:bCs w:val="0"/>
          <w:sz w:val="28"/>
          <w:szCs w:val="28"/>
        </w:rPr>
        <w:fldChar w:fldCharType="separate"/>
      </w:r>
      <w:r>
        <w:rPr>
          <w:rFonts w:ascii="Times New Roman" w:eastAsia="仿宋_GB2312"/>
          <w:b w:val="0"/>
          <w:bCs w:val="0"/>
          <w:sz w:val="28"/>
          <w:szCs w:val="28"/>
        </w:rPr>
        <w:t>21</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7"/>
        <w:tabs>
          <w:tab w:val="right" w:leader="dot" w:pos="8306"/>
        </w:tabs>
        <w:adjustRightInd w:val="0"/>
        <w:snapToGrid w:val="0"/>
        <w:spacing w:before="0" w:line="592" w:lineRule="exact"/>
        <w:ind w:firstLine="482" w:firstLineChars="200"/>
        <w:rPr>
          <w:rFonts w:ascii="Times New Roman" w:eastAsia="仿宋_GB2312"/>
          <w:b w:val="0"/>
          <w:bCs w:val="0"/>
          <w:i w:val="0"/>
          <w:iCs w:val="0"/>
          <w:sz w:val="28"/>
          <w:szCs w:val="28"/>
        </w:rPr>
      </w:pPr>
      <w:r>
        <w:fldChar w:fldCharType="begin"/>
      </w:r>
      <w:r>
        <w:instrText xml:space="preserve"> HYPERLINK \l "_Toc32283" </w:instrText>
      </w:r>
      <w:r>
        <w:fldChar w:fldCharType="separate"/>
      </w:r>
      <w:r>
        <w:rPr>
          <w:rFonts w:ascii="Times New Roman" w:eastAsia="仿宋_GB2312"/>
          <w:b w:val="0"/>
          <w:bCs w:val="0"/>
          <w:i w:val="0"/>
          <w:iCs w:val="0"/>
          <w:sz w:val="28"/>
          <w:szCs w:val="28"/>
        </w:rPr>
        <w:t>第五部分 附表</w:t>
      </w:r>
      <w:r>
        <w:rPr>
          <w:rFonts w:ascii="Times New Roman" w:eastAsia="仿宋_GB2312"/>
          <w:b w:val="0"/>
          <w:bCs w:val="0"/>
          <w:i w:val="0"/>
          <w:iCs w:val="0"/>
          <w:sz w:val="28"/>
          <w:szCs w:val="28"/>
        </w:rPr>
        <w:tab/>
      </w:r>
      <w:r>
        <w:rPr>
          <w:rFonts w:ascii="Times New Roman" w:eastAsia="仿宋_GB2312"/>
          <w:b w:val="0"/>
          <w:bCs w:val="0"/>
          <w:i w:val="0"/>
          <w:iCs w:val="0"/>
          <w:sz w:val="28"/>
          <w:szCs w:val="28"/>
        </w:rPr>
        <w:fldChar w:fldCharType="begin"/>
      </w:r>
      <w:r>
        <w:rPr>
          <w:rFonts w:ascii="Times New Roman" w:eastAsia="仿宋_GB2312"/>
          <w:b w:val="0"/>
          <w:bCs w:val="0"/>
          <w:i w:val="0"/>
          <w:iCs w:val="0"/>
          <w:sz w:val="28"/>
          <w:szCs w:val="28"/>
        </w:rPr>
        <w:instrText xml:space="preserve"> PAGEREF _Toc32283 \h </w:instrText>
      </w:r>
      <w:r>
        <w:rPr>
          <w:rFonts w:ascii="Times New Roman" w:eastAsia="仿宋_GB2312"/>
          <w:b w:val="0"/>
          <w:bCs w:val="0"/>
          <w:i w:val="0"/>
          <w:iCs w:val="0"/>
          <w:sz w:val="28"/>
          <w:szCs w:val="28"/>
        </w:rPr>
        <w:fldChar w:fldCharType="separate"/>
      </w:r>
      <w:r>
        <w:rPr>
          <w:rFonts w:ascii="Times New Roman" w:eastAsia="仿宋_GB2312"/>
          <w:b w:val="0"/>
          <w:bCs w:val="0"/>
          <w:i w:val="0"/>
          <w:iCs w:val="0"/>
          <w:sz w:val="28"/>
          <w:szCs w:val="28"/>
        </w:rPr>
        <w:t>26</w:t>
      </w:r>
      <w:r>
        <w:rPr>
          <w:rFonts w:ascii="Times New Roman" w:eastAsia="仿宋_GB2312"/>
          <w:b w:val="0"/>
          <w:bCs w:val="0"/>
          <w:i w:val="0"/>
          <w:iCs w:val="0"/>
          <w:sz w:val="28"/>
          <w:szCs w:val="28"/>
        </w:rPr>
        <w:fldChar w:fldCharType="end"/>
      </w:r>
      <w:r>
        <w:rPr>
          <w:rFonts w:ascii="Times New Roman" w:eastAsia="仿宋_GB2312"/>
          <w:b w:val="0"/>
          <w:bCs w:val="0"/>
          <w:i w:val="0"/>
          <w:i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"_Toc15699" </w:instrText>
      </w:r>
      <w:r>
        <w:fldChar w:fldCharType="separate"/>
      </w:r>
      <w:r>
        <w:rPr>
          <w:rFonts w:ascii="Times New Roman" w:eastAsia="仿宋_GB2312"/>
          <w:b w:val="0"/>
          <w:bCs w:val="0"/>
          <w:sz w:val="28"/>
          <w:szCs w:val="28"/>
        </w:rPr>
        <w:t>一、收入支出决算总表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_Toc15699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"_Toc27106" </w:instrText>
      </w:r>
      <w:r>
        <w:fldChar w:fldCharType="separate"/>
      </w:r>
      <w:r>
        <w:rPr>
          <w:rFonts w:ascii="Times New Roman" w:eastAsia="仿宋_GB2312"/>
          <w:b w:val="0"/>
          <w:bCs w:val="0"/>
          <w:sz w:val="28"/>
          <w:szCs w:val="28"/>
        </w:rPr>
        <w:t>二、收入决算表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_Toc27106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"_Toc26817" </w:instrText>
      </w:r>
      <w:r>
        <w:fldChar w:fldCharType="separate"/>
      </w:r>
      <w:r>
        <w:rPr>
          <w:rFonts w:ascii="Times New Roman" w:eastAsia="仿宋_GB2312"/>
          <w:b w:val="0"/>
          <w:bCs w:val="0"/>
          <w:sz w:val="28"/>
          <w:szCs w:val="28"/>
        </w:rPr>
        <w:t>三、支出决算表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_Toc26817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"_Toc21747" </w:instrText>
      </w:r>
      <w:r>
        <w:fldChar w:fldCharType="separate"/>
      </w:r>
      <w:r>
        <w:rPr>
          <w:rFonts w:ascii="Times New Roman" w:eastAsia="仿宋_GB2312"/>
          <w:b w:val="0"/>
          <w:bCs w:val="0"/>
          <w:sz w:val="28"/>
          <w:szCs w:val="28"/>
        </w:rPr>
        <w:t>四、财政拨款收入支出决算总表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_Toc21747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"_Toc12959" </w:instrText>
      </w:r>
      <w:r>
        <w:fldChar w:fldCharType="separate"/>
      </w:r>
      <w:r>
        <w:rPr>
          <w:rFonts w:ascii="Times New Roman" w:eastAsia="仿宋_GB2312"/>
          <w:b w:val="0"/>
          <w:bCs w:val="0"/>
          <w:sz w:val="28"/>
          <w:szCs w:val="28"/>
        </w:rPr>
        <w:t>五、财政拨款支出决算明细表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_Toc12959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"_Toc23749" </w:instrText>
      </w:r>
      <w:r>
        <w:fldChar w:fldCharType="separate"/>
      </w:r>
      <w:r>
        <w:rPr>
          <w:rFonts w:ascii="Times New Roman" w:eastAsia="仿宋_GB2312"/>
          <w:b w:val="0"/>
          <w:bCs w:val="0"/>
          <w:sz w:val="28"/>
          <w:szCs w:val="28"/>
        </w:rPr>
        <w:t>六、一般公共预算财政拨款支出决算表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_Toc23749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"_Toc22275" </w:instrText>
      </w:r>
      <w:r>
        <w:fldChar w:fldCharType="separate"/>
      </w:r>
      <w:r>
        <w:rPr>
          <w:rFonts w:ascii="Times New Roman" w:eastAsia="仿宋_GB2312"/>
          <w:b w:val="0"/>
          <w:bCs w:val="0"/>
          <w:sz w:val="28"/>
          <w:szCs w:val="28"/>
        </w:rPr>
        <w:t>七、一般公共预算财政拨款支出决算明细表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_Toc22275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"_Toc30634" </w:instrText>
      </w:r>
      <w:r>
        <w:fldChar w:fldCharType="separate"/>
      </w:r>
      <w:r>
        <w:rPr>
          <w:rFonts w:ascii="Times New Roman" w:eastAsia="仿宋_GB2312"/>
          <w:b w:val="0"/>
          <w:bCs w:val="0"/>
          <w:sz w:val="28"/>
          <w:szCs w:val="28"/>
        </w:rPr>
        <w:t>八、一般公共预算财政拨款基本支出决算表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_Toc30634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"_Toc15170" </w:instrText>
      </w:r>
      <w:r>
        <w:fldChar w:fldCharType="separate"/>
      </w:r>
      <w:r>
        <w:rPr>
          <w:rFonts w:ascii="Times New Roman" w:eastAsia="仿宋_GB2312"/>
          <w:b w:val="0"/>
          <w:bCs w:val="0"/>
          <w:sz w:val="28"/>
          <w:szCs w:val="28"/>
        </w:rPr>
        <w:t>九、一般公共预算财政拨款项目支出决算表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_Toc15170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"_Toc17603" </w:instrText>
      </w:r>
      <w:r>
        <w:fldChar w:fldCharType="separate"/>
      </w:r>
      <w:r>
        <w:rPr>
          <w:rFonts w:ascii="Times New Roman" w:eastAsia="仿宋_GB2312"/>
          <w:b w:val="0"/>
          <w:bCs w:val="0"/>
          <w:sz w:val="28"/>
          <w:szCs w:val="28"/>
        </w:rPr>
        <w:t>十、一般公共预算财政拨款“三公”经费支出决算表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_Toc17603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"_Toc7313" </w:instrText>
      </w:r>
      <w:r>
        <w:fldChar w:fldCharType="separate"/>
      </w:r>
      <w:r>
        <w:rPr>
          <w:rFonts w:ascii="Times New Roman" w:eastAsia="仿宋_GB2312"/>
          <w:b w:val="0"/>
          <w:bCs w:val="0"/>
          <w:sz w:val="28"/>
          <w:szCs w:val="28"/>
        </w:rPr>
        <w:t>十一、政府性基金预算财政拨款收入支出决算表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_Toc7313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"_Toc9382" </w:instrText>
      </w:r>
      <w:r>
        <w:fldChar w:fldCharType="separate"/>
      </w:r>
      <w:r>
        <w:rPr>
          <w:rFonts w:ascii="Times New Roman" w:eastAsia="仿宋_GB2312"/>
          <w:b w:val="0"/>
          <w:bCs w:val="0"/>
          <w:sz w:val="28"/>
          <w:szCs w:val="28"/>
        </w:rPr>
        <w:t>十二、政府性基金预算财政拨款“三公”经费支出决算表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_Toc9382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"_Toc22683" </w:instrText>
      </w:r>
      <w:r>
        <w:fldChar w:fldCharType="separate"/>
      </w:r>
      <w:r>
        <w:rPr>
          <w:rFonts w:ascii="Times New Roman" w:eastAsia="仿宋_GB2312"/>
          <w:b w:val="0"/>
          <w:bCs w:val="0"/>
          <w:sz w:val="28"/>
          <w:szCs w:val="28"/>
        </w:rPr>
        <w:t>十三、国有资本经营预算财政拨款收入支出决算表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_Toc22683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"_Toc10257" </w:instrText>
      </w:r>
      <w:r>
        <w:fldChar w:fldCharType="separate"/>
      </w:r>
      <w:r>
        <w:rPr>
          <w:rFonts w:ascii="Times New Roman" w:eastAsia="仿宋_GB2312"/>
          <w:b w:val="0"/>
          <w:bCs w:val="0"/>
          <w:sz w:val="28"/>
          <w:szCs w:val="28"/>
        </w:rPr>
        <w:t>十四、国有资本经营预算财政拨款支出决算表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_Toc10257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adjustRightInd w:val="0"/>
        <w:snapToGrid w:val="0"/>
        <w:spacing w:line="592" w:lineRule="exact"/>
        <w:ind w:firstLine="560" w:firstLineChars="200"/>
        <w:rPr>
          <w:color w:val="FF0000"/>
          <w:szCs w:val="32"/>
        </w:rPr>
      </w:pPr>
      <w:r>
        <w:rPr>
          <w:caps/>
          <w:sz w:val="28"/>
          <w:szCs w:val="28"/>
        </w:rPr>
        <w:fldChar w:fldCharType="end"/>
      </w:r>
    </w:p>
    <w:p>
      <w:pPr>
        <w:adjustRightInd w:val="0"/>
        <w:snapToGrid w:val="0"/>
        <w:spacing w:line="592" w:lineRule="exact"/>
        <w:ind w:firstLine="640" w:firstLineChars="200"/>
        <w:jc w:val="center"/>
        <w:rPr>
          <w:rStyle w:val="13"/>
          <w:b w:val="0"/>
          <w:bCs w:val="0"/>
          <w:kern w:val="2"/>
          <w:sz w:val="32"/>
          <w:szCs w:val="24"/>
        </w:rPr>
      </w:pPr>
      <w:r>
        <w:br w:type="page"/>
      </w:r>
      <w:bookmarkStart w:id="0" w:name="_Toc10567"/>
      <w:r>
        <w:rPr>
          <w:rFonts w:eastAsia="黑体"/>
        </w:rPr>
        <w:t>第一部分 部门概况</w:t>
      </w:r>
      <w:bookmarkEnd w:id="0"/>
    </w:p>
    <w:p>
      <w:pPr>
        <w:pStyle w:val="3"/>
        <w:adjustRightInd w:val="0"/>
        <w:snapToGrid w:val="0"/>
        <w:spacing w:before="0" w:after="0" w:line="592" w:lineRule="exact"/>
        <w:ind w:firstLine="640" w:firstLineChars="200"/>
        <w:rPr>
          <w:rStyle w:val="14"/>
          <w:rFonts w:ascii="Times New Roman" w:hAnsi="Times New Roman" w:eastAsia="仿宋"/>
          <w:b w:val="0"/>
          <w:bCs w:val="0"/>
        </w:rPr>
      </w:pPr>
      <w:bookmarkStart w:id="1" w:name="_Toc15377197"/>
      <w:bookmarkStart w:id="2" w:name="_Toc15396600"/>
      <w:bookmarkStart w:id="3" w:name="_Toc21498"/>
      <w:r>
        <w:rPr>
          <w:rFonts w:ascii="Times New Roman" w:hAnsi="Times New Roman" w:eastAsia="黑体"/>
          <w:b w:val="0"/>
          <w:color w:val="000000"/>
        </w:rPr>
        <w:t>一、基</w:t>
      </w:r>
      <w:r>
        <w:rPr>
          <w:rStyle w:val="14"/>
          <w:rFonts w:ascii="Times New Roman" w:hAnsi="Times New Roman" w:eastAsia="黑体"/>
          <w:b w:val="0"/>
          <w:bCs w:val="0"/>
        </w:rPr>
        <w:t>本职能及主要工作</w:t>
      </w:r>
      <w:bookmarkEnd w:id="1"/>
      <w:bookmarkEnd w:id="2"/>
      <w:bookmarkEnd w:id="3"/>
    </w:p>
    <w:p>
      <w:pPr>
        <w:pStyle w:val="4"/>
        <w:adjustRightInd w:val="0"/>
        <w:snapToGrid w:val="0"/>
        <w:spacing w:beforeLines="0" w:line="592" w:lineRule="exact"/>
        <w:ind w:firstLine="640" w:firstLineChars="200"/>
        <w:rPr>
          <w:rFonts w:ascii="Times New Roman"/>
          <w:sz w:val="32"/>
          <w:szCs w:val="32"/>
        </w:rPr>
      </w:pPr>
      <w:bookmarkStart w:id="4" w:name="_Toc15377198"/>
      <w:bookmarkStart w:id="5" w:name="_Toc15378445"/>
      <w:r>
        <w:rPr>
          <w:rFonts w:ascii="Times New Roman" w:eastAsia="仿宋"/>
          <w:bCs/>
          <w:color w:val="000000"/>
          <w:sz w:val="32"/>
          <w:szCs w:val="32"/>
        </w:rPr>
        <w:t>（一）主要职能。</w:t>
      </w:r>
      <w:r>
        <w:rPr>
          <w:rFonts w:ascii="Times New Roman"/>
          <w:sz w:val="32"/>
          <w:szCs w:val="32"/>
        </w:rPr>
        <w:t>自流井区人大常委会办公室按照加强法律监督和工作监督的原则，理顺职责关系，建立高效的运行机制，为区人大及其常委会依法履行国家权力机关职能提供可靠的组织保障等工作。</w:t>
      </w:r>
    </w:p>
    <w:bookmarkEnd w:id="4"/>
    <w:bookmarkEnd w:id="5"/>
    <w:p>
      <w:pPr>
        <w:pStyle w:val="17"/>
        <w:adjustRightInd w:val="0"/>
        <w:snapToGrid w:val="0"/>
        <w:spacing w:before="0" w:beforeAutospacing="0" w:after="0" w:afterAutospacing="0" w:line="592" w:lineRule="exact"/>
        <w:ind w:firstLine="640" w:firstLineChars="200"/>
        <w:rPr>
          <w:rFonts w:ascii="Times New Roman" w:hAnsi="Times New Roman" w:eastAsia="仿宋_GB2312" w:cs="Times New Roman"/>
          <w:kern w:val="2"/>
          <w:sz w:val="32"/>
          <w:szCs w:val="32"/>
        </w:rPr>
      </w:pPr>
      <w:bookmarkStart w:id="6" w:name="_Toc15377199"/>
      <w:bookmarkStart w:id="7" w:name="_Toc15378446"/>
      <w:r>
        <w:rPr>
          <w:rFonts w:ascii="Times New Roman" w:hAnsi="Times New Roman" w:eastAsia="仿宋" w:cs="Times New Roman"/>
          <w:bCs/>
          <w:color w:val="000000"/>
          <w:sz w:val="32"/>
          <w:szCs w:val="32"/>
        </w:rPr>
        <w:t>（二）2020年重点工作完成情况。</w:t>
      </w:r>
      <w:bookmarkEnd w:id="6"/>
      <w:bookmarkEnd w:id="7"/>
      <w:r>
        <w:rPr>
          <w:rFonts w:ascii="Times New Roman" w:hAnsi="Times New Roman" w:eastAsia="仿宋_GB2312" w:cs="Times New Roman"/>
          <w:kern w:val="2"/>
          <w:sz w:val="32"/>
          <w:szCs w:val="32"/>
        </w:rPr>
        <w:t>2020年，参与了1次市人代会、召开1次区人代会、4次常委会会议、11次主任会议的工作。认真开展“两化一票决”工作。印发《自流井区人大常委会推进基层人大标准化建设实施方案》，统一建设标准，建成区人大代表之家1个，乡镇（街道）人大代表接待站12个，村（社区）人大代表联络点30个，构建了“家、站、点”三级代表联系服务体系。在区十八届人大四次会议上票决确定10件自流井区2020年度民生实事项目等工作。</w:t>
      </w:r>
    </w:p>
    <w:p>
      <w:pPr>
        <w:pStyle w:val="3"/>
        <w:adjustRightInd w:val="0"/>
        <w:snapToGrid w:val="0"/>
        <w:spacing w:before="0" w:after="0" w:line="592" w:lineRule="exact"/>
        <w:ind w:firstLine="640" w:firstLineChars="200"/>
        <w:rPr>
          <w:rStyle w:val="14"/>
          <w:rFonts w:ascii="Times New Roman" w:hAnsi="Times New Roman"/>
          <w:b w:val="0"/>
          <w:bCs w:val="0"/>
        </w:rPr>
      </w:pPr>
      <w:bookmarkStart w:id="8" w:name="_Toc15377200"/>
      <w:bookmarkStart w:id="9" w:name="_Toc6092"/>
      <w:bookmarkStart w:id="10" w:name="_Toc15396601"/>
      <w:r>
        <w:rPr>
          <w:rFonts w:ascii="Times New Roman" w:hAnsi="Times New Roman" w:eastAsia="黑体"/>
          <w:b w:val="0"/>
          <w:color w:val="000000"/>
        </w:rPr>
        <w:t>二、机</w:t>
      </w:r>
      <w:r>
        <w:rPr>
          <w:rStyle w:val="14"/>
          <w:rFonts w:ascii="Times New Roman" w:hAnsi="Times New Roman" w:eastAsia="黑体"/>
          <w:b w:val="0"/>
          <w:bCs w:val="0"/>
        </w:rPr>
        <w:t>构设置</w:t>
      </w:r>
      <w:bookmarkEnd w:id="8"/>
      <w:bookmarkEnd w:id="9"/>
      <w:bookmarkEnd w:id="10"/>
    </w:p>
    <w:p>
      <w:pPr>
        <w:adjustRightInd w:val="0"/>
        <w:snapToGrid w:val="0"/>
        <w:spacing w:line="592" w:lineRule="exact"/>
        <w:ind w:firstLine="640" w:firstLineChars="200"/>
        <w:rPr>
          <w:szCs w:val="32"/>
        </w:rPr>
      </w:pPr>
      <w:r>
        <w:rPr>
          <w:szCs w:val="32"/>
        </w:rPr>
        <w:t>自流井区人大办下属二级单位0个（含主管局本级），其中行政单位0个，参照公务员法管理的事业单位0个，其他事业单位0个。</w:t>
      </w:r>
    </w:p>
    <w:p>
      <w:pPr>
        <w:pStyle w:val="4"/>
        <w:adjustRightInd w:val="0"/>
        <w:snapToGrid w:val="0"/>
        <w:spacing w:beforeLines="0" w:line="592" w:lineRule="exact"/>
        <w:ind w:firstLine="640" w:firstLineChars="200"/>
        <w:outlineLvl w:val="2"/>
        <w:rPr>
          <w:rFonts w:ascii="Times New Roman"/>
          <w:kern w:val="2"/>
          <w:sz w:val="32"/>
          <w:szCs w:val="32"/>
        </w:rPr>
      </w:pPr>
      <w:r>
        <w:rPr>
          <w:rFonts w:ascii="Times New Roman"/>
          <w:kern w:val="2"/>
          <w:sz w:val="32"/>
          <w:szCs w:val="32"/>
        </w:rPr>
        <w:t>无纳入2019年度部门决算编制范围的二级预算单位。</w:t>
      </w:r>
    </w:p>
    <w:p>
      <w:pPr>
        <w:adjustRightInd w:val="0"/>
        <w:snapToGrid w:val="0"/>
        <w:spacing w:line="592" w:lineRule="exact"/>
        <w:ind w:firstLine="640" w:firstLineChars="200"/>
        <w:rPr>
          <w:rFonts w:eastAsia="仿宋"/>
          <w:color w:val="000000"/>
          <w:szCs w:val="32"/>
        </w:rPr>
      </w:pPr>
      <w:r>
        <w:rPr>
          <w:rFonts w:eastAsia="仿宋"/>
          <w:color w:val="000000"/>
          <w:szCs w:val="32"/>
        </w:rPr>
        <w:br w:type="page"/>
      </w:r>
    </w:p>
    <w:p>
      <w:pPr>
        <w:pStyle w:val="4"/>
        <w:adjustRightInd w:val="0"/>
        <w:snapToGrid w:val="0"/>
        <w:spacing w:beforeLines="0" w:line="592" w:lineRule="exact"/>
        <w:ind w:firstLine="480" w:firstLineChars="200"/>
        <w:rPr>
          <w:rFonts w:ascii="Times New Roman" w:eastAsia="仿宋"/>
          <w:color w:val="000000"/>
          <w:szCs w:val="32"/>
        </w:rPr>
      </w:pPr>
    </w:p>
    <w:p>
      <w:pPr>
        <w:pStyle w:val="2"/>
        <w:adjustRightInd w:val="0"/>
        <w:snapToGrid w:val="0"/>
        <w:spacing w:before="0" w:after="0" w:line="592" w:lineRule="exact"/>
        <w:ind w:firstLine="880" w:firstLineChars="200"/>
        <w:jc w:val="center"/>
        <w:rPr>
          <w:rStyle w:val="13"/>
          <w:rFonts w:eastAsia="黑体"/>
          <w:b w:val="0"/>
          <w:bCs w:val="0"/>
        </w:rPr>
      </w:pPr>
      <w:bookmarkStart w:id="11" w:name="_Toc15396602"/>
      <w:bookmarkStart w:id="12" w:name="_Toc15377204"/>
      <w:bookmarkStart w:id="13" w:name="_Toc23109"/>
      <w:r>
        <w:rPr>
          <w:rFonts w:eastAsia="黑体"/>
          <w:b w:val="0"/>
          <w:color w:val="000000"/>
        </w:rPr>
        <w:t>第二部分</w:t>
      </w:r>
      <w:r>
        <w:rPr>
          <w:rFonts w:eastAsia="黑体"/>
          <w:color w:val="000000"/>
        </w:rPr>
        <w:t xml:space="preserve"> </w:t>
      </w:r>
      <w:r>
        <w:rPr>
          <w:rStyle w:val="13"/>
          <w:rFonts w:eastAsia="黑体"/>
          <w:b w:val="0"/>
          <w:bCs w:val="0"/>
        </w:rPr>
        <w:t>2020年度部门决算情况说明</w:t>
      </w:r>
      <w:bookmarkEnd w:id="11"/>
      <w:bookmarkEnd w:id="12"/>
      <w:bookmarkEnd w:id="13"/>
    </w:p>
    <w:p>
      <w:pPr>
        <w:adjustRightInd w:val="0"/>
        <w:snapToGrid w:val="0"/>
        <w:spacing w:line="592" w:lineRule="exact"/>
        <w:ind w:firstLine="640" w:firstLineChars="200"/>
      </w:pPr>
    </w:p>
    <w:p>
      <w:pPr>
        <w:pStyle w:val="15"/>
        <w:adjustRightInd w:val="0"/>
        <w:snapToGrid w:val="0"/>
        <w:spacing w:line="592" w:lineRule="exact"/>
        <w:ind w:firstLine="640"/>
        <w:outlineLvl w:val="1"/>
        <w:rPr>
          <w:rStyle w:val="14"/>
          <w:rFonts w:ascii="Times New Roman" w:hAnsi="Times New Roman" w:eastAsia="黑体"/>
          <w:b w:val="0"/>
        </w:rPr>
      </w:pPr>
      <w:bookmarkStart w:id="14" w:name="_Toc7163"/>
      <w:bookmarkStart w:id="15" w:name="_Toc15377205"/>
      <w:bookmarkStart w:id="16" w:name="_Toc15396603"/>
      <w:r>
        <w:rPr>
          <w:rFonts w:eastAsia="黑体"/>
          <w:color w:val="000000"/>
          <w:szCs w:val="32"/>
        </w:rPr>
        <w:t>一、收</w:t>
      </w:r>
      <w:r>
        <w:rPr>
          <w:rStyle w:val="14"/>
          <w:rFonts w:ascii="Times New Roman" w:hAnsi="Times New Roman" w:eastAsia="黑体"/>
          <w:b w:val="0"/>
        </w:rPr>
        <w:t>入支出决算总体情况说明</w:t>
      </w:r>
      <w:bookmarkEnd w:id="14"/>
      <w:bookmarkEnd w:id="15"/>
      <w:bookmarkEnd w:id="16"/>
    </w:p>
    <w:p>
      <w:pPr>
        <w:adjustRightInd w:val="0"/>
        <w:snapToGrid w:val="0"/>
        <w:spacing w:line="592" w:lineRule="exact"/>
        <w:ind w:firstLine="640" w:firstLineChars="200"/>
        <w:rPr>
          <w:rFonts w:eastAsia="仿宋"/>
          <w:color w:val="000000"/>
          <w:szCs w:val="32"/>
        </w:rPr>
      </w:pPr>
      <w:r>
        <w:rPr>
          <w:rFonts w:eastAsia="仿宋"/>
          <w:color w:val="000000"/>
          <w:szCs w:val="32"/>
        </w:rPr>
        <w:t>2020年度收、支总计980.26万元。与2019年相比，收、支总计各减少42.01万元，下降4.11%。主要变动原因是</w:t>
      </w:r>
      <w:r>
        <w:rPr>
          <w:szCs w:val="32"/>
        </w:rPr>
        <w:t>项目经费和人员的减少</w:t>
      </w:r>
      <w:r>
        <w:rPr>
          <w:rFonts w:eastAsia="仿宋"/>
          <w:color w:val="000000"/>
          <w:szCs w:val="32"/>
        </w:rPr>
        <w:t>。</w:t>
      </w:r>
    </w:p>
    <w:p>
      <w:pPr>
        <w:adjustRightInd w:val="0"/>
        <w:snapToGrid w:val="0"/>
        <w:spacing w:line="592" w:lineRule="exact"/>
        <w:ind w:firstLine="640" w:firstLineChars="200"/>
        <w:rPr>
          <w:rFonts w:eastAsia="仿宋"/>
          <w:color w:val="000000"/>
          <w:szCs w:val="32"/>
        </w:rPr>
      </w:pPr>
      <w:r>
        <w:drawing>
          <wp:anchor distT="0" distB="0" distL="114300" distR="114300" simplePos="0" relativeHeight="251660288" behindDoc="0" locked="0" layoutInCell="1" allowOverlap="1">
            <wp:simplePos x="0" y="0"/>
            <wp:positionH relativeFrom="column">
              <wp:posOffset>330835</wp:posOffset>
            </wp:positionH>
            <wp:positionV relativeFrom="paragraph">
              <wp:posOffset>47625</wp:posOffset>
            </wp:positionV>
            <wp:extent cx="4572000" cy="2743200"/>
            <wp:effectExtent l="4445" t="4445" r="14605" b="14605"/>
            <wp:wrapTopAndBottom/>
            <wp:docPr id="20"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r>
        <w:rPr>
          <w:rFonts w:eastAsia="仿宋"/>
          <w:color w:val="000000"/>
          <w:szCs w:val="32"/>
        </w:rPr>
        <w:t>（图1：收、支决算总计变动情况图）（柱状图）</w:t>
      </w:r>
    </w:p>
    <w:p>
      <w:pPr>
        <w:pStyle w:val="15"/>
        <w:adjustRightInd w:val="0"/>
        <w:snapToGrid w:val="0"/>
        <w:spacing w:line="592" w:lineRule="exact"/>
        <w:ind w:firstLine="640"/>
        <w:outlineLvl w:val="1"/>
        <w:rPr>
          <w:rStyle w:val="14"/>
          <w:rFonts w:ascii="Times New Roman" w:hAnsi="Times New Roman" w:eastAsia="黑体"/>
          <w:b w:val="0"/>
        </w:rPr>
      </w:pPr>
      <w:bookmarkStart w:id="17" w:name="_Toc15396604"/>
      <w:bookmarkStart w:id="18" w:name="_Toc15377206"/>
      <w:bookmarkStart w:id="19" w:name="_Toc25258"/>
      <w:r>
        <w:rPr>
          <w:rFonts w:eastAsia="黑体"/>
          <w:color w:val="000000"/>
          <w:szCs w:val="32"/>
        </w:rPr>
        <w:t>二、收</w:t>
      </w:r>
      <w:r>
        <w:rPr>
          <w:rStyle w:val="14"/>
          <w:rFonts w:ascii="Times New Roman" w:hAnsi="Times New Roman" w:eastAsia="黑体"/>
          <w:b w:val="0"/>
        </w:rPr>
        <w:t>入决算情况说明</w:t>
      </w:r>
      <w:bookmarkEnd w:id="17"/>
      <w:bookmarkEnd w:id="18"/>
      <w:bookmarkEnd w:id="19"/>
    </w:p>
    <w:p>
      <w:pPr>
        <w:adjustRightInd w:val="0"/>
        <w:snapToGrid w:val="0"/>
        <w:spacing w:line="592" w:lineRule="exact"/>
        <w:ind w:firstLine="640" w:firstLineChars="200"/>
        <w:rPr>
          <w:rFonts w:eastAsia="仿宋"/>
          <w:color w:val="000000"/>
          <w:szCs w:val="32"/>
        </w:rPr>
      </w:pPr>
      <w:r>
        <w:rPr>
          <w:rFonts w:eastAsia="仿宋"/>
          <w:color w:val="000000"/>
          <w:szCs w:val="32"/>
        </w:rPr>
        <w:t>2020年本年收入合计980.26万元，其中：一般公共预算财政拨款收入980.26万元，占100.00%；政府性基金预算财政拨款收入0万元，占0%；上级补助收入0万元，占0%；事业收入0万元，占0%；经营收入0万元，占0%；附属单位上缴收入0万元，占0%；其他收入0万元，占0%。</w:t>
      </w:r>
    </w:p>
    <w:p>
      <w:pPr>
        <w:adjustRightInd w:val="0"/>
        <w:snapToGrid w:val="0"/>
        <w:spacing w:line="592" w:lineRule="exact"/>
        <w:ind w:firstLine="640" w:firstLineChars="200"/>
        <w:outlineLvl w:val="1"/>
        <w:rPr>
          <w:rFonts w:eastAsia="仿宋"/>
          <w:color w:val="000000"/>
          <w:szCs w:val="32"/>
        </w:rPr>
      </w:pPr>
      <w:r>
        <w:drawing>
          <wp:anchor distT="0" distB="0" distL="114300" distR="114300" simplePos="0" relativeHeight="251661312" behindDoc="0" locked="0" layoutInCell="1" allowOverlap="1">
            <wp:simplePos x="0" y="0"/>
            <wp:positionH relativeFrom="column">
              <wp:posOffset>637540</wp:posOffset>
            </wp:positionH>
            <wp:positionV relativeFrom="paragraph">
              <wp:posOffset>-763905</wp:posOffset>
            </wp:positionV>
            <wp:extent cx="4345305" cy="2179320"/>
            <wp:effectExtent l="5080" t="4445" r="12065" b="6985"/>
            <wp:wrapTopAndBottom/>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t xml:space="preserve">    </w:t>
      </w:r>
      <w:r>
        <w:rPr>
          <w:rFonts w:eastAsia="仿宋"/>
          <w:color w:val="000000"/>
          <w:szCs w:val="32"/>
        </w:rPr>
        <w:t>（图2：收入决算结构图）（饼状图）</w:t>
      </w:r>
    </w:p>
    <w:p>
      <w:pPr>
        <w:pStyle w:val="15"/>
        <w:adjustRightInd w:val="0"/>
        <w:snapToGrid w:val="0"/>
        <w:spacing w:line="592" w:lineRule="exact"/>
        <w:ind w:firstLine="640"/>
        <w:outlineLvl w:val="1"/>
        <w:rPr>
          <w:rStyle w:val="14"/>
          <w:rFonts w:ascii="Times New Roman" w:hAnsi="Times New Roman" w:eastAsia="黑体"/>
          <w:b w:val="0"/>
        </w:rPr>
      </w:pPr>
      <w:bookmarkStart w:id="20" w:name="_Toc15377207"/>
      <w:bookmarkStart w:id="21" w:name="_Toc13725"/>
      <w:bookmarkStart w:id="22" w:name="_Toc15396605"/>
      <w:r>
        <w:rPr>
          <w:rFonts w:eastAsia="黑体"/>
          <w:color w:val="000000"/>
          <w:szCs w:val="32"/>
        </w:rPr>
        <w:t>三、支</w:t>
      </w:r>
      <w:r>
        <w:rPr>
          <w:rStyle w:val="14"/>
          <w:rFonts w:ascii="Times New Roman" w:hAnsi="Times New Roman" w:eastAsia="黑体"/>
          <w:b w:val="0"/>
        </w:rPr>
        <w:t>出决算情况说明</w:t>
      </w:r>
      <w:bookmarkEnd w:id="20"/>
      <w:bookmarkEnd w:id="21"/>
      <w:bookmarkEnd w:id="22"/>
    </w:p>
    <w:p>
      <w:pPr>
        <w:adjustRightInd w:val="0"/>
        <w:snapToGrid w:val="0"/>
        <w:spacing w:line="592" w:lineRule="exact"/>
        <w:ind w:firstLine="640" w:firstLineChars="200"/>
        <w:rPr>
          <w:rFonts w:eastAsia="仿宋"/>
          <w:color w:val="000000"/>
          <w:szCs w:val="32"/>
        </w:rPr>
      </w:pPr>
      <w:r>
        <w:rPr>
          <w:rFonts w:eastAsia="仿宋"/>
          <w:color w:val="000000"/>
          <w:szCs w:val="32"/>
        </w:rPr>
        <w:t>2020年本年支出合计980.26万元，其中：基本支出</w:t>
      </w:r>
      <w:r>
        <w:rPr>
          <w:szCs w:val="32"/>
        </w:rPr>
        <w:t>848.66</w:t>
      </w:r>
      <w:r>
        <w:rPr>
          <w:rFonts w:eastAsia="仿宋"/>
          <w:color w:val="000000"/>
          <w:szCs w:val="32"/>
        </w:rPr>
        <w:t>万元，占86.57%；项目支出131.60元，占13.43%；上缴上级支出0万元，占0%；经营支出0万元，占0%；对附属单位补助支出0万元，占0%。</w:t>
      </w:r>
    </w:p>
    <w:p>
      <w:pPr>
        <w:adjustRightInd w:val="0"/>
        <w:snapToGrid w:val="0"/>
        <w:spacing w:line="592" w:lineRule="exact"/>
        <w:jc w:val="center"/>
        <w:rPr>
          <w:rFonts w:eastAsia="仿宋"/>
          <w:color w:val="000000"/>
          <w:szCs w:val="32"/>
        </w:rPr>
      </w:pPr>
      <w:r>
        <w:drawing>
          <wp:anchor distT="0" distB="0" distL="114300" distR="114300" simplePos="0" relativeHeight="251662336" behindDoc="0" locked="0" layoutInCell="1" allowOverlap="1">
            <wp:simplePos x="0" y="0"/>
            <wp:positionH relativeFrom="column">
              <wp:posOffset>720090</wp:posOffset>
            </wp:positionH>
            <wp:positionV relativeFrom="paragraph">
              <wp:posOffset>250825</wp:posOffset>
            </wp:positionV>
            <wp:extent cx="4132580" cy="2442845"/>
            <wp:effectExtent l="4445" t="5080" r="15875" b="9525"/>
            <wp:wrapTopAndBottom/>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eastAsia="仿宋"/>
          <w:color w:val="000000"/>
          <w:szCs w:val="32"/>
        </w:rPr>
        <w:t>（图3：支出决算结构图）（饼状图）</w:t>
      </w:r>
    </w:p>
    <w:p>
      <w:pPr>
        <w:adjustRightInd w:val="0"/>
        <w:snapToGrid w:val="0"/>
        <w:spacing w:line="592" w:lineRule="exact"/>
        <w:ind w:firstLine="640" w:firstLineChars="200"/>
        <w:outlineLvl w:val="1"/>
        <w:rPr>
          <w:rStyle w:val="14"/>
          <w:rFonts w:ascii="Times New Roman" w:hAnsi="Times New Roman" w:eastAsia="黑体"/>
          <w:b w:val="0"/>
        </w:rPr>
      </w:pPr>
      <w:bookmarkStart w:id="23" w:name="_Toc10354"/>
      <w:bookmarkStart w:id="24" w:name="_Toc15396606"/>
      <w:bookmarkStart w:id="25" w:name="_Toc15377208"/>
      <w:r>
        <w:rPr>
          <w:rFonts w:eastAsia="黑体"/>
          <w:color w:val="000000"/>
          <w:szCs w:val="32"/>
        </w:rPr>
        <w:t>四、财</w:t>
      </w:r>
      <w:r>
        <w:rPr>
          <w:rStyle w:val="14"/>
          <w:rFonts w:ascii="Times New Roman" w:hAnsi="Times New Roman" w:eastAsia="黑体"/>
          <w:b w:val="0"/>
        </w:rPr>
        <w:t>政拨款收入支出决算总体情况说明</w:t>
      </w:r>
      <w:bookmarkEnd w:id="23"/>
      <w:bookmarkEnd w:id="24"/>
      <w:bookmarkEnd w:id="25"/>
    </w:p>
    <w:p>
      <w:pPr>
        <w:adjustRightInd w:val="0"/>
        <w:snapToGrid w:val="0"/>
        <w:spacing w:line="592" w:lineRule="exact"/>
        <w:ind w:firstLine="640" w:firstLineChars="200"/>
        <w:rPr>
          <w:rFonts w:eastAsia="仿宋"/>
          <w:b/>
          <w:color w:val="FF0000"/>
          <w:szCs w:val="32"/>
        </w:rPr>
      </w:pPr>
      <w:r>
        <w:rPr>
          <w:rFonts w:eastAsia="仿宋"/>
          <w:color w:val="000000"/>
          <w:szCs w:val="32"/>
        </w:rPr>
        <w:t>2020年财政拨款收、支总计980.26万元。与2019年相比，财政拨款收、支总计各减少42.01万元，下降4.11%。主要变动原因是</w:t>
      </w:r>
      <w:r>
        <w:rPr>
          <w:szCs w:val="32"/>
        </w:rPr>
        <w:t>项目经费和人员的减少</w:t>
      </w:r>
      <w:r>
        <w:rPr>
          <w:rFonts w:eastAsia="仿宋"/>
          <w:color w:val="000000"/>
          <w:szCs w:val="32"/>
        </w:rPr>
        <w:t>。</w:t>
      </w:r>
    </w:p>
    <w:p>
      <w:pPr>
        <w:adjustRightInd w:val="0"/>
        <w:snapToGrid w:val="0"/>
        <w:spacing w:line="592" w:lineRule="exact"/>
        <w:ind w:firstLine="640" w:firstLineChars="200"/>
        <w:rPr>
          <w:rFonts w:eastAsia="仿宋"/>
          <w:color w:val="000000"/>
          <w:szCs w:val="32"/>
        </w:rPr>
      </w:pPr>
      <w:r>
        <w:drawing>
          <wp:anchor distT="0" distB="0" distL="114300" distR="114300" simplePos="0" relativeHeight="251663360" behindDoc="0" locked="0" layoutInCell="1" allowOverlap="1">
            <wp:simplePos x="0" y="0"/>
            <wp:positionH relativeFrom="column">
              <wp:posOffset>516890</wp:posOffset>
            </wp:positionH>
            <wp:positionV relativeFrom="paragraph">
              <wp:posOffset>193040</wp:posOffset>
            </wp:positionV>
            <wp:extent cx="4060190" cy="1871345"/>
            <wp:effectExtent l="4445" t="4445" r="12065" b="10160"/>
            <wp:wrapTopAndBottom/>
            <wp:docPr id="22"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eastAsia="仿宋"/>
          <w:color w:val="000000"/>
          <w:szCs w:val="32"/>
        </w:rPr>
        <w:t>（图4：财政拨款收、支决算总计变动情况）（柱状图）</w:t>
      </w:r>
    </w:p>
    <w:p>
      <w:pPr>
        <w:adjustRightInd w:val="0"/>
        <w:snapToGrid w:val="0"/>
        <w:spacing w:line="592" w:lineRule="exact"/>
        <w:ind w:firstLine="640" w:firstLineChars="200"/>
        <w:outlineLvl w:val="1"/>
        <w:rPr>
          <w:rStyle w:val="14"/>
          <w:rFonts w:ascii="Times New Roman" w:hAnsi="Times New Roman" w:eastAsia="黑体"/>
          <w:b w:val="0"/>
        </w:rPr>
      </w:pPr>
      <w:bookmarkStart w:id="26" w:name="_Toc15377209"/>
      <w:bookmarkStart w:id="27" w:name="_Toc15396607"/>
      <w:bookmarkStart w:id="28" w:name="_Toc10967"/>
      <w:r>
        <w:rPr>
          <w:rFonts w:eastAsia="黑体"/>
          <w:color w:val="000000"/>
          <w:szCs w:val="32"/>
        </w:rPr>
        <w:t>五、</w:t>
      </w:r>
      <w:r>
        <w:rPr>
          <w:rFonts w:eastAsia="黑体"/>
          <w:b/>
          <w:color w:val="000000"/>
          <w:szCs w:val="32"/>
        </w:rPr>
        <w:t>一</w:t>
      </w:r>
      <w:r>
        <w:rPr>
          <w:rStyle w:val="14"/>
          <w:rFonts w:ascii="Times New Roman" w:hAnsi="Times New Roman" w:eastAsia="黑体"/>
          <w:b w:val="0"/>
        </w:rPr>
        <w:t>般公共预算财政拨款支出决算情况说明</w:t>
      </w:r>
      <w:bookmarkEnd w:id="26"/>
      <w:bookmarkEnd w:id="27"/>
      <w:bookmarkEnd w:id="28"/>
    </w:p>
    <w:p>
      <w:pPr>
        <w:adjustRightInd w:val="0"/>
        <w:snapToGrid w:val="0"/>
        <w:spacing w:line="592" w:lineRule="exact"/>
        <w:ind w:firstLine="643" w:firstLineChars="200"/>
        <w:outlineLvl w:val="2"/>
        <w:rPr>
          <w:rFonts w:eastAsia="仿宋"/>
          <w:b/>
          <w:color w:val="000000"/>
          <w:szCs w:val="32"/>
        </w:rPr>
      </w:pPr>
      <w:bookmarkStart w:id="29" w:name="_Toc15377210"/>
      <w:r>
        <w:rPr>
          <w:rFonts w:eastAsia="仿宋"/>
          <w:b/>
          <w:color w:val="000000"/>
          <w:szCs w:val="32"/>
        </w:rPr>
        <w:t>（一）一般公共预算财政拨款支出决算总体情况</w:t>
      </w:r>
      <w:bookmarkEnd w:id="29"/>
    </w:p>
    <w:p>
      <w:pPr>
        <w:adjustRightInd w:val="0"/>
        <w:snapToGrid w:val="0"/>
        <w:spacing w:line="592" w:lineRule="exact"/>
        <w:ind w:firstLine="640" w:firstLineChars="200"/>
        <w:rPr>
          <w:rFonts w:eastAsia="仿宋"/>
          <w:color w:val="000000"/>
          <w:szCs w:val="32"/>
        </w:rPr>
      </w:pPr>
      <w:r>
        <w:drawing>
          <wp:anchor distT="0" distB="0" distL="114300" distR="114300" simplePos="0" relativeHeight="251664384" behindDoc="0" locked="0" layoutInCell="1" allowOverlap="1">
            <wp:simplePos x="0" y="0"/>
            <wp:positionH relativeFrom="column">
              <wp:posOffset>666750</wp:posOffset>
            </wp:positionH>
            <wp:positionV relativeFrom="paragraph">
              <wp:posOffset>1692910</wp:posOffset>
            </wp:positionV>
            <wp:extent cx="4117340" cy="2045970"/>
            <wp:effectExtent l="5080" t="4445" r="11430" b="6985"/>
            <wp:wrapTopAndBottom/>
            <wp:docPr id="24"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eastAsia="仿宋"/>
          <w:color w:val="000000"/>
          <w:szCs w:val="32"/>
        </w:rPr>
        <w:t>2020年一般公共预算财政拨款支出980.26万元，占本年支出合计的100.00%。与2019年相比，一般公共预算财政拨款减少42.01万元，下降4.11%。主要变动原因是</w:t>
      </w:r>
      <w:r>
        <w:rPr>
          <w:szCs w:val="32"/>
        </w:rPr>
        <w:t>项目经费和人员的减少</w:t>
      </w:r>
      <w:r>
        <w:rPr>
          <w:rFonts w:eastAsia="仿宋"/>
          <w:color w:val="000000"/>
          <w:szCs w:val="32"/>
        </w:rPr>
        <w:t>。</w:t>
      </w:r>
    </w:p>
    <w:p>
      <w:pPr>
        <w:adjustRightInd w:val="0"/>
        <w:snapToGrid w:val="0"/>
        <w:spacing w:line="592" w:lineRule="exact"/>
        <w:ind w:firstLine="640" w:firstLineChars="200"/>
        <w:rPr>
          <w:rFonts w:ascii="仿宋_GB2312" w:hAnsi="仿宋_GB2312" w:cs="仿宋_GB2312"/>
          <w:szCs w:val="32"/>
        </w:rPr>
      </w:pPr>
      <w:r>
        <w:rPr>
          <w:rFonts w:hint="eastAsia" w:ascii="仿宋_GB2312" w:hAnsi="仿宋_GB2312" w:cs="仿宋_GB2312"/>
          <w:color w:val="000000"/>
          <w:szCs w:val="32"/>
        </w:rPr>
        <w:t>（</w:t>
      </w:r>
      <w:r>
        <w:rPr>
          <w:rFonts w:hint="eastAsia" w:ascii="仿宋_GB2312" w:hAnsi="仿宋_GB2312" w:cs="仿宋_GB2312"/>
          <w:szCs w:val="32"/>
        </w:rPr>
        <w:t>图5：一般公共预算财政拨款支出决算变动情况）</w:t>
      </w:r>
    </w:p>
    <w:p>
      <w:pPr>
        <w:adjustRightInd w:val="0"/>
        <w:snapToGrid w:val="0"/>
        <w:spacing w:line="592" w:lineRule="exact"/>
        <w:ind w:firstLine="643" w:firstLineChars="200"/>
        <w:outlineLvl w:val="2"/>
        <w:rPr>
          <w:rFonts w:ascii="仿宋_GB2312" w:hAnsi="仿宋_GB2312" w:cs="仿宋_GB2312"/>
          <w:b/>
          <w:color w:val="000000"/>
          <w:szCs w:val="32"/>
        </w:rPr>
      </w:pPr>
      <w:bookmarkStart w:id="30" w:name="_Toc15377211"/>
      <w:r>
        <w:rPr>
          <w:rFonts w:hint="eastAsia" w:ascii="仿宋_GB2312" w:hAnsi="仿宋_GB2312" w:cs="仿宋_GB2312"/>
          <w:b/>
          <w:color w:val="000000"/>
          <w:szCs w:val="32"/>
        </w:rPr>
        <w:t>（二）一般公共预算财政拨款支出决算结构情况</w:t>
      </w:r>
      <w:bookmarkEnd w:id="30"/>
    </w:p>
    <w:p>
      <w:pPr>
        <w:adjustRightInd w:val="0"/>
        <w:snapToGrid w:val="0"/>
        <w:spacing w:line="592" w:lineRule="exact"/>
        <w:ind w:firstLine="640" w:firstLineChars="200"/>
        <w:rPr>
          <w:rFonts w:eastAsia="仿宋"/>
          <w:b/>
          <w:color w:val="000000"/>
          <w:szCs w:val="32"/>
        </w:rPr>
      </w:pPr>
      <w:r>
        <w:rPr>
          <w:szCs w:val="32"/>
        </w:rPr>
        <w:t>2020年一般公共预算财政拨款支出980.26万元，主要用于以下方面:</w:t>
      </w:r>
      <w:r>
        <w:rPr>
          <w:rFonts w:eastAsia="仿宋"/>
          <w:b/>
          <w:color w:val="000000"/>
          <w:szCs w:val="32"/>
        </w:rPr>
        <w:t>一般公共服务（类）</w:t>
      </w:r>
      <w:r>
        <w:rPr>
          <w:rFonts w:eastAsia="仿宋"/>
          <w:color w:val="000000"/>
          <w:szCs w:val="32"/>
        </w:rPr>
        <w:t>支出764.91万元，占78.03%；</w:t>
      </w:r>
      <w:r>
        <w:rPr>
          <w:rFonts w:eastAsia="仿宋"/>
          <w:b/>
          <w:color w:val="000000"/>
          <w:szCs w:val="32"/>
        </w:rPr>
        <w:t>教育支出（类）0</w:t>
      </w:r>
      <w:r>
        <w:rPr>
          <w:rFonts w:eastAsia="仿宋"/>
          <w:color w:val="000000"/>
          <w:szCs w:val="32"/>
        </w:rPr>
        <w:t>万元，占0%；</w:t>
      </w:r>
      <w:r>
        <w:rPr>
          <w:rFonts w:eastAsia="仿宋"/>
          <w:b/>
          <w:color w:val="000000"/>
          <w:szCs w:val="32"/>
        </w:rPr>
        <w:t>科学技术（类）</w:t>
      </w:r>
      <w:r>
        <w:rPr>
          <w:rFonts w:eastAsia="仿宋"/>
          <w:color w:val="000000"/>
          <w:szCs w:val="32"/>
        </w:rPr>
        <w:t>支出0万元，占0%；</w:t>
      </w:r>
      <w:r>
        <w:rPr>
          <w:rFonts w:eastAsia="仿宋"/>
          <w:b/>
          <w:bCs/>
          <w:color w:val="000000"/>
          <w:szCs w:val="32"/>
        </w:rPr>
        <w:t>文化旅游体育与传媒（类）支出0万元，占0%</w:t>
      </w:r>
      <w:r>
        <w:rPr>
          <w:rFonts w:eastAsia="仿宋"/>
          <w:color w:val="000000"/>
          <w:szCs w:val="32"/>
        </w:rPr>
        <w:t>；</w:t>
      </w:r>
      <w:r>
        <w:rPr>
          <w:rFonts w:eastAsia="仿宋"/>
          <w:b/>
          <w:color w:val="000000"/>
          <w:szCs w:val="32"/>
        </w:rPr>
        <w:t>社会保障和就业（类）</w:t>
      </w:r>
      <w:r>
        <w:rPr>
          <w:rFonts w:eastAsia="仿宋"/>
          <w:color w:val="000000"/>
          <w:szCs w:val="32"/>
        </w:rPr>
        <w:t>支出149.83万元，占15.28%；</w:t>
      </w:r>
      <w:r>
        <w:rPr>
          <w:rFonts w:eastAsia="仿宋"/>
          <w:b/>
          <w:bCs/>
          <w:color w:val="000000"/>
          <w:szCs w:val="32"/>
        </w:rPr>
        <w:t>卫生健康支出</w:t>
      </w:r>
      <w:r>
        <w:rPr>
          <w:rFonts w:eastAsia="仿宋"/>
          <w:color w:val="000000"/>
          <w:szCs w:val="32"/>
        </w:rPr>
        <w:t>25.27万元，占2.58%；</w:t>
      </w:r>
      <w:r>
        <w:rPr>
          <w:szCs w:val="32"/>
        </w:rPr>
        <w:t>住房保障支出40.25万元，占4.11%</w:t>
      </w:r>
      <w:r>
        <w:rPr>
          <w:rFonts w:eastAsia="仿宋"/>
          <w:color w:val="000000"/>
          <w:szCs w:val="32"/>
        </w:rPr>
        <w:t>。</w:t>
      </w:r>
    </w:p>
    <w:p>
      <w:pPr>
        <w:adjustRightInd w:val="0"/>
        <w:snapToGrid w:val="0"/>
        <w:spacing w:line="592" w:lineRule="exact"/>
        <w:ind w:firstLine="640" w:firstLineChars="200"/>
        <w:jc w:val="center"/>
        <w:rPr>
          <w:rFonts w:eastAsia="仿宋"/>
          <w:color w:val="000000"/>
          <w:szCs w:val="32"/>
        </w:rPr>
      </w:pPr>
      <w:r>
        <w:drawing>
          <wp:anchor distT="0" distB="0" distL="114300" distR="114300" simplePos="0" relativeHeight="251665408" behindDoc="0" locked="0" layoutInCell="1" allowOverlap="1">
            <wp:simplePos x="0" y="0"/>
            <wp:positionH relativeFrom="column">
              <wp:posOffset>1056640</wp:posOffset>
            </wp:positionH>
            <wp:positionV relativeFrom="paragraph">
              <wp:posOffset>130175</wp:posOffset>
            </wp:positionV>
            <wp:extent cx="3714750" cy="1945005"/>
            <wp:effectExtent l="5080" t="4445" r="13970" b="12700"/>
            <wp:wrapTopAndBottom/>
            <wp:docPr id="28"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eastAsia="仿宋"/>
          <w:color w:val="000000"/>
          <w:szCs w:val="32"/>
        </w:rPr>
        <w:t>（图6：一般公共预算财政拨款支出决算结构）</w:t>
      </w:r>
    </w:p>
    <w:p>
      <w:pPr>
        <w:adjustRightInd w:val="0"/>
        <w:snapToGrid w:val="0"/>
        <w:spacing w:line="592" w:lineRule="exact"/>
        <w:ind w:firstLine="643" w:firstLineChars="200"/>
        <w:outlineLvl w:val="2"/>
        <w:rPr>
          <w:rFonts w:eastAsia="仿宋"/>
          <w:b/>
          <w:color w:val="000000"/>
          <w:szCs w:val="32"/>
        </w:rPr>
      </w:pPr>
      <w:bookmarkStart w:id="31" w:name="_Toc15377212"/>
      <w:r>
        <w:rPr>
          <w:rFonts w:eastAsia="仿宋"/>
          <w:b/>
          <w:color w:val="000000"/>
          <w:szCs w:val="32"/>
        </w:rPr>
        <w:t>（三）一般公共预算财政拨款支出决算具体情况</w:t>
      </w:r>
      <w:bookmarkEnd w:id="31"/>
    </w:p>
    <w:p>
      <w:pPr>
        <w:adjustRightInd w:val="0"/>
        <w:snapToGrid w:val="0"/>
        <w:spacing w:line="592" w:lineRule="exact"/>
        <w:ind w:firstLine="643" w:firstLineChars="200"/>
        <w:rPr>
          <w:rFonts w:eastAsia="仿宋"/>
          <w:color w:val="FF0000"/>
          <w:szCs w:val="32"/>
        </w:rPr>
      </w:pPr>
      <w:bookmarkStart w:id="32" w:name="_Toc15377213"/>
      <w:bookmarkStart w:id="33" w:name="_Toc15378460"/>
      <w:bookmarkStart w:id="34" w:name="_Toc15377444"/>
      <w:r>
        <w:rPr>
          <w:rFonts w:eastAsia="仿宋"/>
          <w:b/>
          <w:color w:val="000000"/>
          <w:szCs w:val="32"/>
        </w:rPr>
        <w:t>2020年一般公共预算支出决算数为980.26</w:t>
      </w:r>
      <w:r>
        <w:rPr>
          <w:rFonts w:eastAsia="仿宋"/>
          <w:color w:val="000000"/>
          <w:szCs w:val="32"/>
        </w:rPr>
        <w:t>，</w:t>
      </w:r>
      <w:r>
        <w:rPr>
          <w:rStyle w:val="11"/>
          <w:rFonts w:eastAsia="仿宋"/>
          <w:bCs/>
          <w:color w:val="000000"/>
          <w:szCs w:val="32"/>
        </w:rPr>
        <w:t>完成预算100.00%。其中：</w:t>
      </w:r>
      <w:bookmarkEnd w:id="32"/>
      <w:bookmarkEnd w:id="33"/>
      <w:bookmarkEnd w:id="34"/>
    </w:p>
    <w:p>
      <w:pPr>
        <w:adjustRightInd w:val="0"/>
        <w:snapToGrid w:val="0"/>
        <w:spacing w:line="592" w:lineRule="exact"/>
        <w:ind w:firstLine="643" w:firstLineChars="200"/>
        <w:rPr>
          <w:b/>
          <w:szCs w:val="32"/>
        </w:rPr>
      </w:pPr>
      <w:r>
        <w:rPr>
          <w:rStyle w:val="11"/>
          <w:bCs/>
          <w:color w:val="000000"/>
          <w:szCs w:val="32"/>
        </w:rPr>
        <w:t>1.一般公共服务（类）</w:t>
      </w:r>
      <w:r>
        <w:rPr>
          <w:szCs w:val="32"/>
        </w:rPr>
        <w:t>行政事务</w:t>
      </w:r>
      <w:r>
        <w:rPr>
          <w:rStyle w:val="11"/>
          <w:bCs/>
          <w:color w:val="000000"/>
          <w:szCs w:val="32"/>
        </w:rPr>
        <w:t>（款）</w:t>
      </w:r>
      <w:r>
        <w:rPr>
          <w:szCs w:val="32"/>
        </w:rPr>
        <w:t>行政运行</w:t>
      </w:r>
      <w:r>
        <w:rPr>
          <w:rStyle w:val="11"/>
          <w:bCs/>
          <w:color w:val="000000"/>
          <w:szCs w:val="32"/>
        </w:rPr>
        <w:t>（项）:</w:t>
      </w:r>
      <w:r>
        <w:rPr>
          <w:rStyle w:val="11"/>
          <w:b w:val="0"/>
          <w:bCs/>
          <w:color w:val="000000"/>
          <w:szCs w:val="32"/>
        </w:rPr>
        <w:t xml:space="preserve"> 支出决算为764.91万元，完成预算100%，决算数小于/等于预算数的主要原</w:t>
      </w:r>
      <w:r>
        <w:rPr>
          <w:rStyle w:val="11"/>
          <w:b w:val="0"/>
          <w:bCs/>
          <w:szCs w:val="32"/>
        </w:rPr>
        <w:t>因是持平。</w:t>
      </w:r>
    </w:p>
    <w:p>
      <w:pPr>
        <w:adjustRightInd w:val="0"/>
        <w:snapToGrid w:val="0"/>
        <w:spacing w:line="592" w:lineRule="exact"/>
        <w:ind w:firstLine="643" w:firstLineChars="200"/>
        <w:rPr>
          <w:b/>
          <w:color w:val="000000"/>
          <w:szCs w:val="32"/>
        </w:rPr>
      </w:pPr>
      <w:r>
        <w:rPr>
          <w:rStyle w:val="11"/>
          <w:rFonts w:hint="eastAsia"/>
          <w:bCs/>
          <w:color w:val="000000"/>
          <w:szCs w:val="32"/>
          <w:lang w:val="en-US" w:eastAsia="zh-CN"/>
        </w:rPr>
        <w:t>2</w:t>
      </w:r>
      <w:r>
        <w:rPr>
          <w:rStyle w:val="11"/>
          <w:bCs/>
          <w:color w:val="000000"/>
          <w:szCs w:val="32"/>
        </w:rPr>
        <w:t>.社会保障和就业（类）</w:t>
      </w:r>
      <w:r>
        <w:rPr>
          <w:szCs w:val="32"/>
        </w:rPr>
        <w:t>行政事业单位离退休</w:t>
      </w:r>
      <w:r>
        <w:rPr>
          <w:rStyle w:val="11"/>
          <w:bCs/>
          <w:color w:val="000000"/>
          <w:szCs w:val="32"/>
        </w:rPr>
        <w:t>（款）</w:t>
      </w:r>
      <w:r>
        <w:rPr>
          <w:szCs w:val="32"/>
        </w:rPr>
        <w:t>未归口管理的行政单位离退休</w:t>
      </w:r>
      <w:r>
        <w:rPr>
          <w:rStyle w:val="11"/>
          <w:bCs/>
          <w:color w:val="000000"/>
          <w:szCs w:val="32"/>
        </w:rPr>
        <w:t>（项）:</w:t>
      </w:r>
      <w:r>
        <w:rPr>
          <w:rStyle w:val="11"/>
          <w:b w:val="0"/>
          <w:bCs/>
          <w:color w:val="000000"/>
          <w:szCs w:val="32"/>
        </w:rPr>
        <w:t xml:space="preserve"> 支出决算为149.83万元，完成预算100.00%，决算数小于/等于预算数的主要原因是持平。</w:t>
      </w:r>
    </w:p>
    <w:p>
      <w:pPr>
        <w:spacing w:line="580" w:lineRule="exact"/>
        <w:ind w:firstLine="570"/>
        <w:rPr>
          <w:b/>
          <w:color w:val="000000"/>
          <w:szCs w:val="32"/>
        </w:rPr>
      </w:pPr>
      <w:r>
        <w:rPr>
          <w:rStyle w:val="11"/>
          <w:rFonts w:hint="eastAsia"/>
          <w:bCs/>
          <w:color w:val="000000"/>
          <w:szCs w:val="32"/>
          <w:lang w:val="en-US" w:eastAsia="zh-CN"/>
        </w:rPr>
        <w:t>3</w:t>
      </w:r>
      <w:r>
        <w:rPr>
          <w:rStyle w:val="11"/>
          <w:bCs/>
          <w:color w:val="000000"/>
          <w:szCs w:val="32"/>
        </w:rPr>
        <w:t>.</w:t>
      </w:r>
      <w:r>
        <w:rPr>
          <w:rFonts w:hint="eastAsia" w:ascii="仿宋_GB2312" w:eastAsia="仿宋_GB2312"/>
          <w:b/>
          <w:bCs/>
          <w:color w:val="333333"/>
          <w:sz w:val="32"/>
          <w:szCs w:val="32"/>
        </w:rPr>
        <w:t>卫生健康（类）</w:t>
      </w:r>
      <w:r>
        <w:rPr>
          <w:rFonts w:eastAsia="仿宋_GB2312"/>
          <w:sz w:val="32"/>
          <w:szCs w:val="32"/>
        </w:rPr>
        <w:t>行政事业单位医疗</w:t>
      </w:r>
      <w:r>
        <w:rPr>
          <w:rFonts w:hint="eastAsia" w:ascii="仿宋_GB2312" w:eastAsia="仿宋_GB2312"/>
          <w:b/>
          <w:bCs/>
          <w:color w:val="333333"/>
          <w:sz w:val="32"/>
          <w:szCs w:val="32"/>
        </w:rPr>
        <w:t>（款）</w:t>
      </w:r>
      <w:r>
        <w:rPr>
          <w:rFonts w:eastAsia="仿宋_GB2312"/>
          <w:sz w:val="32"/>
          <w:szCs w:val="32"/>
        </w:rPr>
        <w:t>行政单位医疗</w:t>
      </w:r>
      <w:r>
        <w:rPr>
          <w:rFonts w:hint="eastAsia" w:ascii="仿宋_GB2312" w:eastAsia="仿宋_GB2312"/>
          <w:b/>
          <w:bCs/>
          <w:color w:val="333333"/>
          <w:sz w:val="32"/>
          <w:szCs w:val="32"/>
        </w:rPr>
        <w:t>（项）</w:t>
      </w:r>
      <w:r>
        <w:rPr>
          <w:rFonts w:hint="eastAsia" w:ascii="仿宋_GB2312" w:eastAsia="仿宋_GB2312"/>
          <w:color w:val="333333"/>
          <w:sz w:val="32"/>
          <w:szCs w:val="32"/>
        </w:rPr>
        <w:t>:</w:t>
      </w:r>
      <w:r>
        <w:rPr>
          <w:rStyle w:val="11"/>
          <w:b w:val="0"/>
          <w:bCs/>
          <w:color w:val="000000"/>
          <w:szCs w:val="32"/>
        </w:rPr>
        <w:t>支出决算为</w:t>
      </w:r>
      <w:r>
        <w:rPr>
          <w:rStyle w:val="11"/>
          <w:rFonts w:hint="eastAsia"/>
          <w:b w:val="0"/>
          <w:bCs/>
          <w:color w:val="000000"/>
          <w:szCs w:val="32"/>
          <w:lang w:val="en-US" w:eastAsia="zh-CN"/>
        </w:rPr>
        <w:t>25.27</w:t>
      </w:r>
      <w:r>
        <w:rPr>
          <w:rStyle w:val="11"/>
          <w:b w:val="0"/>
          <w:bCs/>
          <w:color w:val="000000"/>
          <w:szCs w:val="32"/>
        </w:rPr>
        <w:t>万元，完成预算100%，决算数小于/等于预算数的主要原因是持平。</w:t>
      </w:r>
    </w:p>
    <w:p>
      <w:pPr>
        <w:adjustRightInd w:val="0"/>
        <w:snapToGrid w:val="0"/>
        <w:spacing w:line="592" w:lineRule="exact"/>
        <w:ind w:firstLine="643" w:firstLineChars="200"/>
        <w:rPr>
          <w:b/>
          <w:color w:val="000000"/>
          <w:szCs w:val="32"/>
        </w:rPr>
      </w:pPr>
      <w:r>
        <w:rPr>
          <w:rStyle w:val="11"/>
          <w:rFonts w:hint="eastAsia"/>
          <w:bCs/>
          <w:color w:val="000000"/>
          <w:szCs w:val="32"/>
          <w:lang w:val="en-US" w:eastAsia="zh-CN"/>
        </w:rPr>
        <w:t>4</w:t>
      </w:r>
      <w:r>
        <w:rPr>
          <w:rStyle w:val="11"/>
          <w:bCs/>
          <w:color w:val="000000"/>
          <w:szCs w:val="32"/>
        </w:rPr>
        <w:t>.</w:t>
      </w:r>
      <w:r>
        <w:rPr>
          <w:b/>
          <w:bCs/>
          <w:color w:val="000000"/>
          <w:szCs w:val="32"/>
        </w:rPr>
        <w:t>住房保障支出</w:t>
      </w:r>
      <w:r>
        <w:rPr>
          <w:rStyle w:val="11"/>
          <w:bCs/>
          <w:color w:val="000000"/>
          <w:szCs w:val="32"/>
        </w:rPr>
        <w:t>（类）</w:t>
      </w:r>
      <w:r>
        <w:rPr>
          <w:szCs w:val="32"/>
        </w:rPr>
        <w:t>住房改革支出</w:t>
      </w:r>
      <w:r>
        <w:rPr>
          <w:rStyle w:val="11"/>
          <w:bCs/>
          <w:color w:val="000000"/>
          <w:szCs w:val="32"/>
        </w:rPr>
        <w:t>（款）</w:t>
      </w:r>
      <w:r>
        <w:rPr>
          <w:szCs w:val="32"/>
        </w:rPr>
        <w:t>住房公积金</w:t>
      </w:r>
      <w:r>
        <w:rPr>
          <w:rStyle w:val="11"/>
          <w:bCs/>
          <w:color w:val="000000"/>
          <w:szCs w:val="32"/>
        </w:rPr>
        <w:t>（项）:</w:t>
      </w:r>
      <w:r>
        <w:rPr>
          <w:rStyle w:val="11"/>
          <w:b w:val="0"/>
          <w:bCs/>
          <w:color w:val="000000"/>
          <w:szCs w:val="32"/>
        </w:rPr>
        <w:t>支出决算为40.25万元，完成预算100.00%，决算数小于/等于预算数的主要原因是持平。</w:t>
      </w:r>
    </w:p>
    <w:p>
      <w:pPr>
        <w:tabs>
          <w:tab w:val="right" w:pos="8306"/>
        </w:tabs>
        <w:adjustRightInd w:val="0"/>
        <w:snapToGrid w:val="0"/>
        <w:spacing w:line="592" w:lineRule="exact"/>
        <w:ind w:firstLine="640" w:firstLineChars="200"/>
        <w:outlineLvl w:val="1"/>
        <w:rPr>
          <w:rStyle w:val="14"/>
          <w:rFonts w:ascii="Times New Roman" w:hAnsi="Times New Roman"/>
        </w:rPr>
      </w:pPr>
      <w:bookmarkStart w:id="35" w:name="_Toc15377214"/>
      <w:bookmarkStart w:id="36" w:name="_Toc15396608"/>
      <w:bookmarkStart w:id="37" w:name="_Toc31021"/>
      <w:r>
        <w:rPr>
          <w:rFonts w:eastAsia="黑体"/>
          <w:color w:val="000000"/>
          <w:szCs w:val="32"/>
        </w:rPr>
        <w:t>六</w:t>
      </w:r>
      <w:r>
        <w:rPr>
          <w:rFonts w:eastAsia="黑体"/>
          <w:b/>
          <w:color w:val="000000"/>
          <w:szCs w:val="32"/>
        </w:rPr>
        <w:t>、一</w:t>
      </w:r>
      <w:r>
        <w:rPr>
          <w:rStyle w:val="14"/>
          <w:rFonts w:ascii="Times New Roman" w:hAnsi="Times New Roman" w:eastAsia="黑体"/>
          <w:b w:val="0"/>
        </w:rPr>
        <w:t>般公共预算财政拨款基本支出决算情况说明</w:t>
      </w:r>
      <w:bookmarkEnd w:id="35"/>
      <w:bookmarkEnd w:id="36"/>
      <w:bookmarkEnd w:id="37"/>
      <w:r>
        <w:rPr>
          <w:rStyle w:val="14"/>
          <w:rFonts w:ascii="Times New Roman" w:hAnsi="Times New Roman" w:eastAsia="黑体"/>
          <w:b w:val="0"/>
        </w:rPr>
        <w:tab/>
      </w:r>
    </w:p>
    <w:p>
      <w:pPr>
        <w:adjustRightInd w:val="0"/>
        <w:snapToGrid w:val="0"/>
        <w:spacing w:line="592" w:lineRule="exact"/>
        <w:ind w:firstLine="640" w:firstLineChars="200"/>
        <w:rPr>
          <w:color w:val="000000"/>
          <w:szCs w:val="32"/>
        </w:rPr>
      </w:pPr>
      <w:r>
        <w:rPr>
          <w:color w:val="000000"/>
          <w:szCs w:val="32"/>
        </w:rPr>
        <w:t>2020年一般公共预算财政拨款基本支出848.68万元，其中：</w:t>
      </w:r>
    </w:p>
    <w:p>
      <w:pPr>
        <w:adjustRightInd w:val="0"/>
        <w:snapToGrid w:val="0"/>
        <w:spacing w:line="592" w:lineRule="exact"/>
        <w:ind w:firstLine="640" w:firstLineChars="200"/>
        <w:rPr>
          <w:color w:val="000000"/>
          <w:szCs w:val="32"/>
        </w:rPr>
      </w:pPr>
      <w:r>
        <w:rPr>
          <w:color w:val="000000"/>
          <w:szCs w:val="32"/>
        </w:rPr>
        <w:t>人员经费596.30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p>
    <w:p>
      <w:pPr>
        <w:adjustRightInd w:val="0"/>
        <w:snapToGrid w:val="0"/>
        <w:spacing w:line="592" w:lineRule="exact"/>
        <w:ind w:firstLine="640" w:firstLineChars="200"/>
        <w:rPr>
          <w:rFonts w:eastAsia="仿宋"/>
          <w:color w:val="000000"/>
          <w:szCs w:val="32"/>
        </w:rPr>
      </w:pPr>
      <w:r>
        <w:rPr>
          <w:color w:val="000000"/>
          <w:szCs w:val="32"/>
        </w:rPr>
        <w:t>日常公用经费252.38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adjustRightInd w:val="0"/>
        <w:snapToGrid w:val="0"/>
        <w:spacing w:line="592" w:lineRule="exact"/>
        <w:ind w:firstLine="640" w:firstLineChars="200"/>
        <w:outlineLvl w:val="1"/>
        <w:rPr>
          <w:rStyle w:val="14"/>
          <w:rFonts w:ascii="Times New Roman" w:hAnsi="Times New Roman" w:eastAsia="黑体"/>
          <w:b w:val="0"/>
        </w:rPr>
      </w:pPr>
      <w:bookmarkStart w:id="38" w:name="_Toc6926"/>
      <w:bookmarkStart w:id="39" w:name="_Toc15396609"/>
      <w:bookmarkStart w:id="40" w:name="_Toc15377215"/>
      <w:r>
        <w:rPr>
          <w:rFonts w:eastAsia="黑体"/>
          <w:color w:val="000000"/>
          <w:szCs w:val="32"/>
        </w:rPr>
        <w:t>七、</w:t>
      </w:r>
      <w:r>
        <w:rPr>
          <w:rStyle w:val="14"/>
          <w:rFonts w:ascii="Times New Roman" w:hAnsi="Times New Roman" w:eastAsia="黑体"/>
        </w:rPr>
        <w:t>“</w:t>
      </w:r>
      <w:r>
        <w:rPr>
          <w:rStyle w:val="14"/>
          <w:rFonts w:ascii="Times New Roman" w:hAnsi="Times New Roman" w:eastAsia="黑体"/>
          <w:b w:val="0"/>
        </w:rPr>
        <w:t>三公”经费财政拨款支出决算情况说明</w:t>
      </w:r>
      <w:bookmarkEnd w:id="38"/>
      <w:bookmarkEnd w:id="39"/>
      <w:bookmarkEnd w:id="40"/>
    </w:p>
    <w:p>
      <w:pPr>
        <w:adjustRightInd w:val="0"/>
        <w:snapToGrid w:val="0"/>
        <w:spacing w:line="592" w:lineRule="exact"/>
        <w:ind w:firstLine="643" w:firstLineChars="200"/>
        <w:outlineLvl w:val="2"/>
        <w:rPr>
          <w:b/>
          <w:color w:val="000000"/>
          <w:szCs w:val="32"/>
        </w:rPr>
      </w:pPr>
      <w:bookmarkStart w:id="41" w:name="_Toc15377216"/>
      <w:r>
        <w:rPr>
          <w:b/>
          <w:color w:val="000000"/>
          <w:szCs w:val="32"/>
        </w:rPr>
        <w:t>（一）“三公”经费财政拨款支出决算总体情况说明</w:t>
      </w:r>
      <w:bookmarkEnd w:id="41"/>
    </w:p>
    <w:p>
      <w:pPr>
        <w:adjustRightInd w:val="0"/>
        <w:snapToGrid w:val="0"/>
        <w:spacing w:line="592" w:lineRule="exact"/>
        <w:ind w:firstLine="640" w:firstLineChars="200"/>
        <w:rPr>
          <w:color w:val="000000"/>
          <w:szCs w:val="32"/>
        </w:rPr>
      </w:pPr>
      <w:r>
        <w:rPr>
          <w:color w:val="000000"/>
          <w:szCs w:val="32"/>
        </w:rPr>
        <w:t>2020年“三公”经费财政拨款支出决算为1.49万元，完成预算100.00%，决算数小于预算数（或与预算数持平）的主要原因是持平。</w:t>
      </w:r>
    </w:p>
    <w:p>
      <w:pPr>
        <w:adjustRightInd w:val="0"/>
        <w:snapToGrid w:val="0"/>
        <w:spacing w:line="592" w:lineRule="exact"/>
        <w:ind w:firstLine="643" w:firstLineChars="200"/>
        <w:outlineLvl w:val="2"/>
        <w:rPr>
          <w:b/>
          <w:color w:val="000000"/>
          <w:szCs w:val="32"/>
        </w:rPr>
      </w:pPr>
      <w:bookmarkStart w:id="42" w:name="_Toc15377217"/>
      <w:r>
        <w:rPr>
          <w:b/>
          <w:color w:val="000000"/>
          <w:szCs w:val="32"/>
        </w:rPr>
        <w:t>（二）“三公”经费财政拨款支出决算具体情况说明</w:t>
      </w:r>
      <w:bookmarkEnd w:id="42"/>
    </w:p>
    <w:p>
      <w:pPr>
        <w:adjustRightInd w:val="0"/>
        <w:snapToGrid w:val="0"/>
        <w:spacing w:line="592" w:lineRule="exact"/>
        <w:ind w:firstLine="640" w:firstLineChars="200"/>
        <w:rPr>
          <w:color w:val="000000"/>
          <w:szCs w:val="32"/>
        </w:rPr>
      </w:pPr>
      <w:r>
        <w:drawing>
          <wp:anchor distT="0" distB="0" distL="114300" distR="114300" simplePos="0" relativeHeight="251666432" behindDoc="0" locked="0" layoutInCell="1" allowOverlap="1">
            <wp:simplePos x="0" y="0"/>
            <wp:positionH relativeFrom="column">
              <wp:posOffset>631825</wp:posOffset>
            </wp:positionH>
            <wp:positionV relativeFrom="paragraph">
              <wp:posOffset>1546225</wp:posOffset>
            </wp:positionV>
            <wp:extent cx="3957320" cy="1924050"/>
            <wp:effectExtent l="4445" t="5080" r="19685" b="13970"/>
            <wp:wrapTopAndBottom/>
            <wp:docPr id="9"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color w:val="000000"/>
          <w:szCs w:val="32"/>
        </w:rPr>
        <w:t>2020年“三公”经费财政拨款支出决算中，因公出国（境）费支出决算0万元，占0%；公务用车购置及运行维护费支出决算0万元，占0%；公务接待费支出决算1.49万元，占0%。具体情况如下：</w:t>
      </w:r>
    </w:p>
    <w:p>
      <w:pPr>
        <w:adjustRightInd w:val="0"/>
        <w:snapToGrid w:val="0"/>
        <w:spacing w:line="592" w:lineRule="exact"/>
        <w:ind w:firstLine="640" w:firstLineChars="200"/>
        <w:rPr>
          <w:color w:val="000000"/>
          <w:szCs w:val="32"/>
        </w:rPr>
      </w:pPr>
      <w:r>
        <w:rPr>
          <w:color w:val="000000"/>
          <w:szCs w:val="32"/>
        </w:rPr>
        <w:t>（图7：“三公”经费财政拨款支出结构）（饼状图）</w:t>
      </w:r>
    </w:p>
    <w:p>
      <w:pPr>
        <w:adjustRightInd w:val="0"/>
        <w:snapToGrid w:val="0"/>
        <w:spacing w:line="592" w:lineRule="exact"/>
        <w:ind w:firstLine="643" w:firstLineChars="200"/>
        <w:rPr>
          <w:b/>
          <w:color w:val="000000"/>
          <w:szCs w:val="32"/>
        </w:rPr>
      </w:pPr>
      <w:r>
        <w:rPr>
          <w:b/>
          <w:color w:val="000000"/>
          <w:szCs w:val="32"/>
        </w:rPr>
        <w:t>1.因公出国（境）经费支出0</w:t>
      </w:r>
      <w:r>
        <w:rPr>
          <w:color w:val="000000"/>
          <w:szCs w:val="32"/>
        </w:rPr>
        <w:t>万元，</w:t>
      </w:r>
      <w:r>
        <w:rPr>
          <w:rStyle w:val="11"/>
          <w:b w:val="0"/>
          <w:bCs/>
          <w:color w:val="000000"/>
          <w:szCs w:val="32"/>
        </w:rPr>
        <w:t>完成预算0%。</w:t>
      </w:r>
      <w:r>
        <w:rPr>
          <w:color w:val="000000"/>
          <w:szCs w:val="32"/>
        </w:rPr>
        <w:t>全年安排因公出国（境）团组0次，出国（境）0人。因公出国（境）支出决算比2019年增加/减少0万元，增长/下降0%。主要原因是压缩开支。</w:t>
      </w:r>
    </w:p>
    <w:p>
      <w:pPr>
        <w:adjustRightInd w:val="0"/>
        <w:snapToGrid w:val="0"/>
        <w:spacing w:line="592" w:lineRule="exact"/>
        <w:ind w:firstLine="643" w:firstLineChars="200"/>
        <w:rPr>
          <w:b/>
          <w:color w:val="000000"/>
          <w:szCs w:val="32"/>
        </w:rPr>
      </w:pPr>
      <w:r>
        <w:rPr>
          <w:b/>
          <w:color w:val="000000"/>
          <w:szCs w:val="32"/>
        </w:rPr>
        <w:t>2.公务用车购置及运行维护费支出0</w:t>
      </w:r>
      <w:r>
        <w:rPr>
          <w:color w:val="000000"/>
          <w:szCs w:val="32"/>
        </w:rPr>
        <w:t>万元,</w:t>
      </w:r>
      <w:r>
        <w:rPr>
          <w:rStyle w:val="11"/>
          <w:b w:val="0"/>
          <w:bCs/>
          <w:color w:val="000000"/>
          <w:szCs w:val="32"/>
        </w:rPr>
        <w:t>完成预算0%。</w:t>
      </w:r>
      <w:r>
        <w:rPr>
          <w:color w:val="000000"/>
          <w:szCs w:val="32"/>
        </w:rPr>
        <w:t>公务用车购置及运行维护费支出决算比2019年增加/减少0万元，增长/下降0%。主要原因是公车改革。</w:t>
      </w:r>
    </w:p>
    <w:p>
      <w:pPr>
        <w:adjustRightInd w:val="0"/>
        <w:snapToGrid w:val="0"/>
        <w:spacing w:line="592" w:lineRule="exact"/>
        <w:ind w:firstLine="640" w:firstLineChars="200"/>
        <w:rPr>
          <w:b/>
          <w:color w:val="000000"/>
          <w:szCs w:val="32"/>
        </w:rPr>
      </w:pPr>
      <w:r>
        <w:rPr>
          <w:color w:val="000000"/>
          <w:szCs w:val="32"/>
        </w:rPr>
        <w:t>其中：</w:t>
      </w:r>
      <w:r>
        <w:rPr>
          <w:b/>
          <w:color w:val="000000"/>
          <w:szCs w:val="32"/>
        </w:rPr>
        <w:t>公务用车购置支出0</w:t>
      </w:r>
      <w:r>
        <w:rPr>
          <w:color w:val="000000"/>
          <w:szCs w:val="32"/>
        </w:rPr>
        <w:t>万元。全年按规定更新购置公务用车0辆，其中：轿车0辆、金额0万元，越野车0辆、金额0万元，载客汽车0辆、金额0万元。截至2020年12月底，单位共有公务用车0辆，其中：轿车0辆、越野车0辆、载客汽车0辆。</w:t>
      </w:r>
    </w:p>
    <w:p>
      <w:pPr>
        <w:adjustRightInd w:val="0"/>
        <w:snapToGrid w:val="0"/>
        <w:spacing w:line="592" w:lineRule="exact"/>
        <w:ind w:firstLine="643" w:firstLineChars="200"/>
        <w:rPr>
          <w:color w:val="000000"/>
          <w:szCs w:val="32"/>
        </w:rPr>
      </w:pPr>
      <w:r>
        <w:rPr>
          <w:b/>
          <w:color w:val="000000"/>
          <w:szCs w:val="32"/>
        </w:rPr>
        <w:t>公务用车运行维护费支出0</w:t>
      </w:r>
      <w:r>
        <w:rPr>
          <w:color w:val="000000"/>
          <w:szCs w:val="32"/>
        </w:rPr>
        <w:t>万元。主要用于（具体工作）等所需的公务用车燃料费、维修费、过路过桥费、保险费等支出。</w:t>
      </w:r>
    </w:p>
    <w:p>
      <w:pPr>
        <w:adjustRightInd w:val="0"/>
        <w:snapToGrid w:val="0"/>
        <w:spacing w:line="592" w:lineRule="exact"/>
        <w:ind w:firstLine="643" w:firstLineChars="200"/>
        <w:rPr>
          <w:color w:val="000000"/>
          <w:szCs w:val="32"/>
        </w:rPr>
      </w:pPr>
      <w:r>
        <w:rPr>
          <w:b/>
          <w:color w:val="000000"/>
          <w:szCs w:val="32"/>
        </w:rPr>
        <w:t>3.公务接待费支出</w:t>
      </w:r>
      <w:r>
        <w:rPr>
          <w:color w:val="000000"/>
          <w:szCs w:val="32"/>
        </w:rPr>
        <w:t>1.49万元，</w:t>
      </w:r>
      <w:r>
        <w:rPr>
          <w:rStyle w:val="11"/>
          <w:b w:val="0"/>
          <w:bCs/>
          <w:color w:val="000000"/>
          <w:szCs w:val="32"/>
        </w:rPr>
        <w:t>完成预算100.00%。</w:t>
      </w:r>
      <w:r>
        <w:rPr>
          <w:color w:val="000000"/>
          <w:szCs w:val="32"/>
        </w:rPr>
        <w:t>公务接待费支出决算比2019年增加/减少0.13万元，下降8.02%。主要原因是严格控制支出。其中：</w:t>
      </w:r>
    </w:p>
    <w:p>
      <w:pPr>
        <w:adjustRightInd w:val="0"/>
        <w:snapToGrid w:val="0"/>
        <w:spacing w:line="592" w:lineRule="exact"/>
        <w:ind w:firstLine="643" w:firstLineChars="200"/>
        <w:rPr>
          <w:color w:val="000000"/>
          <w:szCs w:val="32"/>
        </w:rPr>
      </w:pPr>
      <w:r>
        <w:rPr>
          <w:b/>
          <w:color w:val="000000"/>
          <w:szCs w:val="32"/>
        </w:rPr>
        <w:t>国内公务接待支出</w:t>
      </w:r>
      <w:r>
        <w:rPr>
          <w:color w:val="000000"/>
          <w:szCs w:val="32"/>
        </w:rPr>
        <w:t>1.49万元，主要用于(执行公务、开展业务活动开支的交通费、住宿费、用餐费等)。国内公务接待8批次，153人次（不包括陪同人员），共计支出1.49万元，具体内容包括：用餐费等（接待具体项目、金额）。</w:t>
      </w:r>
    </w:p>
    <w:p>
      <w:pPr>
        <w:adjustRightInd w:val="0"/>
        <w:snapToGrid w:val="0"/>
        <w:spacing w:line="592" w:lineRule="exact"/>
        <w:ind w:firstLine="643" w:firstLineChars="200"/>
        <w:rPr>
          <w:color w:val="000000"/>
          <w:szCs w:val="32"/>
        </w:rPr>
      </w:pPr>
      <w:r>
        <w:rPr>
          <w:b/>
          <w:color w:val="000000"/>
          <w:szCs w:val="32"/>
        </w:rPr>
        <w:t>外事接待支出0</w:t>
      </w:r>
      <w:r>
        <w:rPr>
          <w:color w:val="000000"/>
          <w:szCs w:val="32"/>
        </w:rPr>
        <w:t>万元，外事接待0批次，0人，共计支出0万元。</w:t>
      </w:r>
    </w:p>
    <w:p>
      <w:pPr>
        <w:adjustRightInd w:val="0"/>
        <w:snapToGrid w:val="0"/>
        <w:spacing w:line="592" w:lineRule="exact"/>
        <w:ind w:firstLine="640" w:firstLineChars="200"/>
        <w:outlineLvl w:val="1"/>
        <w:rPr>
          <w:rStyle w:val="14"/>
          <w:rFonts w:ascii="Times New Roman" w:hAnsi="Times New Roman" w:eastAsia="黑体"/>
        </w:rPr>
      </w:pPr>
      <w:bookmarkStart w:id="43" w:name="_Toc15396610"/>
      <w:bookmarkStart w:id="44" w:name="_Toc9843"/>
      <w:bookmarkStart w:id="45" w:name="_Toc15377218"/>
      <w:r>
        <w:rPr>
          <w:rFonts w:eastAsia="黑体"/>
          <w:color w:val="000000"/>
          <w:szCs w:val="32"/>
        </w:rPr>
        <w:t>八、</w:t>
      </w:r>
      <w:r>
        <w:rPr>
          <w:rStyle w:val="14"/>
          <w:rFonts w:ascii="Times New Roman" w:hAnsi="Times New Roman" w:eastAsia="黑体"/>
          <w:b w:val="0"/>
        </w:rPr>
        <w:t>政府性基金预算支出决算情况说明</w:t>
      </w:r>
      <w:bookmarkEnd w:id="43"/>
      <w:bookmarkEnd w:id="44"/>
      <w:bookmarkEnd w:id="45"/>
    </w:p>
    <w:p>
      <w:pPr>
        <w:adjustRightInd w:val="0"/>
        <w:snapToGrid w:val="0"/>
        <w:spacing w:line="592" w:lineRule="exact"/>
        <w:ind w:firstLine="640" w:firstLineChars="200"/>
        <w:rPr>
          <w:color w:val="000000"/>
          <w:szCs w:val="32"/>
        </w:rPr>
      </w:pPr>
      <w:r>
        <w:rPr>
          <w:color w:val="000000"/>
          <w:szCs w:val="32"/>
        </w:rPr>
        <w:t>2020年政府性基金预算拨款支出</w:t>
      </w:r>
      <w:r>
        <w:rPr>
          <w:rFonts w:hint="eastAsia"/>
          <w:color w:val="000000"/>
          <w:szCs w:val="32"/>
        </w:rPr>
        <w:t>0</w:t>
      </w:r>
      <w:r>
        <w:rPr>
          <w:color w:val="000000"/>
          <w:szCs w:val="32"/>
        </w:rPr>
        <w:t>万元。</w:t>
      </w:r>
    </w:p>
    <w:p>
      <w:pPr>
        <w:numPr>
          <w:ilvl w:val="0"/>
          <w:numId w:val="1"/>
        </w:numPr>
        <w:adjustRightInd w:val="0"/>
        <w:snapToGrid w:val="0"/>
        <w:spacing w:line="592" w:lineRule="exact"/>
        <w:ind w:firstLine="640" w:firstLineChars="200"/>
        <w:outlineLvl w:val="1"/>
        <w:rPr>
          <w:rStyle w:val="14"/>
          <w:rFonts w:ascii="Times New Roman" w:hAnsi="Times New Roman" w:eastAsia="黑体"/>
          <w:b w:val="0"/>
        </w:rPr>
      </w:pPr>
      <w:bookmarkStart w:id="46" w:name="_Toc15377219"/>
      <w:bookmarkStart w:id="47" w:name="_Toc15396611"/>
      <w:bookmarkStart w:id="48" w:name="_Toc10775"/>
      <w:r>
        <w:rPr>
          <w:rStyle w:val="14"/>
          <w:rFonts w:ascii="Times New Roman" w:hAnsi="Times New Roman" w:eastAsia="黑体"/>
          <w:b w:val="0"/>
        </w:rPr>
        <w:t>国有资本经营预算支出决算情况说明</w:t>
      </w:r>
      <w:bookmarkEnd w:id="46"/>
      <w:bookmarkEnd w:id="47"/>
      <w:bookmarkEnd w:id="48"/>
    </w:p>
    <w:p>
      <w:pPr>
        <w:adjustRightInd w:val="0"/>
        <w:snapToGrid w:val="0"/>
        <w:spacing w:line="592" w:lineRule="exact"/>
        <w:ind w:firstLine="640" w:firstLineChars="200"/>
        <w:rPr>
          <w:color w:val="000000"/>
          <w:szCs w:val="32"/>
        </w:rPr>
      </w:pPr>
      <w:r>
        <w:rPr>
          <w:color w:val="000000"/>
          <w:szCs w:val="32"/>
        </w:rPr>
        <w:t>2020年国有资本经营预算拨款支出</w:t>
      </w:r>
      <w:r>
        <w:rPr>
          <w:rFonts w:hint="eastAsia"/>
          <w:color w:val="000000"/>
          <w:szCs w:val="32"/>
        </w:rPr>
        <w:t>0</w:t>
      </w:r>
      <w:r>
        <w:rPr>
          <w:color w:val="000000"/>
          <w:szCs w:val="32"/>
        </w:rPr>
        <w:t>万元。</w:t>
      </w:r>
    </w:p>
    <w:p>
      <w:pPr>
        <w:adjustRightInd w:val="0"/>
        <w:snapToGrid w:val="0"/>
        <w:spacing w:line="592" w:lineRule="exact"/>
        <w:ind w:firstLine="640" w:firstLineChars="200"/>
        <w:outlineLvl w:val="1"/>
        <w:rPr>
          <w:rStyle w:val="14"/>
          <w:rFonts w:ascii="Times New Roman" w:hAnsi="Times New Roman" w:eastAsia="黑体"/>
        </w:rPr>
      </w:pPr>
      <w:bookmarkStart w:id="49" w:name="_Toc738"/>
      <w:bookmarkStart w:id="50" w:name="_Toc15396612"/>
      <w:bookmarkStart w:id="51" w:name="_Toc15377221"/>
      <w:r>
        <w:rPr>
          <w:rFonts w:eastAsia="黑体"/>
          <w:color w:val="000000"/>
          <w:szCs w:val="32"/>
        </w:rPr>
        <w:t>十</w:t>
      </w:r>
      <w:r>
        <w:rPr>
          <w:rStyle w:val="14"/>
          <w:rFonts w:ascii="Times New Roman" w:hAnsi="Times New Roman" w:eastAsia="黑体"/>
        </w:rPr>
        <w:t>、</w:t>
      </w:r>
      <w:r>
        <w:rPr>
          <w:rStyle w:val="14"/>
          <w:rFonts w:ascii="Times New Roman" w:hAnsi="Times New Roman" w:eastAsia="黑体"/>
          <w:b w:val="0"/>
        </w:rPr>
        <w:t>其他重要事项的情况说明</w:t>
      </w:r>
      <w:bookmarkEnd w:id="49"/>
      <w:bookmarkEnd w:id="50"/>
      <w:bookmarkEnd w:id="51"/>
    </w:p>
    <w:p>
      <w:pPr>
        <w:adjustRightInd w:val="0"/>
        <w:snapToGrid w:val="0"/>
        <w:spacing w:line="592" w:lineRule="exact"/>
        <w:ind w:firstLine="643" w:firstLineChars="200"/>
        <w:outlineLvl w:val="2"/>
        <w:rPr>
          <w:rFonts w:eastAsia="仿宋"/>
          <w:color w:val="000000"/>
          <w:szCs w:val="32"/>
        </w:rPr>
      </w:pPr>
      <w:bookmarkStart w:id="52" w:name="_Toc15377222"/>
      <w:r>
        <w:rPr>
          <w:rFonts w:eastAsia="仿宋"/>
          <w:b/>
          <w:color w:val="000000"/>
          <w:szCs w:val="32"/>
        </w:rPr>
        <w:t>（一）机关运行经费支出情况</w:t>
      </w:r>
      <w:bookmarkEnd w:id="52"/>
    </w:p>
    <w:p>
      <w:pPr>
        <w:adjustRightInd w:val="0"/>
        <w:snapToGrid w:val="0"/>
        <w:spacing w:line="592" w:lineRule="exact"/>
        <w:ind w:firstLine="640" w:firstLineChars="200"/>
        <w:rPr>
          <w:color w:val="000000"/>
          <w:szCs w:val="32"/>
        </w:rPr>
      </w:pPr>
      <w:r>
        <w:rPr>
          <w:color w:val="000000"/>
          <w:szCs w:val="32"/>
        </w:rPr>
        <w:t>2020年，自流井区人大机关运行经费支出153.41万元，比2019年减少3.41万元，下降2.20%（或与2019年决算数持平）。主要原因是人员减少。</w:t>
      </w:r>
    </w:p>
    <w:p>
      <w:pPr>
        <w:autoSpaceDE w:val="0"/>
        <w:autoSpaceDN w:val="0"/>
        <w:adjustRightInd w:val="0"/>
        <w:snapToGrid w:val="0"/>
        <w:spacing w:line="592" w:lineRule="exact"/>
        <w:ind w:firstLine="643" w:firstLineChars="200"/>
        <w:jc w:val="left"/>
        <w:outlineLvl w:val="2"/>
        <w:rPr>
          <w:rFonts w:eastAsia="仿宋"/>
          <w:b/>
          <w:color w:val="000000"/>
          <w:szCs w:val="32"/>
        </w:rPr>
      </w:pPr>
      <w:bookmarkStart w:id="53" w:name="_Toc15377223"/>
      <w:r>
        <w:rPr>
          <w:rFonts w:eastAsia="仿宋"/>
          <w:b/>
          <w:color w:val="000000"/>
          <w:szCs w:val="32"/>
        </w:rPr>
        <w:t>（二）政府采购支出情况</w:t>
      </w:r>
      <w:bookmarkEnd w:id="53"/>
    </w:p>
    <w:p>
      <w:pPr>
        <w:adjustRightInd w:val="0"/>
        <w:snapToGrid w:val="0"/>
        <w:spacing w:line="592" w:lineRule="exact"/>
        <w:ind w:firstLine="640" w:firstLineChars="200"/>
        <w:rPr>
          <w:color w:val="000000"/>
          <w:szCs w:val="32"/>
        </w:rPr>
      </w:pPr>
      <w:r>
        <w:rPr>
          <w:color w:val="000000"/>
          <w:szCs w:val="32"/>
        </w:rPr>
        <w:t>2020年，自流井区人大政府采购支出总额1.96万元，其中：政府采购货物支出1.96万元、政府采购工程支出0万元、政府采购服务支出0万元。主要用于办公设备采购（具体工作）。授予中小企业合同金额0万元，占政府采购支出总额的0%，其中：授予小微企业合同金额0万元，占政府采购支出总额的0%。</w:t>
      </w:r>
    </w:p>
    <w:p>
      <w:pPr>
        <w:autoSpaceDE w:val="0"/>
        <w:autoSpaceDN w:val="0"/>
        <w:adjustRightInd w:val="0"/>
        <w:snapToGrid w:val="0"/>
        <w:spacing w:line="592" w:lineRule="exact"/>
        <w:ind w:firstLine="643" w:firstLineChars="200"/>
        <w:jc w:val="left"/>
        <w:outlineLvl w:val="2"/>
        <w:rPr>
          <w:rFonts w:eastAsia="仿宋"/>
          <w:b/>
          <w:color w:val="000000"/>
          <w:szCs w:val="32"/>
        </w:rPr>
      </w:pPr>
      <w:bookmarkStart w:id="54" w:name="_Toc15377224"/>
      <w:r>
        <w:rPr>
          <w:rFonts w:eastAsia="仿宋"/>
          <w:b/>
          <w:color w:val="000000"/>
          <w:szCs w:val="32"/>
        </w:rPr>
        <w:t>（三）国有资产占有使用情况</w:t>
      </w:r>
      <w:bookmarkEnd w:id="54"/>
    </w:p>
    <w:p>
      <w:pPr>
        <w:autoSpaceDE w:val="0"/>
        <w:autoSpaceDN w:val="0"/>
        <w:adjustRightInd w:val="0"/>
        <w:snapToGrid w:val="0"/>
        <w:spacing w:line="592" w:lineRule="exact"/>
        <w:ind w:firstLine="640" w:firstLineChars="200"/>
        <w:jc w:val="left"/>
        <w:rPr>
          <w:b/>
          <w:color w:val="FF0000"/>
          <w:szCs w:val="32"/>
        </w:rPr>
      </w:pPr>
      <w:r>
        <w:rPr>
          <w:color w:val="000000"/>
          <w:szCs w:val="32"/>
        </w:rPr>
        <w:t>截至2020年12月31日，自流井区人大办共有车辆0辆，其中：主要领导干部用车0辆、机要通信用车0辆、应急保障用车0辆、其他用车0辆，其他用车主要是用于单价50万元以上通用设备0台（套），单价100万元以上专用设备0台（套）。</w:t>
      </w:r>
    </w:p>
    <w:p>
      <w:pPr>
        <w:autoSpaceDE w:val="0"/>
        <w:autoSpaceDN w:val="0"/>
        <w:adjustRightInd w:val="0"/>
        <w:snapToGrid w:val="0"/>
        <w:spacing w:line="592" w:lineRule="exact"/>
        <w:ind w:firstLine="643" w:firstLineChars="200"/>
        <w:jc w:val="left"/>
        <w:outlineLvl w:val="2"/>
        <w:rPr>
          <w:b/>
          <w:color w:val="000000"/>
          <w:szCs w:val="32"/>
        </w:rPr>
      </w:pPr>
      <w:r>
        <w:rPr>
          <w:b/>
          <w:color w:val="000000"/>
          <w:szCs w:val="32"/>
        </w:rPr>
        <w:t>（四）预算绩效管理情况。</w:t>
      </w:r>
    </w:p>
    <w:p>
      <w:pPr>
        <w:adjustRightInd w:val="0"/>
        <w:snapToGrid w:val="0"/>
        <w:spacing w:line="592" w:lineRule="exact"/>
        <w:ind w:firstLine="640" w:firstLineChars="200"/>
        <w:rPr>
          <w:szCs w:val="32"/>
        </w:rPr>
      </w:pPr>
      <w:r>
        <w:rPr>
          <w:szCs w:val="32"/>
        </w:rPr>
        <w:t>根据预算绩效管理要求，本部门（单位）在年初预算编制阶段，组织对（人大会议）开展了预算事前绩效评估，对1个项目编制了绩效目标，预算执行过程中，选取1个项目开展绩效监控，年终执行完毕后，对1个项目开展了绩效目标完成情况自评。</w:t>
      </w:r>
    </w:p>
    <w:p>
      <w:pPr>
        <w:adjustRightInd w:val="0"/>
        <w:snapToGrid w:val="0"/>
        <w:spacing w:line="592" w:lineRule="exact"/>
        <w:ind w:firstLine="640" w:firstLineChars="200"/>
        <w:rPr>
          <w:szCs w:val="32"/>
        </w:rPr>
      </w:pPr>
      <w:r>
        <w:rPr>
          <w:szCs w:val="32"/>
        </w:rPr>
        <w:t>本部门按要求对2020年部门整体支出开展绩效自评，从评价情况来看我办预算编制较为准确，全年预算执行良好， 基本支出保证了机关的正常运转及日常工作顺利开展， 项目支出保障了重点工作的开展，整体上完成了年初设定的绩效目标，充分发挥了财政资金的经济效益和社会效益。本部门还自行组织了1个项目支出绩效评价，从评价情况来看圆满完成了2020年目标任务。</w:t>
      </w:r>
    </w:p>
    <w:p>
      <w:pPr>
        <w:adjustRightInd w:val="0"/>
        <w:snapToGrid w:val="0"/>
        <w:spacing w:line="592" w:lineRule="exact"/>
        <w:ind w:firstLine="640" w:firstLineChars="200"/>
        <w:rPr>
          <w:rFonts w:eastAsia="楷体_GB2312"/>
          <w:szCs w:val="32"/>
        </w:rPr>
      </w:pPr>
      <w:r>
        <w:rPr>
          <w:rFonts w:eastAsia="楷体_GB2312"/>
          <w:szCs w:val="32"/>
        </w:rPr>
        <w:t>1.项目绩效目标完成情况。</w:t>
      </w:r>
    </w:p>
    <w:p>
      <w:pPr>
        <w:adjustRightInd w:val="0"/>
        <w:snapToGrid w:val="0"/>
        <w:spacing w:line="592" w:lineRule="exact"/>
        <w:ind w:firstLine="640" w:firstLineChars="200"/>
        <w:rPr>
          <w:szCs w:val="32"/>
        </w:rPr>
      </w:pPr>
      <w:r>
        <w:rPr>
          <w:szCs w:val="32"/>
        </w:rPr>
        <w:t>本部门在2020年度部门决算中反映区“十八届人大四次会议”专项资金 1 个项目绩效目标实际完成情况。</w:t>
      </w:r>
    </w:p>
    <w:p>
      <w:pPr>
        <w:adjustRightInd w:val="0"/>
        <w:snapToGrid w:val="0"/>
        <w:spacing w:line="592" w:lineRule="exact"/>
        <w:ind w:firstLine="640" w:firstLineChars="200"/>
        <w:rPr>
          <w:szCs w:val="32"/>
        </w:rPr>
      </w:pPr>
      <w:r>
        <w:rPr>
          <w:szCs w:val="32"/>
        </w:rPr>
        <w:t>“十八届人大四次会议”专项资金绩效目标完成情况综述。项目全年预算数80万元，执行数为69.95万元，完成预算的100.00%。通过项目实施，充分发挥了人大代表依法行使职权、代表广大人民参与国家事务管理，实现党的领导、人民当家作主、依法治国有机统一。通过召开人代会，对本地区下一年度或未来五年经济社会发展制定计划、描绘蓝图，对“一府两院”工作提出意见，对经济社会发展的重大事项和人民群众关心关注的重大问题依法作出决定，保证各项事业有序推进。</w:t>
      </w:r>
    </w:p>
    <w:tbl>
      <w:tblPr>
        <w:tblStyle w:val="9"/>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1055"/>
        <w:gridCol w:w="800"/>
        <w:gridCol w:w="927"/>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adjustRightInd w:val="0"/>
              <w:snapToGrid w:val="0"/>
              <w:spacing w:line="592" w:lineRule="exact"/>
              <w:ind w:firstLine="723" w:firstLineChars="200"/>
              <w:jc w:val="center"/>
              <w:textAlignment w:val="center"/>
              <w:rPr>
                <w:rFonts w:hint="eastAsia" w:eastAsia="仿宋_GB2312"/>
                <w:b/>
                <w:bCs/>
                <w:color w:val="000000"/>
                <w:kern w:val="0"/>
                <w:sz w:val="36"/>
                <w:szCs w:val="36"/>
                <w:lang w:eastAsia="zh-CN"/>
              </w:rPr>
            </w:pPr>
            <w:r>
              <w:rPr>
                <w:b/>
                <w:bCs/>
                <w:color w:val="000000"/>
                <w:kern w:val="0"/>
                <w:sz w:val="36"/>
                <w:szCs w:val="36"/>
              </w:rPr>
              <w:t>项目绩效目标完成情况表</w:t>
            </w:r>
          </w:p>
          <w:p>
            <w:pPr>
              <w:widowControl/>
              <w:adjustRightInd w:val="0"/>
              <w:snapToGrid w:val="0"/>
              <w:spacing w:line="592" w:lineRule="exact"/>
              <w:ind w:firstLine="720" w:firstLineChars="200"/>
              <w:jc w:val="center"/>
              <w:textAlignment w:val="center"/>
              <w:rPr>
                <w:color w:val="000000"/>
                <w:sz w:val="36"/>
                <w:szCs w:val="36"/>
              </w:rPr>
            </w:pPr>
            <w:r>
              <w:rPr>
                <w:color w:val="000000"/>
                <w:kern w:val="0"/>
                <w:sz w:val="36"/>
                <w:szCs w:val="36"/>
              </w:rPr>
              <w:t>(2020年度)</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sz w:val="24"/>
              </w:rPr>
            </w:pPr>
            <w:r>
              <w:rPr>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sz w:val="24"/>
              </w:rPr>
            </w:pPr>
            <w:r>
              <w:rPr>
                <w:color w:val="000000"/>
                <w:sz w:val="24"/>
              </w:rPr>
              <w:t>自流井区“十八届人大四次会议”</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sz w:val="24"/>
              </w:rPr>
            </w:pPr>
            <w:r>
              <w:rPr>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sz w:val="24"/>
              </w:rPr>
            </w:pPr>
            <w:r>
              <w:rPr>
                <w:color w:val="000000"/>
                <w:sz w:val="24"/>
              </w:rPr>
              <w:t>自流井区人大常委会办公室</w:t>
            </w:r>
          </w:p>
        </w:tc>
      </w:tr>
      <w:tr>
        <w:tblPrEx>
          <w:tblCellMar>
            <w:top w:w="0" w:type="dxa"/>
            <w:left w:w="0" w:type="dxa"/>
            <w:bottom w:w="0" w:type="dxa"/>
            <w:right w:w="0" w:type="dxa"/>
          </w:tblCellMar>
        </w:tblPrEx>
        <w:trPr>
          <w:trHeight w:val="276" w:hRule="atLeast"/>
          <w:jc w:val="center"/>
        </w:trPr>
        <w:tc>
          <w:tcPr>
            <w:tcW w:w="105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sz w:val="24"/>
              </w:rPr>
            </w:pPr>
            <w:r>
              <w:rPr>
                <w:color w:val="000000"/>
                <w:kern w:val="0"/>
                <w:sz w:val="24"/>
              </w:rPr>
              <w:t>预算执行情况(万元)</w:t>
            </w:r>
          </w:p>
        </w:tc>
        <w:tc>
          <w:tcPr>
            <w:tcW w:w="172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sz w:val="24"/>
              </w:rPr>
            </w:pPr>
            <w:r>
              <w:rPr>
                <w:color w:val="000000"/>
                <w:kern w:val="0"/>
                <w:sz w:val="24"/>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sz w:val="21"/>
                <w:szCs w:val="21"/>
              </w:rPr>
            </w:pPr>
            <w:r>
              <w:rPr>
                <w:rFonts w:eastAsiaTheme="minorEastAsia"/>
                <w:spacing w:val="-8"/>
                <w:sz w:val="24"/>
              </w:rPr>
              <w:t>6</w:t>
            </w:r>
            <w:r>
              <w:rPr>
                <w:rFonts w:eastAsia="Times New Roman"/>
                <w:spacing w:val="-8"/>
                <w:sz w:val="24"/>
              </w:rPr>
              <w:t>9.</w:t>
            </w:r>
            <w:r>
              <w:rPr>
                <w:rFonts w:eastAsiaTheme="minorEastAsia"/>
                <w:spacing w:val="-8"/>
                <w:sz w:val="24"/>
              </w:rPr>
              <w:t>95万元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sz w:val="24"/>
              </w:rPr>
            </w:pPr>
            <w:r>
              <w:rPr>
                <w:color w:val="000000"/>
                <w:kern w:val="0"/>
                <w:sz w:val="24"/>
              </w:rPr>
              <w:t>执行数: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sz w:val="21"/>
                <w:szCs w:val="21"/>
              </w:rPr>
            </w:pPr>
            <w:r>
              <w:rPr>
                <w:rFonts w:eastAsiaTheme="minorEastAsia"/>
                <w:spacing w:val="-8"/>
                <w:sz w:val="24"/>
              </w:rPr>
              <w:t>6</w:t>
            </w:r>
            <w:r>
              <w:rPr>
                <w:rFonts w:eastAsia="Times New Roman"/>
                <w:spacing w:val="-8"/>
                <w:sz w:val="24"/>
              </w:rPr>
              <w:t>9.</w:t>
            </w:r>
            <w:r>
              <w:rPr>
                <w:rFonts w:eastAsiaTheme="minorEastAsia"/>
                <w:spacing w:val="-8"/>
                <w:sz w:val="24"/>
              </w:rPr>
              <w:t>95万元</w:t>
            </w:r>
          </w:p>
        </w:tc>
      </w:tr>
      <w:tr>
        <w:tblPrEx>
          <w:tblCellMar>
            <w:top w:w="0" w:type="dxa"/>
            <w:left w:w="0" w:type="dxa"/>
            <w:bottom w:w="0" w:type="dxa"/>
            <w:right w:w="0" w:type="dxa"/>
          </w:tblCellMar>
        </w:tblPrEx>
        <w:trPr>
          <w:trHeight w:val="276" w:hRule="atLeast"/>
          <w:jc w:val="center"/>
        </w:trPr>
        <w:tc>
          <w:tcPr>
            <w:tcW w:w="10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adjustRightInd w:val="0"/>
              <w:snapToGrid w:val="0"/>
              <w:spacing w:line="592" w:lineRule="exact"/>
              <w:ind w:firstLine="480" w:firstLineChars="200"/>
              <w:jc w:val="center"/>
              <w:rPr>
                <w:color w:val="000000"/>
                <w:sz w:val="24"/>
              </w:rPr>
            </w:pPr>
          </w:p>
        </w:tc>
        <w:tc>
          <w:tcPr>
            <w:tcW w:w="172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sz w:val="24"/>
              </w:rPr>
            </w:pPr>
            <w:r>
              <w:rPr>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sz w:val="21"/>
                <w:szCs w:val="21"/>
              </w:rPr>
            </w:pPr>
            <w:r>
              <w:rPr>
                <w:rFonts w:eastAsiaTheme="minorEastAsia"/>
                <w:spacing w:val="-8"/>
                <w:sz w:val="24"/>
              </w:rPr>
              <w:t>6</w:t>
            </w:r>
            <w:r>
              <w:rPr>
                <w:rFonts w:eastAsia="Times New Roman"/>
                <w:spacing w:val="-8"/>
                <w:sz w:val="24"/>
              </w:rPr>
              <w:t>9.</w:t>
            </w:r>
            <w:r>
              <w:rPr>
                <w:rFonts w:eastAsiaTheme="minorEastAsia"/>
                <w:spacing w:val="-8"/>
                <w:sz w:val="24"/>
              </w:rPr>
              <w:t>95万元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sz w:val="24"/>
              </w:rPr>
            </w:pPr>
            <w:r>
              <w:rPr>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sz w:val="21"/>
                <w:szCs w:val="21"/>
              </w:rPr>
            </w:pPr>
            <w:r>
              <w:rPr>
                <w:rFonts w:eastAsiaTheme="minorEastAsia"/>
                <w:spacing w:val="-8"/>
                <w:sz w:val="24"/>
              </w:rPr>
              <w:t>6</w:t>
            </w:r>
            <w:r>
              <w:rPr>
                <w:rFonts w:eastAsia="Times New Roman"/>
                <w:spacing w:val="-8"/>
                <w:sz w:val="24"/>
              </w:rPr>
              <w:t>9.</w:t>
            </w:r>
            <w:r>
              <w:rPr>
                <w:rFonts w:eastAsiaTheme="minorEastAsia"/>
                <w:spacing w:val="-8"/>
                <w:sz w:val="24"/>
              </w:rPr>
              <w:t>95万元</w:t>
            </w:r>
          </w:p>
        </w:tc>
      </w:tr>
      <w:tr>
        <w:tblPrEx>
          <w:tblCellMar>
            <w:top w:w="0" w:type="dxa"/>
            <w:left w:w="0" w:type="dxa"/>
            <w:bottom w:w="0" w:type="dxa"/>
            <w:right w:w="0" w:type="dxa"/>
          </w:tblCellMar>
        </w:tblPrEx>
        <w:trPr>
          <w:trHeight w:val="90" w:hRule="atLeast"/>
          <w:jc w:val="center"/>
        </w:trPr>
        <w:tc>
          <w:tcPr>
            <w:tcW w:w="10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adjustRightInd w:val="0"/>
              <w:snapToGrid w:val="0"/>
              <w:spacing w:line="592" w:lineRule="exact"/>
              <w:ind w:firstLine="480" w:firstLineChars="200"/>
              <w:jc w:val="center"/>
              <w:rPr>
                <w:color w:val="000000"/>
                <w:sz w:val="24"/>
              </w:rPr>
            </w:pPr>
          </w:p>
        </w:tc>
        <w:tc>
          <w:tcPr>
            <w:tcW w:w="172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sz w:val="24"/>
              </w:rPr>
            </w:pPr>
            <w:r>
              <w:rPr>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sz w:val="24"/>
              </w:rPr>
            </w:pPr>
            <w:r>
              <w:rPr>
                <w:color w:val="000000"/>
                <w:sz w:val="24"/>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sz w:val="24"/>
              </w:rPr>
            </w:pPr>
            <w:r>
              <w:rPr>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adjustRightInd w:val="0"/>
              <w:snapToGrid w:val="0"/>
              <w:spacing w:line="592" w:lineRule="exact"/>
              <w:ind w:firstLine="480" w:firstLineChars="200"/>
              <w:jc w:val="center"/>
              <w:rPr>
                <w:color w:val="000000"/>
                <w:sz w:val="24"/>
              </w:rPr>
            </w:pPr>
            <w:r>
              <w:rPr>
                <w:color w:val="000000"/>
                <w:sz w:val="24"/>
              </w:rPr>
              <w:t>0</w:t>
            </w:r>
          </w:p>
        </w:tc>
      </w:tr>
      <w:tr>
        <w:tblPrEx>
          <w:tblCellMar>
            <w:top w:w="0" w:type="dxa"/>
            <w:left w:w="0" w:type="dxa"/>
            <w:bottom w:w="0" w:type="dxa"/>
            <w:right w:w="0" w:type="dxa"/>
          </w:tblCellMar>
        </w:tblPrEx>
        <w:trPr>
          <w:trHeight w:val="276" w:hRule="atLeast"/>
          <w:jc w:val="center"/>
        </w:trPr>
        <w:tc>
          <w:tcPr>
            <w:tcW w:w="105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sz w:val="24"/>
              </w:rPr>
            </w:pPr>
            <w:r>
              <w:rPr>
                <w:color w:val="000000"/>
                <w:kern w:val="0"/>
                <w:sz w:val="24"/>
              </w:rPr>
              <w:t>年度目标完成情况</w:t>
            </w:r>
          </w:p>
        </w:tc>
        <w:tc>
          <w:tcPr>
            <w:tcW w:w="4119"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sz w:val="24"/>
              </w:rPr>
            </w:pPr>
            <w:r>
              <w:rPr>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sz w:val="24"/>
              </w:rPr>
            </w:pPr>
            <w:r>
              <w:rPr>
                <w:color w:val="000000"/>
                <w:kern w:val="0"/>
                <w:sz w:val="24"/>
              </w:rPr>
              <w:t>实际完成目标</w:t>
            </w:r>
          </w:p>
        </w:tc>
      </w:tr>
      <w:tr>
        <w:tblPrEx>
          <w:tblCellMar>
            <w:top w:w="0" w:type="dxa"/>
            <w:left w:w="0" w:type="dxa"/>
            <w:bottom w:w="0" w:type="dxa"/>
            <w:right w:w="0" w:type="dxa"/>
          </w:tblCellMar>
        </w:tblPrEx>
        <w:trPr>
          <w:trHeight w:val="1060" w:hRule="atLeast"/>
          <w:jc w:val="center"/>
        </w:trPr>
        <w:tc>
          <w:tcPr>
            <w:tcW w:w="10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kern w:val="0"/>
                <w:sz w:val="24"/>
              </w:rPr>
            </w:pPr>
          </w:p>
        </w:tc>
        <w:tc>
          <w:tcPr>
            <w:tcW w:w="4119"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kern w:val="0"/>
                <w:sz w:val="24"/>
              </w:rPr>
            </w:pPr>
            <w:r>
              <w:rPr>
                <w:color w:val="000000"/>
                <w:kern w:val="0"/>
                <w:sz w:val="24"/>
              </w:rPr>
              <w:t>审议“一府两院”报告，民生实事项目票决事项决定等。</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kern w:val="0"/>
                <w:sz w:val="24"/>
              </w:rPr>
            </w:pPr>
            <w:r>
              <w:rPr>
                <w:color w:val="000000"/>
                <w:kern w:val="0"/>
                <w:sz w:val="24"/>
              </w:rPr>
              <w:t>审议“一府两院”报告，民生实事项目票决事项决定等。</w:t>
            </w:r>
          </w:p>
        </w:tc>
      </w:tr>
      <w:tr>
        <w:tblPrEx>
          <w:tblCellMar>
            <w:top w:w="0" w:type="dxa"/>
            <w:left w:w="0" w:type="dxa"/>
            <w:bottom w:w="0" w:type="dxa"/>
            <w:right w:w="0" w:type="dxa"/>
          </w:tblCellMar>
        </w:tblPrEx>
        <w:trPr>
          <w:trHeight w:val="1074" w:hRule="atLeast"/>
          <w:jc w:val="center"/>
        </w:trPr>
        <w:tc>
          <w:tcPr>
            <w:tcW w:w="105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绩效指标完成情况</w:t>
            </w:r>
          </w:p>
        </w:tc>
        <w:tc>
          <w:tcPr>
            <w:tcW w:w="8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一级指标</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实际完成指标值(包含数字及文字描述)</w:t>
            </w:r>
          </w:p>
        </w:tc>
      </w:tr>
      <w:tr>
        <w:tblPrEx>
          <w:tblCellMar>
            <w:top w:w="0" w:type="dxa"/>
            <w:left w:w="0" w:type="dxa"/>
            <w:bottom w:w="0" w:type="dxa"/>
            <w:right w:w="0" w:type="dxa"/>
          </w:tblCellMar>
        </w:tblPrEx>
        <w:trPr>
          <w:trHeight w:val="639" w:hRule="atLeast"/>
          <w:jc w:val="center"/>
        </w:trPr>
        <w:tc>
          <w:tcPr>
            <w:tcW w:w="1055" w:type="dxa"/>
            <w:vMerge w:val="continue"/>
            <w:tcBorders>
              <w:left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kern w:val="0"/>
                <w:sz w:val="24"/>
              </w:rPr>
            </w:pPr>
          </w:p>
        </w:tc>
        <w:tc>
          <w:tcPr>
            <w:tcW w:w="8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textAlignment w:val="center"/>
              <w:rPr>
                <w:color w:val="000000"/>
                <w:kern w:val="0"/>
                <w:sz w:val="24"/>
              </w:rPr>
            </w:pPr>
            <w:r>
              <w:rPr>
                <w:color w:val="000000"/>
                <w:kern w:val="0"/>
                <w:sz w:val="24"/>
              </w:rPr>
              <w:t>项目完成指标</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textAlignment w:val="center"/>
              <w:rPr>
                <w:color w:val="000000"/>
                <w:kern w:val="0"/>
                <w:sz w:val="24"/>
              </w:rPr>
            </w:pPr>
            <w:r>
              <w:rPr>
                <w:color w:val="000000"/>
                <w:kern w:val="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审议报告数量</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textAlignment w:val="center"/>
              <w:rPr>
                <w:color w:val="000000"/>
                <w:kern w:val="0"/>
                <w:sz w:val="24"/>
              </w:rPr>
            </w:pPr>
            <w:r>
              <w:rPr>
                <w:color w:val="000000"/>
                <w:kern w:val="0"/>
                <w:sz w:val="24"/>
              </w:rPr>
              <w:t>完成报告审议数量6个</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textAlignment w:val="center"/>
              <w:rPr>
                <w:color w:val="000000"/>
                <w:kern w:val="0"/>
                <w:sz w:val="24"/>
              </w:rPr>
            </w:pPr>
            <w:r>
              <w:rPr>
                <w:color w:val="000000"/>
                <w:kern w:val="0"/>
                <w:sz w:val="24"/>
              </w:rPr>
              <w:t>圆满完成预期指标。</w:t>
            </w:r>
          </w:p>
        </w:tc>
      </w:tr>
      <w:tr>
        <w:tblPrEx>
          <w:tblCellMar>
            <w:top w:w="0" w:type="dxa"/>
            <w:left w:w="0" w:type="dxa"/>
            <w:bottom w:w="0" w:type="dxa"/>
            <w:right w:w="0" w:type="dxa"/>
          </w:tblCellMar>
        </w:tblPrEx>
        <w:trPr>
          <w:trHeight w:val="1297" w:hRule="atLeast"/>
          <w:jc w:val="center"/>
        </w:trPr>
        <w:tc>
          <w:tcPr>
            <w:tcW w:w="1055" w:type="dxa"/>
            <w:vMerge w:val="continue"/>
            <w:tcBorders>
              <w:left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kern w:val="0"/>
                <w:sz w:val="24"/>
              </w:rPr>
            </w:pPr>
          </w:p>
        </w:tc>
        <w:tc>
          <w:tcPr>
            <w:tcW w:w="8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textAlignment w:val="center"/>
              <w:rPr>
                <w:color w:val="000000"/>
                <w:kern w:val="0"/>
                <w:sz w:val="24"/>
              </w:rPr>
            </w:pPr>
            <w:r>
              <w:rPr>
                <w:color w:val="000000"/>
                <w:kern w:val="0"/>
                <w:sz w:val="24"/>
              </w:rPr>
              <w:t>项目完成指标</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完成质量</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textAlignment w:val="center"/>
              <w:rPr>
                <w:color w:val="000000"/>
                <w:kern w:val="0"/>
                <w:sz w:val="24"/>
              </w:rPr>
            </w:pPr>
            <w:r>
              <w:rPr>
                <w:color w:val="000000"/>
                <w:kern w:val="0"/>
                <w:sz w:val="24"/>
              </w:rPr>
              <w:t>高质量完成各项任务，确保建议意见可转化、可利用，推动人大履职水平有效提高</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圆满完成预期指标。</w:t>
            </w:r>
          </w:p>
        </w:tc>
      </w:tr>
      <w:tr>
        <w:tblPrEx>
          <w:tblCellMar>
            <w:top w:w="0" w:type="dxa"/>
            <w:left w:w="0" w:type="dxa"/>
            <w:bottom w:w="0" w:type="dxa"/>
            <w:right w:w="0" w:type="dxa"/>
          </w:tblCellMar>
        </w:tblPrEx>
        <w:trPr>
          <w:trHeight w:val="1308" w:hRule="atLeast"/>
          <w:jc w:val="center"/>
        </w:trPr>
        <w:tc>
          <w:tcPr>
            <w:tcW w:w="1055" w:type="dxa"/>
            <w:vMerge w:val="continue"/>
            <w:tcBorders>
              <w:left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kern w:val="0"/>
                <w:sz w:val="24"/>
              </w:rPr>
            </w:pPr>
          </w:p>
        </w:tc>
        <w:tc>
          <w:tcPr>
            <w:tcW w:w="8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textAlignment w:val="center"/>
              <w:rPr>
                <w:color w:val="000000"/>
                <w:kern w:val="0"/>
                <w:sz w:val="24"/>
              </w:rPr>
            </w:pPr>
            <w:r>
              <w:rPr>
                <w:color w:val="000000"/>
                <w:kern w:val="0"/>
                <w:sz w:val="24"/>
              </w:rPr>
              <w:t>项目完成指标</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完成时效</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ind w:firstLine="480" w:firstLineChars="200"/>
              <w:jc w:val="center"/>
              <w:textAlignment w:val="center"/>
              <w:rPr>
                <w:color w:val="000000"/>
                <w:kern w:val="0"/>
                <w:sz w:val="24"/>
              </w:rPr>
            </w:pPr>
            <w:r>
              <w:rPr>
                <w:color w:val="000000"/>
                <w:kern w:val="0"/>
                <w:sz w:val="24"/>
              </w:rPr>
              <w:t>严格按照年初工作计划，在2020年规定时间节点完成规定任务。</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按时完成预期指标。</w:t>
            </w:r>
          </w:p>
        </w:tc>
      </w:tr>
      <w:tr>
        <w:tblPrEx>
          <w:tblCellMar>
            <w:top w:w="0" w:type="dxa"/>
            <w:left w:w="0" w:type="dxa"/>
            <w:bottom w:w="0" w:type="dxa"/>
            <w:right w:w="0" w:type="dxa"/>
          </w:tblCellMar>
        </w:tblPrEx>
        <w:trPr>
          <w:trHeight w:val="1042" w:hRule="atLeast"/>
          <w:jc w:val="center"/>
        </w:trPr>
        <w:tc>
          <w:tcPr>
            <w:tcW w:w="1055" w:type="dxa"/>
            <w:vMerge w:val="continue"/>
            <w:tcBorders>
              <w:left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kern w:val="0"/>
                <w:sz w:val="24"/>
              </w:rPr>
            </w:pPr>
          </w:p>
        </w:tc>
        <w:tc>
          <w:tcPr>
            <w:tcW w:w="8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效益指标</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经济效益 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经济效益</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ind w:firstLine="480" w:firstLineChars="200"/>
              <w:jc w:val="center"/>
              <w:textAlignment w:val="center"/>
              <w:rPr>
                <w:color w:val="000000"/>
                <w:kern w:val="0"/>
                <w:sz w:val="24"/>
              </w:rPr>
            </w:pPr>
            <w:r>
              <w:rPr>
                <w:color w:val="000000"/>
                <w:kern w:val="0"/>
                <w:sz w:val="24"/>
              </w:rPr>
              <w:t>形成意见建议，供市委、政府决策参考，通过成果转化，促进经济发展。</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圆满完成预期指标。</w:t>
            </w:r>
          </w:p>
        </w:tc>
      </w:tr>
      <w:tr>
        <w:tblPrEx>
          <w:tblCellMar>
            <w:top w:w="0" w:type="dxa"/>
            <w:left w:w="0" w:type="dxa"/>
            <w:bottom w:w="0" w:type="dxa"/>
            <w:right w:w="0" w:type="dxa"/>
          </w:tblCellMar>
        </w:tblPrEx>
        <w:trPr>
          <w:trHeight w:val="1367" w:hRule="atLeast"/>
          <w:jc w:val="center"/>
        </w:trPr>
        <w:tc>
          <w:tcPr>
            <w:tcW w:w="1055" w:type="dxa"/>
            <w:vMerge w:val="continue"/>
            <w:tcBorders>
              <w:left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kern w:val="0"/>
                <w:sz w:val="24"/>
              </w:rPr>
            </w:pPr>
          </w:p>
        </w:tc>
        <w:tc>
          <w:tcPr>
            <w:tcW w:w="8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效益指标</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社会效益 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社会效益</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ind w:firstLine="480" w:firstLineChars="200"/>
              <w:jc w:val="center"/>
              <w:textAlignment w:val="center"/>
              <w:rPr>
                <w:color w:val="000000"/>
                <w:kern w:val="0"/>
                <w:sz w:val="24"/>
              </w:rPr>
            </w:pPr>
            <w:r>
              <w:rPr>
                <w:color w:val="000000"/>
                <w:kern w:val="0"/>
                <w:sz w:val="24"/>
              </w:rPr>
              <w:t>选取改革发展中的重点问题和民生热点问题，提出建议意见供领导决策，通过成果转化，促进社会事业发展。</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圆满完成预期指标。</w:t>
            </w:r>
          </w:p>
        </w:tc>
      </w:tr>
      <w:tr>
        <w:tblPrEx>
          <w:tblCellMar>
            <w:top w:w="0" w:type="dxa"/>
            <w:left w:w="0" w:type="dxa"/>
            <w:bottom w:w="0" w:type="dxa"/>
            <w:right w:w="0" w:type="dxa"/>
          </w:tblCellMar>
        </w:tblPrEx>
        <w:trPr>
          <w:trHeight w:val="1050" w:hRule="atLeast"/>
          <w:jc w:val="center"/>
        </w:trPr>
        <w:tc>
          <w:tcPr>
            <w:tcW w:w="1055"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kern w:val="0"/>
                <w:sz w:val="24"/>
              </w:rPr>
            </w:pPr>
          </w:p>
        </w:tc>
        <w:tc>
          <w:tcPr>
            <w:tcW w:w="8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满意度指标</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社会满意 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社会满意度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100%</w:t>
            </w:r>
          </w:p>
        </w:tc>
      </w:tr>
    </w:tbl>
    <w:p>
      <w:pPr>
        <w:adjustRightInd w:val="0"/>
        <w:snapToGrid w:val="0"/>
        <w:spacing w:line="592" w:lineRule="exact"/>
        <w:ind w:firstLine="640" w:firstLineChars="200"/>
        <w:rPr>
          <w:szCs w:val="32"/>
        </w:rPr>
      </w:pPr>
      <w:r>
        <w:rPr>
          <w:rFonts w:eastAsia="楷体_GB2312"/>
          <w:szCs w:val="32"/>
        </w:rPr>
        <w:t>2.部门绩效评价结果。</w:t>
      </w:r>
    </w:p>
    <w:p>
      <w:pPr>
        <w:adjustRightInd w:val="0"/>
        <w:snapToGrid w:val="0"/>
        <w:spacing w:line="592" w:lineRule="exact"/>
        <w:ind w:firstLine="640" w:firstLineChars="200"/>
        <w:rPr>
          <w:szCs w:val="32"/>
        </w:rPr>
      </w:pPr>
      <w:r>
        <w:rPr>
          <w:szCs w:val="32"/>
        </w:rPr>
        <w:t>本部门按要求对2020年部门整体支出绩效评价情况开展自评，《自流井区人大办公室2020年部门整体支出绩效评价报告》见附件（附件1）。</w:t>
      </w:r>
    </w:p>
    <w:p>
      <w:pPr>
        <w:adjustRightInd w:val="0"/>
        <w:snapToGrid w:val="0"/>
        <w:spacing w:line="592" w:lineRule="exact"/>
        <w:ind w:firstLine="640" w:firstLineChars="200"/>
        <w:rPr>
          <w:b/>
          <w:color w:val="000000"/>
          <w:szCs w:val="32"/>
        </w:rPr>
      </w:pPr>
      <w:r>
        <w:rPr>
          <w:szCs w:val="32"/>
        </w:rPr>
        <w:t>本部门自行组织对、</w:t>
      </w:r>
      <w:r>
        <w:rPr>
          <w:rFonts w:eastAsia="Times New Roman"/>
          <w:szCs w:val="32"/>
        </w:rPr>
        <w:t>“</w:t>
      </w:r>
      <w:r>
        <w:rPr>
          <w:szCs w:val="32"/>
        </w:rPr>
        <w:t>十八届人大四次会议”项目开展了绩效评价，《“十八届人大四次会议”》项目2020年绩效评价报告》见附件（附件2）。（非涉密部门均需公开部门整体支出评价报告，部门自行组织的绩效评价情况根据部门实际公开，若未组织项目绩效评价，则只需说明部门整体支出绩效评价情况）</w:t>
      </w:r>
    </w:p>
    <w:p>
      <w:pPr>
        <w:widowControl/>
        <w:adjustRightInd w:val="0"/>
        <w:snapToGrid w:val="0"/>
        <w:spacing w:line="592" w:lineRule="exact"/>
        <w:ind w:firstLine="643" w:firstLineChars="200"/>
        <w:jc w:val="left"/>
        <w:rPr>
          <w:b/>
          <w:color w:val="000000"/>
          <w:szCs w:val="32"/>
        </w:rPr>
      </w:pPr>
      <w:r>
        <w:rPr>
          <w:b/>
          <w:color w:val="000000"/>
          <w:szCs w:val="32"/>
        </w:rPr>
        <w:br w:type="page"/>
      </w:r>
    </w:p>
    <w:p>
      <w:pPr>
        <w:numPr>
          <w:ilvl w:val="0"/>
          <w:numId w:val="2"/>
        </w:numPr>
        <w:adjustRightInd w:val="0"/>
        <w:snapToGrid w:val="0"/>
        <w:spacing w:line="592" w:lineRule="exact"/>
        <w:jc w:val="center"/>
        <w:outlineLvl w:val="0"/>
        <w:rPr>
          <w:rStyle w:val="13"/>
          <w:rFonts w:eastAsia="黑体"/>
          <w:b w:val="0"/>
        </w:rPr>
      </w:pPr>
      <w:bookmarkStart w:id="55" w:name="_Toc15396613"/>
      <w:bookmarkStart w:id="56" w:name="_Toc15377225"/>
      <w:bookmarkStart w:id="57" w:name="_Toc3536"/>
      <w:r>
        <w:rPr>
          <w:rFonts w:eastAsia="黑体"/>
          <w:color w:val="000000"/>
          <w:sz w:val="44"/>
          <w:szCs w:val="44"/>
        </w:rPr>
        <w:t>名</w:t>
      </w:r>
      <w:r>
        <w:rPr>
          <w:rStyle w:val="13"/>
          <w:rFonts w:eastAsia="黑体"/>
          <w:b w:val="0"/>
        </w:rPr>
        <w:t>词解释</w:t>
      </w:r>
      <w:bookmarkEnd w:id="55"/>
      <w:bookmarkEnd w:id="56"/>
      <w:bookmarkEnd w:id="57"/>
    </w:p>
    <w:p>
      <w:pPr>
        <w:adjustRightInd w:val="0"/>
        <w:snapToGrid w:val="0"/>
        <w:spacing w:line="592" w:lineRule="exact"/>
        <w:ind w:firstLine="883" w:firstLineChars="200"/>
        <w:jc w:val="left"/>
        <w:rPr>
          <w:b/>
          <w:color w:val="000000"/>
          <w:sz w:val="44"/>
          <w:szCs w:val="44"/>
        </w:rPr>
      </w:pPr>
    </w:p>
    <w:p>
      <w:pPr>
        <w:pStyle w:val="16"/>
        <w:snapToGrid w:val="0"/>
        <w:spacing w:line="592"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1.财政拨款收入：指单位从同级财政部门取得的财政预算资金。</w:t>
      </w:r>
    </w:p>
    <w:p>
      <w:pPr>
        <w:pStyle w:val="16"/>
        <w:snapToGrid w:val="0"/>
        <w:spacing w:line="592"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2.事业收入：指事业单位开展专业业务活动及辅助活动取得的收入。如（二级预算单位事业收入情况）等。</w:t>
      </w:r>
    </w:p>
    <w:p>
      <w:pPr>
        <w:pStyle w:val="16"/>
        <w:snapToGrid w:val="0"/>
        <w:spacing w:line="592"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3.经营收入：指事业单位在专业业务活动及其辅助活动之外开展非独立核算经营活动取得的收入。如（二级预算单位经营收入情况）等。</w:t>
      </w:r>
    </w:p>
    <w:p>
      <w:pPr>
        <w:pStyle w:val="16"/>
        <w:snapToGrid w:val="0"/>
        <w:spacing w:line="592"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4.其他收入：指单位取得的除上述收入以外的各项收入。主要是其他（收入类型）等。 </w:t>
      </w:r>
    </w:p>
    <w:p>
      <w:pPr>
        <w:pStyle w:val="16"/>
        <w:snapToGrid w:val="0"/>
        <w:spacing w:line="592"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5.使用非财政拨款结余：指事业单位使用以前年度积累的非财政拨款结余弥补当年收支差额的金额。 </w:t>
      </w:r>
    </w:p>
    <w:p>
      <w:pPr>
        <w:pStyle w:val="16"/>
        <w:snapToGrid w:val="0"/>
        <w:spacing w:line="592"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6.年初结转和结余：指以前年度尚未完成、结转到本年按有关规定继续使用的资金。 </w:t>
      </w:r>
    </w:p>
    <w:p>
      <w:pPr>
        <w:pStyle w:val="16"/>
        <w:snapToGrid w:val="0"/>
        <w:spacing w:line="592"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7.结余分配：指事业单位按照会计制度规定缴纳的所得税、提取的专用结余以及转入非财政拨款结余的金额等。</w:t>
      </w:r>
    </w:p>
    <w:p>
      <w:pPr>
        <w:pStyle w:val="16"/>
        <w:snapToGrid w:val="0"/>
        <w:spacing w:line="592"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8、年末结转和结余：指单位按有关规定结转到下年或以后年度继续使用的资金。</w:t>
      </w:r>
    </w:p>
    <w:p>
      <w:pPr>
        <w:adjustRightInd w:val="0"/>
        <w:snapToGrid w:val="0"/>
        <w:spacing w:line="592" w:lineRule="exact"/>
        <w:ind w:firstLine="640" w:firstLineChars="200"/>
        <w:rPr>
          <w:color w:val="000000"/>
          <w:szCs w:val="32"/>
        </w:rPr>
      </w:pPr>
      <w:r>
        <w:rPr>
          <w:color w:val="000000"/>
          <w:szCs w:val="32"/>
        </w:rPr>
        <w:t>9.</w:t>
      </w:r>
      <w:r>
        <w:rPr>
          <w:rFonts w:hint="eastAsia" w:ascii="Times New Roman" w:hAnsi="Times New Roman" w:eastAsia="仿宋_GB2312" w:cs="Times New Roman"/>
          <w:sz w:val="32"/>
          <w:szCs w:val="32"/>
        </w:rPr>
        <w:t>一般公共服务（类）</w:t>
      </w:r>
      <w:r>
        <w:rPr>
          <w:rFonts w:hint="eastAsia" w:ascii="Times New Roman" w:hAnsi="Times New Roman" w:eastAsia="仿宋_GB2312" w:cs="Times New Roman"/>
          <w:sz w:val="32"/>
          <w:szCs w:val="32"/>
          <w:lang w:eastAsia="zh-CN"/>
        </w:rPr>
        <w:t>人大</w:t>
      </w:r>
      <w:r>
        <w:rPr>
          <w:rFonts w:ascii="Times New Roman" w:hAnsi="Times New Roman" w:eastAsia="仿宋_GB2312" w:cs="Times New Roman"/>
          <w:sz w:val="32"/>
          <w:szCs w:val="32"/>
        </w:rPr>
        <w:t>事务</w:t>
      </w:r>
      <w:r>
        <w:rPr>
          <w:rFonts w:hint="eastAsia"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代表工作</w:t>
      </w:r>
      <w:r>
        <w:rPr>
          <w:rFonts w:hint="eastAsia" w:ascii="Times New Roman" w:hAnsi="Times New Roman" w:eastAsia="仿宋_GB2312" w:cs="Times New Roman"/>
          <w:sz w:val="32"/>
          <w:szCs w:val="32"/>
        </w:rPr>
        <w:t>（项）</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指人大代表开展各类视察等方面的支出。</w:t>
      </w:r>
    </w:p>
    <w:p>
      <w:pPr>
        <w:spacing w:line="580" w:lineRule="exact"/>
        <w:ind w:firstLine="570"/>
        <w:rPr>
          <w:rFonts w:hint="eastAsia" w:ascii="仿宋_GB2312" w:eastAsia="仿宋_GB2312"/>
          <w:sz w:val="32"/>
          <w:szCs w:val="32"/>
        </w:rPr>
      </w:pPr>
      <w:r>
        <w:rPr>
          <w:rFonts w:hint="eastAsia"/>
          <w:color w:val="000000"/>
          <w:szCs w:val="32"/>
          <w:lang w:val="en-US" w:eastAsia="zh-CN"/>
        </w:rPr>
        <w:t>10</w:t>
      </w:r>
      <w:r>
        <w:rPr>
          <w:color w:val="000000"/>
          <w:szCs w:val="32"/>
        </w:rPr>
        <w:t>.</w:t>
      </w:r>
      <w:r>
        <w:rPr>
          <w:rFonts w:hint="eastAsia" w:ascii="仿宋_GB2312" w:eastAsia="仿宋_GB2312"/>
          <w:color w:val="333333"/>
          <w:sz w:val="32"/>
          <w:szCs w:val="32"/>
        </w:rPr>
        <w:t>社会保障和就业（类）</w:t>
      </w:r>
      <w:r>
        <w:rPr>
          <w:rFonts w:hint="eastAsia" w:ascii="仿宋_GB2312" w:eastAsia="仿宋_GB2312"/>
          <w:color w:val="333333"/>
          <w:sz w:val="32"/>
          <w:szCs w:val="32"/>
          <w:lang w:eastAsia="zh-CN"/>
        </w:rPr>
        <w:t>行政事业单位养老</w:t>
      </w:r>
      <w:r>
        <w:rPr>
          <w:rFonts w:hint="eastAsia" w:ascii="仿宋_GB2312" w:eastAsia="仿宋_GB2312"/>
          <w:color w:val="333333"/>
          <w:sz w:val="32"/>
          <w:szCs w:val="32"/>
        </w:rPr>
        <w:t>（款）</w:t>
      </w:r>
      <w:r>
        <w:rPr>
          <w:rFonts w:hint="eastAsia" w:eastAsia="仿宋_GB2312"/>
          <w:sz w:val="32"/>
          <w:szCs w:val="32"/>
          <w:lang w:eastAsia="zh-CN"/>
        </w:rPr>
        <w:t>机关事业单位基本养老保险缴费</w:t>
      </w:r>
      <w:r>
        <w:rPr>
          <w:rFonts w:hint="eastAsia" w:ascii="仿宋_GB2312" w:eastAsia="仿宋_GB2312"/>
          <w:color w:val="333333"/>
          <w:sz w:val="32"/>
          <w:szCs w:val="32"/>
        </w:rPr>
        <w:t>（项）:</w:t>
      </w:r>
      <w:r>
        <w:rPr>
          <w:rFonts w:hint="eastAsia" w:ascii="仿宋_GB2312" w:eastAsia="仿宋_GB2312"/>
          <w:color w:val="333333"/>
          <w:sz w:val="32"/>
          <w:szCs w:val="32"/>
          <w:lang w:eastAsia="zh-CN"/>
        </w:rPr>
        <w:t>指</w:t>
      </w:r>
      <w:r>
        <w:rPr>
          <w:rFonts w:hint="eastAsia" w:eastAsia="仿宋_GB2312"/>
          <w:sz w:val="32"/>
          <w:szCs w:val="32"/>
          <w:lang w:eastAsia="zh-CN"/>
        </w:rPr>
        <w:t>机关事业单位实施养老保险制度由单位缴纳的基本养老保险费</w:t>
      </w:r>
      <w:r>
        <w:rPr>
          <w:rFonts w:eastAsia="仿宋_GB2312"/>
          <w:sz w:val="32"/>
          <w:szCs w:val="32"/>
        </w:rPr>
        <w:t>支出</w:t>
      </w:r>
      <w:r>
        <w:rPr>
          <w:rFonts w:hint="eastAsia" w:ascii="仿宋_GB2312" w:eastAsia="仿宋_GB2312"/>
          <w:sz w:val="32"/>
          <w:szCs w:val="32"/>
        </w:rPr>
        <w:t>。</w:t>
      </w:r>
    </w:p>
    <w:p>
      <w:pPr>
        <w:adjustRightInd w:val="0"/>
        <w:snapToGrid w:val="0"/>
        <w:spacing w:line="592" w:lineRule="exact"/>
        <w:ind w:firstLine="640" w:firstLineChars="200"/>
        <w:rPr>
          <w:rFonts w:hint="eastAsia" w:ascii="仿宋_GB2312" w:eastAsia="仿宋_GB2312"/>
          <w:color w:val="000000"/>
          <w:sz w:val="32"/>
          <w:szCs w:val="32"/>
        </w:rPr>
      </w:pPr>
      <w:r>
        <w:rPr>
          <w:color w:val="000000"/>
          <w:szCs w:val="32"/>
        </w:rPr>
        <w:t>1</w:t>
      </w:r>
      <w:r>
        <w:rPr>
          <w:rFonts w:hint="eastAsia"/>
          <w:color w:val="000000"/>
          <w:szCs w:val="32"/>
          <w:lang w:val="en-US" w:eastAsia="zh-CN"/>
        </w:rPr>
        <w:t>1</w:t>
      </w:r>
      <w:r>
        <w:rPr>
          <w:color w:val="000000"/>
          <w:szCs w:val="32"/>
        </w:rPr>
        <w:t>.</w:t>
      </w:r>
      <w:r>
        <w:rPr>
          <w:rFonts w:hint="eastAsia" w:ascii="仿宋_GB2312" w:eastAsia="仿宋_GB2312"/>
          <w:color w:val="000000"/>
          <w:sz w:val="32"/>
          <w:szCs w:val="32"/>
        </w:rPr>
        <w:t>卫生健康（类）行政事业单位医疗（款）行政单位医疗（项）：</w:t>
      </w:r>
      <w:r>
        <w:rPr>
          <w:rFonts w:hint="eastAsia" w:ascii="仿宋_GB2312" w:eastAsia="仿宋_GB2312"/>
          <w:color w:val="000000"/>
          <w:sz w:val="32"/>
          <w:szCs w:val="32"/>
          <w:lang w:eastAsia="zh-CN"/>
        </w:rPr>
        <w:t>指</w:t>
      </w:r>
      <w:r>
        <w:rPr>
          <w:rFonts w:hint="eastAsia" w:ascii="仿宋_GB2312" w:eastAsia="仿宋_GB2312"/>
          <w:color w:val="000000"/>
          <w:sz w:val="32"/>
          <w:szCs w:val="32"/>
        </w:rPr>
        <w:t>机关及参公管理事业单位基本医疗保险缴费支出。</w:t>
      </w:r>
    </w:p>
    <w:p>
      <w:pPr>
        <w:adjustRightInd w:val="0"/>
        <w:snapToGrid w:val="0"/>
        <w:spacing w:line="592" w:lineRule="exact"/>
        <w:ind w:firstLine="640" w:firstLineChars="200"/>
        <w:rPr>
          <w:color w:val="000000"/>
          <w:szCs w:val="32"/>
        </w:rPr>
      </w:pPr>
      <w:r>
        <w:rPr>
          <w:rFonts w:hint="eastAsia"/>
          <w:color w:val="000000"/>
          <w:szCs w:val="32"/>
          <w:lang w:val="en-US" w:eastAsia="zh-CN"/>
        </w:rPr>
        <w:t>12</w:t>
      </w:r>
      <w:r>
        <w:rPr>
          <w:color w:val="000000"/>
          <w:szCs w:val="32"/>
        </w:rPr>
        <w:t>.</w:t>
      </w:r>
      <w:r>
        <w:rPr>
          <w:rFonts w:hint="eastAsia" w:ascii="仿宋_GB2312" w:eastAsia="仿宋_GB2312"/>
          <w:color w:val="000000"/>
          <w:sz w:val="32"/>
          <w:szCs w:val="32"/>
        </w:rPr>
        <w:t>住房保障（类）住房改革支出（款）住房公积金（项）</w:t>
      </w:r>
      <w:r>
        <w:rPr>
          <w:rFonts w:hint="eastAsia" w:ascii="仿宋_GB2312" w:eastAsia="仿宋_GB2312"/>
          <w:color w:val="000000"/>
          <w:sz w:val="32"/>
          <w:szCs w:val="32"/>
          <w:lang w:eastAsia="zh-CN"/>
        </w:rPr>
        <w:t>指</w:t>
      </w:r>
      <w:r>
        <w:rPr>
          <w:rFonts w:hint="eastAsia" w:ascii="仿宋_GB2312" w:eastAsia="仿宋_GB2312"/>
          <w:color w:val="000000"/>
          <w:sz w:val="32"/>
          <w:szCs w:val="32"/>
        </w:rPr>
        <w:t>部门按人力资源和社会保障部、财政部规定的基本工资和津贴补贴以及规定比例为职工缴纳的住房公积金支出。</w:t>
      </w:r>
    </w:p>
    <w:p>
      <w:pPr>
        <w:adjustRightInd w:val="0"/>
        <w:snapToGrid w:val="0"/>
        <w:spacing w:line="592" w:lineRule="exact"/>
        <w:ind w:firstLine="640" w:firstLineChars="200"/>
        <w:rPr>
          <w:color w:val="000000"/>
          <w:szCs w:val="32"/>
        </w:rPr>
      </w:pPr>
      <w:r>
        <w:rPr>
          <w:rFonts w:hint="eastAsia"/>
          <w:color w:val="000000"/>
          <w:szCs w:val="32"/>
          <w:lang w:val="en-US" w:eastAsia="zh-CN"/>
        </w:rPr>
        <w:t>13</w:t>
      </w:r>
      <w:r>
        <w:rPr>
          <w:color w:val="000000"/>
          <w:szCs w:val="32"/>
        </w:rPr>
        <w:t>.基本支出：指为保障机构正常运转、完成日常工作任务而发生的人员支出和公用支出。</w:t>
      </w:r>
    </w:p>
    <w:p>
      <w:pPr>
        <w:adjustRightInd w:val="0"/>
        <w:snapToGrid w:val="0"/>
        <w:spacing w:line="592" w:lineRule="exact"/>
        <w:ind w:firstLine="640" w:firstLineChars="200"/>
        <w:rPr>
          <w:color w:val="000000"/>
          <w:szCs w:val="32"/>
        </w:rPr>
      </w:pPr>
      <w:r>
        <w:rPr>
          <w:rFonts w:hint="eastAsia"/>
          <w:color w:val="000000"/>
          <w:szCs w:val="32"/>
          <w:lang w:val="en-US" w:eastAsia="zh-CN"/>
        </w:rPr>
        <w:t>14</w:t>
      </w:r>
      <w:r>
        <w:rPr>
          <w:color w:val="000000"/>
          <w:szCs w:val="32"/>
        </w:rPr>
        <w:t xml:space="preserve">.项目支出：指在基本支出之外为完成特定行政任务和事业发展目标所发生的支出。 </w:t>
      </w:r>
    </w:p>
    <w:p>
      <w:pPr>
        <w:adjustRightInd w:val="0"/>
        <w:snapToGrid w:val="0"/>
        <w:spacing w:line="592" w:lineRule="exact"/>
        <w:ind w:firstLine="640" w:firstLineChars="200"/>
        <w:rPr>
          <w:color w:val="000000"/>
          <w:szCs w:val="32"/>
        </w:rPr>
      </w:pPr>
      <w:r>
        <w:rPr>
          <w:rFonts w:hint="eastAsia"/>
          <w:color w:val="000000"/>
          <w:szCs w:val="32"/>
          <w:lang w:val="en-US" w:eastAsia="zh-CN"/>
        </w:rPr>
        <w:t>15</w:t>
      </w:r>
      <w:r>
        <w:rPr>
          <w:color w:val="000000"/>
          <w:szCs w:val="32"/>
        </w:rPr>
        <w:t>.经营支出：指事业单位在专业业务活动及其辅助活动之外开展非独立核算经营活动发生的支出。</w:t>
      </w:r>
    </w:p>
    <w:p>
      <w:pPr>
        <w:pStyle w:val="16"/>
        <w:snapToGrid w:val="0"/>
        <w:spacing w:line="592"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16</w:t>
      </w:r>
      <w:r>
        <w:rPr>
          <w:rFonts w:ascii="Times New Roman" w:hAnsi="Times New Roman" w:eastAsia="仿宋_GB2312" w:cs="Times New Roman"/>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6"/>
        <w:snapToGrid w:val="0"/>
        <w:spacing w:line="592"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17</w:t>
      </w:r>
      <w:bookmarkStart w:id="91" w:name="_GoBack"/>
      <w:bookmarkEnd w:id="91"/>
      <w:r>
        <w:rPr>
          <w:rFonts w:ascii="Times New Roman" w:hAnsi="Times New Roman" w:eastAsia="仿宋_GB2312" w:cs="Times New Roman"/>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6"/>
        <w:snapToGrid w:val="0"/>
        <w:spacing w:line="592" w:lineRule="exact"/>
        <w:ind w:firstLine="640" w:firstLineChars="200"/>
        <w:rPr>
          <w:rFonts w:ascii="Times New Roman" w:hAnsi="Times New Roman" w:eastAsia="仿宋_GB2312" w:cs="Times New Roman"/>
          <w:sz w:val="32"/>
          <w:szCs w:val="32"/>
        </w:rPr>
      </w:pPr>
    </w:p>
    <w:p>
      <w:pPr>
        <w:adjustRightInd w:val="0"/>
        <w:snapToGrid w:val="0"/>
        <w:spacing w:line="592" w:lineRule="exact"/>
        <w:ind w:firstLine="883" w:firstLineChars="200"/>
        <w:jc w:val="center"/>
        <w:outlineLvl w:val="0"/>
        <w:rPr>
          <w:rStyle w:val="13"/>
          <w:rFonts w:eastAsia="黑体"/>
          <w:b w:val="0"/>
        </w:rPr>
      </w:pPr>
      <w:bookmarkStart w:id="58" w:name="_Toc15377226"/>
      <w:r>
        <w:rPr>
          <w:b/>
          <w:color w:val="000000"/>
          <w:sz w:val="44"/>
          <w:szCs w:val="44"/>
        </w:rPr>
        <w:br w:type="page"/>
      </w:r>
      <w:bookmarkStart w:id="59" w:name="_Toc11207"/>
      <w:bookmarkStart w:id="60" w:name="_Toc15396614"/>
      <w:r>
        <w:rPr>
          <w:rFonts w:eastAsia="黑体"/>
          <w:color w:val="000000"/>
          <w:sz w:val="44"/>
          <w:szCs w:val="44"/>
        </w:rPr>
        <w:t>第</w:t>
      </w:r>
      <w:r>
        <w:rPr>
          <w:rStyle w:val="13"/>
          <w:rFonts w:eastAsia="黑体"/>
          <w:b w:val="0"/>
        </w:rPr>
        <w:t>四部分 附件</w:t>
      </w:r>
      <w:bookmarkEnd w:id="59"/>
      <w:bookmarkEnd w:id="60"/>
    </w:p>
    <w:p>
      <w:pPr>
        <w:adjustRightInd w:val="0"/>
        <w:snapToGrid w:val="0"/>
        <w:spacing w:line="592" w:lineRule="exact"/>
        <w:ind w:firstLine="640" w:firstLineChars="200"/>
        <w:jc w:val="left"/>
        <w:outlineLvl w:val="1"/>
        <w:rPr>
          <w:rFonts w:eastAsia="方正小标宋简体"/>
          <w:szCs w:val="32"/>
        </w:rPr>
      </w:pPr>
      <w:bookmarkStart w:id="61" w:name="_Toc22930"/>
      <w:r>
        <w:rPr>
          <w:rFonts w:eastAsia="黑体"/>
          <w:szCs w:val="32"/>
        </w:rPr>
        <w:t>附件1</w:t>
      </w:r>
      <w:bookmarkEnd w:id="61"/>
    </w:p>
    <w:p>
      <w:pPr>
        <w:adjustRightInd w:val="0"/>
        <w:snapToGrid w:val="0"/>
        <w:spacing w:line="592" w:lineRule="exact"/>
        <w:ind w:firstLine="880" w:firstLineChars="200"/>
        <w:jc w:val="center"/>
        <w:rPr>
          <w:rFonts w:eastAsia="方正小标宋简体"/>
          <w:sz w:val="44"/>
          <w:szCs w:val="44"/>
        </w:rPr>
      </w:pPr>
    </w:p>
    <w:p>
      <w:pPr>
        <w:adjustRightInd w:val="0"/>
        <w:snapToGrid w:val="0"/>
        <w:spacing w:line="592" w:lineRule="exact"/>
        <w:ind w:firstLine="800" w:firstLineChars="200"/>
        <w:jc w:val="center"/>
        <w:rPr>
          <w:rFonts w:eastAsia="方正小标宋简体"/>
          <w:color w:val="000000"/>
          <w:kern w:val="0"/>
          <w:sz w:val="40"/>
          <w:szCs w:val="44"/>
        </w:rPr>
      </w:pPr>
      <w:r>
        <w:rPr>
          <w:rFonts w:eastAsia="方正小标宋简体"/>
          <w:color w:val="000000"/>
          <w:kern w:val="0"/>
          <w:sz w:val="40"/>
          <w:szCs w:val="44"/>
        </w:rPr>
        <w:t>自流井区人大办公室</w:t>
      </w:r>
    </w:p>
    <w:p>
      <w:pPr>
        <w:adjustRightInd w:val="0"/>
        <w:snapToGrid w:val="0"/>
        <w:spacing w:line="592" w:lineRule="exact"/>
        <w:ind w:firstLine="800" w:firstLineChars="200"/>
        <w:jc w:val="center"/>
        <w:rPr>
          <w:rFonts w:eastAsia="方正小标宋简体"/>
          <w:color w:val="000000"/>
          <w:kern w:val="0"/>
          <w:sz w:val="40"/>
          <w:szCs w:val="44"/>
          <w:lang w:val="zh-CN"/>
        </w:rPr>
      </w:pPr>
      <w:r>
        <w:rPr>
          <w:rFonts w:eastAsia="方正小标宋简体"/>
          <w:color w:val="000000"/>
          <w:kern w:val="0"/>
          <w:sz w:val="40"/>
          <w:szCs w:val="44"/>
        </w:rPr>
        <w:t>2020年部门</w:t>
      </w:r>
      <w:r>
        <w:rPr>
          <w:rFonts w:eastAsia="方正小标宋简体"/>
          <w:color w:val="000000"/>
          <w:kern w:val="0"/>
          <w:sz w:val="40"/>
          <w:szCs w:val="44"/>
          <w:lang w:val="zh-CN"/>
        </w:rPr>
        <w:t>整体支出绩效评价报告</w:t>
      </w:r>
    </w:p>
    <w:p>
      <w:pPr>
        <w:widowControl/>
        <w:adjustRightInd w:val="0"/>
        <w:snapToGrid w:val="0"/>
        <w:spacing w:line="592" w:lineRule="exact"/>
        <w:ind w:firstLine="480" w:firstLineChars="200"/>
        <w:contextualSpacing/>
        <w:jc w:val="left"/>
        <w:rPr>
          <w:rFonts w:eastAsia="黑体"/>
          <w:color w:val="000000"/>
          <w:kern w:val="0"/>
          <w:sz w:val="24"/>
          <w:szCs w:val="32"/>
          <w:shd w:val="clear" w:color="auto" w:fill="FFFFFF"/>
        </w:rPr>
      </w:pPr>
    </w:p>
    <w:p>
      <w:pPr>
        <w:widowControl/>
        <w:adjustRightInd w:val="0"/>
        <w:snapToGrid w:val="0"/>
        <w:spacing w:line="592" w:lineRule="exact"/>
        <w:ind w:firstLine="640" w:firstLineChars="200"/>
        <w:contextualSpacing/>
        <w:jc w:val="left"/>
        <w:rPr>
          <w:rFonts w:eastAsia="黑体"/>
          <w:color w:val="000000"/>
          <w:kern w:val="0"/>
          <w:szCs w:val="32"/>
          <w:shd w:val="clear" w:color="auto" w:fill="FFFFFF"/>
          <w:lang w:val="zh-CN"/>
        </w:rPr>
      </w:pPr>
      <w:r>
        <w:rPr>
          <w:rFonts w:eastAsia="黑体"/>
          <w:color w:val="000000"/>
          <w:kern w:val="0"/>
          <w:szCs w:val="32"/>
          <w:shd w:val="clear" w:color="auto" w:fill="FFFFFF"/>
        </w:rPr>
        <w:t>一、</w:t>
      </w:r>
      <w:r>
        <w:rPr>
          <w:rFonts w:eastAsia="黑体"/>
          <w:color w:val="000000"/>
          <w:kern w:val="0"/>
          <w:szCs w:val="32"/>
          <w:shd w:val="clear" w:color="auto" w:fill="FFFFFF"/>
          <w:lang w:val="zh-CN"/>
        </w:rPr>
        <w:t>部门（单位）概况</w:t>
      </w:r>
    </w:p>
    <w:p>
      <w:pPr>
        <w:adjustRightInd w:val="0"/>
        <w:snapToGrid w:val="0"/>
        <w:spacing w:line="592" w:lineRule="exact"/>
        <w:ind w:firstLine="643" w:firstLineChars="200"/>
        <w:rPr>
          <w:rFonts w:eastAsia="仿宋"/>
          <w:szCs w:val="32"/>
        </w:rPr>
      </w:pPr>
      <w:r>
        <w:rPr>
          <w:rFonts w:eastAsia="楷体_GB2312"/>
          <w:b/>
          <w:szCs w:val="32"/>
          <w:lang w:val="zh-CN"/>
        </w:rPr>
        <w:t>（一）机构组成。</w:t>
      </w:r>
      <w:r>
        <w:rPr>
          <w:rFonts w:eastAsiaTheme="minorEastAsia"/>
          <w:spacing w:val="-6"/>
          <w:szCs w:val="32"/>
        </w:rPr>
        <w:t>自流井区</w:t>
      </w:r>
      <w:r>
        <w:rPr>
          <w:rFonts w:eastAsia="仿宋"/>
          <w:spacing w:val="-6"/>
          <w:szCs w:val="32"/>
        </w:rPr>
        <w:t>人大常委会办公室属一级预算单位，无下属二级预</w:t>
      </w:r>
      <w:r>
        <w:rPr>
          <w:rFonts w:eastAsia="仿宋"/>
          <w:spacing w:val="-13"/>
          <w:szCs w:val="32"/>
        </w:rPr>
        <w:t>算单位。</w:t>
      </w:r>
    </w:p>
    <w:p>
      <w:pPr>
        <w:pStyle w:val="4"/>
        <w:adjustRightInd w:val="0"/>
        <w:snapToGrid w:val="0"/>
        <w:spacing w:beforeLines="0" w:line="592" w:lineRule="exact"/>
        <w:ind w:firstLine="643" w:firstLineChars="200"/>
        <w:rPr>
          <w:rFonts w:ascii="Times New Roman"/>
          <w:sz w:val="32"/>
          <w:szCs w:val="32"/>
        </w:rPr>
      </w:pPr>
      <w:r>
        <w:rPr>
          <w:rFonts w:ascii="Times New Roman" w:eastAsia="楷体_GB2312"/>
          <w:b/>
          <w:kern w:val="2"/>
          <w:sz w:val="32"/>
          <w:szCs w:val="32"/>
          <w:lang w:val="zh-CN"/>
        </w:rPr>
        <w:t>（二）机构职能。</w:t>
      </w:r>
      <w:r>
        <w:rPr>
          <w:rFonts w:ascii="Times New Roman"/>
          <w:sz w:val="32"/>
          <w:szCs w:val="32"/>
        </w:rPr>
        <w:t>自流井区人大常委会办公室按照加强法律监督和工作监督的原则，理顺职责关系，建立高效的运行机制，为区人大及其常委会依法履行国家权力机关职能提供可靠的组织保障等工作。</w:t>
      </w:r>
    </w:p>
    <w:p>
      <w:pPr>
        <w:adjustRightInd w:val="0"/>
        <w:snapToGrid w:val="0"/>
        <w:spacing w:line="592" w:lineRule="exact"/>
        <w:ind w:firstLine="643" w:firstLineChars="200"/>
        <w:rPr>
          <w:color w:val="000000"/>
          <w:kern w:val="0"/>
          <w:szCs w:val="32"/>
          <w:shd w:val="clear" w:color="auto" w:fill="FFFFFF"/>
          <w:lang w:val="zh-CN"/>
        </w:rPr>
      </w:pPr>
      <w:r>
        <w:rPr>
          <w:rFonts w:eastAsia="楷体_GB2312"/>
          <w:b/>
          <w:szCs w:val="32"/>
          <w:lang w:val="zh-CN"/>
        </w:rPr>
        <w:t>（三）人员概况。</w:t>
      </w:r>
      <w:r>
        <w:rPr>
          <w:kern w:val="0"/>
          <w:szCs w:val="32"/>
        </w:rPr>
        <w:t>2020年末机关核定编制24名，其中行政编制23名，事业编制0名，工勤编制1名。年末实际人数90人，其中在职34人，离休1人，退休55人。</w:t>
      </w:r>
    </w:p>
    <w:p>
      <w:pPr>
        <w:widowControl/>
        <w:adjustRightInd w:val="0"/>
        <w:snapToGrid w:val="0"/>
        <w:spacing w:line="592" w:lineRule="exact"/>
        <w:ind w:firstLine="640" w:firstLineChars="200"/>
        <w:contextualSpacing/>
        <w:jc w:val="left"/>
        <w:rPr>
          <w:rFonts w:eastAsia="黑体"/>
          <w:color w:val="000000"/>
          <w:kern w:val="0"/>
          <w:szCs w:val="32"/>
          <w:shd w:val="clear" w:color="auto" w:fill="FFFFFF"/>
        </w:rPr>
      </w:pPr>
      <w:r>
        <w:rPr>
          <w:rFonts w:eastAsia="黑体"/>
          <w:color w:val="000000"/>
          <w:kern w:val="0"/>
          <w:szCs w:val="32"/>
          <w:shd w:val="clear" w:color="auto" w:fill="FFFFFF"/>
        </w:rPr>
        <w:t>二、部门财政资金收支情况</w:t>
      </w:r>
    </w:p>
    <w:p>
      <w:pPr>
        <w:adjustRightInd w:val="0"/>
        <w:snapToGrid w:val="0"/>
        <w:spacing w:line="592" w:lineRule="exact"/>
        <w:ind w:firstLine="643" w:firstLineChars="200"/>
        <w:rPr>
          <w:kern w:val="0"/>
          <w:szCs w:val="32"/>
          <w:lang w:val="zh-CN"/>
        </w:rPr>
      </w:pPr>
      <w:r>
        <w:rPr>
          <w:rFonts w:eastAsia="楷体_GB2312"/>
          <w:b/>
          <w:szCs w:val="32"/>
          <w:lang w:val="zh-CN"/>
        </w:rPr>
        <w:t>（一）部门财政资金收入情况。</w:t>
      </w:r>
      <w:r>
        <w:rPr>
          <w:kern w:val="0"/>
          <w:szCs w:val="32"/>
        </w:rPr>
        <w:t>2020年本年收入合计980.26万元，其中：一般公共预算财政拨款收入98.26万元，占100.00%；政府性基金预算财政拨款收入0万元，占0%；上级补助收入0万元，占0%；事业收入0万元，占0%；经营收入0万元，占0%；附属单位上缴收入0万元，占0%；其他收入0万元，占0%。</w:t>
      </w:r>
    </w:p>
    <w:p>
      <w:pPr>
        <w:adjustRightInd w:val="0"/>
        <w:snapToGrid w:val="0"/>
        <w:spacing w:line="592" w:lineRule="exact"/>
        <w:ind w:firstLine="643" w:firstLineChars="200"/>
        <w:rPr>
          <w:kern w:val="0"/>
          <w:szCs w:val="32"/>
        </w:rPr>
      </w:pPr>
      <w:r>
        <w:rPr>
          <w:rFonts w:eastAsia="楷体_GB2312"/>
          <w:b/>
          <w:szCs w:val="32"/>
          <w:lang w:val="zh-CN"/>
        </w:rPr>
        <w:t>（二）部门财政资金支出情况。</w:t>
      </w:r>
      <w:r>
        <w:rPr>
          <w:kern w:val="0"/>
          <w:szCs w:val="32"/>
        </w:rPr>
        <w:t>2020年本年支出合计980.26万元，其中：基本支出848.66万元，占86.57%；项目支出131.60元，占13.43%；上缴上级支出0万元，占0%；经营支出0万元，占0%；对附属单位补助支出0万元，占0%。</w:t>
      </w:r>
    </w:p>
    <w:p>
      <w:pPr>
        <w:adjustRightInd w:val="0"/>
        <w:snapToGrid w:val="0"/>
        <w:spacing w:line="592" w:lineRule="exact"/>
        <w:ind w:firstLine="640" w:firstLineChars="200"/>
        <w:rPr>
          <w:rFonts w:eastAsia="黑体"/>
          <w:color w:val="000000"/>
          <w:kern w:val="0"/>
          <w:szCs w:val="32"/>
          <w:shd w:val="clear" w:color="auto" w:fill="FFFFFF"/>
        </w:rPr>
      </w:pPr>
      <w:r>
        <w:rPr>
          <w:rFonts w:eastAsia="黑体"/>
          <w:color w:val="000000"/>
          <w:kern w:val="0"/>
          <w:szCs w:val="32"/>
          <w:shd w:val="clear" w:color="auto" w:fill="FFFFFF"/>
        </w:rPr>
        <w:t>三、部门整体预算绩效管理情况</w:t>
      </w:r>
    </w:p>
    <w:p>
      <w:pPr>
        <w:adjustRightInd w:val="0"/>
        <w:snapToGrid w:val="0"/>
        <w:spacing w:line="592" w:lineRule="exact"/>
        <w:ind w:firstLine="643" w:firstLineChars="200"/>
        <w:rPr>
          <w:rFonts w:eastAsia="楷体_GB2312"/>
          <w:b/>
          <w:szCs w:val="32"/>
          <w:lang w:val="zh-CN"/>
        </w:rPr>
      </w:pPr>
      <w:r>
        <w:rPr>
          <w:rFonts w:eastAsia="楷体_GB2312"/>
          <w:b/>
          <w:szCs w:val="32"/>
          <w:lang w:val="zh-CN"/>
        </w:rPr>
        <w:t>（一）部门预算管理</w:t>
      </w:r>
    </w:p>
    <w:p>
      <w:pPr>
        <w:adjustRightInd w:val="0"/>
        <w:snapToGrid w:val="0"/>
        <w:spacing w:line="592" w:lineRule="exact"/>
        <w:ind w:firstLine="640" w:firstLineChars="200"/>
        <w:rPr>
          <w:kern w:val="0"/>
          <w:szCs w:val="32"/>
          <w:lang w:val="zh-CN"/>
        </w:rPr>
      </w:pPr>
      <w:r>
        <w:rPr>
          <w:kern w:val="0"/>
          <w:szCs w:val="32"/>
          <w:lang w:val="zh-CN"/>
        </w:rPr>
        <w:t>按照预算编制要求，自流井区人大常委会办公室提前谋划 2020年预算编制工作。在充分征求机关各委（室）及分管领导意见的基础上完成预算项目库更新工作，参照 2019年项目执行情况以及 2020年重点工作安排，按照保重点支出要求，充分考虑预算年度增减变动因素及厉行节约的前提下，合理编报了本单位预算草案，提交区人大常委会党组讨论研究，在此基础上完成了 2020年部门预算的编报工作。</w:t>
      </w:r>
    </w:p>
    <w:p>
      <w:pPr>
        <w:adjustRightInd w:val="0"/>
        <w:snapToGrid w:val="0"/>
        <w:spacing w:line="592" w:lineRule="exact"/>
        <w:ind w:firstLine="643" w:firstLineChars="200"/>
        <w:rPr>
          <w:rFonts w:eastAsia="楷体_GB2312"/>
          <w:b/>
          <w:szCs w:val="32"/>
          <w:lang w:val="zh-CN"/>
        </w:rPr>
      </w:pPr>
      <w:r>
        <w:rPr>
          <w:rFonts w:eastAsia="楷体_GB2312"/>
          <w:b/>
          <w:szCs w:val="32"/>
          <w:lang w:val="zh-CN"/>
        </w:rPr>
        <w:t>（二）结果应用情况</w:t>
      </w:r>
    </w:p>
    <w:p>
      <w:pPr>
        <w:adjustRightInd w:val="0"/>
        <w:snapToGrid w:val="0"/>
        <w:spacing w:line="592" w:lineRule="exact"/>
        <w:ind w:firstLine="640" w:firstLineChars="200"/>
        <w:rPr>
          <w:kern w:val="0"/>
          <w:szCs w:val="32"/>
          <w:lang w:val="zh-CN"/>
        </w:rPr>
      </w:pPr>
      <w:r>
        <w:rPr>
          <w:kern w:val="0"/>
          <w:szCs w:val="32"/>
          <w:lang w:val="zh-CN"/>
        </w:rPr>
        <w:t>2020年，参与了1次市人代会、1次区人代会、4次常委会会议、11次主任会议的组织和服务工作。</w:t>
      </w:r>
    </w:p>
    <w:p>
      <w:pPr>
        <w:adjustRightInd w:val="0"/>
        <w:snapToGrid w:val="0"/>
        <w:spacing w:line="592" w:lineRule="exact"/>
        <w:ind w:firstLine="640" w:firstLineChars="200"/>
        <w:rPr>
          <w:kern w:val="0"/>
          <w:szCs w:val="32"/>
          <w:lang w:val="zh-CN"/>
        </w:rPr>
      </w:pPr>
      <w:r>
        <w:rPr>
          <w:kern w:val="0"/>
          <w:szCs w:val="32"/>
          <w:lang w:val="zh-CN"/>
        </w:rPr>
        <w:t>一是扎实做好区十八届人大四次会议的各项服务保障工作，确保大会顺利召开。区十八届人大五次会议的各项筹备工作，也在有条不紊的进行。</w:t>
      </w:r>
    </w:p>
    <w:p>
      <w:pPr>
        <w:adjustRightInd w:val="0"/>
        <w:snapToGrid w:val="0"/>
        <w:spacing w:line="592" w:lineRule="exact"/>
        <w:ind w:firstLine="640" w:firstLineChars="200"/>
        <w:rPr>
          <w:kern w:val="0"/>
          <w:szCs w:val="32"/>
          <w:lang w:val="zh-CN"/>
        </w:rPr>
      </w:pPr>
      <w:r>
        <w:rPr>
          <w:kern w:val="0"/>
          <w:szCs w:val="32"/>
          <w:lang w:val="zh-CN"/>
        </w:rPr>
        <w:t>二是常委会会议的保障更加规范。从会前的议题准备、会议通知、会议材料起草和格式规范、会场安排布置，到会议期间会场的服务等各个方面，都做到细致周到。</w:t>
      </w:r>
    </w:p>
    <w:p>
      <w:pPr>
        <w:adjustRightInd w:val="0"/>
        <w:snapToGrid w:val="0"/>
        <w:spacing w:line="592" w:lineRule="exact"/>
        <w:ind w:firstLine="640" w:firstLineChars="200"/>
        <w:rPr>
          <w:kern w:val="0"/>
          <w:szCs w:val="32"/>
          <w:lang w:val="zh-CN"/>
        </w:rPr>
      </w:pPr>
      <w:r>
        <w:rPr>
          <w:kern w:val="0"/>
          <w:szCs w:val="32"/>
          <w:lang w:val="zh-CN"/>
        </w:rPr>
        <w:t>三是主任会议服务工作更加精细。进一步规范了主任会议文件的体例格式和时限要求，每次召开会议之前，根据年度计划和领导安排，与各委室进行充分沟通，提出会议建议议题，做好会议材料收集、会议人员落实等工作，确保主任会议顺利进行。</w:t>
      </w:r>
    </w:p>
    <w:p>
      <w:pPr>
        <w:widowControl/>
        <w:adjustRightInd w:val="0"/>
        <w:snapToGrid w:val="0"/>
        <w:spacing w:line="592" w:lineRule="exact"/>
        <w:ind w:firstLine="640" w:firstLineChars="200"/>
        <w:contextualSpacing/>
        <w:jc w:val="left"/>
        <w:rPr>
          <w:rFonts w:eastAsia="黑体"/>
          <w:color w:val="000000"/>
          <w:kern w:val="0"/>
          <w:szCs w:val="32"/>
          <w:shd w:val="clear" w:color="auto" w:fill="FFFFFF"/>
        </w:rPr>
      </w:pPr>
      <w:r>
        <w:rPr>
          <w:rFonts w:eastAsia="黑体"/>
          <w:color w:val="000000"/>
          <w:kern w:val="0"/>
          <w:szCs w:val="32"/>
          <w:shd w:val="clear" w:color="auto" w:fill="FFFFFF"/>
        </w:rPr>
        <w:t>四、评价结论及建议</w:t>
      </w:r>
    </w:p>
    <w:p>
      <w:pPr>
        <w:adjustRightInd w:val="0"/>
        <w:snapToGrid w:val="0"/>
        <w:spacing w:line="592" w:lineRule="exact"/>
        <w:ind w:firstLine="643" w:firstLineChars="200"/>
        <w:rPr>
          <w:kern w:val="0"/>
          <w:szCs w:val="32"/>
          <w:lang w:val="zh-CN"/>
        </w:rPr>
      </w:pPr>
      <w:r>
        <w:rPr>
          <w:rFonts w:eastAsia="楷体_GB2312"/>
          <w:b/>
          <w:szCs w:val="32"/>
          <w:lang w:val="zh-CN"/>
        </w:rPr>
        <w:t>（一）评价结论。</w:t>
      </w:r>
      <w:r>
        <w:rPr>
          <w:kern w:val="0"/>
          <w:szCs w:val="32"/>
          <w:lang w:val="zh-CN"/>
        </w:rPr>
        <w:t>按照“区级部门整体支出（2020年度）绩效评价指标体系”的规定，自流井区人大常委会办公室整体支出绩效评价自评100分。</w:t>
      </w:r>
    </w:p>
    <w:p>
      <w:pPr>
        <w:adjustRightInd w:val="0"/>
        <w:snapToGrid w:val="0"/>
        <w:spacing w:line="592" w:lineRule="exact"/>
        <w:ind w:firstLine="643" w:firstLineChars="200"/>
        <w:rPr>
          <w:kern w:val="0"/>
          <w:szCs w:val="32"/>
          <w:lang w:val="zh-CN"/>
        </w:rPr>
      </w:pPr>
      <w:r>
        <w:rPr>
          <w:rFonts w:eastAsia="楷体_GB2312"/>
          <w:b/>
          <w:szCs w:val="32"/>
          <w:lang w:val="zh-CN"/>
        </w:rPr>
        <w:t>（二）存在问题。</w:t>
      </w:r>
      <w:r>
        <w:rPr>
          <w:kern w:val="0"/>
          <w:szCs w:val="32"/>
          <w:lang w:val="zh-CN"/>
        </w:rPr>
        <w:t>预算</w:t>
      </w:r>
      <w:r>
        <w:rPr>
          <w:rFonts w:hint="eastAsia"/>
          <w:kern w:val="0"/>
          <w:szCs w:val="32"/>
          <w:lang w:val="zh-CN"/>
        </w:rPr>
        <w:t>不</w:t>
      </w:r>
      <w:r>
        <w:rPr>
          <w:kern w:val="0"/>
          <w:szCs w:val="32"/>
          <w:lang w:val="zh-CN"/>
        </w:rPr>
        <w:t>全面等。</w:t>
      </w:r>
    </w:p>
    <w:p>
      <w:pPr>
        <w:adjustRightInd w:val="0"/>
        <w:snapToGrid w:val="0"/>
        <w:spacing w:line="592" w:lineRule="exact"/>
        <w:ind w:firstLine="643" w:firstLineChars="200"/>
        <w:rPr>
          <w:kern w:val="0"/>
          <w:szCs w:val="32"/>
          <w:lang w:val="zh-CN"/>
        </w:rPr>
      </w:pPr>
      <w:r>
        <w:rPr>
          <w:rFonts w:eastAsia="楷体_GB2312"/>
          <w:b/>
          <w:szCs w:val="32"/>
          <w:lang w:val="zh-CN"/>
        </w:rPr>
        <w:t>（三）改进建议。</w:t>
      </w:r>
      <w:r>
        <w:rPr>
          <w:kern w:val="0"/>
          <w:szCs w:val="32"/>
          <w:lang w:val="zh-CN"/>
        </w:rPr>
        <w:t>结合基层实际情况，删繁就简，不要过多的搞所谓的无实际意义的绩效评价。</w:t>
      </w:r>
    </w:p>
    <w:p>
      <w:pPr>
        <w:rPr>
          <w:szCs w:val="32"/>
        </w:rPr>
      </w:pPr>
      <w:r>
        <w:rPr>
          <w:kern w:val="0"/>
          <w:szCs w:val="32"/>
          <w:lang w:val="zh-CN"/>
        </w:rPr>
        <w:br w:type="page"/>
      </w:r>
      <w:bookmarkStart w:id="62" w:name="_Toc11602"/>
      <w:r>
        <w:rPr>
          <w:rFonts w:eastAsia="黑体"/>
          <w:szCs w:val="32"/>
        </w:rPr>
        <w:t>附件2</w:t>
      </w:r>
      <w:bookmarkEnd w:id="62"/>
    </w:p>
    <w:p>
      <w:pPr>
        <w:adjustRightInd w:val="0"/>
        <w:snapToGrid w:val="0"/>
        <w:spacing w:line="592" w:lineRule="exact"/>
        <w:ind w:firstLine="640" w:firstLineChars="200"/>
        <w:rPr>
          <w:szCs w:val="32"/>
        </w:rPr>
      </w:pPr>
    </w:p>
    <w:p>
      <w:pPr>
        <w:adjustRightInd w:val="0"/>
        <w:snapToGrid w:val="0"/>
        <w:spacing w:line="592" w:lineRule="exact"/>
        <w:ind w:firstLine="880" w:firstLineChars="200"/>
        <w:jc w:val="center"/>
        <w:rPr>
          <w:rFonts w:eastAsia="方正小标宋简体"/>
          <w:color w:val="000000"/>
          <w:kern w:val="0"/>
          <w:sz w:val="44"/>
          <w:szCs w:val="44"/>
          <w:lang w:val="zh-CN"/>
        </w:rPr>
      </w:pPr>
      <w:r>
        <w:rPr>
          <w:rFonts w:eastAsia="方正小标宋简体"/>
          <w:color w:val="000000"/>
          <w:kern w:val="0"/>
          <w:sz w:val="44"/>
          <w:szCs w:val="44"/>
        </w:rPr>
        <w:t>“十八届四次会议”2020年</w:t>
      </w:r>
      <w:r>
        <w:rPr>
          <w:rFonts w:eastAsia="方正小标宋简体"/>
          <w:color w:val="000000"/>
          <w:kern w:val="0"/>
          <w:sz w:val="44"/>
          <w:szCs w:val="44"/>
          <w:lang w:val="zh-CN"/>
        </w:rPr>
        <w:t>绩效评价报告</w:t>
      </w:r>
    </w:p>
    <w:p>
      <w:pPr>
        <w:adjustRightInd w:val="0"/>
        <w:snapToGrid w:val="0"/>
        <w:spacing w:line="592" w:lineRule="exact"/>
        <w:ind w:firstLine="640" w:firstLineChars="200"/>
        <w:rPr>
          <w:szCs w:val="32"/>
          <w:lang w:val="zh-CN"/>
        </w:rPr>
      </w:pPr>
    </w:p>
    <w:p>
      <w:pPr>
        <w:adjustRightInd w:val="0"/>
        <w:snapToGrid w:val="0"/>
        <w:spacing w:line="592" w:lineRule="exact"/>
        <w:ind w:firstLine="640" w:firstLineChars="200"/>
        <w:rPr>
          <w:rFonts w:eastAsia="黑体"/>
          <w:szCs w:val="32"/>
          <w:lang w:val="zh-CN"/>
        </w:rPr>
      </w:pPr>
      <w:r>
        <w:rPr>
          <w:rFonts w:eastAsia="黑体"/>
          <w:szCs w:val="32"/>
        </w:rPr>
        <w:t>一、</w:t>
      </w:r>
      <w:r>
        <w:rPr>
          <w:rFonts w:eastAsia="黑体"/>
          <w:szCs w:val="32"/>
          <w:lang w:val="zh-CN"/>
        </w:rPr>
        <w:t>项目概况</w:t>
      </w:r>
    </w:p>
    <w:p>
      <w:pPr>
        <w:adjustRightInd w:val="0"/>
        <w:snapToGrid w:val="0"/>
        <w:spacing w:line="592" w:lineRule="exact"/>
        <w:ind w:firstLine="643" w:firstLineChars="200"/>
        <w:rPr>
          <w:rFonts w:eastAsia="楷体_GB2312"/>
          <w:b/>
          <w:szCs w:val="32"/>
          <w:lang w:val="zh-CN"/>
        </w:rPr>
      </w:pPr>
      <w:r>
        <w:rPr>
          <w:rFonts w:eastAsia="楷体_GB2312"/>
          <w:b/>
          <w:szCs w:val="32"/>
          <w:lang w:val="zh-CN"/>
        </w:rPr>
        <w:t>（一）项目基本情况。</w:t>
      </w:r>
    </w:p>
    <w:p>
      <w:pPr>
        <w:adjustRightInd w:val="0"/>
        <w:snapToGrid w:val="0"/>
        <w:spacing w:line="592" w:lineRule="exact"/>
        <w:ind w:firstLine="640" w:firstLineChars="200"/>
        <w:rPr>
          <w:kern w:val="0"/>
          <w:szCs w:val="32"/>
          <w:lang w:val="zh-CN"/>
        </w:rPr>
      </w:pPr>
      <w:r>
        <w:rPr>
          <w:kern w:val="0"/>
          <w:szCs w:val="32"/>
          <w:lang w:val="zh-CN"/>
        </w:rPr>
        <w:t>人代会是人民代表大会制度最重要的表现形式，是实现党的领导、人民当家作主、依法治国有机统一的重要途径，是人大代表依法行使职权、代表广大人民参与国家事务管理最重要的载体和形式。通过召开人代会，对本地区下一年度或未来五年经济社会发展制定计划、描绘蓝图，对“一府两院” 工作提出意见， 对经济社会发展的重大事项和人民群众关心关注的重大问题依法作出决定，同时也制定法律法规，依法任免国家机关工作人员，保证各项事业有序推进。</w:t>
      </w:r>
    </w:p>
    <w:p>
      <w:pPr>
        <w:adjustRightInd w:val="0"/>
        <w:snapToGrid w:val="0"/>
        <w:spacing w:line="592" w:lineRule="exact"/>
        <w:ind w:firstLine="640" w:firstLineChars="200"/>
        <w:rPr>
          <w:kern w:val="0"/>
          <w:szCs w:val="32"/>
          <w:lang w:val="zh-CN"/>
        </w:rPr>
      </w:pPr>
      <w:r>
        <w:rPr>
          <w:kern w:val="0"/>
          <w:szCs w:val="32"/>
          <w:lang w:val="zh-CN"/>
        </w:rPr>
        <w:t>自流井区人大常委会办公室是区人大常委会的办事机构， 负责 “十八届人大四次会议”的后勤保障工作等。资金管理严格按照专项资金管理要求专款专用。资金主要用于“十八届人大五四次会议”会务、宣传、印刷等各项工作。</w:t>
      </w:r>
    </w:p>
    <w:p>
      <w:pPr>
        <w:adjustRightInd w:val="0"/>
        <w:snapToGrid w:val="0"/>
        <w:spacing w:line="592" w:lineRule="exact"/>
        <w:ind w:firstLine="643" w:firstLineChars="200"/>
        <w:rPr>
          <w:rFonts w:eastAsia="楷体_GB2312"/>
          <w:b/>
          <w:szCs w:val="32"/>
          <w:lang w:val="zh-CN"/>
        </w:rPr>
      </w:pPr>
      <w:r>
        <w:rPr>
          <w:rFonts w:eastAsia="楷体_GB2312"/>
          <w:b/>
          <w:szCs w:val="32"/>
          <w:lang w:val="zh-CN"/>
        </w:rPr>
        <w:t>（二）项目绩效目标。</w:t>
      </w:r>
    </w:p>
    <w:p>
      <w:pPr>
        <w:adjustRightInd w:val="0"/>
        <w:snapToGrid w:val="0"/>
        <w:spacing w:line="592" w:lineRule="exact"/>
        <w:ind w:firstLine="640" w:firstLineChars="200"/>
        <w:rPr>
          <w:kern w:val="0"/>
          <w:szCs w:val="32"/>
          <w:lang w:val="zh-CN"/>
        </w:rPr>
      </w:pPr>
      <w:r>
        <w:rPr>
          <w:kern w:val="0"/>
          <w:szCs w:val="32"/>
          <w:lang w:val="zh-CN"/>
        </w:rPr>
        <w:t>项目主要内容：审议“一府两院”六大报告，民生实事项目重大决定。</w:t>
      </w:r>
    </w:p>
    <w:p>
      <w:pPr>
        <w:adjustRightInd w:val="0"/>
        <w:snapToGrid w:val="0"/>
        <w:spacing w:line="592" w:lineRule="exact"/>
        <w:ind w:firstLine="640" w:firstLineChars="200"/>
        <w:rPr>
          <w:kern w:val="0"/>
          <w:szCs w:val="32"/>
          <w:lang w:val="zh-CN"/>
        </w:rPr>
      </w:pPr>
      <w:r>
        <w:rPr>
          <w:kern w:val="0"/>
          <w:szCs w:val="32"/>
          <w:lang w:val="zh-CN"/>
        </w:rPr>
        <w:t>具体绩效目标：一是数量指标，完成报告审议数量66个；二是质量指标，高质量完成各项任务，确保建议意见可转化、可利用，推动人大履职水平有效提高；三是时效指标，严格按照年初工作计划，在2020年规定时间节点完成规定任务。四是经济效益指标，形成意见建议，供区委、政府决策参考，通过成果转化，促进经济发展。五是社会效益指标，选取改革发展中的重点问题和民生热点问题，提出建议意见供领导决策，通过成果转化，促进社会事业发展。六是社会满意指标，社会满意度达100%。在项目成本控制上，严格按照有关财经制度执行，节约机关运行成本。</w:t>
      </w:r>
    </w:p>
    <w:p>
      <w:pPr>
        <w:adjustRightInd w:val="0"/>
        <w:snapToGrid w:val="0"/>
        <w:spacing w:line="592" w:lineRule="exact"/>
        <w:ind w:firstLine="640" w:firstLineChars="200"/>
        <w:rPr>
          <w:kern w:val="0"/>
          <w:szCs w:val="32"/>
          <w:lang w:val="zh-CN"/>
        </w:rPr>
      </w:pPr>
      <w:r>
        <w:rPr>
          <w:kern w:val="0"/>
          <w:szCs w:val="32"/>
          <w:lang w:val="zh-CN"/>
        </w:rPr>
        <w:t>申报与实际相符程度：经分析评价，资金申报内容与实际相符， 申报目标较为合理可行。</w:t>
      </w:r>
    </w:p>
    <w:p>
      <w:pPr>
        <w:adjustRightInd w:val="0"/>
        <w:snapToGrid w:val="0"/>
        <w:spacing w:line="592" w:lineRule="exact"/>
        <w:ind w:firstLine="643" w:firstLineChars="200"/>
        <w:rPr>
          <w:rFonts w:eastAsia="楷体_GB2312"/>
          <w:b/>
          <w:szCs w:val="32"/>
          <w:lang w:val="zh-CN"/>
        </w:rPr>
      </w:pPr>
      <w:r>
        <w:rPr>
          <w:rFonts w:eastAsia="楷体_GB2312"/>
          <w:b/>
          <w:szCs w:val="32"/>
          <w:lang w:val="zh-CN"/>
        </w:rPr>
        <w:t>（三）项目自评步骤及方法。</w:t>
      </w:r>
    </w:p>
    <w:p>
      <w:pPr>
        <w:adjustRightInd w:val="0"/>
        <w:snapToGrid w:val="0"/>
        <w:spacing w:line="592" w:lineRule="exact"/>
        <w:ind w:firstLine="640" w:firstLineChars="200"/>
        <w:rPr>
          <w:kern w:val="0"/>
          <w:szCs w:val="32"/>
          <w:lang w:val="zh-CN"/>
        </w:rPr>
      </w:pPr>
      <w:r>
        <w:rPr>
          <w:kern w:val="0"/>
          <w:szCs w:val="32"/>
          <w:lang w:val="zh-CN"/>
        </w:rPr>
        <w:t>按照中央、省、市“全面实施绩效管理”总体部署，区人大常委会办公室根据2020年重点工作安排，参照2019年项目执行情况以及充分考虑预算年度增减变动因素及厉行节约的基础上，编制了“十八届人大四次会议专项”并开展当年项目支出绩效评价工作。本次评价遵循了“全面覆盖、规范实施、确保质量、注重成效”的原则，用科学、合理的绩效评价方法，从项目的数量指标、质量指标、效益指标、满意度指标等方面对项目实施绩效情况进行客观、公正的评价。</w:t>
      </w:r>
    </w:p>
    <w:p>
      <w:pPr>
        <w:adjustRightInd w:val="0"/>
        <w:snapToGrid w:val="0"/>
        <w:spacing w:line="592" w:lineRule="exact"/>
        <w:ind w:firstLine="640" w:firstLineChars="200"/>
        <w:rPr>
          <w:rFonts w:eastAsia="黑体"/>
          <w:szCs w:val="32"/>
        </w:rPr>
      </w:pPr>
      <w:r>
        <w:rPr>
          <w:rFonts w:eastAsia="黑体"/>
          <w:szCs w:val="32"/>
        </w:rPr>
        <w:t>二、项目资金申报及使用情况</w:t>
      </w:r>
    </w:p>
    <w:p>
      <w:pPr>
        <w:adjustRightInd w:val="0"/>
        <w:snapToGrid w:val="0"/>
        <w:spacing w:line="592" w:lineRule="exact"/>
        <w:ind w:firstLine="643" w:firstLineChars="200"/>
        <w:rPr>
          <w:rFonts w:eastAsia="楷体_GB2312"/>
          <w:b/>
          <w:szCs w:val="32"/>
          <w:lang w:val="zh-CN"/>
        </w:rPr>
      </w:pPr>
      <w:r>
        <w:rPr>
          <w:rFonts w:eastAsia="楷体_GB2312"/>
          <w:b/>
          <w:szCs w:val="32"/>
          <w:lang w:val="zh-CN"/>
        </w:rPr>
        <w:t>（一）项目资金申报及批复情况</w:t>
      </w:r>
    </w:p>
    <w:p>
      <w:pPr>
        <w:adjustRightInd w:val="0"/>
        <w:snapToGrid w:val="0"/>
        <w:spacing w:line="592" w:lineRule="exact"/>
        <w:ind w:firstLine="640" w:firstLineChars="200"/>
        <w:rPr>
          <w:kern w:val="0"/>
          <w:szCs w:val="32"/>
          <w:lang w:val="zh-CN"/>
        </w:rPr>
      </w:pPr>
      <w:r>
        <w:rPr>
          <w:kern w:val="0"/>
          <w:szCs w:val="32"/>
          <w:lang w:val="zh-CN"/>
        </w:rPr>
        <w:t>项目资金申报、批复及预算调整等程序严格按照《预算法》等相关法律法规和政府统一部署进行，没有无批复使用资金和随意调整预算情况。</w:t>
      </w:r>
    </w:p>
    <w:p>
      <w:pPr>
        <w:adjustRightInd w:val="0"/>
        <w:snapToGrid w:val="0"/>
        <w:spacing w:line="592" w:lineRule="exact"/>
        <w:ind w:firstLine="643" w:firstLineChars="200"/>
        <w:rPr>
          <w:szCs w:val="32"/>
          <w:lang w:val="zh-CN"/>
        </w:rPr>
      </w:pPr>
      <w:r>
        <w:rPr>
          <w:rFonts w:eastAsia="楷体_GB2312"/>
          <w:b/>
          <w:szCs w:val="32"/>
          <w:lang w:val="zh-CN"/>
        </w:rPr>
        <w:t>（二）资金计划、到位及使用情况</w:t>
      </w:r>
    </w:p>
    <w:p>
      <w:pPr>
        <w:adjustRightInd w:val="0"/>
        <w:snapToGrid w:val="0"/>
        <w:spacing w:line="592" w:lineRule="exact"/>
        <w:ind w:firstLine="640" w:firstLineChars="200"/>
        <w:rPr>
          <w:kern w:val="0"/>
          <w:szCs w:val="32"/>
          <w:lang w:val="zh-CN"/>
        </w:rPr>
      </w:pPr>
      <w:r>
        <w:rPr>
          <w:kern w:val="0"/>
          <w:szCs w:val="32"/>
          <w:lang w:val="zh-CN"/>
        </w:rPr>
        <w:t>项目全年预计一般公共预算财政拨款69.95万元，到位69.95万元，执行数为69.95万元，完成预算的100.00%。</w:t>
      </w:r>
    </w:p>
    <w:p>
      <w:pPr>
        <w:adjustRightInd w:val="0"/>
        <w:snapToGrid w:val="0"/>
        <w:spacing w:line="592" w:lineRule="exact"/>
        <w:ind w:firstLine="643" w:firstLineChars="200"/>
        <w:rPr>
          <w:rFonts w:eastAsia="楷体_GB2312"/>
          <w:b/>
          <w:szCs w:val="32"/>
          <w:lang w:val="zh-CN"/>
        </w:rPr>
      </w:pPr>
      <w:r>
        <w:rPr>
          <w:rFonts w:eastAsia="楷体_GB2312"/>
          <w:b/>
          <w:szCs w:val="32"/>
          <w:lang w:val="zh-CN"/>
        </w:rPr>
        <w:t>（三）项目财务管理情况</w:t>
      </w:r>
    </w:p>
    <w:p>
      <w:pPr>
        <w:adjustRightInd w:val="0"/>
        <w:snapToGrid w:val="0"/>
        <w:spacing w:line="592" w:lineRule="exact"/>
        <w:ind w:firstLine="640" w:firstLineChars="200"/>
        <w:rPr>
          <w:szCs w:val="32"/>
          <w:lang w:val="zh-CN"/>
        </w:rPr>
      </w:pPr>
      <w:r>
        <w:rPr>
          <w:szCs w:val="32"/>
          <w:lang w:val="zh-CN"/>
        </w:rPr>
        <w:t>自流井区人大常委会办公室财务管理制度健全，严格执行财务管理制度，账务处理及时，会计核算规范。</w:t>
      </w:r>
    </w:p>
    <w:p>
      <w:pPr>
        <w:adjustRightInd w:val="0"/>
        <w:snapToGrid w:val="0"/>
        <w:spacing w:line="592" w:lineRule="exact"/>
        <w:ind w:firstLine="640" w:firstLineChars="200"/>
        <w:rPr>
          <w:rFonts w:eastAsia="黑体"/>
          <w:szCs w:val="32"/>
        </w:rPr>
      </w:pPr>
      <w:r>
        <w:rPr>
          <w:rFonts w:eastAsia="黑体"/>
          <w:szCs w:val="32"/>
        </w:rPr>
        <w:t>三、项目实施及管理情况</w:t>
      </w:r>
    </w:p>
    <w:p>
      <w:pPr>
        <w:adjustRightInd w:val="0"/>
        <w:snapToGrid w:val="0"/>
        <w:spacing w:line="592" w:lineRule="exact"/>
        <w:ind w:firstLine="643" w:firstLineChars="200"/>
        <w:rPr>
          <w:szCs w:val="32"/>
          <w:lang w:val="zh-CN"/>
        </w:rPr>
      </w:pPr>
      <w:r>
        <w:rPr>
          <w:rFonts w:eastAsia="楷体_GB2312"/>
          <w:b/>
          <w:szCs w:val="32"/>
          <w:lang w:val="zh-CN"/>
        </w:rPr>
        <w:t>（一）项目组织架构及实施流程。</w:t>
      </w:r>
      <w:r>
        <w:rPr>
          <w:szCs w:val="32"/>
          <w:lang w:val="zh-CN"/>
        </w:rPr>
        <w:t>“十八届人大四次会议”设立秘书处作为大会工作机构。下设简报联络组、会务组、文书组、组织组、宣传组、后勤组、信访安保组、会风督查组、议案组，负责大会各项工作。其中，后勤组由区人大常委会办公室副主任负责，负责编 制会议经费预算、决算，并协调落实资金，负责会议期间各种经费的报销。</w:t>
      </w:r>
    </w:p>
    <w:p>
      <w:pPr>
        <w:adjustRightInd w:val="0"/>
        <w:snapToGrid w:val="0"/>
        <w:spacing w:line="592" w:lineRule="exact"/>
        <w:ind w:firstLine="643" w:firstLineChars="200"/>
        <w:rPr>
          <w:szCs w:val="32"/>
          <w:lang w:val="zh-CN"/>
        </w:rPr>
      </w:pPr>
      <w:r>
        <w:rPr>
          <w:rFonts w:eastAsia="楷体_GB2312"/>
          <w:b/>
          <w:szCs w:val="32"/>
          <w:lang w:val="zh-CN"/>
        </w:rPr>
        <w:t>（二）项目管理情况。</w:t>
      </w:r>
      <w:r>
        <w:rPr>
          <w:szCs w:val="32"/>
          <w:lang w:val="zh-CN"/>
        </w:rPr>
        <w:t>资金按照“印刷费”、“差旅费”、“会议费”、“其他商品和服务支出”等经济分类科目，客观反映了项目实施过程中的资金流向。资金使用过程中，严格按照《自流井区人大常委会办公室财务管理办法》、《自流井区人大常委会办公室内控手册》等有关制度，支付较为科学、规范。</w:t>
      </w:r>
    </w:p>
    <w:p>
      <w:pPr>
        <w:adjustRightInd w:val="0"/>
        <w:snapToGrid w:val="0"/>
        <w:spacing w:line="592" w:lineRule="exact"/>
        <w:ind w:firstLine="643" w:firstLineChars="200"/>
        <w:rPr>
          <w:szCs w:val="32"/>
          <w:lang w:val="zh-CN"/>
        </w:rPr>
      </w:pPr>
      <w:r>
        <w:rPr>
          <w:rFonts w:eastAsia="楷体_GB2312"/>
          <w:b/>
          <w:szCs w:val="32"/>
          <w:lang w:val="zh-CN"/>
        </w:rPr>
        <w:t>（三）项目监管情况。</w:t>
      </w:r>
      <w:r>
        <w:rPr>
          <w:szCs w:val="32"/>
          <w:lang w:val="zh-CN"/>
        </w:rPr>
        <w:t>自流井区人大常委会办公室加强项目管理，及时上报，严格规范程序。</w:t>
      </w:r>
    </w:p>
    <w:p>
      <w:pPr>
        <w:adjustRightInd w:val="0"/>
        <w:snapToGrid w:val="0"/>
        <w:spacing w:line="592" w:lineRule="exact"/>
        <w:ind w:firstLine="640" w:firstLineChars="200"/>
        <w:rPr>
          <w:szCs w:val="32"/>
          <w:lang w:val="zh-CN"/>
        </w:rPr>
      </w:pPr>
      <w:r>
        <w:rPr>
          <w:rFonts w:eastAsia="黑体"/>
          <w:szCs w:val="32"/>
        </w:rPr>
        <w:t>四、项目绩效情况</w:t>
      </w:r>
      <w:r>
        <w:rPr>
          <w:szCs w:val="32"/>
          <w:lang w:val="zh-CN"/>
        </w:rPr>
        <w:tab/>
      </w:r>
    </w:p>
    <w:p>
      <w:pPr>
        <w:adjustRightInd w:val="0"/>
        <w:snapToGrid w:val="0"/>
        <w:spacing w:line="592" w:lineRule="exact"/>
        <w:ind w:firstLine="640" w:firstLineChars="200"/>
        <w:rPr>
          <w:szCs w:val="32"/>
          <w:lang w:val="zh-CN"/>
        </w:rPr>
      </w:pPr>
      <w:r>
        <w:rPr>
          <w:szCs w:val="32"/>
          <w:lang w:val="zh-CN"/>
        </w:rPr>
        <w:t>通过项目实施，充分发挥了区人大作用，坚持以习近平新时代中国特色社会主义思想统揽工作全局，深入贯彻落实中央和省委重大决策部署，在区委坚强领导下，区人大推动全区疫情防控和经济社会发展，推动市十八届人大四次会议确定的各项任务有力有序推进。</w:t>
      </w:r>
    </w:p>
    <w:p>
      <w:pPr>
        <w:adjustRightInd w:val="0"/>
        <w:snapToGrid w:val="0"/>
        <w:spacing w:line="592" w:lineRule="exact"/>
        <w:ind w:firstLine="640" w:firstLineChars="200"/>
        <w:rPr>
          <w:szCs w:val="32"/>
          <w:lang w:val="zh-CN"/>
        </w:rPr>
      </w:pPr>
      <w:r>
        <w:rPr>
          <w:szCs w:val="32"/>
          <w:lang w:val="zh-CN"/>
        </w:rPr>
        <w:t>截止评价时间，项目数量指标、质量指标、时效指标、经济效益指标、社会效益指标均圆满完成，社会满意度达100%，取得了较好的经济、社会、生态、可持续等效益。</w:t>
      </w:r>
    </w:p>
    <w:p>
      <w:pPr>
        <w:adjustRightInd w:val="0"/>
        <w:snapToGrid w:val="0"/>
        <w:spacing w:line="592" w:lineRule="exact"/>
        <w:ind w:firstLine="640" w:firstLineChars="200"/>
        <w:rPr>
          <w:rFonts w:eastAsia="黑体"/>
          <w:szCs w:val="32"/>
        </w:rPr>
      </w:pPr>
      <w:r>
        <w:rPr>
          <w:rFonts w:eastAsia="黑体"/>
          <w:szCs w:val="32"/>
        </w:rPr>
        <w:t>五、评价结论及建议</w:t>
      </w:r>
    </w:p>
    <w:p>
      <w:pPr>
        <w:adjustRightInd w:val="0"/>
        <w:snapToGrid w:val="0"/>
        <w:spacing w:line="592" w:lineRule="exact"/>
        <w:ind w:firstLine="643" w:firstLineChars="200"/>
        <w:rPr>
          <w:rFonts w:eastAsia="楷体_GB2312"/>
          <w:b/>
          <w:szCs w:val="32"/>
          <w:lang w:val="zh-CN"/>
        </w:rPr>
      </w:pPr>
      <w:r>
        <w:rPr>
          <w:rFonts w:eastAsia="楷体_GB2312"/>
          <w:b/>
          <w:szCs w:val="32"/>
          <w:lang w:val="zh-CN"/>
        </w:rPr>
        <w:t>（一）评价结论。</w:t>
      </w:r>
    </w:p>
    <w:p>
      <w:pPr>
        <w:adjustRightInd w:val="0"/>
        <w:snapToGrid w:val="0"/>
        <w:spacing w:line="592" w:lineRule="exact"/>
        <w:ind w:firstLine="640" w:firstLineChars="200"/>
        <w:rPr>
          <w:szCs w:val="32"/>
          <w:lang w:val="zh-CN"/>
        </w:rPr>
      </w:pPr>
      <w:r>
        <w:rPr>
          <w:szCs w:val="32"/>
          <w:lang w:val="zh-CN"/>
        </w:rPr>
        <w:t>对照“区级项目支出绩效评价指标体系”指标要求，自流井区人大常委会办公室对“十八届人大四次会议专项”项目进行自评，自评得分100分，项目支出保障了年初设定的各项绩 效目标圆满完成，充分发挥了财政资金的经济效益和社会效益。</w:t>
      </w:r>
    </w:p>
    <w:p>
      <w:pPr>
        <w:adjustRightInd w:val="0"/>
        <w:snapToGrid w:val="0"/>
        <w:spacing w:line="592" w:lineRule="exact"/>
        <w:ind w:firstLine="643" w:firstLineChars="200"/>
        <w:rPr>
          <w:rFonts w:eastAsia="楷体_GB2312"/>
          <w:b/>
          <w:szCs w:val="32"/>
          <w:lang w:val="zh-CN"/>
        </w:rPr>
      </w:pPr>
      <w:r>
        <w:rPr>
          <w:rFonts w:eastAsia="楷体_GB2312"/>
          <w:b/>
          <w:szCs w:val="32"/>
          <w:lang w:val="zh-CN"/>
        </w:rPr>
        <w:t>（二）存在的问题。</w:t>
      </w:r>
    </w:p>
    <w:p>
      <w:pPr>
        <w:adjustRightInd w:val="0"/>
        <w:snapToGrid w:val="0"/>
        <w:spacing w:line="592" w:lineRule="exact"/>
        <w:ind w:firstLine="640" w:firstLineChars="200"/>
        <w:rPr>
          <w:szCs w:val="32"/>
          <w:lang w:val="zh-CN"/>
        </w:rPr>
      </w:pPr>
      <w:r>
        <w:rPr>
          <w:szCs w:val="32"/>
          <w:lang w:val="zh-CN"/>
        </w:rPr>
        <w:t>从绩效评价看，一是存在财政资金预算执行上前期有滞后现象；二是在资金执行过程中存在有被动态监控的情况。</w:t>
      </w:r>
    </w:p>
    <w:p>
      <w:pPr>
        <w:adjustRightInd w:val="0"/>
        <w:snapToGrid w:val="0"/>
        <w:spacing w:line="592" w:lineRule="exact"/>
        <w:ind w:firstLine="643" w:firstLineChars="200"/>
        <w:rPr>
          <w:rFonts w:eastAsia="楷体_GB2312"/>
          <w:b/>
          <w:szCs w:val="32"/>
          <w:lang w:val="zh-CN"/>
        </w:rPr>
      </w:pPr>
      <w:r>
        <w:rPr>
          <w:rFonts w:eastAsia="楷体_GB2312"/>
          <w:b/>
          <w:szCs w:val="32"/>
          <w:lang w:val="zh-CN"/>
        </w:rPr>
        <w:t>（三）相关建议。</w:t>
      </w:r>
    </w:p>
    <w:p>
      <w:pPr>
        <w:adjustRightInd w:val="0"/>
        <w:snapToGrid w:val="0"/>
        <w:spacing w:line="592" w:lineRule="exact"/>
        <w:ind w:firstLine="640" w:firstLineChars="200"/>
        <w:rPr>
          <w:szCs w:val="32"/>
          <w:lang w:val="zh-CN"/>
        </w:rPr>
      </w:pPr>
      <w:r>
        <w:rPr>
          <w:szCs w:val="32"/>
          <w:lang w:val="zh-CN"/>
        </w:rPr>
        <w:t>一是加强学习，提高业务素质。通过多种形式和渠道，加强财务人员预算绩效管理基础理论和实务操作培训力度，提高单位的绩效管理水平；二是在编制预算时，着眼全局工作，进一步提高预算编制的准确性、科学性；三是建立健全机关内部控制体系，通过完善内控体系，逐步增强机关内部职工内控意识，促使单位的预算执行工作更加平稳、健康地运行。</w:t>
      </w:r>
    </w:p>
    <w:p>
      <w:pPr>
        <w:adjustRightInd w:val="0"/>
        <w:snapToGrid w:val="0"/>
        <w:spacing w:line="592" w:lineRule="exact"/>
        <w:ind w:firstLine="640" w:firstLineChars="200"/>
        <w:rPr>
          <w:szCs w:val="32"/>
        </w:rPr>
      </w:pPr>
    </w:p>
    <w:p>
      <w:pPr>
        <w:widowControl/>
        <w:adjustRightInd w:val="0"/>
        <w:snapToGrid w:val="0"/>
        <w:spacing w:line="592" w:lineRule="exact"/>
        <w:ind w:firstLine="880" w:firstLineChars="200"/>
        <w:jc w:val="left"/>
        <w:rPr>
          <w:rStyle w:val="13"/>
          <w:rFonts w:eastAsia="黑体"/>
          <w:b w:val="0"/>
        </w:rPr>
      </w:pPr>
    </w:p>
    <w:p>
      <w:pPr>
        <w:widowControl/>
        <w:adjustRightInd w:val="0"/>
        <w:snapToGrid w:val="0"/>
        <w:spacing w:line="592" w:lineRule="exact"/>
        <w:ind w:firstLine="880" w:firstLineChars="200"/>
        <w:jc w:val="left"/>
        <w:rPr>
          <w:rStyle w:val="13"/>
          <w:rFonts w:eastAsia="黑体"/>
          <w:b w:val="0"/>
        </w:rPr>
      </w:pPr>
      <w:r>
        <w:rPr>
          <w:rStyle w:val="13"/>
          <w:rFonts w:eastAsia="黑体"/>
          <w:b w:val="0"/>
        </w:rPr>
        <w:br w:type="page"/>
      </w:r>
    </w:p>
    <w:p>
      <w:pPr>
        <w:adjustRightInd w:val="0"/>
        <w:snapToGrid w:val="0"/>
        <w:spacing w:line="592" w:lineRule="exact"/>
        <w:jc w:val="center"/>
        <w:outlineLvl w:val="0"/>
        <w:rPr>
          <w:rStyle w:val="13"/>
          <w:rFonts w:eastAsia="黑体"/>
          <w:b w:val="0"/>
        </w:rPr>
      </w:pPr>
      <w:bookmarkStart w:id="63" w:name="_Toc32283"/>
      <w:bookmarkStart w:id="64" w:name="_Toc15396618"/>
      <w:r>
        <w:rPr>
          <w:rFonts w:eastAsia="黑体"/>
          <w:color w:val="000000"/>
          <w:sz w:val="44"/>
          <w:szCs w:val="44"/>
        </w:rPr>
        <w:t>第</w:t>
      </w:r>
      <w:r>
        <w:rPr>
          <w:rStyle w:val="13"/>
          <w:rFonts w:eastAsia="黑体"/>
          <w:b w:val="0"/>
        </w:rPr>
        <w:t>五部分 附表</w:t>
      </w:r>
      <w:bookmarkEnd w:id="58"/>
      <w:bookmarkEnd w:id="63"/>
      <w:bookmarkEnd w:id="64"/>
    </w:p>
    <w:p>
      <w:pPr>
        <w:adjustRightInd w:val="0"/>
        <w:snapToGrid w:val="0"/>
        <w:spacing w:line="592" w:lineRule="exact"/>
        <w:ind w:firstLine="883" w:firstLineChars="200"/>
        <w:jc w:val="center"/>
        <w:outlineLvl w:val="0"/>
        <w:rPr>
          <w:rFonts w:eastAsia="仿宋"/>
          <w:b/>
          <w:color w:val="000000"/>
          <w:sz w:val="44"/>
          <w:szCs w:val="44"/>
        </w:rPr>
      </w:pPr>
    </w:p>
    <w:p>
      <w:pPr>
        <w:pStyle w:val="3"/>
        <w:adjustRightInd w:val="0"/>
        <w:snapToGrid w:val="0"/>
        <w:spacing w:before="0" w:after="0" w:line="592" w:lineRule="exact"/>
        <w:ind w:firstLine="640" w:firstLineChars="200"/>
        <w:rPr>
          <w:rFonts w:ascii="Times New Roman" w:hAnsi="Times New Roman"/>
          <w:b w:val="0"/>
          <w:bCs w:val="0"/>
          <w:lang w:val="zh-CN"/>
        </w:rPr>
      </w:pPr>
      <w:bookmarkStart w:id="65" w:name="_Toc15699"/>
      <w:bookmarkStart w:id="66" w:name="_Toc15396619"/>
      <w:r>
        <w:rPr>
          <w:rFonts w:ascii="Times New Roman" w:hAnsi="Times New Roman"/>
          <w:b w:val="0"/>
          <w:bCs w:val="0"/>
          <w:lang w:val="zh-CN"/>
        </w:rPr>
        <w:t>一、收入支出决算总表</w:t>
      </w:r>
      <w:bookmarkEnd w:id="65"/>
      <w:bookmarkEnd w:id="66"/>
    </w:p>
    <w:p>
      <w:pPr>
        <w:pStyle w:val="3"/>
        <w:adjustRightInd w:val="0"/>
        <w:snapToGrid w:val="0"/>
        <w:spacing w:before="0" w:after="0" w:line="592" w:lineRule="exact"/>
        <w:ind w:firstLine="640" w:firstLineChars="200"/>
        <w:rPr>
          <w:rFonts w:ascii="Times New Roman" w:hAnsi="Times New Roman"/>
          <w:b w:val="0"/>
          <w:bCs w:val="0"/>
          <w:lang w:val="zh-CN"/>
        </w:rPr>
      </w:pPr>
      <w:bookmarkStart w:id="67" w:name="_Toc27106"/>
      <w:bookmarkStart w:id="68" w:name="_Toc15396620"/>
      <w:r>
        <w:rPr>
          <w:rFonts w:ascii="Times New Roman" w:hAnsi="Times New Roman"/>
          <w:b w:val="0"/>
          <w:bCs w:val="0"/>
          <w:lang w:val="zh-CN"/>
        </w:rPr>
        <w:t>二、收入决算表</w:t>
      </w:r>
      <w:bookmarkEnd w:id="67"/>
      <w:bookmarkEnd w:id="68"/>
    </w:p>
    <w:p>
      <w:pPr>
        <w:pStyle w:val="3"/>
        <w:adjustRightInd w:val="0"/>
        <w:snapToGrid w:val="0"/>
        <w:spacing w:before="0" w:after="0" w:line="592" w:lineRule="exact"/>
        <w:ind w:firstLine="640" w:firstLineChars="200"/>
        <w:rPr>
          <w:rFonts w:ascii="Times New Roman" w:hAnsi="Times New Roman"/>
          <w:b w:val="0"/>
          <w:bCs w:val="0"/>
          <w:lang w:val="zh-CN"/>
        </w:rPr>
      </w:pPr>
      <w:bookmarkStart w:id="69" w:name="_Toc26817"/>
      <w:bookmarkStart w:id="70" w:name="_Toc15396621"/>
      <w:r>
        <w:rPr>
          <w:rFonts w:ascii="Times New Roman" w:hAnsi="Times New Roman"/>
          <w:b w:val="0"/>
          <w:bCs w:val="0"/>
          <w:lang w:val="zh-CN"/>
        </w:rPr>
        <w:t>三、支出决算表</w:t>
      </w:r>
      <w:bookmarkEnd w:id="69"/>
      <w:bookmarkEnd w:id="70"/>
    </w:p>
    <w:p>
      <w:pPr>
        <w:pStyle w:val="3"/>
        <w:adjustRightInd w:val="0"/>
        <w:snapToGrid w:val="0"/>
        <w:spacing w:before="0" w:after="0" w:line="592" w:lineRule="exact"/>
        <w:ind w:firstLine="640" w:firstLineChars="200"/>
        <w:rPr>
          <w:rFonts w:ascii="Times New Roman" w:hAnsi="Times New Roman"/>
          <w:b w:val="0"/>
          <w:bCs w:val="0"/>
          <w:lang w:val="zh-CN"/>
        </w:rPr>
      </w:pPr>
      <w:bookmarkStart w:id="71" w:name="_Toc15396622"/>
      <w:bookmarkStart w:id="72" w:name="_Toc21747"/>
      <w:r>
        <w:rPr>
          <w:rFonts w:ascii="Times New Roman" w:hAnsi="Times New Roman"/>
          <w:b w:val="0"/>
          <w:bCs w:val="0"/>
          <w:lang w:val="zh-CN"/>
        </w:rPr>
        <w:t>四、财政拨款收入支出决算总表</w:t>
      </w:r>
      <w:bookmarkEnd w:id="71"/>
      <w:bookmarkEnd w:id="72"/>
    </w:p>
    <w:p>
      <w:pPr>
        <w:pStyle w:val="3"/>
        <w:adjustRightInd w:val="0"/>
        <w:snapToGrid w:val="0"/>
        <w:spacing w:before="0" w:after="0" w:line="592" w:lineRule="exact"/>
        <w:ind w:firstLine="640" w:firstLineChars="200"/>
        <w:rPr>
          <w:rFonts w:ascii="Times New Roman" w:hAnsi="Times New Roman"/>
          <w:b w:val="0"/>
          <w:bCs w:val="0"/>
          <w:lang w:val="zh-CN"/>
        </w:rPr>
      </w:pPr>
      <w:bookmarkStart w:id="73" w:name="_Toc15396623"/>
      <w:bookmarkStart w:id="74" w:name="_Toc12959"/>
      <w:r>
        <w:rPr>
          <w:rFonts w:ascii="Times New Roman" w:hAnsi="Times New Roman"/>
          <w:b w:val="0"/>
          <w:bCs w:val="0"/>
          <w:lang w:val="zh-CN"/>
        </w:rPr>
        <w:t>五、财政拨款支出决算明细表</w:t>
      </w:r>
      <w:bookmarkEnd w:id="73"/>
      <w:bookmarkEnd w:id="74"/>
      <w:bookmarkStart w:id="75" w:name="_Toc15396624"/>
    </w:p>
    <w:p>
      <w:pPr>
        <w:pStyle w:val="3"/>
        <w:adjustRightInd w:val="0"/>
        <w:snapToGrid w:val="0"/>
        <w:spacing w:before="0" w:after="0" w:line="592" w:lineRule="exact"/>
        <w:ind w:firstLine="640" w:firstLineChars="200"/>
        <w:rPr>
          <w:rFonts w:ascii="Times New Roman" w:hAnsi="Times New Roman"/>
          <w:b w:val="0"/>
          <w:bCs w:val="0"/>
          <w:lang w:val="zh-CN"/>
        </w:rPr>
      </w:pPr>
      <w:bookmarkStart w:id="76" w:name="_Toc23749"/>
      <w:r>
        <w:rPr>
          <w:rFonts w:ascii="Times New Roman" w:hAnsi="Times New Roman"/>
          <w:b w:val="0"/>
          <w:bCs w:val="0"/>
          <w:lang w:val="zh-CN"/>
        </w:rPr>
        <w:t>六、一般公共预算财政拨款支出决算表</w:t>
      </w:r>
      <w:bookmarkEnd w:id="75"/>
      <w:bookmarkEnd w:id="76"/>
    </w:p>
    <w:p>
      <w:pPr>
        <w:pStyle w:val="3"/>
        <w:adjustRightInd w:val="0"/>
        <w:snapToGrid w:val="0"/>
        <w:spacing w:before="0" w:after="0" w:line="592" w:lineRule="exact"/>
        <w:ind w:firstLine="640" w:firstLineChars="200"/>
        <w:rPr>
          <w:rFonts w:ascii="Times New Roman" w:hAnsi="Times New Roman"/>
          <w:b w:val="0"/>
          <w:bCs w:val="0"/>
          <w:lang w:val="zh-CN"/>
        </w:rPr>
      </w:pPr>
      <w:bookmarkStart w:id="77" w:name="_Toc15396625"/>
      <w:bookmarkStart w:id="78" w:name="_Toc22275"/>
      <w:r>
        <w:rPr>
          <w:rFonts w:ascii="Times New Roman" w:hAnsi="Times New Roman"/>
          <w:b w:val="0"/>
          <w:bCs w:val="0"/>
          <w:lang w:val="zh-CN"/>
        </w:rPr>
        <w:t>七、一般公共预算财政拨款支出决算明细表</w:t>
      </w:r>
      <w:bookmarkEnd w:id="77"/>
      <w:bookmarkEnd w:id="78"/>
    </w:p>
    <w:p>
      <w:pPr>
        <w:pStyle w:val="3"/>
        <w:adjustRightInd w:val="0"/>
        <w:snapToGrid w:val="0"/>
        <w:spacing w:before="0" w:after="0" w:line="592" w:lineRule="exact"/>
        <w:ind w:firstLine="640" w:firstLineChars="200"/>
        <w:rPr>
          <w:rFonts w:ascii="Times New Roman" w:hAnsi="Times New Roman"/>
          <w:b w:val="0"/>
          <w:bCs w:val="0"/>
          <w:lang w:val="zh-CN"/>
        </w:rPr>
      </w:pPr>
      <w:bookmarkStart w:id="79" w:name="_Toc15396626"/>
      <w:bookmarkStart w:id="80" w:name="_Toc30634"/>
      <w:r>
        <w:rPr>
          <w:rFonts w:ascii="Times New Roman" w:hAnsi="Times New Roman"/>
          <w:b w:val="0"/>
          <w:bCs w:val="0"/>
          <w:lang w:val="zh-CN"/>
        </w:rPr>
        <w:t>八、一般公共预算财政拨款基本支出决算表</w:t>
      </w:r>
      <w:bookmarkEnd w:id="79"/>
      <w:bookmarkEnd w:id="80"/>
    </w:p>
    <w:p>
      <w:pPr>
        <w:pStyle w:val="3"/>
        <w:adjustRightInd w:val="0"/>
        <w:snapToGrid w:val="0"/>
        <w:spacing w:before="0" w:after="0" w:line="592" w:lineRule="exact"/>
        <w:ind w:firstLine="640" w:firstLineChars="200"/>
        <w:rPr>
          <w:rFonts w:ascii="Times New Roman" w:hAnsi="Times New Roman"/>
          <w:b w:val="0"/>
          <w:bCs w:val="0"/>
          <w:lang w:val="zh-CN"/>
        </w:rPr>
      </w:pPr>
      <w:bookmarkStart w:id="81" w:name="_Toc15396627"/>
      <w:bookmarkStart w:id="82" w:name="_Toc15170"/>
      <w:r>
        <w:rPr>
          <w:rFonts w:ascii="Times New Roman" w:hAnsi="Times New Roman"/>
          <w:b w:val="0"/>
          <w:bCs w:val="0"/>
          <w:lang w:val="zh-CN"/>
        </w:rPr>
        <w:t>九、一般公共预算财政拨款项目支出决算表</w:t>
      </w:r>
      <w:bookmarkEnd w:id="81"/>
      <w:bookmarkEnd w:id="82"/>
    </w:p>
    <w:p>
      <w:pPr>
        <w:pStyle w:val="3"/>
        <w:adjustRightInd w:val="0"/>
        <w:snapToGrid w:val="0"/>
        <w:spacing w:before="0" w:after="0" w:line="592" w:lineRule="exact"/>
        <w:ind w:firstLine="640" w:firstLineChars="200"/>
        <w:rPr>
          <w:rFonts w:ascii="Times New Roman" w:hAnsi="Times New Roman"/>
          <w:b w:val="0"/>
          <w:bCs w:val="0"/>
          <w:lang w:val="zh-CN"/>
        </w:rPr>
      </w:pPr>
      <w:bookmarkStart w:id="83" w:name="_Toc15396628"/>
      <w:bookmarkStart w:id="84" w:name="_Toc17603"/>
      <w:r>
        <w:rPr>
          <w:rFonts w:ascii="Times New Roman" w:hAnsi="Times New Roman"/>
          <w:b w:val="0"/>
          <w:bCs w:val="0"/>
          <w:lang w:val="zh-CN"/>
        </w:rPr>
        <w:t>十、一般公共预算财政拨款“三公”经费支出决算表</w:t>
      </w:r>
      <w:bookmarkEnd w:id="83"/>
      <w:bookmarkEnd w:id="84"/>
    </w:p>
    <w:p>
      <w:pPr>
        <w:pStyle w:val="3"/>
        <w:adjustRightInd w:val="0"/>
        <w:snapToGrid w:val="0"/>
        <w:spacing w:before="0" w:after="0" w:line="592" w:lineRule="exact"/>
        <w:ind w:firstLine="640" w:firstLineChars="200"/>
        <w:rPr>
          <w:rFonts w:ascii="Times New Roman" w:hAnsi="Times New Roman"/>
          <w:b w:val="0"/>
          <w:bCs w:val="0"/>
          <w:lang w:val="zh-CN"/>
        </w:rPr>
      </w:pPr>
      <w:bookmarkStart w:id="85" w:name="_Toc15396629"/>
      <w:bookmarkStart w:id="86" w:name="_Toc7313"/>
      <w:r>
        <w:rPr>
          <w:rFonts w:ascii="Times New Roman" w:hAnsi="Times New Roman"/>
          <w:b w:val="0"/>
          <w:bCs w:val="0"/>
          <w:lang w:val="zh-CN"/>
        </w:rPr>
        <w:t>十一、政府性基金预算财政拨款收入支出决算表</w:t>
      </w:r>
      <w:bookmarkEnd w:id="85"/>
      <w:bookmarkEnd w:id="86"/>
    </w:p>
    <w:p>
      <w:pPr>
        <w:pStyle w:val="3"/>
        <w:adjustRightInd w:val="0"/>
        <w:snapToGrid w:val="0"/>
        <w:spacing w:before="0" w:after="0" w:line="592" w:lineRule="exact"/>
        <w:ind w:firstLine="640" w:firstLineChars="200"/>
        <w:rPr>
          <w:rFonts w:ascii="Times New Roman" w:hAnsi="Times New Roman"/>
          <w:b w:val="0"/>
          <w:bCs w:val="0"/>
          <w:lang w:val="zh-CN"/>
        </w:rPr>
      </w:pPr>
      <w:bookmarkStart w:id="87" w:name="_Toc9382"/>
      <w:bookmarkStart w:id="88" w:name="_Toc15396630"/>
      <w:r>
        <w:rPr>
          <w:rFonts w:ascii="Times New Roman" w:hAnsi="Times New Roman"/>
          <w:b w:val="0"/>
          <w:bCs w:val="0"/>
          <w:lang w:val="zh-CN"/>
        </w:rPr>
        <w:t>十二、政府性基金预算财政拨款“三公”经费支出决算表</w:t>
      </w:r>
      <w:bookmarkEnd w:id="87"/>
      <w:bookmarkEnd w:id="88"/>
    </w:p>
    <w:p>
      <w:pPr>
        <w:pStyle w:val="3"/>
        <w:adjustRightInd w:val="0"/>
        <w:snapToGrid w:val="0"/>
        <w:spacing w:before="0" w:after="0" w:line="592" w:lineRule="exact"/>
        <w:ind w:firstLine="640" w:firstLineChars="200"/>
        <w:rPr>
          <w:rFonts w:ascii="Times New Roman" w:hAnsi="Times New Roman"/>
          <w:b w:val="0"/>
          <w:bCs w:val="0"/>
          <w:lang w:val="zh-CN"/>
        </w:rPr>
      </w:pPr>
      <w:bookmarkStart w:id="89" w:name="_Toc22683"/>
      <w:r>
        <w:rPr>
          <w:rFonts w:ascii="Times New Roman" w:hAnsi="Times New Roman"/>
          <w:b w:val="0"/>
          <w:bCs w:val="0"/>
          <w:lang w:val="zh-CN"/>
        </w:rPr>
        <w:t>十三、国有资本经营预算财政拨款收入支出决算表</w:t>
      </w:r>
      <w:bookmarkEnd w:id="89"/>
    </w:p>
    <w:p>
      <w:pPr>
        <w:pStyle w:val="3"/>
        <w:adjustRightInd w:val="0"/>
        <w:snapToGrid w:val="0"/>
        <w:spacing w:before="0" w:after="0" w:line="592" w:lineRule="exact"/>
        <w:ind w:firstLine="640" w:firstLineChars="200"/>
        <w:rPr>
          <w:rFonts w:ascii="Times New Roman" w:hAnsi="Times New Roman"/>
          <w:b w:val="0"/>
          <w:bCs w:val="0"/>
          <w:lang w:val="zh-CN"/>
        </w:rPr>
      </w:pPr>
      <w:bookmarkStart w:id="90" w:name="_Toc10257"/>
      <w:r>
        <w:rPr>
          <w:rFonts w:ascii="Times New Roman" w:hAnsi="Times New Roman"/>
          <w:b w:val="0"/>
          <w:bCs w:val="0"/>
          <w:lang w:val="zh-CN"/>
        </w:rPr>
        <w:t>十四、国有资本经营预算财政拨款支出决算表</w:t>
      </w:r>
      <w:bookmarkEnd w:id="90"/>
    </w:p>
    <w:sectPr>
      <w:footerReference r:id="rId3" w:type="default"/>
      <w:pgSz w:w="11906" w:h="16838"/>
      <w:pgMar w:top="2098" w:right="1587" w:bottom="198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等线">
    <w:altName w:val="宋体"/>
    <w:panose1 w:val="00000000000000000000"/>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55" o:spid="_x0000_s2055"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rPr>
                    <w:rFonts w:ascii="Times New Roman" w:hAnsi="Times New Roman"/>
                    <w:sz w:val="24"/>
                    <w:szCs w:val="28"/>
                  </w:rPr>
                </w:pPr>
                <w:r>
                  <w:rPr>
                    <w:rFonts w:hint="eastAsia" w:ascii="Times New Roman" w:hAnsi="Times New Roman"/>
                    <w:sz w:val="24"/>
                    <w:szCs w:val="28"/>
                  </w:rPr>
                  <w:t xml:space="preserve">— </w:t>
                </w:r>
                <w:r>
                  <w:rPr>
                    <w:rFonts w:ascii="Times New Roman" w:hAnsi="Times New Roman"/>
                    <w:sz w:val="24"/>
                    <w:szCs w:val="28"/>
                  </w:rPr>
                  <w:fldChar w:fldCharType="begin"/>
                </w:r>
                <w:r>
                  <w:rPr>
                    <w:rFonts w:ascii="Times New Roman" w:hAnsi="Times New Roman"/>
                    <w:sz w:val="24"/>
                    <w:szCs w:val="28"/>
                  </w:rPr>
                  <w:instrText xml:space="preserve"> PAGE  \* MERGEFORMAT </w:instrText>
                </w:r>
                <w:r>
                  <w:rPr>
                    <w:rFonts w:ascii="Times New Roman" w:hAnsi="Times New Roman"/>
                    <w:sz w:val="24"/>
                    <w:szCs w:val="28"/>
                  </w:rPr>
                  <w:fldChar w:fldCharType="separate"/>
                </w:r>
                <w:r>
                  <w:rPr>
                    <w:rFonts w:ascii="Times New Roman" w:hAnsi="Times New Roman"/>
                    <w:sz w:val="24"/>
                    <w:szCs w:val="28"/>
                  </w:rPr>
                  <w:t>26</w:t>
                </w:r>
                <w:r>
                  <w:rPr>
                    <w:rFonts w:ascii="Times New Roman" w:hAnsi="Times New Roman"/>
                    <w:sz w:val="24"/>
                    <w:szCs w:val="28"/>
                  </w:rPr>
                  <w:fldChar w:fldCharType="end"/>
                </w:r>
                <w:r>
                  <w:rPr>
                    <w:rFonts w:hint="eastAsia" w:ascii="Times New Roman" w:hAnsi="Times New Roman"/>
                    <w:sz w:val="24"/>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E2FA047D"/>
    <w:multiLevelType w:val="singleLevel"/>
    <w:tmpl w:val="E2FA047D"/>
    <w:lvl w:ilvl="0" w:tentative="0">
      <w:start w:val="3"/>
      <w:numFmt w:val="chineseCounting"/>
      <w:suff w:val="space"/>
      <w:lvlText w:val="第%1部分"/>
      <w:lvlJc w:val="left"/>
      <w:rPr>
        <w:rFonts w:hint="eastAsia"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A3NjE4MWUxNTJlOTY0MjcwYjA5MWQyZjcxOThjODIifQ=="/>
  </w:docVars>
  <w:rsids>
    <w:rsidRoot w:val="6504078C"/>
    <w:rsid w:val="00006CBE"/>
    <w:rsid w:val="00020FA2"/>
    <w:rsid w:val="000213A4"/>
    <w:rsid w:val="00042B14"/>
    <w:rsid w:val="0005334C"/>
    <w:rsid w:val="00061136"/>
    <w:rsid w:val="000637F5"/>
    <w:rsid w:val="00064C83"/>
    <w:rsid w:val="00070361"/>
    <w:rsid w:val="00090373"/>
    <w:rsid w:val="00091035"/>
    <w:rsid w:val="000B1B15"/>
    <w:rsid w:val="000F22ED"/>
    <w:rsid w:val="00107F15"/>
    <w:rsid w:val="00114FD8"/>
    <w:rsid w:val="001156AA"/>
    <w:rsid w:val="001254E8"/>
    <w:rsid w:val="00145B68"/>
    <w:rsid w:val="00147801"/>
    <w:rsid w:val="0016092E"/>
    <w:rsid w:val="001656A3"/>
    <w:rsid w:val="001815FA"/>
    <w:rsid w:val="00186091"/>
    <w:rsid w:val="001A7B1A"/>
    <w:rsid w:val="001B00D0"/>
    <w:rsid w:val="001B2492"/>
    <w:rsid w:val="001D0467"/>
    <w:rsid w:val="001E23F3"/>
    <w:rsid w:val="001E2B9A"/>
    <w:rsid w:val="001F48F8"/>
    <w:rsid w:val="00206ED3"/>
    <w:rsid w:val="00221AD4"/>
    <w:rsid w:val="00244D84"/>
    <w:rsid w:val="00262B02"/>
    <w:rsid w:val="00266C58"/>
    <w:rsid w:val="002958B7"/>
    <w:rsid w:val="002A682D"/>
    <w:rsid w:val="002C5A63"/>
    <w:rsid w:val="002D237D"/>
    <w:rsid w:val="002E28D5"/>
    <w:rsid w:val="002E545C"/>
    <w:rsid w:val="002F7437"/>
    <w:rsid w:val="003554C0"/>
    <w:rsid w:val="003742EE"/>
    <w:rsid w:val="00381274"/>
    <w:rsid w:val="0039015A"/>
    <w:rsid w:val="003A3C02"/>
    <w:rsid w:val="003C1446"/>
    <w:rsid w:val="003E7DE7"/>
    <w:rsid w:val="00415797"/>
    <w:rsid w:val="00424DEC"/>
    <w:rsid w:val="00484DB6"/>
    <w:rsid w:val="00485CA1"/>
    <w:rsid w:val="004C2041"/>
    <w:rsid w:val="004C2809"/>
    <w:rsid w:val="00501E83"/>
    <w:rsid w:val="0053654C"/>
    <w:rsid w:val="00540D5B"/>
    <w:rsid w:val="0057796F"/>
    <w:rsid w:val="006004A3"/>
    <w:rsid w:val="00627F13"/>
    <w:rsid w:val="006560CA"/>
    <w:rsid w:val="00690CF8"/>
    <w:rsid w:val="00691F1D"/>
    <w:rsid w:val="006A2509"/>
    <w:rsid w:val="006B3412"/>
    <w:rsid w:val="006C387C"/>
    <w:rsid w:val="006D1E03"/>
    <w:rsid w:val="006E4D79"/>
    <w:rsid w:val="006E6660"/>
    <w:rsid w:val="006F7950"/>
    <w:rsid w:val="00705B8E"/>
    <w:rsid w:val="00710B85"/>
    <w:rsid w:val="0071453C"/>
    <w:rsid w:val="00714E6F"/>
    <w:rsid w:val="007155A9"/>
    <w:rsid w:val="007778A0"/>
    <w:rsid w:val="0078163E"/>
    <w:rsid w:val="007851E9"/>
    <w:rsid w:val="007E52CA"/>
    <w:rsid w:val="007E6E01"/>
    <w:rsid w:val="00800C72"/>
    <w:rsid w:val="008119FC"/>
    <w:rsid w:val="008120EF"/>
    <w:rsid w:val="00815661"/>
    <w:rsid w:val="00817DEA"/>
    <w:rsid w:val="00830512"/>
    <w:rsid w:val="00831126"/>
    <w:rsid w:val="0083274B"/>
    <w:rsid w:val="008411E3"/>
    <w:rsid w:val="00851499"/>
    <w:rsid w:val="00861886"/>
    <w:rsid w:val="0087029D"/>
    <w:rsid w:val="00892E9A"/>
    <w:rsid w:val="008C4AE9"/>
    <w:rsid w:val="008D63DA"/>
    <w:rsid w:val="009135B1"/>
    <w:rsid w:val="00920AB1"/>
    <w:rsid w:val="00972955"/>
    <w:rsid w:val="009826D1"/>
    <w:rsid w:val="00992D46"/>
    <w:rsid w:val="009C1929"/>
    <w:rsid w:val="009D093B"/>
    <w:rsid w:val="009E1F2E"/>
    <w:rsid w:val="00A17C93"/>
    <w:rsid w:val="00A469C8"/>
    <w:rsid w:val="00A52CEE"/>
    <w:rsid w:val="00A66062"/>
    <w:rsid w:val="00A85D41"/>
    <w:rsid w:val="00AA7665"/>
    <w:rsid w:val="00AB5CB1"/>
    <w:rsid w:val="00AD2DEC"/>
    <w:rsid w:val="00AD59AE"/>
    <w:rsid w:val="00AE1D0D"/>
    <w:rsid w:val="00AF0BB0"/>
    <w:rsid w:val="00B076C3"/>
    <w:rsid w:val="00B40713"/>
    <w:rsid w:val="00B474A4"/>
    <w:rsid w:val="00BD1F86"/>
    <w:rsid w:val="00BF2343"/>
    <w:rsid w:val="00C01FDD"/>
    <w:rsid w:val="00C0289B"/>
    <w:rsid w:val="00C06550"/>
    <w:rsid w:val="00C274C0"/>
    <w:rsid w:val="00C30A8B"/>
    <w:rsid w:val="00C77268"/>
    <w:rsid w:val="00CB26BA"/>
    <w:rsid w:val="00D646DC"/>
    <w:rsid w:val="00D66604"/>
    <w:rsid w:val="00DA70F7"/>
    <w:rsid w:val="00DD68F5"/>
    <w:rsid w:val="00E04706"/>
    <w:rsid w:val="00E15345"/>
    <w:rsid w:val="00E25369"/>
    <w:rsid w:val="00E35D2A"/>
    <w:rsid w:val="00E411DB"/>
    <w:rsid w:val="00E6592F"/>
    <w:rsid w:val="00E77292"/>
    <w:rsid w:val="00E81FF5"/>
    <w:rsid w:val="00E92A91"/>
    <w:rsid w:val="00EC2B30"/>
    <w:rsid w:val="00EC4068"/>
    <w:rsid w:val="00ED2D0A"/>
    <w:rsid w:val="00F02C25"/>
    <w:rsid w:val="00F16D8A"/>
    <w:rsid w:val="00F64B43"/>
    <w:rsid w:val="00F71CB3"/>
    <w:rsid w:val="00FC229E"/>
    <w:rsid w:val="00FF3068"/>
    <w:rsid w:val="028D7764"/>
    <w:rsid w:val="05CF37C9"/>
    <w:rsid w:val="06D96529"/>
    <w:rsid w:val="07AD3CCE"/>
    <w:rsid w:val="0D37196B"/>
    <w:rsid w:val="0EB16BA0"/>
    <w:rsid w:val="0F20111B"/>
    <w:rsid w:val="0F223498"/>
    <w:rsid w:val="0F225CC4"/>
    <w:rsid w:val="0F435A72"/>
    <w:rsid w:val="0FFE2894"/>
    <w:rsid w:val="103B592C"/>
    <w:rsid w:val="14A85F85"/>
    <w:rsid w:val="169003AE"/>
    <w:rsid w:val="183F6281"/>
    <w:rsid w:val="18840098"/>
    <w:rsid w:val="18957AC8"/>
    <w:rsid w:val="18E07FEF"/>
    <w:rsid w:val="1D0B4C7B"/>
    <w:rsid w:val="1F6D5A13"/>
    <w:rsid w:val="1FDE31F4"/>
    <w:rsid w:val="216072B8"/>
    <w:rsid w:val="22EB2B28"/>
    <w:rsid w:val="237808AB"/>
    <w:rsid w:val="25253F15"/>
    <w:rsid w:val="27526E9C"/>
    <w:rsid w:val="2805465E"/>
    <w:rsid w:val="29761FEB"/>
    <w:rsid w:val="2AC65C17"/>
    <w:rsid w:val="2BB64D1E"/>
    <w:rsid w:val="2FE577E3"/>
    <w:rsid w:val="3061355F"/>
    <w:rsid w:val="3198754E"/>
    <w:rsid w:val="358F5BF3"/>
    <w:rsid w:val="36104B84"/>
    <w:rsid w:val="36347A5D"/>
    <w:rsid w:val="36B771DA"/>
    <w:rsid w:val="38003388"/>
    <w:rsid w:val="38622904"/>
    <w:rsid w:val="39BA603A"/>
    <w:rsid w:val="3C6342E8"/>
    <w:rsid w:val="3E4169FF"/>
    <w:rsid w:val="3EC05D09"/>
    <w:rsid w:val="410B563A"/>
    <w:rsid w:val="41681E7B"/>
    <w:rsid w:val="43197CCC"/>
    <w:rsid w:val="449240A2"/>
    <w:rsid w:val="4A1E6940"/>
    <w:rsid w:val="4B323DC6"/>
    <w:rsid w:val="4B511A04"/>
    <w:rsid w:val="4BEC2D8C"/>
    <w:rsid w:val="4C55047E"/>
    <w:rsid w:val="4D2841AB"/>
    <w:rsid w:val="4D475FA4"/>
    <w:rsid w:val="4E3A4862"/>
    <w:rsid w:val="50562E7B"/>
    <w:rsid w:val="518637C8"/>
    <w:rsid w:val="51BD7533"/>
    <w:rsid w:val="53C839BA"/>
    <w:rsid w:val="55750169"/>
    <w:rsid w:val="568F7B81"/>
    <w:rsid w:val="591B64D7"/>
    <w:rsid w:val="59321B02"/>
    <w:rsid w:val="595D37A8"/>
    <w:rsid w:val="5C935926"/>
    <w:rsid w:val="5D3E75DF"/>
    <w:rsid w:val="60DA3742"/>
    <w:rsid w:val="613A0241"/>
    <w:rsid w:val="61CE140B"/>
    <w:rsid w:val="620042A7"/>
    <w:rsid w:val="63F521E6"/>
    <w:rsid w:val="641972D9"/>
    <w:rsid w:val="646C18BB"/>
    <w:rsid w:val="648F2D30"/>
    <w:rsid w:val="64930229"/>
    <w:rsid w:val="6504078C"/>
    <w:rsid w:val="66D22674"/>
    <w:rsid w:val="68011679"/>
    <w:rsid w:val="69145462"/>
    <w:rsid w:val="695535AB"/>
    <w:rsid w:val="69F958BB"/>
    <w:rsid w:val="6AE87A70"/>
    <w:rsid w:val="6B7F436A"/>
    <w:rsid w:val="6EFC7237"/>
    <w:rsid w:val="6F3341C7"/>
    <w:rsid w:val="70DD6C0D"/>
    <w:rsid w:val="71DE2BE1"/>
    <w:rsid w:val="726E3979"/>
    <w:rsid w:val="73453040"/>
    <w:rsid w:val="74836811"/>
    <w:rsid w:val="78CD4CB8"/>
    <w:rsid w:val="7A5725B9"/>
    <w:rsid w:val="7BFC36D0"/>
    <w:rsid w:val="7DA56013"/>
    <w:rsid w:val="7EF55C8D"/>
    <w:rsid w:val="7FDE3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4"/>
    <w:unhideWhenUsed/>
    <w:qFormat/>
    <w:uiPriority w:val="9"/>
    <w:pPr>
      <w:keepNext/>
      <w:keepLines/>
      <w:spacing w:before="260" w:after="260" w:line="416" w:lineRule="auto"/>
      <w:outlineLvl w:val="1"/>
    </w:pPr>
    <w:rPr>
      <w:rFonts w:ascii="Cambria" w:hAnsi="Cambria"/>
      <w:b/>
      <w:bCs/>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99"/>
    <w:pPr>
      <w:spacing w:beforeLines="30"/>
    </w:pPr>
    <w:rPr>
      <w:rFonts w:ascii="仿宋_GB2312"/>
      <w:kern w:val="0"/>
      <w:sz w:val="24"/>
      <w:szCs w:val="20"/>
    </w:rPr>
  </w:style>
  <w:style w:type="paragraph" w:styleId="5">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6">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7">
    <w:name w:val="toc 1"/>
    <w:basedOn w:val="1"/>
    <w:next w:val="1"/>
    <w:unhideWhenUsed/>
    <w:qFormat/>
    <w:uiPriority w:val="39"/>
    <w:pPr>
      <w:spacing w:before="120"/>
      <w:jc w:val="left"/>
    </w:pPr>
    <w:rPr>
      <w:rFonts w:ascii="等线" w:eastAsia="等线"/>
      <w:b/>
      <w:bCs/>
      <w:i/>
      <w:iCs/>
      <w:sz w:val="24"/>
    </w:rPr>
  </w:style>
  <w:style w:type="paragraph" w:styleId="8">
    <w:name w:val="toc 2"/>
    <w:basedOn w:val="1"/>
    <w:next w:val="1"/>
    <w:unhideWhenUsed/>
    <w:qFormat/>
    <w:uiPriority w:val="39"/>
    <w:pPr>
      <w:spacing w:before="120"/>
      <w:ind w:left="300"/>
      <w:jc w:val="left"/>
    </w:pPr>
    <w:rPr>
      <w:rFonts w:ascii="等线" w:eastAsia="等线"/>
      <w:b/>
      <w:bCs/>
      <w:sz w:val="22"/>
      <w:szCs w:val="22"/>
    </w:rPr>
  </w:style>
  <w:style w:type="character" w:styleId="11">
    <w:name w:val="Strong"/>
    <w:basedOn w:val="10"/>
    <w:qFormat/>
    <w:uiPriority w:val="99"/>
    <w:rPr>
      <w:rFonts w:cs="Times New Roman"/>
      <w:b/>
    </w:rPr>
  </w:style>
  <w:style w:type="character" w:styleId="12">
    <w:name w:val="Hyperlink"/>
    <w:unhideWhenUsed/>
    <w:qFormat/>
    <w:uiPriority w:val="99"/>
    <w:rPr>
      <w:color w:val="0000FF"/>
      <w:u w:val="single"/>
    </w:rPr>
  </w:style>
  <w:style w:type="character" w:customStyle="1" w:styleId="13">
    <w:name w:val="标题 1 Char"/>
    <w:basedOn w:val="10"/>
    <w:link w:val="2"/>
    <w:qFormat/>
    <w:locked/>
    <w:uiPriority w:val="9"/>
    <w:rPr>
      <w:b/>
      <w:bCs/>
      <w:kern w:val="44"/>
      <w:sz w:val="44"/>
      <w:szCs w:val="44"/>
    </w:rPr>
  </w:style>
  <w:style w:type="character" w:customStyle="1" w:styleId="14">
    <w:name w:val="标题 2 Char"/>
    <w:basedOn w:val="10"/>
    <w:link w:val="3"/>
    <w:qFormat/>
    <w:locked/>
    <w:uiPriority w:val="9"/>
    <w:rPr>
      <w:rFonts w:ascii="Cambria" w:hAnsi="Cambria"/>
      <w:b/>
      <w:bCs/>
      <w:sz w:val="32"/>
      <w:szCs w:val="32"/>
    </w:rPr>
  </w:style>
  <w:style w:type="paragraph" w:customStyle="1" w:styleId="15">
    <w:name w:val="列出段落1"/>
    <w:basedOn w:val="1"/>
    <w:qFormat/>
    <w:uiPriority w:val="34"/>
    <w:pPr>
      <w:ind w:firstLine="420" w:firstLineChars="200"/>
    </w:pPr>
  </w:style>
  <w:style w:type="paragraph" w:customStyle="1" w:styleId="1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17">
    <w:name w:val="p0"/>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H:\&#20313;&#20142;\2020&#24180;&#20915;&#31639;&#20844;&#24320;\2020&#20915;&#31639;&#20844;&#24320;&#22270;&#24418;.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H:\&#20313;&#20142;\2020&#24180;&#20915;&#31639;&#20844;&#24320;\2020&#20915;&#31639;&#20844;&#24320;&#22270;&#24418;.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H:\&#20313;&#20142;\2020&#24180;&#20915;&#31639;&#20844;&#24320;\2020&#20915;&#31639;&#20844;&#24320;&#22270;&#24418;.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H:\&#20313;&#20142;\2020&#24180;&#20915;&#31639;&#20844;&#24320;\2020&#20915;&#31639;&#20844;&#24320;&#22270;&#24418;.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H:\&#20313;&#20142;\2020&#24180;&#20915;&#31639;&#20844;&#24320;\2020&#20915;&#31639;&#20844;&#24320;&#22270;&#24418;.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H:\&#20313;&#20142;\2020&#24180;&#20915;&#31639;&#20844;&#24320;\2020&#20915;&#31639;&#20844;&#24320;&#22270;&#24418;.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H:\&#20313;&#20142;\2020&#24180;&#20915;&#31639;&#20844;&#24320;\2020&#20915;&#31639;&#20844;&#24320;&#22270;&#2441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财政拨款收入</a:t>
            </a:r>
            <a:endParaRPr lang="zh-CN" altLang="en-US"/>
          </a:p>
        </c:rich>
      </c:tx>
      <c:layout>
        <c:manualLayout>
          <c:xMode val="edge"/>
          <c:yMode val="edge"/>
          <c:x val="0.274416666666667"/>
          <c:y val="0.0416666666666667"/>
        </c:manualLayout>
      </c:layout>
      <c:overlay val="0"/>
    </c:title>
    <c:autoTitleDeleted val="0"/>
    <c:plotArea>
      <c:layout>
        <c:manualLayout>
          <c:layoutTarget val="inner"/>
          <c:xMode val="edge"/>
          <c:yMode val="edge"/>
          <c:x val="0.150277777777778"/>
          <c:y val="0.215046296296296"/>
          <c:w val="0.714166666666667"/>
          <c:h val="0.679398148148149"/>
        </c:manualLayout>
      </c:layout>
      <c:barChart>
        <c:barDir val="col"/>
        <c:grouping val="clustered"/>
        <c:varyColors val="0"/>
        <c:ser>
          <c:idx val="0"/>
          <c:order val="0"/>
          <c:tx>
            <c:strRef>
              <c:f>[2020决算公开图形.xlsx]Sheet1!$B$54</c:f>
              <c:strCache>
                <c:ptCount val="1"/>
                <c:pt idx="0">
                  <c:v>金额</c:v>
                </c:pt>
              </c:strCache>
            </c:strRef>
          </c:tx>
          <c:invertIfNegative val="0"/>
          <c:dLbls>
            <c:delete val="1"/>
          </c:dLbls>
          <c:cat>
            <c:strRef>
              <c:f>[2020决算公开图形.xlsx]Sheet1!$A$55:$A$56</c:f>
              <c:strCache>
                <c:ptCount val="2"/>
                <c:pt idx="0">
                  <c:v>2020年</c:v>
                </c:pt>
                <c:pt idx="1">
                  <c:v>2019年</c:v>
                </c:pt>
              </c:strCache>
            </c:strRef>
          </c:cat>
          <c:val>
            <c:numRef>
              <c:f>[2020决算公开图形.xlsx]Sheet1!$B$55:$B$56</c:f>
              <c:numCache>
                <c:formatCode>#,##0.00</c:formatCode>
                <c:ptCount val="2"/>
                <c:pt idx="0">
                  <c:v>980.26</c:v>
                </c:pt>
                <c:pt idx="1">
                  <c:v>1022.27</c:v>
                </c:pt>
              </c:numCache>
            </c:numRef>
          </c:val>
        </c:ser>
        <c:dLbls>
          <c:showLegendKey val="0"/>
          <c:showVal val="0"/>
          <c:showCatName val="0"/>
          <c:showSerName val="0"/>
          <c:showPercent val="0"/>
          <c:showBubbleSize val="0"/>
        </c:dLbls>
        <c:gapWidth val="150"/>
        <c:axId val="109239296"/>
        <c:axId val="119075584"/>
      </c:barChart>
      <c:catAx>
        <c:axId val="109239296"/>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19075584"/>
        <c:crosses val="autoZero"/>
        <c:auto val="1"/>
        <c:lblAlgn val="ctr"/>
        <c:lblOffset val="100"/>
        <c:noMultiLvlLbl val="0"/>
      </c:catAx>
      <c:valAx>
        <c:axId val="119075584"/>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09239296"/>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605555555555556"/>
          <c:y val="0.0474537037037037"/>
          <c:w val="0.538888888888889"/>
          <c:h val="0.898148148148148"/>
        </c:manualLayout>
      </c:layout>
      <c:pieChart>
        <c:varyColors val="1"/>
        <c:ser>
          <c:idx val="0"/>
          <c:order val="0"/>
          <c:explosion val="25"/>
          <c:dPt>
            <c:idx val="0"/>
            <c:bubble3D val="0"/>
            <c:explosion val="0"/>
          </c:dPt>
          <c:dPt>
            <c:idx val="1"/>
            <c:bubble3D val="0"/>
          </c:dPt>
          <c:dPt>
            <c:idx val="2"/>
            <c:bubble3D val="0"/>
          </c:dPt>
          <c:dPt>
            <c:idx val="3"/>
            <c:bubble3D val="0"/>
          </c:dPt>
          <c:dPt>
            <c:idx val="4"/>
            <c:bubble3D val="0"/>
          </c:dPt>
          <c:dPt>
            <c:idx val="5"/>
            <c:bubble3D val="0"/>
          </c:dPt>
          <c:dPt>
            <c:idx val="6"/>
            <c:bubble3D val="0"/>
          </c:dPt>
          <c:dLbls>
            <c:delete val="1"/>
          </c:dLbls>
          <c:cat>
            <c:multiLvlStrRef>
              <c:f>[2020决算公开图形.xlsx]Sheet1!$A$3:$B$9</c:f>
              <c:multiLvlStrCache>
                <c:ptCount val="7"/>
                <c:lvl>
                  <c:pt idx="0">
                    <c:v>980.26万元</c:v>
                  </c:pt>
                  <c:pt idx="1">
                    <c:v>0万元</c:v>
                  </c:pt>
                  <c:pt idx="2">
                    <c:v>0万元</c:v>
                  </c:pt>
                  <c:pt idx="3">
                    <c:v>0万元</c:v>
                  </c:pt>
                  <c:pt idx="4">
                    <c:v>0万元</c:v>
                  </c:pt>
                  <c:pt idx="5">
                    <c:v>0万元</c:v>
                  </c:pt>
                  <c:pt idx="6">
                    <c:v>0万元</c:v>
                  </c:pt>
                </c:lvl>
                <c:lvl>
                  <c:pt idx="0">
                    <c:v>一般公共预算财政拨款收入</c:v>
                  </c:pt>
                  <c:pt idx="1">
                    <c:v>政府性基金预算财政拨款收入</c:v>
                  </c:pt>
                  <c:pt idx="2">
                    <c:v>国有资本经营预算财政拨款收入</c:v>
                  </c:pt>
                  <c:pt idx="3">
                    <c:v>事业收入</c:v>
                  </c:pt>
                  <c:pt idx="4">
                    <c:v>经营收入</c:v>
                  </c:pt>
                  <c:pt idx="5">
                    <c:v>附属单位上缴收入</c:v>
                  </c:pt>
                  <c:pt idx="6">
                    <c:v>其他收入</c:v>
                  </c:pt>
                </c:lvl>
              </c:multiLvlStrCache>
            </c:multiLvlStrRef>
          </c:cat>
          <c:val>
            <c:numRef>
              <c:f>[2020决算公开图形.xlsx]Sheet1!$C$3:$C$9</c:f>
              <c:numCache>
                <c:formatCode>0%</c:formatCode>
                <c:ptCount val="7"/>
                <c:pt idx="0">
                  <c:v>1</c:v>
                </c:pt>
                <c:pt idx="1">
                  <c:v>0</c:v>
                </c:pt>
                <c:pt idx="2">
                  <c:v>0</c:v>
                </c:pt>
                <c:pt idx="3">
                  <c:v>0</c:v>
                </c:pt>
                <c:pt idx="4">
                  <c:v>0</c:v>
                </c:pt>
                <c:pt idx="5">
                  <c:v>0</c:v>
                </c:pt>
                <c:pt idx="6">
                  <c:v>0</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0"/>
          <c:dPt>
            <c:idx val="0"/>
            <c:bubble3D val="0"/>
          </c:dPt>
          <c:dPt>
            <c:idx val="1"/>
            <c:bubble3D val="0"/>
          </c:dPt>
          <c:dPt>
            <c:idx val="2"/>
            <c:bubble3D val="0"/>
          </c:dPt>
          <c:dPt>
            <c:idx val="3"/>
            <c:bubble3D val="0"/>
          </c:dPt>
          <c:dPt>
            <c:idx val="4"/>
            <c:bubble3D val="0"/>
          </c:dPt>
          <c:dLbls>
            <c:delete val="1"/>
          </c:dLbls>
          <c:cat>
            <c:multiLvlStrRef>
              <c:f>[2020决算公开图形.xlsx]Sheet1!$A$32:$B$36</c:f>
              <c:multiLvlStrCache>
                <c:ptCount val="5"/>
                <c:lvl>
                  <c:pt idx="0">
                    <c:v>980.26万元</c:v>
                  </c:pt>
                  <c:pt idx="1">
                    <c:v>131.60万元</c:v>
                  </c:pt>
                  <c:pt idx="2">
                    <c:v>0万元</c:v>
                  </c:pt>
                  <c:pt idx="3">
                    <c:v>0万元</c:v>
                  </c:pt>
                  <c:pt idx="4">
                    <c:v>0万元</c:v>
                  </c:pt>
                </c:lvl>
                <c:lvl>
                  <c:pt idx="0">
                    <c:v>基本支出</c:v>
                  </c:pt>
                  <c:pt idx="1">
                    <c:v>项目支出</c:v>
                  </c:pt>
                  <c:pt idx="2">
                    <c:v>上缴上级支出</c:v>
                  </c:pt>
                  <c:pt idx="3">
                    <c:v>经营支出</c:v>
                  </c:pt>
                  <c:pt idx="4">
                    <c:v>对附属单位补助支出</c:v>
                  </c:pt>
                </c:lvl>
              </c:multiLvlStrCache>
            </c:multiLvlStrRef>
          </c:cat>
          <c:val>
            <c:numRef>
              <c:f>[2020决算公开图形.xlsx]Sheet1!$C$32:$C$36</c:f>
              <c:numCache>
                <c:formatCode>0.00%</c:formatCode>
                <c:ptCount val="5"/>
                <c:pt idx="0">
                  <c:v>0.8969</c:v>
                </c:pt>
                <c:pt idx="1">
                  <c:v>0.1331</c:v>
                </c:pt>
                <c:pt idx="2" c:formatCode="0%">
                  <c:v>0</c:v>
                </c:pt>
                <c:pt idx="3" c:formatCode="0%">
                  <c:v>0</c:v>
                </c:pt>
                <c:pt idx="4" c:formatCode="0%">
                  <c:v>0</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财政拨款支出</a:t>
            </a:r>
            <a:endParaRPr lang="zh-CN" altLang="en-US"/>
          </a:p>
        </c:rich>
      </c:tx>
      <c:layout>
        <c:manualLayout>
          <c:xMode val="edge"/>
          <c:yMode val="edge"/>
          <c:x val="0.408138888888889"/>
          <c:y val="0.0462962962962963"/>
        </c:manualLayout>
      </c:layout>
      <c:overlay val="0"/>
    </c:title>
    <c:autoTitleDeleted val="0"/>
    <c:plotArea>
      <c:layout/>
      <c:barChart>
        <c:barDir val="col"/>
        <c:grouping val="clustered"/>
        <c:varyColors val="0"/>
        <c:ser>
          <c:idx val="0"/>
          <c:order val="0"/>
          <c:tx>
            <c:strRef>
              <c:f>[2020决算公开图形.xlsx]Sheet1!$B$60</c:f>
              <c:strCache>
                <c:ptCount val="1"/>
                <c:pt idx="0">
                  <c:v>金额</c:v>
                </c:pt>
              </c:strCache>
            </c:strRef>
          </c:tx>
          <c:invertIfNegative val="0"/>
          <c:dLbls>
            <c:delete val="1"/>
          </c:dLbls>
          <c:cat>
            <c:strRef>
              <c:f>[2020决算公开图形.xlsx]Sheet1!$A$61:$A$62</c:f>
              <c:strCache>
                <c:ptCount val="2"/>
                <c:pt idx="0">
                  <c:v>2020年</c:v>
                </c:pt>
                <c:pt idx="1">
                  <c:v>2019年</c:v>
                </c:pt>
              </c:strCache>
            </c:strRef>
          </c:cat>
          <c:val>
            <c:numRef>
              <c:f>[2020决算公开图形.xlsx]Sheet1!$B$61:$B$62</c:f>
              <c:numCache>
                <c:formatCode>#,##0.00</c:formatCode>
                <c:ptCount val="2"/>
                <c:pt idx="0">
                  <c:v>980.26</c:v>
                </c:pt>
                <c:pt idx="1">
                  <c:v>1022.27</c:v>
                </c:pt>
              </c:numCache>
            </c:numRef>
          </c:val>
        </c:ser>
        <c:dLbls>
          <c:showLegendKey val="0"/>
          <c:showVal val="0"/>
          <c:showCatName val="0"/>
          <c:showSerName val="0"/>
          <c:showPercent val="0"/>
          <c:showBubbleSize val="0"/>
        </c:dLbls>
        <c:gapWidth val="150"/>
        <c:axId val="119117696"/>
        <c:axId val="119119232"/>
      </c:barChart>
      <c:catAx>
        <c:axId val="119117696"/>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19119232"/>
        <c:crosses val="autoZero"/>
        <c:auto val="1"/>
        <c:lblAlgn val="ctr"/>
        <c:lblOffset val="100"/>
        <c:noMultiLvlLbl val="0"/>
      </c:catAx>
      <c:valAx>
        <c:axId val="119119232"/>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19117696"/>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一般公共预算财政拨款支出</a:t>
            </a:r>
            <a:endParaRPr lang="zh-CN" altLang="en-US"/>
          </a:p>
        </c:rich>
      </c:tx>
      <c:layout/>
      <c:overlay val="0"/>
    </c:title>
    <c:autoTitleDeleted val="0"/>
    <c:plotArea>
      <c:layout/>
      <c:barChart>
        <c:barDir val="col"/>
        <c:grouping val="clustered"/>
        <c:varyColors val="0"/>
        <c:ser>
          <c:idx val="0"/>
          <c:order val="0"/>
          <c:tx>
            <c:strRef>
              <c:f>[2020决算公开图形.xlsx]Sheet1!$B$89</c:f>
              <c:strCache>
                <c:ptCount val="1"/>
                <c:pt idx="0">
                  <c:v>金额</c:v>
                </c:pt>
              </c:strCache>
            </c:strRef>
          </c:tx>
          <c:invertIfNegative val="0"/>
          <c:dLbls>
            <c:delete val="1"/>
          </c:dLbls>
          <c:cat>
            <c:strRef>
              <c:f>[2020决算公开图形.xlsx]Sheet1!$A$90:$A$91</c:f>
              <c:strCache>
                <c:ptCount val="2"/>
                <c:pt idx="0">
                  <c:v>2020年</c:v>
                </c:pt>
                <c:pt idx="1">
                  <c:v>2019年</c:v>
                </c:pt>
              </c:strCache>
            </c:strRef>
          </c:cat>
          <c:val>
            <c:numRef>
              <c:f>[2020决算公开图形.xlsx]Sheet1!$B$90:$B$91</c:f>
              <c:numCache>
                <c:formatCode>#,##0.00</c:formatCode>
                <c:ptCount val="2"/>
                <c:pt idx="0">
                  <c:v>980.26</c:v>
                </c:pt>
                <c:pt idx="1">
                  <c:v>1022.27</c:v>
                </c:pt>
              </c:numCache>
            </c:numRef>
          </c:val>
        </c:ser>
        <c:dLbls>
          <c:showLegendKey val="0"/>
          <c:showVal val="0"/>
          <c:showCatName val="0"/>
          <c:showSerName val="0"/>
          <c:showPercent val="0"/>
          <c:showBubbleSize val="0"/>
        </c:dLbls>
        <c:gapWidth val="150"/>
        <c:axId val="119131520"/>
        <c:axId val="119137408"/>
      </c:barChart>
      <c:catAx>
        <c:axId val="119131520"/>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19137408"/>
        <c:crosses val="autoZero"/>
        <c:auto val="1"/>
        <c:lblAlgn val="ctr"/>
        <c:lblOffset val="100"/>
        <c:noMultiLvlLbl val="0"/>
      </c:catAx>
      <c:valAx>
        <c:axId val="119137408"/>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19131520"/>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870940170940172"/>
          <c:y val="0.102187397975841"/>
          <c:w val="0.448376068376068"/>
          <c:h val="0.856349983676134"/>
        </c:manualLayout>
      </c:layout>
      <c:pieChart>
        <c:varyColors val="1"/>
        <c:ser>
          <c:idx val="0"/>
          <c:order val="0"/>
          <c:explosion val="0"/>
          <c:dPt>
            <c:idx val="0"/>
            <c:bubble3D val="0"/>
          </c:dPt>
          <c:dPt>
            <c:idx val="1"/>
            <c:bubble3D val="0"/>
          </c:dPt>
          <c:dPt>
            <c:idx val="2"/>
            <c:bubble3D val="0"/>
          </c:dPt>
          <c:dPt>
            <c:idx val="3"/>
            <c:bubble3D val="0"/>
          </c:dPt>
          <c:dPt>
            <c:idx val="4"/>
            <c:bubble3D val="0"/>
          </c:dPt>
          <c:dPt>
            <c:idx val="5"/>
            <c:bubble3D val="0"/>
          </c:dPt>
          <c:dLbls>
            <c:delete val="1"/>
          </c:dLbls>
          <c:cat>
            <c:multiLvlStrRef>
              <c:f>[2020决算公开图形.xlsx]Sheet1!$A$108:$B$113</c:f>
              <c:multiLvlStrCache>
                <c:ptCount val="6"/>
                <c:lvl>
                  <c:pt idx="0">
                    <c:v>764.91万元</c:v>
                  </c:pt>
                  <c:pt idx="1">
                    <c:v>0万元</c:v>
                  </c:pt>
                  <c:pt idx="2">
                    <c:v>0万元</c:v>
                  </c:pt>
                  <c:pt idx="3">
                    <c:v>149.83万元</c:v>
                  </c:pt>
                  <c:pt idx="4">
                    <c:v>25.27万元</c:v>
                  </c:pt>
                  <c:pt idx="5">
                    <c:v>40.25万元</c:v>
                  </c:pt>
                </c:lvl>
                <c:lvl>
                  <c:pt idx="0">
                    <c:v>一般公共服务支出</c:v>
                  </c:pt>
                  <c:pt idx="1">
                    <c:v>教育支出</c:v>
                  </c:pt>
                  <c:pt idx="2">
                    <c:v>科学技术支出</c:v>
                  </c:pt>
                  <c:pt idx="3">
                    <c:v>社会保障和就业（类）支出</c:v>
                  </c:pt>
                  <c:pt idx="4">
                    <c:v>医疗卫生支出</c:v>
                  </c:pt>
                  <c:pt idx="5">
                    <c:v>住房保障支出</c:v>
                  </c:pt>
                </c:lvl>
              </c:multiLvlStrCache>
            </c:multiLvlStrRef>
          </c:cat>
          <c:val>
            <c:numRef>
              <c:f>[2020决算公开图形.xlsx]Sheet1!$C$108:$C$113</c:f>
              <c:numCache>
                <c:formatCode>0.00%</c:formatCode>
                <c:ptCount val="6"/>
                <c:pt idx="0">
                  <c:v>0.7803</c:v>
                </c:pt>
                <c:pt idx="1" c:formatCode="0%">
                  <c:v>0</c:v>
                </c:pt>
                <c:pt idx="2" c:formatCode="0%">
                  <c:v>0</c:v>
                </c:pt>
                <c:pt idx="3">
                  <c:v>0.1528</c:v>
                </c:pt>
                <c:pt idx="4">
                  <c:v>0.0258</c:v>
                </c:pt>
                <c:pt idx="5">
                  <c:v>0.0411</c:v>
                </c:pt>
              </c:numCache>
            </c:numRef>
          </c:val>
        </c:ser>
        <c:dLbls>
          <c:showLegendKey val="0"/>
          <c:showVal val="0"/>
          <c:showCatName val="0"/>
          <c:showSerName val="0"/>
          <c:showPercent val="0"/>
          <c:showBubbleSize val="0"/>
          <c:showLeaderLines val="1"/>
        </c:dLbls>
        <c:firstSliceAng val="0"/>
      </c:pieChart>
    </c:plotArea>
    <c:legend>
      <c:legendPos val="r"/>
      <c:layout>
        <c:manualLayout>
          <c:xMode val="edge"/>
          <c:yMode val="edge"/>
          <c:x val="0.649575338156653"/>
          <c:y val="0.0257022471910112"/>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0"/>
          <c:dPt>
            <c:idx val="0"/>
            <c:bubble3D val="0"/>
          </c:dPt>
          <c:dPt>
            <c:idx val="1"/>
            <c:bubble3D val="0"/>
          </c:dPt>
          <c:dPt>
            <c:idx val="2"/>
            <c:bubble3D val="0"/>
          </c:dPt>
          <c:dLbls>
            <c:delete val="1"/>
          </c:dLbls>
          <c:cat>
            <c:multiLvlStrRef>
              <c:f>[2020决算公开图形.xlsx]Sheet1!$A$126:$B$128</c:f>
              <c:multiLvlStrCache>
                <c:ptCount val="3"/>
                <c:lvl>
                  <c:pt idx="0">
                    <c:v>0万元</c:v>
                  </c:pt>
                  <c:pt idx="1">
                    <c:v>0万元</c:v>
                  </c:pt>
                  <c:pt idx="2">
                    <c:v>1.49万元</c:v>
                  </c:pt>
                </c:lvl>
                <c:lvl>
                  <c:pt idx="0">
                    <c:v>因公出国（境）费</c:v>
                  </c:pt>
                  <c:pt idx="1">
                    <c:v>公务用车购置及运行维护费支出</c:v>
                  </c:pt>
                  <c:pt idx="2">
                    <c:v>公务接待费支出决算</c:v>
                  </c:pt>
                </c:lvl>
              </c:multiLvlStrCache>
            </c:multiLvlStrRef>
          </c:cat>
          <c:val>
            <c:numRef>
              <c:f>[2020决算公开图形.xlsx]Sheet1!$C$126:$C$128</c:f>
              <c:numCache>
                <c:formatCode>0%</c:formatCode>
                <c:ptCount val="3"/>
                <c:pt idx="0">
                  <c:v>0</c:v>
                </c:pt>
                <c:pt idx="1">
                  <c:v>0</c:v>
                </c:pt>
                <c:pt idx="2">
                  <c:v>10</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5"/>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2A8AD7-C383-4FD2-8443-CAB4CEF67DCD}">
  <ds:schemaRefs/>
</ds:datastoreItem>
</file>

<file path=docProps/app.xml><?xml version="1.0" encoding="utf-8"?>
<Properties xmlns="http://schemas.openxmlformats.org/officeDocument/2006/extended-properties" xmlns:vt="http://schemas.openxmlformats.org/officeDocument/2006/docPropsVTypes">
  <Template>Normal.dotm</Template>
  <Pages>26</Pages>
  <Words>9224</Words>
  <Characters>9881</Characters>
  <Lines>87</Lines>
  <Paragraphs>24</Paragraphs>
  <TotalTime>3</TotalTime>
  <ScaleCrop>false</ScaleCrop>
  <LinksUpToDate>false</LinksUpToDate>
  <CharactersWithSpaces>9958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Administrator</cp:lastModifiedBy>
  <dcterms:modified xsi:type="dcterms:W3CDTF">2022-05-13T09:13:53Z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63F8821A4EA048EA9CF0B843E758A48A</vt:lpwstr>
  </property>
</Properties>
</file>