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hint="eastAsia" w:ascii="方正小标宋简体" w:hAnsi="方正小标宋简体" w:eastAsia="方正小标宋简体" w:cs="方正小标宋简体"/>
          <w:b/>
          <w:bCs w:val="0"/>
          <w:sz w:val="44"/>
          <w:szCs w:val="44"/>
        </w:rPr>
      </w:pPr>
      <w:r>
        <w:rPr>
          <w:rFonts w:hint="eastAsia" w:ascii="方正小标宋简体" w:hAnsi="方正小标宋简体" w:eastAsia="方正小标宋简体" w:cs="方正小标宋简体"/>
          <w:b/>
          <w:bCs w:val="0"/>
          <w:sz w:val="44"/>
          <w:szCs w:val="44"/>
        </w:rPr>
        <w:t>自贡市自流井区住房保障中心</w:t>
      </w:r>
    </w:p>
    <w:p>
      <w:pPr>
        <w:widowControl/>
        <w:spacing w:line="580" w:lineRule="exact"/>
        <w:jc w:val="center"/>
        <w:rPr>
          <w:rFonts w:hint="eastAsia" w:ascii="方正小标宋简体" w:hAnsi="方正小标宋简体" w:eastAsia="方正小标宋简体" w:cs="方正小标宋简体"/>
          <w:b/>
          <w:bCs w:val="0"/>
          <w:sz w:val="44"/>
          <w:szCs w:val="44"/>
        </w:rPr>
      </w:pPr>
      <w:r>
        <w:rPr>
          <w:rFonts w:hint="eastAsia" w:ascii="方正小标宋简体" w:hAnsi="方正小标宋简体" w:eastAsia="方正小标宋简体" w:cs="方正小标宋简体"/>
          <w:b/>
          <w:bCs w:val="0"/>
          <w:sz w:val="44"/>
          <w:szCs w:val="44"/>
          <w:lang w:val="en-US" w:eastAsia="zh-CN"/>
        </w:rPr>
        <w:t>2020</w:t>
      </w:r>
      <w:r>
        <w:rPr>
          <w:rFonts w:hint="eastAsia" w:ascii="方正小标宋简体" w:hAnsi="方正小标宋简体" w:eastAsia="方正小标宋简体" w:cs="方正小标宋简体"/>
          <w:b/>
          <w:bCs w:val="0"/>
          <w:sz w:val="44"/>
          <w:szCs w:val="44"/>
        </w:rPr>
        <w:t>年度</w:t>
      </w:r>
      <w:r>
        <w:rPr>
          <w:rFonts w:hint="eastAsia" w:ascii="方正小标宋简体" w:hAnsi="方正小标宋简体" w:eastAsia="方正小标宋简体" w:cs="方正小标宋简体"/>
          <w:b/>
          <w:bCs w:val="0"/>
          <w:sz w:val="44"/>
          <w:szCs w:val="44"/>
          <w:lang w:val="en-US" w:eastAsia="zh-CN"/>
        </w:rPr>
        <w:t>部门</w:t>
      </w:r>
      <w:r>
        <w:rPr>
          <w:rFonts w:hint="eastAsia" w:ascii="方正小标宋简体" w:hAnsi="方正小标宋简体" w:eastAsia="方正小标宋简体" w:cs="方正小标宋简体"/>
          <w:b/>
          <w:bCs w:val="0"/>
          <w:sz w:val="44"/>
          <w:szCs w:val="44"/>
        </w:rPr>
        <w:t>决算编制的说明</w:t>
      </w:r>
    </w:p>
    <w:p>
      <w:pPr>
        <w:widowControl/>
        <w:jc w:val="center"/>
        <w:rPr>
          <w:rFonts w:ascii="仿宋_GB2312"/>
          <w:sz w:val="28"/>
          <w:szCs w:val="28"/>
        </w:rPr>
      </w:pPr>
    </w:p>
    <w:p>
      <w:pPr>
        <w:widowControl/>
        <w:jc w:val="center"/>
        <w:rPr>
          <w:rFonts w:hint="eastAsia" w:ascii="仿宋" w:hAnsi="仿宋" w:eastAsia="仿宋" w:cs="仿宋"/>
          <w:color w:val="000000"/>
          <w:sz w:val="32"/>
          <w:szCs w:val="32"/>
        </w:rPr>
      </w:pPr>
      <w:r>
        <w:rPr>
          <w:rFonts w:hint="eastAsia" w:ascii="仿宋" w:hAnsi="仿宋" w:eastAsia="仿宋" w:cs="仿宋"/>
          <w:color w:val="000000"/>
          <w:sz w:val="32"/>
          <w:szCs w:val="32"/>
        </w:rPr>
        <w:t>目</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录</w:t>
      </w:r>
    </w:p>
    <w:sdt>
      <w:sdtPr>
        <w:rPr>
          <w:rFonts w:hint="eastAsia" w:ascii="仿宋" w:hAnsi="仿宋" w:eastAsia="仿宋" w:cs="仿宋"/>
          <w:kern w:val="2"/>
          <w:sz w:val="32"/>
          <w:szCs w:val="32"/>
          <w:lang w:val="en-US" w:eastAsia="zh-CN" w:bidi="ar-SA"/>
        </w:rPr>
        <w:id w:val="147471178"/>
        <w15:color w:val="DBDBDB"/>
        <w:docPartObj>
          <w:docPartGallery w:val="Table of Contents"/>
          <w:docPartUnique/>
        </w:docPartObj>
      </w:sdtPr>
      <w:sdtEndPr>
        <w:rPr>
          <w:rFonts w:hint="eastAsia" w:ascii="等线" w:hAnsi="Times New Roman" w:eastAsia="等线" w:cs="Times New Roman"/>
          <w:b/>
          <w:bCs/>
          <w:i/>
          <w:iCs/>
          <w:kern w:val="2"/>
          <w:sz w:val="24"/>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仿宋" w:hAnsi="仿宋" w:eastAsia="仿宋" w:cs="仿宋"/>
              <w:sz w:val="32"/>
              <w:szCs w:val="32"/>
            </w:rPr>
          </w:pPr>
          <w:bookmarkStart w:id="0" w:name="_Toc10567"/>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TOC \o "1-3" \h \u </w:instrText>
          </w:r>
          <w:r>
            <w:rPr>
              <w:rFonts w:hint="eastAsia" w:ascii="仿宋" w:hAnsi="仿宋" w:eastAsia="仿宋" w:cs="仿宋"/>
              <w:sz w:val="32"/>
              <w:szCs w:val="32"/>
            </w:rPr>
            <w:fldChar w:fldCharType="separate"/>
          </w:r>
        </w:p>
        <w:p>
          <w:pPr>
            <w:pStyle w:val="18"/>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_Toc30604 </w:instrText>
          </w:r>
          <w:r>
            <w:rPr>
              <w:rFonts w:hint="eastAsia" w:ascii="仿宋" w:hAnsi="仿宋" w:eastAsia="仿宋" w:cs="仿宋"/>
              <w:sz w:val="32"/>
              <w:szCs w:val="32"/>
            </w:rPr>
            <w:fldChar w:fldCharType="separate"/>
          </w:r>
          <w:r>
            <w:rPr>
              <w:rFonts w:hint="eastAsia" w:ascii="仿宋" w:hAnsi="仿宋" w:eastAsia="仿宋" w:cs="仿宋"/>
              <w:sz w:val="32"/>
              <w:szCs w:val="32"/>
            </w:rPr>
            <w:t xml:space="preserve">第一部分 </w:t>
          </w:r>
          <w:r>
            <w:rPr>
              <w:rFonts w:hint="eastAsia" w:ascii="仿宋" w:hAnsi="仿宋" w:eastAsia="仿宋" w:cs="仿宋"/>
              <w:bCs w:val="0"/>
              <w:sz w:val="32"/>
              <w:szCs w:val="32"/>
            </w:rPr>
            <w:t>部门概况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_Toc30604 \h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_Toc29977 </w:instrText>
          </w:r>
          <w:r>
            <w:rPr>
              <w:rFonts w:hint="eastAsia" w:ascii="仿宋" w:hAnsi="仿宋" w:eastAsia="仿宋" w:cs="仿宋"/>
              <w:sz w:val="32"/>
              <w:szCs w:val="32"/>
            </w:rPr>
            <w:fldChar w:fldCharType="separate"/>
          </w:r>
          <w:r>
            <w:rPr>
              <w:rFonts w:hint="eastAsia" w:ascii="仿宋" w:hAnsi="仿宋" w:eastAsia="仿宋" w:cs="仿宋"/>
              <w:sz w:val="32"/>
              <w:szCs w:val="32"/>
            </w:rPr>
            <w:t>一、基</w:t>
          </w:r>
          <w:r>
            <w:rPr>
              <w:rFonts w:hint="eastAsia" w:ascii="仿宋" w:hAnsi="仿宋" w:eastAsia="仿宋" w:cs="仿宋"/>
              <w:bCs w:val="0"/>
              <w:sz w:val="32"/>
              <w:szCs w:val="32"/>
            </w:rPr>
            <w:t>本职能及主要工作</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_Toc29977 \h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_Toc25624 </w:instrText>
          </w:r>
          <w:r>
            <w:rPr>
              <w:rFonts w:hint="eastAsia" w:ascii="仿宋" w:hAnsi="仿宋" w:eastAsia="仿宋" w:cs="仿宋"/>
              <w:sz w:val="32"/>
              <w:szCs w:val="32"/>
            </w:rPr>
            <w:fldChar w:fldCharType="separate"/>
          </w:r>
          <w:r>
            <w:rPr>
              <w:rFonts w:hint="eastAsia" w:ascii="仿宋" w:hAnsi="仿宋" w:eastAsia="仿宋" w:cs="仿宋"/>
              <w:sz w:val="32"/>
              <w:szCs w:val="32"/>
            </w:rPr>
            <w:t>二、机</w:t>
          </w:r>
          <w:r>
            <w:rPr>
              <w:rFonts w:hint="eastAsia" w:ascii="仿宋" w:hAnsi="仿宋" w:eastAsia="仿宋" w:cs="仿宋"/>
              <w:bCs w:val="0"/>
              <w:sz w:val="32"/>
              <w:szCs w:val="32"/>
            </w:rPr>
            <w:t>构设置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_Toc25624 \h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8"/>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_Toc30821 </w:instrText>
          </w:r>
          <w:r>
            <w:rPr>
              <w:rFonts w:hint="eastAsia" w:ascii="仿宋" w:hAnsi="仿宋" w:eastAsia="仿宋" w:cs="仿宋"/>
              <w:sz w:val="32"/>
              <w:szCs w:val="32"/>
            </w:rPr>
            <w:fldChar w:fldCharType="separate"/>
          </w:r>
          <w:r>
            <w:rPr>
              <w:rFonts w:hint="eastAsia" w:ascii="仿宋" w:hAnsi="仿宋" w:eastAsia="仿宋" w:cs="仿宋"/>
              <w:sz w:val="32"/>
              <w:szCs w:val="32"/>
            </w:rPr>
            <w:t xml:space="preserve">第二部分 </w:t>
          </w:r>
          <w:r>
            <w:rPr>
              <w:rFonts w:hint="eastAsia" w:ascii="仿宋" w:hAnsi="仿宋" w:eastAsia="仿宋" w:cs="仿宋"/>
              <w:bCs w:val="0"/>
              <w:sz w:val="32"/>
              <w:szCs w:val="32"/>
            </w:rPr>
            <w:t>2020年度决算情况说明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_Toc30821 \h </w:instrText>
          </w:r>
          <w:r>
            <w:rPr>
              <w:rFonts w:hint="eastAsia" w:ascii="仿宋" w:hAnsi="仿宋" w:eastAsia="仿宋" w:cs="仿宋"/>
              <w:sz w:val="32"/>
              <w:szCs w:val="32"/>
            </w:rPr>
            <w:fldChar w:fldCharType="separate"/>
          </w:r>
          <w:r>
            <w:rPr>
              <w:rFonts w:hint="eastAsia" w:ascii="仿宋" w:hAnsi="仿宋" w:eastAsia="仿宋" w:cs="仿宋"/>
              <w:sz w:val="32"/>
              <w:szCs w:val="32"/>
            </w:rPr>
            <w:t>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_Toc28566 </w:instrText>
          </w:r>
          <w:r>
            <w:rPr>
              <w:rFonts w:hint="eastAsia" w:ascii="仿宋" w:hAnsi="仿宋" w:eastAsia="仿宋" w:cs="仿宋"/>
              <w:sz w:val="32"/>
              <w:szCs w:val="32"/>
            </w:rPr>
            <w:fldChar w:fldCharType="separate"/>
          </w:r>
          <w:r>
            <w:rPr>
              <w:rFonts w:hint="eastAsia" w:ascii="仿宋" w:hAnsi="仿宋" w:eastAsia="仿宋" w:cs="仿宋"/>
              <w:sz w:val="32"/>
              <w:szCs w:val="32"/>
            </w:rPr>
            <w:t>一、 收入支出决算总体情况说明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_Toc28566 \h </w:instrText>
          </w:r>
          <w:r>
            <w:rPr>
              <w:rFonts w:hint="eastAsia" w:ascii="仿宋" w:hAnsi="仿宋" w:eastAsia="仿宋" w:cs="仿宋"/>
              <w:sz w:val="32"/>
              <w:szCs w:val="32"/>
            </w:rPr>
            <w:fldChar w:fldCharType="separate"/>
          </w:r>
          <w:r>
            <w:rPr>
              <w:rFonts w:hint="eastAsia" w:ascii="仿宋" w:hAnsi="仿宋" w:eastAsia="仿宋" w:cs="仿宋"/>
              <w:sz w:val="32"/>
              <w:szCs w:val="32"/>
            </w:rPr>
            <w:t>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_Toc14567 </w:instrText>
          </w:r>
          <w:r>
            <w:rPr>
              <w:rFonts w:hint="eastAsia" w:ascii="仿宋" w:hAnsi="仿宋" w:eastAsia="仿宋" w:cs="仿宋"/>
              <w:sz w:val="32"/>
              <w:szCs w:val="32"/>
            </w:rPr>
            <w:fldChar w:fldCharType="separate"/>
          </w:r>
          <w:r>
            <w:rPr>
              <w:rFonts w:hint="eastAsia" w:ascii="仿宋" w:hAnsi="仿宋" w:eastAsia="仿宋" w:cs="仿宋"/>
              <w:sz w:val="32"/>
              <w:szCs w:val="32"/>
            </w:rPr>
            <w:t>二、 收入决算情况说明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_Toc14567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_Toc11958 </w:instrText>
          </w:r>
          <w:r>
            <w:rPr>
              <w:rFonts w:hint="eastAsia" w:ascii="仿宋" w:hAnsi="仿宋" w:eastAsia="仿宋" w:cs="仿宋"/>
              <w:sz w:val="32"/>
              <w:szCs w:val="32"/>
            </w:rPr>
            <w:fldChar w:fldCharType="separate"/>
          </w:r>
          <w:r>
            <w:rPr>
              <w:rFonts w:hint="eastAsia" w:ascii="仿宋" w:hAnsi="仿宋" w:eastAsia="仿宋" w:cs="仿宋"/>
              <w:sz w:val="32"/>
              <w:szCs w:val="32"/>
            </w:rPr>
            <w:t>三、 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_Toc11958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_Toc31925 </w:instrText>
          </w:r>
          <w:r>
            <w:rPr>
              <w:rFonts w:hint="eastAsia" w:ascii="仿宋" w:hAnsi="仿宋" w:eastAsia="仿宋" w:cs="仿宋"/>
              <w:sz w:val="32"/>
              <w:szCs w:val="32"/>
            </w:rPr>
            <w:fldChar w:fldCharType="separate"/>
          </w:r>
          <w:r>
            <w:rPr>
              <w:rFonts w:hint="eastAsia" w:ascii="仿宋" w:hAnsi="仿宋" w:eastAsia="仿宋" w:cs="仿宋"/>
              <w:sz w:val="32"/>
              <w:szCs w:val="32"/>
            </w:rPr>
            <w:t>四、财政拨款收入支出决算总体情况说明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_Toc31925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_Toc22118 </w:instrText>
          </w:r>
          <w:r>
            <w:rPr>
              <w:rFonts w:hint="eastAsia" w:ascii="仿宋" w:hAnsi="仿宋" w:eastAsia="仿宋" w:cs="仿宋"/>
              <w:sz w:val="32"/>
              <w:szCs w:val="32"/>
            </w:rPr>
            <w:fldChar w:fldCharType="separate"/>
          </w:r>
          <w:r>
            <w:rPr>
              <w:rFonts w:hint="eastAsia" w:ascii="仿宋" w:hAnsi="仿宋" w:eastAsia="仿宋" w:cs="仿宋"/>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_Toc22118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_Toc26128 </w:instrText>
          </w:r>
          <w:r>
            <w:rPr>
              <w:rFonts w:hint="eastAsia" w:ascii="仿宋" w:hAnsi="仿宋" w:eastAsia="仿宋" w:cs="仿宋"/>
              <w:sz w:val="32"/>
              <w:szCs w:val="32"/>
            </w:rPr>
            <w:fldChar w:fldCharType="separate"/>
          </w:r>
          <w:r>
            <w:rPr>
              <w:rFonts w:hint="eastAsia" w:ascii="仿宋" w:hAnsi="仿宋" w:eastAsia="仿宋" w:cs="仿宋"/>
              <w:sz w:val="32"/>
              <w:szCs w:val="32"/>
            </w:rPr>
            <w:t>六、一般公共预算财政拨款基本支出决算情况说明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_Toc26128 \h </w:instrText>
          </w:r>
          <w:r>
            <w:rPr>
              <w:rFonts w:hint="eastAsia" w:ascii="仿宋" w:hAnsi="仿宋" w:eastAsia="仿宋" w:cs="仿宋"/>
              <w:sz w:val="32"/>
              <w:szCs w:val="32"/>
            </w:rPr>
            <w:fldChar w:fldCharType="separate"/>
          </w:r>
          <w:r>
            <w:rPr>
              <w:rFonts w:hint="eastAsia" w:ascii="仿宋" w:hAnsi="仿宋" w:eastAsia="仿宋" w:cs="仿宋"/>
              <w:sz w:val="32"/>
              <w:szCs w:val="32"/>
            </w:rPr>
            <w:t>11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_Toc11165 </w:instrText>
          </w:r>
          <w:r>
            <w:rPr>
              <w:rFonts w:hint="eastAsia" w:ascii="仿宋" w:hAnsi="仿宋" w:eastAsia="仿宋" w:cs="仿宋"/>
              <w:sz w:val="32"/>
              <w:szCs w:val="32"/>
            </w:rPr>
            <w:fldChar w:fldCharType="separate"/>
          </w:r>
          <w:r>
            <w:rPr>
              <w:rFonts w:hint="eastAsia" w:ascii="仿宋" w:hAnsi="仿宋" w:eastAsia="仿宋" w:cs="仿宋"/>
              <w:sz w:val="32"/>
              <w:szCs w:val="32"/>
            </w:rPr>
            <w:t>七、“三公”经费财政拨款支出决算情况说明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_Toc11165 \h </w:instrText>
          </w:r>
          <w:r>
            <w:rPr>
              <w:rFonts w:hint="eastAsia" w:ascii="仿宋" w:hAnsi="仿宋" w:eastAsia="仿宋" w:cs="仿宋"/>
              <w:sz w:val="32"/>
              <w:szCs w:val="32"/>
            </w:rPr>
            <w:fldChar w:fldCharType="separate"/>
          </w:r>
          <w:r>
            <w:rPr>
              <w:rFonts w:hint="eastAsia" w:ascii="仿宋" w:hAnsi="仿宋" w:eastAsia="仿宋" w:cs="仿宋"/>
              <w:sz w:val="32"/>
              <w:szCs w:val="32"/>
            </w:rPr>
            <w:t>11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_Toc26304 </w:instrText>
          </w:r>
          <w:r>
            <w:rPr>
              <w:rFonts w:hint="eastAsia" w:ascii="仿宋" w:hAnsi="仿宋" w:eastAsia="仿宋" w:cs="仿宋"/>
              <w:sz w:val="32"/>
              <w:szCs w:val="32"/>
            </w:rPr>
            <w:fldChar w:fldCharType="separate"/>
          </w:r>
          <w:r>
            <w:rPr>
              <w:rFonts w:hint="eastAsia" w:ascii="仿宋" w:hAnsi="仿宋" w:eastAsia="仿宋" w:cs="仿宋"/>
              <w:sz w:val="32"/>
              <w:szCs w:val="32"/>
            </w:rPr>
            <w:t>八、政府性基金预算支出决算情况说明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_Toc26304 \h </w:instrText>
          </w:r>
          <w:r>
            <w:rPr>
              <w:rFonts w:hint="eastAsia" w:ascii="仿宋" w:hAnsi="仿宋" w:eastAsia="仿宋" w:cs="仿宋"/>
              <w:sz w:val="32"/>
              <w:szCs w:val="32"/>
            </w:rPr>
            <w:fldChar w:fldCharType="separate"/>
          </w:r>
          <w:r>
            <w:rPr>
              <w:rFonts w:hint="eastAsia" w:ascii="仿宋" w:hAnsi="仿宋" w:eastAsia="仿宋" w:cs="仿宋"/>
              <w:sz w:val="32"/>
              <w:szCs w:val="32"/>
            </w:rPr>
            <w:t>13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_Toc730 </w:instrText>
          </w:r>
          <w:r>
            <w:rPr>
              <w:rFonts w:hint="eastAsia" w:ascii="仿宋" w:hAnsi="仿宋" w:eastAsia="仿宋" w:cs="仿宋"/>
              <w:sz w:val="32"/>
              <w:szCs w:val="32"/>
            </w:rPr>
            <w:fldChar w:fldCharType="separate"/>
          </w:r>
          <w:r>
            <w:rPr>
              <w:rFonts w:hint="eastAsia" w:ascii="仿宋" w:hAnsi="仿宋" w:eastAsia="仿宋" w:cs="仿宋"/>
              <w:sz w:val="32"/>
              <w:szCs w:val="32"/>
            </w:rPr>
            <w:t>九、 国有资本经营预算支出决算情况说明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_Toc730 \h </w:instrText>
          </w:r>
          <w:r>
            <w:rPr>
              <w:rFonts w:hint="eastAsia" w:ascii="仿宋" w:hAnsi="仿宋" w:eastAsia="仿宋" w:cs="仿宋"/>
              <w:sz w:val="32"/>
              <w:szCs w:val="32"/>
            </w:rPr>
            <w:fldChar w:fldCharType="separate"/>
          </w:r>
          <w:r>
            <w:rPr>
              <w:rFonts w:hint="eastAsia" w:ascii="仿宋" w:hAnsi="仿宋" w:eastAsia="仿宋" w:cs="仿宋"/>
              <w:sz w:val="32"/>
              <w:szCs w:val="32"/>
            </w:rPr>
            <w:t>13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_Toc1353 </w:instrText>
          </w:r>
          <w:r>
            <w:rPr>
              <w:rFonts w:hint="eastAsia" w:ascii="仿宋" w:hAnsi="仿宋" w:eastAsia="仿宋" w:cs="仿宋"/>
              <w:sz w:val="32"/>
              <w:szCs w:val="32"/>
            </w:rPr>
            <w:fldChar w:fldCharType="separate"/>
          </w:r>
          <w:r>
            <w:rPr>
              <w:rFonts w:hint="eastAsia" w:ascii="仿宋" w:hAnsi="仿宋" w:eastAsia="仿宋" w:cs="仿宋"/>
              <w:sz w:val="32"/>
              <w:szCs w:val="32"/>
            </w:rPr>
            <w:t>十、其他重要事项的情况说明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_Toc1353 \h </w:instrText>
          </w:r>
          <w:r>
            <w:rPr>
              <w:rFonts w:hint="eastAsia" w:ascii="仿宋" w:hAnsi="仿宋" w:eastAsia="仿宋" w:cs="仿宋"/>
              <w:sz w:val="32"/>
              <w:szCs w:val="32"/>
            </w:rPr>
            <w:fldChar w:fldCharType="separate"/>
          </w:r>
          <w:r>
            <w:rPr>
              <w:rFonts w:hint="eastAsia" w:ascii="仿宋" w:hAnsi="仿宋" w:eastAsia="仿宋" w:cs="仿宋"/>
              <w:sz w:val="32"/>
              <w:szCs w:val="32"/>
            </w:rPr>
            <w:t>13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8"/>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_Toc16485 </w:instrText>
          </w:r>
          <w:r>
            <w:rPr>
              <w:rFonts w:hint="eastAsia" w:ascii="仿宋" w:hAnsi="仿宋" w:eastAsia="仿宋" w:cs="仿宋"/>
              <w:sz w:val="32"/>
              <w:szCs w:val="32"/>
            </w:rPr>
            <w:fldChar w:fldCharType="separate"/>
          </w:r>
          <w:r>
            <w:rPr>
              <w:rFonts w:hint="eastAsia" w:ascii="仿宋" w:hAnsi="仿宋" w:eastAsia="仿宋" w:cs="仿宋"/>
              <w:sz w:val="32"/>
              <w:szCs w:val="32"/>
            </w:rPr>
            <w:t>第三部分 名词解释</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_Toc16485 \h </w:instrText>
          </w:r>
          <w:r>
            <w:rPr>
              <w:rFonts w:hint="eastAsia" w:ascii="仿宋" w:hAnsi="仿宋" w:eastAsia="仿宋" w:cs="仿宋"/>
              <w:sz w:val="32"/>
              <w:szCs w:val="32"/>
            </w:rPr>
            <w:fldChar w:fldCharType="separate"/>
          </w:r>
          <w:r>
            <w:rPr>
              <w:rFonts w:hint="eastAsia" w:ascii="仿宋" w:hAnsi="仿宋" w:eastAsia="仿宋" w:cs="仿宋"/>
              <w:sz w:val="32"/>
              <w:szCs w:val="32"/>
            </w:rPr>
            <w:t>17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8"/>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_Toc15545 </w:instrText>
          </w:r>
          <w:r>
            <w:rPr>
              <w:rFonts w:hint="eastAsia" w:ascii="仿宋" w:hAnsi="仿宋" w:eastAsia="仿宋" w:cs="仿宋"/>
              <w:sz w:val="32"/>
              <w:szCs w:val="32"/>
            </w:rPr>
            <w:fldChar w:fldCharType="separate"/>
          </w:r>
          <w:r>
            <w:rPr>
              <w:rFonts w:hint="eastAsia" w:ascii="仿宋" w:hAnsi="仿宋" w:eastAsia="仿宋" w:cs="仿宋"/>
              <w:sz w:val="32"/>
              <w:szCs w:val="32"/>
            </w:rPr>
            <w:t>第四部分 附件</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_Toc15545 \h </w:instrText>
          </w:r>
          <w:r>
            <w:rPr>
              <w:rFonts w:hint="eastAsia" w:ascii="仿宋" w:hAnsi="仿宋" w:eastAsia="仿宋" w:cs="仿宋"/>
              <w:sz w:val="32"/>
              <w:szCs w:val="32"/>
            </w:rPr>
            <w:fldChar w:fldCharType="separate"/>
          </w:r>
          <w:r>
            <w:rPr>
              <w:rFonts w:hint="eastAsia" w:ascii="仿宋" w:hAnsi="仿宋" w:eastAsia="仿宋" w:cs="仿宋"/>
              <w:sz w:val="32"/>
              <w:szCs w:val="32"/>
            </w:rPr>
            <w:t>20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_Toc9810 </w:instrText>
          </w:r>
          <w:r>
            <w:rPr>
              <w:rFonts w:hint="eastAsia" w:ascii="仿宋" w:hAnsi="仿宋" w:eastAsia="仿宋" w:cs="仿宋"/>
              <w:sz w:val="32"/>
              <w:szCs w:val="32"/>
            </w:rPr>
            <w:fldChar w:fldCharType="separate"/>
          </w:r>
          <w:r>
            <w:rPr>
              <w:rFonts w:hint="eastAsia" w:ascii="仿宋" w:hAnsi="仿宋" w:eastAsia="仿宋" w:cs="仿宋"/>
              <w:sz w:val="32"/>
              <w:szCs w:val="32"/>
            </w:rPr>
            <w:t>附件1</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_Toc9810 \h </w:instrText>
          </w:r>
          <w:r>
            <w:rPr>
              <w:rFonts w:hint="eastAsia" w:ascii="仿宋" w:hAnsi="仿宋" w:eastAsia="仿宋" w:cs="仿宋"/>
              <w:sz w:val="32"/>
              <w:szCs w:val="32"/>
            </w:rPr>
            <w:fldChar w:fldCharType="separate"/>
          </w:r>
          <w:r>
            <w:rPr>
              <w:rFonts w:hint="eastAsia" w:ascii="仿宋" w:hAnsi="仿宋" w:eastAsia="仿宋" w:cs="仿宋"/>
              <w:sz w:val="32"/>
              <w:szCs w:val="32"/>
            </w:rPr>
            <w:t>20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_Toc6970 </w:instrText>
          </w:r>
          <w:r>
            <w:rPr>
              <w:rFonts w:hint="eastAsia" w:ascii="仿宋" w:hAnsi="仿宋" w:eastAsia="仿宋" w:cs="仿宋"/>
              <w:sz w:val="32"/>
              <w:szCs w:val="32"/>
            </w:rPr>
            <w:fldChar w:fldCharType="separate"/>
          </w:r>
          <w:r>
            <w:rPr>
              <w:rFonts w:hint="eastAsia" w:ascii="仿宋" w:hAnsi="仿宋" w:eastAsia="仿宋" w:cs="仿宋"/>
              <w:sz w:val="32"/>
              <w:szCs w:val="32"/>
            </w:rPr>
            <w:t>附件2</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_Toc6970 \h </w:instrText>
          </w:r>
          <w:r>
            <w:rPr>
              <w:rFonts w:hint="eastAsia" w:ascii="仿宋" w:hAnsi="仿宋" w:eastAsia="仿宋" w:cs="仿宋"/>
              <w:sz w:val="32"/>
              <w:szCs w:val="32"/>
            </w:rPr>
            <w:fldChar w:fldCharType="separate"/>
          </w:r>
          <w:r>
            <w:rPr>
              <w:rFonts w:hint="eastAsia" w:ascii="仿宋" w:hAnsi="仿宋" w:eastAsia="仿宋" w:cs="仿宋"/>
              <w:sz w:val="32"/>
              <w:szCs w:val="32"/>
            </w:rPr>
            <w:t>25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8"/>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_Toc32538 </w:instrText>
          </w:r>
          <w:r>
            <w:rPr>
              <w:rFonts w:hint="eastAsia" w:ascii="仿宋" w:hAnsi="仿宋" w:eastAsia="仿宋" w:cs="仿宋"/>
              <w:sz w:val="32"/>
              <w:szCs w:val="32"/>
            </w:rPr>
            <w:fldChar w:fldCharType="separate"/>
          </w:r>
          <w:r>
            <w:rPr>
              <w:rFonts w:hint="eastAsia" w:ascii="仿宋" w:hAnsi="仿宋" w:eastAsia="仿宋" w:cs="仿宋"/>
              <w:sz w:val="32"/>
              <w:szCs w:val="32"/>
            </w:rPr>
            <w:t>第五部分 附表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_Toc32538 \h </w:instrText>
          </w:r>
          <w:r>
            <w:rPr>
              <w:rFonts w:hint="eastAsia" w:ascii="仿宋" w:hAnsi="仿宋" w:eastAsia="仿宋" w:cs="仿宋"/>
              <w:sz w:val="32"/>
              <w:szCs w:val="32"/>
            </w:rPr>
            <w:fldChar w:fldCharType="separate"/>
          </w:r>
          <w:r>
            <w:rPr>
              <w:rFonts w:hint="eastAsia" w:ascii="仿宋" w:hAnsi="仿宋" w:eastAsia="仿宋" w:cs="仿宋"/>
              <w:sz w:val="32"/>
              <w:szCs w:val="32"/>
            </w:rPr>
            <w:t>30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8"/>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_Toc17566 </w:instrText>
          </w:r>
          <w:r>
            <w:rPr>
              <w:rFonts w:hint="eastAsia" w:ascii="仿宋" w:hAnsi="仿宋" w:eastAsia="仿宋" w:cs="仿宋"/>
              <w:sz w:val="32"/>
              <w:szCs w:val="32"/>
            </w:rPr>
            <w:fldChar w:fldCharType="separate"/>
          </w:r>
          <w:r>
            <w:rPr>
              <w:rFonts w:hint="eastAsia" w:ascii="仿宋" w:hAnsi="仿宋" w:eastAsia="仿宋" w:cs="仿宋"/>
              <w:sz w:val="32"/>
              <w:szCs w:val="32"/>
            </w:rPr>
            <w:t>一、收入支出决算总表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_Toc17566 \h </w:instrText>
          </w:r>
          <w:r>
            <w:rPr>
              <w:rFonts w:hint="eastAsia" w:ascii="仿宋" w:hAnsi="仿宋" w:eastAsia="仿宋" w:cs="仿宋"/>
              <w:sz w:val="32"/>
              <w:szCs w:val="32"/>
            </w:rPr>
            <w:fldChar w:fldCharType="separate"/>
          </w:r>
          <w:r>
            <w:rPr>
              <w:rFonts w:hint="eastAsia" w:ascii="仿宋" w:hAnsi="仿宋" w:eastAsia="仿宋" w:cs="仿宋"/>
              <w:sz w:val="32"/>
              <w:szCs w:val="32"/>
            </w:rPr>
            <w:t>30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8"/>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_Toc13784 </w:instrText>
          </w:r>
          <w:r>
            <w:rPr>
              <w:rFonts w:hint="eastAsia" w:ascii="仿宋" w:hAnsi="仿宋" w:eastAsia="仿宋" w:cs="仿宋"/>
              <w:sz w:val="32"/>
              <w:szCs w:val="32"/>
            </w:rPr>
            <w:fldChar w:fldCharType="separate"/>
          </w:r>
          <w:r>
            <w:rPr>
              <w:rFonts w:hint="eastAsia" w:ascii="仿宋" w:hAnsi="仿宋" w:eastAsia="仿宋" w:cs="仿宋"/>
              <w:sz w:val="32"/>
              <w:szCs w:val="32"/>
            </w:rPr>
            <w:t>二、收入决算表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_Toc13784 \h </w:instrText>
          </w:r>
          <w:r>
            <w:rPr>
              <w:rFonts w:hint="eastAsia" w:ascii="仿宋" w:hAnsi="仿宋" w:eastAsia="仿宋" w:cs="仿宋"/>
              <w:sz w:val="32"/>
              <w:szCs w:val="32"/>
            </w:rPr>
            <w:fldChar w:fldCharType="separate"/>
          </w:r>
          <w:r>
            <w:rPr>
              <w:rFonts w:hint="eastAsia" w:ascii="仿宋" w:hAnsi="仿宋" w:eastAsia="仿宋" w:cs="仿宋"/>
              <w:sz w:val="32"/>
              <w:szCs w:val="32"/>
            </w:rPr>
            <w:t>30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_Toc7497 </w:instrText>
          </w:r>
          <w:r>
            <w:rPr>
              <w:rFonts w:hint="eastAsia" w:ascii="仿宋" w:hAnsi="仿宋" w:eastAsia="仿宋" w:cs="仿宋"/>
              <w:sz w:val="32"/>
              <w:szCs w:val="32"/>
            </w:rPr>
            <w:fldChar w:fldCharType="separate"/>
          </w:r>
          <w:r>
            <w:rPr>
              <w:rFonts w:hint="eastAsia" w:ascii="仿宋" w:hAnsi="仿宋" w:eastAsia="仿宋" w:cs="仿宋"/>
              <w:bCs w:val="0"/>
              <w:sz w:val="32"/>
              <w:szCs w:val="32"/>
            </w:rPr>
            <w:t>三、</w:t>
          </w:r>
          <w:r>
            <w:rPr>
              <w:rFonts w:hint="eastAsia" w:ascii="仿宋" w:hAnsi="仿宋" w:eastAsia="仿宋" w:cs="仿宋"/>
              <w:sz w:val="32"/>
              <w:szCs w:val="32"/>
            </w:rPr>
            <w:t>支</w:t>
          </w:r>
          <w:r>
            <w:rPr>
              <w:rFonts w:hint="eastAsia" w:ascii="仿宋" w:hAnsi="仿宋" w:eastAsia="仿宋" w:cs="仿宋"/>
              <w:bCs w:val="0"/>
              <w:sz w:val="32"/>
              <w:szCs w:val="32"/>
            </w:rPr>
            <w:t>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_Toc7497 \h </w:instrText>
          </w:r>
          <w:r>
            <w:rPr>
              <w:rFonts w:hint="eastAsia" w:ascii="仿宋" w:hAnsi="仿宋" w:eastAsia="仿宋" w:cs="仿宋"/>
              <w:sz w:val="32"/>
              <w:szCs w:val="32"/>
            </w:rPr>
            <w:fldChar w:fldCharType="separate"/>
          </w:r>
          <w:r>
            <w:rPr>
              <w:rFonts w:hint="eastAsia" w:ascii="仿宋" w:hAnsi="仿宋" w:eastAsia="仿宋" w:cs="仿宋"/>
              <w:sz w:val="32"/>
              <w:szCs w:val="32"/>
            </w:rPr>
            <w:t>30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_Toc29768 </w:instrText>
          </w:r>
          <w:r>
            <w:rPr>
              <w:rFonts w:hint="eastAsia" w:ascii="仿宋" w:hAnsi="仿宋" w:eastAsia="仿宋" w:cs="仿宋"/>
              <w:sz w:val="32"/>
              <w:szCs w:val="32"/>
            </w:rPr>
            <w:fldChar w:fldCharType="separate"/>
          </w:r>
          <w:r>
            <w:rPr>
              <w:rFonts w:hint="eastAsia" w:ascii="仿宋" w:hAnsi="仿宋" w:eastAsia="仿宋" w:cs="仿宋"/>
              <w:bCs w:val="0"/>
              <w:sz w:val="32"/>
              <w:szCs w:val="32"/>
            </w:rPr>
            <w:t>四、</w:t>
          </w:r>
          <w:r>
            <w:rPr>
              <w:rFonts w:hint="eastAsia" w:ascii="仿宋" w:hAnsi="仿宋" w:eastAsia="仿宋" w:cs="仿宋"/>
              <w:sz w:val="32"/>
              <w:szCs w:val="32"/>
            </w:rPr>
            <w:t>财</w:t>
          </w:r>
          <w:r>
            <w:rPr>
              <w:rFonts w:hint="eastAsia" w:ascii="仿宋" w:hAnsi="仿宋" w:eastAsia="仿宋" w:cs="仿宋"/>
              <w:bCs w:val="0"/>
              <w:sz w:val="32"/>
              <w:szCs w:val="32"/>
            </w:rPr>
            <w:t>政拨款收入支出决算总表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_Toc29768 \h </w:instrText>
          </w:r>
          <w:r>
            <w:rPr>
              <w:rFonts w:hint="eastAsia" w:ascii="仿宋" w:hAnsi="仿宋" w:eastAsia="仿宋" w:cs="仿宋"/>
              <w:sz w:val="32"/>
              <w:szCs w:val="32"/>
            </w:rPr>
            <w:fldChar w:fldCharType="separate"/>
          </w:r>
          <w:r>
            <w:rPr>
              <w:rFonts w:hint="eastAsia" w:ascii="仿宋" w:hAnsi="仿宋" w:eastAsia="仿宋" w:cs="仿宋"/>
              <w:sz w:val="32"/>
              <w:szCs w:val="32"/>
            </w:rPr>
            <w:t>30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_Toc19273 </w:instrText>
          </w:r>
          <w:r>
            <w:rPr>
              <w:rFonts w:hint="eastAsia" w:ascii="仿宋" w:hAnsi="仿宋" w:eastAsia="仿宋" w:cs="仿宋"/>
              <w:sz w:val="32"/>
              <w:szCs w:val="32"/>
            </w:rPr>
            <w:fldChar w:fldCharType="separate"/>
          </w:r>
          <w:r>
            <w:rPr>
              <w:rFonts w:hint="eastAsia" w:ascii="仿宋" w:hAnsi="仿宋" w:eastAsia="仿宋" w:cs="仿宋"/>
              <w:bCs w:val="0"/>
              <w:sz w:val="32"/>
              <w:szCs w:val="32"/>
            </w:rPr>
            <w:t>五、</w:t>
          </w:r>
          <w:r>
            <w:rPr>
              <w:rFonts w:hint="eastAsia" w:ascii="仿宋" w:hAnsi="仿宋" w:eastAsia="仿宋" w:cs="仿宋"/>
              <w:sz w:val="32"/>
              <w:szCs w:val="32"/>
            </w:rPr>
            <w:t>财</w:t>
          </w:r>
          <w:r>
            <w:rPr>
              <w:rFonts w:hint="eastAsia" w:ascii="仿宋" w:hAnsi="仿宋" w:eastAsia="仿宋" w:cs="仿宋"/>
              <w:bCs w:val="0"/>
              <w:sz w:val="32"/>
              <w:szCs w:val="32"/>
            </w:rPr>
            <w:t>政拨款支出决算明细表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_Toc19273 \h </w:instrText>
          </w:r>
          <w:r>
            <w:rPr>
              <w:rFonts w:hint="eastAsia" w:ascii="仿宋" w:hAnsi="仿宋" w:eastAsia="仿宋" w:cs="仿宋"/>
              <w:sz w:val="32"/>
              <w:szCs w:val="32"/>
            </w:rPr>
            <w:fldChar w:fldCharType="separate"/>
          </w:r>
          <w:r>
            <w:rPr>
              <w:rFonts w:hint="eastAsia" w:ascii="仿宋" w:hAnsi="仿宋" w:eastAsia="仿宋" w:cs="仿宋"/>
              <w:sz w:val="32"/>
              <w:szCs w:val="32"/>
            </w:rPr>
            <w:t>30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_Toc26233 </w:instrText>
          </w:r>
          <w:r>
            <w:rPr>
              <w:rFonts w:hint="eastAsia" w:ascii="仿宋" w:hAnsi="仿宋" w:eastAsia="仿宋" w:cs="仿宋"/>
              <w:sz w:val="32"/>
              <w:szCs w:val="32"/>
            </w:rPr>
            <w:fldChar w:fldCharType="separate"/>
          </w:r>
          <w:r>
            <w:rPr>
              <w:rFonts w:hint="eastAsia" w:ascii="仿宋" w:hAnsi="仿宋" w:eastAsia="仿宋" w:cs="仿宋"/>
              <w:bCs w:val="0"/>
              <w:sz w:val="32"/>
              <w:szCs w:val="32"/>
            </w:rPr>
            <w:t>六、</w:t>
          </w:r>
          <w:r>
            <w:rPr>
              <w:rFonts w:hint="eastAsia" w:ascii="仿宋" w:hAnsi="仿宋" w:eastAsia="仿宋" w:cs="仿宋"/>
              <w:sz w:val="32"/>
              <w:szCs w:val="32"/>
            </w:rPr>
            <w:t>一</w:t>
          </w:r>
          <w:r>
            <w:rPr>
              <w:rFonts w:hint="eastAsia" w:ascii="仿宋" w:hAnsi="仿宋" w:eastAsia="仿宋" w:cs="仿宋"/>
              <w:bCs w:val="0"/>
              <w:sz w:val="32"/>
              <w:szCs w:val="32"/>
            </w:rPr>
            <w:t>般公共预算财政拨款支出决算表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_Toc26233 \h </w:instrText>
          </w:r>
          <w:r>
            <w:rPr>
              <w:rFonts w:hint="eastAsia" w:ascii="仿宋" w:hAnsi="仿宋" w:eastAsia="仿宋" w:cs="仿宋"/>
              <w:sz w:val="32"/>
              <w:szCs w:val="32"/>
            </w:rPr>
            <w:fldChar w:fldCharType="separate"/>
          </w:r>
          <w:r>
            <w:rPr>
              <w:rFonts w:hint="eastAsia" w:ascii="仿宋" w:hAnsi="仿宋" w:eastAsia="仿宋" w:cs="仿宋"/>
              <w:sz w:val="32"/>
              <w:szCs w:val="32"/>
            </w:rPr>
            <w:t>30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_Toc22467 </w:instrText>
          </w:r>
          <w:r>
            <w:rPr>
              <w:rFonts w:hint="eastAsia" w:ascii="仿宋" w:hAnsi="仿宋" w:eastAsia="仿宋" w:cs="仿宋"/>
              <w:sz w:val="32"/>
              <w:szCs w:val="32"/>
            </w:rPr>
            <w:fldChar w:fldCharType="separate"/>
          </w:r>
          <w:r>
            <w:rPr>
              <w:rFonts w:hint="eastAsia" w:ascii="仿宋" w:hAnsi="仿宋" w:eastAsia="仿宋" w:cs="仿宋"/>
              <w:bCs w:val="0"/>
              <w:sz w:val="32"/>
              <w:szCs w:val="32"/>
            </w:rPr>
            <w:t>七、</w:t>
          </w:r>
          <w:r>
            <w:rPr>
              <w:rFonts w:hint="eastAsia" w:ascii="仿宋" w:hAnsi="仿宋" w:eastAsia="仿宋" w:cs="仿宋"/>
              <w:sz w:val="32"/>
              <w:szCs w:val="32"/>
            </w:rPr>
            <w:t>一</w:t>
          </w:r>
          <w:r>
            <w:rPr>
              <w:rFonts w:hint="eastAsia" w:ascii="仿宋" w:hAnsi="仿宋" w:eastAsia="仿宋" w:cs="仿宋"/>
              <w:bCs w:val="0"/>
              <w:sz w:val="32"/>
              <w:szCs w:val="32"/>
            </w:rPr>
            <w:t>般公共预算财政拨款支出决算明细表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_Toc22467 \h </w:instrText>
          </w:r>
          <w:r>
            <w:rPr>
              <w:rFonts w:hint="eastAsia" w:ascii="仿宋" w:hAnsi="仿宋" w:eastAsia="仿宋" w:cs="仿宋"/>
              <w:sz w:val="32"/>
              <w:szCs w:val="32"/>
            </w:rPr>
            <w:fldChar w:fldCharType="separate"/>
          </w:r>
          <w:r>
            <w:rPr>
              <w:rFonts w:hint="eastAsia" w:ascii="仿宋" w:hAnsi="仿宋" w:eastAsia="仿宋" w:cs="仿宋"/>
              <w:sz w:val="32"/>
              <w:szCs w:val="32"/>
            </w:rPr>
            <w:t>30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_Toc4358 </w:instrText>
          </w:r>
          <w:r>
            <w:rPr>
              <w:rFonts w:hint="eastAsia" w:ascii="仿宋" w:hAnsi="仿宋" w:eastAsia="仿宋" w:cs="仿宋"/>
              <w:sz w:val="32"/>
              <w:szCs w:val="32"/>
            </w:rPr>
            <w:fldChar w:fldCharType="separate"/>
          </w:r>
          <w:r>
            <w:rPr>
              <w:rFonts w:hint="eastAsia" w:ascii="仿宋" w:hAnsi="仿宋" w:eastAsia="仿宋" w:cs="仿宋"/>
              <w:bCs w:val="0"/>
              <w:sz w:val="32"/>
              <w:szCs w:val="32"/>
            </w:rPr>
            <w:t>八、</w:t>
          </w:r>
          <w:r>
            <w:rPr>
              <w:rFonts w:hint="eastAsia" w:ascii="仿宋" w:hAnsi="仿宋" w:eastAsia="仿宋" w:cs="仿宋"/>
              <w:sz w:val="32"/>
              <w:szCs w:val="32"/>
            </w:rPr>
            <w:t>一</w:t>
          </w:r>
          <w:r>
            <w:rPr>
              <w:rFonts w:hint="eastAsia" w:ascii="仿宋" w:hAnsi="仿宋" w:eastAsia="仿宋" w:cs="仿宋"/>
              <w:bCs w:val="0"/>
              <w:sz w:val="32"/>
              <w:szCs w:val="32"/>
            </w:rPr>
            <w:t>般公共预算财政拨款基本支出决算表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_Toc4358 \h </w:instrText>
          </w:r>
          <w:r>
            <w:rPr>
              <w:rFonts w:hint="eastAsia" w:ascii="仿宋" w:hAnsi="仿宋" w:eastAsia="仿宋" w:cs="仿宋"/>
              <w:sz w:val="32"/>
              <w:szCs w:val="32"/>
            </w:rPr>
            <w:fldChar w:fldCharType="separate"/>
          </w:r>
          <w:r>
            <w:rPr>
              <w:rFonts w:hint="eastAsia" w:ascii="仿宋" w:hAnsi="仿宋" w:eastAsia="仿宋" w:cs="仿宋"/>
              <w:sz w:val="32"/>
              <w:szCs w:val="32"/>
            </w:rPr>
            <w:t>30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_Toc31940 </w:instrText>
          </w:r>
          <w:r>
            <w:rPr>
              <w:rFonts w:hint="eastAsia" w:ascii="仿宋" w:hAnsi="仿宋" w:eastAsia="仿宋" w:cs="仿宋"/>
              <w:sz w:val="32"/>
              <w:szCs w:val="32"/>
            </w:rPr>
            <w:fldChar w:fldCharType="separate"/>
          </w:r>
          <w:r>
            <w:rPr>
              <w:rFonts w:hint="eastAsia" w:ascii="仿宋" w:hAnsi="仿宋" w:eastAsia="仿宋" w:cs="仿宋"/>
              <w:bCs w:val="0"/>
              <w:sz w:val="32"/>
              <w:szCs w:val="32"/>
            </w:rPr>
            <w:t>九、</w:t>
          </w:r>
          <w:r>
            <w:rPr>
              <w:rFonts w:hint="eastAsia" w:ascii="仿宋" w:hAnsi="仿宋" w:eastAsia="仿宋" w:cs="仿宋"/>
              <w:sz w:val="32"/>
              <w:szCs w:val="32"/>
            </w:rPr>
            <w:t>一</w:t>
          </w:r>
          <w:r>
            <w:rPr>
              <w:rFonts w:hint="eastAsia" w:ascii="仿宋" w:hAnsi="仿宋" w:eastAsia="仿宋" w:cs="仿宋"/>
              <w:bCs w:val="0"/>
              <w:sz w:val="32"/>
              <w:szCs w:val="32"/>
            </w:rPr>
            <w:t>般公共预算财政拨款项目支出决算表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_Toc31940 \h </w:instrText>
          </w:r>
          <w:r>
            <w:rPr>
              <w:rFonts w:hint="eastAsia" w:ascii="仿宋" w:hAnsi="仿宋" w:eastAsia="仿宋" w:cs="仿宋"/>
              <w:sz w:val="32"/>
              <w:szCs w:val="32"/>
            </w:rPr>
            <w:fldChar w:fldCharType="separate"/>
          </w:r>
          <w:r>
            <w:rPr>
              <w:rFonts w:hint="eastAsia" w:ascii="仿宋" w:hAnsi="仿宋" w:eastAsia="仿宋" w:cs="仿宋"/>
              <w:sz w:val="32"/>
              <w:szCs w:val="32"/>
            </w:rPr>
            <w:t>30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_Toc30247 </w:instrText>
          </w:r>
          <w:r>
            <w:rPr>
              <w:rFonts w:hint="eastAsia" w:ascii="仿宋" w:hAnsi="仿宋" w:eastAsia="仿宋" w:cs="仿宋"/>
              <w:sz w:val="32"/>
              <w:szCs w:val="32"/>
            </w:rPr>
            <w:fldChar w:fldCharType="separate"/>
          </w:r>
          <w:r>
            <w:rPr>
              <w:rFonts w:hint="eastAsia" w:ascii="仿宋" w:hAnsi="仿宋" w:eastAsia="仿宋" w:cs="仿宋"/>
              <w:bCs w:val="0"/>
              <w:sz w:val="32"/>
              <w:szCs w:val="32"/>
            </w:rPr>
            <w:t>十、</w:t>
          </w:r>
          <w:r>
            <w:rPr>
              <w:rFonts w:hint="eastAsia" w:ascii="仿宋" w:hAnsi="仿宋" w:eastAsia="仿宋" w:cs="仿宋"/>
              <w:sz w:val="32"/>
              <w:szCs w:val="32"/>
            </w:rPr>
            <w:t>一</w:t>
          </w:r>
          <w:r>
            <w:rPr>
              <w:rFonts w:hint="eastAsia" w:ascii="仿宋" w:hAnsi="仿宋" w:eastAsia="仿宋" w:cs="仿宋"/>
              <w:bCs w:val="0"/>
              <w:sz w:val="32"/>
              <w:szCs w:val="32"/>
            </w:rPr>
            <w:t>般公共预算财政拨款“三公”经费支出决算表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_Toc30247 \h </w:instrText>
          </w:r>
          <w:r>
            <w:rPr>
              <w:rFonts w:hint="eastAsia" w:ascii="仿宋" w:hAnsi="仿宋" w:eastAsia="仿宋" w:cs="仿宋"/>
              <w:sz w:val="32"/>
              <w:szCs w:val="32"/>
            </w:rPr>
            <w:fldChar w:fldCharType="separate"/>
          </w:r>
          <w:r>
            <w:rPr>
              <w:rFonts w:hint="eastAsia" w:ascii="仿宋" w:hAnsi="仿宋" w:eastAsia="仿宋" w:cs="仿宋"/>
              <w:sz w:val="32"/>
              <w:szCs w:val="32"/>
            </w:rPr>
            <w:t>30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_Toc2717 </w:instrText>
          </w:r>
          <w:r>
            <w:rPr>
              <w:rFonts w:hint="eastAsia" w:ascii="仿宋" w:hAnsi="仿宋" w:eastAsia="仿宋" w:cs="仿宋"/>
              <w:sz w:val="32"/>
              <w:szCs w:val="32"/>
            </w:rPr>
            <w:fldChar w:fldCharType="separate"/>
          </w:r>
          <w:r>
            <w:rPr>
              <w:rFonts w:hint="eastAsia" w:ascii="仿宋" w:hAnsi="仿宋" w:eastAsia="仿宋" w:cs="仿宋"/>
              <w:bCs w:val="0"/>
              <w:sz w:val="32"/>
              <w:szCs w:val="32"/>
            </w:rPr>
            <w:t>十一、</w:t>
          </w:r>
          <w:r>
            <w:rPr>
              <w:rFonts w:hint="eastAsia" w:ascii="仿宋" w:hAnsi="仿宋" w:eastAsia="仿宋" w:cs="仿宋"/>
              <w:sz w:val="32"/>
              <w:szCs w:val="32"/>
            </w:rPr>
            <w:t>政</w:t>
          </w:r>
          <w:r>
            <w:rPr>
              <w:rFonts w:hint="eastAsia" w:ascii="仿宋" w:hAnsi="仿宋" w:eastAsia="仿宋" w:cs="仿宋"/>
              <w:bCs w:val="0"/>
              <w:sz w:val="32"/>
              <w:szCs w:val="32"/>
            </w:rPr>
            <w:t>府性基金预算财政拨款收入支出决算表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_Toc2717 \h </w:instrText>
          </w:r>
          <w:r>
            <w:rPr>
              <w:rFonts w:hint="eastAsia" w:ascii="仿宋" w:hAnsi="仿宋" w:eastAsia="仿宋" w:cs="仿宋"/>
              <w:sz w:val="32"/>
              <w:szCs w:val="32"/>
            </w:rPr>
            <w:fldChar w:fldCharType="separate"/>
          </w:r>
          <w:r>
            <w:rPr>
              <w:rFonts w:hint="eastAsia" w:ascii="仿宋" w:hAnsi="仿宋" w:eastAsia="仿宋" w:cs="仿宋"/>
              <w:sz w:val="32"/>
              <w:szCs w:val="32"/>
            </w:rPr>
            <w:t>30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_Toc26635 </w:instrText>
          </w:r>
          <w:r>
            <w:rPr>
              <w:rFonts w:hint="eastAsia" w:ascii="仿宋" w:hAnsi="仿宋" w:eastAsia="仿宋" w:cs="仿宋"/>
              <w:sz w:val="32"/>
              <w:szCs w:val="32"/>
            </w:rPr>
            <w:fldChar w:fldCharType="separate"/>
          </w:r>
          <w:r>
            <w:rPr>
              <w:rFonts w:hint="eastAsia" w:ascii="仿宋" w:hAnsi="仿宋" w:eastAsia="仿宋" w:cs="仿宋"/>
              <w:sz w:val="32"/>
              <w:szCs w:val="32"/>
            </w:rPr>
            <w:t>十二、政府性基金预算财政拨款“三公”经费支出决算表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_Toc26635 \h </w:instrText>
          </w:r>
          <w:r>
            <w:rPr>
              <w:rFonts w:hint="eastAsia" w:ascii="仿宋" w:hAnsi="仿宋" w:eastAsia="仿宋" w:cs="仿宋"/>
              <w:sz w:val="32"/>
              <w:szCs w:val="32"/>
            </w:rPr>
            <w:fldChar w:fldCharType="separate"/>
          </w:r>
          <w:r>
            <w:rPr>
              <w:rFonts w:hint="eastAsia" w:ascii="仿宋" w:hAnsi="仿宋" w:eastAsia="仿宋" w:cs="仿宋"/>
              <w:sz w:val="32"/>
              <w:szCs w:val="32"/>
            </w:rPr>
            <w:t>30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_Toc26941 </w:instrText>
          </w:r>
          <w:r>
            <w:rPr>
              <w:rFonts w:hint="eastAsia" w:ascii="仿宋" w:hAnsi="仿宋" w:eastAsia="仿宋" w:cs="仿宋"/>
              <w:sz w:val="32"/>
              <w:szCs w:val="32"/>
            </w:rPr>
            <w:fldChar w:fldCharType="separate"/>
          </w:r>
          <w:r>
            <w:rPr>
              <w:rFonts w:hint="eastAsia" w:ascii="仿宋" w:hAnsi="仿宋" w:eastAsia="仿宋" w:cs="仿宋"/>
              <w:sz w:val="32"/>
              <w:szCs w:val="32"/>
            </w:rPr>
            <w:t>十三、国有资本经营预算财政拨款收入支出决算表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_Toc26941 \h </w:instrText>
          </w:r>
          <w:r>
            <w:rPr>
              <w:rFonts w:hint="eastAsia" w:ascii="仿宋" w:hAnsi="仿宋" w:eastAsia="仿宋" w:cs="仿宋"/>
              <w:sz w:val="32"/>
              <w:szCs w:val="32"/>
            </w:rPr>
            <w:fldChar w:fldCharType="separate"/>
          </w:r>
          <w:r>
            <w:rPr>
              <w:rFonts w:hint="eastAsia" w:ascii="仿宋" w:hAnsi="仿宋" w:eastAsia="仿宋" w:cs="仿宋"/>
              <w:sz w:val="32"/>
              <w:szCs w:val="32"/>
            </w:rPr>
            <w:t>30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_Toc7015 </w:instrText>
          </w:r>
          <w:r>
            <w:rPr>
              <w:rFonts w:hint="eastAsia" w:ascii="仿宋" w:hAnsi="仿宋" w:eastAsia="仿宋" w:cs="仿宋"/>
              <w:sz w:val="32"/>
              <w:szCs w:val="32"/>
            </w:rPr>
            <w:fldChar w:fldCharType="separate"/>
          </w:r>
          <w:r>
            <w:rPr>
              <w:rFonts w:hint="eastAsia" w:ascii="仿宋" w:hAnsi="仿宋" w:eastAsia="仿宋" w:cs="仿宋"/>
              <w:sz w:val="32"/>
              <w:szCs w:val="32"/>
            </w:rPr>
            <w:t>十四、国有资本经营预算财政拨款支出决算表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_Toc7015 \h </w:instrText>
          </w:r>
          <w:r>
            <w:rPr>
              <w:rFonts w:hint="eastAsia" w:ascii="仿宋" w:hAnsi="仿宋" w:eastAsia="仿宋" w:cs="仿宋"/>
              <w:sz w:val="32"/>
              <w:szCs w:val="32"/>
            </w:rPr>
            <w:fldChar w:fldCharType="separate"/>
          </w:r>
          <w:r>
            <w:rPr>
              <w:rFonts w:hint="eastAsia" w:ascii="仿宋" w:hAnsi="仿宋" w:eastAsia="仿宋" w:cs="仿宋"/>
              <w:sz w:val="32"/>
              <w:szCs w:val="32"/>
            </w:rPr>
            <w:t>30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7"/>
            <w:bidi w:val="0"/>
          </w:pPr>
          <w:r>
            <w:rPr>
              <w:rFonts w:hint="eastAsia" w:ascii="仿宋" w:hAnsi="仿宋" w:eastAsia="仿宋" w:cs="仿宋"/>
              <w:sz w:val="32"/>
              <w:szCs w:val="32"/>
            </w:rPr>
            <w:fldChar w:fldCharType="end"/>
          </w:r>
        </w:p>
      </w:sdtContent>
    </w:sdt>
    <w:p>
      <w:pPr>
        <w:rPr>
          <w:rFonts w:hint="eastAsia"/>
        </w:rPr>
      </w:pPr>
    </w:p>
    <w:p>
      <w:pPr>
        <w:rPr>
          <w:rFonts w:hint="eastAsia"/>
        </w:rPr>
      </w:pPr>
    </w:p>
    <w:p>
      <w:pPr>
        <w:pStyle w:val="2"/>
        <w:jc w:val="center"/>
        <w:rPr>
          <w:rStyle w:val="13"/>
          <w:rFonts w:ascii="黑体" w:hAnsi="黑体" w:eastAsia="黑体"/>
          <w:b/>
          <w:bCs w:val="0"/>
        </w:rPr>
      </w:pPr>
      <w:bookmarkStart w:id="1" w:name="_Toc30604"/>
      <w:r>
        <w:rPr>
          <w:rFonts w:hint="eastAsia" w:ascii="黑体" w:hAnsi="黑体" w:eastAsia="黑体"/>
          <w:b w:val="0"/>
        </w:rPr>
        <w:t>第一部分</w:t>
      </w:r>
      <w:r>
        <w:rPr>
          <w:rFonts w:ascii="黑体" w:hAnsi="黑体" w:eastAsia="黑体"/>
          <w:b w:val="0"/>
        </w:rPr>
        <w:t xml:space="preserve"> </w:t>
      </w:r>
      <w:r>
        <w:rPr>
          <w:rStyle w:val="13"/>
          <w:rFonts w:hint="eastAsia" w:ascii="黑体" w:hAnsi="黑体" w:eastAsia="黑体"/>
          <w:b w:val="0"/>
          <w:bCs w:val="0"/>
        </w:rPr>
        <w:t>部门概况</w:t>
      </w:r>
      <w:bookmarkEnd w:id="0"/>
      <w:bookmarkEnd w:id="1"/>
    </w:p>
    <w:p>
      <w:pPr>
        <w:widowControl/>
        <w:jc w:val="left"/>
        <w:rPr>
          <w:rFonts w:ascii="黑体" w:eastAsia="黑体"/>
          <w:color w:val="000000"/>
          <w:sz w:val="32"/>
          <w:szCs w:val="32"/>
        </w:rPr>
      </w:pPr>
    </w:p>
    <w:p>
      <w:pPr>
        <w:pStyle w:val="3"/>
        <w:rPr>
          <w:rStyle w:val="14"/>
          <w:rFonts w:ascii="仿宋" w:hAnsi="仿宋" w:eastAsia="仿宋"/>
          <w:b w:val="0"/>
          <w:bCs w:val="0"/>
        </w:rPr>
      </w:pPr>
      <w:bookmarkStart w:id="2" w:name="_Toc29977"/>
      <w:bookmarkStart w:id="3" w:name="_Toc15377197"/>
      <w:bookmarkStart w:id="4" w:name="_Toc15396600"/>
      <w:bookmarkStart w:id="5" w:name="_Toc21498"/>
      <w:r>
        <w:rPr>
          <w:rFonts w:hint="eastAsia" w:ascii="黑体" w:hAnsi="黑体" w:eastAsia="黑体"/>
          <w:b w:val="0"/>
          <w:color w:val="000000"/>
        </w:rPr>
        <w:t>一、基</w:t>
      </w:r>
      <w:r>
        <w:rPr>
          <w:rStyle w:val="14"/>
          <w:rFonts w:hint="eastAsia" w:ascii="黑体" w:hAnsi="黑体" w:eastAsia="黑体"/>
          <w:b w:val="0"/>
          <w:bCs w:val="0"/>
        </w:rPr>
        <w:t>本职能及主要工作</w:t>
      </w:r>
      <w:bookmarkEnd w:id="2"/>
      <w:bookmarkEnd w:id="3"/>
      <w:bookmarkEnd w:id="4"/>
      <w:bookmarkEnd w:id="5"/>
    </w:p>
    <w:p>
      <w:pPr>
        <w:pStyle w:val="4"/>
        <w:adjustRightInd w:val="0"/>
        <w:snapToGrid w:val="0"/>
        <w:spacing w:before="93" w:line="600" w:lineRule="exact"/>
        <w:ind w:firstLine="672" w:firstLineChars="210"/>
        <w:outlineLvl w:val="2"/>
        <w:rPr>
          <w:rFonts w:hint="eastAsia" w:ascii="仿宋" w:hAnsi="仿宋" w:eastAsia="仿宋"/>
          <w:bCs/>
          <w:color w:val="000000"/>
          <w:sz w:val="32"/>
          <w:szCs w:val="32"/>
        </w:rPr>
      </w:pPr>
      <w:bookmarkStart w:id="6" w:name="_Toc7196"/>
      <w:bookmarkStart w:id="7" w:name="_Toc15378445"/>
      <w:bookmarkStart w:id="8" w:name="_Toc15377198"/>
      <w:r>
        <w:rPr>
          <w:rFonts w:hint="eastAsia" w:ascii="仿宋" w:hAnsi="仿宋" w:eastAsia="仿宋"/>
          <w:bCs/>
          <w:color w:val="000000"/>
          <w:sz w:val="32"/>
          <w:szCs w:val="32"/>
        </w:rPr>
        <w:t>（一）主要职能。</w:t>
      </w:r>
      <w:bookmarkEnd w:id="6"/>
    </w:p>
    <w:bookmarkEnd w:id="7"/>
    <w:bookmarkEnd w:id="8"/>
    <w:p>
      <w:pPr>
        <w:pStyle w:val="4"/>
        <w:adjustRightInd w:val="0"/>
        <w:snapToGrid w:val="0"/>
        <w:spacing w:before="93" w:line="600" w:lineRule="exact"/>
        <w:ind w:firstLine="672" w:firstLineChars="210"/>
        <w:outlineLvl w:val="2"/>
        <w:rPr>
          <w:rFonts w:hint="eastAsia" w:ascii="仿宋" w:hAnsi="仿宋" w:eastAsia="仿宋" w:cs="仿宋"/>
          <w:b w:val="0"/>
          <w:sz w:val="32"/>
          <w:szCs w:val="32"/>
        </w:rPr>
      </w:pPr>
      <w:bookmarkStart w:id="9" w:name="_Toc13316"/>
      <w:bookmarkStart w:id="10" w:name="_Toc15377199"/>
      <w:bookmarkStart w:id="11" w:name="_Toc15378446"/>
      <w:r>
        <w:rPr>
          <w:rFonts w:hint="eastAsia" w:ascii="仿宋" w:hAnsi="仿宋" w:eastAsia="仿宋" w:cs="仿宋"/>
          <w:b w:val="0"/>
          <w:sz w:val="32"/>
          <w:szCs w:val="32"/>
        </w:rPr>
        <w:t>执行保障性住房和住宅专项维修资金管理的方针、政策和法律、法规、规章；负责全区住房保障相关工作的组织、实施和经营管理，负责全区保障性安居工程信息系统的运行和管理；承担全区保障性住房等的建设、经营管理、房屋修缮等工作；代区政府经营管理公房；实施全区国有土地上房屋征收与补偿工作。</w:t>
      </w:r>
      <w:bookmarkEnd w:id="9"/>
    </w:p>
    <w:p>
      <w:pPr>
        <w:pStyle w:val="4"/>
        <w:adjustRightInd w:val="0"/>
        <w:snapToGrid w:val="0"/>
        <w:spacing w:before="93" w:line="600" w:lineRule="exact"/>
        <w:ind w:firstLine="672" w:firstLineChars="210"/>
        <w:outlineLvl w:val="2"/>
        <w:rPr>
          <w:rFonts w:hint="eastAsia" w:ascii="仿宋" w:hAnsi="仿宋" w:eastAsia="仿宋"/>
          <w:bCs/>
          <w:color w:val="000000"/>
          <w:sz w:val="32"/>
          <w:szCs w:val="32"/>
        </w:rPr>
      </w:pPr>
      <w:bookmarkStart w:id="12" w:name="_Toc16808"/>
      <w:r>
        <w:rPr>
          <w:rFonts w:hint="eastAsia" w:ascii="仿宋" w:hAnsi="仿宋" w:eastAsia="仿宋"/>
          <w:bCs/>
          <w:color w:val="000000"/>
          <w:sz w:val="32"/>
          <w:szCs w:val="32"/>
        </w:rPr>
        <w:t>（二）</w:t>
      </w:r>
      <w:r>
        <w:rPr>
          <w:rFonts w:ascii="仿宋" w:hAnsi="仿宋" w:eastAsia="仿宋"/>
          <w:bCs/>
          <w:color w:val="000000"/>
          <w:sz w:val="32"/>
          <w:szCs w:val="32"/>
        </w:rPr>
        <w:t>2020</w:t>
      </w:r>
      <w:r>
        <w:rPr>
          <w:rFonts w:hint="eastAsia" w:ascii="仿宋" w:hAnsi="仿宋" w:eastAsia="仿宋"/>
          <w:bCs/>
          <w:color w:val="000000"/>
          <w:sz w:val="32"/>
          <w:szCs w:val="32"/>
        </w:rPr>
        <w:t>年重点工作完成情况。</w:t>
      </w:r>
      <w:bookmarkEnd w:id="10"/>
      <w:bookmarkEnd w:id="11"/>
      <w:bookmarkEnd w:id="12"/>
    </w:p>
    <w:p>
      <w:pPr>
        <w:pBdr>
          <w:top w:val="single" w:color="FFFFFF" w:sz="4" w:space="0"/>
          <w:left w:val="single" w:color="FFFFFF" w:sz="4" w:space="31"/>
          <w:bottom w:val="single" w:color="FFFFFF" w:sz="4" w:space="31"/>
          <w:right w:val="single" w:color="FFFFFF" w:sz="4" w:space="24"/>
        </w:pBdr>
        <w:spacing w:line="592" w:lineRule="exact"/>
        <w:ind w:firstLine="630" w:firstLineChars="196"/>
        <w:rPr>
          <w:rFonts w:hint="eastAsia" w:ascii="仿宋_GB2312" w:hAnsi="仿宋"/>
          <w:b/>
          <w:szCs w:val="32"/>
        </w:rPr>
      </w:pPr>
      <w:r>
        <w:rPr>
          <w:rFonts w:hint="eastAsia" w:ascii="仿宋_GB2312" w:hAnsi="楷体"/>
          <w:b/>
          <w:szCs w:val="32"/>
        </w:rPr>
        <w:t>1.党建工作</w:t>
      </w:r>
    </w:p>
    <w:p>
      <w:pPr>
        <w:pBdr>
          <w:top w:val="single" w:color="FFFFFF" w:sz="4" w:space="0"/>
          <w:left w:val="single" w:color="FFFFFF" w:sz="4" w:space="31"/>
          <w:bottom w:val="single" w:color="FFFFFF" w:sz="4" w:space="31"/>
          <w:right w:val="single" w:color="FFFFFF" w:sz="4" w:space="24"/>
        </w:pBdr>
        <w:spacing w:line="592" w:lineRule="exact"/>
        <w:ind w:firstLine="640" w:firstLineChars="200"/>
        <w:jc w:val="left"/>
        <w:rPr>
          <w:rFonts w:hint="eastAsia" w:ascii="仿宋" w:hAnsi="仿宋" w:eastAsia="仿宋" w:cs="仿宋"/>
          <w:b/>
          <w:szCs w:val="32"/>
        </w:rPr>
      </w:pPr>
      <w:r>
        <w:rPr>
          <w:rFonts w:hint="eastAsia" w:ascii="仿宋" w:hAnsi="仿宋" w:eastAsia="仿宋" w:cs="仿宋"/>
          <w:szCs w:val="32"/>
        </w:rPr>
        <w:t>认真抓好学习教育，努力提高党员素质。我中心始终把党的思想建设放在党建工作第一位，不断提高自身的政治思想素质。一是强化理论学习，始终坚持学习，充分发挥学习的引导和示范作用，进一步增强了政治理论水平。二是加强思想教育，教育广大党员解放思想，实事求是，牢固树立全心全意为人民服务的思想，克服工作中的形式主义。</w:t>
      </w:r>
    </w:p>
    <w:p>
      <w:pPr>
        <w:pBdr>
          <w:top w:val="single" w:color="FFFFFF" w:sz="4" w:space="0"/>
          <w:left w:val="single" w:color="FFFFFF" w:sz="4" w:space="31"/>
          <w:bottom w:val="single" w:color="FFFFFF" w:sz="4" w:space="31"/>
          <w:right w:val="single" w:color="FFFFFF" w:sz="4" w:space="24"/>
        </w:pBdr>
        <w:spacing w:line="592" w:lineRule="exact"/>
        <w:ind w:firstLine="640" w:firstLineChars="200"/>
        <w:rPr>
          <w:rFonts w:hint="eastAsia" w:ascii="仿宋" w:hAnsi="仿宋" w:eastAsia="仿宋" w:cs="仿宋"/>
          <w:szCs w:val="32"/>
        </w:rPr>
      </w:pPr>
      <w:r>
        <w:rPr>
          <w:rFonts w:hint="eastAsia" w:ascii="仿宋" w:hAnsi="仿宋" w:eastAsia="仿宋" w:cs="仿宋"/>
          <w:szCs w:val="32"/>
        </w:rPr>
        <w:t>进一步完善组织制度，增强党组织的凝聚力。在认真抓好党员教育的同时，不断建立和完善规章制度，对党员进行严格管理。一是健全和完善学习制度，将政治学习与工作实践相结合，提高自身素质和业务水平。二是把中心党建工作纳入全局工作同安排、同部署、同检查，做到党建工作和业务工作“两不误，两促进”。</w:t>
      </w:r>
    </w:p>
    <w:p>
      <w:pPr>
        <w:pBdr>
          <w:top w:val="single" w:color="FFFFFF" w:sz="4" w:space="0"/>
          <w:left w:val="single" w:color="FFFFFF" w:sz="4" w:space="31"/>
          <w:bottom w:val="single" w:color="FFFFFF" w:sz="4" w:space="31"/>
          <w:right w:val="single" w:color="FFFFFF" w:sz="4" w:space="24"/>
        </w:pBdr>
        <w:spacing w:line="592" w:lineRule="exact"/>
        <w:ind w:firstLine="640" w:firstLineChars="200"/>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坚持会前讲法，坚持执行“三重一大”有关规定和程序，严格遵守“集体领导、民主集中、个别酝酿、会议决定”的工作方针。</w:t>
      </w:r>
    </w:p>
    <w:p>
      <w:pPr>
        <w:pBdr>
          <w:top w:val="single" w:color="FFFFFF" w:sz="4" w:space="0"/>
          <w:left w:val="single" w:color="FFFFFF" w:sz="4" w:space="31"/>
          <w:bottom w:val="single" w:color="FFFFFF" w:sz="4" w:space="31"/>
          <w:right w:val="single" w:color="FFFFFF" w:sz="4" w:space="24"/>
        </w:pBdr>
        <w:spacing w:line="592" w:lineRule="exact"/>
        <w:ind w:firstLine="640" w:firstLineChars="200"/>
        <w:rPr>
          <w:rFonts w:hint="eastAsia" w:ascii="仿宋" w:hAnsi="仿宋" w:eastAsia="仿宋" w:cs="仿宋"/>
          <w:szCs w:val="32"/>
        </w:rPr>
      </w:pPr>
      <w:r>
        <w:rPr>
          <w:rFonts w:hint="eastAsia" w:ascii="仿宋" w:hAnsi="仿宋" w:eastAsia="仿宋" w:cs="仿宋"/>
          <w:szCs w:val="32"/>
          <w:shd w:val="clear" w:color="auto" w:fill="FFFFFF"/>
        </w:rPr>
        <w:t>经常开展党员干部、公职人员廉政谈话，要求党员干部筑牢防腐拒变底线，强化教育警醒，增强党员廉洁自律，抓早抓小。</w:t>
      </w:r>
    </w:p>
    <w:p>
      <w:pPr>
        <w:pBdr>
          <w:top w:val="single" w:color="FFFFFF" w:sz="4" w:space="0"/>
          <w:left w:val="single" w:color="FFFFFF" w:sz="4" w:space="31"/>
          <w:bottom w:val="single" w:color="FFFFFF" w:sz="4" w:space="31"/>
          <w:right w:val="single" w:color="FFFFFF" w:sz="4" w:space="24"/>
        </w:pBdr>
        <w:spacing w:line="592" w:lineRule="exact"/>
        <w:ind w:firstLine="640" w:firstLineChars="200"/>
        <w:rPr>
          <w:rFonts w:hint="eastAsia" w:ascii="仿宋" w:hAnsi="仿宋" w:eastAsia="仿宋" w:cs="仿宋"/>
          <w:szCs w:val="32"/>
        </w:rPr>
      </w:pPr>
      <w:r>
        <w:rPr>
          <w:rFonts w:hint="eastAsia" w:ascii="仿宋" w:hAnsi="仿宋" w:eastAsia="仿宋" w:cs="仿宋"/>
          <w:szCs w:val="32"/>
          <w:shd w:val="clear" w:color="auto" w:fill="FFFFFF"/>
        </w:rPr>
        <w:t>组织开展违法违纪案“以案促改”工作，集中开展专项整治和专题教育，要求大家对照检查反思，努力营造风清气正的良好政治生态。</w:t>
      </w:r>
    </w:p>
    <w:p>
      <w:pPr>
        <w:pBdr>
          <w:top w:val="single" w:color="FFFFFF" w:sz="4" w:space="0"/>
          <w:left w:val="single" w:color="FFFFFF" w:sz="4" w:space="31"/>
          <w:bottom w:val="single" w:color="FFFFFF" w:sz="4" w:space="31"/>
          <w:right w:val="single" w:color="FFFFFF" w:sz="4" w:space="24"/>
        </w:pBdr>
        <w:spacing w:line="592" w:lineRule="exact"/>
        <w:ind w:firstLine="640" w:firstLineChars="200"/>
        <w:rPr>
          <w:rFonts w:hint="eastAsia" w:ascii="仿宋" w:hAnsi="仿宋" w:eastAsia="仿宋" w:cs="仿宋"/>
          <w:szCs w:val="32"/>
        </w:rPr>
      </w:pPr>
      <w:r>
        <w:rPr>
          <w:rFonts w:hint="eastAsia" w:ascii="仿宋" w:hAnsi="仿宋" w:eastAsia="仿宋" w:cs="仿宋"/>
          <w:szCs w:val="32"/>
          <w:shd w:val="clear" w:color="auto" w:fill="FFFFFF"/>
        </w:rPr>
        <w:t>进一步梳理中心的廉政风险点和防控措施。通过加强制度建设，促进廉洁自律，转变工作作风，认真履行职责，全面完成各项任务。</w:t>
      </w:r>
    </w:p>
    <w:p>
      <w:pPr>
        <w:pBdr>
          <w:top w:val="single" w:color="FFFFFF" w:sz="4" w:space="0"/>
          <w:left w:val="single" w:color="FFFFFF" w:sz="4" w:space="31"/>
          <w:bottom w:val="single" w:color="FFFFFF" w:sz="4" w:space="31"/>
          <w:right w:val="single" w:color="FFFFFF" w:sz="4" w:space="24"/>
        </w:pBdr>
        <w:spacing w:line="592" w:lineRule="exact"/>
        <w:ind w:firstLine="643" w:firstLineChars="200"/>
        <w:rPr>
          <w:rFonts w:hint="eastAsia" w:ascii="仿宋" w:hAnsi="仿宋" w:eastAsia="仿宋" w:cs="仿宋"/>
          <w:b/>
          <w:szCs w:val="32"/>
        </w:rPr>
      </w:pPr>
      <w:r>
        <w:rPr>
          <w:rFonts w:hint="eastAsia" w:ascii="仿宋" w:hAnsi="仿宋" w:eastAsia="仿宋" w:cs="仿宋"/>
          <w:b/>
          <w:szCs w:val="32"/>
        </w:rPr>
        <w:t>2.直管公房经营管理工作</w:t>
      </w:r>
    </w:p>
    <w:p>
      <w:pPr>
        <w:pBdr>
          <w:top w:val="single" w:color="FFFFFF" w:sz="4" w:space="0"/>
          <w:left w:val="single" w:color="FFFFFF" w:sz="4" w:space="31"/>
          <w:bottom w:val="single" w:color="FFFFFF" w:sz="4" w:space="31"/>
          <w:right w:val="single" w:color="FFFFFF" w:sz="4" w:space="24"/>
        </w:pBdr>
        <w:spacing w:line="592" w:lineRule="exact"/>
        <w:ind w:firstLine="640" w:firstLineChars="200"/>
        <w:rPr>
          <w:rFonts w:hint="eastAsia" w:ascii="仿宋" w:hAnsi="仿宋" w:eastAsia="仿宋" w:cs="仿宋"/>
          <w:szCs w:val="32"/>
        </w:rPr>
      </w:pPr>
      <w:r>
        <w:rPr>
          <w:rFonts w:hint="eastAsia" w:ascii="仿宋" w:hAnsi="仿宋" w:eastAsia="仿宋" w:cs="仿宋"/>
          <w:szCs w:val="32"/>
        </w:rPr>
        <w:t>全年完成维修</w:t>
      </w:r>
      <w:r>
        <w:rPr>
          <w:rFonts w:hint="eastAsia" w:ascii="仿宋" w:hAnsi="仿宋" w:eastAsia="仿宋" w:cs="仿宋"/>
          <w:bCs/>
          <w:szCs w:val="32"/>
        </w:rPr>
        <w:t>209户（次数），面积约10847.46平方米房屋的中小型维修及日常维护；</w:t>
      </w:r>
      <w:r>
        <w:rPr>
          <w:rFonts w:hint="eastAsia" w:ascii="仿宋" w:hAnsi="仿宋" w:eastAsia="仿宋" w:cs="仿宋"/>
          <w:szCs w:val="32"/>
        </w:rPr>
        <w:t>全年上缴财政房屋租金699万元；清理转租转让4户，调剂安置住房困难户4户；已办理“光大家园”、“和顺家园A区”“凤凰明珠” 直管公房单位产房屋使用人共计431户的进房手续。</w:t>
      </w:r>
    </w:p>
    <w:p>
      <w:pPr>
        <w:pBdr>
          <w:top w:val="single" w:color="FFFFFF" w:sz="4" w:space="0"/>
          <w:left w:val="single" w:color="FFFFFF" w:sz="4" w:space="31"/>
          <w:bottom w:val="single" w:color="FFFFFF" w:sz="4" w:space="31"/>
          <w:right w:val="single" w:color="FFFFFF" w:sz="4" w:space="24"/>
        </w:pBdr>
        <w:spacing w:line="592" w:lineRule="exact"/>
        <w:ind w:firstLine="643" w:firstLineChars="200"/>
        <w:rPr>
          <w:rFonts w:hint="eastAsia" w:ascii="仿宋" w:hAnsi="仿宋" w:eastAsia="仿宋" w:cs="仿宋"/>
          <w:szCs w:val="32"/>
        </w:rPr>
      </w:pPr>
      <w:r>
        <w:rPr>
          <w:rFonts w:hint="eastAsia" w:ascii="仿宋" w:hAnsi="仿宋" w:eastAsia="仿宋" w:cs="仿宋"/>
          <w:b/>
          <w:szCs w:val="32"/>
        </w:rPr>
        <w:t>3.住房保障工作</w:t>
      </w:r>
    </w:p>
    <w:p>
      <w:pPr>
        <w:pBdr>
          <w:top w:val="single" w:color="FFFFFF" w:sz="4" w:space="0"/>
          <w:left w:val="single" w:color="FFFFFF" w:sz="4" w:space="31"/>
          <w:bottom w:val="single" w:color="FFFFFF" w:sz="4" w:space="31"/>
          <w:right w:val="single" w:color="FFFFFF" w:sz="4" w:space="24"/>
        </w:pBdr>
        <w:spacing w:line="592" w:lineRule="exact"/>
        <w:ind w:firstLine="640" w:firstLineChars="200"/>
        <w:rPr>
          <w:rFonts w:hint="eastAsia" w:ascii="仿宋" w:hAnsi="仿宋" w:eastAsia="仿宋" w:cs="仿宋"/>
          <w:szCs w:val="32"/>
        </w:rPr>
      </w:pPr>
      <w:r>
        <w:rPr>
          <w:rFonts w:hint="eastAsia" w:ascii="仿宋" w:hAnsi="仿宋" w:eastAsia="仿宋" w:cs="仿宋"/>
          <w:szCs w:val="32"/>
        </w:rPr>
        <w:t>2020年完成审核发放廉租住房租金补贴保障申请2600余户（次），发放补贴金45.6万元。</w:t>
      </w:r>
    </w:p>
    <w:p>
      <w:pPr>
        <w:pBdr>
          <w:top w:val="single" w:color="FFFFFF" w:sz="4" w:space="0"/>
          <w:left w:val="single" w:color="FFFFFF" w:sz="4" w:space="31"/>
          <w:bottom w:val="single" w:color="FFFFFF" w:sz="4" w:space="31"/>
          <w:right w:val="single" w:color="FFFFFF" w:sz="4" w:space="24"/>
        </w:pBdr>
        <w:spacing w:line="592" w:lineRule="exact"/>
        <w:ind w:firstLine="627" w:firstLineChars="196"/>
        <w:jc w:val="left"/>
        <w:rPr>
          <w:rFonts w:hint="eastAsia" w:ascii="仿宋" w:hAnsi="仿宋" w:eastAsia="仿宋" w:cs="仿宋"/>
          <w:szCs w:val="32"/>
        </w:rPr>
      </w:pPr>
      <w:r>
        <w:rPr>
          <w:rFonts w:hint="eastAsia" w:ascii="仿宋" w:hAnsi="仿宋" w:eastAsia="仿宋" w:cs="仿宋"/>
          <w:szCs w:val="32"/>
        </w:rPr>
        <w:t>4.</w:t>
      </w:r>
      <w:r>
        <w:rPr>
          <w:rFonts w:hint="eastAsia" w:ascii="仿宋" w:hAnsi="仿宋" w:eastAsia="仿宋" w:cs="仿宋"/>
          <w:b/>
          <w:szCs w:val="32"/>
        </w:rPr>
        <w:t>房屋征收工作</w:t>
      </w:r>
    </w:p>
    <w:p>
      <w:pPr>
        <w:pBdr>
          <w:top w:val="single" w:color="FFFFFF" w:sz="4" w:space="0"/>
          <w:left w:val="single" w:color="FFFFFF" w:sz="4" w:space="31"/>
          <w:bottom w:val="single" w:color="FFFFFF" w:sz="4" w:space="31"/>
          <w:right w:val="single" w:color="FFFFFF" w:sz="4" w:space="24"/>
        </w:pBdr>
        <w:spacing w:line="592" w:lineRule="exact"/>
        <w:ind w:firstLine="640" w:firstLineChars="200"/>
        <w:jc w:val="left"/>
        <w:rPr>
          <w:rFonts w:hint="eastAsia" w:ascii="仿宋" w:hAnsi="仿宋" w:eastAsia="仿宋" w:cs="仿宋"/>
          <w:szCs w:val="32"/>
        </w:rPr>
      </w:pPr>
      <w:r>
        <w:rPr>
          <w:rFonts w:hint="eastAsia" w:ascii="仿宋" w:hAnsi="仿宋" w:eastAsia="仿宋" w:cs="仿宋"/>
          <w:szCs w:val="32"/>
        </w:rPr>
        <w:t>着力棚改攻坚工作，2020年截至目前各地块已攻坚签约80户。其中两个地块完成房屋征收工作：一是盐店街地块棚改项目；二是黄桷坪地块项目一、二期，出让土地范围内的房屋全部拆除，按区政府与开发商约定时间交地。老街项目与金钩湾棚改项目仅余1户未签约。办理盐店街、三台寺、五星街、东方小学、黄桷坪、宝珍井6个棚改征收项目被征收房屋产权注销1500余户。</w:t>
      </w:r>
    </w:p>
    <w:p>
      <w:pPr>
        <w:pBdr>
          <w:top w:val="single" w:color="FFFFFF" w:sz="4" w:space="0"/>
          <w:left w:val="single" w:color="FFFFFF" w:sz="4" w:space="31"/>
          <w:bottom w:val="single" w:color="FFFFFF" w:sz="4" w:space="31"/>
          <w:right w:val="single" w:color="FFFFFF" w:sz="4" w:space="24"/>
        </w:pBdr>
        <w:spacing w:line="592" w:lineRule="exact"/>
        <w:ind w:firstLine="645"/>
        <w:rPr>
          <w:rFonts w:hint="eastAsia" w:ascii="仿宋" w:hAnsi="仿宋" w:eastAsia="仿宋"/>
          <w:bCs/>
          <w:color w:val="000000"/>
          <w:sz w:val="32"/>
          <w:szCs w:val="32"/>
        </w:rPr>
      </w:pPr>
      <w:r>
        <w:rPr>
          <w:rFonts w:hint="eastAsia" w:ascii="仿宋" w:hAnsi="仿宋" w:eastAsia="仿宋" w:cs="仿宋"/>
          <w:szCs w:val="32"/>
        </w:rPr>
        <w:t>对未签约的被征收人多种途径的做工作，指派专人参与全区房屋征收司法程序工作专班，负责各地块司法程序中材料送审，向区法院送达强制执行申请16户，其中已裁定7户，实施强制执行2户；协助各地块完成行政复议答复3件；涉及市中院行政诉讼20件，市中院裁定15件，达成和解1件；涉及省高院行政应诉5件，省高院裁定3件。征收地块合计通过诉讼程序清退公房使用户23户，诉讼程序清退率达100％。以司法程序推进了房屋征收工作。</w:t>
      </w:r>
    </w:p>
    <w:p>
      <w:pPr>
        <w:pStyle w:val="3"/>
        <w:rPr>
          <w:rStyle w:val="14"/>
          <w:b w:val="0"/>
          <w:bCs w:val="0"/>
        </w:rPr>
      </w:pPr>
      <w:bookmarkStart w:id="13" w:name="_Toc15396601"/>
      <w:bookmarkStart w:id="14" w:name="_Toc6092"/>
      <w:bookmarkStart w:id="15" w:name="_Toc15377200"/>
      <w:bookmarkStart w:id="16" w:name="_Toc25624"/>
      <w:r>
        <w:rPr>
          <w:rFonts w:hint="eastAsia" w:ascii="黑体" w:eastAsia="黑体"/>
          <w:b w:val="0"/>
          <w:color w:val="000000"/>
        </w:rPr>
        <w:t>二、</w:t>
      </w:r>
      <w:r>
        <w:rPr>
          <w:rFonts w:hint="eastAsia" w:ascii="黑体" w:hAnsi="黑体" w:eastAsia="黑体"/>
          <w:b w:val="0"/>
          <w:color w:val="000000"/>
        </w:rPr>
        <w:t>机</w:t>
      </w:r>
      <w:r>
        <w:rPr>
          <w:rStyle w:val="14"/>
          <w:rFonts w:hint="eastAsia" w:ascii="黑体" w:hAnsi="黑体" w:eastAsia="黑体"/>
          <w:b w:val="0"/>
          <w:bCs w:val="0"/>
        </w:rPr>
        <w:t>构设置</w:t>
      </w:r>
      <w:bookmarkEnd w:id="13"/>
      <w:bookmarkEnd w:id="14"/>
      <w:bookmarkEnd w:id="15"/>
      <w:bookmarkEnd w:id="16"/>
    </w:p>
    <w:p>
      <w:pPr>
        <w:pBdr>
          <w:top w:val="single" w:color="FFFFFF" w:sz="4" w:space="0"/>
          <w:left w:val="single" w:color="FFFFFF" w:sz="4" w:space="31"/>
          <w:bottom w:val="single" w:color="FFFFFF" w:sz="4" w:space="31"/>
          <w:right w:val="single" w:color="FFFFFF" w:sz="4" w:space="24"/>
        </w:pBdr>
        <w:spacing w:line="592" w:lineRule="exact"/>
        <w:ind w:firstLine="645"/>
        <w:rPr>
          <w:rFonts w:hint="eastAsia" w:ascii="仿宋" w:hAnsi="仿宋" w:eastAsia="仿宋" w:cs="仿宋"/>
          <w:szCs w:val="32"/>
        </w:rPr>
      </w:pPr>
      <w:bookmarkStart w:id="17" w:name="_Toc15396602"/>
      <w:bookmarkStart w:id="18" w:name="_Toc15377204"/>
      <w:bookmarkStart w:id="19" w:name="_Toc23109"/>
      <w:r>
        <w:rPr>
          <w:rFonts w:hint="eastAsia" w:ascii="仿宋" w:hAnsi="仿宋" w:eastAsia="仿宋" w:cs="仿宋"/>
          <w:szCs w:val="32"/>
        </w:rPr>
        <w:t xml:space="preserve">我中心原设办公室、工会、计划财务科、公房管理科、住房保障科、建设管理科、综合科、供应科、房屋维修站共9个内设机构。2020年6月请示主管局批准后调整机构，现设办公室、公房管理股、房屋维修股、征收管理股共4个内设机构。 </w:t>
      </w:r>
    </w:p>
    <w:p>
      <w:pPr>
        <w:pBdr>
          <w:top w:val="single" w:color="FFFFFF" w:sz="4" w:space="0"/>
          <w:left w:val="single" w:color="FFFFFF" w:sz="4" w:space="31"/>
          <w:bottom w:val="single" w:color="FFFFFF" w:sz="4" w:space="31"/>
          <w:right w:val="single" w:color="FFFFFF" w:sz="4" w:space="24"/>
        </w:pBdr>
        <w:spacing w:line="592" w:lineRule="exact"/>
        <w:ind w:firstLine="645"/>
        <w:rPr>
          <w:rFonts w:hint="eastAsia" w:ascii="仿宋" w:hAnsi="仿宋" w:eastAsia="仿宋" w:cs="仿宋"/>
          <w:szCs w:val="32"/>
        </w:rPr>
      </w:pPr>
      <w:r>
        <w:rPr>
          <w:rFonts w:hint="eastAsia" w:ascii="仿宋" w:hAnsi="仿宋" w:eastAsia="仿宋" w:cs="仿宋"/>
          <w:szCs w:val="32"/>
        </w:rPr>
        <w:t>纳入自贡市自流井区住房保障中心2020年度部门决算编制范围的二级预算单位包括：</w:t>
      </w:r>
    </w:p>
    <w:p>
      <w:pPr>
        <w:pBdr>
          <w:top w:val="single" w:color="FFFFFF" w:sz="4" w:space="0"/>
          <w:left w:val="single" w:color="FFFFFF" w:sz="4" w:space="31"/>
          <w:bottom w:val="single" w:color="FFFFFF" w:sz="4" w:space="31"/>
          <w:right w:val="single" w:color="FFFFFF" w:sz="4" w:space="24"/>
        </w:pBdr>
        <w:spacing w:line="592" w:lineRule="exact"/>
        <w:ind w:firstLine="645"/>
        <w:rPr>
          <w:rFonts w:hint="eastAsia" w:ascii="仿宋" w:hAnsi="仿宋" w:eastAsia="仿宋" w:cs="仿宋"/>
          <w:szCs w:val="32"/>
        </w:rPr>
      </w:pPr>
      <w:r>
        <w:rPr>
          <w:rFonts w:hint="eastAsia" w:ascii="仿宋" w:hAnsi="仿宋" w:eastAsia="仿宋" w:cs="仿宋"/>
          <w:szCs w:val="32"/>
        </w:rPr>
        <w:t>自贡市自流井区住房保障中心本级。</w:t>
      </w:r>
    </w:p>
    <w:p>
      <w:pPr>
        <w:pStyle w:val="2"/>
        <w:ind w:right="440"/>
        <w:jc w:val="right"/>
        <w:rPr>
          <w:rStyle w:val="13"/>
          <w:rFonts w:ascii="黑体" w:hAnsi="黑体" w:eastAsia="黑体"/>
          <w:b w:val="0"/>
          <w:bCs w:val="0"/>
        </w:rPr>
      </w:pPr>
      <w:bookmarkStart w:id="20" w:name="_Toc30821"/>
      <w:r>
        <w:rPr>
          <w:rFonts w:hint="eastAsia" w:ascii="黑体" w:hAnsi="黑体" w:eastAsia="黑体"/>
          <w:b w:val="0"/>
          <w:color w:val="000000"/>
        </w:rPr>
        <w:t>第二部分</w:t>
      </w:r>
      <w:r>
        <w:rPr>
          <w:rFonts w:ascii="黑体" w:hAnsi="黑体" w:eastAsia="黑体"/>
          <w:color w:val="000000"/>
        </w:rPr>
        <w:t xml:space="preserve"> </w:t>
      </w:r>
      <w:r>
        <w:rPr>
          <w:rStyle w:val="13"/>
          <w:rFonts w:ascii="黑体" w:hAnsi="黑体" w:eastAsia="黑体"/>
          <w:b w:val="0"/>
          <w:bCs w:val="0"/>
        </w:rPr>
        <w:t>2020</w:t>
      </w:r>
      <w:r>
        <w:rPr>
          <w:rStyle w:val="13"/>
          <w:rFonts w:hint="eastAsia" w:ascii="黑体" w:hAnsi="黑体" w:eastAsia="黑体"/>
          <w:b w:val="0"/>
          <w:bCs w:val="0"/>
        </w:rPr>
        <w:t>年度决算情况说明</w:t>
      </w:r>
      <w:bookmarkEnd w:id="17"/>
      <w:bookmarkEnd w:id="18"/>
      <w:bookmarkEnd w:id="19"/>
      <w:bookmarkEnd w:id="20"/>
    </w:p>
    <w:p/>
    <w:p>
      <w:pPr>
        <w:pStyle w:val="15"/>
        <w:numPr>
          <w:ilvl w:val="0"/>
          <w:numId w:val="1"/>
        </w:numPr>
        <w:spacing w:line="600" w:lineRule="exact"/>
        <w:ind w:firstLineChars="0"/>
        <w:outlineLvl w:val="1"/>
        <w:rPr>
          <w:rStyle w:val="14"/>
          <w:rFonts w:ascii="黑体" w:hAnsi="黑体" w:eastAsia="黑体"/>
          <w:b w:val="0"/>
        </w:rPr>
      </w:pPr>
      <w:bookmarkStart w:id="21" w:name="_Toc7163"/>
      <w:bookmarkStart w:id="22" w:name="_Toc28566"/>
      <w:bookmarkStart w:id="23" w:name="_Toc15396603"/>
      <w:bookmarkStart w:id="24" w:name="_Toc15377205"/>
      <w:r>
        <w:rPr>
          <w:rFonts w:hint="eastAsia" w:ascii="黑体" w:hAnsi="黑体" w:eastAsia="黑体"/>
          <w:color w:val="000000"/>
          <w:sz w:val="32"/>
          <w:szCs w:val="32"/>
        </w:rPr>
        <w:t>收</w:t>
      </w:r>
      <w:r>
        <w:rPr>
          <w:rStyle w:val="14"/>
          <w:rFonts w:hint="eastAsia" w:ascii="黑体" w:hAnsi="黑体" w:eastAsia="黑体"/>
          <w:b w:val="0"/>
        </w:rPr>
        <w:t>入支出决算总体情况说明</w:t>
      </w:r>
      <w:bookmarkEnd w:id="21"/>
      <w:bookmarkEnd w:id="22"/>
      <w:bookmarkEnd w:id="23"/>
      <w:bookmarkEnd w:id="24"/>
    </w:p>
    <w:p>
      <w:pPr>
        <w:spacing w:line="600" w:lineRule="exact"/>
        <w:ind w:firstLine="640" w:firstLineChars="200"/>
        <w:rPr>
          <w:rFonts w:ascii="仿宋_GB2312" w:hAnsi="仿宋"/>
          <w:color w:val="000000"/>
          <w:szCs w:val="32"/>
        </w:rPr>
      </w:pPr>
      <w:r>
        <w:rPr>
          <w:rFonts w:hint="eastAsia" w:ascii="仿宋_GB2312" w:hAnsi="仿宋"/>
          <w:color w:val="000000"/>
          <w:szCs w:val="32"/>
        </w:rPr>
        <w:t>2020年度收、支总计1651.03万元。与2019年1880万元相比，收、支总计各减少288.97万元，下降12.18%。主要变动原因是上年的结转和结余减少128.65万元，下降49.26%，严控压缩经费，项目经费减少。</w:t>
      </w:r>
    </w:p>
    <w:p>
      <w:pPr>
        <w:spacing w:line="120" w:lineRule="exact"/>
        <w:ind w:firstLine="643" w:firstLineChars="200"/>
        <w:rPr>
          <w:rFonts w:ascii="仿宋" w:hAnsi="仿宋" w:eastAsia="仿宋"/>
          <w:b/>
          <w:color w:val="FF0000"/>
          <w:szCs w:val="32"/>
        </w:rPr>
      </w:pPr>
      <w:r>
        <w:rPr>
          <w:rFonts w:ascii="仿宋" w:hAnsi="仿宋" w:eastAsia="仿宋"/>
          <w:b/>
          <w:color w:val="FF0000"/>
          <w:szCs w:val="32"/>
        </w:rPr>
        <w:drawing>
          <wp:anchor distT="0" distB="0" distL="114300" distR="114300" simplePos="0" relativeHeight="251660288" behindDoc="0" locked="0" layoutInCell="1" allowOverlap="1">
            <wp:simplePos x="0" y="0"/>
            <wp:positionH relativeFrom="column">
              <wp:posOffset>19050</wp:posOffset>
            </wp:positionH>
            <wp:positionV relativeFrom="paragraph">
              <wp:posOffset>31750</wp:posOffset>
            </wp:positionV>
            <wp:extent cx="5267325" cy="2095500"/>
            <wp:effectExtent l="0" t="0" r="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cstate="print"/>
                    <a:stretch>
                      <a:fillRect/>
                    </a:stretch>
                  </pic:blipFill>
                  <pic:spPr>
                    <a:xfrm>
                      <a:off x="0" y="0"/>
                      <a:ext cx="5267325" cy="2093595"/>
                    </a:xfrm>
                    <a:prstGeom prst="rect">
                      <a:avLst/>
                    </a:prstGeom>
                    <a:noFill/>
                    <a:ln>
                      <a:noFill/>
                    </a:ln>
                  </pic:spPr>
                </pic:pic>
              </a:graphicData>
            </a:graphic>
          </wp:anchor>
        </w:drawing>
      </w:r>
    </w:p>
    <w:p>
      <w:pPr>
        <w:spacing w:line="600" w:lineRule="exact"/>
        <w:ind w:firstLine="640" w:firstLineChars="200"/>
        <w:rPr>
          <w:rFonts w:ascii="仿宋_GB2312" w:hAnsi="仿宋"/>
          <w:color w:val="000000"/>
          <w:szCs w:val="32"/>
        </w:rPr>
      </w:pPr>
      <w:r>
        <w:rPr>
          <w:rFonts w:hint="eastAsia" w:ascii="仿宋_GB2312" w:hAnsi="仿宋"/>
          <w:color w:val="000000"/>
          <w:szCs w:val="32"/>
        </w:rPr>
        <w:t>（图1：收、支决算总计变动情况图）（柱状图）</w:t>
      </w:r>
    </w:p>
    <w:p>
      <w:pPr>
        <w:spacing w:line="600" w:lineRule="exact"/>
        <w:ind w:firstLine="640" w:firstLineChars="200"/>
        <w:jc w:val="left"/>
        <w:rPr>
          <w:rFonts w:ascii="仿宋_GB2312" w:eastAsia="仿宋_GB2312"/>
          <w:color w:val="000000"/>
          <w:sz w:val="32"/>
          <w:szCs w:val="32"/>
        </w:rPr>
      </w:pPr>
    </w:p>
    <w:p>
      <w:pPr>
        <w:pStyle w:val="15"/>
        <w:numPr>
          <w:ilvl w:val="0"/>
          <w:numId w:val="1"/>
        </w:numPr>
        <w:spacing w:line="600" w:lineRule="exact"/>
        <w:ind w:firstLineChars="0"/>
        <w:outlineLvl w:val="1"/>
        <w:rPr>
          <w:rStyle w:val="14"/>
          <w:rFonts w:ascii="黑体" w:hAnsi="黑体" w:eastAsia="黑体"/>
          <w:b w:val="0"/>
        </w:rPr>
      </w:pPr>
      <w:bookmarkStart w:id="25" w:name="_Toc15377206"/>
      <w:bookmarkStart w:id="26" w:name="_Toc15396604"/>
      <w:bookmarkStart w:id="27" w:name="_Toc25258"/>
      <w:bookmarkStart w:id="28" w:name="_Toc14567"/>
      <w:r>
        <w:rPr>
          <w:rFonts w:hint="eastAsia" w:ascii="黑体" w:hAnsi="黑体" w:eastAsia="黑体"/>
          <w:color w:val="000000"/>
          <w:sz w:val="32"/>
          <w:szCs w:val="32"/>
        </w:rPr>
        <w:t>收</w:t>
      </w:r>
      <w:r>
        <w:rPr>
          <w:rStyle w:val="14"/>
          <w:rFonts w:hint="eastAsia" w:ascii="黑体" w:hAnsi="黑体" w:eastAsia="黑体"/>
          <w:b w:val="0"/>
        </w:rPr>
        <w:t>入决算情况说明</w:t>
      </w:r>
      <w:bookmarkEnd w:id="25"/>
      <w:bookmarkEnd w:id="26"/>
      <w:bookmarkEnd w:id="27"/>
      <w:bookmarkEnd w:id="28"/>
    </w:p>
    <w:p>
      <w:pPr>
        <w:spacing w:line="600" w:lineRule="exact"/>
        <w:ind w:firstLine="640" w:firstLineChars="200"/>
        <w:rPr>
          <w:rFonts w:ascii="仿宋_GB2312" w:hAnsi="仿宋"/>
          <w:color w:val="000000"/>
          <w:szCs w:val="32"/>
        </w:rPr>
      </w:pPr>
      <w:bookmarkStart w:id="29" w:name="_Toc13725"/>
      <w:bookmarkStart w:id="30" w:name="_Toc15377207"/>
      <w:bookmarkStart w:id="31" w:name="_Toc15396605"/>
      <w:r>
        <w:rPr>
          <w:rFonts w:hint="eastAsia" w:ascii="仿宋_GB2312" w:hAnsi="仿宋"/>
          <w:color w:val="000000"/>
          <w:szCs w:val="32"/>
        </w:rPr>
        <w:t>2020年本年收入合计1518.52万元，其中：一般公共预算财政拨款收入1518.52万元，占100%；政府性基金预算财政拨款收入0万元，占0%；上级补助收入0万元，占0%；事业收入0万元，占0%；经营收入0万元，占0%；附属单位上缴收入0万元，占0%；其他收入0万元，占0%。</w:t>
      </w:r>
    </w:p>
    <w:p>
      <w:pPr>
        <w:spacing w:line="120" w:lineRule="exact"/>
        <w:ind w:firstLine="640" w:firstLineChars="200"/>
        <w:rPr>
          <w:rFonts w:ascii="仿宋" w:hAnsi="仿宋" w:eastAsia="仿宋"/>
          <w:b/>
          <w:color w:val="FF0000"/>
          <w:szCs w:val="32"/>
        </w:rPr>
      </w:pPr>
      <w:r>
        <w:drawing>
          <wp:anchor distT="0" distB="0" distL="114300" distR="114300" simplePos="0" relativeHeight="251661312" behindDoc="0" locked="0" layoutInCell="1" allowOverlap="1">
            <wp:simplePos x="0" y="0"/>
            <wp:positionH relativeFrom="column">
              <wp:posOffset>245745</wp:posOffset>
            </wp:positionH>
            <wp:positionV relativeFrom="paragraph">
              <wp:posOffset>142875</wp:posOffset>
            </wp:positionV>
            <wp:extent cx="4762500" cy="2057400"/>
            <wp:effectExtent l="0" t="0" r="0" b="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cstate="print"/>
                    <a:stretch>
                      <a:fillRect/>
                    </a:stretch>
                  </pic:blipFill>
                  <pic:spPr>
                    <a:xfrm>
                      <a:off x="0" y="0"/>
                      <a:ext cx="4762500" cy="2057400"/>
                    </a:xfrm>
                    <a:prstGeom prst="rect">
                      <a:avLst/>
                    </a:prstGeom>
                    <a:noFill/>
                    <a:ln>
                      <a:noFill/>
                    </a:ln>
                  </pic:spPr>
                </pic:pic>
              </a:graphicData>
            </a:graphic>
          </wp:anchor>
        </w:drawing>
      </w:r>
    </w:p>
    <w:p>
      <w:pPr>
        <w:spacing w:line="600" w:lineRule="exact"/>
        <w:ind w:firstLine="640" w:firstLineChars="200"/>
        <w:rPr>
          <w:rFonts w:ascii="仿宋_GB2312" w:hAnsi="仿宋"/>
          <w:color w:val="000000"/>
          <w:szCs w:val="32"/>
        </w:rPr>
      </w:pPr>
      <w:r>
        <w:rPr>
          <w:rFonts w:hint="eastAsia" w:ascii="仿宋_GB2312" w:hAnsi="仿宋"/>
          <w:color w:val="000000"/>
          <w:szCs w:val="32"/>
        </w:rPr>
        <w:t>（图2：收入决算结构图）（饼状图）</w:t>
      </w:r>
    </w:p>
    <w:p>
      <w:pPr>
        <w:pStyle w:val="15"/>
        <w:numPr>
          <w:ilvl w:val="0"/>
          <w:numId w:val="1"/>
        </w:numPr>
        <w:spacing w:line="600" w:lineRule="exact"/>
        <w:ind w:firstLineChars="0"/>
        <w:outlineLvl w:val="1"/>
        <w:rPr>
          <w:rStyle w:val="14"/>
          <w:rFonts w:ascii="黑体" w:hAnsi="黑体" w:eastAsia="黑体"/>
          <w:b w:val="0"/>
        </w:rPr>
      </w:pPr>
      <w:bookmarkStart w:id="32" w:name="_Toc11958"/>
      <w:r>
        <w:rPr>
          <w:rFonts w:hint="eastAsia" w:ascii="黑体" w:hAnsi="黑体" w:eastAsia="黑体"/>
          <w:color w:val="000000"/>
          <w:sz w:val="32"/>
          <w:szCs w:val="32"/>
        </w:rPr>
        <w:t>支</w:t>
      </w:r>
      <w:r>
        <w:rPr>
          <w:rStyle w:val="14"/>
          <w:rFonts w:hint="eastAsia" w:ascii="黑体" w:hAnsi="黑体" w:eastAsia="黑体"/>
          <w:b w:val="0"/>
        </w:rPr>
        <w:t>出决算情况说明</w:t>
      </w:r>
      <w:bookmarkEnd w:id="29"/>
      <w:bookmarkEnd w:id="30"/>
      <w:bookmarkEnd w:id="31"/>
      <w:bookmarkEnd w:id="32"/>
    </w:p>
    <w:p>
      <w:pPr>
        <w:spacing w:line="600" w:lineRule="exact"/>
        <w:ind w:firstLine="640" w:firstLineChars="200"/>
        <w:rPr>
          <w:rFonts w:ascii="仿宋_GB2312" w:hAnsi="仿宋"/>
          <w:color w:val="000000"/>
          <w:szCs w:val="32"/>
        </w:rPr>
      </w:pPr>
      <w:r>
        <w:rPr>
          <w:rFonts w:hint="eastAsia" w:ascii="仿宋_GB2312"/>
        </w:rPr>
        <w:drawing>
          <wp:anchor distT="0" distB="0" distL="114300" distR="114300" simplePos="0" relativeHeight="251662336" behindDoc="0" locked="0" layoutInCell="1" allowOverlap="1">
            <wp:simplePos x="0" y="0"/>
            <wp:positionH relativeFrom="column">
              <wp:posOffset>282575</wp:posOffset>
            </wp:positionH>
            <wp:positionV relativeFrom="paragraph">
              <wp:posOffset>1714500</wp:posOffset>
            </wp:positionV>
            <wp:extent cx="4733925" cy="2190750"/>
            <wp:effectExtent l="0" t="0" r="0" b="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cstate="print"/>
                    <a:stretch>
                      <a:fillRect/>
                    </a:stretch>
                  </pic:blipFill>
                  <pic:spPr>
                    <a:xfrm>
                      <a:off x="0" y="0"/>
                      <a:ext cx="4733925" cy="2190750"/>
                    </a:xfrm>
                    <a:prstGeom prst="rect">
                      <a:avLst/>
                    </a:prstGeom>
                    <a:noFill/>
                    <a:ln>
                      <a:noFill/>
                    </a:ln>
                  </pic:spPr>
                </pic:pic>
              </a:graphicData>
            </a:graphic>
          </wp:anchor>
        </w:drawing>
      </w:r>
      <w:r>
        <w:rPr>
          <w:rFonts w:hint="eastAsia" w:ascii="仿宋_GB2312" w:hAnsi="仿宋"/>
          <w:color w:val="000000"/>
          <w:szCs w:val="32"/>
        </w:rPr>
        <w:t>2020年本年支出合计1547.69万元，其中：基本支出1385.52万元，占89.52%；项目支出162.17万元，占10.48%；上缴上级支出0万元，占0%；经营支出0万元，占0%；对附属单位补助支出0万元，占0%。</w:t>
      </w:r>
    </w:p>
    <w:p>
      <w:pPr>
        <w:spacing w:line="60" w:lineRule="exact"/>
        <w:ind w:firstLine="643" w:firstLineChars="200"/>
        <w:rPr>
          <w:rFonts w:ascii="仿宋" w:hAnsi="仿宋" w:eastAsia="仿宋"/>
          <w:b/>
          <w:color w:val="FF0000"/>
          <w:szCs w:val="32"/>
        </w:rPr>
      </w:pPr>
    </w:p>
    <w:p>
      <w:pPr>
        <w:spacing w:line="600" w:lineRule="exact"/>
        <w:ind w:firstLine="640" w:firstLineChars="200"/>
        <w:rPr>
          <w:rFonts w:ascii="仿宋_GB2312" w:hAnsi="仿宋"/>
          <w:color w:val="000000"/>
          <w:szCs w:val="32"/>
        </w:rPr>
      </w:pPr>
      <w:r>
        <w:rPr>
          <w:rFonts w:hint="eastAsia" w:ascii="仿宋_GB2312" w:hAnsi="仿宋"/>
          <w:color w:val="000000"/>
          <w:szCs w:val="32"/>
        </w:rPr>
        <w:t>（图3：支出决算结构图）（饼状图）</w:t>
      </w:r>
    </w:p>
    <w:p>
      <w:pPr>
        <w:spacing w:line="600" w:lineRule="exact"/>
        <w:ind w:firstLine="640" w:firstLineChars="200"/>
        <w:rPr>
          <w:rFonts w:ascii="仿宋_GB2312" w:eastAsia="仿宋_GB2312"/>
          <w:color w:val="FF0000"/>
          <w:sz w:val="32"/>
          <w:szCs w:val="32"/>
        </w:rPr>
      </w:pPr>
    </w:p>
    <w:p>
      <w:pPr>
        <w:spacing w:line="600" w:lineRule="exact"/>
        <w:ind w:firstLine="640" w:firstLineChars="200"/>
        <w:outlineLvl w:val="1"/>
        <w:rPr>
          <w:rStyle w:val="14"/>
          <w:rFonts w:ascii="黑体" w:hAnsi="黑体" w:eastAsia="黑体"/>
          <w:b w:val="0"/>
        </w:rPr>
      </w:pPr>
      <w:bookmarkStart w:id="33" w:name="_Toc15377208"/>
      <w:bookmarkStart w:id="34" w:name="_Toc15396606"/>
      <w:bookmarkStart w:id="35" w:name="_Toc10354"/>
      <w:bookmarkStart w:id="36" w:name="_Toc31925"/>
      <w:r>
        <w:rPr>
          <w:rFonts w:hint="eastAsia" w:ascii="黑体" w:hAnsi="黑体" w:eastAsia="黑体"/>
          <w:color w:val="000000"/>
          <w:sz w:val="32"/>
          <w:szCs w:val="32"/>
        </w:rPr>
        <w:t>四、财</w:t>
      </w:r>
      <w:r>
        <w:rPr>
          <w:rStyle w:val="14"/>
          <w:rFonts w:hint="eastAsia" w:ascii="黑体" w:hAnsi="黑体" w:eastAsia="黑体"/>
          <w:b w:val="0"/>
        </w:rPr>
        <w:t>政拨款收入支出决算总体情况说明</w:t>
      </w:r>
      <w:bookmarkEnd w:id="33"/>
      <w:bookmarkEnd w:id="34"/>
      <w:bookmarkEnd w:id="35"/>
      <w:bookmarkEnd w:id="36"/>
    </w:p>
    <w:p>
      <w:pPr>
        <w:spacing w:line="600" w:lineRule="exact"/>
        <w:ind w:firstLine="640"/>
        <w:rPr>
          <w:rFonts w:ascii="仿宋_GB2312" w:hAnsi="仿宋"/>
          <w:color w:val="000000"/>
          <w:szCs w:val="32"/>
        </w:rPr>
      </w:pPr>
      <w:r>
        <w:rPr>
          <w:rFonts w:hint="eastAsia" w:ascii="仿宋_GB2312"/>
        </w:rPr>
        <w:drawing>
          <wp:anchor distT="0" distB="0" distL="114300" distR="114300" simplePos="0" relativeHeight="251663360" behindDoc="0" locked="0" layoutInCell="1" allowOverlap="1">
            <wp:simplePos x="0" y="0"/>
            <wp:positionH relativeFrom="column">
              <wp:posOffset>400050</wp:posOffset>
            </wp:positionH>
            <wp:positionV relativeFrom="paragraph">
              <wp:posOffset>1676400</wp:posOffset>
            </wp:positionV>
            <wp:extent cx="4591050" cy="2143125"/>
            <wp:effectExtent l="0" t="0" r="0" b="0"/>
            <wp:wrapTopAndBottom/>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cstate="print"/>
                    <a:stretch>
                      <a:fillRect/>
                    </a:stretch>
                  </pic:blipFill>
                  <pic:spPr>
                    <a:xfrm>
                      <a:off x="0" y="0"/>
                      <a:ext cx="4591050" cy="2143125"/>
                    </a:xfrm>
                    <a:prstGeom prst="rect">
                      <a:avLst/>
                    </a:prstGeom>
                    <a:noFill/>
                    <a:ln>
                      <a:noFill/>
                    </a:ln>
                  </pic:spPr>
                </pic:pic>
              </a:graphicData>
            </a:graphic>
          </wp:anchor>
        </w:drawing>
      </w:r>
      <w:r>
        <w:rPr>
          <w:rFonts w:hint="eastAsia" w:ascii="仿宋_GB2312" w:hAnsi="仿宋"/>
          <w:color w:val="000000"/>
          <w:szCs w:val="32"/>
        </w:rPr>
        <w:t>2020年财政拨款收、支总计1651.03万元。与2019年1880万元相比，财政拨款收、支总计各减少288.97万元，下降12.18%。主要变动原因是上年的结转和结余减少128.65万元，下降49.26%，严控压缩经费，项目经费减少。</w:t>
      </w:r>
    </w:p>
    <w:p>
      <w:pPr>
        <w:spacing w:line="100" w:lineRule="exact"/>
        <w:ind w:firstLine="643" w:firstLineChars="200"/>
        <w:rPr>
          <w:rFonts w:ascii="仿宋" w:hAnsi="仿宋" w:eastAsia="仿宋"/>
          <w:b/>
          <w:color w:val="FF0000"/>
          <w:szCs w:val="32"/>
        </w:rPr>
      </w:pPr>
    </w:p>
    <w:p>
      <w:pPr>
        <w:spacing w:line="600" w:lineRule="exact"/>
        <w:ind w:firstLine="640" w:firstLineChars="200"/>
        <w:rPr>
          <w:rFonts w:ascii="仿宋_GB2312" w:hAnsi="仿宋"/>
          <w:color w:val="000000"/>
          <w:szCs w:val="32"/>
        </w:rPr>
      </w:pPr>
      <w:r>
        <w:rPr>
          <w:rFonts w:hint="eastAsia" w:ascii="仿宋_GB2312" w:hAnsi="仿宋"/>
          <w:color w:val="000000"/>
          <w:szCs w:val="32"/>
        </w:rPr>
        <w:t>（图4：财政拨款收、支决算总计变动情况）（柱状图）</w:t>
      </w:r>
    </w:p>
    <w:p>
      <w:pPr>
        <w:spacing w:line="600" w:lineRule="exact"/>
        <w:ind w:firstLine="640"/>
        <w:rPr>
          <w:rFonts w:ascii="仿宋" w:hAnsi="仿宋" w:eastAsia="仿宋"/>
          <w:b/>
          <w:color w:val="00B050"/>
          <w:sz w:val="32"/>
          <w:szCs w:val="32"/>
        </w:rPr>
      </w:pPr>
    </w:p>
    <w:p>
      <w:pPr>
        <w:spacing w:line="600" w:lineRule="exact"/>
        <w:ind w:firstLine="640" w:firstLineChars="200"/>
        <w:outlineLvl w:val="1"/>
        <w:rPr>
          <w:rStyle w:val="14"/>
          <w:rFonts w:ascii="黑体" w:hAnsi="黑体" w:eastAsia="黑体"/>
          <w:b w:val="0"/>
        </w:rPr>
      </w:pPr>
      <w:bookmarkStart w:id="37" w:name="_Toc15396607"/>
      <w:bookmarkStart w:id="38" w:name="_Toc15377209"/>
      <w:bookmarkStart w:id="39" w:name="_Toc10967"/>
      <w:bookmarkStart w:id="40" w:name="_Toc22118"/>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4"/>
          <w:rFonts w:hint="eastAsia" w:ascii="黑体" w:hAnsi="黑体" w:eastAsia="黑体"/>
          <w:b w:val="0"/>
        </w:rPr>
        <w:t>般公共预算财政拨款支出决算情况说明</w:t>
      </w:r>
      <w:bookmarkEnd w:id="37"/>
      <w:bookmarkEnd w:id="38"/>
      <w:bookmarkEnd w:id="39"/>
      <w:bookmarkEnd w:id="40"/>
    </w:p>
    <w:p>
      <w:pPr>
        <w:spacing w:line="600" w:lineRule="exact"/>
        <w:ind w:firstLine="643" w:firstLineChars="200"/>
        <w:outlineLvl w:val="2"/>
        <w:rPr>
          <w:rFonts w:ascii="仿宋" w:hAnsi="仿宋" w:eastAsia="仿宋"/>
          <w:b/>
          <w:color w:val="000000"/>
          <w:sz w:val="32"/>
          <w:szCs w:val="32"/>
        </w:rPr>
      </w:pPr>
      <w:bookmarkStart w:id="41" w:name="_Toc15377210"/>
      <w:bookmarkStart w:id="42" w:name="_Toc18556"/>
      <w:r>
        <w:rPr>
          <w:rFonts w:hint="eastAsia" w:ascii="仿宋" w:hAnsi="仿宋" w:eastAsia="仿宋"/>
          <w:b/>
          <w:color w:val="000000"/>
          <w:sz w:val="32"/>
          <w:szCs w:val="32"/>
        </w:rPr>
        <w:t>（一）一般公共预算财政拨款支出决算总体情况</w:t>
      </w:r>
      <w:bookmarkEnd w:id="41"/>
      <w:bookmarkEnd w:id="42"/>
    </w:p>
    <w:p>
      <w:pPr>
        <w:spacing w:line="600" w:lineRule="exact"/>
        <w:ind w:firstLine="640" w:firstLineChars="200"/>
        <w:rPr>
          <w:rFonts w:ascii="仿宋_GB2312" w:hAnsi="仿宋"/>
          <w:color w:val="000000"/>
          <w:szCs w:val="32"/>
        </w:rPr>
      </w:pPr>
      <w:r>
        <w:rPr>
          <w:rFonts w:hint="eastAsia" w:ascii="仿宋_GB2312"/>
        </w:rPr>
        <w:drawing>
          <wp:anchor distT="0" distB="0" distL="114300" distR="114300" simplePos="0" relativeHeight="251664384" behindDoc="0" locked="0" layoutInCell="1" allowOverlap="1">
            <wp:simplePos x="0" y="0"/>
            <wp:positionH relativeFrom="column">
              <wp:posOffset>496570</wp:posOffset>
            </wp:positionH>
            <wp:positionV relativeFrom="paragraph">
              <wp:posOffset>515620</wp:posOffset>
            </wp:positionV>
            <wp:extent cx="4267200" cy="2053590"/>
            <wp:effectExtent l="0" t="0" r="0" b="3810"/>
            <wp:wrapTopAndBottom/>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cstate="print"/>
                    <a:stretch>
                      <a:fillRect/>
                    </a:stretch>
                  </pic:blipFill>
                  <pic:spPr>
                    <a:xfrm>
                      <a:off x="0" y="0"/>
                      <a:ext cx="4267200" cy="2053590"/>
                    </a:xfrm>
                    <a:prstGeom prst="rect">
                      <a:avLst/>
                    </a:prstGeom>
                    <a:noFill/>
                    <a:ln>
                      <a:noFill/>
                    </a:ln>
                  </pic:spPr>
                </pic:pic>
              </a:graphicData>
            </a:graphic>
          </wp:anchor>
        </w:drawing>
      </w:r>
      <w:r>
        <w:rPr>
          <w:rFonts w:hint="eastAsia" w:ascii="仿宋_GB2312" w:hAnsi="仿宋"/>
          <w:color w:val="000000"/>
          <w:szCs w:val="32"/>
        </w:rPr>
        <w:t>2020年一般公共预算财政拨款支出1547.69万元，占本年支出合计的100%。与2019年1647.02相比，一般公共预算财政拨款减少99.33万元，下降6.03%。主要变动原因是严控压缩经费，项目经费减少。</w:t>
      </w:r>
    </w:p>
    <w:p>
      <w:pPr>
        <w:spacing w:line="600" w:lineRule="exact"/>
        <w:ind w:firstLine="640" w:firstLineChars="200"/>
        <w:rPr>
          <w:rFonts w:ascii="仿宋_GB2312" w:hAnsi="仿宋"/>
          <w:color w:val="000000"/>
          <w:szCs w:val="32"/>
        </w:rPr>
      </w:pPr>
      <w:r>
        <w:rPr>
          <w:rFonts w:hint="eastAsia" w:ascii="仿宋_GB2312" w:hAnsi="仿宋"/>
          <w:color w:val="000000"/>
          <w:szCs w:val="32"/>
        </w:rPr>
        <w:t>（图5：一般公共预算财政拨款支出决算变动情况）（柱状图）</w:t>
      </w: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43" w:name="_Toc15377211"/>
      <w:bookmarkStart w:id="44" w:name="_Toc22061"/>
      <w:r>
        <w:rPr>
          <w:rFonts w:hint="eastAsia" w:ascii="仿宋" w:hAnsi="仿宋" w:eastAsia="仿宋"/>
          <w:b/>
          <w:color w:val="000000"/>
          <w:sz w:val="32"/>
          <w:szCs w:val="32"/>
        </w:rPr>
        <w:t>（二）一般公共预算财政拨款支出决算结构情况</w:t>
      </w:r>
      <w:bookmarkEnd w:id="43"/>
      <w:bookmarkEnd w:id="44"/>
    </w:p>
    <w:p>
      <w:pPr>
        <w:spacing w:line="600" w:lineRule="exact"/>
        <w:ind w:firstLine="640" w:firstLineChars="200"/>
        <w:rPr>
          <w:rFonts w:ascii="仿宋_GB2312" w:hAnsi="仿宋"/>
          <w:b/>
          <w:color w:val="000000"/>
          <w:szCs w:val="32"/>
        </w:rPr>
      </w:pPr>
      <w:r>
        <w:rPr>
          <w:rFonts w:hint="eastAsia" w:ascii="仿宋_GB2312"/>
        </w:rPr>
        <w:drawing>
          <wp:anchor distT="0" distB="0" distL="114300" distR="114300" simplePos="0" relativeHeight="251665408" behindDoc="0" locked="0" layoutInCell="1" allowOverlap="1">
            <wp:simplePos x="0" y="0"/>
            <wp:positionH relativeFrom="column">
              <wp:posOffset>495300</wp:posOffset>
            </wp:positionH>
            <wp:positionV relativeFrom="paragraph">
              <wp:posOffset>1924050</wp:posOffset>
            </wp:positionV>
            <wp:extent cx="4591050" cy="2333625"/>
            <wp:effectExtent l="0" t="0" r="0" b="0"/>
            <wp:wrapTopAndBottom/>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cstate="print"/>
                    <a:stretch>
                      <a:fillRect/>
                    </a:stretch>
                  </pic:blipFill>
                  <pic:spPr>
                    <a:xfrm>
                      <a:off x="0" y="0"/>
                      <a:ext cx="4591050" cy="2333625"/>
                    </a:xfrm>
                    <a:prstGeom prst="rect">
                      <a:avLst/>
                    </a:prstGeom>
                    <a:noFill/>
                    <a:ln>
                      <a:noFill/>
                    </a:ln>
                  </pic:spPr>
                </pic:pic>
              </a:graphicData>
            </a:graphic>
          </wp:anchor>
        </w:drawing>
      </w:r>
      <w:r>
        <w:rPr>
          <w:rFonts w:hint="eastAsia" w:ascii="仿宋_GB2312" w:hAnsi="仿宋"/>
          <w:color w:val="000000"/>
          <w:szCs w:val="32"/>
        </w:rPr>
        <w:t>2020年一般公共预算财政拨款支出1547.69万元，主要用于以下方面:</w:t>
      </w:r>
      <w:r>
        <w:rPr>
          <w:rFonts w:hint="eastAsia" w:ascii="仿宋_GB2312" w:hAnsi="仿宋"/>
          <w:b/>
          <w:color w:val="000000"/>
          <w:szCs w:val="32"/>
        </w:rPr>
        <w:t>社会保障和就业（类）</w:t>
      </w:r>
      <w:r>
        <w:rPr>
          <w:rFonts w:hint="eastAsia" w:ascii="仿宋_GB2312" w:hAnsi="仿宋"/>
          <w:color w:val="000000"/>
          <w:szCs w:val="32"/>
        </w:rPr>
        <w:t>支出277.14万元，占17.91%；</w:t>
      </w:r>
      <w:r>
        <w:rPr>
          <w:rFonts w:hint="eastAsia" w:ascii="仿宋_GB2312" w:hAnsi="仿宋"/>
          <w:b/>
          <w:bCs/>
          <w:color w:val="000000"/>
          <w:szCs w:val="32"/>
        </w:rPr>
        <w:t>卫生健康支出</w:t>
      </w:r>
      <w:r>
        <w:rPr>
          <w:rFonts w:hint="eastAsia" w:ascii="仿宋_GB2312" w:hAnsi="仿宋"/>
          <w:color w:val="000000"/>
          <w:szCs w:val="32"/>
        </w:rPr>
        <w:t>44.23万元，占2.86%；</w:t>
      </w:r>
      <w:r>
        <w:rPr>
          <w:rFonts w:hint="eastAsia" w:ascii="仿宋_GB2312" w:hAnsi="仿宋"/>
          <w:b/>
          <w:color w:val="000000"/>
          <w:szCs w:val="32"/>
        </w:rPr>
        <w:t>城乡社区支出（类）</w:t>
      </w:r>
      <w:r>
        <w:rPr>
          <w:rFonts w:hint="eastAsia" w:ascii="仿宋_GB2312" w:hAnsi="仿宋"/>
          <w:color w:val="000000"/>
          <w:szCs w:val="32"/>
        </w:rPr>
        <w:t>支出1079.29万元，占69.74%；</w:t>
      </w:r>
      <w:r>
        <w:rPr>
          <w:rFonts w:hint="eastAsia" w:ascii="仿宋_GB2312" w:hAnsi="仿宋"/>
          <w:b/>
          <w:color w:val="000000"/>
          <w:szCs w:val="32"/>
        </w:rPr>
        <w:t>住房保障（类）</w:t>
      </w:r>
      <w:r>
        <w:rPr>
          <w:rFonts w:hint="eastAsia" w:ascii="仿宋_GB2312" w:hAnsi="仿宋"/>
          <w:color w:val="000000"/>
          <w:szCs w:val="32"/>
        </w:rPr>
        <w:t>支出147.03万元，占9.5%。</w:t>
      </w:r>
    </w:p>
    <w:p>
      <w:pPr>
        <w:spacing w:line="80" w:lineRule="exact"/>
        <w:ind w:firstLine="641"/>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6</w:t>
      </w:r>
      <w:r>
        <w:rPr>
          <w:rFonts w:hint="eastAsia" w:ascii="仿宋" w:hAnsi="仿宋" w:eastAsia="仿宋"/>
          <w:color w:val="000000"/>
          <w:szCs w:val="32"/>
        </w:rPr>
        <w:t>：一般公共预算财政拨款支出决算结构）（饼状图）</w:t>
      </w: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45" w:name="_Toc15377212"/>
      <w:bookmarkStart w:id="46" w:name="_Toc7409"/>
      <w:r>
        <w:rPr>
          <w:rFonts w:hint="eastAsia" w:ascii="仿宋" w:hAnsi="仿宋" w:eastAsia="仿宋"/>
          <w:b/>
          <w:color w:val="000000"/>
          <w:sz w:val="32"/>
          <w:szCs w:val="32"/>
        </w:rPr>
        <w:t>（三）一般公共预算财政拨款支出决算具体情况</w:t>
      </w:r>
      <w:bookmarkEnd w:id="45"/>
      <w:bookmarkEnd w:id="46"/>
    </w:p>
    <w:p>
      <w:pPr>
        <w:spacing w:line="600" w:lineRule="exact"/>
        <w:ind w:firstLine="643" w:firstLineChars="200"/>
        <w:rPr>
          <w:rFonts w:ascii="仿宋_GB2312" w:hAnsi="仿宋"/>
          <w:color w:val="FF0000"/>
          <w:szCs w:val="32"/>
        </w:rPr>
      </w:pPr>
      <w:bookmarkStart w:id="47" w:name="_Toc15377213"/>
      <w:bookmarkStart w:id="48" w:name="_Toc15378460"/>
      <w:bookmarkStart w:id="49" w:name="_Toc15377444"/>
      <w:r>
        <w:rPr>
          <w:rFonts w:hint="eastAsia" w:ascii="仿宋_GB2312" w:hAnsi="仿宋"/>
          <w:b/>
          <w:color w:val="000000"/>
          <w:szCs w:val="32"/>
        </w:rPr>
        <w:t>2020年一般公共预算支出决算数为1547.69</w:t>
      </w:r>
      <w:r>
        <w:rPr>
          <w:rFonts w:hint="eastAsia" w:ascii="仿宋_GB2312" w:hAnsi="仿宋"/>
          <w:color w:val="000000"/>
          <w:szCs w:val="32"/>
        </w:rPr>
        <w:t>，</w:t>
      </w:r>
      <w:r>
        <w:rPr>
          <w:rStyle w:val="11"/>
          <w:rFonts w:hint="eastAsia" w:ascii="仿宋_GB2312" w:hAnsi="仿宋"/>
          <w:bCs/>
          <w:color w:val="000000"/>
          <w:szCs w:val="32"/>
        </w:rPr>
        <w:t>完成预算93.74%。其中：</w:t>
      </w:r>
      <w:bookmarkEnd w:id="47"/>
      <w:bookmarkEnd w:id="48"/>
      <w:bookmarkEnd w:id="49"/>
    </w:p>
    <w:p>
      <w:pPr>
        <w:spacing w:line="600" w:lineRule="exact"/>
        <w:ind w:firstLine="643" w:firstLineChars="200"/>
        <w:rPr>
          <w:rFonts w:ascii="仿宋_GB2312" w:hAnsi="仿宋"/>
          <w:b/>
          <w:color w:val="000000"/>
          <w:szCs w:val="32"/>
        </w:rPr>
      </w:pPr>
      <w:r>
        <w:rPr>
          <w:rStyle w:val="11"/>
          <w:rFonts w:hint="eastAsia" w:ascii="仿宋_GB2312" w:hAnsi="仿宋"/>
          <w:bCs/>
          <w:color w:val="000000"/>
          <w:szCs w:val="32"/>
        </w:rPr>
        <w:t>1.社会保障和就业（类）行政事业单位养老支出（款）行政单位离退休（项）:</w:t>
      </w:r>
      <w:r>
        <w:rPr>
          <w:rStyle w:val="11"/>
          <w:rFonts w:hint="eastAsia" w:ascii="仿宋_GB2312" w:hAnsi="仿宋"/>
          <w:b w:val="0"/>
          <w:bCs/>
          <w:color w:val="000000"/>
          <w:szCs w:val="32"/>
        </w:rPr>
        <w:t xml:space="preserve"> 支出决算为0.26万元，完成预算100%。</w:t>
      </w:r>
    </w:p>
    <w:p>
      <w:pPr>
        <w:spacing w:line="600" w:lineRule="exact"/>
        <w:ind w:firstLine="643" w:firstLineChars="200"/>
        <w:rPr>
          <w:rStyle w:val="11"/>
          <w:rFonts w:ascii="仿宋_GB2312" w:hAnsi="仿宋"/>
          <w:b w:val="0"/>
          <w:bCs/>
          <w:color w:val="000000"/>
          <w:szCs w:val="32"/>
        </w:rPr>
      </w:pPr>
      <w:r>
        <w:rPr>
          <w:rStyle w:val="11"/>
          <w:rFonts w:hint="eastAsia" w:ascii="仿宋_GB2312" w:hAnsi="仿宋"/>
          <w:bCs/>
          <w:color w:val="000000"/>
          <w:szCs w:val="32"/>
        </w:rPr>
        <w:t>2.社会保障和就业（类）行政事业单位养老支出（款）行政单位离退休（项）:</w:t>
      </w:r>
      <w:r>
        <w:rPr>
          <w:rStyle w:val="11"/>
          <w:rFonts w:hint="eastAsia" w:ascii="仿宋_GB2312" w:hAnsi="仿宋"/>
          <w:b w:val="0"/>
          <w:bCs/>
          <w:color w:val="000000"/>
          <w:szCs w:val="32"/>
        </w:rPr>
        <w:t>支出决算为174.66万元，完成预算100%。</w:t>
      </w:r>
    </w:p>
    <w:p>
      <w:pPr>
        <w:spacing w:line="600" w:lineRule="exact"/>
        <w:ind w:firstLine="643" w:firstLineChars="200"/>
        <w:rPr>
          <w:rStyle w:val="11"/>
          <w:rFonts w:ascii="仿宋_GB2312" w:hAnsi="仿宋"/>
          <w:b w:val="0"/>
          <w:bCs/>
          <w:color w:val="000000"/>
          <w:szCs w:val="32"/>
        </w:rPr>
      </w:pPr>
      <w:r>
        <w:rPr>
          <w:rStyle w:val="11"/>
          <w:rFonts w:hint="eastAsia" w:ascii="仿宋_GB2312" w:hAnsi="仿宋"/>
          <w:bCs/>
          <w:color w:val="000000"/>
          <w:szCs w:val="32"/>
        </w:rPr>
        <w:t>3.社会保障和就业（类）行政事业单位养老支出（款）机关事业单位基本养老保险缴费（项）:</w:t>
      </w:r>
      <w:r>
        <w:rPr>
          <w:rStyle w:val="11"/>
          <w:rFonts w:hint="eastAsia" w:ascii="仿宋_GB2312" w:hAnsi="仿宋"/>
          <w:b w:val="0"/>
          <w:bCs/>
          <w:color w:val="000000"/>
          <w:szCs w:val="32"/>
        </w:rPr>
        <w:t>支出决算为91.08万元，完成预算100%。</w:t>
      </w:r>
    </w:p>
    <w:p>
      <w:pPr>
        <w:spacing w:line="600" w:lineRule="exact"/>
        <w:ind w:firstLine="643" w:firstLineChars="200"/>
        <w:rPr>
          <w:rStyle w:val="11"/>
          <w:rFonts w:ascii="仿宋_GB2312" w:hAnsi="仿宋"/>
          <w:b w:val="0"/>
          <w:bCs/>
          <w:color w:val="000000"/>
          <w:szCs w:val="32"/>
        </w:rPr>
      </w:pPr>
      <w:r>
        <w:rPr>
          <w:rStyle w:val="11"/>
          <w:rFonts w:hint="eastAsia" w:ascii="仿宋_GB2312" w:hAnsi="仿宋"/>
          <w:bCs/>
          <w:color w:val="000000"/>
          <w:szCs w:val="32"/>
        </w:rPr>
        <w:t>4.社会保障和就业（类）其他社会保障和就业支出（款）其他社会保障和就业支出（项）:</w:t>
      </w:r>
      <w:r>
        <w:rPr>
          <w:rStyle w:val="11"/>
          <w:rFonts w:hint="eastAsia" w:ascii="仿宋_GB2312" w:hAnsi="仿宋"/>
          <w:b w:val="0"/>
          <w:bCs/>
          <w:color w:val="000000"/>
          <w:szCs w:val="32"/>
        </w:rPr>
        <w:t>支出决算为11.14万元，完成预算100%。</w:t>
      </w:r>
    </w:p>
    <w:p>
      <w:pPr>
        <w:spacing w:line="600" w:lineRule="exact"/>
        <w:ind w:firstLine="643" w:firstLineChars="200"/>
        <w:rPr>
          <w:rFonts w:ascii="仿宋_GB2312" w:hAnsi="仿宋"/>
          <w:b/>
          <w:color w:val="000000"/>
          <w:szCs w:val="32"/>
        </w:rPr>
      </w:pPr>
      <w:r>
        <w:rPr>
          <w:rStyle w:val="11"/>
          <w:rFonts w:hint="eastAsia" w:ascii="仿宋_GB2312" w:hAnsi="仿宋"/>
          <w:bCs/>
          <w:color w:val="000000"/>
          <w:szCs w:val="32"/>
        </w:rPr>
        <w:t>5.</w:t>
      </w:r>
      <w:r>
        <w:rPr>
          <w:rFonts w:hint="eastAsia" w:ascii="仿宋_GB2312" w:hAnsi="仿宋"/>
          <w:b/>
          <w:bCs/>
          <w:color w:val="000000"/>
          <w:szCs w:val="32"/>
        </w:rPr>
        <w:t>卫生健康</w:t>
      </w:r>
      <w:r>
        <w:rPr>
          <w:rStyle w:val="11"/>
          <w:rFonts w:hint="eastAsia" w:ascii="仿宋_GB2312" w:hAnsi="仿宋"/>
          <w:bCs/>
          <w:color w:val="000000"/>
          <w:szCs w:val="32"/>
        </w:rPr>
        <w:t>（类）行政事业单位医疗（款）事业单位医疗（项）:</w:t>
      </w:r>
      <w:r>
        <w:rPr>
          <w:rStyle w:val="11"/>
          <w:rFonts w:hint="eastAsia" w:ascii="仿宋_GB2312" w:hAnsi="仿宋"/>
          <w:b w:val="0"/>
          <w:bCs/>
          <w:color w:val="000000"/>
          <w:szCs w:val="32"/>
        </w:rPr>
        <w:t>支出决算为44.23万元，完成预算100%。</w:t>
      </w:r>
    </w:p>
    <w:p>
      <w:pPr>
        <w:spacing w:line="600" w:lineRule="exact"/>
        <w:ind w:firstLine="643" w:firstLineChars="200"/>
        <w:rPr>
          <w:rFonts w:ascii="仿宋_GB2312" w:hAnsi="仿宋"/>
          <w:color w:val="000000"/>
          <w:szCs w:val="32"/>
        </w:rPr>
      </w:pPr>
      <w:r>
        <w:rPr>
          <w:rStyle w:val="11"/>
          <w:rFonts w:hint="eastAsia" w:ascii="仿宋_GB2312" w:hAnsi="仿宋"/>
          <w:bCs/>
          <w:color w:val="000000"/>
          <w:szCs w:val="32"/>
        </w:rPr>
        <w:t>6.城乡社区支出（类）城乡社区管理事务（款）其他城乡社区管理事务支出（项）：</w:t>
      </w:r>
      <w:r>
        <w:rPr>
          <w:rFonts w:hint="eastAsia" w:ascii="仿宋_GB2312" w:hAnsi="仿宋"/>
          <w:color w:val="000000"/>
          <w:szCs w:val="32"/>
        </w:rPr>
        <w:t>支出决算为1079.29万元，完成预算100%。</w:t>
      </w:r>
    </w:p>
    <w:p>
      <w:pPr>
        <w:spacing w:line="600" w:lineRule="exact"/>
        <w:ind w:firstLine="643" w:firstLineChars="200"/>
        <w:rPr>
          <w:rFonts w:ascii="仿宋_GB2312" w:hAnsi="仿宋"/>
          <w:color w:val="000000"/>
          <w:szCs w:val="32"/>
        </w:rPr>
      </w:pPr>
      <w:r>
        <w:rPr>
          <w:rStyle w:val="11"/>
          <w:rFonts w:hint="eastAsia" w:ascii="仿宋_GB2312" w:hAnsi="仿宋"/>
          <w:bCs/>
          <w:color w:val="000000"/>
          <w:szCs w:val="32"/>
        </w:rPr>
        <w:t>7.住房保障支出（类）保障性安居工程支出（类）保障性住房租金补贴（项）：</w:t>
      </w:r>
      <w:r>
        <w:rPr>
          <w:rFonts w:hint="eastAsia" w:ascii="仿宋_GB2312" w:hAnsi="仿宋"/>
          <w:color w:val="000000"/>
          <w:szCs w:val="32"/>
        </w:rPr>
        <w:t>支出决算为79.72万元，完成预算43.55%，主要原因是预算不准确。</w:t>
      </w:r>
    </w:p>
    <w:p>
      <w:pPr>
        <w:spacing w:line="600" w:lineRule="exact"/>
        <w:ind w:firstLine="640"/>
        <w:rPr>
          <w:rFonts w:ascii="仿宋" w:hAnsi="仿宋" w:eastAsia="仿宋"/>
          <w:b/>
          <w:color w:val="000000"/>
          <w:sz w:val="32"/>
          <w:szCs w:val="32"/>
        </w:rPr>
      </w:pPr>
      <w:r>
        <w:rPr>
          <w:rFonts w:hint="eastAsia" w:ascii="仿宋_GB2312" w:hAnsi="仿宋"/>
          <w:color w:val="000000"/>
          <w:szCs w:val="32"/>
        </w:rPr>
        <w:t>8.</w:t>
      </w:r>
      <w:r>
        <w:rPr>
          <w:rStyle w:val="11"/>
          <w:rFonts w:hint="eastAsia" w:ascii="仿宋_GB2312" w:hAnsi="仿宋"/>
          <w:bCs/>
          <w:color w:val="000000"/>
          <w:szCs w:val="32"/>
        </w:rPr>
        <w:t>住房保障支出（类）住房改革支出（类）住房公积金（项）：</w:t>
      </w:r>
      <w:r>
        <w:rPr>
          <w:rFonts w:hint="eastAsia" w:ascii="仿宋_GB2312" w:hAnsi="仿宋"/>
          <w:color w:val="000000"/>
          <w:szCs w:val="32"/>
        </w:rPr>
        <w:t>支出决算为67.31万元，完成预算100%。</w:t>
      </w:r>
    </w:p>
    <w:p>
      <w:pPr>
        <w:tabs>
          <w:tab w:val="right" w:pos="8306"/>
        </w:tabs>
        <w:spacing w:line="600" w:lineRule="exact"/>
        <w:ind w:firstLine="640"/>
        <w:outlineLvl w:val="1"/>
        <w:rPr>
          <w:rStyle w:val="14"/>
        </w:rPr>
      </w:pPr>
      <w:bookmarkStart w:id="50" w:name="_Toc31021"/>
      <w:bookmarkStart w:id="51" w:name="_Toc15377214"/>
      <w:bookmarkStart w:id="52" w:name="_Toc15396608"/>
      <w:bookmarkStart w:id="53" w:name="_Toc26128"/>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4"/>
          <w:rFonts w:hint="eastAsia" w:ascii="黑体" w:hAnsi="黑体" w:eastAsia="黑体"/>
          <w:b w:val="0"/>
        </w:rPr>
        <w:t>般公共预算财政拨款基本支出决算情况说明</w:t>
      </w:r>
      <w:bookmarkEnd w:id="50"/>
      <w:bookmarkEnd w:id="51"/>
      <w:bookmarkEnd w:id="52"/>
      <w:bookmarkEnd w:id="53"/>
      <w:r>
        <w:rPr>
          <w:rStyle w:val="14"/>
          <w:rFonts w:ascii="黑体" w:hAnsi="黑体" w:eastAsia="黑体"/>
          <w:b w:val="0"/>
        </w:rPr>
        <w:tab/>
      </w:r>
    </w:p>
    <w:p>
      <w:pPr>
        <w:spacing w:line="592" w:lineRule="exact"/>
        <w:ind w:firstLine="645"/>
        <w:rPr>
          <w:rFonts w:ascii="仿宋_GB2312" w:hAnsi="仿宋"/>
          <w:color w:val="000000"/>
          <w:szCs w:val="32"/>
        </w:rPr>
      </w:pPr>
      <w:r>
        <w:rPr>
          <w:rFonts w:hint="eastAsia" w:ascii="仿宋_GB2312" w:hAnsi="仿宋"/>
          <w:color w:val="000000"/>
          <w:szCs w:val="32"/>
        </w:rPr>
        <w:t>2020年一般公共预算财政拨款基本支出1385.52万元，其中：</w:t>
      </w:r>
    </w:p>
    <w:p>
      <w:pPr>
        <w:spacing w:line="592" w:lineRule="exact"/>
        <w:ind w:firstLine="645"/>
        <w:rPr>
          <w:rFonts w:ascii="仿宋_GB2312" w:hAnsi="仿宋"/>
          <w:color w:val="000000"/>
          <w:szCs w:val="32"/>
        </w:rPr>
      </w:pPr>
      <w:r>
        <w:rPr>
          <w:rFonts w:hint="eastAsia" w:ascii="仿宋_GB2312" w:hAnsi="仿宋"/>
          <w:color w:val="000000"/>
          <w:szCs w:val="32"/>
        </w:rPr>
        <w:t>人员经费1194.65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hint="eastAsia" w:ascii="仿宋_GB2312" w:hAnsi="仿宋"/>
          <w:color w:val="000000"/>
          <w:szCs w:val="32"/>
        </w:rPr>
        <w:br w:type="textWrapping"/>
      </w:r>
      <w:r>
        <w:rPr>
          <w:rFonts w:hint="eastAsia" w:ascii="仿宋_GB2312" w:hAnsi="仿宋"/>
          <w:color w:val="000000"/>
          <w:szCs w:val="32"/>
        </w:rPr>
        <w:t>　　日常公用经费190.87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rPr>
          <w:rFonts w:ascii="仿宋" w:hAnsi="仿宋" w:eastAsia="仿宋"/>
          <w:b/>
          <w:color w:val="FF0000"/>
          <w:sz w:val="32"/>
          <w:szCs w:val="32"/>
        </w:rPr>
      </w:pPr>
    </w:p>
    <w:p>
      <w:pPr>
        <w:spacing w:line="600" w:lineRule="exact"/>
        <w:ind w:firstLine="640"/>
        <w:outlineLvl w:val="1"/>
        <w:rPr>
          <w:rStyle w:val="14"/>
          <w:rFonts w:ascii="黑体" w:hAnsi="黑体" w:eastAsia="黑体"/>
          <w:b w:val="0"/>
        </w:rPr>
      </w:pPr>
      <w:bookmarkStart w:id="54" w:name="_Toc15396609"/>
      <w:bookmarkStart w:id="55" w:name="_Toc15377215"/>
      <w:bookmarkStart w:id="56" w:name="_Toc6926"/>
      <w:bookmarkStart w:id="57" w:name="_Toc11165"/>
      <w:r>
        <w:rPr>
          <w:rFonts w:hint="eastAsia" w:ascii="黑体" w:eastAsia="黑体"/>
          <w:color w:val="000000"/>
          <w:sz w:val="32"/>
          <w:szCs w:val="32"/>
        </w:rPr>
        <w:t>七、</w:t>
      </w:r>
      <w:r>
        <w:rPr>
          <w:rStyle w:val="14"/>
          <w:rFonts w:hint="eastAsia" w:ascii="黑体" w:hAnsi="黑体" w:eastAsia="黑体"/>
        </w:rPr>
        <w:t>“</w:t>
      </w:r>
      <w:r>
        <w:rPr>
          <w:rStyle w:val="14"/>
          <w:rFonts w:hint="eastAsia" w:ascii="黑体" w:hAnsi="黑体" w:eastAsia="黑体"/>
          <w:b w:val="0"/>
        </w:rPr>
        <w:t>三公”经费财政拨款支出决算情况说明</w:t>
      </w:r>
      <w:bookmarkEnd w:id="54"/>
      <w:bookmarkEnd w:id="55"/>
      <w:bookmarkEnd w:id="56"/>
      <w:bookmarkEnd w:id="57"/>
    </w:p>
    <w:p>
      <w:pPr>
        <w:spacing w:line="600" w:lineRule="exact"/>
        <w:ind w:firstLine="640"/>
        <w:outlineLvl w:val="2"/>
        <w:rPr>
          <w:rFonts w:ascii="仿宋" w:hAnsi="仿宋" w:eastAsia="仿宋"/>
          <w:b/>
          <w:color w:val="000000"/>
          <w:sz w:val="32"/>
          <w:szCs w:val="32"/>
        </w:rPr>
      </w:pPr>
      <w:bookmarkStart w:id="58" w:name="_Toc15377216"/>
      <w:bookmarkStart w:id="59" w:name="_Toc19623"/>
      <w:r>
        <w:rPr>
          <w:rFonts w:hint="eastAsia" w:ascii="仿宋" w:hAnsi="仿宋" w:eastAsia="仿宋"/>
          <w:b/>
          <w:color w:val="000000"/>
          <w:sz w:val="32"/>
          <w:szCs w:val="32"/>
        </w:rPr>
        <w:t>（一）“三公”经费财政拨款支出决算总体情况说明</w:t>
      </w:r>
      <w:bookmarkEnd w:id="58"/>
      <w:bookmarkEnd w:id="59"/>
    </w:p>
    <w:p>
      <w:pPr>
        <w:spacing w:line="592" w:lineRule="exact"/>
        <w:ind w:firstLine="640"/>
        <w:rPr>
          <w:rFonts w:ascii="仿宋_GB2312" w:hAnsi="仿宋"/>
          <w:color w:val="000000"/>
          <w:szCs w:val="32"/>
        </w:rPr>
      </w:pPr>
      <w:bookmarkStart w:id="60" w:name="_Toc15377217"/>
      <w:r>
        <w:rPr>
          <w:rFonts w:hint="eastAsia" w:ascii="仿宋_GB2312" w:hAnsi="仿宋"/>
          <w:color w:val="000000"/>
          <w:szCs w:val="32"/>
        </w:rPr>
        <w:t>2020年“三公”经费财政拨款支出决算为2.76万元，完成预算70.05%，决算数小于预算数的主要原因是加强公务用车的严格管理，严格审批出车、公务维修等。</w:t>
      </w:r>
    </w:p>
    <w:p>
      <w:pPr>
        <w:spacing w:line="600" w:lineRule="exact"/>
        <w:ind w:firstLine="640"/>
        <w:outlineLvl w:val="2"/>
        <w:rPr>
          <w:rFonts w:ascii="仿宋" w:hAnsi="仿宋" w:eastAsia="仿宋"/>
          <w:b/>
          <w:color w:val="000000"/>
          <w:sz w:val="32"/>
          <w:szCs w:val="32"/>
        </w:rPr>
      </w:pPr>
      <w:bookmarkStart w:id="61" w:name="_Toc22311"/>
      <w:r>
        <w:rPr>
          <w:rFonts w:hint="eastAsia" w:ascii="仿宋" w:hAnsi="仿宋" w:eastAsia="仿宋"/>
          <w:b/>
          <w:color w:val="000000"/>
          <w:sz w:val="32"/>
          <w:szCs w:val="32"/>
        </w:rPr>
        <w:t>（二）“三公”经费财政拨款支出决算具体情况说明</w:t>
      </w:r>
      <w:bookmarkEnd w:id="60"/>
      <w:bookmarkEnd w:id="61"/>
    </w:p>
    <w:p>
      <w:pPr>
        <w:spacing w:line="592" w:lineRule="exact"/>
        <w:ind w:firstLine="641"/>
        <w:rPr>
          <w:rFonts w:ascii="仿宋_GB2312" w:hAnsi="仿宋"/>
          <w:color w:val="000000"/>
          <w:szCs w:val="32"/>
        </w:rPr>
      </w:pPr>
      <w:r>
        <w:rPr>
          <w:rFonts w:hint="eastAsia" w:ascii="仿宋_GB2312" w:hAnsi="仿宋"/>
          <w:color w:val="000000"/>
          <w:szCs w:val="32"/>
        </w:rPr>
        <w:t>2020年“三公”经费财政拨款支出决算中，因公出国（境）费支出决算0万元，占0%；公务用车购置及运行维护费支出决算2.76万元，占100%；公务接待费支出决算0万元，占0%。具体情况如下：</w:t>
      </w:r>
    </w:p>
    <w:p>
      <w:pPr>
        <w:spacing w:line="592" w:lineRule="exact"/>
        <w:ind w:firstLine="641"/>
        <w:rPr>
          <w:rFonts w:ascii="仿宋_GB2312" w:hAnsi="仿宋"/>
          <w:color w:val="000000"/>
          <w:szCs w:val="32"/>
        </w:rPr>
      </w:pPr>
      <w:r>
        <w:rPr>
          <w:rFonts w:hint="eastAsia" w:ascii="仿宋_GB2312" w:hAnsi="仿宋"/>
          <w:color w:val="000000"/>
          <w:szCs w:val="32"/>
        </w:rPr>
        <w:t>（图7：“三公”经费财政拨款支出结构）（饼状图）</w:t>
      </w:r>
    </w:p>
    <w:p>
      <w:pPr>
        <w:tabs>
          <w:tab w:val="left" w:pos="312"/>
        </w:tabs>
        <w:spacing w:line="592" w:lineRule="exact"/>
        <w:ind w:firstLine="643" w:firstLineChars="200"/>
        <w:rPr>
          <w:rFonts w:ascii="仿宋_GB2312"/>
          <w:color w:val="000000"/>
          <w:szCs w:val="32"/>
        </w:rPr>
      </w:pPr>
      <w:bookmarkStart w:id="62" w:name="_Toc15396610"/>
      <w:bookmarkStart w:id="63" w:name="_Toc15377218"/>
      <w:r>
        <w:rPr>
          <w:rFonts w:hint="eastAsia" w:ascii="仿宋_GB2312"/>
          <w:b/>
          <w:color w:val="000000"/>
          <w:szCs w:val="32"/>
        </w:rPr>
        <w:t>1.因公出国（境）经费支出</w:t>
      </w:r>
      <w:r>
        <w:rPr>
          <w:rFonts w:hint="eastAsia" w:ascii="仿宋_GB2312"/>
          <w:color w:val="000000"/>
          <w:szCs w:val="32"/>
        </w:rPr>
        <w:t>0万元，</w:t>
      </w:r>
      <w:r>
        <w:rPr>
          <w:rStyle w:val="11"/>
          <w:rFonts w:hint="eastAsia" w:ascii="仿宋_GB2312" w:hAnsi="仿宋"/>
          <w:b w:val="0"/>
          <w:bCs/>
          <w:color w:val="000000"/>
          <w:szCs w:val="32"/>
        </w:rPr>
        <w:t>完成预算0%。</w:t>
      </w:r>
      <w:r>
        <w:rPr>
          <w:rFonts w:hint="eastAsia" w:ascii="仿宋_GB2312"/>
          <w:color w:val="000000"/>
          <w:szCs w:val="32"/>
        </w:rPr>
        <w:t>全</w:t>
      </w:r>
      <w:r>
        <w:rPr>
          <w:rFonts w:hint="eastAsia" w:ascii="仿宋_GB2312"/>
          <w:color w:val="000000"/>
          <w:szCs w:val="32"/>
          <w:lang w:eastAsia="zh-CN"/>
        </w:rPr>
        <w:t>年</w:t>
      </w:r>
      <w:bookmarkStart w:id="134" w:name="_GoBack"/>
      <w:bookmarkEnd w:id="134"/>
      <w:r>
        <w:rPr>
          <w:rFonts w:hint="eastAsia" w:ascii="仿宋_GB2312"/>
          <w:color w:val="000000"/>
          <w:szCs w:val="32"/>
        </w:rPr>
        <w:t>安排因公出国（境）团组0次，出国（境）0人。因公出国（境）支出决算比2019年增加0万元，增长0%。</w:t>
      </w:r>
    </w:p>
    <w:p>
      <w:pPr>
        <w:spacing w:line="592" w:lineRule="exact"/>
        <w:ind w:firstLine="641"/>
        <w:rPr>
          <w:rFonts w:ascii="仿宋_GB2312"/>
          <w:b/>
          <w:color w:val="000000"/>
          <w:szCs w:val="32"/>
        </w:rPr>
      </w:pPr>
      <w:r>
        <w:rPr>
          <w:rFonts w:hint="eastAsia" w:ascii="仿宋_GB2312"/>
          <w:b/>
          <w:color w:val="000000"/>
          <w:szCs w:val="32"/>
        </w:rPr>
        <w:t>2.公务用车购置及运行维护费支出</w:t>
      </w:r>
      <w:r>
        <w:rPr>
          <w:rFonts w:hint="eastAsia" w:ascii="仿宋_GB2312"/>
          <w:color w:val="000000"/>
          <w:szCs w:val="32"/>
        </w:rPr>
        <w:t>2.76万元,</w:t>
      </w:r>
      <w:r>
        <w:rPr>
          <w:rStyle w:val="11"/>
          <w:rFonts w:hint="eastAsia" w:ascii="仿宋_GB2312" w:hAnsi="仿宋"/>
          <w:b w:val="0"/>
          <w:bCs/>
          <w:color w:val="000000"/>
          <w:szCs w:val="32"/>
        </w:rPr>
        <w:t>完成预算70.05%。</w:t>
      </w:r>
      <w:r>
        <w:rPr>
          <w:rFonts w:hint="eastAsia" w:ascii="仿宋_GB2312"/>
          <w:color w:val="000000"/>
          <w:szCs w:val="32"/>
        </w:rPr>
        <w:t>公务用车购置及运行维护费支出决算比2019年2.65万元增加0.1万元，增长3.92%。基本与2019年持平。。</w:t>
      </w:r>
    </w:p>
    <w:p>
      <w:pPr>
        <w:spacing w:line="592" w:lineRule="exact"/>
        <w:ind w:firstLine="641"/>
        <w:rPr>
          <w:rFonts w:ascii="仿宋_GB2312"/>
          <w:b/>
          <w:color w:val="000000"/>
          <w:szCs w:val="32"/>
        </w:rPr>
      </w:pPr>
      <w:r>
        <w:rPr>
          <w:rFonts w:hint="eastAsia" w:ascii="仿宋_GB2312"/>
          <w:color w:val="000000"/>
          <w:szCs w:val="32"/>
        </w:rPr>
        <w:t>其中：</w:t>
      </w:r>
      <w:r>
        <w:rPr>
          <w:rFonts w:hint="eastAsia" w:ascii="仿宋_GB2312"/>
          <w:b/>
          <w:color w:val="000000"/>
          <w:szCs w:val="32"/>
        </w:rPr>
        <w:t>公务用车购置支出</w:t>
      </w:r>
      <w:r>
        <w:rPr>
          <w:rFonts w:hint="eastAsia" w:ascii="仿宋_GB2312"/>
          <w:color w:val="000000"/>
          <w:szCs w:val="32"/>
        </w:rPr>
        <w:t>0万元。全年按规定更新购置公务用车0辆，其中：轿车0辆、金额0万元，越野车0辆、金额0万元，载客汽车0辆、金额0万元。截至2020年12月底，单位共有公务用车1辆，其中：轿车1辆、越野车0辆、载客汽车0辆。</w:t>
      </w:r>
    </w:p>
    <w:p>
      <w:pPr>
        <w:spacing w:line="592" w:lineRule="exact"/>
        <w:ind w:firstLine="641"/>
        <w:rPr>
          <w:rFonts w:ascii="仿宋_GB2312"/>
          <w:color w:val="000000"/>
          <w:szCs w:val="32"/>
        </w:rPr>
      </w:pPr>
      <w:r>
        <w:rPr>
          <w:rFonts w:hint="eastAsia" w:ascii="仿宋_GB2312"/>
          <w:b/>
          <w:color w:val="000000"/>
          <w:szCs w:val="32"/>
        </w:rPr>
        <w:t>公务用车运行维护费支出</w:t>
      </w:r>
      <w:r>
        <w:rPr>
          <w:rFonts w:hint="eastAsia" w:ascii="仿宋_GB2312"/>
          <w:color w:val="000000"/>
          <w:szCs w:val="32"/>
        </w:rPr>
        <w:t>2.76万元。主要用于自流井区公房维护管理等所需的公务用车燃料费、维修费、过路过桥费、保险费等支出。</w:t>
      </w:r>
    </w:p>
    <w:p>
      <w:pPr>
        <w:spacing w:line="592" w:lineRule="exact"/>
        <w:ind w:firstLine="641"/>
        <w:rPr>
          <w:rFonts w:ascii="仿宋_GB2312"/>
          <w:color w:val="000000"/>
          <w:szCs w:val="32"/>
        </w:rPr>
      </w:pPr>
      <w:r>
        <w:rPr>
          <w:rFonts w:hint="eastAsia" w:ascii="仿宋_GB2312"/>
          <w:b/>
          <w:color w:val="000000"/>
          <w:szCs w:val="32"/>
        </w:rPr>
        <w:t>3.公务接待费支出</w:t>
      </w:r>
      <w:r>
        <w:rPr>
          <w:rFonts w:hint="eastAsia" w:ascii="仿宋_GB2312"/>
          <w:color w:val="000000"/>
          <w:szCs w:val="32"/>
        </w:rPr>
        <w:t>0万元，</w:t>
      </w:r>
      <w:r>
        <w:rPr>
          <w:rStyle w:val="11"/>
          <w:rFonts w:hint="eastAsia" w:ascii="仿宋_GB2312" w:hAnsi="仿宋"/>
          <w:b w:val="0"/>
          <w:bCs/>
          <w:color w:val="000000"/>
          <w:szCs w:val="32"/>
        </w:rPr>
        <w:t>完成预算0%。</w:t>
      </w:r>
      <w:r>
        <w:rPr>
          <w:rFonts w:hint="eastAsia" w:ascii="仿宋_GB2312"/>
          <w:color w:val="000000"/>
          <w:szCs w:val="32"/>
        </w:rPr>
        <w:t>公务接待费支出决算比</w:t>
      </w:r>
      <w:r>
        <w:rPr>
          <w:rFonts w:ascii="仿宋_GB2312"/>
          <w:color w:val="000000"/>
          <w:szCs w:val="32"/>
        </w:rPr>
        <w:t>2019</w:t>
      </w:r>
      <w:r>
        <w:rPr>
          <w:rFonts w:hint="eastAsia" w:ascii="仿宋_GB2312"/>
          <w:color w:val="000000"/>
          <w:szCs w:val="32"/>
        </w:rPr>
        <w:t>年增加0万元，增长0</w:t>
      </w:r>
      <w:r>
        <w:rPr>
          <w:rFonts w:ascii="仿宋_GB2312"/>
          <w:color w:val="000000"/>
          <w:szCs w:val="32"/>
        </w:rPr>
        <w:t>%</w:t>
      </w:r>
      <w:r>
        <w:rPr>
          <w:rFonts w:hint="eastAsia" w:ascii="仿宋_GB2312"/>
          <w:color w:val="000000"/>
          <w:szCs w:val="32"/>
        </w:rPr>
        <w:t>。其中：</w:t>
      </w:r>
    </w:p>
    <w:p>
      <w:pPr>
        <w:spacing w:line="600" w:lineRule="exact"/>
        <w:ind w:firstLine="640"/>
        <w:rPr>
          <w:rFonts w:ascii="仿宋_GB2312"/>
          <w:color w:val="000000"/>
          <w:szCs w:val="32"/>
        </w:rPr>
      </w:pPr>
      <w:r>
        <w:rPr>
          <w:rFonts w:hint="eastAsia" w:ascii="仿宋" w:hAnsi="仿宋" w:eastAsia="仿宋"/>
          <w:b/>
          <w:color w:val="000000"/>
          <w:szCs w:val="32"/>
        </w:rPr>
        <w:t>国内公务接待支出</w:t>
      </w:r>
      <w:r>
        <w:rPr>
          <w:rFonts w:hint="eastAsia" w:ascii="仿宋" w:hAnsi="仿宋" w:eastAsia="仿宋"/>
          <w:color w:val="000000"/>
          <w:szCs w:val="32"/>
        </w:rPr>
        <w:t>0</w:t>
      </w:r>
      <w:r>
        <w:rPr>
          <w:rFonts w:hint="eastAsia" w:ascii="仿宋_GB2312"/>
          <w:color w:val="000000"/>
          <w:szCs w:val="32"/>
        </w:rPr>
        <w:t>万元。国内公务接待0批次，0人次（不包括陪同人员），共计支出0万元。</w:t>
      </w:r>
    </w:p>
    <w:p>
      <w:pPr>
        <w:spacing w:line="600" w:lineRule="exact"/>
        <w:ind w:firstLine="643" w:firstLineChars="200"/>
        <w:rPr>
          <w:rFonts w:ascii="仿宋_GB2312"/>
          <w:color w:val="000000"/>
          <w:szCs w:val="32"/>
        </w:rPr>
      </w:pPr>
      <w:r>
        <w:rPr>
          <w:rFonts w:hint="eastAsia" w:ascii="仿宋" w:hAnsi="仿宋" w:eastAsia="仿宋"/>
          <w:b/>
          <w:color w:val="000000"/>
          <w:szCs w:val="32"/>
        </w:rPr>
        <w:t>外事接待支出</w:t>
      </w:r>
      <w:r>
        <w:rPr>
          <w:rFonts w:hint="eastAsia" w:ascii="仿宋" w:hAnsi="仿宋" w:eastAsia="仿宋"/>
          <w:color w:val="000000"/>
          <w:szCs w:val="32"/>
        </w:rPr>
        <w:t>0</w:t>
      </w:r>
      <w:r>
        <w:rPr>
          <w:rFonts w:hint="eastAsia" w:ascii="仿宋_GB2312"/>
          <w:color w:val="000000"/>
          <w:szCs w:val="32"/>
        </w:rPr>
        <w:t>万元，外事接待0批次，0人，共计支出0万元。</w:t>
      </w:r>
    </w:p>
    <w:p>
      <w:pPr>
        <w:spacing w:line="600" w:lineRule="exact"/>
        <w:ind w:firstLine="640"/>
        <w:outlineLvl w:val="9"/>
        <w:rPr>
          <w:rFonts w:ascii="黑体" w:eastAsia="黑体"/>
          <w:color w:val="000000"/>
          <w:sz w:val="32"/>
          <w:szCs w:val="32"/>
        </w:rPr>
      </w:pPr>
    </w:p>
    <w:p>
      <w:pPr>
        <w:spacing w:line="600" w:lineRule="exact"/>
        <w:ind w:firstLine="640"/>
        <w:outlineLvl w:val="1"/>
        <w:rPr>
          <w:rStyle w:val="14"/>
          <w:rFonts w:ascii="黑体" w:hAnsi="黑体" w:eastAsia="黑体"/>
        </w:rPr>
      </w:pPr>
      <w:bookmarkStart w:id="64" w:name="_Toc9843"/>
      <w:bookmarkStart w:id="65" w:name="_Toc26304"/>
      <w:r>
        <w:rPr>
          <w:rFonts w:hint="eastAsia" w:ascii="黑体" w:eastAsia="黑体"/>
          <w:color w:val="000000"/>
          <w:sz w:val="32"/>
          <w:szCs w:val="32"/>
        </w:rPr>
        <w:t>八、</w:t>
      </w:r>
      <w:r>
        <w:rPr>
          <w:rStyle w:val="14"/>
          <w:rFonts w:hint="eastAsia" w:ascii="黑体" w:hAnsi="黑体" w:eastAsia="黑体"/>
          <w:b w:val="0"/>
        </w:rPr>
        <w:t>政府性基金预算支出决算情况说明</w:t>
      </w:r>
      <w:bookmarkEnd w:id="62"/>
      <w:bookmarkEnd w:id="63"/>
      <w:bookmarkEnd w:id="64"/>
      <w:bookmarkEnd w:id="65"/>
    </w:p>
    <w:p>
      <w:pPr>
        <w:spacing w:line="600" w:lineRule="exact"/>
        <w:ind w:firstLine="640"/>
        <w:rPr>
          <w:rFonts w:ascii="仿宋_GB2312"/>
          <w:color w:val="000000"/>
          <w:szCs w:val="32"/>
        </w:rPr>
      </w:pPr>
      <w:r>
        <w:rPr>
          <w:rFonts w:ascii="仿宋_GB2312"/>
          <w:color w:val="000000"/>
          <w:szCs w:val="32"/>
        </w:rPr>
        <w:t>2020</w:t>
      </w:r>
      <w:r>
        <w:rPr>
          <w:rFonts w:hint="eastAsia" w:ascii="仿宋_GB2312"/>
          <w:color w:val="000000"/>
          <w:szCs w:val="32"/>
        </w:rPr>
        <w:t>年政府性基金预算拨款支出0万元。</w:t>
      </w:r>
    </w:p>
    <w:p>
      <w:pPr>
        <w:spacing w:line="600" w:lineRule="exact"/>
        <w:ind w:firstLine="640"/>
        <w:rPr>
          <w:rFonts w:ascii="仿宋_GB2312" w:eastAsia="仿宋_GB2312"/>
          <w:color w:val="000000"/>
          <w:sz w:val="32"/>
          <w:szCs w:val="32"/>
        </w:rPr>
      </w:pPr>
    </w:p>
    <w:p>
      <w:pPr>
        <w:numPr>
          <w:ilvl w:val="0"/>
          <w:numId w:val="2"/>
        </w:numPr>
        <w:spacing w:line="600" w:lineRule="exact"/>
        <w:ind w:firstLine="640"/>
        <w:outlineLvl w:val="1"/>
        <w:rPr>
          <w:rStyle w:val="14"/>
          <w:rFonts w:ascii="黑体" w:hAnsi="黑体" w:eastAsia="黑体"/>
          <w:b w:val="0"/>
        </w:rPr>
      </w:pPr>
      <w:bookmarkStart w:id="66" w:name="_Toc15396611"/>
      <w:bookmarkStart w:id="67" w:name="_Toc15377219"/>
      <w:bookmarkStart w:id="68" w:name="_Toc10775"/>
      <w:bookmarkStart w:id="69" w:name="_Toc730"/>
      <w:r>
        <w:rPr>
          <w:rStyle w:val="14"/>
          <w:rFonts w:hint="eastAsia" w:ascii="黑体" w:hAnsi="黑体" w:eastAsia="黑体"/>
          <w:b w:val="0"/>
        </w:rPr>
        <w:t>国有资本经营预算支出决算情况说明</w:t>
      </w:r>
      <w:bookmarkEnd w:id="66"/>
      <w:bookmarkEnd w:id="67"/>
      <w:bookmarkEnd w:id="68"/>
      <w:bookmarkEnd w:id="69"/>
    </w:p>
    <w:p>
      <w:pPr>
        <w:spacing w:line="600" w:lineRule="exact"/>
        <w:ind w:firstLine="640"/>
        <w:rPr>
          <w:rFonts w:ascii="仿宋_GB2312"/>
          <w:color w:val="000000"/>
          <w:szCs w:val="32"/>
        </w:rPr>
      </w:pPr>
      <w:r>
        <w:rPr>
          <w:rFonts w:ascii="仿宋_GB2312"/>
          <w:color w:val="000000"/>
          <w:szCs w:val="32"/>
        </w:rPr>
        <w:t>2020</w:t>
      </w:r>
      <w:r>
        <w:rPr>
          <w:rFonts w:hint="eastAsia" w:ascii="仿宋_GB2312"/>
          <w:color w:val="000000"/>
          <w:szCs w:val="32"/>
        </w:rPr>
        <w:t>年国有资本经营预算拨款支出0万元。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14"/>
          <w:rFonts w:ascii="黑体" w:hAnsi="黑体" w:eastAsia="黑体"/>
        </w:rPr>
      </w:pPr>
      <w:bookmarkStart w:id="70" w:name="_Toc738"/>
      <w:bookmarkStart w:id="71" w:name="_Toc15396612"/>
      <w:bookmarkStart w:id="72" w:name="_Toc15377221"/>
      <w:bookmarkStart w:id="73" w:name="_Toc1353"/>
      <w:r>
        <w:rPr>
          <w:rFonts w:hint="eastAsia" w:ascii="黑体" w:hAnsi="黑体" w:eastAsia="黑体"/>
          <w:color w:val="000000"/>
          <w:sz w:val="32"/>
          <w:szCs w:val="32"/>
        </w:rPr>
        <w:t>十</w:t>
      </w:r>
      <w:r>
        <w:rPr>
          <w:rStyle w:val="14"/>
          <w:rFonts w:hint="eastAsia" w:ascii="黑体" w:hAnsi="黑体" w:eastAsia="黑体"/>
        </w:rPr>
        <w:t>、</w:t>
      </w:r>
      <w:r>
        <w:rPr>
          <w:rStyle w:val="14"/>
          <w:rFonts w:hint="eastAsia" w:ascii="黑体" w:hAnsi="黑体" w:eastAsia="黑体"/>
          <w:b w:val="0"/>
        </w:rPr>
        <w:t>其他重要事项的情况说明</w:t>
      </w:r>
      <w:bookmarkEnd w:id="70"/>
      <w:bookmarkEnd w:id="71"/>
      <w:bookmarkEnd w:id="72"/>
      <w:bookmarkEnd w:id="73"/>
    </w:p>
    <w:p>
      <w:pPr>
        <w:spacing w:line="600" w:lineRule="exact"/>
        <w:ind w:firstLine="643" w:firstLineChars="200"/>
        <w:outlineLvl w:val="2"/>
        <w:rPr>
          <w:rFonts w:ascii="仿宋" w:hAnsi="仿宋" w:eastAsia="仿宋"/>
          <w:color w:val="000000"/>
          <w:sz w:val="32"/>
          <w:szCs w:val="32"/>
        </w:rPr>
      </w:pPr>
      <w:bookmarkStart w:id="74" w:name="_Toc15377222"/>
      <w:bookmarkStart w:id="75" w:name="_Toc4988"/>
      <w:r>
        <w:rPr>
          <w:rFonts w:hint="eastAsia" w:ascii="仿宋" w:hAnsi="仿宋" w:eastAsia="仿宋"/>
          <w:b/>
          <w:color w:val="000000"/>
          <w:sz w:val="32"/>
          <w:szCs w:val="32"/>
        </w:rPr>
        <w:t>（一）机关运行经费支出情况</w:t>
      </w:r>
      <w:bookmarkEnd w:id="74"/>
      <w:bookmarkEnd w:id="75"/>
    </w:p>
    <w:p>
      <w:pPr>
        <w:spacing w:line="600" w:lineRule="exact"/>
        <w:ind w:firstLine="640" w:firstLineChars="200"/>
        <w:rPr>
          <w:rFonts w:ascii="仿宋_GB2312"/>
          <w:color w:val="000000"/>
          <w:szCs w:val="32"/>
        </w:rPr>
      </w:pPr>
      <w:r>
        <w:rPr>
          <w:rFonts w:ascii="仿宋_GB2312"/>
          <w:color w:val="000000"/>
          <w:szCs w:val="32"/>
        </w:rPr>
        <w:t>2020</w:t>
      </w:r>
      <w:r>
        <w:rPr>
          <w:rFonts w:hint="eastAsia" w:ascii="仿宋_GB2312"/>
          <w:color w:val="000000"/>
          <w:szCs w:val="32"/>
        </w:rPr>
        <w:t>年，自贡市自流井区住房保障中心机关运行经费支出0万元，比</w:t>
      </w:r>
      <w:r>
        <w:rPr>
          <w:rFonts w:ascii="仿宋_GB2312"/>
          <w:color w:val="000000"/>
          <w:szCs w:val="32"/>
        </w:rPr>
        <w:t>2019</w:t>
      </w:r>
      <w:r>
        <w:rPr>
          <w:rFonts w:hint="eastAsia" w:ascii="仿宋_GB2312"/>
          <w:color w:val="000000"/>
          <w:szCs w:val="32"/>
        </w:rPr>
        <w:t>年增加0万元，与</w:t>
      </w:r>
      <w:r>
        <w:rPr>
          <w:rFonts w:ascii="仿宋_GB2312"/>
          <w:color w:val="000000"/>
          <w:szCs w:val="32"/>
        </w:rPr>
        <w:t>2019</w:t>
      </w:r>
      <w:r>
        <w:rPr>
          <w:rFonts w:hint="eastAsia" w:ascii="仿宋_GB2312"/>
          <w:color w:val="000000"/>
          <w:szCs w:val="32"/>
        </w:rPr>
        <w:t>年决算数持平。</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76" w:name="_Toc15377223"/>
      <w:bookmarkStart w:id="77" w:name="_Toc6995"/>
      <w:r>
        <w:rPr>
          <w:rFonts w:hint="eastAsia" w:ascii="仿宋" w:hAnsi="仿宋" w:eastAsia="仿宋"/>
          <w:b/>
          <w:color w:val="000000"/>
          <w:sz w:val="32"/>
          <w:szCs w:val="32"/>
        </w:rPr>
        <w:t>（二）政府采购支出情况</w:t>
      </w:r>
      <w:bookmarkEnd w:id="76"/>
      <w:bookmarkEnd w:id="77"/>
    </w:p>
    <w:p>
      <w:pPr>
        <w:spacing w:line="600" w:lineRule="exact"/>
        <w:ind w:firstLine="640" w:firstLineChars="200"/>
        <w:rPr>
          <w:rFonts w:ascii="仿宋_GB2312"/>
          <w:color w:val="000000"/>
          <w:szCs w:val="32"/>
        </w:rPr>
      </w:pPr>
      <w:r>
        <w:rPr>
          <w:rFonts w:ascii="仿宋_GB2312"/>
          <w:color w:val="000000"/>
          <w:szCs w:val="32"/>
        </w:rPr>
        <w:t>2020</w:t>
      </w:r>
      <w:r>
        <w:rPr>
          <w:rFonts w:hint="eastAsia" w:ascii="仿宋_GB2312"/>
          <w:color w:val="000000"/>
          <w:szCs w:val="32"/>
        </w:rPr>
        <w:t>年，自贡市自流井区住房保障中心政府采购支出总额90万元，其中：政府采购货物支出0万元、政府采购工程支出90万元、政府采购服务支出0万元。主要用于自流井区公房维修管理工作。授予中小企业合同金额0万元，占政府采购支出总额的0</w:t>
      </w:r>
      <w:r>
        <w:rPr>
          <w:rFonts w:ascii="仿宋_GB2312"/>
          <w:color w:val="000000"/>
          <w:szCs w:val="32"/>
        </w:rPr>
        <w:t>%</w:t>
      </w:r>
      <w:r>
        <w:rPr>
          <w:rFonts w:hint="eastAsia" w:ascii="仿宋_GB2312"/>
          <w:color w:val="000000"/>
          <w:szCs w:val="32"/>
        </w:rPr>
        <w:t>，其中：授予小微企业合同金额0万元，占政府采购支出总额的0</w:t>
      </w:r>
      <w:r>
        <w:rPr>
          <w:rFonts w:ascii="仿宋_GB2312"/>
          <w:color w:val="000000"/>
          <w:szCs w:val="32"/>
        </w:rPr>
        <w:t>%</w:t>
      </w:r>
      <w:r>
        <w:rPr>
          <w:rFonts w:hint="eastAsia" w:ascii="仿宋_GB2312"/>
          <w:color w:val="000000"/>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78" w:name="_Toc15377224"/>
      <w:bookmarkStart w:id="79" w:name="_Toc21421"/>
      <w:r>
        <w:rPr>
          <w:rFonts w:hint="eastAsia" w:ascii="仿宋" w:hAnsi="仿宋" w:eastAsia="仿宋"/>
          <w:b/>
          <w:color w:val="000000"/>
          <w:sz w:val="32"/>
          <w:szCs w:val="32"/>
        </w:rPr>
        <w:t>（三）国有资产占有使用情况</w:t>
      </w:r>
      <w:bookmarkEnd w:id="78"/>
      <w:bookmarkEnd w:id="79"/>
    </w:p>
    <w:p>
      <w:pPr>
        <w:autoSpaceDE w:val="0"/>
        <w:autoSpaceDN w:val="0"/>
        <w:adjustRightInd w:val="0"/>
        <w:spacing w:line="600" w:lineRule="exact"/>
        <w:ind w:firstLine="640" w:firstLineChars="200"/>
        <w:jc w:val="left"/>
        <w:rPr>
          <w:rFonts w:ascii="仿宋" w:hAnsi="仿宋" w:eastAsia="仿宋"/>
          <w:b/>
          <w:color w:val="FF0000"/>
          <w:szCs w:val="32"/>
        </w:rPr>
      </w:pPr>
      <w:r>
        <w:rPr>
          <w:rFonts w:hint="eastAsia" w:ascii="仿宋_GB2312"/>
          <w:color w:val="000000"/>
          <w:szCs w:val="32"/>
        </w:rPr>
        <w:t>截至</w:t>
      </w:r>
      <w:r>
        <w:rPr>
          <w:rFonts w:ascii="仿宋_GB2312"/>
          <w:color w:val="000000"/>
          <w:szCs w:val="32"/>
        </w:rPr>
        <w:t>2020</w:t>
      </w:r>
      <w:r>
        <w:rPr>
          <w:rFonts w:hint="eastAsia" w:ascii="仿宋_GB2312"/>
          <w:color w:val="000000"/>
          <w:szCs w:val="32"/>
        </w:rPr>
        <w:t>年</w:t>
      </w:r>
      <w:r>
        <w:rPr>
          <w:rFonts w:ascii="仿宋_GB2312"/>
          <w:color w:val="000000"/>
          <w:szCs w:val="32"/>
        </w:rPr>
        <w:t>12</w:t>
      </w:r>
      <w:r>
        <w:rPr>
          <w:rFonts w:hint="eastAsia" w:ascii="仿宋_GB2312"/>
          <w:color w:val="000000"/>
          <w:szCs w:val="32"/>
        </w:rPr>
        <w:t>月</w:t>
      </w:r>
      <w:r>
        <w:rPr>
          <w:rFonts w:ascii="仿宋_GB2312"/>
          <w:color w:val="000000"/>
          <w:szCs w:val="32"/>
        </w:rPr>
        <w:t>31</w:t>
      </w:r>
      <w:r>
        <w:rPr>
          <w:rFonts w:hint="eastAsia" w:ascii="仿宋_GB2312"/>
          <w:color w:val="000000"/>
          <w:szCs w:val="32"/>
        </w:rPr>
        <w:t>日，自贡市自流井区住房保障中心共有车辆1辆，其中：主要领导干部用车0辆、机要通信用车0辆、应急保障用车1辆、其他用车0辆.单价</w:t>
      </w:r>
      <w:r>
        <w:rPr>
          <w:rFonts w:ascii="仿宋_GB2312"/>
          <w:color w:val="000000"/>
          <w:szCs w:val="32"/>
        </w:rPr>
        <w:t>50</w:t>
      </w:r>
      <w:r>
        <w:rPr>
          <w:rFonts w:hint="eastAsia" w:ascii="仿宋_GB2312"/>
          <w:color w:val="000000"/>
          <w:szCs w:val="32"/>
        </w:rPr>
        <w:t>万元以上通用设备0台（套），单价</w:t>
      </w:r>
      <w:r>
        <w:rPr>
          <w:rFonts w:ascii="仿宋_GB2312"/>
          <w:color w:val="000000"/>
          <w:szCs w:val="32"/>
        </w:rPr>
        <w:t>100</w:t>
      </w:r>
      <w:r>
        <w:rPr>
          <w:rFonts w:hint="eastAsia" w:ascii="仿宋_GB2312"/>
          <w:color w:val="000000"/>
          <w:szCs w:val="32"/>
        </w:rPr>
        <w:t>万元以上专用设备0台（套）。</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80" w:name="_Toc17776"/>
      <w:r>
        <w:rPr>
          <w:rFonts w:hint="eastAsia" w:ascii="仿宋" w:hAnsi="仿宋" w:eastAsia="仿宋"/>
          <w:b/>
          <w:color w:val="000000"/>
          <w:sz w:val="32"/>
          <w:szCs w:val="32"/>
        </w:rPr>
        <w:t>（四）预算绩效管理情况。</w:t>
      </w:r>
      <w:bookmarkEnd w:id="80"/>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根据预算绩效管理要求，本部门（单位）在年初预算编制阶段，组织对0个项目编制了绩效目标，预算执行过程中，选取1个项目开展绩效监控，年终执行完毕后，对1个项目开展了绩效目标完成情况自评。</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本部门按要求对</w:t>
      </w:r>
      <w:r>
        <w:rPr>
          <w:rFonts w:ascii="仿宋_GB2312" w:hAnsi="仿宋_GB2312" w:cs="仿宋_GB2312"/>
          <w:szCs w:val="32"/>
        </w:rPr>
        <w:t>2020</w:t>
      </w:r>
      <w:r>
        <w:rPr>
          <w:rFonts w:hint="eastAsia" w:ascii="仿宋_GB2312" w:hAnsi="仿宋_GB2312" w:cs="仿宋_GB2312"/>
          <w:szCs w:val="32"/>
        </w:rPr>
        <w:t>年部门整体支出开展绩效自评，从评价情况来看，按照区级部门预决编制通知和有关要求，按时完成基础工作并在规定时间内公开，本单位的预算执行达到了执行进度；本单位的财务制度健全，制度执行严格，会计核算符合财政局的相关规定，开支标准合理、合法。</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本部门自行组织了1个项目支出绩效价，从评价情况来看，这个项目实施后实现了预定的绩效目标，项目依据充分，并且目标非常明确，预定目标设置合理。</w:t>
      </w:r>
    </w:p>
    <w:p>
      <w:pPr>
        <w:spacing w:line="560" w:lineRule="exact"/>
        <w:ind w:firstLine="640" w:firstLineChars="200"/>
        <w:rPr>
          <w:rFonts w:ascii="仿宋" w:hAnsi="仿宋" w:eastAsia="仿宋"/>
          <w:szCs w:val="32"/>
        </w:rPr>
      </w:pPr>
      <w:r>
        <w:rPr>
          <w:rFonts w:hint="eastAsia" w:ascii="仿宋_GB2312" w:hAnsi="仿宋_GB2312" w:cs="仿宋_GB2312"/>
          <w:szCs w:val="32"/>
        </w:rPr>
        <w:t>保障房租金补贴项目绩效目标完成情况综述。认真落实为民办实事，逐步解决城市收入家庭的住房困难，全面完成上级分配的最低收入家庭租赁补贴指标任务，2020年共计发放2600余户（次），发放资金45.6万余元，全面完成分配的补贴指标任务。通过项目实施，保障了城镇最低收入家庭租金补贴工作的顺利进行，</w:t>
      </w:r>
      <w:r>
        <w:rPr>
          <w:rFonts w:hint="eastAsia" w:ascii="仿宋" w:hAnsi="仿宋" w:eastAsia="仿宋"/>
          <w:szCs w:val="32"/>
        </w:rPr>
        <w:t>真正做到让社会满意，让保障对象满意，把实事做好，把好事做实。</w:t>
      </w:r>
    </w:p>
    <w:p>
      <w:pPr>
        <w:spacing w:line="580" w:lineRule="exact"/>
        <w:ind w:firstLine="640" w:firstLineChars="200"/>
        <w:rPr>
          <w:rFonts w:ascii="仿宋_GB2312" w:hAnsi="仿宋_GB2312" w:cs="仿宋_GB2312"/>
          <w:szCs w:val="32"/>
        </w:rPr>
      </w:pPr>
      <w:r>
        <w:rPr>
          <w:rFonts w:ascii="楷体_GB2312" w:hAnsi="楷体_GB2312" w:eastAsia="楷体_GB2312" w:cs="楷体_GB2312"/>
          <w:sz w:val="32"/>
          <w:szCs w:val="32"/>
        </w:rPr>
        <w:t>1.</w:t>
      </w:r>
      <w:r>
        <w:rPr>
          <w:rFonts w:hint="eastAsia" w:ascii="楷体_GB2312" w:hAnsi="楷体_GB2312" w:eastAsia="楷体_GB2312" w:cs="楷体_GB2312"/>
          <w:sz w:val="32"/>
          <w:szCs w:val="32"/>
        </w:rPr>
        <w:t>项目绩效目标完成情况。</w:t>
      </w:r>
      <w:r>
        <w:rPr>
          <w:rFonts w:ascii="楷体_GB2312" w:hAnsi="楷体_GB2312" w:eastAsia="楷体_GB2312" w:cs="楷体_GB2312"/>
          <w:sz w:val="32"/>
          <w:szCs w:val="32"/>
        </w:rPr>
        <w:br w:type="textWrapping"/>
      </w:r>
      <w:r>
        <w:rPr>
          <w:rFonts w:ascii="仿宋_GB2312" w:hAnsi="仿宋_GB2312" w:eastAsia="仿宋_GB2312" w:cs="仿宋_GB2312"/>
          <w:sz w:val="32"/>
          <w:szCs w:val="32"/>
        </w:rPr>
        <w:t xml:space="preserve">  </w:t>
      </w:r>
      <w:r>
        <w:rPr>
          <w:rFonts w:hint="eastAsia" w:ascii="仿宋_GB2312" w:hAnsi="仿宋_GB2312" w:cs="仿宋_GB2312"/>
          <w:szCs w:val="32"/>
        </w:rPr>
        <w:t>本部门在</w:t>
      </w:r>
      <w:r>
        <w:rPr>
          <w:rFonts w:ascii="仿宋_GB2312" w:hAnsi="仿宋_GB2312" w:cs="仿宋_GB2312"/>
          <w:szCs w:val="32"/>
        </w:rPr>
        <w:t>2020</w:t>
      </w:r>
      <w:r>
        <w:rPr>
          <w:rFonts w:hint="eastAsia" w:ascii="仿宋_GB2312" w:hAnsi="仿宋_GB2312" w:cs="仿宋_GB2312"/>
          <w:szCs w:val="32"/>
        </w:rPr>
        <w:t>年度部门决算中反映“廉租住房租金补贴</w:t>
      </w:r>
      <w:r>
        <w:rPr>
          <w:rFonts w:ascii="仿宋_GB2312" w:hAnsi="仿宋_GB2312" w:cs="仿宋_GB2312"/>
          <w:szCs w:val="32"/>
        </w:rPr>
        <w:t>”</w:t>
      </w:r>
      <w:r>
        <w:rPr>
          <w:rFonts w:hint="eastAsia" w:ascii="仿宋_GB2312" w:hAnsi="仿宋_GB2312" w:cs="仿宋_GB2312"/>
          <w:szCs w:val="32"/>
        </w:rPr>
        <w:t>1个项目绩效目标实际完成情况。（本单位部门项目绩效目标个数在</w:t>
      </w:r>
      <w:r>
        <w:rPr>
          <w:rFonts w:ascii="仿宋_GB2312" w:hAnsi="仿宋_GB2312" w:cs="仿宋_GB2312"/>
          <w:szCs w:val="32"/>
        </w:rPr>
        <w:t>5</w:t>
      </w:r>
      <w:r>
        <w:rPr>
          <w:rFonts w:hint="eastAsia" w:ascii="仿宋_GB2312" w:hAnsi="仿宋_GB2312" w:cs="仿宋_GB2312"/>
          <w:szCs w:val="32"/>
        </w:rPr>
        <w:t>个以上的，选取</w:t>
      </w:r>
      <w:r>
        <w:rPr>
          <w:rFonts w:ascii="仿宋_GB2312" w:hAnsi="仿宋_GB2312" w:cs="仿宋_GB2312"/>
          <w:szCs w:val="32"/>
        </w:rPr>
        <w:t>5</w:t>
      </w:r>
      <w:r>
        <w:rPr>
          <w:rFonts w:hint="eastAsia" w:ascii="仿宋_GB2312" w:hAnsi="仿宋_GB2312" w:cs="仿宋_GB2312"/>
          <w:szCs w:val="32"/>
        </w:rPr>
        <w:t>个项目进行公开，目标个数在</w:t>
      </w:r>
      <w:r>
        <w:rPr>
          <w:rFonts w:ascii="仿宋_GB2312" w:hAnsi="仿宋_GB2312" w:cs="仿宋_GB2312"/>
          <w:szCs w:val="32"/>
        </w:rPr>
        <w:t>5</w:t>
      </w:r>
      <w:r>
        <w:rPr>
          <w:rFonts w:hint="eastAsia" w:ascii="仿宋_GB2312" w:hAnsi="仿宋_GB2312" w:cs="仿宋_GB2312"/>
          <w:szCs w:val="32"/>
        </w:rPr>
        <w:t>个以下的，全部进行公开，公开内容包括选取的全部项目完成情况综述和完成情况表）。</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w:t>
      </w:r>
      <w:r>
        <w:rPr>
          <w:rFonts w:ascii="仿宋_GB2312" w:hAnsi="仿宋_GB2312" w:cs="仿宋_GB2312"/>
          <w:szCs w:val="32"/>
        </w:rPr>
        <w:t>1</w:t>
      </w:r>
      <w:r>
        <w:rPr>
          <w:rFonts w:hint="eastAsia" w:ascii="仿宋_GB2312" w:hAnsi="仿宋_GB2312" w:cs="仿宋_GB2312"/>
          <w:szCs w:val="32"/>
        </w:rPr>
        <w:t>）廉租住房租金补贴项目绩效目标完成情况综述。项目全年预算数132万元，执行数为45.6万元，完成预算的34.5</w:t>
      </w:r>
      <w:r>
        <w:rPr>
          <w:rFonts w:ascii="仿宋_GB2312" w:hAnsi="仿宋_GB2312" w:cs="仿宋_GB2312"/>
          <w:szCs w:val="32"/>
        </w:rPr>
        <w:t>%</w:t>
      </w:r>
      <w:r>
        <w:rPr>
          <w:rFonts w:hint="eastAsia" w:ascii="仿宋_GB2312" w:hAnsi="仿宋_GB2312" w:cs="仿宋_GB2312"/>
          <w:szCs w:val="32"/>
        </w:rPr>
        <w:t>。通过项目实施，保障促进了最低收入家庭租赁补贴，发现的主要问题：因租赁补贴所制定的时间过长，补贴金额较低，不能适应现今市场。导致租赁补贴发放金额过低。下一步改进措施：根据省市住建厅《住房保障领域补短板、强弱项》要求“提标”、“扩面”逐步提高最低收入家庭租赁补贴金额和保障面。</w:t>
      </w:r>
    </w:p>
    <w:tbl>
      <w:tblPr>
        <w:tblStyle w:val="9"/>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ind w:firstLine="2530" w:firstLineChars="700"/>
              <w:textAlignment w:val="center"/>
              <w:rPr>
                <w:rFonts w:ascii="宋体" w:cs="宋体"/>
                <w:sz w:val="36"/>
                <w:szCs w:val="36"/>
              </w:rPr>
            </w:pPr>
            <w:r>
              <w:rPr>
                <w:rFonts w:hint="eastAsia" w:ascii="宋体" w:hAnsi="宋体" w:cs="宋体"/>
                <w:b/>
                <w:bCs/>
                <w:kern w:val="0"/>
                <w:sz w:val="36"/>
                <w:szCs w:val="36"/>
              </w:rPr>
              <w:t>项目绩效目标完成情况表</w:t>
            </w:r>
            <w:r>
              <w:rPr>
                <w:rFonts w:ascii="宋体" w:cs="宋体"/>
                <w:b/>
                <w:bCs/>
                <w:kern w:val="0"/>
                <w:sz w:val="36"/>
                <w:szCs w:val="36"/>
              </w:rPr>
              <w:br w:type="textWrapping"/>
            </w:r>
            <w:r>
              <w:rPr>
                <w:rFonts w:ascii="宋体" w:hAnsi="宋体" w:cs="宋体"/>
                <w:kern w:val="0"/>
                <w:sz w:val="36"/>
                <w:szCs w:val="36"/>
              </w:rPr>
              <w:t>(2020</w:t>
            </w:r>
            <w:r>
              <w:rPr>
                <w:rFonts w:hint="eastAsia" w:ascii="宋体" w:hAnsi="宋体" w:cs="宋体"/>
                <w:kern w:val="0"/>
                <w:sz w:val="36"/>
                <w:szCs w:val="36"/>
              </w:rPr>
              <w:t>年度</w:t>
            </w:r>
            <w:r>
              <w:rPr>
                <w:rFonts w:ascii="宋体" w:hAnsi="宋体" w:cs="宋体"/>
                <w:kern w:val="0"/>
                <w:sz w:val="36"/>
                <w:szCs w:val="36"/>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2400" w:firstLineChars="1000"/>
              <w:textAlignment w:val="center"/>
              <w:rPr>
                <w:rFonts w:ascii="宋体" w:cs="宋体"/>
                <w:sz w:val="24"/>
              </w:rPr>
            </w:pPr>
            <w:r>
              <w:rPr>
                <w:rFonts w:hint="eastAsia" w:ascii="宋体" w:cs="宋体"/>
                <w:sz w:val="24"/>
              </w:rPr>
              <w:t>廉租住房租金补贴</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自流井区住房保障中心</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rPr>
              <w:t>预算执行情况</w:t>
            </w:r>
            <w:r>
              <w:rPr>
                <w:rFonts w:ascii="宋体" w:hAnsi="宋体" w:cs="宋体"/>
                <w:kern w:val="0"/>
                <w:sz w:val="24"/>
              </w:rPr>
              <w:t>(</w:t>
            </w:r>
            <w:r>
              <w:rPr>
                <w:rFonts w:hint="eastAsia" w:ascii="宋体" w:hAnsi="宋体" w:cs="宋体"/>
                <w:kern w:val="0"/>
                <w:sz w:val="24"/>
              </w:rPr>
              <w:t>万元</w:t>
            </w:r>
            <w:r>
              <w:rPr>
                <w:rFonts w:ascii="宋体" w:hAnsi="宋体" w:cs="宋体"/>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rPr>
              <w:t>预算数</w:t>
            </w:r>
            <w:r>
              <w:rPr>
                <w:rFonts w:ascii="宋体" w:hAnsi="宋体" w:cs="宋体"/>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70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rPr>
              <w:t>执行数</w:t>
            </w:r>
            <w:r>
              <w:rPr>
                <w:rFonts w:ascii="宋体" w:hAnsi="宋体" w:cs="宋体"/>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45.6</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rPr>
              <w:t>其中</w:t>
            </w:r>
            <w:r>
              <w:rPr>
                <w:rFonts w:ascii="宋体" w:cs="宋体"/>
                <w:kern w:val="0"/>
                <w:sz w:val="24"/>
              </w:rPr>
              <w:t>-</w:t>
            </w:r>
            <w:r>
              <w:rPr>
                <w:rFonts w:hint="eastAsia" w:ascii="宋体" w:hAnsi="宋体" w:cs="宋体"/>
                <w:kern w:val="0"/>
                <w:sz w:val="24"/>
              </w:rPr>
              <w:t>财政拨款</w:t>
            </w:r>
            <w:r>
              <w:rPr>
                <w:rFonts w:ascii="宋体" w:hAnsi="宋体" w:cs="宋体"/>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132</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rPr>
              <w:t>其中</w:t>
            </w:r>
            <w:r>
              <w:rPr>
                <w:rFonts w:ascii="宋体" w:cs="宋体"/>
                <w:kern w:val="0"/>
                <w:sz w:val="24"/>
              </w:rPr>
              <w:t>-</w:t>
            </w:r>
            <w:r>
              <w:rPr>
                <w:rFonts w:hint="eastAsia" w:ascii="宋体" w:hAnsi="宋体" w:cs="宋体"/>
                <w:kern w:val="0"/>
                <w:sz w:val="24"/>
              </w:rPr>
              <w:t>财政拨款</w:t>
            </w:r>
            <w:r>
              <w:rPr>
                <w:rFonts w:ascii="宋体" w:hAnsi="宋体" w:cs="宋体"/>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45.6</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rPr>
              <w:t>其它资金</w:t>
            </w:r>
            <w:r>
              <w:rPr>
                <w:rFonts w:ascii="宋体" w:hAnsi="宋体" w:cs="宋体"/>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rPr>
              <w:t>其它资金</w:t>
            </w:r>
            <w:r>
              <w:rPr>
                <w:rFonts w:ascii="宋体" w:hAnsi="宋体" w:cs="宋体"/>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sz w:val="24"/>
              </w:rPr>
            </w:pPr>
            <w:r>
              <w:rPr>
                <w:rFonts w:hint="eastAsia" w:ascii="宋体" w:cs="宋体"/>
                <w:sz w:val="24"/>
              </w:rPr>
              <w:t xml:space="preserve">  完成最低收入家庭租金补贴600户，发放70万元</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sz w:val="24"/>
              </w:rPr>
            </w:pPr>
            <w:r>
              <w:rPr>
                <w:rFonts w:hint="eastAsia" w:ascii="宋体" w:cs="宋体"/>
                <w:sz w:val="24"/>
              </w:rPr>
              <w:t xml:space="preserve">  完成最低收入家庭租金补贴696户，发放45.6万元</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rPr>
              <w:t>预期指标值</w:t>
            </w:r>
            <w:r>
              <w:rPr>
                <w:rFonts w:ascii="宋体" w:hAnsi="宋体" w:cs="宋体"/>
                <w:kern w:val="0"/>
                <w:sz w:val="24"/>
              </w:rPr>
              <w:t>(</w:t>
            </w:r>
            <w:r>
              <w:rPr>
                <w:rFonts w:hint="eastAsia" w:ascii="宋体" w:hAnsi="宋体" w:cs="宋体"/>
                <w:kern w:val="0"/>
                <w:sz w:val="24"/>
              </w:rPr>
              <w:t>包含数字及文字描述</w:t>
            </w:r>
            <w:r>
              <w:rPr>
                <w:rFonts w:ascii="宋体" w:hAnsi="宋体" w:cs="宋体"/>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rPr>
              <w:t>实际完成指标值</w:t>
            </w:r>
            <w:r>
              <w:rPr>
                <w:rFonts w:ascii="宋体" w:hAnsi="宋体" w:cs="宋体"/>
                <w:kern w:val="0"/>
                <w:sz w:val="24"/>
              </w:rPr>
              <w:t>(</w:t>
            </w:r>
            <w:r>
              <w:rPr>
                <w:rFonts w:hint="eastAsia" w:ascii="宋体" w:hAnsi="宋体" w:cs="宋体"/>
                <w:kern w:val="0"/>
                <w:sz w:val="24"/>
              </w:rPr>
              <w:t>包含数字及文字描述</w:t>
            </w:r>
            <w:r>
              <w:rPr>
                <w:rFonts w:ascii="宋体" w:hAnsi="宋体" w:cs="宋体"/>
                <w:kern w:val="0"/>
                <w:sz w:val="24"/>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ascii="宋体" w:cs="宋体"/>
                <w:sz w:val="24"/>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ascii="宋体" w:cs="宋体"/>
                <w:sz w:val="24"/>
              </w:rPr>
              <w:t>补贴户数</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ascii="宋体" w:cs="宋体"/>
                <w:sz w:val="24"/>
              </w:rPr>
              <w:t>＞＝</w:t>
            </w:r>
            <w:r>
              <w:rPr>
                <w:rFonts w:hint="eastAsia" w:ascii="宋体" w:cs="宋体"/>
                <w:sz w:val="24"/>
              </w:rPr>
              <w:t>600户</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696户</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社会</w:t>
            </w:r>
            <w:r>
              <w:rPr>
                <w:rFonts w:ascii="宋体" w:cs="宋体"/>
                <w:sz w:val="24"/>
              </w:rPr>
              <w:t>效益指标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ascii="宋体" w:cs="宋体"/>
                <w:sz w:val="24"/>
              </w:rPr>
              <w:t>日常工作正常开展</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ascii="宋体" w:cs="宋体"/>
                <w:sz w:val="24"/>
              </w:rPr>
              <w:t>公租房管理正常运行、租赁补贴及时发放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ascii="宋体" w:cs="宋体"/>
                <w:sz w:val="24"/>
              </w:rPr>
              <w:t>完成</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ascii="宋体" w:cs="宋体"/>
                <w:sz w:val="24"/>
              </w:rPr>
              <w:t>社会效益指标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ascii="宋体" w:cs="宋体"/>
                <w:sz w:val="24"/>
              </w:rPr>
              <w:t>政策的执行和贯彻</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ascii="宋体" w:cs="宋体"/>
                <w:sz w:val="24"/>
              </w:rPr>
              <w:t>保障中央、省、市</w:t>
            </w:r>
            <w:r>
              <w:rPr>
                <w:rFonts w:hint="eastAsia" w:ascii="宋体" w:cs="宋体"/>
                <w:sz w:val="24"/>
              </w:rPr>
              <w:t>、区的住房保障政策得到有效执行和贯彻</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ascii="宋体" w:cs="宋体"/>
                <w:sz w:val="24"/>
              </w:rPr>
              <w:t>完成</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kern w:val="0"/>
                <w:sz w:val="24"/>
              </w:rPr>
            </w:pPr>
            <w:r>
              <w:rPr>
                <w:rFonts w:hint="eastAsia" w:ascii="宋体" w:hAnsi="宋体" w:cs="宋体"/>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ascii="宋体" w:cs="宋体"/>
                <w:sz w:val="24"/>
              </w:rPr>
              <w:t>服务对象满意度指标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100%</w:t>
            </w:r>
          </w:p>
        </w:tc>
      </w:tr>
    </w:tbl>
    <w:p>
      <w:pPr>
        <w:spacing w:line="580" w:lineRule="exact"/>
        <w:ind w:firstLine="640" w:firstLineChars="200"/>
        <w:rPr>
          <w:rFonts w:ascii="仿宋_GB2312" w:hAnsi="仿宋_GB2312" w:eastAsia="仿宋_GB2312" w:cs="仿宋_GB2312"/>
          <w:sz w:val="32"/>
          <w:szCs w:val="32"/>
        </w:rPr>
      </w:pPr>
      <w:r>
        <w:rPr>
          <w:rFonts w:ascii="楷体_GB2312" w:hAnsi="楷体_GB2312" w:eastAsia="楷体_GB2312" w:cs="楷体_GB2312"/>
          <w:sz w:val="32"/>
          <w:szCs w:val="32"/>
        </w:rPr>
        <w:t>2.</w:t>
      </w:r>
      <w:r>
        <w:rPr>
          <w:rFonts w:hint="eastAsia" w:ascii="楷体_GB2312" w:hAnsi="楷体_GB2312" w:eastAsia="楷体_GB2312" w:cs="楷体_GB2312"/>
          <w:sz w:val="32"/>
          <w:szCs w:val="32"/>
        </w:rPr>
        <w:t>部门绩效评价结果。</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本部门按要求对</w:t>
      </w:r>
      <w:r>
        <w:rPr>
          <w:rFonts w:ascii="仿宋_GB2312" w:hAnsi="仿宋_GB2312" w:cs="仿宋_GB2312"/>
          <w:szCs w:val="32"/>
        </w:rPr>
        <w:t>2020</w:t>
      </w:r>
      <w:r>
        <w:rPr>
          <w:rFonts w:hint="eastAsia" w:ascii="仿宋_GB2312" w:hAnsi="仿宋_GB2312" w:cs="仿宋_GB2312"/>
          <w:szCs w:val="32"/>
        </w:rPr>
        <w:t>年部门整体支出绩效评价情况开展自评，《公房管理股</w:t>
      </w:r>
      <w:r>
        <w:rPr>
          <w:rFonts w:ascii="仿宋_GB2312" w:hAnsi="仿宋_GB2312" w:cs="仿宋_GB2312"/>
          <w:szCs w:val="32"/>
        </w:rPr>
        <w:t>2020</w:t>
      </w:r>
      <w:r>
        <w:rPr>
          <w:rFonts w:hint="eastAsia" w:ascii="仿宋_GB2312" w:hAnsi="仿宋_GB2312" w:cs="仿宋_GB2312"/>
          <w:szCs w:val="32"/>
        </w:rPr>
        <w:t>年部门整体支出绩效评价报告》见附件（附件</w:t>
      </w:r>
      <w:r>
        <w:rPr>
          <w:rFonts w:ascii="仿宋_GB2312" w:hAnsi="仿宋_GB2312" w:cs="仿宋_GB2312"/>
          <w:szCs w:val="32"/>
        </w:rPr>
        <w:t>1</w:t>
      </w:r>
      <w:r>
        <w:rPr>
          <w:rFonts w:hint="eastAsia" w:ascii="仿宋_GB2312" w:hAnsi="仿宋_GB2312" w:cs="仿宋_GB2312"/>
          <w:szCs w:val="32"/>
        </w:rPr>
        <w:t>）。</w:t>
      </w:r>
    </w:p>
    <w:p>
      <w:pPr>
        <w:spacing w:line="580" w:lineRule="exact"/>
        <w:ind w:firstLine="640" w:firstLineChars="200"/>
        <w:rPr>
          <w:rFonts w:ascii="仿宋_GB2312"/>
          <w:b/>
          <w:szCs w:val="32"/>
        </w:rPr>
      </w:pPr>
      <w:r>
        <w:rPr>
          <w:rFonts w:hint="eastAsia" w:ascii="仿宋_GB2312" w:hAnsi="仿宋_GB2312" w:cs="仿宋_GB2312"/>
          <w:szCs w:val="32"/>
        </w:rPr>
        <w:t>本部门自行组织对廉租住房租金补贴项目开展了绩效评价，《廉租住房租金补贴项目</w:t>
      </w:r>
      <w:r>
        <w:rPr>
          <w:rFonts w:ascii="仿宋_GB2312" w:hAnsi="仿宋_GB2312" w:cs="仿宋_GB2312"/>
          <w:szCs w:val="32"/>
        </w:rPr>
        <w:t>2020</w:t>
      </w:r>
      <w:r>
        <w:rPr>
          <w:rFonts w:hint="eastAsia" w:ascii="仿宋_GB2312" w:hAnsi="仿宋_GB2312" w:cs="仿宋_GB2312"/>
          <w:szCs w:val="32"/>
        </w:rPr>
        <w:t>年绩效评价报告》见附件（附件</w:t>
      </w:r>
      <w:r>
        <w:rPr>
          <w:rFonts w:ascii="仿宋_GB2312" w:hAnsi="仿宋_GB2312" w:cs="仿宋_GB2312"/>
          <w:szCs w:val="32"/>
        </w:rPr>
        <w:t>2</w:t>
      </w:r>
      <w:r>
        <w:rPr>
          <w:rFonts w:hint="eastAsia" w:ascii="仿宋_GB2312" w:hAnsi="仿宋_GB2312" w:cs="仿宋_GB2312"/>
          <w:szCs w:val="32"/>
        </w:rPr>
        <w:t>）。（非涉密部门均需公开部门整体支出评价报告，部门自行组织的绩效评价情况根据部门实际公开，若未组织项目绩效评价，则只需说明部门整体支出绩效评价情况）</w:t>
      </w:r>
    </w:p>
    <w:p>
      <w:pPr>
        <w:widowControl/>
        <w:jc w:val="left"/>
        <w:rPr>
          <w:rFonts w:ascii="仿宋_GB2312" w:eastAsia="仿宋_GB2312"/>
          <w:b/>
          <w:color w:val="000000"/>
          <w:sz w:val="32"/>
          <w:szCs w:val="32"/>
        </w:rPr>
      </w:pPr>
      <w:r>
        <w:rPr>
          <w:rFonts w:ascii="仿宋_GB2312" w:eastAsia="仿宋_GB2312"/>
          <w:b/>
          <w:color w:val="000000"/>
          <w:sz w:val="32"/>
          <w:szCs w:val="32"/>
        </w:rPr>
        <w:br w:type="page"/>
      </w:r>
    </w:p>
    <w:p>
      <w:pPr>
        <w:numPr>
          <w:ilvl w:val="0"/>
          <w:numId w:val="3"/>
        </w:numPr>
        <w:spacing w:line="600" w:lineRule="exact"/>
        <w:ind w:firstLine="660" w:firstLineChars="150"/>
        <w:jc w:val="center"/>
        <w:outlineLvl w:val="0"/>
        <w:rPr>
          <w:rStyle w:val="13"/>
          <w:rFonts w:ascii="黑体" w:hAnsi="黑体" w:eastAsia="黑体"/>
          <w:b w:val="0"/>
        </w:rPr>
      </w:pPr>
      <w:bookmarkStart w:id="81" w:name="_Toc3536"/>
      <w:bookmarkStart w:id="82" w:name="_Toc15377225"/>
      <w:bookmarkStart w:id="83" w:name="_Toc15396613"/>
      <w:bookmarkStart w:id="84" w:name="_Toc16485"/>
      <w:r>
        <w:rPr>
          <w:rFonts w:hint="eastAsia" w:ascii="黑体" w:hAnsi="黑体" w:eastAsia="黑体"/>
          <w:color w:val="000000"/>
          <w:sz w:val="44"/>
          <w:szCs w:val="44"/>
        </w:rPr>
        <w:t>名</w:t>
      </w:r>
      <w:r>
        <w:rPr>
          <w:rStyle w:val="13"/>
          <w:rFonts w:hint="eastAsia" w:ascii="黑体" w:hAnsi="黑体" w:eastAsia="黑体"/>
          <w:b w:val="0"/>
        </w:rPr>
        <w:t>词解释</w:t>
      </w:r>
      <w:bookmarkEnd w:id="81"/>
      <w:bookmarkEnd w:id="82"/>
      <w:bookmarkEnd w:id="83"/>
      <w:bookmarkEnd w:id="84"/>
    </w:p>
    <w:p>
      <w:pPr>
        <w:spacing w:line="600" w:lineRule="exact"/>
        <w:jc w:val="left"/>
        <w:rPr>
          <w:rFonts w:ascii="宋体"/>
          <w:b/>
          <w:color w:val="000000"/>
          <w:sz w:val="44"/>
          <w:szCs w:val="44"/>
        </w:rPr>
      </w:pPr>
    </w:p>
    <w:p>
      <w:pPr>
        <w:pStyle w:val="16"/>
        <w:spacing w:line="560" w:lineRule="exact"/>
        <w:ind w:firstLine="640" w:firstLineChars="200"/>
        <w:rPr>
          <w:rFonts w:ascii="仿宋_GB2312" w:eastAsia="仿宋_GB2312"/>
          <w:color w:val="auto"/>
          <w:sz w:val="32"/>
          <w:szCs w:val="32"/>
        </w:rPr>
      </w:pPr>
      <w:bookmarkStart w:id="85" w:name="_Toc11207"/>
      <w:bookmarkStart w:id="86" w:name="_Toc15396614"/>
      <w:bookmarkStart w:id="87" w:name="_Toc15377226"/>
      <w:r>
        <w:rPr>
          <w:rFonts w:ascii="仿宋_GB2312" w:eastAsia="仿宋_GB2312"/>
          <w:color w:val="auto"/>
          <w:sz w:val="32"/>
          <w:szCs w:val="32"/>
        </w:rPr>
        <w:t>1.</w:t>
      </w:r>
      <w:r>
        <w:rPr>
          <w:rFonts w:hint="eastAsia" w:ascii="仿宋_GB2312" w:eastAsia="仿宋_GB2312"/>
          <w:color w:val="auto"/>
          <w:sz w:val="32"/>
          <w:szCs w:val="32"/>
        </w:rPr>
        <w:t>财政拨款收入：指单位从同级财政部门取得的财政预算资金。</w:t>
      </w:r>
    </w:p>
    <w:p>
      <w:pPr>
        <w:pStyle w:val="1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事业收入：指事业单位开展专业业务活动及辅助活动取得的收入。</w:t>
      </w:r>
    </w:p>
    <w:p>
      <w:pPr>
        <w:pStyle w:val="1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经营收入：指事业单位在专业业务活动及其辅助活动之外开展非独立核算经营活动取得的收入。</w:t>
      </w:r>
    </w:p>
    <w:p>
      <w:pPr>
        <w:pStyle w:val="1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4.</w:t>
      </w:r>
      <w:r>
        <w:rPr>
          <w:rFonts w:hint="eastAsia" w:ascii="仿宋_GB2312" w:eastAsia="仿宋_GB2312"/>
          <w:color w:val="auto"/>
          <w:sz w:val="32"/>
          <w:szCs w:val="32"/>
        </w:rPr>
        <w:t>其他收入：指单位取得的除上述收入以外的各项收入。</w:t>
      </w:r>
    </w:p>
    <w:p>
      <w:pPr>
        <w:pStyle w:val="1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5.</w:t>
      </w:r>
      <w:r>
        <w:rPr>
          <w:rFonts w:hint="eastAsia" w:ascii="仿宋_GB2312" w:eastAsia="仿宋_GB2312"/>
          <w:color w:val="auto"/>
          <w:sz w:val="32"/>
          <w:szCs w:val="32"/>
        </w:rPr>
        <w:t>使用非财政拨款结余：指事业单位使用以前年度积累的非财政拨款结余弥补当年收支差额的金额。</w:t>
      </w:r>
    </w:p>
    <w:p>
      <w:pPr>
        <w:pStyle w:val="1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6.</w:t>
      </w:r>
      <w:r>
        <w:rPr>
          <w:rFonts w:hint="eastAsia" w:ascii="仿宋_GB2312" w:eastAsia="仿宋_GB2312"/>
          <w:color w:val="auto"/>
          <w:sz w:val="32"/>
          <w:szCs w:val="32"/>
        </w:rPr>
        <w:t>年初结转和结余：指以前年度尚未完成、结转到本年按有关规定继续使用的资金。</w:t>
      </w:r>
    </w:p>
    <w:p>
      <w:pPr>
        <w:pStyle w:val="1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7.</w:t>
      </w:r>
      <w:r>
        <w:rPr>
          <w:rFonts w:hint="eastAsia" w:ascii="仿宋_GB2312" w:eastAsia="仿宋_GB2312"/>
          <w:color w:val="auto"/>
          <w:sz w:val="32"/>
          <w:szCs w:val="32"/>
        </w:rPr>
        <w:t>结余分配：指事业单位按照会计制度规定缴纳的所得税、提取的专用结余以及转入非财政拨款结余的金额等。</w:t>
      </w:r>
    </w:p>
    <w:p>
      <w:pPr>
        <w:pStyle w:val="1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8</w:t>
      </w:r>
      <w:r>
        <w:rPr>
          <w:rFonts w:hint="eastAsia" w:ascii="仿宋_GB2312" w:eastAsia="仿宋_GB2312"/>
          <w:color w:val="auto"/>
          <w:sz w:val="32"/>
          <w:szCs w:val="32"/>
        </w:rPr>
        <w:t>、年末结转和结余：指单位按有关规定结转到下年或以后年度继续使用的资金。</w:t>
      </w:r>
    </w:p>
    <w:p>
      <w:pPr>
        <w:ind w:firstLine="640" w:firstLineChars="200"/>
        <w:rPr>
          <w:rFonts w:ascii="仿宋_GB2312"/>
          <w:szCs w:val="32"/>
        </w:rPr>
      </w:pPr>
      <w:r>
        <w:rPr>
          <w:rFonts w:ascii="仿宋_GB2312"/>
          <w:szCs w:val="32"/>
        </w:rPr>
        <w:t>9.</w:t>
      </w:r>
      <w:r>
        <w:rPr>
          <w:rFonts w:hint="eastAsia" w:ascii="仿宋_GB2312"/>
          <w:szCs w:val="32"/>
        </w:rPr>
        <w:t>社会保障和就业（类）行政事业单位养老支出（款）行政单位离退休（项）：指反映行政单位（包括被告公务员管理的事业单位）开支的离退休经费。</w:t>
      </w:r>
    </w:p>
    <w:p>
      <w:pPr>
        <w:ind w:firstLine="640" w:firstLineChars="200"/>
        <w:rPr>
          <w:rFonts w:ascii="仿宋_GB2312"/>
          <w:szCs w:val="32"/>
        </w:rPr>
      </w:pPr>
      <w:r>
        <w:rPr>
          <w:rFonts w:hint="eastAsia" w:ascii="仿宋_GB2312"/>
          <w:szCs w:val="32"/>
        </w:rPr>
        <w:t>10.社会保障和就业（类）行政事业单位养老支出（款）事业单位离退休（项）：指反映事业单位开支的离退休经费。</w:t>
      </w:r>
    </w:p>
    <w:p>
      <w:pPr>
        <w:ind w:firstLine="640" w:firstLineChars="200"/>
        <w:rPr>
          <w:rFonts w:ascii="仿宋_GB2312"/>
          <w:szCs w:val="32"/>
        </w:rPr>
      </w:pPr>
      <w:r>
        <w:rPr>
          <w:rFonts w:ascii="仿宋_GB2312"/>
          <w:szCs w:val="32"/>
        </w:rPr>
        <w:t>1</w:t>
      </w:r>
      <w:r>
        <w:rPr>
          <w:rFonts w:hint="eastAsia" w:ascii="仿宋_GB2312"/>
          <w:szCs w:val="32"/>
        </w:rPr>
        <w:t>1.社会保障和就业（类）行政事业单位离退休（款）机关事业单位基本养老保险缴费（项）：反映机关事业单位实施养老保险制度由单位缴纳的基本养老保险费支出。</w:t>
      </w:r>
    </w:p>
    <w:p>
      <w:pPr>
        <w:ind w:firstLine="640" w:firstLineChars="200"/>
        <w:rPr>
          <w:rFonts w:ascii="仿宋_GB2312"/>
          <w:szCs w:val="32"/>
        </w:rPr>
      </w:pPr>
      <w:r>
        <w:rPr>
          <w:rFonts w:hint="eastAsia" w:ascii="仿宋_GB2312"/>
          <w:szCs w:val="32"/>
        </w:rPr>
        <w:t>12.社会保障和就业（类）其他社会保障和就业支出（款）其他社会保障和就业支出（项）：反映除上述项目以外其他用于社会保障和就业方面的支出。</w:t>
      </w:r>
    </w:p>
    <w:p>
      <w:pPr>
        <w:ind w:firstLine="640" w:firstLineChars="200"/>
        <w:rPr>
          <w:rFonts w:ascii="仿宋_GB2312"/>
          <w:szCs w:val="32"/>
        </w:rPr>
      </w:pPr>
      <w:r>
        <w:rPr>
          <w:rFonts w:hint="eastAsia" w:ascii="仿宋_GB2312"/>
          <w:szCs w:val="32"/>
        </w:rPr>
        <w:t>13.卫生健康支出（类）行政事业单位医疗（款）事业单位医疗（项）：反映财政部门安排的事业单位基本医疗保险缴费经费，未参加医疗保险的事业单位的公费医疗经费，按国家规定享受离休人员待遇的医疗经费。</w:t>
      </w:r>
    </w:p>
    <w:p>
      <w:pPr>
        <w:spacing w:line="600" w:lineRule="exact"/>
        <w:ind w:firstLine="640"/>
        <w:rPr>
          <w:rFonts w:ascii="仿宋_GB2312"/>
          <w:szCs w:val="32"/>
        </w:rPr>
      </w:pPr>
      <w:r>
        <w:rPr>
          <w:rFonts w:hint="eastAsia" w:ascii="仿宋_GB2312"/>
          <w:szCs w:val="32"/>
        </w:rPr>
        <w:t>14.城乡社区支出（类）城乡社区管理事务（款）其他城乡社区管理事务支出（项）：反映除上述项目以外其他用于城乡社区管理事务方面的支出。</w:t>
      </w:r>
    </w:p>
    <w:p>
      <w:pPr>
        <w:spacing w:line="600" w:lineRule="exact"/>
        <w:ind w:firstLine="640"/>
        <w:rPr>
          <w:rFonts w:ascii="仿宋" w:hAnsi="仿宋" w:eastAsia="仿宋"/>
          <w:b/>
          <w:szCs w:val="32"/>
        </w:rPr>
      </w:pPr>
      <w:r>
        <w:rPr>
          <w:rFonts w:hint="eastAsia" w:ascii="仿宋_GB2312"/>
          <w:szCs w:val="32"/>
        </w:rPr>
        <w:t>15.住房保障支出（类）保障性安居工程支出（款）保障性住房租金补贴（项）：反映各级政府向低收入住房保障家庭发放的住房租赁补贴支出。</w:t>
      </w:r>
    </w:p>
    <w:p>
      <w:pPr>
        <w:spacing w:line="600" w:lineRule="exact"/>
        <w:ind w:firstLine="640"/>
        <w:rPr>
          <w:rFonts w:ascii="仿宋" w:hAnsi="仿宋" w:eastAsia="仿宋"/>
          <w:b/>
          <w:szCs w:val="32"/>
        </w:rPr>
      </w:pPr>
      <w:r>
        <w:rPr>
          <w:rFonts w:hint="eastAsia" w:ascii="仿宋_GB2312"/>
          <w:szCs w:val="32"/>
        </w:rPr>
        <w:t>16.住房保障支出（类）住房改革支出（款）住房公积金（项）;指反映行政事业单位按人力资源和社会保障部、财政部规定的基本工资和津贴补贴以及规定比例为职工缴纳的住房公积金。</w:t>
      </w:r>
    </w:p>
    <w:p>
      <w:pPr>
        <w:ind w:firstLine="640" w:firstLineChars="200"/>
        <w:rPr>
          <w:rFonts w:ascii="仿宋_GB2312"/>
          <w:szCs w:val="32"/>
        </w:rPr>
      </w:pPr>
      <w:r>
        <w:rPr>
          <w:rFonts w:hint="eastAsia" w:ascii="仿宋_GB2312"/>
          <w:szCs w:val="32"/>
        </w:rPr>
        <w:t>17</w:t>
      </w:r>
      <w:r>
        <w:rPr>
          <w:rFonts w:ascii="仿宋_GB2312"/>
          <w:szCs w:val="32"/>
        </w:rPr>
        <w:t>.</w:t>
      </w:r>
      <w:r>
        <w:rPr>
          <w:rFonts w:hint="eastAsia" w:ascii="仿宋_GB2312"/>
          <w:szCs w:val="32"/>
        </w:rPr>
        <w:t>基本支出：指为保障机构正常运转、完成日常工作任务而发生的人员支出和公用支出。</w:t>
      </w:r>
    </w:p>
    <w:p>
      <w:pPr>
        <w:ind w:firstLine="640" w:firstLineChars="200"/>
        <w:rPr>
          <w:rFonts w:ascii="仿宋_GB2312"/>
          <w:szCs w:val="32"/>
        </w:rPr>
      </w:pPr>
      <w:r>
        <w:rPr>
          <w:rFonts w:hint="eastAsia" w:ascii="仿宋_GB2312"/>
          <w:szCs w:val="32"/>
        </w:rPr>
        <w:t>18</w:t>
      </w:r>
      <w:r>
        <w:rPr>
          <w:rFonts w:ascii="仿宋_GB2312"/>
          <w:szCs w:val="32"/>
        </w:rPr>
        <w:t>.</w:t>
      </w:r>
      <w:r>
        <w:rPr>
          <w:rFonts w:hint="eastAsia" w:ascii="仿宋_GB2312"/>
          <w:szCs w:val="32"/>
        </w:rPr>
        <w:t>项目支出：指在基本支出之外为完成特定行政任务和事业发展目标所发生的支出。</w:t>
      </w:r>
    </w:p>
    <w:p>
      <w:pPr>
        <w:ind w:firstLine="640" w:firstLineChars="200"/>
        <w:rPr>
          <w:rFonts w:ascii="仿宋_GB2312"/>
          <w:szCs w:val="32"/>
        </w:rPr>
      </w:pPr>
      <w:r>
        <w:rPr>
          <w:rFonts w:hint="eastAsia" w:ascii="仿宋_GB2312"/>
          <w:szCs w:val="32"/>
        </w:rPr>
        <w:t>19</w:t>
      </w:r>
      <w:r>
        <w:rPr>
          <w:rFonts w:ascii="仿宋_GB2312"/>
          <w:szCs w:val="32"/>
        </w:rPr>
        <w:t>.</w:t>
      </w:r>
      <w:r>
        <w:rPr>
          <w:rFonts w:hint="eastAsia" w:ascii="仿宋_GB2312"/>
          <w:szCs w:val="32"/>
        </w:rPr>
        <w:t>经营支出：指事业单位在专业业务活动及其辅助活动之外开展非独立核算经营活动发生的支出。</w:t>
      </w:r>
    </w:p>
    <w:p>
      <w:pPr>
        <w:pStyle w:val="16"/>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20</w:t>
      </w:r>
      <w:r>
        <w:rPr>
          <w:rFonts w:ascii="仿宋_GB2312" w:eastAsia="仿宋_GB2312"/>
          <w:color w:val="auto"/>
          <w:sz w:val="32"/>
          <w:szCs w:val="32"/>
        </w:rPr>
        <w:t>.</w:t>
      </w:r>
      <w:r>
        <w:rPr>
          <w:rFonts w:hint="eastAsia" w:ascii="仿宋_GB2312" w:eastAsia="仿宋_GB2312"/>
          <w:color w:val="auto"/>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6"/>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21</w:t>
      </w:r>
      <w:r>
        <w:rPr>
          <w:rFonts w:ascii="仿宋_GB2312" w:eastAsia="仿宋_GB2312"/>
          <w:color w:val="auto"/>
          <w:sz w:val="32"/>
          <w:szCs w:val="32"/>
        </w:rPr>
        <w:t>.</w:t>
      </w:r>
      <w:r>
        <w:rPr>
          <w:rFonts w:hint="eastAsia" w:ascii="仿宋_GB2312" w:eastAsia="仿宋_GB2312"/>
          <w:color w:val="auto"/>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Style w:val="13"/>
          <w:rFonts w:ascii="黑体" w:hAnsi="黑体" w:eastAsia="黑体"/>
          <w:b w:val="0"/>
        </w:rPr>
      </w:pPr>
      <w:r>
        <w:rPr>
          <w:rFonts w:ascii="宋体"/>
          <w:b/>
          <w:color w:val="000000"/>
          <w:sz w:val="44"/>
          <w:szCs w:val="44"/>
        </w:rPr>
        <w:br w:type="page"/>
      </w:r>
      <w:bookmarkStart w:id="88" w:name="_Toc15545"/>
      <w:r>
        <w:rPr>
          <w:rFonts w:hint="eastAsia" w:ascii="黑体" w:hAnsi="黑体" w:eastAsia="黑体"/>
          <w:color w:val="000000"/>
          <w:sz w:val="44"/>
          <w:szCs w:val="44"/>
        </w:rPr>
        <w:t>第</w:t>
      </w:r>
      <w:r>
        <w:rPr>
          <w:rStyle w:val="13"/>
          <w:rFonts w:hint="eastAsia" w:ascii="黑体" w:hAnsi="黑体" w:eastAsia="黑体"/>
          <w:b w:val="0"/>
        </w:rPr>
        <w:t>四部分</w:t>
      </w:r>
      <w:r>
        <w:rPr>
          <w:rStyle w:val="13"/>
          <w:rFonts w:ascii="黑体" w:hAnsi="黑体" w:eastAsia="黑体"/>
          <w:b w:val="0"/>
        </w:rPr>
        <w:t xml:space="preserve"> </w:t>
      </w:r>
      <w:r>
        <w:rPr>
          <w:rStyle w:val="13"/>
          <w:rFonts w:hint="eastAsia" w:ascii="黑体" w:hAnsi="黑体" w:eastAsia="黑体"/>
          <w:b w:val="0"/>
        </w:rPr>
        <w:t>附件</w:t>
      </w:r>
      <w:bookmarkEnd w:id="85"/>
      <w:bookmarkEnd w:id="86"/>
      <w:bookmarkEnd w:id="88"/>
    </w:p>
    <w:p>
      <w:pPr>
        <w:spacing w:line="600" w:lineRule="exact"/>
        <w:jc w:val="left"/>
        <w:outlineLvl w:val="1"/>
        <w:rPr>
          <w:rFonts w:ascii="方正小标宋简体" w:hAnsi="方正小标宋简体" w:eastAsia="方正小标宋简体" w:cs="方正小标宋简体"/>
          <w:sz w:val="32"/>
          <w:szCs w:val="32"/>
        </w:rPr>
      </w:pPr>
      <w:bookmarkStart w:id="89" w:name="_Toc22930"/>
      <w:bookmarkStart w:id="90" w:name="_Toc9810"/>
      <w:r>
        <w:rPr>
          <w:rFonts w:hint="eastAsia" w:ascii="黑体" w:hAnsi="黑体" w:eastAsia="黑体" w:cs="黑体"/>
          <w:sz w:val="32"/>
          <w:szCs w:val="32"/>
        </w:rPr>
        <w:t>附件</w:t>
      </w:r>
      <w:r>
        <w:rPr>
          <w:rFonts w:ascii="黑体" w:hAnsi="黑体" w:eastAsia="黑体" w:cs="黑体"/>
          <w:sz w:val="32"/>
          <w:szCs w:val="32"/>
        </w:rPr>
        <w:t>1</w:t>
      </w:r>
      <w:bookmarkEnd w:id="89"/>
      <w:bookmarkEnd w:id="90"/>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rPr>
        <w:t>自贡市自流井区住房保障中心</w:t>
      </w:r>
    </w:p>
    <w:p>
      <w:pPr>
        <w:spacing w:line="600" w:lineRule="exact"/>
        <w:jc w:val="center"/>
        <w:rPr>
          <w:rFonts w:ascii="方正小标宋简体" w:hAnsi="宋体" w:eastAsia="方正小标宋简体"/>
          <w:color w:val="000000"/>
          <w:kern w:val="0"/>
          <w:sz w:val="40"/>
          <w:szCs w:val="44"/>
          <w:lang w:val="zh-CN"/>
        </w:rPr>
      </w:pP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w:t>
      </w:r>
      <w:r>
        <w:rPr>
          <w:rFonts w:hint="eastAsia" w:ascii="方正小标宋简体" w:hAnsi="宋体" w:eastAsia="方正小标宋简体"/>
          <w:color w:val="000000"/>
          <w:kern w:val="0"/>
          <w:sz w:val="40"/>
          <w:szCs w:val="44"/>
          <w:lang w:val="en-US" w:eastAsia="zh-CN"/>
        </w:rPr>
        <w:t>部门</w:t>
      </w:r>
      <w:r>
        <w:rPr>
          <w:rFonts w:hint="eastAsia" w:ascii="方正小标宋简体" w:hAnsi="宋体" w:eastAsia="方正小标宋简体"/>
          <w:color w:val="000000"/>
          <w:kern w:val="0"/>
          <w:sz w:val="40"/>
          <w:szCs w:val="44"/>
          <w:lang w:val="zh-CN"/>
        </w:rPr>
        <w:t>整体支出绩效评价报告</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楷体_GB2312" w:hAnsi="宋体" w:eastAsia="楷体_GB2312" w:cs="宋体"/>
          <w:kern w:val="0"/>
          <w:szCs w:val="32"/>
          <w:shd w:val="clear" w:color="auto" w:fill="FFFFFF"/>
          <w:lang w:val="zh-CN"/>
        </w:rPr>
      </w:pPr>
      <w:r>
        <w:rPr>
          <w:rFonts w:hint="eastAsia" w:ascii="楷体_GB2312" w:hAnsi="宋体" w:eastAsia="楷体_GB2312" w:cs="宋体"/>
          <w:kern w:val="0"/>
          <w:szCs w:val="32"/>
          <w:shd w:val="clear" w:color="auto" w:fill="FFFFFF"/>
          <w:lang w:val="zh-CN"/>
        </w:rPr>
        <w:t>（一）机构组成。</w:t>
      </w:r>
    </w:p>
    <w:p>
      <w:pPr>
        <w:widowControl/>
        <w:adjustRightInd w:val="0"/>
        <w:snapToGrid w:val="0"/>
        <w:spacing w:line="580" w:lineRule="exact"/>
        <w:ind w:firstLine="640" w:firstLineChars="200"/>
        <w:contextualSpacing/>
        <w:jc w:val="left"/>
        <w:rPr>
          <w:rFonts w:ascii="仿宋_GB2312" w:hAnsi="黑体"/>
          <w:szCs w:val="32"/>
        </w:rPr>
      </w:pPr>
      <w:r>
        <w:rPr>
          <w:rFonts w:hint="eastAsia" w:ascii="仿宋_GB2312" w:hAnsi="黑体"/>
          <w:szCs w:val="32"/>
        </w:rPr>
        <w:t>自流井区住房保障中心共设置4个内设机构。</w:t>
      </w:r>
    </w:p>
    <w:p>
      <w:pPr>
        <w:widowControl/>
        <w:adjustRightInd w:val="0"/>
        <w:snapToGrid w:val="0"/>
        <w:spacing w:line="580" w:lineRule="exact"/>
        <w:ind w:firstLine="640" w:firstLineChars="200"/>
        <w:contextualSpacing/>
        <w:jc w:val="left"/>
        <w:rPr>
          <w:rFonts w:ascii="楷体_GB2312" w:hAnsi="宋体" w:eastAsia="楷体_GB2312" w:cs="宋体"/>
          <w:kern w:val="0"/>
          <w:szCs w:val="32"/>
          <w:shd w:val="clear" w:color="auto" w:fill="FFFFFF"/>
          <w:lang w:val="zh-CN"/>
        </w:rPr>
      </w:pPr>
      <w:r>
        <w:rPr>
          <w:rFonts w:hint="eastAsia" w:ascii="楷体_GB2312" w:hAnsi="宋体" w:eastAsia="楷体_GB2312" w:cs="宋体"/>
          <w:kern w:val="0"/>
          <w:szCs w:val="32"/>
          <w:shd w:val="clear" w:color="auto" w:fill="FFFFFF"/>
          <w:lang w:val="zh-CN"/>
        </w:rPr>
        <w:t>（二）机构职责。</w:t>
      </w:r>
    </w:p>
    <w:p>
      <w:pPr>
        <w:spacing w:line="592" w:lineRule="exact"/>
        <w:ind w:firstLine="643" w:firstLineChars="200"/>
        <w:rPr>
          <w:rFonts w:ascii="仿宋_GB2312" w:hAnsi="黑体"/>
          <w:b/>
          <w:bCs/>
          <w:szCs w:val="32"/>
        </w:rPr>
      </w:pPr>
      <w:r>
        <w:rPr>
          <w:rFonts w:hint="eastAsia" w:ascii="仿宋_GB2312" w:hAnsi="黑体"/>
          <w:b/>
          <w:bCs/>
          <w:szCs w:val="32"/>
        </w:rPr>
        <w:t>1.办公室</w:t>
      </w:r>
    </w:p>
    <w:p>
      <w:pPr>
        <w:spacing w:line="592" w:lineRule="exact"/>
        <w:ind w:firstLine="480" w:firstLineChars="150"/>
        <w:rPr>
          <w:rFonts w:ascii="仿宋_GB2312" w:hAnsi="宋体"/>
          <w:szCs w:val="32"/>
        </w:rPr>
      </w:pPr>
      <w:r>
        <w:rPr>
          <w:rFonts w:hint="eastAsia" w:ascii="仿宋_GB2312" w:hAnsi="宋体"/>
          <w:szCs w:val="32"/>
        </w:rPr>
        <w:t>负责党建及党风廉政建设日常工作；负责中心各部门的综合协调和对外联系工作；负责各类文件的起草、审核、上报下发工作；负责档案、保密、信息、信访等日常工作；负责办理人大代表建议和政协委员提案工作；负责目标绩效考核管理、计划生育、妇女儿童、卫生和绿化达标工作；负责中心办公会和其他会议议定事项的督办工作；负责中心后勤事务管理和办公大楼的综合管理工作。</w:t>
      </w:r>
    </w:p>
    <w:p>
      <w:pPr>
        <w:spacing w:line="592" w:lineRule="exact"/>
        <w:ind w:firstLine="480" w:firstLineChars="150"/>
        <w:rPr>
          <w:rFonts w:ascii="仿宋_GB2312" w:hAnsi="宋体"/>
          <w:szCs w:val="32"/>
        </w:rPr>
      </w:pPr>
      <w:r>
        <w:rPr>
          <w:rFonts w:hint="eastAsia" w:ascii="仿宋_GB2312" w:hAnsi="宋体"/>
          <w:szCs w:val="32"/>
        </w:rPr>
        <w:t xml:space="preserve">负责机构编制、人事管理、劳动工资管理工作；负责职工养老保险、住房公积金、医疗保险金、失业金的解缴以及管理工作；负责专业技术人员、工人技术等级考试的申报评聘工作；负责职工年度考核工作。 </w:t>
      </w:r>
    </w:p>
    <w:p>
      <w:pPr>
        <w:spacing w:line="592" w:lineRule="exact"/>
        <w:ind w:firstLine="480" w:firstLineChars="150"/>
        <w:rPr>
          <w:rFonts w:ascii="仿宋_GB2312" w:hAnsi="宋体"/>
          <w:szCs w:val="32"/>
        </w:rPr>
      </w:pPr>
      <w:r>
        <w:rPr>
          <w:rFonts w:hint="eastAsia" w:ascii="仿宋_GB2312" w:hAnsi="宋体"/>
          <w:szCs w:val="32"/>
        </w:rPr>
        <w:t>贯彻执行《会计法》，负责中心及所属企、事业单位的财务管理和监督；负责日常会计核算及支出项目的审批支付；编制财务收支计划并对执行情况进行监督和检查，提高资金使用效益；负责编制税务报表、会计报表、统计报表，严格会计核算，根据财务状况和经营成果出具财务报告；参与投资决策，实现国有资产的保值增值；负责各项政策性工资奖金等的计提和发放工作；负责各项税收的申报、缴纳、年检等税务事项工作；负责财务档案的收集、整理及归档工作。</w:t>
      </w:r>
    </w:p>
    <w:p>
      <w:pPr>
        <w:spacing w:line="592" w:lineRule="exact"/>
        <w:ind w:firstLine="480" w:firstLineChars="150"/>
        <w:rPr>
          <w:rFonts w:ascii="仿宋_GB2312" w:hAnsi="宋体"/>
          <w:szCs w:val="32"/>
        </w:rPr>
      </w:pPr>
      <w:r>
        <w:rPr>
          <w:rFonts w:hint="eastAsia" w:ascii="仿宋_GB2312" w:hAnsi="宋体"/>
          <w:szCs w:val="32"/>
        </w:rPr>
        <w:t>完成上级部门及领导交办的其他工作。</w:t>
      </w:r>
    </w:p>
    <w:p>
      <w:pPr>
        <w:spacing w:line="592" w:lineRule="exact"/>
        <w:ind w:firstLine="643" w:firstLineChars="200"/>
        <w:rPr>
          <w:rFonts w:ascii="仿宋_GB2312" w:hAnsi="黑体"/>
          <w:b/>
          <w:bCs/>
          <w:szCs w:val="32"/>
        </w:rPr>
      </w:pPr>
      <w:r>
        <w:rPr>
          <w:rFonts w:hint="eastAsia" w:ascii="仿宋_GB2312" w:hAnsi="黑体"/>
          <w:b/>
          <w:bCs/>
          <w:szCs w:val="32"/>
        </w:rPr>
        <w:t>2.公房管理股</w:t>
      </w:r>
    </w:p>
    <w:p>
      <w:pPr>
        <w:spacing w:line="592" w:lineRule="exact"/>
        <w:ind w:firstLine="480" w:firstLineChars="150"/>
        <w:rPr>
          <w:rFonts w:ascii="仿宋_GB2312" w:hAnsi="宋体"/>
          <w:szCs w:val="32"/>
        </w:rPr>
      </w:pPr>
      <w:r>
        <w:rPr>
          <w:rFonts w:hint="eastAsia" w:ascii="仿宋_GB2312" w:hAnsi="宋体"/>
          <w:szCs w:val="32"/>
        </w:rPr>
        <w:t>负责辖区内直管公房、自管房屋的经营管理工作和保障性住房的管理工作；负责直管公房的有偿安置、更名、过户、产权、产籍核实等工作；负责直管公房的被拆迁补偿和搬迁安置工作；接待处理直管公房产权、产籍的咨询、回复工作；负责租赁保证金的收、转、结工作。</w:t>
      </w:r>
    </w:p>
    <w:p>
      <w:pPr>
        <w:spacing w:line="592" w:lineRule="exact"/>
        <w:ind w:firstLine="480" w:firstLineChars="150"/>
        <w:rPr>
          <w:rFonts w:ascii="仿宋_GB2312" w:hAnsi="宋体"/>
          <w:szCs w:val="32"/>
        </w:rPr>
      </w:pPr>
      <w:r>
        <w:rPr>
          <w:rFonts w:hint="eastAsia" w:ascii="仿宋_GB2312" w:hAnsi="宋体"/>
          <w:szCs w:val="32"/>
        </w:rPr>
        <w:t>负责辖区内城镇住房保障工作；牵头完成廉租住房租金补贴的审核、人员登记工作及档案管理工作；负责廉租住房、公租房实物配租及租金收取工作；负责公租房的房源信息、人源信息的采集归纳和上报工作；负责街道、社区公租房的排号、摇号等监督工作。</w:t>
      </w:r>
    </w:p>
    <w:p>
      <w:pPr>
        <w:spacing w:line="592" w:lineRule="exact"/>
        <w:ind w:firstLine="480" w:firstLineChars="150"/>
        <w:rPr>
          <w:rFonts w:ascii="仿宋_GB2312" w:hAnsi="宋体"/>
          <w:szCs w:val="32"/>
        </w:rPr>
      </w:pPr>
      <w:r>
        <w:rPr>
          <w:rFonts w:hint="eastAsia" w:ascii="仿宋_GB2312" w:hAnsi="宋体"/>
          <w:szCs w:val="32"/>
        </w:rPr>
        <w:t>负责中心直管公房租金收取工作，健全台帐，统计报表工作；负责公房产权增、减收目、报表工作。</w:t>
      </w:r>
    </w:p>
    <w:p>
      <w:pPr>
        <w:spacing w:line="592" w:lineRule="exact"/>
        <w:ind w:firstLine="480" w:firstLineChars="150"/>
        <w:rPr>
          <w:rFonts w:ascii="仿宋_GB2312" w:hAnsi="宋体"/>
          <w:szCs w:val="32"/>
        </w:rPr>
      </w:pPr>
      <w:r>
        <w:rPr>
          <w:rFonts w:hint="eastAsia" w:ascii="仿宋_GB2312" w:hAnsi="宋体"/>
          <w:szCs w:val="32"/>
        </w:rPr>
        <w:t>完成上级部门及领导交办的其他工作。</w:t>
      </w:r>
    </w:p>
    <w:p>
      <w:pPr>
        <w:spacing w:line="592" w:lineRule="exact"/>
        <w:ind w:firstLine="643" w:firstLineChars="200"/>
        <w:rPr>
          <w:rFonts w:ascii="仿宋_GB2312" w:hAnsi="黑体"/>
          <w:b/>
          <w:bCs/>
          <w:szCs w:val="32"/>
        </w:rPr>
      </w:pPr>
      <w:r>
        <w:rPr>
          <w:rFonts w:hint="eastAsia" w:ascii="仿宋_GB2312" w:hAnsi="黑体"/>
          <w:b/>
          <w:bCs/>
          <w:szCs w:val="32"/>
        </w:rPr>
        <w:t>3.征收管理股</w:t>
      </w:r>
    </w:p>
    <w:p>
      <w:pPr>
        <w:spacing w:line="592" w:lineRule="exact"/>
        <w:ind w:firstLine="480" w:firstLineChars="150"/>
        <w:rPr>
          <w:rFonts w:ascii="仿宋_GB2312" w:hAnsi="宋体"/>
          <w:szCs w:val="32"/>
        </w:rPr>
      </w:pPr>
      <w:r>
        <w:rPr>
          <w:rFonts w:hint="eastAsia" w:ascii="仿宋_GB2312" w:hAnsi="宋体"/>
          <w:szCs w:val="32"/>
        </w:rPr>
        <w:t>负责宣传房屋征收相关法律、法规；负责房屋征收程序的管理；负责协助解决房屋征收工作中涉及法律程序的相关工作；负责房屋征收工程所涉的调解、仲裁及依法申请司法强制执行的相关工作；负责受理房屋征收相关信访工作；负责房屋征收相关问题的协调工作。</w:t>
      </w:r>
    </w:p>
    <w:p>
      <w:pPr>
        <w:spacing w:line="592" w:lineRule="exact"/>
        <w:ind w:firstLine="480" w:firstLineChars="150"/>
        <w:rPr>
          <w:rFonts w:ascii="仿宋_GB2312" w:hAnsi="宋体"/>
          <w:szCs w:val="32"/>
        </w:rPr>
      </w:pPr>
      <w:r>
        <w:rPr>
          <w:rFonts w:hint="eastAsia" w:ascii="仿宋_GB2312" w:hAnsi="宋体"/>
          <w:szCs w:val="32"/>
        </w:rPr>
        <w:t>负责中心房屋征收摸底调查、数据统计及费用估算工作；负责组织、实施房屋征收工作；负责房屋征收档案归档工作及房屋产权注销工作。</w:t>
      </w:r>
    </w:p>
    <w:p>
      <w:pPr>
        <w:spacing w:line="592" w:lineRule="exact"/>
        <w:ind w:firstLine="480" w:firstLineChars="150"/>
        <w:rPr>
          <w:rFonts w:ascii="仿宋_GB2312" w:hAnsi="宋体"/>
          <w:szCs w:val="32"/>
        </w:rPr>
      </w:pPr>
      <w:r>
        <w:rPr>
          <w:rFonts w:hint="eastAsia" w:ascii="仿宋_GB2312" w:hAnsi="宋体"/>
          <w:szCs w:val="32"/>
        </w:rPr>
        <w:t>完成上级部门及领导交办的其他工作。</w:t>
      </w:r>
    </w:p>
    <w:p>
      <w:pPr>
        <w:spacing w:line="592" w:lineRule="exact"/>
        <w:ind w:firstLine="630" w:firstLineChars="196"/>
        <w:rPr>
          <w:rFonts w:ascii="仿宋_GB2312" w:hAnsi="黑体"/>
          <w:b/>
          <w:szCs w:val="32"/>
        </w:rPr>
      </w:pPr>
      <w:r>
        <w:rPr>
          <w:rFonts w:hint="eastAsia" w:ascii="仿宋_GB2312" w:hAnsi="黑体"/>
          <w:b/>
          <w:bCs/>
          <w:szCs w:val="32"/>
        </w:rPr>
        <w:t>4.房屋维修股</w:t>
      </w:r>
    </w:p>
    <w:p>
      <w:pPr>
        <w:spacing w:line="592" w:lineRule="exact"/>
        <w:ind w:firstLine="480" w:firstLineChars="150"/>
        <w:rPr>
          <w:rFonts w:ascii="仿宋_GB2312" w:hAnsi="宋体"/>
          <w:szCs w:val="32"/>
        </w:rPr>
      </w:pPr>
      <w:r>
        <w:rPr>
          <w:rFonts w:hint="eastAsia" w:ascii="仿宋_GB2312" w:hAnsi="宋体"/>
          <w:szCs w:val="32"/>
        </w:rPr>
        <w:t>负责辖区内直管公房和保障性住房的维修维护相关工作。</w:t>
      </w:r>
    </w:p>
    <w:p>
      <w:pPr>
        <w:spacing w:line="592" w:lineRule="exact"/>
        <w:ind w:firstLine="480" w:firstLineChars="150"/>
        <w:rPr>
          <w:rFonts w:ascii="仿宋_GB2312" w:hAnsi="宋体"/>
          <w:szCs w:val="32"/>
        </w:rPr>
      </w:pPr>
      <w:r>
        <w:rPr>
          <w:rFonts w:hint="eastAsia" w:ascii="仿宋_GB2312" w:hAnsi="宋体"/>
          <w:szCs w:val="32"/>
        </w:rPr>
        <w:t>负责中心的安全生产管理工作，建立房屋安全档案；负责防洪期间各项工作。</w:t>
      </w:r>
    </w:p>
    <w:p>
      <w:pPr>
        <w:spacing w:line="592" w:lineRule="exact"/>
        <w:ind w:firstLine="480" w:firstLineChars="150"/>
        <w:rPr>
          <w:rFonts w:ascii="仿宋_GB2312" w:hAnsi="宋体"/>
          <w:szCs w:val="32"/>
        </w:rPr>
      </w:pPr>
      <w:r>
        <w:rPr>
          <w:rFonts w:hint="eastAsia" w:ascii="仿宋_GB2312" w:hAnsi="宋体"/>
          <w:szCs w:val="32"/>
        </w:rPr>
        <w:t>负责工程遗留问题的处理工作。</w:t>
      </w:r>
    </w:p>
    <w:p>
      <w:pPr>
        <w:spacing w:line="592" w:lineRule="exact"/>
        <w:ind w:firstLine="480" w:firstLineChars="150"/>
        <w:rPr>
          <w:rFonts w:ascii="仿宋_GB2312" w:hAnsi="宋体"/>
          <w:szCs w:val="32"/>
        </w:rPr>
      </w:pPr>
      <w:r>
        <w:rPr>
          <w:rFonts w:hint="eastAsia" w:ascii="仿宋_GB2312" w:hAnsi="宋体"/>
          <w:szCs w:val="32"/>
        </w:rPr>
        <w:t>完成上级部门及领导交办的其他工作。</w:t>
      </w:r>
    </w:p>
    <w:p>
      <w:pPr>
        <w:spacing w:line="592" w:lineRule="exact"/>
        <w:ind w:firstLine="640" w:firstLineChars="200"/>
        <w:rPr>
          <w:rFonts w:ascii="楷体_GB2312" w:hAnsi="宋体" w:eastAsia="楷体_GB2312" w:cs="宋体"/>
          <w:kern w:val="0"/>
          <w:szCs w:val="32"/>
          <w:shd w:val="clear" w:color="auto" w:fill="FFFFFF"/>
          <w:lang w:val="zh-CN"/>
        </w:rPr>
      </w:pPr>
      <w:r>
        <w:rPr>
          <w:rFonts w:hint="eastAsia" w:ascii="楷体_GB2312" w:hAnsi="宋体" w:eastAsia="楷体_GB2312" w:cs="宋体"/>
          <w:kern w:val="0"/>
          <w:szCs w:val="32"/>
          <w:shd w:val="clear" w:color="auto" w:fill="FFFFFF"/>
          <w:lang w:val="zh-CN"/>
        </w:rPr>
        <w:t>（三）人员概况。</w:t>
      </w:r>
    </w:p>
    <w:p>
      <w:pPr>
        <w:spacing w:line="592" w:lineRule="exact"/>
        <w:ind w:firstLine="640" w:firstLineChars="200"/>
        <w:rPr>
          <w:rFonts w:ascii="仿宋_GB2312" w:hAnsi="宋体"/>
          <w:color w:val="FF0000"/>
          <w:szCs w:val="32"/>
        </w:rPr>
      </w:pPr>
      <w:r>
        <w:rPr>
          <w:rFonts w:hint="eastAsia" w:ascii="仿宋_GB2312"/>
        </w:rPr>
        <w:t>自贡市自流井区住房保障中心单位编制数 126人，实有编制人员76</w:t>
      </w:r>
      <w:r>
        <w:rPr>
          <w:rFonts w:hint="eastAsia"/>
        </w:rPr>
        <w:t> </w:t>
      </w:r>
      <w:r>
        <w:rPr>
          <w:rFonts w:hint="eastAsia" w:ascii="仿宋_GB2312"/>
        </w:rPr>
        <w:t>人，</w:t>
      </w:r>
      <w:r>
        <w:rPr>
          <w:rFonts w:hint="eastAsia" w:ascii="仿宋_GB2312"/>
          <w:szCs w:val="32"/>
        </w:rPr>
        <w:t>领导职数4名，其中主任1名（副科级），副主任3名（股级），</w:t>
      </w:r>
      <w:r>
        <w:rPr>
          <w:rFonts w:hint="eastAsia" w:ascii="仿宋_GB2312"/>
        </w:rPr>
        <w:t>其中：</w:t>
      </w:r>
      <w:r>
        <w:rPr>
          <w:rFonts w:hint="eastAsia" w:ascii="仿宋_GB2312"/>
        </w:rPr>
        <w:br w:type="textWrapping"/>
      </w:r>
      <w:r>
        <w:rPr>
          <w:rFonts w:hint="eastAsia" w:ascii="仿宋_GB2312"/>
        </w:rPr>
        <w:t xml:space="preserve">    1.管理49人(管理八级35人,管理九级14人)</w:t>
      </w:r>
      <w:r>
        <w:rPr>
          <w:rFonts w:hint="eastAsia" w:ascii="仿宋_GB2312"/>
        </w:rPr>
        <w:br w:type="textWrapping"/>
      </w:r>
      <w:r>
        <w:rPr>
          <w:rFonts w:hint="eastAsia" w:ascii="仿宋_GB2312"/>
        </w:rPr>
        <w:t xml:space="preserve">    2.专业技术5人(专业技术八级1人,九级2人,十一级2人)</w:t>
      </w:r>
      <w:r>
        <w:rPr>
          <w:rFonts w:hint="eastAsia" w:ascii="仿宋_GB2312"/>
        </w:rPr>
        <w:br w:type="textWrapping"/>
      </w:r>
      <w:r>
        <w:rPr>
          <w:rFonts w:hint="eastAsia" w:ascii="仿宋_GB2312"/>
        </w:rPr>
        <w:t xml:space="preserve">    3.工勤22人(工勤二级6人,三级15人,五级1人)五级1人)</w:t>
      </w:r>
    </w:p>
    <w:p>
      <w:pPr>
        <w:widowControl/>
        <w:adjustRightInd w:val="0"/>
        <w:snapToGrid w:val="0"/>
        <w:spacing w:line="580" w:lineRule="exact"/>
        <w:ind w:firstLine="640" w:firstLineChars="200"/>
        <w:contextualSpacing/>
        <w:jc w:val="left"/>
        <w:rPr>
          <w:rFonts w:ascii="黑体" w:hAnsi="宋体" w:eastAsia="黑体" w:cs="宋体"/>
          <w:color w:val="000000"/>
          <w:kern w:val="0"/>
          <w:szCs w:val="32"/>
          <w:shd w:val="clear" w:color="auto" w:fill="FFFFFF"/>
        </w:rPr>
      </w:pPr>
      <w:r>
        <w:rPr>
          <w:rFonts w:hint="eastAsia" w:ascii="黑体" w:hAnsi="宋体" w:eastAsia="黑体" w:cs="宋体"/>
          <w:color w:val="000000"/>
          <w:kern w:val="0"/>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ascii="楷体_GB2312" w:hAnsi="宋体" w:eastAsia="楷体_GB2312" w:cs="宋体"/>
          <w:color w:val="000000"/>
          <w:kern w:val="0"/>
          <w:szCs w:val="32"/>
          <w:shd w:val="clear" w:color="auto" w:fill="FFFFFF"/>
          <w:lang w:val="zh-CN"/>
        </w:rPr>
      </w:pPr>
      <w:r>
        <w:rPr>
          <w:rFonts w:hint="eastAsia" w:ascii="楷体_GB2312" w:hAnsi="宋体" w:eastAsia="楷体_GB2312" w:cs="宋体"/>
          <w:color w:val="000000"/>
          <w:kern w:val="0"/>
          <w:szCs w:val="32"/>
          <w:shd w:val="clear" w:color="auto" w:fill="FFFFFF"/>
          <w:lang w:val="zh-CN"/>
        </w:rPr>
        <w:t>（一）部门财政资金收入情况。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ascii="仿宋" w:hAnsi="仿宋" w:eastAsia="仿宋"/>
          <w:color w:val="000000"/>
          <w:szCs w:val="32"/>
        </w:rPr>
        <w:t>2020</w:t>
      </w:r>
      <w:r>
        <w:rPr>
          <w:rFonts w:hint="eastAsia" w:ascii="仿宋" w:hAnsi="仿宋" w:eastAsia="仿宋"/>
          <w:color w:val="000000"/>
          <w:szCs w:val="32"/>
        </w:rPr>
        <w:t>年财政拨款收、支总计1651.03万元。与</w:t>
      </w:r>
      <w:r>
        <w:rPr>
          <w:rFonts w:ascii="仿宋" w:hAnsi="仿宋" w:eastAsia="仿宋"/>
          <w:color w:val="000000"/>
          <w:szCs w:val="32"/>
        </w:rPr>
        <w:t>2019</w:t>
      </w:r>
      <w:r>
        <w:rPr>
          <w:rFonts w:hint="eastAsia" w:ascii="仿宋" w:hAnsi="仿宋" w:eastAsia="仿宋"/>
          <w:color w:val="000000"/>
          <w:szCs w:val="32"/>
        </w:rPr>
        <w:t>年1880万元相比，财政拨款收、支总计各减少288.97万元，下降12.18</w:t>
      </w:r>
      <w:r>
        <w:rPr>
          <w:rFonts w:ascii="仿宋" w:hAnsi="仿宋" w:eastAsia="仿宋"/>
          <w:color w:val="000000"/>
          <w:szCs w:val="32"/>
        </w:rPr>
        <w:t>%</w:t>
      </w:r>
      <w:r>
        <w:rPr>
          <w:rFonts w:hint="eastAsia" w:ascii="仿宋" w:hAnsi="仿宋" w:eastAsia="仿宋"/>
          <w:color w:val="000000"/>
          <w:szCs w:val="32"/>
        </w:rPr>
        <w:t>。主要变动原因是上年的结转和结余减少128.65万元，下降49.26%，严控压缩经费，项目经费减少。</w:t>
      </w:r>
    </w:p>
    <w:p>
      <w:pPr>
        <w:widowControl/>
        <w:numPr>
          <w:ilvl w:val="0"/>
          <w:numId w:val="4"/>
        </w:numPr>
        <w:adjustRightInd w:val="0"/>
        <w:snapToGrid w:val="0"/>
        <w:spacing w:line="580" w:lineRule="exact"/>
        <w:ind w:firstLine="640" w:firstLineChars="200"/>
        <w:contextualSpacing/>
        <w:jc w:val="left"/>
        <w:rPr>
          <w:rFonts w:ascii="楷体_GB2312" w:hAnsi="宋体" w:eastAsia="楷体_GB2312" w:cs="宋体"/>
          <w:color w:val="000000"/>
          <w:kern w:val="0"/>
          <w:szCs w:val="32"/>
          <w:shd w:val="clear" w:color="auto" w:fill="FFFFFF"/>
          <w:lang w:val="zh-CN"/>
        </w:rPr>
      </w:pPr>
      <w:r>
        <w:rPr>
          <w:rFonts w:hint="eastAsia" w:ascii="楷体_GB2312" w:hAnsi="宋体" w:eastAsia="楷体_GB2312" w:cs="宋体"/>
          <w:color w:val="000000"/>
          <w:kern w:val="0"/>
          <w:szCs w:val="32"/>
          <w:shd w:val="clear" w:color="auto" w:fill="FFFFFF"/>
          <w:lang w:val="zh-CN"/>
        </w:rPr>
        <w:t>部门财政资金支出情况。</w:t>
      </w:r>
    </w:p>
    <w:p>
      <w:pPr>
        <w:spacing w:line="600" w:lineRule="exact"/>
        <w:ind w:firstLine="640"/>
        <w:rPr>
          <w:rFonts w:ascii="仿宋" w:hAnsi="仿宋" w:eastAsia="仿宋"/>
          <w:b/>
          <w:color w:val="000000"/>
          <w:szCs w:val="32"/>
        </w:rPr>
      </w:pPr>
      <w:r>
        <w:rPr>
          <w:rFonts w:ascii="仿宋" w:hAnsi="仿宋" w:eastAsia="仿宋"/>
          <w:color w:val="000000"/>
          <w:szCs w:val="32"/>
        </w:rPr>
        <w:t>2020</w:t>
      </w:r>
      <w:r>
        <w:rPr>
          <w:rFonts w:hint="eastAsia" w:ascii="仿宋" w:hAnsi="仿宋" w:eastAsia="仿宋"/>
          <w:color w:val="000000"/>
          <w:szCs w:val="32"/>
        </w:rPr>
        <w:t>年一般公共预算财政拨款支出1547.69万元，主要用于以下方面</w:t>
      </w:r>
      <w:r>
        <w:rPr>
          <w:rFonts w:ascii="仿宋" w:hAnsi="仿宋" w:eastAsia="仿宋"/>
          <w:color w:val="000000"/>
          <w:szCs w:val="32"/>
        </w:rPr>
        <w:t>:</w:t>
      </w:r>
      <w:r>
        <w:rPr>
          <w:rFonts w:hint="eastAsia" w:ascii="仿宋" w:hAnsi="仿宋" w:eastAsia="仿宋"/>
          <w:b/>
          <w:color w:val="000000"/>
          <w:szCs w:val="32"/>
        </w:rPr>
        <w:t>社会保障和就业（类）</w:t>
      </w:r>
      <w:r>
        <w:rPr>
          <w:rFonts w:hint="eastAsia" w:ascii="仿宋" w:hAnsi="仿宋" w:eastAsia="仿宋"/>
          <w:color w:val="000000"/>
          <w:szCs w:val="32"/>
        </w:rPr>
        <w:t>支出277.14万元，占17.91</w:t>
      </w:r>
      <w:r>
        <w:rPr>
          <w:rFonts w:ascii="仿宋" w:hAnsi="仿宋" w:eastAsia="仿宋"/>
          <w:color w:val="000000"/>
          <w:szCs w:val="32"/>
        </w:rPr>
        <w:t>%</w:t>
      </w:r>
      <w:r>
        <w:rPr>
          <w:rFonts w:hint="eastAsia" w:ascii="仿宋" w:hAnsi="仿宋" w:eastAsia="仿宋"/>
          <w:color w:val="000000"/>
          <w:szCs w:val="32"/>
        </w:rPr>
        <w:t>；</w:t>
      </w:r>
      <w:r>
        <w:rPr>
          <w:rFonts w:hint="eastAsia" w:ascii="仿宋" w:hAnsi="仿宋" w:eastAsia="仿宋"/>
          <w:b/>
          <w:bCs/>
          <w:color w:val="000000"/>
          <w:szCs w:val="32"/>
        </w:rPr>
        <w:t>卫生健康支出</w:t>
      </w:r>
      <w:r>
        <w:rPr>
          <w:rFonts w:hint="eastAsia" w:ascii="仿宋" w:hAnsi="仿宋" w:eastAsia="仿宋"/>
          <w:color w:val="000000"/>
          <w:szCs w:val="32"/>
        </w:rPr>
        <w:t>44.23万元，占2.86</w:t>
      </w:r>
      <w:r>
        <w:rPr>
          <w:rFonts w:ascii="仿宋" w:hAnsi="仿宋" w:eastAsia="仿宋"/>
          <w:color w:val="000000"/>
          <w:szCs w:val="32"/>
        </w:rPr>
        <w:t>%</w:t>
      </w:r>
      <w:r>
        <w:rPr>
          <w:rFonts w:hint="eastAsia" w:ascii="仿宋" w:hAnsi="仿宋" w:eastAsia="仿宋"/>
          <w:color w:val="000000"/>
          <w:szCs w:val="32"/>
        </w:rPr>
        <w:t>；</w:t>
      </w:r>
      <w:r>
        <w:rPr>
          <w:rFonts w:hint="eastAsia" w:ascii="仿宋" w:hAnsi="仿宋" w:eastAsia="仿宋"/>
          <w:b/>
          <w:color w:val="000000"/>
          <w:szCs w:val="32"/>
        </w:rPr>
        <w:t>城乡社区支出（类）</w:t>
      </w:r>
      <w:r>
        <w:rPr>
          <w:rFonts w:hint="eastAsia" w:ascii="仿宋" w:hAnsi="仿宋" w:eastAsia="仿宋"/>
          <w:color w:val="000000"/>
          <w:szCs w:val="32"/>
        </w:rPr>
        <w:t>支出1079.29万元，占69.74%；</w:t>
      </w:r>
      <w:r>
        <w:rPr>
          <w:rFonts w:hint="eastAsia" w:ascii="仿宋" w:hAnsi="仿宋" w:eastAsia="仿宋"/>
          <w:b/>
          <w:color w:val="000000"/>
          <w:szCs w:val="32"/>
        </w:rPr>
        <w:t>住房保障（类）</w:t>
      </w:r>
      <w:r>
        <w:rPr>
          <w:rFonts w:hint="eastAsia" w:ascii="仿宋" w:hAnsi="仿宋" w:eastAsia="仿宋"/>
          <w:color w:val="000000"/>
          <w:szCs w:val="32"/>
        </w:rPr>
        <w:t>支出147.03万元，占9.5</w:t>
      </w:r>
      <w:r>
        <w:rPr>
          <w:rFonts w:ascii="仿宋" w:hAnsi="仿宋" w:eastAsia="仿宋"/>
          <w:color w:val="000000"/>
          <w:szCs w:val="32"/>
        </w:rPr>
        <w:t>%</w:t>
      </w:r>
      <w:r>
        <w:rPr>
          <w:rFonts w:hint="eastAsia" w:ascii="仿宋" w:hAnsi="仿宋" w:eastAsia="仿宋"/>
          <w:color w:val="000000"/>
          <w:szCs w:val="32"/>
        </w:rPr>
        <w:t>。</w:t>
      </w:r>
    </w:p>
    <w:p>
      <w:pPr>
        <w:widowControl/>
        <w:adjustRightInd w:val="0"/>
        <w:snapToGrid w:val="0"/>
        <w:spacing w:line="580" w:lineRule="exact"/>
        <w:ind w:firstLine="640" w:firstLineChars="200"/>
        <w:contextualSpacing/>
        <w:jc w:val="left"/>
        <w:rPr>
          <w:rFonts w:ascii="黑体" w:hAnsi="宋体" w:eastAsia="黑体" w:cs="宋体"/>
          <w:color w:val="000000"/>
          <w:kern w:val="0"/>
          <w:szCs w:val="32"/>
          <w:shd w:val="clear" w:color="auto" w:fill="FFFFFF"/>
        </w:rPr>
      </w:pPr>
      <w:r>
        <w:rPr>
          <w:rFonts w:hint="eastAsia" w:ascii="黑体" w:hAnsi="宋体" w:eastAsia="黑体" w:cs="宋体"/>
          <w:color w:val="000000"/>
          <w:kern w:val="0"/>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楷体_GB2312" w:hAnsi="宋体" w:eastAsia="楷体_GB2312" w:cs="宋体"/>
          <w:color w:val="000000"/>
          <w:kern w:val="0"/>
          <w:szCs w:val="32"/>
          <w:shd w:val="clear" w:color="auto" w:fill="FFFFFF"/>
          <w:lang w:val="zh-CN"/>
        </w:rPr>
      </w:pPr>
      <w:r>
        <w:rPr>
          <w:rFonts w:hint="eastAsia" w:ascii="楷体_GB2312" w:hAnsi="宋体" w:eastAsia="楷体_GB2312" w:cs="宋体"/>
          <w:color w:val="000000"/>
          <w:kern w:val="0"/>
          <w:szCs w:val="32"/>
          <w:shd w:val="clear" w:color="auto" w:fill="FFFFFF"/>
          <w:lang w:val="zh-CN"/>
        </w:rPr>
        <w:t>（一）部门预算管理。</w:t>
      </w:r>
    </w:p>
    <w:p>
      <w:pPr>
        <w:spacing w:line="592" w:lineRule="exact"/>
        <w:ind w:firstLine="641"/>
        <w:rPr>
          <w:rFonts w:ascii="仿宋_GB2312" w:hAnsi="宋体" w:cs="宋体"/>
          <w:color w:val="000000"/>
          <w:kern w:val="0"/>
          <w:szCs w:val="32"/>
          <w:shd w:val="clear" w:color="auto" w:fill="FFFFFF"/>
          <w:lang w:val="zh-CN"/>
        </w:rPr>
      </w:pPr>
      <w:r>
        <w:rPr>
          <w:rFonts w:hint="eastAsia" w:ascii="仿宋_GB2312" w:hAnsi="仿宋"/>
          <w:color w:val="000000"/>
          <w:szCs w:val="32"/>
        </w:rPr>
        <w:t>自贡市自流井区住房保障中心预算执行及时合规，严格按照区财政要求，进一步对预算进行细化管理，并结合自身实际情况提出建议。</w:t>
      </w:r>
    </w:p>
    <w:p>
      <w:pPr>
        <w:widowControl/>
        <w:adjustRightInd w:val="0"/>
        <w:snapToGrid w:val="0"/>
        <w:spacing w:line="592" w:lineRule="exact"/>
        <w:ind w:firstLine="640" w:firstLineChars="200"/>
        <w:contextualSpacing/>
        <w:jc w:val="left"/>
        <w:rPr>
          <w:rFonts w:ascii="楷体_GB2312" w:hAnsi="宋体" w:eastAsia="楷体_GB2312" w:cs="宋体"/>
          <w:color w:val="000000"/>
          <w:kern w:val="0"/>
          <w:szCs w:val="32"/>
          <w:shd w:val="clear" w:color="auto" w:fill="FFFFFF"/>
          <w:lang w:val="zh-CN"/>
        </w:rPr>
      </w:pPr>
      <w:r>
        <w:rPr>
          <w:rFonts w:hint="eastAsia" w:ascii="楷体_GB2312" w:hAnsi="宋体" w:eastAsia="楷体_GB2312" w:cs="宋体"/>
          <w:color w:val="000000"/>
          <w:kern w:val="0"/>
          <w:szCs w:val="32"/>
          <w:shd w:val="clear" w:color="auto" w:fill="FFFFFF"/>
          <w:lang w:val="zh-CN"/>
        </w:rPr>
        <w:t>（二）结果应用情况。</w:t>
      </w:r>
    </w:p>
    <w:p>
      <w:pPr>
        <w:spacing w:line="592" w:lineRule="exact"/>
        <w:ind w:firstLine="641"/>
        <w:rPr>
          <w:rFonts w:ascii="仿宋_GB2312" w:hAnsi="仿宋"/>
          <w:color w:val="000000"/>
          <w:szCs w:val="32"/>
        </w:rPr>
      </w:pPr>
      <w:r>
        <w:rPr>
          <w:rFonts w:hint="eastAsia" w:ascii="仿宋_GB2312" w:hAnsi="仿宋"/>
          <w:color w:val="000000"/>
          <w:szCs w:val="32"/>
        </w:rPr>
        <w:t>部门整体支出绩效管理使自贡市自流井区住房保障中心财务制度得到进一步完善、使我中心财政收支预算执行得到了良好的制度保障。</w:t>
      </w:r>
    </w:p>
    <w:p>
      <w:pPr>
        <w:widowControl/>
        <w:adjustRightInd w:val="0"/>
        <w:snapToGrid w:val="0"/>
        <w:spacing w:line="592" w:lineRule="exact"/>
        <w:ind w:firstLine="640" w:firstLineChars="200"/>
        <w:contextualSpacing/>
        <w:jc w:val="left"/>
        <w:rPr>
          <w:rFonts w:ascii="黑体" w:hAnsi="宋体" w:eastAsia="黑体" w:cs="宋体"/>
          <w:color w:val="000000"/>
          <w:kern w:val="0"/>
          <w:szCs w:val="32"/>
          <w:shd w:val="clear" w:color="auto" w:fill="FFFFFF"/>
        </w:rPr>
      </w:pPr>
      <w:r>
        <w:rPr>
          <w:rFonts w:hint="eastAsia" w:ascii="黑体" w:hAnsi="宋体" w:eastAsia="黑体" w:cs="宋体"/>
          <w:color w:val="000000"/>
          <w:kern w:val="0"/>
          <w:szCs w:val="32"/>
          <w:shd w:val="clear" w:color="auto" w:fill="FFFFFF"/>
        </w:rPr>
        <w:t>四、评价结论及建议</w:t>
      </w:r>
    </w:p>
    <w:p>
      <w:pPr>
        <w:widowControl/>
        <w:adjustRightInd w:val="0"/>
        <w:snapToGrid w:val="0"/>
        <w:spacing w:line="592" w:lineRule="exact"/>
        <w:ind w:firstLine="640" w:firstLineChars="200"/>
        <w:contextualSpacing/>
        <w:jc w:val="left"/>
        <w:rPr>
          <w:rFonts w:ascii="楷体_GB2312" w:hAnsi="宋体" w:eastAsia="楷体_GB2312" w:cs="宋体"/>
          <w:color w:val="000000"/>
          <w:kern w:val="0"/>
          <w:szCs w:val="32"/>
          <w:shd w:val="clear" w:color="auto" w:fill="FFFFFF"/>
          <w:lang w:val="zh-CN"/>
        </w:rPr>
      </w:pPr>
      <w:r>
        <w:rPr>
          <w:rFonts w:hint="eastAsia" w:ascii="楷体_GB2312" w:hAnsi="宋体" w:eastAsia="楷体_GB2312" w:cs="宋体"/>
          <w:color w:val="000000"/>
          <w:kern w:val="0"/>
          <w:szCs w:val="32"/>
          <w:shd w:val="clear" w:color="auto" w:fill="FFFFFF"/>
          <w:lang w:val="zh-CN"/>
        </w:rPr>
        <w:t>（一）评价结论。</w:t>
      </w:r>
    </w:p>
    <w:p>
      <w:pPr>
        <w:pStyle w:val="4"/>
        <w:spacing w:before="93" w:line="592" w:lineRule="exact"/>
        <w:ind w:firstLine="640" w:firstLineChars="200"/>
        <w:rPr>
          <w:lang w:val="zh-CN"/>
        </w:rPr>
      </w:pPr>
      <w:r>
        <w:rPr>
          <w:rFonts w:hint="eastAsia" w:hAnsi="仿宋_GB2312" w:cs="仿宋_GB2312"/>
          <w:sz w:val="32"/>
          <w:shd w:val="clear" w:color="auto" w:fill="FFFFFF"/>
        </w:rPr>
        <w:t>2020年，</w:t>
      </w:r>
      <w:r>
        <w:rPr>
          <w:rFonts w:hint="eastAsia" w:hAnsi="仿宋"/>
          <w:color w:val="000000"/>
          <w:sz w:val="32"/>
          <w:szCs w:val="32"/>
        </w:rPr>
        <w:t>自贡市自流井区住房保障中心</w:t>
      </w:r>
      <w:r>
        <w:rPr>
          <w:rFonts w:hint="eastAsia" w:hAnsi="仿宋_GB2312" w:cs="仿宋_GB2312"/>
          <w:sz w:val="32"/>
          <w:shd w:val="clear" w:color="auto" w:fill="FFFFFF"/>
        </w:rPr>
        <w:t>紧紧围绕全年工作任务，在上级部门的指导下，提升了预算收支管理水平，完善了内部管理制度，圆满地完成了各项工作任务。</w:t>
      </w:r>
    </w:p>
    <w:p>
      <w:pPr>
        <w:widowControl/>
        <w:numPr>
          <w:ilvl w:val="0"/>
          <w:numId w:val="5"/>
        </w:numPr>
        <w:adjustRightInd w:val="0"/>
        <w:snapToGrid w:val="0"/>
        <w:spacing w:line="592" w:lineRule="exact"/>
        <w:ind w:firstLine="640" w:firstLineChars="200"/>
        <w:contextualSpacing/>
        <w:jc w:val="left"/>
        <w:rPr>
          <w:rFonts w:ascii="楷体_GB2312" w:hAnsi="宋体" w:eastAsia="楷体_GB2312" w:cs="宋体"/>
          <w:color w:val="000000"/>
          <w:kern w:val="0"/>
          <w:szCs w:val="32"/>
          <w:shd w:val="clear" w:color="auto" w:fill="FFFFFF"/>
          <w:lang w:val="zh-CN"/>
        </w:rPr>
      </w:pPr>
      <w:r>
        <w:rPr>
          <w:rFonts w:hint="eastAsia" w:ascii="楷体_GB2312" w:hAnsi="宋体" w:eastAsia="楷体_GB2312" w:cs="宋体"/>
          <w:color w:val="000000"/>
          <w:kern w:val="0"/>
          <w:szCs w:val="32"/>
          <w:shd w:val="clear" w:color="auto" w:fill="FFFFFF"/>
          <w:lang w:val="zh-CN"/>
        </w:rPr>
        <w:t>存在问题。</w:t>
      </w:r>
    </w:p>
    <w:p>
      <w:pPr>
        <w:spacing w:line="592" w:lineRule="exact"/>
        <w:ind w:firstLine="641"/>
        <w:jc w:val="left"/>
        <w:rPr>
          <w:rFonts w:ascii="仿宋_GB2312"/>
          <w:lang w:val="zh-CN"/>
        </w:rPr>
      </w:pPr>
      <w:r>
        <w:rPr>
          <w:rFonts w:hint="eastAsia" w:ascii="仿宋_GB2312" w:hAnsi="仿宋"/>
          <w:color w:val="000000"/>
          <w:szCs w:val="32"/>
        </w:rPr>
        <w:t>自贡市自流井区住房保障中心</w:t>
      </w:r>
      <w:r>
        <w:rPr>
          <w:rFonts w:hint="eastAsia" w:ascii="仿宋_GB2312" w:hAnsi="仿宋_GB2312" w:cs="仿宋_GB2312"/>
          <w:kern w:val="0"/>
          <w:szCs w:val="20"/>
          <w:shd w:val="clear" w:color="auto" w:fill="FFFFFF"/>
        </w:rPr>
        <w:t>职工理论知识、专业技术水平还有待提高，需进一步加强学习</w:t>
      </w:r>
      <w:r>
        <w:rPr>
          <w:rFonts w:hint="eastAsia" w:ascii="仿宋_GB2312" w:hAnsi="仿宋_GB2312" w:cs="仿宋_GB2312"/>
          <w:shd w:val="clear" w:color="auto" w:fill="FFFFFF"/>
        </w:rPr>
        <w:t>。</w:t>
      </w:r>
    </w:p>
    <w:p>
      <w:pPr>
        <w:widowControl/>
        <w:adjustRightInd w:val="0"/>
        <w:snapToGrid w:val="0"/>
        <w:spacing w:line="592" w:lineRule="exact"/>
        <w:ind w:firstLine="640" w:firstLineChars="200"/>
        <w:contextualSpacing/>
        <w:jc w:val="left"/>
        <w:rPr>
          <w:rFonts w:ascii="楷体_GB2312" w:hAnsi="宋体" w:eastAsia="楷体_GB2312" w:cs="宋体"/>
          <w:color w:val="000000"/>
          <w:kern w:val="0"/>
          <w:szCs w:val="32"/>
          <w:shd w:val="clear" w:color="auto" w:fill="FFFFFF"/>
          <w:lang w:val="zh-CN"/>
        </w:rPr>
      </w:pPr>
      <w:r>
        <w:rPr>
          <w:rFonts w:hint="eastAsia" w:ascii="楷体_GB2312" w:hAnsi="宋体" w:eastAsia="楷体_GB2312" w:cs="宋体"/>
          <w:color w:val="000000"/>
          <w:kern w:val="0"/>
          <w:szCs w:val="32"/>
          <w:shd w:val="clear" w:color="auto" w:fill="FFFFFF"/>
          <w:lang w:val="zh-CN"/>
        </w:rPr>
        <w:t>（三）改进建议。</w:t>
      </w:r>
    </w:p>
    <w:p>
      <w:pPr>
        <w:spacing w:line="592" w:lineRule="exact"/>
        <w:ind w:firstLine="640" w:firstLineChars="200"/>
        <w:rPr>
          <w:rFonts w:ascii="仿宋_GB2312" w:hAnsi="仿宋_GB2312" w:cs="仿宋_GB2312"/>
          <w:szCs w:val="32"/>
        </w:rPr>
      </w:pPr>
      <w:r>
        <w:rPr>
          <w:rFonts w:hint="eastAsia" w:ascii="仿宋_GB2312" w:hAnsi="仿宋"/>
          <w:color w:val="000000"/>
          <w:szCs w:val="32"/>
        </w:rPr>
        <w:t>自贡市自流井区住房保障中心</w:t>
      </w:r>
      <w:r>
        <w:rPr>
          <w:rFonts w:hint="eastAsia" w:ascii="仿宋_GB2312" w:hAnsi="仿宋_GB2312" w:cs="仿宋_GB2312"/>
          <w:szCs w:val="32"/>
          <w:shd w:val="clear" w:color="auto" w:fill="FFFFFF"/>
        </w:rPr>
        <w:t>在管理过程中需加强对支出的管理，</w:t>
      </w:r>
      <w:r>
        <w:rPr>
          <w:rFonts w:hint="eastAsia" w:ascii="仿宋_GB2312" w:hAnsi="仿宋_GB2312" w:cs="仿宋_GB2312"/>
          <w:color w:val="000000"/>
          <w:kern w:val="0"/>
          <w:szCs w:val="32"/>
        </w:rPr>
        <w:t>严格遵守预算编制的相关制度和要求，进一步提高预算编制水平。</w:t>
      </w: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eastAsia="仿宋_GB2312" w:cs="仿宋_GB2312"/>
          <w:sz w:val="32"/>
          <w:szCs w:val="32"/>
        </w:rPr>
      </w:pPr>
    </w:p>
    <w:p>
      <w:pPr>
        <w:spacing w:line="580" w:lineRule="exact"/>
        <w:outlineLvl w:val="1"/>
        <w:rPr>
          <w:rFonts w:ascii="仿宋_GB2312" w:hAnsi="仿宋_GB2312" w:eastAsia="仿宋_GB2312" w:cs="仿宋_GB2312"/>
          <w:sz w:val="32"/>
          <w:szCs w:val="32"/>
        </w:rPr>
      </w:pPr>
      <w:bookmarkStart w:id="91" w:name="_Toc11602"/>
      <w:bookmarkStart w:id="92" w:name="_Toc6970"/>
      <w:r>
        <w:rPr>
          <w:rFonts w:hint="eastAsia" w:ascii="黑体" w:hAnsi="黑体" w:eastAsia="黑体" w:cs="黑体"/>
          <w:sz w:val="32"/>
          <w:szCs w:val="32"/>
        </w:rPr>
        <w:t>附件</w:t>
      </w:r>
      <w:r>
        <w:rPr>
          <w:rFonts w:ascii="黑体" w:hAnsi="黑体" w:eastAsia="黑体" w:cs="黑体"/>
          <w:sz w:val="32"/>
          <w:szCs w:val="32"/>
        </w:rPr>
        <w:t>2</w:t>
      </w:r>
      <w:bookmarkEnd w:id="91"/>
      <w:bookmarkEnd w:id="92"/>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ascii="方正小标宋简体" w:hAnsi="宋体" w:eastAsia="方正小标宋简体"/>
          <w:kern w:val="0"/>
          <w:sz w:val="44"/>
          <w:szCs w:val="44"/>
          <w:lang w:val="zh-CN"/>
        </w:rPr>
      </w:pPr>
      <w:r>
        <w:rPr>
          <w:rFonts w:hint="eastAsia" w:ascii="方正小标宋简体" w:hAnsi="宋体" w:eastAsia="方正小标宋简体"/>
          <w:kern w:val="0"/>
          <w:sz w:val="44"/>
          <w:szCs w:val="44"/>
        </w:rPr>
        <w:t>租赁补贴</w:t>
      </w:r>
      <w:r>
        <w:rPr>
          <w:rFonts w:hint="eastAsia" w:ascii="方正小标宋简体" w:hAnsi="宋体" w:eastAsia="方正小标宋简体"/>
          <w:kern w:val="0"/>
          <w:sz w:val="44"/>
          <w:szCs w:val="44"/>
          <w:lang w:val="zh-CN"/>
        </w:rPr>
        <w:t>项目</w:t>
      </w:r>
      <w:r>
        <w:rPr>
          <w:rFonts w:hint="eastAsia" w:ascii="方正小标宋简体" w:hAnsi="宋体" w:eastAsia="方正小标宋简体"/>
          <w:kern w:val="0"/>
          <w:sz w:val="44"/>
          <w:szCs w:val="44"/>
        </w:rPr>
        <w:t>2020年</w:t>
      </w:r>
      <w:r>
        <w:rPr>
          <w:rFonts w:hint="eastAsia" w:ascii="方正小标宋简体" w:hAnsi="宋体" w:eastAsia="方正小标宋简体"/>
          <w:kern w:val="0"/>
          <w:sz w:val="44"/>
          <w:szCs w:val="44"/>
          <w:lang w:val="zh-CN"/>
        </w:rPr>
        <w:t>绩效评价报告</w:t>
      </w:r>
    </w:p>
    <w:p>
      <w:pPr>
        <w:spacing w:line="600" w:lineRule="exact"/>
        <w:jc w:val="center"/>
        <w:rPr>
          <w:rFonts w:ascii="方正小标宋简体" w:hAnsi="宋体" w:eastAsia="方正小标宋简体"/>
          <w:kern w:val="0"/>
          <w:sz w:val="44"/>
          <w:szCs w:val="44"/>
          <w:lang w:val="zh-CN"/>
        </w:rPr>
      </w:pPr>
    </w:p>
    <w:p>
      <w:pPr>
        <w:adjustRightInd w:val="0"/>
        <w:snapToGrid w:val="0"/>
        <w:spacing w:line="600" w:lineRule="exact"/>
        <w:ind w:firstLine="720"/>
        <w:rPr>
          <w:rFonts w:ascii="黑体" w:hAnsi="宋体" w:eastAsia="黑体"/>
          <w:szCs w:val="32"/>
          <w:lang w:val="zh-CN"/>
        </w:rPr>
      </w:pPr>
      <w:r>
        <w:rPr>
          <w:rFonts w:hint="eastAsia" w:ascii="黑体" w:hAnsi="宋体" w:eastAsia="黑体"/>
          <w:szCs w:val="32"/>
        </w:rPr>
        <w:t>一、</w:t>
      </w:r>
      <w:r>
        <w:rPr>
          <w:rFonts w:hint="eastAsia" w:ascii="黑体" w:hAnsi="宋体" w:eastAsia="黑体"/>
          <w:szCs w:val="32"/>
          <w:lang w:val="zh-CN"/>
        </w:rPr>
        <w:t>项目概况</w:t>
      </w:r>
    </w:p>
    <w:p>
      <w:pPr>
        <w:adjustRightInd w:val="0"/>
        <w:snapToGrid w:val="0"/>
        <w:spacing w:line="600" w:lineRule="exact"/>
        <w:ind w:firstLine="720"/>
        <w:rPr>
          <w:rFonts w:ascii="楷体_GB2312" w:hAnsi="宋体" w:eastAsia="楷体_GB2312"/>
          <w:szCs w:val="32"/>
          <w:lang w:val="zh-CN"/>
        </w:rPr>
      </w:pPr>
      <w:r>
        <w:rPr>
          <w:rFonts w:hint="eastAsia" w:ascii="楷体_GB2312" w:hAnsi="宋体" w:eastAsia="楷体_GB2312"/>
          <w:szCs w:val="32"/>
          <w:lang w:val="zh-CN"/>
        </w:rPr>
        <w:t>（一）项目基本情况。</w:t>
      </w:r>
    </w:p>
    <w:p>
      <w:pPr>
        <w:adjustRightInd w:val="0"/>
        <w:snapToGrid w:val="0"/>
        <w:spacing w:line="600" w:lineRule="exact"/>
        <w:ind w:firstLine="720"/>
        <w:rPr>
          <w:szCs w:val="32"/>
        </w:rPr>
      </w:pPr>
      <w:r>
        <w:rPr>
          <w:rFonts w:hint="eastAsia"/>
          <w:szCs w:val="32"/>
        </w:rPr>
        <w:t>为加快实现新型城镇化，切实提高城镇居民生活水平，与全国、全省同步全面建成小康社会，我区</w:t>
      </w:r>
      <w:r>
        <w:rPr>
          <w:szCs w:val="32"/>
        </w:rPr>
        <w:t>2020</w:t>
      </w:r>
      <w:r>
        <w:rPr>
          <w:rFonts w:hint="eastAsia"/>
          <w:szCs w:val="32"/>
        </w:rPr>
        <w:t>年继续推进城镇保障性安居工程建设</w:t>
      </w:r>
      <w:r>
        <w:rPr>
          <w:szCs w:val="32"/>
        </w:rPr>
        <w:t>,</w:t>
      </w:r>
      <w:r>
        <w:rPr>
          <w:rFonts w:hint="eastAsia"/>
          <w:szCs w:val="32"/>
        </w:rPr>
        <w:t>自贡市人民政府办公室（关于印发《</w:t>
      </w:r>
      <w:r>
        <w:rPr>
          <w:szCs w:val="32"/>
        </w:rPr>
        <w:t>2020</w:t>
      </w:r>
      <w:r>
        <w:rPr>
          <w:rFonts w:hint="eastAsia"/>
          <w:szCs w:val="32"/>
        </w:rPr>
        <w:t>年自贡市</w:t>
      </w:r>
      <w:r>
        <w:rPr>
          <w:szCs w:val="32"/>
        </w:rPr>
        <w:t>20</w:t>
      </w:r>
      <w:r>
        <w:rPr>
          <w:rFonts w:hint="eastAsia"/>
          <w:szCs w:val="32"/>
        </w:rPr>
        <w:t>件市下民生实事目标任务、资金分解和进度安排表》的通知）自府办发（</w:t>
      </w:r>
      <w:r>
        <w:rPr>
          <w:szCs w:val="32"/>
        </w:rPr>
        <w:t>2020</w:t>
      </w:r>
      <w:r>
        <w:rPr>
          <w:rFonts w:hint="eastAsia"/>
          <w:szCs w:val="32"/>
        </w:rPr>
        <w:t>）</w:t>
      </w:r>
      <w:r>
        <w:rPr>
          <w:szCs w:val="32"/>
        </w:rPr>
        <w:t>13</w:t>
      </w:r>
      <w:r>
        <w:rPr>
          <w:rFonts w:hint="eastAsia"/>
          <w:szCs w:val="32"/>
        </w:rPr>
        <w:t>号，四川省财政厅和四川省住房和城乡建设厅下达了</w:t>
      </w:r>
      <w:r>
        <w:rPr>
          <w:szCs w:val="32"/>
        </w:rPr>
        <w:t>2020</w:t>
      </w:r>
      <w:r>
        <w:rPr>
          <w:rFonts w:hint="eastAsia"/>
          <w:szCs w:val="32"/>
        </w:rPr>
        <w:t>年度租赁补贴资金，具体目标任务为公租房保障中央和省级资金</w:t>
      </w:r>
      <w:r>
        <w:rPr>
          <w:szCs w:val="32"/>
        </w:rPr>
        <w:t>133</w:t>
      </w:r>
      <w:r>
        <w:rPr>
          <w:rFonts w:hint="eastAsia"/>
          <w:szCs w:val="32"/>
        </w:rPr>
        <w:t>万元，</w:t>
      </w:r>
      <w:r>
        <w:rPr>
          <w:szCs w:val="32"/>
        </w:rPr>
        <w:t>2019</w:t>
      </w:r>
      <w:r>
        <w:rPr>
          <w:rFonts w:hint="eastAsia"/>
          <w:szCs w:val="32"/>
        </w:rPr>
        <w:t>年结转公租房保障</w:t>
      </w:r>
      <w:r>
        <w:rPr>
          <w:szCs w:val="32"/>
        </w:rPr>
        <w:t>16.02</w:t>
      </w:r>
      <w:r>
        <w:rPr>
          <w:rFonts w:hint="eastAsia"/>
          <w:szCs w:val="32"/>
        </w:rPr>
        <w:t>万元用于保障</w:t>
      </w:r>
      <w:r>
        <w:rPr>
          <w:szCs w:val="32"/>
        </w:rPr>
        <w:t>2020</w:t>
      </w:r>
      <w:r>
        <w:rPr>
          <w:rFonts w:hint="eastAsia"/>
          <w:szCs w:val="32"/>
        </w:rPr>
        <w:t>年度租赁补贴发放，发放租赁补贴户数大于等于</w:t>
      </w:r>
      <w:r>
        <w:rPr>
          <w:szCs w:val="32"/>
        </w:rPr>
        <w:t>600</w:t>
      </w:r>
      <w:r>
        <w:rPr>
          <w:rFonts w:hint="eastAsia"/>
          <w:szCs w:val="32"/>
        </w:rPr>
        <w:t>户。</w:t>
      </w:r>
    </w:p>
    <w:p>
      <w:pPr>
        <w:pStyle w:val="15"/>
        <w:numPr>
          <w:ilvl w:val="0"/>
          <w:numId w:val="6"/>
        </w:numPr>
        <w:adjustRightInd w:val="0"/>
        <w:snapToGrid w:val="0"/>
        <w:spacing w:line="600" w:lineRule="exact"/>
        <w:ind w:firstLineChars="0"/>
        <w:rPr>
          <w:rFonts w:ascii="楷体_GB2312" w:hAnsi="宋体" w:eastAsia="楷体_GB2312"/>
          <w:szCs w:val="32"/>
          <w:lang w:val="zh-CN"/>
        </w:rPr>
      </w:pPr>
      <w:r>
        <w:rPr>
          <w:rFonts w:hint="eastAsia" w:ascii="楷体_GB2312" w:hAnsi="宋体" w:eastAsia="楷体_GB2312"/>
          <w:szCs w:val="32"/>
          <w:lang w:val="zh-CN"/>
        </w:rPr>
        <w:t>项目绩效目标。</w:t>
      </w:r>
    </w:p>
    <w:p>
      <w:pPr>
        <w:adjustRightInd w:val="0"/>
        <w:snapToGrid w:val="0"/>
        <w:spacing w:line="580" w:lineRule="exact"/>
        <w:ind w:left="640"/>
        <w:rPr>
          <w:szCs w:val="32"/>
        </w:rPr>
      </w:pPr>
      <w:r>
        <w:rPr>
          <w:rFonts w:hint="eastAsia"/>
          <w:szCs w:val="32"/>
        </w:rPr>
        <w:t>⒈定量</w:t>
      </w:r>
      <w:r>
        <w:rPr>
          <w:rFonts w:hint="eastAsia"/>
          <w:szCs w:val="32"/>
          <w:lang w:val="zh-CN"/>
        </w:rPr>
        <w:t>绩效目标：</w:t>
      </w:r>
      <w:r>
        <w:rPr>
          <w:rFonts w:hint="eastAsia"/>
          <w:szCs w:val="32"/>
        </w:rPr>
        <w:t>补贴户数目标</w:t>
      </w:r>
      <w:r>
        <w:rPr>
          <w:szCs w:val="32"/>
        </w:rPr>
        <w:t>&gt;=600</w:t>
      </w:r>
      <w:r>
        <w:rPr>
          <w:rFonts w:hint="eastAsia"/>
          <w:szCs w:val="32"/>
        </w:rPr>
        <w:t>户</w:t>
      </w:r>
    </w:p>
    <w:p>
      <w:pPr>
        <w:adjustRightInd w:val="0"/>
        <w:snapToGrid w:val="0"/>
        <w:spacing w:line="580" w:lineRule="exact"/>
        <w:rPr>
          <w:rFonts w:ascii="楷体_GB2312" w:hAnsi="宋体" w:eastAsia="楷体_GB2312"/>
          <w:b/>
          <w:szCs w:val="32"/>
        </w:rPr>
      </w:pPr>
      <w:r>
        <w:rPr>
          <w:szCs w:val="32"/>
        </w:rPr>
        <w:t xml:space="preserve">    2.</w:t>
      </w:r>
      <w:r>
        <w:rPr>
          <w:rFonts w:hint="eastAsia"/>
          <w:szCs w:val="32"/>
        </w:rPr>
        <w:t>定性绩效目标：确保公租房正常运行、租赁补贴及时发放，保障日常工作的正常开展，保障中央、省、市、区的住房保障政策精神得到有效的执行和贯彻。</w:t>
      </w:r>
    </w:p>
    <w:p>
      <w:pPr>
        <w:adjustRightInd w:val="0"/>
        <w:snapToGrid w:val="0"/>
        <w:spacing w:line="600" w:lineRule="exact"/>
        <w:ind w:firstLine="720"/>
        <w:rPr>
          <w:rFonts w:ascii="楷体_GB2312" w:hAnsi="宋体" w:eastAsia="楷体_GB2312"/>
          <w:szCs w:val="32"/>
          <w:lang w:val="zh-CN"/>
        </w:rPr>
      </w:pPr>
      <w:r>
        <w:rPr>
          <w:rFonts w:hint="eastAsia" w:ascii="楷体_GB2312" w:hAnsi="宋体" w:eastAsia="楷体_GB2312"/>
          <w:szCs w:val="32"/>
          <w:lang w:val="zh-CN"/>
        </w:rPr>
        <w:t>（三）项目自评步骤及方法。</w:t>
      </w:r>
    </w:p>
    <w:p>
      <w:pPr>
        <w:adjustRightInd w:val="0"/>
        <w:snapToGrid w:val="0"/>
        <w:spacing w:line="600" w:lineRule="exact"/>
        <w:ind w:firstLine="720"/>
        <w:rPr>
          <w:rFonts w:ascii="楷体_GB2312" w:hAnsi="宋体" w:eastAsia="楷体_GB2312"/>
          <w:b/>
          <w:color w:val="FF0000"/>
          <w:szCs w:val="32"/>
          <w:lang w:val="zh-CN"/>
        </w:rPr>
      </w:pPr>
      <w:r>
        <w:rPr>
          <w:rFonts w:hint="eastAsia"/>
          <w:kern w:val="0"/>
          <w:szCs w:val="32"/>
        </w:rPr>
        <w:t>根据《财政部住房城乡建设部关于印发</w:t>
      </w:r>
      <w:r>
        <w:rPr>
          <w:kern w:val="0"/>
          <w:szCs w:val="32"/>
        </w:rPr>
        <w:t>&lt;</w:t>
      </w:r>
      <w:r>
        <w:rPr>
          <w:rFonts w:hint="eastAsia"/>
          <w:kern w:val="0"/>
          <w:szCs w:val="32"/>
        </w:rPr>
        <w:t>城镇保障性安居工程财政资金绩效评价办法</w:t>
      </w:r>
      <w:r>
        <w:rPr>
          <w:kern w:val="0"/>
          <w:szCs w:val="32"/>
        </w:rPr>
        <w:t>&gt;</w:t>
      </w:r>
      <w:r>
        <w:rPr>
          <w:rFonts w:hint="eastAsia"/>
          <w:kern w:val="0"/>
          <w:szCs w:val="32"/>
        </w:rPr>
        <w:t>的通知》（财综〔</w:t>
      </w:r>
      <w:r>
        <w:rPr>
          <w:kern w:val="0"/>
          <w:szCs w:val="32"/>
        </w:rPr>
        <w:t>2020</w:t>
      </w:r>
      <w:r>
        <w:rPr>
          <w:rFonts w:hint="eastAsia"/>
          <w:kern w:val="0"/>
          <w:szCs w:val="32"/>
        </w:rPr>
        <w:t>〕</w:t>
      </w:r>
      <w:r>
        <w:rPr>
          <w:kern w:val="0"/>
          <w:szCs w:val="32"/>
        </w:rPr>
        <w:t>19</w:t>
      </w:r>
      <w:r>
        <w:rPr>
          <w:rFonts w:hint="eastAsia"/>
          <w:kern w:val="0"/>
          <w:szCs w:val="32"/>
        </w:rPr>
        <w:t>号）、《四川省财政厅、住房和城乡建设厅</w:t>
      </w:r>
      <w:r>
        <w:rPr>
          <w:kern w:val="0"/>
          <w:szCs w:val="32"/>
        </w:rPr>
        <w:t>&lt;</w:t>
      </w:r>
      <w:r>
        <w:rPr>
          <w:rFonts w:hint="eastAsia"/>
          <w:kern w:val="0"/>
          <w:szCs w:val="32"/>
        </w:rPr>
        <w:t>城镇保障性安居工程财政资金绩效评价实施细则</w:t>
      </w:r>
      <w:r>
        <w:rPr>
          <w:kern w:val="0"/>
          <w:szCs w:val="32"/>
        </w:rPr>
        <w:t>&gt;</w:t>
      </w:r>
      <w:r>
        <w:rPr>
          <w:rFonts w:hint="eastAsia"/>
          <w:kern w:val="0"/>
          <w:szCs w:val="32"/>
        </w:rPr>
        <w:t>的通知》（川财综</w:t>
      </w:r>
      <w:r>
        <w:rPr>
          <w:kern w:val="0"/>
          <w:szCs w:val="32"/>
        </w:rPr>
        <w:t>[2020]29</w:t>
      </w:r>
      <w:r>
        <w:rPr>
          <w:rFonts w:hint="eastAsia"/>
          <w:kern w:val="0"/>
          <w:szCs w:val="32"/>
        </w:rPr>
        <w:t>号）以及自贡市财政局</w:t>
      </w:r>
      <w:r>
        <w:rPr>
          <w:rFonts w:hint="eastAsia" w:eastAsia="仿宋"/>
          <w:szCs w:val="32"/>
        </w:rPr>
        <w:t>《关于</w:t>
      </w:r>
      <w:r>
        <w:rPr>
          <w:rFonts w:eastAsia="仿宋"/>
          <w:szCs w:val="32"/>
        </w:rPr>
        <w:t>2020</w:t>
      </w:r>
      <w:r>
        <w:rPr>
          <w:rFonts w:hint="eastAsia" w:eastAsia="仿宋"/>
          <w:szCs w:val="32"/>
        </w:rPr>
        <w:t>年财政支出绩效评价工作的通知》（自财绩（</w:t>
      </w:r>
      <w:r>
        <w:rPr>
          <w:rFonts w:eastAsia="仿宋"/>
          <w:szCs w:val="32"/>
        </w:rPr>
        <w:t>2020</w:t>
      </w:r>
      <w:r>
        <w:rPr>
          <w:rFonts w:hint="eastAsia" w:eastAsia="仿宋"/>
          <w:szCs w:val="32"/>
        </w:rPr>
        <w:t>）</w:t>
      </w:r>
      <w:r>
        <w:rPr>
          <w:rFonts w:eastAsia="仿宋"/>
          <w:szCs w:val="32"/>
        </w:rPr>
        <w:t>10</w:t>
      </w:r>
      <w:r>
        <w:rPr>
          <w:rFonts w:hint="eastAsia" w:eastAsia="仿宋"/>
          <w:szCs w:val="32"/>
        </w:rPr>
        <w:t>号）</w:t>
      </w:r>
      <w:r>
        <w:rPr>
          <w:rFonts w:hint="eastAsia"/>
          <w:kern w:val="0"/>
          <w:szCs w:val="32"/>
        </w:rPr>
        <w:t>等文件规定和相关要求，经聘请第三方会计师事务所现场评价。</w:t>
      </w:r>
    </w:p>
    <w:p>
      <w:pPr>
        <w:adjustRightInd w:val="0"/>
        <w:snapToGrid w:val="0"/>
        <w:spacing w:line="600" w:lineRule="exact"/>
        <w:ind w:firstLine="720"/>
        <w:rPr>
          <w:rFonts w:ascii="黑体" w:hAnsi="宋体" w:eastAsia="黑体"/>
          <w:szCs w:val="32"/>
        </w:rPr>
      </w:pPr>
      <w:r>
        <w:rPr>
          <w:rFonts w:hint="eastAsia" w:ascii="黑体" w:hAnsi="宋体" w:eastAsia="黑体"/>
          <w:szCs w:val="32"/>
        </w:rPr>
        <w:t>二、项目资金申报及使用情况</w:t>
      </w:r>
    </w:p>
    <w:p>
      <w:pPr>
        <w:adjustRightInd w:val="0"/>
        <w:snapToGrid w:val="0"/>
        <w:spacing w:line="600" w:lineRule="exact"/>
        <w:ind w:firstLine="720"/>
        <w:rPr>
          <w:rFonts w:ascii="楷体_GB2312" w:hAnsi="宋体" w:eastAsia="楷体_GB2312"/>
          <w:szCs w:val="32"/>
          <w:lang w:val="zh-CN"/>
        </w:rPr>
      </w:pPr>
      <w:r>
        <w:rPr>
          <w:rFonts w:hint="eastAsia" w:ascii="楷体_GB2312" w:hAnsi="宋体" w:eastAsia="楷体_GB2312"/>
          <w:szCs w:val="32"/>
          <w:lang w:val="zh-CN"/>
        </w:rPr>
        <w:t>（一）项目资金申报及批复情况。</w:t>
      </w:r>
    </w:p>
    <w:p>
      <w:pPr>
        <w:adjustRightInd w:val="0"/>
        <w:snapToGrid w:val="0"/>
        <w:spacing w:line="600" w:lineRule="exact"/>
        <w:ind w:firstLine="720"/>
        <w:rPr>
          <w:rFonts w:ascii="楷体_GB2312" w:hAnsi="宋体" w:eastAsia="楷体_GB2312"/>
          <w:b/>
          <w:color w:val="FF0000"/>
          <w:szCs w:val="32"/>
          <w:lang w:val="zh-CN"/>
        </w:rPr>
      </w:pPr>
      <w:r>
        <w:rPr>
          <w:rFonts w:hint="eastAsia"/>
          <w:szCs w:val="32"/>
        </w:rPr>
        <w:t>根据</w:t>
      </w:r>
      <w:r>
        <w:rPr>
          <w:szCs w:val="32"/>
        </w:rPr>
        <w:t>2020</w:t>
      </w:r>
      <w:r>
        <w:rPr>
          <w:rFonts w:hint="eastAsia"/>
          <w:szCs w:val="32"/>
        </w:rPr>
        <w:t>年中央财政城镇保障性安居工程下达的目标任务</w:t>
      </w:r>
      <w:r>
        <w:rPr>
          <w:szCs w:val="32"/>
        </w:rPr>
        <w:t>600</w:t>
      </w:r>
      <w:r>
        <w:rPr>
          <w:rFonts w:hint="eastAsia"/>
          <w:szCs w:val="32"/>
        </w:rPr>
        <w:t>户，计划租金补贴金额合计</w:t>
      </w:r>
      <w:r>
        <w:rPr>
          <w:szCs w:val="32"/>
        </w:rPr>
        <w:t>149.02</w:t>
      </w:r>
      <w:r>
        <w:rPr>
          <w:rFonts w:hint="eastAsia"/>
          <w:szCs w:val="32"/>
        </w:rPr>
        <w:t>万元，资金来源于</w:t>
      </w:r>
      <w:r>
        <w:rPr>
          <w:szCs w:val="32"/>
        </w:rPr>
        <w:t>2020</w:t>
      </w:r>
      <w:r>
        <w:rPr>
          <w:rFonts w:hint="eastAsia"/>
          <w:szCs w:val="32"/>
        </w:rPr>
        <w:t>年中央财政城镇保障性安居工程专项资金</w:t>
      </w:r>
      <w:r>
        <w:rPr>
          <w:szCs w:val="32"/>
        </w:rPr>
        <w:t>83</w:t>
      </w:r>
      <w:r>
        <w:rPr>
          <w:rFonts w:hint="eastAsia"/>
          <w:szCs w:val="32"/>
        </w:rPr>
        <w:t>万元，省财政资金</w:t>
      </w:r>
      <w:r>
        <w:rPr>
          <w:szCs w:val="32"/>
        </w:rPr>
        <w:t>50</w:t>
      </w:r>
      <w:r>
        <w:rPr>
          <w:rFonts w:hint="eastAsia"/>
          <w:szCs w:val="32"/>
        </w:rPr>
        <w:t>万元，上年结余租金补贴</w:t>
      </w:r>
      <w:r>
        <w:rPr>
          <w:szCs w:val="32"/>
        </w:rPr>
        <w:t>16.02</w:t>
      </w:r>
      <w:r>
        <w:rPr>
          <w:rFonts w:hint="eastAsia"/>
          <w:szCs w:val="32"/>
        </w:rPr>
        <w:t>万元。</w:t>
      </w:r>
    </w:p>
    <w:p>
      <w:pPr>
        <w:adjustRightInd w:val="0"/>
        <w:snapToGrid w:val="0"/>
        <w:spacing w:line="600" w:lineRule="exact"/>
        <w:ind w:firstLine="720"/>
        <w:rPr>
          <w:rFonts w:ascii="楷体_GB2312" w:hAnsi="宋体" w:eastAsia="楷体_GB2312"/>
          <w:szCs w:val="32"/>
          <w:lang w:val="zh-CN"/>
        </w:rPr>
      </w:pPr>
      <w:r>
        <w:rPr>
          <w:rFonts w:hint="eastAsia" w:ascii="楷体_GB2312" w:hAnsi="宋体" w:eastAsia="楷体_GB2312"/>
          <w:szCs w:val="32"/>
          <w:lang w:val="zh-CN"/>
        </w:rPr>
        <w:t>（二）资金计划、到位及使用情况。</w:t>
      </w:r>
    </w:p>
    <w:p>
      <w:pPr>
        <w:adjustRightInd w:val="0"/>
        <w:snapToGrid w:val="0"/>
        <w:spacing w:line="600" w:lineRule="exact"/>
        <w:ind w:firstLine="720"/>
        <w:rPr>
          <w:rFonts w:ascii="楷体_GB2312" w:hAnsi="宋体" w:eastAsia="楷体_GB2312"/>
          <w:szCs w:val="32"/>
          <w:lang w:val="zh-CN"/>
        </w:rPr>
      </w:pPr>
      <w:r>
        <w:rPr>
          <w:rFonts w:hint="eastAsia" w:ascii="楷体_GB2312" w:hAnsi="宋体" w:eastAsia="楷体_GB2312"/>
          <w:szCs w:val="32"/>
          <w:lang w:val="zh-CN"/>
        </w:rPr>
        <w:t>1．资金计划。</w:t>
      </w:r>
    </w:p>
    <w:p>
      <w:pPr>
        <w:adjustRightInd w:val="0"/>
        <w:snapToGrid w:val="0"/>
        <w:spacing w:line="580" w:lineRule="exact"/>
        <w:ind w:firstLine="720"/>
        <w:rPr>
          <w:szCs w:val="32"/>
        </w:rPr>
      </w:pPr>
      <w:r>
        <w:rPr>
          <w:rFonts w:hint="eastAsia"/>
          <w:szCs w:val="32"/>
        </w:rPr>
        <w:t>我区按规定申请筹集资金，</w:t>
      </w:r>
      <w:r>
        <w:rPr>
          <w:szCs w:val="32"/>
        </w:rPr>
        <w:t>2020</w:t>
      </w:r>
      <w:r>
        <w:rPr>
          <w:rFonts w:hint="eastAsia"/>
          <w:szCs w:val="32"/>
        </w:rPr>
        <w:t>年度申请中省保障性住房补贴财政资金</w:t>
      </w:r>
      <w:r>
        <w:rPr>
          <w:szCs w:val="32"/>
        </w:rPr>
        <w:t>149.02</w:t>
      </w:r>
      <w:r>
        <w:rPr>
          <w:rFonts w:hint="eastAsia"/>
          <w:szCs w:val="32"/>
        </w:rPr>
        <w:t>万元。</w:t>
      </w:r>
    </w:p>
    <w:p>
      <w:pPr>
        <w:adjustRightInd w:val="0"/>
        <w:snapToGrid w:val="0"/>
        <w:spacing w:line="600" w:lineRule="exact"/>
        <w:ind w:firstLine="640" w:firstLineChars="200"/>
        <w:rPr>
          <w:rFonts w:ascii="楷体_GB2312" w:hAnsi="宋体" w:eastAsia="楷体_GB2312"/>
          <w:szCs w:val="32"/>
          <w:lang w:val="zh-CN"/>
        </w:rPr>
      </w:pPr>
      <w:r>
        <w:rPr>
          <w:rFonts w:hint="eastAsia" w:ascii="楷体_GB2312" w:hAnsi="宋体" w:eastAsia="楷体_GB2312"/>
          <w:szCs w:val="32"/>
          <w:lang w:val="zh-CN"/>
        </w:rPr>
        <w:t>2．资金到位。</w:t>
      </w:r>
    </w:p>
    <w:p>
      <w:pPr>
        <w:widowControl/>
        <w:adjustRightInd w:val="0"/>
        <w:snapToGrid w:val="0"/>
        <w:spacing w:line="580" w:lineRule="exact"/>
        <w:ind w:firstLine="640" w:firstLineChars="200"/>
        <w:rPr>
          <w:szCs w:val="32"/>
        </w:rPr>
      </w:pPr>
      <w:r>
        <w:rPr>
          <w:rFonts w:hint="eastAsia"/>
          <w:szCs w:val="32"/>
        </w:rPr>
        <w:t>截止</w:t>
      </w:r>
      <w:r>
        <w:rPr>
          <w:szCs w:val="32"/>
        </w:rPr>
        <w:t>2020</w:t>
      </w:r>
      <w:r>
        <w:rPr>
          <w:rFonts w:hint="eastAsia"/>
          <w:szCs w:val="32"/>
        </w:rPr>
        <w:t>年</w:t>
      </w:r>
      <w:r>
        <w:rPr>
          <w:szCs w:val="32"/>
        </w:rPr>
        <w:t>12</w:t>
      </w:r>
      <w:r>
        <w:rPr>
          <w:rFonts w:hint="eastAsia"/>
          <w:szCs w:val="32"/>
        </w:rPr>
        <w:t>月</w:t>
      </w:r>
      <w:r>
        <w:rPr>
          <w:szCs w:val="32"/>
        </w:rPr>
        <w:t>31</w:t>
      </w:r>
      <w:r>
        <w:rPr>
          <w:rFonts w:hint="eastAsia"/>
          <w:szCs w:val="32"/>
        </w:rPr>
        <w:t>日，市财政局和住建局按照有关规定下达项目资金预算并足额拨付到我区，情况如下表（单位：万元）</w:t>
      </w:r>
    </w:p>
    <w:p>
      <w:pPr>
        <w:widowControl/>
        <w:adjustRightInd w:val="0"/>
        <w:snapToGrid w:val="0"/>
        <w:spacing w:line="580" w:lineRule="exact"/>
        <w:ind w:firstLine="640" w:firstLineChars="200"/>
        <w:rPr>
          <w:rFonts w:ascii="仿宋_GB2312" w:hAnsi="宋体"/>
          <w:color w:val="FF0000"/>
          <w:szCs w:val="32"/>
        </w:rPr>
      </w:pPr>
    </w:p>
    <w:tbl>
      <w:tblPr>
        <w:tblStyle w:val="9"/>
        <w:tblW w:w="4997" w:type="pct"/>
        <w:tblInd w:w="0" w:type="dxa"/>
        <w:tblLayout w:type="autofit"/>
        <w:tblCellMar>
          <w:top w:w="0" w:type="dxa"/>
          <w:left w:w="0" w:type="dxa"/>
          <w:bottom w:w="0" w:type="dxa"/>
          <w:right w:w="0" w:type="dxa"/>
        </w:tblCellMar>
      </w:tblPr>
      <w:tblGrid>
        <w:gridCol w:w="1511"/>
        <w:gridCol w:w="1016"/>
        <w:gridCol w:w="820"/>
        <w:gridCol w:w="916"/>
        <w:gridCol w:w="631"/>
        <w:gridCol w:w="631"/>
        <w:gridCol w:w="857"/>
        <w:gridCol w:w="802"/>
        <w:gridCol w:w="1147"/>
      </w:tblGrid>
      <w:tr>
        <w:tblPrEx>
          <w:tblCellMar>
            <w:top w:w="0" w:type="dxa"/>
            <w:left w:w="0" w:type="dxa"/>
            <w:bottom w:w="0" w:type="dxa"/>
            <w:right w:w="0" w:type="dxa"/>
          </w:tblCellMar>
        </w:tblPrEx>
        <w:trPr>
          <w:trHeight w:val="458" w:hRule="atLeast"/>
        </w:trPr>
        <w:tc>
          <w:tcPr>
            <w:tcW w:w="907" w:type="pct"/>
            <w:vMerge w:val="restar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sz w:val="21"/>
                <w:szCs w:val="21"/>
              </w:rPr>
            </w:pPr>
            <w:r>
              <w:rPr>
                <w:rFonts w:hint="eastAsia"/>
                <w:kern w:val="0"/>
                <w:sz w:val="21"/>
                <w:szCs w:val="21"/>
              </w:rPr>
              <w:t>项目名称</w:t>
            </w:r>
            <w:r>
              <w:rPr>
                <w:kern w:val="0"/>
                <w:sz w:val="21"/>
                <w:szCs w:val="21"/>
              </w:rPr>
              <w:t xml:space="preserve">             </w:t>
            </w:r>
          </w:p>
        </w:tc>
        <w:tc>
          <w:tcPr>
            <w:tcW w:w="2924" w:type="pct"/>
            <w:gridSpan w:val="6"/>
            <w:tcBorders>
              <w:top w:val="single" w:color="000000" w:sz="4" w:space="0"/>
              <w:left w:val="single" w:color="000000" w:sz="4" w:space="0"/>
              <w:bottom w:val="nil"/>
              <w:right w:val="single" w:color="000000" w:sz="4" w:space="0"/>
            </w:tcBorders>
            <w:tcMar>
              <w:top w:w="15" w:type="dxa"/>
              <w:left w:w="15" w:type="dxa"/>
              <w:bottom w:w="0" w:type="dxa"/>
              <w:right w:w="15" w:type="dxa"/>
            </w:tcMar>
            <w:vAlign w:val="center"/>
          </w:tcPr>
          <w:p>
            <w:pPr>
              <w:widowControl/>
              <w:spacing w:line="200" w:lineRule="exact"/>
              <w:jc w:val="center"/>
              <w:textAlignment w:val="center"/>
              <w:rPr>
                <w:sz w:val="21"/>
                <w:szCs w:val="21"/>
              </w:rPr>
            </w:pPr>
            <w:r>
              <w:rPr>
                <w:kern w:val="0"/>
                <w:sz w:val="21"/>
                <w:szCs w:val="21"/>
              </w:rPr>
              <w:t>2020</w:t>
            </w:r>
            <w:r>
              <w:rPr>
                <w:rFonts w:hint="eastAsia"/>
                <w:kern w:val="0"/>
                <w:sz w:val="21"/>
                <w:szCs w:val="21"/>
              </w:rPr>
              <w:t>年财政资金计划下达额</w:t>
            </w:r>
          </w:p>
        </w:tc>
        <w:tc>
          <w:tcPr>
            <w:tcW w:w="481"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kern w:val="0"/>
                <w:sz w:val="21"/>
                <w:szCs w:val="21"/>
              </w:rPr>
            </w:pPr>
          </w:p>
        </w:tc>
        <w:tc>
          <w:tcPr>
            <w:tcW w:w="688" w:type="pct"/>
            <w:vMerge w:val="restar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sz w:val="21"/>
                <w:szCs w:val="21"/>
              </w:rPr>
            </w:pPr>
            <w:r>
              <w:rPr>
                <w:kern w:val="0"/>
                <w:sz w:val="21"/>
                <w:szCs w:val="21"/>
              </w:rPr>
              <w:t>2020</w:t>
            </w:r>
            <w:r>
              <w:rPr>
                <w:rFonts w:hint="eastAsia"/>
                <w:kern w:val="0"/>
                <w:sz w:val="21"/>
                <w:szCs w:val="21"/>
              </w:rPr>
              <w:t>年财政资金下达额度</w:t>
            </w:r>
          </w:p>
        </w:tc>
      </w:tr>
      <w:tr>
        <w:tblPrEx>
          <w:tblCellMar>
            <w:top w:w="0" w:type="dxa"/>
            <w:left w:w="0" w:type="dxa"/>
            <w:bottom w:w="0" w:type="dxa"/>
            <w:right w:w="0" w:type="dxa"/>
          </w:tblCellMar>
        </w:tblPrEx>
        <w:trPr>
          <w:trHeight w:val="425"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sz w:val="21"/>
                <w:szCs w:val="21"/>
              </w:rPr>
            </w:pPr>
          </w:p>
        </w:tc>
        <w:tc>
          <w:tcPr>
            <w:tcW w:w="610"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sz w:val="21"/>
                <w:szCs w:val="21"/>
              </w:rPr>
            </w:pPr>
            <w:r>
              <w:rPr>
                <w:rFonts w:hint="eastAsia"/>
                <w:kern w:val="0"/>
                <w:sz w:val="21"/>
                <w:szCs w:val="21"/>
              </w:rPr>
              <w:t>小计</w:t>
            </w:r>
          </w:p>
        </w:tc>
        <w:tc>
          <w:tcPr>
            <w:tcW w:w="492"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textAlignment w:val="center"/>
              <w:rPr>
                <w:sz w:val="21"/>
                <w:szCs w:val="21"/>
              </w:rPr>
            </w:pPr>
            <w:r>
              <w:rPr>
                <w:rFonts w:hint="eastAsia"/>
                <w:kern w:val="0"/>
                <w:sz w:val="21"/>
                <w:szCs w:val="21"/>
              </w:rPr>
              <w:t>中央资金</w:t>
            </w:r>
          </w:p>
        </w:tc>
        <w:tc>
          <w:tcPr>
            <w:tcW w:w="550"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textAlignment w:val="center"/>
              <w:rPr>
                <w:sz w:val="21"/>
                <w:szCs w:val="21"/>
              </w:rPr>
            </w:pPr>
            <w:r>
              <w:rPr>
                <w:rFonts w:hint="eastAsia"/>
                <w:kern w:val="0"/>
                <w:sz w:val="21"/>
                <w:szCs w:val="21"/>
              </w:rPr>
              <w:t>省级资金</w:t>
            </w:r>
          </w:p>
        </w:tc>
        <w:tc>
          <w:tcPr>
            <w:tcW w:w="379"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textAlignment w:val="center"/>
              <w:rPr>
                <w:sz w:val="21"/>
                <w:szCs w:val="21"/>
              </w:rPr>
            </w:pPr>
            <w:r>
              <w:rPr>
                <w:rFonts w:hint="eastAsia"/>
                <w:kern w:val="0"/>
                <w:sz w:val="21"/>
                <w:szCs w:val="21"/>
              </w:rPr>
              <w:t>抗疫国债资金</w:t>
            </w:r>
          </w:p>
        </w:tc>
        <w:tc>
          <w:tcPr>
            <w:tcW w:w="379"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textAlignment w:val="center"/>
              <w:rPr>
                <w:sz w:val="21"/>
                <w:szCs w:val="21"/>
              </w:rPr>
            </w:pPr>
            <w:r>
              <w:rPr>
                <w:rFonts w:hint="eastAsia"/>
                <w:kern w:val="0"/>
                <w:sz w:val="21"/>
                <w:szCs w:val="21"/>
              </w:rPr>
              <w:t>中央基建投资</w:t>
            </w:r>
          </w:p>
        </w:tc>
        <w:tc>
          <w:tcPr>
            <w:tcW w:w="514"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textAlignment w:val="center"/>
              <w:rPr>
                <w:kern w:val="0"/>
                <w:sz w:val="21"/>
                <w:szCs w:val="21"/>
              </w:rPr>
            </w:pPr>
            <w:r>
              <w:rPr>
                <w:rFonts w:hint="eastAsia"/>
                <w:kern w:val="0"/>
                <w:sz w:val="21"/>
                <w:szCs w:val="21"/>
              </w:rPr>
              <w:t>市区资金（含代建项目）</w:t>
            </w:r>
          </w:p>
        </w:tc>
        <w:tc>
          <w:tcPr>
            <w:tcW w:w="481"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textAlignment w:val="center"/>
              <w:rPr>
                <w:sz w:val="21"/>
                <w:szCs w:val="21"/>
              </w:rPr>
            </w:pPr>
            <w:r>
              <w:rPr>
                <w:rFonts w:hint="eastAsia"/>
                <w:kern w:val="0"/>
                <w:sz w:val="21"/>
                <w:szCs w:val="21"/>
              </w:rPr>
              <w:t>上年结余资金</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sz w:val="21"/>
                <w:szCs w:val="21"/>
              </w:rPr>
            </w:pPr>
          </w:p>
        </w:tc>
      </w:tr>
      <w:tr>
        <w:tblPrEx>
          <w:tblCellMar>
            <w:top w:w="0" w:type="dxa"/>
            <w:left w:w="0" w:type="dxa"/>
            <w:bottom w:w="0" w:type="dxa"/>
            <w:right w:w="0" w:type="dxa"/>
          </w:tblCellMar>
        </w:tblPrEx>
        <w:trPr>
          <w:trHeight w:val="580" w:hRule="atLeast"/>
        </w:trPr>
        <w:tc>
          <w:tcPr>
            <w:tcW w:w="907"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textAlignment w:val="center"/>
              <w:rPr>
                <w:sz w:val="21"/>
                <w:szCs w:val="21"/>
              </w:rPr>
            </w:pPr>
            <w:r>
              <w:rPr>
                <w:rFonts w:hint="eastAsia"/>
                <w:kern w:val="0"/>
                <w:sz w:val="21"/>
                <w:szCs w:val="21"/>
              </w:rPr>
              <w:t>保障性住房租金补贴</w:t>
            </w:r>
          </w:p>
        </w:tc>
        <w:tc>
          <w:tcPr>
            <w:tcW w:w="610"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sz w:val="21"/>
                <w:szCs w:val="21"/>
              </w:rPr>
            </w:pPr>
            <w:r>
              <w:rPr>
                <w:kern w:val="0"/>
                <w:sz w:val="21"/>
                <w:szCs w:val="21"/>
              </w:rPr>
              <w:t>149.02</w:t>
            </w:r>
          </w:p>
        </w:tc>
        <w:tc>
          <w:tcPr>
            <w:tcW w:w="492"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kern w:val="0"/>
                <w:sz w:val="21"/>
                <w:szCs w:val="21"/>
              </w:rPr>
            </w:pPr>
            <w:r>
              <w:rPr>
                <w:kern w:val="0"/>
                <w:sz w:val="21"/>
                <w:szCs w:val="21"/>
              </w:rPr>
              <w:t>83</w:t>
            </w:r>
          </w:p>
        </w:tc>
        <w:tc>
          <w:tcPr>
            <w:tcW w:w="550"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kern w:val="0"/>
                <w:sz w:val="21"/>
                <w:szCs w:val="21"/>
              </w:rPr>
            </w:pPr>
            <w:r>
              <w:rPr>
                <w:kern w:val="0"/>
                <w:sz w:val="21"/>
                <w:szCs w:val="21"/>
              </w:rPr>
              <w:t>50</w:t>
            </w:r>
          </w:p>
        </w:tc>
        <w:tc>
          <w:tcPr>
            <w:tcW w:w="379"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kern w:val="0"/>
                <w:sz w:val="21"/>
                <w:szCs w:val="21"/>
              </w:rPr>
            </w:pPr>
          </w:p>
        </w:tc>
        <w:tc>
          <w:tcPr>
            <w:tcW w:w="379"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kern w:val="0"/>
                <w:sz w:val="21"/>
                <w:szCs w:val="21"/>
              </w:rPr>
            </w:pPr>
          </w:p>
        </w:tc>
        <w:tc>
          <w:tcPr>
            <w:tcW w:w="514"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kern w:val="0"/>
                <w:sz w:val="21"/>
                <w:szCs w:val="21"/>
              </w:rPr>
            </w:pPr>
          </w:p>
        </w:tc>
        <w:tc>
          <w:tcPr>
            <w:tcW w:w="481"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kern w:val="0"/>
                <w:sz w:val="21"/>
                <w:szCs w:val="21"/>
              </w:rPr>
            </w:pPr>
            <w:r>
              <w:rPr>
                <w:kern w:val="0"/>
                <w:sz w:val="21"/>
                <w:szCs w:val="21"/>
              </w:rPr>
              <w:t>16.02</w:t>
            </w:r>
          </w:p>
        </w:tc>
        <w:tc>
          <w:tcPr>
            <w:tcW w:w="688"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kern w:val="0"/>
                <w:sz w:val="21"/>
                <w:szCs w:val="21"/>
              </w:rPr>
            </w:pPr>
            <w:r>
              <w:rPr>
                <w:kern w:val="0"/>
                <w:sz w:val="21"/>
                <w:szCs w:val="21"/>
              </w:rPr>
              <w:t>149.02</w:t>
            </w:r>
          </w:p>
        </w:tc>
      </w:tr>
      <w:tr>
        <w:tblPrEx>
          <w:tblCellMar>
            <w:top w:w="0" w:type="dxa"/>
            <w:left w:w="0" w:type="dxa"/>
            <w:bottom w:w="0" w:type="dxa"/>
            <w:right w:w="0" w:type="dxa"/>
          </w:tblCellMar>
        </w:tblPrEx>
        <w:trPr>
          <w:trHeight w:val="580" w:hRule="atLeast"/>
        </w:trPr>
        <w:tc>
          <w:tcPr>
            <w:tcW w:w="907"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sz w:val="21"/>
                <w:szCs w:val="21"/>
              </w:rPr>
            </w:pPr>
            <w:r>
              <w:rPr>
                <w:rFonts w:hint="eastAsia"/>
                <w:kern w:val="0"/>
                <w:sz w:val="21"/>
                <w:szCs w:val="21"/>
              </w:rPr>
              <w:t>合计</w:t>
            </w:r>
          </w:p>
        </w:tc>
        <w:tc>
          <w:tcPr>
            <w:tcW w:w="610"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sz w:val="21"/>
                <w:szCs w:val="21"/>
              </w:rPr>
            </w:pPr>
            <w:r>
              <w:rPr>
                <w:kern w:val="0"/>
                <w:sz w:val="21"/>
                <w:szCs w:val="21"/>
              </w:rPr>
              <w:t>149.02</w:t>
            </w:r>
          </w:p>
        </w:tc>
        <w:tc>
          <w:tcPr>
            <w:tcW w:w="492"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kern w:val="0"/>
                <w:sz w:val="21"/>
                <w:szCs w:val="21"/>
              </w:rPr>
            </w:pPr>
            <w:r>
              <w:rPr>
                <w:kern w:val="0"/>
                <w:sz w:val="21"/>
                <w:szCs w:val="21"/>
              </w:rPr>
              <w:t>83</w:t>
            </w:r>
          </w:p>
        </w:tc>
        <w:tc>
          <w:tcPr>
            <w:tcW w:w="550"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kern w:val="0"/>
                <w:sz w:val="21"/>
                <w:szCs w:val="21"/>
              </w:rPr>
            </w:pPr>
            <w:r>
              <w:rPr>
                <w:kern w:val="0"/>
                <w:sz w:val="21"/>
                <w:szCs w:val="21"/>
              </w:rPr>
              <w:t>50</w:t>
            </w:r>
          </w:p>
        </w:tc>
        <w:tc>
          <w:tcPr>
            <w:tcW w:w="379"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kern w:val="0"/>
                <w:sz w:val="21"/>
                <w:szCs w:val="21"/>
              </w:rPr>
            </w:pPr>
          </w:p>
        </w:tc>
        <w:tc>
          <w:tcPr>
            <w:tcW w:w="379"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kern w:val="0"/>
                <w:sz w:val="21"/>
                <w:szCs w:val="21"/>
              </w:rPr>
            </w:pPr>
          </w:p>
        </w:tc>
        <w:tc>
          <w:tcPr>
            <w:tcW w:w="514"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kern w:val="0"/>
                <w:sz w:val="21"/>
                <w:szCs w:val="21"/>
              </w:rPr>
            </w:pPr>
          </w:p>
        </w:tc>
        <w:tc>
          <w:tcPr>
            <w:tcW w:w="481"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kern w:val="0"/>
                <w:sz w:val="21"/>
                <w:szCs w:val="21"/>
              </w:rPr>
            </w:pPr>
            <w:r>
              <w:rPr>
                <w:kern w:val="0"/>
                <w:sz w:val="21"/>
                <w:szCs w:val="21"/>
              </w:rPr>
              <w:t>16.02</w:t>
            </w:r>
          </w:p>
        </w:tc>
        <w:tc>
          <w:tcPr>
            <w:tcW w:w="688"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00" w:lineRule="exact"/>
              <w:jc w:val="center"/>
              <w:textAlignment w:val="center"/>
              <w:rPr>
                <w:kern w:val="0"/>
                <w:sz w:val="21"/>
                <w:szCs w:val="21"/>
              </w:rPr>
            </w:pPr>
            <w:r>
              <w:rPr>
                <w:kern w:val="0"/>
                <w:sz w:val="21"/>
                <w:szCs w:val="21"/>
              </w:rPr>
              <w:t>149.02</w:t>
            </w:r>
          </w:p>
        </w:tc>
      </w:tr>
    </w:tbl>
    <w:p>
      <w:pPr>
        <w:adjustRightInd w:val="0"/>
        <w:snapToGrid w:val="0"/>
        <w:spacing w:line="600" w:lineRule="exact"/>
        <w:ind w:firstLine="640" w:firstLineChars="200"/>
        <w:rPr>
          <w:rFonts w:ascii="楷体_GB2312" w:hAnsi="宋体" w:eastAsia="楷体_GB2312"/>
          <w:szCs w:val="32"/>
          <w:lang w:val="zh-CN"/>
        </w:rPr>
      </w:pPr>
      <w:r>
        <w:rPr>
          <w:rFonts w:hint="eastAsia" w:ascii="楷体_GB2312" w:hAnsi="宋体" w:eastAsia="楷体_GB2312"/>
          <w:szCs w:val="32"/>
          <w:lang w:val="zh-CN"/>
        </w:rPr>
        <w:t>3．资金使用。</w:t>
      </w:r>
    </w:p>
    <w:p>
      <w:pPr>
        <w:adjustRightInd w:val="0"/>
        <w:snapToGrid w:val="0"/>
        <w:spacing w:line="580" w:lineRule="exact"/>
        <w:ind w:firstLine="720" w:firstLineChars="225"/>
        <w:rPr>
          <w:szCs w:val="32"/>
          <w:lang w:val="zh-CN"/>
        </w:rPr>
      </w:pPr>
      <w:r>
        <w:rPr>
          <w:rFonts w:hint="eastAsia"/>
          <w:szCs w:val="32"/>
        </w:rPr>
        <w:t>我局严格按照川财综</w:t>
      </w:r>
      <w:r>
        <w:rPr>
          <w:szCs w:val="32"/>
        </w:rPr>
        <w:t>[2019]23</w:t>
      </w:r>
      <w:r>
        <w:rPr>
          <w:rFonts w:hint="eastAsia"/>
          <w:szCs w:val="32"/>
        </w:rPr>
        <w:t>号第十八条的规定对资金实行专项管理、分账核算，按规定范围使用资金。目前财政专项资金已用于保障性住房租金补贴，具体情况如下（单位：万元）</w:t>
      </w:r>
      <w:r>
        <w:rPr>
          <w:rFonts w:hint="eastAsia"/>
          <w:szCs w:val="32"/>
          <w:lang w:val="zh-CN"/>
        </w:rPr>
        <w:t>。</w:t>
      </w:r>
    </w:p>
    <w:p>
      <w:pPr>
        <w:adjustRightInd w:val="0"/>
        <w:snapToGrid w:val="0"/>
        <w:spacing w:line="580" w:lineRule="exact"/>
        <w:ind w:firstLine="720" w:firstLineChars="225"/>
        <w:rPr>
          <w:szCs w:val="32"/>
          <w:lang w:val="zh-CN"/>
        </w:rPr>
      </w:pPr>
    </w:p>
    <w:tbl>
      <w:tblPr>
        <w:tblStyle w:val="9"/>
        <w:tblW w:w="0" w:type="auto"/>
        <w:jc w:val="center"/>
        <w:tblLayout w:type="autofit"/>
        <w:tblCellMar>
          <w:top w:w="0" w:type="dxa"/>
          <w:left w:w="0" w:type="dxa"/>
          <w:bottom w:w="0" w:type="dxa"/>
          <w:right w:w="0" w:type="dxa"/>
        </w:tblCellMar>
      </w:tblPr>
      <w:tblGrid>
        <w:gridCol w:w="1840"/>
        <w:gridCol w:w="1793"/>
        <w:gridCol w:w="2332"/>
        <w:gridCol w:w="2371"/>
      </w:tblGrid>
      <w:tr>
        <w:tblPrEx>
          <w:tblCellMar>
            <w:top w:w="0" w:type="dxa"/>
            <w:left w:w="0" w:type="dxa"/>
            <w:bottom w:w="0" w:type="dxa"/>
            <w:right w:w="0" w:type="dxa"/>
          </w:tblCellMar>
        </w:tblPrEx>
        <w:trPr>
          <w:trHeight w:val="580" w:hRule="atLeast"/>
          <w:jc w:val="center"/>
        </w:trPr>
        <w:tc>
          <w:tcPr>
            <w:tcW w:w="1840" w:type="dxa"/>
            <w:vMerge w:val="restar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580" w:lineRule="exact"/>
              <w:jc w:val="center"/>
              <w:textAlignment w:val="center"/>
              <w:rPr>
                <w:sz w:val="24"/>
              </w:rPr>
            </w:pPr>
            <w:r>
              <w:rPr>
                <w:rFonts w:hint="eastAsia"/>
                <w:kern w:val="0"/>
                <w:sz w:val="24"/>
              </w:rPr>
              <w:t>项目名称</w:t>
            </w:r>
            <w:r>
              <w:rPr>
                <w:kern w:val="0"/>
                <w:sz w:val="24"/>
              </w:rPr>
              <w:t xml:space="preserve">             </w:t>
            </w:r>
          </w:p>
        </w:tc>
        <w:tc>
          <w:tcPr>
            <w:tcW w:w="1793" w:type="dxa"/>
            <w:vMerge w:val="restar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sz w:val="24"/>
              </w:rPr>
            </w:pPr>
            <w:r>
              <w:rPr>
                <w:kern w:val="0"/>
                <w:sz w:val="24"/>
              </w:rPr>
              <w:t>2020</w:t>
            </w:r>
            <w:r>
              <w:rPr>
                <w:rFonts w:hint="eastAsia"/>
                <w:kern w:val="0"/>
                <w:sz w:val="24"/>
              </w:rPr>
              <w:t>年财政资金下达额度</w:t>
            </w:r>
          </w:p>
        </w:tc>
        <w:tc>
          <w:tcPr>
            <w:tcW w:w="2332" w:type="dxa"/>
            <w:vMerge w:val="restar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sz w:val="24"/>
              </w:rPr>
            </w:pPr>
            <w:r>
              <w:rPr>
                <w:kern w:val="0"/>
                <w:sz w:val="24"/>
              </w:rPr>
              <w:t>2020</w:t>
            </w:r>
            <w:r>
              <w:rPr>
                <w:rFonts w:hint="eastAsia"/>
                <w:kern w:val="0"/>
                <w:sz w:val="24"/>
              </w:rPr>
              <w:t>年财政资金支付情况</w:t>
            </w:r>
          </w:p>
        </w:tc>
        <w:tc>
          <w:tcPr>
            <w:tcW w:w="2371" w:type="dxa"/>
            <w:vMerge w:val="restar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sz w:val="24"/>
              </w:rPr>
            </w:pPr>
            <w:r>
              <w:rPr>
                <w:kern w:val="0"/>
                <w:sz w:val="24"/>
              </w:rPr>
              <w:t>2020</w:t>
            </w:r>
            <w:r>
              <w:rPr>
                <w:rFonts w:hint="eastAsia"/>
                <w:kern w:val="0"/>
                <w:sz w:val="24"/>
              </w:rPr>
              <w:t>年财政资金结余情况</w:t>
            </w:r>
          </w:p>
        </w:tc>
      </w:tr>
      <w:tr>
        <w:tblPrEx>
          <w:tblCellMar>
            <w:top w:w="0" w:type="dxa"/>
            <w:left w:w="0" w:type="dxa"/>
            <w:bottom w:w="0" w:type="dxa"/>
            <w:right w:w="0" w:type="dxa"/>
          </w:tblCellMar>
        </w:tblPrEx>
        <w:trPr>
          <w:trHeight w:val="58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sz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sz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sz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sz w:val="24"/>
              </w:rPr>
            </w:pPr>
          </w:p>
        </w:tc>
      </w:tr>
      <w:tr>
        <w:tblPrEx>
          <w:tblCellMar>
            <w:top w:w="0" w:type="dxa"/>
            <w:left w:w="0" w:type="dxa"/>
            <w:bottom w:w="0" w:type="dxa"/>
            <w:right w:w="0" w:type="dxa"/>
          </w:tblCellMar>
        </w:tblPrEx>
        <w:trPr>
          <w:trHeight w:val="620" w:hRule="atLeast"/>
          <w:jc w:val="center"/>
        </w:trPr>
        <w:tc>
          <w:tcPr>
            <w:tcW w:w="1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580" w:lineRule="exact"/>
              <w:textAlignment w:val="center"/>
              <w:rPr>
                <w:sz w:val="24"/>
              </w:rPr>
            </w:pPr>
            <w:r>
              <w:rPr>
                <w:rFonts w:hint="eastAsia"/>
                <w:kern w:val="0"/>
                <w:sz w:val="24"/>
              </w:rPr>
              <w:t>保障性住房补贴</w:t>
            </w:r>
          </w:p>
        </w:tc>
        <w:tc>
          <w:tcPr>
            <w:tcW w:w="1793"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580" w:lineRule="exact"/>
              <w:jc w:val="center"/>
              <w:textAlignment w:val="center"/>
              <w:rPr>
                <w:sz w:val="24"/>
              </w:rPr>
            </w:pPr>
            <w:r>
              <w:rPr>
                <w:kern w:val="0"/>
                <w:sz w:val="24"/>
              </w:rPr>
              <w:t>149.02</w:t>
            </w:r>
          </w:p>
        </w:tc>
        <w:tc>
          <w:tcPr>
            <w:tcW w:w="23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spacing w:line="580" w:lineRule="exact"/>
              <w:jc w:val="center"/>
              <w:textAlignment w:val="center"/>
              <w:rPr>
                <w:sz w:val="24"/>
              </w:rPr>
            </w:pPr>
            <w:r>
              <w:rPr>
                <w:kern w:val="0"/>
                <w:sz w:val="24"/>
              </w:rPr>
              <w:t>45.6</w:t>
            </w:r>
          </w:p>
        </w:tc>
        <w:tc>
          <w:tcPr>
            <w:tcW w:w="2371"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spacing w:line="580" w:lineRule="exact"/>
              <w:jc w:val="center"/>
              <w:textAlignment w:val="center"/>
              <w:rPr>
                <w:sz w:val="24"/>
              </w:rPr>
            </w:pPr>
            <w:r>
              <w:rPr>
                <w:kern w:val="0"/>
                <w:sz w:val="24"/>
              </w:rPr>
              <w:t>103.42</w:t>
            </w:r>
          </w:p>
        </w:tc>
      </w:tr>
      <w:tr>
        <w:tblPrEx>
          <w:tblCellMar>
            <w:top w:w="0" w:type="dxa"/>
            <w:left w:w="0" w:type="dxa"/>
            <w:bottom w:w="0" w:type="dxa"/>
            <w:right w:w="0" w:type="dxa"/>
          </w:tblCellMar>
        </w:tblPrEx>
        <w:trPr>
          <w:trHeight w:val="620" w:hRule="atLeast"/>
          <w:jc w:val="center"/>
        </w:trPr>
        <w:tc>
          <w:tcPr>
            <w:tcW w:w="1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580" w:lineRule="exact"/>
              <w:jc w:val="center"/>
              <w:textAlignment w:val="center"/>
              <w:rPr>
                <w:sz w:val="24"/>
              </w:rPr>
            </w:pPr>
            <w:r>
              <w:rPr>
                <w:rFonts w:hint="eastAsia"/>
                <w:kern w:val="0"/>
                <w:sz w:val="24"/>
              </w:rPr>
              <w:t>合计</w:t>
            </w:r>
          </w:p>
        </w:tc>
        <w:tc>
          <w:tcPr>
            <w:tcW w:w="1793"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580" w:lineRule="exact"/>
              <w:jc w:val="center"/>
              <w:textAlignment w:val="center"/>
              <w:rPr>
                <w:sz w:val="24"/>
              </w:rPr>
            </w:pPr>
            <w:r>
              <w:rPr>
                <w:kern w:val="0"/>
                <w:sz w:val="24"/>
              </w:rPr>
              <w:t>149.02</w:t>
            </w:r>
          </w:p>
        </w:tc>
        <w:tc>
          <w:tcPr>
            <w:tcW w:w="23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spacing w:line="580" w:lineRule="exact"/>
              <w:jc w:val="center"/>
              <w:textAlignment w:val="center"/>
              <w:rPr>
                <w:sz w:val="24"/>
              </w:rPr>
            </w:pPr>
            <w:r>
              <w:rPr>
                <w:kern w:val="0"/>
                <w:sz w:val="24"/>
              </w:rPr>
              <w:t>45.6</w:t>
            </w:r>
          </w:p>
        </w:tc>
        <w:tc>
          <w:tcPr>
            <w:tcW w:w="2371"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spacing w:line="580" w:lineRule="exact"/>
              <w:jc w:val="center"/>
              <w:textAlignment w:val="center"/>
              <w:rPr>
                <w:sz w:val="24"/>
              </w:rPr>
            </w:pPr>
            <w:r>
              <w:rPr>
                <w:kern w:val="0"/>
                <w:sz w:val="24"/>
              </w:rPr>
              <w:t>103.42</w:t>
            </w:r>
          </w:p>
        </w:tc>
      </w:tr>
    </w:tbl>
    <w:p>
      <w:pPr>
        <w:widowControl/>
        <w:adjustRightInd w:val="0"/>
        <w:snapToGrid w:val="0"/>
        <w:spacing w:line="580" w:lineRule="exact"/>
        <w:ind w:firstLine="640" w:firstLineChars="200"/>
        <w:rPr>
          <w:szCs w:val="32"/>
          <w:lang w:val="zh-CN"/>
        </w:rPr>
      </w:pPr>
      <w:r>
        <w:rPr>
          <w:rFonts w:hint="eastAsia"/>
          <w:szCs w:val="32"/>
          <w:lang w:val="zh-CN"/>
        </w:rPr>
        <w:t>上级专项资金到位后，我</w:t>
      </w:r>
      <w:r>
        <w:rPr>
          <w:rFonts w:hint="eastAsia"/>
          <w:szCs w:val="32"/>
        </w:rPr>
        <w:t>区</w:t>
      </w:r>
      <w:r>
        <w:rPr>
          <w:rFonts w:hint="eastAsia"/>
          <w:szCs w:val="32"/>
          <w:lang w:val="zh-CN"/>
        </w:rPr>
        <w:t>严格按照专项资金管理办法，进行</w:t>
      </w:r>
      <w:r>
        <w:rPr>
          <w:szCs w:val="32"/>
          <w:lang w:val="zh-CN"/>
        </w:rPr>
        <w:t>“</w:t>
      </w:r>
      <w:r>
        <w:rPr>
          <w:rFonts w:hint="eastAsia"/>
          <w:szCs w:val="32"/>
          <w:lang w:val="zh-CN"/>
        </w:rPr>
        <w:t>专项管理、分账核算、专款专用</w:t>
      </w:r>
      <w:r>
        <w:rPr>
          <w:szCs w:val="32"/>
          <w:lang w:val="zh-CN"/>
        </w:rPr>
        <w:t>”</w:t>
      </w:r>
      <w:r>
        <w:rPr>
          <w:rFonts w:hint="eastAsia"/>
          <w:szCs w:val="32"/>
          <w:lang w:val="zh-CN"/>
        </w:rPr>
        <w:t>，并严格按照规定用途对各工程项目资金进行了管理。并对资金使用的安全性、规范性及有效性进行重点管理。资金支付范围、支付标准、支付进度、支付依据是合规合法、与预算相符。</w:t>
      </w:r>
    </w:p>
    <w:p>
      <w:pPr>
        <w:adjustRightInd w:val="0"/>
        <w:snapToGrid w:val="0"/>
        <w:spacing w:line="600" w:lineRule="exact"/>
        <w:ind w:firstLine="720"/>
        <w:rPr>
          <w:rFonts w:ascii="楷体_GB2312" w:hAnsi="宋体" w:eastAsia="楷体_GB2312"/>
          <w:szCs w:val="32"/>
          <w:lang w:val="zh-CN"/>
        </w:rPr>
      </w:pPr>
      <w:r>
        <w:rPr>
          <w:rFonts w:hint="eastAsia" w:ascii="楷体_GB2312" w:hAnsi="宋体" w:eastAsia="楷体_GB2312"/>
          <w:szCs w:val="32"/>
          <w:lang w:val="zh-CN"/>
        </w:rPr>
        <w:t>（三）项目财务管理情况。</w:t>
      </w:r>
    </w:p>
    <w:p>
      <w:pPr>
        <w:adjustRightInd w:val="0"/>
        <w:snapToGrid w:val="0"/>
        <w:spacing w:line="600" w:lineRule="exact"/>
        <w:ind w:firstLine="720"/>
        <w:rPr>
          <w:rFonts w:ascii="仿宋_GB2312" w:hAnsi="宋体"/>
          <w:szCs w:val="32"/>
          <w:lang w:val="zh-CN"/>
        </w:rPr>
      </w:pPr>
      <w:r>
        <w:rPr>
          <w:rFonts w:hint="eastAsia" w:ascii="仿宋_GB2312" w:hAnsi="宋体"/>
          <w:szCs w:val="32"/>
          <w:lang w:val="zh-CN"/>
        </w:rPr>
        <w:t>项目实施中心财务管理制度健全，严格执行财务管理制度，账务处理及时，会计核算规范。</w:t>
      </w:r>
    </w:p>
    <w:p>
      <w:pPr>
        <w:adjustRightInd w:val="0"/>
        <w:snapToGrid w:val="0"/>
        <w:spacing w:line="600" w:lineRule="exact"/>
        <w:ind w:firstLine="720"/>
        <w:rPr>
          <w:rFonts w:ascii="黑体" w:hAnsi="宋体" w:eastAsia="黑体"/>
          <w:szCs w:val="32"/>
        </w:rPr>
      </w:pPr>
      <w:r>
        <w:rPr>
          <w:rFonts w:hint="eastAsia" w:ascii="黑体" w:hAnsi="宋体" w:eastAsia="黑体"/>
          <w:szCs w:val="32"/>
        </w:rPr>
        <w:t>三、项目实施及管理情况</w:t>
      </w:r>
    </w:p>
    <w:p>
      <w:pPr>
        <w:adjustRightInd w:val="0"/>
        <w:snapToGrid w:val="0"/>
        <w:spacing w:line="600" w:lineRule="exact"/>
        <w:ind w:firstLine="640" w:firstLineChars="200"/>
        <w:rPr>
          <w:rFonts w:ascii="楷体_GB2312" w:hAnsi="宋体" w:eastAsia="楷体_GB2312"/>
          <w:szCs w:val="32"/>
          <w:lang w:val="zh-CN"/>
        </w:rPr>
      </w:pPr>
      <w:r>
        <w:rPr>
          <w:rFonts w:hint="eastAsia" w:ascii="楷体_GB2312" w:hAnsi="宋体" w:eastAsia="楷体_GB2312"/>
          <w:szCs w:val="32"/>
          <w:lang w:val="zh-CN"/>
        </w:rPr>
        <w:t>（一）项目组织架构及实施流程。</w:t>
      </w:r>
    </w:p>
    <w:p>
      <w:pPr>
        <w:widowControl/>
        <w:adjustRightInd w:val="0"/>
        <w:snapToGrid w:val="0"/>
        <w:spacing w:line="580" w:lineRule="exact"/>
        <w:ind w:firstLine="640" w:firstLineChars="200"/>
        <w:rPr>
          <w:lang w:val="zh-CN"/>
        </w:rPr>
      </w:pPr>
      <w:r>
        <w:rPr>
          <w:rFonts w:hint="eastAsia"/>
          <w:szCs w:val="32"/>
          <w:lang w:val="zh-CN"/>
        </w:rPr>
        <w:t>为了做到项目资金专款专用，按照区政府安排，区财政局、区住建局专门制定了资金支付流程，由项目业主单位递交专项资金申请材料，区住建局、区财政局分管财政的区领导层层审查、严格把关，确保工程专项资金按规定用途和范围使用。不存在资金截留、挤占、挪用等违规违纪行为，不存在用于平衡本级预算行为，也未发生群众举报、新闻媒体曝光等问题，切实维护了社会的稳定。项目实施单位财务管理制度健全，严格执行财务管理制度，账务处理及时，会计核算规范。</w:t>
      </w:r>
    </w:p>
    <w:p>
      <w:pPr>
        <w:adjustRightInd w:val="0"/>
        <w:snapToGrid w:val="0"/>
        <w:spacing w:line="600" w:lineRule="exact"/>
        <w:ind w:firstLine="720"/>
        <w:rPr>
          <w:rFonts w:hint="eastAsia" w:ascii="楷体_GB2312" w:hAnsi="宋体" w:eastAsia="楷体_GB2312"/>
          <w:szCs w:val="32"/>
          <w:lang w:val="zh-CN"/>
        </w:rPr>
      </w:pPr>
      <w:r>
        <w:rPr>
          <w:rFonts w:hint="eastAsia" w:ascii="楷体_GB2312" w:hAnsi="宋体" w:eastAsia="楷体_GB2312"/>
          <w:szCs w:val="32"/>
          <w:lang w:val="zh-CN"/>
        </w:rPr>
        <w:t>（二）项目管理情况。</w:t>
      </w:r>
    </w:p>
    <w:p>
      <w:pPr>
        <w:adjustRightInd w:val="0"/>
        <w:snapToGrid w:val="0"/>
        <w:spacing w:line="600" w:lineRule="exact"/>
        <w:ind w:firstLine="720"/>
        <w:rPr>
          <w:szCs w:val="32"/>
        </w:rPr>
      </w:pPr>
      <w:r>
        <w:rPr>
          <w:rFonts w:hint="eastAsia"/>
          <w:szCs w:val="32"/>
          <w:lang w:val="zh-CN"/>
        </w:rPr>
        <w:t>进一步加强</w:t>
      </w:r>
      <w:r>
        <w:rPr>
          <w:szCs w:val="32"/>
        </w:rPr>
        <w:t>2020</w:t>
      </w:r>
      <w:r>
        <w:rPr>
          <w:rFonts w:hint="eastAsia"/>
          <w:szCs w:val="32"/>
        </w:rPr>
        <w:t>年租金补贴管理，由主要领导统一负责，分管领导主要负责，落实专人分别负责申请、初审、复核、审核、审批、发放等各项工作。</w:t>
      </w:r>
    </w:p>
    <w:p>
      <w:pPr>
        <w:adjustRightInd w:val="0"/>
        <w:snapToGrid w:val="0"/>
        <w:spacing w:line="600" w:lineRule="exact"/>
        <w:ind w:firstLine="720"/>
        <w:rPr>
          <w:rFonts w:hint="eastAsia" w:ascii="楷体_GB2312" w:hAnsi="宋体" w:eastAsia="楷体_GB2312"/>
          <w:szCs w:val="32"/>
          <w:lang w:val="zh-CN"/>
        </w:rPr>
      </w:pPr>
      <w:r>
        <w:rPr>
          <w:rFonts w:hint="eastAsia" w:ascii="楷体_GB2312" w:hAnsi="宋体" w:eastAsia="楷体_GB2312"/>
          <w:szCs w:val="32"/>
          <w:lang w:val="zh-CN"/>
        </w:rPr>
        <w:t>（三）项目监管情况。</w:t>
      </w:r>
    </w:p>
    <w:p>
      <w:pPr>
        <w:adjustRightInd w:val="0"/>
        <w:snapToGrid w:val="0"/>
        <w:spacing w:line="600" w:lineRule="exact"/>
        <w:ind w:firstLine="720"/>
        <w:rPr>
          <w:szCs w:val="32"/>
        </w:rPr>
      </w:pPr>
      <w:r>
        <w:rPr>
          <w:rFonts w:hint="eastAsia"/>
          <w:szCs w:val="32"/>
        </w:rPr>
        <w:t>对符合租赁补贴发放条件的住户进行审核结果公示。</w:t>
      </w:r>
    </w:p>
    <w:p>
      <w:pPr>
        <w:adjustRightInd w:val="0"/>
        <w:snapToGrid w:val="0"/>
        <w:spacing w:line="600" w:lineRule="exact"/>
        <w:ind w:firstLine="720"/>
        <w:rPr>
          <w:rFonts w:ascii="仿宋_GB2312" w:hAnsi="宋体"/>
          <w:szCs w:val="32"/>
          <w:lang w:val="zh-CN"/>
        </w:rPr>
      </w:pPr>
      <w:r>
        <w:rPr>
          <w:rFonts w:hint="eastAsia" w:ascii="黑体" w:hAnsi="宋体" w:eastAsia="黑体"/>
          <w:szCs w:val="32"/>
        </w:rPr>
        <w:t>四、项目绩效情况</w:t>
      </w:r>
      <w:r>
        <w:rPr>
          <w:rFonts w:hint="eastAsia" w:ascii="仿宋_GB2312" w:hAnsi="宋体"/>
          <w:szCs w:val="32"/>
          <w:lang w:val="zh-CN"/>
        </w:rPr>
        <w:tab/>
      </w:r>
    </w:p>
    <w:p>
      <w:pPr>
        <w:adjustRightInd w:val="0"/>
        <w:snapToGrid w:val="0"/>
        <w:spacing w:line="600" w:lineRule="exact"/>
        <w:ind w:firstLine="720"/>
        <w:rPr>
          <w:rFonts w:ascii="楷体_GB2312" w:hAnsi="宋体" w:eastAsia="楷体_GB2312"/>
          <w:szCs w:val="32"/>
          <w:lang w:val="zh-CN"/>
        </w:rPr>
      </w:pPr>
      <w:r>
        <w:rPr>
          <w:rFonts w:hint="eastAsia" w:ascii="楷体_GB2312" w:hAnsi="宋体" w:eastAsia="楷体_GB2312"/>
          <w:szCs w:val="32"/>
          <w:lang w:val="zh-CN"/>
        </w:rPr>
        <w:t>（一）项目完成情况。</w:t>
      </w:r>
    </w:p>
    <w:p>
      <w:pPr>
        <w:widowControl/>
        <w:adjustRightInd w:val="0"/>
        <w:snapToGrid w:val="0"/>
        <w:spacing w:line="580" w:lineRule="exact"/>
        <w:ind w:firstLine="640" w:firstLineChars="200"/>
        <w:rPr>
          <w:szCs w:val="32"/>
        </w:rPr>
      </w:pPr>
      <w:r>
        <w:rPr>
          <w:rFonts w:hint="eastAsia"/>
          <w:szCs w:val="32"/>
        </w:rPr>
        <w:t>截止</w:t>
      </w:r>
      <w:r>
        <w:rPr>
          <w:szCs w:val="32"/>
        </w:rPr>
        <w:t>2020</w:t>
      </w:r>
      <w:r>
        <w:rPr>
          <w:rFonts w:hint="eastAsia"/>
          <w:szCs w:val="32"/>
        </w:rPr>
        <w:t>年</w:t>
      </w:r>
      <w:r>
        <w:rPr>
          <w:szCs w:val="32"/>
        </w:rPr>
        <w:t>12</w:t>
      </w:r>
      <w:r>
        <w:rPr>
          <w:rFonts w:hint="eastAsia"/>
          <w:szCs w:val="32"/>
        </w:rPr>
        <w:t>月</w:t>
      </w:r>
      <w:r>
        <w:rPr>
          <w:szCs w:val="32"/>
        </w:rPr>
        <w:t>31</w:t>
      </w:r>
      <w:r>
        <w:rPr>
          <w:rFonts w:hint="eastAsia"/>
          <w:szCs w:val="32"/>
        </w:rPr>
        <w:t>日，实际完成租赁补贴</w:t>
      </w:r>
      <w:r>
        <w:rPr>
          <w:szCs w:val="32"/>
        </w:rPr>
        <w:t>696</w:t>
      </w:r>
      <w:r>
        <w:rPr>
          <w:rFonts w:hint="eastAsia"/>
          <w:szCs w:val="32"/>
        </w:rPr>
        <w:t>户，超额完成</w:t>
      </w:r>
      <w:r>
        <w:rPr>
          <w:szCs w:val="32"/>
        </w:rPr>
        <w:t>96</w:t>
      </w:r>
      <w:r>
        <w:rPr>
          <w:rFonts w:hint="eastAsia"/>
          <w:szCs w:val="32"/>
        </w:rPr>
        <w:t>户，发放租赁补贴总额</w:t>
      </w:r>
      <w:r>
        <w:rPr>
          <w:szCs w:val="32"/>
        </w:rPr>
        <w:t>45.6</w:t>
      </w:r>
      <w:r>
        <w:rPr>
          <w:rFonts w:hint="eastAsia"/>
          <w:szCs w:val="32"/>
        </w:rPr>
        <w:t>万元。</w:t>
      </w:r>
    </w:p>
    <w:p>
      <w:pPr>
        <w:adjustRightInd w:val="0"/>
        <w:snapToGrid w:val="0"/>
        <w:spacing w:line="600" w:lineRule="exact"/>
        <w:ind w:firstLine="720"/>
        <w:rPr>
          <w:rFonts w:ascii="楷体_GB2312" w:hAnsi="宋体" w:eastAsia="楷体_GB2312"/>
          <w:szCs w:val="32"/>
          <w:lang w:val="zh-CN"/>
        </w:rPr>
      </w:pPr>
      <w:r>
        <w:rPr>
          <w:rFonts w:hint="eastAsia" w:ascii="楷体_GB2312" w:hAnsi="宋体" w:eastAsia="楷体_GB2312"/>
          <w:szCs w:val="32"/>
          <w:lang w:val="zh-CN"/>
        </w:rPr>
        <w:t>（二）项目效益情况。</w:t>
      </w:r>
    </w:p>
    <w:p>
      <w:pPr>
        <w:adjustRightInd w:val="0"/>
        <w:snapToGrid w:val="0"/>
        <w:spacing w:line="600" w:lineRule="exact"/>
        <w:ind w:firstLine="720"/>
        <w:rPr>
          <w:rFonts w:ascii="楷体_GB2312" w:hAnsi="宋体" w:eastAsia="楷体_GB2312"/>
          <w:b/>
          <w:szCs w:val="32"/>
          <w:lang w:val="zh-CN"/>
        </w:rPr>
      </w:pPr>
      <w:r>
        <w:rPr>
          <w:rFonts w:hint="eastAsia"/>
          <w:szCs w:val="32"/>
        </w:rPr>
        <w:t>我区实施廉租房住房保障租金补贴工作以来，极大的缓解了老百姓对住房的需求，改善了住房条件，提高了生活品质，使住房供需矛盾得到了释放和缓解，百姓的安居幸福感获得了大力提升。</w:t>
      </w:r>
      <w:r>
        <w:rPr>
          <w:szCs w:val="32"/>
        </w:rPr>
        <w:t xml:space="preserve">    </w:t>
      </w:r>
    </w:p>
    <w:p>
      <w:pPr>
        <w:adjustRightInd w:val="0"/>
        <w:snapToGrid w:val="0"/>
        <w:spacing w:line="600" w:lineRule="exact"/>
        <w:ind w:firstLine="720"/>
        <w:rPr>
          <w:rFonts w:ascii="黑体" w:hAnsi="宋体" w:eastAsia="黑体"/>
          <w:szCs w:val="32"/>
        </w:rPr>
      </w:pPr>
      <w:r>
        <w:rPr>
          <w:rFonts w:hint="eastAsia" w:ascii="黑体" w:hAnsi="宋体" w:eastAsia="黑体"/>
          <w:szCs w:val="32"/>
        </w:rPr>
        <w:t>五、评价结论及建议</w:t>
      </w:r>
    </w:p>
    <w:p>
      <w:pPr>
        <w:adjustRightInd w:val="0"/>
        <w:snapToGrid w:val="0"/>
        <w:spacing w:line="600" w:lineRule="exact"/>
        <w:ind w:firstLine="720"/>
        <w:rPr>
          <w:rFonts w:ascii="楷体_GB2312" w:hAnsi="宋体" w:eastAsia="楷体_GB2312"/>
          <w:szCs w:val="32"/>
          <w:lang w:val="zh-CN"/>
        </w:rPr>
      </w:pPr>
      <w:r>
        <w:rPr>
          <w:rFonts w:hint="eastAsia" w:ascii="楷体_GB2312" w:hAnsi="宋体" w:eastAsia="楷体_GB2312"/>
          <w:szCs w:val="32"/>
          <w:lang w:val="zh-CN"/>
        </w:rPr>
        <w:t>（一）评价结论。</w:t>
      </w:r>
    </w:p>
    <w:p>
      <w:pPr>
        <w:adjustRightInd w:val="0"/>
        <w:snapToGrid w:val="0"/>
        <w:spacing w:line="580" w:lineRule="exact"/>
        <w:ind w:firstLine="720"/>
        <w:rPr>
          <w:szCs w:val="32"/>
        </w:rPr>
      </w:pPr>
      <w:r>
        <w:rPr>
          <w:rFonts w:hint="eastAsia"/>
          <w:szCs w:val="32"/>
        </w:rPr>
        <w:t>本次绩效评价，经第三方会计师事务所按照省财政厅、省住建厅关于印发《四川省城镇保障性安居工程财政资金绩效评价实施细则》（川财综</w:t>
      </w:r>
      <w:r>
        <w:rPr>
          <w:szCs w:val="32"/>
        </w:rPr>
        <w:t>[2020]29</w:t>
      </w:r>
      <w:r>
        <w:rPr>
          <w:rFonts w:hint="eastAsia"/>
          <w:szCs w:val="32"/>
        </w:rPr>
        <w:t>号）及相关要求，由自流井区住建局提供的相关资料，按国家有关法律法规的规定，根据四川省城镇保障性安居工程财政资金绩效评价量化指标表，经过必要的绩效评价程序，对截止</w:t>
      </w:r>
      <w:r>
        <w:rPr>
          <w:szCs w:val="32"/>
        </w:rPr>
        <w:t>2020</w:t>
      </w:r>
      <w:r>
        <w:rPr>
          <w:rFonts w:hint="eastAsia"/>
          <w:szCs w:val="32"/>
        </w:rPr>
        <w:t>年</w:t>
      </w:r>
      <w:r>
        <w:rPr>
          <w:szCs w:val="32"/>
        </w:rPr>
        <w:t>12</w:t>
      </w:r>
      <w:r>
        <w:rPr>
          <w:rFonts w:hint="eastAsia"/>
          <w:szCs w:val="32"/>
        </w:rPr>
        <w:t>月</w:t>
      </w:r>
      <w:r>
        <w:rPr>
          <w:szCs w:val="32"/>
        </w:rPr>
        <w:t>31</w:t>
      </w:r>
      <w:r>
        <w:rPr>
          <w:rFonts w:hint="eastAsia"/>
          <w:szCs w:val="32"/>
        </w:rPr>
        <w:t>日的城镇保障性安居工程财政资金履行情况进行了绩效评价，综合得分</w:t>
      </w:r>
      <w:r>
        <w:rPr>
          <w:szCs w:val="32"/>
        </w:rPr>
        <w:t>97.5</w:t>
      </w:r>
      <w:r>
        <w:rPr>
          <w:rFonts w:hint="eastAsia"/>
          <w:szCs w:val="32"/>
        </w:rPr>
        <w:t>分。该项目合规、合法，产生了较好的社会效益，得到群众的一致好评。</w:t>
      </w:r>
    </w:p>
    <w:p>
      <w:pPr>
        <w:adjustRightInd w:val="0"/>
        <w:snapToGrid w:val="0"/>
        <w:spacing w:line="600" w:lineRule="exact"/>
        <w:ind w:firstLine="720"/>
        <w:rPr>
          <w:rFonts w:ascii="楷体_GB2312" w:hAnsi="宋体" w:eastAsia="楷体_GB2312"/>
          <w:szCs w:val="32"/>
          <w:lang w:val="zh-CN"/>
        </w:rPr>
      </w:pPr>
      <w:r>
        <w:rPr>
          <w:rFonts w:hint="eastAsia" w:ascii="楷体_GB2312" w:hAnsi="宋体" w:eastAsia="楷体_GB2312"/>
          <w:szCs w:val="32"/>
          <w:lang w:val="zh-CN"/>
        </w:rPr>
        <w:t>（二）存在的问题。</w:t>
      </w:r>
    </w:p>
    <w:p>
      <w:pPr>
        <w:adjustRightInd w:val="0"/>
        <w:snapToGrid w:val="0"/>
        <w:spacing w:line="600" w:lineRule="exact"/>
        <w:ind w:firstLine="640" w:firstLineChars="200"/>
        <w:rPr>
          <w:rFonts w:ascii="仿宋_GB2312" w:hAnsi="宋体"/>
          <w:szCs w:val="32"/>
          <w:lang w:val="zh-CN"/>
        </w:rPr>
      </w:pPr>
      <w:r>
        <w:rPr>
          <w:rFonts w:hint="eastAsia" w:ascii="仿宋_GB2312" w:hAnsi="宋体"/>
          <w:szCs w:val="32"/>
          <w:lang w:val="zh-CN"/>
        </w:rPr>
        <w:t>城镇住房保障家庭租赁补贴发放执行率偏低。</w:t>
      </w:r>
    </w:p>
    <w:p>
      <w:pPr>
        <w:adjustRightInd w:val="0"/>
        <w:snapToGrid w:val="0"/>
        <w:spacing w:line="600" w:lineRule="exact"/>
        <w:ind w:firstLine="720"/>
        <w:rPr>
          <w:rFonts w:ascii="楷体_GB2312" w:hAnsi="宋体" w:eastAsia="楷体_GB2312"/>
          <w:szCs w:val="32"/>
          <w:highlight w:val="none"/>
          <w:lang w:val="zh-CN"/>
        </w:rPr>
      </w:pPr>
      <w:r>
        <w:rPr>
          <w:rFonts w:hint="eastAsia" w:ascii="楷体_GB2312" w:hAnsi="宋体" w:eastAsia="楷体_GB2312"/>
          <w:szCs w:val="32"/>
          <w:highlight w:val="none"/>
          <w:lang w:val="zh-CN"/>
        </w:rPr>
        <w:t>（三）相关建议。</w:t>
      </w:r>
    </w:p>
    <w:p>
      <w:pPr>
        <w:adjustRightInd w:val="0"/>
        <w:snapToGrid w:val="0"/>
        <w:spacing w:line="600" w:lineRule="exact"/>
        <w:ind w:firstLine="640" w:firstLineChars="200"/>
        <w:rPr>
          <w:szCs w:val="32"/>
        </w:rPr>
      </w:pPr>
      <w:r>
        <w:rPr>
          <w:szCs w:val="32"/>
        </w:rPr>
        <w:t>1</w:t>
      </w:r>
      <w:r>
        <w:rPr>
          <w:rFonts w:hint="eastAsia"/>
          <w:szCs w:val="32"/>
        </w:rPr>
        <w:t>.注重宣传推广。发挥各类新闻媒体作用，加大对租赁补贴申领工作的宣传引导，强化居民的主人翁意识，为工作推进营造良好的舆论氛围。</w:t>
      </w:r>
    </w:p>
    <w:p>
      <w:pPr>
        <w:adjustRightInd w:val="0"/>
        <w:snapToGrid w:val="0"/>
        <w:spacing w:line="600" w:lineRule="exact"/>
        <w:ind w:firstLine="640" w:firstLineChars="200"/>
        <w:rPr>
          <w:szCs w:val="32"/>
        </w:rPr>
      </w:pPr>
      <w:r>
        <w:rPr>
          <w:szCs w:val="32"/>
        </w:rPr>
        <w:t>2</w:t>
      </w:r>
      <w:r>
        <w:rPr>
          <w:rFonts w:hint="eastAsia"/>
          <w:szCs w:val="32"/>
        </w:rPr>
        <w:t>.对城镇住房保障家庭租赁补贴实行提标扩面。</w:t>
      </w:r>
    </w:p>
    <w:p>
      <w:pPr>
        <w:adjustRightInd w:val="0"/>
        <w:snapToGrid w:val="0"/>
        <w:spacing w:line="600" w:lineRule="exact"/>
        <w:ind w:firstLine="640" w:firstLineChars="200"/>
        <w:rPr>
          <w:rFonts w:ascii="仿宋_GB2312" w:hAnsi="宋体"/>
          <w:color w:val="FF0000"/>
          <w:szCs w:val="32"/>
          <w:lang w:val="zh-CN"/>
        </w:rPr>
      </w:pPr>
      <w:r>
        <w:rPr>
          <w:szCs w:val="32"/>
        </w:rPr>
        <w:t>3</w:t>
      </w:r>
      <w:r>
        <w:rPr>
          <w:rFonts w:hint="eastAsia"/>
          <w:szCs w:val="32"/>
        </w:rPr>
        <w:t>.及时掌握申请租赁补贴家庭的基本情况，实行动态管理，做到严格把关，应保尽保，确保公平、公正、公开地开展申报工作，让租赁补贴政策在我区真正惠及于民。</w:t>
      </w:r>
    </w:p>
    <w:p>
      <w:pPr>
        <w:adjustRightInd w:val="0"/>
        <w:snapToGrid w:val="0"/>
        <w:spacing w:line="600" w:lineRule="exact"/>
        <w:ind w:firstLine="640" w:firstLineChars="200"/>
        <w:rPr>
          <w:rFonts w:ascii="仿宋_GB2312" w:hAnsi="仿宋_GB2312" w:cs="仿宋_GB2312"/>
          <w:color w:val="FF0000"/>
          <w:szCs w:val="32"/>
        </w:rPr>
      </w:pPr>
    </w:p>
    <w:p>
      <w:pPr>
        <w:spacing w:line="580" w:lineRule="exact"/>
        <w:ind w:firstLine="640"/>
        <w:rPr>
          <w:rFonts w:ascii="仿宋_GB2312" w:hAnsi="仿宋_GB2312" w:eastAsia="仿宋_GB2312" w:cs="仿宋_GB2312"/>
          <w:sz w:val="32"/>
          <w:szCs w:val="32"/>
        </w:rPr>
      </w:pPr>
    </w:p>
    <w:p>
      <w:pPr>
        <w:widowControl/>
        <w:jc w:val="left"/>
        <w:rPr>
          <w:rStyle w:val="13"/>
          <w:rFonts w:ascii="黑体" w:hAnsi="黑体" w:eastAsia="黑体"/>
          <w:b w:val="0"/>
        </w:rPr>
      </w:pPr>
    </w:p>
    <w:p>
      <w:pPr>
        <w:widowControl/>
        <w:jc w:val="left"/>
        <w:rPr>
          <w:rStyle w:val="13"/>
          <w:rFonts w:ascii="黑体" w:hAnsi="黑体" w:eastAsia="黑体"/>
          <w:b w:val="0"/>
        </w:rPr>
      </w:pPr>
      <w:r>
        <w:rPr>
          <w:rStyle w:val="13"/>
          <w:rFonts w:ascii="黑体" w:hAnsi="黑体" w:eastAsia="黑体"/>
          <w:b w:val="0"/>
        </w:rPr>
        <w:br w:type="page"/>
      </w:r>
    </w:p>
    <w:p>
      <w:pPr>
        <w:spacing w:line="600" w:lineRule="exact"/>
        <w:jc w:val="center"/>
        <w:outlineLvl w:val="0"/>
        <w:rPr>
          <w:rStyle w:val="13"/>
          <w:rFonts w:ascii="黑体" w:hAnsi="黑体" w:eastAsia="黑体"/>
          <w:b w:val="0"/>
        </w:rPr>
      </w:pPr>
      <w:bookmarkStart w:id="93" w:name="_Toc32283"/>
      <w:bookmarkStart w:id="94" w:name="_Toc15396618"/>
      <w:bookmarkStart w:id="95" w:name="_Toc32538"/>
      <w:r>
        <w:rPr>
          <w:rFonts w:hint="eastAsia" w:ascii="黑体" w:hAnsi="黑体" w:eastAsia="黑体"/>
          <w:color w:val="000000"/>
          <w:sz w:val="44"/>
          <w:szCs w:val="44"/>
        </w:rPr>
        <w:t>第</w:t>
      </w:r>
      <w:r>
        <w:rPr>
          <w:rStyle w:val="13"/>
          <w:rFonts w:hint="eastAsia" w:ascii="黑体" w:hAnsi="黑体" w:eastAsia="黑体"/>
          <w:b w:val="0"/>
        </w:rPr>
        <w:t>五部分</w:t>
      </w:r>
      <w:r>
        <w:rPr>
          <w:rStyle w:val="13"/>
          <w:rFonts w:ascii="黑体" w:hAnsi="黑体" w:eastAsia="黑体"/>
          <w:b w:val="0"/>
        </w:rPr>
        <w:t xml:space="preserve"> </w:t>
      </w:r>
      <w:r>
        <w:rPr>
          <w:rStyle w:val="13"/>
          <w:rFonts w:hint="eastAsia" w:ascii="黑体" w:hAnsi="黑体" w:eastAsia="黑体"/>
          <w:b w:val="0"/>
        </w:rPr>
        <w:t>附表</w:t>
      </w:r>
      <w:bookmarkEnd w:id="87"/>
      <w:bookmarkEnd w:id="93"/>
      <w:bookmarkEnd w:id="94"/>
      <w:bookmarkEnd w:id="95"/>
    </w:p>
    <w:p>
      <w:pPr>
        <w:spacing w:line="600" w:lineRule="exact"/>
        <w:jc w:val="center"/>
        <w:outlineLvl w:val="9"/>
        <w:rPr>
          <w:rFonts w:ascii="仿宋" w:hAnsi="仿宋" w:eastAsia="仿宋"/>
          <w:b/>
          <w:color w:val="000000"/>
          <w:sz w:val="44"/>
          <w:szCs w:val="44"/>
        </w:rPr>
      </w:pPr>
    </w:p>
    <w:p>
      <w:pPr>
        <w:spacing w:line="740" w:lineRule="exact"/>
        <w:outlineLvl w:val="0"/>
        <w:rPr>
          <w:rStyle w:val="17"/>
          <w:rFonts w:ascii="仿宋_GB2312" w:hAnsi="仿宋"/>
        </w:rPr>
      </w:pPr>
      <w:bookmarkStart w:id="96" w:name="_Toc17566"/>
      <w:r>
        <w:rPr>
          <w:rFonts w:hint="eastAsia" w:ascii="仿宋_GB2312" w:hAnsi="仿宋"/>
          <w:color w:val="000000"/>
        </w:rPr>
        <w:t>一、收</w:t>
      </w:r>
      <w:r>
        <w:rPr>
          <w:rStyle w:val="17"/>
          <w:rFonts w:hint="eastAsia" w:ascii="仿宋_GB2312" w:hAnsi="仿宋"/>
        </w:rPr>
        <w:t>入</w:t>
      </w:r>
      <w:r>
        <w:rPr>
          <w:rStyle w:val="17"/>
          <w:rFonts w:hint="eastAsia" w:ascii="仿宋_GB2312" w:hAnsi="仿宋"/>
          <w:b w:val="0"/>
        </w:rPr>
        <w:t>支出决算总表</w:t>
      </w:r>
      <w:bookmarkEnd w:id="96"/>
      <w:bookmarkStart w:id="97" w:name="_Toc27106"/>
      <w:bookmarkStart w:id="98" w:name="_Toc15396620"/>
    </w:p>
    <w:p>
      <w:pPr>
        <w:spacing w:line="740" w:lineRule="exact"/>
        <w:outlineLvl w:val="0"/>
        <w:rPr>
          <w:rFonts w:ascii="仿宋_GB2312" w:hAnsi="黑体"/>
          <w:b/>
          <w:bCs/>
          <w:kern w:val="44"/>
          <w:sz w:val="44"/>
          <w:szCs w:val="44"/>
        </w:rPr>
      </w:pPr>
      <w:bookmarkStart w:id="99" w:name="_Toc13784"/>
      <w:r>
        <w:rPr>
          <w:rFonts w:hint="eastAsia" w:ascii="仿宋_GB2312" w:hAnsi="仿宋"/>
          <w:color w:val="000000"/>
        </w:rPr>
        <w:t>二、收</w:t>
      </w:r>
      <w:r>
        <w:rPr>
          <w:rStyle w:val="17"/>
          <w:rFonts w:hint="eastAsia" w:ascii="仿宋_GB2312" w:hAnsi="仿宋"/>
        </w:rPr>
        <w:t>入</w:t>
      </w:r>
      <w:r>
        <w:rPr>
          <w:rStyle w:val="17"/>
          <w:rFonts w:hint="eastAsia" w:ascii="仿宋_GB2312" w:hAnsi="仿宋"/>
          <w:b w:val="0"/>
        </w:rPr>
        <w:t>决算表</w:t>
      </w:r>
      <w:bookmarkEnd w:id="97"/>
      <w:bookmarkEnd w:id="98"/>
      <w:bookmarkEnd w:id="99"/>
    </w:p>
    <w:p>
      <w:pPr>
        <w:pStyle w:val="3"/>
        <w:spacing w:before="0" w:after="0" w:line="740" w:lineRule="exact"/>
        <w:rPr>
          <w:rFonts w:ascii="仿宋_GB2312" w:hAnsi="仿宋"/>
          <w:color w:val="000000"/>
        </w:rPr>
      </w:pPr>
      <w:bookmarkStart w:id="100" w:name="_Toc15396621"/>
      <w:bookmarkStart w:id="101" w:name="_Toc26817"/>
      <w:bookmarkStart w:id="102" w:name="_Toc7497"/>
      <w:r>
        <w:rPr>
          <w:rStyle w:val="17"/>
          <w:rFonts w:hint="eastAsia" w:ascii="仿宋_GB2312" w:hAnsi="仿宋"/>
          <w:b w:val="0"/>
          <w:bCs w:val="0"/>
        </w:rPr>
        <w:t>三、</w:t>
      </w:r>
      <w:r>
        <w:rPr>
          <w:rFonts w:hint="eastAsia" w:ascii="仿宋_GB2312" w:hAnsi="仿宋"/>
          <w:b w:val="0"/>
          <w:color w:val="000000"/>
        </w:rPr>
        <w:t>支</w:t>
      </w:r>
      <w:r>
        <w:rPr>
          <w:rStyle w:val="17"/>
          <w:rFonts w:hint="eastAsia" w:ascii="仿宋_GB2312" w:hAnsi="仿宋"/>
          <w:b w:val="0"/>
          <w:bCs w:val="0"/>
        </w:rPr>
        <w:t>出决算表</w:t>
      </w:r>
      <w:bookmarkEnd w:id="100"/>
      <w:bookmarkEnd w:id="101"/>
      <w:bookmarkEnd w:id="102"/>
    </w:p>
    <w:p>
      <w:pPr>
        <w:pStyle w:val="3"/>
        <w:spacing w:before="0" w:after="0" w:line="740" w:lineRule="exact"/>
        <w:rPr>
          <w:rFonts w:ascii="仿宋_GB2312" w:hAnsi="仿宋"/>
          <w:b w:val="0"/>
          <w:color w:val="000000"/>
        </w:rPr>
      </w:pPr>
      <w:bookmarkStart w:id="103" w:name="_Toc21747"/>
      <w:bookmarkStart w:id="104" w:name="_Toc15396622"/>
      <w:bookmarkStart w:id="105" w:name="_Toc29768"/>
      <w:r>
        <w:rPr>
          <w:rStyle w:val="17"/>
          <w:rFonts w:hint="eastAsia" w:ascii="仿宋_GB2312" w:hAnsi="仿宋"/>
          <w:b w:val="0"/>
          <w:bCs w:val="0"/>
        </w:rPr>
        <w:t>四、</w:t>
      </w:r>
      <w:r>
        <w:rPr>
          <w:rFonts w:hint="eastAsia" w:ascii="仿宋_GB2312" w:hAnsi="仿宋"/>
          <w:b w:val="0"/>
          <w:color w:val="000000"/>
        </w:rPr>
        <w:t>财</w:t>
      </w:r>
      <w:r>
        <w:rPr>
          <w:rStyle w:val="17"/>
          <w:rFonts w:hint="eastAsia" w:ascii="仿宋_GB2312" w:hAnsi="仿宋"/>
          <w:b w:val="0"/>
          <w:bCs w:val="0"/>
        </w:rPr>
        <w:t>政拨款收入支出决算总表</w:t>
      </w:r>
      <w:bookmarkEnd w:id="103"/>
      <w:bookmarkEnd w:id="104"/>
      <w:bookmarkEnd w:id="105"/>
    </w:p>
    <w:p>
      <w:pPr>
        <w:pStyle w:val="3"/>
        <w:spacing w:before="0" w:after="0" w:line="740" w:lineRule="exact"/>
        <w:rPr>
          <w:rStyle w:val="17"/>
          <w:rFonts w:ascii="仿宋_GB2312" w:hAnsi="仿宋"/>
          <w:b w:val="0"/>
          <w:bCs w:val="0"/>
        </w:rPr>
      </w:pPr>
      <w:bookmarkStart w:id="106" w:name="_Toc15396623"/>
      <w:bookmarkStart w:id="107" w:name="_Toc12959"/>
      <w:bookmarkStart w:id="108" w:name="_Toc19273"/>
      <w:r>
        <w:rPr>
          <w:rStyle w:val="17"/>
          <w:rFonts w:hint="eastAsia" w:ascii="仿宋_GB2312" w:hAnsi="仿宋"/>
          <w:b w:val="0"/>
          <w:bCs w:val="0"/>
        </w:rPr>
        <w:t>五、</w:t>
      </w:r>
      <w:r>
        <w:rPr>
          <w:rFonts w:hint="eastAsia" w:ascii="仿宋_GB2312" w:hAnsi="仿宋"/>
          <w:b w:val="0"/>
          <w:color w:val="000000"/>
        </w:rPr>
        <w:t>财</w:t>
      </w:r>
      <w:r>
        <w:rPr>
          <w:rStyle w:val="17"/>
          <w:rFonts w:hint="eastAsia" w:ascii="仿宋_GB2312" w:hAnsi="仿宋"/>
          <w:b w:val="0"/>
          <w:bCs w:val="0"/>
        </w:rPr>
        <w:t>政拨款支出决算明细表</w:t>
      </w:r>
      <w:bookmarkEnd w:id="106"/>
      <w:bookmarkEnd w:id="107"/>
      <w:bookmarkEnd w:id="108"/>
      <w:bookmarkStart w:id="109" w:name="_Toc15396624"/>
    </w:p>
    <w:p>
      <w:pPr>
        <w:pStyle w:val="3"/>
        <w:spacing w:before="0" w:after="0" w:line="740" w:lineRule="exact"/>
        <w:rPr>
          <w:rFonts w:ascii="仿宋_GB2312" w:hAnsi="仿宋"/>
          <w:color w:val="000000"/>
        </w:rPr>
      </w:pPr>
      <w:bookmarkStart w:id="110" w:name="_Toc23749"/>
      <w:bookmarkStart w:id="111" w:name="_Toc26233"/>
      <w:r>
        <w:rPr>
          <w:rStyle w:val="17"/>
          <w:rFonts w:hint="eastAsia" w:ascii="仿宋_GB2312" w:hAnsi="仿宋"/>
          <w:b w:val="0"/>
          <w:bCs w:val="0"/>
        </w:rPr>
        <w:t>六、</w:t>
      </w:r>
      <w:r>
        <w:rPr>
          <w:rFonts w:hint="eastAsia" w:ascii="仿宋_GB2312" w:hAnsi="仿宋"/>
          <w:b w:val="0"/>
          <w:color w:val="000000"/>
        </w:rPr>
        <w:t>一</w:t>
      </w:r>
      <w:r>
        <w:rPr>
          <w:rStyle w:val="17"/>
          <w:rFonts w:hint="eastAsia" w:ascii="仿宋_GB2312" w:hAnsi="仿宋"/>
          <w:b w:val="0"/>
          <w:bCs w:val="0"/>
        </w:rPr>
        <w:t>般公共预算财政拨款支出决算表</w:t>
      </w:r>
      <w:bookmarkEnd w:id="109"/>
      <w:bookmarkEnd w:id="110"/>
      <w:bookmarkEnd w:id="111"/>
    </w:p>
    <w:p>
      <w:pPr>
        <w:pStyle w:val="3"/>
        <w:spacing w:before="0" w:after="0" w:line="740" w:lineRule="exact"/>
        <w:rPr>
          <w:rFonts w:ascii="仿宋_GB2312" w:hAnsi="仿宋"/>
          <w:color w:val="000000"/>
        </w:rPr>
      </w:pPr>
      <w:bookmarkStart w:id="112" w:name="_Toc22275"/>
      <w:bookmarkStart w:id="113" w:name="_Toc15396625"/>
      <w:bookmarkStart w:id="114" w:name="_Toc22467"/>
      <w:r>
        <w:rPr>
          <w:rStyle w:val="17"/>
          <w:rFonts w:hint="eastAsia" w:ascii="仿宋_GB2312" w:hAnsi="仿宋"/>
          <w:b w:val="0"/>
          <w:bCs w:val="0"/>
        </w:rPr>
        <w:t>七、</w:t>
      </w:r>
      <w:r>
        <w:rPr>
          <w:rFonts w:hint="eastAsia" w:ascii="仿宋_GB2312" w:hAnsi="仿宋"/>
          <w:b w:val="0"/>
          <w:color w:val="000000"/>
        </w:rPr>
        <w:t>一</w:t>
      </w:r>
      <w:r>
        <w:rPr>
          <w:rStyle w:val="17"/>
          <w:rFonts w:hint="eastAsia" w:ascii="仿宋_GB2312" w:hAnsi="仿宋"/>
          <w:b w:val="0"/>
          <w:bCs w:val="0"/>
        </w:rPr>
        <w:t>般公共预算财政拨款支出决算明细表</w:t>
      </w:r>
      <w:bookmarkEnd w:id="112"/>
      <w:bookmarkEnd w:id="113"/>
      <w:bookmarkEnd w:id="114"/>
    </w:p>
    <w:p>
      <w:pPr>
        <w:pStyle w:val="3"/>
        <w:spacing w:before="0" w:after="0" w:line="740" w:lineRule="exact"/>
        <w:rPr>
          <w:rFonts w:ascii="仿宋_GB2312" w:hAnsi="仿宋"/>
          <w:color w:val="000000"/>
        </w:rPr>
      </w:pPr>
      <w:bookmarkStart w:id="115" w:name="_Toc15396626"/>
      <w:bookmarkStart w:id="116" w:name="_Toc30634"/>
      <w:bookmarkStart w:id="117" w:name="_Toc4358"/>
      <w:r>
        <w:rPr>
          <w:rStyle w:val="17"/>
          <w:rFonts w:hint="eastAsia" w:ascii="仿宋_GB2312" w:hAnsi="仿宋"/>
          <w:b w:val="0"/>
          <w:bCs w:val="0"/>
        </w:rPr>
        <w:t>八、</w:t>
      </w:r>
      <w:r>
        <w:rPr>
          <w:rFonts w:hint="eastAsia" w:ascii="仿宋_GB2312" w:hAnsi="仿宋"/>
          <w:b w:val="0"/>
          <w:color w:val="000000"/>
        </w:rPr>
        <w:t>一</w:t>
      </w:r>
      <w:r>
        <w:rPr>
          <w:rStyle w:val="17"/>
          <w:rFonts w:hint="eastAsia" w:ascii="仿宋_GB2312" w:hAnsi="仿宋"/>
          <w:b w:val="0"/>
          <w:bCs w:val="0"/>
        </w:rPr>
        <w:t>般公共预算财政拨款基本支出决算表</w:t>
      </w:r>
      <w:bookmarkEnd w:id="115"/>
      <w:bookmarkEnd w:id="116"/>
      <w:bookmarkEnd w:id="117"/>
    </w:p>
    <w:p>
      <w:pPr>
        <w:pStyle w:val="3"/>
        <w:spacing w:before="0" w:after="0" w:line="740" w:lineRule="exact"/>
        <w:rPr>
          <w:rFonts w:ascii="仿宋_GB2312" w:hAnsi="仿宋"/>
          <w:color w:val="000000"/>
        </w:rPr>
      </w:pPr>
      <w:bookmarkStart w:id="118" w:name="_Toc15396627"/>
      <w:bookmarkStart w:id="119" w:name="_Toc15170"/>
      <w:bookmarkStart w:id="120" w:name="_Toc31940"/>
      <w:r>
        <w:rPr>
          <w:rStyle w:val="17"/>
          <w:rFonts w:hint="eastAsia" w:ascii="仿宋_GB2312" w:hAnsi="仿宋"/>
          <w:b w:val="0"/>
          <w:bCs w:val="0"/>
        </w:rPr>
        <w:t>九、</w:t>
      </w:r>
      <w:r>
        <w:rPr>
          <w:rFonts w:hint="eastAsia" w:ascii="仿宋_GB2312" w:hAnsi="仿宋"/>
          <w:b w:val="0"/>
          <w:color w:val="000000"/>
        </w:rPr>
        <w:t>一</w:t>
      </w:r>
      <w:r>
        <w:rPr>
          <w:rStyle w:val="17"/>
          <w:rFonts w:hint="eastAsia" w:ascii="仿宋_GB2312" w:hAnsi="仿宋"/>
          <w:b w:val="0"/>
          <w:bCs w:val="0"/>
        </w:rPr>
        <w:t>般公共预算财政拨款项目支出决算表</w:t>
      </w:r>
      <w:bookmarkEnd w:id="118"/>
      <w:bookmarkEnd w:id="119"/>
      <w:bookmarkEnd w:id="120"/>
    </w:p>
    <w:p>
      <w:pPr>
        <w:pStyle w:val="3"/>
        <w:spacing w:before="0" w:after="0" w:line="740" w:lineRule="exact"/>
        <w:rPr>
          <w:rFonts w:ascii="仿宋_GB2312" w:hAnsi="仿宋"/>
          <w:color w:val="000000"/>
        </w:rPr>
      </w:pPr>
      <w:bookmarkStart w:id="121" w:name="_Toc17603"/>
      <w:bookmarkStart w:id="122" w:name="_Toc15396628"/>
      <w:bookmarkStart w:id="123" w:name="_Toc30247"/>
      <w:r>
        <w:rPr>
          <w:rStyle w:val="17"/>
          <w:rFonts w:hint="eastAsia" w:ascii="仿宋_GB2312" w:hAnsi="仿宋"/>
          <w:b w:val="0"/>
          <w:bCs w:val="0"/>
        </w:rPr>
        <w:t>十、</w:t>
      </w:r>
      <w:r>
        <w:rPr>
          <w:rFonts w:hint="eastAsia" w:ascii="仿宋_GB2312" w:hAnsi="仿宋"/>
          <w:b w:val="0"/>
          <w:color w:val="000000"/>
        </w:rPr>
        <w:t>一</w:t>
      </w:r>
      <w:r>
        <w:rPr>
          <w:rStyle w:val="17"/>
          <w:rFonts w:hint="eastAsia" w:ascii="仿宋_GB2312" w:hAnsi="仿宋"/>
          <w:b w:val="0"/>
          <w:bCs w:val="0"/>
        </w:rPr>
        <w:t>般公共预算财政拨款“三公”经费支出决算表</w:t>
      </w:r>
      <w:bookmarkEnd w:id="121"/>
      <w:bookmarkEnd w:id="122"/>
      <w:bookmarkEnd w:id="123"/>
    </w:p>
    <w:p>
      <w:pPr>
        <w:pStyle w:val="3"/>
        <w:spacing w:before="0" w:after="0" w:line="740" w:lineRule="exact"/>
        <w:rPr>
          <w:rFonts w:ascii="仿宋_GB2312" w:hAnsi="仿宋"/>
          <w:color w:val="000000"/>
        </w:rPr>
      </w:pPr>
      <w:bookmarkStart w:id="124" w:name="_Toc7313"/>
      <w:bookmarkStart w:id="125" w:name="_Toc15396629"/>
      <w:bookmarkStart w:id="126" w:name="_Toc2717"/>
      <w:r>
        <w:rPr>
          <w:rStyle w:val="17"/>
          <w:rFonts w:hint="eastAsia" w:ascii="仿宋_GB2312" w:hAnsi="仿宋"/>
          <w:b w:val="0"/>
          <w:bCs w:val="0"/>
        </w:rPr>
        <w:t>十一、</w:t>
      </w:r>
      <w:r>
        <w:rPr>
          <w:rFonts w:hint="eastAsia" w:ascii="仿宋_GB2312" w:hAnsi="仿宋"/>
          <w:b w:val="0"/>
          <w:color w:val="000000"/>
        </w:rPr>
        <w:t>政</w:t>
      </w:r>
      <w:r>
        <w:rPr>
          <w:rStyle w:val="17"/>
          <w:rFonts w:hint="eastAsia" w:ascii="仿宋_GB2312" w:hAnsi="仿宋"/>
          <w:b w:val="0"/>
          <w:bCs w:val="0"/>
        </w:rPr>
        <w:t>府性基金预算财政拨款收入支出决算表</w:t>
      </w:r>
      <w:bookmarkEnd w:id="124"/>
      <w:bookmarkEnd w:id="125"/>
      <w:bookmarkEnd w:id="126"/>
    </w:p>
    <w:p>
      <w:pPr>
        <w:pStyle w:val="3"/>
        <w:spacing w:before="0" w:after="0" w:line="740" w:lineRule="exact"/>
        <w:rPr>
          <w:rFonts w:ascii="仿宋_GB2312" w:hAnsi="仿宋"/>
          <w:b w:val="0"/>
          <w:color w:val="000000"/>
        </w:rPr>
      </w:pPr>
      <w:bookmarkStart w:id="127" w:name="_Toc15396630"/>
      <w:bookmarkStart w:id="128" w:name="_Toc9382"/>
      <w:bookmarkStart w:id="129" w:name="_Toc26635"/>
      <w:r>
        <w:rPr>
          <w:rFonts w:hint="eastAsia" w:ascii="仿宋_GB2312" w:hAnsi="仿宋"/>
          <w:b w:val="0"/>
          <w:color w:val="000000"/>
        </w:rPr>
        <w:t>十二、政府性基金预算财政拨款“三公”经费支出决算表</w:t>
      </w:r>
      <w:bookmarkEnd w:id="127"/>
      <w:bookmarkEnd w:id="128"/>
      <w:bookmarkEnd w:id="129"/>
    </w:p>
    <w:p>
      <w:pPr>
        <w:pStyle w:val="3"/>
        <w:spacing w:before="0" w:after="0" w:line="740" w:lineRule="exact"/>
        <w:rPr>
          <w:rFonts w:ascii="仿宋_GB2312" w:hAnsi="仿宋"/>
          <w:b w:val="0"/>
          <w:color w:val="000000"/>
        </w:rPr>
      </w:pPr>
      <w:bookmarkStart w:id="130" w:name="_Toc22683"/>
      <w:bookmarkStart w:id="131" w:name="_Toc26941"/>
      <w:r>
        <w:rPr>
          <w:rFonts w:hint="eastAsia" w:ascii="仿宋_GB2312" w:hAnsi="仿宋"/>
          <w:b w:val="0"/>
          <w:color w:val="000000"/>
        </w:rPr>
        <w:t>十三、国有资本经营预算财政拨款收入支出决算表</w:t>
      </w:r>
      <w:bookmarkEnd w:id="130"/>
      <w:bookmarkEnd w:id="131"/>
    </w:p>
    <w:p>
      <w:pPr>
        <w:pStyle w:val="3"/>
        <w:spacing w:before="0" w:after="0" w:line="740" w:lineRule="exact"/>
        <w:rPr>
          <w:rFonts w:ascii="仿宋_GB2312" w:hAnsi="仿宋"/>
          <w:b w:val="0"/>
          <w:color w:val="000000"/>
        </w:rPr>
      </w:pPr>
      <w:bookmarkStart w:id="132" w:name="_Toc10257"/>
      <w:bookmarkStart w:id="133" w:name="_Toc7015"/>
      <w:r>
        <w:rPr>
          <w:rFonts w:hint="eastAsia" w:ascii="仿宋_GB2312" w:hAnsi="仿宋"/>
          <w:b w:val="0"/>
          <w:color w:val="000000"/>
        </w:rPr>
        <w:t>十四、国有资本经营预算财政拨款支出决算表</w:t>
      </w:r>
      <w:bookmarkEnd w:id="132"/>
      <w:bookmarkEnd w:id="133"/>
    </w:p>
    <w:p>
      <w:pPr>
        <w:pStyle w:val="3"/>
        <w:outlineLvl w:val="9"/>
        <w:rPr>
          <w:rFonts w:hint="eastAsia" w:ascii="仿宋" w:hAnsi="仿宋" w:eastAsia="仿宋"/>
          <w:b w:val="0"/>
          <w:color w:val="000000"/>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1">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3">
    <w:nsid w:val="1E97DD7D"/>
    <w:multiLevelType w:val="singleLevel"/>
    <w:tmpl w:val="1E97DD7D"/>
    <w:lvl w:ilvl="0" w:tentative="0">
      <w:start w:val="2"/>
      <w:numFmt w:val="chineseCounting"/>
      <w:suff w:val="nothing"/>
      <w:lvlText w:val="（%1）"/>
      <w:lvlJc w:val="left"/>
      <w:rPr>
        <w:rFonts w:hint="eastAsia"/>
      </w:rPr>
    </w:lvl>
  </w:abstractNum>
  <w:abstractNum w:abstractNumId="4">
    <w:nsid w:val="4F14709E"/>
    <w:multiLevelType w:val="multilevel"/>
    <w:tmpl w:val="4F14709E"/>
    <w:lvl w:ilvl="0" w:tentative="0">
      <w:start w:val="2"/>
      <w:numFmt w:val="japaneseCounting"/>
      <w:lvlText w:val="（%1）"/>
      <w:lvlJc w:val="left"/>
      <w:pPr>
        <w:ind w:left="1800" w:hanging="10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FF834A3"/>
    <w:multiLevelType w:val="singleLevel"/>
    <w:tmpl w:val="4FF834A3"/>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 w:numId="4">
    <w:abstractNumId w:val="5"/>
  </w:num>
  <w:num w:numId="5">
    <w:abstractNumId w:val="3"/>
  </w:num>
  <w:num w:numId="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05D7F5D"/>
    <w:rsid w:val="06D96529"/>
    <w:rsid w:val="3E4169FF"/>
    <w:rsid w:val="4D4B0F47"/>
    <w:rsid w:val="5D3E75DF"/>
    <w:rsid w:val="6504078C"/>
    <w:rsid w:val="6C2659B7"/>
    <w:rsid w:val="72694ECE"/>
    <w:rsid w:val="726E3979"/>
    <w:rsid w:val="793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7"/>
    <w:unhideWhenUsed/>
    <w:qFormat/>
    <w:uiPriority w:val="9"/>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99"/>
    <w:pPr>
      <w:spacing w:beforeLines="30"/>
    </w:pPr>
    <w:rPr>
      <w:rFonts w:ascii="仿宋_GB2312" w:eastAsia="仿宋_GB2312"/>
      <w:kern w:val="0"/>
      <w:sz w:val="24"/>
      <w:szCs w:val="20"/>
    </w:rPr>
  </w:style>
  <w:style w:type="paragraph" w:styleId="5">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6">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7">
    <w:name w:val="toc 1"/>
    <w:basedOn w:val="1"/>
    <w:next w:val="1"/>
    <w:unhideWhenUsed/>
    <w:qFormat/>
    <w:uiPriority w:val="39"/>
    <w:pPr>
      <w:spacing w:before="120"/>
      <w:jc w:val="left"/>
    </w:pPr>
    <w:rPr>
      <w:rFonts w:ascii="等线" w:eastAsia="等线"/>
      <w:b/>
      <w:bCs/>
      <w:i/>
      <w:iCs/>
      <w:sz w:val="24"/>
    </w:rPr>
  </w:style>
  <w:style w:type="paragraph" w:styleId="8">
    <w:name w:val="toc 2"/>
    <w:basedOn w:val="1"/>
    <w:next w:val="1"/>
    <w:unhideWhenUsed/>
    <w:qFormat/>
    <w:uiPriority w:val="39"/>
    <w:pPr>
      <w:spacing w:before="120"/>
      <w:ind w:left="300"/>
      <w:jc w:val="left"/>
    </w:pPr>
    <w:rPr>
      <w:rFonts w:ascii="等线" w:eastAsia="等线"/>
      <w:b/>
      <w:bCs/>
      <w:sz w:val="22"/>
      <w:szCs w:val="22"/>
    </w:rPr>
  </w:style>
  <w:style w:type="character" w:styleId="11">
    <w:name w:val="Strong"/>
    <w:basedOn w:val="10"/>
    <w:qFormat/>
    <w:uiPriority w:val="99"/>
    <w:rPr>
      <w:rFonts w:cs="Times New Roman"/>
      <w:b/>
    </w:rPr>
  </w:style>
  <w:style w:type="character" w:styleId="12">
    <w:name w:val="Hyperlink"/>
    <w:unhideWhenUsed/>
    <w:qFormat/>
    <w:uiPriority w:val="99"/>
    <w:rPr>
      <w:color w:val="0000FF"/>
      <w:u w:val="single"/>
    </w:rPr>
  </w:style>
  <w:style w:type="character" w:customStyle="1" w:styleId="13">
    <w:name w:val=" Char Char6"/>
    <w:basedOn w:val="10"/>
    <w:link w:val="2"/>
    <w:qFormat/>
    <w:locked/>
    <w:uiPriority w:val="9"/>
    <w:rPr>
      <w:b/>
      <w:bCs/>
      <w:kern w:val="44"/>
      <w:sz w:val="44"/>
      <w:szCs w:val="44"/>
    </w:rPr>
  </w:style>
  <w:style w:type="character" w:customStyle="1" w:styleId="14">
    <w:name w:val=" Char Char5"/>
    <w:basedOn w:val="10"/>
    <w:link w:val="3"/>
    <w:qFormat/>
    <w:locked/>
    <w:uiPriority w:val="9"/>
    <w:rPr>
      <w:rFonts w:ascii="Cambria" w:hAnsi="Cambria"/>
      <w:b/>
      <w:bCs/>
      <w:sz w:val="32"/>
      <w:szCs w:val="32"/>
    </w:rPr>
  </w:style>
  <w:style w:type="paragraph" w:customStyle="1" w:styleId="15">
    <w:name w:val="List Paragraph"/>
    <w:basedOn w:val="1"/>
    <w:qFormat/>
    <w:uiPriority w:val="34"/>
    <w:pPr>
      <w:ind w:firstLine="420" w:firstLineChars="200"/>
    </w:pPr>
  </w:style>
  <w:style w:type="paragraph" w:customStyle="1" w:styleId="1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character" w:customStyle="1" w:styleId="17">
    <w:name w:val="标题 2 Char"/>
    <w:basedOn w:val="10"/>
    <w:link w:val="3"/>
    <w:qFormat/>
    <w:locked/>
    <w:uiPriority w:val="9"/>
    <w:rPr>
      <w:rFonts w:ascii="Cambria" w:hAnsi="Cambria"/>
      <w:b/>
      <w:bCs/>
      <w:sz w:val="32"/>
      <w:szCs w:val="32"/>
    </w:rPr>
  </w:style>
  <w:style w:type="paragraph" w:customStyle="1" w:styleId="18">
    <w:name w:val="WPSOffice手动目录 1"/>
    <w:uiPriority w:val="0"/>
    <w:pPr>
      <w:ind w:leftChars="0"/>
    </w:pPr>
    <w:rPr>
      <w:rFonts w:asciiTheme="minorHAnsi" w:hAnsiTheme="minorHAnsi" w:eastAsiaTheme="minorEastAsia" w:cstheme="minorBidi"/>
      <w:sz w:val="20"/>
      <w:szCs w:val="20"/>
    </w:rPr>
  </w:style>
  <w:style w:type="paragraph" w:customStyle="1" w:styleId="19">
    <w:name w:val="WPSOffice手动目录 2"/>
    <w:uiPriority w:val="0"/>
    <w:pPr>
      <w:ind w:leftChars="200"/>
    </w:pPr>
    <w:rPr>
      <w:rFonts w:asciiTheme="minorHAnsi" w:hAnsiTheme="minorHAnsi" w:eastAsiaTheme="minorEastAsia" w:cstheme="minorBidi"/>
      <w:sz w:val="20"/>
      <w:szCs w:val="20"/>
    </w:rPr>
  </w:style>
  <w:style w:type="paragraph" w:customStyle="1" w:styleId="20">
    <w:name w:val="WPSOffice手动目录 3"/>
    <w:uiPriority w:val="0"/>
    <w:pPr>
      <w:ind w:leftChars="4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emf"/><Relationship Id="rId8" Type="http://schemas.openxmlformats.org/officeDocument/2006/relationships/image" Target="media/image4.emf"/><Relationship Id="rId7" Type="http://schemas.openxmlformats.org/officeDocument/2006/relationships/image" Target="media/image3.emf"/><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11346</Words>
  <Characters>12224</Characters>
  <Lines>0</Lines>
  <Paragraphs>0</Paragraphs>
  <TotalTime>16</TotalTime>
  <ScaleCrop>false</ScaleCrop>
  <LinksUpToDate>false</LinksUpToDate>
  <CharactersWithSpaces>12399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dcterms:modified xsi:type="dcterms:W3CDTF">2022-05-30T07:56:30Z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3BDD276551DE4A21969EA419326B580F</vt:lpwstr>
  </property>
</Properties>
</file>