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4" w:line="247" w:lineRule="auto"/>
        <w:ind w:left="1358" w:right="1658" w:firstLine="715"/>
        <w:jc w:val="left"/>
        <w:rPr>
          <w:rFonts w:hint="eastAsia" w:ascii="宋体" w:eastAsia="宋体"/>
        </w:rPr>
      </w:pPr>
      <w:r>
        <w:rPr>
          <w:rFonts w:hint="eastAsia" w:ascii="宋体" w:eastAsia="宋体"/>
        </w:rPr>
        <w:t>自贡市自流井区中医院2020</w:t>
      </w:r>
      <w:r>
        <w:rPr>
          <w:rFonts w:hint="eastAsia" w:ascii="宋体" w:eastAsia="宋体"/>
          <w:spacing w:val="-13"/>
        </w:rPr>
        <w:t xml:space="preserve"> 年度部门决算编制的说明</w:t>
      </w:r>
    </w:p>
    <w:p>
      <w:pPr>
        <w:pStyle w:val="4"/>
        <w:spacing w:before="3"/>
        <w:ind w:left="0"/>
        <w:rPr>
          <w:rFonts w:ascii="宋体"/>
          <w:sz w:val="49"/>
        </w:rPr>
      </w:pPr>
    </w:p>
    <w:p>
      <w:pPr>
        <w:spacing w:before="0"/>
        <w:ind w:left="0" w:right="300" w:firstLine="0"/>
        <w:jc w:val="center"/>
        <w:rPr>
          <w:rFonts w:hint="eastAsia" w:ascii="黑体" w:eastAsia="黑体"/>
          <w:sz w:val="44"/>
        </w:rPr>
      </w:pPr>
      <w:r>
        <w:rPr>
          <w:rFonts w:hint="eastAsia" w:ascii="黑体" w:eastAsia="黑体"/>
          <w:sz w:val="44"/>
        </w:rPr>
        <w:t>目录</w:t>
      </w:r>
    </w:p>
    <w:sdt>
      <w:sdtPr>
        <w:id w:val="1"/>
        <w:docPartObj>
          <w:docPartGallery w:val="Table of Contents"/>
          <w:docPartUnique/>
        </w:docPartObj>
      </w:sdtPr>
      <w:sdtContent>
        <w:p>
          <w:pPr>
            <w:pStyle w:val="5"/>
            <w:tabs>
              <w:tab w:val="left" w:leader="dot" w:pos="8164"/>
            </w:tabs>
            <w:spacing w:before="396"/>
            <w:ind w:right="298"/>
            <w:jc w:val="center"/>
          </w:pPr>
          <w:bookmarkStart w:id="35" w:name="_GoBack"/>
          <w:bookmarkEnd w:id="35"/>
          <w:r>
            <w:fldChar w:fldCharType="begin"/>
          </w:r>
          <w:r>
            <w:instrText xml:space="preserve"> HYPERLINK \l "_TOC_250003" </w:instrText>
          </w:r>
          <w:r>
            <w:fldChar w:fldCharType="separate"/>
          </w:r>
          <w:r>
            <w:t>第</w:t>
          </w:r>
          <w:r>
            <w:rPr>
              <w:spacing w:val="-3"/>
            </w:rPr>
            <w:t>一</w:t>
          </w:r>
          <w:r>
            <w:t>部分 部</w:t>
          </w:r>
          <w:r>
            <w:rPr>
              <w:spacing w:val="-3"/>
            </w:rPr>
            <w:t>门</w:t>
          </w:r>
          <w:r>
            <w:t>概况</w:t>
          </w:r>
          <w:r>
            <w:tab/>
          </w:r>
          <w:r>
            <w:t>3</w:t>
          </w:r>
          <w:r>
            <w:fldChar w:fldCharType="end"/>
          </w:r>
        </w:p>
        <w:p>
          <w:pPr>
            <w:pStyle w:val="5"/>
            <w:tabs>
              <w:tab w:val="left" w:leader="dot" w:pos="7864"/>
            </w:tabs>
          </w:pPr>
          <w:r>
            <w:t>一</w:t>
          </w:r>
          <w:r>
            <w:rPr>
              <w:spacing w:val="-3"/>
            </w:rPr>
            <w:t>、</w:t>
          </w:r>
          <w:r>
            <w:t>基本</w:t>
          </w:r>
          <w:r>
            <w:rPr>
              <w:spacing w:val="-3"/>
            </w:rPr>
            <w:t>职</w:t>
          </w:r>
          <w:r>
            <w:t>能及</w:t>
          </w:r>
          <w:r>
            <w:rPr>
              <w:spacing w:val="-3"/>
            </w:rPr>
            <w:t>主</w:t>
          </w:r>
          <w:r>
            <w:t>要工作</w:t>
          </w:r>
          <w:r>
            <w:tab/>
          </w:r>
          <w:r>
            <w:rPr>
              <w:spacing w:val="-1"/>
            </w:rPr>
            <w:t>3</w:t>
          </w:r>
        </w:p>
        <w:p>
          <w:pPr>
            <w:pStyle w:val="5"/>
            <w:tabs>
              <w:tab w:val="left" w:leader="dot" w:pos="7864"/>
            </w:tabs>
            <w:spacing w:before="323"/>
          </w:pPr>
          <w:r>
            <w:t>二</w:t>
          </w:r>
          <w:r>
            <w:rPr>
              <w:spacing w:val="-3"/>
            </w:rPr>
            <w:t>、</w:t>
          </w:r>
          <w:r>
            <w:t>机构</w:t>
          </w:r>
          <w:r>
            <w:rPr>
              <w:spacing w:val="-3"/>
            </w:rPr>
            <w:t>设</w:t>
          </w:r>
          <w:r>
            <w:t>置</w:t>
          </w:r>
          <w:r>
            <w:tab/>
          </w:r>
          <w:r>
            <w:rPr>
              <w:spacing w:val="-1"/>
            </w:rPr>
            <w:t>9</w:t>
          </w:r>
        </w:p>
        <w:p>
          <w:pPr>
            <w:pStyle w:val="5"/>
            <w:tabs>
              <w:tab w:val="left" w:leader="dot" w:pos="8164"/>
            </w:tabs>
            <w:spacing w:before="321"/>
          </w:pPr>
          <w:r>
            <w:fldChar w:fldCharType="begin"/>
          </w:r>
          <w:r>
            <w:instrText xml:space="preserve"> HYPERLINK \l "_TOC_250002" </w:instrText>
          </w:r>
          <w:r>
            <w:fldChar w:fldCharType="separate"/>
          </w:r>
          <w:r>
            <w:t>第</w:t>
          </w:r>
          <w:r>
            <w:rPr>
              <w:spacing w:val="-3"/>
            </w:rPr>
            <w:t>二</w:t>
          </w:r>
          <w:r>
            <w:t>部分 2020</w:t>
          </w:r>
          <w:r>
            <w:rPr>
              <w:spacing w:val="-71"/>
            </w:rPr>
            <w:t xml:space="preserve"> </w:t>
          </w:r>
          <w:r>
            <w:t>年</w:t>
          </w:r>
          <w:r>
            <w:rPr>
              <w:spacing w:val="-3"/>
            </w:rPr>
            <w:t>度</w:t>
          </w:r>
          <w:r>
            <w:t>部门</w:t>
          </w:r>
          <w:r>
            <w:rPr>
              <w:spacing w:val="-3"/>
            </w:rPr>
            <w:t>决</w:t>
          </w:r>
          <w:r>
            <w:t>算情</w:t>
          </w:r>
          <w:r>
            <w:rPr>
              <w:spacing w:val="-3"/>
            </w:rPr>
            <w:t>况</w:t>
          </w:r>
          <w:r>
            <w:t>说明</w:t>
          </w:r>
          <w:r>
            <w:tab/>
          </w:r>
          <w:r>
            <w:rPr>
              <w:spacing w:val="-1"/>
            </w:rPr>
            <w:t>9</w:t>
          </w:r>
          <w:r>
            <w:rPr>
              <w:spacing w:val="-1"/>
            </w:rPr>
            <w:fldChar w:fldCharType="end"/>
          </w:r>
        </w:p>
        <w:p>
          <w:pPr>
            <w:pStyle w:val="5"/>
            <w:tabs>
              <w:tab w:val="left" w:leader="dot" w:pos="7864"/>
            </w:tabs>
          </w:pPr>
          <w:r>
            <w:t>一、</w:t>
          </w:r>
          <w:r>
            <w:rPr>
              <w:spacing w:val="1"/>
            </w:rPr>
            <w:t xml:space="preserve"> </w:t>
          </w:r>
          <w:r>
            <w:t>收</w:t>
          </w:r>
          <w:r>
            <w:rPr>
              <w:spacing w:val="-3"/>
            </w:rPr>
            <w:t>入</w:t>
          </w:r>
          <w:r>
            <w:t>支出</w:t>
          </w:r>
          <w:r>
            <w:rPr>
              <w:spacing w:val="-3"/>
            </w:rPr>
            <w:t>决</w:t>
          </w:r>
          <w:r>
            <w:t>算总</w:t>
          </w:r>
          <w:r>
            <w:rPr>
              <w:spacing w:val="-3"/>
            </w:rPr>
            <w:t>体</w:t>
          </w:r>
          <w:r>
            <w:t>情况</w:t>
          </w:r>
          <w:r>
            <w:rPr>
              <w:spacing w:val="-3"/>
            </w:rPr>
            <w:t>说</w:t>
          </w:r>
          <w:r>
            <w:t>明</w:t>
          </w:r>
          <w:r>
            <w:tab/>
          </w:r>
          <w:r>
            <w:rPr>
              <w:spacing w:val="-1"/>
            </w:rPr>
            <w:t>9</w:t>
          </w:r>
        </w:p>
        <w:p>
          <w:pPr>
            <w:pStyle w:val="5"/>
            <w:tabs>
              <w:tab w:val="left" w:leader="dot" w:pos="7725"/>
            </w:tabs>
            <w:spacing w:before="323"/>
          </w:pPr>
          <w:r>
            <w:t>二、 收</w:t>
          </w:r>
          <w:r>
            <w:rPr>
              <w:spacing w:val="-3"/>
            </w:rPr>
            <w:t>入</w:t>
          </w:r>
          <w:r>
            <w:t>决算</w:t>
          </w:r>
          <w:r>
            <w:rPr>
              <w:spacing w:val="-3"/>
            </w:rPr>
            <w:t>情</w:t>
          </w:r>
          <w:r>
            <w:t>况说明</w:t>
          </w:r>
          <w:r>
            <w:tab/>
          </w:r>
          <w:r>
            <w:rPr>
              <w:spacing w:val="-1"/>
            </w:rPr>
            <w:t>10</w:t>
          </w:r>
        </w:p>
        <w:p>
          <w:pPr>
            <w:pStyle w:val="5"/>
            <w:tabs>
              <w:tab w:val="left" w:leader="dot" w:pos="7725"/>
            </w:tabs>
          </w:pPr>
          <w:r>
            <w:t>三、 支</w:t>
          </w:r>
          <w:r>
            <w:rPr>
              <w:spacing w:val="-3"/>
            </w:rPr>
            <w:t>出</w:t>
          </w:r>
          <w:r>
            <w:t>决算</w:t>
          </w:r>
          <w:r>
            <w:rPr>
              <w:spacing w:val="-3"/>
            </w:rPr>
            <w:t>情</w:t>
          </w:r>
          <w:r>
            <w:t>况说明</w:t>
          </w:r>
          <w:r>
            <w:tab/>
          </w:r>
          <w:r>
            <w:rPr>
              <w:spacing w:val="-1"/>
            </w:rPr>
            <w:t>10</w:t>
          </w:r>
        </w:p>
        <w:p>
          <w:pPr>
            <w:pStyle w:val="5"/>
            <w:tabs>
              <w:tab w:val="left" w:leader="dot" w:pos="7725"/>
            </w:tabs>
            <w:spacing w:before="321"/>
          </w:pPr>
          <w:r>
            <w:t>四</w:t>
          </w:r>
          <w:r>
            <w:rPr>
              <w:spacing w:val="-3"/>
            </w:rPr>
            <w:t>、</w:t>
          </w:r>
          <w:r>
            <w:t>财政</w:t>
          </w:r>
          <w:r>
            <w:rPr>
              <w:spacing w:val="-3"/>
            </w:rPr>
            <w:t>拨</w:t>
          </w:r>
          <w:r>
            <w:t>款收</w:t>
          </w:r>
          <w:r>
            <w:rPr>
              <w:spacing w:val="-3"/>
            </w:rPr>
            <w:t>入</w:t>
          </w:r>
          <w:r>
            <w:t>支出</w:t>
          </w:r>
          <w:r>
            <w:rPr>
              <w:spacing w:val="-3"/>
            </w:rPr>
            <w:t>决</w:t>
          </w:r>
          <w:r>
            <w:t>算总</w:t>
          </w:r>
          <w:r>
            <w:rPr>
              <w:spacing w:val="-3"/>
            </w:rPr>
            <w:t>体</w:t>
          </w:r>
          <w:r>
            <w:t>情况</w:t>
          </w:r>
          <w:r>
            <w:rPr>
              <w:spacing w:val="-3"/>
            </w:rPr>
            <w:t>说</w:t>
          </w:r>
          <w:r>
            <w:t>明</w:t>
          </w:r>
          <w:r>
            <w:tab/>
          </w:r>
          <w:r>
            <w:rPr>
              <w:spacing w:val="-1"/>
            </w:rPr>
            <w:t>11</w:t>
          </w:r>
        </w:p>
        <w:p>
          <w:pPr>
            <w:pStyle w:val="5"/>
            <w:tabs>
              <w:tab w:val="left" w:leader="dot" w:pos="7725"/>
            </w:tabs>
            <w:spacing w:before="323"/>
          </w:pPr>
          <w:r>
            <w:t>五</w:t>
          </w:r>
          <w:r>
            <w:rPr>
              <w:spacing w:val="-3"/>
            </w:rPr>
            <w:t>、</w:t>
          </w:r>
          <w:r>
            <w:t>一般</w:t>
          </w:r>
          <w:r>
            <w:rPr>
              <w:spacing w:val="-3"/>
            </w:rPr>
            <w:t>公</w:t>
          </w:r>
          <w:r>
            <w:t>共预</w:t>
          </w:r>
          <w:r>
            <w:rPr>
              <w:spacing w:val="-3"/>
            </w:rPr>
            <w:t>算</w:t>
          </w:r>
          <w:r>
            <w:t>财政</w:t>
          </w:r>
          <w:r>
            <w:rPr>
              <w:spacing w:val="-3"/>
            </w:rPr>
            <w:t>拨</w:t>
          </w:r>
          <w:r>
            <w:t>款支</w:t>
          </w:r>
          <w:r>
            <w:rPr>
              <w:spacing w:val="-3"/>
            </w:rPr>
            <w:t>出</w:t>
          </w:r>
          <w:r>
            <w:t>决算</w:t>
          </w:r>
          <w:r>
            <w:rPr>
              <w:spacing w:val="-3"/>
            </w:rPr>
            <w:t>情</w:t>
          </w:r>
          <w:r>
            <w:t>况说明</w:t>
          </w:r>
          <w:r>
            <w:tab/>
          </w:r>
          <w:r>
            <w:rPr>
              <w:spacing w:val="-1"/>
            </w:rPr>
            <w:t>12</w:t>
          </w:r>
        </w:p>
        <w:p>
          <w:pPr>
            <w:pStyle w:val="5"/>
            <w:tabs>
              <w:tab w:val="left" w:leader="dot" w:pos="7725"/>
            </w:tabs>
          </w:pPr>
          <w:r>
            <w:t>六</w:t>
          </w:r>
          <w:r>
            <w:rPr>
              <w:spacing w:val="-3"/>
            </w:rPr>
            <w:t>、</w:t>
          </w:r>
          <w:r>
            <w:t>一般</w:t>
          </w:r>
          <w:r>
            <w:rPr>
              <w:spacing w:val="-3"/>
            </w:rPr>
            <w:t>公</w:t>
          </w:r>
          <w:r>
            <w:t>共预</w:t>
          </w:r>
          <w:r>
            <w:rPr>
              <w:spacing w:val="-3"/>
            </w:rPr>
            <w:t>算</w:t>
          </w:r>
          <w:r>
            <w:t>财政</w:t>
          </w:r>
          <w:r>
            <w:rPr>
              <w:spacing w:val="-3"/>
            </w:rPr>
            <w:t>拨</w:t>
          </w:r>
          <w:r>
            <w:t>款基</w:t>
          </w:r>
          <w:r>
            <w:rPr>
              <w:spacing w:val="-3"/>
            </w:rPr>
            <w:t>本</w:t>
          </w:r>
          <w:r>
            <w:t>支出</w:t>
          </w:r>
          <w:r>
            <w:rPr>
              <w:spacing w:val="-3"/>
            </w:rPr>
            <w:t>决</w:t>
          </w:r>
          <w:r>
            <w:t>算情</w:t>
          </w:r>
          <w:r>
            <w:rPr>
              <w:spacing w:val="-3"/>
            </w:rPr>
            <w:t>况</w:t>
          </w:r>
          <w:r>
            <w:t>说明</w:t>
          </w:r>
          <w:r>
            <w:tab/>
          </w:r>
          <w:r>
            <w:rPr>
              <w:spacing w:val="-1"/>
            </w:rPr>
            <w:t>13</w:t>
          </w:r>
        </w:p>
        <w:p>
          <w:pPr>
            <w:pStyle w:val="5"/>
            <w:tabs>
              <w:tab w:val="left" w:leader="dot" w:pos="7725"/>
            </w:tabs>
            <w:ind w:right="416"/>
          </w:pPr>
          <w:r>
            <w:t>七</w:t>
          </w:r>
          <w:r>
            <w:rPr>
              <w:spacing w:val="-3"/>
            </w:rPr>
            <w:t>、</w:t>
          </w:r>
          <w:r>
            <w:t>“三</w:t>
          </w:r>
          <w:r>
            <w:rPr>
              <w:spacing w:val="-3"/>
            </w:rPr>
            <w:t>公</w:t>
          </w:r>
          <w:r>
            <w:t>”经</w:t>
          </w:r>
          <w:r>
            <w:rPr>
              <w:spacing w:val="-3"/>
            </w:rPr>
            <w:t>费</w:t>
          </w:r>
          <w:r>
            <w:t>财政</w:t>
          </w:r>
          <w:r>
            <w:rPr>
              <w:spacing w:val="-3"/>
            </w:rPr>
            <w:t>拨</w:t>
          </w:r>
          <w:r>
            <w:t>款支</w:t>
          </w:r>
          <w:r>
            <w:rPr>
              <w:spacing w:val="-3"/>
            </w:rPr>
            <w:t>出</w:t>
          </w:r>
          <w:r>
            <w:t>决算</w:t>
          </w:r>
          <w:r>
            <w:rPr>
              <w:spacing w:val="-3"/>
            </w:rPr>
            <w:t>情</w:t>
          </w:r>
          <w:r>
            <w:t>况说明</w:t>
          </w:r>
          <w:r>
            <w:tab/>
          </w:r>
          <w:r>
            <w:t>13</w:t>
          </w:r>
        </w:p>
        <w:p>
          <w:pPr>
            <w:pStyle w:val="5"/>
            <w:tabs>
              <w:tab w:val="left" w:leader="dot" w:pos="7725"/>
            </w:tabs>
            <w:spacing w:before="323"/>
            <w:ind w:right="416"/>
          </w:pPr>
          <w:r>
            <w:t>八</w:t>
          </w:r>
          <w:r>
            <w:rPr>
              <w:spacing w:val="-3"/>
            </w:rPr>
            <w:t>、</w:t>
          </w:r>
          <w:r>
            <w:t>政府</w:t>
          </w:r>
          <w:r>
            <w:rPr>
              <w:spacing w:val="-3"/>
            </w:rPr>
            <w:t>性</w:t>
          </w:r>
          <w:r>
            <w:t>基金</w:t>
          </w:r>
          <w:r>
            <w:rPr>
              <w:spacing w:val="-3"/>
            </w:rPr>
            <w:t>预</w:t>
          </w:r>
          <w:r>
            <w:t>算支</w:t>
          </w:r>
          <w:r>
            <w:rPr>
              <w:spacing w:val="-3"/>
            </w:rPr>
            <w:t>出</w:t>
          </w:r>
          <w:r>
            <w:t>决算</w:t>
          </w:r>
          <w:r>
            <w:rPr>
              <w:spacing w:val="-3"/>
            </w:rPr>
            <w:t>情</w:t>
          </w:r>
          <w:r>
            <w:t>况说明</w:t>
          </w:r>
          <w:r>
            <w:tab/>
          </w:r>
          <w:r>
            <w:t>15</w:t>
          </w:r>
        </w:p>
        <w:p>
          <w:pPr>
            <w:pStyle w:val="5"/>
            <w:tabs>
              <w:tab w:val="left" w:leader="dot" w:pos="7725"/>
            </w:tabs>
            <w:spacing w:before="321"/>
            <w:ind w:right="416"/>
          </w:pPr>
          <w:r>
            <w:t>九、</w:t>
          </w:r>
          <w:r>
            <w:rPr>
              <w:spacing w:val="1"/>
            </w:rPr>
            <w:t xml:space="preserve"> </w:t>
          </w:r>
          <w:r>
            <w:t>国</w:t>
          </w:r>
          <w:r>
            <w:rPr>
              <w:spacing w:val="-3"/>
            </w:rPr>
            <w:t>有</w:t>
          </w:r>
          <w:r>
            <w:t>资本</w:t>
          </w:r>
          <w:r>
            <w:rPr>
              <w:spacing w:val="-3"/>
            </w:rPr>
            <w:t>经</w:t>
          </w:r>
          <w:r>
            <w:t>营预</w:t>
          </w:r>
          <w:r>
            <w:rPr>
              <w:spacing w:val="-3"/>
            </w:rPr>
            <w:t>算</w:t>
          </w:r>
          <w:r>
            <w:t>支出</w:t>
          </w:r>
          <w:r>
            <w:rPr>
              <w:spacing w:val="-3"/>
            </w:rPr>
            <w:t>决</w:t>
          </w:r>
          <w:r>
            <w:t>算情</w:t>
          </w:r>
          <w:r>
            <w:rPr>
              <w:spacing w:val="-3"/>
            </w:rPr>
            <w:t>况</w:t>
          </w:r>
          <w:r>
            <w:t>说明</w:t>
          </w:r>
          <w:r>
            <w:tab/>
          </w:r>
          <w:r>
            <w:t>15</w:t>
          </w:r>
        </w:p>
        <w:p>
          <w:pPr>
            <w:pStyle w:val="5"/>
            <w:tabs>
              <w:tab w:val="left" w:leader="dot" w:pos="7725"/>
            </w:tabs>
            <w:ind w:right="416"/>
          </w:pPr>
          <w:r>
            <w:t>十</w:t>
          </w:r>
          <w:r>
            <w:rPr>
              <w:spacing w:val="-3"/>
            </w:rPr>
            <w:t>、</w:t>
          </w:r>
          <w:r>
            <w:t>其他</w:t>
          </w:r>
          <w:r>
            <w:rPr>
              <w:spacing w:val="-3"/>
            </w:rPr>
            <w:t>重</w:t>
          </w:r>
          <w:r>
            <w:t>要事</w:t>
          </w:r>
          <w:r>
            <w:rPr>
              <w:spacing w:val="-3"/>
            </w:rPr>
            <w:t>项</w:t>
          </w:r>
          <w:r>
            <w:t>的情</w:t>
          </w:r>
          <w:r>
            <w:rPr>
              <w:spacing w:val="-3"/>
            </w:rPr>
            <w:t>况</w:t>
          </w:r>
          <w:r>
            <w:t>说明</w:t>
          </w:r>
          <w:r>
            <w:tab/>
          </w:r>
          <w:r>
            <w:t>15</w:t>
          </w:r>
        </w:p>
        <w:p>
          <w:pPr>
            <w:pStyle w:val="5"/>
            <w:tabs>
              <w:tab w:val="left" w:leader="dot" w:pos="8025"/>
            </w:tabs>
            <w:spacing w:before="323"/>
            <w:ind w:right="416"/>
          </w:pPr>
          <w:r>
            <w:fldChar w:fldCharType="begin"/>
          </w:r>
          <w:r>
            <w:instrText xml:space="preserve"> HYPERLINK \l "_TOC_250001" </w:instrText>
          </w:r>
          <w:r>
            <w:fldChar w:fldCharType="separate"/>
          </w:r>
          <w:r>
            <w:t>第</w:t>
          </w:r>
          <w:r>
            <w:rPr>
              <w:spacing w:val="-3"/>
            </w:rPr>
            <w:t>三</w:t>
          </w:r>
          <w:r>
            <w:t>部分 名</w:t>
          </w:r>
          <w:r>
            <w:rPr>
              <w:spacing w:val="-3"/>
            </w:rPr>
            <w:t>词</w:t>
          </w:r>
          <w:r>
            <w:t>解释</w:t>
          </w:r>
          <w:r>
            <w:tab/>
          </w:r>
          <w:r>
            <w:t>16</w:t>
          </w:r>
          <w:r>
            <w:fldChar w:fldCharType="end"/>
          </w:r>
        </w:p>
        <w:p>
          <w:pPr>
            <w:pStyle w:val="5"/>
            <w:tabs>
              <w:tab w:val="left" w:leader="dot" w:pos="8025"/>
            </w:tabs>
            <w:spacing w:before="321"/>
            <w:ind w:right="416"/>
          </w:pPr>
          <w:r>
            <w:fldChar w:fldCharType="begin"/>
          </w:r>
          <w:r>
            <w:instrText xml:space="preserve"> HYPERLINK \l "_TOC_250000" </w:instrText>
          </w:r>
          <w:r>
            <w:fldChar w:fldCharType="separate"/>
          </w:r>
          <w:r>
            <w:t>第</w:t>
          </w:r>
          <w:r>
            <w:rPr>
              <w:spacing w:val="-3"/>
            </w:rPr>
            <w:t>四</w:t>
          </w:r>
          <w:r>
            <w:t>部分 附件</w:t>
          </w:r>
          <w:r>
            <w:tab/>
          </w:r>
          <w:r>
            <w:t>1</w:t>
          </w:r>
          <w:r>
            <w:rPr>
              <w:rFonts w:hint="eastAsia"/>
              <w:lang w:val="en-US" w:eastAsia="zh-CN"/>
            </w:rPr>
            <w:t>9</w:t>
          </w:r>
          <w:r>
            <w:fldChar w:fldCharType="end"/>
          </w:r>
        </w:p>
      </w:sdtContent>
    </w:sdt>
    <w:p>
      <w:pPr>
        <w:spacing w:after="0"/>
        <w:sectPr>
          <w:footerReference r:id="rId5" w:type="default"/>
          <w:type w:val="continuous"/>
          <w:pgSz w:w="11910" w:h="16840"/>
          <w:pgMar w:top="1420" w:right="1380" w:bottom="1160" w:left="1680" w:header="720" w:footer="970" w:gutter="0"/>
          <w:pgNumType w:start="1"/>
          <w:cols w:space="720" w:num="1"/>
        </w:sectPr>
      </w:pPr>
    </w:p>
    <w:p>
      <w:pPr>
        <w:tabs>
          <w:tab w:val="right" w:leader="dot" w:pos="8307"/>
        </w:tabs>
        <w:spacing w:before="32"/>
        <w:ind w:left="0" w:right="416" w:firstLine="0"/>
        <w:jc w:val="right"/>
        <w:rPr>
          <w:sz w:val="28"/>
        </w:rPr>
      </w:pPr>
      <w:r>
        <w:rPr>
          <w:sz w:val="28"/>
        </w:rPr>
        <w:t>第</w:t>
      </w:r>
      <w:r>
        <w:rPr>
          <w:spacing w:val="-3"/>
          <w:sz w:val="28"/>
        </w:rPr>
        <w:t>五</w:t>
      </w:r>
      <w:r>
        <w:rPr>
          <w:sz w:val="28"/>
        </w:rPr>
        <w:t>部分</w:t>
      </w:r>
      <w:r>
        <w:rPr>
          <w:spacing w:val="-1"/>
          <w:sz w:val="28"/>
        </w:rPr>
        <w:t xml:space="preserve"> </w:t>
      </w:r>
      <w:r>
        <w:rPr>
          <w:sz w:val="28"/>
        </w:rPr>
        <w:t>附表</w:t>
      </w:r>
      <w:r>
        <w:rPr>
          <w:sz w:val="28"/>
        </w:rPr>
        <w:tab/>
      </w:r>
      <w:r>
        <w:rPr>
          <w:sz w:val="28"/>
        </w:rPr>
        <w:t>20</w:t>
      </w:r>
    </w:p>
    <w:p>
      <w:pPr>
        <w:tabs>
          <w:tab w:val="right" w:leader="dot" w:pos="8007"/>
        </w:tabs>
        <w:spacing w:before="320"/>
        <w:ind w:left="0" w:right="416" w:firstLine="0"/>
        <w:jc w:val="right"/>
        <w:rPr>
          <w:sz w:val="28"/>
        </w:rPr>
      </w:pPr>
      <w:r>
        <w:rPr>
          <w:sz w:val="28"/>
        </w:rPr>
        <w:t>一</w:t>
      </w:r>
      <w:r>
        <w:rPr>
          <w:spacing w:val="-3"/>
          <w:sz w:val="28"/>
        </w:rPr>
        <w:t>、</w:t>
      </w:r>
      <w:r>
        <w:rPr>
          <w:sz w:val="28"/>
        </w:rPr>
        <w:t>收入</w:t>
      </w:r>
      <w:r>
        <w:rPr>
          <w:spacing w:val="-3"/>
          <w:sz w:val="28"/>
        </w:rPr>
        <w:t>支</w:t>
      </w:r>
      <w:r>
        <w:rPr>
          <w:sz w:val="28"/>
        </w:rPr>
        <w:t>出决</w:t>
      </w:r>
      <w:r>
        <w:rPr>
          <w:spacing w:val="-3"/>
          <w:sz w:val="28"/>
        </w:rPr>
        <w:t>算</w:t>
      </w:r>
      <w:r>
        <w:rPr>
          <w:sz w:val="28"/>
        </w:rPr>
        <w:t>总表</w:t>
      </w:r>
      <w:r>
        <w:rPr>
          <w:sz w:val="28"/>
        </w:rPr>
        <w:tab/>
      </w:r>
      <w:r>
        <w:rPr>
          <w:sz w:val="28"/>
        </w:rPr>
        <w:t>20</w:t>
      </w:r>
    </w:p>
    <w:p>
      <w:pPr>
        <w:tabs>
          <w:tab w:val="right" w:leader="dot" w:pos="8007"/>
        </w:tabs>
        <w:spacing w:before="320"/>
        <w:ind w:left="0" w:right="416" w:firstLine="0"/>
        <w:jc w:val="right"/>
        <w:rPr>
          <w:sz w:val="28"/>
        </w:rPr>
      </w:pPr>
      <w:r>
        <w:rPr>
          <w:sz w:val="28"/>
        </w:rPr>
        <w:t>二</w:t>
      </w:r>
      <w:r>
        <w:rPr>
          <w:spacing w:val="-3"/>
          <w:sz w:val="28"/>
        </w:rPr>
        <w:t>、</w:t>
      </w:r>
      <w:r>
        <w:rPr>
          <w:sz w:val="28"/>
        </w:rPr>
        <w:t>收入</w:t>
      </w:r>
      <w:r>
        <w:rPr>
          <w:spacing w:val="-3"/>
          <w:sz w:val="28"/>
        </w:rPr>
        <w:t>决</w:t>
      </w:r>
      <w:r>
        <w:rPr>
          <w:sz w:val="28"/>
        </w:rPr>
        <w:t>算表</w:t>
      </w:r>
      <w:r>
        <w:rPr>
          <w:sz w:val="28"/>
        </w:rPr>
        <w:tab/>
      </w:r>
      <w:r>
        <w:rPr>
          <w:sz w:val="28"/>
        </w:rPr>
        <w:t>20</w:t>
      </w:r>
    </w:p>
    <w:p>
      <w:pPr>
        <w:tabs>
          <w:tab w:val="right" w:leader="dot" w:pos="8007"/>
        </w:tabs>
        <w:spacing w:before="323"/>
        <w:ind w:left="0" w:right="416" w:firstLine="0"/>
        <w:jc w:val="right"/>
        <w:rPr>
          <w:sz w:val="28"/>
        </w:rPr>
      </w:pPr>
      <w:r>
        <w:rPr>
          <w:sz w:val="28"/>
        </w:rPr>
        <w:t>三</w:t>
      </w:r>
      <w:r>
        <w:rPr>
          <w:spacing w:val="-3"/>
          <w:sz w:val="28"/>
        </w:rPr>
        <w:t>、</w:t>
      </w:r>
      <w:r>
        <w:rPr>
          <w:sz w:val="28"/>
        </w:rPr>
        <w:t>支出</w:t>
      </w:r>
      <w:r>
        <w:rPr>
          <w:spacing w:val="-3"/>
          <w:sz w:val="28"/>
        </w:rPr>
        <w:t>决</w:t>
      </w:r>
      <w:r>
        <w:rPr>
          <w:sz w:val="28"/>
        </w:rPr>
        <w:t>算表</w:t>
      </w:r>
      <w:r>
        <w:rPr>
          <w:sz w:val="28"/>
        </w:rPr>
        <w:tab/>
      </w:r>
      <w:r>
        <w:rPr>
          <w:sz w:val="28"/>
        </w:rPr>
        <w:t>20</w:t>
      </w:r>
    </w:p>
    <w:p>
      <w:pPr>
        <w:tabs>
          <w:tab w:val="right" w:leader="dot" w:pos="8007"/>
        </w:tabs>
        <w:spacing w:before="321"/>
        <w:ind w:left="0" w:right="416" w:firstLine="0"/>
        <w:jc w:val="right"/>
        <w:rPr>
          <w:sz w:val="28"/>
        </w:rPr>
      </w:pPr>
      <w:r>
        <w:rPr>
          <w:sz w:val="28"/>
        </w:rPr>
        <w:t>四</w:t>
      </w:r>
      <w:r>
        <w:rPr>
          <w:spacing w:val="-3"/>
          <w:sz w:val="28"/>
        </w:rPr>
        <w:t>、</w:t>
      </w:r>
      <w:r>
        <w:rPr>
          <w:sz w:val="28"/>
        </w:rPr>
        <w:t>财政</w:t>
      </w:r>
      <w:r>
        <w:rPr>
          <w:spacing w:val="-3"/>
          <w:sz w:val="28"/>
        </w:rPr>
        <w:t>拨</w:t>
      </w:r>
      <w:r>
        <w:rPr>
          <w:sz w:val="28"/>
        </w:rPr>
        <w:t>款收</w:t>
      </w:r>
      <w:r>
        <w:rPr>
          <w:spacing w:val="-3"/>
          <w:sz w:val="28"/>
        </w:rPr>
        <w:t>入</w:t>
      </w:r>
      <w:r>
        <w:rPr>
          <w:sz w:val="28"/>
        </w:rPr>
        <w:t>支出</w:t>
      </w:r>
      <w:r>
        <w:rPr>
          <w:spacing w:val="-3"/>
          <w:sz w:val="28"/>
        </w:rPr>
        <w:t>决</w:t>
      </w:r>
      <w:r>
        <w:rPr>
          <w:sz w:val="28"/>
        </w:rPr>
        <w:t>算总表</w:t>
      </w:r>
      <w:r>
        <w:rPr>
          <w:sz w:val="28"/>
        </w:rPr>
        <w:tab/>
      </w:r>
      <w:r>
        <w:rPr>
          <w:sz w:val="28"/>
        </w:rPr>
        <w:t>20</w:t>
      </w:r>
    </w:p>
    <w:p>
      <w:pPr>
        <w:tabs>
          <w:tab w:val="right" w:leader="dot" w:pos="8007"/>
        </w:tabs>
        <w:spacing w:before="320"/>
        <w:ind w:left="0" w:right="416" w:firstLine="0"/>
        <w:jc w:val="right"/>
        <w:rPr>
          <w:sz w:val="28"/>
        </w:rPr>
      </w:pPr>
      <w:r>
        <w:rPr>
          <w:sz w:val="28"/>
        </w:rPr>
        <w:t>五</w:t>
      </w:r>
      <w:r>
        <w:rPr>
          <w:spacing w:val="-3"/>
          <w:sz w:val="28"/>
        </w:rPr>
        <w:t>、</w:t>
      </w:r>
      <w:r>
        <w:rPr>
          <w:sz w:val="28"/>
        </w:rPr>
        <w:t>财政</w:t>
      </w:r>
      <w:r>
        <w:rPr>
          <w:spacing w:val="-3"/>
          <w:sz w:val="28"/>
        </w:rPr>
        <w:t>拨</w:t>
      </w:r>
      <w:r>
        <w:rPr>
          <w:sz w:val="28"/>
        </w:rPr>
        <w:t>款支</w:t>
      </w:r>
      <w:r>
        <w:rPr>
          <w:spacing w:val="-3"/>
          <w:sz w:val="28"/>
        </w:rPr>
        <w:t>出</w:t>
      </w:r>
      <w:r>
        <w:rPr>
          <w:sz w:val="28"/>
        </w:rPr>
        <w:t>决算</w:t>
      </w:r>
      <w:r>
        <w:rPr>
          <w:spacing w:val="-3"/>
          <w:sz w:val="28"/>
        </w:rPr>
        <w:t>明</w:t>
      </w:r>
      <w:r>
        <w:rPr>
          <w:sz w:val="28"/>
        </w:rPr>
        <w:t>细表</w:t>
      </w:r>
      <w:r>
        <w:rPr>
          <w:sz w:val="28"/>
        </w:rPr>
        <w:tab/>
      </w:r>
      <w:r>
        <w:rPr>
          <w:sz w:val="28"/>
        </w:rPr>
        <w:t>20</w:t>
      </w:r>
    </w:p>
    <w:p>
      <w:pPr>
        <w:tabs>
          <w:tab w:val="right" w:leader="dot" w:pos="8007"/>
        </w:tabs>
        <w:spacing w:before="323"/>
        <w:ind w:left="0" w:right="416" w:firstLine="0"/>
        <w:jc w:val="right"/>
        <w:rPr>
          <w:sz w:val="28"/>
        </w:rPr>
      </w:pPr>
      <w:r>
        <w:rPr>
          <w:sz w:val="28"/>
        </w:rPr>
        <w:t>六</w:t>
      </w:r>
      <w:r>
        <w:rPr>
          <w:spacing w:val="-3"/>
          <w:sz w:val="28"/>
        </w:rPr>
        <w:t>、</w:t>
      </w:r>
      <w:r>
        <w:rPr>
          <w:sz w:val="28"/>
        </w:rPr>
        <w:t>一般</w:t>
      </w:r>
      <w:r>
        <w:rPr>
          <w:spacing w:val="-3"/>
          <w:sz w:val="28"/>
        </w:rPr>
        <w:t>公</w:t>
      </w:r>
      <w:r>
        <w:rPr>
          <w:sz w:val="28"/>
        </w:rPr>
        <w:t>共预</w:t>
      </w:r>
      <w:r>
        <w:rPr>
          <w:spacing w:val="-3"/>
          <w:sz w:val="28"/>
        </w:rPr>
        <w:t>算</w:t>
      </w:r>
      <w:r>
        <w:rPr>
          <w:sz w:val="28"/>
        </w:rPr>
        <w:t>财政</w:t>
      </w:r>
      <w:r>
        <w:rPr>
          <w:spacing w:val="-3"/>
          <w:sz w:val="28"/>
        </w:rPr>
        <w:t>拨</w:t>
      </w:r>
      <w:r>
        <w:rPr>
          <w:sz w:val="28"/>
        </w:rPr>
        <w:t>款支</w:t>
      </w:r>
      <w:r>
        <w:rPr>
          <w:spacing w:val="-3"/>
          <w:sz w:val="28"/>
        </w:rPr>
        <w:t>出</w:t>
      </w:r>
      <w:r>
        <w:rPr>
          <w:sz w:val="28"/>
        </w:rPr>
        <w:t>决算表</w:t>
      </w:r>
      <w:r>
        <w:rPr>
          <w:sz w:val="28"/>
        </w:rPr>
        <w:tab/>
      </w:r>
      <w:r>
        <w:rPr>
          <w:sz w:val="28"/>
        </w:rPr>
        <w:t>20</w:t>
      </w:r>
    </w:p>
    <w:p>
      <w:pPr>
        <w:tabs>
          <w:tab w:val="right" w:leader="dot" w:pos="8007"/>
        </w:tabs>
        <w:spacing w:before="320"/>
        <w:ind w:left="0" w:right="416" w:firstLine="0"/>
        <w:jc w:val="right"/>
        <w:rPr>
          <w:sz w:val="28"/>
        </w:rPr>
      </w:pPr>
      <w:r>
        <w:rPr>
          <w:sz w:val="28"/>
        </w:rPr>
        <w:t>七</w:t>
      </w:r>
      <w:r>
        <w:rPr>
          <w:spacing w:val="-3"/>
          <w:sz w:val="28"/>
        </w:rPr>
        <w:t>、</w:t>
      </w:r>
      <w:r>
        <w:rPr>
          <w:sz w:val="28"/>
        </w:rPr>
        <w:t>一般</w:t>
      </w:r>
      <w:r>
        <w:rPr>
          <w:spacing w:val="-3"/>
          <w:sz w:val="28"/>
        </w:rPr>
        <w:t>公</w:t>
      </w:r>
      <w:r>
        <w:rPr>
          <w:sz w:val="28"/>
        </w:rPr>
        <w:t>共预</w:t>
      </w:r>
      <w:r>
        <w:rPr>
          <w:spacing w:val="-3"/>
          <w:sz w:val="28"/>
        </w:rPr>
        <w:t>算</w:t>
      </w:r>
      <w:r>
        <w:rPr>
          <w:sz w:val="28"/>
        </w:rPr>
        <w:t>财政</w:t>
      </w:r>
      <w:r>
        <w:rPr>
          <w:spacing w:val="-3"/>
          <w:sz w:val="28"/>
        </w:rPr>
        <w:t>拨</w:t>
      </w:r>
      <w:r>
        <w:rPr>
          <w:sz w:val="28"/>
        </w:rPr>
        <w:t>款支</w:t>
      </w:r>
      <w:r>
        <w:rPr>
          <w:spacing w:val="-3"/>
          <w:sz w:val="28"/>
        </w:rPr>
        <w:t>出</w:t>
      </w:r>
      <w:r>
        <w:rPr>
          <w:sz w:val="28"/>
        </w:rPr>
        <w:t>决算</w:t>
      </w:r>
      <w:r>
        <w:rPr>
          <w:spacing w:val="-3"/>
          <w:sz w:val="28"/>
        </w:rPr>
        <w:t>明</w:t>
      </w:r>
      <w:r>
        <w:rPr>
          <w:sz w:val="28"/>
        </w:rPr>
        <w:t>细表</w:t>
      </w:r>
      <w:r>
        <w:rPr>
          <w:sz w:val="28"/>
        </w:rPr>
        <w:tab/>
      </w:r>
      <w:r>
        <w:rPr>
          <w:sz w:val="28"/>
        </w:rPr>
        <w:t>20</w:t>
      </w:r>
    </w:p>
    <w:p>
      <w:pPr>
        <w:tabs>
          <w:tab w:val="right" w:leader="dot" w:pos="8007"/>
        </w:tabs>
        <w:spacing w:before="321"/>
        <w:ind w:left="0" w:right="416" w:firstLine="0"/>
        <w:jc w:val="right"/>
        <w:rPr>
          <w:sz w:val="28"/>
        </w:rPr>
      </w:pPr>
      <w:r>
        <w:rPr>
          <w:sz w:val="28"/>
        </w:rPr>
        <w:t>八</w:t>
      </w:r>
      <w:r>
        <w:rPr>
          <w:spacing w:val="-3"/>
          <w:sz w:val="28"/>
        </w:rPr>
        <w:t>、</w:t>
      </w:r>
      <w:r>
        <w:rPr>
          <w:sz w:val="28"/>
        </w:rPr>
        <w:t>一般</w:t>
      </w:r>
      <w:r>
        <w:rPr>
          <w:spacing w:val="-3"/>
          <w:sz w:val="28"/>
        </w:rPr>
        <w:t>公</w:t>
      </w:r>
      <w:r>
        <w:rPr>
          <w:sz w:val="28"/>
        </w:rPr>
        <w:t>共预</w:t>
      </w:r>
      <w:r>
        <w:rPr>
          <w:spacing w:val="-3"/>
          <w:sz w:val="28"/>
        </w:rPr>
        <w:t>算</w:t>
      </w:r>
      <w:r>
        <w:rPr>
          <w:sz w:val="28"/>
        </w:rPr>
        <w:t>财政</w:t>
      </w:r>
      <w:r>
        <w:rPr>
          <w:spacing w:val="-3"/>
          <w:sz w:val="28"/>
        </w:rPr>
        <w:t>拨</w:t>
      </w:r>
      <w:r>
        <w:rPr>
          <w:sz w:val="28"/>
        </w:rPr>
        <w:t>款基</w:t>
      </w:r>
      <w:r>
        <w:rPr>
          <w:spacing w:val="-3"/>
          <w:sz w:val="28"/>
        </w:rPr>
        <w:t>本</w:t>
      </w:r>
      <w:r>
        <w:rPr>
          <w:sz w:val="28"/>
        </w:rPr>
        <w:t>支出</w:t>
      </w:r>
      <w:r>
        <w:rPr>
          <w:spacing w:val="-3"/>
          <w:sz w:val="28"/>
        </w:rPr>
        <w:t>决</w:t>
      </w:r>
      <w:r>
        <w:rPr>
          <w:sz w:val="28"/>
        </w:rPr>
        <w:t>算表</w:t>
      </w:r>
      <w:r>
        <w:rPr>
          <w:sz w:val="28"/>
        </w:rPr>
        <w:tab/>
      </w:r>
      <w:r>
        <w:rPr>
          <w:sz w:val="28"/>
        </w:rPr>
        <w:t>20</w:t>
      </w:r>
    </w:p>
    <w:p>
      <w:pPr>
        <w:tabs>
          <w:tab w:val="right" w:leader="dot" w:pos="8007"/>
        </w:tabs>
        <w:spacing w:before="323"/>
        <w:ind w:left="0" w:right="416" w:firstLine="0"/>
        <w:jc w:val="right"/>
        <w:rPr>
          <w:sz w:val="28"/>
        </w:rPr>
      </w:pPr>
      <w:r>
        <w:rPr>
          <w:sz w:val="28"/>
        </w:rPr>
        <w:t>九</w:t>
      </w:r>
      <w:r>
        <w:rPr>
          <w:spacing w:val="-3"/>
          <w:sz w:val="28"/>
        </w:rPr>
        <w:t>、</w:t>
      </w:r>
      <w:r>
        <w:rPr>
          <w:sz w:val="28"/>
        </w:rPr>
        <w:t>一般</w:t>
      </w:r>
      <w:r>
        <w:rPr>
          <w:spacing w:val="-3"/>
          <w:sz w:val="28"/>
        </w:rPr>
        <w:t>公</w:t>
      </w:r>
      <w:r>
        <w:rPr>
          <w:sz w:val="28"/>
        </w:rPr>
        <w:t>共预</w:t>
      </w:r>
      <w:r>
        <w:rPr>
          <w:spacing w:val="-3"/>
          <w:sz w:val="28"/>
        </w:rPr>
        <w:t>算</w:t>
      </w:r>
      <w:r>
        <w:rPr>
          <w:sz w:val="28"/>
        </w:rPr>
        <w:t>财政</w:t>
      </w:r>
      <w:r>
        <w:rPr>
          <w:spacing w:val="-3"/>
          <w:sz w:val="28"/>
        </w:rPr>
        <w:t>拨</w:t>
      </w:r>
      <w:r>
        <w:rPr>
          <w:sz w:val="28"/>
        </w:rPr>
        <w:t>款项</w:t>
      </w:r>
      <w:r>
        <w:rPr>
          <w:spacing w:val="-3"/>
          <w:sz w:val="28"/>
        </w:rPr>
        <w:t>目</w:t>
      </w:r>
      <w:r>
        <w:rPr>
          <w:sz w:val="28"/>
        </w:rPr>
        <w:t>支出</w:t>
      </w:r>
      <w:r>
        <w:rPr>
          <w:spacing w:val="-3"/>
          <w:sz w:val="28"/>
        </w:rPr>
        <w:t>决</w:t>
      </w:r>
      <w:r>
        <w:rPr>
          <w:sz w:val="28"/>
        </w:rPr>
        <w:t>算表</w:t>
      </w:r>
      <w:r>
        <w:rPr>
          <w:sz w:val="28"/>
        </w:rPr>
        <w:tab/>
      </w:r>
      <w:r>
        <w:rPr>
          <w:sz w:val="28"/>
        </w:rPr>
        <w:t>20</w:t>
      </w:r>
    </w:p>
    <w:p>
      <w:pPr>
        <w:tabs>
          <w:tab w:val="right" w:leader="dot" w:pos="8007"/>
        </w:tabs>
        <w:spacing w:before="320"/>
        <w:ind w:left="0" w:right="416" w:firstLine="0"/>
        <w:jc w:val="right"/>
        <w:rPr>
          <w:sz w:val="28"/>
        </w:rPr>
      </w:pPr>
      <w:r>
        <w:rPr>
          <w:sz w:val="28"/>
        </w:rPr>
        <w:t>十</w:t>
      </w:r>
      <w:r>
        <w:rPr>
          <w:spacing w:val="-3"/>
          <w:sz w:val="28"/>
        </w:rPr>
        <w:t>、</w:t>
      </w:r>
      <w:r>
        <w:rPr>
          <w:sz w:val="28"/>
        </w:rPr>
        <w:t>一般</w:t>
      </w:r>
      <w:r>
        <w:rPr>
          <w:spacing w:val="-3"/>
          <w:sz w:val="28"/>
        </w:rPr>
        <w:t>公</w:t>
      </w:r>
      <w:r>
        <w:rPr>
          <w:sz w:val="28"/>
        </w:rPr>
        <w:t>共预</w:t>
      </w:r>
      <w:r>
        <w:rPr>
          <w:spacing w:val="-3"/>
          <w:sz w:val="28"/>
        </w:rPr>
        <w:t>算</w:t>
      </w:r>
      <w:r>
        <w:rPr>
          <w:sz w:val="28"/>
        </w:rPr>
        <w:t>财政</w:t>
      </w:r>
      <w:r>
        <w:rPr>
          <w:spacing w:val="-3"/>
          <w:sz w:val="28"/>
        </w:rPr>
        <w:t>拨</w:t>
      </w:r>
      <w:r>
        <w:rPr>
          <w:sz w:val="28"/>
        </w:rPr>
        <w:t>款“三</w:t>
      </w:r>
      <w:r>
        <w:rPr>
          <w:spacing w:val="-3"/>
          <w:sz w:val="28"/>
        </w:rPr>
        <w:t>公</w:t>
      </w:r>
      <w:r>
        <w:rPr>
          <w:sz w:val="28"/>
        </w:rPr>
        <w:t>”经</w:t>
      </w:r>
      <w:r>
        <w:rPr>
          <w:spacing w:val="-3"/>
          <w:sz w:val="28"/>
        </w:rPr>
        <w:t>费</w:t>
      </w:r>
      <w:r>
        <w:rPr>
          <w:sz w:val="28"/>
        </w:rPr>
        <w:t>支出</w:t>
      </w:r>
      <w:r>
        <w:rPr>
          <w:spacing w:val="-3"/>
          <w:sz w:val="28"/>
        </w:rPr>
        <w:t>决</w:t>
      </w:r>
      <w:r>
        <w:rPr>
          <w:sz w:val="28"/>
        </w:rPr>
        <w:t>算表</w:t>
      </w:r>
      <w:r>
        <w:rPr>
          <w:sz w:val="28"/>
        </w:rPr>
        <w:tab/>
      </w:r>
      <w:r>
        <w:rPr>
          <w:sz w:val="28"/>
        </w:rPr>
        <w:t>20</w:t>
      </w:r>
    </w:p>
    <w:p>
      <w:pPr>
        <w:tabs>
          <w:tab w:val="right" w:leader="dot" w:pos="8007"/>
        </w:tabs>
        <w:spacing w:before="321"/>
        <w:ind w:left="0" w:right="416" w:firstLine="0"/>
        <w:jc w:val="right"/>
        <w:rPr>
          <w:sz w:val="28"/>
        </w:rPr>
      </w:pPr>
      <w:r>
        <w:rPr>
          <w:sz w:val="28"/>
        </w:rPr>
        <w:t>十</w:t>
      </w:r>
      <w:r>
        <w:rPr>
          <w:spacing w:val="-3"/>
          <w:sz w:val="28"/>
        </w:rPr>
        <w:t>一</w:t>
      </w:r>
      <w:r>
        <w:rPr>
          <w:sz w:val="28"/>
        </w:rPr>
        <w:t>、政</w:t>
      </w:r>
      <w:r>
        <w:rPr>
          <w:spacing w:val="-3"/>
          <w:sz w:val="28"/>
        </w:rPr>
        <w:t>府</w:t>
      </w:r>
      <w:r>
        <w:rPr>
          <w:sz w:val="28"/>
        </w:rPr>
        <w:t>性基</w:t>
      </w:r>
      <w:r>
        <w:rPr>
          <w:spacing w:val="-3"/>
          <w:sz w:val="28"/>
        </w:rPr>
        <w:t>金</w:t>
      </w:r>
      <w:r>
        <w:rPr>
          <w:sz w:val="28"/>
        </w:rPr>
        <w:t>预算</w:t>
      </w:r>
      <w:r>
        <w:rPr>
          <w:spacing w:val="-3"/>
          <w:sz w:val="28"/>
        </w:rPr>
        <w:t>财</w:t>
      </w:r>
      <w:r>
        <w:rPr>
          <w:sz w:val="28"/>
        </w:rPr>
        <w:t>政拨</w:t>
      </w:r>
      <w:r>
        <w:rPr>
          <w:spacing w:val="-3"/>
          <w:sz w:val="28"/>
        </w:rPr>
        <w:t>款</w:t>
      </w:r>
      <w:r>
        <w:rPr>
          <w:sz w:val="28"/>
        </w:rPr>
        <w:t>收入</w:t>
      </w:r>
      <w:r>
        <w:rPr>
          <w:spacing w:val="-3"/>
          <w:sz w:val="28"/>
        </w:rPr>
        <w:t>支</w:t>
      </w:r>
      <w:r>
        <w:rPr>
          <w:sz w:val="28"/>
        </w:rPr>
        <w:t>出决</w:t>
      </w:r>
      <w:r>
        <w:rPr>
          <w:spacing w:val="-3"/>
          <w:sz w:val="28"/>
        </w:rPr>
        <w:t>算</w:t>
      </w:r>
      <w:r>
        <w:rPr>
          <w:sz w:val="28"/>
        </w:rPr>
        <w:t>表</w:t>
      </w:r>
      <w:r>
        <w:rPr>
          <w:sz w:val="28"/>
        </w:rPr>
        <w:tab/>
      </w:r>
      <w:r>
        <w:rPr>
          <w:sz w:val="28"/>
        </w:rPr>
        <w:t>20</w:t>
      </w:r>
    </w:p>
    <w:p>
      <w:pPr>
        <w:tabs>
          <w:tab w:val="right" w:leader="dot" w:pos="8007"/>
        </w:tabs>
        <w:spacing w:before="322"/>
        <w:ind w:left="0" w:right="416" w:firstLine="0"/>
        <w:jc w:val="right"/>
        <w:rPr>
          <w:sz w:val="28"/>
        </w:rPr>
      </w:pPr>
      <w:r>
        <w:rPr>
          <w:sz w:val="28"/>
        </w:rPr>
        <w:t>十</w:t>
      </w:r>
      <w:r>
        <w:rPr>
          <w:spacing w:val="-3"/>
          <w:sz w:val="28"/>
        </w:rPr>
        <w:t>二</w:t>
      </w:r>
      <w:r>
        <w:rPr>
          <w:sz w:val="28"/>
        </w:rPr>
        <w:t>、政</w:t>
      </w:r>
      <w:r>
        <w:rPr>
          <w:spacing w:val="-3"/>
          <w:sz w:val="28"/>
        </w:rPr>
        <w:t>府</w:t>
      </w:r>
      <w:r>
        <w:rPr>
          <w:sz w:val="28"/>
        </w:rPr>
        <w:t>性基</w:t>
      </w:r>
      <w:r>
        <w:rPr>
          <w:spacing w:val="-3"/>
          <w:sz w:val="28"/>
        </w:rPr>
        <w:t>金</w:t>
      </w:r>
      <w:r>
        <w:rPr>
          <w:sz w:val="28"/>
        </w:rPr>
        <w:t>预算</w:t>
      </w:r>
      <w:r>
        <w:rPr>
          <w:spacing w:val="-3"/>
          <w:sz w:val="28"/>
        </w:rPr>
        <w:t>财</w:t>
      </w:r>
      <w:r>
        <w:rPr>
          <w:sz w:val="28"/>
        </w:rPr>
        <w:t>政拨</w:t>
      </w:r>
      <w:r>
        <w:rPr>
          <w:spacing w:val="-3"/>
          <w:sz w:val="28"/>
        </w:rPr>
        <w:t>款</w:t>
      </w:r>
      <w:r>
        <w:rPr>
          <w:sz w:val="28"/>
        </w:rPr>
        <w:t>“三</w:t>
      </w:r>
      <w:r>
        <w:rPr>
          <w:spacing w:val="-3"/>
          <w:sz w:val="28"/>
        </w:rPr>
        <w:t>公</w:t>
      </w:r>
      <w:r>
        <w:rPr>
          <w:sz w:val="28"/>
        </w:rPr>
        <w:t>”经</w:t>
      </w:r>
      <w:r>
        <w:rPr>
          <w:spacing w:val="-3"/>
          <w:sz w:val="28"/>
        </w:rPr>
        <w:t>费</w:t>
      </w:r>
      <w:r>
        <w:rPr>
          <w:sz w:val="28"/>
        </w:rPr>
        <w:t>支出</w:t>
      </w:r>
      <w:r>
        <w:rPr>
          <w:spacing w:val="-3"/>
          <w:sz w:val="28"/>
        </w:rPr>
        <w:t>决</w:t>
      </w:r>
      <w:r>
        <w:rPr>
          <w:sz w:val="28"/>
        </w:rPr>
        <w:t>算表</w:t>
      </w:r>
      <w:r>
        <w:rPr>
          <w:sz w:val="28"/>
        </w:rPr>
        <w:tab/>
      </w:r>
      <w:r>
        <w:rPr>
          <w:sz w:val="28"/>
        </w:rPr>
        <w:t>20</w:t>
      </w:r>
    </w:p>
    <w:p>
      <w:pPr>
        <w:tabs>
          <w:tab w:val="right" w:leader="dot" w:pos="8007"/>
        </w:tabs>
        <w:spacing w:before="321"/>
        <w:ind w:left="0" w:right="416" w:firstLine="0"/>
        <w:jc w:val="right"/>
        <w:rPr>
          <w:sz w:val="28"/>
        </w:rPr>
      </w:pPr>
      <w:r>
        <w:rPr>
          <w:sz w:val="28"/>
        </w:rPr>
        <w:t>十</w:t>
      </w:r>
      <w:r>
        <w:rPr>
          <w:spacing w:val="-3"/>
          <w:sz w:val="28"/>
        </w:rPr>
        <w:t>三</w:t>
      </w:r>
      <w:r>
        <w:rPr>
          <w:sz w:val="28"/>
        </w:rPr>
        <w:t>、国</w:t>
      </w:r>
      <w:r>
        <w:rPr>
          <w:spacing w:val="-3"/>
          <w:sz w:val="28"/>
        </w:rPr>
        <w:t>有</w:t>
      </w:r>
      <w:r>
        <w:rPr>
          <w:sz w:val="28"/>
        </w:rPr>
        <w:t>资本</w:t>
      </w:r>
      <w:r>
        <w:rPr>
          <w:spacing w:val="-3"/>
          <w:sz w:val="28"/>
        </w:rPr>
        <w:t>经</w:t>
      </w:r>
      <w:r>
        <w:rPr>
          <w:sz w:val="28"/>
        </w:rPr>
        <w:t>营预</w:t>
      </w:r>
      <w:r>
        <w:rPr>
          <w:spacing w:val="-3"/>
          <w:sz w:val="28"/>
        </w:rPr>
        <w:t>算</w:t>
      </w:r>
      <w:r>
        <w:rPr>
          <w:sz w:val="28"/>
        </w:rPr>
        <w:t>财政</w:t>
      </w:r>
      <w:r>
        <w:rPr>
          <w:spacing w:val="-3"/>
          <w:sz w:val="28"/>
        </w:rPr>
        <w:t>拨</w:t>
      </w:r>
      <w:r>
        <w:rPr>
          <w:sz w:val="28"/>
        </w:rPr>
        <w:t>款收</w:t>
      </w:r>
      <w:r>
        <w:rPr>
          <w:spacing w:val="-3"/>
          <w:sz w:val="28"/>
        </w:rPr>
        <w:t>入</w:t>
      </w:r>
      <w:r>
        <w:rPr>
          <w:sz w:val="28"/>
        </w:rPr>
        <w:t>支出</w:t>
      </w:r>
      <w:r>
        <w:rPr>
          <w:spacing w:val="-3"/>
          <w:sz w:val="28"/>
        </w:rPr>
        <w:t>决</w:t>
      </w:r>
      <w:r>
        <w:rPr>
          <w:sz w:val="28"/>
        </w:rPr>
        <w:t>算表</w:t>
      </w:r>
      <w:r>
        <w:rPr>
          <w:sz w:val="28"/>
        </w:rPr>
        <w:tab/>
      </w:r>
      <w:r>
        <w:rPr>
          <w:sz w:val="28"/>
        </w:rPr>
        <w:t>20</w:t>
      </w:r>
    </w:p>
    <w:p>
      <w:pPr>
        <w:tabs>
          <w:tab w:val="right" w:leader="dot" w:pos="8007"/>
        </w:tabs>
        <w:spacing w:before="320"/>
        <w:ind w:left="0" w:right="416" w:firstLine="0"/>
        <w:jc w:val="right"/>
        <w:rPr>
          <w:sz w:val="28"/>
        </w:rPr>
      </w:pPr>
      <w:r>
        <w:rPr>
          <w:sz w:val="28"/>
        </w:rPr>
        <w:t>十</w:t>
      </w:r>
      <w:r>
        <w:rPr>
          <w:spacing w:val="-3"/>
          <w:sz w:val="28"/>
        </w:rPr>
        <w:t>四</w:t>
      </w:r>
      <w:r>
        <w:rPr>
          <w:sz w:val="28"/>
        </w:rPr>
        <w:t>、国</w:t>
      </w:r>
      <w:r>
        <w:rPr>
          <w:spacing w:val="-3"/>
          <w:sz w:val="28"/>
        </w:rPr>
        <w:t>有</w:t>
      </w:r>
      <w:r>
        <w:rPr>
          <w:sz w:val="28"/>
        </w:rPr>
        <w:t>资本</w:t>
      </w:r>
      <w:r>
        <w:rPr>
          <w:spacing w:val="-3"/>
          <w:sz w:val="28"/>
        </w:rPr>
        <w:t>经</w:t>
      </w:r>
      <w:r>
        <w:rPr>
          <w:sz w:val="28"/>
        </w:rPr>
        <w:t>营预</w:t>
      </w:r>
      <w:r>
        <w:rPr>
          <w:spacing w:val="-3"/>
          <w:sz w:val="28"/>
        </w:rPr>
        <w:t>算</w:t>
      </w:r>
      <w:r>
        <w:rPr>
          <w:sz w:val="28"/>
        </w:rPr>
        <w:t>财政</w:t>
      </w:r>
      <w:r>
        <w:rPr>
          <w:spacing w:val="-3"/>
          <w:sz w:val="28"/>
        </w:rPr>
        <w:t>拨</w:t>
      </w:r>
      <w:r>
        <w:rPr>
          <w:sz w:val="28"/>
        </w:rPr>
        <w:t>款支</w:t>
      </w:r>
      <w:r>
        <w:rPr>
          <w:spacing w:val="-3"/>
          <w:sz w:val="28"/>
        </w:rPr>
        <w:t>出</w:t>
      </w:r>
      <w:r>
        <w:rPr>
          <w:sz w:val="28"/>
        </w:rPr>
        <w:t>决算表</w:t>
      </w:r>
      <w:r>
        <w:rPr>
          <w:sz w:val="28"/>
        </w:rPr>
        <w:tab/>
      </w:r>
      <w:r>
        <w:rPr>
          <w:sz w:val="28"/>
        </w:rPr>
        <w:t>20</w:t>
      </w:r>
    </w:p>
    <w:p>
      <w:pPr>
        <w:spacing w:after="0"/>
        <w:jc w:val="right"/>
        <w:rPr>
          <w:sz w:val="28"/>
        </w:rPr>
        <w:sectPr>
          <w:pgSz w:w="11910" w:h="16840"/>
          <w:pgMar w:top="1560" w:right="1380" w:bottom="1160" w:left="1680" w:header="0" w:footer="970" w:gutter="0"/>
          <w:cols w:space="720" w:num="1"/>
        </w:sectPr>
      </w:pPr>
    </w:p>
    <w:p>
      <w:pPr>
        <w:pStyle w:val="2"/>
        <w:spacing w:before="15"/>
        <w:ind w:right="300"/>
      </w:pPr>
      <w:bookmarkStart w:id="0" w:name="_TOC_250003"/>
      <w:bookmarkEnd w:id="0"/>
      <w:r>
        <w:t>第一部分 部门概况</w:t>
      </w:r>
    </w:p>
    <w:p>
      <w:pPr>
        <w:pStyle w:val="4"/>
        <w:ind w:left="0"/>
        <w:rPr>
          <w:rFonts w:ascii="黑体"/>
          <w:sz w:val="44"/>
        </w:rPr>
      </w:pPr>
    </w:p>
    <w:p>
      <w:pPr>
        <w:pStyle w:val="4"/>
        <w:ind w:left="0"/>
        <w:rPr>
          <w:rFonts w:ascii="黑体"/>
          <w:sz w:val="44"/>
        </w:rPr>
      </w:pPr>
    </w:p>
    <w:p>
      <w:pPr>
        <w:pStyle w:val="4"/>
        <w:spacing w:before="337"/>
        <w:rPr>
          <w:rFonts w:hint="eastAsia" w:ascii="黑体" w:eastAsia="黑体"/>
        </w:rPr>
      </w:pPr>
      <w:bookmarkStart w:id="1" w:name="一、基本职能及主要工作"/>
      <w:bookmarkEnd w:id="1"/>
      <w:r>
        <w:rPr>
          <w:rFonts w:hint="eastAsia" w:ascii="黑体" w:eastAsia="黑体"/>
        </w:rPr>
        <w:t>一、基本职能及主要工作</w:t>
      </w:r>
    </w:p>
    <w:p>
      <w:pPr>
        <w:pStyle w:val="4"/>
        <w:spacing w:before="11"/>
        <w:ind w:left="0"/>
        <w:rPr>
          <w:rFonts w:ascii="黑体"/>
          <w:sz w:val="34"/>
        </w:rPr>
      </w:pPr>
    </w:p>
    <w:p>
      <w:pPr>
        <w:pStyle w:val="4"/>
        <w:ind w:left="791"/>
      </w:pPr>
      <w:bookmarkStart w:id="2" w:name="（一）主要职能"/>
      <w:bookmarkEnd w:id="2"/>
      <w:r>
        <w:t>（一）主要职能</w:t>
      </w:r>
    </w:p>
    <w:p>
      <w:pPr>
        <w:pStyle w:val="4"/>
        <w:spacing w:before="186" w:line="348" w:lineRule="auto"/>
        <w:ind w:right="259" w:firstLine="640"/>
      </w:pPr>
      <w:r>
        <w:rPr>
          <w:spacing w:val="-1"/>
        </w:rPr>
        <w:t xml:space="preserve">自贡市自流井区中医院始建于 </w:t>
      </w:r>
      <w:r>
        <w:t>1951</w:t>
      </w:r>
      <w:r>
        <w:rPr>
          <w:spacing w:val="-5"/>
        </w:rPr>
        <w:t xml:space="preserve"> 年，是自流井区政府举办的唯一一家“二级甲等”中医院。医院下属新街社区卫生服务中心</w:t>
      </w:r>
      <w:r>
        <w:t>（沙湾分院</w:t>
      </w:r>
      <w:r>
        <w:rPr>
          <w:spacing w:val="-5"/>
        </w:rPr>
        <w:t>），</w:t>
      </w:r>
      <w:r>
        <w:t>郭街社区卫生服务中心及核桃</w:t>
      </w:r>
      <w:r>
        <w:rPr>
          <w:spacing w:val="-15"/>
          <w:w w:val="95"/>
        </w:rPr>
        <w:t xml:space="preserve">湾社区服务站。医院是自贡市全科医生、社区护士培训基地， </w:t>
      </w:r>
      <w:r>
        <w:rPr>
          <w:spacing w:val="-14"/>
        </w:rPr>
        <w:t>自贡市社区糖尿病防治基地，是成都中西医结合医院、自贡</w:t>
      </w:r>
      <w:r>
        <w:rPr>
          <w:spacing w:val="-17"/>
        </w:rPr>
        <w:t xml:space="preserve">市一、四医院、自贡市中医医院技术协作单位，自贡市 </w:t>
      </w:r>
      <w:r>
        <w:t xml:space="preserve">120 </w:t>
      </w:r>
      <w:r>
        <w:rPr>
          <w:spacing w:val="-14"/>
        </w:rPr>
        <w:t>急救网络医院。</w:t>
      </w:r>
      <w:r>
        <w:t>2020</w:t>
      </w:r>
      <w:r>
        <w:rPr>
          <w:spacing w:val="-10"/>
        </w:rPr>
        <w:t xml:space="preserve"> 年度纳入本部门决算汇编范围的独立核</w:t>
      </w:r>
      <w:r>
        <w:rPr>
          <w:spacing w:val="-24"/>
        </w:rPr>
        <w:t xml:space="preserve">算单位共 </w:t>
      </w:r>
      <w:r>
        <w:t>1</w:t>
      </w:r>
      <w:r>
        <w:rPr>
          <w:spacing w:val="-27"/>
        </w:rPr>
        <w:t xml:space="preserve"> 个。</w:t>
      </w:r>
    </w:p>
    <w:p>
      <w:pPr>
        <w:pStyle w:val="4"/>
        <w:spacing w:before="12" w:line="348" w:lineRule="auto"/>
        <w:ind w:right="259" w:firstLine="640"/>
      </w:pPr>
      <w:r>
        <w:rPr>
          <w:spacing w:val="-11"/>
          <w:w w:val="95"/>
        </w:rPr>
        <w:t xml:space="preserve">医院临床科室主要设有急诊科、西医内科、外科、妇科、 </w:t>
      </w:r>
      <w:r>
        <w:rPr>
          <w:spacing w:val="-6"/>
        </w:rPr>
        <w:t>口腔科、中医科、中医骨伤科、针灸科、肛肠科等以及针灸康复病区、内科病区、康复病区、外科病区、老年病区等。</w:t>
      </w:r>
      <w:r>
        <w:rPr>
          <w:spacing w:val="-7"/>
        </w:rPr>
        <w:t>其中康复科、老年病科为自贡市重点中医专科、省级中医重点建设专科。</w:t>
      </w:r>
    </w:p>
    <w:p>
      <w:pPr>
        <w:pStyle w:val="4"/>
        <w:spacing w:before="6" w:line="348" w:lineRule="auto"/>
        <w:ind w:right="254" w:firstLine="624"/>
      </w:pPr>
      <w:r>
        <w:rPr>
          <w:spacing w:val="1"/>
        </w:rPr>
        <w:t>医院医疗设备主要有</w:t>
      </w:r>
      <w:r>
        <w:t>X</w:t>
      </w:r>
      <w:r>
        <w:rPr>
          <w:spacing w:val="-9"/>
        </w:rPr>
        <w:t xml:space="preserve"> 线</w:t>
      </w:r>
      <w:r>
        <w:t>DR</w:t>
      </w:r>
      <w:r>
        <w:rPr>
          <w:spacing w:val="-15"/>
        </w:rPr>
        <w:t xml:space="preserve"> 成像系统、电子胃肠镜、腹</w:t>
      </w:r>
      <w:r>
        <w:rPr>
          <w:spacing w:val="-26"/>
        </w:rPr>
        <w:t xml:space="preserve">腔镜、移动式 </w:t>
      </w:r>
      <w:r>
        <w:t>C</w:t>
      </w:r>
      <w:r>
        <w:rPr>
          <w:spacing w:val="-10"/>
        </w:rPr>
        <w:t xml:space="preserve"> 型臂</w:t>
      </w:r>
      <w:r>
        <w:t>X</w:t>
      </w:r>
      <w:r>
        <w:rPr>
          <w:spacing w:val="-20"/>
        </w:rPr>
        <w:t xml:space="preserve"> 线摄像机、医用臭氧治疗仪、射频控温</w:t>
      </w:r>
      <w:r>
        <w:rPr>
          <w:spacing w:val="-26"/>
          <w:w w:val="95"/>
        </w:rPr>
        <w:t xml:space="preserve">热凝器、胃肠透视机、进口彩超、全自动生化仪、肛肠治疗仪、 </w:t>
      </w:r>
      <w:r>
        <w:rPr>
          <w:spacing w:val="-18"/>
        </w:rPr>
        <w:t>麻醉呼吸机、三维电脑牵引床、除颤仪、肢体康复治疗仪等设</w:t>
      </w:r>
    </w:p>
    <w:p>
      <w:pPr>
        <w:spacing w:after="0" w:line="348" w:lineRule="auto"/>
        <w:sectPr>
          <w:pgSz w:w="11910" w:h="16840"/>
          <w:pgMar w:top="1500" w:right="1380" w:bottom="1160" w:left="1680" w:header="0" w:footer="970" w:gutter="0"/>
          <w:cols w:space="720" w:num="1"/>
        </w:sectPr>
      </w:pPr>
    </w:p>
    <w:p>
      <w:pPr>
        <w:pStyle w:val="4"/>
        <w:spacing w:before="38" w:line="348" w:lineRule="auto"/>
        <w:ind w:right="410"/>
        <w:jc w:val="both"/>
      </w:pPr>
      <w:r>
        <w:rPr>
          <w:spacing w:val="-19"/>
          <w:w w:val="95"/>
        </w:rPr>
        <w:t xml:space="preserve">备。医院能诊治常见、多发内科疾病及部分疑难病；能开展脊 </w:t>
      </w:r>
      <w:r>
        <w:rPr>
          <w:spacing w:val="-18"/>
          <w:w w:val="95"/>
        </w:rPr>
        <w:t xml:space="preserve">柱、四肢、髋关节等骨科手术，肝、胆、胃肠等外科手术，乳 </w:t>
      </w:r>
      <w:r>
        <w:rPr>
          <w:spacing w:val="-7"/>
        </w:rPr>
        <w:t>腺、子宫、附件等妇科及其他手术。</w:t>
      </w:r>
    </w:p>
    <w:p>
      <w:pPr>
        <w:pStyle w:val="4"/>
        <w:spacing w:before="98"/>
        <w:ind w:left="0" w:right="420"/>
        <w:jc w:val="right"/>
      </w:pPr>
      <w:r>
        <w:rPr>
          <w:spacing w:val="-5"/>
        </w:rPr>
        <w:t xml:space="preserve">中医院事业编制 </w:t>
      </w:r>
      <w:r>
        <w:t>160</w:t>
      </w:r>
      <w:r>
        <w:rPr>
          <w:spacing w:val="-10"/>
        </w:rPr>
        <w:t xml:space="preserve"> 名，郭街中心事业编制 </w:t>
      </w:r>
      <w:r>
        <w:t>41</w:t>
      </w:r>
      <w:r>
        <w:rPr>
          <w:spacing w:val="-17"/>
        </w:rPr>
        <w:t xml:space="preserve"> 名，新</w:t>
      </w:r>
    </w:p>
    <w:p>
      <w:pPr>
        <w:pStyle w:val="4"/>
        <w:spacing w:before="188"/>
        <w:ind w:left="0" w:right="420"/>
        <w:jc w:val="right"/>
      </w:pPr>
      <w:r>
        <w:rPr>
          <w:spacing w:val="-6"/>
        </w:rPr>
        <w:t xml:space="preserve">街中心事业编制 </w:t>
      </w:r>
      <w:r>
        <w:t>22</w:t>
      </w:r>
      <w:r>
        <w:rPr>
          <w:spacing w:val="-17"/>
        </w:rPr>
        <w:t xml:space="preserve"> 名。在职人数 </w:t>
      </w:r>
      <w:r>
        <w:t>208</w:t>
      </w:r>
      <w:r>
        <w:rPr>
          <w:spacing w:val="-4"/>
        </w:rPr>
        <w:t xml:space="preserve"> 人，其中：在编人员</w:t>
      </w:r>
    </w:p>
    <w:p>
      <w:pPr>
        <w:pStyle w:val="4"/>
        <w:spacing w:before="185"/>
        <w:ind w:left="0" w:right="417"/>
        <w:jc w:val="right"/>
      </w:pPr>
      <w:r>
        <w:t>135</w:t>
      </w:r>
      <w:r>
        <w:rPr>
          <w:spacing w:val="-16"/>
        </w:rPr>
        <w:t xml:space="preserve"> 名，编外聘用人员 </w:t>
      </w:r>
      <w:r>
        <w:t>73</w:t>
      </w:r>
      <w:r>
        <w:rPr>
          <w:spacing w:val="-15"/>
        </w:rPr>
        <w:t xml:space="preserve"> 名；其中：管理人员 </w:t>
      </w:r>
      <w:r>
        <w:t>31</w:t>
      </w:r>
      <w:r>
        <w:rPr>
          <w:spacing w:val="-15"/>
        </w:rPr>
        <w:t xml:space="preserve"> 人，工勤</w:t>
      </w:r>
    </w:p>
    <w:p>
      <w:pPr>
        <w:pStyle w:val="4"/>
        <w:spacing w:before="185"/>
        <w:ind w:left="0" w:right="420"/>
        <w:jc w:val="right"/>
      </w:pPr>
      <w:r>
        <w:rPr>
          <w:spacing w:val="-12"/>
        </w:rPr>
        <w:t xml:space="preserve">技能人员 </w:t>
      </w:r>
      <w:r>
        <w:t>13</w:t>
      </w:r>
      <w:r>
        <w:rPr>
          <w:spacing w:val="-17"/>
        </w:rPr>
        <w:t xml:space="preserve"> 人，卫技人员 </w:t>
      </w:r>
      <w:r>
        <w:t>164</w:t>
      </w:r>
      <w:r>
        <w:rPr>
          <w:spacing w:val="-3"/>
        </w:rPr>
        <w:t xml:space="preserve"> 人；其中中级职称专业技术</w:t>
      </w:r>
    </w:p>
    <w:p>
      <w:pPr>
        <w:pStyle w:val="4"/>
        <w:spacing w:before="188" w:line="348" w:lineRule="auto"/>
        <w:ind w:right="420"/>
        <w:jc w:val="both"/>
      </w:pPr>
      <w:r>
        <w:rPr>
          <w:spacing w:val="-28"/>
        </w:rPr>
        <w:t xml:space="preserve">人员 </w:t>
      </w:r>
      <w:r>
        <w:t>57</w:t>
      </w:r>
      <w:r>
        <w:rPr>
          <w:spacing w:val="-15"/>
        </w:rPr>
        <w:t xml:space="preserve"> 人，副高级职称专业技术人员 </w:t>
      </w:r>
      <w:r>
        <w:t>17</w:t>
      </w:r>
      <w:r>
        <w:rPr>
          <w:spacing w:val="-13"/>
        </w:rPr>
        <w:t xml:space="preserve"> 人，拥有市、区名</w:t>
      </w:r>
      <w:r>
        <w:rPr>
          <w:spacing w:val="-9"/>
          <w:w w:val="95"/>
        </w:rPr>
        <w:t xml:space="preserve">中医各一人，“自贡市十佳健康卫士”一人。事业离退休人 </w:t>
      </w:r>
      <w:r>
        <w:rPr>
          <w:spacing w:val="-46"/>
        </w:rPr>
        <w:t xml:space="preserve">员 </w:t>
      </w:r>
      <w:r>
        <w:t>227</w:t>
      </w:r>
      <w:r>
        <w:rPr>
          <w:spacing w:val="-19"/>
        </w:rPr>
        <w:t xml:space="preserve"> 人。医院业务用房 </w:t>
      </w:r>
      <w:r>
        <w:t>1.5</w:t>
      </w:r>
      <w:r>
        <w:rPr>
          <w:spacing w:val="-21"/>
        </w:rPr>
        <w:t xml:space="preserve"> 万㎡，开放床位 </w:t>
      </w:r>
      <w:r>
        <w:t>140</w:t>
      </w:r>
      <w:r>
        <w:rPr>
          <w:spacing w:val="-18"/>
        </w:rPr>
        <w:t xml:space="preserve"> 张，年诊</w:t>
      </w:r>
    </w:p>
    <w:p>
      <w:pPr>
        <w:pStyle w:val="4"/>
        <w:spacing w:before="4"/>
        <w:jc w:val="both"/>
      </w:pPr>
      <w:r>
        <w:t>疗近 6 万人次。</w:t>
      </w:r>
    </w:p>
    <w:p>
      <w:pPr>
        <w:pStyle w:val="4"/>
        <w:spacing w:before="279" w:line="405" w:lineRule="auto"/>
        <w:ind w:left="919" w:right="3096" w:hanging="128"/>
      </w:pPr>
      <w:bookmarkStart w:id="3" w:name="（二）2020年重点工作完成情况。"/>
      <w:bookmarkEnd w:id="3"/>
      <w:r>
        <w:t>（二）2020 年重点工作完成情况。1.疫情防控工作完成情况。</w:t>
      </w:r>
    </w:p>
    <w:p>
      <w:pPr>
        <w:pStyle w:val="9"/>
        <w:numPr>
          <w:ilvl w:val="0"/>
          <w:numId w:val="1"/>
        </w:numPr>
        <w:tabs>
          <w:tab w:val="left" w:pos="1561"/>
        </w:tabs>
        <w:spacing w:before="0" w:after="0" w:line="404" w:lineRule="exact"/>
        <w:ind w:left="1560" w:right="0" w:hanging="801"/>
        <w:jc w:val="left"/>
        <w:rPr>
          <w:sz w:val="32"/>
        </w:rPr>
      </w:pPr>
      <w:r>
        <w:rPr>
          <w:sz w:val="32"/>
        </w:rPr>
        <w:t>闻风而动，忠诚筑起平安线。</w:t>
      </w:r>
    </w:p>
    <w:p>
      <w:pPr>
        <w:pStyle w:val="4"/>
        <w:spacing w:before="281" w:line="348" w:lineRule="auto"/>
        <w:ind w:right="417" w:firstLine="640"/>
        <w:jc w:val="both"/>
      </w:pPr>
      <w:r>
        <w:rPr>
          <w:spacing w:val="-1"/>
        </w:rPr>
        <w:t>医院第一时间召集全院职工回院待命，成立疫情防控领</w:t>
      </w:r>
      <w:r>
        <w:rPr>
          <w:spacing w:val="-3"/>
        </w:rPr>
        <w:t>导小组，由支部书记、院长担任组长，各班子成员担任副组</w:t>
      </w:r>
      <w:r>
        <w:rPr>
          <w:spacing w:val="-3"/>
          <w:w w:val="95"/>
        </w:rPr>
        <w:t xml:space="preserve">长，医疗科、护理部、院感科、质控办等相关科室负责人为 </w:t>
      </w:r>
      <w:r>
        <w:rPr>
          <w:spacing w:val="-5"/>
        </w:rPr>
        <w:t>成员。负责根据辖区内新型冠状病毒感染的肺炎防控救治工作需求，组织协调医院各科室人员，组建医疗护理团队、保</w:t>
      </w:r>
      <w:r>
        <w:rPr>
          <w:spacing w:val="-5"/>
          <w:w w:val="95"/>
        </w:rPr>
        <w:t xml:space="preserve">障医疗物资供应、提供后勤服务保障。印发《自流井区中医 </w:t>
      </w:r>
      <w:r>
        <w:rPr>
          <w:spacing w:val="-6"/>
        </w:rPr>
        <w:t>院关于成立新型冠状病毒感染的肺炎领导小组的通知》《自</w:t>
      </w:r>
      <w:r>
        <w:rPr>
          <w:spacing w:val="-7"/>
          <w:w w:val="95"/>
        </w:rPr>
        <w:t>流井区中医院关于“新冠”肺炎疫情防控期间领导分工调整</w:t>
      </w:r>
    </w:p>
    <w:p>
      <w:pPr>
        <w:spacing w:after="0" w:line="348" w:lineRule="auto"/>
        <w:jc w:val="both"/>
        <w:sectPr>
          <w:pgSz w:w="11910" w:h="16840"/>
          <w:pgMar w:top="1540" w:right="1380" w:bottom="1160" w:left="1680" w:header="0" w:footer="970" w:gutter="0"/>
          <w:cols w:space="720" w:num="1"/>
        </w:sectPr>
      </w:pPr>
    </w:p>
    <w:p>
      <w:pPr>
        <w:pStyle w:val="4"/>
        <w:spacing w:before="38"/>
      </w:pPr>
      <w:r>
        <w:t>的通知》等文件，明确了操作流程。</w:t>
      </w:r>
    </w:p>
    <w:p>
      <w:pPr>
        <w:pStyle w:val="9"/>
        <w:numPr>
          <w:ilvl w:val="0"/>
          <w:numId w:val="1"/>
        </w:numPr>
        <w:tabs>
          <w:tab w:val="left" w:pos="1561"/>
        </w:tabs>
        <w:spacing w:before="281" w:after="0" w:line="240" w:lineRule="auto"/>
        <w:ind w:left="1560" w:right="0" w:hanging="801"/>
        <w:jc w:val="left"/>
        <w:rPr>
          <w:sz w:val="32"/>
        </w:rPr>
      </w:pPr>
      <w:r>
        <w:rPr>
          <w:sz w:val="32"/>
        </w:rPr>
        <w:t>砥砺同行，塑造白衣新形象。</w:t>
      </w:r>
    </w:p>
    <w:p>
      <w:pPr>
        <w:pStyle w:val="4"/>
        <w:spacing w:before="185" w:line="348" w:lineRule="auto"/>
        <w:ind w:right="250" w:firstLine="799"/>
      </w:pPr>
      <w:r>
        <w:t>精心部署，提供组织保证。在“新冠”疫情防控战中， 支部所有党员不畏艰难、挺身而出。书记、支委带头坚守在一线，全力保证防控工作的有序推进。临床一线党员主动递交《请战书》，义无反顾请愿加入援鄂预备医疗队并要求被派往最前线，捍卫人民健康。其他职能科室党员努力当好后盾，协调解决防护、消毒用品、车辆调度等工作，认真学习各种防护知识，时刻准备前往一线。在这场疫情阻击战中， 医院支部充分发挥了基层党组织的战斗堡垒和党员先锋模范作用。</w:t>
      </w:r>
    </w:p>
    <w:p>
      <w:pPr>
        <w:pStyle w:val="4"/>
        <w:spacing w:before="14" w:line="348" w:lineRule="auto"/>
        <w:ind w:right="417" w:firstLine="640"/>
        <w:jc w:val="both"/>
      </w:pPr>
      <w:r>
        <w:rPr>
          <w:spacing w:val="-3"/>
        </w:rPr>
        <w:t>加强储备，提供应急保障。由于防疫物资供应市场对外</w:t>
      </w:r>
      <w:r>
        <w:rPr>
          <w:spacing w:val="-5"/>
        </w:rPr>
        <w:t>科口罩、防护服等重要物资的严重短缺，加之市场产品质量</w:t>
      </w:r>
      <w:r>
        <w:rPr>
          <w:spacing w:val="-5"/>
          <w:w w:val="95"/>
        </w:rPr>
        <w:t xml:space="preserve">良莠不齐、价格差距较大，需对医用防护口罩、防护服等物 </w:t>
      </w:r>
      <w:r>
        <w:rPr>
          <w:spacing w:val="-6"/>
          <w:w w:val="95"/>
        </w:rPr>
        <w:t xml:space="preserve">资进行质量鉴别，并选择质优价廉物资。合计采购防疫物资 </w:t>
      </w:r>
      <w:r>
        <w:rPr>
          <w:spacing w:val="-7"/>
        </w:rPr>
        <w:t xml:space="preserve">总计 </w:t>
      </w:r>
      <w:r>
        <w:t>21.28</w:t>
      </w:r>
      <w:r>
        <w:rPr>
          <w:spacing w:val="-14"/>
        </w:rPr>
        <w:t xml:space="preserve"> 万元。在整个防控阶段努力做好留观病区物资的</w:t>
      </w:r>
      <w:r>
        <w:rPr>
          <w:spacing w:val="-6"/>
        </w:rPr>
        <w:t xml:space="preserve">配备，日常储备 </w:t>
      </w:r>
      <w:r>
        <w:t>84</w:t>
      </w:r>
      <w:r>
        <w:rPr>
          <w:spacing w:val="-3"/>
        </w:rPr>
        <w:t xml:space="preserve"> 消毒剂、工作服、</w:t>
      </w:r>
      <w:r>
        <w:t>N95</w:t>
      </w:r>
      <w:r>
        <w:rPr>
          <w:spacing w:val="-3"/>
        </w:rPr>
        <w:t xml:space="preserve"> 口罩、医用外科</w:t>
      </w:r>
      <w:r>
        <w:rPr>
          <w:spacing w:val="-4"/>
        </w:rPr>
        <w:t>口罩、防护服、消毒机等应急物资准备，为应急工作提供了</w:t>
      </w:r>
      <w:r>
        <w:rPr>
          <w:spacing w:val="-6"/>
          <w:w w:val="95"/>
        </w:rPr>
        <w:t xml:space="preserve">有力保障。并安排专人随时检查各种药品和器械，确保应急 </w:t>
      </w:r>
      <w:r>
        <w:rPr>
          <w:spacing w:val="-6"/>
        </w:rPr>
        <w:t>工作万无一失。</w:t>
      </w:r>
    </w:p>
    <w:p>
      <w:pPr>
        <w:pStyle w:val="4"/>
        <w:spacing w:before="107" w:line="348" w:lineRule="auto"/>
        <w:ind w:right="417" w:firstLine="640"/>
        <w:jc w:val="both"/>
      </w:pPr>
      <w:r>
        <w:rPr>
          <w:spacing w:val="-3"/>
        </w:rPr>
        <w:t>加强协作，发挥最大优势。领导小组多次召开专题会议</w:t>
      </w:r>
      <w:r>
        <w:rPr>
          <w:spacing w:val="-9"/>
        </w:rPr>
        <w:t xml:space="preserve">研究防控工作，全院共开展了疫情培训 </w:t>
      </w:r>
      <w:r>
        <w:t>180</w:t>
      </w:r>
      <w:r>
        <w:rPr>
          <w:spacing w:val="-14"/>
        </w:rPr>
        <w:t xml:space="preserve"> 余次，组织全体</w:t>
      </w:r>
      <w:r>
        <w:rPr>
          <w:spacing w:val="-13"/>
        </w:rPr>
        <w:t>医务人员分批学习个人防护，并考核上岗，组织了《新型冠</w:t>
      </w:r>
    </w:p>
    <w:p>
      <w:pPr>
        <w:spacing w:after="0" w:line="348" w:lineRule="auto"/>
        <w:jc w:val="both"/>
        <w:sectPr>
          <w:pgSz w:w="11910" w:h="16840"/>
          <w:pgMar w:top="1540" w:right="1380" w:bottom="1160" w:left="1680" w:header="0" w:footer="970" w:gutter="0"/>
          <w:cols w:space="720" w:num="1"/>
        </w:sectPr>
      </w:pPr>
    </w:p>
    <w:p>
      <w:pPr>
        <w:pStyle w:val="4"/>
        <w:spacing w:before="38" w:line="348" w:lineRule="auto"/>
        <w:ind w:right="98"/>
      </w:pPr>
      <w:r>
        <w:rPr>
          <w:spacing w:val="-1"/>
        </w:rPr>
        <w:t xml:space="preserve">状病毒肺炎诊疗与防控消毒培训讲座》《疫苗接种不良反应 </w:t>
      </w:r>
      <w:r>
        <w:rPr>
          <w:spacing w:val="-3"/>
        </w:rPr>
        <w:t xml:space="preserve">及心肺复苏培训》等专题培训，并开展多次应急演练。按照 </w:t>
      </w:r>
      <w:r>
        <w:t>疫情防控要求，</w:t>
      </w:r>
      <w:r>
        <w:rPr>
          <w:spacing w:val="2"/>
        </w:rPr>
        <w:t>2</w:t>
      </w:r>
      <w:r>
        <w:rPr>
          <w:spacing w:val="-6"/>
        </w:rPr>
        <w:t xml:space="preserve"> 月我院下属新街社区卫生服务中心被上级 </w:t>
      </w:r>
      <w:r>
        <w:rPr>
          <w:spacing w:val="-7"/>
        </w:rPr>
        <w:t xml:space="preserve">定位传染病定点收治医院，院领导火速召集相关科室负责人 </w:t>
      </w:r>
      <w:r>
        <w:rPr>
          <w:spacing w:val="-16"/>
        </w:rPr>
        <w:t xml:space="preserve">研究改造方案，并筹备施工事项，同时对新桥发热门诊通道、医疗废弃物暂存点、老年公寓封闭等工程进行新建和改造。 </w:t>
      </w:r>
      <w:r>
        <w:rPr>
          <w:spacing w:val="-16"/>
          <w:w w:val="95"/>
        </w:rPr>
        <w:t xml:space="preserve">在发热门诊开诊前完成了对重点部门、重点环节的流程制定， </w:t>
      </w:r>
      <w:r>
        <w:rPr>
          <w:spacing w:val="-16"/>
        </w:rPr>
        <w:t xml:space="preserve">并对医护人员进行了点对点面对面的培训，按照规范设立预 </w:t>
      </w:r>
      <w:r>
        <w:rPr>
          <w:spacing w:val="-9"/>
        </w:rPr>
        <w:t>检分诊台，做好预检分诊工作和转诊和救治的规范化流程设 置。发现疑似病例、及时通知专家会诊，转送隔离病房。</w:t>
      </w:r>
    </w:p>
    <w:p>
      <w:pPr>
        <w:pStyle w:val="9"/>
        <w:numPr>
          <w:ilvl w:val="0"/>
          <w:numId w:val="1"/>
        </w:numPr>
        <w:tabs>
          <w:tab w:val="left" w:pos="1561"/>
        </w:tabs>
        <w:spacing w:before="16" w:after="0" w:line="240" w:lineRule="auto"/>
        <w:ind w:left="1560" w:right="0" w:hanging="801"/>
        <w:jc w:val="left"/>
        <w:rPr>
          <w:sz w:val="32"/>
        </w:rPr>
      </w:pPr>
      <w:r>
        <w:rPr>
          <w:sz w:val="32"/>
        </w:rPr>
        <w:t>众志成城、搭建基层防火墙。</w:t>
      </w:r>
    </w:p>
    <w:p>
      <w:pPr>
        <w:pStyle w:val="4"/>
        <w:spacing w:before="186"/>
        <w:ind w:left="760"/>
      </w:pPr>
      <w:r>
        <w:t>指令任务“不推脱”。一是上半年共派出医护人员 426</w:t>
      </w:r>
    </w:p>
    <w:p>
      <w:pPr>
        <w:pStyle w:val="4"/>
        <w:spacing w:before="185" w:line="348" w:lineRule="auto"/>
        <w:ind w:right="418"/>
        <w:jc w:val="both"/>
      </w:pPr>
      <w:r>
        <w:rPr>
          <w:spacing w:val="4"/>
        </w:rPr>
        <w:t xml:space="preserve">人次。参与新冠集中隔离点人员解除和值守、高速路口 </w:t>
      </w:r>
      <w:r>
        <w:t xml:space="preserve">24 </w:t>
      </w:r>
      <w:r>
        <w:rPr>
          <w:spacing w:val="-2"/>
        </w:rPr>
        <w:t>小时监测体温并详细询问、登记湖北等旅居史和发热咳嗽情</w:t>
      </w:r>
      <w:r>
        <w:rPr>
          <w:spacing w:val="-9"/>
        </w:rPr>
        <w:t xml:space="preserve">况。二是发热门诊累计救治病人 </w:t>
      </w:r>
      <w:r>
        <w:t>469</w:t>
      </w:r>
      <w:r>
        <w:rPr>
          <w:spacing w:val="-31"/>
        </w:rPr>
        <w:t xml:space="preserve"> 人次</w:t>
      </w:r>
      <w:r>
        <w:t>（其中有流行病学</w:t>
      </w:r>
    </w:p>
    <w:p>
      <w:pPr>
        <w:pStyle w:val="4"/>
        <w:spacing w:before="4" w:line="348" w:lineRule="auto"/>
        <w:ind w:right="420"/>
        <w:jc w:val="both"/>
      </w:pPr>
      <w:r>
        <w:rPr>
          <w:spacing w:val="-43"/>
        </w:rPr>
        <w:t xml:space="preserve">史 </w:t>
      </w:r>
      <w:r>
        <w:t>11</w:t>
      </w:r>
      <w:r>
        <w:rPr>
          <w:spacing w:val="-25"/>
        </w:rPr>
        <w:t xml:space="preserve"> 人次</w:t>
      </w:r>
      <w:r>
        <w:rPr>
          <w:spacing w:val="6"/>
        </w:rPr>
        <w:t>）</w:t>
      </w:r>
      <w:r>
        <w:rPr>
          <w:spacing w:val="5"/>
        </w:rPr>
        <w:t>；救护车转运新冠疫情相关</w:t>
      </w:r>
      <w:r>
        <w:rPr>
          <w:spacing w:val="7"/>
        </w:rPr>
        <w:t>（</w:t>
      </w:r>
      <w:r>
        <w:rPr>
          <w:spacing w:val="5"/>
        </w:rPr>
        <w:t>自流井区疫区回</w:t>
      </w:r>
      <w:r>
        <w:rPr>
          <w:spacing w:val="-2"/>
        </w:rPr>
        <w:t>来的高危人员、发热病人、新冠肺炎治愈出院患者的核酸检测、居家隔离观察人员的核酸检测护送</w:t>
      </w:r>
      <w:r>
        <w:rPr>
          <w:spacing w:val="-5"/>
        </w:rPr>
        <w:t>）</w:t>
      </w:r>
      <w:r>
        <w:rPr>
          <w:spacing w:val="-29"/>
        </w:rPr>
        <w:t xml:space="preserve">人员 </w:t>
      </w:r>
      <w:r>
        <w:t>462</w:t>
      </w:r>
      <w:r>
        <w:rPr>
          <w:spacing w:val="-20"/>
        </w:rPr>
        <w:t xml:space="preserve"> 人次；学</w:t>
      </w:r>
    </w:p>
    <w:p>
      <w:pPr>
        <w:pStyle w:val="4"/>
        <w:spacing w:before="5"/>
        <w:jc w:val="both"/>
      </w:pPr>
      <w:r>
        <w:rPr>
          <w:spacing w:val="-21"/>
        </w:rPr>
        <w:t xml:space="preserve">校接诊 </w:t>
      </w:r>
      <w:r>
        <w:t>32</w:t>
      </w:r>
      <w:r>
        <w:rPr>
          <w:spacing w:val="-18"/>
        </w:rPr>
        <w:t xml:space="preserve"> 人次；救护车调度 </w:t>
      </w:r>
      <w:r>
        <w:t>428</w:t>
      </w:r>
      <w:r>
        <w:rPr>
          <w:spacing w:val="-20"/>
        </w:rPr>
        <w:t xml:space="preserve"> 次；采集咽拭子 </w:t>
      </w:r>
      <w:r>
        <w:t>2820</w:t>
      </w:r>
      <w:r>
        <w:rPr>
          <w:spacing w:val="-1"/>
        </w:rPr>
        <w:t xml:space="preserve"> 人；</w:t>
      </w:r>
    </w:p>
    <w:p>
      <w:pPr>
        <w:pStyle w:val="4"/>
        <w:spacing w:before="188"/>
        <w:jc w:val="both"/>
      </w:pPr>
      <w:r>
        <w:t>高速路口检查车辆 3315 辆，为 9328 人测量体温。迎接相关</w:t>
      </w:r>
    </w:p>
    <w:p>
      <w:pPr>
        <w:pStyle w:val="4"/>
        <w:spacing w:before="185" w:line="348" w:lineRule="auto"/>
        <w:ind w:right="420"/>
        <w:jc w:val="both"/>
      </w:pPr>
      <w:r>
        <w:rPr>
          <w:spacing w:val="1"/>
        </w:rPr>
        <w:t xml:space="preserve">专家检查 </w:t>
      </w:r>
      <w:r>
        <w:t>70</w:t>
      </w:r>
      <w:r>
        <w:rPr>
          <w:spacing w:val="-7"/>
        </w:rPr>
        <w:t xml:space="preserve"> 余次，得到了省、市、区相关领导和专家的肯</w:t>
      </w:r>
      <w:r>
        <w:rPr>
          <w:spacing w:val="-4"/>
          <w:w w:val="95"/>
        </w:rPr>
        <w:t xml:space="preserve">定。并协同优化发热门诊、三级预检分诊流程，完善及规范 </w:t>
      </w:r>
      <w:r>
        <w:rPr>
          <w:spacing w:val="-4"/>
        </w:rPr>
        <w:t>制度职责。</w:t>
      </w:r>
    </w:p>
    <w:p>
      <w:pPr>
        <w:spacing w:after="0" w:line="348" w:lineRule="auto"/>
        <w:jc w:val="both"/>
        <w:sectPr>
          <w:pgSz w:w="11910" w:h="16840"/>
          <w:pgMar w:top="1540" w:right="1380" w:bottom="1160" w:left="1680" w:header="0" w:footer="970" w:gutter="0"/>
          <w:cols w:space="720" w:num="1"/>
        </w:sectPr>
      </w:pPr>
    </w:p>
    <w:p>
      <w:pPr>
        <w:pStyle w:val="4"/>
        <w:spacing w:before="38" w:line="350" w:lineRule="auto"/>
        <w:ind w:right="417" w:firstLine="640"/>
        <w:jc w:val="both"/>
      </w:pPr>
      <w:r>
        <w:rPr>
          <w:spacing w:val="-3"/>
          <w:w w:val="95"/>
        </w:rPr>
        <w:t xml:space="preserve">社区防控“无盲点”。一是“两个中心”全年监测湖北 </w:t>
      </w:r>
      <w:r>
        <w:rPr>
          <w:spacing w:val="-12"/>
        </w:rPr>
        <w:t xml:space="preserve">相关人群 </w:t>
      </w:r>
      <w:r>
        <w:t>394</w:t>
      </w:r>
      <w:r>
        <w:rPr>
          <w:spacing w:val="-13"/>
        </w:rPr>
        <w:t xml:space="preserve"> 人，累计上门监测 </w:t>
      </w:r>
      <w:r>
        <w:t>8638</w:t>
      </w:r>
      <w:r>
        <w:rPr>
          <w:spacing w:val="-5"/>
        </w:rPr>
        <w:t xml:space="preserve"> 人次；监测其他地区</w:t>
      </w:r>
    </w:p>
    <w:p>
      <w:pPr>
        <w:pStyle w:val="4"/>
        <w:spacing w:line="406" w:lineRule="exact"/>
        <w:jc w:val="both"/>
      </w:pPr>
      <w:r>
        <w:rPr>
          <w:spacing w:val="-25"/>
        </w:rPr>
        <w:t xml:space="preserve">人群 </w:t>
      </w:r>
      <w:r>
        <w:t>6887</w:t>
      </w:r>
      <w:r>
        <w:rPr>
          <w:spacing w:val="-13"/>
        </w:rPr>
        <w:t xml:space="preserve"> 人，累计上门监测 </w:t>
      </w:r>
      <w:r>
        <w:t>19509</w:t>
      </w:r>
      <w:r>
        <w:rPr>
          <w:spacing w:val="-3"/>
        </w:rPr>
        <w:t xml:space="preserve"> 人次。监测人群中确诊</w:t>
      </w:r>
    </w:p>
    <w:p>
      <w:pPr>
        <w:pStyle w:val="4"/>
        <w:spacing w:before="185" w:line="348" w:lineRule="auto"/>
        <w:ind w:right="420"/>
        <w:jc w:val="both"/>
      </w:pPr>
      <w:r>
        <w:rPr>
          <w:spacing w:val="-8"/>
        </w:rPr>
        <w:t xml:space="preserve">病例新街社区、郭街社区各 </w:t>
      </w:r>
      <w:r>
        <w:t>1</w:t>
      </w:r>
      <w:r>
        <w:rPr>
          <w:spacing w:val="-11"/>
        </w:rPr>
        <w:t xml:space="preserve"> 例，顽强地筑牢了社区防控的</w:t>
      </w:r>
      <w:r>
        <w:rPr>
          <w:spacing w:val="-9"/>
        </w:rPr>
        <w:t>第一道防线。二是对复工人员开具健康随访表，协助不会申</w:t>
      </w:r>
      <w:r>
        <w:rPr>
          <w:spacing w:val="1"/>
        </w:rPr>
        <w:t xml:space="preserve">报个人信息的人员进行健康情况申报，累计对 </w:t>
      </w:r>
      <w:r>
        <w:t>3048</w:t>
      </w:r>
      <w:r>
        <w:rPr>
          <w:spacing w:val="-18"/>
        </w:rPr>
        <w:t xml:space="preserve"> 名人员</w:t>
      </w:r>
      <w:r>
        <w:rPr>
          <w:spacing w:val="-15"/>
        </w:rPr>
        <w:t>办理了返乡务工随访证明，为疫情后迅速复工复产起到了积</w:t>
      </w:r>
      <w:r>
        <w:rPr>
          <w:spacing w:val="-12"/>
        </w:rPr>
        <w:t xml:space="preserve">极作用。三是在复学复校后累计派出医务人员 </w:t>
      </w:r>
      <w:r>
        <w:t>196</w:t>
      </w:r>
      <w:r>
        <w:rPr>
          <w:spacing w:val="-19"/>
        </w:rPr>
        <w:t xml:space="preserve"> 人次参与</w:t>
      </w:r>
    </w:p>
    <w:p>
      <w:pPr>
        <w:pStyle w:val="4"/>
        <w:spacing w:before="8"/>
        <w:jc w:val="both"/>
      </w:pPr>
      <w:r>
        <w:rPr>
          <w:spacing w:val="-14"/>
        </w:rPr>
        <w:t xml:space="preserve">指导辖区 </w:t>
      </w:r>
      <w:r>
        <w:t>43</w:t>
      </w:r>
      <w:r>
        <w:rPr>
          <w:spacing w:val="-4"/>
        </w:rPr>
        <w:t xml:space="preserve"> 所中小学、幼儿园、培训机构进行复学前疫情</w:t>
      </w:r>
    </w:p>
    <w:p>
      <w:pPr>
        <w:pStyle w:val="4"/>
        <w:spacing w:before="186" w:line="348" w:lineRule="auto"/>
        <w:ind w:right="417"/>
        <w:jc w:val="both"/>
      </w:pPr>
      <w:r>
        <w:rPr>
          <w:spacing w:val="-8"/>
        </w:rPr>
        <w:t xml:space="preserve">防控演练；对复学的中小学派出医务人员 </w:t>
      </w:r>
      <w:r>
        <w:t>342</w:t>
      </w:r>
      <w:r>
        <w:rPr>
          <w:spacing w:val="-13"/>
        </w:rPr>
        <w:t xml:space="preserve"> 人次开展每周</w:t>
      </w:r>
      <w:r>
        <w:rPr>
          <w:spacing w:val="-11"/>
        </w:rPr>
        <w:t>两次的疫情防控督导，并在自身经费困难的情况下，为辖区学校校医室配置了感冒、发热、清热解毒的常备药物。</w:t>
      </w:r>
    </w:p>
    <w:p>
      <w:pPr>
        <w:pStyle w:val="4"/>
        <w:spacing w:before="98"/>
        <w:ind w:left="919"/>
      </w:pPr>
      <w:r>
        <w:t>2、其他业务工作开展情况</w:t>
      </w:r>
    </w:p>
    <w:p>
      <w:pPr>
        <w:pStyle w:val="9"/>
        <w:numPr>
          <w:ilvl w:val="0"/>
          <w:numId w:val="2"/>
        </w:numPr>
        <w:tabs>
          <w:tab w:val="left" w:pos="1561"/>
        </w:tabs>
        <w:spacing w:before="187" w:after="0" w:line="240" w:lineRule="auto"/>
        <w:ind w:left="1560" w:right="0" w:hanging="801"/>
        <w:jc w:val="left"/>
        <w:rPr>
          <w:sz w:val="32"/>
        </w:rPr>
      </w:pPr>
      <w:r>
        <w:rPr>
          <w:sz w:val="32"/>
        </w:rPr>
        <w:t>加强医疗护理质量管理</w:t>
      </w:r>
    </w:p>
    <w:p>
      <w:pPr>
        <w:pStyle w:val="4"/>
        <w:spacing w:before="185" w:line="348" w:lineRule="auto"/>
        <w:ind w:right="101" w:firstLine="640"/>
      </w:pPr>
      <w:r>
        <w:rPr>
          <w:spacing w:val="-2"/>
          <w:w w:val="95"/>
        </w:rPr>
        <w:t xml:space="preserve">在开展疫情防控的同时，也不放松日常业务工作的管理。 </w:t>
      </w:r>
      <w:r>
        <w:rPr>
          <w:spacing w:val="-3"/>
        </w:rPr>
        <w:t>医院始终围绕“不忘初心，患者服务”的理念，</w:t>
      </w:r>
      <w:r>
        <w:rPr>
          <w:color w:val="2B2B2B"/>
        </w:rPr>
        <w:t xml:space="preserve">利用三医监 </w:t>
      </w:r>
      <w:r>
        <w:rPr>
          <w:color w:val="2B2B2B"/>
          <w:spacing w:val="-3"/>
        </w:rPr>
        <w:t>管平台，加强医师医疗服务行为督查。</w:t>
      </w:r>
      <w:r>
        <w:t xml:space="preserve">进一步推进护士岗位 </w:t>
      </w:r>
      <w:r>
        <w:rPr>
          <w:spacing w:val="-3"/>
        </w:rPr>
        <w:t xml:space="preserve">管理，做到“四个完善”。完善护士培训机制，提升护士岗 位胜任能力。常态化开展院科二级分层级岗位培训与考核， </w:t>
      </w:r>
      <w:r>
        <w:rPr>
          <w:spacing w:val="-15"/>
        </w:rPr>
        <w:t>在全院范围开展多形式、多渠道岗位技术大练兵。严把药品、</w:t>
      </w:r>
      <w:r>
        <w:rPr>
          <w:spacing w:val="-11"/>
        </w:rPr>
        <w:t xml:space="preserve">耗材采购质量关，根据制度要求药械科每月不定期对药房内 </w:t>
      </w:r>
      <w:r>
        <w:rPr>
          <w:spacing w:val="-12"/>
        </w:rPr>
        <w:t>工作流程及各岗位的工作质量进行抽查，并督促科室工作人</w:t>
      </w:r>
      <w:r>
        <w:rPr>
          <w:spacing w:val="1"/>
        </w:rPr>
        <w:t xml:space="preserve">员认真执行各项管理制度。共监测病人 </w:t>
      </w:r>
      <w:r>
        <w:t>2495</w:t>
      </w:r>
      <w:r>
        <w:rPr>
          <w:spacing w:val="-7"/>
        </w:rPr>
        <w:t xml:space="preserve"> 人，医院感染</w:t>
      </w:r>
    </w:p>
    <w:p>
      <w:pPr>
        <w:spacing w:after="0" w:line="348" w:lineRule="auto"/>
        <w:sectPr>
          <w:pgSz w:w="11910" w:h="16840"/>
          <w:pgMar w:top="1540" w:right="1380" w:bottom="1160" w:left="1680" w:header="0" w:footer="970" w:gutter="0"/>
          <w:cols w:space="720" w:num="1"/>
        </w:sectPr>
      </w:pPr>
    </w:p>
    <w:p>
      <w:pPr>
        <w:pStyle w:val="4"/>
        <w:spacing w:before="38" w:line="350" w:lineRule="auto"/>
        <w:ind w:right="420"/>
      </w:pPr>
      <w:r>
        <w:rPr>
          <w:spacing w:val="-28"/>
        </w:rPr>
        <w:t xml:space="preserve">人数 </w:t>
      </w:r>
      <w:r>
        <w:t>13</w:t>
      </w:r>
      <w:r>
        <w:rPr>
          <w:spacing w:val="-15"/>
        </w:rPr>
        <w:t xml:space="preserve"> 例，医院感染发病率 </w:t>
      </w:r>
      <w:r>
        <w:rPr>
          <w:spacing w:val="-8"/>
        </w:rPr>
        <w:t>0.52</w:t>
      </w:r>
      <w:r>
        <w:rPr>
          <w:spacing w:val="-18"/>
        </w:rPr>
        <w:t xml:space="preserve">%，较去年 </w:t>
      </w:r>
      <w:r>
        <w:t>0.51%相比有上</w:t>
      </w:r>
      <w:r>
        <w:rPr>
          <w:spacing w:val="5"/>
        </w:rPr>
        <w:t>升，符合国家规定标准</w:t>
      </w:r>
      <w:r>
        <w:rPr>
          <w:rFonts w:hint="eastAsia" w:ascii="宋体" w:hAnsi="宋体" w:eastAsia="宋体"/>
          <w:spacing w:val="5"/>
        </w:rPr>
        <w:t>≦</w:t>
      </w:r>
      <w:r>
        <w:rPr>
          <w:spacing w:val="5"/>
        </w:rPr>
        <w:t>8</w:t>
      </w:r>
      <w:r>
        <w:rPr>
          <w:spacing w:val="-5"/>
        </w:rPr>
        <w:t xml:space="preserve">%；其中下呼吸道感染 </w:t>
      </w:r>
      <w:r>
        <w:t>9</w:t>
      </w:r>
      <w:r>
        <w:rPr>
          <w:spacing w:val="-17"/>
        </w:rPr>
        <w:t xml:space="preserve"> 例,Ⅰ类</w:t>
      </w:r>
    </w:p>
    <w:p>
      <w:pPr>
        <w:pStyle w:val="4"/>
        <w:spacing w:line="406" w:lineRule="exact"/>
      </w:pPr>
      <w:r>
        <w:rPr>
          <w:spacing w:val="-17"/>
        </w:rPr>
        <w:t xml:space="preserve">切口感染 </w:t>
      </w:r>
      <w:r>
        <w:t>1</w:t>
      </w:r>
      <w:r>
        <w:rPr>
          <w:spacing w:val="-22"/>
        </w:rPr>
        <w:t xml:space="preserve"> 例，泌尿道感染 </w:t>
      </w:r>
      <w:r>
        <w:t>3</w:t>
      </w:r>
      <w:r>
        <w:rPr>
          <w:spacing w:val="-11"/>
        </w:rPr>
        <w:t xml:space="preserve"> 例；每月院感科随机抽查出院</w:t>
      </w:r>
    </w:p>
    <w:p>
      <w:pPr>
        <w:pStyle w:val="4"/>
        <w:spacing w:before="185" w:line="350" w:lineRule="auto"/>
        <w:ind w:right="420"/>
      </w:pPr>
      <w:r>
        <w:rPr>
          <w:spacing w:val="-14"/>
        </w:rPr>
        <w:t xml:space="preserve">病历每科室 </w:t>
      </w:r>
      <w:r>
        <w:t>10-20</w:t>
      </w:r>
      <w:r>
        <w:rPr>
          <w:spacing w:val="-26"/>
        </w:rPr>
        <w:t xml:space="preserve"> 份，共抽查 </w:t>
      </w:r>
      <w:r>
        <w:t>499</w:t>
      </w:r>
      <w:r>
        <w:rPr>
          <w:spacing w:val="-30"/>
        </w:rPr>
        <w:t xml:space="preserve"> 份，漏报 </w:t>
      </w:r>
      <w:r>
        <w:t>0</w:t>
      </w:r>
      <w:r>
        <w:rPr>
          <w:spacing w:val="-13"/>
        </w:rPr>
        <w:t xml:space="preserve"> 例，漏报率为0%，与去年持平，符合制定标准</w:t>
      </w:r>
      <w:r>
        <w:rPr>
          <w:rFonts w:hint="eastAsia" w:ascii="宋体" w:hAnsi="宋体" w:eastAsia="宋体"/>
          <w:spacing w:val="-13"/>
        </w:rPr>
        <w:t>≦</w:t>
      </w:r>
      <w:r>
        <w:rPr>
          <w:spacing w:val="-13"/>
        </w:rPr>
        <w:t>20%。</w:t>
      </w:r>
    </w:p>
    <w:p>
      <w:pPr>
        <w:pStyle w:val="9"/>
        <w:numPr>
          <w:ilvl w:val="0"/>
          <w:numId w:val="2"/>
        </w:numPr>
        <w:tabs>
          <w:tab w:val="left" w:pos="1561"/>
        </w:tabs>
        <w:spacing w:before="0" w:after="0" w:line="406" w:lineRule="exact"/>
        <w:ind w:left="1560" w:right="0" w:hanging="801"/>
        <w:jc w:val="left"/>
        <w:rPr>
          <w:sz w:val="32"/>
        </w:rPr>
      </w:pPr>
      <w:r>
        <w:rPr>
          <w:sz w:val="32"/>
        </w:rPr>
        <w:t>强化社区服务基础工作</w:t>
      </w:r>
    </w:p>
    <w:p>
      <w:pPr>
        <w:pStyle w:val="4"/>
        <w:spacing w:before="185" w:line="348" w:lineRule="auto"/>
        <w:ind w:right="405" w:firstLine="640"/>
        <w:jc w:val="both"/>
      </w:pPr>
      <w:r>
        <w:t xml:space="preserve">社区中心利用摸排、上门监测及语音外呼助手等举措， </w:t>
      </w:r>
      <w:r>
        <w:rPr>
          <w:spacing w:val="-3"/>
        </w:rPr>
        <w:t>积极做好健康教育、慢病随访、重点人群体检，艾滋病人群</w:t>
      </w:r>
      <w:r>
        <w:rPr>
          <w:spacing w:val="-5"/>
        </w:rPr>
        <w:t>筛查工作。做到疫情防控和基本公共卫生工作两不误。在疫情期间，积极做好居民健康教育工作，对所有重点人群进行了全覆盖的电话、短信健康教育，做好心里疏导，打消居民</w:t>
      </w:r>
      <w:r>
        <w:rPr>
          <w:spacing w:val="-9"/>
        </w:rPr>
        <w:t xml:space="preserve">及重点人群对新冠疫情的恐慌，累计健康教育 </w:t>
      </w:r>
      <w:r>
        <w:t>53608</w:t>
      </w:r>
      <w:r>
        <w:rPr>
          <w:spacing w:val="-22"/>
        </w:rPr>
        <w:t xml:space="preserve"> 人次。</w:t>
      </w:r>
    </w:p>
    <w:p>
      <w:pPr>
        <w:pStyle w:val="4"/>
        <w:spacing w:before="9" w:line="348" w:lineRule="auto"/>
        <w:ind w:right="417"/>
        <w:jc w:val="both"/>
      </w:pPr>
      <w:r>
        <w:rPr>
          <w:spacing w:val="-7"/>
        </w:rPr>
        <w:t xml:space="preserve">对慢病患者、肺结核患者艾滋病患者进行电话随访 </w:t>
      </w:r>
      <w:r>
        <w:t>21000</w:t>
      </w:r>
      <w:r>
        <w:rPr>
          <w:spacing w:val="-44"/>
        </w:rPr>
        <w:t xml:space="preserve"> 余</w:t>
      </w:r>
      <w:r>
        <w:rPr>
          <w:spacing w:val="-11"/>
        </w:rPr>
        <w:t>人次。由于新街社区卫生服务中心整体歇业，业务收入和公</w:t>
      </w:r>
      <w:r>
        <w:rPr>
          <w:spacing w:val="-9"/>
          <w:w w:val="95"/>
        </w:rPr>
        <w:t xml:space="preserve">卫工作影响巨大，但医院积极作为，利用有限资源，积极恢 </w:t>
      </w:r>
      <w:r>
        <w:t>复基公工作，目前已开展重点人群体检 3600</w:t>
      </w:r>
      <w:r>
        <w:rPr>
          <w:spacing w:val="-9"/>
        </w:rPr>
        <w:t xml:space="preserve"> 人，完成艾滋</w:t>
      </w:r>
    </w:p>
    <w:p>
      <w:pPr>
        <w:pStyle w:val="4"/>
        <w:spacing w:before="8" w:line="348" w:lineRule="auto"/>
        <w:ind w:right="420"/>
        <w:jc w:val="both"/>
      </w:pPr>
      <w:r>
        <w:rPr>
          <w:spacing w:val="-17"/>
        </w:rPr>
        <w:t xml:space="preserve">病筛查 </w:t>
      </w:r>
      <w:r>
        <w:t>3</w:t>
      </w:r>
      <w:r>
        <w:rPr>
          <w:spacing w:val="-8"/>
        </w:rPr>
        <w:t xml:space="preserve"> 万余人次。累计开展预防接种近 </w:t>
      </w:r>
      <w:r>
        <w:t>5000</w:t>
      </w:r>
      <w:r>
        <w:rPr>
          <w:spacing w:val="-10"/>
        </w:rPr>
        <w:t xml:space="preserve"> 人次，没有一例异常事件或不良反应发生。</w:t>
      </w:r>
    </w:p>
    <w:p>
      <w:pPr>
        <w:pStyle w:val="9"/>
        <w:numPr>
          <w:ilvl w:val="0"/>
          <w:numId w:val="2"/>
        </w:numPr>
        <w:tabs>
          <w:tab w:val="left" w:pos="1561"/>
        </w:tabs>
        <w:spacing w:before="1" w:after="0" w:line="240" w:lineRule="auto"/>
        <w:ind w:left="1560" w:right="0" w:hanging="801"/>
        <w:jc w:val="left"/>
        <w:rPr>
          <w:sz w:val="32"/>
        </w:rPr>
      </w:pPr>
      <w:r>
        <w:rPr>
          <w:sz w:val="32"/>
        </w:rPr>
        <w:t>运用科学管理培养人才。</w:t>
      </w:r>
    </w:p>
    <w:p>
      <w:pPr>
        <w:pStyle w:val="4"/>
        <w:spacing w:before="188"/>
        <w:ind w:left="760"/>
      </w:pPr>
      <w:r>
        <w:rPr>
          <w:spacing w:val="-21"/>
        </w:rPr>
        <w:t xml:space="preserve">截止到 </w:t>
      </w:r>
      <w:r>
        <w:t>2020</w:t>
      </w:r>
      <w:r>
        <w:rPr>
          <w:spacing w:val="-54"/>
        </w:rPr>
        <w:t xml:space="preserve"> 年 </w:t>
      </w:r>
      <w:r>
        <w:t>12</w:t>
      </w:r>
      <w:r>
        <w:rPr>
          <w:spacing w:val="-55"/>
        </w:rPr>
        <w:t xml:space="preserve"> 月 </w:t>
      </w:r>
      <w:r>
        <w:t>31</w:t>
      </w:r>
      <w:r>
        <w:rPr>
          <w:spacing w:val="-17"/>
        </w:rPr>
        <w:t xml:space="preserve"> 日全院职工</w:t>
      </w:r>
      <w:r>
        <w:t>（包括新街和郭街）</w:t>
      </w:r>
    </w:p>
    <w:p>
      <w:pPr>
        <w:pStyle w:val="4"/>
        <w:spacing w:before="185" w:line="348" w:lineRule="auto"/>
        <w:ind w:right="324"/>
      </w:pPr>
      <w:r>
        <w:rPr>
          <w:spacing w:val="-20"/>
        </w:rPr>
        <w:t xml:space="preserve">总人数 </w:t>
      </w:r>
      <w:r>
        <w:t>208</w:t>
      </w:r>
      <w:r>
        <w:rPr>
          <w:spacing w:val="-16"/>
        </w:rPr>
        <w:t xml:space="preserve"> 人，其中：在职职工 </w:t>
      </w:r>
      <w:r>
        <w:t>135</w:t>
      </w:r>
      <w:r>
        <w:rPr>
          <w:spacing w:val="-18"/>
        </w:rPr>
        <w:t xml:space="preserve"> 人，编外聘用人员 </w:t>
      </w:r>
      <w:r>
        <w:t xml:space="preserve">73 </w:t>
      </w:r>
      <w:r>
        <w:rPr>
          <w:spacing w:val="-13"/>
        </w:rPr>
        <w:t xml:space="preserve">人；卫生专业技术人员 </w:t>
      </w:r>
      <w:r>
        <w:t>167</w:t>
      </w:r>
      <w:r>
        <w:rPr>
          <w:spacing w:val="-24"/>
        </w:rPr>
        <w:t xml:space="preserve"> 人，占全院职工 </w:t>
      </w:r>
      <w:r>
        <w:rPr>
          <w:spacing w:val="-5"/>
        </w:rPr>
        <w:t>80.29</w:t>
      </w:r>
      <w:r>
        <w:rPr>
          <w:spacing w:val="-3"/>
        </w:rPr>
        <w:t>%；副高级</w:t>
      </w:r>
      <w:r>
        <w:rPr>
          <w:spacing w:val="-30"/>
        </w:rPr>
        <w:t xml:space="preserve">职称 </w:t>
      </w:r>
      <w:r>
        <w:t>17</w:t>
      </w:r>
      <w:r>
        <w:rPr>
          <w:spacing w:val="-16"/>
        </w:rPr>
        <w:t xml:space="preserve"> 人，占卫生专业技术人员 </w:t>
      </w:r>
      <w:r>
        <w:t>10.18</w:t>
      </w:r>
      <w:r>
        <w:rPr>
          <w:spacing w:val="-12"/>
        </w:rPr>
        <w:t xml:space="preserve">%；中级职称 </w:t>
      </w:r>
      <w:r>
        <w:t>57</w:t>
      </w:r>
      <w:r>
        <w:rPr>
          <w:spacing w:val="-29"/>
        </w:rPr>
        <w:t xml:space="preserve"> 人，</w:t>
      </w:r>
    </w:p>
    <w:p>
      <w:pPr>
        <w:spacing w:after="0" w:line="348" w:lineRule="auto"/>
        <w:sectPr>
          <w:pgSz w:w="11910" w:h="16840"/>
          <w:pgMar w:top="1540" w:right="1380" w:bottom="1160" w:left="1680" w:header="0" w:footer="970" w:gutter="0"/>
          <w:cols w:space="720" w:num="1"/>
        </w:sectPr>
      </w:pPr>
    </w:p>
    <w:p>
      <w:pPr>
        <w:pStyle w:val="4"/>
        <w:spacing w:before="38" w:line="348" w:lineRule="auto"/>
        <w:ind w:right="98"/>
      </w:pPr>
      <w:r>
        <w:rPr>
          <w:spacing w:val="-6"/>
        </w:rPr>
        <w:t xml:space="preserve">占卫生专业技术人员 </w:t>
      </w:r>
      <w:r>
        <w:t>34.13</w:t>
      </w:r>
      <w:r>
        <w:rPr>
          <w:spacing w:val="-6"/>
        </w:rPr>
        <w:t xml:space="preserve">%；初级及以下职称 </w:t>
      </w:r>
      <w:r>
        <w:t>93</w:t>
      </w:r>
      <w:r>
        <w:rPr>
          <w:spacing w:val="-12"/>
        </w:rPr>
        <w:t xml:space="preserve"> 人，占卫</w:t>
      </w:r>
      <w:r>
        <w:rPr>
          <w:spacing w:val="-22"/>
        </w:rPr>
        <w:t xml:space="preserve">生专业技术人员 </w:t>
      </w:r>
      <w:r>
        <w:t>55.69</w:t>
      </w:r>
      <w:r>
        <w:rPr>
          <w:spacing w:val="-37"/>
        </w:rPr>
        <w:t xml:space="preserve">%。其他专业 </w:t>
      </w:r>
      <w:r>
        <w:t>22</w:t>
      </w:r>
      <w:r>
        <w:rPr>
          <w:spacing w:val="-39"/>
        </w:rPr>
        <w:t xml:space="preserve"> 人，占全院职工 </w:t>
      </w:r>
      <w:r>
        <w:t>10.58%。</w:t>
      </w:r>
      <w:r>
        <w:rPr>
          <w:spacing w:val="-16"/>
        </w:rPr>
        <w:t xml:space="preserve">全院医生 </w:t>
      </w:r>
      <w:r>
        <w:t>54</w:t>
      </w:r>
      <w:r>
        <w:rPr>
          <w:spacing w:val="-16"/>
        </w:rPr>
        <w:t xml:space="preserve"> 人，占卫生专业技术人员 </w:t>
      </w:r>
      <w:r>
        <w:t>32.34</w:t>
      </w:r>
      <w:r>
        <w:rPr>
          <w:spacing w:val="-12"/>
        </w:rPr>
        <w:t xml:space="preserve">%；中医医生 </w:t>
      </w:r>
      <w:r>
        <w:t xml:space="preserve">21 </w:t>
      </w:r>
      <w:r>
        <w:rPr>
          <w:spacing w:val="-42"/>
        </w:rPr>
        <w:t xml:space="preserve">人，占医生 </w:t>
      </w:r>
      <w:r>
        <w:t>38.89</w:t>
      </w:r>
      <w:r>
        <w:rPr>
          <w:spacing w:val="-50"/>
        </w:rPr>
        <w:t xml:space="preserve">%。护理 </w:t>
      </w:r>
      <w:r>
        <w:t>79</w:t>
      </w:r>
      <w:r>
        <w:rPr>
          <w:spacing w:val="-28"/>
        </w:rPr>
        <w:t xml:space="preserve"> 人，占卫生专业技术人员 </w:t>
      </w:r>
      <w:r>
        <w:t>47.31%。</w:t>
      </w:r>
      <w:r>
        <w:rPr>
          <w:spacing w:val="-13"/>
        </w:rPr>
        <w:t xml:space="preserve">今年共招录 </w:t>
      </w:r>
      <w:r>
        <w:t>7</w:t>
      </w:r>
      <w:r>
        <w:rPr>
          <w:spacing w:val="-10"/>
        </w:rPr>
        <w:t xml:space="preserve"> 名大中专院校毕业生，为我院业务发展积累了</w:t>
      </w:r>
      <w:r>
        <w:rPr>
          <w:spacing w:val="-15"/>
        </w:rPr>
        <w:t>人才，对新进职工进行了培训，培训内容包含医院规章制度、</w:t>
      </w:r>
      <w:r>
        <w:rPr>
          <w:spacing w:val="-10"/>
        </w:rPr>
        <w:t xml:space="preserve">卫生法律法规、职业道德、安全教育、医患沟通、中医特色 </w:t>
      </w:r>
      <w:r>
        <w:rPr>
          <w:spacing w:val="-14"/>
        </w:rPr>
        <w:t>礼仪、院史院貌等。对医院用工人员进行了劳动合同</w:t>
      </w:r>
      <w:r>
        <w:rPr>
          <w:spacing w:val="-3"/>
        </w:rPr>
        <w:t>（</w:t>
      </w:r>
      <w:r>
        <w:t xml:space="preserve">续签） </w:t>
      </w:r>
      <w:r>
        <w:rPr>
          <w:spacing w:val="-10"/>
        </w:rPr>
        <w:t xml:space="preserve">签订，共计续签 </w:t>
      </w:r>
      <w:r>
        <w:t>63</w:t>
      </w:r>
      <w:r>
        <w:rPr>
          <w:spacing w:val="-16"/>
        </w:rPr>
        <w:t xml:space="preserve"> 份劳动合同。并对全院 </w:t>
      </w:r>
      <w:r>
        <w:t>136</w:t>
      </w:r>
      <w:r>
        <w:rPr>
          <w:spacing w:val="-15"/>
        </w:rPr>
        <w:t xml:space="preserve"> 名同志进行</w:t>
      </w:r>
    </w:p>
    <w:p>
      <w:pPr>
        <w:pStyle w:val="4"/>
        <w:spacing w:before="13"/>
        <w:jc w:val="both"/>
      </w:pPr>
      <w:r>
        <w:rPr>
          <w:spacing w:val="-11"/>
        </w:rPr>
        <w:t xml:space="preserve">了岗位竞聘，对 </w:t>
      </w:r>
      <w:r>
        <w:t>14</w:t>
      </w:r>
      <w:r>
        <w:rPr>
          <w:spacing w:val="-10"/>
        </w:rPr>
        <w:t xml:space="preserve"> 名职称晋升的同志的工资进行了调整和</w:t>
      </w:r>
    </w:p>
    <w:p>
      <w:pPr>
        <w:pStyle w:val="4"/>
        <w:spacing w:before="188" w:line="348" w:lineRule="auto"/>
        <w:ind w:right="417"/>
        <w:jc w:val="both"/>
      </w:pPr>
      <w:r>
        <w:rPr>
          <w:spacing w:val="-3"/>
        </w:rPr>
        <w:t>审批。根据相关政策</w:t>
      </w:r>
      <w:r>
        <w:rPr>
          <w:b/>
          <w:spacing w:val="-7"/>
        </w:rPr>
        <w:t>，</w:t>
      </w:r>
      <w:r>
        <w:rPr>
          <w:spacing w:val="-21"/>
        </w:rPr>
        <w:t xml:space="preserve">为今年 </w:t>
      </w:r>
      <w:r>
        <w:t>4</w:t>
      </w:r>
      <w:r>
        <w:rPr>
          <w:spacing w:val="-10"/>
        </w:rPr>
        <w:t xml:space="preserve"> 名符合条件的职工申报副高级专业技术职称;11 名符合条件的职工申报中级专业技术职称。</w:t>
      </w:r>
    </w:p>
    <w:p>
      <w:pPr>
        <w:pStyle w:val="4"/>
        <w:spacing w:before="5"/>
        <w:ind w:left="760"/>
        <w:rPr>
          <w:rFonts w:hint="eastAsia" w:ascii="黑体" w:eastAsia="黑体"/>
        </w:rPr>
      </w:pPr>
      <w:r>
        <w:rPr>
          <w:rFonts w:hint="eastAsia" w:ascii="黑体" w:eastAsia="黑体"/>
        </w:rPr>
        <w:t>二、机构设置</w:t>
      </w:r>
    </w:p>
    <w:p>
      <w:pPr>
        <w:pStyle w:val="4"/>
        <w:spacing w:before="185" w:line="348" w:lineRule="auto"/>
        <w:ind w:right="420" w:firstLine="640"/>
        <w:jc w:val="both"/>
      </w:pPr>
      <w:r>
        <w:rPr>
          <w:spacing w:val="-1"/>
        </w:rPr>
        <w:t>我单位为自贡市自流井区卫健局所属二级预算单位，单</w:t>
      </w:r>
      <w:r>
        <w:rPr>
          <w:spacing w:val="-3"/>
        </w:rPr>
        <w:t>位性质为财政补助事业单位。纳入本套决算编制范围的独立</w:t>
      </w:r>
      <w:r>
        <w:rPr>
          <w:spacing w:val="-16"/>
        </w:rPr>
        <w:t xml:space="preserve">核算单位共 </w:t>
      </w:r>
      <w:r>
        <w:t>1</w:t>
      </w:r>
      <w:r>
        <w:rPr>
          <w:spacing w:val="-22"/>
        </w:rPr>
        <w:t xml:space="preserve"> 个，本年增减 </w:t>
      </w:r>
      <w:r>
        <w:t>0</w:t>
      </w:r>
      <w:r>
        <w:rPr>
          <w:spacing w:val="-27"/>
        </w:rPr>
        <w:t xml:space="preserve"> 个。</w:t>
      </w:r>
    </w:p>
    <w:p>
      <w:pPr>
        <w:pStyle w:val="2"/>
        <w:spacing w:before="280"/>
        <w:ind w:left="614" w:right="0"/>
        <w:jc w:val="left"/>
      </w:pPr>
      <w:bookmarkStart w:id="4" w:name="_TOC_250002"/>
      <w:bookmarkEnd w:id="4"/>
      <w:r>
        <w:t>第二部分 2020 年度部门决算情况说明</w:t>
      </w:r>
    </w:p>
    <w:p>
      <w:pPr>
        <w:pStyle w:val="4"/>
        <w:spacing w:before="4"/>
        <w:ind w:left="0"/>
        <w:rPr>
          <w:rFonts w:ascii="黑体"/>
          <w:sz w:val="45"/>
        </w:rPr>
      </w:pPr>
    </w:p>
    <w:p>
      <w:pPr>
        <w:pStyle w:val="4"/>
        <w:spacing w:before="1"/>
        <w:ind w:left="760"/>
        <w:rPr>
          <w:rFonts w:hint="eastAsia" w:ascii="黑体" w:eastAsia="黑体"/>
        </w:rPr>
      </w:pPr>
      <w:r>
        <w:rPr>
          <w:rFonts w:hint="eastAsia" w:ascii="黑体" w:eastAsia="黑体"/>
        </w:rPr>
        <w:t>一、收入支出决算总体情况说明</w:t>
      </w:r>
    </w:p>
    <w:p>
      <w:pPr>
        <w:pStyle w:val="4"/>
        <w:spacing w:before="185" w:line="348" w:lineRule="auto"/>
        <w:ind w:right="420" w:firstLine="640"/>
        <w:jc w:val="both"/>
      </w:pPr>
      <w:r>
        <w:t>2020</w:t>
      </w:r>
      <w:r>
        <w:rPr>
          <w:spacing w:val="-16"/>
        </w:rPr>
        <w:t xml:space="preserve"> 年度收、支总计 </w:t>
      </w:r>
      <w:r>
        <w:t>2320.91</w:t>
      </w:r>
      <w:r>
        <w:rPr>
          <w:spacing w:val="-26"/>
        </w:rPr>
        <w:t xml:space="preserve"> 万元。与 </w:t>
      </w:r>
      <w:r>
        <w:t>2019</w:t>
      </w:r>
      <w:r>
        <w:rPr>
          <w:spacing w:val="-15"/>
        </w:rPr>
        <w:t xml:space="preserve"> 年相比， </w:t>
      </w:r>
      <w:r>
        <w:rPr>
          <w:spacing w:val="-16"/>
        </w:rPr>
        <w:t xml:space="preserve">收、支总计各减少 </w:t>
      </w:r>
      <w:r>
        <w:t>2581.79</w:t>
      </w:r>
      <w:r>
        <w:rPr>
          <w:spacing w:val="-30"/>
        </w:rPr>
        <w:t xml:space="preserve"> 万元，下降 </w:t>
      </w:r>
      <w:r>
        <w:t>52.66</w:t>
      </w:r>
      <w:r>
        <w:rPr>
          <w:spacing w:val="-6"/>
        </w:rPr>
        <w:t>%。主要变动原</w:t>
      </w:r>
      <w:r>
        <w:rPr>
          <w:spacing w:val="-7"/>
        </w:rPr>
        <w:t>因是财政资金建设项目主要由主管局牵头承办，故项目资金</w:t>
      </w:r>
    </w:p>
    <w:p>
      <w:pPr>
        <w:spacing w:after="0" w:line="348" w:lineRule="auto"/>
        <w:jc w:val="both"/>
        <w:sectPr>
          <w:pgSz w:w="11910" w:h="16840"/>
          <w:pgMar w:top="1540" w:right="1380" w:bottom="1160" w:left="1680" w:header="0" w:footer="970" w:gutter="0"/>
          <w:cols w:space="720" w:num="1"/>
        </w:sectPr>
      </w:pPr>
    </w:p>
    <w:p>
      <w:pPr>
        <w:pStyle w:val="4"/>
        <w:spacing w:before="38"/>
      </w:pPr>
      <w:r>
        <w:t>追减。</w:t>
      </w:r>
    </w:p>
    <w:p>
      <w:pPr>
        <w:pStyle w:val="4"/>
        <w:spacing w:before="190"/>
        <w:ind w:left="1912"/>
      </w:pPr>
      <w:r>
        <w:t>图 1：收、支决算总计变动情况图</w:t>
      </w:r>
    </w:p>
    <w:p>
      <w:pPr>
        <w:pStyle w:val="4"/>
        <w:spacing w:before="8"/>
        <w:ind w:left="0"/>
        <w:rPr>
          <w:sz w:val="22"/>
        </w:rPr>
      </w:pPr>
      <w:r>
        <w:drawing>
          <wp:anchor distT="0" distB="0" distL="0" distR="0" simplePos="0" relativeHeight="251659264" behindDoc="0" locked="0" layoutInCell="1" allowOverlap="1">
            <wp:simplePos x="0" y="0"/>
            <wp:positionH relativeFrom="page">
              <wp:posOffset>1489075</wp:posOffset>
            </wp:positionH>
            <wp:positionV relativeFrom="paragraph">
              <wp:posOffset>208915</wp:posOffset>
            </wp:positionV>
            <wp:extent cx="4582795" cy="278003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9" cstate="print"/>
                    <a:stretch>
                      <a:fillRect/>
                    </a:stretch>
                  </pic:blipFill>
                  <pic:spPr>
                    <a:xfrm>
                      <a:off x="0" y="0"/>
                      <a:ext cx="4582952" cy="2779776"/>
                    </a:xfrm>
                    <a:prstGeom prst="rect">
                      <a:avLst/>
                    </a:prstGeom>
                  </pic:spPr>
                </pic:pic>
              </a:graphicData>
            </a:graphic>
          </wp:anchor>
        </w:drawing>
      </w:r>
    </w:p>
    <w:p>
      <w:pPr>
        <w:pStyle w:val="4"/>
        <w:spacing w:before="5"/>
        <w:ind w:left="0"/>
        <w:rPr>
          <w:sz w:val="15"/>
        </w:rPr>
      </w:pPr>
    </w:p>
    <w:p>
      <w:pPr>
        <w:pStyle w:val="4"/>
        <w:spacing w:before="54"/>
        <w:ind w:left="760"/>
        <w:rPr>
          <w:rFonts w:hint="eastAsia" w:ascii="黑体" w:eastAsia="黑体"/>
        </w:rPr>
      </w:pPr>
      <w:r>
        <w:rPr>
          <w:rFonts w:hint="eastAsia" w:ascii="黑体" w:eastAsia="黑体"/>
        </w:rPr>
        <w:t>二、收入决算情况说明</w:t>
      </w:r>
    </w:p>
    <w:p>
      <w:pPr>
        <w:pStyle w:val="4"/>
        <w:spacing w:before="185" w:line="348" w:lineRule="auto"/>
        <w:ind w:right="417" w:firstLine="640"/>
        <w:jc w:val="both"/>
      </w:pPr>
      <w:r>
        <w:t>2020</w:t>
      </w:r>
      <w:r>
        <w:rPr>
          <w:spacing w:val="-21"/>
        </w:rPr>
        <w:t xml:space="preserve"> 年本年收入合计 </w:t>
      </w:r>
      <w:r>
        <w:t>2320.91</w:t>
      </w:r>
      <w:r>
        <w:rPr>
          <w:spacing w:val="-19"/>
        </w:rPr>
        <w:t xml:space="preserve"> 万元，其中：一般公共预</w:t>
      </w:r>
      <w:r>
        <w:rPr>
          <w:spacing w:val="-27"/>
        </w:rPr>
        <w:t xml:space="preserve">算财政拨款收入 </w:t>
      </w:r>
      <w:r>
        <w:t>0</w:t>
      </w:r>
      <w:r>
        <w:rPr>
          <w:spacing w:val="-38"/>
        </w:rPr>
        <w:t xml:space="preserve"> 万元，占 </w:t>
      </w:r>
      <w:r>
        <w:rPr>
          <w:spacing w:val="-16"/>
        </w:rPr>
        <w:t>0</w:t>
      </w:r>
      <w:r>
        <w:rPr>
          <w:spacing w:val="-6"/>
        </w:rPr>
        <w:t>%；政府性基金预算财政拨款收</w:t>
      </w:r>
      <w:r>
        <w:rPr>
          <w:spacing w:val="-42"/>
        </w:rPr>
        <w:t xml:space="preserve">入 </w:t>
      </w:r>
      <w:r>
        <w:t>0</w:t>
      </w:r>
      <w:r>
        <w:rPr>
          <w:spacing w:val="-24"/>
        </w:rPr>
        <w:t xml:space="preserve"> 万元，占 </w:t>
      </w:r>
      <w:r>
        <w:rPr>
          <w:spacing w:val="4"/>
        </w:rPr>
        <w:t>0</w:t>
      </w:r>
      <w:r>
        <w:rPr>
          <w:spacing w:val="-5"/>
        </w:rPr>
        <w:t xml:space="preserve">%；上级补助收入 </w:t>
      </w:r>
      <w:r>
        <w:t>0</w:t>
      </w:r>
      <w:r>
        <w:rPr>
          <w:spacing w:val="-23"/>
        </w:rPr>
        <w:t xml:space="preserve"> 万元，占 </w:t>
      </w:r>
      <w:r>
        <w:rPr>
          <w:spacing w:val="4"/>
        </w:rPr>
        <w:t>0%；事业收入2320.91</w:t>
      </w:r>
      <w:r>
        <w:rPr>
          <w:spacing w:val="-33"/>
        </w:rPr>
        <w:t xml:space="preserve"> 万元，占 </w:t>
      </w:r>
      <w:r>
        <w:rPr>
          <w:spacing w:val="-5"/>
        </w:rPr>
        <w:t>100</w:t>
      </w:r>
      <w:r>
        <w:rPr>
          <w:spacing w:val="-15"/>
        </w:rPr>
        <w:t xml:space="preserve">%；经营收入 </w:t>
      </w:r>
      <w:r>
        <w:t>0</w:t>
      </w:r>
      <w:r>
        <w:rPr>
          <w:spacing w:val="-33"/>
        </w:rPr>
        <w:t xml:space="preserve"> 万元，占 </w:t>
      </w:r>
      <w:r>
        <w:rPr>
          <w:spacing w:val="-8"/>
        </w:rPr>
        <w:t>0%</w:t>
      </w:r>
      <w:r>
        <w:rPr>
          <w:spacing w:val="-3"/>
        </w:rPr>
        <w:t>；附属单位</w:t>
      </w:r>
      <w:r>
        <w:rPr>
          <w:spacing w:val="-19"/>
        </w:rPr>
        <w:t xml:space="preserve">上缴收入 </w:t>
      </w:r>
      <w:r>
        <w:t>0</w:t>
      </w:r>
      <w:r>
        <w:rPr>
          <w:spacing w:val="-28"/>
        </w:rPr>
        <w:t xml:space="preserve"> 万元，占 </w:t>
      </w:r>
      <w:r>
        <w:t>0%</w:t>
      </w:r>
      <w:r>
        <w:rPr>
          <w:spacing w:val="-14"/>
        </w:rPr>
        <w:t xml:space="preserve">；其他收入 </w:t>
      </w:r>
      <w:r>
        <w:t>0</w:t>
      </w:r>
      <w:r>
        <w:rPr>
          <w:spacing w:val="-28"/>
        </w:rPr>
        <w:t xml:space="preserve"> 万元，占 </w:t>
      </w:r>
      <w:r>
        <w:t>0%。</w:t>
      </w:r>
    </w:p>
    <w:p>
      <w:pPr>
        <w:pStyle w:val="4"/>
        <w:spacing w:line="368" w:lineRule="exact"/>
        <w:ind w:left="2712"/>
        <w:jc w:val="both"/>
      </w:pPr>
      <w:r>
        <w:t>图 2：收入决算结构图</w:t>
      </w:r>
    </w:p>
    <w:p>
      <w:pPr>
        <w:pStyle w:val="4"/>
        <w:spacing w:before="9"/>
        <w:ind w:left="0"/>
        <w:rPr>
          <w:sz w:val="28"/>
        </w:rPr>
      </w:pPr>
      <w:r>
        <w:drawing>
          <wp:anchor distT="0" distB="0" distL="0" distR="0" simplePos="0" relativeHeight="251660288" behindDoc="0" locked="0" layoutInCell="1" allowOverlap="1">
            <wp:simplePos x="0" y="0"/>
            <wp:positionH relativeFrom="page">
              <wp:posOffset>1570990</wp:posOffset>
            </wp:positionH>
            <wp:positionV relativeFrom="paragraph">
              <wp:posOffset>257810</wp:posOffset>
            </wp:positionV>
            <wp:extent cx="4598670" cy="2145665"/>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10" cstate="print"/>
                    <a:stretch>
                      <a:fillRect/>
                    </a:stretch>
                  </pic:blipFill>
                  <pic:spPr>
                    <a:xfrm>
                      <a:off x="0" y="0"/>
                      <a:ext cx="4598707" cy="2145792"/>
                    </a:xfrm>
                    <a:prstGeom prst="rect">
                      <a:avLst/>
                    </a:prstGeom>
                  </pic:spPr>
                </pic:pic>
              </a:graphicData>
            </a:graphic>
          </wp:anchor>
        </w:drawing>
      </w:r>
    </w:p>
    <w:p>
      <w:pPr>
        <w:spacing w:after="0"/>
        <w:rPr>
          <w:sz w:val="28"/>
        </w:rPr>
        <w:sectPr>
          <w:footerReference r:id="rId6" w:type="default"/>
          <w:pgSz w:w="11910" w:h="16840"/>
          <w:pgMar w:top="1540" w:right="1380" w:bottom="1160" w:left="1680" w:header="0" w:footer="970" w:gutter="0"/>
          <w:pgNumType w:start="10"/>
          <w:cols w:space="720" w:num="1"/>
        </w:sectPr>
      </w:pPr>
    </w:p>
    <w:p>
      <w:pPr>
        <w:pStyle w:val="4"/>
        <w:spacing w:before="38"/>
        <w:ind w:left="760"/>
        <w:rPr>
          <w:rFonts w:hint="eastAsia" w:ascii="黑体" w:eastAsia="黑体"/>
        </w:rPr>
      </w:pPr>
      <w:r>
        <w:rPr>
          <w:rFonts w:hint="eastAsia" w:ascii="黑体" w:eastAsia="黑体"/>
        </w:rPr>
        <w:t>三、支出决算情况说明</w:t>
      </w:r>
    </w:p>
    <w:p>
      <w:pPr>
        <w:pStyle w:val="4"/>
        <w:spacing w:before="187"/>
        <w:ind w:left="760"/>
        <w:jc w:val="both"/>
      </w:pPr>
      <w:r>
        <w:t>2020 年本年支出合计 2320.91 万元，其中：基本支出</w:t>
      </w:r>
    </w:p>
    <w:p>
      <w:pPr>
        <w:pStyle w:val="4"/>
        <w:spacing w:before="186" w:line="348" w:lineRule="auto"/>
        <w:ind w:right="420"/>
        <w:jc w:val="both"/>
      </w:pPr>
      <w:r>
        <w:t>2320.91</w:t>
      </w:r>
      <w:r>
        <w:rPr>
          <w:spacing w:val="-33"/>
        </w:rPr>
        <w:t xml:space="preserve"> 万元，占 </w:t>
      </w:r>
      <w:r>
        <w:rPr>
          <w:spacing w:val="-5"/>
        </w:rPr>
        <w:t>100</w:t>
      </w:r>
      <w:r>
        <w:rPr>
          <w:spacing w:val="-15"/>
        </w:rPr>
        <w:t xml:space="preserve">%；项目支出 </w:t>
      </w:r>
      <w:r>
        <w:t>0</w:t>
      </w:r>
      <w:r>
        <w:rPr>
          <w:spacing w:val="-33"/>
        </w:rPr>
        <w:t xml:space="preserve"> 万元，占 </w:t>
      </w:r>
      <w:r>
        <w:rPr>
          <w:spacing w:val="-8"/>
        </w:rPr>
        <w:t>0%</w:t>
      </w:r>
      <w:r>
        <w:rPr>
          <w:spacing w:val="-3"/>
        </w:rPr>
        <w:t>；上缴上级</w:t>
      </w:r>
      <w:r>
        <w:rPr>
          <w:spacing w:val="-24"/>
        </w:rPr>
        <w:t xml:space="preserve">支出 </w:t>
      </w:r>
      <w:r>
        <w:t>0</w:t>
      </w:r>
      <w:r>
        <w:rPr>
          <w:spacing w:val="-23"/>
        </w:rPr>
        <w:t xml:space="preserve"> 万元，占 </w:t>
      </w:r>
      <w:r>
        <w:rPr>
          <w:spacing w:val="4"/>
        </w:rPr>
        <w:t>0</w:t>
      </w:r>
      <w:r>
        <w:rPr>
          <w:spacing w:val="-8"/>
        </w:rPr>
        <w:t xml:space="preserve">%；经营支出 </w:t>
      </w:r>
      <w:r>
        <w:t>0</w:t>
      </w:r>
      <w:r>
        <w:rPr>
          <w:spacing w:val="-23"/>
        </w:rPr>
        <w:t xml:space="preserve"> 万元，占 </w:t>
      </w:r>
      <w:r>
        <w:rPr>
          <w:spacing w:val="4"/>
        </w:rPr>
        <w:t>0%；对附属单位</w:t>
      </w:r>
      <w:r>
        <w:rPr>
          <w:spacing w:val="-13"/>
        </w:rPr>
        <w:t xml:space="preserve">补助支出 </w:t>
      </w:r>
      <w:r>
        <w:t>0</w:t>
      </w:r>
      <w:r>
        <w:rPr>
          <w:spacing w:val="-28"/>
        </w:rPr>
        <w:t xml:space="preserve"> 万元，占 </w:t>
      </w:r>
      <w:r>
        <w:t>0%。</w:t>
      </w:r>
    </w:p>
    <w:p>
      <w:pPr>
        <w:pStyle w:val="4"/>
        <w:spacing w:before="9"/>
        <w:ind w:left="2712"/>
        <w:jc w:val="both"/>
      </w:pPr>
      <w:r>
        <w:drawing>
          <wp:anchor distT="0" distB="0" distL="0" distR="0" simplePos="0" relativeHeight="251660288" behindDoc="0" locked="0" layoutInCell="1" allowOverlap="1">
            <wp:simplePos x="0" y="0"/>
            <wp:positionH relativeFrom="page">
              <wp:posOffset>1405890</wp:posOffset>
            </wp:positionH>
            <wp:positionV relativeFrom="paragraph">
              <wp:posOffset>327025</wp:posOffset>
            </wp:positionV>
            <wp:extent cx="4607560" cy="275526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1" cstate="print"/>
                    <a:stretch>
                      <a:fillRect/>
                    </a:stretch>
                  </pic:blipFill>
                  <pic:spPr>
                    <a:xfrm>
                      <a:off x="0" y="0"/>
                      <a:ext cx="4607330" cy="2755392"/>
                    </a:xfrm>
                    <a:prstGeom prst="rect">
                      <a:avLst/>
                    </a:prstGeom>
                  </pic:spPr>
                </pic:pic>
              </a:graphicData>
            </a:graphic>
          </wp:anchor>
        </w:drawing>
      </w:r>
      <w:r>
        <w:t>图 3：支出决算结构图</w:t>
      </w:r>
    </w:p>
    <w:p>
      <w:pPr>
        <w:pStyle w:val="4"/>
        <w:spacing w:before="3"/>
        <w:ind w:left="0"/>
        <w:rPr>
          <w:sz w:val="40"/>
        </w:rPr>
      </w:pPr>
    </w:p>
    <w:p>
      <w:pPr>
        <w:pStyle w:val="4"/>
        <w:ind w:left="760"/>
        <w:rPr>
          <w:rFonts w:hint="eastAsia" w:ascii="黑体" w:eastAsia="黑体"/>
        </w:rPr>
      </w:pPr>
      <w:bookmarkStart w:id="5" w:name="四、财政拨款收入支出决算总体情况说明"/>
      <w:bookmarkEnd w:id="5"/>
      <w:r>
        <w:rPr>
          <w:rFonts w:hint="eastAsia" w:ascii="黑体" w:eastAsia="黑体"/>
        </w:rPr>
        <w:t>四、财政拨款收入支出决算总体情况说明</w:t>
      </w:r>
    </w:p>
    <w:p>
      <w:pPr>
        <w:pStyle w:val="4"/>
        <w:spacing w:before="188" w:line="348" w:lineRule="auto"/>
        <w:ind w:right="420" w:firstLine="640"/>
        <w:jc w:val="both"/>
      </w:pPr>
      <w:r>
        <w:t>2020</w:t>
      </w:r>
      <w:r>
        <w:rPr>
          <w:spacing w:val="-14"/>
        </w:rPr>
        <w:t xml:space="preserve"> 年财政拨款收、支总计 </w:t>
      </w:r>
      <w:r>
        <w:t>0</w:t>
      </w:r>
      <w:r>
        <w:rPr>
          <w:spacing w:val="-26"/>
        </w:rPr>
        <w:t xml:space="preserve"> 万元。与 </w:t>
      </w:r>
      <w:r>
        <w:t>2019</w:t>
      </w:r>
      <w:r>
        <w:rPr>
          <w:spacing w:val="-16"/>
        </w:rPr>
        <w:t xml:space="preserve"> 年相比， </w:t>
      </w:r>
      <w:r>
        <w:rPr>
          <w:spacing w:val="-17"/>
        </w:rPr>
        <w:t xml:space="preserve">财政拨款收、支总计各减少 </w:t>
      </w:r>
      <w:r>
        <w:t>1811.40</w:t>
      </w:r>
      <w:r>
        <w:rPr>
          <w:spacing w:val="-30"/>
        </w:rPr>
        <w:t xml:space="preserve"> 万元，下降 </w:t>
      </w:r>
      <w:r>
        <w:t>100</w:t>
      </w:r>
      <w:r>
        <w:rPr>
          <w:spacing w:val="-9"/>
        </w:rPr>
        <w:t>%。主要</w:t>
      </w:r>
      <w:r>
        <w:rPr>
          <w:spacing w:val="-10"/>
        </w:rPr>
        <w:t>变动原因是财政资金建设项目主要由主管局牵头承办，故项目资金追减。</w:t>
      </w:r>
    </w:p>
    <w:p>
      <w:pPr>
        <w:spacing w:after="0" w:line="348" w:lineRule="auto"/>
        <w:jc w:val="both"/>
        <w:sectPr>
          <w:pgSz w:w="11910" w:h="16840"/>
          <w:pgMar w:top="1540" w:right="1380" w:bottom="1160" w:left="1680" w:header="0" w:footer="970" w:gutter="0"/>
          <w:cols w:space="720" w:num="1"/>
        </w:sectPr>
      </w:pPr>
    </w:p>
    <w:p>
      <w:pPr>
        <w:pStyle w:val="4"/>
        <w:spacing w:before="30" w:after="7"/>
        <w:ind w:left="0" w:right="365"/>
        <w:jc w:val="center"/>
      </w:pPr>
      <w:r>
        <w:t>图 4：财政拨款收、支决算总计变动情况</w:t>
      </w:r>
    </w:p>
    <w:p>
      <w:pPr>
        <w:pStyle w:val="4"/>
        <w:ind w:left="742"/>
        <w:rPr>
          <w:sz w:val="20"/>
        </w:rPr>
      </w:pPr>
      <w:r>
        <w:rPr>
          <w:sz w:val="20"/>
        </w:rPr>
        <w:drawing>
          <wp:inline distT="0" distB="0" distL="0" distR="0">
            <wp:extent cx="4582795" cy="2779395"/>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2" cstate="print"/>
                    <a:stretch>
                      <a:fillRect/>
                    </a:stretch>
                  </pic:blipFill>
                  <pic:spPr>
                    <a:xfrm>
                      <a:off x="0" y="0"/>
                      <a:ext cx="4582952" cy="2779776"/>
                    </a:xfrm>
                    <a:prstGeom prst="rect">
                      <a:avLst/>
                    </a:prstGeom>
                  </pic:spPr>
                </pic:pic>
              </a:graphicData>
            </a:graphic>
          </wp:inline>
        </w:drawing>
      </w:r>
    </w:p>
    <w:p>
      <w:pPr>
        <w:pStyle w:val="4"/>
        <w:spacing w:before="197"/>
        <w:ind w:left="760"/>
        <w:rPr>
          <w:rFonts w:hint="eastAsia" w:ascii="黑体" w:eastAsia="黑体"/>
        </w:rPr>
      </w:pPr>
      <w:bookmarkStart w:id="6" w:name="五、一般公共预算财政拨款支出决算情况说明"/>
      <w:bookmarkEnd w:id="6"/>
      <w:r>
        <w:rPr>
          <w:rFonts w:hint="eastAsia" w:ascii="黑体" w:eastAsia="黑体"/>
        </w:rPr>
        <w:t>五、</w:t>
      </w:r>
      <w:r>
        <w:rPr>
          <w:rFonts w:hint="eastAsia" w:ascii="黑体" w:eastAsia="黑体"/>
          <w:b/>
        </w:rPr>
        <w:t>一</w:t>
      </w:r>
      <w:r>
        <w:rPr>
          <w:rFonts w:hint="eastAsia" w:ascii="黑体" w:eastAsia="黑体"/>
        </w:rPr>
        <w:t>般公共预算财政拨款支出决算情况说明</w:t>
      </w:r>
    </w:p>
    <w:p>
      <w:pPr>
        <w:pStyle w:val="3"/>
      </w:pPr>
      <w:bookmarkStart w:id="7" w:name="（一）一般公共预算财政拨款支出决算总体情况"/>
      <w:bookmarkEnd w:id="7"/>
      <w:r>
        <w:t>（一）一般公共预算财政拨款支出决算总体情况</w:t>
      </w:r>
    </w:p>
    <w:p>
      <w:pPr>
        <w:pStyle w:val="4"/>
        <w:spacing w:before="185" w:line="348" w:lineRule="auto"/>
        <w:ind w:right="420" w:firstLine="640"/>
        <w:jc w:val="both"/>
      </w:pPr>
      <w:r>
        <w:t>2020</w:t>
      </w:r>
      <w:r>
        <w:rPr>
          <w:spacing w:val="-15"/>
        </w:rPr>
        <w:t xml:space="preserve"> 年一般公共预算财政拨款支出 </w:t>
      </w:r>
      <w:r>
        <w:t>0</w:t>
      </w:r>
      <w:r>
        <w:rPr>
          <w:spacing w:val="-21"/>
        </w:rPr>
        <w:t xml:space="preserve"> 万元，占本年支出</w:t>
      </w:r>
      <w:r>
        <w:rPr>
          <w:spacing w:val="-9"/>
        </w:rPr>
        <w:t xml:space="preserve">合计的 </w:t>
      </w:r>
      <w:r>
        <w:rPr>
          <w:spacing w:val="9"/>
        </w:rPr>
        <w:t>0</w:t>
      </w:r>
      <w:r>
        <w:rPr>
          <w:spacing w:val="-11"/>
        </w:rPr>
        <w:t xml:space="preserve">%。与 </w:t>
      </w:r>
      <w:r>
        <w:t>2019</w:t>
      </w:r>
      <w:r>
        <w:rPr>
          <w:spacing w:val="6"/>
        </w:rPr>
        <w:t xml:space="preserve"> 年相比，一般公共预算财政拨款减少</w:t>
      </w:r>
      <w:r>
        <w:t>1811.40</w:t>
      </w:r>
      <w:r>
        <w:rPr>
          <w:spacing w:val="-27"/>
        </w:rPr>
        <w:t xml:space="preserve"> 万元，下降 </w:t>
      </w:r>
      <w:r>
        <w:t>100</w:t>
      </w:r>
      <w:r>
        <w:rPr>
          <w:spacing w:val="-3"/>
        </w:rPr>
        <w:t>%。主要变动原因是财政资金建设项目主要由主管局牵头承办，故项目资金追减。</w:t>
      </w:r>
    </w:p>
    <w:p>
      <w:pPr>
        <w:pStyle w:val="4"/>
        <w:spacing w:before="10" w:after="8"/>
        <w:ind w:left="952"/>
        <w:jc w:val="both"/>
      </w:pPr>
      <w:r>
        <w:t>图 5：一般公共预算财政拨款支出决算变动情况</w:t>
      </w:r>
    </w:p>
    <w:p>
      <w:pPr>
        <w:pStyle w:val="4"/>
        <w:ind w:left="569"/>
        <w:rPr>
          <w:sz w:val="20"/>
        </w:rPr>
      </w:pPr>
      <w:r>
        <w:rPr>
          <w:sz w:val="20"/>
        </w:rPr>
        <w:drawing>
          <wp:inline distT="0" distB="0" distL="0" distR="0">
            <wp:extent cx="4607560" cy="2779395"/>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pic:cNvPicPr>
                      <a:picLocks noChangeAspect="1"/>
                    </pic:cNvPicPr>
                  </pic:nvPicPr>
                  <pic:blipFill>
                    <a:blip r:embed="rId13" cstate="print"/>
                    <a:stretch>
                      <a:fillRect/>
                    </a:stretch>
                  </pic:blipFill>
                  <pic:spPr>
                    <a:xfrm>
                      <a:off x="0" y="0"/>
                      <a:ext cx="4607963" cy="2779776"/>
                    </a:xfrm>
                    <a:prstGeom prst="rect">
                      <a:avLst/>
                    </a:prstGeom>
                  </pic:spPr>
                </pic:pic>
              </a:graphicData>
            </a:graphic>
          </wp:inline>
        </w:drawing>
      </w:r>
    </w:p>
    <w:p>
      <w:pPr>
        <w:spacing w:after="0"/>
        <w:rPr>
          <w:sz w:val="20"/>
        </w:rPr>
        <w:sectPr>
          <w:pgSz w:w="11910" w:h="16840"/>
          <w:pgMar w:top="1500" w:right="1380" w:bottom="1160" w:left="1680" w:header="0" w:footer="970" w:gutter="0"/>
          <w:cols w:space="720" w:num="1"/>
        </w:sectPr>
      </w:pPr>
    </w:p>
    <w:p>
      <w:pPr>
        <w:pStyle w:val="3"/>
        <w:spacing w:before="38"/>
      </w:pPr>
      <w:bookmarkStart w:id="8" w:name="（二）一般公共预算财政拨款支出决算结构情况"/>
      <w:bookmarkEnd w:id="8"/>
      <w:r>
        <w:t>（二）一般公共预算财政拨款支出决算结构情况</w:t>
      </w:r>
    </w:p>
    <w:p>
      <w:pPr>
        <w:pStyle w:val="4"/>
        <w:spacing w:before="187" w:line="348" w:lineRule="auto"/>
        <w:ind w:right="417" w:firstLine="640"/>
        <w:jc w:val="both"/>
      </w:pPr>
      <w:r>
        <w:t>2020</w:t>
      </w:r>
      <w:r>
        <w:rPr>
          <w:spacing w:val="-15"/>
        </w:rPr>
        <w:t xml:space="preserve"> 年一般公共预算财政拨款支出 </w:t>
      </w:r>
      <w:r>
        <w:t>0</w:t>
      </w:r>
      <w:r>
        <w:rPr>
          <w:spacing w:val="-21"/>
        </w:rPr>
        <w:t xml:space="preserve"> 万元，主要用于以</w:t>
      </w:r>
      <w:r>
        <w:rPr>
          <w:spacing w:val="-2"/>
        </w:rPr>
        <w:t>下方面:一般公共服务</w:t>
      </w:r>
      <w:r>
        <w:t>（类</w:t>
      </w:r>
      <w:r>
        <w:rPr>
          <w:spacing w:val="5"/>
        </w:rPr>
        <w:t>）</w:t>
      </w:r>
      <w:r>
        <w:rPr>
          <w:spacing w:val="-26"/>
        </w:rPr>
        <w:t xml:space="preserve">支出 </w:t>
      </w:r>
      <w:r>
        <w:t>0</w:t>
      </w:r>
      <w:r>
        <w:rPr>
          <w:spacing w:val="-27"/>
        </w:rPr>
        <w:t xml:space="preserve"> 万元，占 </w:t>
      </w:r>
      <w:r>
        <w:rPr>
          <w:spacing w:val="2"/>
        </w:rPr>
        <w:t>0</w:t>
      </w:r>
      <w:r>
        <w:rPr>
          <w:spacing w:val="1"/>
        </w:rPr>
        <w:t>%；教育支出</w:t>
      </w:r>
    </w:p>
    <w:p>
      <w:pPr>
        <w:pStyle w:val="4"/>
        <w:spacing w:before="2" w:line="348" w:lineRule="auto"/>
        <w:ind w:right="324"/>
        <w:jc w:val="both"/>
      </w:pPr>
      <w:r>
        <w:t>（类）0</w:t>
      </w:r>
      <w:r>
        <w:rPr>
          <w:spacing w:val="-28"/>
        </w:rPr>
        <w:t xml:space="preserve"> 万元，占 </w:t>
      </w:r>
      <w:r>
        <w:t>0%；科学技术（类）</w:t>
      </w:r>
      <w:r>
        <w:rPr>
          <w:spacing w:val="-27"/>
        </w:rPr>
        <w:t xml:space="preserve">支出 </w:t>
      </w:r>
      <w:r>
        <w:t>0</w:t>
      </w:r>
      <w:r>
        <w:rPr>
          <w:spacing w:val="-28"/>
        </w:rPr>
        <w:t xml:space="preserve"> 万元，占 </w:t>
      </w:r>
      <w:r>
        <w:t xml:space="preserve">0%； </w:t>
      </w:r>
      <w:r>
        <w:rPr>
          <w:spacing w:val="-3"/>
        </w:rPr>
        <w:t>文化旅游体育与传媒</w:t>
      </w:r>
      <w:r>
        <w:t>（类</w:t>
      </w:r>
      <w:r>
        <w:rPr>
          <w:spacing w:val="-24"/>
        </w:rPr>
        <w:t>）</w:t>
      </w:r>
      <w:r>
        <w:rPr>
          <w:spacing w:val="-28"/>
        </w:rPr>
        <w:t xml:space="preserve">支出 </w:t>
      </w:r>
      <w:r>
        <w:t>0</w:t>
      </w:r>
      <w:r>
        <w:rPr>
          <w:spacing w:val="-32"/>
        </w:rPr>
        <w:t xml:space="preserve"> 万元，占 </w:t>
      </w:r>
      <w:r>
        <w:rPr>
          <w:spacing w:val="-8"/>
        </w:rPr>
        <w:t>0</w:t>
      </w:r>
      <w:r>
        <w:rPr>
          <w:spacing w:val="-4"/>
        </w:rPr>
        <w:t>%；社会保障和</w:t>
      </w:r>
      <w:r>
        <w:rPr>
          <w:spacing w:val="10"/>
        </w:rPr>
        <w:t>就业</w:t>
      </w:r>
      <w:r>
        <w:rPr>
          <w:spacing w:val="9"/>
        </w:rPr>
        <w:t>（类）</w:t>
      </w:r>
      <w:r>
        <w:rPr>
          <w:spacing w:val="-21"/>
        </w:rPr>
        <w:t xml:space="preserve">支出 </w:t>
      </w:r>
      <w:r>
        <w:t>0</w:t>
      </w:r>
      <w:r>
        <w:rPr>
          <w:spacing w:val="-21"/>
        </w:rPr>
        <w:t xml:space="preserve"> 万元，占 </w:t>
      </w:r>
      <w:r>
        <w:rPr>
          <w:spacing w:val="6"/>
        </w:rPr>
        <w:t>0</w:t>
      </w:r>
      <w:r>
        <w:rPr>
          <w:spacing w:val="-2"/>
        </w:rPr>
        <w:t xml:space="preserve">%；卫生健康支出 </w:t>
      </w:r>
      <w:r>
        <w:t>0</w:t>
      </w:r>
      <w:r>
        <w:rPr>
          <w:spacing w:val="-10"/>
        </w:rPr>
        <w:t xml:space="preserve"> 万元，占0</w:t>
      </w:r>
      <w:r>
        <w:rPr>
          <w:spacing w:val="-18"/>
        </w:rPr>
        <w:t xml:space="preserve">%；住房保障支出 </w:t>
      </w:r>
      <w:r>
        <w:t>0</w:t>
      </w:r>
      <w:r>
        <w:rPr>
          <w:spacing w:val="-28"/>
        </w:rPr>
        <w:t xml:space="preserve"> 万元，占 </w:t>
      </w:r>
      <w:r>
        <w:t>0%；</w:t>
      </w:r>
    </w:p>
    <w:p>
      <w:pPr>
        <w:pStyle w:val="3"/>
        <w:spacing w:before="8"/>
      </w:pPr>
      <w:bookmarkStart w:id="9" w:name="（三）一般公共预算财政拨款支出决算具体情况"/>
      <w:bookmarkEnd w:id="9"/>
      <w:r>
        <w:t>（三）一般公共预算财政拨款支出决算具体情况</w:t>
      </w:r>
    </w:p>
    <w:p>
      <w:pPr>
        <w:pStyle w:val="4"/>
        <w:spacing w:before="185"/>
        <w:ind w:left="760"/>
      </w:pPr>
      <w:r>
        <w:t>2020 年一般公共预算支出决算数为 0 万元，完成预算</w:t>
      </w:r>
    </w:p>
    <w:p>
      <w:pPr>
        <w:pStyle w:val="4"/>
        <w:spacing w:before="2"/>
        <w:ind w:left="0"/>
        <w:rPr>
          <w:sz w:val="10"/>
        </w:rPr>
      </w:pPr>
    </w:p>
    <w:p>
      <w:pPr>
        <w:spacing w:after="0"/>
        <w:rPr>
          <w:sz w:val="10"/>
        </w:rPr>
        <w:sectPr>
          <w:pgSz w:w="11910" w:h="16840"/>
          <w:pgMar w:top="1540" w:right="1380" w:bottom="1160" w:left="1680" w:header="0" w:footer="970" w:gutter="0"/>
          <w:cols w:space="720" w:num="1"/>
        </w:sectPr>
      </w:pPr>
    </w:p>
    <w:p>
      <w:pPr>
        <w:pStyle w:val="4"/>
        <w:spacing w:before="55"/>
      </w:pPr>
      <w:r>
        <w:t>0</w:t>
      </w:r>
      <w:r>
        <w:rPr>
          <w:spacing w:val="-10"/>
        </w:rPr>
        <w:t>%。</w:t>
      </w:r>
    </w:p>
    <w:p>
      <w:pPr>
        <w:pStyle w:val="4"/>
        <w:ind w:left="0"/>
      </w:pPr>
      <w:r>
        <w:br w:type="column"/>
      </w:r>
    </w:p>
    <w:p>
      <w:pPr>
        <w:pStyle w:val="4"/>
        <w:spacing w:before="242"/>
        <w:ind w:left="-38"/>
        <w:rPr>
          <w:rFonts w:hint="eastAsia" w:ascii="黑体" w:eastAsia="黑体"/>
        </w:rPr>
      </w:pPr>
      <w:bookmarkStart w:id="10" w:name="六、一般公共预算财政拨款基本支出决算情况说明"/>
      <w:bookmarkEnd w:id="10"/>
      <w:r>
        <w:rPr>
          <w:rFonts w:hint="eastAsia" w:ascii="黑体" w:eastAsia="黑体"/>
        </w:rPr>
        <w:t>六</w:t>
      </w:r>
      <w:r>
        <w:rPr>
          <w:rFonts w:hint="eastAsia" w:ascii="黑体" w:eastAsia="黑体"/>
          <w:b/>
        </w:rPr>
        <w:t>、一</w:t>
      </w:r>
      <w:r>
        <w:rPr>
          <w:rFonts w:hint="eastAsia" w:ascii="黑体" w:eastAsia="黑体"/>
        </w:rPr>
        <w:t>般公共预算财政拨款基本支出决算情况说明</w:t>
      </w:r>
    </w:p>
    <w:p>
      <w:pPr>
        <w:pStyle w:val="4"/>
        <w:spacing w:before="186"/>
        <w:ind w:left="-33"/>
      </w:pPr>
      <w:r>
        <w:t>2020 年一般公共预算财政拨款基本支出 0 万元，其中：</w:t>
      </w:r>
    </w:p>
    <w:p>
      <w:pPr>
        <w:pStyle w:val="4"/>
        <w:spacing w:before="185"/>
        <w:ind w:left="-33"/>
      </w:pPr>
      <w:r>
        <w:t>人员经费 0 万元，主要包括：基本工资、津贴补贴、奖</w:t>
      </w:r>
    </w:p>
    <w:p>
      <w:pPr>
        <w:spacing w:after="0"/>
        <w:sectPr>
          <w:type w:val="continuous"/>
          <w:pgSz w:w="11910" w:h="16840"/>
          <w:pgMar w:top="1420" w:right="1380" w:bottom="1160" w:left="1680" w:header="720" w:footer="720" w:gutter="0"/>
          <w:cols w:equalWidth="0" w:num="2">
            <w:col w:w="759" w:space="40"/>
            <w:col w:w="8051"/>
          </w:cols>
        </w:sectPr>
      </w:pPr>
    </w:p>
    <w:p>
      <w:pPr>
        <w:pStyle w:val="4"/>
        <w:spacing w:before="5"/>
        <w:ind w:left="0"/>
        <w:rPr>
          <w:sz w:val="10"/>
        </w:rPr>
      </w:pPr>
    </w:p>
    <w:p>
      <w:pPr>
        <w:pStyle w:val="4"/>
        <w:spacing w:before="54" w:line="348" w:lineRule="auto"/>
        <w:ind w:right="259"/>
      </w:pPr>
      <w:r>
        <w:rPr>
          <w:spacing w:val="-4"/>
        </w:rPr>
        <w:t>金、伙食补助费、绩效工资、机关事业单位基本养老保险缴</w:t>
      </w:r>
      <w:r>
        <w:rPr>
          <w:spacing w:val="-15"/>
          <w:w w:val="95"/>
        </w:rPr>
        <w:t xml:space="preserve">费、职业年金缴费、其他社会保障缴费、其他工资福利支出、 </w:t>
      </w:r>
      <w:r>
        <w:rPr>
          <w:spacing w:val="-16"/>
          <w:w w:val="95"/>
        </w:rPr>
        <w:t xml:space="preserve">离休费、退休费、抚恤金、生活补助、医疗费补助、奖励金、 </w:t>
      </w:r>
      <w:r>
        <w:rPr>
          <w:spacing w:val="-16"/>
        </w:rPr>
        <w:t>住房公积金、其他对个人和家庭的补助支出等。</w:t>
      </w:r>
    </w:p>
    <w:p>
      <w:pPr>
        <w:pStyle w:val="4"/>
        <w:spacing w:before="5" w:line="348" w:lineRule="auto"/>
        <w:ind w:right="259" w:firstLine="645"/>
      </w:pPr>
      <w:r>
        <w:rPr>
          <w:spacing w:val="-12"/>
        </w:rPr>
        <w:t xml:space="preserve">日常公用经费 </w:t>
      </w:r>
      <w:r>
        <w:t>0</w:t>
      </w:r>
      <w:r>
        <w:rPr>
          <w:spacing w:val="-10"/>
        </w:rPr>
        <w:t xml:space="preserve"> 万元，主要包括：办公费、印刷费、咨</w:t>
      </w:r>
      <w:r>
        <w:rPr>
          <w:spacing w:val="-15"/>
          <w:w w:val="95"/>
        </w:rPr>
        <w:t xml:space="preserve">询费、手续费、水费、电费、邮电费、取暖费、物业管理费、 </w:t>
      </w:r>
      <w:r>
        <w:rPr>
          <w:spacing w:val="-7"/>
        </w:rPr>
        <w:t>差旅费、因公出国</w:t>
      </w:r>
      <w:r>
        <w:t>（境</w:t>
      </w:r>
      <w:r>
        <w:rPr>
          <w:spacing w:val="-3"/>
        </w:rPr>
        <w:t>）</w:t>
      </w:r>
      <w:r>
        <w:t>费用、维修（护）</w:t>
      </w:r>
      <w:r>
        <w:rPr>
          <w:spacing w:val="-1"/>
        </w:rPr>
        <w:t>费、租赁费、会</w:t>
      </w:r>
      <w:r>
        <w:rPr>
          <w:spacing w:val="-3"/>
        </w:rPr>
        <w:t>议费、培训费、公务接待费、劳务费、委托业务费、工会经费、福利费、公务用车运行维护费、其他交通费、税金及附</w:t>
      </w:r>
      <w:r>
        <w:rPr>
          <w:spacing w:val="-5"/>
        </w:rPr>
        <w:t>加费用、其他商品和服务支出、办公设备购置、专用设备购</w:t>
      </w:r>
    </w:p>
    <w:p>
      <w:pPr>
        <w:spacing w:after="0" w:line="348" w:lineRule="auto"/>
        <w:sectPr>
          <w:type w:val="continuous"/>
          <w:pgSz w:w="11910" w:h="16840"/>
          <w:pgMar w:top="1420" w:right="1380" w:bottom="1160" w:left="1680" w:header="720" w:footer="720" w:gutter="0"/>
          <w:cols w:space="720" w:num="1"/>
        </w:sectPr>
      </w:pPr>
    </w:p>
    <w:p>
      <w:pPr>
        <w:pStyle w:val="4"/>
        <w:spacing w:before="38"/>
      </w:pPr>
      <w:r>
        <w:t>置、信息网络及软件购置更新、其他资本性支出等。</w:t>
      </w:r>
    </w:p>
    <w:p>
      <w:pPr>
        <w:pStyle w:val="4"/>
        <w:spacing w:before="187"/>
        <w:ind w:left="760"/>
        <w:rPr>
          <w:rFonts w:hint="eastAsia" w:ascii="黑体" w:hAnsi="黑体" w:eastAsia="黑体"/>
        </w:rPr>
      </w:pPr>
      <w:bookmarkStart w:id="11" w:name="七、“三公”经费财政拨款支出决算情况说明"/>
      <w:bookmarkEnd w:id="11"/>
      <w:r>
        <w:rPr>
          <w:rFonts w:hint="eastAsia" w:ascii="黑体" w:hAnsi="黑体" w:eastAsia="黑体"/>
        </w:rPr>
        <w:t>七、</w:t>
      </w:r>
      <w:r>
        <w:rPr>
          <w:rFonts w:hint="eastAsia" w:ascii="黑体" w:hAnsi="黑体" w:eastAsia="黑体"/>
          <w:b/>
        </w:rPr>
        <w:t>“</w:t>
      </w:r>
      <w:r>
        <w:rPr>
          <w:rFonts w:hint="eastAsia" w:ascii="黑体" w:hAnsi="黑体" w:eastAsia="黑体"/>
        </w:rPr>
        <w:t>三公”经费财政拨款支出决算情况说明</w:t>
      </w:r>
    </w:p>
    <w:p>
      <w:pPr>
        <w:spacing w:before="186" w:line="348" w:lineRule="auto"/>
        <w:ind w:left="760" w:right="420" w:firstLine="0"/>
        <w:jc w:val="left"/>
        <w:rPr>
          <w:sz w:val="32"/>
        </w:rPr>
      </w:pPr>
      <w:bookmarkStart w:id="12" w:name="（一）“三公”经费财政拨款支出决算总体情况说明"/>
      <w:bookmarkEnd w:id="12"/>
      <w:r>
        <w:rPr>
          <w:b/>
          <w:sz w:val="32"/>
        </w:rPr>
        <w:t>（一）“三公”经费财政拨款支出决算总体情况说明</w:t>
      </w:r>
      <w:r>
        <w:rPr>
          <w:sz w:val="32"/>
        </w:rPr>
        <w:t>2020</w:t>
      </w:r>
      <w:r>
        <w:rPr>
          <w:spacing w:val="-18"/>
          <w:sz w:val="32"/>
        </w:rPr>
        <w:t xml:space="preserve"> 年“三公”经费财政拨款支出决算为 </w:t>
      </w:r>
      <w:r>
        <w:rPr>
          <w:sz w:val="32"/>
        </w:rPr>
        <w:t>0</w:t>
      </w:r>
      <w:r>
        <w:rPr>
          <w:spacing w:val="-20"/>
          <w:sz w:val="32"/>
        </w:rPr>
        <w:t xml:space="preserve"> 万元，完成</w:t>
      </w:r>
    </w:p>
    <w:p>
      <w:pPr>
        <w:pStyle w:val="4"/>
        <w:spacing w:before="4"/>
      </w:pPr>
      <w:r>
        <w:t>预算 0%，决算数与预算数持平。</w:t>
      </w:r>
    </w:p>
    <w:p>
      <w:pPr>
        <w:spacing w:before="185" w:line="348" w:lineRule="auto"/>
        <w:ind w:left="760" w:right="259" w:firstLine="0"/>
        <w:jc w:val="left"/>
        <w:rPr>
          <w:sz w:val="32"/>
        </w:rPr>
      </w:pPr>
      <w:bookmarkStart w:id="13" w:name="（二）“三公”经费财政拨款支出决算具体情况说明"/>
      <w:bookmarkEnd w:id="13"/>
      <w:r>
        <w:rPr>
          <w:b/>
          <w:sz w:val="32"/>
        </w:rPr>
        <w:t>（二）“三公”经费财政拨款支出决算具体情况说明</w:t>
      </w:r>
      <w:r>
        <w:rPr>
          <w:sz w:val="32"/>
        </w:rPr>
        <w:t>2020</w:t>
      </w:r>
      <w:r>
        <w:rPr>
          <w:spacing w:val="-35"/>
          <w:sz w:val="32"/>
        </w:rPr>
        <w:t xml:space="preserve"> 年“三公”经费财政拨款支出决算中，因公出国</w:t>
      </w:r>
      <w:r>
        <w:rPr>
          <w:sz w:val="32"/>
        </w:rPr>
        <w:t>（境）</w:t>
      </w:r>
    </w:p>
    <w:p>
      <w:pPr>
        <w:pStyle w:val="4"/>
        <w:spacing w:before="4" w:line="348" w:lineRule="auto"/>
        <w:ind w:right="420"/>
      </w:pPr>
      <w:r>
        <w:rPr>
          <w:spacing w:val="-14"/>
        </w:rPr>
        <w:t xml:space="preserve">费支出决算 </w:t>
      </w:r>
      <w:r>
        <w:t>0</w:t>
      </w:r>
      <w:r>
        <w:rPr>
          <w:spacing w:val="-37"/>
        </w:rPr>
        <w:t xml:space="preserve"> 万元，占 </w:t>
      </w:r>
      <w:r>
        <w:rPr>
          <w:spacing w:val="-16"/>
        </w:rPr>
        <w:t>0</w:t>
      </w:r>
      <w:r>
        <w:rPr>
          <w:spacing w:val="-6"/>
        </w:rPr>
        <w:t>%；公务用车购置及运行维护费支出</w:t>
      </w:r>
      <w:r>
        <w:rPr>
          <w:spacing w:val="-31"/>
        </w:rPr>
        <w:t xml:space="preserve">决算 </w:t>
      </w:r>
      <w:r>
        <w:t>0</w:t>
      </w:r>
      <w:r>
        <w:rPr>
          <w:spacing w:val="-28"/>
        </w:rPr>
        <w:t xml:space="preserve"> 万元，占 </w:t>
      </w:r>
      <w:r>
        <w:t>0</w:t>
      </w:r>
      <w:r>
        <w:rPr>
          <w:spacing w:val="-7"/>
        </w:rPr>
        <w:t xml:space="preserve">%；公务接待费支出决算 </w:t>
      </w:r>
      <w:r>
        <w:t>0</w:t>
      </w:r>
      <w:r>
        <w:rPr>
          <w:spacing w:val="-28"/>
        </w:rPr>
        <w:t xml:space="preserve"> 万元，占 </w:t>
      </w:r>
      <w:r>
        <w:t>0%。</w:t>
      </w:r>
    </w:p>
    <w:p>
      <w:pPr>
        <w:pStyle w:val="9"/>
        <w:numPr>
          <w:ilvl w:val="0"/>
          <w:numId w:val="3"/>
        </w:numPr>
        <w:tabs>
          <w:tab w:val="left" w:pos="1083"/>
        </w:tabs>
        <w:spacing w:before="1" w:after="0" w:line="350" w:lineRule="auto"/>
        <w:ind w:left="120" w:right="420" w:firstLine="640"/>
        <w:jc w:val="left"/>
        <w:rPr>
          <w:sz w:val="32"/>
        </w:rPr>
      </w:pPr>
      <w:r>
        <w:rPr>
          <w:spacing w:val="-6"/>
          <w:sz w:val="32"/>
        </w:rPr>
        <w:t>因公出国</w:t>
      </w:r>
      <w:r>
        <w:rPr>
          <w:sz w:val="32"/>
        </w:rPr>
        <w:t>（境</w:t>
      </w:r>
      <w:r>
        <w:rPr>
          <w:spacing w:val="-22"/>
          <w:sz w:val="32"/>
        </w:rPr>
        <w:t>）</w:t>
      </w:r>
      <w:r>
        <w:rPr>
          <w:spacing w:val="-18"/>
          <w:sz w:val="32"/>
        </w:rPr>
        <w:t xml:space="preserve">经费支出 </w:t>
      </w:r>
      <w:r>
        <w:rPr>
          <w:sz w:val="32"/>
        </w:rPr>
        <w:t>0</w:t>
      </w:r>
      <w:r>
        <w:rPr>
          <w:spacing w:val="-24"/>
          <w:sz w:val="32"/>
        </w:rPr>
        <w:t xml:space="preserve"> 万元，完成预算 </w:t>
      </w:r>
      <w:r>
        <w:rPr>
          <w:sz w:val="32"/>
        </w:rPr>
        <w:t>0</w:t>
      </w:r>
      <w:r>
        <w:rPr>
          <w:spacing w:val="-6"/>
          <w:sz w:val="32"/>
        </w:rPr>
        <w:t>%。全年</w:t>
      </w:r>
      <w:r>
        <w:rPr>
          <w:sz w:val="32"/>
        </w:rPr>
        <w:t>安排因公出国（境</w:t>
      </w:r>
      <w:r>
        <w:rPr>
          <w:spacing w:val="5"/>
          <w:sz w:val="32"/>
        </w:rPr>
        <w:t>）</w:t>
      </w:r>
      <w:r>
        <w:rPr>
          <w:spacing w:val="-26"/>
          <w:sz w:val="32"/>
        </w:rPr>
        <w:t xml:space="preserve">团组 </w:t>
      </w:r>
      <w:r>
        <w:rPr>
          <w:sz w:val="32"/>
        </w:rPr>
        <w:t>0</w:t>
      </w:r>
      <w:r>
        <w:rPr>
          <w:spacing w:val="-15"/>
          <w:sz w:val="32"/>
        </w:rPr>
        <w:t xml:space="preserve"> 次，出国</w:t>
      </w:r>
      <w:r>
        <w:rPr>
          <w:sz w:val="32"/>
        </w:rPr>
        <w:t>（</w:t>
      </w:r>
      <w:r>
        <w:rPr>
          <w:spacing w:val="5"/>
          <w:sz w:val="32"/>
        </w:rPr>
        <w:t>境</w:t>
      </w:r>
      <w:r>
        <w:rPr>
          <w:sz w:val="32"/>
        </w:rPr>
        <w:t>）0</w:t>
      </w:r>
      <w:r>
        <w:rPr>
          <w:spacing w:val="-12"/>
          <w:sz w:val="32"/>
        </w:rPr>
        <w:t xml:space="preserve"> 人。因公出国</w:t>
      </w:r>
    </w:p>
    <w:p>
      <w:pPr>
        <w:pStyle w:val="4"/>
        <w:spacing w:line="406" w:lineRule="exact"/>
      </w:pPr>
      <w:r>
        <w:t>（境）支出决算与 2019 年决算数持平。</w:t>
      </w:r>
    </w:p>
    <w:p>
      <w:pPr>
        <w:pStyle w:val="9"/>
        <w:numPr>
          <w:ilvl w:val="0"/>
          <w:numId w:val="3"/>
        </w:numPr>
        <w:tabs>
          <w:tab w:val="left" w:pos="1083"/>
        </w:tabs>
        <w:spacing w:before="185" w:after="0" w:line="350" w:lineRule="auto"/>
        <w:ind w:left="120" w:right="259" w:firstLine="640"/>
        <w:jc w:val="left"/>
        <w:rPr>
          <w:sz w:val="32"/>
        </w:rPr>
      </w:pPr>
      <w:r>
        <w:rPr>
          <w:spacing w:val="3"/>
          <w:sz w:val="32"/>
        </w:rPr>
        <w:t>公务用车购置及运行维护费支出</w:t>
      </w:r>
      <w:r>
        <w:rPr>
          <w:sz w:val="32"/>
        </w:rPr>
        <w:t>0</w:t>
      </w:r>
      <w:r>
        <w:rPr>
          <w:spacing w:val="-10"/>
          <w:sz w:val="32"/>
        </w:rPr>
        <w:t xml:space="preserve"> 万元,完成预算</w:t>
      </w:r>
      <w:r>
        <w:rPr>
          <w:sz w:val="32"/>
        </w:rPr>
        <w:t>0%。</w:t>
      </w:r>
      <w:r>
        <w:rPr>
          <w:spacing w:val="-6"/>
          <w:sz w:val="32"/>
        </w:rPr>
        <w:t xml:space="preserve">公务用车购置及运行维护费支出决算与 </w:t>
      </w:r>
      <w:r>
        <w:rPr>
          <w:sz w:val="32"/>
        </w:rPr>
        <w:t>2019</w:t>
      </w:r>
      <w:r>
        <w:rPr>
          <w:spacing w:val="-14"/>
          <w:sz w:val="32"/>
        </w:rPr>
        <w:t xml:space="preserve"> 年决算数持平。</w:t>
      </w:r>
    </w:p>
    <w:p>
      <w:pPr>
        <w:pStyle w:val="4"/>
        <w:spacing w:line="406" w:lineRule="exact"/>
        <w:ind w:left="760"/>
      </w:pPr>
      <w:r>
        <w:t>其中：公务用车购置支出 0 万元。全年按规定更新购置</w:t>
      </w:r>
    </w:p>
    <w:p>
      <w:pPr>
        <w:pStyle w:val="4"/>
        <w:spacing w:before="185"/>
      </w:pPr>
      <w:r>
        <w:rPr>
          <w:spacing w:val="-17"/>
        </w:rPr>
        <w:t xml:space="preserve">公务用车 </w:t>
      </w:r>
      <w:r>
        <w:t>0</w:t>
      </w:r>
      <w:r>
        <w:rPr>
          <w:spacing w:val="-29"/>
        </w:rPr>
        <w:t xml:space="preserve"> 辆，其中：轿车 </w:t>
      </w:r>
      <w:r>
        <w:t>0</w:t>
      </w:r>
      <w:r>
        <w:rPr>
          <w:spacing w:val="-36"/>
        </w:rPr>
        <w:t xml:space="preserve"> 辆、金额 </w:t>
      </w:r>
      <w:r>
        <w:t>0</w:t>
      </w:r>
      <w:r>
        <w:rPr>
          <w:spacing w:val="-27"/>
        </w:rPr>
        <w:t xml:space="preserve"> 万元，越野车 </w:t>
      </w:r>
      <w:r>
        <w:t>0</w:t>
      </w:r>
      <w:r>
        <w:rPr>
          <w:spacing w:val="-28"/>
        </w:rPr>
        <w:t xml:space="preserve"> 辆、</w:t>
      </w:r>
    </w:p>
    <w:p>
      <w:pPr>
        <w:pStyle w:val="4"/>
        <w:spacing w:before="188"/>
      </w:pPr>
      <w:r>
        <w:rPr>
          <w:spacing w:val="-27"/>
        </w:rPr>
        <w:t xml:space="preserve">金额 </w:t>
      </w:r>
      <w:r>
        <w:t>0</w:t>
      </w:r>
      <w:r>
        <w:rPr>
          <w:spacing w:val="-20"/>
        </w:rPr>
        <w:t xml:space="preserve"> 万元，载客汽车 </w:t>
      </w:r>
      <w:r>
        <w:t>0</w:t>
      </w:r>
      <w:r>
        <w:rPr>
          <w:spacing w:val="-28"/>
        </w:rPr>
        <w:t xml:space="preserve"> 辆、金额 </w:t>
      </w:r>
      <w:r>
        <w:t>0</w:t>
      </w:r>
      <w:r>
        <w:rPr>
          <w:spacing w:val="-25"/>
        </w:rPr>
        <w:t xml:space="preserve"> 万元。截至 </w:t>
      </w:r>
      <w:r>
        <w:t>2020</w:t>
      </w:r>
      <w:r>
        <w:rPr>
          <w:spacing w:val="-55"/>
        </w:rPr>
        <w:t xml:space="preserve"> 年 </w:t>
      </w:r>
      <w:r>
        <w:t>12</w:t>
      </w:r>
    </w:p>
    <w:p>
      <w:pPr>
        <w:pStyle w:val="4"/>
        <w:spacing w:before="185"/>
      </w:pPr>
      <w:r>
        <w:rPr>
          <w:spacing w:val="-7"/>
        </w:rPr>
        <w:t xml:space="preserve">月底，单位共有公务用车 </w:t>
      </w:r>
      <w:r>
        <w:t>0</w:t>
      </w:r>
      <w:r>
        <w:rPr>
          <w:spacing w:val="-20"/>
        </w:rPr>
        <w:t xml:space="preserve"> 辆，其中：轿车 </w:t>
      </w:r>
      <w:r>
        <w:t>0</w:t>
      </w:r>
      <w:r>
        <w:rPr>
          <w:spacing w:val="-25"/>
        </w:rPr>
        <w:t xml:space="preserve"> 辆、越野车 </w:t>
      </w:r>
      <w:r>
        <w:t>0</w:t>
      </w:r>
    </w:p>
    <w:p>
      <w:pPr>
        <w:pStyle w:val="4"/>
        <w:spacing w:before="185"/>
      </w:pPr>
      <w:r>
        <w:t>辆、载客汽车 0 辆。</w:t>
      </w:r>
    </w:p>
    <w:p>
      <w:pPr>
        <w:pStyle w:val="4"/>
        <w:spacing w:before="188" w:line="348" w:lineRule="auto"/>
        <w:ind w:right="259" w:firstLine="640"/>
      </w:pPr>
      <w:r>
        <w:rPr>
          <w:spacing w:val="-8"/>
        </w:rPr>
        <w:t xml:space="preserve">公务用车运行维护费支出 </w:t>
      </w:r>
      <w:r>
        <w:t>0</w:t>
      </w:r>
      <w:r>
        <w:rPr>
          <w:spacing w:val="-34"/>
        </w:rPr>
        <w:t xml:space="preserve"> 万元。主要用于</w:t>
      </w:r>
      <w:r>
        <w:t xml:space="preserve">（具体工作） </w:t>
      </w:r>
      <w:r>
        <w:rPr>
          <w:spacing w:val="-3"/>
        </w:rPr>
        <w:t>等所需的公务用车燃料费、维修费、过路过桥费、保险费等支出。</w:t>
      </w:r>
    </w:p>
    <w:p>
      <w:pPr>
        <w:pStyle w:val="9"/>
        <w:numPr>
          <w:ilvl w:val="0"/>
          <w:numId w:val="3"/>
        </w:numPr>
        <w:tabs>
          <w:tab w:val="left" w:pos="1083"/>
        </w:tabs>
        <w:spacing w:before="4" w:after="0" w:line="240" w:lineRule="auto"/>
        <w:ind w:left="1082" w:right="0" w:hanging="323"/>
        <w:jc w:val="left"/>
        <w:rPr>
          <w:sz w:val="32"/>
        </w:rPr>
      </w:pPr>
      <w:r>
        <w:rPr>
          <w:spacing w:val="-11"/>
          <w:sz w:val="32"/>
        </w:rPr>
        <w:t xml:space="preserve">公务接待费支出 </w:t>
      </w:r>
      <w:r>
        <w:rPr>
          <w:sz w:val="32"/>
        </w:rPr>
        <w:t>0</w:t>
      </w:r>
      <w:r>
        <w:rPr>
          <w:spacing w:val="-25"/>
          <w:sz w:val="32"/>
        </w:rPr>
        <w:t xml:space="preserve"> 万元，完成预算 </w:t>
      </w:r>
      <w:r>
        <w:rPr>
          <w:sz w:val="32"/>
        </w:rPr>
        <w:t>0</w:t>
      </w:r>
      <w:r>
        <w:rPr>
          <w:spacing w:val="-7"/>
          <w:sz w:val="32"/>
        </w:rPr>
        <w:t>%。公务接待费支</w:t>
      </w:r>
    </w:p>
    <w:p>
      <w:pPr>
        <w:spacing w:after="0" w:line="240" w:lineRule="auto"/>
        <w:jc w:val="left"/>
        <w:rPr>
          <w:sz w:val="32"/>
        </w:rPr>
        <w:sectPr>
          <w:pgSz w:w="11910" w:h="16840"/>
          <w:pgMar w:top="1540" w:right="1380" w:bottom="1160" w:left="1680" w:header="0" w:footer="970" w:gutter="0"/>
          <w:cols w:space="720" w:num="1"/>
        </w:sectPr>
      </w:pPr>
    </w:p>
    <w:p>
      <w:pPr>
        <w:pStyle w:val="4"/>
        <w:spacing w:before="38"/>
        <w:jc w:val="both"/>
      </w:pPr>
      <w:r>
        <w:t>出决算与 2019 年决算数持平。</w:t>
      </w:r>
    </w:p>
    <w:p>
      <w:pPr>
        <w:pStyle w:val="4"/>
        <w:spacing w:before="187" w:line="348" w:lineRule="auto"/>
        <w:ind w:right="420" w:firstLine="640"/>
        <w:jc w:val="both"/>
      </w:pPr>
      <w:r>
        <w:rPr>
          <w:spacing w:val="-5"/>
        </w:rPr>
        <w:t xml:space="preserve">国内公务接待支出 </w:t>
      </w:r>
      <w:r>
        <w:t>0</w:t>
      </w:r>
      <w:r>
        <w:rPr>
          <w:spacing w:val="-3"/>
        </w:rPr>
        <w:t xml:space="preserve"> 万元，主要用于(执行公务、开展</w:t>
      </w:r>
      <w:r>
        <w:rPr>
          <w:spacing w:val="4"/>
          <w:w w:val="95"/>
        </w:rPr>
        <w:t xml:space="preserve">业务活动开支的交通费、住宿费、用餐费等)。国内公务接 </w:t>
      </w:r>
      <w:r>
        <w:rPr>
          <w:spacing w:val="-41"/>
        </w:rPr>
        <w:t xml:space="preserve">待 </w:t>
      </w:r>
      <w:r>
        <w:t>0</w:t>
      </w:r>
      <w:r>
        <w:rPr>
          <w:spacing w:val="-28"/>
        </w:rPr>
        <w:t xml:space="preserve"> 批次</w:t>
      </w:r>
      <w:r>
        <w:t>，0</w:t>
      </w:r>
      <w:r>
        <w:rPr>
          <w:spacing w:val="-28"/>
        </w:rPr>
        <w:t xml:space="preserve"> 人次</w:t>
      </w:r>
      <w:r>
        <w:t>（不包括陪同人员）</w:t>
      </w:r>
      <w:r>
        <w:rPr>
          <w:spacing w:val="-14"/>
        </w:rPr>
        <w:t xml:space="preserve">，共计支出 </w:t>
      </w:r>
      <w:r>
        <w:t>0</w:t>
      </w:r>
      <w:r>
        <w:rPr>
          <w:spacing w:val="-21"/>
        </w:rPr>
        <w:t xml:space="preserve"> 万元。</w:t>
      </w:r>
    </w:p>
    <w:p>
      <w:pPr>
        <w:pStyle w:val="4"/>
        <w:spacing w:before="5"/>
        <w:ind w:left="760"/>
        <w:jc w:val="both"/>
      </w:pPr>
      <w:r>
        <w:t>外事接待支出 0 万元，外事接待 0 批次，0 人，共计支</w:t>
      </w:r>
    </w:p>
    <w:p>
      <w:pPr>
        <w:pStyle w:val="4"/>
        <w:spacing w:before="185"/>
        <w:jc w:val="both"/>
      </w:pPr>
      <w:r>
        <w:t>出 0 万元。</w:t>
      </w:r>
    </w:p>
    <w:p>
      <w:pPr>
        <w:pStyle w:val="4"/>
        <w:spacing w:before="185" w:line="348" w:lineRule="auto"/>
        <w:ind w:left="760" w:right="1925"/>
        <w:rPr>
          <w:rFonts w:hint="eastAsia" w:ascii="黑体" w:eastAsia="黑体"/>
        </w:rPr>
      </w:pPr>
      <w:bookmarkStart w:id="14" w:name="八、政府性基金预算支出决算情况说明"/>
      <w:bookmarkEnd w:id="14"/>
      <w:r>
        <w:rPr>
          <w:rFonts w:hint="eastAsia" w:ascii="黑体" w:eastAsia="黑体"/>
        </w:rPr>
        <w:t xml:space="preserve">八、政府性基金预算支出决算情况说明 </w:t>
      </w:r>
      <w:r>
        <w:t>2020</w:t>
      </w:r>
      <w:r>
        <w:rPr>
          <w:spacing w:val="-14"/>
        </w:rPr>
        <w:t xml:space="preserve"> 年政府性基金预算拨款支出 </w:t>
      </w:r>
      <w:r>
        <w:t>0</w:t>
      </w:r>
      <w:r>
        <w:rPr>
          <w:spacing w:val="-20"/>
        </w:rPr>
        <w:t xml:space="preserve"> 万元。</w:t>
      </w:r>
      <w:r>
        <w:rPr>
          <w:rFonts w:hint="eastAsia" w:ascii="黑体" w:eastAsia="黑体"/>
          <w:spacing w:val="-20"/>
        </w:rPr>
        <w:t>九、国有资本经营预算支出决算情况说明</w:t>
      </w:r>
      <w:r>
        <w:rPr>
          <w:spacing w:val="-20"/>
        </w:rPr>
        <w:t>2020</w:t>
      </w:r>
      <w:r>
        <w:rPr>
          <w:spacing w:val="-15"/>
        </w:rPr>
        <w:t xml:space="preserve"> 年国有资本经营预算拨款支出 </w:t>
      </w:r>
      <w:r>
        <w:t>0</w:t>
      </w:r>
      <w:r>
        <w:rPr>
          <w:spacing w:val="-21"/>
        </w:rPr>
        <w:t xml:space="preserve"> 万元。</w:t>
      </w:r>
      <w:bookmarkStart w:id="15" w:name="十、其他重要事项的情况说明"/>
      <w:bookmarkEnd w:id="15"/>
      <w:r>
        <w:rPr>
          <w:rFonts w:hint="eastAsia" w:ascii="黑体" w:eastAsia="黑体"/>
          <w:spacing w:val="-21"/>
        </w:rPr>
        <w:t>十</w:t>
      </w:r>
      <w:r>
        <w:rPr>
          <w:rFonts w:hint="eastAsia" w:ascii="黑体" w:eastAsia="黑体"/>
          <w:b/>
          <w:spacing w:val="-21"/>
        </w:rPr>
        <w:t>、</w:t>
      </w:r>
      <w:r>
        <w:rPr>
          <w:rFonts w:hint="eastAsia" w:ascii="黑体" w:eastAsia="黑体"/>
          <w:spacing w:val="-21"/>
        </w:rPr>
        <w:t>其他重要事项的情况说明</w:t>
      </w:r>
    </w:p>
    <w:p>
      <w:pPr>
        <w:pStyle w:val="3"/>
        <w:spacing w:before="9"/>
      </w:pPr>
      <w:bookmarkStart w:id="16" w:name="（一）机关运行经费支出情况"/>
      <w:bookmarkEnd w:id="16"/>
      <w:r>
        <w:rPr>
          <w:w w:val="95"/>
        </w:rPr>
        <w:t>（一）机关运行经费支出情况</w:t>
      </w:r>
    </w:p>
    <w:p>
      <w:pPr>
        <w:pStyle w:val="4"/>
        <w:spacing w:before="185"/>
        <w:ind w:left="760"/>
      </w:pPr>
      <w:r>
        <w:t>自流井区中医院 2020 年无机关运行经费。</w:t>
      </w:r>
    </w:p>
    <w:p>
      <w:pPr>
        <w:pStyle w:val="3"/>
      </w:pPr>
      <w:bookmarkStart w:id="17" w:name="（二）政府采购支出情况"/>
      <w:bookmarkEnd w:id="17"/>
      <w:r>
        <w:t>（二）政府采购支出情况</w:t>
      </w:r>
    </w:p>
    <w:p>
      <w:pPr>
        <w:pStyle w:val="4"/>
        <w:spacing w:before="185"/>
        <w:ind w:left="760"/>
      </w:pPr>
      <w:r>
        <w:t>2020</w:t>
      </w:r>
      <w:r>
        <w:rPr>
          <w:spacing w:val="-17"/>
        </w:rPr>
        <w:t xml:space="preserve"> 年，自流井区中医院政府采购支出总额</w:t>
      </w:r>
      <w:r>
        <w:t>94.59</w:t>
      </w:r>
      <w:r>
        <w:rPr>
          <w:spacing w:val="-29"/>
        </w:rPr>
        <w:t xml:space="preserve"> 万元，</w:t>
      </w:r>
    </w:p>
    <w:p>
      <w:pPr>
        <w:pStyle w:val="4"/>
        <w:spacing w:before="185"/>
        <w:jc w:val="both"/>
      </w:pPr>
      <w:r>
        <w:t>其中：政府采购货物支出 94.59 万元、政府采购工程支出 0</w:t>
      </w:r>
    </w:p>
    <w:p>
      <w:pPr>
        <w:pStyle w:val="4"/>
        <w:spacing w:before="188"/>
        <w:jc w:val="both"/>
      </w:pPr>
      <w:r>
        <w:t>万元、政府采购服务支出 0 万元。主要用于医院信息化项目</w:t>
      </w:r>
    </w:p>
    <w:p>
      <w:pPr>
        <w:pStyle w:val="4"/>
        <w:spacing w:before="185" w:line="348" w:lineRule="auto"/>
        <w:ind w:right="417"/>
        <w:jc w:val="both"/>
      </w:pPr>
      <w:r>
        <w:rPr>
          <w:spacing w:val="-8"/>
        </w:rPr>
        <w:t xml:space="preserve">建设、疫情防控医疗设备建设。授予中小企业合同金额 </w:t>
      </w:r>
      <w:r>
        <w:t>0</w:t>
      </w:r>
      <w:r>
        <w:rPr>
          <w:spacing w:val="-43"/>
        </w:rPr>
        <w:t xml:space="preserve"> 万</w:t>
      </w:r>
      <w:r>
        <w:rPr>
          <w:spacing w:val="-16"/>
        </w:rPr>
        <w:t xml:space="preserve">元，占政府采购支出总额的 </w:t>
      </w:r>
      <w:r>
        <w:rPr>
          <w:spacing w:val="-10"/>
        </w:rPr>
        <w:t>0</w:t>
      </w:r>
      <w:r>
        <w:rPr>
          <w:spacing w:val="-8"/>
        </w:rPr>
        <w:t>%，其中：授予小微企业合同金</w:t>
      </w:r>
      <w:r>
        <w:rPr>
          <w:spacing w:val="-44"/>
        </w:rPr>
        <w:t xml:space="preserve">额 </w:t>
      </w:r>
      <w:r>
        <w:t>0</w:t>
      </w:r>
      <w:r>
        <w:rPr>
          <w:spacing w:val="-15"/>
        </w:rPr>
        <w:t xml:space="preserve"> 万元，占政府采购支出总额的 </w:t>
      </w:r>
      <w:r>
        <w:t>0%。</w:t>
      </w:r>
    </w:p>
    <w:p>
      <w:pPr>
        <w:pStyle w:val="3"/>
        <w:spacing w:before="4"/>
      </w:pPr>
      <w:bookmarkStart w:id="18" w:name="（三）国有资产占有使用情况"/>
      <w:bookmarkEnd w:id="18"/>
      <w:r>
        <w:t>（三）国有资产占有使用情况</w:t>
      </w:r>
    </w:p>
    <w:p>
      <w:pPr>
        <w:pStyle w:val="4"/>
        <w:spacing w:before="185" w:line="350" w:lineRule="auto"/>
        <w:ind w:right="420" w:firstLine="640"/>
      </w:pPr>
      <w:r>
        <w:t xml:space="preserve">截至2020年12月31日，自流井区中医院共有车辆4辆， </w:t>
      </w:r>
      <w:r>
        <w:rPr>
          <w:w w:val="95"/>
        </w:rPr>
        <w:t>其中：特种专业技术用车4辆，单价50万元以上通用设备0台</w:t>
      </w:r>
    </w:p>
    <w:p>
      <w:pPr>
        <w:spacing w:after="0" w:line="350" w:lineRule="auto"/>
        <w:sectPr>
          <w:pgSz w:w="11910" w:h="16840"/>
          <w:pgMar w:top="1540" w:right="1380" w:bottom="1160" w:left="1680" w:header="0" w:footer="970" w:gutter="0"/>
          <w:cols w:space="720" w:num="1"/>
        </w:sectPr>
      </w:pPr>
    </w:p>
    <w:p>
      <w:pPr>
        <w:pStyle w:val="4"/>
        <w:spacing w:before="38"/>
      </w:pPr>
      <w:r>
        <w:t>（套），单价100万元以上专用设备0台（套）。</w:t>
      </w:r>
    </w:p>
    <w:p>
      <w:pPr>
        <w:pStyle w:val="3"/>
        <w:spacing w:before="187"/>
      </w:pPr>
      <w:bookmarkStart w:id="19" w:name="（四）预算绩效管理情况。"/>
      <w:bookmarkEnd w:id="19"/>
      <w:r>
        <w:rPr>
          <w:w w:val="95"/>
        </w:rPr>
        <w:t>（四）预算绩效管理情况。</w:t>
      </w:r>
    </w:p>
    <w:p>
      <w:pPr>
        <w:pStyle w:val="4"/>
        <w:spacing w:before="186" w:line="348" w:lineRule="auto"/>
        <w:ind w:right="417" w:firstLine="640"/>
      </w:pPr>
      <w:r>
        <w:rPr>
          <w:spacing w:val="13"/>
          <w:w w:val="95"/>
        </w:rPr>
        <w:t xml:space="preserve">自流井区中医院在决算中一般公共预算财政收支决算 </w:t>
      </w:r>
      <w:r>
        <w:rPr>
          <w:spacing w:val="-18"/>
        </w:rPr>
        <w:t xml:space="preserve">数为 </w:t>
      </w:r>
      <w:r>
        <w:t>0</w:t>
      </w:r>
      <w:r>
        <w:rPr>
          <w:spacing w:val="-10"/>
        </w:rPr>
        <w:t xml:space="preserve"> 万元，无区级资金项目。</w:t>
      </w:r>
    </w:p>
    <w:p>
      <w:pPr>
        <w:pStyle w:val="4"/>
        <w:spacing w:before="9"/>
        <w:ind w:left="0"/>
        <w:rPr>
          <w:sz w:val="46"/>
        </w:rPr>
      </w:pPr>
    </w:p>
    <w:p>
      <w:pPr>
        <w:pStyle w:val="2"/>
        <w:ind w:left="2067"/>
      </w:pPr>
      <w:bookmarkStart w:id="20" w:name="_TOC_250001"/>
      <w:bookmarkEnd w:id="20"/>
      <w:r>
        <w:t>第三部分 名词解释</w:t>
      </w:r>
    </w:p>
    <w:p>
      <w:pPr>
        <w:pStyle w:val="4"/>
        <w:spacing w:before="6"/>
        <w:ind w:left="0"/>
        <w:rPr>
          <w:rFonts w:ascii="黑体"/>
          <w:sz w:val="58"/>
        </w:rPr>
      </w:pPr>
    </w:p>
    <w:p>
      <w:pPr>
        <w:pStyle w:val="9"/>
        <w:numPr>
          <w:ilvl w:val="0"/>
          <w:numId w:val="4"/>
        </w:numPr>
        <w:tabs>
          <w:tab w:val="left" w:pos="1083"/>
        </w:tabs>
        <w:spacing w:before="0" w:after="0" w:line="348" w:lineRule="auto"/>
        <w:ind w:left="120" w:right="420" w:firstLine="640"/>
        <w:jc w:val="left"/>
        <w:rPr>
          <w:sz w:val="32"/>
        </w:rPr>
      </w:pPr>
      <w:r>
        <w:rPr>
          <w:spacing w:val="-3"/>
          <w:w w:val="95"/>
          <w:sz w:val="32"/>
        </w:rPr>
        <w:t xml:space="preserve">财政拨款收入：指单位从同级财政部门取得的财政预 </w:t>
      </w:r>
      <w:r>
        <w:rPr>
          <w:spacing w:val="-3"/>
          <w:sz w:val="32"/>
        </w:rPr>
        <w:t>算资金。</w:t>
      </w:r>
    </w:p>
    <w:p>
      <w:pPr>
        <w:pStyle w:val="9"/>
        <w:numPr>
          <w:ilvl w:val="0"/>
          <w:numId w:val="4"/>
        </w:numPr>
        <w:tabs>
          <w:tab w:val="left" w:pos="1083"/>
        </w:tabs>
        <w:spacing w:before="2" w:after="0" w:line="350" w:lineRule="auto"/>
        <w:ind w:left="120" w:right="417" w:firstLine="640"/>
        <w:jc w:val="left"/>
        <w:rPr>
          <w:sz w:val="32"/>
        </w:rPr>
      </w:pPr>
      <w:r>
        <w:rPr>
          <w:spacing w:val="-3"/>
          <w:w w:val="95"/>
          <w:sz w:val="32"/>
        </w:rPr>
        <w:t xml:space="preserve">事业收入：指事业单位开展专业业务活动及辅助活动 </w:t>
      </w:r>
      <w:r>
        <w:rPr>
          <w:spacing w:val="-3"/>
          <w:sz w:val="32"/>
        </w:rPr>
        <w:t>取得的收入。</w:t>
      </w:r>
    </w:p>
    <w:p>
      <w:pPr>
        <w:pStyle w:val="9"/>
        <w:numPr>
          <w:ilvl w:val="0"/>
          <w:numId w:val="4"/>
        </w:numPr>
        <w:tabs>
          <w:tab w:val="left" w:pos="1083"/>
        </w:tabs>
        <w:spacing w:before="0" w:after="0" w:line="348" w:lineRule="auto"/>
        <w:ind w:left="120" w:right="417" w:firstLine="640"/>
        <w:jc w:val="left"/>
        <w:rPr>
          <w:sz w:val="32"/>
        </w:rPr>
      </w:pPr>
      <w:r>
        <w:rPr>
          <w:spacing w:val="-3"/>
          <w:w w:val="95"/>
          <w:sz w:val="32"/>
        </w:rPr>
        <w:t xml:space="preserve">经营收入：指事业单位在专业业务活动及其辅助活动 </w:t>
      </w:r>
      <w:r>
        <w:rPr>
          <w:spacing w:val="-3"/>
          <w:sz w:val="32"/>
        </w:rPr>
        <w:t>之外开展非独立核算经营活动取得的收入。</w:t>
      </w:r>
    </w:p>
    <w:p>
      <w:pPr>
        <w:pStyle w:val="9"/>
        <w:numPr>
          <w:ilvl w:val="0"/>
          <w:numId w:val="4"/>
        </w:numPr>
        <w:tabs>
          <w:tab w:val="left" w:pos="1083"/>
        </w:tabs>
        <w:spacing w:before="0" w:after="0" w:line="240" w:lineRule="auto"/>
        <w:ind w:left="1082" w:right="0" w:hanging="323"/>
        <w:jc w:val="left"/>
        <w:rPr>
          <w:sz w:val="32"/>
        </w:rPr>
      </w:pPr>
      <w:r>
        <w:rPr>
          <w:spacing w:val="-3"/>
          <w:sz w:val="32"/>
        </w:rPr>
        <w:t>其他收入：指单位取得的除上述收入以外的各项收入。</w:t>
      </w:r>
    </w:p>
    <w:p>
      <w:pPr>
        <w:pStyle w:val="9"/>
        <w:numPr>
          <w:ilvl w:val="0"/>
          <w:numId w:val="4"/>
        </w:numPr>
        <w:tabs>
          <w:tab w:val="left" w:pos="1083"/>
        </w:tabs>
        <w:spacing w:before="184" w:after="0" w:line="348" w:lineRule="auto"/>
        <w:ind w:left="120" w:right="417" w:firstLine="640"/>
        <w:jc w:val="both"/>
        <w:rPr>
          <w:sz w:val="32"/>
        </w:rPr>
      </w:pPr>
      <w:r>
        <w:rPr>
          <w:spacing w:val="-2"/>
          <w:sz w:val="32"/>
        </w:rPr>
        <w:t>用事业基金弥补收支差额：指事业单位在当年的财政</w:t>
      </w:r>
      <w:r>
        <w:rPr>
          <w:spacing w:val="-4"/>
          <w:w w:val="95"/>
          <w:sz w:val="32"/>
        </w:rPr>
        <w:t xml:space="preserve">拨款收入、事业收入、经营收入、其他收入不足以安排当年 </w:t>
      </w:r>
      <w:r>
        <w:rPr>
          <w:spacing w:val="-5"/>
          <w:w w:val="95"/>
          <w:sz w:val="32"/>
        </w:rPr>
        <w:t>支出的情况下，使用以前年度积累的事业基金</w:t>
      </w:r>
      <w:r>
        <w:rPr>
          <w:w w:val="95"/>
          <w:sz w:val="32"/>
        </w:rPr>
        <w:t xml:space="preserve">（事业单位当 </w:t>
      </w:r>
      <w:r>
        <w:rPr>
          <w:spacing w:val="-1"/>
          <w:sz w:val="32"/>
        </w:rPr>
        <w:t>年收支相抵后按国家规定提取、用于弥补以后年度收支差额的基金）弥补本年度收支缺口的资金。</w:t>
      </w:r>
    </w:p>
    <w:p>
      <w:pPr>
        <w:pStyle w:val="9"/>
        <w:numPr>
          <w:ilvl w:val="0"/>
          <w:numId w:val="4"/>
        </w:numPr>
        <w:tabs>
          <w:tab w:val="left" w:pos="1083"/>
        </w:tabs>
        <w:spacing w:before="9" w:after="0" w:line="348" w:lineRule="auto"/>
        <w:ind w:left="120" w:right="420" w:firstLine="640"/>
        <w:jc w:val="left"/>
        <w:rPr>
          <w:sz w:val="32"/>
        </w:rPr>
      </w:pPr>
      <w:r>
        <w:rPr>
          <w:spacing w:val="-2"/>
          <w:w w:val="95"/>
          <w:sz w:val="32"/>
        </w:rPr>
        <w:t xml:space="preserve">年初结转和结余：指以前年度尚未完成、结转到本年 </w:t>
      </w:r>
      <w:r>
        <w:rPr>
          <w:spacing w:val="-2"/>
          <w:sz w:val="32"/>
        </w:rPr>
        <w:t>按有关规定继续使用的资金。</w:t>
      </w:r>
    </w:p>
    <w:p>
      <w:pPr>
        <w:pStyle w:val="9"/>
        <w:numPr>
          <w:ilvl w:val="0"/>
          <w:numId w:val="4"/>
        </w:numPr>
        <w:tabs>
          <w:tab w:val="left" w:pos="1083"/>
        </w:tabs>
        <w:spacing w:before="1" w:after="0" w:line="350" w:lineRule="auto"/>
        <w:ind w:left="120" w:right="417" w:firstLine="640"/>
        <w:jc w:val="left"/>
        <w:rPr>
          <w:sz w:val="32"/>
        </w:rPr>
      </w:pPr>
      <w:r>
        <w:rPr>
          <w:spacing w:val="-3"/>
          <w:w w:val="95"/>
          <w:sz w:val="32"/>
        </w:rPr>
        <w:t xml:space="preserve">结余分配：指事业单位按照事业单位会计制度的规定 </w:t>
      </w:r>
      <w:r>
        <w:rPr>
          <w:spacing w:val="-3"/>
          <w:sz w:val="32"/>
        </w:rPr>
        <w:t>从非财政补助结余中分配的事业基金和职工福利基金等。</w:t>
      </w:r>
    </w:p>
    <w:p>
      <w:pPr>
        <w:spacing w:after="0" w:line="350" w:lineRule="auto"/>
        <w:jc w:val="left"/>
        <w:rPr>
          <w:sz w:val="32"/>
        </w:rPr>
        <w:sectPr>
          <w:pgSz w:w="11910" w:h="16840"/>
          <w:pgMar w:top="1540" w:right="1380" w:bottom="1160" w:left="1680" w:header="0" w:footer="970" w:gutter="0"/>
          <w:cols w:space="720" w:num="1"/>
        </w:sectPr>
      </w:pPr>
    </w:p>
    <w:p>
      <w:pPr>
        <w:pStyle w:val="9"/>
        <w:numPr>
          <w:ilvl w:val="0"/>
          <w:numId w:val="4"/>
        </w:numPr>
        <w:tabs>
          <w:tab w:val="left" w:pos="1080"/>
        </w:tabs>
        <w:spacing w:before="38" w:after="0" w:line="350" w:lineRule="auto"/>
        <w:ind w:left="120" w:right="417" w:firstLine="640"/>
        <w:jc w:val="left"/>
        <w:rPr>
          <w:sz w:val="32"/>
        </w:rPr>
      </w:pPr>
      <w:r>
        <w:rPr>
          <w:spacing w:val="-2"/>
          <w:sz w:val="32"/>
        </w:rPr>
        <w:t>年末结转和结余：指单位按有关规定结转到下年或以后年度继续使用的资金。</w:t>
      </w:r>
    </w:p>
    <w:p>
      <w:pPr>
        <w:pStyle w:val="9"/>
        <w:numPr>
          <w:ilvl w:val="0"/>
          <w:numId w:val="4"/>
        </w:numPr>
        <w:tabs>
          <w:tab w:val="left" w:pos="1080"/>
        </w:tabs>
        <w:spacing w:before="0" w:after="0" w:line="348" w:lineRule="auto"/>
        <w:ind w:left="120" w:right="420" w:firstLine="640"/>
        <w:jc w:val="both"/>
        <w:rPr>
          <w:sz w:val="32"/>
        </w:rPr>
      </w:pPr>
      <w:r>
        <w:rPr>
          <w:spacing w:val="-1"/>
          <w:w w:val="95"/>
          <w:sz w:val="32"/>
        </w:rPr>
        <w:t>社会保障和就业</w:t>
      </w:r>
      <w:r>
        <w:rPr>
          <w:w w:val="95"/>
          <w:sz w:val="32"/>
        </w:rPr>
        <w:t>（类</w:t>
      </w:r>
      <w:r>
        <w:rPr>
          <w:spacing w:val="-3"/>
          <w:w w:val="95"/>
          <w:sz w:val="32"/>
        </w:rPr>
        <w:t>）</w:t>
      </w:r>
      <w:r>
        <w:rPr>
          <w:spacing w:val="-1"/>
          <w:w w:val="95"/>
          <w:sz w:val="32"/>
        </w:rPr>
        <w:t>行政事业单位离退休</w:t>
      </w:r>
      <w:r>
        <w:rPr>
          <w:w w:val="95"/>
          <w:sz w:val="32"/>
        </w:rPr>
        <w:t>（款</w:t>
      </w:r>
      <w:r>
        <w:rPr>
          <w:spacing w:val="-3"/>
          <w:w w:val="95"/>
          <w:sz w:val="32"/>
        </w:rPr>
        <w:t>）</w:t>
      </w:r>
      <w:r>
        <w:rPr>
          <w:w w:val="95"/>
          <w:sz w:val="32"/>
        </w:rPr>
        <w:t xml:space="preserve">事 </w:t>
      </w:r>
      <w:r>
        <w:rPr>
          <w:spacing w:val="-2"/>
          <w:sz w:val="32"/>
        </w:rPr>
        <w:t>业单位离退休</w:t>
      </w:r>
      <w:r>
        <w:rPr>
          <w:sz w:val="32"/>
        </w:rPr>
        <w:t>（项</w:t>
      </w:r>
      <w:r>
        <w:rPr>
          <w:spacing w:val="-4"/>
          <w:sz w:val="32"/>
        </w:rPr>
        <w:t>）: 指归口管理事业单位离退休方面的支出。</w:t>
      </w:r>
    </w:p>
    <w:p>
      <w:pPr>
        <w:pStyle w:val="9"/>
        <w:numPr>
          <w:ilvl w:val="0"/>
          <w:numId w:val="4"/>
        </w:numPr>
        <w:tabs>
          <w:tab w:val="left" w:pos="1241"/>
        </w:tabs>
        <w:spacing w:before="0" w:after="0" w:line="348" w:lineRule="auto"/>
        <w:ind w:left="120" w:right="420" w:firstLine="640"/>
        <w:jc w:val="left"/>
        <w:rPr>
          <w:sz w:val="32"/>
        </w:rPr>
      </w:pPr>
      <w:r>
        <w:rPr>
          <w:sz w:val="32"/>
        </w:rPr>
        <w:t xml:space="preserve">社会保障和就业（类）行政事业单位离退休（款） </w:t>
      </w:r>
      <w:r>
        <w:rPr>
          <w:spacing w:val="-1"/>
          <w:sz w:val="32"/>
        </w:rPr>
        <w:t>机关事业单位职业年金缴费支出</w:t>
      </w:r>
      <w:r>
        <w:rPr>
          <w:sz w:val="32"/>
        </w:rPr>
        <w:t>（项</w:t>
      </w:r>
      <w:r>
        <w:rPr>
          <w:spacing w:val="-3"/>
          <w:sz w:val="32"/>
        </w:rPr>
        <w:t>）</w:t>
      </w:r>
      <w:r>
        <w:rPr>
          <w:spacing w:val="-4"/>
          <w:sz w:val="32"/>
        </w:rPr>
        <w:t>: 指机关事业单位实施养老保险制度由单位缴纳的职业年金的支出。</w:t>
      </w:r>
    </w:p>
    <w:p>
      <w:pPr>
        <w:pStyle w:val="9"/>
        <w:numPr>
          <w:ilvl w:val="0"/>
          <w:numId w:val="4"/>
        </w:numPr>
        <w:tabs>
          <w:tab w:val="left" w:pos="1241"/>
        </w:tabs>
        <w:spacing w:before="5" w:after="0" w:line="240" w:lineRule="auto"/>
        <w:ind w:left="1240" w:right="0" w:hanging="481"/>
        <w:jc w:val="left"/>
        <w:rPr>
          <w:sz w:val="32"/>
        </w:rPr>
      </w:pPr>
      <w:r>
        <w:rPr>
          <w:sz w:val="32"/>
        </w:rPr>
        <w:t>卫生健康（类）公立医院（款）中医（民族）医院</w:t>
      </w:r>
    </w:p>
    <w:p>
      <w:pPr>
        <w:pStyle w:val="4"/>
        <w:spacing w:before="185" w:line="350" w:lineRule="auto"/>
        <w:ind w:right="375"/>
      </w:pPr>
      <w:r>
        <w:t>（项）: 指卫生健康、中医部门所属的中医院、中西医结合医院、民族医院的支出。</w:t>
      </w:r>
    </w:p>
    <w:p>
      <w:pPr>
        <w:pStyle w:val="9"/>
        <w:numPr>
          <w:ilvl w:val="0"/>
          <w:numId w:val="4"/>
        </w:numPr>
        <w:tabs>
          <w:tab w:val="left" w:pos="1241"/>
        </w:tabs>
        <w:spacing w:before="0" w:after="0" w:line="348" w:lineRule="auto"/>
        <w:ind w:left="120" w:right="564" w:firstLine="640"/>
        <w:jc w:val="left"/>
        <w:rPr>
          <w:sz w:val="32"/>
        </w:rPr>
      </w:pPr>
      <w:r>
        <w:rPr>
          <w:sz w:val="32"/>
        </w:rPr>
        <w:t>卫生健康（类）基层医疗卫生机构（款）城市社区卫生机构（项）: 指用于城市社区卫生机构的支出。</w:t>
      </w:r>
    </w:p>
    <w:p>
      <w:pPr>
        <w:pStyle w:val="9"/>
        <w:numPr>
          <w:ilvl w:val="0"/>
          <w:numId w:val="4"/>
        </w:numPr>
        <w:tabs>
          <w:tab w:val="left" w:pos="1241"/>
        </w:tabs>
        <w:spacing w:before="0" w:after="0" w:line="240" w:lineRule="auto"/>
        <w:ind w:left="1240" w:right="0" w:hanging="481"/>
        <w:jc w:val="left"/>
        <w:rPr>
          <w:sz w:val="32"/>
        </w:rPr>
      </w:pPr>
      <w:r>
        <w:rPr>
          <w:sz w:val="32"/>
        </w:rPr>
        <w:t>卫生健康（类）公共卫生（款）基本公共卫生服务</w:t>
      </w:r>
    </w:p>
    <w:p>
      <w:pPr>
        <w:pStyle w:val="4"/>
        <w:spacing w:before="184"/>
      </w:pPr>
      <w:r>
        <w:t>（项）: 指基本公共卫生服务支出。</w:t>
      </w:r>
    </w:p>
    <w:p>
      <w:pPr>
        <w:pStyle w:val="9"/>
        <w:numPr>
          <w:ilvl w:val="0"/>
          <w:numId w:val="4"/>
        </w:numPr>
        <w:tabs>
          <w:tab w:val="left" w:pos="1241"/>
        </w:tabs>
        <w:spacing w:before="185" w:after="0" w:line="240" w:lineRule="auto"/>
        <w:ind w:left="1240" w:right="0" w:hanging="481"/>
        <w:jc w:val="left"/>
        <w:rPr>
          <w:sz w:val="32"/>
        </w:rPr>
      </w:pPr>
      <w:r>
        <w:rPr>
          <w:sz w:val="32"/>
        </w:rPr>
        <w:t>卫生健康（类）公共卫生（款）重大公共卫生专项</w:t>
      </w:r>
    </w:p>
    <w:p>
      <w:pPr>
        <w:pStyle w:val="4"/>
        <w:spacing w:before="188" w:line="348" w:lineRule="auto"/>
        <w:ind w:left="760" w:right="56" w:hanging="641"/>
      </w:pPr>
      <w:r>
        <w:t>（项）: 指重大疾病预防控制等重大公共卫生服务项目支出。15.卫生健康（类）公共卫生（款）其他公共卫生支出</w:t>
      </w:r>
    </w:p>
    <w:p>
      <w:pPr>
        <w:pStyle w:val="4"/>
        <w:spacing w:before="1" w:line="350" w:lineRule="auto"/>
        <w:ind w:right="420"/>
      </w:pPr>
      <w:r>
        <w:t>（项</w:t>
      </w:r>
      <w:r>
        <w:rPr>
          <w:spacing w:val="-8"/>
        </w:rPr>
        <w:t>）</w:t>
      </w:r>
      <w:r>
        <w:rPr>
          <w:spacing w:val="-4"/>
        </w:rPr>
        <w:t>: 指除基本公共卫生和重大公共卫生服务项目支出以外的其他用于公共卫生方面的支出。</w:t>
      </w:r>
    </w:p>
    <w:p>
      <w:pPr>
        <w:pStyle w:val="9"/>
        <w:numPr>
          <w:ilvl w:val="0"/>
          <w:numId w:val="5"/>
        </w:numPr>
        <w:tabs>
          <w:tab w:val="left" w:pos="1241"/>
        </w:tabs>
        <w:spacing w:before="0" w:after="0" w:line="348" w:lineRule="auto"/>
        <w:ind w:left="120" w:right="564" w:firstLine="640"/>
        <w:jc w:val="left"/>
        <w:rPr>
          <w:sz w:val="32"/>
        </w:rPr>
      </w:pPr>
      <w:r>
        <w:rPr>
          <w:sz w:val="32"/>
        </w:rPr>
        <w:t>卫生健康（类）中医药（款）中医（民族医）药专项（项）: 指中医（民族医）药方面的专项支出。</w:t>
      </w:r>
    </w:p>
    <w:p>
      <w:pPr>
        <w:pStyle w:val="9"/>
        <w:numPr>
          <w:ilvl w:val="0"/>
          <w:numId w:val="5"/>
        </w:numPr>
        <w:tabs>
          <w:tab w:val="left" w:pos="1241"/>
        </w:tabs>
        <w:spacing w:before="0" w:after="0" w:line="240" w:lineRule="auto"/>
        <w:ind w:left="1240" w:right="0" w:hanging="481"/>
        <w:jc w:val="left"/>
        <w:rPr>
          <w:sz w:val="32"/>
        </w:rPr>
      </w:pPr>
      <w:r>
        <w:rPr>
          <w:spacing w:val="-9"/>
          <w:w w:val="99"/>
          <w:sz w:val="32"/>
        </w:rPr>
        <w:t>卫生健康</w:t>
      </w:r>
      <w:r>
        <w:rPr>
          <w:w w:val="99"/>
          <w:sz w:val="32"/>
        </w:rPr>
        <w:t>（类</w:t>
      </w:r>
      <w:r>
        <w:rPr>
          <w:spacing w:val="-34"/>
          <w:w w:val="99"/>
          <w:sz w:val="32"/>
        </w:rPr>
        <w:t>）</w:t>
      </w:r>
      <w:r>
        <w:rPr>
          <w:spacing w:val="-11"/>
          <w:w w:val="99"/>
          <w:sz w:val="32"/>
        </w:rPr>
        <w:t>中医药</w:t>
      </w:r>
      <w:r>
        <w:rPr>
          <w:w w:val="99"/>
          <w:sz w:val="32"/>
        </w:rPr>
        <w:t>（款</w:t>
      </w:r>
      <w:r>
        <w:rPr>
          <w:spacing w:val="-34"/>
          <w:w w:val="99"/>
          <w:sz w:val="32"/>
        </w:rPr>
        <w:t>）</w:t>
      </w:r>
      <w:r>
        <w:rPr>
          <w:spacing w:val="-5"/>
          <w:w w:val="99"/>
          <w:sz w:val="32"/>
        </w:rPr>
        <w:t>其他中医药支出</w:t>
      </w:r>
      <w:r>
        <w:rPr>
          <w:w w:val="99"/>
          <w:sz w:val="32"/>
        </w:rPr>
        <w:t>（项</w:t>
      </w:r>
      <w:r>
        <w:rPr>
          <w:spacing w:val="-159"/>
          <w:w w:val="99"/>
          <w:sz w:val="32"/>
        </w:rPr>
        <w:t>）</w:t>
      </w:r>
      <w:r>
        <w:rPr>
          <w:w w:val="99"/>
          <w:sz w:val="32"/>
        </w:rPr>
        <w:t>:</w:t>
      </w:r>
    </w:p>
    <w:p>
      <w:pPr>
        <w:spacing w:after="0" w:line="240" w:lineRule="auto"/>
        <w:jc w:val="left"/>
        <w:rPr>
          <w:sz w:val="32"/>
        </w:rPr>
        <w:sectPr>
          <w:pgSz w:w="11910" w:h="16840"/>
          <w:pgMar w:top="1540" w:right="1380" w:bottom="1160" w:left="1680" w:header="0" w:footer="970" w:gutter="0"/>
          <w:cols w:space="720" w:num="1"/>
        </w:sectPr>
      </w:pPr>
    </w:p>
    <w:p>
      <w:pPr>
        <w:pStyle w:val="4"/>
        <w:spacing w:before="38" w:line="350" w:lineRule="auto"/>
        <w:ind w:left="760" w:right="564" w:hanging="641"/>
      </w:pPr>
      <w:r>
        <w:t>指除中医（民族医）药专项支出以外的其他中医药支出。18.卫生健康（类）计划生育事务（款）其他计划生育</w:t>
      </w:r>
    </w:p>
    <w:p>
      <w:pPr>
        <w:pStyle w:val="4"/>
        <w:spacing w:line="348" w:lineRule="auto"/>
        <w:ind w:right="417"/>
      </w:pPr>
      <w:r>
        <w:rPr>
          <w:spacing w:val="-1"/>
        </w:rPr>
        <w:t>事务支出</w:t>
      </w:r>
      <w:r>
        <w:t>（项</w:t>
      </w:r>
      <w:r>
        <w:rPr>
          <w:spacing w:val="-3"/>
        </w:rPr>
        <w:t>）</w:t>
      </w:r>
      <w:r>
        <w:rPr>
          <w:spacing w:val="-4"/>
        </w:rPr>
        <w:t>: 指除计划生育机构、计划生育服务项目以外其他用于计划生育管理事务方面的支出。</w:t>
      </w:r>
    </w:p>
    <w:p>
      <w:pPr>
        <w:pStyle w:val="9"/>
        <w:numPr>
          <w:ilvl w:val="0"/>
          <w:numId w:val="6"/>
        </w:numPr>
        <w:tabs>
          <w:tab w:val="left" w:pos="1241"/>
        </w:tabs>
        <w:spacing w:before="0" w:after="0" w:line="348" w:lineRule="auto"/>
        <w:ind w:left="120" w:right="405" w:firstLine="640"/>
        <w:jc w:val="left"/>
        <w:rPr>
          <w:sz w:val="32"/>
        </w:rPr>
      </w:pPr>
      <w:r>
        <w:rPr>
          <w:sz w:val="32"/>
        </w:rPr>
        <w:t>卫生健康（类）行政事业单位医疗（款）事业单位医疗（项）</w:t>
      </w:r>
      <w:r>
        <w:rPr>
          <w:spacing w:val="-3"/>
          <w:sz w:val="32"/>
        </w:rPr>
        <w:t>: 指事业单位用于缴纳单位基本医疗保险支出。</w:t>
      </w:r>
    </w:p>
    <w:p>
      <w:pPr>
        <w:pStyle w:val="9"/>
        <w:numPr>
          <w:ilvl w:val="0"/>
          <w:numId w:val="6"/>
        </w:numPr>
        <w:tabs>
          <w:tab w:val="left" w:pos="1241"/>
        </w:tabs>
        <w:spacing w:before="1" w:after="0" w:line="348" w:lineRule="auto"/>
        <w:ind w:left="120" w:right="419" w:firstLine="640"/>
        <w:jc w:val="left"/>
        <w:rPr>
          <w:sz w:val="32"/>
        </w:rPr>
      </w:pPr>
      <w:r>
        <w:rPr>
          <w:sz w:val="32"/>
        </w:rPr>
        <w:t>住房保障支出（类）住房改革支出（款）住房公积</w:t>
      </w:r>
      <w:r>
        <w:rPr>
          <w:spacing w:val="-7"/>
          <w:sz w:val="32"/>
        </w:rPr>
        <w:t>金</w:t>
      </w:r>
      <w:r>
        <w:rPr>
          <w:sz w:val="32"/>
        </w:rPr>
        <w:t>（项</w:t>
      </w:r>
      <w:r>
        <w:rPr>
          <w:spacing w:val="-4"/>
          <w:sz w:val="32"/>
        </w:rPr>
        <w:t>）: 指用于按规定的基本工资和津贴补贴以及规定比</w:t>
      </w:r>
      <w:r>
        <w:rPr>
          <w:sz w:val="32"/>
        </w:rPr>
        <w:t>例为职工缴纳的住房公积金支出。</w:t>
      </w:r>
    </w:p>
    <w:p>
      <w:pPr>
        <w:pStyle w:val="9"/>
        <w:numPr>
          <w:ilvl w:val="0"/>
          <w:numId w:val="6"/>
        </w:numPr>
        <w:tabs>
          <w:tab w:val="left" w:pos="1246"/>
        </w:tabs>
        <w:spacing w:before="4" w:after="0" w:line="350" w:lineRule="auto"/>
        <w:ind w:left="120" w:right="420" w:firstLine="640"/>
        <w:jc w:val="left"/>
        <w:rPr>
          <w:sz w:val="32"/>
        </w:rPr>
      </w:pPr>
      <w:r>
        <w:rPr>
          <w:spacing w:val="6"/>
          <w:w w:val="95"/>
          <w:sz w:val="32"/>
        </w:rPr>
        <w:t xml:space="preserve">基本支出：指为保障机构正常运转、完成日常工作 </w:t>
      </w:r>
      <w:r>
        <w:rPr>
          <w:spacing w:val="6"/>
          <w:sz w:val="32"/>
        </w:rPr>
        <w:t>任务而发生的人员支出和公用支出。</w:t>
      </w:r>
    </w:p>
    <w:p>
      <w:pPr>
        <w:pStyle w:val="9"/>
        <w:numPr>
          <w:ilvl w:val="0"/>
          <w:numId w:val="6"/>
        </w:numPr>
        <w:tabs>
          <w:tab w:val="left" w:pos="1246"/>
        </w:tabs>
        <w:spacing w:before="0" w:after="0" w:line="348" w:lineRule="auto"/>
        <w:ind w:left="120" w:right="420" w:firstLine="640"/>
        <w:jc w:val="left"/>
        <w:rPr>
          <w:sz w:val="32"/>
        </w:rPr>
      </w:pPr>
      <w:r>
        <w:rPr>
          <w:spacing w:val="6"/>
          <w:w w:val="95"/>
          <w:sz w:val="32"/>
        </w:rPr>
        <w:t xml:space="preserve">项目支出：指在基本支出之外为完成特定行政任务 </w:t>
      </w:r>
      <w:r>
        <w:rPr>
          <w:spacing w:val="6"/>
          <w:sz w:val="32"/>
        </w:rPr>
        <w:t>和事业发展目标所发生的支出。</w:t>
      </w:r>
    </w:p>
    <w:p>
      <w:pPr>
        <w:pStyle w:val="9"/>
        <w:numPr>
          <w:ilvl w:val="0"/>
          <w:numId w:val="6"/>
        </w:numPr>
        <w:tabs>
          <w:tab w:val="left" w:pos="1246"/>
        </w:tabs>
        <w:spacing w:before="0" w:after="0" w:line="348" w:lineRule="auto"/>
        <w:ind w:left="120" w:right="420" w:firstLine="640"/>
        <w:jc w:val="left"/>
        <w:rPr>
          <w:sz w:val="32"/>
        </w:rPr>
      </w:pPr>
      <w:r>
        <w:rPr>
          <w:spacing w:val="6"/>
          <w:w w:val="95"/>
          <w:sz w:val="32"/>
        </w:rPr>
        <w:t xml:space="preserve">经营支出：指事业单位在专业业务活动及其辅助活 </w:t>
      </w:r>
      <w:r>
        <w:rPr>
          <w:spacing w:val="6"/>
          <w:sz w:val="32"/>
        </w:rPr>
        <w:t>动之外开展非独立核算经营活动发生的支出。</w:t>
      </w:r>
    </w:p>
    <w:p>
      <w:pPr>
        <w:pStyle w:val="9"/>
        <w:numPr>
          <w:ilvl w:val="0"/>
          <w:numId w:val="6"/>
        </w:numPr>
        <w:tabs>
          <w:tab w:val="left" w:pos="1241"/>
        </w:tabs>
        <w:spacing w:before="1" w:after="0" w:line="240" w:lineRule="auto"/>
        <w:ind w:left="1240" w:right="0" w:hanging="481"/>
        <w:jc w:val="left"/>
        <w:rPr>
          <w:sz w:val="32"/>
        </w:rPr>
      </w:pPr>
      <w:r>
        <w:rPr>
          <w:sz w:val="32"/>
        </w:rPr>
        <w:t>“三公”经费：指部门用财政拨款安排的因公出国</w:t>
      </w:r>
    </w:p>
    <w:p>
      <w:pPr>
        <w:pStyle w:val="4"/>
        <w:spacing w:before="188" w:line="348" w:lineRule="auto"/>
        <w:ind w:right="405"/>
        <w:jc w:val="both"/>
      </w:pPr>
      <w:r>
        <w:t>（境）费、公务用车购置及运行费和公务接待费。其中，因公出国（境）费反映单位公务出国（境）的国际旅费、国外城市间交通费、住宿费、伙食费、培训费、公杂费等支出； 公务用车购置及运行费反映单位公务用车车辆购置支出（含车辆购置税）及租用费、燃料费、维修费、过路过桥费、保险费等支出；公务接待费反映单位按规定开支的各类公务接待（含外宾接待）支出。</w:t>
      </w:r>
    </w:p>
    <w:p>
      <w:pPr>
        <w:spacing w:after="0" w:line="348" w:lineRule="auto"/>
        <w:jc w:val="both"/>
        <w:sectPr>
          <w:pgSz w:w="11910" w:h="16840"/>
          <w:pgMar w:top="1540" w:right="1380" w:bottom="1160" w:left="1680" w:header="0" w:footer="970" w:gutter="0"/>
          <w:cols w:space="720" w:num="1"/>
        </w:sectPr>
      </w:pPr>
    </w:p>
    <w:p>
      <w:pPr>
        <w:pStyle w:val="4"/>
        <w:ind w:left="0"/>
        <w:rPr>
          <w:sz w:val="20"/>
        </w:rPr>
      </w:pPr>
    </w:p>
    <w:p>
      <w:pPr>
        <w:pStyle w:val="4"/>
        <w:ind w:left="0"/>
        <w:rPr>
          <w:sz w:val="20"/>
        </w:rPr>
      </w:pPr>
    </w:p>
    <w:p>
      <w:pPr>
        <w:pStyle w:val="4"/>
        <w:ind w:left="0"/>
        <w:rPr>
          <w:sz w:val="20"/>
        </w:rPr>
      </w:pPr>
    </w:p>
    <w:p>
      <w:pPr>
        <w:pStyle w:val="4"/>
        <w:spacing w:before="3"/>
        <w:ind w:left="0"/>
        <w:rPr>
          <w:sz w:val="15"/>
        </w:rPr>
      </w:pPr>
    </w:p>
    <w:p>
      <w:pPr>
        <w:pStyle w:val="2"/>
        <w:spacing w:before="37"/>
        <w:ind w:left="2064"/>
      </w:pPr>
      <w:bookmarkStart w:id="21" w:name="_TOC_250000"/>
      <w:bookmarkEnd w:id="21"/>
      <w:r>
        <w:t>第四部分 附件</w:t>
      </w:r>
    </w:p>
    <w:p>
      <w:pPr>
        <w:pStyle w:val="4"/>
        <w:spacing w:before="154" w:line="348" w:lineRule="auto"/>
        <w:ind w:right="417" w:firstLine="640"/>
      </w:pPr>
      <w:r>
        <w:rPr>
          <w:spacing w:val="13"/>
          <w:w w:val="95"/>
        </w:rPr>
        <w:t xml:space="preserve">自流井区中医院在决算中一般公共预算财政收支决算 </w:t>
      </w:r>
      <w:r>
        <w:rPr>
          <w:spacing w:val="-18"/>
        </w:rPr>
        <w:t xml:space="preserve">数为 </w:t>
      </w:r>
      <w:r>
        <w:t>0</w:t>
      </w:r>
      <w:r>
        <w:rPr>
          <w:spacing w:val="-10"/>
        </w:rPr>
        <w:t xml:space="preserve"> 万元，无区级资金项目，无支出绩效评价报告。</w:t>
      </w:r>
    </w:p>
    <w:p>
      <w:pPr>
        <w:spacing w:after="0" w:line="348" w:lineRule="auto"/>
        <w:sectPr>
          <w:pgSz w:w="11910" w:h="16840"/>
          <w:pgMar w:top="1580" w:right="1380" w:bottom="1160" w:left="1680" w:header="0" w:footer="970" w:gutter="0"/>
          <w:cols w:space="720" w:num="1"/>
        </w:sectPr>
      </w:pPr>
    </w:p>
    <w:p>
      <w:pPr>
        <w:pStyle w:val="2"/>
        <w:spacing w:before="18"/>
        <w:ind w:left="2064"/>
      </w:pPr>
      <w:r>
        <w:t>第五部分 附表</w:t>
      </w:r>
    </w:p>
    <w:p>
      <w:pPr>
        <w:pStyle w:val="4"/>
        <w:ind w:left="0"/>
        <w:rPr>
          <w:rFonts w:ascii="黑体"/>
          <w:sz w:val="44"/>
        </w:rPr>
      </w:pPr>
    </w:p>
    <w:p>
      <w:pPr>
        <w:pStyle w:val="4"/>
        <w:spacing w:before="12"/>
        <w:ind w:left="0"/>
        <w:rPr>
          <w:rFonts w:ascii="黑体"/>
          <w:sz w:val="36"/>
        </w:rPr>
      </w:pPr>
    </w:p>
    <w:p>
      <w:pPr>
        <w:pStyle w:val="4"/>
        <w:spacing w:line="501" w:lineRule="auto"/>
        <w:ind w:right="5525"/>
      </w:pPr>
      <w:bookmarkStart w:id="22" w:name="一、收入支出决算总表"/>
      <w:bookmarkEnd w:id="22"/>
      <w:r>
        <w:rPr>
          <w:spacing w:val="-2"/>
        </w:rPr>
        <w:t>一、收入支出决算总表</w:t>
      </w:r>
      <w:bookmarkStart w:id="23" w:name="二、收入决算表"/>
      <w:bookmarkEnd w:id="23"/>
      <w:r>
        <w:t>二、收入决算表</w:t>
      </w:r>
    </w:p>
    <w:p>
      <w:pPr>
        <w:pStyle w:val="4"/>
        <w:spacing w:line="407" w:lineRule="exact"/>
      </w:pPr>
      <w:bookmarkStart w:id="24" w:name="三、支出决算表"/>
      <w:bookmarkEnd w:id="24"/>
      <w:r>
        <w:rPr>
          <w:w w:val="95"/>
        </w:rPr>
        <w:t>三、支出决算表</w:t>
      </w:r>
    </w:p>
    <w:p>
      <w:pPr>
        <w:pStyle w:val="4"/>
        <w:spacing w:before="11"/>
        <w:ind w:left="0"/>
        <w:rPr>
          <w:sz w:val="34"/>
        </w:rPr>
      </w:pPr>
    </w:p>
    <w:p>
      <w:pPr>
        <w:pStyle w:val="4"/>
        <w:spacing w:line="501" w:lineRule="auto"/>
        <w:ind w:right="4245"/>
      </w:pPr>
      <w:bookmarkStart w:id="25" w:name="四、财政拨款收入支出决算总表"/>
      <w:bookmarkEnd w:id="25"/>
      <w:r>
        <w:t>四、财政拨款收入支出决算总表</w:t>
      </w:r>
      <w:bookmarkStart w:id="26" w:name="五、财政拨款支出决算明细表"/>
      <w:bookmarkEnd w:id="26"/>
      <w:r>
        <w:t>五、财政拨款支出决算明细表</w:t>
      </w:r>
    </w:p>
    <w:p>
      <w:pPr>
        <w:pStyle w:val="4"/>
        <w:spacing w:line="407" w:lineRule="exact"/>
      </w:pPr>
      <w:bookmarkStart w:id="27" w:name="六、一般公共预算财政拨款支出决算表"/>
      <w:bookmarkEnd w:id="27"/>
      <w:r>
        <w:t>六、一般公共预算财政拨款支出决算表</w:t>
      </w:r>
    </w:p>
    <w:p>
      <w:pPr>
        <w:pStyle w:val="4"/>
        <w:spacing w:before="11"/>
        <w:ind w:left="0"/>
        <w:rPr>
          <w:sz w:val="34"/>
        </w:rPr>
      </w:pPr>
    </w:p>
    <w:p>
      <w:pPr>
        <w:pStyle w:val="4"/>
        <w:spacing w:line="501" w:lineRule="auto"/>
        <w:ind w:right="2645"/>
        <w:jc w:val="both"/>
      </w:pPr>
      <w:bookmarkStart w:id="28" w:name="七、一般公共预算财政拨款支出决算明细表"/>
      <w:bookmarkEnd w:id="28"/>
      <w:r>
        <w:t>七、一般公共预算财政拨款支出决算明细表</w:t>
      </w:r>
      <w:bookmarkStart w:id="29" w:name="八、一般公共预算财政拨款基本支出决算表"/>
      <w:bookmarkEnd w:id="29"/>
      <w:r>
        <w:t>八、一般公共预算财政拨款基本支出决算表</w:t>
      </w:r>
      <w:bookmarkStart w:id="30" w:name="九、一般公共预算财政拨款项目支出决算表"/>
      <w:bookmarkEnd w:id="30"/>
      <w:r>
        <w:t>九、一般公共预算财政拨款项目支出决算表</w:t>
      </w:r>
    </w:p>
    <w:p>
      <w:pPr>
        <w:pStyle w:val="4"/>
        <w:spacing w:line="501" w:lineRule="auto"/>
        <w:ind w:right="1365"/>
      </w:pPr>
      <w:bookmarkStart w:id="31" w:name="十、一般公共预算财政拨款“三公”经费支出决算表"/>
      <w:bookmarkEnd w:id="31"/>
      <w:r>
        <w:t>十、一般公共预算财政拨款“三公”经费支出决算表</w:t>
      </w:r>
      <w:bookmarkStart w:id="32" w:name="十一、政府性基金预算财政拨款收入支出决算表"/>
      <w:bookmarkEnd w:id="32"/>
      <w:r>
        <w:t>十一、政府性基金预算财政拨款收入支出决算表</w:t>
      </w:r>
    </w:p>
    <w:p>
      <w:pPr>
        <w:pStyle w:val="4"/>
        <w:spacing w:line="501" w:lineRule="auto"/>
        <w:ind w:right="725"/>
      </w:pPr>
      <w:bookmarkStart w:id="33" w:name="十二、政府性基金预算财政拨款“三公”经费支出决算表"/>
      <w:bookmarkEnd w:id="33"/>
      <w:r>
        <w:t>十二、政府性基金预算财政拨款“三公”经费支出决算表</w:t>
      </w:r>
      <w:bookmarkStart w:id="34" w:name="十三、国有资本经营预算财政拨款收入支出决算表"/>
      <w:bookmarkEnd w:id="34"/>
      <w:r>
        <w:t>十三、国有资本经营预算财政拨款收入支出决算表</w:t>
      </w:r>
    </w:p>
    <w:p>
      <w:pPr>
        <w:pStyle w:val="4"/>
      </w:pPr>
      <w:r>
        <w:t>十四、国有资本经营预算财政拨款支出决算表</w:t>
      </w:r>
    </w:p>
    <w:sectPr>
      <w:footerReference r:id="rId7" w:type="default"/>
      <w:pgSz w:w="11910" w:h="16840"/>
      <w:pgMar w:top="1440" w:right="1380" w:bottom="1160" w:left="1680" w:header="0" w:footer="970" w:gutter="0"/>
      <w:pgNumType w:start="2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pict>
        <v:shape id="_x0000_s2049" o:spid="_x0000_s2049" o:spt="202" type="#_x0000_t202" style="position:absolute;left:0pt;margin-left:293.3pt;margin-top:782.35pt;height:11pt;width:8.6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pict>
        <v:shape id="_x0000_s2050" o:spid="_x0000_s2050" o:spt="202" type="#_x0000_t202" style="position:absolute;left:0pt;margin-left:291pt;margin-top:782.35pt;height:11pt;width:13.1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pict>
        <v:shape id="_x0000_s2051" o:spid="_x0000_s2051" o:spt="202" type="#_x0000_t202" style="position:absolute;left:0pt;margin-left:291pt;margin-top:782.35pt;height:11pt;width:13.15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20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6"/>
      <w:numFmt w:val="decimal"/>
      <w:lvlText w:val="%1."/>
      <w:lvlJc w:val="left"/>
      <w:pPr>
        <w:ind w:left="120" w:hanging="480"/>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992" w:hanging="480"/>
      </w:pPr>
      <w:rPr>
        <w:rFonts w:hint="default"/>
        <w:lang w:val="zh-CN" w:eastAsia="zh-CN" w:bidi="zh-CN"/>
      </w:rPr>
    </w:lvl>
    <w:lvl w:ilvl="2" w:tentative="0">
      <w:start w:val="0"/>
      <w:numFmt w:val="bullet"/>
      <w:lvlText w:val="•"/>
      <w:lvlJc w:val="left"/>
      <w:pPr>
        <w:ind w:left="1865" w:hanging="480"/>
      </w:pPr>
      <w:rPr>
        <w:rFonts w:hint="default"/>
        <w:lang w:val="zh-CN" w:eastAsia="zh-CN" w:bidi="zh-CN"/>
      </w:rPr>
    </w:lvl>
    <w:lvl w:ilvl="3" w:tentative="0">
      <w:start w:val="0"/>
      <w:numFmt w:val="bullet"/>
      <w:lvlText w:val="•"/>
      <w:lvlJc w:val="left"/>
      <w:pPr>
        <w:ind w:left="2737" w:hanging="480"/>
      </w:pPr>
      <w:rPr>
        <w:rFonts w:hint="default"/>
        <w:lang w:val="zh-CN" w:eastAsia="zh-CN" w:bidi="zh-CN"/>
      </w:rPr>
    </w:lvl>
    <w:lvl w:ilvl="4" w:tentative="0">
      <w:start w:val="0"/>
      <w:numFmt w:val="bullet"/>
      <w:lvlText w:val="•"/>
      <w:lvlJc w:val="left"/>
      <w:pPr>
        <w:ind w:left="3610" w:hanging="480"/>
      </w:pPr>
      <w:rPr>
        <w:rFonts w:hint="default"/>
        <w:lang w:val="zh-CN" w:eastAsia="zh-CN" w:bidi="zh-CN"/>
      </w:rPr>
    </w:lvl>
    <w:lvl w:ilvl="5" w:tentative="0">
      <w:start w:val="0"/>
      <w:numFmt w:val="bullet"/>
      <w:lvlText w:val="•"/>
      <w:lvlJc w:val="left"/>
      <w:pPr>
        <w:ind w:left="4483" w:hanging="480"/>
      </w:pPr>
      <w:rPr>
        <w:rFonts w:hint="default"/>
        <w:lang w:val="zh-CN" w:eastAsia="zh-CN" w:bidi="zh-CN"/>
      </w:rPr>
    </w:lvl>
    <w:lvl w:ilvl="6" w:tentative="0">
      <w:start w:val="0"/>
      <w:numFmt w:val="bullet"/>
      <w:lvlText w:val="•"/>
      <w:lvlJc w:val="left"/>
      <w:pPr>
        <w:ind w:left="5355" w:hanging="480"/>
      </w:pPr>
      <w:rPr>
        <w:rFonts w:hint="default"/>
        <w:lang w:val="zh-CN" w:eastAsia="zh-CN" w:bidi="zh-CN"/>
      </w:rPr>
    </w:lvl>
    <w:lvl w:ilvl="7" w:tentative="0">
      <w:start w:val="0"/>
      <w:numFmt w:val="bullet"/>
      <w:lvlText w:val="•"/>
      <w:lvlJc w:val="left"/>
      <w:pPr>
        <w:ind w:left="6228" w:hanging="480"/>
      </w:pPr>
      <w:rPr>
        <w:rFonts w:hint="default"/>
        <w:lang w:val="zh-CN" w:eastAsia="zh-CN" w:bidi="zh-CN"/>
      </w:rPr>
    </w:lvl>
    <w:lvl w:ilvl="8" w:tentative="0">
      <w:start w:val="0"/>
      <w:numFmt w:val="bullet"/>
      <w:lvlText w:val="•"/>
      <w:lvlJc w:val="left"/>
      <w:pPr>
        <w:ind w:left="7100" w:hanging="480"/>
      </w:pPr>
      <w:rPr>
        <w:rFonts w:hint="default"/>
        <w:lang w:val="zh-CN" w:eastAsia="zh-CN" w:bidi="zh-CN"/>
      </w:rPr>
    </w:lvl>
  </w:abstractNum>
  <w:abstractNum w:abstractNumId="1">
    <w:nsid w:val="BF205925"/>
    <w:multiLevelType w:val="multilevel"/>
    <w:tmpl w:val="BF205925"/>
    <w:lvl w:ilvl="0" w:tentative="0">
      <w:start w:val="1"/>
      <w:numFmt w:val="decimal"/>
      <w:lvlText w:val="%1."/>
      <w:lvlJc w:val="left"/>
      <w:pPr>
        <w:ind w:left="12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992" w:hanging="322"/>
      </w:pPr>
      <w:rPr>
        <w:rFonts w:hint="default"/>
        <w:lang w:val="zh-CN" w:eastAsia="zh-CN" w:bidi="zh-CN"/>
      </w:rPr>
    </w:lvl>
    <w:lvl w:ilvl="2" w:tentative="0">
      <w:start w:val="0"/>
      <w:numFmt w:val="bullet"/>
      <w:lvlText w:val="•"/>
      <w:lvlJc w:val="left"/>
      <w:pPr>
        <w:ind w:left="1865" w:hanging="322"/>
      </w:pPr>
      <w:rPr>
        <w:rFonts w:hint="default"/>
        <w:lang w:val="zh-CN" w:eastAsia="zh-CN" w:bidi="zh-CN"/>
      </w:rPr>
    </w:lvl>
    <w:lvl w:ilvl="3" w:tentative="0">
      <w:start w:val="0"/>
      <w:numFmt w:val="bullet"/>
      <w:lvlText w:val="•"/>
      <w:lvlJc w:val="left"/>
      <w:pPr>
        <w:ind w:left="2737" w:hanging="322"/>
      </w:pPr>
      <w:rPr>
        <w:rFonts w:hint="default"/>
        <w:lang w:val="zh-CN" w:eastAsia="zh-CN" w:bidi="zh-CN"/>
      </w:rPr>
    </w:lvl>
    <w:lvl w:ilvl="4" w:tentative="0">
      <w:start w:val="0"/>
      <w:numFmt w:val="bullet"/>
      <w:lvlText w:val="•"/>
      <w:lvlJc w:val="left"/>
      <w:pPr>
        <w:ind w:left="3610" w:hanging="322"/>
      </w:pPr>
      <w:rPr>
        <w:rFonts w:hint="default"/>
        <w:lang w:val="zh-CN" w:eastAsia="zh-CN" w:bidi="zh-CN"/>
      </w:rPr>
    </w:lvl>
    <w:lvl w:ilvl="5" w:tentative="0">
      <w:start w:val="0"/>
      <w:numFmt w:val="bullet"/>
      <w:lvlText w:val="•"/>
      <w:lvlJc w:val="left"/>
      <w:pPr>
        <w:ind w:left="4483" w:hanging="322"/>
      </w:pPr>
      <w:rPr>
        <w:rFonts w:hint="default"/>
        <w:lang w:val="zh-CN" w:eastAsia="zh-CN" w:bidi="zh-CN"/>
      </w:rPr>
    </w:lvl>
    <w:lvl w:ilvl="6" w:tentative="0">
      <w:start w:val="0"/>
      <w:numFmt w:val="bullet"/>
      <w:lvlText w:val="•"/>
      <w:lvlJc w:val="left"/>
      <w:pPr>
        <w:ind w:left="5355" w:hanging="322"/>
      </w:pPr>
      <w:rPr>
        <w:rFonts w:hint="default"/>
        <w:lang w:val="zh-CN" w:eastAsia="zh-CN" w:bidi="zh-CN"/>
      </w:rPr>
    </w:lvl>
    <w:lvl w:ilvl="7" w:tentative="0">
      <w:start w:val="0"/>
      <w:numFmt w:val="bullet"/>
      <w:lvlText w:val="•"/>
      <w:lvlJc w:val="left"/>
      <w:pPr>
        <w:ind w:left="6228" w:hanging="322"/>
      </w:pPr>
      <w:rPr>
        <w:rFonts w:hint="default"/>
        <w:lang w:val="zh-CN" w:eastAsia="zh-CN" w:bidi="zh-CN"/>
      </w:rPr>
    </w:lvl>
    <w:lvl w:ilvl="8" w:tentative="0">
      <w:start w:val="0"/>
      <w:numFmt w:val="bullet"/>
      <w:lvlText w:val="•"/>
      <w:lvlJc w:val="left"/>
      <w:pPr>
        <w:ind w:left="7100" w:hanging="322"/>
      </w:pPr>
      <w:rPr>
        <w:rFonts w:hint="default"/>
        <w:lang w:val="zh-CN" w:eastAsia="zh-CN" w:bidi="zh-CN"/>
      </w:rPr>
    </w:lvl>
  </w:abstractNum>
  <w:abstractNum w:abstractNumId="2">
    <w:nsid w:val="CF092B84"/>
    <w:multiLevelType w:val="multilevel"/>
    <w:tmpl w:val="CF092B84"/>
    <w:lvl w:ilvl="0" w:tentative="0">
      <w:start w:val="1"/>
      <w:numFmt w:val="decimal"/>
      <w:lvlText w:val="（%1）"/>
      <w:lvlJc w:val="left"/>
      <w:pPr>
        <w:ind w:left="1560" w:hanging="800"/>
        <w:jc w:val="left"/>
      </w:pPr>
      <w:rPr>
        <w:rFonts w:hint="default" w:ascii="仿宋" w:hAnsi="仿宋" w:eastAsia="仿宋" w:cs="仿宋"/>
        <w:w w:val="99"/>
        <w:sz w:val="30"/>
        <w:szCs w:val="30"/>
        <w:lang w:val="zh-CN" w:eastAsia="zh-CN" w:bidi="zh-CN"/>
      </w:rPr>
    </w:lvl>
    <w:lvl w:ilvl="1" w:tentative="0">
      <w:start w:val="0"/>
      <w:numFmt w:val="bullet"/>
      <w:lvlText w:val="•"/>
      <w:lvlJc w:val="left"/>
      <w:pPr>
        <w:ind w:left="2288" w:hanging="800"/>
      </w:pPr>
      <w:rPr>
        <w:rFonts w:hint="default"/>
        <w:lang w:val="zh-CN" w:eastAsia="zh-CN" w:bidi="zh-CN"/>
      </w:rPr>
    </w:lvl>
    <w:lvl w:ilvl="2" w:tentative="0">
      <w:start w:val="0"/>
      <w:numFmt w:val="bullet"/>
      <w:lvlText w:val="•"/>
      <w:lvlJc w:val="left"/>
      <w:pPr>
        <w:ind w:left="3017" w:hanging="800"/>
      </w:pPr>
      <w:rPr>
        <w:rFonts w:hint="default"/>
        <w:lang w:val="zh-CN" w:eastAsia="zh-CN" w:bidi="zh-CN"/>
      </w:rPr>
    </w:lvl>
    <w:lvl w:ilvl="3" w:tentative="0">
      <w:start w:val="0"/>
      <w:numFmt w:val="bullet"/>
      <w:lvlText w:val="•"/>
      <w:lvlJc w:val="left"/>
      <w:pPr>
        <w:ind w:left="3745" w:hanging="800"/>
      </w:pPr>
      <w:rPr>
        <w:rFonts w:hint="default"/>
        <w:lang w:val="zh-CN" w:eastAsia="zh-CN" w:bidi="zh-CN"/>
      </w:rPr>
    </w:lvl>
    <w:lvl w:ilvl="4" w:tentative="0">
      <w:start w:val="0"/>
      <w:numFmt w:val="bullet"/>
      <w:lvlText w:val="•"/>
      <w:lvlJc w:val="left"/>
      <w:pPr>
        <w:ind w:left="4474" w:hanging="800"/>
      </w:pPr>
      <w:rPr>
        <w:rFonts w:hint="default"/>
        <w:lang w:val="zh-CN" w:eastAsia="zh-CN" w:bidi="zh-CN"/>
      </w:rPr>
    </w:lvl>
    <w:lvl w:ilvl="5" w:tentative="0">
      <w:start w:val="0"/>
      <w:numFmt w:val="bullet"/>
      <w:lvlText w:val="•"/>
      <w:lvlJc w:val="left"/>
      <w:pPr>
        <w:ind w:left="5203" w:hanging="800"/>
      </w:pPr>
      <w:rPr>
        <w:rFonts w:hint="default"/>
        <w:lang w:val="zh-CN" w:eastAsia="zh-CN" w:bidi="zh-CN"/>
      </w:rPr>
    </w:lvl>
    <w:lvl w:ilvl="6" w:tentative="0">
      <w:start w:val="0"/>
      <w:numFmt w:val="bullet"/>
      <w:lvlText w:val="•"/>
      <w:lvlJc w:val="left"/>
      <w:pPr>
        <w:ind w:left="5931" w:hanging="800"/>
      </w:pPr>
      <w:rPr>
        <w:rFonts w:hint="default"/>
        <w:lang w:val="zh-CN" w:eastAsia="zh-CN" w:bidi="zh-CN"/>
      </w:rPr>
    </w:lvl>
    <w:lvl w:ilvl="7" w:tentative="0">
      <w:start w:val="0"/>
      <w:numFmt w:val="bullet"/>
      <w:lvlText w:val="•"/>
      <w:lvlJc w:val="left"/>
      <w:pPr>
        <w:ind w:left="6660" w:hanging="800"/>
      </w:pPr>
      <w:rPr>
        <w:rFonts w:hint="default"/>
        <w:lang w:val="zh-CN" w:eastAsia="zh-CN" w:bidi="zh-CN"/>
      </w:rPr>
    </w:lvl>
    <w:lvl w:ilvl="8" w:tentative="0">
      <w:start w:val="0"/>
      <w:numFmt w:val="bullet"/>
      <w:lvlText w:val="•"/>
      <w:lvlJc w:val="left"/>
      <w:pPr>
        <w:ind w:left="7388" w:hanging="800"/>
      </w:pPr>
      <w:rPr>
        <w:rFonts w:hint="default"/>
        <w:lang w:val="zh-CN" w:eastAsia="zh-CN" w:bidi="zh-CN"/>
      </w:rPr>
    </w:lvl>
  </w:abstractNum>
  <w:abstractNum w:abstractNumId="3">
    <w:nsid w:val="0053208E"/>
    <w:multiLevelType w:val="multilevel"/>
    <w:tmpl w:val="0053208E"/>
    <w:lvl w:ilvl="0" w:tentative="0">
      <w:start w:val="1"/>
      <w:numFmt w:val="decimal"/>
      <w:lvlText w:val="（%1）"/>
      <w:lvlJc w:val="left"/>
      <w:pPr>
        <w:ind w:left="1560" w:hanging="800"/>
        <w:jc w:val="left"/>
      </w:pPr>
      <w:rPr>
        <w:rFonts w:hint="default" w:ascii="仿宋" w:hAnsi="仿宋" w:eastAsia="仿宋" w:cs="仿宋"/>
        <w:w w:val="99"/>
        <w:sz w:val="30"/>
        <w:szCs w:val="30"/>
        <w:lang w:val="zh-CN" w:eastAsia="zh-CN" w:bidi="zh-CN"/>
      </w:rPr>
    </w:lvl>
    <w:lvl w:ilvl="1" w:tentative="0">
      <w:start w:val="0"/>
      <w:numFmt w:val="bullet"/>
      <w:lvlText w:val="•"/>
      <w:lvlJc w:val="left"/>
      <w:pPr>
        <w:ind w:left="2288" w:hanging="800"/>
      </w:pPr>
      <w:rPr>
        <w:rFonts w:hint="default"/>
        <w:lang w:val="zh-CN" w:eastAsia="zh-CN" w:bidi="zh-CN"/>
      </w:rPr>
    </w:lvl>
    <w:lvl w:ilvl="2" w:tentative="0">
      <w:start w:val="0"/>
      <w:numFmt w:val="bullet"/>
      <w:lvlText w:val="•"/>
      <w:lvlJc w:val="left"/>
      <w:pPr>
        <w:ind w:left="3017" w:hanging="800"/>
      </w:pPr>
      <w:rPr>
        <w:rFonts w:hint="default"/>
        <w:lang w:val="zh-CN" w:eastAsia="zh-CN" w:bidi="zh-CN"/>
      </w:rPr>
    </w:lvl>
    <w:lvl w:ilvl="3" w:tentative="0">
      <w:start w:val="0"/>
      <w:numFmt w:val="bullet"/>
      <w:lvlText w:val="•"/>
      <w:lvlJc w:val="left"/>
      <w:pPr>
        <w:ind w:left="3745" w:hanging="800"/>
      </w:pPr>
      <w:rPr>
        <w:rFonts w:hint="default"/>
        <w:lang w:val="zh-CN" w:eastAsia="zh-CN" w:bidi="zh-CN"/>
      </w:rPr>
    </w:lvl>
    <w:lvl w:ilvl="4" w:tentative="0">
      <w:start w:val="0"/>
      <w:numFmt w:val="bullet"/>
      <w:lvlText w:val="•"/>
      <w:lvlJc w:val="left"/>
      <w:pPr>
        <w:ind w:left="4474" w:hanging="800"/>
      </w:pPr>
      <w:rPr>
        <w:rFonts w:hint="default"/>
        <w:lang w:val="zh-CN" w:eastAsia="zh-CN" w:bidi="zh-CN"/>
      </w:rPr>
    </w:lvl>
    <w:lvl w:ilvl="5" w:tentative="0">
      <w:start w:val="0"/>
      <w:numFmt w:val="bullet"/>
      <w:lvlText w:val="•"/>
      <w:lvlJc w:val="left"/>
      <w:pPr>
        <w:ind w:left="5203" w:hanging="800"/>
      </w:pPr>
      <w:rPr>
        <w:rFonts w:hint="default"/>
        <w:lang w:val="zh-CN" w:eastAsia="zh-CN" w:bidi="zh-CN"/>
      </w:rPr>
    </w:lvl>
    <w:lvl w:ilvl="6" w:tentative="0">
      <w:start w:val="0"/>
      <w:numFmt w:val="bullet"/>
      <w:lvlText w:val="•"/>
      <w:lvlJc w:val="left"/>
      <w:pPr>
        <w:ind w:left="5931" w:hanging="800"/>
      </w:pPr>
      <w:rPr>
        <w:rFonts w:hint="default"/>
        <w:lang w:val="zh-CN" w:eastAsia="zh-CN" w:bidi="zh-CN"/>
      </w:rPr>
    </w:lvl>
    <w:lvl w:ilvl="7" w:tentative="0">
      <w:start w:val="0"/>
      <w:numFmt w:val="bullet"/>
      <w:lvlText w:val="•"/>
      <w:lvlJc w:val="left"/>
      <w:pPr>
        <w:ind w:left="6660" w:hanging="800"/>
      </w:pPr>
      <w:rPr>
        <w:rFonts w:hint="default"/>
        <w:lang w:val="zh-CN" w:eastAsia="zh-CN" w:bidi="zh-CN"/>
      </w:rPr>
    </w:lvl>
    <w:lvl w:ilvl="8" w:tentative="0">
      <w:start w:val="0"/>
      <w:numFmt w:val="bullet"/>
      <w:lvlText w:val="•"/>
      <w:lvlJc w:val="left"/>
      <w:pPr>
        <w:ind w:left="7388" w:hanging="800"/>
      </w:pPr>
      <w:rPr>
        <w:rFonts w:hint="default"/>
        <w:lang w:val="zh-CN" w:eastAsia="zh-CN" w:bidi="zh-CN"/>
      </w:rPr>
    </w:lvl>
  </w:abstractNum>
  <w:abstractNum w:abstractNumId="4">
    <w:nsid w:val="03D62ECE"/>
    <w:multiLevelType w:val="multilevel"/>
    <w:tmpl w:val="03D62ECE"/>
    <w:lvl w:ilvl="0" w:tentative="0">
      <w:start w:val="19"/>
      <w:numFmt w:val="decimal"/>
      <w:lvlText w:val="%1."/>
      <w:lvlJc w:val="left"/>
      <w:pPr>
        <w:ind w:left="120" w:hanging="480"/>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992" w:hanging="480"/>
      </w:pPr>
      <w:rPr>
        <w:rFonts w:hint="default"/>
        <w:lang w:val="zh-CN" w:eastAsia="zh-CN" w:bidi="zh-CN"/>
      </w:rPr>
    </w:lvl>
    <w:lvl w:ilvl="2" w:tentative="0">
      <w:start w:val="0"/>
      <w:numFmt w:val="bullet"/>
      <w:lvlText w:val="•"/>
      <w:lvlJc w:val="left"/>
      <w:pPr>
        <w:ind w:left="1865" w:hanging="480"/>
      </w:pPr>
      <w:rPr>
        <w:rFonts w:hint="default"/>
        <w:lang w:val="zh-CN" w:eastAsia="zh-CN" w:bidi="zh-CN"/>
      </w:rPr>
    </w:lvl>
    <w:lvl w:ilvl="3" w:tentative="0">
      <w:start w:val="0"/>
      <w:numFmt w:val="bullet"/>
      <w:lvlText w:val="•"/>
      <w:lvlJc w:val="left"/>
      <w:pPr>
        <w:ind w:left="2737" w:hanging="480"/>
      </w:pPr>
      <w:rPr>
        <w:rFonts w:hint="default"/>
        <w:lang w:val="zh-CN" w:eastAsia="zh-CN" w:bidi="zh-CN"/>
      </w:rPr>
    </w:lvl>
    <w:lvl w:ilvl="4" w:tentative="0">
      <w:start w:val="0"/>
      <w:numFmt w:val="bullet"/>
      <w:lvlText w:val="•"/>
      <w:lvlJc w:val="left"/>
      <w:pPr>
        <w:ind w:left="3610" w:hanging="480"/>
      </w:pPr>
      <w:rPr>
        <w:rFonts w:hint="default"/>
        <w:lang w:val="zh-CN" w:eastAsia="zh-CN" w:bidi="zh-CN"/>
      </w:rPr>
    </w:lvl>
    <w:lvl w:ilvl="5" w:tentative="0">
      <w:start w:val="0"/>
      <w:numFmt w:val="bullet"/>
      <w:lvlText w:val="•"/>
      <w:lvlJc w:val="left"/>
      <w:pPr>
        <w:ind w:left="4483" w:hanging="480"/>
      </w:pPr>
      <w:rPr>
        <w:rFonts w:hint="default"/>
        <w:lang w:val="zh-CN" w:eastAsia="zh-CN" w:bidi="zh-CN"/>
      </w:rPr>
    </w:lvl>
    <w:lvl w:ilvl="6" w:tentative="0">
      <w:start w:val="0"/>
      <w:numFmt w:val="bullet"/>
      <w:lvlText w:val="•"/>
      <w:lvlJc w:val="left"/>
      <w:pPr>
        <w:ind w:left="5355" w:hanging="480"/>
      </w:pPr>
      <w:rPr>
        <w:rFonts w:hint="default"/>
        <w:lang w:val="zh-CN" w:eastAsia="zh-CN" w:bidi="zh-CN"/>
      </w:rPr>
    </w:lvl>
    <w:lvl w:ilvl="7" w:tentative="0">
      <w:start w:val="0"/>
      <w:numFmt w:val="bullet"/>
      <w:lvlText w:val="•"/>
      <w:lvlJc w:val="left"/>
      <w:pPr>
        <w:ind w:left="6228" w:hanging="480"/>
      </w:pPr>
      <w:rPr>
        <w:rFonts w:hint="default"/>
        <w:lang w:val="zh-CN" w:eastAsia="zh-CN" w:bidi="zh-CN"/>
      </w:rPr>
    </w:lvl>
    <w:lvl w:ilvl="8" w:tentative="0">
      <w:start w:val="0"/>
      <w:numFmt w:val="bullet"/>
      <w:lvlText w:val="•"/>
      <w:lvlJc w:val="left"/>
      <w:pPr>
        <w:ind w:left="7100" w:hanging="480"/>
      </w:pPr>
      <w:rPr>
        <w:rFonts w:hint="default"/>
        <w:lang w:val="zh-CN" w:eastAsia="zh-CN" w:bidi="zh-CN"/>
      </w:rPr>
    </w:lvl>
  </w:abstractNum>
  <w:abstractNum w:abstractNumId="5">
    <w:nsid w:val="59ADCABA"/>
    <w:multiLevelType w:val="multilevel"/>
    <w:tmpl w:val="59ADCABA"/>
    <w:lvl w:ilvl="0" w:tentative="0">
      <w:start w:val="1"/>
      <w:numFmt w:val="decimal"/>
      <w:lvlText w:val="%1."/>
      <w:lvlJc w:val="left"/>
      <w:pPr>
        <w:ind w:left="12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992" w:hanging="322"/>
      </w:pPr>
      <w:rPr>
        <w:rFonts w:hint="default"/>
        <w:lang w:val="zh-CN" w:eastAsia="zh-CN" w:bidi="zh-CN"/>
      </w:rPr>
    </w:lvl>
    <w:lvl w:ilvl="2" w:tentative="0">
      <w:start w:val="0"/>
      <w:numFmt w:val="bullet"/>
      <w:lvlText w:val="•"/>
      <w:lvlJc w:val="left"/>
      <w:pPr>
        <w:ind w:left="1865" w:hanging="322"/>
      </w:pPr>
      <w:rPr>
        <w:rFonts w:hint="default"/>
        <w:lang w:val="zh-CN" w:eastAsia="zh-CN" w:bidi="zh-CN"/>
      </w:rPr>
    </w:lvl>
    <w:lvl w:ilvl="3" w:tentative="0">
      <w:start w:val="0"/>
      <w:numFmt w:val="bullet"/>
      <w:lvlText w:val="•"/>
      <w:lvlJc w:val="left"/>
      <w:pPr>
        <w:ind w:left="2737" w:hanging="322"/>
      </w:pPr>
      <w:rPr>
        <w:rFonts w:hint="default"/>
        <w:lang w:val="zh-CN" w:eastAsia="zh-CN" w:bidi="zh-CN"/>
      </w:rPr>
    </w:lvl>
    <w:lvl w:ilvl="4" w:tentative="0">
      <w:start w:val="0"/>
      <w:numFmt w:val="bullet"/>
      <w:lvlText w:val="•"/>
      <w:lvlJc w:val="left"/>
      <w:pPr>
        <w:ind w:left="3610" w:hanging="322"/>
      </w:pPr>
      <w:rPr>
        <w:rFonts w:hint="default"/>
        <w:lang w:val="zh-CN" w:eastAsia="zh-CN" w:bidi="zh-CN"/>
      </w:rPr>
    </w:lvl>
    <w:lvl w:ilvl="5" w:tentative="0">
      <w:start w:val="0"/>
      <w:numFmt w:val="bullet"/>
      <w:lvlText w:val="•"/>
      <w:lvlJc w:val="left"/>
      <w:pPr>
        <w:ind w:left="4483" w:hanging="322"/>
      </w:pPr>
      <w:rPr>
        <w:rFonts w:hint="default"/>
        <w:lang w:val="zh-CN" w:eastAsia="zh-CN" w:bidi="zh-CN"/>
      </w:rPr>
    </w:lvl>
    <w:lvl w:ilvl="6" w:tentative="0">
      <w:start w:val="0"/>
      <w:numFmt w:val="bullet"/>
      <w:lvlText w:val="•"/>
      <w:lvlJc w:val="left"/>
      <w:pPr>
        <w:ind w:left="5355" w:hanging="322"/>
      </w:pPr>
      <w:rPr>
        <w:rFonts w:hint="default"/>
        <w:lang w:val="zh-CN" w:eastAsia="zh-CN" w:bidi="zh-CN"/>
      </w:rPr>
    </w:lvl>
    <w:lvl w:ilvl="7" w:tentative="0">
      <w:start w:val="0"/>
      <w:numFmt w:val="bullet"/>
      <w:lvlText w:val="•"/>
      <w:lvlJc w:val="left"/>
      <w:pPr>
        <w:ind w:left="6228" w:hanging="322"/>
      </w:pPr>
      <w:rPr>
        <w:rFonts w:hint="default"/>
        <w:lang w:val="zh-CN" w:eastAsia="zh-CN" w:bidi="zh-CN"/>
      </w:rPr>
    </w:lvl>
    <w:lvl w:ilvl="8" w:tentative="0">
      <w:start w:val="0"/>
      <w:numFmt w:val="bullet"/>
      <w:lvlText w:val="•"/>
      <w:lvlJc w:val="left"/>
      <w:pPr>
        <w:ind w:left="7100" w:hanging="322"/>
      </w:pPr>
      <w:rPr>
        <w:rFonts w:hint="default"/>
        <w:lang w:val="zh-CN" w:eastAsia="zh-CN" w:bidi="zh-CN"/>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OWEyZjhjMDljN2ZmZDI4MDM1OTczNmZkYWIwMTM0OGUifQ=="/>
  </w:docVars>
  <w:rsids>
    <w:rsidRoot w:val="00000000"/>
    <w:rsid w:val="0B9E659B"/>
    <w:rsid w:val="176575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right="1707"/>
      <w:jc w:val="center"/>
      <w:outlineLvl w:val="1"/>
    </w:pPr>
    <w:rPr>
      <w:rFonts w:ascii="黑体" w:hAnsi="黑体" w:eastAsia="黑体" w:cs="黑体"/>
      <w:sz w:val="44"/>
      <w:szCs w:val="44"/>
      <w:lang w:val="zh-CN" w:eastAsia="zh-CN" w:bidi="zh-CN"/>
    </w:rPr>
  </w:style>
  <w:style w:type="paragraph" w:styleId="3">
    <w:name w:val="heading 2"/>
    <w:basedOn w:val="1"/>
    <w:next w:val="1"/>
    <w:qFormat/>
    <w:uiPriority w:val="1"/>
    <w:pPr>
      <w:spacing w:before="188"/>
      <w:ind w:left="760"/>
      <w:outlineLvl w:val="2"/>
    </w:pPr>
    <w:rPr>
      <w:rFonts w:ascii="仿宋" w:hAnsi="仿宋" w:eastAsia="仿宋" w:cs="仿宋"/>
      <w:b/>
      <w:bCs/>
      <w:sz w:val="32"/>
      <w:szCs w:val="32"/>
      <w:lang w:val="zh-CN" w:eastAsia="zh-CN" w:bidi="zh-CN"/>
    </w:rPr>
  </w:style>
  <w:style w:type="character" w:default="1" w:styleId="7">
    <w:name w:val="Default Paragraph Font"/>
    <w:semiHidden/>
    <w:unhideWhenUsed/>
    <w:qFormat/>
    <w:uiPriority w:val="1"/>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ind w:left="120"/>
    </w:pPr>
    <w:rPr>
      <w:rFonts w:ascii="仿宋" w:hAnsi="仿宋" w:eastAsia="仿宋" w:cs="仿宋"/>
      <w:sz w:val="32"/>
      <w:szCs w:val="32"/>
      <w:lang w:val="zh-CN" w:eastAsia="zh-CN" w:bidi="zh-CN"/>
    </w:rPr>
  </w:style>
  <w:style w:type="paragraph" w:styleId="5">
    <w:name w:val="toc 1"/>
    <w:basedOn w:val="1"/>
    <w:next w:val="1"/>
    <w:qFormat/>
    <w:uiPriority w:val="1"/>
    <w:pPr>
      <w:spacing w:before="320"/>
      <w:ind w:right="418"/>
      <w:jc w:val="right"/>
    </w:pPr>
    <w:rPr>
      <w:rFonts w:ascii="仿宋" w:hAnsi="仿宋" w:eastAsia="仿宋" w:cs="仿宋"/>
      <w:sz w:val="28"/>
      <w:szCs w:val="28"/>
      <w:lang w:val="zh-CN" w:eastAsia="zh-CN" w:bidi="zh-CN"/>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20" w:firstLine="640"/>
    </w:pPr>
    <w:rPr>
      <w:rFonts w:ascii="仿宋" w:hAnsi="仿宋" w:eastAsia="仿宋" w:cs="仿宋"/>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7717</Words>
  <Characters>8120</Characters>
  <TotalTime>2</TotalTime>
  <ScaleCrop>false</ScaleCrop>
  <LinksUpToDate>false</LinksUpToDate>
  <CharactersWithSpaces>8640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2022-05-15T10:29:00Z</dcterms:created>
  <dc:creator>Administrator</dc:creator>
  <cp:lastModifiedBy>Master'霖</cp:lastModifiedBy>
  <dcterms:modified xsi:type="dcterms:W3CDTF">2022-05-31T02:35:48Z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2022-05-12T00:00:00Z</vt:filetime>
  </property>
  <property fmtid="{D5CDD505-2E9C-101B-9397-08002B2CF9AE}" pid="3" name="Creator">
    <vt:lpwstr>WPS 文字</vt:lpwstr>
  </property>
  <property fmtid="{D5CDD505-2E9C-101B-9397-08002B2CF9AE}" pid="4" name="LastSaved">
    <vt:filetime>2022-05-15T00:00:00Z</vt:filetime>
  </property>
  <property fmtid="{D5CDD505-2E9C-101B-9397-08002B2CF9AE}" pid="5" name="KSOProductBuildVer">
    <vt:lpwstr>2052-11.1.0.11744</vt:lpwstr>
  </property>
  <property fmtid="{D5CDD505-2E9C-101B-9397-08002B2CF9AE}" pid="6" name="ICV">
    <vt:lpwstr>94CA38788BF645BF8B035A265BA0C46E</vt:lpwstr>
  </property>
</Properties>
</file>