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both"/>
        <w:rPr>
          <w:rFonts w:ascii="方正小标宋简体" w:eastAsia="方正小标宋简体"/>
          <w:sz w:val="44"/>
          <w:szCs w:val="44"/>
        </w:rPr>
      </w:pPr>
      <w:r>
        <w:rPr>
          <w:rFonts w:hint="eastAsia" w:ascii="方正小标宋简体" w:eastAsia="方正小标宋简体" w:cs="方正小标宋简体"/>
          <w:sz w:val="44"/>
          <w:szCs w:val="44"/>
        </w:rPr>
        <w:t>自贡市自流井区五星街社区卫生服务中心</w:t>
      </w:r>
    </w:p>
    <w:p>
      <w:pPr>
        <w:widowControl/>
        <w:spacing w:line="580" w:lineRule="exact"/>
        <w:jc w:val="center"/>
        <w:rPr>
          <w:rFonts w:ascii="方正小标宋简体" w:eastAsia="方正小标宋简体"/>
          <w:sz w:val="44"/>
          <w:szCs w:val="44"/>
        </w:rPr>
      </w:pPr>
      <w:r>
        <w:rPr>
          <w:rFonts w:ascii="方正小标宋简体" w:eastAsia="方正小标宋简体" w:cs="方正小标宋简体"/>
          <w:sz w:val="44"/>
          <w:szCs w:val="44"/>
        </w:rPr>
        <w:t>2020</w:t>
      </w:r>
      <w:r>
        <w:rPr>
          <w:rFonts w:hint="eastAsia" w:ascii="方正小标宋简体" w:eastAsia="方正小标宋简体" w:cs="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s="黑体"/>
          <w:color w:val="000000"/>
          <w:sz w:val="44"/>
          <w:szCs w:val="44"/>
        </w:rPr>
        <w:t>目录</w:t>
      </w:r>
    </w:p>
    <w:p>
      <w:pPr>
        <w:pStyle w:val="9"/>
        <w:tabs>
          <w:tab w:val="right" w:leader="dot" w:pos="8306"/>
        </w:tabs>
        <w:spacing w:line="560" w:lineRule="exact"/>
        <w:rPr>
          <w:rFonts w:hint="eastAsia" w:ascii="仿宋_GB2312" w:hAnsi="仿宋_GB2312" w:eastAsia="仿宋_GB2312" w:cs="仿宋_GB2312"/>
          <w:b w:val="0"/>
          <w:bCs w:val="0"/>
          <w:i w:val="0"/>
          <w:iCs w:val="0"/>
          <w:sz w:val="32"/>
          <w:szCs w:val="32"/>
        </w:rPr>
      </w:pPr>
      <w:r>
        <w:rPr>
          <w:rFonts w:ascii="仿宋_GB2312" w:hAnsi="仿宋_GB2312" w:eastAsia="仿宋_GB2312" w:cs="仿宋_GB2312"/>
          <w:b w:val="0"/>
          <w:bCs w:val="0"/>
          <w:i w:val="0"/>
          <w:iCs w:val="0"/>
          <w:caps/>
          <w:sz w:val="28"/>
          <w:szCs w:val="28"/>
        </w:rPr>
        <w:fldChar w:fldCharType="begin"/>
      </w:r>
      <w:r>
        <w:rPr>
          <w:rFonts w:ascii="仿宋_GB2312" w:hAnsi="仿宋_GB2312" w:eastAsia="仿宋_GB2312" w:cs="仿宋_GB2312"/>
          <w:b w:val="0"/>
          <w:bCs w:val="0"/>
          <w:i w:val="0"/>
          <w:iCs w:val="0"/>
          <w:caps/>
          <w:sz w:val="28"/>
          <w:szCs w:val="28"/>
        </w:rPr>
        <w:instrText xml:space="preserve"> TOC \o "1-2" \h \z \u </w:instrText>
      </w:r>
      <w:r>
        <w:rPr>
          <w:rFonts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"_Toc10567"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i w:val="0"/>
          <w:iCs w:val="0"/>
          <w:sz w:val="32"/>
          <w:szCs w:val="32"/>
        </w:rPr>
        <w:t>第一部分 部门概况</w:t>
      </w:r>
      <w:r>
        <w:rPr>
          <w:rFonts w:hint="eastAsia" w:ascii="仿宋_GB2312" w:hAnsi="仿宋_GB2312" w:eastAsia="仿宋_GB2312" w:cs="仿宋_GB2312"/>
          <w:b w:val="0"/>
          <w:bCs w:val="0"/>
          <w:i w:val="0"/>
          <w:iCs w:val="0"/>
          <w:sz w:val="32"/>
          <w:szCs w:val="32"/>
        </w:rPr>
        <w:tab/>
      </w:r>
      <w:r>
        <w:rPr>
          <w:rFonts w:hint="eastAsia" w:ascii="仿宋_GB2312" w:hAnsi="仿宋_GB2312" w:eastAsia="仿宋_GB2312" w:cs="仿宋_GB2312"/>
          <w:b w:val="0"/>
          <w:bCs w:val="0"/>
          <w:i w:val="0"/>
          <w:iCs w:val="0"/>
          <w:sz w:val="32"/>
          <w:szCs w:val="32"/>
        </w:rPr>
        <w:t>1</w:t>
      </w:r>
      <w:r>
        <w:rPr>
          <w:rFonts w:hint="eastAsia" w:ascii="仿宋_GB2312" w:hAnsi="仿宋_GB2312" w:eastAsia="仿宋_GB2312" w:cs="仿宋_GB2312"/>
          <w:b w:val="0"/>
          <w:bCs w:val="0"/>
          <w:i w:val="0"/>
          <w:i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"_Toc21498"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一、基本职能及主要工作</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"_Toc6092"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二、机构设置</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fldChar w:fldCharType="end"/>
      </w:r>
    </w:p>
    <w:p>
      <w:pPr>
        <w:pStyle w:val="9"/>
        <w:tabs>
          <w:tab w:val="right" w:leader="dot" w:pos="8306"/>
        </w:tabs>
        <w:spacing w:line="560" w:lineRule="exact"/>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"_Toc23109"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i w:val="0"/>
          <w:iCs w:val="0"/>
          <w:sz w:val="32"/>
          <w:szCs w:val="32"/>
        </w:rPr>
        <w:t>第二部分 2020年度部门决算情况说明</w:t>
      </w:r>
      <w:r>
        <w:rPr>
          <w:rFonts w:hint="eastAsia" w:ascii="仿宋_GB2312" w:hAnsi="仿宋_GB2312" w:eastAsia="仿宋_GB2312" w:cs="仿宋_GB2312"/>
          <w:b w:val="0"/>
          <w:bCs w:val="0"/>
          <w:i w:val="0"/>
          <w:iCs w:val="0"/>
          <w:sz w:val="32"/>
          <w:szCs w:val="32"/>
        </w:rPr>
        <w:tab/>
      </w:r>
      <w:r>
        <w:rPr>
          <w:rFonts w:hint="eastAsia" w:ascii="仿宋_GB2312" w:hAnsi="仿宋_GB2312" w:eastAsia="仿宋_GB2312" w:cs="仿宋_GB2312"/>
          <w:b w:val="0"/>
          <w:bCs w:val="0"/>
          <w:i w:val="0"/>
          <w:iCs w:val="0"/>
          <w:sz w:val="32"/>
          <w:szCs w:val="32"/>
        </w:rPr>
        <w:t>3</w:t>
      </w:r>
      <w:r>
        <w:rPr>
          <w:rFonts w:hint="eastAsia" w:ascii="仿宋_GB2312" w:hAnsi="仿宋_GB2312" w:eastAsia="仿宋_GB2312" w:cs="仿宋_GB2312"/>
          <w:b w:val="0"/>
          <w:bCs w:val="0"/>
          <w:i w:val="0"/>
          <w:i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"_Toc7163"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一、 收入支出决算总体情况说明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"_Toc25258"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二、 收入决算情况说明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"_Toc13725"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三、 支出决算情况说明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"_Toc10354"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四、财政拨款收入支出决算总体情况说明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"_Toc10967"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五、一般公共预算财政拨款支出决算情况说明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"_Toc31021"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六、一般公共预算财政拨款基本支出决算情况说明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"_Toc6926"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七、“三公”经费财政拨款支出决算情况说明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"_Toc9843"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八、政府性基金预算支出决算情况说明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_Toc9843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9</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"_Toc10775"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九、 国有资本经营预算支出决算情况说明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_Toc10775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rPr>
        <w:fldChar w:fldCharType="end"/>
      </w:r>
    </w:p>
    <w:p>
      <w:pPr>
        <w:pStyle w:val="10"/>
        <w:tabs>
          <w:tab w:val="right" w:leader="dot" w:pos="8306"/>
        </w:tabs>
        <w:spacing w:line="56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十、其他重要事项的情况说明</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_Toc738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rPr>
        <w:fldChar w:fldCharType="end"/>
      </w:r>
    </w:p>
    <w:p>
      <w:pPr>
        <w:pStyle w:val="9"/>
        <w:tabs>
          <w:tab w:val="right" w:leader="dot" w:pos="8306"/>
        </w:tabs>
        <w:spacing w:line="560" w:lineRule="exact"/>
        <w:rPr>
          <w:rFonts w:hint="eastAsia" w:ascii="仿宋_GB2312" w:hAnsi="仿宋_GB2312" w:eastAsia="仿宋_GB2312" w:cs="仿宋_GB2312"/>
          <w:b w:val="0"/>
          <w:bCs w:val="0"/>
          <w:i w:val="0"/>
          <w:iCs w:val="0"/>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"_Toc3536"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i w:val="0"/>
          <w:iCs w:val="0"/>
          <w:sz w:val="32"/>
          <w:szCs w:val="32"/>
        </w:rPr>
        <w:t>第三部分 名词解释</w:t>
      </w:r>
      <w:r>
        <w:rPr>
          <w:rFonts w:hint="eastAsia" w:ascii="仿宋_GB2312" w:hAnsi="仿宋_GB2312" w:eastAsia="仿宋_GB2312" w:cs="仿宋_GB2312"/>
          <w:b w:val="0"/>
          <w:bCs w:val="0"/>
          <w:i w:val="0"/>
          <w:iCs w:val="0"/>
          <w:sz w:val="32"/>
          <w:szCs w:val="32"/>
        </w:rPr>
        <w:tab/>
      </w:r>
      <w:r>
        <w:rPr>
          <w:rFonts w:hint="eastAsia" w:ascii="仿宋_GB2312" w:hAnsi="仿宋_GB2312" w:eastAsia="仿宋_GB2312" w:cs="仿宋_GB2312"/>
          <w:b w:val="0"/>
          <w:bCs w:val="0"/>
          <w:i w:val="0"/>
          <w:iCs w:val="0"/>
          <w:sz w:val="32"/>
          <w:szCs w:val="32"/>
        </w:rPr>
        <w:t>1</w:t>
      </w:r>
      <w:r>
        <w:rPr>
          <w:rFonts w:hint="eastAsia" w:ascii="仿宋_GB2312" w:hAnsi="仿宋_GB2312" w:eastAsia="仿宋_GB2312" w:cs="仿宋_GB2312"/>
          <w:b w:val="0"/>
          <w:bCs w:val="0"/>
          <w:i w:val="0"/>
          <w:iCs w:val="0"/>
          <w:sz w:val="32"/>
          <w:szCs w:val="32"/>
          <w:lang w:val="en-US" w:eastAsia="zh-CN"/>
        </w:rPr>
        <w:t>4</w:t>
      </w:r>
      <w:r>
        <w:rPr>
          <w:rFonts w:hint="eastAsia" w:ascii="仿宋_GB2312" w:hAnsi="仿宋_GB2312" w:eastAsia="仿宋_GB2312" w:cs="仿宋_GB2312"/>
          <w:b w:val="0"/>
          <w:bCs w:val="0"/>
          <w:i w:val="0"/>
          <w:iCs w:val="0"/>
          <w:sz w:val="32"/>
          <w:szCs w:val="32"/>
        </w:rPr>
        <w:fldChar w:fldCharType="end"/>
      </w:r>
    </w:p>
    <w:p>
      <w:pPr>
        <w:pStyle w:val="9"/>
        <w:tabs>
          <w:tab w:val="right" w:leader="dot" w:pos="8306"/>
        </w:tabs>
        <w:spacing w:line="560" w:lineRule="exact"/>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"_Toc11207"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i w:val="0"/>
          <w:iCs w:val="0"/>
          <w:sz w:val="32"/>
          <w:szCs w:val="32"/>
        </w:rPr>
        <w:t>第四部分 附件</w:t>
      </w:r>
      <w:r>
        <w:rPr>
          <w:rFonts w:hint="eastAsia" w:ascii="仿宋_GB2312" w:hAnsi="仿宋_GB2312" w:eastAsia="仿宋_GB2312" w:cs="仿宋_GB2312"/>
          <w:b w:val="0"/>
          <w:bCs w:val="0"/>
          <w:i w:val="0"/>
          <w:iCs w:val="0"/>
          <w:sz w:val="32"/>
          <w:szCs w:val="32"/>
        </w:rPr>
        <w:tab/>
      </w:r>
      <w:r>
        <w:rPr>
          <w:rFonts w:hint="eastAsia" w:ascii="仿宋_GB2312" w:hAnsi="仿宋_GB2312" w:eastAsia="仿宋_GB2312" w:cs="仿宋_GB2312"/>
          <w:b w:val="0"/>
          <w:bCs w:val="0"/>
          <w:i w:val="0"/>
          <w:iCs w:val="0"/>
          <w:sz w:val="32"/>
          <w:szCs w:val="32"/>
        </w:rPr>
        <w:t>1</w:t>
      </w:r>
      <w:r>
        <w:rPr>
          <w:rFonts w:hint="eastAsia" w:ascii="仿宋_GB2312" w:hAnsi="仿宋_GB2312" w:eastAsia="仿宋_GB2312" w:cs="仿宋_GB2312"/>
          <w:b w:val="0"/>
          <w:bCs w:val="0"/>
          <w:i w:val="0"/>
          <w:iCs w:val="0"/>
          <w:sz w:val="32"/>
          <w:szCs w:val="32"/>
        </w:rPr>
        <w:fldChar w:fldCharType="end"/>
      </w:r>
      <w:r>
        <w:rPr>
          <w:rFonts w:hint="eastAsia" w:ascii="仿宋_GB2312" w:hAnsi="仿宋_GB2312" w:eastAsia="仿宋_GB2312" w:cs="仿宋_GB2312"/>
          <w:b w:val="0"/>
          <w:bCs w:val="0"/>
          <w:i w:val="0"/>
          <w:iCs w:val="0"/>
          <w:sz w:val="32"/>
          <w:szCs w:val="32"/>
          <w:lang w:val="en-US" w:eastAsia="zh-CN"/>
        </w:rPr>
        <w:t>6</w:t>
      </w:r>
    </w:p>
    <w:p>
      <w:pPr>
        <w:pStyle w:val="9"/>
        <w:tabs>
          <w:tab w:val="right" w:leader="dot" w:pos="8306"/>
        </w:tabs>
        <w:spacing w:line="560" w:lineRule="exact"/>
        <w:rPr>
          <w:rFonts w:cs="Times New Roman"/>
        </w:rPr>
        <w:sectPr>
          <w:headerReference r:id="rId3" w:type="first"/>
          <w:footerReference r:id="rId5" w:type="first"/>
          <w:footerReference r:id="rId4" w:type="default"/>
          <w:pgSz w:w="11906" w:h="16838"/>
          <w:pgMar w:top="1440" w:right="1800" w:bottom="1440" w:left="1800" w:header="851" w:footer="992" w:gutter="0"/>
          <w:pgNumType w:start="0"/>
          <w:cols w:space="425" w:num="1"/>
          <w:titlePg/>
          <w:docGrid w:type="lines" w:linePitch="435" w:charSpace="0"/>
        </w:sectPr>
      </w:pPr>
    </w:p>
    <w:p>
      <w:pPr>
        <w:pStyle w:val="9"/>
        <w:tabs>
          <w:tab w:val="right" w:leader="dot" w:pos="8306"/>
        </w:tabs>
        <w:spacing w:line="560" w:lineRule="exact"/>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"_Toc32283"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i w:val="0"/>
          <w:iCs w:val="0"/>
          <w:sz w:val="32"/>
          <w:szCs w:val="32"/>
        </w:rPr>
        <w:t>第五部分 附表</w:t>
      </w:r>
      <w:r>
        <w:rPr>
          <w:rFonts w:hint="eastAsia" w:ascii="仿宋_GB2312" w:hAnsi="仿宋_GB2312" w:eastAsia="仿宋_GB2312" w:cs="仿宋_GB2312"/>
          <w:b w:val="0"/>
          <w:bCs w:val="0"/>
          <w:i w:val="0"/>
          <w:iCs w:val="0"/>
          <w:sz w:val="32"/>
          <w:szCs w:val="32"/>
        </w:rPr>
        <w:tab/>
      </w:r>
      <w:r>
        <w:rPr>
          <w:rFonts w:hint="eastAsia" w:ascii="仿宋_GB2312" w:hAnsi="仿宋_GB2312" w:eastAsia="仿宋_GB2312" w:cs="仿宋_GB2312"/>
          <w:b w:val="0"/>
          <w:bCs w:val="0"/>
          <w:i w:val="0"/>
          <w:iCs w:val="0"/>
          <w:sz w:val="32"/>
          <w:szCs w:val="32"/>
          <w:lang w:val="en-US" w:eastAsia="zh-CN"/>
        </w:rPr>
        <w:t>2</w:t>
      </w:r>
      <w:r>
        <w:rPr>
          <w:rFonts w:hint="eastAsia" w:ascii="仿宋_GB2312" w:hAnsi="仿宋_GB2312" w:eastAsia="仿宋_GB2312" w:cs="仿宋_GB2312"/>
          <w:b w:val="0"/>
          <w:bCs w:val="0"/>
          <w:i w:val="0"/>
          <w:iCs w:val="0"/>
          <w:sz w:val="32"/>
          <w:szCs w:val="32"/>
        </w:rPr>
        <w:fldChar w:fldCharType="end"/>
      </w:r>
      <w:r>
        <w:rPr>
          <w:rFonts w:hint="eastAsia" w:ascii="仿宋_GB2312" w:hAnsi="仿宋_GB2312" w:eastAsia="仿宋_GB2312" w:cs="仿宋_GB2312"/>
          <w:b w:val="0"/>
          <w:bCs w:val="0"/>
          <w:i w:val="0"/>
          <w:i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"_Toc15699"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一、收入支出决算总表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"_Toc27106"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二、收入决算表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"_Toc26817"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三、支出决算表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"_Toc21747"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四、财政拨款收入支出决算总表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"_Toc12959"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五、财政拨款支出决算明细表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"_Toc23749"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六、一般公共预算财政拨款支出决算表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"_Toc22275"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七、一般公共预算财政拨款支出决算明细表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"_Toc30634"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八、一般公共预算财政拨款基本支出决算表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"_Toc15170"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九、一般公共预算财政拨款项目支出决算表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"_Toc17603"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十、一般公共预算财政拨款“三公”经费支出决算表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"_Toc7313"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十一、政府性基金预算财政拨款收入支出决算表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"_Toc9382"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十二、政府性基金预算财政拨款“三公”经费支出决算表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"_Toc22683"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十三、国有资本经营预算财政拨款收入支出决算表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pStyle w:val="10"/>
        <w:tabs>
          <w:tab w:val="right" w:leader="dot" w:pos="8306"/>
        </w:tabs>
        <w:spacing w:line="56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"_Toc10257"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val="0"/>
          <w:bCs w:val="0"/>
          <w:sz w:val="32"/>
          <w:szCs w:val="32"/>
        </w:rPr>
        <w:t>十四、国有资本经营预算财政拨款支出决算表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sz w:val="32"/>
          <w:szCs w:val="32"/>
          <w:lang w:val="en-US" w:eastAsia="zh-CN"/>
        </w:rPr>
        <w:t>4</w:t>
      </w:r>
    </w:p>
    <w:p>
      <w:pPr>
        <w:spacing w:line="560" w:lineRule="exact"/>
        <w:ind w:firstLine="2108" w:firstLineChars="750"/>
        <w:rPr>
          <w:rFonts w:ascii="仿宋_GB2312" w:hAnsi="仿宋"/>
          <w:color w:val="FF0000"/>
        </w:rPr>
      </w:pPr>
      <w:r>
        <w:rPr>
          <w:rFonts w:ascii="仿宋_GB2312" w:hAnsi="仿宋_GB2312" w:cs="仿宋_GB2312"/>
          <w:b/>
          <w:bCs/>
          <w:i/>
          <w:iCs/>
          <w:caps/>
          <w:sz w:val="28"/>
          <w:szCs w:val="28"/>
        </w:rPr>
        <w:fldChar w:fldCharType="end"/>
      </w:r>
    </w:p>
    <w:p>
      <w:pPr>
        <w:pStyle w:val="2"/>
        <w:jc w:val="center"/>
        <w:rPr>
          <w:rFonts w:ascii="黑体" w:hAnsi="黑体" w:eastAsia="黑体"/>
          <w:b w:val="0"/>
          <w:bCs w:val="0"/>
        </w:rPr>
        <w:sectPr>
          <w:footerReference r:id="rId7" w:type="first"/>
          <w:footerReference r:id="rId6" w:type="default"/>
          <w:pgSz w:w="11906" w:h="16838"/>
          <w:pgMar w:top="1440" w:right="1800" w:bottom="1440" w:left="1800" w:header="851" w:footer="992" w:gutter="0"/>
          <w:pgNumType w:start="0"/>
          <w:cols w:space="425" w:num="1"/>
          <w:titlePg/>
          <w:docGrid w:type="lines" w:linePitch="435" w:charSpace="0"/>
        </w:sectPr>
      </w:pPr>
      <w:bookmarkStart w:id="0" w:name="_Toc10567"/>
    </w:p>
    <w:p>
      <w:pPr>
        <w:pStyle w:val="2"/>
        <w:jc w:val="center"/>
        <w:rPr>
          <w:rStyle w:val="15"/>
          <w:rFonts w:ascii="黑体" w:hAnsi="黑体" w:eastAsia="黑体"/>
          <w:b/>
          <w:bCs/>
        </w:rPr>
      </w:pPr>
      <w:r>
        <w:rPr>
          <w:rFonts w:hint="eastAsia" w:ascii="黑体" w:hAnsi="黑体" w:eastAsia="黑体" w:cs="黑体"/>
          <w:b w:val="0"/>
          <w:bCs w:val="0"/>
        </w:rPr>
        <w:t>第一部分</w:t>
      </w:r>
      <w:r>
        <w:rPr>
          <w:rFonts w:hint="eastAsia" w:ascii="黑体" w:hAnsi="黑体" w:eastAsia="黑体" w:cs="黑体"/>
          <w:b w:val="0"/>
          <w:bCs w:val="0"/>
          <w:lang w:val="en-US" w:eastAsia="zh-CN"/>
        </w:rPr>
        <w:t xml:space="preserve"> </w:t>
      </w:r>
      <w:bookmarkStart w:id="90" w:name="_GoBack"/>
      <w:bookmarkEnd w:id="90"/>
      <w:r>
        <w:rPr>
          <w:rStyle w:val="15"/>
          <w:rFonts w:hint="eastAsia" w:ascii="黑体" w:hAnsi="黑体" w:eastAsia="黑体" w:cs="黑体"/>
          <w:b w:val="0"/>
          <w:bCs w:val="0"/>
        </w:rPr>
        <w:t>部门概况</w:t>
      </w:r>
      <w:bookmarkEnd w:id="0"/>
    </w:p>
    <w:p>
      <w:pPr>
        <w:widowControl/>
        <w:jc w:val="left"/>
        <w:rPr>
          <w:rFonts w:ascii="黑体" w:eastAsia="黑体"/>
          <w:color w:val="000000"/>
        </w:rPr>
      </w:pPr>
    </w:p>
    <w:p>
      <w:pPr>
        <w:pStyle w:val="3"/>
        <w:rPr>
          <w:rStyle w:val="16"/>
          <w:rFonts w:ascii="仿宋" w:hAnsi="仿宋" w:eastAsia="仿宋" w:cs="Times New Roman"/>
          <w:b w:val="0"/>
          <w:bCs w:val="0"/>
        </w:rPr>
      </w:pPr>
      <w:bookmarkStart w:id="1" w:name="_Toc15396600"/>
      <w:bookmarkStart w:id="2" w:name="_Toc21498"/>
      <w:bookmarkStart w:id="3" w:name="_Toc15377197"/>
      <w:r>
        <w:rPr>
          <w:rFonts w:hint="eastAsia" w:ascii="黑体" w:hAnsi="黑体" w:eastAsia="黑体" w:cs="黑体"/>
          <w:b w:val="0"/>
          <w:bCs w:val="0"/>
          <w:color w:val="000000"/>
        </w:rPr>
        <w:t>一、基</w:t>
      </w:r>
      <w:r>
        <w:rPr>
          <w:rStyle w:val="16"/>
          <w:rFonts w:hint="eastAsia" w:ascii="黑体" w:hAnsi="黑体" w:eastAsia="黑体" w:cs="黑体"/>
          <w:b w:val="0"/>
          <w:bCs w:val="0"/>
        </w:rPr>
        <w:t>本职能及主要工作</w:t>
      </w:r>
      <w:bookmarkEnd w:id="1"/>
      <w:bookmarkEnd w:id="2"/>
      <w:bookmarkEnd w:id="3"/>
    </w:p>
    <w:p>
      <w:pPr>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color w:val="000000"/>
        </w:rPr>
      </w:pPr>
      <w:bookmarkStart w:id="4" w:name="_Toc15377198"/>
      <w:bookmarkStart w:id="5" w:name="_Toc15378445"/>
      <w:r>
        <w:rPr>
          <w:rFonts w:hint="eastAsia" w:ascii="仿宋_GB2312" w:hAnsi="仿宋_GB2312" w:eastAsia="仿宋_GB2312" w:cs="仿宋_GB2312"/>
          <w:color w:val="000000"/>
        </w:rPr>
        <w:t>（一）主要职能</w:t>
      </w:r>
      <w:bookmarkEnd w:id="4"/>
      <w:bookmarkEnd w:id="5"/>
    </w:p>
    <w:p>
      <w:pPr>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为人民大众健康服务，救死扶伤，基本医疗和公共卫生，提供安全、有效、方便、</w:t>
      </w:r>
      <w:r>
        <w:rPr>
          <w:rFonts w:hint="eastAsia" w:ascii="仿宋_GB2312" w:hAnsi="仿宋_GB2312" w:eastAsia="仿宋_GB2312" w:cs="仿宋_GB2312"/>
          <w:lang w:eastAsia="zh-CN"/>
        </w:rPr>
        <w:t>价廉</w:t>
      </w:r>
      <w:r>
        <w:rPr>
          <w:rFonts w:hint="eastAsia" w:ascii="仿宋_GB2312" w:hAnsi="仿宋_GB2312" w:eastAsia="仿宋_GB2312" w:cs="仿宋_GB2312"/>
        </w:rPr>
        <w:t>、连续的健康教育、预防、保健、医疗、康复、计划生育技术服务指导等。</w:t>
      </w:r>
      <w:bookmarkStart w:id="6" w:name="_Toc15377199"/>
      <w:bookmarkStart w:id="7" w:name="_Toc15378446"/>
    </w:p>
    <w:p>
      <w:pPr>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（二）2020年重点工作完成情况</w:t>
      </w:r>
      <w:bookmarkEnd w:id="6"/>
      <w:bookmarkEnd w:id="7"/>
    </w:p>
    <w:p>
      <w:pPr>
        <w:pageBreakBefore w:val="0"/>
        <w:widowControl w:val="0"/>
        <w:kinsoku/>
        <w:wordWrap/>
        <w:overflowPunct/>
        <w:topLinePunct w:val="0"/>
        <w:autoSpaceDE/>
        <w:autoSpaceDN/>
        <w:bidi w:val="0"/>
        <w:adjustRightInd/>
        <w:snapToGrid/>
        <w:spacing w:line="596" w:lineRule="exact"/>
        <w:ind w:firstLine="800" w:firstLineChars="250"/>
        <w:textAlignment w:val="auto"/>
        <w:rPr>
          <w:rFonts w:hint="eastAsia" w:ascii="仿宋_GB2312" w:hAnsi="仿宋_GB2312" w:eastAsia="仿宋_GB2312" w:cs="仿宋_GB2312"/>
        </w:rPr>
      </w:pPr>
      <w:r>
        <w:rPr>
          <w:rFonts w:hint="eastAsia" w:ascii="仿宋_GB2312" w:hAnsi="仿宋_GB2312" w:eastAsia="仿宋_GB2312" w:cs="仿宋_GB2312"/>
        </w:rPr>
        <w:t>1、医疗指标完成情况：今年中心门诊诊疗量19878人次，同比增长4.9%。门诊次均医药费72.1元，比去年同比增长3.14个百分点；出院人数132人次，与去年同比下降50%，住院病人次均医药费1549.88元，同比下降14%。平均住院天数为8.74天，同比下降11%，病床使用率为20.41%，同比下降了11.13个百分点。</w:t>
      </w:r>
    </w:p>
    <w:p>
      <w:pPr>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公共卫生指标完成情况：目前辖区常住人口41830，建立居民电子健康档案40265份，健康档案电子建档率达96.26%，居民档案动态管理率60%。管理高血压2296人，患者健康管理率26.70%，规范管理率80.04%，血压控制率60%左右。管理糖尿病1263人，患者健康管理率38.17%，规范管理率80.10%，血糖控制率60%左右；65岁以上老年人健康管理应管数4827，老年人管理率26.43%。重精在册210人，患者检出率5.02‰，规范管理205人，患者管理率97.62%。新建居民健康档案960份，其中高血压新增243人，糖尿病新增180人，重精新增14人，肺结核19人，贫困人口3人。目前体检总人数1948人，其中：慢病患者1338，老年人1258人，重精76人，其他人群223人。</w:t>
      </w:r>
    </w:p>
    <w:p>
      <w:pPr>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老年人中医药服务管理1276人、下社区中医巡讲5次。接受服务的0—36月龄儿童及65岁以上老年人中医药健康管理服务覆盖率100%。</w:t>
      </w:r>
    </w:p>
    <w:p>
      <w:pPr>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今年早孕管理84人、产妇管理 99人；0-6岁儿童管理1014人，全年新建儿童101人。开展健康教育13期，中医讲座6次，下社区中医巡讲5次，更新专栏6次，主题日宣传、义诊活动10次。今年传染病上报11例，结核患者新建管理19人，肺结核患者规范管理率达100%。国家免疫规划疫苗报告接种率均达95%以上。</w:t>
      </w:r>
    </w:p>
    <w:p>
      <w:pPr>
        <w:pStyle w:val="3"/>
        <w:pageBreakBefore w:val="0"/>
        <w:widowControl w:val="0"/>
        <w:kinsoku/>
        <w:wordWrap/>
        <w:overflowPunct/>
        <w:topLinePunct w:val="0"/>
        <w:autoSpaceDE/>
        <w:autoSpaceDN/>
        <w:bidi w:val="0"/>
        <w:adjustRightInd/>
        <w:snapToGrid/>
        <w:spacing w:line="596" w:lineRule="exact"/>
        <w:textAlignment w:val="auto"/>
        <w:rPr>
          <w:rStyle w:val="16"/>
          <w:rFonts w:hint="eastAsia" w:ascii="仿宋_GB2312" w:hAnsi="仿宋_GB2312" w:eastAsia="仿宋_GB2312" w:cs="仿宋_GB2312"/>
          <w:b w:val="0"/>
          <w:bCs w:val="0"/>
        </w:rPr>
      </w:pPr>
      <w:bookmarkStart w:id="8" w:name="_Toc6092"/>
      <w:bookmarkStart w:id="9" w:name="_Toc15377200"/>
      <w:bookmarkStart w:id="10" w:name="_Toc15396601"/>
      <w:r>
        <w:rPr>
          <w:rFonts w:hint="eastAsia" w:ascii="仿宋_GB2312" w:hAnsi="仿宋_GB2312" w:eastAsia="仿宋_GB2312" w:cs="仿宋_GB2312"/>
          <w:b w:val="0"/>
          <w:bCs w:val="0"/>
          <w:color w:val="000000"/>
        </w:rPr>
        <w:t>二、机</w:t>
      </w:r>
      <w:r>
        <w:rPr>
          <w:rStyle w:val="16"/>
          <w:rFonts w:hint="eastAsia" w:ascii="仿宋_GB2312" w:hAnsi="仿宋_GB2312" w:eastAsia="仿宋_GB2312" w:cs="仿宋_GB2312"/>
          <w:b w:val="0"/>
          <w:bCs w:val="0"/>
        </w:rPr>
        <w:t>构设置</w:t>
      </w:r>
      <w:bookmarkEnd w:id="8"/>
      <w:bookmarkEnd w:id="9"/>
      <w:bookmarkEnd w:id="10"/>
    </w:p>
    <w:p>
      <w:pPr>
        <w:pageBreakBefore w:val="0"/>
        <w:widowControl w:val="0"/>
        <w:kinsoku/>
        <w:wordWrap/>
        <w:overflowPunct/>
        <w:topLinePunct w:val="0"/>
        <w:autoSpaceDE/>
        <w:autoSpaceDN/>
        <w:bidi w:val="0"/>
        <w:adjustRightInd/>
        <w:snapToGrid/>
        <w:spacing w:line="596" w:lineRule="exact"/>
        <w:ind w:firstLine="800" w:firstLineChars="250"/>
        <w:textAlignment w:val="auto"/>
        <w:rPr>
          <w:rFonts w:hint="eastAsia" w:ascii="仿宋_GB2312" w:hAnsi="仿宋_GB2312" w:eastAsia="仿宋_GB2312" w:cs="仿宋_GB2312"/>
          <w:color w:val="000000"/>
          <w:kern w:val="0"/>
        </w:rPr>
      </w:pPr>
      <w:r>
        <w:rPr>
          <w:rFonts w:hint="eastAsia" w:ascii="仿宋_GB2312" w:hAnsi="仿宋_GB2312" w:eastAsia="仿宋_GB2312" w:cs="仿宋_GB2312"/>
        </w:rPr>
        <w:t>我单位为自贡市自流井区卫生健康局所属二级预算单位，单位性质为</w:t>
      </w:r>
      <w:r>
        <w:rPr>
          <w:rFonts w:hint="eastAsia" w:ascii="仿宋_GB2312" w:hAnsi="仿宋_GB2312" w:eastAsia="仿宋_GB2312" w:cs="仿宋_GB2312"/>
          <w:lang w:eastAsia="zh-CN"/>
        </w:rPr>
        <w:t>收支统管，全额拨款事业单位</w:t>
      </w:r>
      <w:r>
        <w:rPr>
          <w:rFonts w:hint="eastAsia" w:ascii="仿宋_GB2312" w:hAnsi="仿宋_GB2312" w:eastAsia="仿宋_GB2312" w:cs="仿宋_GB2312"/>
        </w:rPr>
        <w:t>。纳入本套决算编制范围的独立核算单位共1个，本年增减0个。</w:t>
      </w:r>
    </w:p>
    <w:p>
      <w:pPr>
        <w:pStyle w:val="2"/>
        <w:ind w:right="440"/>
        <w:rPr>
          <w:rFonts w:ascii="黑体" w:hAnsi="黑体" w:eastAsia="黑体"/>
          <w:b w:val="0"/>
          <w:bCs w:val="0"/>
          <w:color w:val="000000"/>
        </w:rPr>
      </w:pPr>
      <w:bookmarkStart w:id="11" w:name="_Toc15377204"/>
      <w:bookmarkStart w:id="12" w:name="_Toc23109"/>
      <w:bookmarkStart w:id="13" w:name="_Toc15396602"/>
    </w:p>
    <w:p>
      <w:pPr>
        <w:pStyle w:val="2"/>
        <w:ind w:right="440"/>
        <w:jc w:val="center"/>
        <w:rPr>
          <w:rStyle w:val="15"/>
          <w:rFonts w:ascii="黑体" w:hAnsi="黑体" w:eastAsia="黑体"/>
          <w:b w:val="0"/>
          <w:bCs w:val="0"/>
        </w:rPr>
      </w:pPr>
      <w:r>
        <w:rPr>
          <w:rFonts w:hint="eastAsia" w:ascii="黑体" w:hAnsi="黑体" w:eastAsia="黑体" w:cs="黑体"/>
          <w:b w:val="0"/>
          <w:bCs w:val="0"/>
          <w:color w:val="000000"/>
        </w:rPr>
        <w:t>第二部分</w:t>
      </w:r>
      <w:r>
        <w:rPr>
          <w:rStyle w:val="15"/>
          <w:rFonts w:ascii="黑体" w:hAnsi="黑体" w:eastAsia="黑体" w:cs="黑体"/>
          <w:b w:val="0"/>
          <w:bCs w:val="0"/>
        </w:rPr>
        <w:t>2020</w:t>
      </w:r>
      <w:r>
        <w:rPr>
          <w:rStyle w:val="15"/>
          <w:rFonts w:hint="eastAsia" w:ascii="黑体" w:hAnsi="黑体" w:eastAsia="黑体" w:cs="黑体"/>
          <w:b w:val="0"/>
          <w:bCs w:val="0"/>
        </w:rPr>
        <w:t>年度部门决算情况说明</w:t>
      </w:r>
      <w:bookmarkEnd w:id="11"/>
      <w:bookmarkEnd w:id="12"/>
      <w:bookmarkEnd w:id="13"/>
    </w:p>
    <w:p/>
    <w:p>
      <w:pPr>
        <w:pStyle w:val="21"/>
        <w:numPr>
          <w:ilvl w:val="0"/>
          <w:numId w:val="1"/>
        </w:numPr>
        <w:spacing w:line="600" w:lineRule="exact"/>
        <w:ind w:firstLineChars="0"/>
        <w:outlineLvl w:val="1"/>
        <w:rPr>
          <w:rStyle w:val="16"/>
          <w:rFonts w:ascii="黑体" w:hAnsi="黑体" w:eastAsia="黑体" w:cs="Times New Roman"/>
          <w:b w:val="0"/>
          <w:bCs w:val="0"/>
        </w:rPr>
      </w:pPr>
      <w:bookmarkStart w:id="14" w:name="_Toc15377205"/>
      <w:bookmarkStart w:id="15" w:name="_Toc15396603"/>
      <w:bookmarkStart w:id="16" w:name="_Toc7163"/>
      <w:r>
        <w:rPr>
          <w:rFonts w:hint="eastAsia" w:ascii="黑体" w:hAnsi="黑体" w:eastAsia="黑体" w:cs="黑体"/>
          <w:color w:val="000000"/>
        </w:rPr>
        <w:t>收</w:t>
      </w:r>
      <w:r>
        <w:rPr>
          <w:rStyle w:val="16"/>
          <w:rFonts w:hint="eastAsia" w:ascii="黑体" w:hAnsi="黑体" w:eastAsia="黑体" w:cs="黑体"/>
          <w:b w:val="0"/>
          <w:bCs w:val="0"/>
        </w:rPr>
        <w:t>入支出决算总体情况说明</w:t>
      </w:r>
      <w:bookmarkEnd w:id="14"/>
      <w:bookmarkEnd w:id="15"/>
      <w:bookmarkEnd w:id="16"/>
    </w:p>
    <w:p>
      <w:pPr>
        <w:spacing w:line="600" w:lineRule="exact"/>
        <w:ind w:firstLine="640" w:firstLineChars="200"/>
        <w:rPr>
          <w:rFonts w:ascii="仿宋" w:hAnsi="仿宋" w:eastAsia="仿宋"/>
          <w:color w:val="000000"/>
        </w:rPr>
      </w:pPr>
      <w:r>
        <w:rPr>
          <w:rFonts w:ascii="仿宋" w:hAnsi="仿宋" w:eastAsia="仿宋" w:cs="仿宋"/>
          <w:color w:val="000000"/>
        </w:rPr>
        <w:t>2020</w:t>
      </w:r>
      <w:r>
        <w:rPr>
          <w:rFonts w:hint="eastAsia" w:ascii="仿宋" w:hAnsi="仿宋" w:eastAsia="仿宋" w:cs="仿宋"/>
          <w:color w:val="000000"/>
        </w:rPr>
        <w:t>年度收、支总计</w:t>
      </w:r>
      <w:r>
        <w:rPr>
          <w:rFonts w:ascii="仿宋" w:hAnsi="仿宋" w:eastAsia="仿宋" w:cs="仿宋"/>
          <w:color w:val="000000"/>
        </w:rPr>
        <w:t>1324.55</w:t>
      </w:r>
      <w:r>
        <w:rPr>
          <w:rFonts w:hint="eastAsia" w:ascii="仿宋" w:hAnsi="仿宋" w:eastAsia="仿宋" w:cs="仿宋"/>
          <w:color w:val="000000"/>
        </w:rPr>
        <w:t>万元。与</w:t>
      </w:r>
      <w:r>
        <w:rPr>
          <w:rFonts w:ascii="仿宋" w:hAnsi="仿宋" w:eastAsia="仿宋" w:cs="仿宋"/>
          <w:color w:val="000000"/>
        </w:rPr>
        <w:t>2019</w:t>
      </w:r>
      <w:r>
        <w:rPr>
          <w:rFonts w:hint="eastAsia" w:ascii="仿宋" w:hAnsi="仿宋" w:eastAsia="仿宋" w:cs="仿宋"/>
          <w:color w:val="000000"/>
        </w:rPr>
        <w:t>年相比，收、支总计减少</w:t>
      </w:r>
      <w:r>
        <w:rPr>
          <w:rFonts w:ascii="仿宋" w:hAnsi="仿宋" w:eastAsia="仿宋" w:cs="仿宋"/>
          <w:color w:val="000000"/>
        </w:rPr>
        <w:t>57.79</w:t>
      </w:r>
      <w:r>
        <w:rPr>
          <w:rFonts w:hint="eastAsia" w:ascii="仿宋" w:hAnsi="仿宋" w:eastAsia="仿宋" w:cs="仿宋"/>
          <w:color w:val="000000"/>
        </w:rPr>
        <w:t>万元，下降</w:t>
      </w:r>
      <w:r>
        <w:rPr>
          <w:rFonts w:ascii="仿宋" w:hAnsi="仿宋" w:eastAsia="仿宋" w:cs="仿宋"/>
          <w:color w:val="000000"/>
        </w:rPr>
        <w:t>4.18%</w:t>
      </w:r>
      <w:r>
        <w:rPr>
          <w:rFonts w:hint="eastAsia" w:ascii="仿宋" w:hAnsi="仿宋" w:eastAsia="仿宋" w:cs="仿宋"/>
          <w:color w:val="000000"/>
        </w:rPr>
        <w:t>。主要变动原因是减少了经常性收支差额补助。</w:t>
      </w:r>
    </w:p>
    <w:p>
      <w:pPr>
        <w:spacing w:line="600" w:lineRule="exact"/>
        <w:ind w:firstLine="640" w:firstLineChars="200"/>
        <w:rPr>
          <w:rFonts w:ascii="仿宋" w:hAnsi="仿宋" w:eastAsia="仿宋" w:cs="仿宋"/>
          <w:color w:val="000000"/>
        </w:rPr>
      </w:pPr>
      <w:r>
        <w:rPr>
          <w:rFonts w:hint="eastAsia" w:ascii="仿宋" w:hAnsi="仿宋" w:eastAsia="仿宋" w:cs="仿宋"/>
          <w:color w:val="000000"/>
        </w:rPr>
        <w:t>（图</w:t>
      </w:r>
      <w:r>
        <w:rPr>
          <w:rFonts w:ascii="仿宋" w:hAnsi="仿宋" w:eastAsia="仿宋" w:cs="仿宋"/>
          <w:color w:val="000000"/>
        </w:rPr>
        <w:t>1</w:t>
      </w:r>
      <w:r>
        <w:rPr>
          <w:rFonts w:hint="eastAsia" w:ascii="仿宋" w:hAnsi="仿宋" w:eastAsia="仿宋" w:cs="仿宋"/>
          <w:color w:val="000000"/>
        </w:rPr>
        <w:t>：收、支决算总计变动情况图）（柱状图）</w:t>
      </w:r>
      <w:r>
        <w:rPr>
          <w:rFonts w:ascii="仿宋" w:hAnsi="仿宋" w:eastAsia="仿宋" w:cs="仿宋"/>
          <w:color w:val="000000"/>
        </w:rPr>
        <w:t xml:space="preserve">  </w:t>
      </w:r>
    </w:p>
    <w:p>
      <w:pPr>
        <w:ind w:firstLine="960" w:firstLineChars="300"/>
        <w:rPr>
          <w:rFonts w:ascii="仿宋" w:hAnsi="仿宋" w:eastAsia="仿宋"/>
          <w:color w:val="000000"/>
        </w:rPr>
      </w:pPr>
      <w:r>
        <w:rPr>
          <w:rFonts w:ascii="仿宋" w:hAnsi="仿宋" w:eastAsia="仿宋"/>
          <w:color w:val="000000"/>
        </w:rPr>
        <w:object>
          <v:shape id="_x0000_i1025" o:spt="75" type="#_x0000_t75" style="height:258pt;width:339.75pt;" o:ole="t" filled="f" o:preferrelative="t" stroked="f" coordsize="21600,21600">
            <v:path/>
            <v:fill on="f" focussize="0,0"/>
            <v:stroke on="f" joinstyle="miter"/>
            <v:imagedata r:id="rId11" o:title=""/>
            <o:lock v:ext="edit" aspectratio="f"/>
            <w10:wrap type="none"/>
            <w10:anchorlock/>
          </v:shape>
          <o:OLEObject Type="Embed" ProgID="Excel.Chart.8" ShapeID="_x0000_i1025" DrawAspect="Content" ObjectID="_1468075725" r:id="rId10">
            <o:LockedField>false</o:LockedField>
          </o:OLEObject>
        </w:object>
      </w:r>
    </w:p>
    <w:p>
      <w:pPr>
        <w:pStyle w:val="21"/>
        <w:numPr>
          <w:ilvl w:val="0"/>
          <w:numId w:val="1"/>
        </w:numPr>
        <w:spacing w:line="600" w:lineRule="exact"/>
        <w:ind w:firstLineChars="0"/>
        <w:outlineLvl w:val="1"/>
        <w:rPr>
          <w:rStyle w:val="16"/>
          <w:rFonts w:ascii="黑体" w:hAnsi="黑体" w:eastAsia="黑体" w:cs="Times New Roman"/>
          <w:b w:val="0"/>
          <w:bCs w:val="0"/>
        </w:rPr>
      </w:pPr>
      <w:bookmarkStart w:id="17" w:name="_Toc25258"/>
      <w:bookmarkStart w:id="18" w:name="_Toc15396604"/>
      <w:bookmarkStart w:id="19" w:name="_Toc15377206"/>
      <w:r>
        <w:rPr>
          <w:rFonts w:hint="eastAsia" w:ascii="黑体" w:hAnsi="黑体" w:eastAsia="黑体" w:cs="黑体"/>
          <w:color w:val="000000"/>
        </w:rPr>
        <w:t>收</w:t>
      </w:r>
      <w:r>
        <w:rPr>
          <w:rStyle w:val="16"/>
          <w:rFonts w:hint="eastAsia" w:ascii="黑体" w:hAnsi="黑体" w:eastAsia="黑体" w:cs="黑体"/>
          <w:b w:val="0"/>
          <w:bCs w:val="0"/>
        </w:rPr>
        <w:t>入决算情况说明</w:t>
      </w:r>
      <w:bookmarkEnd w:id="17"/>
      <w:bookmarkEnd w:id="18"/>
      <w:bookmarkEnd w:id="19"/>
    </w:p>
    <w:p>
      <w:pPr>
        <w:spacing w:line="596" w:lineRule="exact"/>
        <w:ind w:firstLine="640" w:firstLineChars="200"/>
      </w:pPr>
      <w:r>
        <w:rPr>
          <w:rFonts w:hint="eastAsia" w:ascii="仿宋_GB2312" w:hAnsi="仿宋_GB2312" w:eastAsia="仿宋_GB2312" w:cs="仿宋_GB2312"/>
        </w:rPr>
        <w:t>2020年本年收入合计612.66万元，其中：一般公共预算财政拨款收入395.96万元，占64.63%；事业收入168.68万元，占27.53%；其他收入48.02万元，占7.84%。</w:t>
      </w:r>
    </w:p>
    <w:p>
      <w:pPr>
        <w:spacing w:line="596" w:lineRule="exact"/>
        <w:ind w:firstLine="1760" w:firstLineChars="550"/>
        <w:outlineLvl w:val="1"/>
        <w:rPr>
          <w:rFonts w:ascii="仿宋" w:hAnsi="仿宋" w:eastAsia="仿宋"/>
          <w:color w:val="000000"/>
        </w:rPr>
      </w:pPr>
    </w:p>
    <w:p>
      <w:pPr>
        <w:spacing w:line="600" w:lineRule="exact"/>
        <w:ind w:firstLine="1760" w:firstLineChars="550"/>
        <w:outlineLvl w:val="1"/>
        <w:rPr>
          <w:rFonts w:ascii="仿宋" w:hAnsi="仿宋" w:eastAsia="仿宋"/>
          <w:color w:val="000000"/>
        </w:rPr>
      </w:pPr>
      <w:r>
        <w:rPr>
          <w:rFonts w:hint="eastAsia" w:ascii="仿宋" w:hAnsi="仿宋" w:eastAsia="仿宋" w:cs="仿宋"/>
          <w:color w:val="000000"/>
        </w:rPr>
        <w:t>（图</w:t>
      </w:r>
      <w:r>
        <w:rPr>
          <w:rFonts w:ascii="仿宋" w:hAnsi="仿宋" w:eastAsia="仿宋" w:cs="仿宋"/>
          <w:color w:val="000000"/>
        </w:rPr>
        <w:t>2</w:t>
      </w:r>
      <w:r>
        <w:rPr>
          <w:rFonts w:hint="eastAsia" w:ascii="仿宋" w:hAnsi="仿宋" w:eastAsia="仿宋" w:cs="仿宋"/>
          <w:color w:val="000000"/>
        </w:rPr>
        <w:t>：收入决算结构图）（饼状图）</w:t>
      </w:r>
    </w:p>
    <w:p>
      <w:pPr>
        <w:outlineLvl w:val="1"/>
        <w:rPr>
          <w:rFonts w:ascii="仿宋" w:hAnsi="仿宋" w:eastAsia="仿宋"/>
          <w:color w:val="000000"/>
        </w:rPr>
      </w:pPr>
      <w:r>
        <w:rPr>
          <w:rFonts w:ascii="仿宋" w:hAnsi="仿宋" w:eastAsia="仿宋"/>
          <w:color w:val="000000"/>
        </w:rPr>
        <w:object>
          <v:shape id="_x0000_i1026" o:spt="75" type="#_x0000_t75" style="height:263.25pt;width:396.75pt;" o:ole="t" filled="f" o:preferrelative="t" stroked="f" coordsize="21600,21600">
            <v:path/>
            <v:fill on="f" focussize="0,0"/>
            <v:stroke on="f" joinstyle="miter"/>
            <v:imagedata r:id="rId13" cropbottom="-25f" o:title=""/>
            <o:lock v:ext="edit" aspectratio="f"/>
            <w10:wrap type="none"/>
            <w10:anchorlock/>
          </v:shape>
          <o:OLEObject Type="Embed" ProgID="Excel.Chart.8" ShapeID="_x0000_i1026" DrawAspect="Content" ObjectID="_1468075726" r:id="rId12">
            <o:LockedField>false</o:LockedField>
          </o:OLEObject>
        </w:object>
      </w:r>
    </w:p>
    <w:p>
      <w:pPr>
        <w:pStyle w:val="21"/>
        <w:numPr>
          <w:ilvl w:val="0"/>
          <w:numId w:val="1"/>
        </w:numPr>
        <w:spacing w:line="600" w:lineRule="exact"/>
        <w:ind w:firstLineChars="0"/>
        <w:outlineLvl w:val="1"/>
        <w:rPr>
          <w:rStyle w:val="16"/>
          <w:rFonts w:ascii="黑体" w:hAnsi="黑体" w:eastAsia="黑体" w:cs="Times New Roman"/>
          <w:b w:val="0"/>
          <w:bCs w:val="0"/>
        </w:rPr>
      </w:pPr>
      <w:bookmarkStart w:id="20" w:name="_Toc15377207"/>
      <w:bookmarkStart w:id="21" w:name="_Toc13725"/>
      <w:bookmarkStart w:id="22" w:name="_Toc15396605"/>
      <w:r>
        <w:rPr>
          <w:rFonts w:hint="eastAsia" w:ascii="黑体" w:hAnsi="黑体" w:eastAsia="黑体" w:cs="黑体"/>
          <w:color w:val="000000"/>
        </w:rPr>
        <w:t>支</w:t>
      </w:r>
      <w:r>
        <w:rPr>
          <w:rStyle w:val="16"/>
          <w:rFonts w:hint="eastAsia" w:ascii="黑体" w:hAnsi="黑体" w:eastAsia="黑体" w:cs="黑体"/>
          <w:b w:val="0"/>
          <w:bCs w:val="0"/>
        </w:rPr>
        <w:t>出决算情况说明</w:t>
      </w:r>
      <w:bookmarkEnd w:id="20"/>
      <w:bookmarkEnd w:id="21"/>
      <w:bookmarkEnd w:id="22"/>
    </w:p>
    <w:p>
      <w:pPr>
        <w:spacing w:line="596" w:lineRule="exact"/>
        <w:ind w:firstLine="64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2020年本年支出合计661.59万元，其中：基本支出631.87万元，占95.51%；项目支出29.72万元，占4.49%；</w:t>
      </w:r>
    </w:p>
    <w:p>
      <w:pPr>
        <w:spacing w:line="596" w:lineRule="exact"/>
        <w:ind w:firstLine="1120" w:firstLineChars="350"/>
        <w:rPr>
          <w:rFonts w:hint="eastAsia" w:ascii="仿宋_GB2312" w:hAnsi="仿宋_GB2312" w:eastAsia="仿宋_GB2312" w:cs="仿宋_GB2312"/>
          <w:color w:val="FF0000"/>
        </w:rPr>
      </w:pPr>
      <w:r>
        <w:rPr>
          <w:rFonts w:hint="eastAsia" w:ascii="仿宋_GB2312" w:hAnsi="仿宋_GB2312" w:eastAsia="仿宋_GB2312" w:cs="仿宋_GB2312"/>
          <w:color w:val="000000"/>
        </w:rPr>
        <w:t>（图3：支出决算结构图）（饼状图）</w:t>
      </w:r>
    </w:p>
    <w:p>
      <w:pPr>
        <w:ind w:firstLine="640" w:firstLineChars="200"/>
        <w:rPr>
          <w:rFonts w:ascii="仿宋_GB2312"/>
          <w:color w:val="FF0000"/>
        </w:rPr>
      </w:pPr>
      <w:r>
        <w:rPr>
          <w:rFonts w:ascii="仿宋_GB2312"/>
          <w:color w:val="FF0000"/>
        </w:rPr>
        <w:object>
          <v:shape id="_x0000_i1027" o:spt="75" type="#_x0000_t75" style="height:223.5pt;width:330pt;" o:ole="t" filled="f" o:preferrelative="t" stroked="f" coordsize="21600,21600">
            <v:path/>
            <v:fill on="f" focussize="0,0"/>
            <v:stroke on="f" joinstyle="miter"/>
            <v:imagedata r:id="rId15" cropbottom="-44f" o:title=""/>
            <o:lock v:ext="edit" aspectratio="f"/>
            <w10:wrap type="none"/>
            <w10:anchorlock/>
          </v:shape>
          <o:OLEObject Type="Embed" ProgID="Excel.Chart.8" ShapeID="_x0000_i1027" DrawAspect="Content" ObjectID="_1468075727" r:id="rId14">
            <o:LockedField>false</o:LockedField>
          </o:OLEObject>
        </w:object>
      </w:r>
    </w:p>
    <w:p>
      <w:pPr>
        <w:spacing w:line="600" w:lineRule="exact"/>
        <w:outlineLvl w:val="1"/>
        <w:rPr>
          <w:rFonts w:ascii="黑体" w:hAnsi="黑体" w:eastAsia="黑体"/>
          <w:color w:val="000000"/>
        </w:rPr>
      </w:pPr>
      <w:bookmarkStart w:id="23" w:name="_Toc15396606"/>
      <w:bookmarkStart w:id="24" w:name="_Toc10354"/>
      <w:bookmarkStart w:id="25" w:name="_Toc15377208"/>
    </w:p>
    <w:p>
      <w:pPr>
        <w:spacing w:line="600" w:lineRule="exact"/>
        <w:outlineLvl w:val="1"/>
        <w:rPr>
          <w:rFonts w:ascii="黑体" w:hAnsi="黑体" w:eastAsia="黑体"/>
          <w:color w:val="000000"/>
        </w:rPr>
      </w:pPr>
    </w:p>
    <w:p>
      <w:pPr>
        <w:spacing w:line="600" w:lineRule="exact"/>
        <w:outlineLvl w:val="1"/>
        <w:rPr>
          <w:rFonts w:ascii="黑体" w:hAnsi="黑体" w:eastAsia="黑体"/>
          <w:color w:val="000000"/>
        </w:rPr>
      </w:pPr>
    </w:p>
    <w:p>
      <w:pPr>
        <w:spacing w:line="600" w:lineRule="exact"/>
        <w:outlineLvl w:val="1"/>
        <w:rPr>
          <w:rStyle w:val="16"/>
          <w:rFonts w:ascii="黑体" w:hAnsi="黑体" w:eastAsia="黑体" w:cs="Times New Roman"/>
          <w:b w:val="0"/>
          <w:bCs w:val="0"/>
        </w:rPr>
      </w:pPr>
      <w:r>
        <w:rPr>
          <w:rFonts w:hint="eastAsia" w:ascii="黑体" w:hAnsi="黑体" w:eastAsia="黑体" w:cs="黑体"/>
          <w:color w:val="000000"/>
        </w:rPr>
        <w:t>四、财</w:t>
      </w:r>
      <w:r>
        <w:rPr>
          <w:rStyle w:val="16"/>
          <w:rFonts w:hint="eastAsia" w:ascii="黑体" w:hAnsi="黑体" w:eastAsia="黑体" w:cs="黑体"/>
          <w:b w:val="0"/>
          <w:bCs w:val="0"/>
        </w:rPr>
        <w:t>政拨款收入支出决算总体情况说明</w:t>
      </w:r>
      <w:bookmarkEnd w:id="23"/>
      <w:bookmarkEnd w:id="24"/>
      <w:bookmarkEnd w:id="25"/>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ascii="仿宋_GB2312" w:hAnsi="仿宋_GB2312" w:eastAsia="仿宋_GB2312" w:cs="仿宋_GB2312"/>
          <w:b/>
          <w:bCs/>
          <w:color w:val="FF0000"/>
        </w:rPr>
      </w:pPr>
      <w:r>
        <w:rPr>
          <w:rFonts w:hint="eastAsia" w:ascii="仿宋_GB2312" w:hAnsi="仿宋_GB2312" w:eastAsia="仿宋_GB2312" w:cs="仿宋_GB2312"/>
          <w:color w:val="000000"/>
        </w:rPr>
        <w:t>2020年财政拨款收、支总计891.15万元。与2019年相比，财政拨款收、支总计各减少62.32万元，下降6.54%。主要变动原因是减少了经常性收支差额补助。</w:t>
      </w:r>
    </w:p>
    <w:p>
      <w:pPr>
        <w:keepNext w:val="0"/>
        <w:keepLines w:val="0"/>
        <w:pageBreakBefore w:val="0"/>
        <w:widowControl w:val="0"/>
        <w:kinsoku/>
        <w:wordWrap/>
        <w:overflowPunct/>
        <w:topLinePunct w:val="0"/>
        <w:autoSpaceDE/>
        <w:autoSpaceDN/>
        <w:bidi w:val="0"/>
        <w:adjustRightInd/>
        <w:snapToGrid/>
        <w:spacing w:line="596" w:lineRule="exact"/>
        <w:ind w:firstLine="320" w:firstLineChars="100"/>
        <w:textAlignment w:val="auto"/>
        <w:rPr>
          <w:rFonts w:hint="eastAsia" w:ascii="仿宋_GB2312" w:hAnsi="仿宋_GB2312" w:eastAsia="仿宋_GB2312" w:cs="仿宋_GB2312"/>
          <w:b/>
          <w:bCs/>
          <w:color w:val="00B050"/>
        </w:rPr>
      </w:pPr>
      <w:r>
        <w:rPr>
          <w:rFonts w:hint="eastAsia" w:ascii="仿宋_GB2312" w:hAnsi="仿宋_GB2312" w:eastAsia="仿宋_GB2312" w:cs="仿宋_GB2312"/>
          <w:color w:val="000000"/>
        </w:rPr>
        <w:t>（图4：财政拨款收、支决算总计变动情况）（柱状图）</w:t>
      </w:r>
    </w:p>
    <w:p>
      <w:pPr>
        <w:rPr>
          <w:rFonts w:ascii="仿宋" w:hAnsi="仿宋" w:eastAsia="仿宋"/>
          <w:b/>
          <w:bCs/>
          <w:color w:val="00B050"/>
        </w:rPr>
      </w:pPr>
      <w:r>
        <w:rPr>
          <w:rFonts w:ascii="仿宋" w:hAnsi="仿宋" w:eastAsia="仿宋"/>
          <w:b/>
          <w:bCs/>
          <w:color w:val="00B050"/>
        </w:rPr>
        <w:object>
          <v:shape id="_x0000_i1028" o:spt="75" type="#_x0000_t75" style="height:300.75pt;width:401.25pt;" o:ole="t" filled="f" o:preferrelative="t" stroked="f" coordsize="21600,21600">
            <v:path/>
            <v:fill on="f" focussize="0,0"/>
            <v:stroke on="f" joinstyle="miter"/>
            <v:imagedata r:id="rId17" o:title=""/>
            <o:lock v:ext="edit" aspectratio="f"/>
            <w10:wrap type="none"/>
            <w10:anchorlock/>
          </v:shape>
          <o:OLEObject Type="Embed" ProgID="Excel.Chart.8" ShapeID="_x0000_i1028" DrawAspect="Content" ObjectID="_1468075728" r:id="rId16">
            <o:LockedField>false</o:LockedField>
          </o:OLEObject>
        </w:object>
      </w:r>
    </w:p>
    <w:p>
      <w:pPr>
        <w:spacing w:line="600" w:lineRule="exact"/>
        <w:outlineLvl w:val="1"/>
        <w:rPr>
          <w:rStyle w:val="16"/>
          <w:rFonts w:ascii="黑体" w:hAnsi="黑体" w:eastAsia="黑体" w:cs="Times New Roman"/>
          <w:b w:val="0"/>
          <w:bCs w:val="0"/>
        </w:rPr>
      </w:pPr>
      <w:bookmarkStart w:id="26" w:name="_Toc15377209"/>
      <w:bookmarkStart w:id="27" w:name="_Toc10967"/>
      <w:bookmarkStart w:id="28" w:name="_Toc15396607"/>
      <w:r>
        <w:rPr>
          <w:rFonts w:hint="eastAsia" w:ascii="黑体" w:hAnsi="黑体" w:eastAsia="黑体" w:cs="黑体"/>
          <w:color w:val="000000"/>
        </w:rPr>
        <w:t>五、</w:t>
      </w:r>
      <w:r>
        <w:rPr>
          <w:rFonts w:hint="eastAsia" w:ascii="黑体" w:hAnsi="黑体" w:eastAsia="黑体" w:cs="黑体"/>
          <w:b/>
          <w:bCs/>
          <w:color w:val="000000"/>
        </w:rPr>
        <w:t>一</w:t>
      </w:r>
      <w:r>
        <w:rPr>
          <w:rStyle w:val="16"/>
          <w:rFonts w:hint="eastAsia" w:ascii="黑体" w:hAnsi="黑体" w:eastAsia="黑体" w:cs="黑体"/>
          <w:b w:val="0"/>
          <w:bCs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bCs/>
          <w:color w:val="000000"/>
        </w:rPr>
      </w:pPr>
      <w:bookmarkStart w:id="29" w:name="_Toc15377210"/>
      <w:r>
        <w:rPr>
          <w:rFonts w:hint="eastAsia" w:ascii="仿宋" w:hAnsi="仿宋" w:eastAsia="仿宋" w:cs="仿宋"/>
          <w:b/>
          <w:bCs/>
          <w:color w:val="000000"/>
        </w:rPr>
        <w:t>（一）一般公共预算财政拨款支出决算总体情况</w:t>
      </w:r>
      <w:bookmarkEnd w:id="29"/>
    </w:p>
    <w:p>
      <w:pPr>
        <w:spacing w:line="600" w:lineRule="exact"/>
        <w:ind w:firstLine="64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2020年一般公共预算财政拨款支出444.89万元，占本年支出合计的67.25%。与2019年相比，一般公共预算财政拨款减少31.16万元，下降6.54%。主要变动原因是减少了经常性收支差额补助。</w:t>
      </w:r>
    </w:p>
    <w:p>
      <w:pPr>
        <w:spacing w:line="600" w:lineRule="exact"/>
        <w:ind w:firstLine="640" w:firstLineChars="200"/>
        <w:rPr>
          <w:rFonts w:ascii="仿宋" w:hAnsi="仿宋" w:eastAsia="仿宋"/>
          <w:color w:val="000000"/>
        </w:rPr>
      </w:pPr>
      <w:r>
        <w:rPr>
          <w:rFonts w:hint="eastAsia" w:ascii="仿宋_GB2312" w:hAnsi="仿宋_GB2312" w:eastAsia="仿宋_GB2312" w:cs="仿宋_GB2312"/>
          <w:color w:val="000000"/>
        </w:rPr>
        <w:t>（图5：一般公共预算财政拨款支出决算变动情况图）</w:t>
      </w:r>
    </w:p>
    <w:p>
      <w:pPr>
        <w:spacing w:line="600" w:lineRule="exact"/>
        <w:ind w:firstLine="640" w:firstLineChars="200"/>
        <w:rPr>
          <w:rFonts w:ascii="仿宋" w:hAnsi="仿宋" w:eastAsia="仿宋"/>
          <w:color w:val="000000"/>
        </w:rPr>
      </w:pPr>
    </w:p>
    <w:p>
      <w:pPr>
        <w:spacing w:line="600" w:lineRule="exact"/>
        <w:ind w:firstLine="640" w:firstLineChars="200"/>
        <w:rPr>
          <w:rFonts w:ascii="仿宋" w:hAnsi="仿宋" w:eastAsia="仿宋"/>
          <w:b/>
          <w:bCs/>
          <w:color w:val="000000"/>
        </w:rPr>
      </w:pPr>
      <w:r>
        <w:pict>
          <v:shape id="_x0000_s1027" o:spid="_x0000_s1027" o:spt="75" type="#_x0000_t75" style="position:absolute;left:0pt;margin-left:10.25pt;margin-top:-5.8pt;height:323.5pt;width:419.05pt;mso-wrap-distance-bottom:0.2pt;mso-wrap-distance-left:9pt;mso-wrap-distance-right:9pt;mso-wrap-distance-top:0pt;z-index:251659264;mso-width-relative:page;mso-height-relative:page;" o:ole="t" filled="f" o:preferrelative="t" stroked="f" coordsize="21600,21600">
            <v:path/>
            <v:fill on="f" focussize="0,0"/>
            <v:stroke on="f" joinstyle="miter"/>
            <v:imagedata r:id="rId19" o:title=""/>
            <o:lock v:ext="edit" aspectratio="t"/>
            <w10:wrap type="square"/>
          </v:shape>
          <o:OLEObject Type="Embed" ProgID="Excel.Chart.8" ShapeID="_x0000_s1027" DrawAspect="Content" ObjectID="_1468075729" r:id="rId18">
            <o:LockedField>false</o:LockedField>
          </o:OLEObject>
        </w:pict>
      </w:r>
      <w:bookmarkStart w:id="30" w:name="_Toc15377211"/>
      <w:r>
        <w:rPr>
          <w:rFonts w:hint="eastAsia" w:ascii="仿宋" w:hAnsi="仿宋" w:eastAsia="仿宋" w:cs="仿宋"/>
          <w:b/>
          <w:bCs/>
          <w:color w:val="000000"/>
        </w:rPr>
        <w:t>（二）一般公共预算财政拨款支出决算结构情况</w:t>
      </w:r>
      <w:bookmarkEnd w:id="30"/>
    </w:p>
    <w:p>
      <w:pPr>
        <w:spacing w:line="600" w:lineRule="exact"/>
        <w:ind w:firstLine="640"/>
        <w:rPr>
          <w:rFonts w:hint="eastAsia" w:ascii="仿宋_GB2312" w:hAnsi="仿宋_GB2312" w:eastAsia="仿宋_GB2312" w:cs="仿宋_GB2312"/>
          <w:color w:val="000000"/>
        </w:rPr>
      </w:pPr>
      <w:r>
        <w:rPr>
          <w:rFonts w:hint="eastAsia" w:ascii="仿宋_GB2312" w:hAnsi="仿宋_GB2312" w:eastAsia="仿宋_GB2312" w:cs="仿宋_GB2312"/>
          <w:color w:val="000000"/>
        </w:rPr>
        <w:t>2020年一般公共预算财政拨款支出444.89万元，主要用于以下方面:</w:t>
      </w:r>
      <w:r>
        <w:rPr>
          <w:rFonts w:hint="eastAsia" w:ascii="仿宋_GB2312" w:hAnsi="仿宋_GB2312" w:eastAsia="仿宋_GB2312" w:cs="仿宋_GB2312"/>
          <w:b w:val="0"/>
          <w:bCs w:val="0"/>
          <w:color w:val="000000"/>
        </w:rPr>
        <w:t>社会保障和就业（类）</w:t>
      </w:r>
      <w:r>
        <w:rPr>
          <w:rFonts w:hint="eastAsia" w:ascii="仿宋_GB2312" w:hAnsi="仿宋_GB2312" w:eastAsia="仿宋_GB2312" w:cs="仿宋_GB2312"/>
          <w:color w:val="000000"/>
        </w:rPr>
        <w:t>支出11.99万元，占2.7%；</w:t>
      </w:r>
      <w:r>
        <w:rPr>
          <w:rFonts w:hint="eastAsia" w:ascii="仿宋_GB2312" w:hAnsi="仿宋_GB2312" w:eastAsia="仿宋_GB2312" w:cs="仿宋_GB2312"/>
          <w:b w:val="0"/>
          <w:bCs w:val="0"/>
          <w:color w:val="000000"/>
        </w:rPr>
        <w:t>卫生健康支出</w:t>
      </w:r>
      <w:r>
        <w:rPr>
          <w:rFonts w:hint="eastAsia" w:ascii="仿宋_GB2312" w:hAnsi="仿宋_GB2312" w:eastAsia="仿宋_GB2312" w:cs="仿宋_GB2312"/>
          <w:color w:val="000000"/>
        </w:rPr>
        <w:t>432.90万元，占97.30%；</w:t>
      </w:r>
    </w:p>
    <w:p>
      <w:pPr>
        <w:spacing w:line="600" w:lineRule="exact"/>
        <w:rPr>
          <w:rFonts w:hint="eastAsia" w:ascii="仿宋_GB2312" w:hAnsi="仿宋_GB2312" w:eastAsia="仿宋_GB2312" w:cs="仿宋_GB2312"/>
          <w:color w:val="000000"/>
        </w:rPr>
      </w:pPr>
      <w:r>
        <w:rPr>
          <w:rFonts w:hint="eastAsia" w:ascii="仿宋_GB2312" w:hAnsi="仿宋_GB2312" w:eastAsia="仿宋_GB2312" w:cs="仿宋_GB2312"/>
        </w:rPr>
        <w:pict>
          <v:shape id="_x0000_s1028" o:spid="_x0000_s1028" o:spt="75" type="#_x0000_t75" style="position:absolute;left:0pt;margin-left:65.45pt;margin-top:52.35pt;height:252.95pt;width:315.85pt;mso-wrap-distance-bottom:0.2pt;mso-wrap-distance-left:9pt;mso-wrap-distance-right:9pt;mso-wrap-distance-top:0pt;z-index:251660288;mso-width-relative:page;mso-height-relative:page;" o:ole="t" filled="f" o:preferrelative="t" stroked="f" coordsize="21600,21600">
            <v:path/>
            <v:fill on="f" focussize="0,0"/>
            <v:stroke on="f" joinstyle="miter"/>
            <v:imagedata r:id="rId21" o:title=""/>
            <o:lock v:ext="edit" aspectratio="t"/>
            <w10:wrap type="square"/>
          </v:shape>
          <o:OLEObject Type="Embed" ProgID="Excel.Chart.8" ShapeID="_x0000_s1028" DrawAspect="Content" ObjectID="_1468075730" r:id="rId20">
            <o:LockedField>false</o:LockedField>
          </o:OLEObject>
        </w:pict>
      </w:r>
      <w:r>
        <w:rPr>
          <w:rFonts w:hint="eastAsia" w:ascii="仿宋_GB2312" w:hAnsi="仿宋_GB2312" w:eastAsia="仿宋_GB2312" w:cs="仿宋_GB2312"/>
          <w:color w:val="000000"/>
        </w:rPr>
        <w:t>（图6：一般公共预算财政拨款支出决算结构）（饼状图）</w:t>
      </w:r>
    </w:p>
    <w:p>
      <w:pPr>
        <w:spacing w:line="600" w:lineRule="exact"/>
        <w:ind w:firstLine="640" w:firstLineChars="200"/>
        <w:rPr>
          <w:rFonts w:hint="eastAsia" w:ascii="仿宋_GB2312" w:hAnsi="仿宋_GB2312" w:eastAsia="仿宋_GB2312" w:cs="仿宋_GB2312"/>
          <w:color w:val="000000"/>
        </w:rPr>
      </w:pPr>
    </w:p>
    <w:p>
      <w:pPr>
        <w:spacing w:line="600" w:lineRule="exact"/>
        <w:ind w:firstLine="640" w:firstLineChars="200"/>
        <w:rPr>
          <w:rFonts w:ascii="仿宋" w:hAnsi="仿宋" w:eastAsia="仿宋"/>
          <w:color w:val="000000"/>
        </w:rPr>
      </w:pPr>
    </w:p>
    <w:p>
      <w:pPr>
        <w:spacing w:line="600" w:lineRule="exact"/>
        <w:ind w:firstLine="640" w:firstLineChars="200"/>
        <w:rPr>
          <w:rFonts w:ascii="仿宋" w:hAnsi="仿宋" w:eastAsia="仿宋"/>
          <w:color w:val="000000"/>
        </w:rPr>
      </w:pPr>
    </w:p>
    <w:p>
      <w:pPr>
        <w:spacing w:line="600" w:lineRule="exact"/>
        <w:ind w:firstLine="640" w:firstLineChars="200"/>
        <w:rPr>
          <w:rFonts w:ascii="仿宋" w:hAnsi="仿宋" w:eastAsia="仿宋"/>
          <w:color w:val="000000"/>
        </w:rPr>
      </w:pPr>
    </w:p>
    <w:p>
      <w:pPr>
        <w:spacing w:line="600" w:lineRule="exact"/>
        <w:ind w:firstLine="640" w:firstLineChars="200"/>
        <w:rPr>
          <w:rFonts w:ascii="仿宋" w:hAnsi="仿宋" w:eastAsia="仿宋"/>
          <w:color w:val="000000"/>
        </w:rPr>
      </w:pPr>
    </w:p>
    <w:p>
      <w:pPr>
        <w:spacing w:line="600" w:lineRule="exact"/>
        <w:ind w:firstLine="640" w:firstLineChars="200"/>
        <w:rPr>
          <w:rFonts w:ascii="仿宋" w:hAnsi="仿宋" w:eastAsia="仿宋"/>
          <w:color w:val="000000"/>
        </w:rPr>
      </w:pPr>
    </w:p>
    <w:p>
      <w:pPr>
        <w:spacing w:line="600" w:lineRule="exact"/>
        <w:rPr>
          <w:rFonts w:ascii="仿宋" w:hAnsi="仿宋" w:eastAsia="仿宋"/>
          <w:b/>
          <w:bCs/>
          <w:color w:val="000000"/>
        </w:rPr>
      </w:pPr>
      <w:bookmarkStart w:id="31" w:name="_Toc15377212"/>
    </w:p>
    <w:p>
      <w:pPr>
        <w:spacing w:line="600" w:lineRule="exact"/>
        <w:rPr>
          <w:rFonts w:ascii="仿宋" w:hAnsi="仿宋" w:eastAsia="仿宋"/>
          <w:b/>
          <w:bCs/>
          <w:color w:val="000000"/>
        </w:rPr>
      </w:pPr>
    </w:p>
    <w:p>
      <w:pPr>
        <w:spacing w:line="600" w:lineRule="exact"/>
        <w:rPr>
          <w:rFonts w:ascii="仿宋" w:hAnsi="仿宋" w:eastAsia="仿宋"/>
          <w:b/>
          <w:bCs/>
          <w:color w:val="000000"/>
        </w:rPr>
      </w:pPr>
    </w:p>
    <w:p>
      <w:pPr>
        <w:spacing w:line="600" w:lineRule="exact"/>
        <w:rPr>
          <w:rFonts w:ascii="仿宋" w:hAnsi="仿宋" w:eastAsia="仿宋"/>
          <w:b/>
          <w:bCs/>
          <w:color w:val="000000"/>
        </w:rPr>
      </w:pPr>
    </w:p>
    <w:p>
      <w:pPr>
        <w:spacing w:line="600" w:lineRule="exact"/>
        <w:ind w:firstLine="482" w:firstLineChars="150"/>
        <w:rPr>
          <w:rFonts w:ascii="仿宋" w:hAnsi="仿宋" w:eastAsia="仿宋"/>
          <w:b/>
          <w:bCs/>
          <w:color w:val="000000"/>
        </w:rPr>
      </w:pPr>
      <w:r>
        <w:rPr>
          <w:rFonts w:hint="eastAsia" w:ascii="仿宋" w:hAnsi="仿宋" w:eastAsia="仿宋" w:cs="仿宋"/>
          <w:b/>
          <w:bCs/>
          <w:color w:val="000000"/>
        </w:rPr>
        <w:t>（三）一般公共预算财政拨款支出决算具体情况</w:t>
      </w:r>
      <w:bookmarkEnd w:id="31"/>
    </w:p>
    <w:p>
      <w:pPr>
        <w:spacing w:line="600" w:lineRule="exact"/>
        <w:ind w:firstLine="640" w:firstLineChars="200"/>
        <w:rPr>
          <w:rFonts w:hint="eastAsia" w:ascii="仿宋_GB2312" w:hAnsi="仿宋_GB2312" w:eastAsia="仿宋_GB2312" w:cs="仿宋_GB2312"/>
          <w:b w:val="0"/>
          <w:bCs w:val="0"/>
          <w:color w:val="FF0000"/>
        </w:rPr>
      </w:pPr>
      <w:bookmarkStart w:id="32" w:name="_Toc15377213"/>
      <w:bookmarkStart w:id="33" w:name="_Toc15377444"/>
      <w:bookmarkStart w:id="34" w:name="_Toc15378460"/>
      <w:r>
        <w:rPr>
          <w:rFonts w:hint="eastAsia" w:ascii="仿宋_GB2312" w:hAnsi="仿宋_GB2312" w:eastAsia="仿宋_GB2312" w:cs="仿宋_GB2312"/>
          <w:b w:val="0"/>
          <w:bCs w:val="0"/>
          <w:color w:val="000000"/>
        </w:rPr>
        <w:t>2020年一般公共预算支出决算数为444.89，</w:t>
      </w:r>
      <w:r>
        <w:rPr>
          <w:rStyle w:val="13"/>
          <w:rFonts w:hint="eastAsia" w:ascii="仿宋_GB2312" w:hAnsi="仿宋_GB2312" w:eastAsia="仿宋_GB2312" w:cs="仿宋_GB2312"/>
          <w:b w:val="0"/>
          <w:bCs w:val="0"/>
          <w:color w:val="000000"/>
        </w:rPr>
        <w:t>完成预算100%。其中：</w:t>
      </w:r>
      <w:bookmarkEnd w:id="32"/>
      <w:bookmarkEnd w:id="33"/>
      <w:bookmarkEnd w:id="34"/>
    </w:p>
    <w:p>
      <w:pPr>
        <w:spacing w:line="600" w:lineRule="exact"/>
        <w:ind w:firstLine="640" w:firstLineChars="200"/>
        <w:rPr>
          <w:rFonts w:hint="eastAsia" w:ascii="仿宋_GB2312" w:hAnsi="仿宋_GB2312" w:eastAsia="仿宋_GB2312" w:cs="仿宋_GB2312"/>
          <w:b/>
          <w:bCs/>
          <w:color w:val="000000"/>
        </w:rPr>
      </w:pPr>
      <w:r>
        <w:rPr>
          <w:rStyle w:val="13"/>
          <w:rFonts w:hint="eastAsia" w:ascii="仿宋_GB2312" w:hAnsi="仿宋_GB2312" w:eastAsia="仿宋_GB2312" w:cs="仿宋_GB2312"/>
          <w:b w:val="0"/>
          <w:bCs w:val="0"/>
          <w:color w:val="000000"/>
        </w:rPr>
        <w:t>1.社会保障和就业（类）行政事业单位养老支出（款） 事业单位离退休（项）</w:t>
      </w:r>
      <w:r>
        <w:rPr>
          <w:rStyle w:val="13"/>
          <w:rFonts w:hint="eastAsia" w:ascii="仿宋_GB2312" w:hAnsi="仿宋_GB2312" w:eastAsia="仿宋_GB2312" w:cs="仿宋_GB2312"/>
          <w:color w:val="000000"/>
        </w:rPr>
        <w:t>:</w:t>
      </w:r>
      <w:r>
        <w:rPr>
          <w:rStyle w:val="13"/>
          <w:rFonts w:hint="eastAsia" w:ascii="仿宋_GB2312" w:hAnsi="仿宋_GB2312" w:eastAsia="仿宋_GB2312" w:cs="仿宋_GB2312"/>
          <w:b w:val="0"/>
          <w:bCs w:val="0"/>
          <w:color w:val="000000"/>
        </w:rPr>
        <w:t>支出决算为11.99万元，完成预算100%，决算数等于预算数。</w:t>
      </w:r>
    </w:p>
    <w:p>
      <w:pPr>
        <w:spacing w:line="600" w:lineRule="exact"/>
        <w:ind w:firstLine="640" w:firstLineChars="200"/>
        <w:rPr>
          <w:rStyle w:val="13"/>
          <w:rFonts w:hint="eastAsia" w:ascii="仿宋_GB2312" w:hAnsi="仿宋_GB2312" w:eastAsia="仿宋_GB2312" w:cs="仿宋_GB2312"/>
          <w:b w:val="0"/>
          <w:bCs w:val="0"/>
          <w:color w:val="000000"/>
        </w:rPr>
      </w:pPr>
      <w:r>
        <w:rPr>
          <w:rStyle w:val="13"/>
          <w:rFonts w:hint="eastAsia" w:ascii="仿宋_GB2312" w:hAnsi="仿宋_GB2312" w:eastAsia="仿宋_GB2312" w:cs="仿宋_GB2312"/>
          <w:b w:val="0"/>
          <w:bCs w:val="0"/>
          <w:color w:val="000000"/>
        </w:rPr>
        <w:t>2.卫</w:t>
      </w:r>
      <w:r>
        <w:rPr>
          <w:rFonts w:hint="eastAsia" w:ascii="仿宋_GB2312" w:hAnsi="仿宋_GB2312" w:eastAsia="仿宋_GB2312" w:cs="仿宋_GB2312"/>
          <w:b w:val="0"/>
          <w:bCs w:val="0"/>
          <w:color w:val="000000"/>
        </w:rPr>
        <w:t>生健康（类）</w:t>
      </w:r>
      <w:r>
        <w:rPr>
          <w:rStyle w:val="13"/>
          <w:rFonts w:hint="eastAsia" w:ascii="仿宋_GB2312" w:hAnsi="仿宋_GB2312" w:eastAsia="仿宋_GB2312" w:cs="仿宋_GB2312"/>
          <w:b w:val="0"/>
          <w:bCs w:val="0"/>
          <w:color w:val="000000"/>
        </w:rPr>
        <w:t>基层医疗卫生机构（款）城市社区卫生机构（项）城市社区卫生机构：支出决算为100.33万元，完成预算100%，决算数等于预算数。</w:t>
      </w:r>
    </w:p>
    <w:p>
      <w:pPr>
        <w:spacing w:line="600" w:lineRule="exact"/>
        <w:ind w:firstLine="640" w:firstLineChars="200"/>
        <w:rPr>
          <w:rStyle w:val="13"/>
          <w:rFonts w:hint="eastAsia" w:ascii="仿宋_GB2312" w:hAnsi="仿宋_GB2312" w:eastAsia="仿宋_GB2312" w:cs="仿宋_GB2312"/>
          <w:b w:val="0"/>
          <w:bCs w:val="0"/>
          <w:color w:val="000000"/>
        </w:rPr>
      </w:pPr>
      <w:r>
        <w:rPr>
          <w:rFonts w:hint="eastAsia" w:ascii="仿宋_GB2312" w:hAnsi="仿宋_GB2312" w:eastAsia="仿宋_GB2312" w:cs="仿宋_GB2312"/>
          <w:b w:val="0"/>
          <w:bCs w:val="0"/>
          <w:color w:val="000000"/>
        </w:rPr>
        <w:t>3.卫生健康（类）公共卫生</w:t>
      </w:r>
      <w:r>
        <w:rPr>
          <w:rStyle w:val="13"/>
          <w:rFonts w:hint="eastAsia" w:ascii="仿宋_GB2312" w:hAnsi="仿宋_GB2312" w:eastAsia="仿宋_GB2312" w:cs="仿宋_GB2312"/>
          <w:b w:val="0"/>
          <w:bCs w:val="0"/>
          <w:color w:val="000000"/>
        </w:rPr>
        <w:t>（款）基本公共卫生服务：支出决算为322.11万元，完成预算100%，决算数等于预算数。</w:t>
      </w:r>
    </w:p>
    <w:p>
      <w:pPr>
        <w:spacing w:line="600" w:lineRule="exact"/>
        <w:ind w:firstLine="640" w:firstLineChars="200"/>
        <w:rPr>
          <w:rStyle w:val="13"/>
          <w:rFonts w:hint="eastAsia" w:ascii="仿宋_GB2312" w:hAnsi="仿宋_GB2312" w:eastAsia="仿宋_GB2312" w:cs="仿宋_GB2312"/>
          <w:b w:val="0"/>
          <w:bCs w:val="0"/>
          <w:color w:val="000000"/>
        </w:rPr>
      </w:pPr>
      <w:r>
        <w:rPr>
          <w:rStyle w:val="13"/>
          <w:rFonts w:hint="eastAsia" w:ascii="仿宋_GB2312" w:hAnsi="仿宋_GB2312" w:eastAsia="仿宋_GB2312" w:cs="仿宋_GB2312"/>
          <w:b w:val="0"/>
          <w:bCs w:val="0"/>
          <w:color w:val="000000"/>
        </w:rPr>
        <w:t>4.</w:t>
      </w:r>
      <w:r>
        <w:rPr>
          <w:rFonts w:hint="eastAsia" w:ascii="仿宋_GB2312" w:hAnsi="仿宋_GB2312" w:eastAsia="仿宋_GB2312" w:cs="仿宋_GB2312"/>
          <w:b w:val="0"/>
          <w:bCs w:val="0"/>
          <w:color w:val="000000"/>
        </w:rPr>
        <w:t>卫生健康（类）</w:t>
      </w:r>
      <w:r>
        <w:rPr>
          <w:rStyle w:val="13"/>
          <w:rFonts w:hint="eastAsia" w:ascii="仿宋_GB2312" w:hAnsi="仿宋_GB2312" w:eastAsia="仿宋_GB2312" w:cs="仿宋_GB2312"/>
          <w:b w:val="0"/>
          <w:bCs w:val="0"/>
          <w:color w:val="000000"/>
        </w:rPr>
        <w:t>基层医疗卫生机构（款）其他基层医疗卫生机构支出（项）：支出决算为10.46万元，完成预算100%，决算数等于预算数。</w:t>
      </w:r>
    </w:p>
    <w:p>
      <w:pPr>
        <w:tabs>
          <w:tab w:val="right" w:pos="8306"/>
        </w:tabs>
        <w:spacing w:line="600" w:lineRule="exact"/>
        <w:ind w:firstLine="640"/>
        <w:outlineLvl w:val="1"/>
        <w:rPr>
          <w:rStyle w:val="16"/>
        </w:rPr>
      </w:pPr>
      <w:bookmarkStart w:id="35" w:name="_Toc15396608"/>
      <w:bookmarkStart w:id="36" w:name="_Toc15377214"/>
      <w:bookmarkStart w:id="37" w:name="_Toc31021"/>
      <w:r>
        <w:rPr>
          <w:rFonts w:hint="eastAsia" w:ascii="黑体" w:eastAsia="黑体" w:cs="黑体"/>
          <w:color w:val="000000"/>
        </w:rPr>
        <w:t>六</w:t>
      </w:r>
      <w:r>
        <w:rPr>
          <w:rFonts w:hint="eastAsia" w:ascii="黑体" w:eastAsia="黑体" w:cs="黑体"/>
          <w:b/>
          <w:bCs/>
          <w:color w:val="000000"/>
        </w:rPr>
        <w:t>、</w:t>
      </w:r>
      <w:r>
        <w:rPr>
          <w:rFonts w:hint="eastAsia" w:ascii="黑体" w:hAnsi="黑体" w:eastAsia="黑体" w:cs="黑体"/>
          <w:b/>
          <w:bCs/>
          <w:color w:val="000000"/>
        </w:rPr>
        <w:t>一</w:t>
      </w:r>
      <w:r>
        <w:rPr>
          <w:rStyle w:val="16"/>
          <w:rFonts w:hint="eastAsia" w:ascii="黑体" w:hAnsi="黑体" w:eastAsia="黑体" w:cs="黑体"/>
          <w:b w:val="0"/>
          <w:bCs w:val="0"/>
        </w:rPr>
        <w:t>般公共预算财政拨款基本支出决算情况说明</w:t>
      </w:r>
      <w:bookmarkEnd w:id="35"/>
      <w:bookmarkEnd w:id="36"/>
      <w:bookmarkEnd w:id="37"/>
      <w:r>
        <w:rPr>
          <w:rStyle w:val="16"/>
          <w:rFonts w:ascii="黑体" w:hAnsi="黑体" w:eastAsia="黑体" w:cs="Times New Roman"/>
          <w:b w:val="0"/>
          <w:bCs w:val="0"/>
        </w:rPr>
        <w:tab/>
      </w:r>
    </w:p>
    <w:p>
      <w:pPr>
        <w:spacing w:line="600" w:lineRule="exact"/>
        <w:ind w:firstLine="645"/>
        <w:rPr>
          <w:rFonts w:hint="eastAsia" w:ascii="仿宋_GB2312" w:hAnsi="仿宋_GB2312" w:eastAsia="仿宋_GB2312" w:cs="仿宋_GB2312"/>
          <w:color w:val="000000"/>
        </w:rPr>
      </w:pPr>
      <w:r>
        <w:rPr>
          <w:rFonts w:hint="eastAsia" w:ascii="仿宋_GB2312" w:hAnsi="仿宋_GB2312" w:eastAsia="仿宋_GB2312" w:cs="仿宋_GB2312"/>
          <w:color w:val="000000"/>
        </w:rPr>
        <w:t>2020年一般公共预算财政拨款基本支出415.18万元，其中：</w:t>
      </w:r>
    </w:p>
    <w:p>
      <w:pPr>
        <w:keepNext w:val="0"/>
        <w:keepLines w:val="0"/>
        <w:pageBreakBefore w:val="0"/>
        <w:widowControl/>
        <w:kinsoku/>
        <w:wordWrap/>
        <w:overflowPunct/>
        <w:topLinePunct w:val="0"/>
        <w:autoSpaceDE/>
        <w:autoSpaceDN/>
        <w:bidi w:val="0"/>
        <w:adjustRightInd/>
        <w:snapToGrid/>
        <w:spacing w:line="596" w:lineRule="exact"/>
        <w:ind w:firstLine="640" w:firstLineChars="20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人员经费333.11万元，主要包括：</w:t>
      </w:r>
      <w:r>
        <w:rPr>
          <w:rFonts w:hint="eastAsia" w:ascii="仿宋_GB2312" w:hAnsi="仿宋_GB2312" w:eastAsia="仿宋_GB2312" w:cs="仿宋_GB2312"/>
          <w:color w:val="000000"/>
          <w:sz w:val="32"/>
          <w:szCs w:val="32"/>
        </w:rPr>
        <w:t>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仿宋_GB2312" w:hAnsi="仿宋_GB2312" w:eastAsia="仿宋_GB2312" w:cs="仿宋_GB2312"/>
          <w:color w:val="000000"/>
        </w:rPr>
        <w:t>。</w:t>
      </w:r>
    </w:p>
    <w:p>
      <w:pPr>
        <w:keepNext w:val="0"/>
        <w:keepLines w:val="0"/>
        <w:pageBreakBefore w:val="0"/>
        <w:widowControl/>
        <w:kinsoku/>
        <w:wordWrap/>
        <w:overflowPunct/>
        <w:topLinePunct w:val="0"/>
        <w:autoSpaceDE/>
        <w:autoSpaceDN/>
        <w:bidi w:val="0"/>
        <w:adjustRightInd/>
        <w:snapToGrid/>
        <w:spacing w:line="596" w:lineRule="exact"/>
        <w:ind w:firstLine="640" w:firstLineChars="20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日常公用经费82.07万元，主要包括：</w:t>
      </w:r>
      <w:r>
        <w:rPr>
          <w:rFonts w:hint="eastAsia" w:ascii="仿宋_GB2312" w:hAnsi="仿宋_GB2312" w:eastAsia="仿宋_GB2312" w:cs="仿宋_GB2312"/>
          <w:color w:val="000000"/>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firstLineChars="200"/>
        <w:rPr>
          <w:rFonts w:ascii="仿宋" w:hAnsi="仿宋" w:eastAsia="仿宋"/>
          <w:color w:val="000000"/>
        </w:rPr>
      </w:pPr>
    </w:p>
    <w:p>
      <w:pPr>
        <w:spacing w:line="600" w:lineRule="exact"/>
        <w:ind w:firstLine="640"/>
        <w:outlineLvl w:val="1"/>
        <w:rPr>
          <w:rStyle w:val="16"/>
          <w:rFonts w:ascii="黑体" w:hAnsi="黑体" w:eastAsia="黑体" w:cs="Times New Roman"/>
          <w:b w:val="0"/>
          <w:bCs w:val="0"/>
        </w:rPr>
      </w:pPr>
      <w:bookmarkStart w:id="38" w:name="_Toc15377215"/>
      <w:bookmarkStart w:id="39" w:name="_Toc15396609"/>
      <w:bookmarkStart w:id="40" w:name="_Toc6926"/>
      <w:r>
        <w:rPr>
          <w:rFonts w:hint="eastAsia" w:ascii="黑体" w:eastAsia="黑体" w:cs="黑体"/>
          <w:color w:val="000000"/>
        </w:rPr>
        <w:t>七、</w:t>
      </w:r>
      <w:r>
        <w:rPr>
          <w:rStyle w:val="16"/>
          <w:rFonts w:hint="eastAsia" w:ascii="黑体" w:hAnsi="黑体" w:eastAsia="黑体" w:cs="黑体"/>
        </w:rPr>
        <w:t>“</w:t>
      </w:r>
      <w:r>
        <w:rPr>
          <w:rStyle w:val="16"/>
          <w:rFonts w:hint="eastAsia" w:ascii="黑体" w:hAnsi="黑体" w:eastAsia="黑体" w:cs="黑体"/>
          <w:b w:val="0"/>
          <w:bCs w:val="0"/>
        </w:rPr>
        <w:t>三公”经费财政拨款支出决算情况说明</w:t>
      </w:r>
      <w:bookmarkEnd w:id="38"/>
      <w:bookmarkEnd w:id="39"/>
      <w:bookmarkEnd w:id="40"/>
    </w:p>
    <w:p>
      <w:pPr>
        <w:spacing w:line="600" w:lineRule="exact"/>
        <w:ind w:firstLine="482" w:firstLineChars="150"/>
        <w:outlineLvl w:val="2"/>
        <w:rPr>
          <w:rFonts w:hint="eastAsia" w:ascii="仿宋_GB2312" w:hAnsi="仿宋_GB2312" w:eastAsia="仿宋_GB2312" w:cs="仿宋_GB2312"/>
          <w:b/>
          <w:bCs/>
          <w:color w:val="000000"/>
        </w:rPr>
      </w:pPr>
      <w:bookmarkStart w:id="41" w:name="_Toc15377216"/>
      <w:r>
        <w:rPr>
          <w:rFonts w:hint="eastAsia" w:ascii="仿宋_GB2312" w:hAnsi="仿宋_GB2312" w:eastAsia="仿宋_GB2312" w:cs="仿宋_GB2312"/>
          <w:b/>
          <w:bCs/>
          <w:color w:val="000000"/>
        </w:rPr>
        <w:t>（一）“三公”经费财政拨款支出决算总体情况说明</w:t>
      </w:r>
      <w:bookmarkEnd w:id="41"/>
    </w:p>
    <w:p>
      <w:pPr>
        <w:keepNext w:val="0"/>
        <w:keepLines w:val="0"/>
        <w:pageBreakBefore w:val="0"/>
        <w:widowControl w:val="0"/>
        <w:kinsoku/>
        <w:wordWrap/>
        <w:overflowPunct/>
        <w:topLinePunct w:val="0"/>
        <w:autoSpaceDE/>
        <w:autoSpaceDN/>
        <w:bidi w:val="0"/>
        <w:adjustRightInd/>
        <w:snapToGrid/>
        <w:spacing w:line="596" w:lineRule="exact"/>
        <w:ind w:firstLine="641"/>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2020年“三公”经费财政拨款支出决算为0万元，完成预算0%，决算数小于预算数的主要原因是2020年我单位公务用车已报废。</w:t>
      </w:r>
    </w:p>
    <w:p>
      <w:pPr>
        <w:spacing w:line="600" w:lineRule="exact"/>
        <w:ind w:firstLine="640"/>
        <w:outlineLvl w:val="2"/>
        <w:rPr>
          <w:rFonts w:hint="eastAsia" w:ascii="仿宋_GB2312" w:hAnsi="仿宋_GB2312" w:eastAsia="仿宋_GB2312" w:cs="仿宋_GB2312"/>
          <w:b/>
          <w:bCs/>
          <w:color w:val="000000"/>
        </w:rPr>
      </w:pPr>
      <w:bookmarkStart w:id="42" w:name="_Toc15377217"/>
      <w:r>
        <w:rPr>
          <w:rFonts w:hint="eastAsia" w:ascii="仿宋_GB2312" w:hAnsi="仿宋_GB2312" w:eastAsia="仿宋_GB2312" w:cs="仿宋_GB2312"/>
          <w:b/>
          <w:bCs/>
          <w:color w:val="000000"/>
        </w:rPr>
        <w:t>（二）“三公”经费财政拨款支出决算具体情况说明</w:t>
      </w:r>
      <w:bookmarkEnd w:id="42"/>
    </w:p>
    <w:p>
      <w:pPr>
        <w:spacing w:line="600" w:lineRule="exact"/>
        <w:ind w:firstLine="640"/>
        <w:rPr>
          <w:rFonts w:hint="eastAsia" w:ascii="仿宋_GB2312" w:hAnsi="仿宋_GB2312" w:eastAsia="仿宋_GB2312" w:cs="仿宋_GB2312"/>
          <w:color w:val="000000"/>
        </w:rPr>
      </w:pPr>
      <w:r>
        <w:rPr>
          <w:rFonts w:hint="eastAsia" w:ascii="仿宋_GB2312" w:hAnsi="仿宋_GB2312" w:eastAsia="仿宋_GB2312" w:cs="仿宋_GB2312"/>
          <w:color w:val="000000"/>
        </w:rPr>
        <w:t>2020年“三公”经费财政拨款支出决算中，因公出国（境）费支出决算0万元，占0%；公务用车购置及运行维护费支出决算0万元，占0%；公务接待费支出决算0万元，占0%。具体情况如下：</w:t>
      </w:r>
    </w:p>
    <w:p>
      <w:pPr>
        <w:spacing w:line="600" w:lineRule="exact"/>
        <w:ind w:firstLine="640"/>
        <w:rPr>
          <w:rFonts w:hint="eastAsia" w:ascii="仿宋_GB2312" w:hAnsi="仿宋_GB2312" w:eastAsia="仿宋_GB2312" w:cs="仿宋_GB2312"/>
          <w:color w:val="000000"/>
        </w:rPr>
      </w:pPr>
    </w:p>
    <w:p>
      <w:pPr>
        <w:spacing w:line="600" w:lineRule="exact"/>
        <w:ind w:firstLine="960" w:firstLineChars="300"/>
        <w:rPr>
          <w:rFonts w:hint="eastAsia" w:ascii="仿宋_GB2312" w:hAnsi="仿宋_GB2312" w:eastAsia="仿宋_GB2312" w:cs="仿宋_GB2312"/>
          <w:color w:val="000000"/>
        </w:rPr>
      </w:pPr>
      <w:r>
        <w:rPr>
          <w:rFonts w:hint="eastAsia" w:ascii="仿宋_GB2312" w:hAnsi="仿宋_GB2312" w:eastAsia="仿宋_GB2312" w:cs="仿宋_GB2312"/>
          <w:color w:val="000000"/>
        </w:rPr>
        <w:t>（图7</w:t>
      </w:r>
      <w:bookmarkStart w:id="43" w:name="_Toc15377218"/>
      <w:bookmarkStart w:id="44" w:name="_Toc15396610"/>
      <w:r>
        <w:rPr>
          <w:rFonts w:hint="eastAsia" w:ascii="仿宋_GB2312" w:hAnsi="仿宋_GB2312" w:eastAsia="仿宋_GB2312" w:cs="仿宋_GB2312"/>
          <w:color w:val="000000"/>
        </w:rPr>
        <w:t>：“三公”经费财政拨款支出结构）</w:t>
      </w:r>
    </w:p>
    <w:p>
      <w:pPr>
        <w:spacing w:line="600" w:lineRule="exact"/>
        <w:ind w:firstLine="640"/>
        <w:rPr>
          <w:rFonts w:ascii="仿宋" w:hAnsi="仿宋" w:eastAsia="仿宋"/>
          <w:color w:val="000000"/>
        </w:rPr>
      </w:pPr>
      <w:r>
        <w:pict>
          <v:shape id="图表 8" o:spid="_x0000_s1029" o:spt="75" type="#_x0000_t75" style="position:absolute;left:0pt;margin-left:32.4pt;margin-top:0.75pt;height:167.5pt;width:317.3pt;mso-wrap-distance-bottom:0.15pt;mso-wrap-distance-left:9pt;mso-wrap-distance-right:9pt;mso-wrap-distance-top:0pt;z-index:251660288;mso-width-relative:page;mso-height-relative:page;" filled="f" o:preferrelative="t" stroked="f" coordsize="21600,21600">
            <v:path/>
            <v:fill on="f" focussize="0,0"/>
            <v:stroke on="f" joinstyle="miter"/>
            <v:imagedata r:id="rId22" o:title=""/>
            <o:lock v:ext="edit" aspectratio="f"/>
            <w10:wrap type="square"/>
          </v:shape>
        </w:pict>
      </w:r>
    </w:p>
    <w:p>
      <w:pPr>
        <w:spacing w:line="600" w:lineRule="exact"/>
        <w:ind w:firstLine="640"/>
        <w:rPr>
          <w:rFonts w:ascii="仿宋" w:hAnsi="仿宋" w:eastAsia="仿宋"/>
          <w:color w:val="000000"/>
        </w:rPr>
      </w:pPr>
    </w:p>
    <w:p>
      <w:pPr>
        <w:spacing w:line="600" w:lineRule="exact"/>
        <w:rPr>
          <w:rFonts w:ascii="仿宋" w:hAnsi="仿宋" w:eastAsia="仿宋"/>
          <w:color w:val="000000"/>
        </w:rPr>
      </w:pPr>
    </w:p>
    <w:p>
      <w:pPr>
        <w:spacing w:line="600" w:lineRule="exact"/>
        <w:outlineLvl w:val="1"/>
        <w:rPr>
          <w:rFonts w:ascii="黑体" w:eastAsia="黑体"/>
          <w:color w:val="000000"/>
        </w:rPr>
      </w:pPr>
    </w:p>
    <w:p>
      <w:pPr>
        <w:spacing w:line="600" w:lineRule="exact"/>
        <w:ind w:firstLine="640"/>
        <w:outlineLvl w:val="1"/>
        <w:rPr>
          <w:rFonts w:ascii="黑体" w:eastAsia="黑体"/>
          <w:color w:val="000000"/>
        </w:rPr>
      </w:pPr>
      <w:bookmarkStart w:id="45" w:name="_Toc9843"/>
    </w:p>
    <w:p>
      <w:pPr>
        <w:spacing w:line="600" w:lineRule="exact"/>
        <w:ind w:firstLine="640"/>
        <w:outlineLvl w:val="1"/>
        <w:rPr>
          <w:rFonts w:ascii="黑体" w:eastAsia="黑体"/>
          <w:color w:val="000000"/>
        </w:rPr>
      </w:pPr>
    </w:p>
    <w:p>
      <w:pPr>
        <w:spacing w:line="596" w:lineRule="exact"/>
        <w:ind w:firstLine="640"/>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1.因公出国（境）经费支出0万元，完成预算100%。全 </w:t>
      </w:r>
    </w:p>
    <w:p>
      <w:pPr>
        <w:spacing w:line="596"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年安排因公出国（境）团组0次，出国（境）0人。因公出 </w:t>
      </w:r>
    </w:p>
    <w:p>
      <w:pPr>
        <w:spacing w:line="596"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国（境）支出决算比 2019年增加0万元，增长0%。主要原 </w:t>
      </w:r>
    </w:p>
    <w:p>
      <w:pPr>
        <w:spacing w:line="596" w:lineRule="exact"/>
        <w:rPr>
          <w:rFonts w:hint="eastAsia" w:ascii="仿宋_GB2312" w:hAnsi="仿宋_GB2312" w:eastAsia="仿宋_GB2312" w:cs="仿宋_GB2312"/>
          <w:color w:val="000000"/>
        </w:rPr>
      </w:pPr>
      <w:r>
        <w:rPr>
          <w:rFonts w:hint="eastAsia" w:ascii="仿宋_GB2312" w:hAnsi="仿宋_GB2312" w:eastAsia="仿宋_GB2312" w:cs="仿宋_GB2312"/>
          <w:color w:val="000000"/>
        </w:rPr>
        <w:t>因是2020年全年未安排因公出国（境）。</w:t>
      </w:r>
    </w:p>
    <w:p>
      <w:pPr>
        <w:spacing w:line="596" w:lineRule="exact"/>
        <w:ind w:firstLine="640"/>
        <w:rPr>
          <w:rFonts w:hint="eastAsia" w:ascii="仿宋_GB2312" w:hAnsi="仿宋_GB2312" w:eastAsia="仿宋_GB2312" w:cs="仿宋_GB2312"/>
          <w:color w:val="000000"/>
        </w:rPr>
      </w:pPr>
      <w:r>
        <w:rPr>
          <w:rFonts w:hint="eastAsia" w:ascii="仿宋_GB2312" w:hAnsi="仿宋_GB2312" w:eastAsia="仿宋_GB2312" w:cs="仿宋_GB2312"/>
          <w:color w:val="000000"/>
        </w:rPr>
        <w:t>2.公务用车购置及运行维护费支出0万元,完成预算0%。公务用车购置及运行维护费支出决算比 2019年减少 1.24万元，减少100%。主要原因是2020年我单位的公务用车已报废。</w:t>
      </w:r>
    </w:p>
    <w:p>
      <w:pPr>
        <w:spacing w:line="596" w:lineRule="exact"/>
        <w:ind w:firstLine="641"/>
        <w:rPr>
          <w:rFonts w:hint="eastAsia" w:ascii="仿宋_GB2312" w:hAnsi="仿宋_GB2312" w:eastAsia="仿宋_GB2312" w:cs="仿宋_GB2312"/>
          <w:color w:val="000000"/>
        </w:rPr>
      </w:pPr>
      <w:r>
        <w:rPr>
          <w:rFonts w:hint="eastAsia" w:ascii="仿宋_GB2312" w:hAnsi="仿宋_GB2312" w:eastAsia="仿宋_GB2312" w:cs="仿宋_GB2312"/>
          <w:color w:val="000000"/>
        </w:rPr>
        <w:t>截至2020年12月底，单位共有公务用车0辆，轿车0辆、越野车0辆、载客汽车0辆、其他用车0辆。</w:t>
      </w:r>
    </w:p>
    <w:p>
      <w:pPr>
        <w:spacing w:line="596" w:lineRule="exact"/>
        <w:ind w:firstLine="641"/>
        <w:rPr>
          <w:rFonts w:hint="eastAsia" w:ascii="仿宋_GB2312" w:hAnsi="仿宋_GB2312" w:eastAsia="仿宋_GB2312" w:cs="仿宋_GB2312"/>
          <w:color w:val="000000"/>
        </w:rPr>
      </w:pPr>
      <w:r>
        <w:rPr>
          <w:rFonts w:hint="eastAsia" w:ascii="仿宋_GB2312" w:hAnsi="仿宋_GB2312" w:eastAsia="仿宋_GB2312" w:cs="仿宋_GB2312"/>
          <w:color w:val="000000"/>
        </w:rPr>
        <w:t>其中：公务用车购置支出 0万元。全年按规定更新购置公务用车0辆，其中：轿车0辆、金额0万元，越野车0辆、金额0万元，载客汽车0辆、金额0万元。</w:t>
      </w:r>
    </w:p>
    <w:p>
      <w:pPr>
        <w:spacing w:line="596" w:lineRule="exact"/>
        <w:ind w:firstLine="641"/>
        <w:rPr>
          <w:rFonts w:hint="eastAsia" w:ascii="仿宋_GB2312" w:hAnsi="仿宋_GB2312" w:eastAsia="仿宋_GB2312" w:cs="仿宋_GB2312"/>
          <w:color w:val="000000"/>
        </w:rPr>
      </w:pPr>
      <w:r>
        <w:rPr>
          <w:rFonts w:hint="eastAsia" w:ascii="仿宋_GB2312" w:hAnsi="仿宋_GB2312" w:eastAsia="仿宋_GB2312" w:cs="仿宋_GB2312"/>
          <w:color w:val="000000"/>
        </w:rPr>
        <w:t>公务用车运行维护费支出0万元。</w:t>
      </w:r>
    </w:p>
    <w:p>
      <w:pPr>
        <w:spacing w:line="596" w:lineRule="exact"/>
        <w:ind w:firstLine="641"/>
        <w:rPr>
          <w:rFonts w:hint="eastAsia" w:ascii="仿宋_GB2312" w:hAnsi="仿宋_GB2312" w:eastAsia="仿宋_GB2312" w:cs="仿宋_GB2312"/>
          <w:color w:val="000000"/>
        </w:rPr>
      </w:pPr>
      <w:r>
        <w:rPr>
          <w:rFonts w:hint="eastAsia" w:ascii="仿宋_GB2312" w:hAnsi="仿宋_GB2312" w:eastAsia="仿宋_GB2312" w:cs="仿宋_GB2312"/>
          <w:color w:val="000000"/>
        </w:rPr>
        <w:t>3.公务接待费支出 0万元，完成预算100%。公务接待费支出决算比 2019 年减少0万元，减少0%。主要原因是2019年至2020年我单位均未发生公务接待费支出。</w:t>
      </w:r>
    </w:p>
    <w:p>
      <w:pPr>
        <w:spacing w:line="596" w:lineRule="exact"/>
        <w:ind w:firstLine="641"/>
        <w:rPr>
          <w:rFonts w:hint="eastAsia" w:ascii="仿宋_GB2312" w:hAnsi="仿宋_GB2312" w:eastAsia="仿宋_GB2312" w:cs="仿宋_GB2312"/>
          <w:color w:val="000000"/>
        </w:rPr>
      </w:pPr>
      <w:r>
        <w:rPr>
          <w:rFonts w:hint="eastAsia" w:ascii="仿宋_GB2312" w:hAnsi="仿宋_GB2312" w:eastAsia="仿宋_GB2312" w:cs="仿宋_GB2312"/>
          <w:color w:val="000000"/>
        </w:rPr>
        <w:t>其中：国内公务接待支出 0万元，主要用于执行公务、开展业务活动开支的交通费、住宿费、用餐费等。国内公务接待0批次，0人次（不包括陪同人员）。</w:t>
      </w:r>
    </w:p>
    <w:p>
      <w:pPr>
        <w:spacing w:line="596" w:lineRule="exact"/>
        <w:ind w:firstLine="641"/>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外事接待支出0万元，外事接待0批次，0人次，共计支出0万元。 </w:t>
      </w:r>
    </w:p>
    <w:p>
      <w:pPr>
        <w:spacing w:line="600" w:lineRule="exact"/>
        <w:ind w:firstLine="640"/>
        <w:outlineLvl w:val="1"/>
        <w:rPr>
          <w:rStyle w:val="16"/>
          <w:rFonts w:ascii="黑体" w:hAnsi="黑体" w:eastAsia="黑体" w:cs="Times New Roman"/>
        </w:rPr>
      </w:pPr>
      <w:r>
        <w:rPr>
          <w:rFonts w:hint="eastAsia" w:ascii="黑体" w:eastAsia="黑体" w:cs="黑体"/>
          <w:color w:val="000000"/>
        </w:rPr>
        <w:t>八、</w:t>
      </w:r>
      <w:r>
        <w:rPr>
          <w:rStyle w:val="16"/>
          <w:rFonts w:hint="eastAsia" w:ascii="黑体" w:hAnsi="黑体" w:eastAsia="黑体" w:cs="黑体"/>
          <w:b w:val="0"/>
          <w:bCs w:val="0"/>
        </w:rPr>
        <w:t>政府性基金预算支出决算情况说明</w:t>
      </w:r>
      <w:bookmarkEnd w:id="43"/>
      <w:bookmarkEnd w:id="44"/>
      <w:bookmarkEnd w:id="45"/>
    </w:p>
    <w:p>
      <w:pPr>
        <w:spacing w:line="600" w:lineRule="exact"/>
        <w:ind w:firstLine="640"/>
        <w:rPr>
          <w:rFonts w:ascii="仿宋_GB2312"/>
          <w:color w:val="000000"/>
        </w:rPr>
      </w:pPr>
      <w:r>
        <w:rPr>
          <w:rFonts w:ascii="仿宋_GB2312" w:cs="仿宋_GB2312"/>
          <w:color w:val="000000"/>
        </w:rPr>
        <w:t>2020</w:t>
      </w:r>
      <w:r>
        <w:rPr>
          <w:rFonts w:hint="eastAsia" w:ascii="仿宋_GB2312" w:cs="仿宋_GB2312"/>
          <w:color w:val="000000"/>
        </w:rPr>
        <w:t>年政府性基金预算拨款支出</w:t>
      </w:r>
      <w:r>
        <w:rPr>
          <w:rFonts w:ascii="仿宋_GB2312" w:cs="仿宋_GB2312"/>
          <w:color w:val="000000"/>
        </w:rPr>
        <w:t>0</w:t>
      </w:r>
      <w:r>
        <w:rPr>
          <w:rFonts w:hint="eastAsia" w:ascii="仿宋_GB2312" w:cs="仿宋_GB2312"/>
          <w:color w:val="000000"/>
        </w:rPr>
        <w:t>万元。</w:t>
      </w:r>
    </w:p>
    <w:p>
      <w:pPr>
        <w:spacing w:line="600" w:lineRule="exact"/>
        <w:ind w:firstLine="640"/>
        <w:rPr>
          <w:rFonts w:ascii="仿宋_GB2312"/>
          <w:color w:val="000000"/>
        </w:rPr>
      </w:pPr>
    </w:p>
    <w:p>
      <w:pPr>
        <w:numPr>
          <w:ilvl w:val="0"/>
          <w:numId w:val="2"/>
        </w:numPr>
        <w:spacing w:line="600" w:lineRule="exact"/>
        <w:ind w:firstLine="640"/>
        <w:outlineLvl w:val="1"/>
        <w:rPr>
          <w:rStyle w:val="16"/>
          <w:rFonts w:ascii="黑体" w:hAnsi="黑体" w:eastAsia="黑体" w:cs="Times New Roman"/>
          <w:b w:val="0"/>
          <w:bCs w:val="0"/>
        </w:rPr>
      </w:pPr>
      <w:bookmarkStart w:id="46" w:name="_Toc10775"/>
      <w:bookmarkStart w:id="47" w:name="_Toc15396611"/>
      <w:bookmarkStart w:id="48" w:name="_Toc15377219"/>
      <w:r>
        <w:rPr>
          <w:rStyle w:val="16"/>
          <w:rFonts w:hint="eastAsia" w:ascii="黑体" w:hAnsi="黑体" w:eastAsia="黑体" w:cs="黑体"/>
          <w:b w:val="0"/>
          <w:bCs w:val="0"/>
        </w:rPr>
        <w:t>国有资本经营预算支出决算情况说明</w:t>
      </w:r>
      <w:bookmarkEnd w:id="46"/>
      <w:bookmarkEnd w:id="47"/>
      <w:bookmarkEnd w:id="48"/>
    </w:p>
    <w:p>
      <w:pPr>
        <w:spacing w:line="600" w:lineRule="exact"/>
        <w:ind w:firstLine="640"/>
        <w:rPr>
          <w:rFonts w:ascii="仿宋_GB2312"/>
          <w:color w:val="000000"/>
        </w:rPr>
      </w:pPr>
      <w:r>
        <w:rPr>
          <w:rFonts w:ascii="仿宋_GB2312" w:cs="仿宋_GB2312"/>
          <w:color w:val="000000"/>
        </w:rPr>
        <w:t>2020</w:t>
      </w:r>
      <w:r>
        <w:rPr>
          <w:rFonts w:hint="eastAsia" w:ascii="仿宋_GB2312" w:cs="仿宋_GB2312"/>
          <w:color w:val="000000"/>
        </w:rPr>
        <w:t>年国有资本经营预算拨款支出</w:t>
      </w:r>
      <w:r>
        <w:rPr>
          <w:rFonts w:ascii="仿宋_GB2312" w:cs="仿宋_GB2312"/>
          <w:color w:val="000000"/>
        </w:rPr>
        <w:t>0</w:t>
      </w:r>
      <w:r>
        <w:rPr>
          <w:rFonts w:hint="eastAsia" w:ascii="仿宋_GB2312" w:cs="仿宋_GB2312"/>
          <w:color w:val="000000"/>
        </w:rPr>
        <w:t>万元。</w:t>
      </w:r>
    </w:p>
    <w:p>
      <w:pPr>
        <w:spacing w:line="580" w:lineRule="exact"/>
        <w:jc w:val="center"/>
        <w:rPr>
          <w:rFonts w:ascii="方正小标宋简体" w:hAnsi="方正小标宋简体" w:eastAsia="方正小标宋简体"/>
          <w:sz w:val="44"/>
          <w:szCs w:val="44"/>
        </w:rPr>
      </w:pPr>
    </w:p>
    <w:p>
      <w:pPr>
        <w:spacing w:line="600" w:lineRule="exact"/>
        <w:ind w:firstLine="800" w:firstLineChars="250"/>
        <w:outlineLvl w:val="1"/>
        <w:rPr>
          <w:rStyle w:val="16"/>
          <w:rFonts w:ascii="黑体" w:hAnsi="黑体" w:eastAsia="黑体" w:cs="Times New Roman"/>
        </w:rPr>
      </w:pPr>
      <w:bookmarkStart w:id="49" w:name="_Toc15377221"/>
      <w:bookmarkStart w:id="50" w:name="_Toc15396612"/>
      <w:bookmarkStart w:id="51" w:name="_Toc738"/>
      <w:r>
        <w:rPr>
          <w:rFonts w:hint="eastAsia" w:ascii="黑体" w:hAnsi="黑体" w:eastAsia="黑体" w:cs="黑体"/>
          <w:color w:val="000000"/>
        </w:rPr>
        <w:t>十</w:t>
      </w:r>
      <w:r>
        <w:rPr>
          <w:rStyle w:val="16"/>
          <w:rFonts w:hint="eastAsia" w:ascii="黑体" w:hAnsi="黑体" w:eastAsia="黑体" w:cs="黑体"/>
        </w:rPr>
        <w:t>、</w:t>
      </w:r>
      <w:r>
        <w:rPr>
          <w:rStyle w:val="16"/>
          <w:rFonts w:hint="eastAsia" w:ascii="黑体" w:hAnsi="黑体" w:eastAsia="黑体" w:cs="黑体"/>
          <w:b w:val="0"/>
          <w:bCs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rPr>
      </w:pPr>
      <w:bookmarkStart w:id="52" w:name="_Toc15377222"/>
      <w:r>
        <w:rPr>
          <w:rFonts w:hint="eastAsia" w:ascii="仿宋" w:hAnsi="仿宋" w:eastAsia="仿宋" w:cs="仿宋"/>
          <w:b/>
          <w:bCs/>
          <w:color w:val="000000"/>
        </w:rPr>
        <w:t>（一）机关运行经费支出情况</w:t>
      </w:r>
      <w:bookmarkEnd w:id="52"/>
    </w:p>
    <w:p>
      <w:pPr>
        <w:spacing w:line="600" w:lineRule="exact"/>
        <w:ind w:firstLine="640" w:firstLineChars="200"/>
        <w:rPr>
          <w:rFonts w:hint="eastAsia" w:ascii="仿宋_GB2312" w:eastAsia="仿宋_GB2312"/>
          <w:color w:val="000000"/>
          <w:lang w:eastAsia="zh-CN"/>
        </w:rPr>
      </w:pPr>
      <w:r>
        <w:rPr>
          <w:rFonts w:hint="eastAsia" w:ascii="仿宋_GB2312" w:cs="仿宋_GB2312"/>
          <w:color w:val="000000"/>
          <w:lang w:eastAsia="zh-CN"/>
        </w:rPr>
        <w:t>自流井区五星街社区卫生服务中心</w:t>
      </w:r>
      <w:r>
        <w:rPr>
          <w:rFonts w:hint="eastAsia" w:ascii="仿宋_GB2312" w:cs="仿宋_GB2312"/>
          <w:color w:val="000000"/>
          <w:lang w:val="en-US" w:eastAsia="zh-CN"/>
        </w:rPr>
        <w:t>2020年无</w:t>
      </w:r>
      <w:r>
        <w:rPr>
          <w:rFonts w:hint="eastAsia" w:ascii="仿宋_GB2312" w:cs="仿宋_GB2312"/>
          <w:color w:val="000000"/>
        </w:rPr>
        <w:t>机关运行经费</w:t>
      </w:r>
      <w:r>
        <w:rPr>
          <w:rFonts w:hint="eastAsia" w:ascii="仿宋_GB2312" w:cs="仿宋_GB2312"/>
          <w:color w:val="000000"/>
          <w:lang w:eastAsia="zh-CN"/>
        </w:rPr>
        <w:t>。</w:t>
      </w:r>
    </w:p>
    <w:p>
      <w:pPr>
        <w:autoSpaceDE w:val="0"/>
        <w:autoSpaceDN w:val="0"/>
        <w:adjustRightInd w:val="0"/>
        <w:spacing w:line="600" w:lineRule="exact"/>
        <w:ind w:firstLine="643" w:firstLineChars="200"/>
        <w:jc w:val="left"/>
        <w:outlineLvl w:val="2"/>
        <w:rPr>
          <w:rFonts w:ascii="仿宋" w:hAnsi="仿宋" w:eastAsia="仿宋"/>
          <w:b/>
          <w:bCs/>
          <w:color w:val="000000"/>
        </w:rPr>
      </w:pPr>
      <w:bookmarkStart w:id="53" w:name="_Toc15377223"/>
      <w:r>
        <w:rPr>
          <w:rFonts w:hint="eastAsia" w:ascii="仿宋" w:hAnsi="仿宋" w:eastAsia="仿宋" w:cs="仿宋"/>
          <w:b/>
          <w:bCs/>
          <w:color w:val="000000"/>
        </w:rPr>
        <w:t>（二）政府采购支出情况</w:t>
      </w:r>
      <w:bookmarkEnd w:id="53"/>
    </w:p>
    <w:p>
      <w:pPr>
        <w:spacing w:line="600" w:lineRule="exact"/>
        <w:ind w:firstLine="64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2020年，政府采购支出总额0万元，其中：政府采购货物支出0万元、政府采购工程支出0万元、政府采购服务支出0万元。授予中小企业合同金额0万元，占政府采购支出总额的0%，</w:t>
      </w:r>
    </w:p>
    <w:p>
      <w:pPr>
        <w:autoSpaceDE w:val="0"/>
        <w:autoSpaceDN w:val="0"/>
        <w:adjustRightInd w:val="0"/>
        <w:spacing w:line="600" w:lineRule="exact"/>
        <w:ind w:firstLine="643" w:firstLineChars="200"/>
        <w:jc w:val="left"/>
        <w:outlineLvl w:val="2"/>
        <w:rPr>
          <w:rFonts w:ascii="仿宋" w:hAnsi="仿宋" w:eastAsia="仿宋"/>
          <w:b/>
          <w:bCs/>
          <w:color w:val="000000"/>
        </w:rPr>
      </w:pPr>
      <w:bookmarkStart w:id="54" w:name="_Toc15377224"/>
      <w:r>
        <w:rPr>
          <w:rFonts w:hint="eastAsia" w:ascii="仿宋" w:hAnsi="仿宋" w:eastAsia="仿宋" w:cs="仿宋"/>
          <w:b/>
          <w:bCs/>
          <w:color w:val="000000"/>
        </w:rPr>
        <w:t>（三）国有资产占有使用情况</w:t>
      </w:r>
      <w:bookmarkEnd w:id="54"/>
    </w:p>
    <w:p>
      <w:pPr>
        <w:autoSpaceDE w:val="0"/>
        <w:autoSpaceDN w:val="0"/>
        <w:adjustRightInd w:val="0"/>
        <w:spacing w:line="600" w:lineRule="exact"/>
        <w:ind w:firstLine="640" w:firstLineChars="200"/>
        <w:jc w:val="left"/>
        <w:rPr>
          <w:rFonts w:hint="eastAsia" w:ascii="仿宋_GB2312" w:hAnsi="仿宋_GB2312" w:eastAsia="仿宋_GB2312" w:cs="仿宋_GB2312"/>
          <w:b/>
          <w:bCs/>
          <w:color w:val="FF0000"/>
        </w:rPr>
      </w:pPr>
      <w:r>
        <w:rPr>
          <w:rFonts w:hint="eastAsia" w:ascii="仿宋_GB2312" w:hAnsi="仿宋_GB2312" w:eastAsia="仿宋_GB2312" w:cs="仿宋_GB2312"/>
          <w:color w:val="000000"/>
        </w:rPr>
        <w:t>截至2020年12月31日，共有车辆0辆，其中：主要领导干部用车0辆、机要通信用车0辆、应急保障用车0辆、其他用车0辆</w:t>
      </w:r>
      <w:r>
        <w:rPr>
          <w:rFonts w:hint="eastAsia" w:ascii="仿宋_GB2312" w:hAnsi="仿宋_GB2312" w:cs="仿宋_GB2312"/>
          <w:color w:val="000000"/>
          <w:lang w:val="en-US" w:eastAsia="zh-CN"/>
        </w:rPr>
        <w:t>,</w:t>
      </w:r>
      <w:r>
        <w:rPr>
          <w:rFonts w:hint="eastAsia" w:ascii="仿宋_GB2312" w:hAnsi="仿宋_GB2312" w:eastAsia="仿宋_GB2312" w:cs="仿宋_GB2312"/>
          <w:color w:val="000000"/>
        </w:rPr>
        <w:t>单价50万元以上通用设备0台（套），单价100万元以上专用设备0台（套）。</w:t>
      </w:r>
    </w:p>
    <w:p>
      <w:pPr>
        <w:autoSpaceDE w:val="0"/>
        <w:autoSpaceDN w:val="0"/>
        <w:adjustRightInd w:val="0"/>
        <w:spacing w:line="600" w:lineRule="exact"/>
        <w:ind w:firstLine="643" w:firstLineChars="200"/>
        <w:jc w:val="left"/>
        <w:outlineLvl w:val="2"/>
        <w:rPr>
          <w:rFonts w:ascii="仿宋" w:hAnsi="仿宋" w:eastAsia="仿宋"/>
          <w:b/>
          <w:bCs/>
          <w:color w:val="000000"/>
        </w:rPr>
      </w:pPr>
      <w:r>
        <w:rPr>
          <w:rFonts w:hint="eastAsia" w:ascii="仿宋" w:hAnsi="仿宋" w:eastAsia="仿宋" w:cs="仿宋"/>
          <w:b/>
          <w:bCs/>
          <w:color w:val="000000"/>
        </w:rPr>
        <w:t>（四）预算绩效管理情况。</w:t>
      </w:r>
    </w:p>
    <w:p>
      <w:pPr>
        <w:spacing w:line="58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根据预算绩效管理要求，自贡市自流井区</w:t>
      </w:r>
      <w:r>
        <w:rPr>
          <w:rFonts w:hint="eastAsia" w:ascii="仿宋_GB2312" w:hAnsi="仿宋_GB2312" w:cs="仿宋_GB2312"/>
          <w:color w:val="000000"/>
          <w:sz w:val="32"/>
          <w:szCs w:val="32"/>
          <w:lang w:eastAsia="zh-CN"/>
        </w:rPr>
        <w:t>五星街社区卫生</w:t>
      </w:r>
      <w:r>
        <w:rPr>
          <w:rFonts w:hint="eastAsia" w:ascii="仿宋_GB2312" w:hAnsi="仿宋_GB2312" w:eastAsia="仿宋_GB2312" w:cs="仿宋_GB2312"/>
          <w:color w:val="000000"/>
          <w:sz w:val="32"/>
          <w:szCs w:val="32"/>
        </w:rPr>
        <w:t>卫生</w:t>
      </w:r>
      <w:r>
        <w:rPr>
          <w:rFonts w:hint="eastAsia" w:ascii="仿宋_GB2312" w:hAnsi="仿宋_GB2312" w:cs="仿宋_GB2312"/>
          <w:color w:val="000000"/>
          <w:sz w:val="32"/>
          <w:szCs w:val="32"/>
          <w:lang w:eastAsia="zh-CN"/>
        </w:rPr>
        <w:t>服务中心</w:t>
      </w:r>
      <w:r>
        <w:rPr>
          <w:rFonts w:hint="eastAsia" w:ascii="仿宋_GB2312" w:hAnsi="仿宋_GB2312" w:eastAsia="仿宋_GB2312" w:cs="仿宋_GB2312"/>
          <w:color w:val="000000"/>
          <w:sz w:val="32"/>
          <w:szCs w:val="32"/>
        </w:rPr>
        <w:t>在年初预算编制阶段，对2个项目编制了绩效目标，预算执行过程中，选取2个项目开展绩效监控，年终执行完毕后，对2个项目开展了绩效目标完成情况梳理填报。</w:t>
      </w:r>
    </w:p>
    <w:p>
      <w:pPr>
        <w:spacing w:line="580" w:lineRule="exact"/>
        <w:ind w:firstLine="640" w:firstLineChars="200"/>
        <w:rPr>
          <w:rFonts w:ascii="仿宋_GB2312" w:hAnsi="仿宋_GB2312" w:eastAsia="仿宋_GB2312"/>
          <w:color w:val="000000"/>
          <w:sz w:val="32"/>
          <w:szCs w:val="32"/>
        </w:rPr>
      </w:pPr>
      <w:r>
        <w:rPr>
          <w:rFonts w:hint="eastAsia" w:ascii="仿宋_GB2312" w:hAnsi="仿宋_GB2312" w:eastAsia="仿宋_GB2312" w:cs="仿宋_GB2312"/>
          <w:color w:val="000000"/>
          <w:sz w:val="32"/>
          <w:szCs w:val="32"/>
        </w:rPr>
        <w:t>本单位按要求对</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年部门整体支出开展绩效自评，从评价情况来看全年支出确保了工资的及时足额发放，确保了各项社会保障费用和职工住房公积金及时足额缴纳，确保了机构的正常运转。</w:t>
      </w:r>
      <w:r>
        <w:rPr>
          <w:rFonts w:eastAsia="仿宋_GB2312"/>
          <w:color w:val="000000"/>
          <w:sz w:val="32"/>
          <w:szCs w:val="32"/>
        </w:rPr>
        <w:t>本</w:t>
      </w:r>
      <w:r>
        <w:rPr>
          <w:rFonts w:hint="eastAsia" w:eastAsia="仿宋_GB2312"/>
          <w:color w:val="000000"/>
          <w:sz w:val="32"/>
          <w:szCs w:val="32"/>
        </w:rPr>
        <w:t>单位2020年度</w:t>
      </w:r>
      <w:r>
        <w:rPr>
          <w:rFonts w:eastAsia="仿宋_GB2312"/>
          <w:color w:val="000000"/>
          <w:sz w:val="32"/>
          <w:szCs w:val="32"/>
        </w:rPr>
        <w:t>还自行组织了</w:t>
      </w:r>
      <w:r>
        <w:rPr>
          <w:rFonts w:hint="eastAsia" w:eastAsia="仿宋_GB2312"/>
          <w:color w:val="000000"/>
          <w:sz w:val="32"/>
          <w:szCs w:val="32"/>
        </w:rPr>
        <w:t>1</w:t>
      </w:r>
      <w:r>
        <w:rPr>
          <w:rFonts w:eastAsia="仿宋_GB2312"/>
          <w:color w:val="000000"/>
          <w:sz w:val="32"/>
          <w:szCs w:val="32"/>
        </w:rPr>
        <w:t>个项目支出绩效评价，从评价情况来看</w:t>
      </w:r>
      <w:r>
        <w:rPr>
          <w:rFonts w:hint="eastAsia" w:eastAsia="仿宋_GB2312"/>
          <w:color w:val="000000"/>
          <w:sz w:val="32"/>
          <w:szCs w:val="32"/>
        </w:rPr>
        <w:t>，项目总体达到了预计的目标。</w:t>
      </w:r>
      <w:r>
        <w:rPr>
          <w:rFonts w:hint="eastAsia" w:ascii="仿宋_GB2312" w:eastAsia="仿宋_GB2312" w:cs="仿宋_GB2312"/>
          <w:color w:val="000000"/>
          <w:kern w:val="0"/>
          <w:sz w:val="32"/>
          <w:szCs w:val="32"/>
        </w:rPr>
        <w:t xml:space="preserve">   </w:t>
      </w:r>
    </w:p>
    <w:p>
      <w:pPr>
        <w:spacing w:line="580" w:lineRule="exact"/>
        <w:ind w:firstLine="640" w:firstLineChars="200"/>
        <w:rPr>
          <w:rFonts w:hint="eastAsia" w:ascii="仿宋_GB2312" w:hAnsi="仿宋_GB2312" w:eastAsia="仿宋_GB2312" w:cs="仿宋_GB2312"/>
          <w:color w:val="000000"/>
          <w:sz w:val="32"/>
          <w:szCs w:val="32"/>
          <w:lang w:eastAsia="zh-CN"/>
        </w:rPr>
      </w:pP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项目绩效目标完成情况。</w:t>
      </w:r>
    </w:p>
    <w:p>
      <w:pPr>
        <w:spacing w:line="58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本单位在</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年度部门决算中反映“基本公共卫生服务”等1个项目绩效目标实际完成情况。</w:t>
      </w:r>
    </w:p>
    <w:tbl>
      <w:tblPr>
        <w:tblStyle w:val="11"/>
        <w:tblpPr w:leftFromText="180" w:rightFromText="180" w:vertAnchor="text" w:horzAnchor="page" w:tblpXSpec="center" w:tblpY="358"/>
        <w:tblOverlap w:val="never"/>
        <w:tblW w:w="9580" w:type="dxa"/>
        <w:jc w:val="center"/>
        <w:tblLayout w:type="fixed"/>
        <w:tblCellMar>
          <w:top w:w="0" w:type="dxa"/>
          <w:left w:w="0" w:type="dxa"/>
          <w:bottom w:w="0" w:type="dxa"/>
          <w:right w:w="0" w:type="dxa"/>
        </w:tblCellMar>
      </w:tblPr>
      <w:tblGrid>
        <w:gridCol w:w="899"/>
        <w:gridCol w:w="1647"/>
        <w:gridCol w:w="653"/>
        <w:gridCol w:w="331"/>
        <w:gridCol w:w="1589"/>
        <w:gridCol w:w="2229"/>
        <w:gridCol w:w="2232"/>
      </w:tblGrid>
      <w:tr>
        <w:tblPrEx>
          <w:tblCellMar>
            <w:top w:w="0" w:type="dxa"/>
            <w:left w:w="0" w:type="dxa"/>
            <w:bottom w:w="0" w:type="dxa"/>
            <w:right w:w="0" w:type="dxa"/>
          </w:tblCellMar>
        </w:tblPrEx>
        <w:trPr>
          <w:trHeight w:val="1465" w:hRule="atLeast"/>
          <w:jc w:val="center"/>
        </w:trPr>
        <w:tc>
          <w:tcPr>
            <w:tcW w:w="9580" w:type="dxa"/>
            <w:gridSpan w:val="7"/>
            <w:tcBorders>
              <w:top w:val="nil"/>
              <w:left w:val="nil"/>
              <w:bottom w:val="nil"/>
              <w:right w:val="nil"/>
            </w:tcBorders>
            <w:noWrap w:val="0"/>
            <w:tcMar>
              <w:top w:w="15" w:type="dxa"/>
              <w:left w:w="15" w:type="dxa"/>
              <w:right w:w="15" w:type="dxa"/>
            </w:tcMar>
            <w:vAlign w:val="center"/>
          </w:tcPr>
          <w:p>
            <w:pPr>
              <w:widowControl/>
              <w:spacing w:line="560" w:lineRule="exact"/>
              <w:jc w:val="center"/>
              <w:textAlignment w:val="center"/>
              <w:rPr>
                <w:rFonts w:hint="eastAsia" w:ascii="宋体" w:hAnsi="宋体" w:eastAsia="宋体"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spacing w:line="560" w:lineRule="exact"/>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496" w:hRule="atLeast"/>
          <w:jc w:val="center"/>
        </w:trPr>
        <w:tc>
          <w:tcPr>
            <w:tcW w:w="319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6381"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eastAsia="仿宋_GB2312" w:cs="宋体"/>
                <w:color w:val="000000"/>
                <w:sz w:val="24"/>
              </w:rPr>
            </w:pPr>
            <w:r>
              <w:rPr>
                <w:rFonts w:hint="eastAsia" w:ascii="宋体" w:cs="宋体"/>
                <w:color w:val="000000"/>
                <w:sz w:val="24"/>
              </w:rPr>
              <w:t>基本公共卫生服务</w:t>
            </w:r>
          </w:p>
        </w:tc>
      </w:tr>
      <w:tr>
        <w:tblPrEx>
          <w:tblCellMar>
            <w:top w:w="0" w:type="dxa"/>
            <w:left w:w="0" w:type="dxa"/>
            <w:bottom w:w="0" w:type="dxa"/>
            <w:right w:w="0" w:type="dxa"/>
          </w:tblCellMar>
        </w:tblPrEx>
        <w:trPr>
          <w:trHeight w:val="496" w:hRule="atLeast"/>
          <w:jc w:val="center"/>
        </w:trPr>
        <w:tc>
          <w:tcPr>
            <w:tcW w:w="319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6381"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hint="eastAsia" w:ascii="宋体" w:eastAsia="仿宋_GB2312" w:cs="宋体"/>
                <w:color w:val="000000"/>
                <w:sz w:val="24"/>
                <w:lang w:eastAsia="zh-CN"/>
              </w:rPr>
            </w:pPr>
            <w:r>
              <w:rPr>
                <w:rFonts w:hint="eastAsia" w:ascii="宋体" w:cs="宋体"/>
                <w:color w:val="000000"/>
                <w:sz w:val="24"/>
              </w:rPr>
              <w:t>自贡市自流井区</w:t>
            </w:r>
            <w:r>
              <w:rPr>
                <w:rFonts w:hint="eastAsia" w:ascii="宋体" w:cs="宋体"/>
                <w:color w:val="000000"/>
                <w:sz w:val="24"/>
                <w:lang w:eastAsia="zh-CN"/>
              </w:rPr>
              <w:t>五星街社区卫生服务中心</w:t>
            </w:r>
          </w:p>
        </w:tc>
      </w:tr>
      <w:tr>
        <w:tblPrEx>
          <w:tblCellMar>
            <w:top w:w="0" w:type="dxa"/>
            <w:left w:w="0" w:type="dxa"/>
            <w:bottom w:w="0" w:type="dxa"/>
            <w:right w:w="0" w:type="dxa"/>
          </w:tblCellMar>
        </w:tblPrEx>
        <w:trPr>
          <w:trHeight w:val="496" w:hRule="atLeast"/>
          <w:jc w:val="center"/>
        </w:trPr>
        <w:tc>
          <w:tcPr>
            <w:tcW w:w="89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19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eastAsia="仿宋_GB2312" w:cs="宋体"/>
                <w:color w:val="000000"/>
                <w:sz w:val="24"/>
              </w:rPr>
            </w:pPr>
            <w:r>
              <w:rPr>
                <w:rFonts w:hint="eastAsia" w:ascii="宋体" w:cs="宋体"/>
                <w:color w:val="000000"/>
                <w:sz w:val="24"/>
                <w:lang w:val="en-US" w:eastAsia="zh-CN"/>
              </w:rPr>
              <w:t>29.72</w:t>
            </w:r>
            <w:r>
              <w:rPr>
                <w:rFonts w:hint="eastAsia" w:ascii="宋体" w:cs="宋体"/>
                <w:color w:val="000000"/>
                <w:sz w:val="24"/>
              </w:rPr>
              <w:t>万元</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eastAsia="仿宋_GB2312" w:cs="宋体"/>
                <w:color w:val="000000"/>
                <w:sz w:val="24"/>
              </w:rPr>
            </w:pPr>
            <w:r>
              <w:rPr>
                <w:rFonts w:hint="eastAsia" w:ascii="宋体" w:cs="宋体"/>
                <w:color w:val="000000"/>
                <w:sz w:val="24"/>
                <w:lang w:val="en-US" w:eastAsia="zh-CN"/>
              </w:rPr>
              <w:t>29.72</w:t>
            </w:r>
            <w:r>
              <w:rPr>
                <w:rFonts w:hint="eastAsia" w:ascii="宋体" w:cs="宋体"/>
                <w:color w:val="000000"/>
                <w:sz w:val="24"/>
              </w:rPr>
              <w:t>万元</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ascii="宋体" w:cs="宋体"/>
                <w:color w:val="000000"/>
                <w:sz w:val="24"/>
              </w:rPr>
            </w:pPr>
          </w:p>
        </w:tc>
        <w:tc>
          <w:tcPr>
            <w:tcW w:w="23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19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eastAsia="仿宋_GB2312" w:cs="宋体"/>
                <w:color w:val="000000"/>
                <w:sz w:val="24"/>
              </w:rPr>
            </w:pPr>
            <w:r>
              <w:rPr>
                <w:rFonts w:hint="eastAsia" w:ascii="宋体" w:cs="宋体"/>
                <w:color w:val="000000"/>
                <w:sz w:val="24"/>
                <w:lang w:val="en-US" w:eastAsia="zh-CN"/>
              </w:rPr>
              <w:t>29.72</w:t>
            </w:r>
            <w:r>
              <w:rPr>
                <w:rFonts w:hint="eastAsia" w:ascii="宋体" w:cs="宋体"/>
                <w:color w:val="000000"/>
                <w:sz w:val="24"/>
              </w:rPr>
              <w:t>万元</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eastAsia="仿宋_GB2312" w:cs="宋体"/>
                <w:color w:val="000000"/>
                <w:sz w:val="24"/>
              </w:rPr>
            </w:pPr>
            <w:r>
              <w:rPr>
                <w:rFonts w:hint="eastAsia" w:ascii="宋体" w:cs="宋体"/>
                <w:color w:val="000000"/>
                <w:sz w:val="24"/>
                <w:lang w:val="en-US" w:eastAsia="zh-CN"/>
              </w:rPr>
              <w:t>29.72</w:t>
            </w:r>
            <w:r>
              <w:rPr>
                <w:rFonts w:hint="eastAsia" w:ascii="宋体" w:cs="宋体"/>
                <w:color w:val="000000"/>
                <w:sz w:val="24"/>
              </w:rPr>
              <w:t>万元</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ascii="宋体" w:cs="宋体"/>
                <w:color w:val="000000"/>
                <w:sz w:val="24"/>
              </w:rPr>
            </w:pPr>
          </w:p>
        </w:tc>
        <w:tc>
          <w:tcPr>
            <w:tcW w:w="23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19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hint="eastAsia" w:ascii="宋体" w:cs="宋体"/>
                <w:color w:val="000000"/>
                <w:sz w:val="24"/>
              </w:rPr>
            </w:pPr>
            <w:r>
              <w:rPr>
                <w:rFonts w:hint="eastAsia" w:ascii="宋体" w:cs="宋体"/>
                <w:color w:val="000000"/>
                <w:sz w:val="24"/>
              </w:rPr>
              <w:t>0万元</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hint="eastAsia" w:ascii="宋体" w:cs="宋体"/>
                <w:color w:val="000000"/>
                <w:sz w:val="24"/>
              </w:rPr>
            </w:pPr>
            <w:r>
              <w:rPr>
                <w:rFonts w:hint="eastAsia" w:ascii="宋体" w:cs="宋体"/>
                <w:color w:val="000000"/>
                <w:sz w:val="24"/>
              </w:rPr>
              <w:t>0万元</w:t>
            </w:r>
          </w:p>
        </w:tc>
      </w:tr>
      <w:tr>
        <w:tblPrEx>
          <w:tblCellMar>
            <w:top w:w="0" w:type="dxa"/>
            <w:left w:w="0" w:type="dxa"/>
            <w:bottom w:w="0" w:type="dxa"/>
            <w:right w:w="0" w:type="dxa"/>
          </w:tblCellMar>
        </w:tblPrEx>
        <w:trPr>
          <w:trHeight w:val="496" w:hRule="atLeast"/>
          <w:jc w:val="center"/>
        </w:trPr>
        <w:tc>
          <w:tcPr>
            <w:tcW w:w="89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22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46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875" w:hRule="atLeast"/>
          <w:jc w:val="center"/>
        </w:trPr>
        <w:tc>
          <w:tcPr>
            <w:tcW w:w="89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rPr>
                <w:rFonts w:ascii="宋体" w:cs="宋体"/>
                <w:color w:val="000000"/>
                <w:sz w:val="24"/>
              </w:rPr>
            </w:pPr>
          </w:p>
        </w:tc>
        <w:tc>
          <w:tcPr>
            <w:tcW w:w="422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sz w:val="24"/>
              </w:rPr>
            </w:pPr>
            <w:r>
              <w:rPr>
                <w:rFonts w:hint="eastAsia" w:ascii="宋体" w:hAnsi="宋体" w:cs="宋体"/>
                <w:color w:val="000000"/>
                <w:sz w:val="24"/>
              </w:rPr>
              <w:t>为辖区内居民提供免费基本公共卫生服务</w:t>
            </w:r>
          </w:p>
        </w:tc>
        <w:tc>
          <w:tcPr>
            <w:tcW w:w="446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sz w:val="24"/>
              </w:rPr>
            </w:pPr>
            <w:r>
              <w:rPr>
                <w:rFonts w:hint="eastAsia" w:ascii="宋体" w:hAnsi="宋体" w:cs="宋体"/>
                <w:color w:val="000000"/>
                <w:sz w:val="24"/>
              </w:rPr>
              <w:t>全面落实为辖区内居民提供免费基本公共卫生服务</w:t>
            </w:r>
          </w:p>
        </w:tc>
      </w:tr>
      <w:tr>
        <w:tblPrEx>
          <w:tblCellMar>
            <w:top w:w="0" w:type="dxa"/>
            <w:left w:w="0" w:type="dxa"/>
            <w:bottom w:w="0" w:type="dxa"/>
            <w:right w:w="0" w:type="dxa"/>
          </w:tblCellMar>
        </w:tblPrEx>
        <w:trPr>
          <w:trHeight w:val="919" w:hRule="atLeast"/>
          <w:jc w:val="center"/>
        </w:trPr>
        <w:tc>
          <w:tcPr>
            <w:tcW w:w="899" w:type="dxa"/>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sz w:val="24"/>
              </w:rPr>
              <w:t>绩效指标完成情况</w:t>
            </w: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数量指标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贫困居民健康档案电子建档率</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hint="default" w:ascii="宋体" w:eastAsia="仿宋_GB2312" w:cs="宋体"/>
                <w:color w:val="000000"/>
                <w:sz w:val="24"/>
                <w:lang w:val="en-US" w:eastAsia="zh-CN"/>
              </w:rPr>
            </w:pPr>
            <w:r>
              <w:rPr>
                <w:rFonts w:hint="eastAsia" w:ascii="宋体" w:cs="宋体"/>
                <w:color w:val="000000"/>
                <w:sz w:val="24"/>
                <w:szCs w:val="24"/>
                <w:lang w:val="en-US" w:eastAsia="zh-CN"/>
              </w:rPr>
              <w:t>93%</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lang w:val="en-US" w:eastAsia="zh-CN"/>
              </w:rPr>
              <w:t>97</w:t>
            </w:r>
            <w:r>
              <w:rPr>
                <w:rFonts w:hint="eastAsia" w:ascii="宋体" w:cs="宋体"/>
                <w:color w:val="000000"/>
                <w:sz w:val="24"/>
                <w:szCs w:val="24"/>
              </w:rPr>
              <w:t>%</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数量指标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居民健康档案</w:t>
            </w:r>
            <w:r>
              <w:rPr>
                <w:rFonts w:hint="eastAsia" w:ascii="宋体" w:hAnsi="宋体" w:cs="宋体"/>
                <w:color w:val="000000"/>
                <w:kern w:val="0"/>
                <w:sz w:val="24"/>
                <w:lang w:eastAsia="zh-CN" w:bidi="ar"/>
              </w:rPr>
              <w:t>动态管理率</w:t>
            </w:r>
            <w:r>
              <w:rPr>
                <w:rFonts w:hint="eastAsia" w:ascii="宋体" w:hAnsi="宋体" w:cs="宋体"/>
                <w:color w:val="000000"/>
                <w:kern w:val="0"/>
                <w:sz w:val="24"/>
                <w:lang w:bidi="ar"/>
              </w:rPr>
              <w:t>率</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lang w:val="en-US" w:eastAsia="zh-CN"/>
              </w:rPr>
              <w:t>60</w:t>
            </w:r>
            <w:r>
              <w:rPr>
                <w:rFonts w:hint="eastAsia" w:ascii="宋体" w:cs="宋体"/>
                <w:color w:val="000000"/>
                <w:sz w:val="24"/>
                <w:szCs w:val="24"/>
              </w:rPr>
              <w:t>%</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lang w:val="en-US" w:eastAsia="zh-CN"/>
              </w:rPr>
              <w:t>60</w:t>
            </w:r>
            <w:r>
              <w:rPr>
                <w:rFonts w:hint="eastAsia" w:ascii="宋体" w:cs="宋体"/>
                <w:color w:val="000000"/>
                <w:sz w:val="24"/>
                <w:szCs w:val="24"/>
              </w:rPr>
              <w:t>%</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时效指标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资金支付进度</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rPr>
              <w:t>及时支付</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rPr>
              <w:t>及时支付</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textAlignment w:val="center"/>
              <w:rPr>
                <w:rFonts w:ascii="宋体" w:hAnsi="宋体" w:cs="宋体"/>
                <w:color w:val="000000"/>
                <w:kern w:val="0"/>
                <w:sz w:val="24"/>
                <w:lang w:bidi="ar"/>
              </w:rPr>
            </w:pPr>
            <w:r>
              <w:rPr>
                <w:rFonts w:hint="eastAsia" w:ascii="宋体" w:hAnsi="宋体" w:cs="宋体"/>
                <w:color w:val="000000"/>
                <w:kern w:val="0"/>
                <w:sz w:val="24"/>
                <w:lang w:bidi="ar"/>
              </w:rPr>
              <w:t>社会效益指标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textAlignment w:val="center"/>
              <w:rPr>
                <w:rFonts w:ascii="宋体" w:hAnsi="宋体" w:cs="宋体"/>
                <w:color w:val="000000"/>
                <w:kern w:val="0"/>
                <w:sz w:val="24"/>
                <w:lang w:bidi="ar"/>
              </w:rPr>
            </w:pPr>
            <w:r>
              <w:rPr>
                <w:rFonts w:hint="eastAsia" w:ascii="宋体" w:hAnsi="宋体" w:cs="宋体"/>
                <w:color w:val="000000"/>
                <w:kern w:val="0"/>
                <w:sz w:val="24"/>
                <w:lang w:bidi="ar"/>
              </w:rPr>
              <w:t>居民健康水平和意识</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rPr>
              <w:t>得到提升</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rPr>
              <w:t>得到提升</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经济效益指标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慢病规范管理率</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rPr>
              <w:t>9</w:t>
            </w:r>
            <w:r>
              <w:rPr>
                <w:rFonts w:hint="eastAsia" w:ascii="宋体" w:cs="宋体"/>
                <w:color w:val="000000"/>
                <w:sz w:val="24"/>
                <w:szCs w:val="24"/>
                <w:lang w:val="en-US" w:eastAsia="zh-CN"/>
              </w:rPr>
              <w:t>0</w:t>
            </w:r>
            <w:r>
              <w:rPr>
                <w:rFonts w:hint="eastAsia" w:ascii="宋体" w:cs="宋体"/>
                <w:color w:val="000000"/>
                <w:sz w:val="24"/>
                <w:szCs w:val="24"/>
              </w:rPr>
              <w:t>%</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szCs w:val="24"/>
              </w:rPr>
              <w:t>95%</w:t>
            </w:r>
          </w:p>
        </w:tc>
      </w:tr>
      <w:tr>
        <w:tblPrEx>
          <w:tblCellMar>
            <w:top w:w="0" w:type="dxa"/>
            <w:left w:w="0" w:type="dxa"/>
            <w:bottom w:w="0" w:type="dxa"/>
            <w:right w:w="0" w:type="dxa"/>
          </w:tblCellMar>
        </w:tblPrEx>
        <w:trPr>
          <w:trHeight w:val="496"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p>
        </w:tc>
        <w:tc>
          <w:tcPr>
            <w:tcW w:w="16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984" w:type="dxa"/>
            <w:gridSpan w:val="2"/>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满意度指标</w:t>
            </w:r>
          </w:p>
        </w:tc>
        <w:tc>
          <w:tcPr>
            <w:tcW w:w="15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服务对象满意度</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rPr>
              <w:t>98%</w:t>
            </w:r>
          </w:p>
        </w:tc>
        <w:tc>
          <w:tcPr>
            <w:tcW w:w="223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240" w:lineRule="exact"/>
              <w:jc w:val="center"/>
              <w:textAlignment w:val="center"/>
              <w:rPr>
                <w:rFonts w:ascii="宋体" w:cs="宋体"/>
                <w:color w:val="000000"/>
                <w:sz w:val="24"/>
              </w:rPr>
            </w:pPr>
            <w:r>
              <w:rPr>
                <w:rFonts w:hint="eastAsia" w:ascii="宋体" w:cs="宋体"/>
                <w:color w:val="000000"/>
                <w:sz w:val="24"/>
              </w:rPr>
              <w:t>98%</w:t>
            </w:r>
          </w:p>
        </w:tc>
      </w:tr>
    </w:tbl>
    <w:p>
      <w:pPr>
        <w:spacing w:line="580" w:lineRule="exact"/>
        <w:ind w:firstLine="640" w:firstLineChars="200"/>
        <w:rPr>
          <w:rFonts w:hint="eastAsia" w:ascii="仿宋_GB2312" w:hAnsi="仿宋_GB2312" w:eastAsia="仿宋_GB2312" w:cs="仿宋_GB2312"/>
          <w:color w:val="000000"/>
          <w:sz w:val="32"/>
          <w:szCs w:val="32"/>
        </w:rPr>
      </w:pPr>
    </w:p>
    <w:p>
      <w:pPr>
        <w:spacing w:line="580" w:lineRule="exact"/>
        <w:ind w:firstLine="640" w:firstLineChars="200"/>
        <w:rPr>
          <w:rFonts w:hint="eastAsia" w:ascii="仿宋_GB2312" w:hAnsi="仿宋_GB2312" w:eastAsia="仿宋_GB2312" w:cs="仿宋_GB2312"/>
        </w:rPr>
      </w:pPr>
    </w:p>
    <w:p>
      <w:pPr>
        <w:spacing w:line="58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2.部门绩效评价结果。</w:t>
      </w:r>
    </w:p>
    <w:p>
      <w:pPr>
        <w:spacing w:line="58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本单位按要求对</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年部门整体支出绩效评价情况开展了自评，《自贡市自流井区</w:t>
      </w:r>
      <w:r>
        <w:rPr>
          <w:rFonts w:hint="eastAsia" w:ascii="仿宋_GB2312" w:hAnsi="仿宋_GB2312" w:cs="仿宋_GB2312"/>
          <w:color w:val="000000"/>
          <w:sz w:val="32"/>
          <w:szCs w:val="32"/>
          <w:lang w:eastAsia="zh-CN"/>
        </w:rPr>
        <w:t>五星街社区卫生服务中心</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年部门整体支出绩效评价报告》见附件1。</w:t>
      </w:r>
    </w:p>
    <w:p>
      <w:pPr>
        <w:spacing w:line="58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本单位自行组织对1个项目开展了绩效评价，《“基本公共卫生服务”项目</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年绩效评价报告》见附件2。</w:t>
      </w:r>
    </w:p>
    <w:p>
      <w:pPr>
        <w:spacing w:line="580" w:lineRule="exact"/>
        <w:ind w:firstLine="640" w:firstLineChars="200"/>
        <w:rPr>
          <w:rFonts w:hint="eastAsia" w:ascii="仿宋_GB2312" w:hAnsi="仿宋_GB2312" w:eastAsia="仿宋_GB2312" w:cs="仿宋_GB2312"/>
          <w:color w:val="000000"/>
          <w:sz w:val="32"/>
          <w:szCs w:val="32"/>
        </w:rPr>
      </w:pPr>
    </w:p>
    <w:p>
      <w:pPr>
        <w:spacing w:line="580" w:lineRule="exact"/>
        <w:ind w:firstLine="640" w:firstLineChars="200"/>
        <w:rPr>
          <w:rFonts w:ascii="仿宋_GB2312"/>
        </w:rPr>
      </w:pPr>
    </w:p>
    <w:p>
      <w:pPr>
        <w:spacing w:line="580" w:lineRule="exact"/>
        <w:ind w:firstLine="640" w:firstLineChars="200"/>
        <w:rPr>
          <w:rFonts w:ascii="仿宋_GB2312"/>
        </w:rPr>
      </w:pPr>
    </w:p>
    <w:p>
      <w:pPr>
        <w:spacing w:line="580" w:lineRule="exact"/>
        <w:ind w:firstLine="640" w:firstLineChars="200"/>
        <w:rPr>
          <w:rFonts w:ascii="仿宋_GB2312"/>
        </w:rPr>
      </w:pPr>
    </w:p>
    <w:p>
      <w:pPr>
        <w:spacing w:line="580" w:lineRule="exact"/>
        <w:ind w:firstLine="640" w:firstLineChars="200"/>
        <w:rPr>
          <w:rFonts w:ascii="仿宋_GB2312"/>
        </w:rPr>
      </w:pPr>
    </w:p>
    <w:p>
      <w:pPr>
        <w:spacing w:line="580" w:lineRule="exact"/>
        <w:ind w:firstLine="640" w:firstLineChars="200"/>
        <w:rPr>
          <w:rFonts w:ascii="仿宋_GB2312"/>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ind w:firstLine="643" w:firstLineChars="200"/>
        <w:rPr>
          <w:rFonts w:ascii="仿宋_GB2312"/>
          <w:b/>
          <w:bCs/>
          <w:color w:val="000000"/>
        </w:rPr>
      </w:pPr>
    </w:p>
    <w:p>
      <w:pPr>
        <w:spacing w:line="580" w:lineRule="exact"/>
        <w:rPr>
          <w:rFonts w:ascii="仿宋_GB2312"/>
          <w:b/>
          <w:bCs/>
          <w:color w:val="000000"/>
        </w:rPr>
      </w:pPr>
    </w:p>
    <w:p>
      <w:pPr>
        <w:numPr>
          <w:ilvl w:val="0"/>
          <w:numId w:val="3"/>
        </w:numPr>
        <w:spacing w:line="600" w:lineRule="exact"/>
        <w:ind w:firstLine="660" w:firstLineChars="150"/>
        <w:jc w:val="center"/>
        <w:outlineLvl w:val="0"/>
        <w:rPr>
          <w:rStyle w:val="15"/>
          <w:rFonts w:ascii="黑体" w:hAnsi="黑体" w:eastAsia="黑体"/>
          <w:b w:val="0"/>
          <w:bCs w:val="0"/>
        </w:rPr>
      </w:pPr>
      <w:bookmarkStart w:id="55" w:name="_Toc15396613"/>
      <w:bookmarkStart w:id="56" w:name="_Toc15377225"/>
      <w:bookmarkStart w:id="57" w:name="_Toc3536"/>
      <w:r>
        <w:rPr>
          <w:rFonts w:hint="eastAsia" w:ascii="黑体" w:hAnsi="黑体" w:eastAsia="黑体" w:cs="黑体"/>
          <w:color w:val="000000"/>
          <w:sz w:val="44"/>
          <w:szCs w:val="44"/>
        </w:rPr>
        <w:t>名</w:t>
      </w:r>
      <w:r>
        <w:rPr>
          <w:rStyle w:val="15"/>
          <w:rFonts w:hint="eastAsia" w:ascii="黑体" w:hAnsi="黑体" w:eastAsia="黑体" w:cs="黑体"/>
          <w:b w:val="0"/>
          <w:bCs w:val="0"/>
        </w:rPr>
        <w:t>词解释</w:t>
      </w:r>
      <w:bookmarkEnd w:id="55"/>
      <w:bookmarkEnd w:id="56"/>
      <w:bookmarkEnd w:id="57"/>
    </w:p>
    <w:p>
      <w:pPr>
        <w:spacing w:line="600" w:lineRule="exact"/>
        <w:jc w:val="left"/>
        <w:rPr>
          <w:rFonts w:ascii="宋体"/>
          <w:b/>
          <w:bCs/>
          <w:color w:val="000000"/>
          <w:sz w:val="44"/>
          <w:szCs w:val="44"/>
        </w:rPr>
      </w:pP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财政拨款收入：指单位从同级财政部门取得的财政预算资金。</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事业收入：指事业单位开展专业业务活动及辅助活动取得的收入。</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hint="eastAsia" w:ascii="仿宋_GB2312" w:eastAsia="仿宋_GB2312" w:cs="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经营收入：指事业单位在专业业务活动及其辅助活动之外开展非独立核算经营活动取得的收入。</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4.</w:t>
      </w:r>
      <w:r>
        <w:rPr>
          <w:rFonts w:hint="eastAsia" w:ascii="仿宋_GB2312" w:eastAsia="仿宋_GB2312" w:cs="仿宋_GB2312"/>
          <w:sz w:val="32"/>
          <w:szCs w:val="32"/>
        </w:rPr>
        <w:t>其他收入：指单位取得的除上述收入以外的各项收入。</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5.</w:t>
      </w:r>
      <w:r>
        <w:rPr>
          <w:rFonts w:hint="eastAsia" w:ascii="仿宋_GB2312" w:eastAsia="仿宋_GB2312" w:cs="仿宋_GB2312"/>
          <w:sz w:val="32"/>
          <w:szCs w:val="32"/>
        </w:rPr>
        <w:t>使用非财政拨款结余：指事业单位使用以前年度积累的非财政拨款结余弥补当年收支差额的金额。</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6.</w:t>
      </w:r>
      <w:r>
        <w:rPr>
          <w:rFonts w:hint="eastAsia" w:ascii="仿宋_GB2312" w:eastAsia="仿宋_GB2312" w:cs="仿宋_GB2312"/>
          <w:sz w:val="32"/>
          <w:szCs w:val="32"/>
        </w:rPr>
        <w:t>年初结转和结余：指以前年度尚未完成、结转到本年按有关规定继续使用的资金。</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7.</w:t>
      </w:r>
      <w:r>
        <w:rPr>
          <w:rFonts w:hint="eastAsia" w:ascii="仿宋_GB2312" w:eastAsia="仿宋_GB2312" w:cs="仿宋_GB2312"/>
          <w:sz w:val="32"/>
          <w:szCs w:val="32"/>
        </w:rPr>
        <w:t>结余分配：指事业单位按照会计制度规定缴纳的所得税、提取的专用结余以及转入非财政拨款结余的金额等。</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8</w:t>
      </w:r>
      <w:r>
        <w:rPr>
          <w:rFonts w:hint="eastAsia" w:ascii="仿宋_GB2312" w:eastAsia="仿宋_GB2312" w:cs="仿宋_GB2312"/>
          <w:sz w:val="32"/>
          <w:szCs w:val="32"/>
        </w:rPr>
        <w:t>、年末结转和结余：指单位按有关规定结转到下年或以后年度继续使用的资金。</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ascii="仿宋_GB2312"/>
          <w:color w:val="000000"/>
        </w:rPr>
      </w:pPr>
      <w:r>
        <w:rPr>
          <w:rFonts w:ascii="仿宋_GB2312" w:cs="仿宋_GB2312"/>
          <w:color w:val="000000"/>
        </w:rPr>
        <w:t>9</w:t>
      </w:r>
      <w:r>
        <w:rPr>
          <w:rFonts w:hint="eastAsia" w:ascii="仿宋_GB2312" w:cs="仿宋_GB2312"/>
          <w:color w:val="000000"/>
        </w:rPr>
        <w:t>、社会保障和就业类：指事业单位离退休。</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ascii="仿宋_GB2312"/>
          <w:color w:val="000000"/>
        </w:rPr>
      </w:pPr>
      <w:r>
        <w:rPr>
          <w:rFonts w:ascii="仿宋_GB2312" w:cs="仿宋_GB2312"/>
          <w:color w:val="000000"/>
        </w:rPr>
        <w:t>10</w:t>
      </w:r>
      <w:r>
        <w:rPr>
          <w:rFonts w:hint="eastAsia" w:ascii="仿宋_GB2312" w:cs="仿宋_GB2312"/>
          <w:color w:val="000000"/>
        </w:rPr>
        <w:t>、卫生健康（类）基层医疗卫生机构（款）城市社区</w:t>
      </w:r>
    </w:p>
    <w:p>
      <w:pPr>
        <w:keepNext w:val="0"/>
        <w:keepLines w:val="0"/>
        <w:pageBreakBefore w:val="0"/>
        <w:widowControl w:val="0"/>
        <w:kinsoku/>
        <w:wordWrap/>
        <w:overflowPunct/>
        <w:topLinePunct w:val="0"/>
        <w:autoSpaceDE/>
        <w:autoSpaceDN/>
        <w:bidi w:val="0"/>
        <w:adjustRightInd/>
        <w:snapToGrid/>
        <w:spacing w:line="596" w:lineRule="exact"/>
        <w:textAlignment w:val="auto"/>
        <w:rPr>
          <w:rFonts w:ascii="仿宋_GB2312"/>
          <w:color w:val="000000"/>
        </w:rPr>
      </w:pPr>
      <w:r>
        <w:rPr>
          <w:rFonts w:hint="eastAsia" w:ascii="仿宋_GB2312" w:cs="仿宋_GB2312"/>
          <w:color w:val="000000"/>
        </w:rPr>
        <w:t>卫生机构（项）</w:t>
      </w:r>
      <w:r>
        <w:rPr>
          <w:rFonts w:ascii="仿宋_GB2312" w:cs="仿宋_GB2312"/>
          <w:color w:val="000000"/>
        </w:rPr>
        <w:t xml:space="preserve">: </w:t>
      </w:r>
      <w:r>
        <w:rPr>
          <w:rFonts w:hint="eastAsia" w:ascii="仿宋_GB2312" w:cs="仿宋_GB2312"/>
          <w:color w:val="000000"/>
        </w:rPr>
        <w:t>指用于城市社区卫生机构的支出。</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ascii="仿宋_GB2312"/>
          <w:color w:val="000000"/>
        </w:rPr>
      </w:pPr>
      <w:r>
        <w:rPr>
          <w:rFonts w:ascii="仿宋_GB2312" w:cs="仿宋_GB2312"/>
          <w:color w:val="000000"/>
        </w:rPr>
        <w:t>11</w:t>
      </w:r>
      <w:r>
        <w:rPr>
          <w:rFonts w:hint="eastAsia" w:ascii="仿宋_GB2312" w:cs="仿宋_GB2312"/>
          <w:color w:val="000000"/>
        </w:rPr>
        <w:t>、卫生健康（类）基层医疗卫生机构（款）其他基层</w:t>
      </w:r>
    </w:p>
    <w:p>
      <w:pPr>
        <w:keepNext w:val="0"/>
        <w:keepLines w:val="0"/>
        <w:pageBreakBefore w:val="0"/>
        <w:widowControl w:val="0"/>
        <w:kinsoku/>
        <w:wordWrap/>
        <w:overflowPunct/>
        <w:topLinePunct w:val="0"/>
        <w:autoSpaceDE/>
        <w:autoSpaceDN/>
        <w:bidi w:val="0"/>
        <w:adjustRightInd/>
        <w:snapToGrid/>
        <w:spacing w:line="596" w:lineRule="exact"/>
        <w:textAlignment w:val="auto"/>
        <w:rPr>
          <w:rFonts w:ascii="仿宋_GB2312"/>
          <w:color w:val="000000"/>
        </w:rPr>
      </w:pPr>
      <w:r>
        <w:rPr>
          <w:rFonts w:hint="eastAsia" w:ascii="仿宋_GB2312" w:cs="仿宋_GB2312"/>
          <w:color w:val="000000"/>
        </w:rPr>
        <w:t>医疗卫生机构支出（项）</w:t>
      </w:r>
      <w:r>
        <w:rPr>
          <w:rFonts w:ascii="仿宋_GB2312" w:cs="仿宋_GB2312"/>
          <w:color w:val="000000"/>
        </w:rPr>
        <w:t xml:space="preserve">: </w:t>
      </w:r>
      <w:r>
        <w:rPr>
          <w:rFonts w:hint="eastAsia" w:ascii="仿宋_GB2312" w:cs="仿宋_GB2312"/>
          <w:color w:val="000000"/>
        </w:rPr>
        <w:t>指除城市社区卫生机构、乡镇卫生院以外的其他用于基层医疗卫生机构的支出。</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ascii="仿宋_GB2312"/>
          <w:color w:val="000000"/>
        </w:rPr>
      </w:pPr>
      <w:r>
        <w:rPr>
          <w:rFonts w:ascii="仿宋_GB2312" w:cs="仿宋_GB2312"/>
          <w:color w:val="000000"/>
        </w:rPr>
        <w:t>12</w:t>
      </w:r>
      <w:r>
        <w:rPr>
          <w:rFonts w:hint="eastAsia" w:ascii="仿宋_GB2312" w:cs="仿宋_GB2312"/>
          <w:color w:val="000000"/>
        </w:rPr>
        <w:t>、卫生健康（类）公共卫生（款）基本公共卫生服务（项）</w:t>
      </w:r>
      <w:r>
        <w:rPr>
          <w:rFonts w:ascii="仿宋_GB2312" w:cs="仿宋_GB2312"/>
          <w:color w:val="000000"/>
        </w:rPr>
        <w:t xml:space="preserve">: </w:t>
      </w:r>
      <w:r>
        <w:rPr>
          <w:rFonts w:hint="eastAsia" w:ascii="仿宋_GB2312" w:cs="仿宋_GB2312"/>
          <w:color w:val="000000"/>
        </w:rPr>
        <w:t>指基本公共卫生服务支出。</w:t>
      </w:r>
    </w:p>
    <w:p>
      <w:pPr>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color w:val="000000"/>
        </w:rPr>
      </w:pPr>
      <w:r>
        <w:rPr>
          <w:rFonts w:ascii="仿宋_GB2312" w:cs="仿宋_GB2312"/>
          <w:color w:val="000000"/>
        </w:rPr>
        <w:t>13.</w:t>
      </w:r>
      <w:r>
        <w:rPr>
          <w:rFonts w:hint="eastAsia" w:ascii="仿宋_GB2312" w:cs="仿宋_GB2312"/>
          <w:color w:val="000000"/>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96" w:lineRule="exact"/>
        <w:ind w:firstLine="640" w:firstLineChars="200"/>
        <w:textAlignment w:val="auto"/>
        <w:rPr>
          <w:rFonts w:ascii="仿宋_GB2312"/>
          <w:color w:val="000000"/>
        </w:rPr>
      </w:pPr>
      <w:r>
        <w:rPr>
          <w:rFonts w:ascii="仿宋_GB2312" w:cs="仿宋_GB2312"/>
          <w:color w:val="000000"/>
        </w:rPr>
        <w:t>14.</w:t>
      </w:r>
      <w:r>
        <w:rPr>
          <w:rFonts w:hint="eastAsia" w:ascii="仿宋_GB2312" w:cs="仿宋_GB2312"/>
          <w:color w:val="000000"/>
        </w:rPr>
        <w:t>项目支出：指在基本支出之外为完成特定行政任务和事业发展目标所发生的支出。</w:t>
      </w:r>
    </w:p>
    <w:p>
      <w:pPr>
        <w:pStyle w:val="22"/>
        <w:keepNext w:val="0"/>
        <w:keepLines w:val="0"/>
        <w:pageBreakBefore w:val="0"/>
        <w:widowControl w:val="0"/>
        <w:kinsoku/>
        <w:wordWrap/>
        <w:overflowPunct/>
        <w:topLinePunct w:val="0"/>
        <w:bidi w:val="0"/>
        <w:snapToGrid/>
        <w:spacing w:line="596" w:lineRule="exact"/>
        <w:ind w:firstLine="640" w:firstLineChars="200"/>
        <w:textAlignment w:val="auto"/>
        <w:rPr>
          <w:rStyle w:val="15"/>
          <w:rFonts w:ascii="仿宋_GB2312" w:eastAsia="仿宋_GB2312" w:cs="Times New Roman"/>
          <w:b w:val="0"/>
          <w:bCs w:val="0"/>
          <w:kern w:val="0"/>
          <w:sz w:val="32"/>
          <w:szCs w:val="32"/>
        </w:rPr>
      </w:pPr>
      <w:r>
        <w:rPr>
          <w:rFonts w:ascii="仿宋_GB2312" w:eastAsia="仿宋_GB2312" w:cs="仿宋_GB2312"/>
          <w:sz w:val="32"/>
          <w:szCs w:val="32"/>
        </w:rPr>
        <w:t>15.</w:t>
      </w:r>
      <w:r>
        <w:rPr>
          <w:rFonts w:hint="eastAsia" w:ascii="仿宋_GB2312"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8" w:name="_Toc15377226"/>
      <w:r>
        <w:rPr>
          <w:rFonts w:ascii="宋体" w:cs="Times New Roman"/>
          <w:b/>
          <w:bCs/>
          <w:sz w:val="44"/>
          <w:szCs w:val="44"/>
        </w:rPr>
        <w:br w:type="page"/>
      </w:r>
      <w:bookmarkStart w:id="59" w:name="_Toc11207"/>
      <w:bookmarkStart w:id="60" w:name="_Toc15396614"/>
      <w:r>
        <w:rPr>
          <w:rFonts w:ascii="宋体" w:cs="宋体"/>
          <w:b/>
          <w:bCs/>
          <w:sz w:val="44"/>
          <w:szCs w:val="44"/>
        </w:rPr>
        <w:t xml:space="preserve">            </w:t>
      </w:r>
      <w:r>
        <w:rPr>
          <w:rFonts w:hint="eastAsia" w:ascii="宋体" w:cs="宋体"/>
          <w:b/>
          <w:bCs/>
          <w:sz w:val="44"/>
          <w:szCs w:val="44"/>
          <w:lang w:val="en-US" w:eastAsia="zh-CN"/>
        </w:rPr>
        <w:t xml:space="preserve"> </w:t>
      </w:r>
      <w:r>
        <w:rPr>
          <w:rFonts w:hint="eastAsia" w:ascii="黑体" w:hAnsi="黑体" w:eastAsia="黑体" w:cs="黑体"/>
          <w:sz w:val="44"/>
          <w:szCs w:val="44"/>
        </w:rPr>
        <w:t>第</w:t>
      </w:r>
      <w:r>
        <w:rPr>
          <w:rStyle w:val="15"/>
          <w:rFonts w:hint="eastAsia" w:ascii="黑体" w:hAnsi="黑体" w:eastAsia="黑体" w:cs="黑体"/>
          <w:b w:val="0"/>
          <w:bCs w:val="0"/>
        </w:rPr>
        <w:t>四部分</w:t>
      </w:r>
      <w:r>
        <w:rPr>
          <w:rStyle w:val="15"/>
          <w:rFonts w:hint="eastAsia" w:ascii="黑体" w:hAnsi="黑体" w:eastAsia="黑体" w:cs="黑体"/>
          <w:b w:val="0"/>
          <w:bCs w:val="0"/>
          <w:lang w:val="en-US" w:eastAsia="zh-CN"/>
        </w:rPr>
        <w:t xml:space="preserve"> </w:t>
      </w:r>
      <w:r>
        <w:rPr>
          <w:rStyle w:val="15"/>
          <w:rFonts w:hint="eastAsia" w:ascii="黑体" w:hAnsi="黑体" w:eastAsia="黑体" w:cs="黑体"/>
          <w:b w:val="0"/>
          <w:bCs w:val="0"/>
        </w:rPr>
        <w:t>附件</w:t>
      </w:r>
      <w:bookmarkEnd w:id="59"/>
      <w:bookmarkEnd w:id="60"/>
    </w:p>
    <w:p>
      <w:pPr>
        <w:spacing w:line="600" w:lineRule="exact"/>
        <w:jc w:val="left"/>
        <w:outlineLvl w:val="1"/>
        <w:rPr>
          <w:rFonts w:ascii="方正小标宋简体" w:hAnsi="方正小标宋简体" w:eastAsia="方正小标宋简体"/>
        </w:rPr>
      </w:pPr>
      <w:bookmarkStart w:id="61" w:name="_Toc22930"/>
      <w:r>
        <w:rPr>
          <w:rFonts w:hint="eastAsia" w:ascii="黑体" w:hAnsi="黑体" w:eastAsia="黑体" w:cs="黑体"/>
        </w:rPr>
        <w:t>附件</w:t>
      </w:r>
      <w:r>
        <w:rPr>
          <w:rFonts w:ascii="黑体" w:hAnsi="黑体" w:eastAsia="黑体" w:cs="黑体"/>
        </w:rPr>
        <w:t>1</w:t>
      </w:r>
      <w:bookmarkEnd w:id="61"/>
    </w:p>
    <w:p>
      <w:pPr>
        <w:spacing w:line="580" w:lineRule="exact"/>
        <w:outlineLvl w:val="1"/>
        <w:rPr>
          <w:rFonts w:ascii="仿宋_GB2312"/>
        </w:rPr>
      </w:pPr>
    </w:p>
    <w:p>
      <w:pPr>
        <w:spacing w:line="580" w:lineRule="exact"/>
        <w:rPr>
          <w:rFonts w:ascii="仿宋_GB231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s="方正小标宋简体"/>
          <w:color w:val="000000"/>
          <w:kern w:val="0"/>
          <w:sz w:val="44"/>
          <w:szCs w:val="44"/>
        </w:rPr>
        <w:t>自贡市自流井区五星街社区卫生服务中心</w:t>
      </w:r>
      <w:r>
        <w:rPr>
          <w:rFonts w:ascii="方正小标宋简体" w:hAnsi="宋体" w:eastAsia="方正小标宋简体" w:cs="方正小标宋简体"/>
          <w:color w:val="000000"/>
          <w:kern w:val="0"/>
          <w:sz w:val="44"/>
          <w:szCs w:val="44"/>
        </w:rPr>
        <w:t>2020</w:t>
      </w:r>
      <w:r>
        <w:rPr>
          <w:rFonts w:hint="eastAsia" w:ascii="方正小标宋简体" w:hAnsi="宋体" w:eastAsia="方正小标宋简体" w:cs="方正小标宋简体"/>
          <w:color w:val="000000"/>
          <w:kern w:val="0"/>
          <w:sz w:val="44"/>
          <w:szCs w:val="44"/>
        </w:rPr>
        <w:t>年整体支出</w:t>
      </w:r>
      <w:r>
        <w:rPr>
          <w:rFonts w:hint="eastAsia" w:ascii="方正小标宋简体" w:hAnsi="宋体" w:eastAsia="方正小标宋简体" w:cs="方正小标宋简体"/>
          <w:color w:val="000000"/>
          <w:kern w:val="0"/>
          <w:sz w:val="44"/>
          <w:szCs w:val="44"/>
          <w:lang w:val="zh-CN"/>
        </w:rPr>
        <w:t>绩效自评报告</w:t>
      </w:r>
    </w:p>
    <w:p>
      <w:pPr>
        <w:spacing w:line="600" w:lineRule="exact"/>
        <w:rPr>
          <w:rFonts w:ascii="宋体"/>
          <w:lang w:val="zh-CN"/>
        </w:rPr>
      </w:pPr>
    </w:p>
    <w:p>
      <w:pPr>
        <w:widowControl/>
        <w:adjustRightInd w:val="0"/>
        <w:snapToGrid w:val="0"/>
        <w:spacing w:line="580" w:lineRule="exact"/>
        <w:ind w:firstLine="640" w:firstLineChars="200"/>
        <w:jc w:val="left"/>
        <w:rPr>
          <w:rFonts w:ascii="黑体" w:hAnsi="宋体" w:eastAsia="黑体"/>
          <w:color w:val="000000"/>
          <w:kern w:val="0"/>
          <w:shd w:val="clear" w:color="auto" w:fill="FFFFFF"/>
          <w:lang w:val="zh-CN"/>
        </w:rPr>
      </w:pPr>
      <w:bookmarkStart w:id="62" w:name="_Toc32283"/>
      <w:bookmarkStart w:id="63" w:name="_Toc15396618"/>
      <w:r>
        <w:rPr>
          <w:rFonts w:hint="eastAsia" w:ascii="黑体" w:hAnsi="宋体" w:eastAsia="黑体" w:cs="黑体"/>
          <w:color w:val="000000"/>
          <w:kern w:val="0"/>
          <w:shd w:val="clear" w:color="auto" w:fill="FFFFFF"/>
        </w:rPr>
        <w:t>一、</w:t>
      </w:r>
      <w:r>
        <w:rPr>
          <w:rFonts w:hint="eastAsia" w:ascii="黑体" w:hAnsi="宋体" w:eastAsia="黑体" w:cs="黑体"/>
          <w:color w:val="000000"/>
          <w:kern w:val="0"/>
          <w:shd w:val="clear" w:color="auto" w:fill="FFFFFF"/>
          <w:lang w:val="zh-CN"/>
        </w:rPr>
        <w:t>部门（单位）概况</w:t>
      </w:r>
    </w:p>
    <w:p>
      <w:pPr>
        <w:widowControl/>
        <w:adjustRightInd w:val="0"/>
        <w:snapToGrid w:val="0"/>
        <w:spacing w:line="580" w:lineRule="exact"/>
        <w:ind w:firstLine="640" w:firstLineChars="200"/>
        <w:jc w:val="left"/>
        <w:rPr>
          <w:rFonts w:ascii="仿宋_GB2312" w:hAnsi="宋体"/>
          <w:color w:val="000000"/>
          <w:kern w:val="0"/>
          <w:shd w:val="clear" w:color="auto" w:fill="FFFFFF"/>
          <w:lang w:val="zh-CN"/>
        </w:rPr>
      </w:pPr>
      <w:r>
        <w:rPr>
          <w:rFonts w:hint="eastAsia" w:ascii="仿宋_GB2312" w:hAnsi="宋体" w:cs="仿宋_GB2312"/>
          <w:color w:val="000000"/>
          <w:kern w:val="0"/>
          <w:shd w:val="clear" w:color="auto" w:fill="FFFFFF"/>
          <w:lang w:val="zh-CN"/>
        </w:rPr>
        <w:t>（一）机构组成。</w:t>
      </w:r>
    </w:p>
    <w:p>
      <w:pPr>
        <w:widowControl/>
        <w:adjustRightInd w:val="0"/>
        <w:snapToGrid w:val="0"/>
        <w:spacing w:line="580" w:lineRule="exact"/>
        <w:ind w:firstLine="640" w:firstLineChars="200"/>
        <w:jc w:val="left"/>
        <w:rPr>
          <w:rFonts w:hint="eastAsia" w:ascii="仿宋_GB2312" w:hAnsi="宋体" w:eastAsia="仿宋_GB2312"/>
          <w:color w:val="000000"/>
          <w:kern w:val="0"/>
          <w:shd w:val="clear" w:color="auto" w:fill="FFFFFF"/>
          <w:lang w:eastAsia="zh-CN"/>
        </w:rPr>
      </w:pPr>
      <w:r>
        <w:rPr>
          <w:rFonts w:hint="eastAsia" w:ascii="仿宋_GB2312" w:hAnsi="宋体" w:cs="仿宋_GB2312"/>
          <w:color w:val="000000"/>
          <w:kern w:val="0"/>
          <w:shd w:val="clear" w:color="auto" w:fill="FFFFFF"/>
        </w:rPr>
        <w:t>本单位为自贡市自流井区卫生健康局下属二级预算单位</w:t>
      </w:r>
      <w:r>
        <w:rPr>
          <w:rFonts w:hint="eastAsia" w:ascii="仿宋_GB2312" w:hAnsi="宋体" w:cs="仿宋_GB2312"/>
          <w:color w:val="000000"/>
          <w:kern w:val="0"/>
          <w:shd w:val="clear" w:color="auto" w:fill="FFFFFF"/>
          <w:lang w:eastAsia="zh-CN"/>
        </w:rPr>
        <w:t>，含诊疗科目：预防保健科、全科医疗科、内科、外科、妇产科、儿科、医学检验科、医学检验科、医学影像科、中医科、中西医结合科。</w:t>
      </w:r>
    </w:p>
    <w:p>
      <w:pPr>
        <w:widowControl/>
        <w:numPr>
          <w:ilvl w:val="0"/>
          <w:numId w:val="4"/>
        </w:numPr>
        <w:adjustRightInd w:val="0"/>
        <w:snapToGrid w:val="0"/>
        <w:spacing w:line="580" w:lineRule="exact"/>
        <w:ind w:firstLine="640" w:firstLineChars="200"/>
        <w:jc w:val="left"/>
        <w:rPr>
          <w:rFonts w:ascii="仿宋_GB2312" w:hAnsi="宋体"/>
          <w:color w:val="000000"/>
          <w:kern w:val="0"/>
          <w:shd w:val="clear" w:color="auto" w:fill="FFFFFF"/>
        </w:rPr>
      </w:pPr>
      <w:r>
        <w:rPr>
          <w:rFonts w:hint="eastAsia" w:ascii="仿宋_GB2312" w:hAnsi="宋体" w:cs="仿宋_GB2312"/>
          <w:color w:val="000000"/>
          <w:kern w:val="0"/>
          <w:shd w:val="clear" w:color="auto" w:fill="FFFFFF"/>
          <w:lang w:val="zh-CN"/>
        </w:rPr>
        <w:t>机构职能。</w:t>
      </w:r>
    </w:p>
    <w:p>
      <w:pPr>
        <w:widowControl/>
        <w:adjustRightInd w:val="0"/>
        <w:snapToGrid w:val="0"/>
        <w:spacing w:line="580" w:lineRule="exact"/>
        <w:ind w:firstLine="640" w:firstLineChars="200"/>
        <w:jc w:val="left"/>
        <w:rPr>
          <w:rFonts w:ascii="仿宋_GB2312" w:hAnsi="宋体"/>
          <w:color w:val="000000"/>
          <w:kern w:val="0"/>
          <w:shd w:val="clear" w:color="auto" w:fill="FFFFFF"/>
        </w:rPr>
      </w:pPr>
      <w:r>
        <w:rPr>
          <w:rFonts w:hint="eastAsia" w:ascii="仿宋_GB2312" w:hAnsi="仿宋_GB2312" w:cs="仿宋_GB2312"/>
        </w:rPr>
        <w:t>为人民大众健康服务，救死扶伤，基本医疗和公共卫生，提供安全、有效、方便、</w:t>
      </w:r>
      <w:r>
        <w:rPr>
          <w:rFonts w:hint="eastAsia" w:ascii="仿宋_GB2312" w:hAnsi="仿宋_GB2312" w:cs="仿宋_GB2312"/>
          <w:lang w:eastAsia="zh-CN"/>
        </w:rPr>
        <w:t>价廉</w:t>
      </w:r>
      <w:r>
        <w:rPr>
          <w:rFonts w:hint="eastAsia" w:ascii="仿宋_GB2312" w:hAnsi="仿宋_GB2312" w:cs="仿宋_GB2312"/>
        </w:rPr>
        <w:t>、连续的健康教育、预防、保健、医疗、康复、计划生育技术服务指导等。</w:t>
      </w:r>
    </w:p>
    <w:p>
      <w:pPr>
        <w:widowControl/>
        <w:numPr>
          <w:ilvl w:val="0"/>
          <w:numId w:val="4"/>
        </w:numPr>
        <w:adjustRightInd w:val="0"/>
        <w:snapToGrid w:val="0"/>
        <w:spacing w:line="580" w:lineRule="exact"/>
        <w:ind w:firstLine="640" w:firstLineChars="200"/>
        <w:jc w:val="left"/>
      </w:pPr>
      <w:r>
        <w:rPr>
          <w:rFonts w:hint="eastAsia" w:ascii="仿宋_GB2312" w:hAnsi="宋体" w:cs="仿宋_GB2312"/>
          <w:color w:val="000000"/>
          <w:kern w:val="0"/>
          <w:shd w:val="clear" w:color="auto" w:fill="FFFFFF"/>
          <w:lang w:val="zh-CN"/>
        </w:rPr>
        <w:t>人员概况。</w:t>
      </w:r>
    </w:p>
    <w:p>
      <w:pPr>
        <w:widowControl/>
        <w:adjustRightInd w:val="0"/>
        <w:snapToGrid w:val="0"/>
        <w:spacing w:line="580" w:lineRule="exact"/>
        <w:ind w:firstLine="640" w:firstLineChars="200"/>
        <w:jc w:val="left"/>
        <w:rPr>
          <w:rFonts w:ascii="仿宋_GB2312"/>
        </w:rPr>
      </w:pPr>
      <w:r>
        <w:rPr>
          <w:rFonts w:hint="eastAsia" w:ascii="仿宋_GB2312" w:hAnsi="仿宋_GB2312" w:cs="仿宋_GB2312"/>
        </w:rPr>
        <w:t>核定事业编制</w:t>
      </w:r>
      <w:r>
        <w:rPr>
          <w:rFonts w:ascii="仿宋_GB2312" w:hAnsi="仿宋_GB2312" w:cs="仿宋_GB2312"/>
        </w:rPr>
        <w:t>42</w:t>
      </w:r>
      <w:r>
        <w:rPr>
          <w:rFonts w:hint="eastAsia" w:ascii="仿宋_GB2312" w:hAnsi="仿宋_GB2312" w:cs="仿宋_GB2312"/>
        </w:rPr>
        <w:t>名。在岗在职</w:t>
      </w:r>
      <w:r>
        <w:rPr>
          <w:rFonts w:ascii="仿宋_GB2312" w:hAnsi="仿宋_GB2312" w:cs="仿宋_GB2312"/>
        </w:rPr>
        <w:t>43</w:t>
      </w:r>
      <w:r>
        <w:rPr>
          <w:rFonts w:hint="eastAsia" w:ascii="仿宋_GB2312" w:hAnsi="仿宋_GB2312" w:cs="仿宋_GB2312"/>
        </w:rPr>
        <w:t>名，其中：在编在职</w:t>
      </w:r>
      <w:r>
        <w:rPr>
          <w:rFonts w:ascii="仿宋_GB2312" w:hAnsi="仿宋_GB2312" w:cs="仿宋_GB2312"/>
        </w:rPr>
        <w:t>26</w:t>
      </w:r>
      <w:r>
        <w:rPr>
          <w:rFonts w:hint="eastAsia" w:ascii="仿宋_GB2312" w:hAnsi="仿宋_GB2312" w:cs="仿宋_GB2312"/>
        </w:rPr>
        <w:t>名（含工勤人员</w:t>
      </w:r>
      <w:r>
        <w:rPr>
          <w:rFonts w:ascii="仿宋_GB2312" w:hAnsi="仿宋_GB2312" w:cs="仿宋_GB2312"/>
        </w:rPr>
        <w:t>2</w:t>
      </w:r>
      <w:r>
        <w:rPr>
          <w:rFonts w:hint="eastAsia" w:ascii="仿宋_GB2312" w:hAnsi="仿宋_GB2312" w:cs="仿宋_GB2312"/>
        </w:rPr>
        <w:t>人），组织部派遣</w:t>
      </w:r>
      <w:r>
        <w:rPr>
          <w:rFonts w:ascii="仿宋_GB2312" w:hAnsi="仿宋_GB2312" w:cs="仿宋_GB2312"/>
        </w:rPr>
        <w:t>1</w:t>
      </w:r>
      <w:r>
        <w:rPr>
          <w:rFonts w:hint="eastAsia" w:ascii="仿宋_GB2312" w:hAnsi="仿宋_GB2312" w:cs="仿宋_GB2312"/>
        </w:rPr>
        <w:t>人、外聘人员</w:t>
      </w:r>
      <w:r>
        <w:rPr>
          <w:rFonts w:ascii="仿宋_GB2312" w:hAnsi="仿宋_GB2312" w:cs="仿宋_GB2312"/>
        </w:rPr>
        <w:t>12</w:t>
      </w:r>
      <w:r>
        <w:rPr>
          <w:rFonts w:hint="eastAsia" w:ascii="仿宋_GB2312" w:hAnsi="仿宋_GB2312" w:cs="仿宋_GB2312"/>
        </w:rPr>
        <w:t>人、第三方机构外派</w:t>
      </w:r>
      <w:r>
        <w:rPr>
          <w:rFonts w:ascii="仿宋_GB2312" w:hAnsi="仿宋_GB2312" w:cs="仿宋_GB2312"/>
        </w:rPr>
        <w:t>4</w:t>
      </w:r>
      <w:r>
        <w:rPr>
          <w:rFonts w:hint="eastAsia" w:ascii="仿宋_GB2312" w:hAnsi="仿宋_GB2312" w:cs="仿宋_GB2312"/>
        </w:rPr>
        <w:t>人。事业单位退休人员</w:t>
      </w:r>
      <w:r>
        <w:rPr>
          <w:rFonts w:ascii="仿宋_GB2312" w:hAnsi="仿宋_GB2312" w:cs="仿宋_GB2312"/>
        </w:rPr>
        <w:t>8</w:t>
      </w:r>
      <w:r>
        <w:rPr>
          <w:rFonts w:hint="eastAsia" w:ascii="仿宋_GB2312" w:hAnsi="仿宋_GB2312" w:cs="仿宋_GB2312"/>
        </w:rPr>
        <w:t>人。</w:t>
      </w:r>
    </w:p>
    <w:p>
      <w:pPr>
        <w:widowControl/>
        <w:adjustRightInd w:val="0"/>
        <w:snapToGrid w:val="0"/>
        <w:spacing w:line="580" w:lineRule="exact"/>
        <w:ind w:left="640" w:leftChars="200"/>
        <w:jc w:val="left"/>
        <w:rPr>
          <w:rFonts w:ascii="仿宋_GB2312" w:hAnsi="宋体"/>
          <w:color w:val="000000"/>
          <w:kern w:val="0"/>
          <w:shd w:val="clear" w:color="auto" w:fill="FFFFFF"/>
          <w:lang w:val="zh-CN"/>
        </w:rPr>
      </w:pPr>
    </w:p>
    <w:p>
      <w:pPr>
        <w:widowControl/>
        <w:adjustRightInd w:val="0"/>
        <w:snapToGrid w:val="0"/>
        <w:spacing w:line="580" w:lineRule="exact"/>
        <w:ind w:firstLine="640" w:firstLineChars="200"/>
        <w:jc w:val="left"/>
        <w:rPr>
          <w:rFonts w:ascii="黑体" w:hAnsi="宋体" w:eastAsia="黑体"/>
          <w:color w:val="000000"/>
          <w:kern w:val="0"/>
          <w:shd w:val="clear" w:color="auto" w:fill="FFFFFF"/>
        </w:rPr>
      </w:pPr>
      <w:r>
        <w:rPr>
          <w:rFonts w:hint="eastAsia" w:ascii="黑体" w:hAnsi="宋体" w:eastAsia="黑体" w:cs="黑体"/>
          <w:color w:val="000000"/>
          <w:kern w:val="0"/>
          <w:shd w:val="clear" w:color="auto" w:fill="FFFFFF"/>
        </w:rPr>
        <w:t>二、部门财政资金收支情况</w:t>
      </w:r>
    </w:p>
    <w:p>
      <w:pPr>
        <w:widowControl/>
        <w:adjustRightInd w:val="0"/>
        <w:snapToGrid w:val="0"/>
        <w:spacing w:line="580" w:lineRule="exact"/>
        <w:ind w:firstLine="640" w:firstLineChars="200"/>
        <w:jc w:val="left"/>
        <w:rPr>
          <w:rFonts w:ascii="仿宋_GB2312" w:hAnsi="宋体"/>
          <w:color w:val="000000"/>
          <w:kern w:val="0"/>
          <w:shd w:val="clear" w:color="auto" w:fill="FFFFFF"/>
        </w:rPr>
      </w:pPr>
      <w:r>
        <w:rPr>
          <w:rFonts w:hint="eastAsia" w:ascii="仿宋_GB2312" w:hAnsi="宋体" w:cs="仿宋_GB2312"/>
          <w:color w:val="000000"/>
          <w:kern w:val="0"/>
          <w:shd w:val="clear" w:color="auto" w:fill="FFFFFF"/>
          <w:lang w:val="zh-CN"/>
        </w:rPr>
        <w:t>（一）部门财政资金收入情况。</w:t>
      </w:r>
      <w:r>
        <w:rPr>
          <w:rFonts w:ascii="仿宋_GB2312" w:hAnsi="宋体" w:cs="仿宋_GB2312"/>
          <w:color w:val="000000"/>
          <w:kern w:val="0"/>
          <w:shd w:val="clear" w:color="auto" w:fill="FFFFFF"/>
        </w:rPr>
        <w:t>2020</w:t>
      </w:r>
      <w:r>
        <w:rPr>
          <w:rFonts w:hint="eastAsia" w:ascii="仿宋_GB2312" w:hAnsi="宋体" w:cs="仿宋_GB2312"/>
          <w:color w:val="000000"/>
          <w:kern w:val="0"/>
          <w:shd w:val="clear" w:color="auto" w:fill="FFFFFF"/>
        </w:rPr>
        <w:t>年一般财政拨款收入</w:t>
      </w:r>
      <w:r>
        <w:rPr>
          <w:rFonts w:ascii="仿宋_GB2312" w:hAnsi="宋体" w:cs="仿宋_GB2312"/>
          <w:color w:val="000000"/>
          <w:kern w:val="0"/>
          <w:shd w:val="clear" w:color="auto" w:fill="FFFFFF"/>
        </w:rPr>
        <w:t>445.58</w:t>
      </w:r>
      <w:r>
        <w:rPr>
          <w:rFonts w:hint="eastAsia" w:ascii="仿宋_GB2312" w:hAnsi="宋体" w:cs="仿宋_GB2312"/>
          <w:color w:val="000000"/>
          <w:kern w:val="0"/>
          <w:shd w:val="clear" w:color="auto" w:fill="FFFFFF"/>
        </w:rPr>
        <w:t>万元。</w:t>
      </w:r>
    </w:p>
    <w:p>
      <w:pPr>
        <w:widowControl/>
        <w:adjustRightInd w:val="0"/>
        <w:snapToGrid w:val="0"/>
        <w:spacing w:line="580" w:lineRule="exact"/>
        <w:ind w:firstLine="640" w:firstLineChars="200"/>
        <w:jc w:val="left"/>
        <w:rPr>
          <w:rFonts w:ascii="仿宋_GB2312" w:hAnsi="宋体"/>
          <w:color w:val="000000"/>
          <w:kern w:val="0"/>
          <w:shd w:val="clear" w:color="auto" w:fill="FFFFFF"/>
        </w:rPr>
      </w:pPr>
      <w:r>
        <w:rPr>
          <w:rFonts w:hint="eastAsia" w:ascii="仿宋_GB2312" w:hAnsi="宋体" w:cs="仿宋_GB2312"/>
          <w:color w:val="000000"/>
          <w:kern w:val="0"/>
          <w:shd w:val="clear" w:color="auto" w:fill="FFFFFF"/>
          <w:lang w:val="zh-CN"/>
        </w:rPr>
        <w:t>（二）部门财政资金支出情况。</w:t>
      </w:r>
      <w:r>
        <w:rPr>
          <w:rFonts w:ascii="仿宋_GB2312" w:hAnsi="宋体" w:cs="仿宋_GB2312"/>
          <w:color w:val="000000"/>
          <w:kern w:val="0"/>
          <w:shd w:val="clear" w:color="auto" w:fill="FFFFFF"/>
        </w:rPr>
        <w:t>2020</w:t>
      </w:r>
      <w:r>
        <w:rPr>
          <w:rFonts w:hint="eastAsia" w:ascii="仿宋_GB2312" w:hAnsi="宋体" w:cs="仿宋_GB2312"/>
          <w:color w:val="000000"/>
          <w:kern w:val="0"/>
          <w:shd w:val="clear" w:color="auto" w:fill="FFFFFF"/>
        </w:rPr>
        <w:t>年一般财政拨款支出</w:t>
      </w:r>
      <w:r>
        <w:rPr>
          <w:rFonts w:ascii="仿宋_GB2312" w:hAnsi="宋体" w:cs="仿宋_GB2312"/>
          <w:color w:val="000000"/>
          <w:kern w:val="0"/>
          <w:shd w:val="clear" w:color="auto" w:fill="FFFFFF"/>
        </w:rPr>
        <w:t>445.58</w:t>
      </w:r>
      <w:r>
        <w:rPr>
          <w:rFonts w:hint="eastAsia" w:ascii="仿宋_GB2312" w:hAnsi="宋体" w:cs="仿宋_GB2312"/>
          <w:color w:val="000000"/>
          <w:kern w:val="0"/>
          <w:shd w:val="clear" w:color="auto" w:fill="FFFFFF"/>
        </w:rPr>
        <w:t>万元。</w:t>
      </w:r>
    </w:p>
    <w:p>
      <w:pPr>
        <w:widowControl/>
        <w:adjustRightInd w:val="0"/>
        <w:snapToGrid w:val="0"/>
        <w:spacing w:line="580" w:lineRule="exact"/>
        <w:ind w:firstLine="640" w:firstLineChars="200"/>
        <w:jc w:val="left"/>
        <w:rPr>
          <w:rFonts w:ascii="黑体" w:hAnsi="宋体" w:eastAsia="黑体"/>
          <w:color w:val="000000"/>
          <w:kern w:val="0"/>
          <w:shd w:val="clear" w:color="auto" w:fill="FFFFFF"/>
        </w:rPr>
      </w:pPr>
      <w:r>
        <w:rPr>
          <w:rFonts w:hint="eastAsia" w:ascii="黑体" w:hAnsi="宋体" w:eastAsia="黑体" w:cs="黑体"/>
          <w:color w:val="000000"/>
          <w:kern w:val="0"/>
          <w:shd w:val="clear" w:color="auto" w:fill="FFFFFF"/>
        </w:rPr>
        <w:t>三、部门整体预算绩效管理情况</w:t>
      </w:r>
    </w:p>
    <w:p>
      <w:pPr>
        <w:keepNext w:val="0"/>
        <w:keepLines w:val="0"/>
        <w:pageBreakBefore w:val="0"/>
        <w:widowControl/>
        <w:kinsoku/>
        <w:wordWrap/>
        <w:overflowPunct/>
        <w:topLinePunct w:val="0"/>
        <w:autoSpaceDE/>
        <w:autoSpaceDN/>
        <w:bidi w:val="0"/>
        <w:adjustRightInd w:val="0"/>
        <w:snapToGrid w:val="0"/>
        <w:spacing w:line="596" w:lineRule="exact"/>
        <w:ind w:firstLine="640" w:firstLineChars="200"/>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（一）部门预算管理。</w:t>
      </w:r>
    </w:p>
    <w:p>
      <w:pPr>
        <w:keepNext w:val="0"/>
        <w:keepLines w:val="0"/>
        <w:pageBreakBefore w:val="0"/>
        <w:widowControl/>
        <w:kinsoku/>
        <w:wordWrap/>
        <w:overflowPunct/>
        <w:topLinePunct w:val="0"/>
        <w:autoSpaceDE/>
        <w:autoSpaceDN/>
        <w:bidi w:val="0"/>
        <w:spacing w:line="59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shd w:val="clear" w:color="auto" w:fill="FFFFFF"/>
        </w:rPr>
        <w:t>1.</w:t>
      </w:r>
      <w:r>
        <w:rPr>
          <w:rFonts w:hint="eastAsia" w:ascii="仿宋_GB2312" w:hAnsi="仿宋_GB2312" w:eastAsia="仿宋_GB2312" w:cs="仿宋_GB2312"/>
          <w:color w:val="000000"/>
          <w:kern w:val="0"/>
          <w:sz w:val="32"/>
          <w:szCs w:val="32"/>
          <w:shd w:val="clear" w:color="auto" w:fill="FFFFFF"/>
          <w:lang w:val="zh-CN"/>
        </w:rPr>
        <w:t>部门预算编制情况：</w:t>
      </w:r>
      <w:r>
        <w:rPr>
          <w:rFonts w:hint="eastAsia" w:ascii="仿宋_GB2312" w:hAnsi="仿宋_GB2312" w:eastAsia="仿宋_GB2312" w:cs="仿宋_GB2312"/>
          <w:color w:val="000000"/>
          <w:kern w:val="0"/>
          <w:sz w:val="32"/>
          <w:szCs w:val="32"/>
          <w:shd w:val="clear" w:color="auto" w:fill="FFFFFF"/>
        </w:rPr>
        <w:t>2020年编制财政拨款预算</w:t>
      </w:r>
      <w:r>
        <w:rPr>
          <w:rFonts w:hint="eastAsia" w:ascii="仿宋_GB2312" w:hAnsi="仿宋_GB2312" w:eastAsia="仿宋_GB2312" w:cs="仿宋_GB2312"/>
          <w:color w:val="000000"/>
          <w:kern w:val="0"/>
          <w:sz w:val="32"/>
          <w:szCs w:val="32"/>
          <w:shd w:val="clear" w:color="auto" w:fill="FFFFFF"/>
          <w:lang w:val="en-US" w:eastAsia="zh-CN"/>
        </w:rPr>
        <w:t>72.21</w:t>
      </w:r>
      <w:r>
        <w:rPr>
          <w:rFonts w:hint="eastAsia" w:ascii="仿宋_GB2312" w:hAnsi="仿宋_GB2312" w:eastAsia="仿宋_GB2312" w:cs="仿宋_GB2312"/>
          <w:color w:val="000000"/>
          <w:kern w:val="0"/>
          <w:sz w:val="32"/>
          <w:szCs w:val="32"/>
          <w:shd w:val="clear" w:color="auto" w:fill="FFFFFF"/>
        </w:rPr>
        <w:t>万元。</w:t>
      </w:r>
      <w:r>
        <w:rPr>
          <w:rFonts w:hint="eastAsia" w:ascii="仿宋_GB2312" w:hAnsi="仿宋_GB2312" w:eastAsia="仿宋_GB2312" w:cs="仿宋_GB2312"/>
          <w:color w:val="000000"/>
          <w:kern w:val="0"/>
          <w:sz w:val="32"/>
          <w:szCs w:val="32"/>
        </w:rPr>
        <w:t>在预决算编制时，严格按照相关规定进行编制，结余结转管理按财政批复进度在大平台进行支付。</w:t>
      </w:r>
    </w:p>
    <w:p>
      <w:pPr>
        <w:keepNext w:val="0"/>
        <w:keepLines w:val="0"/>
        <w:pageBreakBefore w:val="0"/>
        <w:widowControl/>
        <w:kinsoku/>
        <w:wordWrap/>
        <w:overflowPunct/>
        <w:topLinePunct w:val="0"/>
        <w:autoSpaceDE/>
        <w:autoSpaceDN/>
        <w:bidi w:val="0"/>
        <w:adjustRightInd w:val="0"/>
        <w:snapToGrid w:val="0"/>
        <w:spacing w:line="59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shd w:val="clear" w:color="auto" w:fill="FFFFFF"/>
        </w:rPr>
        <w:t>2.执行进度：</w:t>
      </w:r>
      <w:r>
        <w:rPr>
          <w:rFonts w:hint="eastAsia" w:ascii="仿宋_GB2312" w:hAnsi="仿宋_GB2312" w:eastAsia="仿宋_GB2312" w:cs="仿宋_GB2312"/>
          <w:color w:val="000000"/>
          <w:kern w:val="0"/>
          <w:sz w:val="32"/>
          <w:szCs w:val="32"/>
        </w:rPr>
        <w:t>严格按照财政要求执行资金支付进度。</w:t>
      </w:r>
    </w:p>
    <w:p>
      <w:pPr>
        <w:keepNext w:val="0"/>
        <w:keepLines w:val="0"/>
        <w:pageBreakBefore w:val="0"/>
        <w:widowControl/>
        <w:kinsoku/>
        <w:wordWrap/>
        <w:overflowPunct/>
        <w:topLinePunct w:val="0"/>
        <w:autoSpaceDE/>
        <w:autoSpaceDN/>
        <w:bidi w:val="0"/>
        <w:adjustRightInd w:val="0"/>
        <w:snapToGrid w:val="0"/>
        <w:spacing w:line="596" w:lineRule="exact"/>
        <w:ind w:firstLine="640" w:firstLineChars="200"/>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3.</w:t>
      </w:r>
      <w:r>
        <w:rPr>
          <w:rFonts w:hint="eastAsia" w:ascii="仿宋_GB2312" w:hAnsi="仿宋_GB2312" w:eastAsia="仿宋_GB2312" w:cs="仿宋_GB2312"/>
          <w:color w:val="000000"/>
          <w:kern w:val="0"/>
          <w:sz w:val="32"/>
          <w:szCs w:val="32"/>
          <w:shd w:val="clear" w:color="auto" w:fill="FFFFFF"/>
          <w:lang w:val="zh-CN"/>
        </w:rPr>
        <w:t>预算完成情况：预算完成</w:t>
      </w:r>
      <w:r>
        <w:rPr>
          <w:rFonts w:hint="eastAsia" w:ascii="仿宋_GB2312" w:hAnsi="仿宋_GB2312" w:eastAsia="仿宋_GB2312" w:cs="仿宋_GB2312"/>
          <w:color w:val="000000"/>
          <w:kern w:val="0"/>
          <w:sz w:val="32"/>
          <w:szCs w:val="32"/>
          <w:shd w:val="clear" w:color="auto" w:fill="FFFFFF"/>
          <w:lang w:val="en-US" w:eastAsia="zh-CN"/>
        </w:rPr>
        <w:t>100</w:t>
      </w:r>
      <w:r>
        <w:rPr>
          <w:rFonts w:hint="eastAsia" w:ascii="仿宋_GB2312" w:hAnsi="仿宋_GB2312" w:eastAsia="仿宋_GB2312" w:cs="仿宋_GB2312"/>
          <w:color w:val="000000"/>
          <w:kern w:val="0"/>
          <w:sz w:val="32"/>
          <w:szCs w:val="32"/>
          <w:shd w:val="clear" w:color="auto" w:fill="FFFFFF"/>
        </w:rPr>
        <w:t>%</w:t>
      </w:r>
      <w:r>
        <w:rPr>
          <w:rFonts w:hint="eastAsia" w:ascii="仿宋_GB2312" w:hAnsi="仿宋_GB2312" w:eastAsia="仿宋_GB2312" w:cs="仿宋_GB2312"/>
          <w:color w:val="000000"/>
          <w:kern w:val="0"/>
          <w:sz w:val="32"/>
          <w:szCs w:val="32"/>
          <w:shd w:val="clear" w:color="auto" w:fill="FFFFFF"/>
          <w:lang w:eastAsia="zh-CN"/>
        </w:rPr>
        <w:t>。</w:t>
      </w:r>
    </w:p>
    <w:p>
      <w:pPr>
        <w:keepNext w:val="0"/>
        <w:keepLines w:val="0"/>
        <w:pageBreakBefore w:val="0"/>
        <w:widowControl/>
        <w:kinsoku/>
        <w:wordWrap/>
        <w:overflowPunct/>
        <w:topLinePunct w:val="0"/>
        <w:autoSpaceDE/>
        <w:autoSpaceDN/>
        <w:bidi w:val="0"/>
        <w:adjustRightInd w:val="0"/>
        <w:snapToGrid w:val="0"/>
        <w:spacing w:line="596" w:lineRule="exact"/>
        <w:ind w:firstLine="640" w:firstLineChars="200"/>
        <w:jc w:val="left"/>
        <w:textAlignment w:val="auto"/>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4.违规记录：无。</w:t>
      </w:r>
    </w:p>
    <w:p>
      <w:pPr>
        <w:keepNext w:val="0"/>
        <w:keepLines w:val="0"/>
        <w:pageBreakBefore w:val="0"/>
        <w:widowControl/>
        <w:kinsoku/>
        <w:wordWrap/>
        <w:overflowPunct/>
        <w:topLinePunct w:val="0"/>
        <w:autoSpaceDE/>
        <w:autoSpaceDN/>
        <w:bidi w:val="0"/>
        <w:adjustRightInd w:val="0"/>
        <w:snapToGrid w:val="0"/>
        <w:spacing w:line="596" w:lineRule="exact"/>
        <w:ind w:firstLine="640" w:firstLineChars="200"/>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（二）结果应用情况。</w:t>
      </w:r>
    </w:p>
    <w:p>
      <w:pPr>
        <w:keepNext w:val="0"/>
        <w:keepLines w:val="0"/>
        <w:pageBreakBefore w:val="0"/>
        <w:widowControl/>
        <w:kinsoku/>
        <w:wordWrap/>
        <w:overflowPunct/>
        <w:topLinePunct w:val="0"/>
        <w:autoSpaceDE/>
        <w:autoSpaceDN/>
        <w:bidi w:val="0"/>
        <w:adjustRightInd w:val="0"/>
        <w:snapToGrid w:val="0"/>
        <w:spacing w:line="596" w:lineRule="exact"/>
        <w:ind w:firstLine="640" w:firstLineChars="200"/>
        <w:jc w:val="left"/>
        <w:textAlignment w:val="auto"/>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lang w:val="zh-CN"/>
        </w:rPr>
        <w:t>（</w:t>
      </w:r>
      <w:r>
        <w:rPr>
          <w:rFonts w:hint="eastAsia" w:ascii="仿宋_GB2312" w:hAnsi="仿宋_GB2312" w:eastAsia="仿宋_GB2312" w:cs="仿宋_GB2312"/>
          <w:color w:val="000000"/>
          <w:kern w:val="0"/>
          <w:sz w:val="32"/>
          <w:szCs w:val="32"/>
          <w:shd w:val="clear" w:color="auto" w:fill="FFFFFF"/>
        </w:rPr>
        <w:t>1</w:t>
      </w:r>
      <w:r>
        <w:rPr>
          <w:rFonts w:hint="eastAsia" w:ascii="仿宋_GB2312" w:hAnsi="仿宋_GB2312" w:eastAsia="仿宋_GB2312" w:cs="仿宋_GB2312"/>
          <w:color w:val="000000"/>
          <w:kern w:val="0"/>
          <w:sz w:val="32"/>
          <w:szCs w:val="32"/>
          <w:shd w:val="clear" w:color="auto" w:fill="FFFFFF"/>
          <w:lang w:val="zh-CN"/>
        </w:rPr>
        <w:t>）严格按照经常性收支差额补助控制人员经费支出，保障本单位基本运转经费：</w:t>
      </w:r>
      <w:r>
        <w:rPr>
          <w:rFonts w:hint="eastAsia" w:ascii="仿宋_GB2312" w:hAnsi="仿宋_GB2312" w:eastAsia="仿宋_GB2312" w:cs="仿宋_GB2312"/>
          <w:color w:val="000000"/>
          <w:kern w:val="0"/>
          <w:sz w:val="32"/>
          <w:szCs w:val="32"/>
          <w:shd w:val="clear" w:color="auto" w:fill="FFFFFF"/>
        </w:rPr>
        <w:t>100.52万元。</w:t>
      </w:r>
    </w:p>
    <w:p>
      <w:pPr>
        <w:keepNext w:val="0"/>
        <w:keepLines w:val="0"/>
        <w:pageBreakBefore w:val="0"/>
        <w:widowControl/>
        <w:kinsoku/>
        <w:wordWrap/>
        <w:overflowPunct/>
        <w:topLinePunct w:val="0"/>
        <w:autoSpaceDE/>
        <w:autoSpaceDN/>
        <w:bidi w:val="0"/>
        <w:spacing w:line="596" w:lineRule="exact"/>
        <w:ind w:firstLine="640" w:firstLineChars="200"/>
        <w:jc w:val="left"/>
        <w:textAlignment w:val="auto"/>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（2）严格按照基本公共卫生项目补助经费使用范围履行职能职责，提高基本公共卫生保障能力经费：370.21万元。</w:t>
      </w:r>
    </w:p>
    <w:p>
      <w:pPr>
        <w:keepNext w:val="0"/>
        <w:keepLines w:val="0"/>
        <w:pageBreakBefore w:val="0"/>
        <w:widowControl/>
        <w:kinsoku/>
        <w:wordWrap/>
        <w:overflowPunct/>
        <w:topLinePunct w:val="0"/>
        <w:autoSpaceDE/>
        <w:autoSpaceDN/>
        <w:bidi w:val="0"/>
        <w:spacing w:line="596"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逐步解决当前城乡居民存在的主要健康问题，以儿童、孕产妇、老年人、慢性疾病患者为重点人群，面向全体居民免费提供的最基本的公共卫生服务，使居民健康保健意识和健康知识知晓率得到有效提高。</w:t>
      </w:r>
    </w:p>
    <w:p>
      <w:pPr>
        <w:widowControl/>
        <w:spacing w:line="596" w:lineRule="exact"/>
        <w:ind w:firstLine="640" w:firstLineChars="200"/>
        <w:jc w:val="left"/>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（3）严格按照基本药物补助经费使用范围，</w:t>
      </w:r>
      <w:r>
        <w:rPr>
          <w:rFonts w:hint="eastAsia" w:ascii="仿宋_GB2312" w:hAnsi="仿宋_GB2312" w:eastAsia="仿宋_GB2312" w:cs="仿宋_GB2312"/>
          <w:color w:val="000000"/>
          <w:kern w:val="0"/>
          <w:sz w:val="32"/>
          <w:szCs w:val="32"/>
        </w:rPr>
        <w:t>提高病人对药品配备、药价满意度指标，</w:t>
      </w:r>
      <w:r>
        <w:rPr>
          <w:rFonts w:hint="eastAsia" w:ascii="仿宋_GB2312" w:hAnsi="仿宋_GB2312" w:eastAsia="仿宋_GB2312" w:cs="仿宋_GB2312"/>
          <w:color w:val="000000"/>
          <w:kern w:val="0"/>
          <w:sz w:val="32"/>
          <w:szCs w:val="32"/>
          <w:shd w:val="clear" w:color="auto" w:fill="FFFFFF"/>
        </w:rPr>
        <w:t>提高基层医疗机构服务质量经费：11.76万元</w:t>
      </w:r>
    </w:p>
    <w:p>
      <w:pPr>
        <w:widowControl/>
        <w:adjustRightInd w:val="0"/>
        <w:snapToGrid w:val="0"/>
        <w:spacing w:line="596" w:lineRule="exact"/>
        <w:ind w:firstLine="640" w:firstLineChars="200"/>
        <w:jc w:val="left"/>
        <w:rPr>
          <w:rFonts w:ascii="仿宋_GB2312" w:hAnsi="宋体"/>
          <w:color w:val="000000"/>
          <w:kern w:val="0"/>
          <w:shd w:val="clear" w:color="auto" w:fill="FFFFFF"/>
        </w:rPr>
      </w:pPr>
    </w:p>
    <w:p>
      <w:pPr>
        <w:widowControl/>
        <w:adjustRightInd w:val="0"/>
        <w:snapToGrid w:val="0"/>
        <w:spacing w:line="580" w:lineRule="exact"/>
        <w:ind w:firstLine="640" w:firstLineChars="200"/>
        <w:jc w:val="left"/>
        <w:rPr>
          <w:rFonts w:ascii="黑体" w:hAnsi="宋体" w:eastAsia="黑体"/>
          <w:color w:val="000000"/>
          <w:kern w:val="0"/>
          <w:shd w:val="clear" w:color="auto" w:fill="FFFFFF"/>
        </w:rPr>
      </w:pPr>
      <w:r>
        <w:rPr>
          <w:rFonts w:hint="eastAsia" w:ascii="黑体" w:hAnsi="宋体" w:eastAsia="黑体" w:cs="黑体"/>
          <w:color w:val="000000"/>
          <w:kern w:val="0"/>
          <w:shd w:val="clear" w:color="auto" w:fill="FFFFFF"/>
        </w:rPr>
        <w:t>四、评价结论及建议</w:t>
      </w:r>
    </w:p>
    <w:p>
      <w:pPr>
        <w:widowControl/>
        <w:adjustRightInd w:val="0"/>
        <w:snapToGrid w:val="0"/>
        <w:spacing w:line="580" w:lineRule="exact"/>
        <w:ind w:firstLine="640" w:firstLineChars="200"/>
        <w:jc w:val="left"/>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lang w:val="zh-CN"/>
        </w:rPr>
        <w:t>（一）评价结论。总体评价得分</w:t>
      </w:r>
      <w:r>
        <w:rPr>
          <w:rFonts w:hint="eastAsia" w:ascii="仿宋_GB2312" w:hAnsi="仿宋_GB2312" w:eastAsia="仿宋_GB2312" w:cs="仿宋_GB2312"/>
          <w:color w:val="000000"/>
          <w:kern w:val="0"/>
          <w:sz w:val="32"/>
          <w:szCs w:val="32"/>
          <w:shd w:val="clear" w:color="auto" w:fill="FFFFFF"/>
        </w:rPr>
        <w:t>98分。</w:t>
      </w:r>
    </w:p>
    <w:p>
      <w:pPr>
        <w:widowControl/>
        <w:ind w:firstLine="640" w:firstLineChars="200"/>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（二）存在问题。</w:t>
      </w:r>
      <w:r>
        <w:rPr>
          <w:rFonts w:hint="eastAsia" w:ascii="仿宋_GB2312" w:hAnsi="仿宋_GB2312" w:eastAsia="仿宋_GB2312" w:cs="仿宋_GB2312"/>
          <w:color w:val="000000"/>
          <w:kern w:val="0"/>
          <w:sz w:val="32"/>
          <w:szCs w:val="32"/>
        </w:rPr>
        <w:t>资</w:t>
      </w:r>
      <w:r>
        <w:rPr>
          <w:rFonts w:hint="eastAsia" w:ascii="仿宋_GB2312" w:hAnsi="仿宋_GB2312" w:eastAsia="仿宋_GB2312" w:cs="仿宋_GB2312"/>
          <w:color w:val="000000"/>
          <w:kern w:val="0"/>
          <w:sz w:val="32"/>
          <w:szCs w:val="32"/>
          <w:shd w:val="clear" w:color="auto" w:fill="FFFFFF"/>
        </w:rPr>
        <w:t>金拨付进度缓慢，造成项目无法推进。</w:t>
      </w:r>
    </w:p>
    <w:p>
      <w:pPr>
        <w:widowControl/>
        <w:ind w:firstLine="640" w:firstLineChars="200"/>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（三）改进建议。</w:t>
      </w:r>
      <w:r>
        <w:rPr>
          <w:rFonts w:hint="eastAsia" w:ascii="仿宋_GB2312" w:hAnsi="仿宋_GB2312" w:eastAsia="仿宋_GB2312" w:cs="仿宋_GB2312"/>
          <w:color w:val="000000"/>
          <w:kern w:val="0"/>
          <w:sz w:val="32"/>
          <w:szCs w:val="32"/>
          <w:shd w:val="clear" w:color="auto" w:fill="FFFFFF"/>
        </w:rPr>
        <w:t xml:space="preserve">及时拨付资金。 </w:t>
      </w:r>
    </w:p>
    <w:p>
      <w:pPr>
        <w:widowControl/>
        <w:adjustRightInd w:val="0"/>
        <w:snapToGrid w:val="0"/>
        <w:spacing w:line="580" w:lineRule="exact"/>
        <w:ind w:firstLine="640" w:firstLineChars="200"/>
        <w:jc w:val="left"/>
        <w:rPr>
          <w:rFonts w:hint="eastAsia" w:ascii="仿宋_GB2312" w:hAnsi="仿宋_GB2312" w:eastAsia="仿宋_GB2312" w:cs="仿宋_GB2312"/>
          <w:color w:val="000000"/>
          <w:kern w:val="0"/>
          <w:sz w:val="32"/>
          <w:szCs w:val="32"/>
          <w:shd w:val="clear" w:color="auto" w:fill="FFFFFF"/>
          <w:lang w:val="zh-CN"/>
        </w:rPr>
      </w:pPr>
    </w:p>
    <w:p>
      <w:pPr>
        <w:spacing w:line="600" w:lineRule="exact"/>
        <w:jc w:val="center"/>
        <w:outlineLvl w:val="0"/>
        <w:rPr>
          <w:rFonts w:ascii="黑体" w:hAnsi="黑体" w:eastAsia="黑体"/>
          <w:color w:val="000000"/>
          <w:sz w:val="44"/>
          <w:szCs w:val="44"/>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p>
    <w:p>
      <w:pPr>
        <w:spacing w:line="600" w:lineRule="exact"/>
        <w:rPr>
          <w:rFonts w:hint="eastAsia" w:ascii="黑体" w:hAnsi="黑体" w:eastAsia="黑体"/>
          <w:b/>
          <w:color w:val="000000"/>
          <w:kern w:val="0"/>
          <w:sz w:val="32"/>
          <w:szCs w:val="32"/>
        </w:rPr>
      </w:pPr>
      <w:r>
        <w:rPr>
          <w:rFonts w:hint="eastAsia" w:ascii="黑体" w:hAnsi="黑体" w:eastAsia="黑体"/>
          <w:b/>
          <w:color w:val="000000"/>
          <w:kern w:val="0"/>
          <w:sz w:val="32"/>
          <w:szCs w:val="32"/>
        </w:rPr>
        <w:t>附件2</w:t>
      </w: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“基本公共卫生服务”</w:t>
      </w:r>
      <w:r>
        <w:rPr>
          <w:rFonts w:hint="eastAsia" w:ascii="方正小标宋简体" w:hAnsi="宋体" w:eastAsia="方正小标宋简体"/>
          <w:color w:val="000000"/>
          <w:kern w:val="0"/>
          <w:sz w:val="44"/>
          <w:szCs w:val="44"/>
          <w:lang w:val="zh-CN"/>
        </w:rPr>
        <w:t>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color w:val="000000"/>
          <w:szCs w:val="32"/>
          <w:lang w:val="zh-CN"/>
        </w:rPr>
      </w:pPr>
    </w:p>
    <w:p>
      <w:pPr>
        <w:adjustRightInd w:val="0"/>
        <w:snapToGrid w:val="0"/>
        <w:spacing w:line="600" w:lineRule="exact"/>
        <w:ind w:firstLine="720"/>
        <w:rPr>
          <w:rFonts w:hint="eastAsia" w:ascii="黑体" w:hAnsi="黑体" w:eastAsia="黑体"/>
          <w:color w:val="000000"/>
          <w:sz w:val="32"/>
          <w:szCs w:val="32"/>
          <w:lang w:val="zh-CN"/>
        </w:rPr>
      </w:pPr>
      <w:r>
        <w:rPr>
          <w:rFonts w:hint="eastAsia" w:ascii="黑体" w:hAnsi="黑体" w:eastAsia="黑体"/>
          <w:color w:val="000000"/>
          <w:sz w:val="32"/>
          <w:szCs w:val="32"/>
        </w:rPr>
        <w:t>一、</w:t>
      </w:r>
      <w:r>
        <w:rPr>
          <w:rFonts w:hint="eastAsia" w:ascii="黑体" w:hAnsi="黑体" w:eastAsia="黑体"/>
          <w:color w:val="000000"/>
          <w:sz w:val="32"/>
          <w:szCs w:val="32"/>
          <w:lang w:val="zh-CN"/>
        </w:rPr>
        <w:t>项目概况</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（一）项目基本情况。</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1．“</w:t>
      </w:r>
      <w:r>
        <w:rPr>
          <w:rFonts w:hint="eastAsia" w:ascii="仿宋_GB2312" w:eastAsia="仿宋_GB2312" w:cs="仿宋_GB2312"/>
          <w:color w:val="000000"/>
          <w:kern w:val="0"/>
          <w:sz w:val="32"/>
          <w:szCs w:val="32"/>
        </w:rPr>
        <w:t>基本公共卫生服务”项目，由</w:t>
      </w:r>
      <w:r>
        <w:rPr>
          <w:rFonts w:hint="eastAsia" w:ascii="仿宋_GB2312" w:hAnsi="宋体" w:eastAsia="仿宋_GB2312"/>
          <w:color w:val="000000"/>
          <w:sz w:val="32"/>
          <w:szCs w:val="32"/>
          <w:lang w:val="zh-CN"/>
        </w:rPr>
        <w:t>我单位负责项目的实施和相关资金支付。</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2．“</w:t>
      </w:r>
      <w:r>
        <w:rPr>
          <w:rFonts w:hint="eastAsia" w:ascii="仿宋_GB2312" w:eastAsia="仿宋_GB2312" w:cs="仿宋_GB2312"/>
          <w:color w:val="000000"/>
          <w:kern w:val="0"/>
          <w:sz w:val="32"/>
          <w:szCs w:val="32"/>
        </w:rPr>
        <w:t>基本公共卫生服务”项目按照《国家基本公共卫生服务规范（第三版）》要求立项、申报</w:t>
      </w:r>
      <w:r>
        <w:rPr>
          <w:rFonts w:hint="eastAsia" w:ascii="仿宋_GB2312" w:hAnsi="宋体" w:eastAsia="仿宋_GB2312"/>
          <w:color w:val="000000"/>
          <w:sz w:val="32"/>
          <w:szCs w:val="32"/>
          <w:lang w:val="zh-CN"/>
        </w:rPr>
        <w:t>。</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3．“</w:t>
      </w:r>
      <w:r>
        <w:rPr>
          <w:rFonts w:hint="eastAsia" w:ascii="仿宋_GB2312" w:eastAsia="仿宋_GB2312" w:cs="仿宋_GB2312"/>
          <w:color w:val="000000"/>
          <w:kern w:val="0"/>
          <w:sz w:val="32"/>
          <w:szCs w:val="32"/>
        </w:rPr>
        <w:t>基本公共卫生服务”项目资金管理，按照我单位内控制度相关规定执行。</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4．</w:t>
      </w:r>
      <w:r>
        <w:rPr>
          <w:rFonts w:hint="eastAsia" w:ascii="仿宋_GB2312" w:eastAsia="仿宋_GB2312" w:cs="仿宋_GB2312"/>
          <w:color w:val="000000"/>
          <w:kern w:val="0"/>
          <w:sz w:val="32"/>
          <w:szCs w:val="32"/>
        </w:rPr>
        <w:t>项目资金由区卫生健康局、区财政局统一规划。</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（二）项目绩效目标。</w:t>
      </w:r>
    </w:p>
    <w:p>
      <w:pPr>
        <w:adjustRightInd w:val="0"/>
        <w:snapToGrid w:val="0"/>
        <w:spacing w:line="600" w:lineRule="exact"/>
        <w:ind w:firstLine="720"/>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1．项目主要内容。</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eastAsia="仿宋_GB2312" w:cs="仿宋_GB2312"/>
          <w:color w:val="000000"/>
          <w:kern w:val="0"/>
          <w:sz w:val="32"/>
          <w:szCs w:val="32"/>
        </w:rPr>
        <w:t xml:space="preserve">    建立居民健康档案服务、健康教育服务、预防接种服务、儿童健康管理服务、孕产妇健康管理服务、老年人健康管理服务、慢性病患者健康管理（高血压、</w:t>
      </w:r>
      <w:r>
        <w:rPr>
          <w:rFonts w:ascii="仿宋_GB2312" w:eastAsia="仿宋_GB2312" w:cs="仿宋_GB2312"/>
          <w:color w:val="000000"/>
          <w:kern w:val="0"/>
          <w:sz w:val="32"/>
          <w:szCs w:val="32"/>
        </w:rPr>
        <w:t>2</w:t>
      </w:r>
      <w:r>
        <w:rPr>
          <w:rFonts w:hint="eastAsia" w:ascii="仿宋_GB2312" w:eastAsia="仿宋_GB2312" w:cs="仿宋_GB2312"/>
          <w:color w:val="000000"/>
          <w:kern w:val="0"/>
          <w:sz w:val="32"/>
          <w:szCs w:val="32"/>
        </w:rPr>
        <w:t>型糖尿病患者）、严重精神障碍患者管理服务、传染病及突发公共卫生事件报告和处理服务、卫生计生监督协管服务、中医药健康管理服务、结核病患者健康管理服务、免费提供避孕药具服务、健康素养促进行动服务。</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2．</w:t>
      </w:r>
      <w:r>
        <w:rPr>
          <w:rFonts w:hint="eastAsia" w:ascii="仿宋_GB2312" w:eastAsia="仿宋_GB2312" w:cs="仿宋_GB2312"/>
          <w:color w:val="000000"/>
          <w:kern w:val="0"/>
          <w:sz w:val="32"/>
          <w:szCs w:val="32"/>
        </w:rPr>
        <w:t>对影响居民健康的主要卫生问题实施干预，减少主要健康危险因素，有效预防和控制主要传染病及慢性病，使居民逐步享有均等化的公共卫生服务。辖区内常住人口及在我辖区连续居住半年以上的流动人口，均可免费享受基本公共卫生服务。</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3．“</w:t>
      </w:r>
      <w:r>
        <w:rPr>
          <w:rFonts w:hint="eastAsia" w:ascii="仿宋_GB2312" w:eastAsia="仿宋_GB2312" w:cs="仿宋_GB2312"/>
          <w:color w:val="000000"/>
          <w:kern w:val="0"/>
          <w:sz w:val="32"/>
          <w:szCs w:val="32"/>
        </w:rPr>
        <w:t>基本公共卫生服务”项目与实际相符，申报目标合理可行。</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（三）项目自评步骤及方法。</w:t>
      </w:r>
    </w:p>
    <w:p>
      <w:pPr>
        <w:autoSpaceDE w:val="0"/>
        <w:autoSpaceDN w:val="0"/>
        <w:adjustRightInd w:val="0"/>
        <w:jc w:val="left"/>
        <w:rPr>
          <w:rFonts w:hint="eastAsia" w:ascii="仿宋_GB2312" w:hAnsi="宋体" w:eastAsia="仿宋_GB2312"/>
          <w:color w:val="000000"/>
          <w:sz w:val="32"/>
          <w:szCs w:val="32"/>
          <w:lang w:val="zh-CN"/>
        </w:rPr>
      </w:pPr>
      <w:r>
        <w:rPr>
          <w:rFonts w:hint="eastAsia" w:ascii="华文仿宋" w:eastAsia="华文仿宋" w:cs="华文仿宋"/>
          <w:color w:val="000000"/>
          <w:kern w:val="0"/>
          <w:sz w:val="32"/>
          <w:szCs w:val="32"/>
        </w:rPr>
        <w:t xml:space="preserve">    </w:t>
      </w:r>
      <w:r>
        <w:rPr>
          <w:rFonts w:hint="eastAsia" w:ascii="仿宋_GB2312" w:eastAsia="仿宋_GB2312" w:cs="华文仿宋"/>
          <w:color w:val="000000"/>
          <w:kern w:val="0"/>
          <w:sz w:val="32"/>
          <w:szCs w:val="32"/>
        </w:rPr>
        <w:t>根据区卫健局的统一部署，为改善居民卫生条件，实施基本公共卫生服务项目。项目经费来源为一般公共财政预算拨款，项目严格按我单位内控管理操作流程有序实施。资金支付严格按照财务制度支出，账务处理及时。项目完成效果好，实施后达到了预期目的，提高了居民卫生健康水平，增强了群众幸福感。</w:t>
      </w:r>
    </w:p>
    <w:p>
      <w:pPr>
        <w:adjustRightInd w:val="0"/>
        <w:snapToGrid w:val="0"/>
        <w:spacing w:line="600" w:lineRule="exact"/>
        <w:ind w:firstLine="720"/>
        <w:rPr>
          <w:rFonts w:hint="eastAsia" w:ascii="黑体" w:hAnsi="黑体" w:eastAsia="黑体"/>
          <w:color w:val="000000"/>
          <w:sz w:val="32"/>
          <w:szCs w:val="32"/>
        </w:rPr>
      </w:pPr>
      <w:r>
        <w:rPr>
          <w:rFonts w:hint="eastAsia" w:ascii="黑体" w:hAnsi="黑体" w:eastAsia="黑体"/>
          <w:color w:val="000000"/>
          <w:sz w:val="32"/>
          <w:szCs w:val="32"/>
        </w:rPr>
        <w:t>二、项目资金申报及使用情况</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（一）项目资金申报及批复情况。</w:t>
      </w:r>
    </w:p>
    <w:p>
      <w:pPr>
        <w:autoSpaceDE w:val="0"/>
        <w:autoSpaceDN w:val="0"/>
        <w:adjustRightInd w:val="0"/>
        <w:jc w:val="left"/>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 xml:space="preserve">    项目绩效评价的步骤：依据《国家基本公共卫生服务规范（第三版）》等相关文件和法规的要求开展项目绩效评价。</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eastAsia="仿宋_GB2312" w:cs="仿宋_GB2312"/>
          <w:color w:val="000000"/>
          <w:kern w:val="0"/>
          <w:sz w:val="32"/>
          <w:szCs w:val="32"/>
        </w:rPr>
        <w:t xml:space="preserve">    项目绩效评价的方法：采用自查、专家抽查和公众评判法。</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（二）资金计划、到位及使用情况。</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1．资金计划。</w:t>
      </w:r>
      <w:r>
        <w:rPr>
          <w:rFonts w:hint="eastAsia" w:ascii="仿宋_GB2312" w:eastAsia="仿宋_GB2312" w:cs="仿宋_GB2312"/>
          <w:color w:val="000000"/>
          <w:kern w:val="0"/>
          <w:sz w:val="32"/>
          <w:szCs w:val="32"/>
        </w:rPr>
        <w:t>项目资金的申报及批复严格执行区财政局、区卫健局的规定及单位内控制度。</w:t>
      </w:r>
    </w:p>
    <w:p>
      <w:pPr>
        <w:adjustRightInd w:val="0"/>
        <w:snapToGrid w:val="0"/>
        <w:spacing w:line="600" w:lineRule="exact"/>
        <w:ind w:firstLine="720"/>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2．资金到位。截止评价时间点，项目资金到位</w:t>
      </w:r>
      <w:r>
        <w:rPr>
          <w:rFonts w:hint="eastAsia" w:ascii="仿宋_GB2312" w:hAnsi="宋体"/>
          <w:color w:val="000000"/>
          <w:sz w:val="32"/>
          <w:szCs w:val="32"/>
          <w:lang w:val="en-US" w:eastAsia="zh-CN"/>
        </w:rPr>
        <w:t>29.72</w:t>
      </w:r>
      <w:r>
        <w:rPr>
          <w:rFonts w:hint="eastAsia" w:ascii="仿宋_GB2312" w:hAnsi="宋体" w:eastAsia="仿宋_GB2312"/>
          <w:color w:val="000000"/>
          <w:sz w:val="32"/>
          <w:szCs w:val="32"/>
          <w:lang w:val="zh-CN"/>
        </w:rPr>
        <w:t>万元。</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 xml:space="preserve">    3．资金使用。</w:t>
      </w:r>
      <w:r>
        <w:rPr>
          <w:rFonts w:hint="eastAsia" w:ascii="仿宋_GB2312" w:eastAsia="仿宋_GB2312" w:cs="仿宋_GB2312"/>
          <w:color w:val="000000"/>
          <w:kern w:val="0"/>
          <w:sz w:val="32"/>
          <w:szCs w:val="32"/>
        </w:rPr>
        <w:t>基本公共卫生服务项目，资金严格按照预算执行，严控资金支付范围、支付标准和支付进度，按规定报区卫健局、区财政局审核后支付款项。</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（三）项目财务管理情况。</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eastAsia="仿宋_GB2312" w:cs="仿宋_GB2312"/>
          <w:color w:val="000000"/>
          <w:kern w:val="0"/>
          <w:sz w:val="32"/>
          <w:szCs w:val="32"/>
        </w:rPr>
        <w:t xml:space="preserve">    单位财务管理制度健全，严格执行财务管理制度和内部控制制度，账务处理及时，会计核算规范。</w:t>
      </w:r>
    </w:p>
    <w:p>
      <w:pPr>
        <w:adjustRightInd w:val="0"/>
        <w:snapToGrid w:val="0"/>
        <w:spacing w:line="600" w:lineRule="exact"/>
        <w:ind w:firstLine="720"/>
        <w:rPr>
          <w:rFonts w:hint="eastAsia" w:ascii="黑体" w:hAnsi="黑体" w:eastAsia="黑体"/>
          <w:color w:val="000000"/>
          <w:sz w:val="32"/>
          <w:szCs w:val="32"/>
        </w:rPr>
      </w:pPr>
      <w:r>
        <w:rPr>
          <w:rFonts w:hint="eastAsia" w:ascii="黑体" w:hAnsi="黑体" w:eastAsia="黑体"/>
          <w:color w:val="000000"/>
          <w:sz w:val="32"/>
          <w:szCs w:val="32"/>
        </w:rPr>
        <w:t>三、项目实施及管理情况</w:t>
      </w:r>
    </w:p>
    <w:p>
      <w:pPr>
        <w:adjustRightInd w:val="0"/>
        <w:snapToGrid w:val="0"/>
        <w:spacing w:line="600" w:lineRule="exact"/>
        <w:ind w:firstLine="720"/>
        <w:rPr>
          <w:rFonts w:hint="eastAsia" w:ascii="仿宋_GB2312" w:hAnsi="宋体" w:eastAsia="仿宋_GB2312"/>
          <w:color w:val="000000"/>
          <w:sz w:val="32"/>
          <w:szCs w:val="32"/>
          <w:lang w:val="zh-CN"/>
        </w:rPr>
      </w:pPr>
      <w:r>
        <w:rPr>
          <w:rFonts w:hint="eastAsia" w:ascii="仿宋_GB2312" w:hAnsi="宋体" w:eastAsia="仿宋_GB2312"/>
          <w:color w:val="000000"/>
          <w:sz w:val="32"/>
          <w:szCs w:val="32"/>
          <w:lang w:val="zh-CN"/>
        </w:rPr>
        <w:t>结合项目组织实施管理办法，重点围绕以下内容进行分析评价，并对自评中发现的问题分析说明。</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（一）项目组织架构及实施流程。</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eastAsia="仿宋_GB2312" w:cs="仿宋_GB2312"/>
          <w:color w:val="000000"/>
          <w:kern w:val="0"/>
          <w:sz w:val="32"/>
          <w:szCs w:val="32"/>
        </w:rPr>
        <w:t xml:space="preserve">    我院设置公卫科、财务科，成立了以院长为组长、副院长为副组长、各科长为成员的内控领导小组。项目实施严格按照内控制定规定进行。    </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（二）项目管理情况。</w:t>
      </w:r>
    </w:p>
    <w:p>
      <w:pPr>
        <w:autoSpaceDE w:val="0"/>
        <w:autoSpaceDN w:val="0"/>
        <w:adjustRightInd w:val="0"/>
        <w:jc w:val="left"/>
        <w:rPr>
          <w:rFonts w:hint="eastAsia" w:ascii="仿宋_GB2312" w:hAnsi="宋体" w:eastAsia="仿宋_GB2312"/>
          <w:color w:val="000000"/>
          <w:sz w:val="32"/>
          <w:szCs w:val="32"/>
        </w:rPr>
      </w:pPr>
      <w:r>
        <w:rPr>
          <w:rFonts w:hint="eastAsia" w:ascii="仿宋_GB2312" w:eastAsia="仿宋_GB2312" w:cs="仿宋_GB2312"/>
          <w:color w:val="000000"/>
          <w:kern w:val="0"/>
          <w:sz w:val="32"/>
          <w:szCs w:val="32"/>
        </w:rPr>
        <w:t xml:space="preserve">    由公卫相关科室，提出项目计划报请院长办公会审批；按照审批结果会同相关部门组织实施项目。</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（三）项目监管情况。</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eastAsia="仿宋_GB2312" w:cs="仿宋_GB2312"/>
          <w:color w:val="000000"/>
          <w:kern w:val="0"/>
          <w:sz w:val="32"/>
          <w:szCs w:val="32"/>
        </w:rPr>
        <w:t xml:space="preserve">    我单位对基本公共卫生服务项目，立项、审批、实施、评价实行全程监督。</w:t>
      </w:r>
    </w:p>
    <w:p>
      <w:pPr>
        <w:adjustRightInd w:val="0"/>
        <w:snapToGrid w:val="0"/>
        <w:spacing w:line="600" w:lineRule="exact"/>
        <w:ind w:firstLine="720"/>
        <w:rPr>
          <w:rFonts w:hint="eastAsia" w:ascii="黑体" w:hAnsi="黑体" w:eastAsia="黑体"/>
          <w:color w:val="000000"/>
          <w:sz w:val="32"/>
          <w:szCs w:val="32"/>
          <w:lang w:val="zh-CN"/>
        </w:rPr>
      </w:pPr>
      <w:r>
        <w:rPr>
          <w:rFonts w:hint="eastAsia" w:ascii="黑体" w:hAnsi="黑体" w:eastAsia="黑体"/>
          <w:color w:val="000000"/>
          <w:sz w:val="32"/>
          <w:szCs w:val="32"/>
        </w:rPr>
        <w:t>四、项目绩效情况</w:t>
      </w:r>
      <w:r>
        <w:rPr>
          <w:rFonts w:hint="eastAsia" w:ascii="黑体" w:hAnsi="黑体" w:eastAsia="黑体"/>
          <w:color w:val="000000"/>
          <w:sz w:val="32"/>
          <w:szCs w:val="32"/>
          <w:lang w:val="zh-CN"/>
        </w:rPr>
        <w:tab/>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（一）项目完成情况。</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1</w:t>
      </w:r>
      <w:r>
        <w:rPr>
          <w:rFonts w:hint="eastAsia" w:ascii="仿宋_GB2312" w:cs="仿宋_GB2312"/>
          <w:color w:val="000000"/>
          <w:kern w:val="0"/>
          <w:sz w:val="32"/>
          <w:szCs w:val="32"/>
          <w:lang w:eastAsia="zh-CN"/>
        </w:rPr>
        <w:t>、</w:t>
      </w:r>
      <w:r>
        <w:rPr>
          <w:rFonts w:hint="eastAsia" w:ascii="仿宋_GB2312" w:eastAsia="仿宋_GB2312" w:cs="仿宋_GB2312"/>
          <w:color w:val="000000"/>
          <w:kern w:val="0"/>
          <w:sz w:val="32"/>
          <w:szCs w:val="32"/>
        </w:rPr>
        <w:t>业务培训指导工作：每月上旬根据科内业务进展情况及存在的实际问题进行考核通报并发送在公卫人员微信群，由于考虑大家时间紧、任务重，尽量减少聚众开会，故自行下载学习。对站公卫工作人员进行业务培训及现场业务督导2次，以求提高工作人员自身业务水平，提升整体基公卫工作服务能力。</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2</w:t>
      </w:r>
      <w:r>
        <w:rPr>
          <w:rFonts w:hint="eastAsia" w:ascii="仿宋_GB2312" w:cs="仿宋_GB2312"/>
          <w:color w:val="000000"/>
          <w:kern w:val="0"/>
          <w:sz w:val="32"/>
          <w:szCs w:val="32"/>
          <w:lang w:eastAsia="zh-CN"/>
        </w:rPr>
        <w:t>、</w:t>
      </w:r>
      <w:r>
        <w:rPr>
          <w:rFonts w:hint="eastAsia" w:ascii="仿宋_GB2312" w:eastAsia="仿宋_GB2312" w:cs="仿宋_GB2312"/>
          <w:color w:val="000000"/>
          <w:kern w:val="0"/>
          <w:sz w:val="32"/>
          <w:szCs w:val="32"/>
        </w:rPr>
        <w:t>重点人群(高血压、糖尿病、老年人、重精)管理率及年检率：目前辖区常住人口41830，建立居民电子健康档案40453份，健康档案电子建档率达96.71%，超额完成国家下达电子建档93%的指标，档案动态管理率达60%以上。目前管理高血压2449人（高血压应管数：2616人），患者健康管理率28.48%，规范管理率80.00%，血压控制率70%左右。目前管理糖尿病1408人（糖尿病应管数：890人），患者健康管理率42.11%，规范管理率80.00%，血糖控制率60%左右；65岁以上老年人健康管理应管数4827，目前老年人健康体检884人（2021.01.01-2021.12.31），老年人体检健康管理率18.31%，未达到上级下达的40%最低体检率要求；目前重精（六大类）在册205人，规范管理202人，患者规范管理率98.54%，年检35人。今年新建高血压161人，糖尿病87人，老年人82人，新增重精22人，肺结核11人。</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3</w:t>
      </w:r>
      <w:r>
        <w:rPr>
          <w:rFonts w:hint="eastAsia" w:ascii="仿宋_GB2312" w:cs="仿宋_GB2312"/>
          <w:color w:val="000000"/>
          <w:kern w:val="0"/>
          <w:sz w:val="32"/>
          <w:szCs w:val="32"/>
          <w:lang w:eastAsia="zh-CN"/>
        </w:rPr>
        <w:t>、</w:t>
      </w:r>
      <w:r>
        <w:rPr>
          <w:rFonts w:hint="eastAsia" w:ascii="仿宋_GB2312" w:eastAsia="仿宋_GB2312" w:cs="仿宋_GB2312"/>
          <w:color w:val="000000"/>
          <w:kern w:val="0"/>
          <w:sz w:val="32"/>
          <w:szCs w:val="32"/>
        </w:rPr>
        <w:t>规范居民健康档案管理：今年陆续清除死亡、迁出、重复、信息不全、高龄失访的慢病档案近200多份，其中：注销高血压93份，糖尿病40份；其他居民档案清理100余份。今年公卫科狠抓慢病筛查新建和重点人群体检表完整性、规范性；年底重点清理天花井、高山井老年人档案袋近1000人份，及时清除重复、破旧、年久失访老年人档案袋，逐步治理档案柜的脏乱差现象。</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4</w:t>
      </w:r>
      <w:r>
        <w:rPr>
          <w:rFonts w:hint="eastAsia" w:ascii="仿宋_GB2312" w:cs="仿宋_GB2312"/>
          <w:color w:val="000000"/>
          <w:kern w:val="0"/>
          <w:sz w:val="32"/>
          <w:szCs w:val="32"/>
          <w:lang w:eastAsia="zh-CN"/>
        </w:rPr>
        <w:t>、</w:t>
      </w:r>
      <w:r>
        <w:rPr>
          <w:rFonts w:hint="eastAsia" w:ascii="仿宋_GB2312" w:eastAsia="仿宋_GB2312" w:cs="仿宋_GB2312"/>
          <w:color w:val="000000"/>
          <w:kern w:val="0"/>
          <w:sz w:val="32"/>
          <w:szCs w:val="32"/>
        </w:rPr>
        <w:t>中医药及家庭签约服务：老年人中医药服务管理884人、下社区中医巡讲2次。接受服务的0—36月龄儿童及65岁以上老年人中医药健康管理服务覆盖率近100%。利用体检、义诊、健教、宣传之机，今年以公卫科为主力新签订家庭医生协议1012份。</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5</w:t>
      </w:r>
      <w:r>
        <w:rPr>
          <w:rFonts w:hint="eastAsia" w:ascii="仿宋_GB2312" w:cs="仿宋_GB2312"/>
          <w:color w:val="000000"/>
          <w:kern w:val="0"/>
          <w:sz w:val="32"/>
          <w:szCs w:val="32"/>
          <w:lang w:eastAsia="zh-CN"/>
        </w:rPr>
        <w:t>、</w:t>
      </w:r>
      <w:r>
        <w:rPr>
          <w:rFonts w:hint="eastAsia" w:ascii="仿宋_GB2312" w:eastAsia="仿宋_GB2312" w:cs="仿宋_GB2312"/>
          <w:color w:val="000000"/>
          <w:kern w:val="0"/>
          <w:sz w:val="32"/>
          <w:szCs w:val="32"/>
        </w:rPr>
        <w:t>其他基本公卫工作概况：今年产妇管理 89人，上门访视率100%；0-6岁儿童系统建档981人，系统管理902人，系统管理率91.95%；开展健康教育讲座15期，中医讲座3次，更新专栏12次，主题日宣传、义诊活动12次。全年传染病上报2例，结核患者新建管理11人，肺结核患者规范管理率达100%。预防接种儿童建卡1618人，国家免疫规划疫苗报告接种率均达90%以上。死因系统我中心今年上报死亡213人，加上第一人民医院上报的我辖区死亡居民数，完全能够达到6.5‰的目标任务。肿瘤管理登记在册242人，失访及死亡在册112人，在管130人，今年上半年已随访94人，今年新增肿瘤居民39人。</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（二）项目效益情况。</w:t>
      </w:r>
    </w:p>
    <w:p>
      <w:pPr>
        <w:autoSpaceDE w:val="0"/>
        <w:autoSpaceDN w:val="0"/>
        <w:adjustRightInd w:val="0"/>
        <w:jc w:val="left"/>
        <w:rPr>
          <w:rFonts w:hint="eastAsia" w:ascii="仿宋_GB2312" w:hAnsi="宋体" w:eastAsia="仿宋_GB2312"/>
          <w:color w:val="000000"/>
          <w:sz w:val="32"/>
          <w:szCs w:val="32"/>
          <w:lang w:val="zh-CN"/>
        </w:rPr>
      </w:pPr>
      <w:r>
        <w:rPr>
          <w:rFonts w:hint="eastAsia" w:ascii="仿宋_GB2312" w:eastAsia="仿宋_GB2312" w:cs="仿宋_GB2312"/>
          <w:color w:val="000000"/>
          <w:kern w:val="0"/>
          <w:sz w:val="32"/>
          <w:szCs w:val="32"/>
        </w:rPr>
        <w:t xml:space="preserve">    基本公共卫生服务项目总体指标完成较好，均能完成评价指标，达到预期值。</w:t>
      </w:r>
    </w:p>
    <w:p>
      <w:pPr>
        <w:adjustRightInd w:val="0"/>
        <w:snapToGrid w:val="0"/>
        <w:spacing w:line="600" w:lineRule="exact"/>
        <w:ind w:firstLine="720"/>
        <w:rPr>
          <w:rFonts w:hint="eastAsia" w:ascii="黑体" w:hAnsi="黑体" w:eastAsia="黑体"/>
          <w:color w:val="000000"/>
          <w:sz w:val="32"/>
          <w:szCs w:val="32"/>
        </w:rPr>
      </w:pPr>
      <w:r>
        <w:rPr>
          <w:rFonts w:hint="eastAsia" w:ascii="黑体" w:hAnsi="黑体" w:eastAsia="黑体"/>
          <w:color w:val="000000"/>
          <w:sz w:val="32"/>
          <w:szCs w:val="32"/>
        </w:rPr>
        <w:t>五、评价结论及建议</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（一）评价结论。</w:t>
      </w:r>
    </w:p>
    <w:p>
      <w:pPr>
        <w:autoSpaceDE w:val="0"/>
        <w:autoSpaceDN w:val="0"/>
        <w:adjustRightInd w:val="0"/>
        <w:jc w:val="left"/>
        <w:rPr>
          <w:rFonts w:hint="eastAsia" w:ascii="仿宋_GB2312" w:hAnsi="宋体" w:eastAsia="仿宋_GB2312"/>
          <w:color w:val="000000"/>
          <w:sz w:val="32"/>
          <w:szCs w:val="32"/>
          <w:bdr w:val="single" w:color="auto" w:sz="4" w:space="0"/>
          <w:lang w:val="zh-CN"/>
        </w:rPr>
      </w:pPr>
      <w:r>
        <w:rPr>
          <w:rFonts w:hint="eastAsia" w:ascii="仿宋_GB2312" w:eastAsia="仿宋_GB2312" w:cs="仿宋_GB2312"/>
          <w:color w:val="000000"/>
          <w:kern w:val="0"/>
          <w:sz w:val="32"/>
          <w:szCs w:val="32"/>
        </w:rPr>
        <w:t xml:space="preserve">    基本公共卫生服务项目，全程规范合理、合规合法；财务管理制度健全，资金支付范围、标准、进度、手续合规合法，账务处理及时，会计核算规范。</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（二）存在的问题。</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1、重点人群管理率不够、年检率低．老年人年检率低特别突出，高血压管理率还有待提高。</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2、部分慢病随访不及时，欠规范。由于慢病管理人员工作量繁重、公卫人员日渐减少，补充不能及时到位，且新冠疫苗接种及上门采集核酸等工作占据大量时间，导致随访不及时，管理不规范。</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3、健康教育工作滞后。近两年健康教育工作更换人员后，工作质量下滑严重，一直得不到改善。原因有二，一个主要原因是该岗位工作量太大，人员能力有限，显得力不从心；二个是人员责任心不强，以难为难。</w:t>
      </w:r>
    </w:p>
    <w:p>
      <w:pPr>
        <w:adjustRightInd w:val="0"/>
        <w:snapToGrid w:val="0"/>
        <w:spacing w:line="600" w:lineRule="exact"/>
        <w:ind w:firstLine="720"/>
        <w:rPr>
          <w:rFonts w:hint="eastAsia" w:ascii="仿宋_GB2312" w:hAnsi="楷体" w:eastAsia="仿宋_GB2312"/>
          <w:b/>
          <w:color w:val="000000"/>
          <w:sz w:val="32"/>
          <w:szCs w:val="32"/>
          <w:lang w:val="zh-CN"/>
        </w:rPr>
      </w:pPr>
      <w:r>
        <w:rPr>
          <w:rFonts w:hint="eastAsia" w:ascii="仿宋_GB2312" w:hAnsi="楷体" w:eastAsia="仿宋_GB2312"/>
          <w:b/>
          <w:color w:val="000000"/>
          <w:sz w:val="32"/>
          <w:szCs w:val="32"/>
          <w:lang w:val="zh-CN"/>
        </w:rPr>
        <w:t>（三）相关建议。</w:t>
      </w:r>
    </w:p>
    <w:p>
      <w:pPr>
        <w:autoSpaceDE w:val="0"/>
        <w:autoSpaceDN w:val="0"/>
        <w:adjustRightInd w:val="0"/>
        <w:ind w:firstLine="640" w:firstLineChars="200"/>
        <w:jc w:val="left"/>
        <w:rPr>
          <w:rFonts w:hint="eastAsia" w:ascii="仿宋_GB2312" w:eastAsia="仿宋_GB2312" w:cs="仿宋_GB2312"/>
          <w:color w:val="000000"/>
          <w:kern w:val="0"/>
          <w:sz w:val="32"/>
          <w:szCs w:val="32"/>
          <w:lang w:eastAsia="zh-CN"/>
        </w:rPr>
      </w:pPr>
      <w:r>
        <w:rPr>
          <w:rFonts w:hint="eastAsia" w:ascii="仿宋_GB2312" w:eastAsia="仿宋_GB2312" w:cs="仿宋_GB2312"/>
          <w:color w:val="000000"/>
          <w:kern w:val="0"/>
          <w:sz w:val="32"/>
          <w:szCs w:val="32"/>
        </w:rPr>
        <w:t>1</w:t>
      </w:r>
      <w:r>
        <w:rPr>
          <w:rFonts w:hint="eastAsia" w:ascii="仿宋_GB2312" w:eastAsia="仿宋_GB2312" w:cs="仿宋_GB2312"/>
          <w:color w:val="000000"/>
          <w:kern w:val="0"/>
          <w:sz w:val="32"/>
          <w:szCs w:val="32"/>
          <w:lang w:eastAsia="zh-CN"/>
        </w:rPr>
        <w:t>、</w:t>
      </w:r>
      <w:r>
        <w:rPr>
          <w:rFonts w:hint="eastAsia" w:ascii="仿宋_GB2312" w:eastAsia="仿宋_GB2312" w:cs="仿宋_GB2312"/>
          <w:color w:val="000000"/>
          <w:kern w:val="0"/>
          <w:sz w:val="32"/>
          <w:szCs w:val="32"/>
        </w:rPr>
        <w:t>提高重点人群（高血压、糖尿病、老年人）管理率和年检率</w:t>
      </w:r>
      <w:r>
        <w:rPr>
          <w:rFonts w:hint="eastAsia" w:ascii="仿宋_GB2312" w:eastAsia="仿宋_GB2312" w:cs="仿宋_GB2312"/>
          <w:color w:val="000000"/>
          <w:kern w:val="0"/>
          <w:sz w:val="32"/>
          <w:szCs w:val="32"/>
          <w:lang w:eastAsia="zh-CN"/>
        </w:rPr>
        <w:t>。</w:t>
      </w:r>
    </w:p>
    <w:p>
      <w:pPr>
        <w:autoSpaceDE w:val="0"/>
        <w:autoSpaceDN w:val="0"/>
        <w:adjustRightInd w:val="0"/>
        <w:ind w:firstLine="640" w:firstLineChars="200"/>
        <w:jc w:val="left"/>
        <w:rPr>
          <w:rFonts w:hint="eastAsia" w:ascii="仿宋_GB2312" w:eastAsia="仿宋_GB2312" w:cs="仿宋_GB2312"/>
          <w:color w:val="000000"/>
          <w:kern w:val="0"/>
          <w:sz w:val="32"/>
          <w:szCs w:val="32"/>
          <w:lang w:eastAsia="zh-CN"/>
        </w:rPr>
      </w:pPr>
      <w:r>
        <w:rPr>
          <w:rFonts w:hint="eastAsia" w:ascii="仿宋_GB2312" w:eastAsia="仿宋_GB2312" w:cs="仿宋_GB2312"/>
          <w:color w:val="000000"/>
          <w:kern w:val="0"/>
          <w:sz w:val="32"/>
          <w:szCs w:val="32"/>
        </w:rPr>
        <w:t>2</w:t>
      </w:r>
      <w:r>
        <w:rPr>
          <w:rFonts w:hint="eastAsia" w:ascii="仿宋_GB2312" w:eastAsia="仿宋_GB2312" w:cs="仿宋_GB2312"/>
          <w:color w:val="000000"/>
          <w:kern w:val="0"/>
          <w:sz w:val="32"/>
          <w:szCs w:val="32"/>
          <w:lang w:eastAsia="zh-CN"/>
        </w:rPr>
        <w:t>、</w:t>
      </w:r>
      <w:r>
        <w:rPr>
          <w:rFonts w:hint="eastAsia" w:ascii="仿宋_GB2312" w:eastAsia="仿宋_GB2312" w:cs="仿宋_GB2312"/>
          <w:color w:val="000000"/>
          <w:kern w:val="0"/>
          <w:sz w:val="32"/>
          <w:szCs w:val="32"/>
        </w:rPr>
        <w:t>提升健康教育、慢病管理工作质量</w:t>
      </w:r>
      <w:r>
        <w:rPr>
          <w:rFonts w:hint="eastAsia" w:ascii="仿宋_GB2312" w:eastAsia="仿宋_GB2312" w:cs="仿宋_GB2312"/>
          <w:color w:val="000000"/>
          <w:kern w:val="0"/>
          <w:sz w:val="32"/>
          <w:szCs w:val="32"/>
          <w:lang w:eastAsia="zh-CN"/>
        </w:rPr>
        <w:t>。</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3、如期完成养老院免费体检和幼儿园体检工作。</w:t>
      </w:r>
    </w:p>
    <w:p>
      <w:pPr>
        <w:autoSpaceDE w:val="0"/>
        <w:autoSpaceDN w:val="0"/>
        <w:adjustRightInd w:val="0"/>
        <w:ind w:firstLine="640" w:firstLineChars="200"/>
        <w:jc w:val="left"/>
        <w:rPr>
          <w:rFonts w:hint="eastAsia" w:ascii="仿宋_GB2312" w:eastAsia="仿宋_GB2312" w:cs="仿宋_GB2312"/>
          <w:color w:val="000000"/>
          <w:kern w:val="0"/>
          <w:sz w:val="32"/>
          <w:szCs w:val="32"/>
        </w:rPr>
      </w:pPr>
      <w:r>
        <w:rPr>
          <w:rFonts w:hint="eastAsia" w:ascii="仿宋_GB2312" w:eastAsia="仿宋_GB2312" w:cs="仿宋_GB2312"/>
          <w:color w:val="000000"/>
          <w:kern w:val="0"/>
          <w:sz w:val="32"/>
          <w:szCs w:val="32"/>
        </w:rPr>
        <w:t>4</w:t>
      </w:r>
      <w:r>
        <w:rPr>
          <w:rFonts w:hint="eastAsia" w:ascii="仿宋_GB2312" w:eastAsia="仿宋_GB2312" w:cs="仿宋_GB2312"/>
          <w:color w:val="000000"/>
          <w:kern w:val="0"/>
          <w:sz w:val="32"/>
          <w:szCs w:val="32"/>
          <w:lang w:eastAsia="zh-CN"/>
        </w:rPr>
        <w:t>、</w:t>
      </w:r>
      <w:r>
        <w:rPr>
          <w:rFonts w:hint="eastAsia" w:ascii="仿宋_GB2312" w:eastAsia="仿宋_GB2312" w:cs="仿宋_GB2312"/>
          <w:color w:val="000000"/>
          <w:kern w:val="0"/>
          <w:sz w:val="32"/>
          <w:szCs w:val="32"/>
        </w:rPr>
        <w:t>其他各项工作在保证质量的基础上力求稳步上升。</w:t>
      </w: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center"/>
        <w:outlineLvl w:val="0"/>
        <w:rPr>
          <w:rFonts w:hint="eastAsia" w:ascii="仿宋_GB2312" w:hAnsi="仿宋_GB2312" w:eastAsia="仿宋_GB2312" w:cs="仿宋_GB2312"/>
          <w:color w:val="000000"/>
          <w:sz w:val="32"/>
          <w:szCs w:val="32"/>
        </w:rPr>
      </w:pPr>
    </w:p>
    <w:p>
      <w:pPr>
        <w:spacing w:line="600" w:lineRule="exact"/>
        <w:jc w:val="both"/>
        <w:outlineLvl w:val="0"/>
        <w:rPr>
          <w:rFonts w:hint="eastAsia" w:ascii="仿宋_GB2312" w:hAnsi="仿宋_GB2312" w:eastAsia="仿宋_GB2312" w:cs="仿宋_GB2312"/>
          <w:color w:val="000000"/>
          <w:sz w:val="32"/>
          <w:szCs w:val="32"/>
        </w:rPr>
      </w:pPr>
    </w:p>
    <w:p>
      <w:pPr>
        <w:spacing w:line="600" w:lineRule="exact"/>
        <w:jc w:val="center"/>
        <w:outlineLvl w:val="0"/>
        <w:rPr>
          <w:rStyle w:val="15"/>
          <w:rFonts w:hint="eastAsia" w:ascii="仿宋_GB2312" w:hAnsi="仿宋_GB2312" w:eastAsia="仿宋_GB2312" w:cs="仿宋_GB2312"/>
          <w:b w:val="0"/>
          <w:bCs w:val="0"/>
          <w:sz w:val="32"/>
          <w:szCs w:val="32"/>
        </w:rPr>
      </w:pPr>
      <w:r>
        <w:rPr>
          <w:rFonts w:hint="eastAsia" w:ascii="黑体" w:hAnsi="黑体" w:eastAsia="黑体" w:cs="黑体"/>
          <w:color w:val="000000"/>
          <w:sz w:val="44"/>
          <w:szCs w:val="44"/>
        </w:rPr>
        <w:t>第</w:t>
      </w:r>
      <w:r>
        <w:rPr>
          <w:rStyle w:val="15"/>
          <w:rFonts w:hint="eastAsia" w:ascii="黑体" w:hAnsi="黑体" w:eastAsia="黑体" w:cs="黑体"/>
          <w:b w:val="0"/>
          <w:bCs w:val="0"/>
          <w:sz w:val="44"/>
          <w:szCs w:val="44"/>
        </w:rPr>
        <w:t>五部分 附表</w:t>
      </w:r>
      <w:bookmarkEnd w:id="58"/>
      <w:bookmarkEnd w:id="62"/>
      <w:bookmarkEnd w:id="63"/>
      <w:bookmarkStart w:id="64" w:name="_Toc15396619"/>
      <w:bookmarkStart w:id="65" w:name="_Toc15699"/>
    </w:p>
    <w:p>
      <w:pPr>
        <w:spacing w:line="600" w:lineRule="exact"/>
        <w:jc w:val="center"/>
        <w:outlineLvl w:val="0"/>
        <w:rPr>
          <w:rStyle w:val="15"/>
          <w:rFonts w:hint="eastAsia" w:ascii="仿宋_GB2312" w:hAnsi="仿宋_GB2312" w:eastAsia="仿宋_GB2312" w:cs="仿宋_GB2312"/>
          <w:b w:val="0"/>
          <w:bCs w:val="0"/>
          <w:sz w:val="32"/>
          <w:szCs w:val="32"/>
        </w:rPr>
      </w:pPr>
    </w:p>
    <w:p>
      <w:pPr>
        <w:spacing w:line="600" w:lineRule="exact"/>
        <w:jc w:val="left"/>
        <w:outlineLvl w:val="0"/>
        <w:rPr>
          <w:rStyle w:val="16"/>
          <w:rFonts w:hint="eastAsia" w:ascii="仿宋_GB2312" w:hAnsi="仿宋_GB2312" w:eastAsia="仿宋_GB2312" w:cs="仿宋_GB2312"/>
          <w:b w:val="0"/>
          <w:bCs w:val="0"/>
          <w:sz w:val="32"/>
          <w:szCs w:val="32"/>
        </w:rPr>
      </w:pPr>
      <w:r>
        <w:rPr>
          <w:rFonts w:hint="eastAsia" w:ascii="仿宋_GB2312" w:hAnsi="仿宋_GB2312" w:eastAsia="仿宋_GB2312" w:cs="仿宋_GB2312"/>
          <w:color w:val="000000"/>
          <w:sz w:val="32"/>
          <w:szCs w:val="32"/>
        </w:rPr>
        <w:t>一、收</w:t>
      </w:r>
      <w:r>
        <w:rPr>
          <w:rStyle w:val="16"/>
          <w:rFonts w:hint="eastAsia" w:ascii="仿宋_GB2312" w:hAnsi="仿宋_GB2312" w:eastAsia="仿宋_GB2312" w:cs="仿宋_GB2312"/>
          <w:b w:val="0"/>
          <w:bCs w:val="0"/>
          <w:sz w:val="32"/>
          <w:szCs w:val="32"/>
        </w:rPr>
        <w:t>入支出决算总表</w:t>
      </w:r>
      <w:bookmarkEnd w:id="64"/>
      <w:bookmarkEnd w:id="65"/>
      <w:bookmarkStart w:id="66" w:name="_Toc15396620"/>
      <w:bookmarkStart w:id="67" w:name="_Toc27106"/>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sz w:val="32"/>
          <w:szCs w:val="32"/>
        </w:rPr>
        <w:t>二、</w:t>
      </w:r>
      <w:r>
        <w:rPr>
          <w:rStyle w:val="16"/>
          <w:rFonts w:hint="eastAsia" w:ascii="仿宋_GB2312" w:hAnsi="仿宋_GB2312" w:eastAsia="仿宋_GB2312" w:cs="仿宋_GB2312"/>
          <w:b w:val="0"/>
          <w:bCs w:val="0"/>
          <w:sz w:val="32"/>
          <w:szCs w:val="32"/>
        </w:rPr>
        <w:t>收入决算表</w:t>
      </w:r>
      <w:bookmarkEnd w:id="66"/>
      <w:bookmarkEnd w:id="67"/>
      <w:bookmarkStart w:id="68" w:name="_Toc26817"/>
      <w:bookmarkStart w:id="69" w:name="_Toc15396621"/>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sz w:val="32"/>
          <w:szCs w:val="32"/>
        </w:rPr>
        <w:t>三、</w:t>
      </w:r>
      <w:r>
        <w:rPr>
          <w:rFonts w:hint="eastAsia" w:ascii="仿宋_GB2312" w:hAnsi="仿宋_GB2312" w:eastAsia="仿宋_GB2312" w:cs="仿宋_GB2312"/>
          <w:color w:val="000000"/>
          <w:sz w:val="32"/>
          <w:szCs w:val="32"/>
        </w:rPr>
        <w:t>支</w:t>
      </w:r>
      <w:r>
        <w:rPr>
          <w:rStyle w:val="16"/>
          <w:rFonts w:hint="eastAsia" w:ascii="仿宋_GB2312" w:hAnsi="仿宋_GB2312" w:eastAsia="仿宋_GB2312" w:cs="仿宋_GB2312"/>
          <w:b w:val="0"/>
          <w:bCs w:val="0"/>
          <w:sz w:val="32"/>
          <w:szCs w:val="32"/>
        </w:rPr>
        <w:t>出决算表</w:t>
      </w:r>
      <w:bookmarkEnd w:id="68"/>
      <w:bookmarkEnd w:id="69"/>
      <w:bookmarkStart w:id="70" w:name="_Toc15396622"/>
      <w:bookmarkStart w:id="71" w:name="_Toc21747"/>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四、财政拨款收入支出决算总表</w:t>
      </w:r>
      <w:bookmarkEnd w:id="70"/>
      <w:bookmarkEnd w:id="71"/>
      <w:bookmarkStart w:id="72" w:name="_Toc15396623"/>
      <w:bookmarkStart w:id="73" w:name="_Toc12959"/>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五、财政拨款支出决算明细表</w:t>
      </w:r>
      <w:bookmarkEnd w:id="72"/>
      <w:bookmarkEnd w:id="73"/>
      <w:bookmarkStart w:id="74" w:name="_Toc15396624"/>
      <w:bookmarkStart w:id="75" w:name="_Toc23749"/>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六、</w:t>
      </w:r>
      <w:r>
        <w:rPr>
          <w:rStyle w:val="16"/>
          <w:rFonts w:hint="eastAsia" w:ascii="仿宋_GB2312" w:hAnsi="仿宋_GB2312" w:eastAsia="仿宋_GB2312" w:cs="仿宋_GB2312"/>
          <w:sz w:val="32"/>
          <w:szCs w:val="32"/>
        </w:rPr>
        <w:t>一</w:t>
      </w:r>
      <w:r>
        <w:rPr>
          <w:rStyle w:val="16"/>
          <w:rFonts w:hint="eastAsia" w:ascii="仿宋_GB2312" w:hAnsi="仿宋_GB2312" w:eastAsia="仿宋_GB2312" w:cs="仿宋_GB2312"/>
          <w:b w:val="0"/>
          <w:bCs w:val="0"/>
          <w:sz w:val="32"/>
          <w:szCs w:val="32"/>
        </w:rPr>
        <w:t>般公共预算财政拨款支出决算表</w:t>
      </w:r>
      <w:bookmarkEnd w:id="74"/>
      <w:bookmarkEnd w:id="75"/>
      <w:bookmarkStart w:id="76" w:name="_Toc15396625"/>
      <w:bookmarkStart w:id="77" w:name="_Toc22275"/>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七、</w:t>
      </w:r>
      <w:r>
        <w:rPr>
          <w:rStyle w:val="16"/>
          <w:rFonts w:hint="eastAsia" w:ascii="仿宋_GB2312" w:hAnsi="仿宋_GB2312" w:eastAsia="仿宋_GB2312" w:cs="仿宋_GB2312"/>
          <w:sz w:val="32"/>
          <w:szCs w:val="32"/>
        </w:rPr>
        <w:t>一</w:t>
      </w:r>
      <w:r>
        <w:rPr>
          <w:rStyle w:val="16"/>
          <w:rFonts w:hint="eastAsia" w:ascii="仿宋_GB2312" w:hAnsi="仿宋_GB2312" w:eastAsia="仿宋_GB2312" w:cs="仿宋_GB2312"/>
          <w:b w:val="0"/>
          <w:bCs w:val="0"/>
          <w:sz w:val="32"/>
          <w:szCs w:val="32"/>
        </w:rPr>
        <w:t>般公共预算财政拨款支出决算明细表</w:t>
      </w:r>
      <w:bookmarkEnd w:id="76"/>
      <w:bookmarkEnd w:id="77"/>
      <w:bookmarkStart w:id="78" w:name="_Toc15396626"/>
      <w:bookmarkStart w:id="79" w:name="_Toc30634"/>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八、</w:t>
      </w:r>
      <w:r>
        <w:rPr>
          <w:rStyle w:val="16"/>
          <w:rFonts w:hint="eastAsia" w:ascii="仿宋_GB2312" w:hAnsi="仿宋_GB2312" w:eastAsia="仿宋_GB2312" w:cs="仿宋_GB2312"/>
          <w:sz w:val="32"/>
          <w:szCs w:val="32"/>
        </w:rPr>
        <w:t>一</w:t>
      </w:r>
      <w:r>
        <w:rPr>
          <w:rStyle w:val="16"/>
          <w:rFonts w:hint="eastAsia" w:ascii="仿宋_GB2312" w:hAnsi="仿宋_GB2312" w:eastAsia="仿宋_GB2312" w:cs="仿宋_GB2312"/>
          <w:b w:val="0"/>
          <w:bCs w:val="0"/>
          <w:sz w:val="32"/>
          <w:szCs w:val="32"/>
        </w:rPr>
        <w:t>般公共预算财政拨款基本支出决算表</w:t>
      </w:r>
      <w:bookmarkEnd w:id="78"/>
      <w:bookmarkEnd w:id="79"/>
      <w:bookmarkStart w:id="80" w:name="_Toc15396627"/>
      <w:bookmarkStart w:id="81" w:name="_Toc15170"/>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九、</w:t>
      </w:r>
      <w:r>
        <w:rPr>
          <w:rStyle w:val="16"/>
          <w:rFonts w:hint="eastAsia" w:ascii="仿宋_GB2312" w:hAnsi="仿宋_GB2312" w:eastAsia="仿宋_GB2312" w:cs="仿宋_GB2312"/>
          <w:sz w:val="32"/>
          <w:szCs w:val="32"/>
        </w:rPr>
        <w:t>一</w:t>
      </w:r>
      <w:r>
        <w:rPr>
          <w:rStyle w:val="16"/>
          <w:rFonts w:hint="eastAsia" w:ascii="仿宋_GB2312" w:hAnsi="仿宋_GB2312" w:eastAsia="仿宋_GB2312" w:cs="仿宋_GB2312"/>
          <w:b w:val="0"/>
          <w:bCs w:val="0"/>
          <w:sz w:val="32"/>
          <w:szCs w:val="32"/>
        </w:rPr>
        <w:t>般公共预算财政拨款项目支出决算表</w:t>
      </w:r>
      <w:bookmarkEnd w:id="80"/>
      <w:bookmarkEnd w:id="81"/>
      <w:bookmarkStart w:id="82" w:name="_Toc17603"/>
      <w:bookmarkStart w:id="83" w:name="_Toc15396628"/>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十、</w:t>
      </w:r>
      <w:r>
        <w:rPr>
          <w:rStyle w:val="16"/>
          <w:rFonts w:hint="eastAsia" w:ascii="仿宋_GB2312" w:hAnsi="仿宋_GB2312" w:eastAsia="仿宋_GB2312" w:cs="仿宋_GB2312"/>
          <w:sz w:val="32"/>
          <w:szCs w:val="32"/>
        </w:rPr>
        <w:t>一</w:t>
      </w:r>
      <w:r>
        <w:rPr>
          <w:rStyle w:val="16"/>
          <w:rFonts w:hint="eastAsia" w:ascii="仿宋_GB2312" w:hAnsi="仿宋_GB2312" w:eastAsia="仿宋_GB2312" w:cs="仿宋_GB2312"/>
          <w:b w:val="0"/>
          <w:bCs w:val="0"/>
          <w:sz w:val="32"/>
          <w:szCs w:val="32"/>
        </w:rPr>
        <w:t>般公共预算财政拨款“三公”经费支出决算表</w:t>
      </w:r>
      <w:bookmarkEnd w:id="82"/>
      <w:bookmarkEnd w:id="83"/>
      <w:bookmarkStart w:id="84" w:name="_Toc15396629"/>
      <w:bookmarkStart w:id="85" w:name="_Toc7313"/>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十一、政府性基金预算财政拨款收入支出决算表</w:t>
      </w:r>
      <w:bookmarkEnd w:id="84"/>
      <w:bookmarkEnd w:id="85"/>
      <w:bookmarkStart w:id="86" w:name="_Toc15396630"/>
      <w:bookmarkStart w:id="87" w:name="_Toc9382"/>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十二、政府性基金预算财政拨款“三公”经费支出决算表</w:t>
      </w:r>
      <w:bookmarkEnd w:id="86"/>
      <w:bookmarkEnd w:id="87"/>
      <w:bookmarkStart w:id="88" w:name="_Toc22683"/>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十三、国有资本经营预算财政拨款收入支出决算表</w:t>
      </w:r>
      <w:bookmarkEnd w:id="88"/>
      <w:bookmarkStart w:id="89" w:name="_Toc10257"/>
    </w:p>
    <w:p>
      <w:pPr>
        <w:spacing w:line="600" w:lineRule="exact"/>
        <w:jc w:val="left"/>
        <w:outlineLvl w:val="0"/>
        <w:rPr>
          <w:rStyle w:val="16"/>
          <w:rFonts w:hint="eastAsia" w:ascii="仿宋_GB2312" w:hAnsi="仿宋_GB2312" w:eastAsia="仿宋_GB2312" w:cs="仿宋_GB2312"/>
          <w:b w:val="0"/>
          <w:bCs w:val="0"/>
          <w:sz w:val="32"/>
          <w:szCs w:val="32"/>
        </w:rPr>
      </w:pPr>
      <w:r>
        <w:rPr>
          <w:rStyle w:val="16"/>
          <w:rFonts w:hint="eastAsia" w:ascii="仿宋_GB2312" w:hAnsi="仿宋_GB2312" w:eastAsia="仿宋_GB2312" w:cs="仿宋_GB2312"/>
          <w:b w:val="0"/>
          <w:bCs w:val="0"/>
          <w:sz w:val="32"/>
          <w:szCs w:val="32"/>
        </w:rPr>
        <w:t>十四、国有资本经营预算财政拨款支出决算表</w:t>
      </w:r>
      <w:bookmarkEnd w:id="89"/>
    </w:p>
    <w:sectPr>
      <w:footerReference r:id="rId8" w:type="default"/>
      <w:pgSz w:w="11906" w:h="16838"/>
      <w:pgMar w:top="1440" w:right="1800" w:bottom="1440" w:left="1800" w:header="851" w:footer="992" w:gutter="0"/>
      <w:pgNumType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cs="Times New Roman"/>
      </w:rPr>
    </w:pPr>
  </w:p>
  <w:p>
    <w:pPr>
      <w:pStyle w:val="7"/>
      <w:ind w:firstLine="3870" w:firstLineChars="215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cs="Times New Roman"/>
      </w:rPr>
    </w:pPr>
  </w:p>
  <w:p>
    <w:pPr>
      <w:pStyle w:val="7"/>
      <w:ind w:firstLine="3870" w:firstLineChars="2150"/>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cs="Times New Roman"/>
      </w:rPr>
    </w:pPr>
    <w: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7"/>
                  <w:jc w:val="center"/>
                  <w:rPr>
                    <w:rFonts w:cs="Times New Roman"/>
                  </w:rPr>
                </w:pPr>
                <w:r>
                  <w:fldChar w:fldCharType="begin"/>
                </w:r>
                <w:r>
                  <w:instrText xml:space="preserve"> PAGE   \* MERGEFORMAT </w:instrText>
                </w:r>
                <w:r>
                  <w:fldChar w:fldCharType="separate"/>
                </w:r>
                <w:r>
                  <w:rPr>
                    <w:lang w:val="zh-CN"/>
                  </w:rPr>
                  <w:t>14</w:t>
                </w:r>
                <w:r>
                  <w:rPr>
                    <w:lang w:val="zh-CN"/>
                  </w:rPr>
                  <w:fldChar w:fldCharType="end"/>
                </w:r>
              </w:p>
              <w:p/>
            </w:txbxContent>
          </v:textbox>
        </v:shape>
      </w:pict>
    </w:r>
    <w:r>
      <w:rPr>
        <w:rFonts w:cs="Times New Roman"/>
      </w:rPr>
      <w:tab/>
    </w:r>
  </w:p>
  <w:p>
    <w:pPr>
      <w:pStyle w:val="7"/>
      <w:ind w:firstLine="3870" w:firstLineChars="215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bCs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01D5CFB"/>
    <w:multiLevelType w:val="singleLevel"/>
    <w:tmpl w:val="501D5CFB"/>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oNotHyphenateCaps/>
  <w:drawingGridHorizontalSpacing w:val="160"/>
  <w:drawingGridVerticalSpacing w:val="435"/>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wOTFlM2NjNjgyZWE2MWExZjQ1ZTgxMzY0ZGUwNTcifQ=="/>
  </w:docVars>
  <w:rsids>
    <w:rsidRoot w:val="6504078C"/>
    <w:rsid w:val="0000200E"/>
    <w:rsid w:val="000A0922"/>
    <w:rsid w:val="001370DA"/>
    <w:rsid w:val="00184BFC"/>
    <w:rsid w:val="001C166D"/>
    <w:rsid w:val="001C6D59"/>
    <w:rsid w:val="0020123A"/>
    <w:rsid w:val="0020526F"/>
    <w:rsid w:val="0022136E"/>
    <w:rsid w:val="0026487A"/>
    <w:rsid w:val="00326FB3"/>
    <w:rsid w:val="004762B6"/>
    <w:rsid w:val="004B2B34"/>
    <w:rsid w:val="004B4178"/>
    <w:rsid w:val="004E3D53"/>
    <w:rsid w:val="00571B41"/>
    <w:rsid w:val="0058125D"/>
    <w:rsid w:val="005D0D23"/>
    <w:rsid w:val="00695317"/>
    <w:rsid w:val="006E3F8C"/>
    <w:rsid w:val="00705C5A"/>
    <w:rsid w:val="007064CB"/>
    <w:rsid w:val="00710E85"/>
    <w:rsid w:val="00720FF8"/>
    <w:rsid w:val="00744414"/>
    <w:rsid w:val="007A7B01"/>
    <w:rsid w:val="007E7AA3"/>
    <w:rsid w:val="009073AC"/>
    <w:rsid w:val="0091651E"/>
    <w:rsid w:val="009177A3"/>
    <w:rsid w:val="00924133"/>
    <w:rsid w:val="00934A5C"/>
    <w:rsid w:val="009E6605"/>
    <w:rsid w:val="009F5B1E"/>
    <w:rsid w:val="00A40D37"/>
    <w:rsid w:val="00A4607C"/>
    <w:rsid w:val="00B375A7"/>
    <w:rsid w:val="00B5236C"/>
    <w:rsid w:val="00BA39FA"/>
    <w:rsid w:val="00BC1062"/>
    <w:rsid w:val="00BE020F"/>
    <w:rsid w:val="00C02F70"/>
    <w:rsid w:val="00C1657C"/>
    <w:rsid w:val="00C46CB7"/>
    <w:rsid w:val="00C63281"/>
    <w:rsid w:val="00D0064E"/>
    <w:rsid w:val="00D6090D"/>
    <w:rsid w:val="00D87F16"/>
    <w:rsid w:val="00DA1058"/>
    <w:rsid w:val="00E108D9"/>
    <w:rsid w:val="00E11B57"/>
    <w:rsid w:val="00E728EF"/>
    <w:rsid w:val="00EC64CD"/>
    <w:rsid w:val="00F574B1"/>
    <w:rsid w:val="00FF4D1B"/>
    <w:rsid w:val="019639E4"/>
    <w:rsid w:val="01B90A47"/>
    <w:rsid w:val="02A00C98"/>
    <w:rsid w:val="02CD5F0D"/>
    <w:rsid w:val="02D06451"/>
    <w:rsid w:val="03543ACC"/>
    <w:rsid w:val="03DA624F"/>
    <w:rsid w:val="04A5139B"/>
    <w:rsid w:val="04FD41F8"/>
    <w:rsid w:val="05013DE9"/>
    <w:rsid w:val="053D4C8D"/>
    <w:rsid w:val="0617748B"/>
    <w:rsid w:val="06D96529"/>
    <w:rsid w:val="08317508"/>
    <w:rsid w:val="09B551B5"/>
    <w:rsid w:val="0AC564A5"/>
    <w:rsid w:val="0AFC376A"/>
    <w:rsid w:val="0B3813DC"/>
    <w:rsid w:val="0B825F73"/>
    <w:rsid w:val="0C5B0E02"/>
    <w:rsid w:val="0C6572B8"/>
    <w:rsid w:val="0CB53018"/>
    <w:rsid w:val="0CCC4BFF"/>
    <w:rsid w:val="0D060885"/>
    <w:rsid w:val="0D623F41"/>
    <w:rsid w:val="0E197F2D"/>
    <w:rsid w:val="102F56DC"/>
    <w:rsid w:val="11A32834"/>
    <w:rsid w:val="13930C22"/>
    <w:rsid w:val="14D522A1"/>
    <w:rsid w:val="158E0979"/>
    <w:rsid w:val="16C705BB"/>
    <w:rsid w:val="1709306A"/>
    <w:rsid w:val="17E8215D"/>
    <w:rsid w:val="17FD5DAC"/>
    <w:rsid w:val="183242E7"/>
    <w:rsid w:val="18974C28"/>
    <w:rsid w:val="19CB11E8"/>
    <w:rsid w:val="1A592867"/>
    <w:rsid w:val="1A887AE7"/>
    <w:rsid w:val="1BB810F7"/>
    <w:rsid w:val="1BD0037C"/>
    <w:rsid w:val="1E2667A9"/>
    <w:rsid w:val="1E6577F7"/>
    <w:rsid w:val="1F637AFA"/>
    <w:rsid w:val="1FE24EE9"/>
    <w:rsid w:val="2087698F"/>
    <w:rsid w:val="21E65F56"/>
    <w:rsid w:val="220D7F86"/>
    <w:rsid w:val="22FB3354"/>
    <w:rsid w:val="2308112B"/>
    <w:rsid w:val="232A7E29"/>
    <w:rsid w:val="234A16E3"/>
    <w:rsid w:val="23DF159D"/>
    <w:rsid w:val="25710CC8"/>
    <w:rsid w:val="25DE718D"/>
    <w:rsid w:val="26132DC7"/>
    <w:rsid w:val="26253DA1"/>
    <w:rsid w:val="26731331"/>
    <w:rsid w:val="27B27C37"/>
    <w:rsid w:val="28F40DA5"/>
    <w:rsid w:val="29B125AC"/>
    <w:rsid w:val="2A762039"/>
    <w:rsid w:val="2AC65C17"/>
    <w:rsid w:val="2BA65A00"/>
    <w:rsid w:val="2BF51624"/>
    <w:rsid w:val="2C8832C2"/>
    <w:rsid w:val="2CD079D0"/>
    <w:rsid w:val="2D561F21"/>
    <w:rsid w:val="2E1B239C"/>
    <w:rsid w:val="2E1F69B3"/>
    <w:rsid w:val="2EA82053"/>
    <w:rsid w:val="2F785106"/>
    <w:rsid w:val="2F867B41"/>
    <w:rsid w:val="3009736B"/>
    <w:rsid w:val="30833DD7"/>
    <w:rsid w:val="30C52047"/>
    <w:rsid w:val="31520095"/>
    <w:rsid w:val="31ED4307"/>
    <w:rsid w:val="32565797"/>
    <w:rsid w:val="32875BC1"/>
    <w:rsid w:val="33522EB4"/>
    <w:rsid w:val="33743B62"/>
    <w:rsid w:val="34EB6787"/>
    <w:rsid w:val="35D229E8"/>
    <w:rsid w:val="362867DA"/>
    <w:rsid w:val="38634DC6"/>
    <w:rsid w:val="3A9B448F"/>
    <w:rsid w:val="3B876086"/>
    <w:rsid w:val="3BF22A2F"/>
    <w:rsid w:val="3C0027E0"/>
    <w:rsid w:val="3C084E11"/>
    <w:rsid w:val="3CA43F76"/>
    <w:rsid w:val="3CBF4074"/>
    <w:rsid w:val="3CEB5AE5"/>
    <w:rsid w:val="3D605AB3"/>
    <w:rsid w:val="3E4169FF"/>
    <w:rsid w:val="3E541C7C"/>
    <w:rsid w:val="3F782DE5"/>
    <w:rsid w:val="3F8F582D"/>
    <w:rsid w:val="3F9171EE"/>
    <w:rsid w:val="40E65124"/>
    <w:rsid w:val="411F58E9"/>
    <w:rsid w:val="41AC22EC"/>
    <w:rsid w:val="43581864"/>
    <w:rsid w:val="43EA11A7"/>
    <w:rsid w:val="44CC48C3"/>
    <w:rsid w:val="488F1498"/>
    <w:rsid w:val="4919661B"/>
    <w:rsid w:val="496D5008"/>
    <w:rsid w:val="4A044369"/>
    <w:rsid w:val="4B187DAD"/>
    <w:rsid w:val="4C665376"/>
    <w:rsid w:val="4D7A161D"/>
    <w:rsid w:val="4E3A4862"/>
    <w:rsid w:val="4E4139D0"/>
    <w:rsid w:val="4E657700"/>
    <w:rsid w:val="505F6947"/>
    <w:rsid w:val="50D25666"/>
    <w:rsid w:val="516D4AD6"/>
    <w:rsid w:val="520D17B9"/>
    <w:rsid w:val="5250658C"/>
    <w:rsid w:val="52D33909"/>
    <w:rsid w:val="52E918D7"/>
    <w:rsid w:val="530D021A"/>
    <w:rsid w:val="53332E08"/>
    <w:rsid w:val="54877FFC"/>
    <w:rsid w:val="54D64FE8"/>
    <w:rsid w:val="56395457"/>
    <w:rsid w:val="565C04D2"/>
    <w:rsid w:val="56E54ED7"/>
    <w:rsid w:val="570402C5"/>
    <w:rsid w:val="5726167B"/>
    <w:rsid w:val="57AA151E"/>
    <w:rsid w:val="589672AE"/>
    <w:rsid w:val="5929732A"/>
    <w:rsid w:val="59526FF3"/>
    <w:rsid w:val="5A88076A"/>
    <w:rsid w:val="5AE30834"/>
    <w:rsid w:val="5B2064E2"/>
    <w:rsid w:val="5B6570D8"/>
    <w:rsid w:val="5BDE066A"/>
    <w:rsid w:val="5BEB32C8"/>
    <w:rsid w:val="5C463AA9"/>
    <w:rsid w:val="5D371699"/>
    <w:rsid w:val="5D3E75DF"/>
    <w:rsid w:val="5FAF46A0"/>
    <w:rsid w:val="5FE42A0E"/>
    <w:rsid w:val="60B32686"/>
    <w:rsid w:val="61314591"/>
    <w:rsid w:val="6504078C"/>
    <w:rsid w:val="657F221F"/>
    <w:rsid w:val="67055CF6"/>
    <w:rsid w:val="6776111B"/>
    <w:rsid w:val="67D346FC"/>
    <w:rsid w:val="68105895"/>
    <w:rsid w:val="685726B8"/>
    <w:rsid w:val="68847D78"/>
    <w:rsid w:val="694A684D"/>
    <w:rsid w:val="6977756F"/>
    <w:rsid w:val="69A32D39"/>
    <w:rsid w:val="6A0922BB"/>
    <w:rsid w:val="6C365596"/>
    <w:rsid w:val="6C854748"/>
    <w:rsid w:val="6CC21ECA"/>
    <w:rsid w:val="6CC26A8C"/>
    <w:rsid w:val="6CC92152"/>
    <w:rsid w:val="6D05223A"/>
    <w:rsid w:val="6D46258F"/>
    <w:rsid w:val="6D9F45E3"/>
    <w:rsid w:val="6DB35803"/>
    <w:rsid w:val="6F874D36"/>
    <w:rsid w:val="70756AA2"/>
    <w:rsid w:val="70E228C4"/>
    <w:rsid w:val="713D1C1E"/>
    <w:rsid w:val="71457D29"/>
    <w:rsid w:val="71666CE5"/>
    <w:rsid w:val="726E3979"/>
    <w:rsid w:val="72725409"/>
    <w:rsid w:val="72C05D87"/>
    <w:rsid w:val="734D60E8"/>
    <w:rsid w:val="739137FA"/>
    <w:rsid w:val="73B330E4"/>
    <w:rsid w:val="740A0E3C"/>
    <w:rsid w:val="743B19EC"/>
    <w:rsid w:val="745E237C"/>
    <w:rsid w:val="74E937A8"/>
    <w:rsid w:val="76094022"/>
    <w:rsid w:val="76622F93"/>
    <w:rsid w:val="769750F1"/>
    <w:rsid w:val="76DE18D5"/>
    <w:rsid w:val="76E14A08"/>
    <w:rsid w:val="77793291"/>
    <w:rsid w:val="77943665"/>
    <w:rsid w:val="77C0149D"/>
    <w:rsid w:val="789E399B"/>
    <w:rsid w:val="78A90B61"/>
    <w:rsid w:val="78BC253A"/>
    <w:rsid w:val="78C75B53"/>
    <w:rsid w:val="797237D4"/>
    <w:rsid w:val="79965A23"/>
    <w:rsid w:val="79D017B3"/>
    <w:rsid w:val="79D03FF8"/>
    <w:rsid w:val="79D52045"/>
    <w:rsid w:val="7A9A0226"/>
    <w:rsid w:val="7AE559E8"/>
    <w:rsid w:val="7B096D03"/>
    <w:rsid w:val="7B1B0F31"/>
    <w:rsid w:val="7C193762"/>
    <w:rsid w:val="7C7A745B"/>
    <w:rsid w:val="7CB564A4"/>
    <w:rsid w:val="7CB91CE9"/>
    <w:rsid w:val="7D2D0483"/>
    <w:rsid w:val="7D492F58"/>
    <w:rsid w:val="7D5B4DEB"/>
    <w:rsid w:val="7E7604BC"/>
    <w:rsid w:val="7E891559"/>
    <w:rsid w:val="7E9C5C7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99"/>
    <w:pPr>
      <w:keepNext/>
      <w:keepLines/>
      <w:spacing w:before="260" w:after="260" w:line="416" w:lineRule="auto"/>
      <w:outlineLvl w:val="1"/>
    </w:pPr>
    <w:rPr>
      <w:rFonts w:ascii="Cambria" w:hAnsi="Cambria" w:cs="Cambria"/>
      <w:b/>
      <w:bCs/>
    </w:rPr>
  </w:style>
  <w:style w:type="character" w:default="1" w:styleId="12">
    <w:name w:val="Default Paragraph Font"/>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99"/>
    <w:rPr>
      <w:rFonts w:ascii="Arial" w:hAnsi="Arial" w:eastAsia="黑体" w:cs="Arial"/>
      <w:sz w:val="20"/>
      <w:szCs w:val="20"/>
    </w:rPr>
  </w:style>
  <w:style w:type="paragraph" w:styleId="5">
    <w:name w:val="Body Text"/>
    <w:basedOn w:val="1"/>
    <w:link w:val="17"/>
    <w:qFormat/>
    <w:uiPriority w:val="99"/>
    <w:pPr>
      <w:spacing w:beforeLines="30"/>
    </w:pPr>
    <w:rPr>
      <w:rFonts w:ascii="仿宋_GB2312" w:cs="仿宋_GB2312"/>
      <w:kern w:val="0"/>
      <w:sz w:val="24"/>
      <w:szCs w:val="24"/>
    </w:rPr>
  </w:style>
  <w:style w:type="paragraph" w:styleId="6">
    <w:name w:val="Balloon Text"/>
    <w:basedOn w:val="1"/>
    <w:link w:val="18"/>
    <w:semiHidden/>
    <w:qFormat/>
    <w:uiPriority w:val="99"/>
    <w:rPr>
      <w:sz w:val="18"/>
      <w:szCs w:val="18"/>
    </w:rPr>
  </w:style>
  <w:style w:type="paragraph" w:styleId="7">
    <w:name w:val="footer"/>
    <w:basedOn w:val="1"/>
    <w:link w:val="19"/>
    <w:qFormat/>
    <w:uiPriority w:val="99"/>
    <w:pPr>
      <w:tabs>
        <w:tab w:val="center" w:pos="4153"/>
        <w:tab w:val="right" w:pos="8306"/>
      </w:tabs>
      <w:snapToGrid w:val="0"/>
      <w:jc w:val="left"/>
    </w:pPr>
    <w:rPr>
      <w:rFonts w:ascii="Calibri" w:hAnsi="Calibri" w:cs="Calibri"/>
      <w:kern w:val="0"/>
      <w:sz w:val="18"/>
      <w:szCs w:val="18"/>
    </w:rPr>
  </w:style>
  <w:style w:type="paragraph" w:styleId="8">
    <w:name w:val="header"/>
    <w:basedOn w:val="1"/>
    <w:link w:val="20"/>
    <w:qFormat/>
    <w:uiPriority w:val="99"/>
    <w:pPr>
      <w:pBdr>
        <w:bottom w:val="single" w:color="auto" w:sz="6" w:space="1"/>
      </w:pBdr>
      <w:tabs>
        <w:tab w:val="center" w:pos="4153"/>
        <w:tab w:val="right" w:pos="8306"/>
      </w:tabs>
      <w:snapToGrid w:val="0"/>
      <w:jc w:val="center"/>
    </w:pPr>
    <w:rPr>
      <w:rFonts w:ascii="Calibri" w:hAnsi="Calibri" w:cs="Calibri"/>
      <w:kern w:val="0"/>
      <w:sz w:val="18"/>
      <w:szCs w:val="18"/>
    </w:rPr>
  </w:style>
  <w:style w:type="paragraph" w:styleId="9">
    <w:name w:val="toc 1"/>
    <w:basedOn w:val="1"/>
    <w:next w:val="1"/>
    <w:semiHidden/>
    <w:qFormat/>
    <w:uiPriority w:val="99"/>
    <w:pPr>
      <w:spacing w:before="120"/>
      <w:jc w:val="left"/>
    </w:pPr>
    <w:rPr>
      <w:rFonts w:ascii="等线" w:eastAsia="等线" w:cs="等线"/>
      <w:b/>
      <w:bCs/>
      <w:i/>
      <w:iCs/>
      <w:sz w:val="24"/>
      <w:szCs w:val="24"/>
    </w:rPr>
  </w:style>
  <w:style w:type="paragraph" w:styleId="10">
    <w:name w:val="toc 2"/>
    <w:basedOn w:val="1"/>
    <w:next w:val="1"/>
    <w:semiHidden/>
    <w:qFormat/>
    <w:uiPriority w:val="99"/>
    <w:pPr>
      <w:spacing w:before="120"/>
      <w:ind w:left="300"/>
      <w:jc w:val="left"/>
    </w:pPr>
    <w:rPr>
      <w:rFonts w:ascii="等线" w:eastAsia="等线" w:cs="等线"/>
      <w:b/>
      <w:bCs/>
      <w:sz w:val="22"/>
      <w:szCs w:val="22"/>
    </w:rPr>
  </w:style>
  <w:style w:type="character" w:styleId="13">
    <w:name w:val="Strong"/>
    <w:basedOn w:val="12"/>
    <w:qFormat/>
    <w:uiPriority w:val="99"/>
    <w:rPr>
      <w:b/>
      <w:bCs/>
    </w:rPr>
  </w:style>
  <w:style w:type="character" w:styleId="14">
    <w:name w:val="Hyperlink"/>
    <w:basedOn w:val="12"/>
    <w:qFormat/>
    <w:uiPriority w:val="99"/>
    <w:rPr>
      <w:color w:val="0000FF"/>
      <w:u w:val="single"/>
    </w:rPr>
  </w:style>
  <w:style w:type="character" w:customStyle="1" w:styleId="15">
    <w:name w:val="Heading 1 Char"/>
    <w:basedOn w:val="12"/>
    <w:link w:val="2"/>
    <w:qFormat/>
    <w:locked/>
    <w:uiPriority w:val="99"/>
    <w:rPr>
      <w:b/>
      <w:bCs/>
      <w:kern w:val="44"/>
      <w:sz w:val="44"/>
      <w:szCs w:val="44"/>
    </w:rPr>
  </w:style>
  <w:style w:type="character" w:customStyle="1" w:styleId="16">
    <w:name w:val="Heading 2 Char"/>
    <w:basedOn w:val="12"/>
    <w:link w:val="3"/>
    <w:qFormat/>
    <w:locked/>
    <w:uiPriority w:val="99"/>
    <w:rPr>
      <w:rFonts w:ascii="Cambria" w:hAnsi="Cambria" w:cs="Cambria"/>
      <w:b/>
      <w:bCs/>
      <w:sz w:val="32"/>
      <w:szCs w:val="32"/>
    </w:rPr>
  </w:style>
  <w:style w:type="character" w:customStyle="1" w:styleId="17">
    <w:name w:val="Body Text Char"/>
    <w:basedOn w:val="12"/>
    <w:link w:val="5"/>
    <w:semiHidden/>
    <w:qFormat/>
    <w:uiPriority w:val="99"/>
    <w:rPr>
      <w:rFonts w:eastAsia="仿宋_GB2312"/>
      <w:sz w:val="32"/>
      <w:szCs w:val="32"/>
    </w:rPr>
  </w:style>
  <w:style w:type="character" w:customStyle="1" w:styleId="18">
    <w:name w:val="Balloon Text Char"/>
    <w:basedOn w:val="12"/>
    <w:link w:val="6"/>
    <w:qFormat/>
    <w:locked/>
    <w:uiPriority w:val="99"/>
    <w:rPr>
      <w:rFonts w:eastAsia="仿宋_GB2312"/>
      <w:kern w:val="2"/>
      <w:sz w:val="18"/>
      <w:szCs w:val="18"/>
    </w:rPr>
  </w:style>
  <w:style w:type="character" w:customStyle="1" w:styleId="19">
    <w:name w:val="Footer Char"/>
    <w:basedOn w:val="12"/>
    <w:link w:val="7"/>
    <w:qFormat/>
    <w:locked/>
    <w:uiPriority w:val="99"/>
    <w:rPr>
      <w:rFonts w:ascii="Calibri" w:hAnsi="Calibri" w:eastAsia="仿宋_GB2312" w:cs="Calibri"/>
      <w:sz w:val="18"/>
      <w:szCs w:val="18"/>
    </w:rPr>
  </w:style>
  <w:style w:type="character" w:customStyle="1" w:styleId="20">
    <w:name w:val="Header Char"/>
    <w:basedOn w:val="12"/>
    <w:link w:val="8"/>
    <w:qFormat/>
    <w:locked/>
    <w:uiPriority w:val="99"/>
    <w:rPr>
      <w:rFonts w:ascii="Calibri" w:hAnsi="Calibri" w:eastAsia="仿宋_GB2312" w:cs="Calibri"/>
      <w:sz w:val="18"/>
      <w:szCs w:val="18"/>
    </w:rPr>
  </w:style>
  <w:style w:type="paragraph" w:customStyle="1" w:styleId="21">
    <w:name w:val="列出段落1"/>
    <w:basedOn w:val="1"/>
    <w:qFormat/>
    <w:uiPriority w:val="99"/>
    <w:pPr>
      <w:ind w:firstLine="420" w:firstLineChars="200"/>
    </w:pPr>
  </w:style>
  <w:style w:type="paragraph" w:customStyle="1" w:styleId="22">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7.png"/><Relationship Id="rId21" Type="http://schemas.openxmlformats.org/officeDocument/2006/relationships/image" Target="media/image6.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oleObject" Target="embeddings/oleObject5.bin"/><Relationship Id="rId17" Type="http://schemas.openxmlformats.org/officeDocument/2006/relationships/image" Target="media/image4.png"/><Relationship Id="rId16" Type="http://schemas.openxmlformats.org/officeDocument/2006/relationships/oleObject" Target="embeddings/oleObject4.bin"/><Relationship Id="rId15" Type="http://schemas.openxmlformats.org/officeDocument/2006/relationships/image" Target="media/image3.png"/><Relationship Id="rId14" Type="http://schemas.openxmlformats.org/officeDocument/2006/relationships/oleObject" Target="embeddings/oleObject3.bin"/><Relationship Id="rId13" Type="http://schemas.openxmlformats.org/officeDocument/2006/relationships/image" Target="media/image2.png"/><Relationship Id="rId12" Type="http://schemas.openxmlformats.org/officeDocument/2006/relationships/oleObject" Target="embeddings/oleObject2.bin"/><Relationship Id="rId11" Type="http://schemas.openxmlformats.org/officeDocument/2006/relationships/image" Target="media/image1.png"/><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26</Pages>
  <Words>8708</Words>
  <Characters>9469</Characters>
  <Lines>0</Lines>
  <Paragraphs>0</Paragraphs>
  <TotalTime>10</TotalTime>
  <ScaleCrop>false</ScaleCrop>
  <LinksUpToDate>false</LinksUpToDate>
  <CharactersWithSpaces>9630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ishan</cp:lastModifiedBy>
  <cp:lastPrinted>2021-10-26T08:46:00Z</cp:lastPrinted>
  <dcterms:modified xsi:type="dcterms:W3CDTF">2022-05-13T06:56:12Z</dcterms:modified>
  <dc:title>自贡市自流井区五星街社区卫生服务中心2020年部门决算编制说明</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800E2D89D822496185974358A149C505</vt:lpwstr>
  </property>
</Properties>
</file>