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自贡市自流井区卫生健康局</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_Toc25258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_Toc13725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_Toc10354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_Toc10967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_Toc31021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_Toc6926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_Toc11602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_Toc15699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pPr>
        <w:pStyle w:val="2"/>
        <w:jc w:val="center"/>
        <w:rPr>
          <w:rFonts w:hint="eastAsia" w:ascii="黑体" w:hAnsi="黑体" w:eastAsia="黑体"/>
          <w:b w:val="0"/>
        </w:rPr>
        <w:sectPr>
          <w:pgSz w:w="11906" w:h="16838"/>
          <w:pgMar w:top="1440" w:right="1800" w:bottom="1440" w:left="1800" w:header="851" w:footer="992" w:gutter="0"/>
          <w:pgNumType w:fmt="decimal"/>
          <w:cols w:space="425" w:num="1"/>
          <w:docGrid w:type="lines" w:linePitch="312" w:charSpace="0"/>
        </w:sectPr>
      </w:pPr>
      <w:bookmarkStart w:id="0" w:name="_Toc10567"/>
    </w:p>
    <w:p>
      <w:pPr>
        <w:pStyle w:val="2"/>
        <w:jc w:val="center"/>
        <w:rPr>
          <w:rStyle w:val="15"/>
          <w:rFonts w:ascii="黑体" w:hAnsi="黑体" w:eastAsia="黑体"/>
          <w:b/>
          <w:bCs w:val="0"/>
        </w:rPr>
      </w:pPr>
      <w:r>
        <w:rPr>
          <w:rFonts w:hint="eastAsia" w:ascii="黑体" w:hAnsi="黑体" w:eastAsia="黑体"/>
          <w:b w:val="0"/>
        </w:rPr>
        <w:t>第一部分</w:t>
      </w:r>
      <w:r>
        <w:rPr>
          <w:rStyle w:val="15"/>
          <w:rFonts w:hint="eastAsia" w:ascii="黑体" w:hAnsi="黑体" w:eastAsia="黑体"/>
          <w:b w:val="0"/>
          <w:bCs w:val="0"/>
        </w:rPr>
        <w:t>部门概况</w:t>
      </w:r>
      <w:bookmarkEnd w:id="0"/>
    </w:p>
    <w:p>
      <w:pPr>
        <w:widowControl/>
        <w:jc w:val="left"/>
        <w:rPr>
          <w:rFonts w:ascii="黑体" w:eastAsia="黑体"/>
          <w:color w:val="000000"/>
          <w:szCs w:val="32"/>
        </w:rPr>
      </w:pPr>
    </w:p>
    <w:p>
      <w:pPr>
        <w:pStyle w:val="3"/>
        <w:rPr>
          <w:rStyle w:val="16"/>
          <w:rFonts w:ascii="仿宋" w:hAnsi="仿宋" w:eastAsia="仿宋"/>
          <w:b w:val="0"/>
          <w:bCs w:val="0"/>
        </w:rPr>
      </w:pPr>
      <w:bookmarkStart w:id="1" w:name="_Toc15396600"/>
      <w:bookmarkStart w:id="2" w:name="_Toc15377197"/>
      <w:bookmarkStart w:id="3" w:name="_Toc21498"/>
      <w:r>
        <w:rPr>
          <w:rFonts w:hint="eastAsia" w:ascii="黑体" w:hAnsi="黑体" w:eastAsia="黑体"/>
          <w:b w:val="0"/>
          <w:color w:val="000000"/>
        </w:rPr>
        <w:t>一、基</w:t>
      </w:r>
      <w:r>
        <w:rPr>
          <w:rStyle w:val="16"/>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5" w:firstLineChars="210"/>
        <w:outlineLvl w:val="2"/>
        <w:rPr>
          <w:rFonts w:ascii="仿宋" w:hAnsi="仿宋" w:eastAsia="仿宋"/>
          <w:bCs/>
          <w:sz w:val="32"/>
          <w:szCs w:val="32"/>
        </w:rPr>
      </w:pPr>
      <w:bookmarkStart w:id="4" w:name="_Toc15377198"/>
      <w:bookmarkStart w:id="5" w:name="_Toc15378445"/>
      <w:r>
        <w:rPr>
          <w:rFonts w:hint="eastAsia" w:ascii="楷体_GB2312" w:hAnsi="仿宋" w:eastAsia="楷体_GB2312"/>
          <w:b/>
          <w:bCs/>
          <w:color w:val="000000"/>
          <w:sz w:val="32"/>
          <w:szCs w:val="32"/>
        </w:rPr>
        <w:t>（一）主要职能。</w:t>
      </w:r>
      <w:bookmarkEnd w:id="4"/>
      <w:bookmarkEnd w:id="5"/>
    </w:p>
    <w:p>
      <w:pPr>
        <w:spacing w:line="596" w:lineRule="exact"/>
        <w:ind w:firstLine="643" w:firstLineChars="200"/>
        <w:rPr>
          <w:rFonts w:ascii="仿宋_GB2312" w:hAnsi="仿宋_GB2312"/>
          <w:szCs w:val="32"/>
        </w:rPr>
      </w:pPr>
      <w:bookmarkStart w:id="6" w:name="_Toc15378446"/>
      <w:bookmarkStart w:id="7" w:name="_Toc15377199"/>
      <w:r>
        <w:rPr>
          <w:rFonts w:hint="eastAsia" w:ascii="仿宋_GB2312" w:hAnsi="仿宋_GB2312" w:cs="仿宋_GB2312"/>
          <w:b/>
          <w:szCs w:val="32"/>
        </w:rPr>
        <w:t>1.</w:t>
      </w:r>
      <w:r>
        <w:rPr>
          <w:rFonts w:hint="eastAsia" w:ascii="仿宋_GB2312" w:hAnsi="仿宋_GB2312" w:cs="仿宋_GB2312"/>
          <w:szCs w:val="32"/>
        </w:rPr>
        <w:t>负责起草卫生健康事业发展的规范性文件、规划，制定卫生健康地方标准与技术规范并组织实施。统筹规划全区卫生健康资源配置。组织实施推进卫生健康基本公共服务均等化、普惠化、便捷化和公共资源向基层延伸等政策措施。</w:t>
      </w:r>
    </w:p>
    <w:p>
      <w:pPr>
        <w:spacing w:line="596" w:lineRule="exact"/>
        <w:ind w:firstLine="643" w:firstLineChars="200"/>
        <w:rPr>
          <w:rFonts w:ascii="仿宋_GB2312" w:hAnsi="仿宋_GB2312"/>
          <w:szCs w:val="32"/>
        </w:rPr>
      </w:pPr>
      <w:r>
        <w:rPr>
          <w:rFonts w:hint="eastAsia" w:ascii="仿宋_GB2312" w:hAnsi="仿宋_GB2312" w:cs="仿宋_GB2312"/>
          <w:b/>
          <w:szCs w:val="32"/>
        </w:rPr>
        <w:t>2.</w:t>
      </w:r>
      <w:r>
        <w:rPr>
          <w:rFonts w:hint="eastAsia" w:ascii="仿宋_GB2312" w:hAnsi="仿宋_GB2312" w:cs="仿宋_GB2312"/>
          <w:szCs w:val="32"/>
        </w:rPr>
        <w:t>牵头推进全区深化医药卫生体制改革。研究提出深化改革重大政策、措施的建议。牵头负责全区分级诊疗、现代医院管理、全民医保、药品供应保障、综合监管</w:t>
      </w:r>
      <w:r>
        <w:rPr>
          <w:rFonts w:hint="eastAsia" w:ascii="仿宋_GB2312"/>
          <w:szCs w:val="32"/>
        </w:rPr>
        <w:t>5</w:t>
      </w:r>
      <w:r>
        <w:rPr>
          <w:rFonts w:hint="eastAsia" w:ascii="仿宋_GB2312" w:hAnsi="仿宋_GB2312" w:cs="仿宋_GB2312"/>
          <w:szCs w:val="32"/>
        </w:rPr>
        <w:t>项基本医疗卫生制度建设。制定并组织实施推动卫生健康公共服务提供主体多元化、提供方式多样化的政策措施。</w:t>
      </w:r>
    </w:p>
    <w:p>
      <w:pPr>
        <w:spacing w:line="596" w:lineRule="exact"/>
        <w:ind w:firstLine="643" w:firstLineChars="200"/>
        <w:rPr>
          <w:rFonts w:ascii="仿宋_GB2312" w:hAnsi="仿宋_GB2312"/>
          <w:szCs w:val="32"/>
        </w:rPr>
      </w:pPr>
      <w:r>
        <w:rPr>
          <w:rFonts w:hint="eastAsia" w:ascii="仿宋_GB2312" w:hAnsi="仿宋_GB2312" w:cs="仿宋_GB2312"/>
          <w:b/>
          <w:szCs w:val="32"/>
        </w:rPr>
        <w:t>3.</w:t>
      </w:r>
      <w:r>
        <w:rPr>
          <w:rFonts w:hint="eastAsia" w:ascii="仿宋_GB2312" w:hAnsi="仿宋_GB2312" w:cs="仿宋_GB2312"/>
          <w:szCs w:val="32"/>
        </w:rPr>
        <w:t>制定并组织落实全区疾病预防控制规划、免疫规划以及严重危害人民健康的艾滋病等重大传染病、寄生虫病、地方病等公共卫生问题的干预措施。负责全区卫生应急工作，组织和指导全区突发公共卫生事件预防控制和各类突发公共事件的医疗卫生救援。依照国家检疫传染病和监测传染病目录，参与开展检疫监测工作。</w:t>
      </w:r>
    </w:p>
    <w:p>
      <w:pPr>
        <w:spacing w:line="596" w:lineRule="exact"/>
        <w:ind w:firstLine="643" w:firstLineChars="200"/>
        <w:rPr>
          <w:rFonts w:ascii="仿宋_GB2312" w:hAnsi="仿宋_GB2312"/>
          <w:szCs w:val="32"/>
        </w:rPr>
      </w:pPr>
      <w:r>
        <w:rPr>
          <w:rFonts w:hint="eastAsia" w:ascii="仿宋_GB2312" w:hAnsi="仿宋_GB2312" w:cs="仿宋_GB2312"/>
          <w:b/>
          <w:szCs w:val="32"/>
        </w:rPr>
        <w:t>4.</w:t>
      </w:r>
      <w:r>
        <w:rPr>
          <w:rFonts w:hint="eastAsia" w:ascii="仿宋_GB2312" w:hAnsi="仿宋_GB2312" w:cs="仿宋_GB2312"/>
          <w:szCs w:val="32"/>
        </w:rPr>
        <w:t>贯彻落实国家应对人口老龄化政策措施。负责推进老年健康服务体系建设和医养结合工作。承担区老龄工作委员会日常工作。</w:t>
      </w:r>
    </w:p>
    <w:p>
      <w:pPr>
        <w:spacing w:line="596" w:lineRule="exact"/>
        <w:ind w:firstLine="643" w:firstLineChars="200"/>
        <w:rPr>
          <w:rFonts w:ascii="仿宋_GB2312" w:hAnsi="仿宋_GB2312"/>
          <w:szCs w:val="32"/>
        </w:rPr>
      </w:pPr>
      <w:r>
        <w:rPr>
          <w:rFonts w:hint="eastAsia" w:ascii="仿宋_GB2312" w:hAnsi="仿宋_GB2312" w:cs="仿宋_GB2312"/>
          <w:b/>
          <w:szCs w:val="32"/>
        </w:rPr>
        <w:t>5.</w:t>
      </w:r>
      <w:r>
        <w:rPr>
          <w:rFonts w:hint="eastAsia" w:ascii="仿宋_GB2312" w:hAnsi="仿宋_GB2312" w:cs="仿宋_GB2312"/>
          <w:szCs w:val="32"/>
        </w:rPr>
        <w:t>贯彻落实国家药物政策和国家基本药物制度。开展药械使用监测、临床综合评价和短缺药品预警，组织执行国家药典和国家基本药物目录，贯彻执行基本药物使用的政策措施。组织实施食品安全风险监测，组织开展食品安全事故流行病学调查。</w:t>
      </w:r>
    </w:p>
    <w:p>
      <w:pPr>
        <w:spacing w:line="596" w:lineRule="exact"/>
        <w:ind w:firstLine="643" w:firstLineChars="200"/>
        <w:rPr>
          <w:rFonts w:ascii="仿宋_GB2312" w:hAnsi="仿宋_GB2312"/>
          <w:szCs w:val="32"/>
          <w:u w:val="single"/>
        </w:rPr>
      </w:pPr>
      <w:r>
        <w:rPr>
          <w:rFonts w:hint="eastAsia" w:ascii="仿宋_GB2312" w:hAnsi="仿宋_GB2312" w:cs="仿宋_GB2312"/>
          <w:b/>
          <w:szCs w:val="32"/>
        </w:rPr>
        <w:t>6.</w:t>
      </w:r>
      <w:r>
        <w:rPr>
          <w:rFonts w:hint="eastAsia" w:ascii="仿宋_GB2312" w:hAnsi="仿宋_GB2312" w:cs="仿宋_GB2312"/>
          <w:szCs w:val="32"/>
        </w:rPr>
        <w:t>负责职责范围内的职业卫生、放射卫生、环境卫生、学校卫生、公共场所卫生、饮用水卫生等公共卫生的监督管理。负责传染病防治监督，健全卫生健康综合监管体系。</w:t>
      </w:r>
    </w:p>
    <w:p>
      <w:pPr>
        <w:pStyle w:val="20"/>
        <w:shd w:val="clear" w:color="auto" w:fill="auto"/>
        <w:tabs>
          <w:tab w:val="left" w:pos="1532"/>
        </w:tabs>
        <w:spacing w:after="0" w:line="596" w:lineRule="exact"/>
        <w:ind w:firstLine="720"/>
        <w:jc w:val="both"/>
        <w:rPr>
          <w:rFonts w:ascii="仿宋_GB2312" w:hAnsi="仿宋_GB2312" w:eastAsia="仿宋_GB2312" w:cs="Times New Roman"/>
          <w:spacing w:val="0"/>
        </w:rPr>
      </w:pPr>
      <w:r>
        <w:rPr>
          <w:rFonts w:hint="eastAsia" w:ascii="仿宋_GB2312" w:hAnsi="仿宋_GB2312" w:eastAsia="仿宋_GB2312" w:cs="仿宋_GB2312"/>
          <w:b/>
          <w:spacing w:val="0"/>
        </w:rPr>
        <w:t>7.</w:t>
      </w:r>
      <w:r>
        <w:rPr>
          <w:rFonts w:hint="eastAsia" w:ascii="仿宋_GB2312" w:hAnsi="仿宋_GB2312" w:eastAsia="仿宋_GB2312" w:cs="仿宋_GB2312"/>
          <w:spacing w:val="0"/>
        </w:rPr>
        <w:t>制定全区医疗机构和医疗服务行业管理办法并监督实施，建立医疗服务评价和监督管理体系。会同有关部门实施国家卫生健康专业技术人员资格标准。制定并组织实施医疗机构服务规范、标准和卫生健康专业技术人员执业规则和服务规范。负责医疗机构、人员和行为的日常监管。组织协调全区无偿献血工作。</w:t>
      </w:r>
    </w:p>
    <w:p>
      <w:pPr>
        <w:spacing w:line="596" w:lineRule="exact"/>
        <w:ind w:firstLine="643" w:firstLineChars="200"/>
        <w:rPr>
          <w:rFonts w:ascii="仿宋_GB2312" w:hAnsi="仿宋"/>
          <w:szCs w:val="32"/>
        </w:rPr>
      </w:pPr>
      <w:r>
        <w:rPr>
          <w:rFonts w:hint="eastAsia" w:ascii="仿宋_GB2312" w:hAnsi="仿宋_GB2312" w:cs="仿宋_GB2312"/>
          <w:b/>
          <w:szCs w:val="32"/>
        </w:rPr>
        <w:t>8.</w:t>
      </w:r>
      <w:r>
        <w:rPr>
          <w:rFonts w:hint="eastAsia" w:ascii="仿宋_GB2312" w:hAnsi="仿宋_GB2312" w:cs="仿宋_GB2312"/>
          <w:szCs w:val="32"/>
        </w:rPr>
        <w:t>负责全区计划生育管理和服务工作。开展人口监测预警，研究提出人口与家庭发展相关政策建议。指导区计划生育协会的业务工作。</w:t>
      </w:r>
    </w:p>
    <w:p>
      <w:pPr>
        <w:spacing w:line="596" w:lineRule="exact"/>
        <w:ind w:firstLine="643" w:firstLineChars="200"/>
        <w:rPr>
          <w:rFonts w:ascii="仿宋_GB2312" w:hAnsi="仿宋_GB2312"/>
          <w:szCs w:val="32"/>
        </w:rPr>
      </w:pPr>
      <w:r>
        <w:rPr>
          <w:rFonts w:hint="eastAsia" w:ascii="仿宋_GB2312" w:hAnsi="仿宋_GB2312" w:cs="仿宋_GB2312"/>
          <w:b/>
          <w:szCs w:val="32"/>
        </w:rPr>
        <w:t>9.</w:t>
      </w:r>
      <w:r>
        <w:rPr>
          <w:rFonts w:hint="eastAsia" w:ascii="仿宋_GB2312" w:hAnsi="仿宋_GB2312" w:cs="仿宋_GB2312"/>
          <w:szCs w:val="32"/>
        </w:rPr>
        <w:t>指导全区基层医疗卫生、妇幼健康服务体系建设和基层卫生队伍建设。</w:t>
      </w:r>
    </w:p>
    <w:p>
      <w:pPr>
        <w:spacing w:line="596" w:lineRule="exact"/>
        <w:ind w:firstLine="643" w:firstLineChars="200"/>
        <w:rPr>
          <w:rFonts w:ascii="仿宋_GB2312" w:hAnsi="仿宋_GB2312"/>
          <w:szCs w:val="32"/>
          <w:bdr w:val="single" w:color="auto" w:sz="4" w:space="0"/>
        </w:rPr>
      </w:pPr>
      <w:r>
        <w:rPr>
          <w:rFonts w:hint="eastAsia" w:ascii="仿宋_GB2312" w:hAnsi="仿宋_GB2312" w:cs="仿宋_GB2312"/>
          <w:b/>
          <w:szCs w:val="32"/>
        </w:rPr>
        <w:t>10.</w:t>
      </w:r>
      <w:r>
        <w:rPr>
          <w:rFonts w:hint="eastAsia" w:ascii="仿宋_GB2312" w:hAnsi="仿宋_GB2312" w:cs="仿宋_GB2312"/>
          <w:szCs w:val="32"/>
        </w:rPr>
        <w:t>拟订全区卫生健康人才发展规划和科技发展规划，加强卫生健康人才队伍建设，</w:t>
      </w:r>
      <w:r>
        <w:rPr>
          <w:rFonts w:hint="eastAsia" w:ascii="仿宋_GB2312" w:cs="仿宋_GB2312"/>
          <w:kern w:val="0"/>
          <w:szCs w:val="32"/>
        </w:rPr>
        <w:t>推进卫生健康科技创新发展</w:t>
      </w:r>
      <w:r>
        <w:rPr>
          <w:rFonts w:hint="eastAsia" w:ascii="仿宋_GB2312" w:hAnsi="仿宋_GB2312" w:cs="仿宋_GB2312"/>
          <w:szCs w:val="32"/>
        </w:rPr>
        <w:t>。</w:t>
      </w:r>
    </w:p>
    <w:p>
      <w:pPr>
        <w:spacing w:line="596" w:lineRule="exact"/>
        <w:ind w:firstLine="643" w:firstLineChars="200"/>
        <w:rPr>
          <w:rFonts w:ascii="仿宋_GB2312" w:hAnsi="仿宋_GB2312"/>
          <w:szCs w:val="32"/>
        </w:rPr>
      </w:pPr>
      <w:r>
        <w:rPr>
          <w:rFonts w:hint="eastAsia" w:ascii="仿宋_GB2312" w:hAnsi="仿宋_GB2312" w:cs="仿宋_GB2312"/>
          <w:b/>
          <w:szCs w:val="32"/>
        </w:rPr>
        <w:t>11.</w:t>
      </w:r>
      <w:r>
        <w:rPr>
          <w:rFonts w:hint="eastAsia" w:ascii="仿宋_GB2312" w:hAnsi="仿宋_GB2312" w:cs="仿宋_GB2312"/>
          <w:szCs w:val="32"/>
        </w:rPr>
        <w:t>负责保健对象的医疗保健工作，负责重要会议与重大活动的医疗卫生保障工作。</w:t>
      </w:r>
    </w:p>
    <w:p>
      <w:pPr>
        <w:spacing w:line="596" w:lineRule="exact"/>
        <w:ind w:firstLine="643" w:firstLineChars="200"/>
        <w:rPr>
          <w:rFonts w:ascii="仿宋_GB2312" w:hAnsi="仿宋_GB2312"/>
          <w:szCs w:val="32"/>
        </w:rPr>
      </w:pPr>
      <w:r>
        <w:rPr>
          <w:rFonts w:hint="eastAsia" w:ascii="仿宋_GB2312" w:hAnsi="仿宋_GB2312" w:cs="仿宋_GB2312"/>
          <w:b/>
          <w:szCs w:val="32"/>
        </w:rPr>
        <w:t>12.</w:t>
      </w:r>
      <w:r>
        <w:rPr>
          <w:rFonts w:hint="eastAsia" w:ascii="仿宋_GB2312" w:hAnsi="仿宋_GB2312" w:cs="仿宋_GB2312"/>
          <w:szCs w:val="32"/>
        </w:rPr>
        <w:t>贯彻国家、省、市促进中医药事业发展的法律法规和规章，组织拟订全区中医药中长期发展规划，并纳入卫生健康事业发展总体规划和战略目标，加强对中医医疗、预防、保健、康复、护理及临床用药等的监督指导，对全区中医药工作实行行业管理。</w:t>
      </w:r>
    </w:p>
    <w:p>
      <w:pPr>
        <w:spacing w:line="596" w:lineRule="exact"/>
        <w:ind w:firstLine="643" w:firstLineChars="200"/>
        <w:rPr>
          <w:rFonts w:ascii="仿宋_GB2312" w:hAnsi="仿宋_GB2312"/>
          <w:szCs w:val="32"/>
        </w:rPr>
      </w:pPr>
      <w:r>
        <w:rPr>
          <w:rFonts w:hint="eastAsia" w:ascii="仿宋_GB2312" w:hAnsi="仿宋_GB2312" w:cs="仿宋_GB2312"/>
          <w:b/>
          <w:szCs w:val="32"/>
        </w:rPr>
        <w:t>13.</w:t>
      </w:r>
      <w:r>
        <w:rPr>
          <w:rFonts w:hint="eastAsia" w:ascii="仿宋_GB2312" w:hAnsi="仿宋_GB2312" w:cs="仿宋_GB2312"/>
          <w:szCs w:val="32"/>
        </w:rPr>
        <w:t>依法依规履行卫生健康行业安全生产监管职责。负责职责范围内的安全生产和职业健康、生态环境保护、审批服务便民化等工作。</w:t>
      </w:r>
    </w:p>
    <w:p>
      <w:pPr>
        <w:spacing w:line="596" w:lineRule="exact"/>
        <w:ind w:firstLine="643" w:firstLineChars="200"/>
        <w:rPr>
          <w:rFonts w:ascii="仿宋_GB2312" w:hAnsi="仿宋_GB2312"/>
          <w:szCs w:val="32"/>
        </w:rPr>
      </w:pPr>
      <w:r>
        <w:rPr>
          <w:rFonts w:hint="eastAsia" w:ascii="仿宋_GB2312" w:hAnsi="仿宋_GB2312" w:cs="仿宋_GB2312"/>
          <w:b/>
          <w:szCs w:val="32"/>
        </w:rPr>
        <w:t>14.</w:t>
      </w:r>
      <w:r>
        <w:rPr>
          <w:rFonts w:hint="eastAsia" w:ascii="仿宋_GB2312" w:hAnsi="仿宋_GB2312" w:cs="仿宋_GB2312"/>
          <w:szCs w:val="32"/>
        </w:rPr>
        <w:t>完成区委、区政府交办的其他任务。</w:t>
      </w:r>
    </w:p>
    <w:p>
      <w:pPr>
        <w:spacing w:line="596" w:lineRule="exact"/>
        <w:ind w:firstLine="643" w:firstLineChars="200"/>
        <w:rPr>
          <w:rFonts w:ascii="仿宋_GB2312" w:hAnsi="仿宋_GB2312"/>
          <w:szCs w:val="32"/>
        </w:rPr>
      </w:pPr>
      <w:r>
        <w:rPr>
          <w:rFonts w:hint="eastAsia" w:ascii="仿宋_GB2312" w:hAnsi="仿宋_GB2312" w:cs="仿宋_GB2312"/>
          <w:b/>
          <w:szCs w:val="32"/>
        </w:rPr>
        <w:t>15.</w:t>
      </w:r>
      <w:r>
        <w:rPr>
          <w:rFonts w:hint="eastAsia" w:ascii="仿宋_GB2312" w:hAnsi="仿宋_GB2312" w:cs="仿宋_GB2312"/>
          <w:szCs w:val="32"/>
        </w:rPr>
        <w:t>职能转变。牢固树立大卫生、大健康理念，推动实施健康中国和健康四川战略，全面推进健康自流井建设，以改革创新为动力，以促健康、转模式、强基层、重保障为着力点，把以治病为中心转变到以人民健康为中心，为人民群众提供全方位全周期卫生健康服务。一是更加注重预防为主和健康促进，提高健康意识，加强爱国卫生运动工作，加强预防控制重大疾病工作，积极应对人口老龄化，健全卫生健康服务体系。二是更加注重卫生健康服务公平性和可及性，推动工作重心下移和资源下沉，推进卫生健康公共资源向基层延伸、向农村覆盖、向边远地区和生活困难群众倾斜。三是更加注重提高服务质量和水平，推动建设高质量健康服务基地和中医药强区。四是更加注重深化医药卫生体制改革的科学性和持续性，加快分级诊疗制度建设，加强医疗、医保、医药的联动改革，加大公立医院改革力度。</w:t>
      </w:r>
    </w:p>
    <w:p>
      <w:pPr>
        <w:spacing w:line="592" w:lineRule="exact"/>
        <w:ind w:firstLine="643" w:firstLineChars="200"/>
        <w:rPr>
          <w:rFonts w:ascii="仿宋_GB2312" w:hAnsi="仿宋_GB2312"/>
          <w:szCs w:val="32"/>
        </w:rPr>
      </w:pPr>
      <w:r>
        <w:rPr>
          <w:rFonts w:hint="eastAsia" w:ascii="仿宋_GB2312" w:hAnsi="仿宋_GB2312" w:cs="仿宋_GB2312"/>
          <w:b/>
          <w:szCs w:val="32"/>
        </w:rPr>
        <w:t>16.</w:t>
      </w:r>
      <w:r>
        <w:rPr>
          <w:rFonts w:hint="eastAsia" w:ascii="仿宋_GB2312" w:hAnsi="仿宋_GB2312" w:cs="仿宋_GB2312"/>
          <w:szCs w:val="32"/>
        </w:rPr>
        <w:t>有关职责分工。</w:t>
      </w:r>
    </w:p>
    <w:p>
      <w:pPr>
        <w:spacing w:line="596" w:lineRule="exact"/>
        <w:ind w:firstLine="640" w:firstLineChars="200"/>
        <w:rPr>
          <w:rFonts w:ascii="仿宋_GB2312" w:hAnsi="仿宋_GB2312"/>
          <w:szCs w:val="32"/>
        </w:rPr>
      </w:pPr>
      <w:r>
        <w:rPr>
          <w:rFonts w:hint="eastAsia" w:ascii="仿宋_GB2312" w:cs="仿宋_GB2312"/>
          <w:szCs w:val="32"/>
        </w:rPr>
        <w:t>（1）</w:t>
      </w:r>
      <w:r>
        <w:rPr>
          <w:rFonts w:hint="eastAsia" w:ascii="仿宋_GB2312" w:hAnsi="仿宋_GB2312" w:cs="仿宋_GB2312"/>
          <w:szCs w:val="32"/>
        </w:rPr>
        <w:t>与区发改局的有关职责分工。区卫生健康局负责开展全区人口监测预警工作，研究提出与生育相关的人口数量、素质、结构、分布方面的政策建议，促进生育政策和相关经济社会政策配套衔接，参与制定全区人口发展规划和政策，落实人口发展规划中的有关任务。区发改局负责全区人口结构及变化趋势分析，建立人口预测预报制度，开展重大决策人口影响评估，研究提出全区人口发展战略，拟订人口发展规划和人口政策，研究提出人口与经济、社会、资源、环境协调可持续发展以及统筹促进人口长期均衡发展的政策建议。</w:t>
      </w:r>
    </w:p>
    <w:p>
      <w:pPr>
        <w:spacing w:line="596" w:lineRule="exact"/>
        <w:ind w:firstLine="640" w:firstLineChars="200"/>
        <w:rPr>
          <w:rFonts w:ascii="仿宋_GB2312" w:hAnsi="仿宋_GB2312"/>
          <w:szCs w:val="32"/>
          <w:highlight w:val="yellow"/>
        </w:rPr>
      </w:pPr>
      <w:r>
        <w:rPr>
          <w:rFonts w:hint="eastAsia" w:ascii="仿宋_GB2312" w:cs="仿宋_GB2312"/>
          <w:szCs w:val="32"/>
        </w:rPr>
        <w:t>（2）</w:t>
      </w:r>
      <w:r>
        <w:rPr>
          <w:rFonts w:hint="eastAsia" w:ascii="仿宋_GB2312" w:hAnsi="仿宋_GB2312" w:cs="仿宋_GB2312"/>
          <w:szCs w:val="32"/>
        </w:rPr>
        <w:t>与区民政局的有关职责分工。区卫生健康局负责拟订应对人口老龄化、医养结合政策措施，综合协调、督促指导、组织推进老龄健康事业发展，承担老年疾病防治、老年人医疗照护、老年人心理健康与关怀服务等老年健康工作。区民政局负责统筹推进、督促指导、监督管理养老服务工作，拟订养老服务体系建设规划、规范性文件、政策、标准并组织实施，承担老年人福利和特殊困难老年人救助工作。</w:t>
      </w:r>
    </w:p>
    <w:p>
      <w:pPr>
        <w:spacing w:line="596" w:lineRule="exact"/>
        <w:ind w:firstLine="640" w:firstLineChars="200"/>
        <w:rPr>
          <w:rFonts w:ascii="仿宋_GB2312" w:hAnsi="仿宋_GB2312"/>
          <w:szCs w:val="32"/>
        </w:rPr>
      </w:pPr>
      <w:r>
        <w:rPr>
          <w:rFonts w:hint="eastAsia" w:ascii="仿宋_GB2312"/>
          <w:szCs w:val="32"/>
        </w:rPr>
        <w:t>（3）</w:t>
      </w:r>
      <w:r>
        <w:rPr>
          <w:rFonts w:hint="eastAsia" w:ascii="仿宋_GB2312" w:hAnsi="仿宋_GB2312" w:cs="仿宋_GB2312"/>
          <w:szCs w:val="32"/>
        </w:rPr>
        <w:t>与区市场监管局的有关职责分工。区卫生健康局会同区市场监管局等部门制定、实施食品安全风险监测计划。区卫生健康局对通过食品安全风险监测或者接到举报发现食品可能存在安全隐患的，应当立即组织进行检验检测，对检测结果表明存在食品安全隐患的应及时向区市场监管局等部门通报，对得出不安全结论的食品，区市场监管局等部门应当立即采取措施。区市场监管局等部门在监督管理中发现需要进行食品安全风险监测的，应当及时向区卫生健康局提出建议。区市场监管局会同区卫生健康局组织执行国家药典，建立重大药品不良反应和医疗器械不良事件相互通报机制和联合处置机制。</w:t>
      </w:r>
    </w:p>
    <w:p>
      <w:pPr>
        <w:pStyle w:val="4"/>
        <w:adjustRightInd w:val="0"/>
        <w:snapToGrid w:val="0"/>
        <w:spacing w:before="93" w:line="596" w:lineRule="exact"/>
        <w:ind w:firstLine="672" w:firstLineChars="210"/>
        <w:outlineLvl w:val="2"/>
        <w:rPr>
          <w:rFonts w:hAnsi="仿宋_GB2312" w:cs="仿宋_GB2312"/>
          <w:sz w:val="32"/>
          <w:szCs w:val="32"/>
        </w:rPr>
      </w:pPr>
      <w:r>
        <w:rPr>
          <w:rFonts w:hint="eastAsia"/>
          <w:sz w:val="32"/>
          <w:szCs w:val="32"/>
        </w:rPr>
        <w:t>（4）</w:t>
      </w:r>
      <w:r>
        <w:rPr>
          <w:rFonts w:hint="eastAsia" w:hAnsi="仿宋_GB2312" w:cs="仿宋_GB2312"/>
          <w:sz w:val="32"/>
          <w:szCs w:val="32"/>
        </w:rPr>
        <w:t>与区医保局的有关职责分工。两部门在医疗、医保、医药等方面加强制度、政策衔接，建立沟通协商机制，协同推进改革，提高医疗资源使用效率和医疗保障水平。</w:t>
      </w:r>
    </w:p>
    <w:p>
      <w:pPr>
        <w:pStyle w:val="4"/>
        <w:adjustRightInd w:val="0"/>
        <w:snapToGrid w:val="0"/>
        <w:spacing w:before="93" w:line="600" w:lineRule="exact"/>
        <w:ind w:firstLine="675" w:firstLineChars="210"/>
        <w:outlineLvl w:val="2"/>
        <w:rPr>
          <w:rFonts w:ascii="楷体_GB2312" w:hAnsi="仿宋" w:eastAsia="楷体_GB2312"/>
          <w:b/>
          <w:bCs/>
          <w:color w:val="000000"/>
          <w:sz w:val="32"/>
          <w:szCs w:val="32"/>
        </w:rPr>
      </w:pPr>
      <w:r>
        <w:rPr>
          <w:rFonts w:hint="eastAsia" w:ascii="楷体_GB2312" w:hAnsi="仿宋" w:eastAsia="楷体_GB2312"/>
          <w:b/>
          <w:bCs/>
          <w:color w:val="000000"/>
          <w:sz w:val="32"/>
          <w:szCs w:val="32"/>
        </w:rPr>
        <w:t>（二）</w:t>
      </w:r>
      <w:r>
        <w:rPr>
          <w:rFonts w:ascii="楷体_GB2312" w:hAnsi="仿宋" w:eastAsia="楷体_GB2312"/>
          <w:b/>
          <w:bCs/>
          <w:color w:val="000000"/>
          <w:sz w:val="32"/>
          <w:szCs w:val="32"/>
        </w:rPr>
        <w:t>2020</w:t>
      </w:r>
      <w:r>
        <w:rPr>
          <w:rFonts w:hint="eastAsia" w:ascii="楷体_GB2312" w:hAnsi="仿宋" w:eastAsia="楷体_GB2312"/>
          <w:b/>
          <w:bCs/>
          <w:color w:val="000000"/>
          <w:sz w:val="32"/>
          <w:szCs w:val="32"/>
        </w:rPr>
        <w:t>年重点工作完成情况。</w:t>
      </w:r>
      <w:bookmarkEnd w:id="6"/>
      <w:bookmarkEnd w:id="7"/>
    </w:p>
    <w:p>
      <w:pPr>
        <w:snapToGrid w:val="0"/>
        <w:spacing w:line="592" w:lineRule="exact"/>
        <w:ind w:firstLine="643" w:firstLineChars="200"/>
        <w:rPr>
          <w:rFonts w:ascii="仿宋_GB2312"/>
          <w:b/>
          <w:szCs w:val="32"/>
        </w:rPr>
      </w:pPr>
      <w:r>
        <w:rPr>
          <w:rFonts w:hint="eastAsia" w:ascii="仿宋_GB2312"/>
          <w:b/>
          <w:szCs w:val="32"/>
        </w:rPr>
        <w:t>1.党的建设持续加强</w:t>
      </w:r>
    </w:p>
    <w:p>
      <w:pPr>
        <w:snapToGrid w:val="0"/>
        <w:spacing w:line="596" w:lineRule="exact"/>
        <w:ind w:firstLine="640" w:firstLineChars="200"/>
        <w:rPr>
          <w:rFonts w:ascii="仿宋_GB2312" w:hAnsi="楷体_GB2312"/>
          <w:szCs w:val="32"/>
        </w:rPr>
      </w:pPr>
      <w:r>
        <w:rPr>
          <w:rFonts w:hint="eastAsia" w:ascii="仿宋_GB2312" w:hAnsi="楷体_GB2312"/>
          <w:szCs w:val="32"/>
        </w:rPr>
        <w:t>（1）提升基层组织战斗力</w:t>
      </w:r>
    </w:p>
    <w:p>
      <w:pPr>
        <w:snapToGrid w:val="0"/>
        <w:spacing w:line="596" w:lineRule="exact"/>
        <w:ind w:firstLine="640" w:firstLineChars="200"/>
        <w:rPr>
          <w:rFonts w:ascii="仿宋_GB2312" w:hAnsi="楷体_GB2312"/>
          <w:szCs w:val="32"/>
        </w:rPr>
      </w:pPr>
      <w:r>
        <w:rPr>
          <w:rFonts w:hint="eastAsia" w:ascii="仿宋_GB2312" w:hAnsi="楷体_GB2312"/>
          <w:szCs w:val="32"/>
        </w:rPr>
        <w:t>一是加强基层组织建设。结合“三会一课”、中心组学习，学习《习近平谈治国理政第三卷》等重要理论，促进广大干部职工不断用理论武装头脑、指导实践。结合“主题党日活动”，学习抗疫英雄先进事迹，在思想境界上再提升。 二是加强党员队伍建设。抓好党员发展，今年吸收2名预备党员，转正4名党员。抓好支部建设，今年新建3个镇卫生院党支部，均配齐班子力量、落实党政统一管理。三是开展基层党建自查。针对党内存在的政治生活不严肃、不经常、不规范等问题，制定《党建与业务工作“两张皮”问题专项整治方案》《机关党建“灯下黑”问题专项整治方案》，建立问题台账，今年全面完成整改。</w:t>
      </w:r>
    </w:p>
    <w:p>
      <w:pPr>
        <w:snapToGrid w:val="0"/>
        <w:spacing w:line="596" w:lineRule="exact"/>
        <w:ind w:firstLine="640" w:firstLineChars="200"/>
        <w:rPr>
          <w:rFonts w:ascii="仿宋_GB2312" w:hAnsi="楷体_GB2312"/>
          <w:szCs w:val="32"/>
        </w:rPr>
      </w:pPr>
      <w:r>
        <w:rPr>
          <w:rFonts w:hint="eastAsia" w:ascii="仿宋_GB2312" w:hAnsi="楷体_GB2312"/>
          <w:szCs w:val="32"/>
        </w:rPr>
        <w:t>（2）提升拒腐防变免疫力</w:t>
      </w:r>
    </w:p>
    <w:p>
      <w:pPr>
        <w:snapToGrid w:val="0"/>
        <w:spacing w:line="596" w:lineRule="exact"/>
        <w:ind w:firstLine="640" w:firstLineChars="200"/>
        <w:rPr>
          <w:rFonts w:ascii="仿宋_GB2312" w:hAnsi="楷体_GB2312"/>
          <w:szCs w:val="32"/>
        </w:rPr>
      </w:pPr>
      <w:r>
        <w:rPr>
          <w:rFonts w:hint="eastAsia" w:ascii="仿宋_GB2312" w:hAnsi="楷体_GB2312"/>
          <w:szCs w:val="32"/>
        </w:rPr>
        <w:t>一是完善制度。加大制度建设工作力度，对原有制度进行修订完善，印发《局党委议事规则》《贯彻落实“三重一大”事项集体决策制度的实施意见》《财务管理制度》等30项制度。二是加强教育。组织</w:t>
      </w:r>
      <w:r>
        <w:rPr>
          <w:rFonts w:ascii="仿宋_GB2312" w:hAnsi="楷体_GB2312"/>
          <w:szCs w:val="32"/>
        </w:rPr>
        <w:t>系统</w:t>
      </w:r>
      <w:r>
        <w:rPr>
          <w:rFonts w:hint="eastAsia" w:ascii="仿宋_GB2312" w:hAnsi="楷体_GB2312"/>
          <w:szCs w:val="32"/>
        </w:rPr>
        <w:t>党员</w:t>
      </w:r>
      <w:r>
        <w:rPr>
          <w:rFonts w:ascii="仿宋_GB2312" w:hAnsi="楷体_GB2312"/>
          <w:szCs w:val="32"/>
        </w:rPr>
        <w:t>干部职工观看警示教育片</w:t>
      </w:r>
      <w:r>
        <w:rPr>
          <w:rFonts w:hint="eastAsia" w:ascii="仿宋_GB2312" w:hAnsi="楷体_GB2312"/>
          <w:szCs w:val="32"/>
        </w:rPr>
        <w:t>、</w:t>
      </w:r>
      <w:r>
        <w:rPr>
          <w:rFonts w:ascii="仿宋_GB2312" w:hAnsi="楷体_GB2312"/>
          <w:szCs w:val="32"/>
        </w:rPr>
        <w:t>典型案件</w:t>
      </w:r>
      <w:r>
        <w:rPr>
          <w:rFonts w:hint="eastAsia" w:ascii="仿宋_GB2312" w:hAnsi="楷体_GB2312"/>
          <w:szCs w:val="32"/>
        </w:rPr>
        <w:t>、前往自流井区基层党员干部廉政教育基地实地学习，</w:t>
      </w:r>
      <w:r>
        <w:rPr>
          <w:rFonts w:ascii="仿宋_GB2312" w:hAnsi="楷体_GB2312"/>
          <w:szCs w:val="32"/>
        </w:rPr>
        <w:t>时刻警醒党员干部职工严守党纪国法。</w:t>
      </w:r>
      <w:r>
        <w:rPr>
          <w:rFonts w:hint="eastAsia" w:ascii="仿宋_GB2312" w:hAnsi="楷体_GB2312"/>
          <w:szCs w:val="32"/>
        </w:rPr>
        <w:t>三是落实谈话。开展提醒谈话、</w:t>
      </w:r>
      <w:r>
        <w:rPr>
          <w:rFonts w:ascii="仿宋_GB2312" w:hAnsi="楷体_GB2312"/>
          <w:szCs w:val="32"/>
        </w:rPr>
        <w:t>集中廉政谈话</w:t>
      </w:r>
      <w:r>
        <w:rPr>
          <w:rFonts w:hint="eastAsia" w:ascii="仿宋_GB2312" w:hAnsi="楷体_GB2312"/>
          <w:szCs w:val="32"/>
        </w:rPr>
        <w:t>，做到抓早抓小，</w:t>
      </w:r>
      <w:r>
        <w:rPr>
          <w:rFonts w:ascii="仿宋_GB2312" w:hAnsi="楷体_GB2312"/>
          <w:szCs w:val="32"/>
        </w:rPr>
        <w:t>推动廉政教育常态化。</w:t>
      </w:r>
      <w:r>
        <w:rPr>
          <w:rFonts w:hint="eastAsia" w:ascii="仿宋_GB2312" w:hAnsi="楷体_GB2312"/>
          <w:szCs w:val="32"/>
        </w:rPr>
        <w:t>今年全系统开展会前学纪学法共60余次；开展个人提醒谈话15人次；开展集体廉政谈话70次。</w:t>
      </w:r>
    </w:p>
    <w:p>
      <w:pPr>
        <w:snapToGrid w:val="0"/>
        <w:spacing w:line="596" w:lineRule="exact"/>
        <w:ind w:firstLine="640" w:firstLineChars="200"/>
        <w:rPr>
          <w:rFonts w:ascii="仿宋_GB2312" w:hAnsi="楷体_GB2312"/>
          <w:szCs w:val="32"/>
        </w:rPr>
      </w:pPr>
      <w:r>
        <w:rPr>
          <w:rFonts w:hint="eastAsia" w:ascii="仿宋_GB2312" w:hAnsi="楷体_GB2312"/>
          <w:szCs w:val="32"/>
        </w:rPr>
        <w:t>（3）提升意识形态引领力</w:t>
      </w:r>
    </w:p>
    <w:p>
      <w:pPr>
        <w:snapToGrid w:val="0"/>
        <w:spacing w:line="596" w:lineRule="exact"/>
        <w:ind w:firstLine="640" w:firstLineChars="200"/>
        <w:rPr>
          <w:rFonts w:ascii="仿宋_GB2312" w:hAnsi="楷体_GB2312"/>
          <w:szCs w:val="32"/>
        </w:rPr>
      </w:pPr>
      <w:r>
        <w:rPr>
          <w:rFonts w:hint="eastAsia" w:ascii="仿宋_GB2312" w:hAnsi="楷体_GB2312"/>
          <w:szCs w:val="32"/>
        </w:rPr>
        <w:t>一是落实中心组学习。印发《2020年卫健党委理论学习中心组专题学习安排意见》并按照计划完成6次中心组学习。二是推进对外宣传。编辑卫生健康信息30期、创卫信息40期、卫生监督执法信息39期，国家级媒体上稿70余篇，省、市、区级媒体上稿100余篇。组织全区“学习先进典型弘扬抗疫精神”纪实图片巡回展览。三是加强党员学习。组织学习《习近平谈治国理政第三卷》，学习党的十九届五中全会及省市区委全会精神。利用“学习强国”APP，培养系统党员利用碎片化时间学习的良好习惯。</w:t>
      </w:r>
    </w:p>
    <w:p>
      <w:pPr>
        <w:spacing w:line="570" w:lineRule="exact"/>
        <w:ind w:firstLine="643" w:firstLineChars="200"/>
        <w:rPr>
          <w:rFonts w:ascii="仿宋_GB2312"/>
          <w:b/>
          <w:szCs w:val="32"/>
        </w:rPr>
      </w:pPr>
      <w:r>
        <w:rPr>
          <w:rFonts w:hint="eastAsia" w:ascii="仿宋_GB2312"/>
          <w:b/>
          <w:szCs w:val="32"/>
        </w:rPr>
        <w:t>2.全力以赴疫情防控。</w:t>
      </w:r>
    </w:p>
    <w:p>
      <w:pPr>
        <w:snapToGrid w:val="0"/>
        <w:spacing w:line="596" w:lineRule="exact"/>
        <w:ind w:firstLine="640" w:firstLineChars="200"/>
        <w:rPr>
          <w:rFonts w:ascii="仿宋_GB2312" w:hAnsi="楷体_GB2312"/>
          <w:szCs w:val="32"/>
        </w:rPr>
      </w:pPr>
      <w:r>
        <w:rPr>
          <w:rFonts w:hint="eastAsia" w:ascii="仿宋_GB2312" w:hAnsi="楷体_GB2312"/>
          <w:szCs w:val="32"/>
        </w:rPr>
        <w:t>严把摸排、管控、监测“三个关口”，截至12月12日，累计摸排省外（含国外）到（返）我区人员总计7444人，集中隔离128人。其中国（境）外194人，国内省外7250人，累计中高风险597人。累计监测6726人次，环境监测累计495件，均为阴性。提升核酸检测、医疗救治、应急处置“三个能力”。我区疾控中心单日核酸检测能力为270人份，满负荷运转下每日可达2700人份；今年完成购买DR、B超、全自动生化仪、CT以及负压救护车、负压担架；投入50余万元改造区中医院发热门诊，基本达到发热门诊设置要求；全面完成秋冬季新冠肺炎疫情应急演练，有效提升我区应急处置能力和协调作战能力。做好人员、物资、核酸检测“三项准备”，建立疫情防控队伍20支，合计200余人；培训储备核酸采样人员240名，检测人员31名；全区共准备集中隔离房间1254间，满足“应隔尽隔”要求，储备共计115万元的口罩、防护服、消毒液等防疫物资，满足疫情高峰期30天需求；全区共设置采样点35个，每个采样点均建立工作组，确保在疫情发生后5-7天内实现辖区内人口核酸检测全覆盖。</w:t>
      </w:r>
    </w:p>
    <w:p>
      <w:pPr>
        <w:spacing w:line="570" w:lineRule="exact"/>
        <w:ind w:firstLine="643" w:firstLineChars="200"/>
        <w:rPr>
          <w:rFonts w:ascii="仿宋_GB2312"/>
          <w:b/>
          <w:szCs w:val="32"/>
        </w:rPr>
      </w:pPr>
      <w:r>
        <w:rPr>
          <w:rFonts w:hint="eastAsia" w:ascii="仿宋_GB2312"/>
          <w:b/>
          <w:szCs w:val="32"/>
        </w:rPr>
        <w:t>3.强力推进民生实事项目。</w:t>
      </w:r>
    </w:p>
    <w:p>
      <w:pPr>
        <w:snapToGrid w:val="0"/>
        <w:spacing w:line="596" w:lineRule="exact"/>
        <w:ind w:firstLine="640" w:firstLineChars="200"/>
        <w:rPr>
          <w:rFonts w:ascii="仿宋_GB2312" w:hAnsi="楷体_GB2312"/>
          <w:szCs w:val="32"/>
        </w:rPr>
      </w:pPr>
      <w:r>
        <w:rPr>
          <w:rFonts w:hint="eastAsia" w:ascii="仿宋_GB2312" w:hAnsi="楷体_GB2312"/>
          <w:szCs w:val="32"/>
        </w:rPr>
        <w:t>实施10家预防接种门诊数字化建设是今年人大代表票决的民生实事项目之一。我局结合辖区医疗单位实际，确定东街、郭街、新街、五星街社区卫生服务中心、舒坪镇、仲权镇中心卫生院、荣边、飞龙峡卫生院、毛家坝社区卫生服务站以及市第一人民医院十家单位进行预防接种门诊数字化建设，共投资200万。项目建设以及资金拨付均于10月份完成，提前完成任务。计生奖励扶助、特别扶助、基本公共卫生服务、贫困人口免费健康体检等四项省级民生实事也全部提前完成。</w:t>
      </w:r>
    </w:p>
    <w:p>
      <w:pPr>
        <w:spacing w:line="570" w:lineRule="exact"/>
        <w:ind w:firstLine="643" w:firstLineChars="200"/>
        <w:rPr>
          <w:rFonts w:ascii="仿宋_GB2312"/>
          <w:b/>
          <w:szCs w:val="32"/>
        </w:rPr>
      </w:pPr>
      <w:r>
        <w:rPr>
          <w:rFonts w:hint="eastAsia" w:ascii="仿宋_GB2312"/>
          <w:b/>
          <w:szCs w:val="32"/>
        </w:rPr>
        <w:t>4.全面深化医改。</w:t>
      </w:r>
    </w:p>
    <w:p>
      <w:pPr>
        <w:snapToGrid w:val="0"/>
        <w:spacing w:line="596" w:lineRule="exact"/>
        <w:ind w:firstLine="640" w:firstLineChars="200"/>
        <w:rPr>
          <w:rFonts w:ascii="仿宋_GB2312" w:hAnsi="楷体_GB2312"/>
          <w:szCs w:val="32"/>
        </w:rPr>
      </w:pPr>
      <w:r>
        <w:rPr>
          <w:rFonts w:hint="eastAsia" w:ascii="仿宋_GB2312" w:hAnsi="楷体_GB2312"/>
          <w:szCs w:val="32"/>
        </w:rPr>
        <w:t>推进紧密型县域医共体建设试点工作，成立自流井区紧密型县域医疗卫生共同体建设领导小组，印发</w:t>
      </w:r>
      <w:r>
        <w:rPr>
          <w:rFonts w:ascii="仿宋_GB2312" w:hAnsi="楷体_GB2312"/>
          <w:szCs w:val="32"/>
        </w:rPr>
        <w:t>《自流井区紧密型县域医疗卫生共同体建设试点实施方案》</w:t>
      </w:r>
      <w:r>
        <w:rPr>
          <w:rFonts w:hint="eastAsia" w:ascii="仿宋_GB2312" w:hAnsi="楷体_GB2312"/>
          <w:szCs w:val="32"/>
        </w:rPr>
        <w:t>，并实现自流井区医疗集团管理服务中心挂牌。</w:t>
      </w:r>
    </w:p>
    <w:p>
      <w:pPr>
        <w:spacing w:line="570" w:lineRule="exact"/>
        <w:ind w:firstLine="643" w:firstLineChars="200"/>
        <w:rPr>
          <w:rFonts w:ascii="仿宋_GB2312"/>
          <w:b/>
          <w:szCs w:val="32"/>
        </w:rPr>
      </w:pPr>
      <w:r>
        <w:rPr>
          <w:rFonts w:hint="eastAsia" w:ascii="仿宋_GB2312"/>
          <w:b/>
          <w:szCs w:val="32"/>
        </w:rPr>
        <w:t>5.落实落细卫生监管。</w:t>
      </w:r>
    </w:p>
    <w:p>
      <w:pPr>
        <w:snapToGrid w:val="0"/>
        <w:spacing w:line="596" w:lineRule="exact"/>
        <w:ind w:firstLine="640" w:firstLineChars="200"/>
        <w:rPr>
          <w:rFonts w:ascii="仿宋_GB2312" w:hAnsi="楷体_GB2312"/>
          <w:szCs w:val="32"/>
        </w:rPr>
      </w:pPr>
      <w:r>
        <w:rPr>
          <w:rFonts w:hint="eastAsia" w:ascii="仿宋_GB2312" w:hAnsi="楷体_GB2312"/>
          <w:szCs w:val="32"/>
        </w:rPr>
        <w:t>加强医疗“三监管”工作，及时整改异常指标；严格医疗机构执业准入，完成中医备案诊所7个，协助区行政审批局完成164家医疗机构年度校验，设置审批医疗机构6个。深化监督检查，全年共检查10000余家次，下达监督意见书1700余份，立案查处30家，罚款金额34500元。开展打击非法行医卫生监督“雷霆”行动，取缔非法行医摊点7处，处罚存在夜班值班问题的民营医院2家。</w:t>
      </w:r>
    </w:p>
    <w:p>
      <w:pPr>
        <w:spacing w:line="570" w:lineRule="exact"/>
        <w:ind w:firstLine="643" w:firstLineChars="200"/>
        <w:rPr>
          <w:rFonts w:ascii="仿宋_GB2312"/>
          <w:b/>
          <w:szCs w:val="32"/>
        </w:rPr>
      </w:pPr>
      <w:r>
        <w:rPr>
          <w:rFonts w:hint="eastAsia" w:ascii="仿宋_GB2312"/>
          <w:b/>
          <w:szCs w:val="32"/>
        </w:rPr>
        <w:t>6.加强公共卫生服务。</w:t>
      </w:r>
    </w:p>
    <w:p>
      <w:pPr>
        <w:snapToGrid w:val="0"/>
        <w:spacing w:line="596" w:lineRule="exact"/>
        <w:ind w:firstLine="640" w:firstLineChars="200"/>
        <w:rPr>
          <w:rFonts w:ascii="仿宋_GB2312" w:hAnsi="楷体_GB2312"/>
          <w:szCs w:val="32"/>
        </w:rPr>
      </w:pPr>
      <w:r>
        <w:rPr>
          <w:rFonts w:hint="eastAsia" w:ascii="仿宋_GB2312" w:hAnsi="楷体_GB2312"/>
          <w:szCs w:val="32"/>
        </w:rPr>
        <w:t>全年家庭医生签约率94.55%，重点人群签约率78.18%，完成市下目标任务。完成免费孕前优生健康检查765对，完成率117.69%。重精在册患者管理率97.45%，规范化管理率96.80%，完成市下目标任务。艾滋病检测覆盖率30.26%，感染者和病人抗病毒治疗覆盖率93.23%，抗病毒治疗成功率95.60%，母婴传播率0%，完成市下目标任务。完成25家辖区企业职业危害因素调查和现场监测。全区等级门诊建成率达100%，常规免疫报告接种率保持在90％以上。</w:t>
      </w:r>
    </w:p>
    <w:p>
      <w:pPr>
        <w:spacing w:line="570" w:lineRule="exact"/>
        <w:ind w:firstLine="643" w:firstLineChars="200"/>
        <w:rPr>
          <w:rFonts w:ascii="仿宋_GB2312"/>
          <w:b/>
          <w:szCs w:val="32"/>
        </w:rPr>
      </w:pPr>
      <w:r>
        <w:rPr>
          <w:rFonts w:hint="eastAsia" w:ascii="仿宋_GB2312"/>
          <w:b/>
          <w:szCs w:val="32"/>
        </w:rPr>
        <w:t>7.促进人口均衡发展。</w:t>
      </w:r>
    </w:p>
    <w:p>
      <w:pPr>
        <w:snapToGrid w:val="0"/>
        <w:spacing w:line="596" w:lineRule="exact"/>
        <w:ind w:firstLine="640" w:firstLineChars="200"/>
        <w:rPr>
          <w:rFonts w:ascii="仿宋_GB2312" w:hAnsi="楷体_GB2312"/>
          <w:szCs w:val="32"/>
        </w:rPr>
      </w:pPr>
      <w:r>
        <w:rPr>
          <w:rFonts w:hint="eastAsia" w:ascii="仿宋_GB2312" w:hAnsi="楷体_GB2312"/>
          <w:szCs w:val="32"/>
        </w:rPr>
        <w:t>2020年，我区出生人口1333人，人口出生率为3.32‰，自然增长率为0.78‰，符合政策生育率为98.87%。开展以“弘扬养老孝老敬老传统，共建共享老年友好社会”为主题的“敬老月”活动，增强广大老年人的获得感、幸福感、安全感。</w:t>
      </w:r>
    </w:p>
    <w:p>
      <w:pPr>
        <w:spacing w:line="570" w:lineRule="exact"/>
        <w:ind w:firstLine="643" w:firstLineChars="200"/>
        <w:rPr>
          <w:rFonts w:ascii="仿宋_GB2312"/>
          <w:b/>
          <w:szCs w:val="32"/>
        </w:rPr>
      </w:pPr>
      <w:r>
        <w:rPr>
          <w:rFonts w:hint="eastAsia" w:ascii="仿宋_GB2312"/>
          <w:b/>
          <w:szCs w:val="32"/>
        </w:rPr>
        <w:t>8.扎实开展国家卫生城市创建。</w:t>
      </w:r>
    </w:p>
    <w:p>
      <w:pPr>
        <w:snapToGrid w:val="0"/>
        <w:spacing w:line="596" w:lineRule="exact"/>
        <w:ind w:firstLine="640" w:firstLineChars="200"/>
        <w:rPr>
          <w:rFonts w:ascii="仿宋_GB2312" w:hAnsi="楷体_GB2312"/>
          <w:szCs w:val="32"/>
        </w:rPr>
      </w:pPr>
      <w:r>
        <w:rPr>
          <w:rFonts w:ascii="仿宋_GB2312" w:hAnsi="楷体_GB2312"/>
          <w:szCs w:val="32"/>
        </w:rPr>
        <w:t>8月23-25日，全国爱卫办组织专家对</w:t>
      </w:r>
      <w:r>
        <w:rPr>
          <w:rFonts w:hint="eastAsia" w:ascii="仿宋_GB2312" w:hAnsi="楷体_GB2312"/>
          <w:szCs w:val="32"/>
        </w:rPr>
        <w:t>自贡市</w:t>
      </w:r>
      <w:r>
        <w:rPr>
          <w:rFonts w:ascii="仿宋_GB2312" w:hAnsi="楷体_GB2312"/>
          <w:szCs w:val="32"/>
        </w:rPr>
        <w:t>进行技术评估，</w:t>
      </w:r>
      <w:r>
        <w:rPr>
          <w:rFonts w:hint="eastAsia" w:ascii="仿宋_GB2312" w:hAnsi="楷体_GB2312"/>
          <w:szCs w:val="32"/>
        </w:rPr>
        <w:t>并顺利通过创建国家卫生城市技术评估，达到《国家卫生城市标准》要求。我区作为市中区，</w:t>
      </w:r>
      <w:r>
        <w:rPr>
          <w:rFonts w:ascii="仿宋_GB2312" w:hAnsi="楷体_GB2312"/>
          <w:szCs w:val="32"/>
        </w:rPr>
        <w:t>迎检点位占</w:t>
      </w:r>
      <w:r>
        <w:rPr>
          <w:rFonts w:hint="eastAsia" w:ascii="仿宋_GB2312" w:hAnsi="楷体_GB2312"/>
          <w:szCs w:val="32"/>
        </w:rPr>
        <w:t>全市</w:t>
      </w:r>
      <w:r>
        <w:rPr>
          <w:rFonts w:ascii="仿宋_GB2312" w:hAnsi="楷体_GB2312"/>
          <w:szCs w:val="32"/>
        </w:rPr>
        <w:t>三分之一</w:t>
      </w:r>
      <w:r>
        <w:rPr>
          <w:rFonts w:hint="eastAsia" w:ascii="仿宋_GB2312" w:hAnsi="楷体_GB2312"/>
          <w:szCs w:val="32"/>
        </w:rPr>
        <w:t>，通过抓卫生城镇创建、病媒生物防制、社会卫生综合治理以及健康村镇建设试点和健康促进，持续提升城乡环境卫生面貌，为自贡市成功创建国家卫生城市作出应有的贡献。</w:t>
      </w:r>
    </w:p>
    <w:p>
      <w:pPr>
        <w:spacing w:line="570" w:lineRule="exact"/>
        <w:ind w:firstLine="643" w:firstLineChars="200"/>
        <w:rPr>
          <w:rFonts w:ascii="仿宋_GB2312"/>
          <w:b/>
          <w:szCs w:val="32"/>
        </w:rPr>
      </w:pPr>
      <w:r>
        <w:rPr>
          <w:rFonts w:hint="eastAsia" w:ascii="仿宋_GB2312"/>
          <w:b/>
          <w:szCs w:val="32"/>
        </w:rPr>
        <w:t>9.保障事业发展。</w:t>
      </w:r>
    </w:p>
    <w:p>
      <w:pPr>
        <w:snapToGrid w:val="0"/>
        <w:spacing w:line="596" w:lineRule="exact"/>
        <w:ind w:firstLine="640" w:firstLineChars="200"/>
        <w:rPr>
          <w:rFonts w:ascii="仿宋_GB2312" w:hAnsi="楷体_GB2312"/>
          <w:szCs w:val="32"/>
        </w:rPr>
      </w:pPr>
      <w:r>
        <w:rPr>
          <w:rFonts w:hint="eastAsia" w:ascii="仿宋_GB2312" w:hAnsi="楷体_GB2312"/>
          <w:szCs w:val="32"/>
        </w:rPr>
        <w:t>坚持领导干部安全生产责任制，制定全系统安全生产责任制清单。常态化开展自查与督查，截至目前，未发生重大安生生产事故。深化“平安医院”建设，持续推进扫黑除恶治乱专项斗争。开展卫生健康行业领域突出问题专项整治，各医疗机构自查自纠上报不合理用药73件，不合理使用耗材4件，不合理收费4.0336万元，均已整改完毕。争取专项债券1亿元、抗疫特别国债5140万元，用于我区疾病防控救治能力和医疗卫生服务能力提升。区疾控中心和人民医院建设项目预计2021年8月完工并投入使用，目前，装修工程、室外绿化工程、手术室建设、信息化建设、疾控中心实验室建设以及医疗设备及医用气体系统采购均有序推进。2020年，大力推荐、表彰系统各类优秀人才，获得国家级表扬表彰单位</w:t>
      </w:r>
      <w:r>
        <w:rPr>
          <w:rFonts w:ascii="仿宋_GB2312" w:hAnsi="楷体_GB2312"/>
          <w:szCs w:val="32"/>
        </w:rPr>
        <w:t>1</w:t>
      </w:r>
      <w:r>
        <w:rPr>
          <w:rFonts w:hint="eastAsia" w:ascii="仿宋_GB2312" w:hAnsi="楷体_GB2312"/>
          <w:szCs w:val="32"/>
        </w:rPr>
        <w:t>个；获得省级表扬表彰单位</w:t>
      </w:r>
      <w:r>
        <w:rPr>
          <w:rFonts w:ascii="仿宋_GB2312" w:hAnsi="楷体_GB2312"/>
          <w:szCs w:val="32"/>
        </w:rPr>
        <w:t>1</w:t>
      </w:r>
      <w:r>
        <w:rPr>
          <w:rFonts w:hint="eastAsia" w:ascii="仿宋_GB2312" w:hAnsi="楷体_GB2312"/>
          <w:szCs w:val="32"/>
        </w:rPr>
        <w:t>个，个人5名；获得市级表扬表彰单位6个，个人37名；获得区级表扬表彰单位1个，个人9名。</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p>
    <w:p>
      <w:pPr>
        <w:pStyle w:val="3"/>
        <w:rPr>
          <w:rStyle w:val="16"/>
          <w:b w:val="0"/>
          <w:bCs w:val="0"/>
        </w:rPr>
      </w:pPr>
      <w:bookmarkStart w:id="8" w:name="_Toc6092"/>
      <w:bookmarkStart w:id="9" w:name="_Toc15377200"/>
      <w:bookmarkStart w:id="10" w:name="_Toc15396601"/>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8"/>
      <w:bookmarkEnd w:id="9"/>
      <w:bookmarkEnd w:id="10"/>
    </w:p>
    <w:p>
      <w:pPr>
        <w:ind w:firstLine="800" w:firstLineChars="250"/>
        <w:rPr>
          <w:rFonts w:ascii="仿宋" w:hAnsi="仿宋" w:eastAsia="仿宋"/>
          <w:szCs w:val="32"/>
        </w:rPr>
      </w:pPr>
      <w:r>
        <w:rPr>
          <w:rFonts w:hint="eastAsia" w:ascii="仿宋" w:hAnsi="仿宋" w:eastAsia="仿宋"/>
          <w:szCs w:val="32"/>
        </w:rPr>
        <w:t>自贡市自流井区卫生健康局下属二级单位</w:t>
      </w:r>
      <w:r>
        <w:rPr>
          <w:rFonts w:hint="eastAsia" w:ascii="仿宋" w:hAnsi="仿宋" w:eastAsia="仿宋"/>
          <w:color w:val="262626"/>
          <w:szCs w:val="32"/>
        </w:rPr>
        <w:t>12</w:t>
      </w:r>
      <w:r>
        <w:rPr>
          <w:rFonts w:hint="eastAsia" w:ascii="仿宋" w:hAnsi="仿宋" w:eastAsia="仿宋"/>
          <w:szCs w:val="32"/>
        </w:rPr>
        <w:t>个（含主管局本级），其中行政单位1个，参照公务员法管理的事业单位</w:t>
      </w:r>
      <w:r>
        <w:rPr>
          <w:rFonts w:hint="eastAsia" w:ascii="仿宋" w:hAnsi="仿宋" w:eastAsia="仿宋"/>
          <w:bCs/>
          <w:szCs w:val="32"/>
        </w:rPr>
        <w:t>1</w:t>
      </w:r>
      <w:r>
        <w:rPr>
          <w:rFonts w:hint="eastAsia" w:ascii="仿宋" w:hAnsi="仿宋" w:eastAsia="仿宋"/>
          <w:szCs w:val="32"/>
        </w:rPr>
        <w:t>个，其他事业单位10个。</w:t>
      </w:r>
    </w:p>
    <w:p>
      <w:pPr>
        <w:pStyle w:val="4"/>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纳入自贡市自流井区卫生健康局</w:t>
      </w:r>
      <w:r>
        <w:rPr>
          <w:rFonts w:ascii="仿宋" w:hAnsi="仿宋" w:eastAsia="仿宋"/>
          <w:color w:val="000000"/>
          <w:sz w:val="32"/>
          <w:szCs w:val="32"/>
        </w:rPr>
        <w:t>2020</w:t>
      </w:r>
      <w:r>
        <w:rPr>
          <w:rFonts w:hint="eastAsia" w:ascii="仿宋" w:hAnsi="仿宋" w:eastAsia="仿宋"/>
          <w:color w:val="000000"/>
          <w:sz w:val="32"/>
          <w:szCs w:val="32"/>
        </w:rPr>
        <w:t>年度部门决算编制范围的二级预算单位包括：</w:t>
      </w:r>
    </w:p>
    <w:p>
      <w:pPr>
        <w:pStyle w:val="4"/>
        <w:numPr>
          <w:ilvl w:val="0"/>
          <w:numId w:val="1"/>
        </w:numPr>
        <w:adjustRightInd w:val="0"/>
        <w:snapToGrid w:val="0"/>
        <w:spacing w:before="93" w:line="600" w:lineRule="exact"/>
        <w:outlineLvl w:val="2"/>
        <w:rPr>
          <w:rFonts w:ascii="仿宋" w:hAnsi="仿宋" w:eastAsia="仿宋"/>
          <w:color w:val="000000"/>
          <w:sz w:val="32"/>
          <w:szCs w:val="32"/>
        </w:rPr>
      </w:pPr>
      <w:bookmarkStart w:id="11" w:name="_Toc15377433"/>
      <w:bookmarkStart w:id="12" w:name="_Toc15306276"/>
      <w:bookmarkStart w:id="13" w:name="_Toc15378449"/>
      <w:bookmarkStart w:id="14" w:name="_Toc15377202"/>
      <w:r>
        <w:rPr>
          <w:rFonts w:hint="eastAsia" w:ascii="仿宋" w:hAnsi="仿宋" w:eastAsia="仿宋"/>
          <w:color w:val="262626"/>
          <w:sz w:val="32"/>
          <w:szCs w:val="32"/>
        </w:rPr>
        <w:t>自贡市自流井区卫生健康局（机关）</w:t>
      </w:r>
      <w:bookmarkEnd w:id="11"/>
      <w:bookmarkEnd w:id="12"/>
      <w:bookmarkEnd w:id="13"/>
      <w:bookmarkEnd w:id="14"/>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自贡市自流井区卫生和计划生育监督执法大队</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自贡市自流井区疾病预防控制中心</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自贡市自流井区妇幼保健院</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自贡市自流井区中医院</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自贡市自流井区第三人民医院</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自贡市自流井区东街社区卫生服务中心（自流井区第二人民医院）</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自贡市自流井区五星街社区卫生服务中心</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自贡市自流井区仲权镇中心卫生院</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自贡市自流井区舒坪镇中心卫生院</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自贡市自流井区荣边镇卫生院</w:t>
      </w:r>
    </w:p>
    <w:p>
      <w:pPr>
        <w:pStyle w:val="4"/>
        <w:numPr>
          <w:ilvl w:val="0"/>
          <w:numId w:val="1"/>
        </w:numPr>
        <w:adjustRightInd w:val="0"/>
        <w:snapToGrid w:val="0"/>
        <w:spacing w:before="93" w:line="600" w:lineRule="exact"/>
        <w:outlineLvl w:val="2"/>
        <w:rPr>
          <w:rFonts w:ascii="仿宋" w:hAnsi="仿宋" w:eastAsia="仿宋"/>
          <w:color w:val="000000"/>
          <w:sz w:val="32"/>
          <w:szCs w:val="32"/>
        </w:rPr>
      </w:pPr>
      <w:r>
        <w:rPr>
          <w:rFonts w:hint="eastAsia" w:ascii="仿宋" w:hAnsi="仿宋" w:eastAsia="仿宋"/>
          <w:color w:val="262626"/>
          <w:sz w:val="32"/>
          <w:szCs w:val="32"/>
        </w:rPr>
        <w:t>自贡市自流井区飞龙峡镇卫生院</w:t>
      </w:r>
    </w:p>
    <w:p>
      <w:pPr>
        <w:widowControl/>
        <w:jc w:val="left"/>
        <w:rPr>
          <w:rFonts w:ascii="仿宋" w:hAnsi="仿宋" w:eastAsia="仿宋"/>
          <w:color w:val="000000"/>
          <w:kern w:val="0"/>
          <w:szCs w:val="32"/>
        </w:rPr>
      </w:pPr>
      <w:r>
        <w:rPr>
          <w:rFonts w:ascii="仿宋" w:hAnsi="仿宋" w:eastAsia="仿宋"/>
          <w:color w:val="000000"/>
          <w:szCs w:val="32"/>
        </w:rPr>
        <w:br w:type="page"/>
      </w:r>
    </w:p>
    <w:p>
      <w:pPr>
        <w:pStyle w:val="2"/>
        <w:ind w:right="440"/>
        <w:jc w:val="right"/>
        <w:rPr>
          <w:rStyle w:val="15"/>
          <w:rFonts w:ascii="黑体" w:hAnsi="黑体" w:eastAsia="黑体"/>
          <w:b w:val="0"/>
          <w:bCs w:val="0"/>
        </w:rPr>
      </w:pPr>
      <w:bookmarkStart w:id="15" w:name="_Toc23109"/>
      <w:bookmarkStart w:id="16" w:name="_Toc15396602"/>
      <w:bookmarkStart w:id="17" w:name="_Toc15377204"/>
      <w:r>
        <w:rPr>
          <w:rFonts w:hint="eastAsia" w:ascii="黑体" w:hAnsi="黑体" w:eastAsia="黑体"/>
          <w:b w:val="0"/>
          <w:color w:val="000000"/>
        </w:rPr>
        <w:t>第二部分</w:t>
      </w:r>
      <w:r>
        <w:rPr>
          <w:rStyle w:val="15"/>
          <w:rFonts w:ascii="黑体" w:hAnsi="黑体" w:eastAsia="黑体"/>
          <w:b w:val="0"/>
          <w:bCs w:val="0"/>
        </w:rPr>
        <w:t>2020</w:t>
      </w:r>
      <w:r>
        <w:rPr>
          <w:rStyle w:val="15"/>
          <w:rFonts w:hint="eastAsia" w:ascii="黑体" w:hAnsi="黑体" w:eastAsia="黑体"/>
          <w:b w:val="0"/>
          <w:bCs w:val="0"/>
        </w:rPr>
        <w:t>年度部门决算情况说明</w:t>
      </w:r>
      <w:bookmarkEnd w:id="15"/>
      <w:bookmarkEnd w:id="16"/>
      <w:bookmarkEnd w:id="17"/>
    </w:p>
    <w:p/>
    <w:p>
      <w:pPr>
        <w:pStyle w:val="17"/>
        <w:numPr>
          <w:ilvl w:val="0"/>
          <w:numId w:val="2"/>
        </w:numPr>
        <w:spacing w:line="600" w:lineRule="exact"/>
        <w:ind w:firstLineChars="0"/>
        <w:outlineLvl w:val="1"/>
        <w:rPr>
          <w:rStyle w:val="16"/>
          <w:rFonts w:ascii="黑体" w:hAnsi="黑体" w:eastAsia="黑体"/>
          <w:b w:val="0"/>
        </w:rPr>
      </w:pPr>
      <w:bookmarkStart w:id="18" w:name="_Toc15396603"/>
      <w:bookmarkStart w:id="19" w:name="_Toc7163"/>
      <w:bookmarkStart w:id="20" w:name="_Toc15377205"/>
      <w:r>
        <w:rPr>
          <w:rFonts w:hint="eastAsia" w:ascii="黑体" w:hAnsi="黑体" w:eastAsia="黑体"/>
          <w:color w:val="000000"/>
          <w:szCs w:val="32"/>
        </w:rPr>
        <w:t>收</w:t>
      </w:r>
      <w:r>
        <w:rPr>
          <w:rStyle w:val="16"/>
          <w:rFonts w:hint="eastAsia" w:ascii="黑体" w:hAnsi="黑体" w:eastAsia="黑体"/>
          <w:b w:val="0"/>
        </w:rPr>
        <w:t>入支出决算总体情况说明</w:t>
      </w:r>
      <w:bookmarkEnd w:id="18"/>
      <w:bookmarkEnd w:id="19"/>
      <w:bookmarkEnd w:id="20"/>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年度收、支总计20030.85万元。与</w:t>
      </w:r>
      <w:r>
        <w:rPr>
          <w:rFonts w:ascii="仿宋" w:hAnsi="仿宋" w:eastAsia="仿宋"/>
          <w:color w:val="000000"/>
          <w:szCs w:val="32"/>
        </w:rPr>
        <w:t>2019</w:t>
      </w:r>
      <w:r>
        <w:rPr>
          <w:rFonts w:hint="eastAsia" w:ascii="仿宋" w:hAnsi="仿宋" w:eastAsia="仿宋"/>
          <w:color w:val="000000"/>
          <w:szCs w:val="32"/>
        </w:rPr>
        <w:t>年相比，收、支总计各增加5107.38万元，增长34.22</w:t>
      </w:r>
      <w:r>
        <w:rPr>
          <w:rFonts w:ascii="仿宋" w:hAnsi="仿宋" w:eastAsia="仿宋"/>
          <w:color w:val="000000"/>
          <w:szCs w:val="32"/>
        </w:rPr>
        <w:t>%</w:t>
      </w:r>
      <w:r>
        <w:rPr>
          <w:rFonts w:hint="eastAsia" w:ascii="仿宋" w:hAnsi="仿宋" w:eastAsia="仿宋"/>
          <w:color w:val="000000"/>
          <w:szCs w:val="32"/>
        </w:rPr>
        <w:t>。主要变动原因是2020年新增抗疫特别国债财政拨款收入，加大财政拨款保障疫情防控工作。</w:t>
      </w:r>
    </w:p>
    <w:p>
      <w:pPr>
        <w:spacing w:line="600" w:lineRule="exact"/>
        <w:jc w:val="center"/>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0288" behindDoc="0" locked="0" layoutInCell="1" allowOverlap="1">
            <wp:simplePos x="0" y="0"/>
            <wp:positionH relativeFrom="column">
              <wp:posOffset>76200</wp:posOffset>
            </wp:positionH>
            <wp:positionV relativeFrom="paragraph">
              <wp:posOffset>136525</wp:posOffset>
            </wp:positionV>
            <wp:extent cx="5259705" cy="2413000"/>
            <wp:effectExtent l="19050" t="0" r="17145" b="6350"/>
            <wp:wrapSquare wrapText="bothSides"/>
            <wp:docPr id="1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w:t>
      </w:r>
    </w:p>
    <w:p>
      <w:pPr>
        <w:spacing w:line="600" w:lineRule="exact"/>
        <w:ind w:firstLine="640" w:firstLineChars="200"/>
        <w:jc w:val="left"/>
        <w:rPr>
          <w:rFonts w:ascii="仿宋_GB2312"/>
          <w:color w:val="000000"/>
          <w:szCs w:val="32"/>
        </w:rPr>
      </w:pPr>
    </w:p>
    <w:p>
      <w:pPr>
        <w:pStyle w:val="17"/>
        <w:numPr>
          <w:ilvl w:val="0"/>
          <w:numId w:val="2"/>
        </w:numPr>
        <w:spacing w:line="600" w:lineRule="exact"/>
        <w:ind w:firstLineChars="0"/>
        <w:outlineLvl w:val="1"/>
        <w:rPr>
          <w:rStyle w:val="16"/>
          <w:rFonts w:ascii="黑体" w:hAnsi="黑体" w:eastAsia="黑体"/>
          <w:b w:val="0"/>
        </w:rPr>
      </w:pPr>
      <w:bookmarkStart w:id="21" w:name="_Toc15377206"/>
      <w:bookmarkStart w:id="22" w:name="_Toc25258"/>
      <w:bookmarkStart w:id="23" w:name="_Toc15396604"/>
      <w:r>
        <w:rPr>
          <w:rFonts w:hint="eastAsia" w:ascii="黑体" w:hAnsi="黑体" w:eastAsia="黑体"/>
          <w:color w:val="000000"/>
          <w:szCs w:val="32"/>
        </w:rPr>
        <w:t>收</w:t>
      </w:r>
      <w:r>
        <w:rPr>
          <w:rStyle w:val="16"/>
          <w:rFonts w:hint="eastAsia" w:ascii="黑体" w:hAnsi="黑体" w:eastAsia="黑体"/>
          <w:b w:val="0"/>
        </w:rPr>
        <w:t>入决算情况说明</w:t>
      </w:r>
      <w:bookmarkEnd w:id="21"/>
      <w:bookmarkEnd w:id="22"/>
      <w:bookmarkEnd w:id="23"/>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年本年收入合计19110.59万元，其中：一般公共预算财政拨款收入8674.56万元，占45.39</w:t>
      </w:r>
      <w:r>
        <w:rPr>
          <w:rFonts w:ascii="仿宋" w:hAnsi="仿宋" w:eastAsia="仿宋"/>
          <w:color w:val="000000"/>
          <w:szCs w:val="32"/>
        </w:rPr>
        <w:t>%</w:t>
      </w:r>
      <w:r>
        <w:rPr>
          <w:rFonts w:hint="eastAsia" w:ascii="仿宋" w:hAnsi="仿宋" w:eastAsia="仿宋"/>
          <w:color w:val="000000"/>
          <w:szCs w:val="32"/>
        </w:rPr>
        <w:t>；政府性基金预算财政拨款收入5470.00万元，占28.62</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；事业收入3889.83万元，占20.35</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；其他收入1076.20万元，占5.63</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jc w:val="center"/>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1312" behindDoc="0" locked="0" layoutInCell="1" allowOverlap="1">
            <wp:simplePos x="0" y="0"/>
            <wp:positionH relativeFrom="column">
              <wp:posOffset>152400</wp:posOffset>
            </wp:positionH>
            <wp:positionV relativeFrom="paragraph">
              <wp:posOffset>142875</wp:posOffset>
            </wp:positionV>
            <wp:extent cx="5046980" cy="2774950"/>
            <wp:effectExtent l="19050" t="0" r="20320" b="6350"/>
            <wp:wrapSquare wrapText="bothSides"/>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w:t>
      </w:r>
    </w:p>
    <w:p>
      <w:pPr>
        <w:spacing w:line="600" w:lineRule="exact"/>
        <w:ind w:firstLine="640" w:firstLineChars="200"/>
        <w:rPr>
          <w:rFonts w:ascii="仿宋_GB2312"/>
          <w:color w:val="FF0000"/>
          <w:szCs w:val="32"/>
        </w:rPr>
      </w:pPr>
    </w:p>
    <w:p>
      <w:pPr>
        <w:pStyle w:val="17"/>
        <w:numPr>
          <w:ilvl w:val="0"/>
          <w:numId w:val="2"/>
        </w:numPr>
        <w:spacing w:line="600" w:lineRule="exact"/>
        <w:ind w:firstLineChars="0"/>
        <w:outlineLvl w:val="1"/>
        <w:rPr>
          <w:rStyle w:val="16"/>
          <w:rFonts w:ascii="黑体" w:hAnsi="黑体" w:eastAsia="黑体"/>
          <w:b w:val="0"/>
        </w:rPr>
      </w:pPr>
      <w:bookmarkStart w:id="24" w:name="_Toc13725"/>
      <w:bookmarkStart w:id="25" w:name="_Toc15396605"/>
      <w:bookmarkStart w:id="26" w:name="_Toc15377207"/>
      <w:r>
        <w:rPr>
          <w:rFonts w:hint="eastAsia" w:ascii="黑体" w:hAnsi="黑体" w:eastAsia="黑体"/>
          <w:color w:val="000000"/>
          <w:szCs w:val="32"/>
        </w:rPr>
        <w:t>支</w:t>
      </w:r>
      <w:r>
        <w:rPr>
          <w:rStyle w:val="16"/>
          <w:rFonts w:hint="eastAsia" w:ascii="黑体" w:hAnsi="黑体" w:eastAsia="黑体"/>
          <w:b w:val="0"/>
        </w:rPr>
        <w:t>出决算情况说明</w:t>
      </w:r>
      <w:bookmarkEnd w:id="24"/>
      <w:bookmarkEnd w:id="25"/>
      <w:bookmarkEnd w:id="26"/>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年本年支出合计15380.60万元，其中：基本支出8009.78万元，占52.08</w:t>
      </w:r>
      <w:r>
        <w:rPr>
          <w:rFonts w:ascii="仿宋" w:hAnsi="仿宋" w:eastAsia="仿宋"/>
          <w:color w:val="000000"/>
          <w:szCs w:val="32"/>
        </w:rPr>
        <w:t>%</w:t>
      </w:r>
      <w:r>
        <w:rPr>
          <w:rFonts w:hint="eastAsia" w:ascii="仿宋" w:hAnsi="仿宋" w:eastAsia="仿宋"/>
          <w:color w:val="000000"/>
          <w:szCs w:val="32"/>
        </w:rPr>
        <w:t>；项目支出7370.82万元，占47.92</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rPr>
          <w:rFonts w:ascii="仿宋_GB2312"/>
          <w:color w:val="FF0000"/>
          <w:szCs w:val="32"/>
        </w:rPr>
      </w:pPr>
    </w:p>
    <w:p>
      <w:pPr>
        <w:spacing w:line="600" w:lineRule="exact"/>
        <w:ind w:firstLine="640" w:firstLineChars="200"/>
        <w:rPr>
          <w:rFonts w:ascii="仿宋_GB2312"/>
          <w:color w:val="FF0000"/>
          <w:szCs w:val="32"/>
        </w:rPr>
      </w:pPr>
    </w:p>
    <w:p>
      <w:pPr>
        <w:spacing w:line="600" w:lineRule="exact"/>
        <w:ind w:firstLine="640" w:firstLineChars="200"/>
        <w:rPr>
          <w:rFonts w:ascii="仿宋_GB2312"/>
          <w:color w:val="FF0000"/>
          <w:szCs w:val="32"/>
        </w:rPr>
      </w:pPr>
    </w:p>
    <w:p>
      <w:pPr>
        <w:spacing w:line="600" w:lineRule="exact"/>
        <w:ind w:firstLine="640" w:firstLineChars="200"/>
        <w:rPr>
          <w:rFonts w:ascii="仿宋_GB2312"/>
          <w:color w:val="FF0000"/>
          <w:szCs w:val="32"/>
        </w:rPr>
      </w:pPr>
    </w:p>
    <w:p>
      <w:pPr>
        <w:spacing w:line="600" w:lineRule="exact"/>
        <w:ind w:firstLine="640" w:firstLineChars="200"/>
        <w:rPr>
          <w:rFonts w:ascii="仿宋_GB2312"/>
          <w:color w:val="FF0000"/>
          <w:szCs w:val="32"/>
        </w:rPr>
      </w:pPr>
    </w:p>
    <w:p>
      <w:pPr>
        <w:spacing w:line="600" w:lineRule="exact"/>
        <w:ind w:firstLine="640" w:firstLineChars="200"/>
        <w:rPr>
          <w:rFonts w:ascii="仿宋_GB2312"/>
          <w:color w:val="FF0000"/>
          <w:szCs w:val="32"/>
        </w:rPr>
      </w:pPr>
    </w:p>
    <w:p>
      <w:pPr>
        <w:spacing w:line="600" w:lineRule="exact"/>
        <w:ind w:firstLine="640" w:firstLineChars="200"/>
        <w:outlineLvl w:val="1"/>
        <w:rPr>
          <w:rFonts w:ascii="黑体" w:hAnsi="黑体" w:eastAsia="黑体"/>
          <w:color w:val="000000"/>
          <w:szCs w:val="32"/>
        </w:rPr>
      </w:pPr>
      <w:bookmarkStart w:id="27" w:name="_Toc15396606"/>
      <w:bookmarkStart w:id="28" w:name="_Toc10354"/>
      <w:bookmarkStart w:id="29" w:name="_Toc15377208"/>
    </w:p>
    <w:p>
      <w:pPr>
        <w:spacing w:line="600" w:lineRule="exact"/>
        <w:ind w:firstLine="640" w:firstLineChars="200"/>
        <w:jc w:val="center"/>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5408" behindDoc="0" locked="0" layoutInCell="1" allowOverlap="1">
            <wp:simplePos x="0" y="0"/>
            <wp:positionH relativeFrom="column">
              <wp:posOffset>-66675</wp:posOffset>
            </wp:positionH>
            <wp:positionV relativeFrom="paragraph">
              <wp:posOffset>123825</wp:posOffset>
            </wp:positionV>
            <wp:extent cx="5334000" cy="2857500"/>
            <wp:effectExtent l="19050" t="0" r="19050" b="0"/>
            <wp:wrapSquare wrapText="bothSides"/>
            <wp:docPr id="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w:t>
      </w:r>
    </w:p>
    <w:p>
      <w:pPr>
        <w:spacing w:line="600" w:lineRule="exact"/>
        <w:ind w:firstLine="640" w:firstLineChars="200"/>
        <w:outlineLvl w:val="1"/>
        <w:rPr>
          <w:rFonts w:ascii="黑体" w:hAnsi="黑体" w:eastAsia="黑体"/>
          <w:color w:val="000000"/>
          <w:szCs w:val="32"/>
        </w:rPr>
      </w:pPr>
    </w:p>
    <w:p>
      <w:pPr>
        <w:spacing w:line="600" w:lineRule="exact"/>
        <w:outlineLvl w:val="1"/>
        <w:rPr>
          <w:rStyle w:val="16"/>
          <w:rFonts w:ascii="黑体" w:hAnsi="黑体" w:eastAsia="黑体"/>
          <w:b w:val="0"/>
        </w:rPr>
      </w:pPr>
      <w:r>
        <w:rPr>
          <w:rFonts w:hint="eastAsia" w:ascii="黑体" w:hAnsi="黑体" w:eastAsia="黑体"/>
          <w:color w:val="000000"/>
          <w:szCs w:val="32"/>
        </w:rPr>
        <w:t xml:space="preserve">    四、财</w:t>
      </w:r>
      <w:r>
        <w:rPr>
          <w:rStyle w:val="16"/>
          <w:rFonts w:hint="eastAsia" w:ascii="黑体" w:hAnsi="黑体" w:eastAsia="黑体"/>
          <w:b w:val="0"/>
        </w:rPr>
        <w:t>政拨款收入支出决算总体情况说明</w:t>
      </w:r>
      <w:bookmarkEnd w:id="27"/>
      <w:bookmarkEnd w:id="28"/>
      <w:bookmarkEnd w:id="29"/>
    </w:p>
    <w:p>
      <w:pPr>
        <w:spacing w:line="600" w:lineRule="exact"/>
        <w:ind w:firstLine="640"/>
        <w:rPr>
          <w:rFonts w:ascii="仿宋" w:hAnsi="仿宋" w:eastAsia="仿宋"/>
          <w:color w:val="000000"/>
          <w:szCs w:val="32"/>
        </w:rPr>
      </w:pPr>
      <w:r>
        <w:drawing>
          <wp:anchor distT="0" distB="0" distL="114300" distR="114300" simplePos="0" relativeHeight="251662336" behindDoc="0" locked="0" layoutInCell="1" allowOverlap="1">
            <wp:simplePos x="0" y="0"/>
            <wp:positionH relativeFrom="column">
              <wp:posOffset>86995</wp:posOffset>
            </wp:positionH>
            <wp:positionV relativeFrom="paragraph">
              <wp:posOffset>1609090</wp:posOffset>
            </wp:positionV>
            <wp:extent cx="5306695" cy="2790825"/>
            <wp:effectExtent l="19050" t="0" r="27305" b="0"/>
            <wp:wrapSquare wrapText="bothSides"/>
            <wp:docPr id="9"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000000"/>
          <w:szCs w:val="32"/>
        </w:rPr>
        <w:t>2020</w:t>
      </w:r>
      <w:r>
        <w:rPr>
          <w:rFonts w:hint="eastAsia" w:ascii="仿宋" w:hAnsi="仿宋" w:eastAsia="仿宋"/>
          <w:color w:val="000000"/>
          <w:szCs w:val="32"/>
        </w:rPr>
        <w:t>年财政拨款收、支总计14907.13万元。与</w:t>
      </w:r>
      <w:r>
        <w:rPr>
          <w:rFonts w:ascii="仿宋" w:hAnsi="仿宋" w:eastAsia="仿宋"/>
          <w:color w:val="000000"/>
          <w:szCs w:val="32"/>
        </w:rPr>
        <w:t>2019</w:t>
      </w:r>
      <w:r>
        <w:rPr>
          <w:rFonts w:hint="eastAsia" w:ascii="仿宋" w:hAnsi="仿宋" w:eastAsia="仿宋"/>
          <w:color w:val="000000"/>
          <w:szCs w:val="32"/>
        </w:rPr>
        <w:t>年相比，财政拨款收、支总计各增加5639.73万元，增长60.86</w:t>
      </w:r>
      <w:r>
        <w:rPr>
          <w:rFonts w:ascii="仿宋" w:hAnsi="仿宋" w:eastAsia="仿宋"/>
          <w:color w:val="000000"/>
          <w:szCs w:val="32"/>
        </w:rPr>
        <w:t>%</w:t>
      </w:r>
      <w:r>
        <w:rPr>
          <w:rFonts w:hint="eastAsia" w:ascii="仿宋" w:hAnsi="仿宋" w:eastAsia="仿宋"/>
          <w:color w:val="000000"/>
          <w:szCs w:val="32"/>
        </w:rPr>
        <w:t>。主要变动原因是2020年新增抗疫特别国债财政拨款收入，政府增加财政拨款保障疫情防控工作。</w:t>
      </w:r>
    </w:p>
    <w:p>
      <w:pPr>
        <w:spacing w:line="600" w:lineRule="exact"/>
        <w:jc w:val="center"/>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w:t>
      </w:r>
    </w:p>
    <w:p>
      <w:pPr>
        <w:spacing w:line="600" w:lineRule="exact"/>
        <w:ind w:firstLine="640"/>
        <w:rPr>
          <w:rFonts w:ascii="仿宋" w:hAnsi="仿宋" w:eastAsia="仿宋"/>
          <w:b/>
          <w:color w:val="00B050"/>
          <w:szCs w:val="32"/>
        </w:rPr>
      </w:pPr>
    </w:p>
    <w:p>
      <w:pPr>
        <w:spacing w:line="600" w:lineRule="exact"/>
        <w:ind w:firstLine="640" w:firstLineChars="200"/>
        <w:outlineLvl w:val="1"/>
        <w:rPr>
          <w:rStyle w:val="16"/>
          <w:rFonts w:ascii="黑体" w:hAnsi="黑体" w:eastAsia="黑体"/>
          <w:b w:val="0"/>
        </w:rPr>
      </w:pPr>
      <w:bookmarkStart w:id="30" w:name="_Toc15377209"/>
      <w:bookmarkStart w:id="31" w:name="_Toc15396607"/>
      <w:bookmarkStart w:id="32" w:name="_Toc10967"/>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30"/>
      <w:bookmarkEnd w:id="31"/>
      <w:bookmarkEnd w:id="32"/>
    </w:p>
    <w:p>
      <w:pPr>
        <w:spacing w:line="600" w:lineRule="exact"/>
        <w:ind w:firstLine="643" w:firstLineChars="200"/>
        <w:outlineLvl w:val="2"/>
        <w:rPr>
          <w:rFonts w:ascii="仿宋" w:hAnsi="仿宋" w:eastAsia="仿宋"/>
          <w:b/>
          <w:color w:val="000000"/>
          <w:szCs w:val="32"/>
        </w:rPr>
      </w:pPr>
      <w:bookmarkStart w:id="33" w:name="_Toc15377210"/>
      <w:r>
        <w:rPr>
          <w:rFonts w:hint="eastAsia" w:ascii="仿宋" w:hAnsi="仿宋" w:eastAsia="仿宋"/>
          <w:b/>
          <w:color w:val="000000"/>
          <w:szCs w:val="32"/>
        </w:rPr>
        <w:t>（一）一般公共预算财政拨款支出决算总体情况</w:t>
      </w:r>
      <w:bookmarkEnd w:id="33"/>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年一般公共预算财政拨款支出8463.87万元，占本年支出合计的58.19</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年相比，一般公共预算财政拨款增加521.74万元，增长6.57</w:t>
      </w:r>
      <w:r>
        <w:rPr>
          <w:rFonts w:ascii="仿宋" w:hAnsi="仿宋" w:eastAsia="仿宋"/>
          <w:color w:val="000000"/>
          <w:szCs w:val="32"/>
        </w:rPr>
        <w:t>%</w:t>
      </w:r>
      <w:r>
        <w:rPr>
          <w:rFonts w:hint="eastAsia" w:ascii="仿宋" w:hAnsi="仿宋" w:eastAsia="仿宋"/>
          <w:color w:val="000000"/>
          <w:szCs w:val="32"/>
        </w:rPr>
        <w:t>。主要变动原因是疫情防控增加支出。</w:t>
      </w:r>
    </w:p>
    <w:p>
      <w:pPr>
        <w:spacing w:line="600" w:lineRule="exact"/>
        <w:ind w:firstLine="640" w:firstLineChars="200"/>
        <w:jc w:val="center"/>
        <w:rPr>
          <w:rFonts w:ascii="仿宋" w:hAnsi="仿宋" w:eastAsia="仿宋"/>
          <w:color w:val="000000"/>
          <w:szCs w:val="32"/>
        </w:rPr>
      </w:pPr>
      <w:r>
        <w:drawing>
          <wp:anchor distT="0" distB="0" distL="114300" distR="114300" simplePos="0" relativeHeight="251663360" behindDoc="0" locked="0" layoutInCell="1" allowOverlap="1">
            <wp:simplePos x="0" y="0"/>
            <wp:positionH relativeFrom="column">
              <wp:posOffset>88265</wp:posOffset>
            </wp:positionH>
            <wp:positionV relativeFrom="paragraph">
              <wp:posOffset>129540</wp:posOffset>
            </wp:positionV>
            <wp:extent cx="5259070" cy="2413635"/>
            <wp:effectExtent l="11686" t="5843" r="5843" b="0"/>
            <wp:wrapSquare wrapText="bothSides"/>
            <wp:docPr id="2"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4" w:name="_Toc15377211"/>
      <w:r>
        <w:rPr>
          <w:rFonts w:hint="eastAsia" w:ascii="仿宋" w:hAnsi="仿宋" w:eastAsia="仿宋"/>
          <w:b/>
          <w:color w:val="000000"/>
          <w:szCs w:val="32"/>
        </w:rPr>
        <w:t>（二）一般公共预算财政拨款支出决算结构情况</w:t>
      </w:r>
      <w:bookmarkEnd w:id="34"/>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年一般公共预算财政拨款支出8463.87万元，主要用于以下方面</w:t>
      </w:r>
      <w:r>
        <w:rPr>
          <w:rFonts w:ascii="仿宋" w:hAnsi="仿宋" w:eastAsia="仿宋"/>
          <w:color w:val="000000"/>
          <w:szCs w:val="32"/>
        </w:rPr>
        <w:t>:</w:t>
      </w:r>
      <w:r>
        <w:rPr>
          <w:rFonts w:hint="eastAsia" w:ascii="仿宋" w:hAnsi="仿宋" w:eastAsia="仿宋"/>
          <w:color w:val="000000"/>
          <w:szCs w:val="32"/>
        </w:rPr>
        <w:t>一般公共服务（类）支出0万元，占0</w:t>
      </w:r>
      <w:r>
        <w:rPr>
          <w:rFonts w:ascii="仿宋" w:hAnsi="仿宋" w:eastAsia="仿宋"/>
          <w:color w:val="000000"/>
          <w:szCs w:val="32"/>
        </w:rPr>
        <w:t>%</w:t>
      </w:r>
      <w:r>
        <w:rPr>
          <w:rFonts w:hint="eastAsia" w:ascii="仿宋" w:hAnsi="仿宋" w:eastAsia="仿宋"/>
          <w:color w:val="000000"/>
          <w:szCs w:val="32"/>
        </w:rPr>
        <w:t>；教育支出（类）0万元，占0</w:t>
      </w:r>
      <w:r>
        <w:rPr>
          <w:rFonts w:ascii="仿宋" w:hAnsi="仿宋" w:eastAsia="仿宋"/>
          <w:color w:val="000000"/>
          <w:szCs w:val="32"/>
        </w:rPr>
        <w:t>%</w:t>
      </w:r>
      <w:r>
        <w:rPr>
          <w:rFonts w:hint="eastAsia" w:ascii="仿宋" w:hAnsi="仿宋" w:eastAsia="仿宋"/>
          <w:color w:val="000000"/>
          <w:szCs w:val="32"/>
        </w:rPr>
        <w:t>；科学技术（类）支出0万元，占0</w:t>
      </w:r>
      <w:r>
        <w:rPr>
          <w:rFonts w:ascii="仿宋" w:hAnsi="仿宋" w:eastAsia="仿宋"/>
          <w:color w:val="000000"/>
          <w:szCs w:val="32"/>
        </w:rPr>
        <w:t>%</w:t>
      </w:r>
      <w:r>
        <w:rPr>
          <w:rFonts w:hint="eastAsia" w:ascii="仿宋" w:hAnsi="仿宋" w:eastAsia="仿宋"/>
          <w:color w:val="000000"/>
          <w:szCs w:val="32"/>
        </w:rPr>
        <w:t>；文化旅游体育与传媒（类）支出0万元，占0</w:t>
      </w:r>
      <w:r>
        <w:rPr>
          <w:rFonts w:ascii="仿宋" w:hAnsi="仿宋" w:eastAsia="仿宋"/>
          <w:color w:val="000000"/>
          <w:szCs w:val="32"/>
        </w:rPr>
        <w:t>%</w:t>
      </w:r>
      <w:r>
        <w:rPr>
          <w:rFonts w:hint="eastAsia" w:ascii="仿宋" w:hAnsi="仿宋" w:eastAsia="仿宋"/>
          <w:color w:val="000000"/>
          <w:szCs w:val="32"/>
        </w:rPr>
        <w:t>；社会保障和就业（类）支出645.56万元，占7.63</w:t>
      </w:r>
      <w:r>
        <w:rPr>
          <w:rFonts w:ascii="仿宋" w:hAnsi="仿宋" w:eastAsia="仿宋"/>
          <w:color w:val="000000"/>
          <w:szCs w:val="32"/>
        </w:rPr>
        <w:t>%</w:t>
      </w:r>
      <w:r>
        <w:rPr>
          <w:rFonts w:hint="eastAsia" w:ascii="仿宋" w:hAnsi="仿宋" w:eastAsia="仿宋"/>
          <w:color w:val="000000"/>
          <w:szCs w:val="32"/>
        </w:rPr>
        <w:t>；卫生健康支出7727.00万元，占91.29</w:t>
      </w:r>
      <w:r>
        <w:rPr>
          <w:rFonts w:ascii="仿宋" w:hAnsi="仿宋" w:eastAsia="仿宋"/>
          <w:color w:val="000000"/>
          <w:szCs w:val="32"/>
        </w:rPr>
        <w:t>%</w:t>
      </w:r>
      <w:r>
        <w:rPr>
          <w:rFonts w:hint="eastAsia" w:ascii="仿宋" w:hAnsi="仿宋" w:eastAsia="仿宋"/>
          <w:color w:val="000000"/>
          <w:szCs w:val="32"/>
        </w:rPr>
        <w:t>；住房保障支出91.31万元，占1.08</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jc w:val="center"/>
        <w:rPr>
          <w:rFonts w:ascii="仿宋" w:hAnsi="仿宋" w:eastAsia="仿宋"/>
          <w:color w:val="000000"/>
          <w:szCs w:val="32"/>
        </w:rPr>
      </w:pPr>
      <w:r>
        <w:rPr>
          <w:rFonts w:ascii="仿宋" w:hAnsi="仿宋" w:eastAsia="仿宋"/>
          <w:color w:val="000000"/>
          <w:szCs w:val="32"/>
        </w:rPr>
        <w:drawing>
          <wp:anchor distT="0" distB="0" distL="114300" distR="114300" simplePos="0" relativeHeight="251664384" behindDoc="0" locked="0" layoutInCell="1" allowOverlap="1">
            <wp:simplePos x="0" y="0"/>
            <wp:positionH relativeFrom="column">
              <wp:posOffset>48260</wp:posOffset>
            </wp:positionH>
            <wp:positionV relativeFrom="paragraph">
              <wp:posOffset>108585</wp:posOffset>
            </wp:positionV>
            <wp:extent cx="5153025" cy="2744470"/>
            <wp:effectExtent l="19050" t="0" r="9525" b="0"/>
            <wp:wrapSquare wrapText="bothSides"/>
            <wp:docPr id="1" name="图表 8"/>
            <wp:cNvGraphicFramePr/>
            <a:graphic xmlns:a="http://schemas.openxmlformats.org/drawingml/2006/main">
              <a:graphicData uri="http://schemas.openxmlformats.org/drawingml/2006/picture">
                <pic:pic xmlns:pic="http://schemas.openxmlformats.org/drawingml/2006/picture">
                  <pic:nvPicPr>
                    <pic:cNvPr id="1" name="图表 8"/>
                    <pic:cNvPicPr>
                      <a:picLocks noChangeArrowheads="1"/>
                    </pic:cNvPicPr>
                  </pic:nvPicPr>
                  <pic:blipFill>
                    <a:blip r:embed="rId10"/>
                    <a:srcRect b="-131"/>
                    <a:stretch>
                      <a:fillRect/>
                    </a:stretch>
                  </pic:blipFill>
                  <pic:spPr>
                    <a:xfrm>
                      <a:off x="0" y="0"/>
                      <a:ext cx="5153025" cy="2744470"/>
                    </a:xfrm>
                    <a:prstGeom prst="rect">
                      <a:avLst/>
                    </a:prstGeom>
                    <a:noFill/>
                    <a:ln w="9525">
                      <a:noFill/>
                      <a:miter lim="800000"/>
                      <a:headEnd/>
                      <a:tailEnd/>
                    </a:ln>
                  </pic:spPr>
                </pic:pic>
              </a:graphicData>
            </a:graphic>
          </wp:anchor>
        </w:drawing>
      </w: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5" w:name="_Toc15377212"/>
      <w:r>
        <w:rPr>
          <w:rFonts w:hint="eastAsia" w:ascii="仿宋" w:hAnsi="仿宋" w:eastAsia="仿宋"/>
          <w:b/>
          <w:color w:val="000000"/>
          <w:szCs w:val="32"/>
        </w:rPr>
        <w:t>（三）一般公共预算财政拨款支出决算具体情况</w:t>
      </w:r>
      <w:bookmarkEnd w:id="35"/>
    </w:p>
    <w:p>
      <w:pPr>
        <w:spacing w:line="600" w:lineRule="exact"/>
        <w:ind w:firstLine="640" w:firstLineChars="200"/>
        <w:rPr>
          <w:rStyle w:val="13"/>
          <w:bCs/>
          <w:color w:val="000000"/>
        </w:rPr>
      </w:pPr>
      <w:bookmarkStart w:id="36" w:name="_Toc15378460"/>
      <w:bookmarkStart w:id="37" w:name="_Toc15377444"/>
      <w:bookmarkStart w:id="38" w:name="_Toc15377213"/>
      <w:r>
        <w:rPr>
          <w:rStyle w:val="13"/>
          <w:rFonts w:ascii="仿宋" w:hAnsi="仿宋" w:eastAsia="仿宋"/>
          <w:b w:val="0"/>
          <w:bCs/>
          <w:color w:val="000000"/>
          <w:szCs w:val="32"/>
        </w:rPr>
        <w:t>2020</w:t>
      </w:r>
      <w:r>
        <w:rPr>
          <w:rStyle w:val="13"/>
          <w:rFonts w:hint="eastAsia" w:ascii="仿宋" w:hAnsi="仿宋" w:eastAsia="仿宋"/>
          <w:b w:val="0"/>
          <w:bCs/>
          <w:color w:val="000000"/>
          <w:szCs w:val="32"/>
        </w:rPr>
        <w:t>年一般公共预算支出决算数为8463.87万元，完成预算89.69</w:t>
      </w:r>
      <w:r>
        <w:rPr>
          <w:rStyle w:val="13"/>
          <w:rFonts w:ascii="仿宋" w:hAnsi="仿宋" w:eastAsia="仿宋"/>
          <w:b w:val="0"/>
          <w:bCs/>
          <w:color w:val="000000"/>
          <w:szCs w:val="32"/>
        </w:rPr>
        <w:t>%</w:t>
      </w:r>
      <w:r>
        <w:rPr>
          <w:rStyle w:val="13"/>
          <w:rFonts w:hint="eastAsia" w:ascii="仿宋" w:hAnsi="仿宋" w:eastAsia="仿宋"/>
          <w:b w:val="0"/>
          <w:bCs/>
          <w:color w:val="000000"/>
          <w:szCs w:val="32"/>
        </w:rPr>
        <w:t>。其中：</w:t>
      </w:r>
      <w:bookmarkEnd w:id="36"/>
      <w:bookmarkEnd w:id="37"/>
      <w:bookmarkEnd w:id="38"/>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w:t>
      </w:r>
      <w:r>
        <w:rPr>
          <w:rStyle w:val="13"/>
          <w:rFonts w:ascii="仿宋" w:hAnsi="仿宋" w:eastAsia="仿宋"/>
          <w:b w:val="0"/>
          <w:bCs/>
          <w:color w:val="000000"/>
          <w:szCs w:val="32"/>
        </w:rPr>
        <w:t>.</w:t>
      </w:r>
      <w:r>
        <w:rPr>
          <w:rStyle w:val="13"/>
          <w:rFonts w:hint="eastAsia" w:ascii="仿宋" w:hAnsi="仿宋" w:eastAsia="仿宋"/>
          <w:b w:val="0"/>
          <w:bCs/>
          <w:color w:val="000000"/>
          <w:szCs w:val="32"/>
        </w:rPr>
        <w:t>社会保障和就业（类）行政事业单位养老支出（款）行政单位离退休（项）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支出决算为26.51万元，完成预算100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w:t>
      </w:r>
      <w:r>
        <w:rPr>
          <w:rStyle w:val="13"/>
          <w:rFonts w:ascii="仿宋" w:hAnsi="仿宋" w:eastAsia="仿宋"/>
          <w:b w:val="0"/>
          <w:bCs/>
          <w:color w:val="000000"/>
          <w:szCs w:val="32"/>
        </w:rPr>
        <w:t>.</w:t>
      </w:r>
      <w:r>
        <w:rPr>
          <w:rStyle w:val="13"/>
          <w:rFonts w:hint="eastAsia" w:ascii="仿宋" w:hAnsi="仿宋" w:eastAsia="仿宋"/>
          <w:b w:val="0"/>
          <w:bCs/>
          <w:color w:val="000000"/>
          <w:szCs w:val="32"/>
        </w:rPr>
        <w:t>社会保障和就业（类）行政事业单位养老支出（款）事业单位离退休（项）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支出决算为436.48万元，完成预算100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3</w:t>
      </w:r>
      <w:r>
        <w:rPr>
          <w:rStyle w:val="13"/>
          <w:rFonts w:ascii="仿宋" w:hAnsi="仿宋" w:eastAsia="仿宋"/>
          <w:b w:val="0"/>
          <w:bCs/>
          <w:color w:val="000000"/>
          <w:szCs w:val="32"/>
        </w:rPr>
        <w:t>.</w:t>
      </w:r>
      <w:r>
        <w:rPr>
          <w:rStyle w:val="13"/>
          <w:rFonts w:hint="eastAsia" w:ascii="仿宋" w:hAnsi="仿宋" w:eastAsia="仿宋"/>
          <w:b w:val="0"/>
          <w:bCs/>
          <w:color w:val="000000"/>
          <w:szCs w:val="32"/>
        </w:rPr>
        <w:t>社会保障和就业（类）行政事业单位养老支出（款）机关事业单位基本养老保险缴费支出（项）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支出决算为142.42万元，完成预算89.26</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，决算数小于预算数的主要原因是人员变动，缴费人员减少。</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4</w:t>
      </w:r>
      <w:r>
        <w:rPr>
          <w:rStyle w:val="13"/>
          <w:rFonts w:ascii="仿宋" w:hAnsi="仿宋" w:eastAsia="仿宋"/>
          <w:b w:val="0"/>
          <w:bCs/>
          <w:color w:val="000000"/>
          <w:szCs w:val="32"/>
        </w:rPr>
        <w:t>.</w:t>
      </w:r>
      <w:r>
        <w:rPr>
          <w:rStyle w:val="13"/>
          <w:rFonts w:hint="eastAsia" w:ascii="仿宋" w:hAnsi="仿宋" w:eastAsia="仿宋"/>
          <w:b w:val="0"/>
          <w:bCs/>
          <w:color w:val="000000"/>
          <w:szCs w:val="32"/>
        </w:rPr>
        <w:t>社会保障和就业（类）行政事业单位养老支出（款）机关事业单位职业年金缴费支出（项）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支出决算为31.24万元，完成预算100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5</w:t>
      </w:r>
      <w:r>
        <w:rPr>
          <w:rStyle w:val="13"/>
          <w:rFonts w:ascii="仿宋" w:hAnsi="仿宋" w:eastAsia="仿宋"/>
          <w:b w:val="0"/>
          <w:bCs/>
          <w:color w:val="000000"/>
          <w:szCs w:val="32"/>
        </w:rPr>
        <w:t>.</w:t>
      </w:r>
      <w:r>
        <w:rPr>
          <w:rStyle w:val="13"/>
          <w:rFonts w:hint="eastAsia" w:ascii="仿宋" w:hAnsi="仿宋" w:eastAsia="仿宋"/>
          <w:b w:val="0"/>
          <w:bCs/>
          <w:color w:val="000000"/>
          <w:szCs w:val="32"/>
        </w:rPr>
        <w:t>社会保障和就业（类）其他社会保障和就业支出（款）其他社会保障和就业支出（项）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支出决算为8.91万元，完成预算100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ascii="仿宋" w:hAnsi="仿宋" w:eastAsia="仿宋"/>
          <w:b w:val="0"/>
          <w:bCs/>
          <w:color w:val="000000"/>
          <w:szCs w:val="32"/>
        </w:rPr>
        <w:t>6.</w:t>
      </w:r>
      <w:r>
        <w:rPr>
          <w:rStyle w:val="13"/>
          <w:rFonts w:hint="eastAsia" w:ascii="仿宋" w:hAnsi="仿宋" w:eastAsia="仿宋"/>
          <w:b w:val="0"/>
          <w:bCs/>
          <w:color w:val="000000"/>
          <w:szCs w:val="32"/>
        </w:rPr>
        <w:t>卫生健康（类）卫生健康管理事务（款）行政运行（项）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支出决算为186.33万元，完成预算100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7</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卫生健康（类）卫生健康管理事务（款）一般行政管理事务（项）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支出决算为27.32万元，完成预算100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8</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卫生健康（类）卫生健康管理事务（款）其他卫生健康管理事务中出（项）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支出决算为15.08万元，完成预算100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9</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卫生健康（类）公立医院（款）综合医院（项）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支出决算为126.00万元，完成预算89.71</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10</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卫生健康（类）公立医院（款）中医（民族）医院（项）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支出决算为816.59万元，完成预算100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11</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卫生健康（类）公立医院（款）其他公立医院支出（项）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支出决算为57.17万元，完成预算16.05</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12</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卫生健康（类）基层医疗卫生机构（款）城市社区卫生机构（项）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支出决算为557.91万元，完成预算100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13</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卫生健康（类）基层医疗卫生机构（款）乡镇卫生院（项）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支出决算为773.99万元，完成预算94.75</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14</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卫生健康（类）基层医疗卫生机构（款）其他基层医疗卫生机构支出（项）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支出决算为443.13万元，完成预算98.84</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15</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卫生健康（类）公共卫生（款）疾病预防控制机构（项）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支出决算为414.06万元，完成预算64.42</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16</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卫生健康（类）公共卫生（款）卫生监督机构（项）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支出决算为85.06万元，完成预算93.50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17</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卫生健康（类）公共卫生（款）妇幼保健机构（项）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支出决算为440.91万元，完成预算95.99</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18</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卫生健康（类）公共卫生（款）基本公共卫生服务（项）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支出决算为2002.42万元，完成预算99.38</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，决算数小于预算数的主要原因是基本公共卫生服务资金根据因素分析法下的预算有结余。</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19</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卫生健康（类）公共卫生（款）重大公共卫生服务（项）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支出决算为874.91万元，完成预算83.62</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，决算数小于预算数的主要原因是重大公共卫生项目根据因素分析法下的预算有结余。</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20</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卫生健康（类）公共卫生（款）突发公共卫生事件应急处理（项）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支出决算为262.75万元，完成预算100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21</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卫生健康（类）公共卫生（款）其他公共卫生支出（项）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支出决算为301.59万元，完成预算95.14</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22</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卫生健康（类）中医药（款）其他中医药支出（项）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支出决算为5.00万元，完成预算100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23</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卫生健康（类）计划生育事务（款）其他计划生育事务支出（项）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支出决算为32.94万元，完成预算74.91</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24</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卫生健康（类）行政事业单位医疗（款）行政单位医疗（项）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支出决算为11.00万元，完成预算100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25</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卫生健康（类）行政事业单位医疗（款）事业单位医疗（项）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支出决算为45.44万元，完成预算92.53</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，决算数小于预算数的主要原因是人员变动，缴费人员减少。</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26</w:t>
      </w:r>
      <w:r>
        <w:rPr>
          <w:rStyle w:val="13"/>
          <w:rFonts w:ascii="仿宋" w:hAnsi="仿宋" w:eastAsia="仿宋"/>
          <w:b w:val="0"/>
          <w:bCs/>
          <w:color w:val="000000"/>
          <w:szCs w:val="32"/>
        </w:rPr>
        <w:t>.</w:t>
      </w:r>
      <w:r>
        <w:rPr>
          <w:rStyle w:val="13"/>
          <w:rFonts w:hint="eastAsia" w:ascii="仿宋" w:hAnsi="仿宋" w:eastAsia="仿宋"/>
          <w:b w:val="0"/>
          <w:bCs/>
          <w:color w:val="000000"/>
          <w:szCs w:val="32"/>
        </w:rPr>
        <w:t>卫生健康（类）其他卫生健康支出（款）其他卫生健康支出（项）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支出决算为247.40万元，完成预算66.00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，决算数小于预算数的主要原因是部分项目2020年尚未完成，按照规定结转到下年使用。</w:t>
      </w:r>
    </w:p>
    <w:p>
      <w:pPr>
        <w:spacing w:line="600" w:lineRule="exact"/>
        <w:ind w:firstLine="640" w:firstLineChars="200"/>
        <w:rPr>
          <w:rStyle w:val="13"/>
          <w:rFonts w:ascii="仿宋" w:hAnsi="仿宋" w:eastAsia="仿宋"/>
          <w:b w:val="0"/>
          <w:bCs/>
          <w:color w:val="000000"/>
          <w:szCs w:val="32"/>
        </w:rPr>
      </w:pPr>
      <w:r>
        <w:rPr>
          <w:rStyle w:val="13"/>
          <w:rFonts w:hint="eastAsia" w:ascii="仿宋" w:hAnsi="仿宋" w:eastAsia="仿宋"/>
          <w:b w:val="0"/>
          <w:bCs/>
          <w:color w:val="000000"/>
          <w:szCs w:val="32"/>
        </w:rPr>
        <w:t>27</w:t>
      </w:r>
      <w:r>
        <w:rPr>
          <w:rStyle w:val="13"/>
          <w:rFonts w:ascii="仿宋" w:hAnsi="仿宋" w:eastAsia="仿宋"/>
          <w:b w:val="0"/>
          <w:bCs/>
          <w:color w:val="000000"/>
          <w:szCs w:val="32"/>
        </w:rPr>
        <w:t>.</w:t>
      </w:r>
      <w:r>
        <w:rPr>
          <w:rStyle w:val="13"/>
          <w:rFonts w:hint="eastAsia" w:ascii="仿宋" w:hAnsi="仿宋" w:eastAsia="仿宋"/>
          <w:b w:val="0"/>
          <w:bCs/>
          <w:color w:val="000000"/>
          <w:szCs w:val="32"/>
        </w:rPr>
        <w:t>住房保障（类）住房改革支出（款）住房公积金（项）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支出决算为91.31万元，完成预算100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0"/>
        <w:rPr>
          <w:rFonts w:ascii="仿宋" w:hAnsi="仿宋" w:eastAsia="仿宋"/>
          <w:b/>
          <w:color w:val="000000"/>
          <w:szCs w:val="32"/>
        </w:rPr>
      </w:pPr>
    </w:p>
    <w:p>
      <w:pPr>
        <w:tabs>
          <w:tab w:val="right" w:pos="8306"/>
        </w:tabs>
        <w:spacing w:line="600" w:lineRule="exact"/>
        <w:ind w:firstLine="640"/>
        <w:outlineLvl w:val="1"/>
        <w:rPr>
          <w:rStyle w:val="16"/>
        </w:rPr>
      </w:pPr>
      <w:bookmarkStart w:id="39" w:name="_Toc15377214"/>
      <w:bookmarkStart w:id="40" w:name="_Toc31021"/>
      <w:bookmarkStart w:id="41" w:name="_Toc15396608"/>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9"/>
      <w:bookmarkEnd w:id="40"/>
      <w:bookmarkEnd w:id="41"/>
      <w:r>
        <w:rPr>
          <w:rStyle w:val="16"/>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年一般公共预算财政拨款基本支出3382.06万元，其中：</w:t>
      </w:r>
    </w:p>
    <w:p>
      <w:pPr>
        <w:spacing w:line="600" w:lineRule="exact"/>
        <w:ind w:firstLine="645"/>
        <w:rPr>
          <w:rFonts w:ascii="仿宋" w:hAnsi="仿宋" w:eastAsia="仿宋"/>
          <w:color w:val="000000"/>
          <w:szCs w:val="32"/>
        </w:rPr>
      </w:pPr>
      <w:r>
        <w:rPr>
          <w:rFonts w:hint="eastAsia" w:ascii="仿宋" w:hAnsi="仿宋" w:eastAsia="仿宋"/>
          <w:color w:val="000000"/>
          <w:szCs w:val="32"/>
        </w:rPr>
        <w:t>人员经费2908.68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000000"/>
          <w:szCs w:val="32"/>
        </w:rPr>
        <w:br w:type="textWrapping"/>
      </w:r>
      <w:r>
        <w:rPr>
          <w:rFonts w:hint="eastAsia" w:ascii="仿宋" w:hAnsi="仿宋" w:eastAsia="仿宋"/>
          <w:color w:val="000000"/>
          <w:szCs w:val="32"/>
        </w:rPr>
        <w:t>　　日常公用经费473.38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ascii="仿宋" w:hAnsi="仿宋" w:eastAsia="仿宋"/>
          <w:b/>
          <w:color w:val="FF0000"/>
          <w:szCs w:val="32"/>
        </w:rPr>
      </w:pPr>
    </w:p>
    <w:p>
      <w:pPr>
        <w:spacing w:line="600" w:lineRule="exact"/>
        <w:ind w:firstLine="640"/>
        <w:outlineLvl w:val="1"/>
        <w:rPr>
          <w:rStyle w:val="16"/>
          <w:rFonts w:ascii="黑体" w:hAnsi="黑体" w:eastAsia="黑体"/>
          <w:b w:val="0"/>
        </w:rPr>
      </w:pPr>
      <w:bookmarkStart w:id="42" w:name="_Toc15377215"/>
      <w:bookmarkStart w:id="43" w:name="_Toc15396609"/>
      <w:bookmarkStart w:id="44" w:name="_Toc6926"/>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42"/>
      <w:bookmarkEnd w:id="43"/>
      <w:bookmarkEnd w:id="44"/>
    </w:p>
    <w:p>
      <w:pPr>
        <w:spacing w:line="600" w:lineRule="exact"/>
        <w:ind w:firstLine="640"/>
        <w:outlineLvl w:val="2"/>
        <w:rPr>
          <w:rFonts w:ascii="仿宋" w:hAnsi="仿宋" w:eastAsia="仿宋"/>
          <w:b/>
          <w:color w:val="000000"/>
          <w:szCs w:val="32"/>
        </w:rPr>
      </w:pPr>
      <w:bookmarkStart w:id="45" w:name="_Toc15377216"/>
      <w:r>
        <w:rPr>
          <w:rFonts w:hint="eastAsia" w:ascii="仿宋" w:hAnsi="仿宋" w:eastAsia="仿宋"/>
          <w:b/>
          <w:color w:val="000000"/>
          <w:szCs w:val="32"/>
        </w:rPr>
        <w:t>（一）“三公”经费财政拨款支出决算总体情况说明</w:t>
      </w:r>
      <w:bookmarkEnd w:id="45"/>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年“三公”经费财政拨款支出决算为7.58万元，完成预算54.07</w:t>
      </w:r>
      <w:r>
        <w:rPr>
          <w:rFonts w:ascii="仿宋" w:hAnsi="仿宋" w:eastAsia="仿宋"/>
          <w:color w:val="000000"/>
          <w:szCs w:val="32"/>
        </w:rPr>
        <w:t>%</w:t>
      </w:r>
      <w:r>
        <w:rPr>
          <w:rFonts w:hint="eastAsia" w:ascii="仿宋" w:hAnsi="仿宋" w:eastAsia="仿宋"/>
          <w:color w:val="000000"/>
          <w:szCs w:val="32"/>
        </w:rPr>
        <w:t>，决算数小于预算数的主要原因是厉行节约。</w:t>
      </w:r>
    </w:p>
    <w:p>
      <w:pPr>
        <w:spacing w:line="600" w:lineRule="exact"/>
        <w:ind w:firstLine="640"/>
        <w:outlineLvl w:val="2"/>
        <w:rPr>
          <w:rFonts w:ascii="仿宋" w:hAnsi="仿宋" w:eastAsia="仿宋"/>
          <w:b/>
          <w:color w:val="000000"/>
          <w:szCs w:val="32"/>
        </w:rPr>
      </w:pPr>
      <w:bookmarkStart w:id="46" w:name="_Toc15377217"/>
      <w:r>
        <w:rPr>
          <w:rFonts w:hint="eastAsia" w:ascii="仿宋" w:hAnsi="仿宋" w:eastAsia="仿宋"/>
          <w:b/>
          <w:color w:val="000000"/>
          <w:szCs w:val="32"/>
        </w:rPr>
        <w:t>（二）“三公”经费财政拨款支出决算具体情况说明</w:t>
      </w:r>
      <w:bookmarkEnd w:id="46"/>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；公务用车购置及运行维护费支出决算6.92万元，占91.29</w:t>
      </w:r>
      <w:r>
        <w:rPr>
          <w:rFonts w:ascii="仿宋" w:hAnsi="仿宋" w:eastAsia="仿宋"/>
          <w:color w:val="000000"/>
          <w:szCs w:val="32"/>
        </w:rPr>
        <w:t>%</w:t>
      </w:r>
      <w:r>
        <w:rPr>
          <w:rFonts w:hint="eastAsia" w:ascii="仿宋" w:hAnsi="仿宋" w:eastAsia="仿宋"/>
          <w:color w:val="000000"/>
          <w:szCs w:val="32"/>
        </w:rPr>
        <w:t>；公务接待费支出决算0.66万元，占8.71</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rPr>
          <w:rFonts w:ascii="仿宋" w:hAnsi="仿宋" w:eastAsia="仿宋"/>
          <w:color w:val="000000"/>
          <w:szCs w:val="32"/>
        </w:rPr>
      </w:pPr>
    </w:p>
    <w:p>
      <w:pPr>
        <w:spacing w:line="600" w:lineRule="exact"/>
        <w:ind w:firstLine="640"/>
        <w:jc w:val="center"/>
        <w:rPr>
          <w:rFonts w:ascii="仿宋" w:hAnsi="仿宋" w:eastAsia="仿宋"/>
          <w:color w:val="000000"/>
          <w:szCs w:val="32"/>
        </w:rPr>
      </w:pPr>
    </w:p>
    <w:p>
      <w:pPr>
        <w:spacing w:line="600" w:lineRule="exact"/>
        <w:ind w:firstLine="640"/>
        <w:jc w:val="center"/>
        <w:rPr>
          <w:rFonts w:ascii="仿宋" w:hAnsi="仿宋" w:eastAsia="仿宋"/>
          <w:color w:val="000000"/>
          <w:szCs w:val="32"/>
        </w:rPr>
      </w:pPr>
    </w:p>
    <w:p>
      <w:pPr>
        <w:spacing w:line="600" w:lineRule="exact"/>
        <w:ind w:firstLine="640"/>
        <w:jc w:val="center"/>
        <w:rPr>
          <w:rFonts w:ascii="仿宋" w:hAnsi="仿宋" w:eastAsia="仿宋"/>
          <w:color w:val="000000"/>
          <w:szCs w:val="32"/>
        </w:rPr>
      </w:pPr>
    </w:p>
    <w:p>
      <w:pPr>
        <w:spacing w:line="600" w:lineRule="exact"/>
        <w:ind w:firstLine="640"/>
        <w:jc w:val="center"/>
        <w:rPr>
          <w:rFonts w:ascii="仿宋" w:hAnsi="仿宋" w:eastAsia="仿宋"/>
          <w:color w:val="000000"/>
          <w:szCs w:val="32"/>
        </w:rPr>
      </w:pPr>
    </w:p>
    <w:p>
      <w:pPr>
        <w:spacing w:line="600" w:lineRule="exact"/>
        <w:ind w:firstLine="640"/>
        <w:jc w:val="center"/>
        <w:rPr>
          <w:rFonts w:ascii="仿宋" w:hAnsi="仿宋" w:eastAsia="仿宋"/>
          <w:color w:val="000000"/>
          <w:szCs w:val="32"/>
        </w:rPr>
      </w:pPr>
    </w:p>
    <w:p>
      <w:pPr>
        <w:spacing w:line="600" w:lineRule="exact"/>
        <w:ind w:firstLine="640"/>
        <w:jc w:val="center"/>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6432" behindDoc="0" locked="0" layoutInCell="1" allowOverlap="1">
            <wp:simplePos x="0" y="0"/>
            <wp:positionH relativeFrom="column">
              <wp:posOffset>87630</wp:posOffset>
            </wp:positionH>
            <wp:positionV relativeFrom="paragraph">
              <wp:posOffset>152400</wp:posOffset>
            </wp:positionV>
            <wp:extent cx="5229225" cy="2800350"/>
            <wp:effectExtent l="19050" t="0" r="9525" b="0"/>
            <wp:wrapSquare wrapText="bothSides"/>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1"/>
                    <a:srcRect/>
                    <a:stretch>
                      <a:fillRect/>
                    </a:stretch>
                  </pic:blipFill>
                  <pic:spPr>
                    <a:xfrm>
                      <a:off x="0" y="0"/>
                      <a:ext cx="5229225" cy="2800350"/>
                    </a:xfrm>
                    <a:prstGeom prst="rect">
                      <a:avLst/>
                    </a:prstGeom>
                    <a:noFill/>
                  </pic:spPr>
                </pic:pic>
              </a:graphicData>
            </a:graphic>
          </wp:anchor>
        </w:drawing>
      </w:r>
      <w:r>
        <w:rPr>
          <w:rFonts w:hint="eastAsia" w:ascii="仿宋" w:hAnsi="仿宋" w:eastAsia="仿宋"/>
          <w:color w:val="000000"/>
          <w:szCs w:val="32"/>
        </w:rPr>
        <w:t>图</w:t>
      </w:r>
      <w:r>
        <w:rPr>
          <w:rFonts w:ascii="仿宋" w:hAnsi="仿宋" w:eastAsia="仿宋"/>
          <w:color w:val="000000"/>
          <w:szCs w:val="32"/>
        </w:rPr>
        <w:t>7</w:t>
      </w:r>
      <w:r>
        <w:rPr>
          <w:rFonts w:hint="eastAsia" w:ascii="仿宋" w:hAnsi="仿宋" w:eastAsia="仿宋"/>
          <w:color w:val="000000"/>
          <w:szCs w:val="32"/>
        </w:rPr>
        <w:t>：“三公”经费财政拨款支出结构</w:t>
      </w:r>
    </w:p>
    <w:p>
      <w:pPr>
        <w:spacing w:line="600" w:lineRule="exact"/>
        <w:ind w:firstLine="640"/>
        <w:rPr>
          <w:rFonts w:ascii="仿宋" w:hAnsi="仿宋" w:eastAsia="仿宋"/>
          <w:color w:val="000000"/>
          <w:szCs w:val="32"/>
        </w:rPr>
      </w:pPr>
      <w:r>
        <w:rPr>
          <w:rFonts w:ascii="仿宋" w:hAnsi="仿宋" w:eastAsia="仿宋"/>
          <w:color w:val="000000"/>
          <w:szCs w:val="32"/>
        </w:rPr>
        <w:t>1.</w:t>
      </w:r>
      <w:r>
        <w:rPr>
          <w:rFonts w:hint="eastAsia" w:ascii="仿宋" w:hAnsi="仿宋" w:eastAsia="仿宋"/>
          <w:color w:val="000000"/>
          <w:szCs w:val="32"/>
        </w:rPr>
        <w:t>因公出国（境）经费支出0万元，</w:t>
      </w:r>
      <w:r>
        <w:rPr>
          <w:rFonts w:hint="eastAsia"/>
        </w:rPr>
        <w:t>完成预算0</w:t>
      </w:r>
      <w:r>
        <w:t>%</w:t>
      </w:r>
      <w:r>
        <w:rPr>
          <w:rFonts w:hint="eastAsia"/>
        </w:rPr>
        <w:t>。</w:t>
      </w:r>
      <w:r>
        <w:rPr>
          <w:rFonts w:hint="eastAsia" w:ascii="仿宋" w:hAnsi="仿宋" w:eastAsia="仿宋"/>
          <w:color w:val="000000"/>
          <w:szCs w:val="32"/>
        </w:rPr>
        <w:t>全年安排因公出国（境）团组0次，出国（境）0人。因公出国（境）支出决算比</w:t>
      </w:r>
      <w:r>
        <w:rPr>
          <w:rFonts w:ascii="仿宋" w:hAnsi="仿宋" w:eastAsia="仿宋"/>
          <w:color w:val="000000"/>
          <w:szCs w:val="32"/>
        </w:rPr>
        <w:t>201</w:t>
      </w:r>
      <w:r>
        <w:rPr>
          <w:rFonts w:hint="eastAsia" w:ascii="仿宋" w:hAnsi="仿宋" w:eastAsia="仿宋"/>
          <w:color w:val="000000"/>
          <w:szCs w:val="32"/>
        </w:rPr>
        <w:t>9年增加0万元，增长0</w:t>
      </w:r>
      <w:r>
        <w:rPr>
          <w:rFonts w:ascii="仿宋" w:hAnsi="仿宋" w:eastAsia="仿宋"/>
          <w:color w:val="000000"/>
          <w:szCs w:val="32"/>
        </w:rPr>
        <w:t>%</w:t>
      </w:r>
      <w:r>
        <w:rPr>
          <w:rFonts w:hint="eastAsia" w:ascii="仿宋" w:hAnsi="仿宋" w:eastAsia="仿宋"/>
          <w:color w:val="000000"/>
          <w:szCs w:val="32"/>
        </w:rPr>
        <w:t>。主要原因是2020年全年未安排因公出国（境）。</w:t>
      </w:r>
    </w:p>
    <w:p>
      <w:pPr>
        <w:spacing w:line="600" w:lineRule="exact"/>
        <w:ind w:firstLine="640"/>
        <w:rPr>
          <w:rFonts w:ascii="仿宋" w:hAnsi="仿宋" w:eastAsia="仿宋"/>
          <w:color w:val="000000"/>
          <w:szCs w:val="32"/>
        </w:rPr>
      </w:pPr>
      <w:r>
        <w:rPr>
          <w:rFonts w:ascii="仿宋" w:hAnsi="仿宋" w:eastAsia="仿宋"/>
          <w:color w:val="000000"/>
          <w:szCs w:val="32"/>
        </w:rPr>
        <w:t>2.</w:t>
      </w:r>
      <w:r>
        <w:rPr>
          <w:rFonts w:hint="eastAsia" w:ascii="仿宋" w:hAnsi="仿宋" w:eastAsia="仿宋"/>
          <w:color w:val="000000"/>
          <w:szCs w:val="32"/>
        </w:rPr>
        <w:t>公务用车购置及运行维护费支出6.92万元</w:t>
      </w:r>
      <w:r>
        <w:rPr>
          <w:rFonts w:ascii="仿宋" w:hAnsi="仿宋" w:eastAsia="仿宋"/>
          <w:color w:val="000000"/>
          <w:szCs w:val="32"/>
        </w:rPr>
        <w:t>,</w:t>
      </w:r>
      <w:r>
        <w:rPr>
          <w:rFonts w:hint="eastAsia"/>
        </w:rPr>
        <w:t>完成预算</w:t>
      </w:r>
      <w:r>
        <w:rPr>
          <w:rFonts w:hint="eastAsia" w:ascii="仿宋" w:hAnsi="仿宋" w:eastAsia="仿宋"/>
          <w:color w:val="000000"/>
          <w:szCs w:val="32"/>
        </w:rPr>
        <w:t>91.17</w:t>
      </w:r>
      <w:r>
        <w:rPr>
          <w:rFonts w:ascii="仿宋" w:hAnsi="仿宋" w:eastAsia="仿宋"/>
          <w:color w:val="000000"/>
          <w:szCs w:val="32"/>
        </w:rPr>
        <w:t>%</w:t>
      </w:r>
      <w:r>
        <w:rPr>
          <w:rFonts w:hint="eastAsia"/>
        </w:rPr>
        <w:t>。</w:t>
      </w:r>
      <w:r>
        <w:rPr>
          <w:rFonts w:hint="eastAsia" w:ascii="仿宋" w:hAnsi="仿宋" w:eastAsia="仿宋"/>
          <w:color w:val="000000"/>
          <w:szCs w:val="32"/>
        </w:rPr>
        <w:t>公务用车购置及运行维护费支出决算比2019年增加0.59万元，增长9.32</w:t>
      </w:r>
      <w:r>
        <w:rPr>
          <w:rFonts w:ascii="仿宋" w:hAnsi="仿宋" w:eastAsia="仿宋"/>
          <w:color w:val="000000"/>
          <w:szCs w:val="32"/>
        </w:rPr>
        <w:t>%</w:t>
      </w:r>
      <w:r>
        <w:rPr>
          <w:rFonts w:hint="eastAsia" w:ascii="仿宋" w:hAnsi="仿宋" w:eastAsia="仿宋"/>
          <w:color w:val="000000"/>
          <w:szCs w:val="32"/>
        </w:rPr>
        <w:t>。主要原因是疫情防控工作公务用车次数增加。</w:t>
      </w:r>
    </w:p>
    <w:p>
      <w:pPr>
        <w:spacing w:line="600" w:lineRule="exact"/>
        <w:ind w:firstLine="640"/>
        <w:rPr>
          <w:rFonts w:ascii="仿宋" w:hAnsi="仿宋" w:eastAsia="仿宋"/>
          <w:color w:val="000000"/>
          <w:szCs w:val="32"/>
        </w:rPr>
      </w:pPr>
      <w:r>
        <w:rPr>
          <w:rFonts w:hint="eastAsia" w:ascii="仿宋" w:hAnsi="仿宋" w:eastAsia="仿宋"/>
          <w:color w:val="000000"/>
          <w:szCs w:val="32"/>
        </w:rPr>
        <w:t>其中：公务用车购置支出0万元。全年按规定更新购置公务用车0辆，其中：轿车0辆、金额0万元，越野车0辆、金额0万元，载客汽车0辆、金额0万元。截至</w:t>
      </w:r>
      <w:r>
        <w:rPr>
          <w:rFonts w:ascii="仿宋" w:hAnsi="仿宋" w:eastAsia="仿宋"/>
          <w:color w:val="000000"/>
          <w:szCs w:val="32"/>
        </w:rPr>
        <w:t>2020</w:t>
      </w:r>
      <w:r>
        <w:rPr>
          <w:rFonts w:hint="eastAsia" w:ascii="仿宋" w:hAnsi="仿宋" w:eastAsia="仿宋"/>
          <w:color w:val="000000"/>
          <w:szCs w:val="32"/>
        </w:rPr>
        <w:t>年</w:t>
      </w:r>
      <w:r>
        <w:rPr>
          <w:rFonts w:ascii="仿宋" w:hAnsi="仿宋" w:eastAsia="仿宋"/>
          <w:color w:val="000000"/>
          <w:szCs w:val="32"/>
        </w:rPr>
        <w:t>12</w:t>
      </w:r>
      <w:r>
        <w:rPr>
          <w:rFonts w:hint="eastAsia" w:ascii="仿宋" w:hAnsi="仿宋" w:eastAsia="仿宋"/>
          <w:color w:val="000000"/>
          <w:szCs w:val="32"/>
        </w:rPr>
        <w:t>月底，单位共有公务用车12辆，其中：轿车0辆、越野车0辆、载客汽车0辆、应急保障用车5辆、特种专业技术用车7辆。</w:t>
      </w:r>
    </w:p>
    <w:p>
      <w:pPr>
        <w:spacing w:line="600" w:lineRule="exact"/>
        <w:ind w:firstLine="640"/>
        <w:rPr>
          <w:rFonts w:ascii="仿宋" w:hAnsi="仿宋" w:eastAsia="仿宋"/>
          <w:color w:val="000000"/>
          <w:szCs w:val="32"/>
        </w:rPr>
      </w:pPr>
      <w:r>
        <w:rPr>
          <w:rFonts w:hint="eastAsia" w:ascii="仿宋" w:hAnsi="仿宋" w:eastAsia="仿宋"/>
          <w:color w:val="000000"/>
          <w:szCs w:val="32"/>
        </w:rPr>
        <w:t>公务用车运行维护费支出6.92万元。主要用于公务活动、医疗卫生机构医疗救助、疫苗冷链运输、疫情防控保障等所需的公务用车燃料费、维修费、过路过桥费、保险费等支出。</w:t>
      </w:r>
    </w:p>
    <w:p>
      <w:pPr>
        <w:spacing w:line="600" w:lineRule="exact"/>
        <w:ind w:firstLine="640"/>
        <w:rPr>
          <w:rFonts w:ascii="仿宋" w:hAnsi="仿宋" w:eastAsia="仿宋"/>
          <w:color w:val="000000"/>
          <w:szCs w:val="32"/>
        </w:rPr>
      </w:pPr>
      <w:r>
        <w:rPr>
          <w:rFonts w:ascii="仿宋" w:hAnsi="仿宋" w:eastAsia="仿宋"/>
          <w:color w:val="000000"/>
          <w:szCs w:val="32"/>
        </w:rPr>
        <w:t>3.</w:t>
      </w:r>
      <w:r>
        <w:rPr>
          <w:rFonts w:hint="eastAsia" w:ascii="仿宋" w:hAnsi="仿宋" w:eastAsia="仿宋"/>
          <w:color w:val="000000"/>
          <w:szCs w:val="32"/>
        </w:rPr>
        <w:t>公务接待费支出0.66万元，完成预算10.26</w:t>
      </w:r>
      <w:r>
        <w:rPr>
          <w:rFonts w:ascii="仿宋" w:hAnsi="仿宋" w:eastAsia="仿宋"/>
          <w:color w:val="000000"/>
          <w:szCs w:val="32"/>
        </w:rPr>
        <w:t>%</w:t>
      </w:r>
      <w:r>
        <w:rPr>
          <w:rFonts w:hint="eastAsia" w:ascii="仿宋" w:hAnsi="仿宋" w:eastAsia="仿宋"/>
          <w:color w:val="000000"/>
          <w:szCs w:val="32"/>
        </w:rPr>
        <w:t>。公务接待费支出决算比</w:t>
      </w:r>
      <w:r>
        <w:rPr>
          <w:rFonts w:ascii="仿宋" w:hAnsi="仿宋" w:eastAsia="仿宋"/>
          <w:color w:val="000000"/>
          <w:szCs w:val="32"/>
        </w:rPr>
        <w:t>2019</w:t>
      </w:r>
      <w:r>
        <w:rPr>
          <w:rFonts w:hint="eastAsia" w:ascii="仿宋" w:hAnsi="仿宋" w:eastAsia="仿宋"/>
          <w:color w:val="000000"/>
          <w:szCs w:val="32"/>
        </w:rPr>
        <w:t>年减少2.18万元，下降76.76</w:t>
      </w:r>
      <w:r>
        <w:rPr>
          <w:rFonts w:ascii="仿宋" w:hAnsi="仿宋" w:eastAsia="仿宋"/>
          <w:color w:val="000000"/>
          <w:szCs w:val="32"/>
        </w:rPr>
        <w:t>%</w:t>
      </w:r>
      <w:r>
        <w:rPr>
          <w:rFonts w:hint="eastAsia" w:ascii="仿宋" w:hAnsi="仿宋" w:eastAsia="仿宋"/>
          <w:color w:val="000000"/>
          <w:szCs w:val="32"/>
        </w:rPr>
        <w:t>。主要原因是厉行节约。其中：</w:t>
      </w:r>
    </w:p>
    <w:p>
      <w:pPr>
        <w:spacing w:line="600" w:lineRule="exact"/>
        <w:ind w:firstLine="640"/>
        <w:rPr>
          <w:rFonts w:ascii="仿宋_GB2312"/>
          <w:color w:val="000000"/>
          <w:szCs w:val="32"/>
        </w:rPr>
      </w:pPr>
      <w:r>
        <w:rPr>
          <w:rFonts w:hint="eastAsia" w:ascii="仿宋" w:hAnsi="仿宋" w:eastAsia="仿宋"/>
          <w:color w:val="000000"/>
          <w:szCs w:val="32"/>
        </w:rPr>
        <w:t>国内公务接待支出0.66万元，主要用于执行公务、开展业务活动开支的交通费、住宿费、用餐费等。国内公务接</w:t>
      </w:r>
      <w:r>
        <w:rPr>
          <w:rFonts w:hint="eastAsia" w:ascii="仿宋_GB2312"/>
          <w:color w:val="000000" w:themeColor="text1"/>
          <w:szCs w:val="32"/>
        </w:rPr>
        <w:t>待7批次，</w:t>
      </w:r>
      <w:r>
        <w:rPr>
          <w:rFonts w:hint="eastAsia" w:ascii="仿宋_GB2312"/>
          <w:color w:val="000000" w:themeColor="text1"/>
          <w:szCs w:val="32"/>
          <w:lang w:val="en-US" w:eastAsia="zh-CN"/>
        </w:rPr>
        <w:t>66</w:t>
      </w:r>
      <w:r>
        <w:rPr>
          <w:rFonts w:hint="eastAsia" w:ascii="仿宋_GB2312"/>
          <w:color w:val="000000" w:themeColor="text1"/>
          <w:szCs w:val="32"/>
        </w:rPr>
        <w:t>人次</w:t>
      </w:r>
      <w:bookmarkStart w:id="95" w:name="_GoBack"/>
      <w:bookmarkEnd w:id="95"/>
      <w:r>
        <w:rPr>
          <w:rFonts w:hint="eastAsia" w:ascii="仿宋_GB2312"/>
          <w:color w:val="000000" w:themeColor="text1"/>
          <w:szCs w:val="32"/>
        </w:rPr>
        <w:t>，共计支出0.66万元，具体内容包括：计划生育动态监测业务交流0.08万元、国家卫生城市现场点位专家技术评估公务接待0.24万元、省计生协会副会长调研督导自流井区2020年中国计生协会暖心家园项目推进工作及慰问计生家庭公务接待0.08万元、医疗机构疫情防控物资交叉检查餐费0.07万元、</w:t>
      </w:r>
      <w:r>
        <w:rPr>
          <w:rFonts w:hint="eastAsia" w:ascii="仿宋_GB2312"/>
          <w:color w:val="000000"/>
          <w:szCs w:val="32"/>
        </w:rPr>
        <w:t>接待省疾控艾滋评估工作0.08万元，接待省癌症中心督导检查0.05元，接待省癌症防治中心到中心检查0.06万</w:t>
      </w:r>
      <w:r>
        <w:rPr>
          <w:rFonts w:hint="eastAsia" w:ascii="仿宋_GB2312"/>
          <w:color w:val="000000" w:themeColor="text1"/>
          <w:szCs w:val="32"/>
        </w:rPr>
        <w:t>元。</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外事接待支出0万元，外事接待0批次，0人，共计支出0万元。</w:t>
      </w:r>
    </w:p>
    <w:p>
      <w:pPr>
        <w:spacing w:line="600" w:lineRule="exact"/>
        <w:ind w:firstLine="640"/>
        <w:outlineLvl w:val="1"/>
        <w:rPr>
          <w:rFonts w:ascii="黑体" w:eastAsia="黑体"/>
          <w:color w:val="000000"/>
          <w:szCs w:val="32"/>
        </w:rPr>
      </w:pPr>
      <w:bookmarkStart w:id="47" w:name="_Toc15396610"/>
      <w:bookmarkStart w:id="48" w:name="_Toc15377218"/>
    </w:p>
    <w:p>
      <w:pPr>
        <w:spacing w:line="600" w:lineRule="exact"/>
        <w:ind w:firstLine="640"/>
        <w:outlineLvl w:val="1"/>
        <w:rPr>
          <w:rStyle w:val="16"/>
          <w:rFonts w:ascii="黑体" w:hAnsi="黑体" w:eastAsia="黑体"/>
        </w:rPr>
      </w:pPr>
      <w:bookmarkStart w:id="49" w:name="_Toc9843"/>
      <w:r>
        <w:rPr>
          <w:rFonts w:hint="eastAsia" w:ascii="黑体" w:eastAsia="黑体"/>
          <w:color w:val="000000"/>
          <w:szCs w:val="32"/>
        </w:rPr>
        <w:t>八、</w:t>
      </w:r>
      <w:r>
        <w:rPr>
          <w:rStyle w:val="16"/>
          <w:rFonts w:hint="eastAsia" w:ascii="黑体" w:hAnsi="黑体" w:eastAsia="黑体"/>
          <w:b w:val="0"/>
        </w:rPr>
        <w:t>政府性基金预算支出决算情况说明</w:t>
      </w:r>
      <w:bookmarkEnd w:id="47"/>
      <w:bookmarkEnd w:id="48"/>
      <w:bookmarkEnd w:id="49"/>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年政府性基金预算拨款支出2135.23万元。</w:t>
      </w:r>
    </w:p>
    <w:p>
      <w:pPr>
        <w:spacing w:line="600" w:lineRule="exact"/>
        <w:ind w:firstLine="640"/>
        <w:rPr>
          <w:rFonts w:ascii="仿宋_GB2312"/>
          <w:color w:val="000000"/>
          <w:szCs w:val="32"/>
        </w:rPr>
      </w:pPr>
    </w:p>
    <w:p>
      <w:pPr>
        <w:numPr>
          <w:ilvl w:val="0"/>
          <w:numId w:val="3"/>
        </w:numPr>
        <w:spacing w:line="600" w:lineRule="exact"/>
        <w:ind w:firstLine="640"/>
        <w:outlineLvl w:val="1"/>
        <w:rPr>
          <w:rStyle w:val="16"/>
          <w:rFonts w:ascii="黑体" w:hAnsi="黑体" w:eastAsia="黑体"/>
          <w:b w:val="0"/>
        </w:rPr>
      </w:pPr>
      <w:bookmarkStart w:id="50" w:name="_Toc15377219"/>
      <w:bookmarkStart w:id="51" w:name="_Toc15396611"/>
      <w:bookmarkStart w:id="52" w:name="_Toc10775"/>
      <w:r>
        <w:rPr>
          <w:rStyle w:val="16"/>
          <w:rFonts w:hint="eastAsia" w:ascii="黑体" w:hAnsi="黑体" w:eastAsia="黑体"/>
          <w:b w:val="0"/>
        </w:rPr>
        <w:t>国有资本经营预算支出决算情况说明</w:t>
      </w:r>
      <w:bookmarkEnd w:id="50"/>
      <w:bookmarkEnd w:id="51"/>
      <w:bookmarkEnd w:id="52"/>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6"/>
          <w:rFonts w:ascii="黑体" w:hAnsi="黑体" w:eastAsia="黑体"/>
        </w:rPr>
      </w:pPr>
      <w:bookmarkStart w:id="53" w:name="_Toc15396612"/>
      <w:bookmarkStart w:id="54" w:name="_Toc15377221"/>
      <w:bookmarkStart w:id="55" w:name="_Toc738"/>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53"/>
      <w:bookmarkEnd w:id="54"/>
      <w:bookmarkEnd w:id="55"/>
    </w:p>
    <w:p>
      <w:pPr>
        <w:spacing w:line="600" w:lineRule="exact"/>
        <w:ind w:firstLine="643" w:firstLineChars="200"/>
        <w:outlineLvl w:val="2"/>
        <w:rPr>
          <w:rFonts w:ascii="仿宋" w:hAnsi="仿宋" w:eastAsia="仿宋"/>
          <w:color w:val="000000"/>
          <w:szCs w:val="32"/>
        </w:rPr>
      </w:pPr>
      <w:bookmarkStart w:id="56" w:name="_Toc15377222"/>
      <w:r>
        <w:rPr>
          <w:rFonts w:hint="eastAsia" w:ascii="仿宋" w:hAnsi="仿宋" w:eastAsia="仿宋"/>
          <w:b/>
          <w:color w:val="000000"/>
          <w:szCs w:val="32"/>
        </w:rPr>
        <w:t>（一）机关运行经费支出情况</w:t>
      </w:r>
      <w:bookmarkEnd w:id="56"/>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年，自贡市自流井区卫生健康局机关运行经费支出86.59万元，</w:t>
      </w:r>
      <w:r>
        <w:rPr>
          <w:rFonts w:hint="eastAsia" w:ascii="仿宋_GB2312"/>
          <w:color w:val="000000" w:themeColor="text1"/>
          <w:szCs w:val="32"/>
        </w:rPr>
        <w:t>比</w:t>
      </w:r>
      <w:r>
        <w:rPr>
          <w:rFonts w:ascii="仿宋_GB2312"/>
          <w:color w:val="000000" w:themeColor="text1"/>
          <w:szCs w:val="32"/>
        </w:rPr>
        <w:t>2019</w:t>
      </w:r>
      <w:r>
        <w:rPr>
          <w:rFonts w:hint="eastAsia" w:ascii="仿宋_GB2312"/>
          <w:color w:val="000000" w:themeColor="text1"/>
          <w:szCs w:val="32"/>
        </w:rPr>
        <w:t>年增加15.54万元，增长21.87</w:t>
      </w:r>
      <w:r>
        <w:rPr>
          <w:rFonts w:ascii="仿宋_GB2312"/>
          <w:color w:val="000000" w:themeColor="text1"/>
          <w:szCs w:val="32"/>
        </w:rPr>
        <w:t>%</w:t>
      </w:r>
      <w:r>
        <w:rPr>
          <w:rFonts w:hint="eastAsia" w:ascii="仿宋_GB2312"/>
          <w:color w:val="000000" w:themeColor="text1"/>
          <w:szCs w:val="32"/>
        </w:rPr>
        <w:t>。主要原因是疫情原因增加工作量。</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7" w:name="_Toc15377223"/>
      <w:r>
        <w:rPr>
          <w:rFonts w:hint="eastAsia" w:ascii="仿宋" w:hAnsi="仿宋" w:eastAsia="仿宋"/>
          <w:b/>
          <w:color w:val="000000"/>
          <w:szCs w:val="32"/>
        </w:rPr>
        <w:t>（二）政府采购支出情况</w:t>
      </w:r>
      <w:bookmarkEnd w:id="57"/>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年，自贡市自流井区卫生健康局政府采购支出总额340.85万元，其中：政府采购货物支出286.55万元、政府采购工程支出0万元、政府采购服务支出54.30万元。主要</w:t>
      </w:r>
      <w:r>
        <w:rPr>
          <w:rFonts w:hint="eastAsia" w:ascii="仿宋_GB2312"/>
          <w:color w:val="000000" w:themeColor="text1"/>
          <w:szCs w:val="32"/>
        </w:rPr>
        <w:t>用于</w:t>
      </w:r>
      <w:r>
        <w:rPr>
          <w:rFonts w:hint="eastAsia" w:ascii="仿宋_GB2312"/>
          <w:color w:val="000000"/>
          <w:szCs w:val="32"/>
        </w:rPr>
        <w:t>舒坪卫生事业园业务用房装修改造设计、</w:t>
      </w:r>
      <w:r>
        <w:rPr>
          <w:rFonts w:hint="eastAsia"/>
        </w:rPr>
        <w:t>职业危害因素、突发公共卫生、艾滋病、结核病等</w:t>
      </w:r>
      <w:r>
        <w:rPr>
          <w:rFonts w:hint="eastAsia" w:ascii="仿宋_GB2312"/>
          <w:color w:val="000000"/>
          <w:szCs w:val="32"/>
        </w:rPr>
        <w:t>。授予中小企业合同金额0万元，占政府采购支出总额的0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8" w:name="_Toc15377224"/>
      <w:r>
        <w:rPr>
          <w:rFonts w:hint="eastAsia" w:ascii="仿宋" w:hAnsi="仿宋" w:eastAsia="仿宋"/>
          <w:b/>
          <w:color w:val="000000"/>
          <w:szCs w:val="32"/>
        </w:rPr>
        <w:t>（三）国有资产占有使用情况</w:t>
      </w:r>
      <w:bookmarkEnd w:id="58"/>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日，自贡市自流井区卫生健康局共有车辆12辆，其中：主要领导干部用车0辆、机要通信用车0辆、应急保障用车5辆、特种专业技术用车7辆、其他用车0辆。单价</w:t>
      </w:r>
      <w:r>
        <w:rPr>
          <w:rFonts w:ascii="仿宋_GB2312"/>
          <w:color w:val="000000"/>
          <w:szCs w:val="32"/>
        </w:rPr>
        <w:t>50</w:t>
      </w:r>
      <w:r>
        <w:rPr>
          <w:rFonts w:hint="eastAsia" w:ascii="仿宋_GB2312"/>
          <w:color w:val="000000"/>
          <w:szCs w:val="32"/>
        </w:rPr>
        <w:t>万元以上通用设备2台（套），单价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96"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自贡市自流井区卫生健康局在年初预算编制阶段，组织对国家基本公共卫生本级配套（城乡居民健康档案电子建档率）工作项目、国家基本药物补助工作项目、乡村医生养老保险补助工作项目、创建国家卫生城市工作项目、艾滋病防治配套经费工作项目开展了预算事前绩效评估，对40个项目编制了绩效目标，预算执行过程中，选取5个项目开展绩效监控，年终执行完毕后，对5个项目开展了绩效目标完成情况自评。</w:t>
      </w:r>
    </w:p>
    <w:p>
      <w:pPr>
        <w:spacing w:line="596" w:lineRule="exact"/>
        <w:ind w:firstLine="640" w:firstLineChars="200"/>
        <w:rPr>
          <w:rFonts w:ascii="仿宋_GB2312" w:hAnsi="仿宋_GB2312" w:cs="仿宋_GB2312"/>
          <w:szCs w:val="32"/>
        </w:rPr>
      </w:pPr>
      <w:r>
        <w:rPr>
          <w:rFonts w:hint="eastAsia" w:ascii="仿宋_GB2312" w:hAnsi="仿宋_GB2312" w:cs="仿宋_GB2312"/>
          <w:szCs w:val="32"/>
        </w:rPr>
        <w:t>我局按要求对2020年部门整体支出开展绩效自评，从评价情况来看,我局严格执行《四川省省级财政专项资金绩效分配管理暂行办法》精神，采用据实分配方式,制定了资金分配方案，严格遵照执行《项目资金管理办法》《项目资金监督管理办法》。本部门还自行组织了5个项目支出绩效评价，从评价情况来看，通过项目的实施，促进了自流井区卫生环境良好发展，提高了村医队伍的稳定性，保障了基层医疗机构基本药物政策的平稳执行，通过宣传教育提高艾滋病防治知识知晓率，有效预防母婴传播，对新发现、既往确诊未治疗感染者和病人进行随访动员，转介至定点医疗机构，落实转介“三见面”要求。</w:t>
      </w:r>
    </w:p>
    <w:p>
      <w:pPr>
        <w:spacing w:line="580" w:lineRule="exact"/>
        <w:ind w:firstLine="640" w:firstLineChars="200"/>
        <w:rPr>
          <w:rFonts w:ascii="楷体_GB2312" w:hAnsi="楷体_GB2312" w:eastAsia="楷体_GB2312" w:cs="楷体_GB2312"/>
          <w:szCs w:val="32"/>
        </w:rPr>
      </w:pPr>
      <w:r>
        <w:rPr>
          <w:rFonts w:ascii="楷体_GB2312" w:hAnsi="楷体_GB2312" w:eastAsia="楷体_GB2312" w:cs="楷体_GB2312"/>
          <w:szCs w:val="32"/>
        </w:rPr>
        <w:t>1.</w:t>
      </w:r>
      <w:r>
        <w:rPr>
          <w:rFonts w:hint="eastAsia" w:ascii="楷体_GB2312" w:hAnsi="楷体_GB2312" w:eastAsia="楷体_GB2312" w:cs="楷体_GB2312"/>
          <w:szCs w:val="32"/>
        </w:rPr>
        <w:t>项目绩效目标完成情况。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自贡市自流井区卫生健康局在2020年度部门决算中反映“国家基本公共卫生本级配套（城乡居民健康档案电子建档率）”、“国家基本药物补助”、“乡村医生养老保险补助”、“创建国家卫生城市工”和“艾滋病防治配套经费”等5个项目绩效目标实际完成情况。</w:t>
      </w:r>
    </w:p>
    <w:p>
      <w:pPr>
        <w:spacing w:line="596" w:lineRule="exact"/>
        <w:ind w:firstLine="640" w:firstLineChars="200"/>
        <w:rPr>
          <w:rFonts w:ascii="仿宋_GB2312" w:hAnsi="仿宋_GB2312" w:cs="仿宋_GB2312"/>
          <w:szCs w:val="32"/>
        </w:rPr>
      </w:pPr>
      <w:r>
        <w:rPr>
          <w:rFonts w:hint="eastAsia" w:ascii="仿宋_GB2312" w:hAnsi="仿宋_GB2312" w:cs="仿宋_GB2312"/>
          <w:szCs w:val="32"/>
        </w:rPr>
        <w:t>（1）国家基本公共卫生本级配套（城乡居民健康档案电子建档率）工作项目绩效目标完成情况综述。项目全年预算数153.83万元，执行数为153.83万元，完成预算的100%。通过实施基本公共卫生服务项目，全年家庭医生签约率94.55%，重点人群签约率78.18%，完成市级下达目标任务。完成免费孕前优生健康检查765对，完成率117.69%。重精在册患者管理率97.45%，规范化管理率96.80%，完成市级下达目标任务。艾滋病检测覆盖率30.26%，感染者和病人抗病毒治疗覆盖率93.23%，抗病毒治疗成功率95.60%，母婴传播率0%，完成市级下达目标任务。完成25家辖区企业职业危害因素调查和现场监测。全区等级门诊建成率达100%，常规免疫报告接种率保持在90％以上。</w:t>
      </w:r>
    </w:p>
    <w:p>
      <w:pPr>
        <w:spacing w:line="596" w:lineRule="exact"/>
        <w:ind w:firstLine="640" w:firstLineChars="200"/>
        <w:rPr>
          <w:rFonts w:ascii="仿宋_GB2312" w:hAnsi="仿宋_GB2312" w:cs="仿宋_GB2312"/>
          <w:szCs w:val="32"/>
        </w:rPr>
      </w:pPr>
      <w:r>
        <w:rPr>
          <w:rFonts w:hint="eastAsia" w:ascii="仿宋_GB2312" w:hAnsi="仿宋_GB2312" w:cs="仿宋_GB2312"/>
          <w:szCs w:val="32"/>
        </w:rPr>
        <w:t>（2）国家基本药物补助工作项目绩效目标完成情况综述。项目全年预算数99.57万元，执行数为99.57万元，完成预算的100%。国家实施基本药物补助巩固和拓展了我区基本药物制度实施成果，督促基层医疗卫生机构优先使用国家基本药物，提高基层合理用药水平。使药品价格得到合理有效地控制，城乡居民基本用药负担进一步降低，同时维持基层医疗卫生机构正常运行，保证医务人员和村医的合理收入不降低。发现的主要问题：基本药物目录药品品种相对较少，影响临床用药。下一步改进措施：基本药物目录应定期增补，不断增加药品种类，充分考虑医生用药习惯及患者用药需求。</w:t>
      </w:r>
    </w:p>
    <w:p>
      <w:pPr>
        <w:spacing w:line="596" w:lineRule="exact"/>
        <w:ind w:firstLine="640" w:firstLineChars="200"/>
        <w:rPr>
          <w:rFonts w:ascii="仿宋_GB2312" w:hAnsi="仿宋_GB2312" w:cs="仿宋_GB2312"/>
          <w:szCs w:val="32"/>
        </w:rPr>
      </w:pPr>
      <w:r>
        <w:rPr>
          <w:rFonts w:hint="eastAsia" w:ascii="仿宋_GB2312" w:hAnsi="仿宋_GB2312" w:cs="仿宋_GB2312"/>
          <w:szCs w:val="32"/>
        </w:rPr>
        <w:t>（3）乡村医生养老保险补助工作项目绩效目标完成情况综述。乡村医生养老保险补助项目全年预算数18.2万元，执行数为18.2万元，完成预算的100%。通过项目实施，乡村医生积极性得到提高，老年乡村医生基本权益有保障，乡村医生队伍稳定性得到进一步提高。</w:t>
      </w:r>
    </w:p>
    <w:p>
      <w:pPr>
        <w:spacing w:line="596" w:lineRule="exact"/>
        <w:ind w:firstLine="640" w:firstLineChars="200"/>
        <w:rPr>
          <w:rFonts w:ascii="仿宋_GB2312" w:hAnsi="仿宋_GB2312" w:cs="仿宋_GB2312"/>
          <w:szCs w:val="32"/>
        </w:rPr>
      </w:pPr>
      <w:r>
        <w:rPr>
          <w:rFonts w:hint="eastAsia" w:ascii="仿宋_GB2312" w:hAnsi="仿宋_GB2312" w:cs="仿宋_GB2312"/>
          <w:szCs w:val="32"/>
        </w:rPr>
        <w:t>（4）创建国家卫生城市工作项目绩效目标完成情况综述。全年预算数208万元，执行数为208万元，完成预算的100%。通过卫生城镇创建、病媒生物防制、社会卫生综合治理以及健康村镇建设试点，持续提升城乡环境卫生面貌，环境卫生秩序治理成效显著，爱国卫生运动广泛开展，城市功能品质显著提升，为自贡市成功创建国家卫生城市作出应有的贡献。</w:t>
      </w:r>
    </w:p>
    <w:p>
      <w:pPr>
        <w:spacing w:line="596" w:lineRule="exact"/>
        <w:ind w:firstLine="640" w:firstLineChars="200"/>
        <w:rPr>
          <w:rFonts w:ascii="仿宋_GB2312" w:hAnsi="仿宋_GB2312" w:cs="仿宋_GB2312"/>
          <w:szCs w:val="32"/>
        </w:rPr>
      </w:pPr>
      <w:r>
        <w:rPr>
          <w:rFonts w:hint="eastAsia" w:ascii="仿宋_GB2312" w:hAnsi="仿宋_GB2312" w:cs="仿宋_GB2312"/>
          <w:szCs w:val="32"/>
        </w:rPr>
        <w:t>（5）艾滋病防治配套项目绩效目标完成情况综述。项目全年预算数100万元，实际到位96万，执行数为76.22万元，完成预算的76.22</w:t>
      </w:r>
      <w:r>
        <w:rPr>
          <w:rFonts w:ascii="仿宋_GB2312" w:hAnsi="仿宋_GB2312" w:cs="仿宋_GB2312"/>
          <w:szCs w:val="32"/>
        </w:rPr>
        <w:t>%</w:t>
      </w:r>
      <w:r>
        <w:rPr>
          <w:rFonts w:hint="eastAsia" w:ascii="仿宋_GB2312" w:hAnsi="仿宋_GB2312" w:cs="仿宋_GB2312"/>
          <w:szCs w:val="32"/>
        </w:rPr>
        <w:t>。通过项目实施，积极履行艾滋病防治技术总牵头和预防干预具体牵头职责，统筹做好防治技术顶层设计、方案制定、组织实施、督导检查。负责组织定点医疗机构和妇幼保健机构等定期研究分析艾滋病抗病毒治疗管理、预防母婴传播、健康干预工作进展，提出建议意见；建立有效评估当地疫情的监测网络，开展疫情分析，摸清疫情态势和流行危险因素；负责检测实验室的规划布局和管理，多渠道，多形式开展检测发现，扩大检测覆盖面：及时更新疫情库数据，及时将感染者和病人信息通报定点医疗机构和妇幼保健机构；对新发现、既往确诊未治疗感染者和病人进行随访动员，转介至定点医疗机构，落实转介“三见面”要求，追踪转介结果；落实戒毒药物维持治疗、安全套推广、单阳家庭干预、宣传教育等措施；加强与监管场所对接，落实羁押人员全员检测、出所转介工作；主动为相关部门、社会组织开展艾滋病防治提供技术支持。确保艾滋病防治知识知晓率2018年、2019年、2020年底分别达85％、88％、90％，感染者和病人发现率2018年、2019年、2020年底分别达85％、88％、90%。</w:t>
      </w:r>
    </w:p>
    <w:p>
      <w:pPr>
        <w:spacing w:line="580" w:lineRule="exact"/>
        <w:ind w:firstLine="640" w:firstLineChars="200"/>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rPr>
              <w:t>项目绩效目标完成情况表</w:t>
            </w:r>
            <w:r>
              <w:rPr>
                <w:rFonts w:ascii="宋体" w:cs="宋体"/>
                <w:b/>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国家基本公卫本级配套（城乡居民健康档案电子建档率）</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自贡市自流井区卫生健康局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153.83万元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153.83万元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153.83万元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153.83万元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电子健康档案建档率≥95%以上，稳步提高使用率，贫困民居民健康档案电子建档率100%；2、各乡镇、街道适龄儿童国家免疫规划疫苗接种率≥90%；3、新生儿访视率、儿童健康管理率分别≥85%；4、早孕建册率和产后访视率≥85%；5、老年人管理率≥80%；6、高血压、2型糖尿病患者管理人数稳步提高，管理率分别到达45%、40%以上，规范管理率分别达到70%、60%以上；7、严重精神障碍患者管理人数稳步提高，规范管理率≥80%；8、肺结核病患者管理率≥90%；9、老年人、儿童中医药健康管理率分别达到50%、55%；10、传染病、突发公共卫生事件报告率≥100%。</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全部指标均完成</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数量指标1；电子健康档案建档率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数量Z1；≥95%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数量指标2；贫困民居民健康档案电子建档率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数量Z2；达到100%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数量指标3；适龄儿童国家免疫规划疫苗接种率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数量Z3；≥90%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数量指标4；新生儿访视率、儿童健康管理率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数量Z4；分别≥85%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数量指标5；早孕建册率和产后访视率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数量Z5；≥85%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数量指标6；老年人管理率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数量Z6；≥80%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数量指标7；高血压、2型糖尿病患者管理</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数量Z7；管理人数稳步提高，管理率分别到达45%、40%以上，规范管理率分别达到70%、60%以上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数量指标8；严重精神障碍患者管理</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数量Z8；人数稳步提高，规范管理率≥80%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完成</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数量指标9；肺结核病患者管理率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数量Z9；≥90%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完成</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数量指标10；老年人、儿童中医药健康管理率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数量Z10；分别达到50%、55%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完成</w:t>
            </w:r>
          </w:p>
        </w:tc>
      </w:tr>
      <w:tr>
        <w:tblPrEx>
          <w:tblCellMar>
            <w:top w:w="0" w:type="dxa"/>
            <w:left w:w="0" w:type="dxa"/>
            <w:bottom w:w="0" w:type="dxa"/>
            <w:right w:w="0" w:type="dxa"/>
          </w:tblCellMar>
        </w:tblPrEx>
        <w:trPr>
          <w:trHeight w:val="1050" w:hRule="atLeast"/>
          <w:jc w:val="center"/>
        </w:trPr>
        <w:tc>
          <w:tcPr>
            <w:tcW w:w="390" w:type="dxa"/>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数量指标11；传染病、突发公共卫生事件报告率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数量Z11；100%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完成</w:t>
            </w:r>
          </w:p>
        </w:tc>
      </w:tr>
      <w:tr>
        <w:tblPrEx>
          <w:tblCellMar>
            <w:top w:w="0" w:type="dxa"/>
            <w:left w:w="0" w:type="dxa"/>
            <w:bottom w:w="0" w:type="dxa"/>
            <w:right w:w="0" w:type="dxa"/>
          </w:tblCellMar>
        </w:tblPrEx>
        <w:trPr>
          <w:trHeight w:val="1050" w:hRule="atLeast"/>
          <w:jc w:val="center"/>
        </w:trPr>
        <w:tc>
          <w:tcPr>
            <w:tcW w:w="390" w:type="dxa"/>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p>
          <w:p>
            <w:pPr>
              <w:widowControl/>
              <w:jc w:val="center"/>
              <w:textAlignment w:val="center"/>
              <w:rPr>
                <w:rFonts w:ascii="宋体" w:hAnsi="宋体" w:cs="宋体"/>
                <w:color w:val="000000"/>
                <w:kern w:val="0"/>
                <w:sz w:val="24"/>
              </w:rPr>
            </w:pPr>
            <w:r>
              <w:rPr>
                <w:rFonts w:hint="eastAsia" w:ascii="宋体" w:hAnsi="宋体" w:cs="宋体"/>
                <w:color w:val="000000"/>
                <w:kern w:val="0"/>
                <w:sz w:val="24"/>
              </w:rPr>
              <w:t>（中期)社会指标1；免费提供的最基本的公共卫生服务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(中期)社会Z1；面向全体居民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完成</w:t>
            </w:r>
          </w:p>
        </w:tc>
      </w:tr>
      <w:tr>
        <w:tblPrEx>
          <w:tblCellMar>
            <w:top w:w="0" w:type="dxa"/>
            <w:left w:w="0" w:type="dxa"/>
            <w:bottom w:w="0" w:type="dxa"/>
            <w:right w:w="0" w:type="dxa"/>
          </w:tblCellMar>
        </w:tblPrEx>
        <w:trPr>
          <w:trHeight w:val="1050" w:hRule="atLeast"/>
          <w:jc w:val="center"/>
        </w:trPr>
        <w:tc>
          <w:tcPr>
            <w:tcW w:w="390"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(中期)满意指标1；免费提供的最基本的公共卫生服务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（中期)满意Z1；面向全体居民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完成</w:t>
            </w:r>
          </w:p>
        </w:tc>
      </w:tr>
    </w:tbl>
    <w:p>
      <w:pPr>
        <w:snapToGrid w:val="0"/>
        <w:spacing w:line="560" w:lineRule="exact"/>
        <w:rPr>
          <w:rFonts w:ascii="仿宋_GB2312" w:hAnsi="宋体" w:cs="宋体"/>
          <w:b/>
          <w:color w:val="000000"/>
          <w:kern w:val="0"/>
          <w:shd w:val="clear" w:color="auto" w:fill="FFFFFF"/>
          <w:lang w:val="zh-CN"/>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rPr>
              <w:t>项目绩效目标完成情况表</w:t>
            </w:r>
            <w:r>
              <w:rPr>
                <w:rFonts w:ascii="宋体" w:cs="宋体"/>
                <w:b/>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国家基本药物补助</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自贡市自流井区卫生健康局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99.57万元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99.57万元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99.57万元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99.57万元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1.保证所有政府办基层医疗卫生机构实施基本国家基本药物制度，推进综合改革顺利进行。                                                                          2.对实施国家基本药物制度的村卫生室给予补助，支持国家基本药物制度在村卫生室顺利实施。。</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辖区公立基层医疗机构和村卫生室100%执行国家基本药物制度</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1.政府办基层医疗卫生机构实施基本国家基本药物制度覆盖率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100%完成</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2.村卫生室实施国家基本药物覆盖率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3.村卫生室个数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41个村卫生室</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100%覆盖</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1.完成时间节点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按年度执行</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完成</w:t>
            </w:r>
          </w:p>
        </w:tc>
      </w:tr>
      <w:tr>
        <w:tblPrEx>
          <w:tblCellMar>
            <w:top w:w="0" w:type="dxa"/>
            <w:left w:w="0" w:type="dxa"/>
            <w:bottom w:w="0" w:type="dxa"/>
            <w:right w:w="0" w:type="dxa"/>
          </w:tblCellMar>
        </w:tblPrEx>
        <w:trPr>
          <w:trHeight w:val="1042" w:hRule="atLeast"/>
          <w:jc w:val="center"/>
        </w:trPr>
        <w:tc>
          <w:tcPr>
            <w:tcW w:w="390" w:type="dxa"/>
            <w:vMerge w:val="continue"/>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2.资金支付进度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按进度及时拨付到位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及时到位</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基药制度省级补助标准</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2.96/个/年</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按标准拨付到位</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乡村医生收入</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保持稳定</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保持稳定</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国家基本药物制度在基层持续实施</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中长期持续实施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长期开展，定期督查</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b/>
                <w:bCs/>
                <w:color w:val="000000"/>
                <w:kern w:val="0"/>
                <w:sz w:val="36"/>
                <w:szCs w:val="36"/>
              </w:rPr>
            </w:pPr>
          </w:p>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rPr>
              <w:t>项目绩效目标完成情况表</w:t>
            </w:r>
            <w:r>
              <w:rPr>
                <w:rFonts w:ascii="宋体" w:cs="宋体"/>
                <w:b/>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乡村医生养老保险补助</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自贡市自流井区卫生健康局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18.2万元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18.2万元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18.2万元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18.2万元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进一步巩固完善基层医药卫生体制综合改革成果，保障乡村医生的合法权益，建立完善乡村医生退出和养老保障机制，稳定乡村医生队伍，调动和发挥乡村医生的积极性，提升基层医疗卫生水平。</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村医积极性得到提高，老年村医基本权益有保障，村医队伍稳定性得到提高。</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产出指标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乡村医生退出和养老保障机制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建立和完善</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村医保障制度得到进一步完善，共有174名村医享受到养老保险补助。</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乡村医生的积极性</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满意度提高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村医普遍满意，队伍稳定性得到提高。</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textAlignment w:val="center"/>
              <w:rPr>
                <w:rFonts w:ascii="宋体" w:hAnsi="宋体" w:cs="宋体"/>
                <w:b/>
                <w:bCs/>
                <w:color w:val="000000"/>
                <w:kern w:val="0"/>
                <w:sz w:val="36"/>
                <w:szCs w:val="36"/>
              </w:rPr>
            </w:pPr>
          </w:p>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rPr>
              <w:t>项目绩效目标完成情况表</w:t>
            </w:r>
            <w:r>
              <w:rPr>
                <w:rFonts w:ascii="宋体" w:cs="宋体"/>
                <w:b/>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创建国家卫生城市工作经费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208万元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208万元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208万元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208万元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深入推进市容市貌、背街小巷、农贸市场等重点区域治理，广泛开展爱国卫生运动和健康教育，全面提升城市功能品质，确保成功创建国家卫生城市</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环境卫生秩序治理成效显著，爱国卫生运动广泛开展，城市功能品质显著提升，国家卫生城市成功创建</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kern w:val="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kern w:val="0"/>
                <w:sz w:val="24"/>
              </w:rPr>
              <w:t>按年度执行100%，年底前完成</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按年度执行100%，年底前完成　</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按期完成，</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kern w:val="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kern w:val="0"/>
                <w:sz w:val="24"/>
              </w:rPr>
              <w:t>开展国家卫生城市创建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完成创建目标任务　</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按期保质保量完成，成功创建国家卫生城市</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kern w:val="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kern w:val="0"/>
                <w:sz w:val="24"/>
              </w:rPr>
              <w:t>资金专款专用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各级资金专款专用，各级不得截留、滞留　</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年底前完成</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kern w:val="0"/>
                <w:sz w:val="24"/>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改善人居生活环境，提高居民满意度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满意度为优　</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80" w:lineRule="exact"/>
              <w:jc w:val="center"/>
              <w:rPr>
                <w:rFonts w:ascii="仿宋" w:hAnsi="仿宋" w:eastAsia="仿宋" w:cs="宋体"/>
                <w:color w:val="000000"/>
                <w:sz w:val="24"/>
              </w:rPr>
            </w:pPr>
            <w:r>
              <w:rPr>
                <w:rFonts w:hint="eastAsia" w:ascii="仿宋" w:hAnsi="仿宋" w:eastAsia="仿宋" w:cs="宋体"/>
                <w:color w:val="000000"/>
                <w:kern w:val="0"/>
                <w:sz w:val="24"/>
              </w:rPr>
              <w:t>居民生活环境进一步改善，进一步提升满意度，满意度为优</w:t>
            </w:r>
          </w:p>
        </w:tc>
      </w:tr>
    </w:tbl>
    <w:p>
      <w:pPr>
        <w:spacing w:line="580" w:lineRule="exact"/>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rPr>
              <w:t>项目绩效目标完成情况表</w:t>
            </w:r>
            <w:r>
              <w:rPr>
                <w:rFonts w:ascii="宋体" w:cs="宋体"/>
                <w:b/>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艾滋病防治配套经费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76.22万元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76.22万元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全面落实各项艾滋病和性病预防控制措施，提高发现率，扩大治疗覆盖面，提升治疗成功率，降低死亡率，降低新发感染，提高感染者和病人的生活质量。</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全面落实各项艾滋病和性病预防控制措施，提高发现率，扩大治疗覆盖面，提升治疗成功率，降低死亡率，降低新发感染，提高感染者和病人的生活质量。</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筛查人数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80400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随访检测</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531</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90%</w:t>
            </w:r>
          </w:p>
        </w:tc>
      </w:tr>
    </w:tbl>
    <w:p>
      <w:pPr>
        <w:spacing w:line="580" w:lineRule="exact"/>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年部门整体支出绩效评价情况开展自评，《自贡市自流井区卫生健康局</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b/>
          <w:color w:val="000000"/>
          <w:szCs w:val="32"/>
        </w:rPr>
      </w:pPr>
      <w:r>
        <w:rPr>
          <w:rFonts w:hint="eastAsia" w:ascii="仿宋_GB2312" w:hAnsi="仿宋_GB2312" w:cs="仿宋_GB2312"/>
          <w:szCs w:val="32"/>
        </w:rPr>
        <w:t>本部门自行组织对国家基本公共卫生服务项目开展了绩效评价，《自贡市自流井区卫生健康局国家基本公共卫生服务项目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4"/>
        </w:numPr>
        <w:spacing w:line="600" w:lineRule="exact"/>
        <w:ind w:firstLine="660" w:firstLineChars="150"/>
        <w:jc w:val="center"/>
        <w:outlineLvl w:val="0"/>
        <w:rPr>
          <w:rStyle w:val="15"/>
          <w:rFonts w:ascii="黑体" w:hAnsi="黑体" w:eastAsia="黑体"/>
          <w:b w:val="0"/>
        </w:rPr>
      </w:pPr>
      <w:bookmarkStart w:id="59" w:name="_Toc3536"/>
      <w:bookmarkStart w:id="60" w:name="_Toc15377225"/>
      <w:bookmarkStart w:id="61" w:name="_Toc15396613"/>
      <w:r>
        <w:rPr>
          <w:rFonts w:hint="eastAsia" w:ascii="黑体" w:hAnsi="黑体" w:eastAsia="黑体"/>
          <w:color w:val="000000"/>
          <w:sz w:val="44"/>
          <w:szCs w:val="44"/>
        </w:rPr>
        <w:t>名</w:t>
      </w:r>
      <w:r>
        <w:rPr>
          <w:rStyle w:val="15"/>
          <w:rFonts w:hint="eastAsia" w:ascii="黑体" w:hAnsi="黑体" w:eastAsia="黑体"/>
          <w:b w:val="0"/>
        </w:rPr>
        <w:t>词解释</w:t>
      </w:r>
      <w:bookmarkEnd w:id="59"/>
      <w:bookmarkEnd w:id="60"/>
      <w:bookmarkEnd w:id="61"/>
    </w:p>
    <w:p>
      <w:pPr>
        <w:spacing w:line="600" w:lineRule="exact"/>
        <w:jc w:val="left"/>
        <w:rPr>
          <w:rFonts w:ascii="宋体"/>
          <w:b/>
          <w:color w:val="000000"/>
          <w:sz w:val="44"/>
          <w:szCs w:val="44"/>
        </w:rPr>
      </w:pPr>
    </w:p>
    <w:p>
      <w:pPr>
        <w:pStyle w:val="18"/>
        <w:spacing w:line="596"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.社会保障和就业（类）行政事业单位离退休（款）归口管理的行政单位离退休（项）:指实行归口管理的行政单位（包括实行公务员管理的事业单位）开支的离退休经费。</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.社会保障和就业（类）行政事业单位离退休（款）事业单位离退休（项）:</w:t>
      </w:r>
      <w:r>
        <w:rPr>
          <w:rFonts w:ascii="仿宋_GB2312" w:eastAsia="仿宋_GB2312"/>
          <w:sz w:val="32"/>
          <w:szCs w:val="32"/>
        </w:rPr>
        <w:t>指</w:t>
      </w:r>
      <w:r>
        <w:rPr>
          <w:rFonts w:hint="eastAsia" w:ascii="仿宋_GB2312" w:eastAsia="仿宋_GB2312"/>
          <w:sz w:val="32"/>
          <w:szCs w:val="32"/>
        </w:rPr>
        <w:t>归口管理事业单位</w:t>
      </w:r>
      <w:r>
        <w:rPr>
          <w:rFonts w:ascii="仿宋_GB2312" w:eastAsia="仿宋_GB2312"/>
          <w:sz w:val="32"/>
          <w:szCs w:val="32"/>
        </w:rPr>
        <w:t>离退休</w:t>
      </w:r>
      <w:r>
        <w:rPr>
          <w:rFonts w:hint="eastAsia" w:ascii="仿宋_GB2312" w:eastAsia="仿宋_GB2312"/>
          <w:sz w:val="32"/>
          <w:szCs w:val="32"/>
        </w:rPr>
        <w:t>方面</w:t>
      </w:r>
      <w:r>
        <w:rPr>
          <w:rFonts w:ascii="仿宋_GB2312" w:eastAsia="仿宋_GB2312"/>
          <w:sz w:val="32"/>
          <w:szCs w:val="32"/>
        </w:rPr>
        <w:t>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.社会保障和就业（类）行政事业单位离退休（款）机关事业单位基本养老保险缴费支出（项）:</w:t>
      </w:r>
      <w:r>
        <w:rPr>
          <w:rFonts w:ascii="仿宋_GB2312" w:eastAsia="仿宋_GB2312"/>
          <w:sz w:val="32"/>
          <w:szCs w:val="32"/>
        </w:rPr>
        <w:t>指</w:t>
      </w:r>
      <w:r>
        <w:rPr>
          <w:rFonts w:hint="eastAsia" w:ascii="仿宋_GB2312" w:eastAsia="仿宋_GB2312"/>
          <w:sz w:val="32"/>
          <w:szCs w:val="32"/>
        </w:rPr>
        <w:t>机关事业单位</w:t>
      </w:r>
      <w:r>
        <w:rPr>
          <w:rFonts w:ascii="仿宋_GB2312" w:eastAsia="仿宋_GB2312"/>
          <w:sz w:val="32"/>
          <w:szCs w:val="32"/>
        </w:rPr>
        <w:t>实施养老保险制度由单位缴纳的养老保险费的支出。</w:t>
      </w:r>
      <w:r>
        <w:rPr>
          <w:rFonts w:ascii="仿宋_GB2312" w:eastAsia="仿宋_GB2312"/>
          <w:sz w:val="32"/>
          <w:szCs w:val="32"/>
        </w:rPr>
        <w:br w:type="textWrapping"/>
      </w:r>
      <w:r>
        <w:rPr>
          <w:rFonts w:ascii="仿宋_GB2312" w:eastAsia="仿宋_GB2312"/>
          <w:sz w:val="32"/>
          <w:szCs w:val="32"/>
        </w:rPr>
        <w:t xml:space="preserve">    12</w:t>
      </w:r>
      <w:r>
        <w:rPr>
          <w:rFonts w:hint="eastAsia" w:ascii="仿宋_GB2312" w:eastAsia="仿宋_GB2312"/>
          <w:sz w:val="32"/>
          <w:szCs w:val="32"/>
        </w:rPr>
        <w:t>.社会保障和就业（类）行政事业单位离退休（款）机关事业单位职业年金缴费支出（项）:</w:t>
      </w:r>
      <w:r>
        <w:rPr>
          <w:rFonts w:ascii="仿宋_GB2312" w:eastAsia="仿宋_GB2312"/>
          <w:sz w:val="32"/>
          <w:szCs w:val="32"/>
        </w:rPr>
        <w:t>指</w:t>
      </w:r>
      <w:r>
        <w:rPr>
          <w:rFonts w:hint="eastAsia" w:ascii="仿宋_GB2312" w:eastAsia="仿宋_GB2312"/>
          <w:sz w:val="32"/>
          <w:szCs w:val="32"/>
        </w:rPr>
        <w:t>机关事业单位</w:t>
      </w:r>
      <w:r>
        <w:rPr>
          <w:rFonts w:ascii="仿宋_GB2312" w:eastAsia="仿宋_GB2312"/>
          <w:sz w:val="32"/>
          <w:szCs w:val="32"/>
        </w:rPr>
        <w:t>实施养老保险制度由单位缴纳的职业年金的支出。</w:t>
      </w:r>
      <w:r>
        <w:rPr>
          <w:rFonts w:ascii="仿宋_GB2312" w:eastAsia="仿宋_GB2312"/>
          <w:sz w:val="32"/>
          <w:szCs w:val="32"/>
        </w:rPr>
        <w:br w:type="textWrapping"/>
      </w:r>
      <w:r>
        <w:rPr>
          <w:rFonts w:ascii="仿宋_GB2312" w:eastAsia="仿宋_GB2312"/>
          <w:sz w:val="32"/>
          <w:szCs w:val="32"/>
        </w:rPr>
        <w:t xml:space="preserve">    13</w:t>
      </w:r>
      <w:r>
        <w:rPr>
          <w:rFonts w:hint="eastAsia" w:ascii="仿宋_GB2312" w:eastAsia="仿宋_GB2312"/>
          <w:sz w:val="32"/>
          <w:szCs w:val="32"/>
        </w:rPr>
        <w:t>.社会保障和就业（类）其他社会保障和就业支出（款）其他社会保障和就业支出（项）:</w:t>
      </w:r>
      <w:r>
        <w:rPr>
          <w:rFonts w:ascii="仿宋_GB2312" w:eastAsia="仿宋_GB2312"/>
          <w:sz w:val="32"/>
          <w:szCs w:val="32"/>
        </w:rPr>
        <w:t>指除上述项目外其他用于行政事业单位离退休方面的支出。</w:t>
      </w:r>
      <w:r>
        <w:rPr>
          <w:rFonts w:ascii="仿宋_GB2312" w:eastAsia="仿宋_GB2312"/>
          <w:sz w:val="32"/>
          <w:szCs w:val="32"/>
        </w:rPr>
        <w:br w:type="textWrapping"/>
      </w:r>
      <w:r>
        <w:rPr>
          <w:rFonts w:ascii="仿宋_GB2312" w:eastAsia="仿宋_GB2312"/>
          <w:sz w:val="32"/>
          <w:szCs w:val="32"/>
        </w:rPr>
        <w:t xml:space="preserve">   </w:t>
      </w:r>
      <w:r>
        <w:rPr>
          <w:rFonts w:hint="eastAsia" w:ascii="仿宋_GB2312" w:eastAsia="仿宋_GB2312"/>
          <w:sz w:val="32"/>
          <w:szCs w:val="32"/>
        </w:rPr>
        <w:t xml:space="preserve"> </w:t>
      </w:r>
      <w:r>
        <w:rPr>
          <w:rFonts w:ascii="仿宋_GB2312" w:eastAsia="仿宋_GB2312"/>
          <w:sz w:val="32"/>
          <w:szCs w:val="32"/>
        </w:rPr>
        <w:t>14</w:t>
      </w:r>
      <w:r>
        <w:rPr>
          <w:rFonts w:hint="eastAsia" w:ascii="仿宋_GB2312" w:eastAsia="仿宋_GB2312"/>
          <w:sz w:val="32"/>
          <w:szCs w:val="32"/>
        </w:rPr>
        <w:t>.卫生健康（类）卫生健康管理事务（款）行政运行（项）: 指行政单位及参照公务员法管理的事业单位用于保障机构正常运行、开展日常工作的基本支出。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.卫生健康（类）卫生健康管理事务（款）一般行政管理事务（项）: 指行政单位（包括实行公务员管理的事业单位）未单独设置项级科目的其他项目支出。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16</w:t>
      </w:r>
      <w:r>
        <w:rPr>
          <w:rFonts w:hint="eastAsia" w:ascii="仿宋_GB2312" w:eastAsia="仿宋_GB2312"/>
          <w:sz w:val="32"/>
          <w:szCs w:val="32"/>
        </w:rPr>
        <w:t>.卫生健康（类）卫生健康管理事务（款）其他卫生健康管理事务支出（项）:指除行政运行、一般行政管理事务、机关服务以外的其他用于卫生健康管理事务方面的支出。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17</w:t>
      </w:r>
      <w:r>
        <w:rPr>
          <w:rFonts w:hint="eastAsia" w:ascii="仿宋_GB2312" w:eastAsia="仿宋_GB2312"/>
          <w:sz w:val="32"/>
          <w:szCs w:val="32"/>
        </w:rPr>
        <w:t>.卫生健康（类）公立医院（款）综合医院（项）:指卫生健康、中医部门所属的城市综合性医院、独立门诊、教学医院、疗养院和县医院的支出。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8</w:t>
      </w:r>
      <w:r>
        <w:rPr>
          <w:rFonts w:hint="eastAsia" w:ascii="仿宋_GB2312" w:eastAsia="仿宋_GB2312"/>
          <w:sz w:val="32"/>
          <w:szCs w:val="32"/>
        </w:rPr>
        <w:t>.卫生健康（类）公立医院（款）中医（民族）医院（项）:指卫生健康、中医部门所属的中医院、中西医结合医院、民族医院的支出。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9</w:t>
      </w:r>
      <w:r>
        <w:rPr>
          <w:rFonts w:hint="eastAsia" w:ascii="仿宋_GB2312" w:eastAsia="仿宋_GB2312"/>
          <w:sz w:val="32"/>
          <w:szCs w:val="32"/>
        </w:rPr>
        <w:t>.卫生健康（类）公立医院（款）其他公立医院支出（项）:指除上述项目以外的其他用于公立医院方面的支出。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.卫生健康（类）基层医疗卫生机构（款）城市社区卫生机构（项）:指用于城市社区卫生机构的支出。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21</w:t>
      </w:r>
      <w:r>
        <w:rPr>
          <w:rFonts w:hint="eastAsia" w:ascii="仿宋_GB2312" w:eastAsia="仿宋_GB2312"/>
          <w:sz w:val="32"/>
          <w:szCs w:val="32"/>
        </w:rPr>
        <w:t>.卫生健康（类）基层医疗卫生机构（款）乡镇卫生院（项）:指用于乡镇卫生院的支出。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22</w:t>
      </w:r>
      <w:r>
        <w:rPr>
          <w:rFonts w:hint="eastAsia" w:ascii="仿宋_GB2312" w:eastAsia="仿宋_GB2312"/>
          <w:sz w:val="32"/>
          <w:szCs w:val="32"/>
        </w:rPr>
        <w:t>.卫生健康（类）基层医疗卫生机构（款）其他基层医疗卫生机构支出（项）:指除城市社区卫生机构、乡镇卫生院以外的其他用于基层医疗卫生机构的支出。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23</w:t>
      </w:r>
      <w:r>
        <w:rPr>
          <w:rFonts w:hint="eastAsia" w:ascii="仿宋_GB2312" w:eastAsia="仿宋_GB2312"/>
          <w:sz w:val="32"/>
          <w:szCs w:val="32"/>
        </w:rPr>
        <w:t>.卫生健康（类）公共卫生（款）疾病预防控制机构（项）:指卫生健康部门所属疾病预防控制机构的支出。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24</w:t>
      </w:r>
      <w:r>
        <w:rPr>
          <w:rFonts w:hint="eastAsia" w:ascii="仿宋_GB2312" w:eastAsia="仿宋_GB2312"/>
          <w:sz w:val="32"/>
          <w:szCs w:val="32"/>
        </w:rPr>
        <w:t>.卫生健康（类）公共卫生（款）卫生监督机构（项）:指卫生健康部门所属卫生监督机构的支出。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25</w:t>
      </w:r>
      <w:r>
        <w:rPr>
          <w:rFonts w:hint="eastAsia" w:ascii="仿宋_GB2312" w:eastAsia="仿宋_GB2312"/>
          <w:sz w:val="32"/>
          <w:szCs w:val="32"/>
        </w:rPr>
        <w:t>.卫生健康（类）公共卫生（款）妇幼保健机构（项）:指卫生健康部门所属妇幼保健机构的支出。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26</w:t>
      </w:r>
      <w:r>
        <w:rPr>
          <w:rFonts w:hint="eastAsia" w:ascii="仿宋_GB2312" w:eastAsia="仿宋_GB2312"/>
          <w:sz w:val="32"/>
          <w:szCs w:val="32"/>
        </w:rPr>
        <w:t>.卫生健康（类）公共卫生（款）基本公共卫生服务（项）:指基本公共卫生服务支出。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.卫生健康（类）公共卫生（款）重大公共卫生专项（项）:指重大疾病预防控制等重大公共卫生服务项目支出。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8</w:t>
      </w:r>
      <w:r>
        <w:rPr>
          <w:rFonts w:hint="eastAsia" w:ascii="仿宋_GB2312" w:eastAsia="仿宋_GB2312"/>
          <w:sz w:val="32"/>
          <w:szCs w:val="32"/>
        </w:rPr>
        <w:t>.卫生健康（类）公共卫生（款）其他公共卫生支出（项）:指除基本公共卫生和重大公共卫生服务项目支出以外的其他用于公共卫生方面的支出。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9</w:t>
      </w:r>
      <w:r>
        <w:rPr>
          <w:rFonts w:hint="eastAsia" w:ascii="仿宋_GB2312" w:eastAsia="仿宋_GB2312"/>
          <w:sz w:val="32"/>
          <w:szCs w:val="32"/>
        </w:rPr>
        <w:t>.卫生健康（类）中医药（款）中医（民族医）药专项（项）:指中医（民族）医药方面的专项支出。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.卫生健康（类）中医药（款）其他中医药支出（项）:指除中医（民族）医药专项支出以外的其他中医药支出。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.卫生健康（类）计划生育事务（款）其他计划生育事务支出（项）:指除计划生育机构、计划生育服务项目以外其他用于计划生育管理事务方面的支出。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2</w:t>
      </w:r>
      <w:r>
        <w:rPr>
          <w:rFonts w:hint="eastAsia" w:ascii="仿宋_GB2312" w:eastAsia="仿宋_GB2312"/>
          <w:sz w:val="32"/>
          <w:szCs w:val="32"/>
        </w:rPr>
        <w:t>.卫生健康（类）行政事业单位医疗（款）行政单位医疗（项）:</w:t>
      </w:r>
      <w:r>
        <w:rPr>
          <w:rFonts w:ascii="仿宋_GB2312" w:eastAsia="仿宋_GB2312"/>
          <w:sz w:val="32"/>
          <w:szCs w:val="32"/>
        </w:rPr>
        <w:t>指机关及参公管理事业单位用于缴纳单位基本医疗保险支出。</w:t>
      </w:r>
      <w:r>
        <w:rPr>
          <w:rFonts w:ascii="仿宋_GB2312" w:eastAsia="仿宋_GB2312"/>
          <w:sz w:val="32"/>
          <w:szCs w:val="32"/>
        </w:rPr>
        <w:br w:type="textWrapping"/>
      </w:r>
      <w:r>
        <w:rPr>
          <w:rFonts w:ascii="仿宋_GB2312" w:eastAsia="仿宋_GB2312"/>
          <w:sz w:val="32"/>
          <w:szCs w:val="32"/>
        </w:rPr>
        <w:t xml:space="preserve">    33</w:t>
      </w:r>
      <w:r>
        <w:rPr>
          <w:rFonts w:hint="eastAsia" w:ascii="仿宋_GB2312" w:eastAsia="仿宋_GB2312"/>
          <w:sz w:val="32"/>
          <w:szCs w:val="32"/>
        </w:rPr>
        <w:t>.卫生健康（类）行政事业单位医疗（款）事业单位医疗（项）:</w:t>
      </w:r>
      <w:r>
        <w:rPr>
          <w:rFonts w:ascii="仿宋_GB2312" w:eastAsia="仿宋_GB2312"/>
          <w:sz w:val="32"/>
          <w:szCs w:val="32"/>
        </w:rPr>
        <w:t>指事业单位用于缴纳单位基本医疗保险支出。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34</w:t>
      </w:r>
      <w:r>
        <w:rPr>
          <w:rFonts w:hint="eastAsia" w:ascii="仿宋_GB2312" w:eastAsia="仿宋_GB2312"/>
          <w:sz w:val="32"/>
          <w:szCs w:val="32"/>
        </w:rPr>
        <w:t>.卫生健康（类）老龄卫生健康事务（款）老龄卫生健康事务（项）:指老龄卫生健康事务方面的支出。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35</w:t>
      </w:r>
      <w:r>
        <w:rPr>
          <w:rFonts w:hint="eastAsia" w:ascii="仿宋_GB2312" w:eastAsia="仿宋_GB2312"/>
          <w:sz w:val="32"/>
          <w:szCs w:val="32"/>
        </w:rPr>
        <w:t>.卫生健康（类）其他卫生健康支出（款）其他卫生健康支出（项）:指除上述项目以外其他用于卫生健康方面的支出。</w:t>
      </w:r>
    </w:p>
    <w:p>
      <w:pPr>
        <w:pStyle w:val="18"/>
        <w:spacing w:line="596" w:lineRule="exact"/>
        <w:ind w:firstLine="640" w:firstLineChars="200"/>
        <w:rPr>
          <w:rFonts w:ascii="仿宋_GB2312" w:eastAsia="仿宋_GB2312"/>
          <w:sz w:val="32"/>
          <w:szCs w:val="32"/>
        </w:rPr>
      </w:pPr>
      <w:r>
        <w:rPr>
          <w:rFonts w:ascii="仿宋_GB2312" w:eastAsia="仿宋_GB2312"/>
          <w:sz w:val="32"/>
          <w:szCs w:val="32"/>
        </w:rPr>
        <w:t>36</w:t>
      </w:r>
      <w:r>
        <w:rPr>
          <w:rFonts w:hint="eastAsia" w:ascii="仿宋_GB2312" w:eastAsia="仿宋_GB2312"/>
          <w:sz w:val="32"/>
          <w:szCs w:val="32"/>
        </w:rPr>
        <w:t>.住房保障支出（类）住房改革支出（款）住房公积金（项）:指用于按规定的基本工资和津贴补贴以及规定比例为职工缴纳的住房公积金支出。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7.</w:t>
      </w:r>
      <w:r>
        <w:rPr>
          <w:rFonts w:hint="eastAsia" w:ascii="仿宋_GB2312" w:eastAsia="仿宋_GB2312"/>
          <w:sz w:val="32"/>
          <w:szCs w:val="32"/>
        </w:rPr>
        <w:t>基本支出：指为保障机构正常运转、完成日常工作任务而发生的人员支出和公用支出。</w:t>
      </w:r>
    </w:p>
    <w:p>
      <w:pPr>
        <w:spacing w:line="596" w:lineRule="exact"/>
        <w:ind w:firstLine="640" w:firstLineChars="200"/>
        <w:rPr>
          <w:rFonts w:ascii="仿宋_GB2312"/>
          <w:color w:val="000000"/>
          <w:szCs w:val="32"/>
        </w:rPr>
      </w:pPr>
      <w:r>
        <w:rPr>
          <w:rFonts w:hint="eastAsia" w:ascii="仿宋_GB2312"/>
          <w:color w:val="000000"/>
          <w:szCs w:val="32"/>
        </w:rPr>
        <w:t>3</w:t>
      </w:r>
      <w:r>
        <w:rPr>
          <w:rFonts w:ascii="仿宋_GB2312"/>
          <w:color w:val="000000"/>
          <w:szCs w:val="32"/>
        </w:rPr>
        <w:t>8.</w:t>
      </w:r>
      <w:r>
        <w:rPr>
          <w:rFonts w:hint="eastAsia" w:ascii="仿宋_GB2312"/>
          <w:color w:val="000000"/>
          <w:szCs w:val="32"/>
        </w:rPr>
        <w:t>项目支出：指在基本支出之外为完成特定行政任务和事业发展目标所发生的支出。</w:t>
      </w:r>
    </w:p>
    <w:p>
      <w:pPr>
        <w:spacing w:line="596" w:lineRule="exact"/>
        <w:ind w:firstLine="640" w:firstLineChars="200"/>
        <w:rPr>
          <w:rFonts w:ascii="仿宋_GB2312"/>
          <w:color w:val="000000"/>
          <w:szCs w:val="32"/>
        </w:rPr>
      </w:pPr>
      <w:r>
        <w:rPr>
          <w:rFonts w:hint="eastAsia" w:ascii="仿宋_GB2312"/>
          <w:color w:val="000000"/>
          <w:szCs w:val="32"/>
        </w:rPr>
        <w:t>3</w:t>
      </w:r>
      <w:r>
        <w:rPr>
          <w:rFonts w:ascii="仿宋_GB2312"/>
          <w:color w:val="000000"/>
          <w:szCs w:val="32"/>
        </w:rPr>
        <w:t>9.</w:t>
      </w:r>
      <w:r>
        <w:rPr>
          <w:rFonts w:hint="eastAsia" w:ascii="仿宋_GB2312"/>
          <w:color w:val="000000"/>
          <w:szCs w:val="32"/>
        </w:rPr>
        <w:t>经营支出：指事业单位在专业业务活动及其辅助活动之外开展非独立核算经营活动发生的支出。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spacing w:line="596" w:lineRule="exact"/>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8"/>
        <w:spacing w:line="560" w:lineRule="exact"/>
        <w:ind w:firstLine="640" w:firstLineChars="200"/>
        <w:rPr>
          <w:rFonts w:ascii="仿宋_GB2312" w:eastAsia="仿宋_GB2312" w:cs="黑体"/>
          <w:sz w:val="32"/>
          <w:szCs w:val="32"/>
        </w:rPr>
      </w:pPr>
    </w:p>
    <w:p>
      <w:pPr>
        <w:spacing w:line="600" w:lineRule="exact"/>
        <w:jc w:val="center"/>
        <w:outlineLvl w:val="0"/>
        <w:rPr>
          <w:rStyle w:val="15"/>
          <w:rFonts w:ascii="黑体" w:hAnsi="黑体" w:eastAsia="黑体"/>
          <w:b w:val="0"/>
        </w:rPr>
      </w:pPr>
      <w:bookmarkStart w:id="62" w:name="_Toc15377226"/>
      <w:r>
        <w:rPr>
          <w:rFonts w:ascii="宋体"/>
          <w:b/>
          <w:color w:val="000000"/>
          <w:sz w:val="44"/>
          <w:szCs w:val="44"/>
        </w:rPr>
        <w:br w:type="page"/>
      </w:r>
      <w:bookmarkStart w:id="63" w:name="_Toc15396614"/>
      <w:bookmarkStart w:id="64" w:name="_Toc11207"/>
      <w:r>
        <w:rPr>
          <w:rFonts w:hint="eastAsia" w:ascii="黑体" w:hAnsi="黑体" w:eastAsia="黑体"/>
          <w:color w:val="000000"/>
          <w:sz w:val="44"/>
          <w:szCs w:val="44"/>
        </w:rPr>
        <w:t>第</w:t>
      </w:r>
      <w:r>
        <w:rPr>
          <w:rStyle w:val="15"/>
          <w:rFonts w:hint="eastAsia" w:ascii="黑体" w:hAnsi="黑体" w:eastAsia="黑体"/>
          <w:b w:val="0"/>
        </w:rPr>
        <w:t>四部分附件</w:t>
      </w:r>
      <w:bookmarkEnd w:id="63"/>
      <w:bookmarkEnd w:id="64"/>
    </w:p>
    <w:p>
      <w:pPr>
        <w:spacing w:line="600" w:lineRule="exact"/>
        <w:jc w:val="left"/>
        <w:outlineLvl w:val="1"/>
        <w:rPr>
          <w:rFonts w:ascii="方正小标宋简体" w:hAnsi="方正小标宋简体" w:eastAsia="方正小标宋简体" w:cs="方正小标宋简体"/>
          <w:szCs w:val="32"/>
        </w:rPr>
      </w:pPr>
      <w:bookmarkStart w:id="65" w:name="_Toc22930"/>
      <w:r>
        <w:rPr>
          <w:rFonts w:hint="eastAsia" w:ascii="黑体" w:hAnsi="黑体" w:eastAsia="黑体" w:cs="黑体"/>
          <w:szCs w:val="32"/>
        </w:rPr>
        <w:t>附件</w:t>
      </w:r>
      <w:r>
        <w:rPr>
          <w:rFonts w:ascii="黑体" w:hAnsi="黑体" w:eastAsia="黑体" w:cs="黑体"/>
          <w:szCs w:val="32"/>
        </w:rPr>
        <w:t>1</w:t>
      </w:r>
      <w:bookmarkEnd w:id="65"/>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lang w:val="zh-CN"/>
        </w:rPr>
      </w:pPr>
      <w:r>
        <w:rPr>
          <w:rFonts w:hint="eastAsia" w:ascii="方正小标宋简体" w:hAnsi="宋体" w:eastAsia="方正小标宋简体"/>
          <w:color w:val="000000"/>
          <w:kern w:val="0"/>
          <w:sz w:val="40"/>
          <w:szCs w:val="44"/>
          <w:lang w:val="zh-CN"/>
        </w:rPr>
        <w:t>自贡市自流井区卫生健康局</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spacing w:line="560" w:lineRule="exact"/>
        <w:ind w:firstLine="643" w:firstLineChars="200"/>
        <w:rPr>
          <w:rFonts w:ascii="楷体_GB2312" w:hAnsi="宋体" w:eastAsia="楷体_GB2312" w:cs="宋体"/>
          <w:b/>
          <w:color w:val="000000"/>
          <w:kern w:val="0"/>
          <w:szCs w:val="32"/>
          <w:shd w:val="clear" w:color="auto" w:fill="FFFFFF"/>
          <w:lang w:val="zh-CN"/>
        </w:rPr>
      </w:pPr>
      <w:r>
        <w:rPr>
          <w:rFonts w:hint="eastAsia" w:ascii="楷体_GB2312" w:hAnsi="宋体" w:eastAsia="楷体_GB2312" w:cs="宋体"/>
          <w:b/>
          <w:color w:val="000000"/>
          <w:kern w:val="0"/>
          <w:szCs w:val="32"/>
          <w:shd w:val="clear" w:color="auto" w:fill="FFFFFF"/>
          <w:lang w:val="zh-CN"/>
        </w:rPr>
        <w:t>（一）机构组成</w:t>
      </w:r>
    </w:p>
    <w:p>
      <w:pPr>
        <w:spacing w:line="560" w:lineRule="exact"/>
        <w:ind w:firstLine="640" w:firstLineChars="200"/>
        <w:rPr>
          <w:rFonts w:eastAsia="楷体_GB2312"/>
          <w:b/>
          <w:color w:val="000000"/>
          <w:kern w:val="0"/>
          <w:shd w:val="clear" w:color="auto" w:fill="FFFFFF"/>
          <w:lang w:val="zh-CN"/>
        </w:rPr>
      </w:pPr>
      <w:r>
        <w:rPr>
          <w:rFonts w:ascii="仿宋_GB2312" w:hAnsi="宋体" w:cs="仿宋_GB2312"/>
        </w:rPr>
        <w:t>下属二级预算单位</w:t>
      </w:r>
      <w:r>
        <w:rPr>
          <w:rFonts w:hint="eastAsia" w:ascii="仿宋_GB2312" w:hAnsi="宋体" w:cs="仿宋_GB2312"/>
        </w:rPr>
        <w:t>12</w:t>
      </w:r>
      <w:r>
        <w:rPr>
          <w:rFonts w:ascii="仿宋_GB2312" w:hAnsi="宋体" w:cs="仿宋_GB2312"/>
        </w:rPr>
        <w:t>个，其中行政单位</w:t>
      </w:r>
      <w:r>
        <w:rPr>
          <w:rFonts w:hint="eastAsia" w:ascii="仿宋_GB2312" w:hAnsi="宋体" w:cs="仿宋_GB2312"/>
        </w:rPr>
        <w:t>1</w:t>
      </w:r>
      <w:r>
        <w:rPr>
          <w:rFonts w:ascii="仿宋_GB2312" w:hAnsi="宋体" w:cs="仿宋_GB2312"/>
        </w:rPr>
        <w:t>个，参照公务员法管理的事业单位</w:t>
      </w:r>
      <w:r>
        <w:rPr>
          <w:rFonts w:hint="eastAsia" w:ascii="仿宋_GB2312" w:hAnsi="宋体" w:cs="仿宋_GB2312"/>
        </w:rPr>
        <w:t>1</w:t>
      </w:r>
      <w:r>
        <w:rPr>
          <w:rFonts w:ascii="仿宋_GB2312" w:hAnsi="宋体" w:cs="仿宋_GB2312"/>
        </w:rPr>
        <w:t>个，其他</w:t>
      </w:r>
      <w:r>
        <w:rPr>
          <w:rFonts w:hint="eastAsia" w:ascii="仿宋_GB2312" w:hAnsi="宋体" w:cs="仿宋_GB2312"/>
        </w:rPr>
        <w:t>医疗卫生单位10</w:t>
      </w:r>
      <w:r>
        <w:rPr>
          <w:rFonts w:ascii="仿宋_GB2312" w:hAnsi="宋体" w:cs="仿宋_GB2312"/>
        </w:rPr>
        <w:t>个。主要包括：</w:t>
      </w:r>
      <w:r>
        <w:rPr>
          <w:rFonts w:hint="eastAsia" w:ascii="仿宋_GB2312" w:hAnsi="宋体" w:cs="仿宋_GB2312"/>
        </w:rPr>
        <w:t>自贡市自流井区卫生健康局（本级）、自贡市自流井区卫生和计划生育监督执法大队、自贡市自流井区中医院、自贡市自流井区妇幼保健计划生育服务中心（自贡市自流井区妇幼保健院）、自贡市自流井区疾病预防控制中心、自流井区第三人民医院、自贡市自流井区东街社区卫生服务中心（自贡市自流井区第二人民医院）、自贡市自流井区五星街社区卫生服务中心、自贡市自流井区仲权镇中心卫生院、自贡市自流井区舒坪镇中心卫生院、自贡市自流井区荣边镇卫生院、自贡市自流井区飞龙峡镇卫生院。</w:t>
      </w:r>
    </w:p>
    <w:p>
      <w:pPr>
        <w:spacing w:line="560" w:lineRule="exact"/>
        <w:ind w:firstLine="643" w:firstLineChars="200"/>
        <w:rPr>
          <w:rFonts w:ascii="楷体_GB2312" w:hAnsi="宋体" w:eastAsia="楷体_GB2312" w:cs="宋体"/>
          <w:b/>
          <w:color w:val="000000"/>
          <w:kern w:val="0"/>
          <w:szCs w:val="32"/>
          <w:shd w:val="clear" w:color="auto" w:fill="FFFFFF"/>
          <w:lang w:val="zh-CN"/>
        </w:rPr>
      </w:pPr>
      <w:r>
        <w:rPr>
          <w:rFonts w:hint="eastAsia" w:ascii="楷体_GB2312" w:hAnsi="宋体" w:eastAsia="楷体_GB2312" w:cs="宋体"/>
          <w:b/>
          <w:color w:val="000000"/>
          <w:kern w:val="0"/>
          <w:szCs w:val="32"/>
          <w:shd w:val="clear" w:color="auto" w:fill="FFFFFF"/>
          <w:lang w:val="zh-CN"/>
        </w:rPr>
        <w:t>（二）机构职能</w:t>
      </w:r>
    </w:p>
    <w:p>
      <w:pPr>
        <w:spacing w:line="596" w:lineRule="exact"/>
        <w:ind w:firstLine="640" w:firstLineChars="200"/>
        <w:rPr>
          <w:rFonts w:ascii="仿宋_GB2312" w:hAnsi="宋体" w:cs="仿宋_GB2312"/>
        </w:rPr>
      </w:pPr>
      <w:r>
        <w:rPr>
          <w:rFonts w:hint="eastAsia" w:ascii="仿宋_GB2312" w:hAnsi="宋体" w:cs="仿宋_GB2312"/>
        </w:rPr>
        <w:t>1.负责起草卫生健康事业发展的规范性文件、规划，制定卫生健康地方标准与技术规范并组织实施。统筹规划全区卫生健康资源配置。组织实施推进卫生健康基本公共服务均等化、普惠化、便捷化和公共资源向基层延伸等政策措施。</w:t>
      </w:r>
    </w:p>
    <w:p>
      <w:pPr>
        <w:spacing w:line="596" w:lineRule="exact"/>
        <w:ind w:firstLine="640" w:firstLineChars="200"/>
        <w:rPr>
          <w:rFonts w:ascii="仿宋_GB2312" w:hAnsi="宋体" w:cs="仿宋_GB2312"/>
        </w:rPr>
      </w:pPr>
      <w:r>
        <w:rPr>
          <w:rFonts w:hint="eastAsia" w:ascii="仿宋_GB2312" w:hAnsi="宋体" w:cs="仿宋_GB2312"/>
        </w:rPr>
        <w:t>2.牵头推进全区深化医药卫生体制改革。研究提出深化改革重大政策、措施的建议。牵头负责全区分级诊疗、现代医院管理、全民医保、药品供应保障、综合监管5项基本医疗卫生制度建设。制定并组织实施推动卫生健康公共服务提供主体多元化、提供方式多样化的政策措施。</w:t>
      </w:r>
    </w:p>
    <w:p>
      <w:pPr>
        <w:spacing w:line="596" w:lineRule="exact"/>
        <w:ind w:firstLine="640" w:firstLineChars="200"/>
        <w:rPr>
          <w:rFonts w:ascii="仿宋_GB2312" w:hAnsi="宋体" w:cs="仿宋_GB2312"/>
        </w:rPr>
      </w:pPr>
      <w:r>
        <w:rPr>
          <w:rFonts w:hint="eastAsia" w:ascii="仿宋_GB2312" w:hAnsi="宋体" w:cs="仿宋_GB2312"/>
        </w:rPr>
        <w:t>3.制定并组织落实全区疾病预防控制规划、免疫规划以及严重危害人民健康的艾滋病等重大传染病、寄生虫病、地方病等公共卫生问题的干预措施。负责全区卫生应急工作，组织和指导全区突发公共卫生事件预防控制和各类突发公共事件的医疗卫生救援。依照国家检疫传染病和监测传染病目录，参与开展检疫监测工作。</w:t>
      </w:r>
    </w:p>
    <w:p>
      <w:pPr>
        <w:spacing w:line="596" w:lineRule="exact"/>
        <w:ind w:firstLine="640" w:firstLineChars="200"/>
        <w:rPr>
          <w:rFonts w:ascii="仿宋_GB2312" w:hAnsi="宋体" w:cs="仿宋_GB2312"/>
        </w:rPr>
      </w:pPr>
      <w:r>
        <w:rPr>
          <w:rFonts w:hint="eastAsia" w:ascii="仿宋_GB2312" w:hAnsi="宋体" w:cs="仿宋_GB2312"/>
        </w:rPr>
        <w:t>4.贯彻落实国家应对人口老龄化政策措施。负责推进老年健康服务体系建设和医养结合工作。承担区老龄工作委员会日常工作。</w:t>
      </w:r>
    </w:p>
    <w:p>
      <w:pPr>
        <w:spacing w:line="596" w:lineRule="exact"/>
        <w:ind w:firstLine="640" w:firstLineChars="200"/>
        <w:rPr>
          <w:rFonts w:ascii="仿宋_GB2312" w:hAnsi="宋体" w:cs="仿宋_GB2312"/>
        </w:rPr>
      </w:pPr>
      <w:r>
        <w:rPr>
          <w:rFonts w:hint="eastAsia" w:ascii="仿宋_GB2312" w:hAnsi="宋体" w:cs="仿宋_GB2312"/>
        </w:rPr>
        <w:t>5.贯彻落实国家药物政策和国家基本药物制度。开展药械使用监测、临床综合评价和短缺药品预警，组织执行国家药典和国家基本药物目录，贯彻执行基本药物使用的政策措施。组织实施食品安全风险监测，组织开展食品安全事故流行病学调查。</w:t>
      </w:r>
    </w:p>
    <w:p>
      <w:pPr>
        <w:spacing w:line="596" w:lineRule="exact"/>
        <w:ind w:firstLine="640" w:firstLineChars="200"/>
        <w:rPr>
          <w:rFonts w:ascii="仿宋_GB2312" w:hAnsi="宋体" w:cs="仿宋_GB2312"/>
        </w:rPr>
      </w:pPr>
      <w:r>
        <w:rPr>
          <w:rFonts w:hint="eastAsia" w:ascii="仿宋_GB2312" w:hAnsi="宋体" w:cs="仿宋_GB2312"/>
        </w:rPr>
        <w:t>6.负责职责范围内的职业卫生、放射卫生、环境卫生、学校卫生、公共场所卫生、饮用水卫生等公共卫生的监督管理。负责传染病防治监督，健全卫生健康综合监管体系。</w:t>
      </w:r>
    </w:p>
    <w:p>
      <w:pPr>
        <w:spacing w:line="596" w:lineRule="exact"/>
        <w:ind w:firstLine="640" w:firstLineChars="200"/>
        <w:rPr>
          <w:rFonts w:ascii="仿宋_GB2312" w:hAnsi="宋体" w:cs="仿宋_GB2312"/>
        </w:rPr>
      </w:pPr>
      <w:r>
        <w:rPr>
          <w:rFonts w:hint="eastAsia" w:ascii="仿宋_GB2312" w:hAnsi="宋体" w:cs="仿宋_GB2312"/>
        </w:rPr>
        <w:t>7.制定全区医疗机构和医疗服务行业管理办法并监督实施，建立医疗服务评价和监督管理体系。会同有关部门实施国家卫生健康专业技术人员资格标准。制定并组织实施医疗机构服务规范、标准和卫生健康专业技术人员执业规则和服务规范。负责医疗机构、人员和行为的日常监管。组织协调全区无偿献血工作。</w:t>
      </w:r>
    </w:p>
    <w:p>
      <w:pPr>
        <w:spacing w:line="596" w:lineRule="exact"/>
        <w:ind w:firstLine="640" w:firstLineChars="200"/>
        <w:rPr>
          <w:rFonts w:ascii="仿宋_GB2312" w:hAnsi="宋体" w:cs="仿宋_GB2312"/>
        </w:rPr>
      </w:pPr>
      <w:r>
        <w:rPr>
          <w:rFonts w:hint="eastAsia" w:ascii="仿宋_GB2312" w:hAnsi="宋体" w:cs="仿宋_GB2312"/>
        </w:rPr>
        <w:t>8.负责全区计划生育管理和服务工作。开展人口监测预警，研究提出人口与家庭发展相关政策建议。指导区计划生育协会的业务工作。</w:t>
      </w:r>
    </w:p>
    <w:p>
      <w:pPr>
        <w:spacing w:line="596" w:lineRule="exact"/>
        <w:ind w:firstLine="640" w:firstLineChars="200"/>
        <w:rPr>
          <w:rFonts w:ascii="仿宋_GB2312" w:hAnsi="宋体" w:cs="仿宋_GB2312"/>
        </w:rPr>
      </w:pPr>
      <w:r>
        <w:rPr>
          <w:rFonts w:hint="eastAsia" w:ascii="仿宋_GB2312" w:hAnsi="宋体" w:cs="仿宋_GB2312"/>
        </w:rPr>
        <w:t>9.指导全区基层医疗卫生、妇幼健康服务体系建设和基层卫生队伍建设。</w:t>
      </w:r>
    </w:p>
    <w:p>
      <w:pPr>
        <w:spacing w:line="596" w:lineRule="exact"/>
        <w:ind w:firstLine="640" w:firstLineChars="200"/>
        <w:rPr>
          <w:rFonts w:ascii="仿宋_GB2312" w:hAnsi="宋体" w:cs="仿宋_GB2312"/>
        </w:rPr>
      </w:pPr>
      <w:r>
        <w:rPr>
          <w:rFonts w:hint="eastAsia" w:ascii="仿宋_GB2312" w:hAnsi="宋体" w:cs="仿宋_GB2312"/>
        </w:rPr>
        <w:t>10.拟订全区卫生健康人才发展规划和科技发展规划，加强卫生健康人才队伍建设，推进卫生健康科技创新发展。</w:t>
      </w:r>
    </w:p>
    <w:p>
      <w:pPr>
        <w:spacing w:line="596" w:lineRule="exact"/>
        <w:ind w:firstLine="640" w:firstLineChars="200"/>
        <w:rPr>
          <w:rFonts w:ascii="仿宋_GB2312" w:hAnsi="宋体" w:cs="仿宋_GB2312"/>
        </w:rPr>
      </w:pPr>
      <w:r>
        <w:rPr>
          <w:rFonts w:hint="eastAsia" w:ascii="仿宋_GB2312" w:hAnsi="宋体" w:cs="仿宋_GB2312"/>
        </w:rPr>
        <w:t>11.负责保健对象的医疗保健工作，负责重要会议与重大活动的医疗卫生保障工作。</w:t>
      </w:r>
    </w:p>
    <w:p>
      <w:pPr>
        <w:spacing w:line="596" w:lineRule="exact"/>
        <w:ind w:firstLine="640" w:firstLineChars="200"/>
        <w:rPr>
          <w:rFonts w:ascii="仿宋_GB2312" w:hAnsi="宋体" w:cs="仿宋_GB2312"/>
        </w:rPr>
      </w:pPr>
      <w:r>
        <w:rPr>
          <w:rFonts w:hint="eastAsia" w:ascii="仿宋_GB2312" w:hAnsi="宋体" w:cs="仿宋_GB2312"/>
        </w:rPr>
        <w:t>12.贯彻国家、省、市促进中医药事业发展的法律法规和规章，组织拟订全区中医药中长期发展规划，并纳入卫生健康事业发展总体规划和战略目标，加强对中医医疗、预防、保健、康复、护理及临床用药等的监督指导，对全区中医药工作实行行业管理。</w:t>
      </w:r>
    </w:p>
    <w:p>
      <w:pPr>
        <w:spacing w:line="596" w:lineRule="exact"/>
        <w:ind w:firstLine="640" w:firstLineChars="200"/>
        <w:rPr>
          <w:rFonts w:ascii="仿宋_GB2312" w:hAnsi="宋体" w:cs="仿宋_GB2312"/>
        </w:rPr>
      </w:pPr>
      <w:r>
        <w:rPr>
          <w:rFonts w:hint="eastAsia" w:ascii="仿宋_GB2312" w:hAnsi="宋体" w:cs="仿宋_GB2312"/>
        </w:rPr>
        <w:t>13.依法依规履行卫生健康行业安全生产监管职责。负责职责范围内的安全生产和职业健康、生态环境保护、审批服务便民化等工作。</w:t>
      </w:r>
    </w:p>
    <w:p>
      <w:pPr>
        <w:spacing w:line="596" w:lineRule="exact"/>
        <w:ind w:firstLine="640" w:firstLineChars="200"/>
        <w:rPr>
          <w:rFonts w:ascii="仿宋_GB2312" w:hAnsi="宋体" w:cs="仿宋_GB2312"/>
        </w:rPr>
      </w:pPr>
      <w:r>
        <w:rPr>
          <w:rFonts w:hint="eastAsia" w:ascii="仿宋_GB2312" w:hAnsi="宋体" w:cs="仿宋_GB2312"/>
        </w:rPr>
        <w:t>14.完成区委、区政府交办的其他任务。</w:t>
      </w:r>
    </w:p>
    <w:p>
      <w:pPr>
        <w:spacing w:line="596" w:lineRule="exact"/>
        <w:ind w:firstLine="640" w:firstLineChars="200"/>
        <w:rPr>
          <w:rFonts w:ascii="仿宋_GB2312" w:hAnsi="宋体" w:cs="仿宋_GB2312"/>
        </w:rPr>
      </w:pPr>
      <w:r>
        <w:rPr>
          <w:rFonts w:hint="eastAsia" w:ascii="仿宋_GB2312" w:hAnsi="宋体" w:cs="仿宋_GB2312"/>
        </w:rPr>
        <w:t>15.职能转变。牢固树立大卫生、大健康理念，推动实施健康中国和健康四川战略，全面推进健康自流井建设，以改革创新为动力，以促健康、转模式、强基层、重保障为着力点，把以治病为中心转变到以人民健康为中心，为人民群众提供全方位全周期卫生健康服务。一是更加注重预防为主和健康促进，提高健康意识，加强爱国卫生运动工作，加强预防控制重大疾病工作，积极应对人口老龄化，健全卫生健康服务体系。二是更加注重卫生健康服务公平性和可及性，推动工作重心下移和资源下沉，推进卫生健康公共资源向基层延伸、向农村覆盖、向边远地区和生活困难群众倾斜。三是更加注重提高服务质量和水平，推动建设高质量健康服务基地和中医药强区。四是更加注重深化医药卫生体制改革的科学性和持续性，加快分级诊疗制度建设，加强医疗、医保、医药的联动改革，加大公立医院改革力度。</w:t>
      </w:r>
    </w:p>
    <w:p>
      <w:pPr>
        <w:widowControl/>
        <w:adjustRightInd w:val="0"/>
        <w:snapToGrid w:val="0"/>
        <w:spacing w:line="580" w:lineRule="exact"/>
        <w:ind w:firstLine="643" w:firstLineChars="200"/>
        <w:contextualSpacing/>
        <w:jc w:val="left"/>
        <w:rPr>
          <w:rFonts w:ascii="仿宋_GB2312" w:hAnsi="宋体" w:cs="宋体"/>
          <w:color w:val="000000"/>
          <w:kern w:val="0"/>
          <w:szCs w:val="32"/>
          <w:shd w:val="clear" w:color="auto" w:fill="FFFFFF"/>
          <w:lang w:val="zh-CN"/>
        </w:rPr>
      </w:pPr>
      <w:r>
        <w:rPr>
          <w:rFonts w:hint="eastAsia" w:ascii="楷体_GB2312" w:hAnsi="宋体" w:eastAsia="楷体_GB2312" w:cs="宋体"/>
          <w:b/>
          <w:color w:val="000000"/>
          <w:kern w:val="0"/>
          <w:szCs w:val="32"/>
          <w:shd w:val="clear" w:color="auto" w:fill="FFFFFF"/>
          <w:lang w:val="zh-CN"/>
        </w:rPr>
        <w:t>（三）人员概况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编制545名，其中行政编制14名，参照公务员法管理的事业编制7名，事业编制521名，机关工勤人员控制数2名。区红十字会核定编制1名。</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在职人员总数</w:t>
      </w:r>
      <w:r>
        <w:rPr>
          <w:rFonts w:hint="eastAsia" w:ascii="仿宋_GB2312" w:hAnsi="宋体" w:cs="宋体"/>
          <w:color w:val="000000"/>
          <w:kern w:val="0"/>
          <w:szCs w:val="32"/>
          <w:shd w:val="clear" w:color="auto" w:fill="FFFFFF"/>
        </w:rPr>
        <w:t>404</w:t>
      </w:r>
      <w:r>
        <w:rPr>
          <w:rFonts w:ascii="仿宋_GB2312" w:hAnsi="宋体" w:cs="宋体"/>
          <w:color w:val="000000"/>
          <w:kern w:val="0"/>
          <w:szCs w:val="32"/>
          <w:shd w:val="clear" w:color="auto" w:fill="FFFFFF"/>
        </w:rPr>
        <w:t>人，其中：行政人员12人，参照公务员法管理的事业人员6人，工勤人员1人；其他事业人员385人；离休人员</w:t>
      </w:r>
      <w:r>
        <w:rPr>
          <w:rFonts w:hint="eastAsia" w:ascii="仿宋_GB2312" w:hAnsi="宋体" w:cs="宋体"/>
          <w:color w:val="000000"/>
          <w:kern w:val="0"/>
          <w:szCs w:val="32"/>
          <w:shd w:val="clear" w:color="auto" w:fill="FFFFFF"/>
        </w:rPr>
        <w:t>0</w:t>
      </w:r>
      <w:r>
        <w:rPr>
          <w:rFonts w:ascii="仿宋_GB2312" w:hAnsi="宋体" w:cs="宋体"/>
          <w:color w:val="000000"/>
          <w:kern w:val="0"/>
          <w:szCs w:val="32"/>
          <w:shd w:val="clear" w:color="auto" w:fill="FFFFFF"/>
        </w:rPr>
        <w:t>人</w:t>
      </w:r>
      <w:r>
        <w:rPr>
          <w:rFonts w:hint="eastAsia" w:ascii="仿宋_GB2312" w:hAnsi="宋体" w:cs="宋体"/>
          <w:color w:val="000000"/>
          <w:kern w:val="0"/>
          <w:szCs w:val="32"/>
          <w:shd w:val="clear" w:color="auto" w:fill="FFFFFF"/>
        </w:rPr>
        <w:t>，</w:t>
      </w:r>
      <w:r>
        <w:rPr>
          <w:rFonts w:ascii="仿宋_GB2312" w:hAnsi="宋体" w:cs="宋体"/>
          <w:color w:val="000000"/>
          <w:kern w:val="0"/>
          <w:szCs w:val="32"/>
          <w:shd w:val="clear" w:color="auto" w:fill="FFFFFF"/>
        </w:rPr>
        <w:t>局机关退休人员19人</w:t>
      </w:r>
      <w:r>
        <w:rPr>
          <w:rFonts w:hint="eastAsia" w:ascii="仿宋_GB2312" w:hAnsi="宋体" w:cs="宋体"/>
          <w:color w:val="000000"/>
          <w:kern w:val="0"/>
          <w:szCs w:val="32"/>
          <w:shd w:val="clear" w:color="auto" w:fill="FFFFFF"/>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adjustRightInd w:val="0"/>
        <w:snapToGrid w:val="0"/>
        <w:spacing w:line="560" w:lineRule="exact"/>
        <w:ind w:left="640" w:leftChars="200" w:firstLine="77" w:firstLineChars="24"/>
        <w:rPr>
          <w:rFonts w:ascii="仿宋_GB2312" w:hAnsi="宋体" w:cs="宋体"/>
          <w:color w:val="000000"/>
          <w:kern w:val="0"/>
          <w:szCs w:val="32"/>
          <w:shd w:val="clear" w:color="auto" w:fill="FFFFFF"/>
          <w:lang w:val="zh-CN"/>
        </w:rPr>
      </w:pPr>
      <w:r>
        <w:rPr>
          <w:rFonts w:hint="eastAsia" w:ascii="楷体_GB2312" w:hAnsi="宋体" w:eastAsia="楷体_GB2312" w:cs="宋体"/>
          <w:b/>
          <w:color w:val="000000"/>
          <w:kern w:val="0"/>
          <w:szCs w:val="32"/>
          <w:shd w:val="clear" w:color="auto" w:fill="FFFFFF"/>
          <w:lang w:val="zh-CN"/>
        </w:rPr>
        <w:t>（一）部门财政资金收入情况</w:t>
      </w:r>
    </w:p>
    <w:p>
      <w:pPr>
        <w:adjustRightInd w:val="0"/>
        <w:snapToGrid w:val="0"/>
        <w:spacing w:line="596" w:lineRule="exact"/>
        <w:ind w:left="640" w:leftChars="200" w:firstLine="76" w:firstLineChars="24"/>
        <w:rPr>
          <w:rFonts w:ascii="仿宋_GB2312" w:hAnsi="宋体" w:cs="仿宋_GB2312"/>
        </w:rPr>
      </w:pPr>
      <w:r>
        <w:rPr>
          <w:rFonts w:hint="eastAsia" w:ascii="仿宋_GB2312" w:hAnsi="宋体" w:cs="仿宋_GB2312"/>
        </w:rPr>
        <w:t>2020年一般财政拨款收入8674.56万元。</w:t>
      </w:r>
    </w:p>
    <w:p>
      <w:pPr>
        <w:widowControl/>
        <w:adjustRightInd w:val="0"/>
        <w:snapToGrid w:val="0"/>
        <w:spacing w:line="596" w:lineRule="exact"/>
        <w:ind w:firstLine="643" w:firstLineChars="200"/>
        <w:contextualSpacing/>
        <w:jc w:val="left"/>
        <w:rPr>
          <w:rFonts w:ascii="仿宋_GB2312" w:hAnsi="宋体" w:cs="宋体"/>
          <w:color w:val="000000"/>
          <w:kern w:val="0"/>
          <w:szCs w:val="32"/>
          <w:shd w:val="clear" w:color="auto" w:fill="FFFFFF"/>
          <w:lang w:val="zh-CN"/>
        </w:rPr>
      </w:pPr>
      <w:r>
        <w:rPr>
          <w:rFonts w:hint="eastAsia" w:ascii="楷体_GB2312" w:hAnsi="宋体" w:eastAsia="楷体_GB2312" w:cs="宋体"/>
          <w:b/>
          <w:color w:val="000000"/>
          <w:kern w:val="0"/>
          <w:szCs w:val="32"/>
          <w:shd w:val="clear" w:color="auto" w:fill="FFFFFF"/>
          <w:lang w:val="zh-CN"/>
        </w:rPr>
        <w:t>（二）部门财政资金支出情况</w:t>
      </w:r>
    </w:p>
    <w:p>
      <w:pPr>
        <w:adjustRightInd w:val="0"/>
        <w:snapToGrid w:val="0"/>
        <w:spacing w:line="596" w:lineRule="exact"/>
        <w:ind w:left="320" w:leftChars="100" w:firstLine="480" w:firstLineChars="150"/>
        <w:rPr>
          <w:rFonts w:ascii="仿宋_GB2312" w:hAnsi="宋体" w:cs="仿宋_GB2312"/>
        </w:rPr>
      </w:pPr>
      <w:r>
        <w:rPr>
          <w:rFonts w:hint="eastAsia" w:ascii="仿宋_GB2312" w:hAnsi="宋体" w:cs="仿宋_GB2312"/>
        </w:rPr>
        <w:t>2020年一般财政拨款支出</w:t>
      </w:r>
      <w:r>
        <w:rPr>
          <w:rFonts w:ascii="仿宋_GB2312" w:hAnsi="宋体" w:cs="仿宋_GB2312"/>
        </w:rPr>
        <w:t>8463.88</w:t>
      </w:r>
      <w:r>
        <w:rPr>
          <w:rFonts w:hint="eastAsia" w:ascii="仿宋_GB2312" w:hAnsi="宋体" w:cs="仿宋_GB2312"/>
        </w:rPr>
        <w:t>万元。</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三、部门整体预算绩效管理情况</w:t>
      </w:r>
    </w:p>
    <w:p>
      <w:pPr>
        <w:adjustRightInd w:val="0"/>
        <w:snapToGrid w:val="0"/>
        <w:spacing w:line="560" w:lineRule="exact"/>
        <w:ind w:firstLine="643" w:firstLineChars="200"/>
        <w:contextualSpacing/>
        <w:rPr>
          <w:rFonts w:ascii="仿宋_GB2312" w:hAnsi="宋体" w:cs="宋体"/>
          <w:color w:val="000000"/>
          <w:kern w:val="0"/>
          <w:shd w:val="clear" w:color="auto" w:fill="FFFFFF"/>
          <w:lang w:val="zh-CN"/>
        </w:rPr>
      </w:pPr>
      <w:r>
        <w:rPr>
          <w:rFonts w:hint="eastAsia" w:ascii="楷体_GB2312" w:hAnsi="宋体" w:eastAsia="楷体_GB2312" w:cs="宋体"/>
          <w:b/>
          <w:color w:val="000000"/>
          <w:kern w:val="0"/>
          <w:szCs w:val="32"/>
          <w:shd w:val="clear" w:color="auto" w:fill="FFFFFF"/>
          <w:lang w:val="zh-CN"/>
        </w:rPr>
        <w:t>（一）部门预算管理</w:t>
      </w:r>
    </w:p>
    <w:p>
      <w:pPr>
        <w:adjustRightInd w:val="0"/>
        <w:snapToGrid w:val="0"/>
        <w:spacing w:line="596" w:lineRule="exact"/>
        <w:ind w:firstLine="643" w:firstLineChars="200"/>
        <w:contextualSpacing/>
        <w:rPr>
          <w:rFonts w:ascii="仿宋_GB2312" w:hAnsi="宋体" w:cs="宋体"/>
          <w:b/>
          <w:color w:val="000000"/>
          <w:kern w:val="0"/>
          <w:shd w:val="clear" w:color="auto" w:fill="FFFFFF"/>
          <w:lang w:val="zh-CN"/>
        </w:rPr>
      </w:pPr>
      <w:r>
        <w:rPr>
          <w:rFonts w:hint="eastAsia" w:ascii="仿宋_GB2312" w:hAnsi="宋体" w:cs="宋体"/>
          <w:b/>
          <w:color w:val="000000"/>
          <w:kern w:val="0"/>
          <w:shd w:val="clear" w:color="auto" w:fill="FFFFFF"/>
          <w:lang w:val="zh-CN"/>
        </w:rPr>
        <w:t>1.2020年部门整体绩效目标</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深化医改全面推进。加强医疗服务能力建设，做实做强城市医疗集团和家庭医生签约服务。改革完善公共卫生应急管理体系，提高基层防控能力。推进公立医院综合改革，提升县级公立医院服务能力。落实国家基本药物制度，进一步规范医疗服务行为。提升公共卫生和重大疾病防控能力：</w:t>
      </w:r>
      <w:r>
        <w:rPr>
          <w:rFonts w:hint="eastAsia" w:ascii="仿宋_GB2312" w:hAnsi="仿宋_GB2312" w:cs="仿宋_GB2312"/>
          <w:kern w:val="0"/>
        </w:rPr>
        <w:t>抓好传染病防控、疫情监测、突发公共卫生事件等工作，深入实施艾滋病、结核病、地方病等重大传染病防治工作。巩固国家级慢性病综合防控示范区创建成果，进一步加强免疫规划，推进规范化接种门诊建设，统筹做好慢性病综合防控</w:t>
      </w:r>
      <w:r>
        <w:rPr>
          <w:rFonts w:hint="eastAsia" w:ascii="仿宋_GB2312" w:hAnsi="仿宋_GB2312" w:cs="仿宋_GB2312"/>
          <w:bCs/>
          <w:kern w:val="0"/>
        </w:rPr>
        <w:t>。</w:t>
      </w:r>
      <w:r>
        <w:rPr>
          <w:rFonts w:hint="eastAsia" w:ascii="仿宋_GB2312" w:hAnsi="宋体" w:cs="宋体"/>
          <w:color w:val="000000"/>
          <w:kern w:val="0"/>
          <w:shd w:val="clear" w:color="auto" w:fill="FFFFFF"/>
          <w:lang w:val="zh-CN"/>
        </w:rPr>
        <w:t>落实各项妇幼基本和重大公共卫生项目。推动国家卫生城市高标准创建。</w:t>
      </w:r>
    </w:p>
    <w:p>
      <w:pPr>
        <w:adjustRightInd w:val="0"/>
        <w:snapToGrid w:val="0"/>
        <w:spacing w:line="596" w:lineRule="exact"/>
        <w:ind w:firstLine="643" w:firstLineChars="200"/>
        <w:contextualSpacing/>
        <w:rPr>
          <w:rFonts w:ascii="仿宋_GB2312" w:hAnsi="宋体" w:cs="宋体"/>
          <w:b/>
          <w:color w:val="000000"/>
          <w:kern w:val="0"/>
          <w:shd w:val="clear" w:color="auto" w:fill="FFFFFF"/>
          <w:lang w:val="zh-CN"/>
        </w:rPr>
      </w:pPr>
      <w:r>
        <w:rPr>
          <w:rFonts w:hint="eastAsia" w:ascii="仿宋_GB2312" w:hAnsi="宋体" w:cs="宋体"/>
          <w:b/>
          <w:color w:val="000000"/>
          <w:kern w:val="0"/>
          <w:shd w:val="clear" w:color="auto" w:fill="FFFFFF"/>
          <w:lang w:val="zh-CN"/>
        </w:rPr>
        <w:t>2.绩效目标完成情况</w:t>
      </w:r>
    </w:p>
    <w:p>
      <w:pPr>
        <w:adjustRightInd w:val="0"/>
        <w:snapToGrid w:val="0"/>
        <w:spacing w:line="596" w:lineRule="exact"/>
        <w:ind w:firstLine="640" w:firstLineChars="200"/>
        <w:contextualSpacing/>
        <w:rPr>
          <w:rFonts w:cs="仿宋_GB2312"/>
          <w:kern w:val="0"/>
        </w:rPr>
      </w:pPr>
      <w:r>
        <w:rPr>
          <w:rFonts w:hint="eastAsia" w:ascii="仿宋_GB2312" w:hAnsi="宋体" w:cs="宋体"/>
          <w:color w:val="000000"/>
          <w:kern w:val="0"/>
          <w:shd w:val="clear" w:color="auto" w:fill="FFFFFF"/>
          <w:lang w:val="zh-CN"/>
        </w:rPr>
        <w:t>一是医药卫生体制改革继续深化。</w:t>
      </w:r>
      <w:r>
        <w:rPr>
          <w:rFonts w:hint="eastAsia" w:ascii="仿宋_GB2312" w:hAnsi="仿宋_GB2312" w:cs="仿宋_GB2312"/>
        </w:rPr>
        <w:t>推进</w:t>
      </w:r>
      <w:r>
        <w:rPr>
          <w:rFonts w:hint="eastAsia" w:ascii="仿宋_GB2312" w:hAnsi="仿宋_GB2312" w:cs="仿宋_GB2312"/>
          <w:szCs w:val="21"/>
        </w:rPr>
        <w:t>紧密型县域医共体建设试点工作，成立</w:t>
      </w:r>
      <w:r>
        <w:rPr>
          <w:rFonts w:hint="eastAsia" w:cs="仿宋_GB2312"/>
          <w:kern w:val="0"/>
        </w:rPr>
        <w:t>自流井区紧密型县域医疗卫生共同体建设领导小组，印发</w:t>
      </w:r>
      <w:r>
        <w:rPr>
          <w:rFonts w:cs="仿宋_GB2312"/>
          <w:kern w:val="0"/>
        </w:rPr>
        <w:t>《自流井区紧密型县域医疗卫生共同体建设试点实施方案》</w:t>
      </w:r>
      <w:r>
        <w:rPr>
          <w:rFonts w:hint="eastAsia" w:cs="仿宋_GB2312"/>
          <w:kern w:val="0"/>
        </w:rPr>
        <w:t>，并实现</w:t>
      </w:r>
      <w:r>
        <w:rPr>
          <w:rFonts w:hint="eastAsia" w:cs="仿宋_GB2312"/>
        </w:rPr>
        <w:t>自流井区医疗集团管理服务中心</w:t>
      </w:r>
      <w:r>
        <w:rPr>
          <w:rFonts w:hint="eastAsia" w:cs="仿宋_GB2312"/>
          <w:kern w:val="0"/>
        </w:rPr>
        <w:t>挂牌。</w:t>
      </w:r>
    </w:p>
    <w:p>
      <w:pPr>
        <w:spacing w:line="596" w:lineRule="exact"/>
        <w:ind w:firstLine="640" w:firstLineChars="200"/>
        <w:rPr>
          <w:rFonts w:ascii="仿宋_GB2312" w:hAnsi="仿宋_GB2312" w:cs="仿宋_GB2312"/>
        </w:rPr>
      </w:pPr>
      <w:r>
        <w:rPr>
          <w:rFonts w:hint="eastAsia" w:cs="仿宋_GB2312"/>
          <w:kern w:val="0"/>
        </w:rPr>
        <w:t>二是全力以走疫情防控。</w:t>
      </w:r>
      <w:r>
        <w:rPr>
          <w:rFonts w:hint="eastAsia" w:ascii="仿宋_GB2312" w:hAnsi="仿宋_GB2312" w:cs="仿宋_GB2312"/>
        </w:rPr>
        <w:t>严把摸排、管控、监测“三个关口”，累计摸排省外（含国外）到（返）我区人员总计7444人，集中隔离128人。其中国（境）外194人，国内省外7250人，累计中高风险597人。累计监测6726人次，环境监测累计495件，均为阴性。提升核酸检测、医疗救治、应急处置“三个能力”。我区疾控中心单日核酸检测能力为270人份，满负荷运转下每日可达2700人份；今年完成购买DR、B超、全自动生化仪、CT以及负压救护车、负压担架；投入50余万元改造区中医院发热门诊，基本达到发热门诊设置要求；全面完成秋冬季新冠肺炎疫情应急演练，有效提升我区应急处置能力和协调作战能力。 做好人员、物资、核酸检测“三项准备”，建立疫情防控队伍20支，合计200余人；培训储备核酸采样人员240名，检测人员31名；全区共准备集中隔离房间1254间，满足“应隔尽隔”要求，储备共计115万元的口罩、防护服、消毒液等防疫物资，满足疫情高峰期30天需求；全区共设置采样点35个，每个采样点均建立工作组，确保在疫情发生后5-7天内实现辖区内人口核酸检测全覆盖。</w:t>
      </w:r>
    </w:p>
    <w:p>
      <w:pPr>
        <w:spacing w:line="596" w:lineRule="exact"/>
        <w:ind w:firstLine="640" w:firstLineChars="200"/>
        <w:rPr>
          <w:rFonts w:ascii="仿宋_GB2312" w:hAnsi="仿宋_GB2312" w:cs="仿宋_GB2312"/>
        </w:rPr>
      </w:pPr>
      <w:r>
        <w:rPr>
          <w:rFonts w:hint="eastAsia" w:ascii="仿宋_GB2312" w:hAnsi="仿宋_GB2312" w:cs="仿宋_GB2312"/>
        </w:rPr>
        <w:t>三是公共卫生服务全面加强。全年家庭医生签约率94.55%，重点人群签约率78.18%，完成市下目标任务。完成免费孕前优生健康检查765对，完成率117.69%。重精在册患者管理率97.45%，规范化管理率96.80%，完成市下目标任务。艾滋病检测覆盖率30.26%，感染者和病人抗病毒治疗覆盖率93.23%，抗病毒治疗成功率95.60%，母婴传播率0%，完成市下目标任务。完成25家辖区企业职业危害因素调查和现场监测。全区等级门诊建成率达100%，常规免疫报告接种率保持在90％以上。</w:t>
      </w:r>
    </w:p>
    <w:p>
      <w:pPr>
        <w:spacing w:line="596" w:lineRule="exact"/>
        <w:ind w:firstLine="640" w:firstLineChars="200"/>
        <w:rPr>
          <w:rFonts w:ascii="仿宋_GB2312" w:hAnsi="仿宋_GB2312" w:cs="仿宋_GB2312"/>
        </w:rPr>
      </w:pPr>
      <w:r>
        <w:rPr>
          <w:rFonts w:hint="eastAsia"/>
        </w:rPr>
        <w:t>四是扎实开展国家卫生城市创建。</w:t>
      </w:r>
      <w:r>
        <w:t>8月23-25日，全国爱卫办组织专家对</w:t>
      </w:r>
      <w:r>
        <w:rPr>
          <w:rFonts w:hint="eastAsia"/>
        </w:rPr>
        <w:t>自贡市</w:t>
      </w:r>
      <w:r>
        <w:t>进行技术评估，</w:t>
      </w:r>
      <w:r>
        <w:rPr>
          <w:rFonts w:hint="eastAsia"/>
        </w:rPr>
        <w:t>并顺利通过创建国家卫生城市技术评估，达到《国家卫生城市标准》要求</w:t>
      </w:r>
      <w:r>
        <w:rPr>
          <w:rFonts w:hint="eastAsia" w:ascii="仿宋_GB2312" w:hAnsi="仿宋_GB2312" w:cs="仿宋_GB2312"/>
        </w:rPr>
        <w:t>。我区作为市中区，</w:t>
      </w:r>
      <w:r>
        <w:t>迎检点位占</w:t>
      </w:r>
      <w:r>
        <w:rPr>
          <w:rFonts w:hint="eastAsia"/>
        </w:rPr>
        <w:t>全市</w:t>
      </w:r>
      <w:r>
        <w:t>三分之一</w:t>
      </w:r>
      <w:r>
        <w:rPr>
          <w:rFonts w:hint="eastAsia"/>
        </w:rPr>
        <w:t>，</w:t>
      </w:r>
      <w:r>
        <w:rPr>
          <w:rFonts w:hint="eastAsia" w:ascii="仿宋_GB2312" w:hAnsi="仿宋_GB2312" w:cs="仿宋_GB2312"/>
        </w:rPr>
        <w:t>通过抓卫生城镇创建、病媒生物防制、社会卫生综合治理以及健康村镇建设试点和健康促进，持续提升城乡环境卫生面貌，为自贡市成功创建国家卫生城市作出应有的贡献。</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区卫生健康局的部门预算编制目标由局机关各股室根据职能职责确定重点任务、常规性工作所需资金编制次年基本支出、项目支出、采购预算，由财务信息股审核汇总报局党委会审定，在财政核定的额度内，平衡各股室需求后形成次年的预算编制，经领导审批后报送区财政局，部门预算报区人大批准后按规定公开。</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各医疗卫生机构各项收入均完整列入部门预算，规范编制基本支出和项目支出，完整编制政府采购预算，规范管理结余结转资金，并按规定公开部门预算。</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t>202</w:t>
      </w:r>
      <w:r>
        <w:rPr>
          <w:rFonts w:hint="eastAsia"/>
        </w:rPr>
        <w:t>0</w:t>
      </w:r>
      <w:r>
        <w:t>年</w:t>
      </w:r>
      <w:r>
        <w:rPr>
          <w:rFonts w:hint="eastAsia"/>
        </w:rPr>
        <w:t>区卫生健康局</w:t>
      </w:r>
      <w:r>
        <w:t>部门整体预算收入14144.56万元。部门预算支出严格执行相关财经制度，</w:t>
      </w:r>
      <w:r>
        <w:rPr>
          <w:rFonts w:hint="eastAsia"/>
        </w:rPr>
        <w:t>我局制定印发了《项目资金管理办法》、《项目资金监督管理办法》，建立健全了机关财务管理规章制度，并严格遵照执行。</w:t>
      </w:r>
      <w:r>
        <w:t>各</w:t>
      </w:r>
      <w:r>
        <w:rPr>
          <w:rFonts w:hint="eastAsia"/>
        </w:rPr>
        <w:t>下</w:t>
      </w:r>
      <w:r>
        <w:t>属医疗卫生</w:t>
      </w:r>
      <w:r>
        <w:rPr>
          <w:rFonts w:hint="eastAsia"/>
        </w:rPr>
        <w:t>机构</w:t>
      </w:r>
      <w:r>
        <w:t>严格执行《事业单位位财务准则》及《医院财务管理制度》，制定本单位财务管理制度、资产管理制度、差旅费报销制度等，有较完善的内控制度。严格控制“三公经费”支出，规范执行差旅费、会议费、培训费等报销支出，无超预算支出行为。</w:t>
      </w:r>
    </w:p>
    <w:p>
      <w:pPr>
        <w:adjustRightInd w:val="0"/>
        <w:snapToGrid w:val="0"/>
        <w:spacing w:line="560" w:lineRule="exact"/>
        <w:ind w:firstLine="643" w:firstLineChars="200"/>
        <w:contextualSpacing/>
        <w:rPr>
          <w:rFonts w:ascii="楷体_GB2312" w:hAnsi="宋体" w:eastAsia="楷体_GB2312" w:cs="宋体"/>
          <w:b/>
          <w:color w:val="000000"/>
          <w:kern w:val="0"/>
          <w:shd w:val="clear" w:color="auto" w:fill="FFFFFF"/>
          <w:lang w:val="zh-CN"/>
        </w:rPr>
      </w:pPr>
      <w:r>
        <w:rPr>
          <w:rFonts w:hint="eastAsia" w:ascii="楷体_GB2312" w:hAnsi="宋体" w:eastAsia="楷体_GB2312" w:cs="宋体"/>
          <w:b/>
          <w:color w:val="000000"/>
          <w:kern w:val="0"/>
          <w:shd w:val="clear" w:color="auto" w:fill="FFFFFF"/>
          <w:lang w:val="zh-CN"/>
        </w:rPr>
        <w:t>（二）结果应用情况</w:t>
      </w:r>
    </w:p>
    <w:p>
      <w:pPr>
        <w:adjustRightInd w:val="0"/>
        <w:snapToGrid w:val="0"/>
        <w:spacing w:line="560" w:lineRule="exact"/>
        <w:ind w:firstLine="640" w:firstLineChars="200"/>
        <w:contextualSpacing/>
        <w:rPr>
          <w:rFonts w:eastAsia="楷体_GB2312"/>
          <w:b/>
          <w:color w:val="000000"/>
          <w:kern w:val="0"/>
          <w:shd w:val="clear" w:color="auto" w:fill="FFFFFF"/>
          <w:lang w:val="zh-CN"/>
        </w:rPr>
      </w:pPr>
      <w:r>
        <w:rPr>
          <w:rFonts w:hint="eastAsia" w:ascii="仿宋_GB2312" w:hAnsi="宋体" w:cs="宋体"/>
          <w:color w:val="000000"/>
          <w:kern w:val="0"/>
          <w:shd w:val="clear" w:color="auto" w:fill="FFFFFF"/>
          <w:lang w:val="zh-CN"/>
        </w:rPr>
        <w:t>局机关每年组织对各项目绩效目标情况开展了评价，从绩效目标制定的制度、采取的措施、绩效目标的实现程度和效果等内容进行了审核、评价，各项目执行效果良好，决定继续纳入2021年预算安排。</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adjustRightInd w:val="0"/>
        <w:snapToGrid w:val="0"/>
        <w:spacing w:line="560" w:lineRule="exact"/>
        <w:ind w:firstLine="643" w:firstLineChars="200"/>
        <w:contextualSpacing/>
        <w:rPr>
          <w:rFonts w:ascii="楷体_GB2312" w:hAnsi="宋体" w:eastAsia="楷体_GB2312" w:cs="宋体"/>
          <w:b/>
          <w:color w:val="000000"/>
          <w:kern w:val="0"/>
          <w:shd w:val="clear" w:color="auto" w:fill="FFFFFF"/>
          <w:lang w:val="zh-CN"/>
        </w:rPr>
      </w:pPr>
      <w:r>
        <w:rPr>
          <w:rFonts w:hint="eastAsia" w:ascii="楷体_GB2312" w:hAnsi="宋体" w:eastAsia="楷体_GB2312" w:cs="宋体"/>
          <w:b/>
          <w:color w:val="000000"/>
          <w:kern w:val="0"/>
          <w:shd w:val="clear" w:color="auto" w:fill="FFFFFF"/>
          <w:lang w:val="zh-CN"/>
        </w:rPr>
        <w:t>（一）评价结论</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2020年，区卫生健康局部门整体支出资金管理制度健全，实施机构建立有专项资金管理办法及实施方案，做到了专帐管理，专项使用，确保区级公共卫生和计划生育各项工作顺利开展。全面完成健康扶贫“五大行动”和“三个一批”工程，落实贫困人口“十一免两补一减一控”医疗扶持政策，对独生子女家庭父母发放独生子女父母奖励金；对农村计划生育家庭奖励扶助对象、独生子女伤残家庭父母、独生子女死亡家庭父母、计划生育手术并发症对象等特殊群体发放扶助金，开展贫困白内障患者复明手术、建立城乡居民电子健康档案、免费婚检、孕优检查、取消公立医院药品和卫生材料加成、重大传染病防治、贫困家庭特殊困难基金救助民生事项等年度目标任务。通过提升特殊家庭、人群和贫困群体的幸福感，维护社会的稳定和谐。项目服务量指标完全面超额完成。群众项目知识知晓率和参与度、感受度、满意度全面提高。</w:t>
      </w:r>
    </w:p>
    <w:p>
      <w:pPr>
        <w:adjustRightInd w:val="0"/>
        <w:snapToGrid w:val="0"/>
        <w:spacing w:line="560" w:lineRule="exact"/>
        <w:ind w:firstLine="643" w:firstLineChars="200"/>
        <w:contextualSpacing/>
        <w:rPr>
          <w:rFonts w:ascii="楷体_GB2312" w:hAnsi="宋体" w:eastAsia="楷体_GB2312" w:cs="宋体"/>
          <w:b/>
          <w:color w:val="000000"/>
          <w:kern w:val="0"/>
          <w:shd w:val="clear" w:color="auto" w:fill="FFFFFF"/>
          <w:lang w:val="zh-CN"/>
        </w:rPr>
      </w:pPr>
      <w:r>
        <w:rPr>
          <w:rFonts w:hint="eastAsia" w:ascii="楷体_GB2312" w:hAnsi="宋体" w:eastAsia="楷体_GB2312" w:cs="宋体"/>
          <w:b/>
          <w:color w:val="000000"/>
          <w:kern w:val="0"/>
          <w:shd w:val="clear" w:color="auto" w:fill="FFFFFF"/>
          <w:lang w:val="zh-CN"/>
        </w:rPr>
        <w:t>（二）存在问题</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1.个别项目预算编制不规范。部分单位编制预算对资金使用预判不足，项目实施方案不够细致，导致项目实施后，资金使用不清晰，使项目推进较慢。</w:t>
      </w:r>
    </w:p>
    <w:p>
      <w:pPr>
        <w:adjustRightInd w:val="0"/>
        <w:snapToGrid w:val="0"/>
        <w:spacing w:line="596" w:lineRule="exact"/>
        <w:ind w:firstLine="640" w:firstLineChars="200"/>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2.资金拨付进度缓慢，造成项目无法推进。</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3.资产管理欠规范。个别单位对固定资产管理不到位，</w:t>
      </w:r>
    </w:p>
    <w:p>
      <w:pPr>
        <w:adjustRightInd w:val="0"/>
        <w:snapToGrid w:val="0"/>
        <w:spacing w:line="596" w:lineRule="exact"/>
        <w:ind w:firstLine="640" w:firstLineChars="200"/>
        <w:contextualSpacing/>
        <w:rPr>
          <w:rFonts w:eastAsia="楷体_GB2312"/>
          <w:b/>
          <w:color w:val="000000"/>
          <w:kern w:val="0"/>
          <w:shd w:val="clear" w:color="auto" w:fill="FFFFFF"/>
          <w:lang w:val="zh-CN"/>
        </w:rPr>
      </w:pPr>
      <w:r>
        <w:rPr>
          <w:rFonts w:hint="eastAsia" w:ascii="仿宋_GB2312" w:hAnsi="宋体" w:cs="宋体"/>
          <w:color w:val="000000"/>
          <w:kern w:val="0"/>
          <w:shd w:val="clear" w:color="auto" w:fill="FFFFFF"/>
          <w:lang w:val="zh-CN"/>
        </w:rPr>
        <w:t>对需报废固定资产未及时清理和报废。</w:t>
      </w:r>
    </w:p>
    <w:p>
      <w:pPr>
        <w:adjustRightInd w:val="0"/>
        <w:snapToGrid w:val="0"/>
        <w:spacing w:line="560" w:lineRule="exact"/>
        <w:ind w:firstLine="643" w:firstLineChars="200"/>
        <w:contextualSpacing/>
        <w:rPr>
          <w:rFonts w:ascii="楷体_GB2312" w:hAnsi="宋体" w:eastAsia="楷体_GB2312" w:cs="宋体"/>
          <w:b/>
          <w:color w:val="000000"/>
          <w:kern w:val="0"/>
          <w:shd w:val="clear" w:color="auto" w:fill="FFFFFF"/>
          <w:lang w:val="zh-CN"/>
        </w:rPr>
      </w:pPr>
      <w:r>
        <w:rPr>
          <w:rFonts w:hint="eastAsia" w:ascii="楷体_GB2312" w:hAnsi="宋体" w:eastAsia="楷体_GB2312" w:cs="宋体"/>
          <w:b/>
          <w:color w:val="000000"/>
          <w:kern w:val="0"/>
          <w:shd w:val="clear" w:color="auto" w:fill="FFFFFF"/>
          <w:lang w:val="zh-CN"/>
        </w:rPr>
        <w:t>（三）改进建议</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1.扎实做好项目资金和实施方案对接工作，确保项目按时开展。</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2.强化专项资金方案的审查，使项目经费的使用范围更加清晰化、标准化，有助于提高项目经费使用效率。</w:t>
      </w:r>
    </w:p>
    <w:p>
      <w:pPr>
        <w:adjustRightInd w:val="0"/>
        <w:snapToGrid w:val="0"/>
        <w:spacing w:line="596" w:lineRule="exact"/>
        <w:ind w:firstLine="640" w:firstLineChars="200"/>
        <w:contextualSpacing/>
        <w:rPr>
          <w:rFonts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3.强化资产管理，建立起定期盘存资产机制，及时清理资产和报废。</w:t>
      </w:r>
    </w:p>
    <w:p>
      <w:pPr>
        <w:adjustRightInd w:val="0"/>
        <w:snapToGrid w:val="0"/>
        <w:spacing w:line="596" w:lineRule="exact"/>
        <w:ind w:firstLine="640" w:firstLineChars="200"/>
        <w:contextualSpacing/>
      </w:pPr>
      <w:r>
        <w:rPr>
          <w:rFonts w:hint="eastAsia" w:ascii="仿宋_GB2312" w:hAnsi="宋体" w:cs="宋体"/>
          <w:color w:val="000000"/>
          <w:kern w:val="0"/>
          <w:shd w:val="clear" w:color="auto" w:fill="FFFFFF"/>
          <w:lang w:val="zh-CN"/>
        </w:rPr>
        <w:t>4.项目资金及时拨付。</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outlineLvl w:val="1"/>
        <w:rPr>
          <w:rFonts w:ascii="仿宋_GB2312" w:hAnsi="仿宋_GB2312" w:cs="仿宋_GB2312"/>
          <w:szCs w:val="32"/>
        </w:rPr>
      </w:pPr>
      <w:bookmarkStart w:id="66" w:name="_Toc11602"/>
      <w:r>
        <w:rPr>
          <w:rFonts w:hint="eastAsia" w:ascii="黑体" w:hAnsi="黑体" w:eastAsia="黑体" w:cs="黑体"/>
          <w:szCs w:val="32"/>
        </w:rPr>
        <w:t>附件</w:t>
      </w:r>
      <w:r>
        <w:rPr>
          <w:rFonts w:ascii="黑体" w:hAnsi="黑体" w:eastAsia="黑体" w:cs="黑体"/>
          <w:szCs w:val="32"/>
        </w:rPr>
        <w:t>2</w:t>
      </w:r>
      <w:bookmarkEnd w:id="66"/>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自贡市自流井区卫生健康局</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spacing w:val="1"/>
          <w:w w:val="92"/>
          <w:kern w:val="0"/>
          <w:sz w:val="44"/>
          <w:szCs w:val="44"/>
          <w:fitText w:val="7920" w:id="-1700573440"/>
        </w:rPr>
        <w:t>国家基本公共卫生服务</w:t>
      </w:r>
      <w:r>
        <w:rPr>
          <w:rFonts w:hint="eastAsia" w:ascii="方正小标宋简体" w:hAnsi="宋体" w:eastAsia="方正小标宋简体"/>
          <w:color w:val="000000"/>
          <w:spacing w:val="1"/>
          <w:w w:val="92"/>
          <w:kern w:val="0"/>
          <w:sz w:val="44"/>
          <w:szCs w:val="44"/>
          <w:fitText w:val="7920" w:id="-1700573440"/>
          <w:lang w:val="zh-CN"/>
        </w:rPr>
        <w:t>项目</w:t>
      </w:r>
      <w:r>
        <w:rPr>
          <w:rFonts w:ascii="方正小标宋简体" w:hAnsi="宋体" w:eastAsia="方正小标宋简体"/>
          <w:color w:val="000000"/>
          <w:spacing w:val="1"/>
          <w:w w:val="92"/>
          <w:kern w:val="0"/>
          <w:sz w:val="44"/>
          <w:szCs w:val="44"/>
          <w:fitText w:val="7920" w:id="-1700573440"/>
        </w:rPr>
        <w:t>2020</w:t>
      </w:r>
      <w:r>
        <w:rPr>
          <w:rFonts w:hint="eastAsia" w:ascii="方正小标宋简体" w:hAnsi="宋体" w:eastAsia="方正小标宋简体"/>
          <w:color w:val="000000"/>
          <w:spacing w:val="1"/>
          <w:w w:val="92"/>
          <w:kern w:val="0"/>
          <w:sz w:val="44"/>
          <w:szCs w:val="44"/>
          <w:fitText w:val="7920" w:id="-1700573440"/>
        </w:rPr>
        <w:t>年</w:t>
      </w:r>
      <w:r>
        <w:rPr>
          <w:rFonts w:hint="eastAsia" w:ascii="方正小标宋简体" w:hAnsi="宋体" w:eastAsia="方正小标宋简体"/>
          <w:color w:val="000000"/>
          <w:spacing w:val="1"/>
          <w:w w:val="92"/>
          <w:kern w:val="0"/>
          <w:sz w:val="44"/>
          <w:szCs w:val="44"/>
          <w:fitText w:val="7920" w:id="-1700573440"/>
          <w:lang w:val="zh-CN"/>
        </w:rPr>
        <w:t>绩效评</w:t>
      </w:r>
      <w:r>
        <w:rPr>
          <w:rFonts w:hint="eastAsia" w:ascii="方正小标宋简体" w:hAnsi="宋体" w:eastAsia="方正小标宋简体"/>
          <w:color w:val="000000"/>
          <w:spacing w:val="17"/>
          <w:w w:val="92"/>
          <w:kern w:val="0"/>
          <w:sz w:val="44"/>
          <w:szCs w:val="44"/>
          <w:fitText w:val="7920" w:id="-1700573440"/>
          <w:lang w:val="zh-CN"/>
        </w:rPr>
        <w:t>价</w:t>
      </w:r>
      <w:r>
        <w:rPr>
          <w:rFonts w:hint="eastAsia" w:ascii="方正小标宋简体" w:hAnsi="宋体" w:eastAsia="方正小标宋简体"/>
          <w:color w:val="000000"/>
          <w:kern w:val="0"/>
          <w:sz w:val="44"/>
          <w:szCs w:val="44"/>
          <w:lang w:val="zh-CN"/>
        </w:rPr>
        <w:t>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pStyle w:val="10"/>
        <w:widowControl/>
        <w:shd w:val="clear" w:color="auto" w:fill="FFFFFF"/>
        <w:spacing w:before="0" w:beforeAutospacing="0" w:after="0" w:afterAutospacing="0" w:line="596" w:lineRule="exact"/>
        <w:ind w:firstLine="579" w:firstLineChars="181"/>
        <w:jc w:val="both"/>
        <w:rPr>
          <w:rFonts w:ascii="仿宋_GB2312" w:hAnsi="仿宋" w:cs="仿宋"/>
          <w:color w:val="000000" w:themeColor="text1"/>
          <w:sz w:val="32"/>
          <w:szCs w:val="32"/>
        </w:rPr>
      </w:pPr>
      <w:r>
        <w:rPr>
          <w:rFonts w:hint="eastAsia" w:ascii="仿宋_GB2312" w:hAnsi="仿宋" w:cs="仿宋"/>
          <w:color w:val="000000" w:themeColor="text1"/>
          <w:sz w:val="32"/>
          <w:szCs w:val="32"/>
          <w:shd w:val="clear" w:color="auto" w:fill="FFFFFF"/>
        </w:rPr>
        <w:t>按照《国家基本公共卫生服务规范（第三版）》要求,在全区所有社区卫生服务机构开展了基本公共卫生服务项目。</w:t>
      </w:r>
    </w:p>
    <w:p>
      <w:pPr>
        <w:adjustRightInd w:val="0"/>
        <w:snapToGrid w:val="0"/>
        <w:spacing w:line="580" w:lineRule="exact"/>
        <w:ind w:firstLine="630" w:firstLineChars="196"/>
        <w:rPr>
          <w:rFonts w:eastAsia="楷体_GB2312"/>
          <w:b/>
          <w:lang w:val="zh-CN"/>
        </w:rPr>
      </w:pPr>
      <w:r>
        <w:rPr>
          <w:rFonts w:eastAsia="楷体_GB2312"/>
          <w:b/>
          <w:lang w:val="zh-CN"/>
        </w:rPr>
        <w:t>（一）项目资金申报及批复情况。</w:t>
      </w:r>
    </w:p>
    <w:p>
      <w:pPr>
        <w:pStyle w:val="10"/>
        <w:widowControl/>
        <w:shd w:val="clear" w:color="auto" w:fill="FFFFFF"/>
        <w:spacing w:before="0" w:beforeAutospacing="0" w:after="0" w:afterAutospacing="0" w:line="596" w:lineRule="exact"/>
        <w:ind w:firstLine="579" w:firstLineChars="181"/>
        <w:jc w:val="both"/>
        <w:rPr>
          <w:rFonts w:ascii="仿宋_GB2312" w:hAnsi="仿宋" w:cs="仿宋"/>
          <w:color w:val="000000" w:themeColor="text1"/>
          <w:sz w:val="32"/>
          <w:szCs w:val="32"/>
          <w:shd w:val="clear" w:color="auto" w:fill="FFFFFF"/>
        </w:rPr>
      </w:pPr>
      <w:r>
        <w:rPr>
          <w:rFonts w:hint="eastAsia" w:ascii="仿宋_GB2312" w:hAnsi="仿宋" w:cs="仿宋"/>
          <w:color w:val="000000" w:themeColor="text1"/>
          <w:sz w:val="32"/>
          <w:szCs w:val="32"/>
          <w:shd w:val="clear" w:color="auto" w:fill="FFFFFF"/>
        </w:rPr>
        <w:t>根据民生资金配套要求，区级应配套资金153.83万元，到位153.83万元。</w:t>
      </w:r>
    </w:p>
    <w:p>
      <w:pPr>
        <w:pStyle w:val="10"/>
        <w:widowControl/>
        <w:shd w:val="clear" w:color="auto" w:fill="FFFFFF"/>
        <w:spacing w:before="0" w:beforeAutospacing="0" w:after="0" w:afterAutospacing="0"/>
        <w:ind w:firstLine="630" w:firstLineChars="196"/>
        <w:jc w:val="both"/>
        <w:rPr>
          <w:rFonts w:eastAsia="楷体_GB2312"/>
          <w:b/>
          <w:kern w:val="2"/>
          <w:sz w:val="32"/>
          <w:lang w:val="zh-CN"/>
        </w:rPr>
      </w:pPr>
      <w:r>
        <w:rPr>
          <w:rFonts w:eastAsia="楷体_GB2312"/>
          <w:b/>
          <w:kern w:val="2"/>
          <w:sz w:val="32"/>
          <w:lang w:val="zh-CN"/>
        </w:rPr>
        <w:t>（二）项目绩效目标。</w:t>
      </w:r>
    </w:p>
    <w:p>
      <w:pPr>
        <w:pStyle w:val="10"/>
        <w:widowControl/>
        <w:shd w:val="clear" w:color="auto" w:fill="FFFFFF"/>
        <w:spacing w:before="0" w:beforeAutospacing="0" w:after="0" w:afterAutospacing="0" w:line="596" w:lineRule="exact"/>
        <w:ind w:firstLine="579" w:firstLineChars="181"/>
        <w:jc w:val="both"/>
        <w:rPr>
          <w:rFonts w:ascii="仿宋_GB2312" w:hAnsi="仿宋" w:cs="仿宋"/>
          <w:color w:val="000000" w:themeColor="text1"/>
          <w:sz w:val="32"/>
          <w:szCs w:val="32"/>
          <w:shd w:val="clear" w:color="auto" w:fill="FFFFFF"/>
        </w:rPr>
      </w:pPr>
      <w:r>
        <w:rPr>
          <w:rFonts w:hint="eastAsia" w:ascii="仿宋_GB2312" w:hAnsi="仿宋" w:cs="仿宋"/>
          <w:color w:val="000000" w:themeColor="text1"/>
          <w:sz w:val="32"/>
          <w:szCs w:val="32"/>
          <w:shd w:val="clear" w:color="auto" w:fill="FFFFFF"/>
        </w:rPr>
        <w:t>全区共有四家社区卫生服务中心，两家社区卫生服务站和五家乡镇卫生院。服务总人口26.8万人。</w:t>
      </w:r>
    </w:p>
    <w:p>
      <w:pPr>
        <w:pStyle w:val="10"/>
        <w:widowControl/>
        <w:shd w:val="clear" w:color="auto" w:fill="FFFFFF"/>
        <w:spacing w:before="0" w:beforeAutospacing="0" w:after="0" w:afterAutospacing="0" w:line="596" w:lineRule="exact"/>
        <w:ind w:firstLine="579" w:firstLineChars="181"/>
        <w:jc w:val="both"/>
        <w:rPr>
          <w:rFonts w:ascii="仿宋_GB2312" w:hAnsi="仿宋" w:cs="仿宋"/>
          <w:color w:val="000000" w:themeColor="text1"/>
          <w:sz w:val="32"/>
          <w:szCs w:val="32"/>
          <w:shd w:val="clear" w:color="auto" w:fill="FFFFFF"/>
        </w:rPr>
      </w:pPr>
      <w:r>
        <w:rPr>
          <w:rFonts w:hint="eastAsia" w:ascii="仿宋_GB2312" w:hAnsi="仿宋" w:cs="仿宋"/>
          <w:color w:val="000000" w:themeColor="text1"/>
          <w:sz w:val="32"/>
          <w:szCs w:val="32"/>
          <w:shd w:val="clear" w:color="auto" w:fill="FFFFFF"/>
        </w:rPr>
        <w:t>通过实施基本公共卫生服务项目，对影响居民健康的主要卫生问题实施干预，减少主要健康危险因素，有效预防和控制主要传染病及慢性病，使城乡居民逐步享有均等化的公共卫生服务。内容包括：建立居民健康档案服务、健康教育服务、预防接种服务、儿童健康管理服务、孕产妇健康管理服务、老年人健康管理服务、慢性病患者健康管理（高血压、2型糖尿病患者）、严重精神障碍患者管理服务、传染病及突发公共卫生事件报告和处理服务、卫生计生监督协管服务、中医药健康管理服务、结核病患者健康管理服务、免费提供避孕药具服务、健康素养促进行动服务。项目实行年终考核制度，80%资金按月固定拨付到实施单位，20%根据公共卫生年终考核打分情况和各执行单位绩效挂钩，计算结算资金并拨付。</w:t>
      </w:r>
    </w:p>
    <w:p>
      <w:pPr>
        <w:adjustRightInd w:val="0"/>
        <w:snapToGrid w:val="0"/>
        <w:spacing w:line="580" w:lineRule="exact"/>
        <w:ind w:firstLine="630" w:firstLineChars="196"/>
        <w:rPr>
          <w:rFonts w:eastAsia="楷体_GB2312"/>
          <w:b/>
          <w:lang w:val="zh-CN"/>
        </w:rPr>
      </w:pPr>
      <w:r>
        <w:rPr>
          <w:rFonts w:eastAsia="楷体_GB2312"/>
          <w:b/>
          <w:lang w:val="zh-CN"/>
        </w:rPr>
        <w:t>（三）项目资金申报相符性。</w:t>
      </w:r>
    </w:p>
    <w:p>
      <w:pPr>
        <w:adjustRightInd w:val="0"/>
        <w:snapToGrid w:val="0"/>
        <w:spacing w:line="580" w:lineRule="exact"/>
        <w:ind w:firstLine="640" w:firstLineChars="200"/>
        <w:rPr>
          <w:rFonts w:ascii="仿宋_GB2312" w:hAnsi="仿宋" w:cs="仿宋"/>
          <w:color w:val="000000" w:themeColor="text1"/>
          <w:kern w:val="0"/>
          <w:szCs w:val="32"/>
          <w:shd w:val="clear" w:color="auto" w:fill="FFFFFF"/>
        </w:rPr>
      </w:pPr>
      <w:r>
        <w:rPr>
          <w:rFonts w:hint="eastAsia" w:ascii="仿宋_GB2312" w:hAnsi="仿宋" w:cs="仿宋"/>
          <w:color w:val="000000" w:themeColor="text1"/>
          <w:kern w:val="0"/>
          <w:szCs w:val="32"/>
          <w:shd w:val="clear" w:color="auto" w:fill="FFFFFF"/>
        </w:rPr>
        <w:t>本</w:t>
      </w:r>
      <w:r>
        <w:rPr>
          <w:rFonts w:ascii="仿宋_GB2312" w:hAnsi="仿宋" w:cs="仿宋"/>
          <w:color w:val="000000" w:themeColor="text1"/>
          <w:kern w:val="0"/>
          <w:szCs w:val="32"/>
          <w:shd w:val="clear" w:color="auto" w:fill="FFFFFF"/>
        </w:rPr>
        <w:t>项目申报内容与具体实施内容相符</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申报目标合理可行。</w:t>
      </w:r>
    </w:p>
    <w:p>
      <w:pPr>
        <w:adjustRightInd w:val="0"/>
        <w:snapToGrid w:val="0"/>
        <w:spacing w:line="580" w:lineRule="exact"/>
        <w:ind w:firstLine="720"/>
        <w:rPr>
          <w:rFonts w:eastAsia="黑体"/>
        </w:rPr>
      </w:pPr>
      <w:r>
        <w:rPr>
          <w:rFonts w:eastAsia="黑体"/>
        </w:rPr>
        <w:t>二、项目实施及管理情况</w:t>
      </w:r>
    </w:p>
    <w:p>
      <w:pPr>
        <w:adjustRightInd w:val="0"/>
        <w:snapToGrid w:val="0"/>
        <w:spacing w:line="580" w:lineRule="exact"/>
        <w:ind w:firstLine="630" w:firstLineChars="196"/>
        <w:rPr>
          <w:rFonts w:eastAsia="楷体_GB2312"/>
          <w:b/>
          <w:lang w:val="zh-CN"/>
        </w:rPr>
      </w:pPr>
      <w:r>
        <w:rPr>
          <w:rFonts w:eastAsia="楷体_GB2312"/>
          <w:b/>
          <w:lang w:val="zh-CN"/>
        </w:rPr>
        <w:t>（一）资金计划、到位及使用情况。</w:t>
      </w:r>
    </w:p>
    <w:p>
      <w:pPr>
        <w:adjustRightInd w:val="0"/>
        <w:snapToGrid w:val="0"/>
        <w:spacing w:line="580" w:lineRule="exact"/>
        <w:ind w:firstLine="640" w:firstLineChars="200"/>
        <w:rPr>
          <w:rFonts w:eastAsia="楷体_GB2312"/>
          <w:lang w:val="zh-CN"/>
        </w:rPr>
      </w:pPr>
      <w:r>
        <w:rPr>
          <w:rFonts w:eastAsia="楷体_GB2312"/>
          <w:lang w:val="zh-CN"/>
        </w:rPr>
        <w:t>1．资金计划及到位。</w:t>
      </w:r>
    </w:p>
    <w:p>
      <w:pPr>
        <w:adjustRightInd w:val="0"/>
        <w:snapToGrid w:val="0"/>
        <w:spacing w:line="596" w:lineRule="exact"/>
        <w:ind w:firstLine="640" w:firstLineChars="200"/>
        <w:rPr>
          <w:rFonts w:ascii="仿宋_GB2312" w:hAnsi="仿宋" w:cs="仿宋"/>
          <w:color w:val="000000" w:themeColor="text1"/>
          <w:kern w:val="0"/>
          <w:szCs w:val="32"/>
          <w:shd w:val="clear" w:color="auto" w:fill="FFFFFF"/>
        </w:rPr>
      </w:pPr>
      <w:r>
        <w:rPr>
          <w:rFonts w:hint="eastAsia" w:ascii="仿宋_GB2312" w:hAnsi="仿宋" w:cs="仿宋"/>
          <w:color w:val="000000" w:themeColor="text1"/>
          <w:kern w:val="0"/>
          <w:szCs w:val="32"/>
          <w:shd w:val="clear" w:color="auto" w:fill="FFFFFF"/>
        </w:rPr>
        <w:t>资金计划153.83万元，实际153.873万元。已全部拨付到各基层医疗机构。资金到位率100%。</w:t>
      </w:r>
    </w:p>
    <w:p>
      <w:pPr>
        <w:adjustRightInd w:val="0"/>
        <w:snapToGrid w:val="0"/>
        <w:spacing w:line="580" w:lineRule="exact"/>
        <w:ind w:firstLine="640" w:firstLineChars="200"/>
        <w:rPr>
          <w:rFonts w:eastAsia="楷体_GB2312"/>
          <w:lang w:val="zh-CN"/>
        </w:rPr>
      </w:pPr>
      <w:r>
        <w:rPr>
          <w:rFonts w:eastAsia="楷体_GB2312"/>
          <w:lang w:val="zh-CN"/>
        </w:rPr>
        <w:t>2．资金使用。</w:t>
      </w:r>
    </w:p>
    <w:p>
      <w:pPr>
        <w:adjustRightInd w:val="0"/>
        <w:snapToGrid w:val="0"/>
        <w:spacing w:line="596" w:lineRule="exact"/>
        <w:ind w:firstLine="640" w:firstLineChars="200"/>
        <w:rPr>
          <w:rFonts w:ascii="仿宋_GB2312" w:hAnsi="仿宋" w:cs="仿宋"/>
          <w:color w:val="000000" w:themeColor="text1"/>
          <w:kern w:val="0"/>
          <w:szCs w:val="32"/>
          <w:shd w:val="clear" w:color="auto" w:fill="FFFFFF"/>
        </w:rPr>
      </w:pPr>
      <w:r>
        <w:rPr>
          <w:rFonts w:hint="eastAsia" w:ascii="仿宋_GB2312" w:hAnsi="仿宋" w:cs="仿宋"/>
          <w:color w:val="000000" w:themeColor="text1"/>
          <w:kern w:val="0"/>
          <w:szCs w:val="32"/>
          <w:shd w:val="clear" w:color="auto" w:fill="FFFFFF"/>
        </w:rPr>
        <w:t>资金全部用于基层医疗机构基本公共卫生服务工作开展。支付依据合法合规，资金支付与预</w:t>
      </w:r>
      <w:r>
        <w:rPr>
          <w:rFonts w:ascii="仿宋_GB2312" w:hAnsi="仿宋" w:cs="仿宋"/>
          <w:color w:val="000000" w:themeColor="text1"/>
          <w:kern w:val="0"/>
          <w:szCs w:val="32"/>
          <w:shd w:val="clear" w:color="auto" w:fill="FFFFFF"/>
        </w:rPr>
        <w:t>算相符。</w:t>
      </w:r>
    </w:p>
    <w:p>
      <w:pPr>
        <w:adjustRightInd w:val="0"/>
        <w:snapToGrid w:val="0"/>
        <w:spacing w:line="580" w:lineRule="exact"/>
        <w:ind w:firstLine="643" w:firstLineChars="200"/>
        <w:rPr>
          <w:rFonts w:eastAsia="楷体_GB2312"/>
          <w:b/>
          <w:lang w:val="zh-CN"/>
        </w:rPr>
      </w:pPr>
      <w:r>
        <w:rPr>
          <w:rFonts w:eastAsia="楷体_GB2312"/>
          <w:b/>
          <w:lang w:val="zh-CN"/>
        </w:rPr>
        <w:t>（二）项目财务管理情况。</w:t>
      </w:r>
    </w:p>
    <w:p>
      <w:pPr>
        <w:adjustRightInd w:val="0"/>
        <w:snapToGrid w:val="0"/>
        <w:spacing w:line="596" w:lineRule="exact"/>
        <w:ind w:firstLine="640" w:firstLineChars="200"/>
        <w:rPr>
          <w:rFonts w:ascii="仿宋_GB2312" w:hAnsi="仿宋" w:cs="仿宋"/>
          <w:color w:val="000000" w:themeColor="text1"/>
          <w:kern w:val="0"/>
          <w:szCs w:val="32"/>
          <w:shd w:val="clear" w:color="auto" w:fill="FFFFFF"/>
        </w:rPr>
      </w:pPr>
      <w:r>
        <w:rPr>
          <w:rFonts w:ascii="仿宋_GB2312" w:hAnsi="仿宋" w:cs="仿宋"/>
          <w:color w:val="000000" w:themeColor="text1"/>
          <w:kern w:val="0"/>
          <w:szCs w:val="32"/>
          <w:shd w:val="clear" w:color="auto" w:fill="FFFFFF"/>
        </w:rPr>
        <w:t>对照项目资金管理办法，项目严格执行财务管理制度、财务处理及时、会计核算规范。</w:t>
      </w:r>
    </w:p>
    <w:p>
      <w:pPr>
        <w:adjustRightInd w:val="0"/>
        <w:snapToGrid w:val="0"/>
        <w:spacing w:line="580" w:lineRule="exact"/>
        <w:ind w:firstLine="630" w:firstLineChars="196"/>
        <w:rPr>
          <w:rFonts w:eastAsia="楷体_GB2312"/>
          <w:b/>
          <w:lang w:val="zh-CN"/>
        </w:rPr>
      </w:pPr>
      <w:r>
        <w:rPr>
          <w:rFonts w:eastAsia="楷体_GB2312"/>
          <w:b/>
          <w:lang w:val="zh-CN"/>
        </w:rPr>
        <w:t>（三）项目组织实施情况。</w:t>
      </w:r>
    </w:p>
    <w:p>
      <w:pPr>
        <w:adjustRightInd w:val="0"/>
        <w:snapToGrid w:val="0"/>
        <w:spacing w:line="596" w:lineRule="exact"/>
        <w:ind w:firstLine="640" w:firstLineChars="200"/>
        <w:rPr>
          <w:rFonts w:ascii="仿宋_GB2312" w:hAnsi="仿宋" w:cs="仿宋"/>
          <w:color w:val="000000" w:themeColor="text1"/>
          <w:kern w:val="0"/>
          <w:szCs w:val="32"/>
          <w:shd w:val="clear" w:color="auto" w:fill="FFFFFF"/>
        </w:rPr>
      </w:pPr>
      <w:r>
        <w:rPr>
          <w:rFonts w:hint="eastAsia" w:ascii="仿宋_GB2312" w:hAnsi="仿宋" w:cs="仿宋"/>
          <w:color w:val="000000" w:themeColor="text1"/>
          <w:kern w:val="0"/>
          <w:szCs w:val="32"/>
          <w:shd w:val="clear" w:color="auto" w:fill="FFFFFF"/>
        </w:rPr>
        <w:t>本项目领导重视，制度完善。支出均按照有关规章制度和项目实施完成情况进行支付。未纳入财政预算单位管理的单位经费拨付由区卫生健康局财务信息股按月固定拨付，已作为财政预算单位管理的单位由财政下达预算到各单位，按时按程序拨付，其余20%由区卫生健康局组织公共卫生年终考核后，根据各单位得分计算考核经费，已拨付完成。各流程均留有印证资料。</w:t>
      </w:r>
    </w:p>
    <w:p>
      <w:pPr>
        <w:adjustRightInd w:val="0"/>
        <w:snapToGrid w:val="0"/>
        <w:spacing w:line="580" w:lineRule="exact"/>
        <w:ind w:firstLine="720"/>
        <w:rPr>
          <w:lang w:val="zh-CN"/>
        </w:rPr>
      </w:pPr>
      <w:r>
        <w:rPr>
          <w:rFonts w:eastAsia="黑体"/>
        </w:rPr>
        <w:t>三、项目绩效情况</w:t>
      </w:r>
      <w:r>
        <w:rPr>
          <w:lang w:val="zh-CN"/>
        </w:rPr>
        <w:tab/>
      </w:r>
    </w:p>
    <w:p>
      <w:pPr>
        <w:adjustRightInd w:val="0"/>
        <w:snapToGrid w:val="0"/>
        <w:spacing w:line="580" w:lineRule="exact"/>
        <w:ind w:firstLine="482" w:firstLineChars="150"/>
        <w:rPr>
          <w:rFonts w:eastAsia="楷体_GB2312"/>
          <w:b/>
          <w:lang w:val="zh-CN"/>
        </w:rPr>
      </w:pPr>
      <w:r>
        <w:rPr>
          <w:rFonts w:eastAsia="楷体_GB2312"/>
          <w:b/>
          <w:lang w:val="zh-CN"/>
        </w:rPr>
        <w:t>（一）项目完成情况。</w:t>
      </w:r>
    </w:p>
    <w:p>
      <w:pPr>
        <w:shd w:val="solid" w:color="FFFFFF" w:fill="auto"/>
        <w:autoSpaceDN w:val="0"/>
        <w:snapToGrid w:val="0"/>
        <w:spacing w:line="596" w:lineRule="exact"/>
        <w:ind w:firstLine="640" w:firstLineChars="200"/>
        <w:jc w:val="left"/>
        <w:rPr>
          <w:rFonts w:ascii="仿宋_GB2312" w:hAnsi="仿宋" w:cs="仿宋"/>
          <w:color w:val="000000" w:themeColor="text1"/>
          <w:kern w:val="0"/>
          <w:szCs w:val="32"/>
          <w:shd w:val="clear" w:color="auto" w:fill="FFFFFF"/>
        </w:rPr>
      </w:pPr>
      <w:r>
        <w:rPr>
          <w:rFonts w:hint="eastAsia" w:ascii="仿宋_GB2312" w:hAnsi="仿宋" w:cs="仿宋"/>
          <w:color w:val="000000" w:themeColor="text1"/>
          <w:kern w:val="0"/>
          <w:szCs w:val="32"/>
          <w:shd w:val="clear" w:color="auto" w:fill="FFFFFF"/>
        </w:rPr>
        <w:t>全区家庭医生团队56个，</w:t>
      </w:r>
      <w:r>
        <w:rPr>
          <w:rFonts w:ascii="仿宋_GB2312" w:hAnsi="仿宋" w:cs="仿宋"/>
          <w:color w:val="000000" w:themeColor="text1"/>
          <w:kern w:val="0"/>
          <w:szCs w:val="32"/>
          <w:shd w:val="clear" w:color="auto" w:fill="FFFFFF"/>
        </w:rPr>
        <w:t>截止20</w:t>
      </w:r>
      <w:r>
        <w:rPr>
          <w:rFonts w:hint="eastAsia" w:ascii="仿宋_GB2312" w:hAnsi="仿宋" w:cs="仿宋"/>
          <w:color w:val="000000" w:themeColor="text1"/>
          <w:kern w:val="0"/>
          <w:szCs w:val="32"/>
          <w:shd w:val="clear" w:color="auto" w:fill="FFFFFF"/>
        </w:rPr>
        <w:t>20</w:t>
      </w:r>
      <w:r>
        <w:rPr>
          <w:rFonts w:ascii="仿宋_GB2312" w:hAnsi="仿宋" w:cs="仿宋"/>
          <w:color w:val="000000" w:themeColor="text1"/>
          <w:kern w:val="0"/>
          <w:szCs w:val="32"/>
          <w:shd w:val="clear" w:color="auto" w:fill="FFFFFF"/>
        </w:rPr>
        <w:t>年</w:t>
      </w:r>
      <w:r>
        <w:rPr>
          <w:rFonts w:hint="eastAsia" w:ascii="仿宋_GB2312" w:hAnsi="仿宋" w:cs="仿宋"/>
          <w:color w:val="000000" w:themeColor="text1"/>
          <w:kern w:val="0"/>
          <w:szCs w:val="32"/>
          <w:shd w:val="clear" w:color="auto" w:fill="FFFFFF"/>
        </w:rPr>
        <w:t>10</w:t>
      </w:r>
      <w:r>
        <w:rPr>
          <w:rFonts w:ascii="仿宋_GB2312" w:hAnsi="仿宋" w:cs="仿宋"/>
          <w:color w:val="000000" w:themeColor="text1"/>
          <w:kern w:val="0"/>
          <w:szCs w:val="32"/>
          <w:shd w:val="clear" w:color="auto" w:fill="FFFFFF"/>
        </w:rPr>
        <w:t>月底，电子建档</w:t>
      </w:r>
      <w:r>
        <w:rPr>
          <w:rFonts w:hint="eastAsia" w:ascii="仿宋_GB2312" w:hAnsi="仿宋" w:cs="仿宋"/>
          <w:color w:val="000000" w:themeColor="text1"/>
          <w:kern w:val="0"/>
          <w:szCs w:val="32"/>
          <w:shd w:val="clear" w:color="auto" w:fill="FFFFFF"/>
        </w:rPr>
        <w:t>254084</w:t>
      </w:r>
      <w:r>
        <w:rPr>
          <w:rFonts w:ascii="仿宋_GB2312" w:hAnsi="仿宋" w:cs="仿宋"/>
          <w:color w:val="000000" w:themeColor="text1"/>
          <w:kern w:val="0"/>
          <w:szCs w:val="32"/>
          <w:shd w:val="clear" w:color="auto" w:fill="FFFFFF"/>
        </w:rPr>
        <w:t>份、建档率为</w:t>
      </w:r>
      <w:r>
        <w:rPr>
          <w:rFonts w:hint="eastAsia" w:ascii="仿宋_GB2312" w:hAnsi="仿宋" w:cs="仿宋"/>
          <w:color w:val="000000" w:themeColor="text1"/>
          <w:kern w:val="0"/>
          <w:szCs w:val="32"/>
          <w:shd w:val="clear" w:color="auto" w:fill="FFFFFF"/>
        </w:rPr>
        <w:t>91.45</w:t>
      </w:r>
      <w:r>
        <w:rPr>
          <w:rFonts w:ascii="仿宋_GB2312" w:hAnsi="仿宋" w:cs="仿宋"/>
          <w:color w:val="000000" w:themeColor="text1"/>
          <w:kern w:val="0"/>
          <w:szCs w:val="32"/>
          <w:shd w:val="clear" w:color="auto" w:fill="FFFFFF"/>
        </w:rPr>
        <w:t>％。辖区内1-10月按照规范要求接受1次及以上访视的新生儿683人，接受1次及以上随访的0-6岁儿童7263人</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孕13周之前建册并进行第一次产前检查的产妇665，产妇出院后28天内接受过产后访视的产678人</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65岁以上老年人</w:t>
      </w:r>
      <w:r>
        <w:rPr>
          <w:rFonts w:hint="eastAsia" w:ascii="仿宋_GB2312" w:hAnsi="仿宋" w:cs="仿宋"/>
          <w:color w:val="000000" w:themeColor="text1"/>
          <w:kern w:val="0"/>
          <w:szCs w:val="32"/>
          <w:shd w:val="clear" w:color="auto" w:fill="FFFFFF"/>
        </w:rPr>
        <w:t>30927</w:t>
      </w:r>
      <w:r>
        <w:rPr>
          <w:rFonts w:ascii="仿宋_GB2312" w:hAnsi="仿宋" w:cs="仿宋"/>
          <w:color w:val="000000" w:themeColor="text1"/>
          <w:kern w:val="0"/>
          <w:szCs w:val="32"/>
          <w:shd w:val="clear" w:color="auto" w:fill="FFFFFF"/>
        </w:rPr>
        <w:t>人，</w:t>
      </w:r>
      <w:r>
        <w:rPr>
          <w:rFonts w:hint="eastAsia" w:ascii="仿宋_GB2312" w:hAnsi="仿宋" w:cs="仿宋"/>
          <w:color w:val="000000" w:themeColor="text1"/>
          <w:kern w:val="0"/>
          <w:szCs w:val="32"/>
          <w:shd w:val="clear" w:color="auto" w:fill="FFFFFF"/>
        </w:rPr>
        <w:t>健康档案建档率100%，</w:t>
      </w:r>
      <w:r>
        <w:rPr>
          <w:rFonts w:ascii="仿宋_GB2312" w:hAnsi="仿宋" w:cs="仿宋"/>
          <w:color w:val="000000" w:themeColor="text1"/>
          <w:kern w:val="0"/>
          <w:szCs w:val="32"/>
          <w:shd w:val="clear" w:color="auto" w:fill="FFFFFF"/>
        </w:rPr>
        <w:t>目前接受健康管理的65岁及以上老年人</w:t>
      </w:r>
      <w:r>
        <w:rPr>
          <w:rFonts w:hint="eastAsia" w:ascii="仿宋_GB2312" w:hAnsi="仿宋" w:cs="仿宋"/>
          <w:color w:val="000000" w:themeColor="text1"/>
          <w:kern w:val="0"/>
          <w:szCs w:val="32"/>
          <w:shd w:val="clear" w:color="auto" w:fill="FFFFFF"/>
        </w:rPr>
        <w:t>10257</w:t>
      </w:r>
      <w:r>
        <w:rPr>
          <w:rFonts w:ascii="仿宋_GB2312" w:hAnsi="仿宋" w:cs="仿宋"/>
          <w:color w:val="000000" w:themeColor="text1"/>
          <w:kern w:val="0"/>
          <w:szCs w:val="32"/>
          <w:shd w:val="clear" w:color="auto" w:fill="FFFFFF"/>
        </w:rPr>
        <w:t>人，管理率</w:t>
      </w:r>
      <w:r>
        <w:rPr>
          <w:rFonts w:hint="eastAsia" w:ascii="仿宋_GB2312" w:hAnsi="仿宋" w:cs="仿宋"/>
          <w:color w:val="000000" w:themeColor="text1"/>
          <w:kern w:val="0"/>
          <w:szCs w:val="32"/>
          <w:shd w:val="clear" w:color="auto" w:fill="FFFFFF"/>
        </w:rPr>
        <w:t>33.17</w:t>
      </w:r>
      <w:r>
        <w:rPr>
          <w:rFonts w:ascii="仿宋_GB2312" w:hAnsi="仿宋" w:cs="仿宋"/>
          <w:color w:val="000000" w:themeColor="text1"/>
          <w:kern w:val="0"/>
          <w:szCs w:val="32"/>
          <w:shd w:val="clear" w:color="auto" w:fill="FFFFFF"/>
        </w:rPr>
        <w:t>%</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累计管理高血压患者</w:t>
      </w:r>
      <w:r>
        <w:rPr>
          <w:rFonts w:hint="eastAsia" w:ascii="仿宋_GB2312" w:hAnsi="仿宋" w:cs="仿宋"/>
          <w:color w:val="000000" w:themeColor="text1"/>
          <w:kern w:val="0"/>
          <w:szCs w:val="32"/>
          <w:shd w:val="clear" w:color="auto" w:fill="FFFFFF"/>
        </w:rPr>
        <w:t>13170</w:t>
      </w:r>
      <w:r>
        <w:rPr>
          <w:rFonts w:ascii="仿宋_GB2312" w:hAnsi="仿宋" w:cs="仿宋"/>
          <w:color w:val="000000" w:themeColor="text1"/>
          <w:kern w:val="0"/>
          <w:szCs w:val="32"/>
          <w:shd w:val="clear" w:color="auto" w:fill="FFFFFF"/>
        </w:rPr>
        <w:t>人，规范化管理</w:t>
      </w:r>
      <w:r>
        <w:rPr>
          <w:rFonts w:hint="eastAsia" w:ascii="仿宋_GB2312" w:hAnsi="仿宋" w:cs="仿宋"/>
          <w:color w:val="000000" w:themeColor="text1"/>
          <w:kern w:val="0"/>
          <w:szCs w:val="32"/>
          <w:shd w:val="clear" w:color="auto" w:fill="FFFFFF"/>
        </w:rPr>
        <w:t>11161</w:t>
      </w:r>
      <w:r>
        <w:rPr>
          <w:rFonts w:ascii="仿宋_GB2312" w:hAnsi="仿宋" w:cs="仿宋"/>
          <w:color w:val="000000" w:themeColor="text1"/>
          <w:kern w:val="0"/>
          <w:szCs w:val="32"/>
          <w:shd w:val="clear" w:color="auto" w:fill="FFFFFF"/>
        </w:rPr>
        <w:t>人，规范化管理率</w:t>
      </w:r>
      <w:r>
        <w:rPr>
          <w:rFonts w:hint="eastAsia" w:ascii="仿宋_GB2312" w:hAnsi="仿宋" w:cs="仿宋"/>
          <w:color w:val="000000" w:themeColor="text1"/>
          <w:kern w:val="0"/>
          <w:szCs w:val="32"/>
          <w:shd w:val="clear" w:color="auto" w:fill="FFFFFF"/>
        </w:rPr>
        <w:t>84.75</w:t>
      </w:r>
      <w:r>
        <w:rPr>
          <w:rFonts w:ascii="仿宋_GB2312" w:hAnsi="仿宋" w:cs="仿宋"/>
          <w:color w:val="000000" w:themeColor="text1"/>
          <w:kern w:val="0"/>
          <w:szCs w:val="32"/>
          <w:shd w:val="clear" w:color="auto" w:fill="FFFFFF"/>
        </w:rPr>
        <w:t>%</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累计管理2型糖尿病患者</w:t>
      </w:r>
      <w:r>
        <w:rPr>
          <w:rFonts w:hint="eastAsia" w:ascii="仿宋_GB2312" w:hAnsi="仿宋" w:cs="仿宋"/>
          <w:color w:val="000000" w:themeColor="text1"/>
          <w:kern w:val="0"/>
          <w:szCs w:val="32"/>
          <w:shd w:val="clear" w:color="auto" w:fill="FFFFFF"/>
        </w:rPr>
        <w:t>6035</w:t>
      </w:r>
      <w:r>
        <w:rPr>
          <w:rFonts w:ascii="仿宋_GB2312" w:hAnsi="仿宋" w:cs="仿宋"/>
          <w:color w:val="000000" w:themeColor="text1"/>
          <w:kern w:val="0"/>
          <w:szCs w:val="32"/>
          <w:shd w:val="clear" w:color="auto" w:fill="FFFFFF"/>
        </w:rPr>
        <w:t>人，规范化管理</w:t>
      </w:r>
      <w:r>
        <w:rPr>
          <w:rFonts w:hint="eastAsia" w:ascii="仿宋_GB2312" w:hAnsi="仿宋" w:cs="仿宋"/>
          <w:color w:val="000000" w:themeColor="text1"/>
          <w:kern w:val="0"/>
          <w:szCs w:val="32"/>
          <w:shd w:val="clear" w:color="auto" w:fill="FFFFFF"/>
        </w:rPr>
        <w:t>5137</w:t>
      </w:r>
      <w:r>
        <w:rPr>
          <w:rFonts w:ascii="仿宋_GB2312" w:hAnsi="仿宋" w:cs="仿宋"/>
          <w:color w:val="000000" w:themeColor="text1"/>
          <w:kern w:val="0"/>
          <w:szCs w:val="32"/>
          <w:shd w:val="clear" w:color="auto" w:fill="FFFFFF"/>
        </w:rPr>
        <w:t>人，规范化管理率</w:t>
      </w:r>
      <w:r>
        <w:rPr>
          <w:rFonts w:hint="eastAsia" w:ascii="仿宋_GB2312" w:hAnsi="仿宋" w:cs="仿宋"/>
          <w:color w:val="000000" w:themeColor="text1"/>
          <w:kern w:val="0"/>
          <w:szCs w:val="32"/>
          <w:shd w:val="clear" w:color="auto" w:fill="FFFFFF"/>
        </w:rPr>
        <w:t>81.48</w:t>
      </w:r>
      <w:r>
        <w:rPr>
          <w:rFonts w:ascii="仿宋_GB2312" w:hAnsi="仿宋" w:cs="仿宋"/>
          <w:color w:val="000000" w:themeColor="text1"/>
          <w:kern w:val="0"/>
          <w:szCs w:val="32"/>
          <w:shd w:val="clear" w:color="auto" w:fill="FFFFFF"/>
        </w:rPr>
        <w:t>%</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累计登记在册严重精神障碍患者</w:t>
      </w:r>
      <w:r>
        <w:rPr>
          <w:rFonts w:hint="eastAsia" w:ascii="仿宋_GB2312" w:hAnsi="仿宋" w:cs="仿宋"/>
          <w:color w:val="000000" w:themeColor="text1"/>
          <w:kern w:val="0"/>
          <w:szCs w:val="32"/>
          <w:shd w:val="clear" w:color="auto" w:fill="FFFFFF"/>
        </w:rPr>
        <w:t>1415</w:t>
      </w:r>
      <w:r>
        <w:rPr>
          <w:rFonts w:ascii="仿宋_GB2312" w:hAnsi="仿宋" w:cs="仿宋"/>
          <w:color w:val="000000" w:themeColor="text1"/>
          <w:kern w:val="0"/>
          <w:szCs w:val="32"/>
          <w:shd w:val="clear" w:color="auto" w:fill="FFFFFF"/>
        </w:rPr>
        <w:t>人，规范化管理</w:t>
      </w:r>
      <w:r>
        <w:rPr>
          <w:rFonts w:hint="eastAsia" w:ascii="仿宋_GB2312" w:hAnsi="仿宋" w:cs="仿宋"/>
          <w:color w:val="000000" w:themeColor="text1"/>
          <w:kern w:val="0"/>
          <w:szCs w:val="32"/>
          <w:shd w:val="clear" w:color="auto" w:fill="FFFFFF"/>
        </w:rPr>
        <w:t>1383</w:t>
      </w:r>
      <w:r>
        <w:rPr>
          <w:rFonts w:ascii="仿宋_GB2312" w:hAnsi="仿宋" w:cs="仿宋"/>
          <w:color w:val="000000" w:themeColor="text1"/>
          <w:kern w:val="0"/>
          <w:szCs w:val="32"/>
          <w:shd w:val="clear" w:color="auto" w:fill="FFFFFF"/>
        </w:rPr>
        <w:t>人，规范化管理率</w:t>
      </w:r>
      <w:r>
        <w:rPr>
          <w:rFonts w:hint="eastAsia" w:ascii="仿宋_GB2312" w:hAnsi="仿宋" w:cs="仿宋"/>
          <w:color w:val="000000" w:themeColor="text1"/>
          <w:kern w:val="0"/>
          <w:szCs w:val="32"/>
          <w:shd w:val="clear" w:color="auto" w:fill="FFFFFF"/>
        </w:rPr>
        <w:t>97.74</w:t>
      </w:r>
      <w:r>
        <w:rPr>
          <w:rFonts w:ascii="仿宋_GB2312" w:hAnsi="仿宋" w:cs="仿宋"/>
          <w:color w:val="000000" w:themeColor="text1"/>
          <w:kern w:val="0"/>
          <w:szCs w:val="32"/>
          <w:shd w:val="clear" w:color="auto" w:fill="FFFFFF"/>
        </w:rPr>
        <w:t>%</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已管理结核病患者</w:t>
      </w:r>
      <w:r>
        <w:rPr>
          <w:rFonts w:hint="eastAsia" w:ascii="仿宋_GB2312" w:hAnsi="仿宋" w:cs="仿宋"/>
          <w:color w:val="000000" w:themeColor="text1"/>
          <w:kern w:val="0"/>
          <w:szCs w:val="32"/>
          <w:shd w:val="clear" w:color="auto" w:fill="FFFFFF"/>
        </w:rPr>
        <w:t>158</w:t>
      </w:r>
      <w:r>
        <w:rPr>
          <w:rFonts w:ascii="仿宋_GB2312" w:hAnsi="仿宋" w:cs="仿宋"/>
          <w:color w:val="000000" w:themeColor="text1"/>
          <w:kern w:val="0"/>
          <w:szCs w:val="32"/>
          <w:shd w:val="clear" w:color="auto" w:fill="FFFFFF"/>
        </w:rPr>
        <w:t>人，按要求规则服药的结核病患者</w:t>
      </w:r>
      <w:r>
        <w:rPr>
          <w:rFonts w:hint="eastAsia" w:ascii="仿宋_GB2312" w:hAnsi="仿宋" w:cs="仿宋"/>
          <w:color w:val="000000" w:themeColor="text1"/>
          <w:kern w:val="0"/>
          <w:szCs w:val="32"/>
          <w:shd w:val="clear" w:color="auto" w:fill="FFFFFF"/>
        </w:rPr>
        <w:t>153</w:t>
      </w:r>
      <w:r>
        <w:rPr>
          <w:rFonts w:ascii="仿宋_GB2312" w:hAnsi="仿宋" w:cs="仿宋"/>
          <w:color w:val="000000" w:themeColor="text1"/>
          <w:kern w:val="0"/>
          <w:szCs w:val="32"/>
          <w:shd w:val="clear" w:color="auto" w:fill="FFFFFF"/>
        </w:rPr>
        <w:t>人</w:t>
      </w:r>
      <w:r>
        <w:rPr>
          <w:rFonts w:hint="eastAsia" w:ascii="仿宋_GB2312" w:hAnsi="仿宋" w:cs="仿宋"/>
          <w:color w:val="000000" w:themeColor="text1"/>
          <w:kern w:val="0"/>
          <w:szCs w:val="32"/>
          <w:shd w:val="clear" w:color="auto" w:fill="FFFFFF"/>
        </w:rPr>
        <w:t>；</w:t>
      </w:r>
      <w:r>
        <w:rPr>
          <w:rFonts w:ascii="仿宋_GB2312" w:hAnsi="仿宋" w:cs="仿宋"/>
          <w:color w:val="000000" w:themeColor="text1"/>
          <w:kern w:val="0"/>
          <w:szCs w:val="32"/>
          <w:shd w:val="clear" w:color="auto" w:fill="FFFFFF"/>
        </w:rPr>
        <w:t>完成0-36月龄儿童中医药保健管理</w:t>
      </w:r>
      <w:r>
        <w:rPr>
          <w:rFonts w:hint="eastAsia" w:ascii="仿宋_GB2312" w:hAnsi="仿宋" w:cs="仿宋"/>
          <w:color w:val="000000" w:themeColor="text1"/>
          <w:kern w:val="0"/>
          <w:szCs w:val="32"/>
          <w:shd w:val="clear" w:color="auto" w:fill="FFFFFF"/>
        </w:rPr>
        <w:t>3147</w:t>
      </w:r>
      <w:r>
        <w:rPr>
          <w:rFonts w:ascii="仿宋_GB2312" w:hAnsi="仿宋" w:cs="仿宋"/>
          <w:color w:val="000000" w:themeColor="text1"/>
          <w:kern w:val="0"/>
          <w:szCs w:val="32"/>
          <w:shd w:val="clear" w:color="auto" w:fill="FFFFFF"/>
        </w:rPr>
        <w:t>人次；完成老年人中医药体质辨识及中医药健康管理</w:t>
      </w:r>
      <w:r>
        <w:rPr>
          <w:rFonts w:hint="eastAsia" w:ascii="仿宋_GB2312" w:hAnsi="仿宋" w:cs="仿宋"/>
          <w:color w:val="000000" w:themeColor="text1"/>
          <w:kern w:val="0"/>
          <w:szCs w:val="32"/>
          <w:shd w:val="clear" w:color="auto" w:fill="FFFFFF"/>
        </w:rPr>
        <w:t>13394</w:t>
      </w:r>
      <w:r>
        <w:rPr>
          <w:rFonts w:ascii="仿宋_GB2312" w:hAnsi="仿宋" w:cs="仿宋"/>
          <w:color w:val="000000" w:themeColor="text1"/>
          <w:kern w:val="0"/>
          <w:szCs w:val="32"/>
          <w:shd w:val="clear" w:color="auto" w:fill="FFFFFF"/>
        </w:rPr>
        <w:t>人次。</w:t>
      </w:r>
    </w:p>
    <w:p>
      <w:pPr>
        <w:adjustRightInd w:val="0"/>
        <w:snapToGrid w:val="0"/>
        <w:spacing w:line="580" w:lineRule="exact"/>
        <w:ind w:firstLine="630" w:firstLineChars="196"/>
        <w:rPr>
          <w:rFonts w:ascii="仿宋_GB2312" w:hAnsi="仿宋_GB2312" w:cs="仿宋_GB2312"/>
          <w:kern w:val="0"/>
          <w:szCs w:val="32"/>
        </w:rPr>
      </w:pPr>
      <w:r>
        <w:rPr>
          <w:rFonts w:eastAsia="楷体_GB2312"/>
          <w:b/>
          <w:lang w:val="zh-CN"/>
        </w:rPr>
        <w:t>（</w:t>
      </w:r>
      <w:r>
        <w:rPr>
          <w:rFonts w:hint="eastAsia" w:eastAsia="楷体_GB2312"/>
          <w:b/>
        </w:rPr>
        <w:t>二</w:t>
      </w:r>
      <w:r>
        <w:rPr>
          <w:rFonts w:eastAsia="楷体_GB2312"/>
          <w:b/>
          <w:lang w:val="zh-CN"/>
        </w:rPr>
        <w:t>）项目效益情况。</w:t>
      </w:r>
    </w:p>
    <w:p>
      <w:pPr>
        <w:adjustRightInd w:val="0"/>
        <w:snapToGrid w:val="0"/>
        <w:spacing w:line="596" w:lineRule="exact"/>
        <w:ind w:firstLine="640" w:firstLineChars="200"/>
      </w:pPr>
      <w:r>
        <w:rPr>
          <w:rFonts w:hint="eastAsia" w:ascii="仿宋_GB2312" w:hAnsi="仿宋_GB2312" w:cs="仿宋_GB2312"/>
          <w:kern w:val="0"/>
          <w:szCs w:val="32"/>
        </w:rPr>
        <w:t>居民对基本公共卫生服务的知晓率、满意度、居民健康档案动态使用率、高血压患者血压控制率、糖尿病患者血糖控制率等较满意。</w:t>
      </w:r>
    </w:p>
    <w:p>
      <w:pPr>
        <w:spacing w:line="580" w:lineRule="exact"/>
        <w:ind w:firstLine="640"/>
        <w:rPr>
          <w:rFonts w:ascii="仿宋_GB2312" w:hAnsi="仿宋_GB2312" w:cs="仿宋_GB2312"/>
          <w:szCs w:val="32"/>
        </w:rPr>
      </w:pPr>
    </w:p>
    <w:p>
      <w:pPr>
        <w:widowControl/>
        <w:jc w:val="left"/>
        <w:rPr>
          <w:rStyle w:val="15"/>
          <w:rFonts w:ascii="黑体" w:hAnsi="黑体" w:eastAsia="黑体"/>
          <w:b w:val="0"/>
        </w:rPr>
      </w:pPr>
    </w:p>
    <w:p>
      <w:pPr>
        <w:widowControl/>
        <w:jc w:val="left"/>
        <w:rPr>
          <w:rStyle w:val="15"/>
          <w:rFonts w:ascii="黑体" w:hAnsi="黑体" w:eastAsia="黑体"/>
          <w:b w:val="0"/>
        </w:rPr>
      </w:pPr>
      <w:r>
        <w:rPr>
          <w:rStyle w:val="15"/>
          <w:rFonts w:ascii="黑体" w:hAnsi="黑体" w:eastAsia="黑体"/>
          <w:b w:val="0"/>
        </w:rPr>
        <w:br w:type="page"/>
      </w:r>
    </w:p>
    <w:p>
      <w:pPr>
        <w:spacing w:line="600" w:lineRule="exact"/>
        <w:jc w:val="center"/>
        <w:outlineLvl w:val="0"/>
        <w:rPr>
          <w:rStyle w:val="15"/>
          <w:rFonts w:ascii="黑体" w:hAnsi="黑体" w:eastAsia="黑体"/>
          <w:b w:val="0"/>
        </w:rPr>
      </w:pPr>
      <w:bookmarkStart w:id="67" w:name="_Toc32283"/>
      <w:bookmarkStart w:id="68" w:name="_Toc15396618"/>
      <w:r>
        <w:rPr>
          <w:rFonts w:hint="eastAsia" w:ascii="黑体" w:hAnsi="黑体" w:eastAsia="黑体"/>
          <w:color w:val="000000"/>
          <w:sz w:val="44"/>
          <w:szCs w:val="44"/>
        </w:rPr>
        <w:t>第</w:t>
      </w:r>
      <w:r>
        <w:rPr>
          <w:rStyle w:val="15"/>
          <w:rFonts w:hint="eastAsia" w:ascii="黑体" w:hAnsi="黑体" w:eastAsia="黑体"/>
          <w:b w:val="0"/>
        </w:rPr>
        <w:t>五部分附表</w:t>
      </w:r>
      <w:bookmarkEnd w:id="62"/>
      <w:bookmarkEnd w:id="67"/>
      <w:bookmarkEnd w:id="68"/>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9" w:name="_Toc15396619"/>
      <w:bookmarkStart w:id="70" w:name="_Toc15699"/>
      <w:r>
        <w:rPr>
          <w:rFonts w:hint="eastAsia" w:ascii="仿宋" w:hAnsi="仿宋" w:eastAsia="仿宋"/>
          <w:b w:val="0"/>
          <w:color w:val="000000"/>
        </w:rPr>
        <w:t>一、收</w:t>
      </w:r>
      <w:r>
        <w:rPr>
          <w:rStyle w:val="16"/>
          <w:rFonts w:hint="eastAsia" w:ascii="仿宋" w:hAnsi="仿宋" w:eastAsia="仿宋"/>
          <w:b w:val="0"/>
          <w:bCs w:val="0"/>
        </w:rPr>
        <w:t>入支出决算总表</w:t>
      </w:r>
      <w:bookmarkEnd w:id="69"/>
      <w:bookmarkEnd w:id="70"/>
    </w:p>
    <w:p>
      <w:pPr>
        <w:pStyle w:val="3"/>
        <w:rPr>
          <w:rFonts w:ascii="仿宋" w:hAnsi="仿宋" w:eastAsia="仿宋"/>
          <w:color w:val="000000"/>
        </w:rPr>
      </w:pPr>
      <w:bookmarkStart w:id="71" w:name="_Toc27106"/>
      <w:bookmarkStart w:id="72" w:name="_Toc15396620"/>
      <w:r>
        <w:rPr>
          <w:rFonts w:hint="eastAsia" w:ascii="仿宋" w:hAnsi="仿宋" w:eastAsia="仿宋"/>
          <w:b w:val="0"/>
          <w:color w:val="000000"/>
        </w:rPr>
        <w:t>二、收</w:t>
      </w:r>
      <w:r>
        <w:rPr>
          <w:rStyle w:val="16"/>
          <w:rFonts w:hint="eastAsia" w:ascii="仿宋" w:hAnsi="仿宋" w:eastAsia="仿宋"/>
          <w:b w:val="0"/>
          <w:bCs w:val="0"/>
        </w:rPr>
        <w:t>入决算表</w:t>
      </w:r>
      <w:bookmarkEnd w:id="71"/>
      <w:bookmarkEnd w:id="72"/>
    </w:p>
    <w:p>
      <w:pPr>
        <w:pStyle w:val="3"/>
        <w:rPr>
          <w:rFonts w:ascii="仿宋" w:hAnsi="仿宋" w:eastAsia="仿宋"/>
          <w:color w:val="000000"/>
        </w:rPr>
      </w:pPr>
      <w:bookmarkStart w:id="73" w:name="_Toc15396621"/>
      <w:bookmarkStart w:id="74" w:name="_Toc26817"/>
      <w:r>
        <w:rPr>
          <w:rStyle w:val="16"/>
          <w:rFonts w:hint="eastAsia" w:ascii="仿宋" w:hAnsi="仿宋" w:eastAsia="仿宋"/>
          <w:b w:val="0"/>
          <w:bCs w:val="0"/>
        </w:rPr>
        <w:t>三、</w:t>
      </w:r>
      <w:r>
        <w:rPr>
          <w:rFonts w:hint="eastAsia" w:ascii="仿宋" w:hAnsi="仿宋" w:eastAsia="仿宋"/>
          <w:b w:val="0"/>
          <w:color w:val="000000"/>
        </w:rPr>
        <w:t>支</w:t>
      </w:r>
      <w:r>
        <w:rPr>
          <w:rStyle w:val="16"/>
          <w:rFonts w:hint="eastAsia" w:ascii="仿宋" w:hAnsi="仿宋" w:eastAsia="仿宋"/>
          <w:b w:val="0"/>
          <w:bCs w:val="0"/>
        </w:rPr>
        <w:t>出决算表</w:t>
      </w:r>
      <w:bookmarkEnd w:id="73"/>
      <w:bookmarkEnd w:id="74"/>
    </w:p>
    <w:p>
      <w:pPr>
        <w:pStyle w:val="3"/>
        <w:rPr>
          <w:rFonts w:ascii="仿宋" w:hAnsi="仿宋" w:eastAsia="仿宋"/>
          <w:b w:val="0"/>
          <w:color w:val="000000"/>
        </w:rPr>
      </w:pPr>
      <w:bookmarkStart w:id="75" w:name="_Toc15396622"/>
      <w:bookmarkStart w:id="76" w:name="_Toc21747"/>
      <w:r>
        <w:rPr>
          <w:rStyle w:val="16"/>
          <w:rFonts w:hint="eastAsia" w:ascii="仿宋" w:hAnsi="仿宋" w:eastAsia="仿宋"/>
          <w:b w:val="0"/>
          <w:bCs w:val="0"/>
        </w:rPr>
        <w:t>四、</w:t>
      </w:r>
      <w:r>
        <w:rPr>
          <w:rFonts w:hint="eastAsia" w:ascii="仿宋" w:hAnsi="仿宋" w:eastAsia="仿宋"/>
          <w:b w:val="0"/>
          <w:color w:val="000000"/>
        </w:rPr>
        <w:t>财</w:t>
      </w:r>
      <w:r>
        <w:rPr>
          <w:rStyle w:val="16"/>
          <w:rFonts w:hint="eastAsia" w:ascii="仿宋" w:hAnsi="仿宋" w:eastAsia="仿宋"/>
          <w:b w:val="0"/>
          <w:bCs w:val="0"/>
        </w:rPr>
        <w:t>政拨款收入支出决算总表</w:t>
      </w:r>
      <w:bookmarkEnd w:id="75"/>
      <w:bookmarkEnd w:id="76"/>
    </w:p>
    <w:p>
      <w:pPr>
        <w:pStyle w:val="3"/>
        <w:rPr>
          <w:rStyle w:val="16"/>
          <w:rFonts w:ascii="仿宋" w:hAnsi="仿宋" w:eastAsia="仿宋"/>
          <w:b w:val="0"/>
          <w:bCs w:val="0"/>
        </w:rPr>
      </w:pPr>
      <w:bookmarkStart w:id="77" w:name="_Toc15396623"/>
      <w:bookmarkStart w:id="78" w:name="_Toc12959"/>
      <w:r>
        <w:rPr>
          <w:rStyle w:val="16"/>
          <w:rFonts w:hint="eastAsia" w:ascii="仿宋" w:hAnsi="仿宋" w:eastAsia="仿宋"/>
          <w:b w:val="0"/>
          <w:bCs w:val="0"/>
        </w:rPr>
        <w:t>五、</w:t>
      </w:r>
      <w:r>
        <w:rPr>
          <w:rFonts w:hint="eastAsia" w:ascii="仿宋" w:hAnsi="仿宋" w:eastAsia="仿宋"/>
          <w:b w:val="0"/>
          <w:color w:val="000000"/>
        </w:rPr>
        <w:t>财</w:t>
      </w:r>
      <w:r>
        <w:rPr>
          <w:rStyle w:val="16"/>
          <w:rFonts w:hint="eastAsia" w:ascii="仿宋" w:hAnsi="仿宋" w:eastAsia="仿宋"/>
          <w:b w:val="0"/>
          <w:bCs w:val="0"/>
        </w:rPr>
        <w:t>政拨款支出决算明细表</w:t>
      </w:r>
      <w:bookmarkEnd w:id="77"/>
      <w:bookmarkEnd w:id="78"/>
      <w:bookmarkStart w:id="79" w:name="_Toc15396624"/>
    </w:p>
    <w:p>
      <w:pPr>
        <w:pStyle w:val="3"/>
        <w:rPr>
          <w:rFonts w:ascii="仿宋" w:hAnsi="仿宋" w:eastAsia="仿宋"/>
          <w:color w:val="000000"/>
        </w:rPr>
      </w:pPr>
      <w:bookmarkStart w:id="80" w:name="_Toc23749"/>
      <w:r>
        <w:rPr>
          <w:rStyle w:val="16"/>
          <w:rFonts w:hint="eastAsia" w:ascii="仿宋" w:hAnsi="仿宋" w:eastAsia="仿宋"/>
          <w:b w:val="0"/>
          <w:bCs w:val="0"/>
        </w:rPr>
        <w:t>六、</w:t>
      </w:r>
      <w:r>
        <w:rPr>
          <w:rFonts w:hint="eastAsia" w:ascii="仿宋" w:hAnsi="仿宋" w:eastAsia="仿宋"/>
          <w:b w:val="0"/>
          <w:color w:val="000000"/>
        </w:rPr>
        <w:t>一</w:t>
      </w:r>
      <w:r>
        <w:rPr>
          <w:rStyle w:val="16"/>
          <w:rFonts w:hint="eastAsia" w:ascii="仿宋" w:hAnsi="仿宋" w:eastAsia="仿宋"/>
          <w:b w:val="0"/>
          <w:bCs w:val="0"/>
        </w:rPr>
        <w:t>般公共预算财政拨款支出决算表</w:t>
      </w:r>
      <w:bookmarkEnd w:id="79"/>
      <w:bookmarkEnd w:id="80"/>
    </w:p>
    <w:p>
      <w:pPr>
        <w:pStyle w:val="3"/>
        <w:rPr>
          <w:rFonts w:ascii="仿宋" w:hAnsi="仿宋" w:eastAsia="仿宋"/>
          <w:color w:val="000000"/>
        </w:rPr>
      </w:pPr>
      <w:bookmarkStart w:id="81" w:name="_Toc15396625"/>
      <w:bookmarkStart w:id="82" w:name="_Toc22275"/>
      <w:r>
        <w:rPr>
          <w:rStyle w:val="16"/>
          <w:rFonts w:hint="eastAsia" w:ascii="仿宋" w:hAnsi="仿宋" w:eastAsia="仿宋"/>
          <w:b w:val="0"/>
          <w:bCs w:val="0"/>
        </w:rPr>
        <w:t>七、</w:t>
      </w:r>
      <w:r>
        <w:rPr>
          <w:rFonts w:hint="eastAsia" w:ascii="仿宋" w:hAnsi="仿宋" w:eastAsia="仿宋"/>
          <w:b w:val="0"/>
          <w:color w:val="000000"/>
        </w:rPr>
        <w:t>一</w:t>
      </w:r>
      <w:r>
        <w:rPr>
          <w:rStyle w:val="16"/>
          <w:rFonts w:hint="eastAsia" w:ascii="仿宋" w:hAnsi="仿宋" w:eastAsia="仿宋"/>
          <w:b w:val="0"/>
          <w:bCs w:val="0"/>
        </w:rPr>
        <w:t>般公共预算财政拨款支出决算明细表</w:t>
      </w:r>
      <w:bookmarkEnd w:id="81"/>
      <w:bookmarkEnd w:id="82"/>
    </w:p>
    <w:p>
      <w:pPr>
        <w:pStyle w:val="3"/>
        <w:rPr>
          <w:rFonts w:ascii="仿宋" w:hAnsi="仿宋" w:eastAsia="仿宋"/>
          <w:color w:val="000000"/>
        </w:rPr>
      </w:pPr>
      <w:bookmarkStart w:id="83" w:name="_Toc15396626"/>
      <w:bookmarkStart w:id="84" w:name="_Toc30634"/>
      <w:r>
        <w:rPr>
          <w:rStyle w:val="16"/>
          <w:rFonts w:hint="eastAsia" w:ascii="仿宋" w:hAnsi="仿宋" w:eastAsia="仿宋"/>
          <w:b w:val="0"/>
          <w:bCs w:val="0"/>
        </w:rPr>
        <w:t>八、</w:t>
      </w:r>
      <w:r>
        <w:rPr>
          <w:rFonts w:hint="eastAsia" w:ascii="仿宋" w:hAnsi="仿宋" w:eastAsia="仿宋"/>
          <w:b w:val="0"/>
          <w:color w:val="000000"/>
        </w:rPr>
        <w:t>一</w:t>
      </w:r>
      <w:r>
        <w:rPr>
          <w:rStyle w:val="16"/>
          <w:rFonts w:hint="eastAsia" w:ascii="仿宋" w:hAnsi="仿宋" w:eastAsia="仿宋"/>
          <w:b w:val="0"/>
          <w:bCs w:val="0"/>
        </w:rPr>
        <w:t>般公共预算财政拨款基本支出决算表</w:t>
      </w:r>
      <w:bookmarkEnd w:id="83"/>
      <w:bookmarkEnd w:id="84"/>
    </w:p>
    <w:p>
      <w:pPr>
        <w:pStyle w:val="3"/>
        <w:rPr>
          <w:rFonts w:ascii="仿宋" w:hAnsi="仿宋" w:eastAsia="仿宋"/>
          <w:color w:val="000000"/>
        </w:rPr>
      </w:pPr>
      <w:bookmarkStart w:id="85" w:name="_Toc15396627"/>
      <w:bookmarkStart w:id="86" w:name="_Toc15170"/>
      <w:r>
        <w:rPr>
          <w:rStyle w:val="16"/>
          <w:rFonts w:hint="eastAsia" w:ascii="仿宋" w:hAnsi="仿宋" w:eastAsia="仿宋"/>
          <w:b w:val="0"/>
          <w:bCs w:val="0"/>
        </w:rPr>
        <w:t>九、</w:t>
      </w:r>
      <w:r>
        <w:rPr>
          <w:rFonts w:hint="eastAsia" w:ascii="仿宋" w:hAnsi="仿宋" w:eastAsia="仿宋"/>
          <w:b w:val="0"/>
          <w:color w:val="000000"/>
        </w:rPr>
        <w:t>一</w:t>
      </w:r>
      <w:r>
        <w:rPr>
          <w:rStyle w:val="16"/>
          <w:rFonts w:hint="eastAsia" w:ascii="仿宋" w:hAnsi="仿宋" w:eastAsia="仿宋"/>
          <w:b w:val="0"/>
          <w:bCs w:val="0"/>
        </w:rPr>
        <w:t>般公共预算财政拨款项目支出决算表</w:t>
      </w:r>
      <w:bookmarkEnd w:id="85"/>
      <w:bookmarkEnd w:id="86"/>
    </w:p>
    <w:p>
      <w:pPr>
        <w:pStyle w:val="3"/>
        <w:spacing w:line="360" w:lineRule="auto"/>
        <w:rPr>
          <w:rFonts w:ascii="仿宋" w:hAnsi="仿宋" w:eastAsia="仿宋"/>
          <w:color w:val="000000"/>
        </w:rPr>
      </w:pPr>
      <w:bookmarkStart w:id="87" w:name="_Toc15396628"/>
      <w:bookmarkStart w:id="88" w:name="_Toc17603"/>
      <w:r>
        <w:rPr>
          <w:rStyle w:val="16"/>
          <w:rFonts w:hint="eastAsia" w:ascii="仿宋" w:hAnsi="仿宋" w:eastAsia="仿宋"/>
          <w:b w:val="0"/>
          <w:bCs w:val="0"/>
        </w:rPr>
        <w:t>十、</w:t>
      </w:r>
      <w:r>
        <w:rPr>
          <w:rFonts w:hint="eastAsia" w:ascii="仿宋" w:hAnsi="仿宋" w:eastAsia="仿宋"/>
          <w:b w:val="0"/>
          <w:color w:val="000000"/>
        </w:rPr>
        <w:t>一</w:t>
      </w:r>
      <w:r>
        <w:rPr>
          <w:rStyle w:val="16"/>
          <w:rFonts w:hint="eastAsia" w:ascii="仿宋" w:hAnsi="仿宋" w:eastAsia="仿宋"/>
          <w:b w:val="0"/>
          <w:bCs w:val="0"/>
        </w:rPr>
        <w:t>般公共预算财政拨款“三公”经费支出决算表</w:t>
      </w:r>
      <w:bookmarkEnd w:id="87"/>
      <w:bookmarkEnd w:id="88"/>
    </w:p>
    <w:p>
      <w:pPr>
        <w:pStyle w:val="3"/>
        <w:spacing w:line="360" w:lineRule="auto"/>
        <w:rPr>
          <w:rFonts w:ascii="仿宋" w:hAnsi="仿宋" w:eastAsia="仿宋"/>
          <w:color w:val="000000"/>
        </w:rPr>
      </w:pPr>
      <w:bookmarkStart w:id="89" w:name="_Toc15396629"/>
      <w:bookmarkStart w:id="90" w:name="_Toc7313"/>
      <w:r>
        <w:rPr>
          <w:rStyle w:val="16"/>
          <w:rFonts w:hint="eastAsia" w:ascii="仿宋" w:hAnsi="仿宋" w:eastAsia="仿宋"/>
          <w:b w:val="0"/>
          <w:bCs w:val="0"/>
        </w:rPr>
        <w:t>十一、</w:t>
      </w:r>
      <w:r>
        <w:rPr>
          <w:rFonts w:hint="eastAsia" w:ascii="仿宋" w:hAnsi="仿宋" w:eastAsia="仿宋"/>
          <w:b w:val="0"/>
          <w:color w:val="000000"/>
        </w:rPr>
        <w:t>政</w:t>
      </w:r>
      <w:r>
        <w:rPr>
          <w:rStyle w:val="16"/>
          <w:rFonts w:hint="eastAsia" w:ascii="仿宋" w:hAnsi="仿宋" w:eastAsia="仿宋"/>
          <w:b w:val="0"/>
          <w:bCs w:val="0"/>
        </w:rPr>
        <w:t>府性基金预算财政拨款收入支出决算表</w:t>
      </w:r>
      <w:bookmarkEnd w:id="89"/>
      <w:bookmarkEnd w:id="90"/>
    </w:p>
    <w:p>
      <w:pPr>
        <w:pStyle w:val="3"/>
        <w:rPr>
          <w:rFonts w:ascii="仿宋" w:hAnsi="仿宋" w:eastAsia="仿宋"/>
          <w:b w:val="0"/>
          <w:color w:val="000000"/>
        </w:rPr>
      </w:pPr>
      <w:bookmarkStart w:id="91" w:name="_Toc15396630"/>
      <w:bookmarkStart w:id="92" w:name="_Toc9382"/>
      <w:r>
        <w:rPr>
          <w:rFonts w:hint="eastAsia" w:ascii="仿宋" w:hAnsi="仿宋" w:eastAsia="仿宋"/>
          <w:b w:val="0"/>
          <w:color w:val="000000"/>
        </w:rPr>
        <w:t>十二、政府性基金预算财政拨款“三公”经费支出决算表</w:t>
      </w:r>
      <w:bookmarkEnd w:id="91"/>
      <w:bookmarkEnd w:id="92"/>
    </w:p>
    <w:p>
      <w:pPr>
        <w:pStyle w:val="3"/>
        <w:rPr>
          <w:rFonts w:ascii="仿宋" w:hAnsi="仿宋" w:eastAsia="仿宋"/>
          <w:b w:val="0"/>
          <w:color w:val="000000"/>
        </w:rPr>
      </w:pPr>
      <w:bookmarkStart w:id="93" w:name="_Toc22683"/>
      <w:r>
        <w:rPr>
          <w:rFonts w:hint="eastAsia" w:ascii="仿宋" w:hAnsi="仿宋" w:eastAsia="仿宋"/>
          <w:b w:val="0"/>
          <w:color w:val="000000"/>
        </w:rPr>
        <w:t>十三、国有资本经营预算财政拨款收入支出决算表</w:t>
      </w:r>
      <w:bookmarkEnd w:id="93"/>
    </w:p>
    <w:p>
      <w:pPr>
        <w:pStyle w:val="3"/>
        <w:rPr>
          <w:rFonts w:ascii="仿宋" w:hAnsi="仿宋" w:eastAsia="仿宋"/>
          <w:b w:val="0"/>
          <w:color w:val="000000"/>
        </w:rPr>
      </w:pPr>
      <w:bookmarkStart w:id="94" w:name="_Toc10257"/>
      <w:r>
        <w:rPr>
          <w:rFonts w:hint="eastAsia" w:ascii="仿宋" w:hAnsi="仿宋" w:eastAsia="仿宋"/>
          <w:b w:val="0"/>
          <w:color w:val="000000"/>
        </w:rPr>
        <w:t>十四、国有资本经营预算财政拨款支出决算表</w:t>
      </w:r>
      <w:bookmarkEnd w:id="94"/>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PMingLiU_x0004_falt">
    <w:altName w:val="MingLiU"/>
    <w:panose1 w:val="00000000000000000000"/>
    <w:charset w:val="88"/>
    <w:family w:val="roman"/>
    <w:pitch w:val="default"/>
    <w:sig w:usb0="00000000" w:usb1="00000000" w:usb2="00000010" w:usb3="00000000" w:csb0="00100000" w:csb1="00000000"/>
  </w:font>
  <w:font w:name="MingLiU">
    <w:panose1 w:val="02020509000000000000"/>
    <w:charset w:val="88"/>
    <w:family w:val="auto"/>
    <w:pitch w:val="default"/>
    <w:sig w:usb0="A00002FF" w:usb1="28CFFCFA" w:usb2="00000016" w:usb3="00000000" w:csb0="0010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3074" o:spid="_x0000_s3074"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62621CDC"/>
    <w:multiLevelType w:val="multilevel"/>
    <w:tmpl w:val="62621CDC"/>
    <w:lvl w:ilvl="0" w:tentative="0">
      <w:start w:val="1"/>
      <w:numFmt w:val="decimal"/>
      <w:lvlText w:val="%1."/>
      <w:lvlJc w:val="left"/>
      <w:pPr>
        <w:ind w:left="1152" w:hanging="480"/>
      </w:pPr>
      <w:rPr>
        <w:rFonts w:hint="default" w:cs="Times New Roman"/>
      </w:rPr>
    </w:lvl>
    <w:lvl w:ilvl="1" w:tentative="0">
      <w:start w:val="1"/>
      <w:numFmt w:val="lowerLetter"/>
      <w:lvlText w:val="%2)"/>
      <w:lvlJc w:val="left"/>
      <w:pPr>
        <w:ind w:left="1512" w:hanging="420"/>
      </w:pPr>
      <w:rPr>
        <w:rFonts w:cs="Times New Roman"/>
      </w:rPr>
    </w:lvl>
    <w:lvl w:ilvl="2" w:tentative="0">
      <w:start w:val="1"/>
      <w:numFmt w:val="lowerRoman"/>
      <w:lvlText w:val="%3."/>
      <w:lvlJc w:val="right"/>
      <w:pPr>
        <w:ind w:left="1932" w:hanging="420"/>
      </w:pPr>
      <w:rPr>
        <w:rFonts w:cs="Times New Roman"/>
      </w:rPr>
    </w:lvl>
    <w:lvl w:ilvl="3" w:tentative="0">
      <w:start w:val="1"/>
      <w:numFmt w:val="decimal"/>
      <w:lvlText w:val="%4."/>
      <w:lvlJc w:val="left"/>
      <w:pPr>
        <w:ind w:left="2352" w:hanging="420"/>
      </w:pPr>
      <w:rPr>
        <w:rFonts w:cs="Times New Roman"/>
      </w:rPr>
    </w:lvl>
    <w:lvl w:ilvl="4" w:tentative="0">
      <w:start w:val="1"/>
      <w:numFmt w:val="lowerLetter"/>
      <w:lvlText w:val="%5)"/>
      <w:lvlJc w:val="left"/>
      <w:pPr>
        <w:ind w:left="2772" w:hanging="420"/>
      </w:pPr>
      <w:rPr>
        <w:rFonts w:cs="Times New Roman"/>
      </w:rPr>
    </w:lvl>
    <w:lvl w:ilvl="5" w:tentative="0">
      <w:start w:val="1"/>
      <w:numFmt w:val="lowerRoman"/>
      <w:lvlText w:val="%6."/>
      <w:lvlJc w:val="right"/>
      <w:pPr>
        <w:ind w:left="3192" w:hanging="420"/>
      </w:pPr>
      <w:rPr>
        <w:rFonts w:cs="Times New Roman"/>
      </w:rPr>
    </w:lvl>
    <w:lvl w:ilvl="6" w:tentative="0">
      <w:start w:val="1"/>
      <w:numFmt w:val="decimal"/>
      <w:lvlText w:val="%7."/>
      <w:lvlJc w:val="left"/>
      <w:pPr>
        <w:ind w:left="3612" w:hanging="420"/>
      </w:pPr>
      <w:rPr>
        <w:rFonts w:cs="Times New Roman"/>
      </w:rPr>
    </w:lvl>
    <w:lvl w:ilvl="7" w:tentative="0">
      <w:start w:val="1"/>
      <w:numFmt w:val="lowerLetter"/>
      <w:lvlText w:val="%8)"/>
      <w:lvlJc w:val="left"/>
      <w:pPr>
        <w:ind w:left="4032" w:hanging="420"/>
      </w:pPr>
      <w:rPr>
        <w:rFonts w:cs="Times New Roman"/>
      </w:rPr>
    </w:lvl>
    <w:lvl w:ilvl="8" w:tentative="0">
      <w:start w:val="1"/>
      <w:numFmt w:val="lowerRoman"/>
      <w:lvlText w:val="%9."/>
      <w:lvlJc w:val="right"/>
      <w:pPr>
        <w:ind w:left="4452" w:hanging="42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AzYjcwY2ZjNzllYmQyODk2MTQyYWRjYzI4ZGViODMifQ=="/>
  </w:docVars>
  <w:rsids>
    <w:rsidRoot w:val="6504078C"/>
    <w:rsid w:val="00003D7B"/>
    <w:rsid w:val="0000768B"/>
    <w:rsid w:val="00007D71"/>
    <w:rsid w:val="0001008C"/>
    <w:rsid w:val="00013F64"/>
    <w:rsid w:val="0001746E"/>
    <w:rsid w:val="00045617"/>
    <w:rsid w:val="000770CF"/>
    <w:rsid w:val="000946E4"/>
    <w:rsid w:val="000A3829"/>
    <w:rsid w:val="000A53D5"/>
    <w:rsid w:val="000A715A"/>
    <w:rsid w:val="000B03B2"/>
    <w:rsid w:val="000C16C8"/>
    <w:rsid w:val="000D7CFA"/>
    <w:rsid w:val="000E1ECD"/>
    <w:rsid w:val="000F441C"/>
    <w:rsid w:val="00120259"/>
    <w:rsid w:val="00132D77"/>
    <w:rsid w:val="00174F78"/>
    <w:rsid w:val="001802E7"/>
    <w:rsid w:val="0018647E"/>
    <w:rsid w:val="001D4FD2"/>
    <w:rsid w:val="00206FE5"/>
    <w:rsid w:val="002109E8"/>
    <w:rsid w:val="00215A0C"/>
    <w:rsid w:val="002352B8"/>
    <w:rsid w:val="002446B6"/>
    <w:rsid w:val="002549CD"/>
    <w:rsid w:val="00262B86"/>
    <w:rsid w:val="00290918"/>
    <w:rsid w:val="002921DD"/>
    <w:rsid w:val="002940D1"/>
    <w:rsid w:val="002B31F0"/>
    <w:rsid w:val="002C3793"/>
    <w:rsid w:val="002D693D"/>
    <w:rsid w:val="003046C9"/>
    <w:rsid w:val="00307ADC"/>
    <w:rsid w:val="00337A4A"/>
    <w:rsid w:val="0035399A"/>
    <w:rsid w:val="00367F5E"/>
    <w:rsid w:val="003C707A"/>
    <w:rsid w:val="003D693C"/>
    <w:rsid w:val="003F6AD3"/>
    <w:rsid w:val="0040540C"/>
    <w:rsid w:val="00412E69"/>
    <w:rsid w:val="00422617"/>
    <w:rsid w:val="004233F5"/>
    <w:rsid w:val="00426AE3"/>
    <w:rsid w:val="004662E8"/>
    <w:rsid w:val="0047006D"/>
    <w:rsid w:val="0047177C"/>
    <w:rsid w:val="004B60B4"/>
    <w:rsid w:val="004B78E7"/>
    <w:rsid w:val="004F0759"/>
    <w:rsid w:val="005276BA"/>
    <w:rsid w:val="0053268C"/>
    <w:rsid w:val="005407F0"/>
    <w:rsid w:val="00581ED1"/>
    <w:rsid w:val="005862C1"/>
    <w:rsid w:val="005948DC"/>
    <w:rsid w:val="005A0614"/>
    <w:rsid w:val="005B4265"/>
    <w:rsid w:val="005E30E9"/>
    <w:rsid w:val="00600E47"/>
    <w:rsid w:val="00604F90"/>
    <w:rsid w:val="00620AE8"/>
    <w:rsid w:val="00635E51"/>
    <w:rsid w:val="006416AC"/>
    <w:rsid w:val="006459D9"/>
    <w:rsid w:val="00657D51"/>
    <w:rsid w:val="00665E7F"/>
    <w:rsid w:val="006704DC"/>
    <w:rsid w:val="0067061D"/>
    <w:rsid w:val="006943A3"/>
    <w:rsid w:val="006966B8"/>
    <w:rsid w:val="006B0B5C"/>
    <w:rsid w:val="006B40EA"/>
    <w:rsid w:val="006C3054"/>
    <w:rsid w:val="006D26A6"/>
    <w:rsid w:val="007225DA"/>
    <w:rsid w:val="00755C6C"/>
    <w:rsid w:val="007635A7"/>
    <w:rsid w:val="00781204"/>
    <w:rsid w:val="007C6D27"/>
    <w:rsid w:val="007D1123"/>
    <w:rsid w:val="007D1342"/>
    <w:rsid w:val="007F344A"/>
    <w:rsid w:val="008011F9"/>
    <w:rsid w:val="00812F4D"/>
    <w:rsid w:val="00843701"/>
    <w:rsid w:val="00843A4E"/>
    <w:rsid w:val="008443A5"/>
    <w:rsid w:val="00855557"/>
    <w:rsid w:val="00881C71"/>
    <w:rsid w:val="008B0F77"/>
    <w:rsid w:val="008C1DF6"/>
    <w:rsid w:val="008D4712"/>
    <w:rsid w:val="008E14FC"/>
    <w:rsid w:val="008F0121"/>
    <w:rsid w:val="008F2F3D"/>
    <w:rsid w:val="00936FB4"/>
    <w:rsid w:val="00946D81"/>
    <w:rsid w:val="009519AF"/>
    <w:rsid w:val="00953175"/>
    <w:rsid w:val="009533BF"/>
    <w:rsid w:val="009538DB"/>
    <w:rsid w:val="009714A4"/>
    <w:rsid w:val="009B057A"/>
    <w:rsid w:val="009B15CE"/>
    <w:rsid w:val="00A2355E"/>
    <w:rsid w:val="00A55E32"/>
    <w:rsid w:val="00A80A2B"/>
    <w:rsid w:val="00A817C9"/>
    <w:rsid w:val="00AA493E"/>
    <w:rsid w:val="00AB1698"/>
    <w:rsid w:val="00AB2ADC"/>
    <w:rsid w:val="00AD3695"/>
    <w:rsid w:val="00AE0E65"/>
    <w:rsid w:val="00AE6780"/>
    <w:rsid w:val="00B54EE9"/>
    <w:rsid w:val="00B645E9"/>
    <w:rsid w:val="00B95D30"/>
    <w:rsid w:val="00BC6501"/>
    <w:rsid w:val="00BD4A1E"/>
    <w:rsid w:val="00BF21F4"/>
    <w:rsid w:val="00C537EC"/>
    <w:rsid w:val="00C6374F"/>
    <w:rsid w:val="00C71906"/>
    <w:rsid w:val="00C86FD6"/>
    <w:rsid w:val="00C96268"/>
    <w:rsid w:val="00CC19C3"/>
    <w:rsid w:val="00CE7129"/>
    <w:rsid w:val="00CF0C2B"/>
    <w:rsid w:val="00D0007F"/>
    <w:rsid w:val="00D33724"/>
    <w:rsid w:val="00D460BF"/>
    <w:rsid w:val="00D7217F"/>
    <w:rsid w:val="00D93EC0"/>
    <w:rsid w:val="00DA221B"/>
    <w:rsid w:val="00DB2104"/>
    <w:rsid w:val="00DC5F9C"/>
    <w:rsid w:val="00DF3F39"/>
    <w:rsid w:val="00E3175A"/>
    <w:rsid w:val="00E35172"/>
    <w:rsid w:val="00E628FF"/>
    <w:rsid w:val="00E70276"/>
    <w:rsid w:val="00E72AA7"/>
    <w:rsid w:val="00ED09D6"/>
    <w:rsid w:val="00EF64AD"/>
    <w:rsid w:val="00F008F0"/>
    <w:rsid w:val="00F03480"/>
    <w:rsid w:val="00F246FA"/>
    <w:rsid w:val="00F33F77"/>
    <w:rsid w:val="00F45321"/>
    <w:rsid w:val="00F62CE8"/>
    <w:rsid w:val="00F70010"/>
    <w:rsid w:val="00F70888"/>
    <w:rsid w:val="00FC1CC8"/>
    <w:rsid w:val="00FC35C2"/>
    <w:rsid w:val="00FD307D"/>
    <w:rsid w:val="06492EAF"/>
    <w:rsid w:val="06D96529"/>
    <w:rsid w:val="2AC65C17"/>
    <w:rsid w:val="3E4169FF"/>
    <w:rsid w:val="456E0D3F"/>
    <w:rsid w:val="4E3A4862"/>
    <w:rsid w:val="50CC400C"/>
    <w:rsid w:val="58DC6F0A"/>
    <w:rsid w:val="5D3E75DF"/>
    <w:rsid w:val="6504078C"/>
    <w:rsid w:val="6BFB1C7D"/>
    <w:rsid w:val="726E39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19"/>
    <w:qFormat/>
    <w:uiPriority w:val="0"/>
    <w:rPr>
      <w:sz w:val="18"/>
      <w:szCs w:val="18"/>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character" w:customStyle="1" w:styleId="15">
    <w:name w:val="标题 1 Char"/>
    <w:basedOn w:val="12"/>
    <w:link w:val="2"/>
    <w:qFormat/>
    <w:locked/>
    <w:uiPriority w:val="9"/>
    <w:rPr>
      <w:b/>
      <w:bCs/>
      <w:kern w:val="44"/>
      <w:sz w:val="44"/>
      <w:szCs w:val="44"/>
    </w:rPr>
  </w:style>
  <w:style w:type="character" w:customStyle="1" w:styleId="16">
    <w:name w:val="标题 2 Char"/>
    <w:basedOn w:val="12"/>
    <w:link w:val="3"/>
    <w:qFormat/>
    <w:locked/>
    <w:uiPriority w:val="9"/>
    <w:rPr>
      <w:rFonts w:ascii="Cambria" w:hAnsi="Cambria"/>
      <w:b/>
      <w:bCs/>
      <w:sz w:val="32"/>
      <w:szCs w:val="32"/>
    </w:rPr>
  </w:style>
  <w:style w:type="paragraph" w:customStyle="1" w:styleId="17">
    <w:name w:val="列出段落1"/>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9">
    <w:name w:val="批注框文本 Char"/>
    <w:basedOn w:val="12"/>
    <w:link w:val="5"/>
    <w:uiPriority w:val="0"/>
    <w:rPr>
      <w:rFonts w:ascii="Times New Roman" w:hAnsi="Times New Roman" w:eastAsia="仿宋_GB2312"/>
      <w:kern w:val="2"/>
      <w:sz w:val="18"/>
      <w:szCs w:val="18"/>
    </w:rPr>
  </w:style>
  <w:style w:type="paragraph" w:customStyle="1" w:styleId="20">
    <w:name w:val="Body text|2"/>
    <w:basedOn w:val="1"/>
    <w:qFormat/>
    <w:uiPriority w:val="99"/>
    <w:pPr>
      <w:shd w:val="clear" w:color="auto" w:fill="FFFFFF"/>
      <w:spacing w:after="1520" w:line="320" w:lineRule="exact"/>
      <w:jc w:val="center"/>
    </w:pPr>
    <w:rPr>
      <w:rFonts w:ascii="PMingLiU_x0004_falt" w:hAnsi="PMingLiU_x0004_falt" w:eastAsia="PMingLiU_x0004_falt" w:cs="PMingLiU_x0004_falt"/>
      <w:spacing w:val="40"/>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7719;&#24635;-&#2227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7719;&#24635;-&#2227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7719;&#24635;-&#2227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7719;&#24635;-&#2227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7719;&#24635;-&#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barChart>
        <c:barDir val="col"/>
        <c:grouping val="clustered"/>
        <c:varyColors val="0"/>
        <c:ser>
          <c:idx val="0"/>
          <c:order val="0"/>
          <c:tx>
            <c:strRef>
              <c:f>收、支决算总计变动情况图</c:f>
              <c:strCache>
                <c:ptCount val="1"/>
                <c:pt idx="0">
                  <c:v>收、支决算总计变动情况图</c:v>
                </c:pt>
              </c:strCache>
            </c:strRef>
          </c:tx>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图1!$D$13:$D$14</c:f>
              <c:strCache>
                <c:ptCount val="2"/>
                <c:pt idx="0">
                  <c:v>2019年</c:v>
                </c:pt>
                <c:pt idx="1">
                  <c:v>2020年</c:v>
                </c:pt>
              </c:strCache>
            </c:strRef>
          </c:cat>
          <c:val>
            <c:numRef>
              <c:f>图1!$E$13:$E$14</c:f>
              <c:numCache>
                <c:formatCode>General</c:formatCode>
                <c:ptCount val="2"/>
                <c:pt idx="0">
                  <c:v>14923.47</c:v>
                </c:pt>
                <c:pt idx="1">
                  <c:v>20030.85</c:v>
                </c:pt>
              </c:numCache>
            </c:numRef>
          </c:val>
        </c:ser>
        <c:dLbls>
          <c:showLegendKey val="0"/>
          <c:showVal val="1"/>
          <c:showCatName val="0"/>
          <c:showSerName val="0"/>
          <c:showPercent val="0"/>
          <c:showBubbleSize val="0"/>
        </c:dLbls>
        <c:gapWidth val="150"/>
        <c:axId val="67447424"/>
        <c:axId val="113597824"/>
      </c:barChart>
      <c:catAx>
        <c:axId val="6744742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3597824"/>
        <c:crosses val="autoZero"/>
        <c:auto val="1"/>
        <c:lblAlgn val="ctr"/>
        <c:lblOffset val="100"/>
        <c:noMultiLvlLbl val="0"/>
      </c:catAx>
      <c:valAx>
        <c:axId val="11359782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7447424"/>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收入决算结构图</c:f>
              <c:strCache>
                <c:ptCount val="1"/>
                <c:pt idx="0">
                  <c:v>收入决算结构图</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图2!$C$5:$C$11</c:f>
              <c:strCache>
                <c:ptCount val="7"/>
                <c:pt idx="0">
                  <c:v>一般公共预算财政拨款收入</c:v>
                </c:pt>
                <c:pt idx="1">
                  <c:v>政府性基金预算财政拨款收入</c:v>
                </c:pt>
                <c:pt idx="2">
                  <c:v>上级补助收入</c:v>
                </c:pt>
                <c:pt idx="3">
                  <c:v>事业收入</c:v>
                </c:pt>
                <c:pt idx="4">
                  <c:v>经营收入</c:v>
                </c:pt>
                <c:pt idx="5">
                  <c:v>附属单位上缴收入</c:v>
                </c:pt>
                <c:pt idx="6">
                  <c:v>其他收入</c:v>
                </c:pt>
              </c:strCache>
            </c:strRef>
          </c:cat>
          <c:val>
            <c:numRef>
              <c:f>图2!$D$5:$D$11</c:f>
              <c:numCache>
                <c:formatCode>General</c:formatCode>
                <c:ptCount val="7"/>
                <c:pt idx="0">
                  <c:v>8674.56</c:v>
                </c:pt>
                <c:pt idx="1">
                  <c:v>5470</c:v>
                </c:pt>
                <c:pt idx="2">
                  <c:v>0</c:v>
                </c:pt>
                <c:pt idx="3">
                  <c:v>3889.83</c:v>
                </c:pt>
                <c:pt idx="4">
                  <c:v>0</c:v>
                </c:pt>
                <c:pt idx="5">
                  <c:v>0</c:v>
                </c:pt>
                <c:pt idx="6">
                  <c:v>1076.2</c:v>
                </c:pt>
              </c:numCache>
            </c:numRef>
          </c:val>
        </c:ser>
        <c:dLbls>
          <c:showLegendKey val="0"/>
          <c:showVal val="1"/>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支出决算结构图</c:f>
              <c:strCache>
                <c:ptCount val="1"/>
                <c:pt idx="0">
                  <c:v>支出决算结构图</c:v>
                </c:pt>
              </c:strCache>
            </c:strRef>
          </c:tx>
          <c:explosion val="0"/>
          <c:dPt>
            <c:idx val="0"/>
            <c:bubble3D val="0"/>
          </c:dPt>
          <c:dPt>
            <c:idx val="1"/>
            <c:bubble3D val="0"/>
          </c:dPt>
          <c:dPt>
            <c:idx val="2"/>
            <c:bubble3D val="0"/>
          </c:dPt>
          <c:dPt>
            <c:idx val="3"/>
            <c:bubble3D val="0"/>
          </c:dPt>
          <c:dPt>
            <c:idx val="4"/>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图3!$C$5:$C$9</c:f>
              <c:strCache>
                <c:ptCount val="5"/>
                <c:pt idx="0">
                  <c:v>基本支出</c:v>
                </c:pt>
                <c:pt idx="1">
                  <c:v>项目支出</c:v>
                </c:pt>
                <c:pt idx="2">
                  <c:v>上缴上级支出</c:v>
                </c:pt>
                <c:pt idx="3">
                  <c:v>经营支出</c:v>
                </c:pt>
                <c:pt idx="4">
                  <c:v>对附属单位补助支出</c:v>
                </c:pt>
              </c:strCache>
            </c:strRef>
          </c:cat>
          <c:val>
            <c:numRef>
              <c:f>图3!$D$5:$D$9</c:f>
              <c:numCache>
                <c:formatCode>General</c:formatCode>
                <c:ptCount val="5"/>
                <c:pt idx="0">
                  <c:v>8009.78</c:v>
                </c:pt>
                <c:pt idx="1">
                  <c:v>7370.82</c:v>
                </c:pt>
                <c:pt idx="2">
                  <c:v>0</c:v>
                </c:pt>
                <c:pt idx="3">
                  <c:v>0</c:v>
                </c:pt>
                <c:pt idx="4">
                  <c:v>0</c:v>
                </c:pt>
              </c:numCache>
            </c:numRef>
          </c:val>
        </c:ser>
        <c:dLbls>
          <c:showLegendKey val="0"/>
          <c:showVal val="1"/>
          <c:showCatName val="0"/>
          <c:showSerName val="0"/>
          <c:showPercent val="1"/>
          <c:showBubbleSize val="0"/>
          <c:showLeaderLines val="1"/>
        </c:dLbls>
        <c:firstSliceAng val="0"/>
      </c:pieChart>
    </c:plotArea>
    <c:legend>
      <c:legendPos val="r"/>
      <c:layout>
        <c:manualLayout>
          <c:xMode val="edge"/>
          <c:yMode val="edge"/>
          <c:x val="0.678547857301452"/>
          <c:y val="0.312188276465442"/>
          <c:w val="0.297096607022984"/>
          <c:h val="0.41858595800525"/>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79230676047151"/>
          <c:y val="0.0434153400868307"/>
        </c:manualLayout>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barChart>
        <c:barDir val="col"/>
        <c:grouping val="clustered"/>
        <c:varyColors val="0"/>
        <c:ser>
          <c:idx val="0"/>
          <c:order val="0"/>
          <c:tx>
            <c:strRef>
              <c:f>财政拨款收、支决算总计变动情况</c:f>
              <c:strCache>
                <c:ptCount val="1"/>
                <c:pt idx="0">
                  <c:v>财政拨款收、支决算总计变动情况</c:v>
                </c:pt>
              </c:strCache>
            </c:strRef>
          </c:tx>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图4!$D$13:$D$14</c:f>
              <c:strCache>
                <c:ptCount val="2"/>
                <c:pt idx="0">
                  <c:v>2019年</c:v>
                </c:pt>
                <c:pt idx="1">
                  <c:v>2020年</c:v>
                </c:pt>
              </c:strCache>
            </c:strRef>
          </c:cat>
          <c:val>
            <c:numRef>
              <c:f>图4!$E$13:$E$14</c:f>
              <c:numCache>
                <c:formatCode>General</c:formatCode>
                <c:ptCount val="2"/>
                <c:pt idx="0">
                  <c:v>9267.4</c:v>
                </c:pt>
                <c:pt idx="1">
                  <c:v>14907.13</c:v>
                </c:pt>
              </c:numCache>
            </c:numRef>
          </c:val>
        </c:ser>
        <c:dLbls>
          <c:showLegendKey val="0"/>
          <c:showVal val="1"/>
          <c:showCatName val="0"/>
          <c:showSerName val="0"/>
          <c:showPercent val="0"/>
          <c:showBubbleSize val="0"/>
        </c:dLbls>
        <c:gapWidth val="150"/>
        <c:axId val="175057536"/>
        <c:axId val="176542464"/>
      </c:barChart>
      <c:catAx>
        <c:axId val="17505753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6542464"/>
        <c:crosses val="autoZero"/>
        <c:auto val="1"/>
        <c:lblAlgn val="ctr"/>
        <c:lblOffset val="100"/>
        <c:noMultiLvlLbl val="0"/>
      </c:catAx>
      <c:valAx>
        <c:axId val="17654246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5057536"/>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barChart>
        <c:barDir val="col"/>
        <c:grouping val="clustered"/>
        <c:varyColors val="0"/>
        <c:ser>
          <c:idx val="0"/>
          <c:order val="0"/>
          <c:tx>
            <c:strRef>
              <c:f>一般公共预算财政拨款支出决算变动情况</c:f>
              <c:strCache>
                <c:ptCount val="1"/>
                <c:pt idx="0">
                  <c:v>一般公共预算财政拨款支出决算变动情况</c:v>
                </c:pt>
              </c:strCache>
            </c:strRef>
          </c:tx>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图5!$D$13:$D$14</c:f>
              <c:strCache>
                <c:ptCount val="2"/>
                <c:pt idx="0">
                  <c:v>2019年</c:v>
                </c:pt>
                <c:pt idx="1">
                  <c:v>2020年</c:v>
                </c:pt>
              </c:strCache>
            </c:strRef>
          </c:cat>
          <c:val>
            <c:numRef>
              <c:f>图5!$E$13:$E$14</c:f>
              <c:numCache>
                <c:formatCode>General</c:formatCode>
                <c:ptCount val="2"/>
                <c:pt idx="0">
                  <c:v>7942.13</c:v>
                </c:pt>
                <c:pt idx="1">
                  <c:v>8463.86999999996</c:v>
                </c:pt>
              </c:numCache>
            </c:numRef>
          </c:val>
        </c:ser>
        <c:dLbls>
          <c:showLegendKey val="0"/>
          <c:showVal val="1"/>
          <c:showCatName val="0"/>
          <c:showSerName val="0"/>
          <c:showPercent val="0"/>
          <c:showBubbleSize val="0"/>
        </c:dLbls>
        <c:gapWidth val="150"/>
        <c:axId val="283595520"/>
        <c:axId val="283597824"/>
      </c:barChart>
      <c:catAx>
        <c:axId val="2835955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3597824"/>
        <c:crosses val="autoZero"/>
        <c:auto val="1"/>
        <c:lblAlgn val="ctr"/>
        <c:lblOffset val="100"/>
        <c:noMultiLvlLbl val="0"/>
      </c:catAx>
      <c:valAx>
        <c:axId val="283597824"/>
        <c:scaling>
          <c:orientation val="minMax"/>
          <c:max val="9000"/>
          <c:min val="7500"/>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3595520"/>
        <c:crosses val="autoZero"/>
        <c:crossBetween val="between"/>
      </c:valAx>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B6831-A0FB-4F22-94FB-AEC21C66F32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55</Pages>
  <Words>22925</Words>
  <Characters>24624</Characters>
  <Lines>36</Lines>
  <Paragraphs>54</Paragraphs>
  <TotalTime>215</TotalTime>
  <ScaleCrop>false</ScaleCrop>
  <LinksUpToDate>false</LinksUpToDate>
  <CharactersWithSpaces>24772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2021-10-19T02:45:00Z</dcterms:created>
  <dc:creator>Administrator</dc:creator>
  <cp:lastModifiedBy>顾一野</cp:lastModifiedBy>
  <dcterms:modified xsi:type="dcterms:W3CDTF">2022-05-13T08:11:47Z</dcterms:modified>
  <cp:revision>376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5A0BC3ADE1174950ACABBCDE7992E7A4</vt:lpwstr>
  </property>
</Properties>
</file>