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eastAsia="方正小标宋简体"/>
          <w:sz w:val="44"/>
          <w:szCs w:val="44"/>
        </w:rPr>
      </w:pPr>
      <w:r>
        <w:rPr>
          <w:rFonts w:hint="eastAsia" w:ascii="方正小标宋简体" w:eastAsia="方正小标宋简体"/>
          <w:sz w:val="44"/>
          <w:szCs w:val="44"/>
        </w:rPr>
        <w:t>自贡市自流井区疾病预防控制中</w:t>
      </w:r>
    </w:p>
    <w:p>
      <w:pPr>
        <w:ind w:left="0" w:leftChars="0" w:firstLine="0" w:firstLineChars="0"/>
        <w:jc w:val="center"/>
        <w:rPr>
          <w:rFonts w:hint="eastAsia" w:ascii="方正小标宋简体" w:eastAsia="方正小标宋简体"/>
          <w:sz w:val="44"/>
          <w:szCs w:val="44"/>
        </w:rPr>
      </w:pPr>
      <w:r>
        <w:rPr>
          <w:rFonts w:hint="eastAsia" w:ascii="方正小标宋简体" w:eastAsia="方正小标宋简体"/>
          <w:sz w:val="44"/>
          <w:szCs w:val="44"/>
        </w:rPr>
        <w:t>2020年度部门决算编制的说明</w:t>
      </w:r>
    </w:p>
    <w:sdt>
      <w:sdtPr>
        <w:rPr>
          <w:rFonts w:ascii="宋体" w:hAnsi="宋体" w:eastAsia="宋体" w:cs="Times New Roman"/>
          <w:kern w:val="2"/>
          <w:sz w:val="21"/>
          <w:szCs w:val="24"/>
          <w:lang w:val="en-US" w:eastAsia="zh-CN" w:bidi="ar-SA"/>
        </w:rPr>
        <w:id w:val="147480857"/>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bookmarkStart w:id="0" w:name="_Toc3189"/>
          <w:r>
            <w:rPr>
              <w:rFonts w:hint="eastAsia" w:ascii="黑体" w:hAnsi="黑体" w:eastAsia="黑体" w:cs="黑体"/>
              <w:sz w:val="44"/>
              <w:szCs w:val="44"/>
            </w:rPr>
            <w:t>目录</w:t>
          </w:r>
        </w:p>
        <w:p>
          <w:pPr>
            <w:pStyle w:val="11"/>
            <w:tabs>
              <w:tab w:val="right" w:leader="dot" w:pos="8844"/>
            </w:tabs>
            <w:rPr>
              <w:rFonts w:hint="eastAsia" w:ascii="仿宋_GB2312" w:hAnsi="仿宋_GB2312" w:eastAsia="仿宋_GB2312" w:cs="仿宋_GB2312"/>
              <w:b w:val="0"/>
              <w:bCs/>
              <w:sz w:val="28"/>
              <w:szCs w:val="28"/>
            </w:rPr>
          </w:pPr>
          <w:r>
            <w:fldChar w:fldCharType="begin"/>
          </w:r>
          <w:r>
            <w:instrText xml:space="preserve">TOC \o "1-2" \h \u </w:instrText>
          </w:r>
          <w:r>
            <w:fldChar w:fldCharType="separate"/>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_Toc10078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第一部分部门概况</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_Toc10078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_Toc18489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一、基本职能及主要工作</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_Toc18489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_Toc23940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二、机构设置</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_Toc23940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1"/>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_Toc22460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第二部分2020年度部门决算情况说明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_Toc22460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_Toc5559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一、收入支出决算总体情况说明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_Toc5559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_Toc1297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二、收入决算情况说明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_Toc1297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_Toc28054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三、支出决算情况说明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_Toc28054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13</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_Toc14591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四、财政拨款收入支出决算总体情况说明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_Toc14591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14</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_Toc3528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五、一般公共预算财政拨款支出决算情况说明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_Toc3528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14</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_Toc22668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六、一般公共预算财政拨款基本支出决算情况说明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_Toc22668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17</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_Toc4694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七、“三公”经费财政拨款支出决算情况说明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_Toc4694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18</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_Toc30314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九、国有资本经营预算支出决算情况说明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_Toc30314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19</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_Toc14019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十、其他重要事项的情况说明</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_Toc14019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19</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1"/>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_Toc3368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第三部分名词解释</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_Toc3368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37</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1"/>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_Toc27676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第四部分附件</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_Toc27676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40</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_Toc28552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附件1：</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_Toc28552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40</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_Toc28757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附件2：</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_Toc28757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43</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1"/>
            <w:tabs>
              <w:tab w:val="right" w:leader="dot" w:pos="8844"/>
            </w:tabs>
            <w:rPr>
              <w:rFonts w:hint="eastAsia" w:ascii="仿宋_GB2312" w:hAnsi="仿宋_GB2312" w:eastAsia="仿宋_GB2312" w:cs="仿宋_GB2312"/>
              <w:b w:val="0"/>
              <w:bCs/>
              <w:sz w:val="28"/>
              <w:szCs w:val="28"/>
            </w:rPr>
            <w:sectPr>
              <w:headerReference r:id="rId5" w:type="default"/>
              <w:footerReference r:id="rId7" w:type="default"/>
              <w:headerReference r:id="rId6" w:type="even"/>
              <w:footerReference r:id="rId8" w:type="even"/>
              <w:pgSz w:w="11906" w:h="16838"/>
              <w:pgMar w:top="2098" w:right="1474" w:bottom="1985" w:left="1588" w:header="851" w:footer="992" w:gutter="0"/>
              <w:pgNumType w:start="1"/>
              <w:cols w:space="425" w:num="1"/>
              <w:docGrid w:type="lines" w:linePitch="312" w:charSpace="0"/>
            </w:sectPr>
          </w:pPr>
        </w:p>
        <w:p>
          <w:pPr>
            <w:pStyle w:val="11"/>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_Toc18667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第五部分附表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_Toc18667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_Toc31143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一、收入支出决算总表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_Toc31143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_Toc5551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二、收入决算表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_Toc5551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_Toc24014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三、支出决算表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_Toc24014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_Toc31735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四、财政拨款收入支出决算总表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_Toc31735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_Toc7263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五、财政拨款支出决算明细表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_Toc7263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_Toc28467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六、一般公共预算财政拨款支出决算表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_Toc28467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_Toc11394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七、一般公共预算财政拨款支出决算明细表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_Toc11394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_Toc7519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八、一般公共预算财政拨款基本支出决算表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_Toc7519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_Toc12764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九、一般公共预算财政拨款项目支出决算表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_Toc12764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_Toc23257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十、一般公共预算财政拨款“三公”经费支出决算表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_Toc23257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_Toc6511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十一、政府性基金预算财政拨款收入支出决算表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_Toc6511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_Toc10809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十二、政府性基金预算财政拨款“三公”经费支出决算表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_Toc10809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_Toc26284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十三、国有资本经营预算财政拨款收</w:t>
          </w:r>
          <w:bookmarkStart w:id="64" w:name="_GoBack"/>
          <w:bookmarkEnd w:id="64"/>
          <w:r>
            <w:rPr>
              <w:rFonts w:hint="eastAsia" w:ascii="仿宋_GB2312" w:hAnsi="仿宋_GB2312" w:eastAsia="仿宋_GB2312" w:cs="仿宋_GB2312"/>
              <w:b w:val="0"/>
              <w:bCs/>
              <w:sz w:val="28"/>
              <w:szCs w:val="28"/>
            </w:rPr>
            <w:t>入支出决算表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_Toc26284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pPr>
            <w:pStyle w:val="12"/>
            <w:tabs>
              <w:tab w:val="right" w:leader="dot" w:pos="8844"/>
            </w:tabs>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_Toc10127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十四、国有资本经营预算财政拨款支出决算表</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_Toc10127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rPr>
            <w:fldChar w:fldCharType="end"/>
          </w:r>
        </w:p>
        <w:p>
          <w:r>
            <w:rPr>
              <w:b/>
            </w:rPr>
            <w:fldChar w:fldCharType="end"/>
          </w:r>
        </w:p>
      </w:sdtContent>
    </w:sdt>
    <w:p>
      <w:pPr>
        <w:pStyle w:val="2"/>
        <w:bidi w:val="0"/>
        <w:ind w:left="0" w:leftChars="0" w:firstLine="0" w:firstLineChars="0"/>
        <w:jc w:val="center"/>
        <w:outlineLvl w:val="0"/>
        <w:rPr>
          <w:rFonts w:hint="eastAsia" w:ascii="方正小标宋简体" w:hAnsi="方正小标宋简体" w:eastAsia="方正小标宋简体" w:cs="方正小标宋简体"/>
          <w:b w:val="0"/>
          <w:bCs/>
        </w:rPr>
        <w:sectPr>
          <w:footerReference r:id="rId9" w:type="default"/>
          <w:footerReference r:id="rId10" w:type="even"/>
          <w:pgSz w:w="11906" w:h="16838"/>
          <w:pgMar w:top="2098" w:right="1474" w:bottom="1985" w:left="1588" w:header="851" w:footer="992" w:gutter="0"/>
          <w:pgNumType w:start="1"/>
          <w:cols w:space="425" w:num="1"/>
          <w:docGrid w:type="lines" w:linePitch="312" w:charSpace="0"/>
        </w:sectPr>
      </w:pPr>
      <w:bookmarkStart w:id="1" w:name="_Toc10078"/>
    </w:p>
    <w:p>
      <w:pPr>
        <w:pStyle w:val="2"/>
        <w:bidi w:val="0"/>
        <w:ind w:left="0" w:leftChars="0" w:firstLine="0" w:firstLineChars="0"/>
        <w:jc w:val="center"/>
        <w:outlineLvl w:val="0"/>
        <w:rPr>
          <w:rFonts w:hint="eastAsia" w:ascii="方正小标宋简体" w:hAnsi="方正小标宋简体" w:eastAsia="方正小标宋简体" w:cs="方正小标宋简体"/>
          <w:b w:val="0"/>
          <w:bCs/>
        </w:rPr>
      </w:pPr>
      <w:r>
        <w:rPr>
          <w:rFonts w:hint="eastAsia" w:ascii="方正小标宋简体" w:hAnsi="方正小标宋简体" w:eastAsia="方正小标宋简体" w:cs="方正小标宋简体"/>
          <w:b w:val="0"/>
          <w:bCs/>
        </w:rPr>
        <w:t>第一部分部门概况</w:t>
      </w:r>
      <w:bookmarkEnd w:id="0"/>
      <w:bookmarkEnd w:id="1"/>
    </w:p>
    <w:p>
      <w:pPr>
        <w:ind w:firstLine="640"/>
        <w:jc w:val="both"/>
      </w:pPr>
    </w:p>
    <w:p>
      <w:pPr>
        <w:ind w:firstLine="640"/>
        <w:jc w:val="both"/>
        <w:outlineLvl w:val="1"/>
        <w:rPr>
          <w:rFonts w:ascii="黑体" w:hAnsi="黑体" w:eastAsia="黑体"/>
        </w:rPr>
      </w:pPr>
      <w:bookmarkStart w:id="2" w:name="_Toc18489"/>
      <w:bookmarkStart w:id="3" w:name="_Toc12846"/>
      <w:r>
        <w:rPr>
          <w:rFonts w:hint="eastAsia" w:ascii="黑体" w:hAnsi="黑体" w:eastAsia="黑体"/>
        </w:rPr>
        <w:t>一、基本职能及主要工作</w:t>
      </w:r>
      <w:bookmarkEnd w:id="2"/>
      <w:bookmarkEnd w:id="3"/>
    </w:p>
    <w:p>
      <w:pPr>
        <w:ind w:firstLine="643"/>
        <w:jc w:val="both"/>
        <w:rPr>
          <w:rFonts w:ascii="楷体_GB2312" w:eastAsia="楷体_GB2312"/>
          <w:b/>
        </w:rPr>
      </w:pPr>
      <w:r>
        <w:rPr>
          <w:rFonts w:hint="eastAsia" w:ascii="楷体_GB2312" w:eastAsia="楷体_GB2312"/>
          <w:b/>
        </w:rPr>
        <w:t>（一）主要职能。</w:t>
      </w:r>
    </w:p>
    <w:p>
      <w:pPr>
        <w:ind w:firstLine="640"/>
        <w:jc w:val="both"/>
      </w:pPr>
      <w:r>
        <w:rPr>
          <w:rFonts w:hint="eastAsia"/>
        </w:rPr>
        <w:t>疾病预防与控制、突发公共卫生事件应急处</w:t>
      </w:r>
      <w:r>
        <w:rPr>
          <w:rFonts w:hint="eastAsia" w:cs="微软雅黑"/>
        </w:rPr>
        <w:t>置</w:t>
      </w:r>
      <w:r>
        <w:rPr>
          <w:rFonts w:hint="eastAsia" w:cs="仿宋_GB2312"/>
        </w:rPr>
        <w:t>、疫情及</w:t>
      </w:r>
      <w:r>
        <w:rPr>
          <w:rFonts w:hint="eastAsia"/>
        </w:rPr>
        <w:t>健康相关因素信息管理、健康危害因素监测与控制、实验室检测分析与评价、健康教育与健康促进、技术指导与应用研究。</w:t>
      </w:r>
    </w:p>
    <w:p>
      <w:pPr>
        <w:ind w:firstLine="643"/>
        <w:jc w:val="both"/>
        <w:rPr>
          <w:rFonts w:ascii="楷体_GB2312" w:eastAsia="楷体_GB2312"/>
          <w:b/>
        </w:rPr>
      </w:pPr>
      <w:r>
        <w:rPr>
          <w:rFonts w:hint="eastAsia" w:ascii="楷体_GB2312" w:eastAsia="楷体_GB2312"/>
          <w:b/>
        </w:rPr>
        <w:t>（二）2020年重点工作完成情况。</w:t>
      </w:r>
    </w:p>
    <w:p>
      <w:pPr>
        <w:ind w:firstLine="640"/>
        <w:jc w:val="both"/>
      </w:pPr>
      <w:r>
        <w:rPr>
          <w:rFonts w:hint="eastAsia"/>
        </w:rPr>
        <w:t>1.科学研判疫情，当好党委政府决策参谋。</w:t>
      </w:r>
    </w:p>
    <w:p>
      <w:pPr>
        <w:ind w:firstLine="640"/>
        <w:jc w:val="both"/>
      </w:pPr>
      <w:r>
        <w:rPr>
          <w:rFonts w:hint="eastAsia"/>
        </w:rPr>
        <w:t>上报每日疫情动态72期，疫情评估分析报告14份，专题分析2份，在疫情防控中发挥了前哨站和参谋部作用。</w:t>
      </w:r>
    </w:p>
    <w:p>
      <w:pPr>
        <w:ind w:firstLine="640"/>
        <w:jc w:val="both"/>
      </w:pPr>
      <w:r>
        <w:rPr>
          <w:rFonts w:hint="eastAsia"/>
        </w:rPr>
        <w:t>2.先谋快动、抢前抓早，防控措施落细落实。</w:t>
      </w:r>
    </w:p>
    <w:p>
      <w:pPr>
        <w:ind w:firstLine="640"/>
        <w:jc w:val="both"/>
      </w:pPr>
      <w:r>
        <w:rPr>
          <w:rFonts w:hint="eastAsia"/>
        </w:rPr>
        <w:t>快速落实“54321”新冠疫情防控应急机制，落实“六大完善措施”和“六大提升行动”，全员分成流调、消杀、采样等七个专业小组开展科学防治、精准施策、专业指导防控工作。流行病学调查109人（确诊3人），追踪管理密切接触者100人，撰写流调报告60余篇；评估排查16598人，集中隔离77人（境外38人、国内39人），居家隔离1401人，低风险15120人。及时对隔离点及疫点进行消杀，消杀面积5.2万</w:t>
      </w:r>
      <w:r>
        <w:rPr>
          <w:rFonts w:hint="eastAsia" w:ascii="Microsoft JhengHei" w:hAnsi="Microsoft JhengHei" w:eastAsia="Microsoft JhengHei" w:cs="Microsoft JhengHei"/>
        </w:rPr>
        <w:t>㎡</w:t>
      </w:r>
      <w:r>
        <w:rPr>
          <w:rFonts w:hint="eastAsia" w:cs="仿宋_GB2312"/>
        </w:rPr>
        <w:t>，消毒特种车辆</w:t>
      </w:r>
      <w:r>
        <w:rPr>
          <w:rFonts w:hint="eastAsia"/>
        </w:rPr>
        <w:t>42台。实现无本地病例、二代病例、集聚性病例的战果。</w:t>
      </w:r>
    </w:p>
    <w:p>
      <w:pPr>
        <w:ind w:firstLine="640"/>
        <w:jc w:val="both"/>
      </w:pPr>
      <w:r>
        <w:rPr>
          <w:rFonts w:hint="eastAsia"/>
        </w:rPr>
        <w:t>3.抓早抓细抓实新冠肺炎常态化防控</w:t>
      </w:r>
    </w:p>
    <w:p>
      <w:pPr>
        <w:ind w:firstLine="640"/>
        <w:jc w:val="both"/>
      </w:pPr>
    </w:p>
    <w:p>
      <w:pPr>
        <w:ind w:firstLine="640"/>
        <w:jc w:val="both"/>
      </w:pPr>
      <w:r>
        <w:rPr>
          <w:rFonts w:hint="eastAsia"/>
        </w:rPr>
        <w:t>2020年与多部门联合开展4次新冠肺炎应急处</w:t>
      </w:r>
      <w:r>
        <w:rPr>
          <w:rFonts w:hint="eastAsia" w:cs="微软雅黑"/>
        </w:rPr>
        <w:t>置</w:t>
      </w:r>
      <w:r>
        <w:rPr>
          <w:rFonts w:hint="eastAsia" w:cs="仿宋_GB2312"/>
        </w:rPr>
        <w:t>演练活动，对新冠肺炎的信息报告、应急响应、物资准备和流行病</w:t>
      </w:r>
      <w:r>
        <w:rPr>
          <w:rFonts w:hint="eastAsia"/>
        </w:rPr>
        <w:t>学调查、采样检测、疫点媒介控制、个人防护和多部门联防联控等环节进行演练。二是印发了《应对新型冠状病毒肺炎疫情卫生应急实操工作手册》等，开展20余次各种类型培训工作，共计培训2000余人次，制定中心《突发公共卫生事件卫生应急管理办法》，完善卫生应急管理制度。</w:t>
      </w:r>
    </w:p>
    <w:p>
      <w:pPr>
        <w:ind w:firstLine="640"/>
        <w:jc w:val="both"/>
      </w:pPr>
      <w:r>
        <w:rPr>
          <w:rFonts w:hint="eastAsia"/>
        </w:rPr>
        <w:t>4.做好核酸检测的样本采集、送检和检测</w:t>
      </w:r>
    </w:p>
    <w:p>
      <w:pPr>
        <w:ind w:firstLine="640"/>
        <w:jc w:val="both"/>
      </w:pPr>
      <w:r>
        <w:rPr>
          <w:rFonts w:hint="eastAsia"/>
        </w:rPr>
        <w:t>积极开展核酸采样送检工作，现场处</w:t>
      </w:r>
      <w:r>
        <w:rPr>
          <w:rFonts w:hint="eastAsia" w:cs="微软雅黑"/>
        </w:rPr>
        <w:t>置</w:t>
      </w:r>
      <w:r>
        <w:rPr>
          <w:rFonts w:hint="eastAsia" w:cs="仿宋_GB2312"/>
        </w:rPr>
        <w:t>疫情</w:t>
      </w:r>
      <w:r>
        <w:rPr>
          <w:rFonts w:hint="eastAsia"/>
        </w:rPr>
        <w:t>134次，采集、送检各类人员535人次，共839份标本；环境和食品标本91份。2020年9月24日建成PCR核酸检测实验室，开始进行新冠病毒核酸检测，中心分子生物学检测提升一个新台阶。新建疾控中心PCR实验室检测各类标本2420份，其中各类人员核酸标本1819份，环境标本547份；血清标本54份。检验专业技术人员参加省、市、区疾控新冠病毒肺炎《防控方案》、《实验室技术指南》、生物安全等学习培训17次，5人取得PCR实验室上岗合格证；对辖区医疗机构、内部转岗培训4次，培训218人次。基本满足了我区新冠肺炎疫情防控常态化的新冠核酸采样检测需求。</w:t>
      </w:r>
    </w:p>
    <w:p>
      <w:pPr>
        <w:ind w:firstLine="640"/>
        <w:jc w:val="both"/>
        <w:rPr>
          <w:rFonts w:hint="eastAsia" w:eastAsia="仿宋_GB2312"/>
          <w:lang w:eastAsia="zh-CN"/>
        </w:rPr>
      </w:pPr>
      <w:r>
        <w:rPr>
          <w:rFonts w:hint="eastAsia"/>
        </w:rPr>
        <w:t>5.联防联控，护航全区复工复产复学</w:t>
      </w:r>
    </w:p>
    <w:p>
      <w:pPr>
        <w:ind w:firstLine="640"/>
        <w:jc w:val="both"/>
      </w:pPr>
      <w:r>
        <w:rPr>
          <w:rFonts w:hint="eastAsia"/>
        </w:rPr>
        <w:t>一是始终做好疫情监测、病例报告，及时汇总分析网底数据、研判疫情态势，将疫情研判情况报送防控指挥部，提供决策支撑。二是中心新冠核酸检测采样点、市级重大会议现场消毒2000</w:t>
      </w:r>
      <w:r>
        <w:rPr>
          <w:rFonts w:hint="eastAsia" w:ascii="Microsoft JhengHei" w:hAnsi="Microsoft JhengHei" w:eastAsia="Microsoft JhengHei" w:cs="Microsoft JhengHei"/>
        </w:rPr>
        <w:t>㎡</w:t>
      </w:r>
      <w:r>
        <w:rPr>
          <w:rFonts w:hint="eastAsia" w:cs="仿宋_GB2312"/>
        </w:rPr>
        <w:t>；督促指导相关场所消杀，对</w:t>
      </w:r>
      <w:r>
        <w:rPr>
          <w:rFonts w:hint="eastAsia"/>
        </w:rPr>
        <w:t>233个单位和部门进行了消毒知识精准培训，对188个复工复产企业的疫情防控开展了现场指导，拍摄新冠防控消杀宣传视频2个。三是对学校开展“三阶段”督导工作，开学前督导，开校前评估、评估合格方可开学，开学后督导，共出动督导人员155人次，保障辖区35所在管幼儿园、25所中小学校，4所市属中学的防控工作体系、疫情监测、环境卫生清洁消毒等工作达到防控要求。四是组织学校卫生员培训，累计培训3次，达400余人次，培训合格者发放培训合格证。五是进行重点人群、行业常态化监测工作，全年累计人员采样监测4650人，环境采样监测676件，检测结果均为阴性。</w:t>
      </w:r>
    </w:p>
    <w:p>
      <w:pPr>
        <w:ind w:firstLine="640"/>
        <w:jc w:val="both"/>
      </w:pPr>
      <w:r>
        <w:rPr>
          <w:rFonts w:hint="eastAsia"/>
        </w:rPr>
        <w:t>6.大力开展新冠防控健康教育</w:t>
      </w:r>
    </w:p>
    <w:p>
      <w:pPr>
        <w:ind w:firstLine="640"/>
        <w:jc w:val="both"/>
      </w:pPr>
      <w:r>
        <w:rPr>
          <w:rFonts w:hint="eastAsia"/>
        </w:rPr>
        <w:t>多途径开展健康教育，科普防控知识做到全覆盖。一是印发全区新冠肺炎疫情防控健康教育方案（第一版），二是开发设计新冠健康电子版、视频、纸质宣传材料18种，印刷10万余份，利用政府网站发布防控知识，覆盖人群25万人次。三是成立疫情健康科普分队11支，入户指导7万余户，覆盖人群21万余人。四是开展全区培训及指导工作，医疗机构全覆盖培训，指导企业复工防控82次，覆盖企业75家。</w:t>
      </w:r>
    </w:p>
    <w:p>
      <w:pPr>
        <w:ind w:firstLine="643"/>
        <w:jc w:val="both"/>
        <w:rPr>
          <w:rFonts w:ascii="楷体_GB2312" w:eastAsia="楷体_GB2312"/>
          <w:b/>
        </w:rPr>
      </w:pPr>
      <w:r>
        <w:rPr>
          <w:rFonts w:hint="eastAsia" w:ascii="楷体_GB2312" w:eastAsia="楷体_GB2312"/>
          <w:b/>
        </w:rPr>
        <w:t>（三）规范管理，全面开展各项业务工作</w:t>
      </w:r>
    </w:p>
    <w:p>
      <w:pPr>
        <w:ind w:firstLine="640"/>
        <w:jc w:val="both"/>
      </w:pPr>
      <w:r>
        <w:rPr>
          <w:rFonts w:hint="eastAsia"/>
        </w:rPr>
        <w:t>1.传染病预防与控制</w:t>
      </w:r>
    </w:p>
    <w:p>
      <w:pPr>
        <w:ind w:firstLine="640"/>
        <w:jc w:val="both"/>
      </w:pPr>
      <w:r>
        <w:rPr>
          <w:rFonts w:hint="eastAsia"/>
        </w:rPr>
        <w:t>（1）传染病报告。全区累计报告法定传染病15种1092例，发病率为407.46/十万，传染病累计发病数较去年同期下降15.28%，死亡4例艾滋病病例。</w:t>
      </w:r>
    </w:p>
    <w:p>
      <w:pPr>
        <w:ind w:firstLine="640"/>
        <w:jc w:val="both"/>
      </w:pPr>
      <w:r>
        <w:rPr>
          <w:rFonts w:hint="eastAsia"/>
        </w:rPr>
        <w:t>（2）传染病流行病学调查处理。开展现场流行病学调查10例（布病2例、梅毒Ⅲ期4例，钩体病4例），处</w:t>
      </w:r>
      <w:r>
        <w:rPr>
          <w:rFonts w:hint="eastAsia" w:cs="微软雅黑"/>
        </w:rPr>
        <w:t>置</w:t>
      </w:r>
      <w:r>
        <w:rPr>
          <w:rFonts w:hint="eastAsia"/>
        </w:rPr>
        <w:t>2起学校发热聚集性疫情，1起学校诺如病毒聚集性疫情，5起学校呕吐事件；1-10月份，监测门诊病人258773人次，报告呼吸系统感染性疾病42338例，霍乱监测1083例，未发现霍乱病例。</w:t>
      </w:r>
    </w:p>
    <w:p>
      <w:pPr>
        <w:ind w:firstLine="640"/>
        <w:jc w:val="both"/>
      </w:pPr>
      <w:r>
        <w:rPr>
          <w:rFonts w:hint="eastAsia"/>
        </w:rPr>
        <w:t>（3）免疫规划。全面开展麻疹、AFP和AEFI监测工作。对监测医院每旬、每月上报AFP、麻疹主动监测报表。全年报告2例AFP病例，达到报告发病率达2/10万以上的要求以及相关及时率达标；排除麻疹风疹病例报告11例，完成排除麻疹风疹病例报告发病率达到2/10万以上指标；报告12例AEFI，覆盖率和及时处理率达到100%。加强免疫规划工作开展，提高疫苗接种率，每月根据各接种单位需求制定疫苗计划，做好采购供应、出入库记录、冷链管理等工作。国家免疫规划疫苗报告接种率＞99%，非免疫规划疫苗共接种14622人次，疫苗接种完成情况达到省市要求。</w:t>
      </w:r>
    </w:p>
    <w:p>
      <w:pPr>
        <w:ind w:firstLine="640"/>
        <w:jc w:val="both"/>
      </w:pPr>
      <w:r>
        <w:rPr>
          <w:rFonts w:hint="eastAsia"/>
        </w:rPr>
        <w:t>（4）艾滋病综合防治。截止2020年12月31日，全区现存活HIV感染者及艾滋病病人536例，男性377人，女性159人，男女性别比2.37:1，50岁及以上老年男性219人，占比40.86%，15－49岁女性(即育龄妇女)57人，占比10.63%。按现住址管理，今年全区累计新增艾滋病感染者71例，死亡4例，按性别分类，男性50人，女性21人，性别比2.38:1，按年龄别分类，54人为50岁及以上老年人群，按感染途径分类，68人为异性传播(28人为商业非婚异性性接触史，30人为非商业非婚异性性接触史，10人为配偶或固定性伴阳性），3人为同性传播(男男性行为史）。公共场所安全套无偿提供实现了全覆盖。目前，我区艾滋病流行趋势以中老年男性人群为主，经异性性途径感染已成为主要传播方式。</w:t>
      </w:r>
    </w:p>
    <w:p>
      <w:pPr>
        <w:ind w:firstLine="640"/>
        <w:jc w:val="both"/>
      </w:pPr>
      <w:r>
        <w:rPr>
          <w:rFonts w:hint="eastAsia"/>
        </w:rPr>
        <w:t>（5）结核病查治。2020年共发现登记治疗结核病患者187例，去年同期189例，今年发病较去年增长1.06%。对所有病原学检查阳性肺结核患者密切接触者均开展筛查，筛查率100%；肺结核可疑症状者和疑似患者在定点医院就诊时均开展查痰，查痰率达100%（目标要求98%）；非定点医疗机构共报告患者527例，重报100例，到位423例，死亡4例，总体到位率99.06%；耐药患者共发现5例，均纳入治疗。我区新生寄宿制初中以上新生应筛查4506人，实际筛查4506人，筛查率为100%，小学和非寄宿制初中学校新生入学体检新生2830人，体检结核病筛查率达100%（目标要求85%）；辖区内65岁以上老年人筛查27622人，筛查率为95.45%，糖尿病患者肺结核筛查5097人，筛查率为94.42%。</w:t>
      </w:r>
    </w:p>
    <w:p>
      <w:pPr>
        <w:ind w:firstLine="640"/>
        <w:jc w:val="both"/>
      </w:pPr>
      <w:r>
        <w:rPr>
          <w:rFonts w:hint="eastAsia"/>
        </w:rPr>
        <w:t>（6）病媒生物监测。每季度现场指导4个社区卫生服务中心、5个乡镇卫生院共26个监测地点开展“四害”监测工作，同时收集标本统一开展分类鉴定。3-10月，每月进行一次鼠密度监测，采用中型钢板夹(12cm×6.5cm)，以生花生米为诱饵的方法，监测显示3-6月为上升期，5-8月达到高峰，密度为1.8％；4-10月，采用诱蚊灯法对蚊密度和种类进行监测，共监测3次，监测结果表明6月为上升，平均密度为1.09只/小时；3-10月，采用笼诱法对蝇密度监测，共监测4次，监测结果分析：3-6月为上升，7-8月达到峰值，平均密度为1.18只/笼；采用粘捕法对蟑螂密度监测，监测时间为3-10月，共监测4次，结果是3-6月为上升，平均密度为0.25只/张。</w:t>
      </w:r>
    </w:p>
    <w:p>
      <w:pPr>
        <w:ind w:firstLine="640"/>
        <w:jc w:val="both"/>
      </w:pPr>
      <w:r>
        <w:rPr>
          <w:rFonts w:hint="eastAsia"/>
        </w:rPr>
        <w:t>2.慢性病防制</w:t>
      </w:r>
    </w:p>
    <w:p>
      <w:pPr>
        <w:ind w:firstLine="640"/>
        <w:jc w:val="both"/>
      </w:pPr>
      <w:r>
        <w:rPr>
          <w:rFonts w:hint="eastAsia"/>
        </w:rPr>
        <w:t>（1）《居民健康档案》建档情况。今年完成建档251673，完成建档率96.79%，规范化电子建档率96.76%，动态管理率53.22%；其中，65岁以上老年人建档32878人，高血压患者建档12388人，糖尿病患者建档5967人。</w:t>
      </w:r>
    </w:p>
    <w:p>
      <w:pPr>
        <w:ind w:firstLine="640"/>
        <w:jc w:val="both"/>
      </w:pPr>
      <w:r>
        <w:rPr>
          <w:rFonts w:hint="eastAsia"/>
        </w:rPr>
        <w:t>（2）重症精神病管理工作。根据国家严重精神障碍信息系统2020年12月相关报表数据统计，我区严重精神障碍患者累计建档人数1548人，除去死亡164人，目前在册1384人，在管1342人，报告患病率（即在册率）为5.32‰，在册患者管理率96.96%，规范化管理率94.88%。</w:t>
      </w:r>
    </w:p>
    <w:p>
      <w:pPr>
        <w:ind w:firstLine="640"/>
        <w:jc w:val="both"/>
      </w:pPr>
      <w:r>
        <w:rPr>
          <w:rFonts w:hint="eastAsia"/>
        </w:rPr>
        <w:t>（3）死因监测工作。2020年是我区死因报告工作全面实行网络直报的第十六年，全区有网络直报医疗机构33所，报告覆盖率100%，全年共报告死亡人数2784例，死亡率达到6.5‰，无漏报病例，审核率100%。</w:t>
      </w:r>
    </w:p>
    <w:p>
      <w:pPr>
        <w:ind w:firstLine="640"/>
        <w:jc w:val="both"/>
      </w:pPr>
      <w:r>
        <w:rPr>
          <w:rFonts w:hint="eastAsia"/>
        </w:rPr>
        <w:t>（4）肿瘤登记工作。全年，恶性肿瘤报告发病病例为1368人。从发病顺位来看，首位发病为肺癌，其次是肝癌和食管癌。分性别发病中，男性发病明显高于女性。</w:t>
      </w:r>
    </w:p>
    <w:p>
      <w:pPr>
        <w:ind w:firstLine="640"/>
        <w:jc w:val="both"/>
      </w:pPr>
      <w:r>
        <w:rPr>
          <w:rFonts w:hint="eastAsia"/>
        </w:rPr>
        <w:t>（5）城市癌症筛查。2020年自流井区被省癌症中心确定为城市癌症筛查项目点，中心在自流井区卫生健康局的大力支持下，积极开展城市癌症筛查工作。截至目前，全区共发现癌症高危人数500余人，1100余人次，完成临床筛查400余人次数。社区筛查新街完成500余人次，郭街完成600余人次；临床筛查自贡市第一人民医院完成180人次，自贡市第四人民医院完成220人次数。</w:t>
      </w:r>
    </w:p>
    <w:p>
      <w:pPr>
        <w:ind w:firstLine="640"/>
        <w:jc w:val="both"/>
      </w:pPr>
      <w:r>
        <w:rPr>
          <w:rFonts w:hint="eastAsia"/>
        </w:rPr>
        <w:t>3.地方病防治</w:t>
      </w:r>
    </w:p>
    <w:p>
      <w:pPr>
        <w:ind w:firstLine="640"/>
        <w:jc w:val="both"/>
      </w:pPr>
      <w:r>
        <w:rPr>
          <w:rFonts w:hint="eastAsia"/>
        </w:rPr>
        <w:t>（1）疟疾。今年有15个医疗机构开展血检，达到规划目标率为100%；辖区疟原虫血检年应检1500人，实际检测1656人，检测率为100%；完成发热病人血检涂片1656张，均为阴性血片，完成血检率100%，复核血片166张，符合率为100%。</w:t>
      </w:r>
    </w:p>
    <w:p>
      <w:pPr>
        <w:ind w:firstLine="640"/>
        <w:jc w:val="both"/>
      </w:pPr>
      <w:r>
        <w:rPr>
          <w:rFonts w:hint="eastAsia"/>
        </w:rPr>
        <w:t>（2）碘缺乏病。今年6-7月开展了碘盐监测工作，共采集和检测200名学生家中食用盐样200份，100名孕妇家中的食用盐样100份,共计300份盐样。其中碘盐299份，合格碘盐286份，不合格碘盐13份，非碘盐1份；碘盐覆盖率为99.67%，碘盐合格率为95.65%，非碘盐率0.3%，合格碘盐食用率为95.33%。各项检测指标均符合国家相关规定，保持了持续消除碘缺乏病状态。</w:t>
      </w:r>
    </w:p>
    <w:p>
      <w:pPr>
        <w:ind w:firstLine="640"/>
        <w:jc w:val="both"/>
      </w:pPr>
      <w:r>
        <w:rPr>
          <w:rFonts w:hint="eastAsia"/>
        </w:rPr>
        <w:t>4.健康危害因素监测与干预</w:t>
      </w:r>
    </w:p>
    <w:p>
      <w:pPr>
        <w:ind w:firstLine="640"/>
        <w:jc w:val="both"/>
      </w:pPr>
      <w:r>
        <w:rPr>
          <w:rFonts w:hint="eastAsia"/>
        </w:rPr>
        <w:t>（1）生活饮用水。2020年对我区5个乡镇、4个街道的生活饮用水（包含二次供水、现制现售水）进行合理布点监测采样（其中4个乡镇自来水厂，5个市政管网供水），共采集水样136件，不合格6件，合格率95.59%。从抽检结果看，主要是乡镇自来水厂（漆树水厂）不合格，不合格参数为总大肠菌群、浑浊度、色度等项目；现制现售水2件不合格（一件为耗氧量、一件为细菌总数超标）；每季度监测结果及时上报相关部门，并按要求完成网络报告。</w:t>
      </w:r>
    </w:p>
    <w:p>
      <w:pPr>
        <w:ind w:firstLine="640"/>
        <w:jc w:val="both"/>
      </w:pPr>
      <w:r>
        <w:rPr>
          <w:rFonts w:hint="eastAsia"/>
        </w:rPr>
        <w:t>（</w:t>
      </w:r>
      <w:r>
        <w:t>2</w:t>
      </w:r>
      <w:r>
        <w:rPr>
          <w:rFonts w:hint="eastAsia"/>
        </w:rPr>
        <w:t>）公共场所。全年共监测156家次，合格146家、合</w:t>
      </w:r>
    </w:p>
    <w:p>
      <w:pPr>
        <w:ind w:firstLine="640"/>
        <w:jc w:val="both"/>
      </w:pPr>
      <w:r>
        <w:rPr>
          <w:rFonts w:hint="eastAsia"/>
        </w:rPr>
        <w:t>格率93.59%，其中文化娱乐业17家,旅店业46家,理发美容</w:t>
      </w:r>
    </w:p>
    <w:p>
      <w:pPr>
        <w:ind w:firstLine="640"/>
        <w:jc w:val="both"/>
      </w:pPr>
      <w:r>
        <w:rPr>
          <w:rFonts w:hint="eastAsia"/>
        </w:rPr>
        <w:t>业93家。</w:t>
      </w:r>
    </w:p>
    <w:p>
      <w:pPr>
        <w:ind w:firstLine="640"/>
        <w:jc w:val="both"/>
      </w:pPr>
      <w:r>
        <w:rPr>
          <w:rFonts w:hint="eastAsia"/>
        </w:rPr>
        <w:t>（</w:t>
      </w:r>
      <w:r>
        <w:t>3</w:t>
      </w:r>
      <w:r>
        <w:rPr>
          <w:rFonts w:hint="eastAsia"/>
        </w:rPr>
        <w:t>）职业卫生和放射卫生。一是审核农药中毒报告卡20张；疑似职业病报告卡26张；尘肺病报告卡8张；审核辖区工矿企业从业人员职业健康体检档案1479份；调查157例职业性尘肺病患者，其中死亡120例、失访16例、存活21例。二是对辖区内372家企业生产型企业进行走访调查，选取其中25家涉及重点职业危害因素企业进行检测，检测数据已经完成，并陆续送达企业，并及时上报了全国职业病危害现状调查相关数据。</w:t>
      </w:r>
    </w:p>
    <w:p>
      <w:pPr>
        <w:ind w:firstLine="640"/>
        <w:jc w:val="both"/>
      </w:pPr>
      <w:r>
        <w:rPr>
          <w:rFonts w:hint="eastAsia"/>
        </w:rPr>
        <w:t>（</w:t>
      </w:r>
      <w:r>
        <w:t>4</w:t>
      </w:r>
      <w:r>
        <w:rPr>
          <w:rFonts w:hint="eastAsia"/>
        </w:rPr>
        <w:t>）食品、公共场所从业人员健康体检。受新冠疫情防控的影响，全年从业人员的体检人数较往年有所减少，全年体检12129人次。体检项目包含ALT、HAV、HEV以及大便培养（沙门氏菌、志贺氏菌检测）；其中一次性检测ALT不合格人数436人次，一次性不合格率3.59%，同时及时地对ALT不合格的人员进行了HAV和HEV的复检，共计400人次，有戊肝抗体阳性的1人次，其余甲肝和戊肝均正常。全年总计食品、公共场所从业人员一次性体检合格率为96.41%。</w:t>
      </w:r>
    </w:p>
    <w:p>
      <w:pPr>
        <w:ind w:firstLine="640"/>
        <w:jc w:val="both"/>
      </w:pPr>
      <w:r>
        <w:rPr>
          <w:rFonts w:hint="eastAsia"/>
        </w:rPr>
        <w:t>5.学生健康体检和常见病防治</w:t>
      </w:r>
    </w:p>
    <w:p>
      <w:pPr>
        <w:ind w:firstLine="640"/>
        <w:jc w:val="both"/>
      </w:pPr>
      <w:r>
        <w:rPr>
          <w:rFonts w:hint="eastAsia"/>
        </w:rPr>
        <w:t>（1）学生体检。按照自井卫健发〔202</w:t>
      </w:r>
      <w:r>
        <w:t>0</w:t>
      </w:r>
      <w:r>
        <w:rPr>
          <w:rFonts w:hint="eastAsia"/>
        </w:rPr>
        <w:t>〕62号文件要求，督促各社区卫生服务中心和乡镇卫生院完成2020年中小学生体检工作，全区应体检学生31283人，实体检30272人，体检率96.8%。</w:t>
      </w:r>
    </w:p>
    <w:p>
      <w:pPr>
        <w:ind w:firstLine="640"/>
        <w:jc w:val="both"/>
      </w:pPr>
      <w:r>
        <w:rPr>
          <w:rFonts w:hint="eastAsia"/>
        </w:rPr>
        <w:t>（2）学生近视及其他重点常见病和健康影响因素监测及干预工作。根据《自贡市卫生健康委员会、自贡市教育和体育局关于开展2020年学生近视及其他重点常见病和健康影响因素监测与干预工作方案的通知》精神，在教育行政部门的大力支持及学校的积极配合下，于2020年10月12-13日对自流井区2所幼儿园1所高中进行了学生重点常见病监测和健康状况、视力不良影响因素与新冠防控知识行为专项调查。此次重点常见病现场监测幼儿园86人，高中338人；影响因素问卷调查322人。经筛检学生重点常见病监测有效健康体检表为幼儿园81人，高中298人，学生健康状况和视力不良及影响因素有效问卷282份。对自贡六中的6间教室进行了监测。本次监测6间教室的人均面积合格率为0，课桌椅分配符合率为0；有1间教室安装的白板，此次监测有5间教室黑板，黑板尺寸合格率100%，黑板表面状况完好率100%，平均照度均达不到国家卫生标准，合格率为0，照度均匀度合格率100%，反射比合格率80%；教室课桌面平均照度合格率16.6%，照度均匀度合格率100%；噪声合格率100%；男、女厕所合格率100%。</w:t>
      </w:r>
    </w:p>
    <w:p>
      <w:pPr>
        <w:ind w:firstLine="640"/>
        <w:jc w:val="both"/>
      </w:pPr>
      <w:r>
        <w:rPr>
          <w:rFonts w:hint="eastAsia"/>
        </w:rPr>
        <w:t>（四）坚持党建引领，全面提升卫生服务能力和水平一是强化思想武装，在“不忘初心、牢记使命”这一永恒的课题中提质聚力。中心坚持政治理论学习不放松，结合疾控工作实际，定期开展学习活动，同时充分利用“学习强国”、“盐都先锋”等网络学习平台强化自学，引导干部职工守纪律、讲规矩、重品行、精业务。二是夯实基层组织基础，在基层组织建设工作中提质聚力。制定责任清单，落实领导和科室的责任，明确重点工作、具体举措和时序进度，推动基层党组织对单操作，逐一落实。对标对表上级考核标准，清淤点、解难点、通堵点、强弱项、补短板，持续夯实基层组织基础，使基层组织建设再上新台阶。三是围绕中心服务大局，在推进党建与业务工作深度融合中提质聚力。坚持抓党建促中心发展，推动党建工作全面融入中心重大决策、科学管理、人才建设等各方面，提升中心发展核心竞争力；围绕疾控中心健康发展，认真贯彻落实中央八项规定、卫健委“九不准”规定，认真查找、纠正存在的问题，着力解决制约中心发展、群众反映强烈的突出问题，大力营造风清气正、聚力发展的良好氛围。</w:t>
      </w:r>
    </w:p>
    <w:p>
      <w:pPr>
        <w:ind w:firstLine="640"/>
        <w:jc w:val="both"/>
        <w:outlineLvl w:val="1"/>
        <w:rPr>
          <w:rFonts w:ascii="黑体" w:hAnsi="黑体" w:eastAsia="黑体"/>
        </w:rPr>
      </w:pPr>
      <w:bookmarkStart w:id="4" w:name="_Toc13335"/>
      <w:bookmarkStart w:id="5" w:name="_Toc23940"/>
      <w:r>
        <w:rPr>
          <w:rFonts w:hint="eastAsia" w:ascii="黑体" w:hAnsi="黑体" w:eastAsia="黑体"/>
        </w:rPr>
        <w:t>二、机构设置</w:t>
      </w:r>
      <w:bookmarkEnd w:id="4"/>
      <w:bookmarkEnd w:id="5"/>
    </w:p>
    <w:p>
      <w:pPr>
        <w:ind w:firstLine="640"/>
        <w:jc w:val="both"/>
      </w:pPr>
      <w:r>
        <w:rPr>
          <w:rFonts w:hint="eastAsia"/>
        </w:rPr>
        <w:t>自井疾控中心下属二级单位0个（含主管局本级），其中行政单位0个，参照公务员法管理的事业单位0个，其他事业单位0个。</w:t>
      </w: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0" w:firstLineChars="0"/>
        <w:jc w:val="center"/>
        <w:outlineLvl w:val="0"/>
        <w:rPr>
          <w:rFonts w:ascii="方正小标宋简体" w:eastAsia="方正小标宋简体"/>
          <w:sz w:val="36"/>
          <w:szCs w:val="36"/>
        </w:rPr>
      </w:pPr>
      <w:bookmarkStart w:id="6" w:name="_Toc30281"/>
      <w:bookmarkStart w:id="7" w:name="_Toc22460"/>
      <w:r>
        <w:rPr>
          <w:rFonts w:hint="eastAsia" w:ascii="方正小标宋简体" w:eastAsia="方正小标宋简体"/>
          <w:sz w:val="36"/>
          <w:szCs w:val="36"/>
        </w:rPr>
        <w:t>第二部分2020年度部门决算情况说明</w:t>
      </w:r>
      <w:bookmarkEnd w:id="6"/>
      <w:bookmarkEnd w:id="7"/>
    </w:p>
    <w:p>
      <w:pPr>
        <w:ind w:firstLine="0" w:firstLineChars="0"/>
        <w:jc w:val="center"/>
        <w:rPr>
          <w:rFonts w:ascii="方正小标宋简体" w:eastAsia="方正小标宋简体"/>
          <w:sz w:val="36"/>
          <w:szCs w:val="36"/>
        </w:rPr>
      </w:pPr>
    </w:p>
    <w:p>
      <w:pPr>
        <w:ind w:firstLine="640"/>
        <w:jc w:val="both"/>
        <w:outlineLvl w:val="1"/>
        <w:rPr>
          <w:rFonts w:ascii="黑体" w:hAnsi="黑体" w:eastAsia="黑体"/>
        </w:rPr>
      </w:pPr>
      <w:bookmarkStart w:id="8" w:name="_Toc5559"/>
      <w:bookmarkStart w:id="9" w:name="_Toc13407"/>
      <w:r>
        <w:rPr>
          <w:rFonts w:hint="eastAsia" w:ascii="黑体" w:hAnsi="黑体" w:eastAsia="黑体"/>
        </w:rPr>
        <w:t>一、收入支出决算总体情况说明</w:t>
      </w:r>
      <w:bookmarkEnd w:id="8"/>
      <w:bookmarkEnd w:id="9"/>
    </w:p>
    <w:p>
      <w:pPr>
        <w:ind w:firstLine="640"/>
        <w:jc w:val="both"/>
      </w:pPr>
      <w:r>
        <w:drawing>
          <wp:anchor distT="0" distB="0" distL="114300" distR="114300" simplePos="0" relativeHeight="251659264" behindDoc="1" locked="0" layoutInCell="1" allowOverlap="1">
            <wp:simplePos x="0" y="0"/>
            <wp:positionH relativeFrom="page">
              <wp:align>center</wp:align>
            </wp:positionH>
            <wp:positionV relativeFrom="paragraph">
              <wp:posOffset>1125855</wp:posOffset>
            </wp:positionV>
            <wp:extent cx="4632960" cy="2710815"/>
            <wp:effectExtent l="0" t="0" r="0" b="0"/>
            <wp:wrapTight wrapText="bothSides">
              <wp:wrapPolygon>
                <wp:start x="0" y="0"/>
                <wp:lineTo x="0" y="21403"/>
                <wp:lineTo x="21493" y="21403"/>
                <wp:lineTo x="21493"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32960" cy="2710815"/>
                    </a:xfrm>
                    <a:prstGeom prst="rect">
                      <a:avLst/>
                    </a:prstGeom>
                    <a:noFill/>
                  </pic:spPr>
                </pic:pic>
              </a:graphicData>
            </a:graphic>
          </wp:anchor>
        </w:drawing>
      </w:r>
      <w:r>
        <w:rPr>
          <w:rFonts w:hint="eastAsia"/>
        </w:rPr>
        <w:t>2020年度收1808.10万元、支总计1808.10万元。与2019年相比，收1303.07万元、支总计1303.07万元各增加505.03万元，增加38.76%。主要变动原因是2020年新冠肺炎疫情经费增加。</w:t>
      </w:r>
    </w:p>
    <w:p>
      <w:pPr>
        <w:ind w:firstLine="640"/>
        <w:jc w:val="center"/>
      </w:pPr>
      <w:r>
        <w:rPr>
          <w:rFonts w:hint="eastAsia"/>
        </w:rPr>
        <w:t>（图1：收、支决算总计变动情况图）</w:t>
      </w:r>
    </w:p>
    <w:p>
      <w:pPr>
        <w:ind w:firstLine="640"/>
        <w:jc w:val="both"/>
        <w:rPr>
          <w:rFonts w:ascii="黑体" w:hAnsi="黑体" w:eastAsia="黑体"/>
        </w:rPr>
      </w:pPr>
    </w:p>
    <w:p>
      <w:pPr>
        <w:ind w:firstLine="640"/>
        <w:jc w:val="both"/>
        <w:outlineLvl w:val="1"/>
        <w:rPr>
          <w:rFonts w:ascii="黑体" w:hAnsi="黑体" w:eastAsia="黑体"/>
        </w:rPr>
      </w:pPr>
      <w:bookmarkStart w:id="10" w:name="_Toc5835"/>
      <w:bookmarkStart w:id="11" w:name="_Toc1297"/>
      <w:r>
        <w:rPr>
          <w:rFonts w:hint="eastAsia" w:ascii="黑体" w:hAnsi="黑体" w:eastAsia="黑体"/>
        </w:rPr>
        <w:t>二、收入决算情况说明</w:t>
      </w:r>
      <w:bookmarkEnd w:id="10"/>
      <w:bookmarkEnd w:id="11"/>
    </w:p>
    <w:p>
      <w:pPr>
        <w:ind w:firstLine="640"/>
        <w:jc w:val="both"/>
      </w:pPr>
      <w:r>
        <w:rPr>
          <w:rFonts w:hint="eastAsia"/>
        </w:rPr>
        <w:t>2020年本年收入合计1559.61万元，其中：一般公共预算财政拨款收入1303.80万元，占83.59%；政府性基金预算财政拨款收入0万元，占0%；上级补助收入0万元，占0%；事业收入0万元，占0%；经营收入0万元，占0%；附属单位上缴收入0万</w:t>
      </w:r>
      <w:r>
        <mc:AlternateContent>
          <mc:Choice Requires="wpg">
            <w:drawing>
              <wp:anchor distT="0" distB="0" distL="114300" distR="114300" simplePos="0" relativeHeight="251660288" behindDoc="1" locked="0" layoutInCell="1" allowOverlap="1">
                <wp:simplePos x="0" y="0"/>
                <wp:positionH relativeFrom="page">
                  <wp:posOffset>1450340</wp:posOffset>
                </wp:positionH>
                <wp:positionV relativeFrom="paragraph">
                  <wp:posOffset>847725</wp:posOffset>
                </wp:positionV>
                <wp:extent cx="4747260" cy="2364740"/>
                <wp:effectExtent l="0" t="0" r="15240" b="16510"/>
                <wp:wrapTopAndBottom/>
                <wp:docPr id="2" name="组合 2"/>
                <wp:cNvGraphicFramePr/>
                <a:graphic xmlns:a="http://schemas.openxmlformats.org/drawingml/2006/main">
                  <a:graphicData uri="http://schemas.microsoft.com/office/word/2010/wordprocessingGroup">
                    <wpg:wgp>
                      <wpg:cNvGrpSpPr/>
                      <wpg:grpSpPr>
                        <a:xfrm>
                          <a:off x="0" y="0"/>
                          <a:ext cx="4747260" cy="2364740"/>
                          <a:chOff x="1800" y="484"/>
                          <a:chExt cx="7290" cy="4035"/>
                        </a:xfrm>
                      </wpg:grpSpPr>
                      <wps:wsp>
                        <wps:cNvPr id="3" name="docshape17"/>
                        <wps:cNvSpPr>
                          <a:spLocks noChangeArrowheads="1"/>
                        </wps:cNvSpPr>
                        <wps:spPr bwMode="auto">
                          <a:xfrm>
                            <a:off x="1800" y="484"/>
                            <a:ext cx="7289" cy="4035"/>
                          </a:xfrm>
                          <a:prstGeom prst="rect">
                            <a:avLst/>
                          </a:prstGeom>
                          <a:solidFill>
                            <a:srgbClr val="CCE8CF"/>
                          </a:solidFill>
                          <a:ln>
                            <a:noFill/>
                          </a:ln>
                        </wps:spPr>
                        <wps:bodyPr rot="0" vert="horz" wrap="square" lIns="91440" tIns="45720" rIns="91440" bIns="45720" anchor="t" anchorCtr="0" upright="1">
                          <a:noAutofit/>
                        </wps:bodyPr>
                      </wps:wsp>
                      <wps:wsp>
                        <wps:cNvPr id="4" name="docshape18"/>
                        <wps:cNvSpPr/>
                        <wps:spPr bwMode="auto">
                          <a:xfrm>
                            <a:off x="4099" y="927"/>
                            <a:ext cx="2691" cy="2691"/>
                          </a:xfrm>
                          <a:custGeom>
                            <a:avLst/>
                            <a:gdLst>
                              <a:gd name="T0" fmla="+- 0 5445 4100"/>
                              <a:gd name="T1" fmla="*/ T0 w 2691"/>
                              <a:gd name="T2" fmla="+- 0 2273 928"/>
                              <a:gd name="T3" fmla="*/ 2273 h 2691"/>
                              <a:gd name="T4" fmla="+- 0 4254 4100"/>
                              <a:gd name="T5" fmla="*/ T4 w 2691"/>
                              <a:gd name="T6" fmla="+- 0 1647 928"/>
                              <a:gd name="T7" fmla="*/ 1647 h 2691"/>
                              <a:gd name="T8" fmla="+- 0 4192 4100"/>
                              <a:gd name="T9" fmla="*/ T8 w 2691"/>
                              <a:gd name="T10" fmla="+- 0 1784 928"/>
                              <a:gd name="T11" fmla="*/ 1784 h 2691"/>
                              <a:gd name="T12" fmla="+- 0 4145 4100"/>
                              <a:gd name="T13" fmla="*/ T12 w 2691"/>
                              <a:gd name="T14" fmla="+- 0 1924 928"/>
                              <a:gd name="T15" fmla="*/ 1924 h 2691"/>
                              <a:gd name="T16" fmla="+- 0 4115 4100"/>
                              <a:gd name="T17" fmla="*/ T16 w 2691"/>
                              <a:gd name="T18" fmla="+- 0 2066 928"/>
                              <a:gd name="T19" fmla="*/ 2066 h 2691"/>
                              <a:gd name="T20" fmla="+- 0 4101 4100"/>
                              <a:gd name="T21" fmla="*/ T20 w 2691"/>
                              <a:gd name="T22" fmla="+- 0 2210 928"/>
                              <a:gd name="T23" fmla="*/ 2210 h 2691"/>
                              <a:gd name="T24" fmla="+- 0 4102 4100"/>
                              <a:gd name="T25" fmla="*/ T24 w 2691"/>
                              <a:gd name="T26" fmla="+- 0 2353 928"/>
                              <a:gd name="T27" fmla="*/ 2353 h 2691"/>
                              <a:gd name="T28" fmla="+- 0 4118 4100"/>
                              <a:gd name="T29" fmla="*/ T28 w 2691"/>
                              <a:gd name="T30" fmla="+- 0 2495 928"/>
                              <a:gd name="T31" fmla="*/ 2495 h 2691"/>
                              <a:gd name="T32" fmla="+- 0 4149 4100"/>
                              <a:gd name="T33" fmla="*/ T32 w 2691"/>
                              <a:gd name="T34" fmla="+- 0 2634 928"/>
                              <a:gd name="T35" fmla="*/ 2634 h 2691"/>
                              <a:gd name="T36" fmla="+- 0 4195 4100"/>
                              <a:gd name="T37" fmla="*/ T36 w 2691"/>
                              <a:gd name="T38" fmla="+- 0 2769 928"/>
                              <a:gd name="T39" fmla="*/ 2769 h 2691"/>
                              <a:gd name="T40" fmla="+- 0 4254 4100"/>
                              <a:gd name="T41" fmla="*/ T40 w 2691"/>
                              <a:gd name="T42" fmla="+- 0 2899 928"/>
                              <a:gd name="T43" fmla="*/ 2899 h 2691"/>
                              <a:gd name="T44" fmla="+- 0 4327 4100"/>
                              <a:gd name="T45" fmla="*/ T44 w 2691"/>
                              <a:gd name="T46" fmla="+- 0 3022 928"/>
                              <a:gd name="T47" fmla="*/ 3022 h 2691"/>
                              <a:gd name="T48" fmla="+- 0 4414 4100"/>
                              <a:gd name="T49" fmla="*/ T48 w 2691"/>
                              <a:gd name="T50" fmla="+- 0 3138 928"/>
                              <a:gd name="T51" fmla="*/ 3138 h 2691"/>
                              <a:gd name="T52" fmla="+- 0 4515 4100"/>
                              <a:gd name="T53" fmla="*/ T52 w 2691"/>
                              <a:gd name="T54" fmla="+- 0 3245 928"/>
                              <a:gd name="T55" fmla="*/ 3245 h 2691"/>
                              <a:gd name="T56" fmla="+- 0 4628 4100"/>
                              <a:gd name="T57" fmla="*/ T56 w 2691"/>
                              <a:gd name="T58" fmla="+- 0 3341 928"/>
                              <a:gd name="T59" fmla="*/ 3341 h 2691"/>
                              <a:gd name="T60" fmla="+- 0 4753 4100"/>
                              <a:gd name="T61" fmla="*/ T60 w 2691"/>
                              <a:gd name="T62" fmla="+- 0 3426 928"/>
                              <a:gd name="T63" fmla="*/ 3426 h 2691"/>
                              <a:gd name="T64" fmla="+- 0 4887 4100"/>
                              <a:gd name="T65" fmla="*/ T64 w 2691"/>
                              <a:gd name="T66" fmla="+- 0 3497 928"/>
                              <a:gd name="T67" fmla="*/ 3497 h 2691"/>
                              <a:gd name="T68" fmla="+- 0 5026 4100"/>
                              <a:gd name="T69" fmla="*/ T68 w 2691"/>
                              <a:gd name="T70" fmla="+- 0 3551 928"/>
                              <a:gd name="T71" fmla="*/ 3551 h 2691"/>
                              <a:gd name="T72" fmla="+- 0 5167 4100"/>
                              <a:gd name="T73" fmla="*/ T72 w 2691"/>
                              <a:gd name="T74" fmla="+- 0 3589 928"/>
                              <a:gd name="T75" fmla="*/ 3589 h 2691"/>
                              <a:gd name="T76" fmla="+- 0 5310 4100"/>
                              <a:gd name="T77" fmla="*/ T76 w 2691"/>
                              <a:gd name="T78" fmla="+- 0 3611 928"/>
                              <a:gd name="T79" fmla="*/ 3611 h 2691"/>
                              <a:gd name="T80" fmla="+- 0 5454 4100"/>
                              <a:gd name="T81" fmla="*/ T80 w 2691"/>
                              <a:gd name="T82" fmla="+- 0 3618 928"/>
                              <a:gd name="T83" fmla="*/ 3618 h 2691"/>
                              <a:gd name="T84" fmla="+- 0 5596 4100"/>
                              <a:gd name="T85" fmla="*/ T84 w 2691"/>
                              <a:gd name="T86" fmla="+- 0 3609 928"/>
                              <a:gd name="T87" fmla="*/ 3609 h 2691"/>
                              <a:gd name="T88" fmla="+- 0 5737 4100"/>
                              <a:gd name="T89" fmla="*/ T88 w 2691"/>
                              <a:gd name="T90" fmla="+- 0 3586 928"/>
                              <a:gd name="T91" fmla="*/ 3586 h 2691"/>
                              <a:gd name="T92" fmla="+- 0 5874 4100"/>
                              <a:gd name="T93" fmla="*/ T92 w 2691"/>
                              <a:gd name="T94" fmla="+- 0 3548 928"/>
                              <a:gd name="T95" fmla="*/ 3548 h 2691"/>
                              <a:gd name="T96" fmla="+- 0 6007 4100"/>
                              <a:gd name="T97" fmla="*/ T96 w 2691"/>
                              <a:gd name="T98" fmla="+- 0 3495 928"/>
                              <a:gd name="T99" fmla="*/ 3495 h 2691"/>
                              <a:gd name="T100" fmla="+- 0 6133 4100"/>
                              <a:gd name="T101" fmla="*/ T100 w 2691"/>
                              <a:gd name="T102" fmla="+- 0 3429 928"/>
                              <a:gd name="T103" fmla="*/ 3429 h 2691"/>
                              <a:gd name="T104" fmla="+- 0 6253 4100"/>
                              <a:gd name="T105" fmla="*/ T104 w 2691"/>
                              <a:gd name="T106" fmla="+- 0 3349 928"/>
                              <a:gd name="T107" fmla="*/ 3349 h 2691"/>
                              <a:gd name="T108" fmla="+- 0 6365 4100"/>
                              <a:gd name="T109" fmla="*/ T108 w 2691"/>
                              <a:gd name="T110" fmla="+- 0 3255 928"/>
                              <a:gd name="T111" fmla="*/ 3255 h 2691"/>
                              <a:gd name="T112" fmla="+- 0 6466 4100"/>
                              <a:gd name="T113" fmla="*/ T112 w 2691"/>
                              <a:gd name="T114" fmla="+- 0 3148 928"/>
                              <a:gd name="T115" fmla="*/ 3148 h 2691"/>
                              <a:gd name="T116" fmla="+- 0 6558 4100"/>
                              <a:gd name="T117" fmla="*/ T116 w 2691"/>
                              <a:gd name="T118" fmla="+- 0 3029 928"/>
                              <a:gd name="T119" fmla="*/ 3029 h 2691"/>
                              <a:gd name="T120" fmla="+- 0 6636 4100"/>
                              <a:gd name="T121" fmla="*/ T120 w 2691"/>
                              <a:gd name="T122" fmla="+- 0 2898 928"/>
                              <a:gd name="T123" fmla="*/ 2898 h 2691"/>
                              <a:gd name="T124" fmla="+- 0 6698 4100"/>
                              <a:gd name="T125" fmla="*/ T124 w 2691"/>
                              <a:gd name="T126" fmla="+- 0 2762 928"/>
                              <a:gd name="T127" fmla="*/ 2762 h 2691"/>
                              <a:gd name="T128" fmla="+- 0 6745 4100"/>
                              <a:gd name="T129" fmla="*/ T128 w 2691"/>
                              <a:gd name="T130" fmla="+- 0 2621 928"/>
                              <a:gd name="T131" fmla="*/ 2621 h 2691"/>
                              <a:gd name="T132" fmla="+- 0 6775 4100"/>
                              <a:gd name="T133" fmla="*/ T132 w 2691"/>
                              <a:gd name="T134" fmla="+- 0 2479 928"/>
                              <a:gd name="T135" fmla="*/ 2479 h 2691"/>
                              <a:gd name="T136" fmla="+- 0 6789 4100"/>
                              <a:gd name="T137" fmla="*/ T136 w 2691"/>
                              <a:gd name="T138" fmla="+- 0 2336 928"/>
                              <a:gd name="T139" fmla="*/ 2336 h 2691"/>
                              <a:gd name="T140" fmla="+- 0 6788 4100"/>
                              <a:gd name="T141" fmla="*/ T140 w 2691"/>
                              <a:gd name="T142" fmla="+- 0 2193 928"/>
                              <a:gd name="T143" fmla="*/ 2193 h 2691"/>
                              <a:gd name="T144" fmla="+- 0 6772 4100"/>
                              <a:gd name="T145" fmla="*/ T144 w 2691"/>
                              <a:gd name="T146" fmla="+- 0 2051 928"/>
                              <a:gd name="T147" fmla="*/ 2051 h 2691"/>
                              <a:gd name="T148" fmla="+- 0 6741 4100"/>
                              <a:gd name="T149" fmla="*/ T148 w 2691"/>
                              <a:gd name="T150" fmla="+- 0 1912 928"/>
                              <a:gd name="T151" fmla="*/ 1912 h 2691"/>
                              <a:gd name="T152" fmla="+- 0 6695 4100"/>
                              <a:gd name="T153" fmla="*/ T152 w 2691"/>
                              <a:gd name="T154" fmla="+- 0 1777 928"/>
                              <a:gd name="T155" fmla="*/ 1777 h 2691"/>
                              <a:gd name="T156" fmla="+- 0 6636 4100"/>
                              <a:gd name="T157" fmla="*/ T156 w 2691"/>
                              <a:gd name="T158" fmla="+- 0 1647 928"/>
                              <a:gd name="T159" fmla="*/ 1647 h 2691"/>
                              <a:gd name="T160" fmla="+- 0 6563 4100"/>
                              <a:gd name="T161" fmla="*/ T160 w 2691"/>
                              <a:gd name="T162" fmla="+- 0 1523 928"/>
                              <a:gd name="T163" fmla="*/ 1523 h 2691"/>
                              <a:gd name="T164" fmla="+- 0 6476 4100"/>
                              <a:gd name="T165" fmla="*/ T164 w 2691"/>
                              <a:gd name="T166" fmla="+- 0 1408 928"/>
                              <a:gd name="T167" fmla="*/ 1408 h 2691"/>
                              <a:gd name="T168" fmla="+- 0 6375 4100"/>
                              <a:gd name="T169" fmla="*/ T168 w 2691"/>
                              <a:gd name="T170" fmla="+- 0 1301 928"/>
                              <a:gd name="T171" fmla="*/ 1301 h 2691"/>
                              <a:gd name="T172" fmla="+- 0 6262 4100"/>
                              <a:gd name="T173" fmla="*/ T172 w 2691"/>
                              <a:gd name="T174" fmla="+- 0 1204 928"/>
                              <a:gd name="T175" fmla="*/ 1204 h 2691"/>
                              <a:gd name="T176" fmla="+- 0 6137 4100"/>
                              <a:gd name="T177" fmla="*/ T176 w 2691"/>
                              <a:gd name="T178" fmla="+- 0 1119 928"/>
                              <a:gd name="T179" fmla="*/ 1119 h 2691"/>
                              <a:gd name="T180" fmla="+- 0 5993 4100"/>
                              <a:gd name="T181" fmla="*/ T180 w 2691"/>
                              <a:gd name="T182" fmla="+- 0 1044 928"/>
                              <a:gd name="T183" fmla="*/ 1044 h 2691"/>
                              <a:gd name="T184" fmla="+- 0 5843 4100"/>
                              <a:gd name="T185" fmla="*/ T184 w 2691"/>
                              <a:gd name="T186" fmla="+- 0 988 928"/>
                              <a:gd name="T187" fmla="*/ 988 h 2691"/>
                              <a:gd name="T188" fmla="+- 0 5686 4100"/>
                              <a:gd name="T189" fmla="*/ T188 w 2691"/>
                              <a:gd name="T190" fmla="+- 0 949 928"/>
                              <a:gd name="T191" fmla="*/ 949 h 2691"/>
                              <a:gd name="T192" fmla="+- 0 5526 4100"/>
                              <a:gd name="T193" fmla="*/ T192 w 2691"/>
                              <a:gd name="T194" fmla="+- 0 930 928"/>
                              <a:gd name="T195" fmla="*/ 930 h 26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2691" h="2691">
                                <a:moveTo>
                                  <a:pt x="1345" y="0"/>
                                </a:moveTo>
                                <a:lnTo>
                                  <a:pt x="1345" y="1345"/>
                                </a:lnTo>
                                <a:lnTo>
                                  <a:pt x="191" y="653"/>
                                </a:lnTo>
                                <a:lnTo>
                                  <a:pt x="154" y="719"/>
                                </a:lnTo>
                                <a:lnTo>
                                  <a:pt x="121" y="787"/>
                                </a:lnTo>
                                <a:lnTo>
                                  <a:pt x="92" y="856"/>
                                </a:lnTo>
                                <a:lnTo>
                                  <a:pt x="67" y="926"/>
                                </a:lnTo>
                                <a:lnTo>
                                  <a:pt x="45" y="996"/>
                                </a:lnTo>
                                <a:lnTo>
                                  <a:pt x="28" y="1067"/>
                                </a:lnTo>
                                <a:lnTo>
                                  <a:pt x="15" y="1138"/>
                                </a:lnTo>
                                <a:lnTo>
                                  <a:pt x="6" y="1210"/>
                                </a:lnTo>
                                <a:lnTo>
                                  <a:pt x="1" y="1282"/>
                                </a:lnTo>
                                <a:lnTo>
                                  <a:pt x="0" y="1353"/>
                                </a:lnTo>
                                <a:lnTo>
                                  <a:pt x="2" y="1425"/>
                                </a:lnTo>
                                <a:lnTo>
                                  <a:pt x="8" y="1496"/>
                                </a:lnTo>
                                <a:lnTo>
                                  <a:pt x="18" y="1567"/>
                                </a:lnTo>
                                <a:lnTo>
                                  <a:pt x="32" y="1637"/>
                                </a:lnTo>
                                <a:lnTo>
                                  <a:pt x="49" y="1706"/>
                                </a:lnTo>
                                <a:lnTo>
                                  <a:pt x="70" y="1774"/>
                                </a:lnTo>
                                <a:lnTo>
                                  <a:pt x="95" y="1841"/>
                                </a:lnTo>
                                <a:lnTo>
                                  <a:pt x="123" y="1906"/>
                                </a:lnTo>
                                <a:lnTo>
                                  <a:pt x="154" y="1971"/>
                                </a:lnTo>
                                <a:lnTo>
                                  <a:pt x="189" y="2033"/>
                                </a:lnTo>
                                <a:lnTo>
                                  <a:pt x="227" y="2094"/>
                                </a:lnTo>
                                <a:lnTo>
                                  <a:pt x="269" y="2153"/>
                                </a:lnTo>
                                <a:lnTo>
                                  <a:pt x="314" y="2210"/>
                                </a:lnTo>
                                <a:lnTo>
                                  <a:pt x="363" y="2264"/>
                                </a:lnTo>
                                <a:lnTo>
                                  <a:pt x="415" y="2317"/>
                                </a:lnTo>
                                <a:lnTo>
                                  <a:pt x="469" y="2366"/>
                                </a:lnTo>
                                <a:lnTo>
                                  <a:pt x="528" y="2413"/>
                                </a:lnTo>
                                <a:lnTo>
                                  <a:pt x="589" y="2457"/>
                                </a:lnTo>
                                <a:lnTo>
                                  <a:pt x="653" y="2498"/>
                                </a:lnTo>
                                <a:lnTo>
                                  <a:pt x="720" y="2536"/>
                                </a:lnTo>
                                <a:lnTo>
                                  <a:pt x="787" y="2569"/>
                                </a:lnTo>
                                <a:lnTo>
                                  <a:pt x="856" y="2598"/>
                                </a:lnTo>
                                <a:lnTo>
                                  <a:pt x="926" y="2623"/>
                                </a:lnTo>
                                <a:lnTo>
                                  <a:pt x="996" y="2644"/>
                                </a:lnTo>
                                <a:lnTo>
                                  <a:pt x="1067" y="2661"/>
                                </a:lnTo>
                                <a:lnTo>
                                  <a:pt x="1139" y="2674"/>
                                </a:lnTo>
                                <a:lnTo>
                                  <a:pt x="1210" y="2683"/>
                                </a:lnTo>
                                <a:lnTo>
                                  <a:pt x="1282" y="2689"/>
                                </a:lnTo>
                                <a:lnTo>
                                  <a:pt x="1354" y="2690"/>
                                </a:lnTo>
                                <a:lnTo>
                                  <a:pt x="1425" y="2688"/>
                                </a:lnTo>
                                <a:lnTo>
                                  <a:pt x="1496" y="2681"/>
                                </a:lnTo>
                                <a:lnTo>
                                  <a:pt x="1567" y="2672"/>
                                </a:lnTo>
                                <a:lnTo>
                                  <a:pt x="1637" y="2658"/>
                                </a:lnTo>
                                <a:lnTo>
                                  <a:pt x="1706" y="2641"/>
                                </a:lnTo>
                                <a:lnTo>
                                  <a:pt x="1774" y="2620"/>
                                </a:lnTo>
                                <a:lnTo>
                                  <a:pt x="1841" y="2595"/>
                                </a:lnTo>
                                <a:lnTo>
                                  <a:pt x="1907" y="2567"/>
                                </a:lnTo>
                                <a:lnTo>
                                  <a:pt x="1971" y="2536"/>
                                </a:lnTo>
                                <a:lnTo>
                                  <a:pt x="2033" y="2501"/>
                                </a:lnTo>
                                <a:lnTo>
                                  <a:pt x="2094" y="2462"/>
                                </a:lnTo>
                                <a:lnTo>
                                  <a:pt x="2153" y="2421"/>
                                </a:lnTo>
                                <a:lnTo>
                                  <a:pt x="2210" y="2375"/>
                                </a:lnTo>
                                <a:lnTo>
                                  <a:pt x="2265" y="2327"/>
                                </a:lnTo>
                                <a:lnTo>
                                  <a:pt x="2317" y="2275"/>
                                </a:lnTo>
                                <a:lnTo>
                                  <a:pt x="2366" y="2220"/>
                                </a:lnTo>
                                <a:lnTo>
                                  <a:pt x="2413" y="2162"/>
                                </a:lnTo>
                                <a:lnTo>
                                  <a:pt x="2458" y="2101"/>
                                </a:lnTo>
                                <a:lnTo>
                                  <a:pt x="2499" y="2037"/>
                                </a:lnTo>
                                <a:lnTo>
                                  <a:pt x="2536" y="1970"/>
                                </a:lnTo>
                                <a:lnTo>
                                  <a:pt x="2569" y="1902"/>
                                </a:lnTo>
                                <a:lnTo>
                                  <a:pt x="2598" y="1834"/>
                                </a:lnTo>
                                <a:lnTo>
                                  <a:pt x="2623" y="1764"/>
                                </a:lnTo>
                                <a:lnTo>
                                  <a:pt x="2645" y="1693"/>
                                </a:lnTo>
                                <a:lnTo>
                                  <a:pt x="2662" y="1623"/>
                                </a:lnTo>
                                <a:lnTo>
                                  <a:pt x="2675" y="1551"/>
                                </a:lnTo>
                                <a:lnTo>
                                  <a:pt x="2684" y="1479"/>
                                </a:lnTo>
                                <a:lnTo>
                                  <a:pt x="2689" y="1408"/>
                                </a:lnTo>
                                <a:lnTo>
                                  <a:pt x="2690" y="1336"/>
                                </a:lnTo>
                                <a:lnTo>
                                  <a:pt x="2688" y="1265"/>
                                </a:lnTo>
                                <a:lnTo>
                                  <a:pt x="2682" y="1193"/>
                                </a:lnTo>
                                <a:lnTo>
                                  <a:pt x="2672" y="1123"/>
                                </a:lnTo>
                                <a:lnTo>
                                  <a:pt x="2658" y="1053"/>
                                </a:lnTo>
                                <a:lnTo>
                                  <a:pt x="2641" y="984"/>
                                </a:lnTo>
                                <a:lnTo>
                                  <a:pt x="2620" y="916"/>
                                </a:lnTo>
                                <a:lnTo>
                                  <a:pt x="2595" y="849"/>
                                </a:lnTo>
                                <a:lnTo>
                                  <a:pt x="2567" y="783"/>
                                </a:lnTo>
                                <a:lnTo>
                                  <a:pt x="2536" y="719"/>
                                </a:lnTo>
                                <a:lnTo>
                                  <a:pt x="2501" y="656"/>
                                </a:lnTo>
                                <a:lnTo>
                                  <a:pt x="2463" y="595"/>
                                </a:lnTo>
                                <a:lnTo>
                                  <a:pt x="2421" y="537"/>
                                </a:lnTo>
                                <a:lnTo>
                                  <a:pt x="2376" y="480"/>
                                </a:lnTo>
                                <a:lnTo>
                                  <a:pt x="2327" y="425"/>
                                </a:lnTo>
                                <a:lnTo>
                                  <a:pt x="2275" y="373"/>
                                </a:lnTo>
                                <a:lnTo>
                                  <a:pt x="2221" y="323"/>
                                </a:lnTo>
                                <a:lnTo>
                                  <a:pt x="2162" y="276"/>
                                </a:lnTo>
                                <a:lnTo>
                                  <a:pt x="2101" y="232"/>
                                </a:lnTo>
                                <a:lnTo>
                                  <a:pt x="2037" y="191"/>
                                </a:lnTo>
                                <a:lnTo>
                                  <a:pt x="1966" y="152"/>
                                </a:lnTo>
                                <a:lnTo>
                                  <a:pt x="1893" y="116"/>
                                </a:lnTo>
                                <a:lnTo>
                                  <a:pt x="1819" y="86"/>
                                </a:lnTo>
                                <a:lnTo>
                                  <a:pt x="1743" y="60"/>
                                </a:lnTo>
                                <a:lnTo>
                                  <a:pt x="1665" y="38"/>
                                </a:lnTo>
                                <a:lnTo>
                                  <a:pt x="1586" y="21"/>
                                </a:lnTo>
                                <a:lnTo>
                                  <a:pt x="1507" y="9"/>
                                </a:lnTo>
                                <a:lnTo>
                                  <a:pt x="1426" y="2"/>
                                </a:lnTo>
                                <a:lnTo>
                                  <a:pt x="1345" y="0"/>
                                </a:lnTo>
                                <a:close/>
                              </a:path>
                            </a:pathLst>
                          </a:custGeom>
                          <a:solidFill>
                            <a:srgbClr val="5B9BD4"/>
                          </a:solidFill>
                          <a:ln>
                            <a:noFill/>
                          </a:ln>
                        </wps:spPr>
                        <wps:bodyPr rot="0" vert="horz" wrap="square" lIns="91440" tIns="45720" rIns="91440" bIns="45720" anchor="t" anchorCtr="0" upright="1">
                          <a:noAutofit/>
                        </wps:bodyPr>
                      </wps:wsp>
                      <wps:wsp>
                        <wps:cNvPr id="5" name="docshape19"/>
                        <wps:cNvSpPr/>
                        <wps:spPr bwMode="auto">
                          <a:xfrm>
                            <a:off x="4291" y="927"/>
                            <a:ext cx="1154" cy="1346"/>
                          </a:xfrm>
                          <a:custGeom>
                            <a:avLst/>
                            <a:gdLst>
                              <a:gd name="T0" fmla="+- 0 5445 4291"/>
                              <a:gd name="T1" fmla="*/ T0 w 1154"/>
                              <a:gd name="T2" fmla="+- 0 928 928"/>
                              <a:gd name="T3" fmla="*/ 928 h 1346"/>
                              <a:gd name="T4" fmla="+- 0 5367 4291"/>
                              <a:gd name="T5" fmla="*/ T4 w 1154"/>
                              <a:gd name="T6" fmla="+- 0 930 928"/>
                              <a:gd name="T7" fmla="*/ 930 h 1346"/>
                              <a:gd name="T8" fmla="+- 0 5289 4291"/>
                              <a:gd name="T9" fmla="*/ T8 w 1154"/>
                              <a:gd name="T10" fmla="+- 0 937 928"/>
                              <a:gd name="T11" fmla="*/ 937 h 1346"/>
                              <a:gd name="T12" fmla="+- 0 5212 4291"/>
                              <a:gd name="T13" fmla="*/ T12 w 1154"/>
                              <a:gd name="T14" fmla="+- 0 948 928"/>
                              <a:gd name="T15" fmla="*/ 948 h 1346"/>
                              <a:gd name="T16" fmla="+- 0 5137 4291"/>
                              <a:gd name="T17" fmla="*/ T16 w 1154"/>
                              <a:gd name="T18" fmla="+- 0 963 928"/>
                              <a:gd name="T19" fmla="*/ 963 h 1346"/>
                              <a:gd name="T20" fmla="+- 0 5063 4291"/>
                              <a:gd name="T21" fmla="*/ T20 w 1154"/>
                              <a:gd name="T22" fmla="+- 0 983 928"/>
                              <a:gd name="T23" fmla="*/ 983 h 1346"/>
                              <a:gd name="T24" fmla="+- 0 4990 4291"/>
                              <a:gd name="T25" fmla="*/ T24 w 1154"/>
                              <a:gd name="T26" fmla="+- 0 1007 928"/>
                              <a:gd name="T27" fmla="*/ 1007 h 1346"/>
                              <a:gd name="T28" fmla="+- 0 4919 4291"/>
                              <a:gd name="T29" fmla="*/ T28 w 1154"/>
                              <a:gd name="T30" fmla="+- 0 1035 928"/>
                              <a:gd name="T31" fmla="*/ 1035 h 1346"/>
                              <a:gd name="T32" fmla="+- 0 4849 4291"/>
                              <a:gd name="T33" fmla="*/ T32 w 1154"/>
                              <a:gd name="T34" fmla="+- 0 1067 928"/>
                              <a:gd name="T35" fmla="*/ 1067 h 1346"/>
                              <a:gd name="T36" fmla="+- 0 4782 4291"/>
                              <a:gd name="T37" fmla="*/ T36 w 1154"/>
                              <a:gd name="T38" fmla="+- 0 1102 928"/>
                              <a:gd name="T39" fmla="*/ 1102 h 1346"/>
                              <a:gd name="T40" fmla="+- 0 4717 4291"/>
                              <a:gd name="T41" fmla="*/ T40 w 1154"/>
                              <a:gd name="T42" fmla="+- 0 1142 928"/>
                              <a:gd name="T43" fmla="*/ 1142 h 1346"/>
                              <a:gd name="T44" fmla="+- 0 4654 4291"/>
                              <a:gd name="T45" fmla="*/ T44 w 1154"/>
                              <a:gd name="T46" fmla="+- 0 1185 928"/>
                              <a:gd name="T47" fmla="*/ 1185 h 1346"/>
                              <a:gd name="T48" fmla="+- 0 4593 4291"/>
                              <a:gd name="T49" fmla="*/ T48 w 1154"/>
                              <a:gd name="T50" fmla="+- 0 1231 928"/>
                              <a:gd name="T51" fmla="*/ 1231 h 1346"/>
                              <a:gd name="T52" fmla="+- 0 4536 4291"/>
                              <a:gd name="T53" fmla="*/ T52 w 1154"/>
                              <a:gd name="T54" fmla="+- 0 1281 928"/>
                              <a:gd name="T55" fmla="*/ 1281 h 1346"/>
                              <a:gd name="T56" fmla="+- 0 4481 4291"/>
                              <a:gd name="T57" fmla="*/ T56 w 1154"/>
                              <a:gd name="T58" fmla="+- 0 1335 928"/>
                              <a:gd name="T59" fmla="*/ 1335 h 1346"/>
                              <a:gd name="T60" fmla="+- 0 4428 4291"/>
                              <a:gd name="T61" fmla="*/ T60 w 1154"/>
                              <a:gd name="T62" fmla="+- 0 1392 928"/>
                              <a:gd name="T63" fmla="*/ 1392 h 1346"/>
                              <a:gd name="T64" fmla="+- 0 4379 4291"/>
                              <a:gd name="T65" fmla="*/ T64 w 1154"/>
                              <a:gd name="T66" fmla="+- 0 1452 928"/>
                              <a:gd name="T67" fmla="*/ 1452 h 1346"/>
                              <a:gd name="T68" fmla="+- 0 4334 4291"/>
                              <a:gd name="T69" fmla="*/ T68 w 1154"/>
                              <a:gd name="T70" fmla="+- 0 1515 928"/>
                              <a:gd name="T71" fmla="*/ 1515 h 1346"/>
                              <a:gd name="T72" fmla="+- 0 4291 4291"/>
                              <a:gd name="T73" fmla="*/ T72 w 1154"/>
                              <a:gd name="T74" fmla="+- 0 1581 928"/>
                              <a:gd name="T75" fmla="*/ 1581 h 1346"/>
                              <a:gd name="T76" fmla="+- 0 5445 4291"/>
                              <a:gd name="T77" fmla="*/ T76 w 1154"/>
                              <a:gd name="T78" fmla="+- 0 2273 928"/>
                              <a:gd name="T79" fmla="*/ 2273 h 1346"/>
                              <a:gd name="T80" fmla="+- 0 5445 4291"/>
                              <a:gd name="T81" fmla="*/ T80 w 1154"/>
                              <a:gd name="T82" fmla="+- 0 928 928"/>
                              <a:gd name="T83" fmla="*/ 928 h 13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154" h="1346">
                                <a:moveTo>
                                  <a:pt x="1154" y="0"/>
                                </a:moveTo>
                                <a:lnTo>
                                  <a:pt x="1076" y="2"/>
                                </a:lnTo>
                                <a:lnTo>
                                  <a:pt x="998" y="9"/>
                                </a:lnTo>
                                <a:lnTo>
                                  <a:pt x="921" y="20"/>
                                </a:lnTo>
                                <a:lnTo>
                                  <a:pt x="846" y="35"/>
                                </a:lnTo>
                                <a:lnTo>
                                  <a:pt x="772" y="55"/>
                                </a:lnTo>
                                <a:lnTo>
                                  <a:pt x="699" y="79"/>
                                </a:lnTo>
                                <a:lnTo>
                                  <a:pt x="628" y="107"/>
                                </a:lnTo>
                                <a:lnTo>
                                  <a:pt x="558" y="139"/>
                                </a:lnTo>
                                <a:lnTo>
                                  <a:pt x="491" y="174"/>
                                </a:lnTo>
                                <a:lnTo>
                                  <a:pt x="426" y="214"/>
                                </a:lnTo>
                                <a:lnTo>
                                  <a:pt x="363" y="257"/>
                                </a:lnTo>
                                <a:lnTo>
                                  <a:pt x="302" y="303"/>
                                </a:lnTo>
                                <a:lnTo>
                                  <a:pt x="245" y="353"/>
                                </a:lnTo>
                                <a:lnTo>
                                  <a:pt x="190" y="407"/>
                                </a:lnTo>
                                <a:lnTo>
                                  <a:pt x="137" y="464"/>
                                </a:lnTo>
                                <a:lnTo>
                                  <a:pt x="88" y="524"/>
                                </a:lnTo>
                                <a:lnTo>
                                  <a:pt x="43" y="587"/>
                                </a:lnTo>
                                <a:lnTo>
                                  <a:pt x="0" y="653"/>
                                </a:lnTo>
                                <a:lnTo>
                                  <a:pt x="1154" y="1345"/>
                                </a:lnTo>
                                <a:lnTo>
                                  <a:pt x="1154" y="0"/>
                                </a:lnTo>
                                <a:close/>
                              </a:path>
                            </a:pathLst>
                          </a:custGeom>
                          <a:solidFill>
                            <a:srgbClr val="EC7C30"/>
                          </a:solidFill>
                          <a:ln>
                            <a:noFill/>
                          </a:ln>
                        </wps:spPr>
                        <wps:bodyPr rot="0" vert="horz" wrap="square" lIns="91440" tIns="45720" rIns="91440" bIns="45720" anchor="t" anchorCtr="0" upright="1">
                          <a:noAutofit/>
                        </wps:bodyPr>
                      </wps:wsp>
                      <wps:wsp>
                        <wps:cNvPr id="6" name="docshape20"/>
                        <wps:cNvSpPr>
                          <a:spLocks noChangeArrowheads="1"/>
                        </wps:cNvSpPr>
                        <wps:spPr bwMode="auto">
                          <a:xfrm>
                            <a:off x="3763" y="4180"/>
                            <a:ext cx="99" cy="101"/>
                          </a:xfrm>
                          <a:prstGeom prst="rect">
                            <a:avLst/>
                          </a:prstGeom>
                          <a:solidFill>
                            <a:srgbClr val="5B9BD4"/>
                          </a:solidFill>
                          <a:ln>
                            <a:noFill/>
                          </a:ln>
                        </wps:spPr>
                        <wps:bodyPr rot="0" vert="horz" wrap="square" lIns="91440" tIns="45720" rIns="91440" bIns="45720" anchor="t" anchorCtr="0" upright="1">
                          <a:noAutofit/>
                        </wps:bodyPr>
                      </wps:wsp>
                      <wps:wsp>
                        <wps:cNvPr id="7" name="docshape21"/>
                        <wps:cNvSpPr>
                          <a:spLocks noChangeArrowheads="1"/>
                        </wps:cNvSpPr>
                        <wps:spPr bwMode="auto">
                          <a:xfrm>
                            <a:off x="6338" y="4180"/>
                            <a:ext cx="99" cy="101"/>
                          </a:xfrm>
                          <a:prstGeom prst="rect">
                            <a:avLst/>
                          </a:prstGeom>
                          <a:solidFill>
                            <a:srgbClr val="EC7C30"/>
                          </a:solidFill>
                          <a:ln>
                            <a:noFill/>
                          </a:ln>
                        </wps:spPr>
                        <wps:bodyPr rot="0" vert="horz" wrap="square" lIns="91440" tIns="45720" rIns="91440" bIns="45720" anchor="t" anchorCtr="0" upright="1">
                          <a:noAutofit/>
                        </wps:bodyPr>
                      </wps:wsp>
                      <wps:wsp>
                        <wps:cNvPr id="8" name="docshape22"/>
                        <wps:cNvSpPr>
                          <a:spLocks noChangeArrowheads="1"/>
                        </wps:cNvSpPr>
                        <wps:spPr bwMode="auto">
                          <a:xfrm>
                            <a:off x="1800" y="484"/>
                            <a:ext cx="7290" cy="4035"/>
                          </a:xfrm>
                          <a:prstGeom prst="rect">
                            <a:avLst/>
                          </a:prstGeom>
                          <a:noFill/>
                          <a:ln w="9525">
                            <a:solidFill>
                              <a:srgbClr val="D9D9D9"/>
                            </a:solidFill>
                            <a:miter lim="800000"/>
                          </a:ln>
                        </wps:spPr>
                        <wps:bodyPr rot="0" vert="horz" wrap="square" lIns="91440" tIns="45720" rIns="91440" bIns="45720" anchor="t" anchorCtr="0" upright="1">
                          <a:noAutofit/>
                        </wps:bodyPr>
                      </wps:wsp>
                      <wps:wsp>
                        <wps:cNvPr id="9" name="docshape23"/>
                        <wps:cNvSpPr txBox="1">
                          <a:spLocks noChangeArrowheads="1"/>
                        </wps:cNvSpPr>
                        <wps:spPr bwMode="auto">
                          <a:xfrm>
                            <a:off x="4503" y="1317"/>
                            <a:ext cx="890" cy="328"/>
                          </a:xfrm>
                          <a:prstGeom prst="rect">
                            <a:avLst/>
                          </a:prstGeom>
                          <a:noFill/>
                          <a:ln>
                            <a:noFill/>
                          </a:ln>
                        </wps:spPr>
                        <wps:txbx>
                          <w:txbxContent>
                            <w:p>
                              <w:pPr>
                                <w:spacing w:line="159" w:lineRule="exact"/>
                                <w:ind w:right="17" w:firstLine="265"/>
                                <w:jc w:val="center"/>
                                <w:rPr>
                                  <w:rFonts w:ascii="Calibri" w:eastAsia="Calibri"/>
                                  <w:sz w:val="14"/>
                                </w:rPr>
                              </w:pPr>
                              <w:r>
                                <w:rPr>
                                  <w:color w:val="404040"/>
                                  <w:w w:val="95"/>
                                  <w:sz w:val="14"/>
                                </w:rPr>
                                <w:t>其他收入</w:t>
                              </w:r>
                              <w:r>
                                <w:rPr>
                                  <w:rFonts w:ascii="Calibri" w:eastAsia="Calibri"/>
                                  <w:color w:val="404040"/>
                                  <w:w w:val="95"/>
                                  <w:sz w:val="14"/>
                                </w:rPr>
                                <w:t>,</w:t>
                              </w:r>
                            </w:p>
                            <w:p>
                              <w:pPr>
                                <w:spacing w:line="168" w:lineRule="exact"/>
                                <w:ind w:right="18" w:firstLine="276"/>
                                <w:jc w:val="center"/>
                                <w:rPr>
                                  <w:rFonts w:ascii="Calibri"/>
                                  <w:sz w:val="14"/>
                                </w:rPr>
                              </w:pPr>
                              <w:r>
                                <w:rPr>
                                  <w:rFonts w:ascii="Calibri"/>
                                  <w:color w:val="404040"/>
                                  <w:spacing w:val="-1"/>
                                  <w:sz w:val="14"/>
                                </w:rPr>
                                <w:t>255.81,</w:t>
                              </w:r>
                              <w:r>
                                <w:rPr>
                                  <w:rFonts w:ascii="Calibri"/>
                                  <w:color w:val="404040"/>
                                  <w:spacing w:val="-6"/>
                                  <w:sz w:val="14"/>
                                </w:rPr>
                                <w:t xml:space="preserve"> </w:t>
                              </w:r>
                              <w:r>
                                <w:rPr>
                                  <w:rFonts w:ascii="Calibri"/>
                                  <w:color w:val="404040"/>
                                  <w:spacing w:val="-1"/>
                                  <w:sz w:val="14"/>
                                </w:rPr>
                                <w:t>16.41%</w:t>
                              </w:r>
                            </w:p>
                          </w:txbxContent>
                        </wps:txbx>
                        <wps:bodyPr rot="0" vert="horz" wrap="square" lIns="0" tIns="0" rIns="0" bIns="0" anchor="t" anchorCtr="0" upright="1">
                          <a:noAutofit/>
                        </wps:bodyPr>
                      </wps:wsp>
                      <wps:wsp>
                        <wps:cNvPr id="10" name="docshape24"/>
                        <wps:cNvSpPr txBox="1">
                          <a:spLocks noChangeArrowheads="1"/>
                        </wps:cNvSpPr>
                        <wps:spPr bwMode="auto">
                          <a:xfrm>
                            <a:off x="5584" y="2546"/>
                            <a:ext cx="1273" cy="511"/>
                          </a:xfrm>
                          <a:prstGeom prst="rect">
                            <a:avLst/>
                          </a:prstGeom>
                          <a:noFill/>
                          <a:ln>
                            <a:noFill/>
                          </a:ln>
                        </wps:spPr>
                        <wps:txbx>
                          <w:txbxContent>
                            <w:p>
                              <w:pPr>
                                <w:spacing w:line="159" w:lineRule="exact"/>
                                <w:ind w:left="9" w:right="27" w:firstLine="265"/>
                                <w:jc w:val="center"/>
                                <w:rPr>
                                  <w:sz w:val="14"/>
                                </w:rPr>
                              </w:pPr>
                              <w:r>
                                <w:rPr>
                                  <w:color w:val="404040"/>
                                  <w:w w:val="95"/>
                                  <w:sz w:val="14"/>
                                </w:rPr>
                                <w:t>一般公共预算财政拨</w:t>
                              </w:r>
                            </w:p>
                            <w:p>
                              <w:pPr>
                                <w:spacing w:before="3"/>
                                <w:ind w:left="8" w:right="27" w:firstLine="280"/>
                                <w:jc w:val="center"/>
                                <w:rPr>
                                  <w:rFonts w:ascii="Calibri" w:eastAsia="Calibri"/>
                                  <w:sz w:val="14"/>
                                </w:rPr>
                              </w:pPr>
                              <w:r>
                                <w:rPr>
                                  <w:color w:val="404040"/>
                                  <w:sz w:val="14"/>
                                </w:rPr>
                                <w:t>款收入</w:t>
                              </w:r>
                              <w:r>
                                <w:rPr>
                                  <w:rFonts w:ascii="Calibri" w:eastAsia="Calibri"/>
                                  <w:color w:val="404040"/>
                                  <w:spacing w:val="-4"/>
                                  <w:sz w:val="14"/>
                                </w:rPr>
                                <w:t xml:space="preserve">, </w:t>
                              </w:r>
                              <w:r>
                                <w:rPr>
                                  <w:rFonts w:ascii="Calibri" w:eastAsia="Calibri"/>
                                  <w:color w:val="404040"/>
                                  <w:sz w:val="14"/>
                                </w:rPr>
                                <w:t>1303.8,</w:t>
                              </w:r>
                            </w:p>
                            <w:p>
                              <w:pPr>
                                <w:spacing w:line="168" w:lineRule="exact"/>
                                <w:ind w:left="9" w:right="25" w:firstLine="280"/>
                                <w:jc w:val="center"/>
                                <w:rPr>
                                  <w:rFonts w:ascii="Calibri"/>
                                  <w:sz w:val="14"/>
                                </w:rPr>
                              </w:pPr>
                              <w:r>
                                <w:rPr>
                                  <w:rFonts w:ascii="Calibri"/>
                                  <w:color w:val="404040"/>
                                  <w:sz w:val="14"/>
                                </w:rPr>
                                <w:t>83.59%</w:t>
                              </w:r>
                            </w:p>
                          </w:txbxContent>
                        </wps:txbx>
                        <wps:bodyPr rot="0" vert="horz" wrap="square" lIns="0" tIns="0" rIns="0" bIns="0" anchor="t" anchorCtr="0" upright="1">
                          <a:noAutofit/>
                        </wps:bodyPr>
                      </wps:wsp>
                      <wps:wsp>
                        <wps:cNvPr id="11" name="docshape25"/>
                        <wps:cNvSpPr txBox="1">
                          <a:spLocks noChangeArrowheads="1"/>
                        </wps:cNvSpPr>
                        <wps:spPr bwMode="auto">
                          <a:xfrm>
                            <a:off x="3904" y="4132"/>
                            <a:ext cx="2180" cy="180"/>
                          </a:xfrm>
                          <a:prstGeom prst="rect">
                            <a:avLst/>
                          </a:prstGeom>
                          <a:noFill/>
                          <a:ln>
                            <a:noFill/>
                          </a:ln>
                        </wps:spPr>
                        <wps:txbx>
                          <w:txbxContent>
                            <w:p>
                              <w:pPr>
                                <w:spacing w:line="180" w:lineRule="exact"/>
                                <w:ind w:firstLine="360"/>
                                <w:rPr>
                                  <w:sz w:val="18"/>
                                </w:rPr>
                              </w:pPr>
                              <w:r>
                                <w:rPr>
                                  <w:color w:val="585858"/>
                                  <w:sz w:val="18"/>
                                </w:rPr>
                                <w:t>一般公共预算财政拨款收入</w:t>
                              </w:r>
                            </w:p>
                          </w:txbxContent>
                        </wps:txbx>
                        <wps:bodyPr rot="0" vert="horz" wrap="square" lIns="0" tIns="0" rIns="0" bIns="0" anchor="t" anchorCtr="0" upright="1">
                          <a:noAutofit/>
                        </wps:bodyPr>
                      </wps:wsp>
                      <wps:wsp>
                        <wps:cNvPr id="12" name="docshape26"/>
                        <wps:cNvSpPr txBox="1">
                          <a:spLocks noChangeArrowheads="1"/>
                        </wps:cNvSpPr>
                        <wps:spPr bwMode="auto">
                          <a:xfrm>
                            <a:off x="6480" y="4132"/>
                            <a:ext cx="742" cy="180"/>
                          </a:xfrm>
                          <a:prstGeom prst="rect">
                            <a:avLst/>
                          </a:prstGeom>
                          <a:noFill/>
                          <a:ln>
                            <a:noFill/>
                          </a:ln>
                        </wps:spPr>
                        <wps:txbx>
                          <w:txbxContent>
                            <w:p>
                              <w:pPr>
                                <w:spacing w:line="180" w:lineRule="exact"/>
                                <w:ind w:firstLine="360"/>
                                <w:rPr>
                                  <w:sz w:val="18"/>
                                </w:rPr>
                              </w:pPr>
                              <w:r>
                                <w:rPr>
                                  <w:color w:val="585858"/>
                                  <w:sz w:val="18"/>
                                </w:rPr>
                                <w:t>其他收入</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114.2pt;margin-top:66.75pt;height:186.2pt;width:373.8pt;mso-position-horizontal-relative:page;mso-wrap-distance-bottom:0pt;mso-wrap-distance-top:0pt;z-index:-251656192;mso-width-relative:page;mso-height-relative:page;" coordorigin="1800,484" coordsize="7290,4035" o:gfxdata="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">
                <o:lock v:ext="edit" aspectratio="f"/>
                <v:rect id="docshape17" o:spid="_x0000_s1026" o:spt="1" style="position:absolute;left:1800;top:484;height:4035;width:7289;" fillcolor="#CCE8CF" filled="t" stroked="f" coordsize="21600,21600" o:gfxdata="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LeTN6twAAANoAAAAP&#10;AAAAAAAAAAEAIAAAACIAAABkcnMvZG93bnJldi54bWxQSwECFAAUAAAACACHTuJAMy8FnjsAAAA5&#10;AAAAEAAAAAAAAAABACAAAAAGAQAAZHJzL3NoYXBleG1sLnhtbFBLBQYAAAAABgAGAFsBAACwAwAA&#10;AAA=&#10;">
                  <v:fill on="t" focussize="0,0"/>
                  <v:stroke on="f"/>
                  <v:imagedata o:title=""/>
                  <o:lock v:ext="edit" aspectratio="f"/>
                </v:rect>
                <v:shape id="docshape18" o:spid="_x0000_s1026" o:spt="100" style="position:absolute;left:4099;top:927;height:2691;width:2691;" fillcolor="#5B9BD4" filled="t" stroked="f" coordsize="2691,2691" o:gfxdata="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yzHG8AAAA&#10;2gAAAA8AAAAAAAAAAQAgAAAAIgAAAGRycy9kb3ducmV2LnhtbFBLAQIUABQAAAAIAIdO4kAzLwWe&#10;OwAAADkAAAAQAAAAAAAAAAEAIAAAAAsBAABkcnMvc2hhcGV4bWwueG1sUEsFBgAAAAAGAAYAWwEA&#10;ALUDAAAAAA==&#10;" path="m1345,0l1345,1345,191,653,154,719,121,787,92,856,67,926,45,996,28,1067,15,1138,6,1210,1,1282,0,1353,2,1425,8,1496,18,1567,32,1637,49,1706,70,1774,95,1841,123,1906,154,1971,189,2033,227,2094,269,2153,314,2210,363,2264,415,2317,469,2366,528,2413,589,2457,653,2498,720,2536,787,2569,856,2598,926,2623,996,2644,1067,2661,1139,2674,1210,2683,1282,2689,1354,2690,1425,2688,1496,2681,1567,2672,1637,2658,1706,2641,1774,2620,1841,2595,1907,2567,1971,2536,2033,2501,2094,2462,2153,2421,2210,2375,2265,2327,2317,2275,2366,2220,2413,2162,2458,2101,2499,2037,2536,1970,2569,1902,2598,1834,2623,1764,2645,1693,2662,1623,2675,1551,2684,1479,2689,1408,2690,1336,2688,1265,2682,1193,2672,1123,2658,1053,2641,984,2620,916,2595,849,2567,783,2536,719,2501,656,2463,595,2421,537,2376,480,2327,425,2275,373,2221,323,2162,276,2101,232,2037,191,1966,152,1893,116,1819,86,1743,60,1665,38,1586,21,1507,9,1426,2,1345,0xe">
                  <v:path o:connectlocs="1345,2273;154,1647;92,1784;45,1924;15,2066;1,2210;2,2353;18,2495;49,2634;95,2769;154,2899;227,3022;314,3138;415,3245;528,3341;653,3426;787,3497;926,3551;1067,3589;1210,3611;1354,3618;1496,3609;1637,3586;1774,3548;1907,3495;2033,3429;2153,3349;2265,3255;2366,3148;2458,3029;2536,2898;2598,2762;2645,2621;2675,2479;2689,2336;2688,2193;2672,2051;2641,1912;2595,1777;2536,1647;2463,1523;2376,1408;2275,1301;2162,1204;2037,1119;1893,1044;1743,988;1586,949;1426,930" o:connectangles="0,0,0,0,0,0,0,0,0,0,0,0,0,0,0,0,0,0,0,0,0,0,0,0,0,0,0,0,0,0,0,0,0,0,0,0,0,0,0,0,0,0,0,0,0,0,0,0,0"/>
                  <v:fill on="t" focussize="0,0"/>
                  <v:stroke on="f"/>
                  <v:imagedata o:title=""/>
                  <o:lock v:ext="edit" aspectratio="f"/>
                </v:shape>
                <v:shape id="docshape19" o:spid="_x0000_s1026" o:spt="100" style="position:absolute;left:4291;top:927;height:1346;width:1154;" fillcolor="#EC7C30" filled="t" stroked="f" coordsize="1154,1346" o:gfxdata="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7YMVbsAAADa&#10;AAAADwAAAAAAAAABACAAAAAiAAAAZHJzL2Rvd25yZXYueG1sUEsBAhQAFAAAAAgAh07iQDMvBZ47&#10;AAAAOQAAABAAAAAAAAAAAQAgAAAACgEAAGRycy9zaGFwZXhtbC54bWxQSwUGAAAAAAYABgBbAQAA&#10;tAMAAAAA&#10;" path="m1154,0l1076,2,998,9,921,20,846,35,772,55,699,79,628,107,558,139,491,174,426,214,363,257,302,303,245,353,190,407,137,464,88,524,43,587,0,653,1154,1345,1154,0xe">
                  <v:path o:connectlocs="1154,928;1076,930;998,937;921,948;846,963;772,983;699,1007;628,1035;558,1067;491,1102;426,1142;363,1185;302,1231;245,1281;190,1335;137,1392;88,1452;43,1515;0,1581;1154,2273;1154,928" o:connectangles="0,0,0,0,0,0,0,0,0,0,0,0,0,0,0,0,0,0,0,0,0"/>
                  <v:fill on="t" focussize="0,0"/>
                  <v:stroke on="f"/>
                  <v:imagedata o:title=""/>
                  <o:lock v:ext="edit" aspectratio="f"/>
                </v:shape>
                <v:rect id="docshape20" o:spid="_x0000_s1026" o:spt="1" style="position:absolute;left:3763;top:4180;height:101;width:99;" fillcolor="#5B9BD4" filled="t" stroked="f" coordsize="21600,21600" o:gfxdata="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vmIirsAAADa&#10;AAAADwAAAAAAAAABACAAAAAiAAAAZHJzL2Rvd25yZXYueG1sUEsBAhQAFAAAAAgAh07iQDMvBZ47&#10;AAAAOQAAABAAAAAAAAAAAQAgAAAACgEAAGRycy9zaGFwZXhtbC54bWxQSwUGAAAAAAYABgBbAQAA&#10;tAMAAAAA&#10;">
                  <v:fill on="t" focussize="0,0"/>
                  <v:stroke on="f"/>
                  <v:imagedata o:title=""/>
                  <o:lock v:ext="edit" aspectratio="f"/>
                </v:rect>
                <v:rect id="docshape21" o:spid="_x0000_s1026" o:spt="1" style="position:absolute;left:6338;top:4180;height:101;width:99;" fillcolor="#EC7C30" filled="t" stroked="f" coordsize="21600,21600" o:gfxdata="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n5YZugAAANoA&#10;AAAPAAAAAAAAAAEAIAAAACIAAABkcnMvZG93bnJldi54bWxQSwECFAAUAAAACACHTuJAMy8FnjsA&#10;AAA5AAAAEAAAAAAAAAABACAAAAAJAQAAZHJzL3NoYXBleG1sLnhtbFBLBQYAAAAABgAGAFsBAACz&#10;AwAAAAA=&#10;">
                  <v:fill on="t" focussize="0,0"/>
                  <v:stroke on="f"/>
                  <v:imagedata o:title=""/>
                  <o:lock v:ext="edit" aspectratio="f"/>
                </v:rect>
                <v:rect id="docshape22" o:spid="_x0000_s1026" o:spt="1" style="position:absolute;left:1800;top:484;height:4035;width:7290;" filled="f" stroked="t" coordsize="21600,21600" o:gfxdata="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YAYFugAAANoA&#10;AAAPAAAAAAAAAAEAIAAAACIAAABkcnMvZG93bnJldi54bWxQSwECFAAUAAAACACHTuJAMy8FnjsA&#10;AAA5AAAAEAAAAAAAAAABACAAAAAJAQAAZHJzL3NoYXBleG1sLnhtbFBLBQYAAAAABgAGAFsBAACz&#10;AwAAAAA=&#10;">
                  <v:fill on="f" focussize="0,0"/>
                  <v:stroke color="#D9D9D9" miterlimit="8" joinstyle="miter"/>
                  <v:imagedata o:title=""/>
                  <o:lock v:ext="edit" aspectratio="f"/>
                </v:rect>
                <v:shape id="docshape23" o:spid="_x0000_s1026" o:spt="202" type="#_x0000_t202" style="position:absolute;left:4503;top:1317;height:328;width:890;"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159" w:lineRule="exact"/>
                          <w:ind w:right="17" w:firstLine="265"/>
                          <w:jc w:val="center"/>
                          <w:rPr>
                            <w:rFonts w:ascii="Calibri" w:eastAsia="Calibri"/>
                            <w:sz w:val="14"/>
                          </w:rPr>
                        </w:pPr>
                        <w:r>
                          <w:rPr>
                            <w:color w:val="404040"/>
                            <w:w w:val="95"/>
                            <w:sz w:val="14"/>
                          </w:rPr>
                          <w:t>其他收入</w:t>
                        </w:r>
                        <w:r>
                          <w:rPr>
                            <w:rFonts w:ascii="Calibri" w:eastAsia="Calibri"/>
                            <w:color w:val="404040"/>
                            <w:w w:val="95"/>
                            <w:sz w:val="14"/>
                          </w:rPr>
                          <w:t>,</w:t>
                        </w:r>
                      </w:p>
                      <w:p>
                        <w:pPr>
                          <w:spacing w:line="168" w:lineRule="exact"/>
                          <w:ind w:right="18" w:firstLine="276"/>
                          <w:jc w:val="center"/>
                          <w:rPr>
                            <w:rFonts w:ascii="Calibri"/>
                            <w:sz w:val="14"/>
                          </w:rPr>
                        </w:pPr>
                        <w:r>
                          <w:rPr>
                            <w:rFonts w:ascii="Calibri"/>
                            <w:color w:val="404040"/>
                            <w:spacing w:val="-1"/>
                            <w:sz w:val="14"/>
                          </w:rPr>
                          <w:t>255.81,</w:t>
                        </w:r>
                        <w:r>
                          <w:rPr>
                            <w:rFonts w:ascii="Calibri"/>
                            <w:color w:val="404040"/>
                            <w:spacing w:val="-6"/>
                            <w:sz w:val="14"/>
                          </w:rPr>
                          <w:t xml:space="preserve"> </w:t>
                        </w:r>
                        <w:r>
                          <w:rPr>
                            <w:rFonts w:ascii="Calibri"/>
                            <w:color w:val="404040"/>
                            <w:spacing w:val="-1"/>
                            <w:sz w:val="14"/>
                          </w:rPr>
                          <w:t>16.41%</w:t>
                        </w:r>
                      </w:p>
                    </w:txbxContent>
                  </v:textbox>
                </v:shape>
                <v:shape id="docshape24" o:spid="_x0000_s1026" o:spt="202" type="#_x0000_t202" style="position:absolute;left:5584;top:2546;height:511;width:1273;"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59" w:lineRule="exact"/>
                          <w:ind w:left="9" w:right="27" w:firstLine="265"/>
                          <w:jc w:val="center"/>
                          <w:rPr>
                            <w:sz w:val="14"/>
                          </w:rPr>
                        </w:pPr>
                        <w:r>
                          <w:rPr>
                            <w:color w:val="404040"/>
                            <w:w w:val="95"/>
                            <w:sz w:val="14"/>
                          </w:rPr>
                          <w:t>一般公共预算财政拨</w:t>
                        </w:r>
                      </w:p>
                      <w:p>
                        <w:pPr>
                          <w:spacing w:before="3"/>
                          <w:ind w:left="8" w:right="27" w:firstLine="280"/>
                          <w:jc w:val="center"/>
                          <w:rPr>
                            <w:rFonts w:ascii="Calibri" w:eastAsia="Calibri"/>
                            <w:sz w:val="14"/>
                          </w:rPr>
                        </w:pPr>
                        <w:r>
                          <w:rPr>
                            <w:color w:val="404040"/>
                            <w:sz w:val="14"/>
                          </w:rPr>
                          <w:t>款收入</w:t>
                        </w:r>
                        <w:r>
                          <w:rPr>
                            <w:rFonts w:ascii="Calibri" w:eastAsia="Calibri"/>
                            <w:color w:val="404040"/>
                            <w:spacing w:val="-4"/>
                            <w:sz w:val="14"/>
                          </w:rPr>
                          <w:t xml:space="preserve">, </w:t>
                        </w:r>
                        <w:r>
                          <w:rPr>
                            <w:rFonts w:ascii="Calibri" w:eastAsia="Calibri"/>
                            <w:color w:val="404040"/>
                            <w:sz w:val="14"/>
                          </w:rPr>
                          <w:t>1303.8,</w:t>
                        </w:r>
                      </w:p>
                      <w:p>
                        <w:pPr>
                          <w:spacing w:line="168" w:lineRule="exact"/>
                          <w:ind w:left="9" w:right="25" w:firstLine="280"/>
                          <w:jc w:val="center"/>
                          <w:rPr>
                            <w:rFonts w:ascii="Calibri"/>
                            <w:sz w:val="14"/>
                          </w:rPr>
                        </w:pPr>
                        <w:r>
                          <w:rPr>
                            <w:rFonts w:ascii="Calibri"/>
                            <w:color w:val="404040"/>
                            <w:sz w:val="14"/>
                          </w:rPr>
                          <w:t>83.59%</w:t>
                        </w:r>
                      </w:p>
                    </w:txbxContent>
                  </v:textbox>
                </v:shape>
                <v:shape id="docshape25" o:spid="_x0000_s1026" o:spt="202" type="#_x0000_t202" style="position:absolute;left:3904;top:4132;height:180;width:2180;"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line="180" w:lineRule="exact"/>
                          <w:ind w:firstLine="360"/>
                          <w:rPr>
                            <w:sz w:val="18"/>
                          </w:rPr>
                        </w:pPr>
                        <w:r>
                          <w:rPr>
                            <w:color w:val="585858"/>
                            <w:sz w:val="18"/>
                          </w:rPr>
                          <w:t>一般公共预算财政拨款收入</w:t>
                        </w:r>
                      </w:p>
                    </w:txbxContent>
                  </v:textbox>
                </v:shape>
                <v:shape id="docshape26" o:spid="_x0000_s1026" o:spt="202" type="#_x0000_t202" style="position:absolute;left:6480;top:4132;height:180;width:742;"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line="180" w:lineRule="exact"/>
                          <w:ind w:firstLine="360"/>
                          <w:rPr>
                            <w:sz w:val="18"/>
                          </w:rPr>
                        </w:pPr>
                        <w:r>
                          <w:rPr>
                            <w:color w:val="585858"/>
                            <w:sz w:val="18"/>
                          </w:rPr>
                          <w:t>其他收入</w:t>
                        </w:r>
                      </w:p>
                    </w:txbxContent>
                  </v:textbox>
                </v:shape>
                <w10:wrap type="topAndBottom"/>
              </v:group>
            </w:pict>
          </mc:Fallback>
        </mc:AlternateContent>
      </w:r>
      <w:r>
        <w:rPr>
          <w:rFonts w:hint="eastAsia"/>
        </w:rPr>
        <w:t>元，占0%；其他收入255.81万元，占16.41%。</w:t>
      </w:r>
    </w:p>
    <w:p>
      <w:pPr>
        <w:ind w:firstLine="640"/>
        <w:jc w:val="center"/>
      </w:pPr>
      <w:r>
        <w:rPr>
          <w:rFonts w:hint="eastAsia"/>
        </w:rPr>
        <w:t>（图2：收入决算结构图）</w:t>
      </w:r>
    </w:p>
    <w:p>
      <w:pPr>
        <w:ind w:firstLine="640"/>
        <w:jc w:val="both"/>
        <w:rPr>
          <w:rFonts w:ascii="黑体" w:hAnsi="黑体" w:eastAsia="黑体"/>
        </w:rPr>
      </w:pPr>
    </w:p>
    <w:p>
      <w:pPr>
        <w:ind w:firstLine="640"/>
        <w:jc w:val="both"/>
        <w:outlineLvl w:val="1"/>
        <w:rPr>
          <w:rFonts w:ascii="黑体" w:hAnsi="黑体" w:eastAsia="黑体"/>
        </w:rPr>
      </w:pPr>
      <w:bookmarkStart w:id="12" w:name="_Toc28054"/>
      <w:bookmarkStart w:id="13" w:name="_Toc22890"/>
      <w:r>
        <w:rPr>
          <w:rFonts w:hint="eastAsia" w:ascii="黑体" w:hAnsi="黑体" w:eastAsia="黑体"/>
        </w:rPr>
        <w:t>三、支出决算情况说明</w:t>
      </w:r>
      <w:bookmarkEnd w:id="12"/>
      <w:bookmarkEnd w:id="13"/>
    </w:p>
    <w:p>
      <w:pPr>
        <w:ind w:firstLine="640"/>
        <w:jc w:val="both"/>
      </w:pPr>
      <w:r>
        <w:drawing>
          <wp:anchor distT="0" distB="0" distL="114300" distR="114300" simplePos="0" relativeHeight="251661312" behindDoc="0" locked="0" layoutInCell="1" allowOverlap="1">
            <wp:simplePos x="0" y="0"/>
            <wp:positionH relativeFrom="page">
              <wp:posOffset>2004060</wp:posOffset>
            </wp:positionH>
            <wp:positionV relativeFrom="paragraph">
              <wp:posOffset>1459230</wp:posOffset>
            </wp:positionV>
            <wp:extent cx="4175760" cy="2179320"/>
            <wp:effectExtent l="0" t="0" r="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175760" cy="2179320"/>
                    </a:xfrm>
                    <a:prstGeom prst="rect">
                      <a:avLst/>
                    </a:prstGeom>
                    <a:noFill/>
                  </pic:spPr>
                </pic:pic>
              </a:graphicData>
            </a:graphic>
          </wp:anchor>
        </w:drawing>
      </w:r>
      <w:r>
        <w:rPr>
          <w:rFonts w:hint="eastAsia"/>
        </w:rPr>
        <w:t>2020年本年支出合计1360.26万元，其中：基本支出707.11万元，占51.98%；项目支出653.16万元，占48.02%；上缴上级支出0万元，占0%；经营支出0万元，占0%；对附属单位补助支出0万元，占0%。</w:t>
      </w:r>
    </w:p>
    <w:p>
      <w:pPr>
        <w:ind w:firstLine="640"/>
        <w:jc w:val="center"/>
      </w:pPr>
      <w:r>
        <w:rPr>
          <w:rFonts w:hint="eastAsia"/>
        </w:rPr>
        <w:t>（图3：支出决算结构图）</w:t>
      </w:r>
    </w:p>
    <w:p>
      <w:pPr>
        <w:ind w:firstLine="640"/>
        <w:jc w:val="both"/>
        <w:rPr>
          <w:rFonts w:ascii="黑体" w:hAnsi="黑体" w:eastAsia="黑体"/>
        </w:rPr>
      </w:pPr>
    </w:p>
    <w:p>
      <w:pPr>
        <w:ind w:firstLine="640"/>
        <w:jc w:val="both"/>
        <w:outlineLvl w:val="1"/>
        <w:rPr>
          <w:rFonts w:ascii="黑体" w:hAnsi="黑体" w:eastAsia="黑体"/>
        </w:rPr>
      </w:pPr>
      <w:bookmarkStart w:id="14" w:name="_Toc21525"/>
      <w:bookmarkStart w:id="15" w:name="_Toc14591"/>
      <w:r>
        <w:rPr>
          <w:rFonts w:hint="eastAsia" w:ascii="黑体" w:hAnsi="黑体" w:eastAsia="黑体"/>
        </w:rPr>
        <w:t>四、财政拨款收入支出决算总体情况说明</w:t>
      </w:r>
      <w:bookmarkEnd w:id="14"/>
      <w:bookmarkEnd w:id="15"/>
    </w:p>
    <w:p>
      <w:pPr>
        <w:ind w:firstLine="640"/>
        <w:jc w:val="both"/>
      </w:pPr>
      <w:r>
        <w:rPr>
          <w:rFonts w:hint="eastAsia"/>
        </w:rPr>
        <w:t>2020年财政拨款收1526.10万元、支出总计1526.10万元。与2019年收1303.07相比，支1303.07万元。财政拨款收增加223.03万元、增长17.12%，支出增加223.03万元，增长17.12%。主要变动原因是主要变动原因是2020年新冠肺炎疫情经费较多。</w:t>
      </w:r>
    </w:p>
    <w:p>
      <w:pPr>
        <w:ind w:firstLine="640"/>
        <w:jc w:val="both"/>
      </w:pPr>
      <w:r>
        <w:drawing>
          <wp:anchor distT="0" distB="0" distL="114300" distR="114300" simplePos="0" relativeHeight="251662336" behindDoc="0" locked="0" layoutInCell="1" allowOverlap="1">
            <wp:simplePos x="0" y="0"/>
            <wp:positionH relativeFrom="page">
              <wp:align>center</wp:align>
            </wp:positionH>
            <wp:positionV relativeFrom="paragraph">
              <wp:posOffset>98425</wp:posOffset>
            </wp:positionV>
            <wp:extent cx="4448810" cy="2655570"/>
            <wp:effectExtent l="0" t="0" r="8890" b="0"/>
            <wp:wrapThrough wrapText="bothSides">
              <wp:wrapPolygon>
                <wp:start x="0" y="0"/>
                <wp:lineTo x="0" y="21383"/>
                <wp:lineTo x="21551" y="21383"/>
                <wp:lineTo x="21551" y="0"/>
                <wp:lineTo x="0" y="0"/>
              </wp:wrapPolygon>
            </wp:wrapThrough>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448810" cy="2655570"/>
                    </a:xfrm>
                    <a:prstGeom prst="rect">
                      <a:avLst/>
                    </a:prstGeom>
                  </pic:spPr>
                </pic:pic>
              </a:graphicData>
            </a:graphic>
          </wp:anchor>
        </w:drawing>
      </w: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center"/>
      </w:pPr>
      <w:r>
        <w:rPr>
          <w:rFonts w:hint="eastAsia"/>
        </w:rPr>
        <w:t>（图4：财政拨款收、支决算总计变动情况）</w:t>
      </w:r>
    </w:p>
    <w:p>
      <w:pPr>
        <w:ind w:firstLine="640"/>
        <w:jc w:val="both"/>
      </w:pPr>
    </w:p>
    <w:p>
      <w:pPr>
        <w:ind w:firstLine="640"/>
        <w:jc w:val="both"/>
        <w:outlineLvl w:val="1"/>
        <w:rPr>
          <w:rFonts w:ascii="黑体" w:hAnsi="黑体" w:eastAsia="黑体"/>
        </w:rPr>
      </w:pPr>
      <w:bookmarkStart w:id="16" w:name="_Toc23530"/>
      <w:bookmarkStart w:id="17" w:name="_Toc3528"/>
      <w:r>
        <w:rPr>
          <w:rFonts w:hint="eastAsia" w:ascii="黑体" w:hAnsi="黑体" w:eastAsia="黑体"/>
        </w:rPr>
        <w:t>五、一般公共预算财政拨款支出决算情况说明</w:t>
      </w:r>
      <w:bookmarkEnd w:id="16"/>
      <w:bookmarkEnd w:id="17"/>
    </w:p>
    <w:p>
      <w:pPr>
        <w:ind w:firstLine="640"/>
        <w:jc w:val="both"/>
      </w:pPr>
      <w:r>
        <w:rPr>
          <w:rFonts w:hint="eastAsia"/>
        </w:rPr>
        <w:t>（一）一般公共预算财政拨款支出决算总体情况</w:t>
      </w:r>
    </w:p>
    <w:p>
      <w:pPr>
        <w:ind w:firstLine="640"/>
        <w:jc w:val="both"/>
      </w:pPr>
      <w:r>
        <w:rPr>
          <w:rFonts w:hint="eastAsia"/>
        </w:rPr>
        <w:t>2020年一般公共预算财政拨款支出1170.39万元，占本年支出1360.26合计的86%。与2019年相比，一般公共预算财政拨款支出840.32增加330.06万元，增长39.27%。主要变动原因是</w:t>
      </w:r>
      <w:r>
        <w:drawing>
          <wp:anchor distT="0" distB="0" distL="114300" distR="114300" simplePos="0" relativeHeight="251663360" behindDoc="0" locked="0" layoutInCell="1" allowOverlap="1">
            <wp:simplePos x="0" y="0"/>
            <wp:positionH relativeFrom="page">
              <wp:align>center</wp:align>
            </wp:positionH>
            <wp:positionV relativeFrom="paragraph">
              <wp:posOffset>856615</wp:posOffset>
            </wp:positionV>
            <wp:extent cx="4712335" cy="2179320"/>
            <wp:effectExtent l="0" t="0" r="0" b="0"/>
            <wp:wrapSquare wrapText="bothSides"/>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712335" cy="2179320"/>
                    </a:xfrm>
                    <a:prstGeom prst="rect">
                      <a:avLst/>
                    </a:prstGeom>
                  </pic:spPr>
                </pic:pic>
              </a:graphicData>
            </a:graphic>
          </wp:anchor>
        </w:drawing>
      </w:r>
      <w:r>
        <w:rPr>
          <w:rFonts w:hint="eastAsia"/>
        </w:rPr>
        <w:t>主要变动原因是2020年新冠肺炎疫情经费较多。</w:t>
      </w:r>
    </w:p>
    <w:p>
      <w:pPr>
        <w:ind w:firstLine="640"/>
        <w:jc w:val="both"/>
      </w:pPr>
      <w:r>
        <w:rPr>
          <w:rFonts w:hint="eastAsia"/>
        </w:rPr>
        <w:t>（图5：一般公共预算财政拨款支出决算变动情况）</w:t>
      </w:r>
    </w:p>
    <w:p>
      <w:pPr>
        <w:ind w:firstLine="640"/>
        <w:jc w:val="both"/>
      </w:pPr>
    </w:p>
    <w:p>
      <w:pPr>
        <w:ind w:firstLine="643"/>
        <w:jc w:val="both"/>
        <w:rPr>
          <w:rFonts w:hint="eastAsia" w:ascii="楷体_GB2312" w:eastAsia="楷体_GB2312"/>
          <w:b/>
        </w:rPr>
      </w:pPr>
      <w:r>
        <w:rPr>
          <w:rFonts w:hint="eastAsia" w:ascii="楷体_GB2312" w:eastAsia="楷体_GB2312"/>
          <w:b/>
        </w:rPr>
        <w:t>（二）一般公共预算财政拨款支出决算结构情况</w:t>
      </w:r>
    </w:p>
    <w:p>
      <w:pPr>
        <w:ind w:firstLine="640"/>
        <w:jc w:val="both"/>
      </w:pPr>
      <w:r>
        <w:drawing>
          <wp:anchor distT="0" distB="0" distL="114300" distR="114300" simplePos="0" relativeHeight="251664384" behindDoc="1" locked="0" layoutInCell="1" allowOverlap="1">
            <wp:simplePos x="0" y="0"/>
            <wp:positionH relativeFrom="margin">
              <wp:align>center</wp:align>
            </wp:positionH>
            <wp:positionV relativeFrom="paragraph">
              <wp:posOffset>1471930</wp:posOffset>
            </wp:positionV>
            <wp:extent cx="4853305" cy="2400935"/>
            <wp:effectExtent l="0" t="0" r="4445" b="0"/>
            <wp:wrapThrough wrapText="bothSides">
              <wp:wrapPolygon>
                <wp:start x="0" y="0"/>
                <wp:lineTo x="0" y="21423"/>
                <wp:lineTo x="21535" y="21423"/>
                <wp:lineTo x="21535" y="0"/>
                <wp:lineTo x="0" y="0"/>
              </wp:wrapPolygon>
            </wp:wrapThrough>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853305" cy="2400935"/>
                    </a:xfrm>
                    <a:prstGeom prst="rect">
                      <a:avLst/>
                    </a:prstGeom>
                  </pic:spPr>
                </pic:pic>
              </a:graphicData>
            </a:graphic>
          </wp:anchor>
        </w:drawing>
      </w:r>
      <w:r>
        <w:rPr>
          <w:rFonts w:hint="eastAsia"/>
        </w:rPr>
        <w:t>2020年一般公共预算财政拨款支出1170.39万元，主要用于以下方面:社会保障和就业支出（类）支出58.17万元，占4.9%；生健康支出1082.88万元，占92.52%；住房保障支出29.34万元，占2.5%。（罗列全部功能分类科目，至类级。）</w:t>
      </w:r>
    </w:p>
    <w:p>
      <w:pPr>
        <w:ind w:firstLine="640"/>
        <w:jc w:val="center"/>
      </w:pPr>
      <w:r>
        <w:rPr>
          <w:rFonts w:hint="eastAsia"/>
        </w:rPr>
        <w:t>（图6：一般公共预算财政拨款支出决算结构）</w:t>
      </w:r>
    </w:p>
    <w:p>
      <w:pPr>
        <w:ind w:firstLine="640"/>
        <w:jc w:val="center"/>
        <w:rPr>
          <w:rFonts w:hint="eastAsia"/>
        </w:rPr>
      </w:pPr>
    </w:p>
    <w:p>
      <w:pPr>
        <w:ind w:firstLine="643"/>
        <w:jc w:val="both"/>
        <w:rPr>
          <w:rFonts w:hint="eastAsia" w:ascii="楷体_GB2312" w:eastAsia="楷体_GB2312"/>
          <w:b/>
        </w:rPr>
      </w:pPr>
      <w:r>
        <w:rPr>
          <w:rFonts w:hint="eastAsia" w:ascii="楷体_GB2312" w:eastAsia="楷体_GB2312"/>
          <w:b/>
        </w:rPr>
        <w:t>（三）一般公共预算财政拨款支出决算具体情况</w:t>
      </w:r>
    </w:p>
    <w:p>
      <w:pPr>
        <w:ind w:firstLine="640"/>
        <w:jc w:val="both"/>
      </w:pPr>
      <w:r>
        <w:rPr>
          <w:rFonts w:hint="eastAsia"/>
        </w:rPr>
        <w:t>2020年一般公共预算支出决算数为1170.39万元，完成预算1526.1万元的76.69%。其中：</w:t>
      </w:r>
    </w:p>
    <w:p>
      <w:pPr>
        <w:ind w:firstLine="640"/>
        <w:jc w:val="both"/>
      </w:pPr>
      <w:r>
        <w:rPr>
          <w:rFonts w:hint="eastAsia"/>
        </w:rPr>
        <w:t>1.社会保障和就业支出（类）行政事业单位养老支出（款）事业单位离退休（项）预算收入24.65万元，支出24.65万元，完成预算100%；决算数等于预算数。</w:t>
      </w:r>
    </w:p>
    <w:p>
      <w:pPr>
        <w:ind w:firstLine="640"/>
        <w:jc w:val="both"/>
      </w:pPr>
      <w:r>
        <w:rPr>
          <w:rFonts w:hint="eastAsia"/>
        </w:rPr>
        <w:t>2.社会保障和就业支出（类）行政事业单位养老支出（款）机关事业单位基本养老保险缴费（项）预算收入42.11万元，支出25.35万元，完成预算60.2%。决算数小于预算数。未完成的原因是：人员增减变动。</w:t>
      </w:r>
    </w:p>
    <w:p>
      <w:pPr>
        <w:ind w:firstLine="640"/>
        <w:jc w:val="both"/>
      </w:pPr>
      <w:r>
        <w:rPr>
          <w:rFonts w:hint="eastAsia"/>
        </w:rPr>
        <w:t>3.社会保障和就业支出（类）行政事业单位养老支出（款）机关事业单位职业年金缴费（项）支出预算5.10万元，支出5.10万元，完成预算100%。决算数等于预算数。</w:t>
      </w:r>
    </w:p>
    <w:p>
      <w:pPr>
        <w:ind w:firstLine="640"/>
        <w:jc w:val="both"/>
      </w:pPr>
      <w:r>
        <w:rPr>
          <w:rFonts w:hint="eastAsia"/>
        </w:rPr>
        <w:t>4.社会保障和就业支出（类）行政事业单位养老支出（款）其他社会保障和就业支出（项）预算3.07万元，支出3.07万元，完成预算100%。决算数等于预算数。</w:t>
      </w:r>
    </w:p>
    <w:p>
      <w:pPr>
        <w:ind w:firstLine="640"/>
        <w:jc w:val="both"/>
      </w:pPr>
      <w:r>
        <w:rPr>
          <w:rFonts w:hint="eastAsia"/>
        </w:rPr>
        <w:t>5.卫生健康支出（类）公共卫生（款）疾病预防控制机构（项）预算449.07万元，支出414.06万元，完成预算92.20%。决算数小于预算数。未完成的原因是：人员变动，配套经费到位不及时。</w:t>
      </w:r>
    </w:p>
    <w:p>
      <w:pPr>
        <w:ind w:firstLine="640"/>
        <w:jc w:val="both"/>
      </w:pPr>
      <w:r>
        <w:rPr>
          <w:rFonts w:hint="eastAsia"/>
        </w:rPr>
        <w:t>6.卫生健康支出（类）公共卫生（款）基本公共卫生服务（项）预算23.45万元，支出13.65万元，完成预算58.2%。决算数小于预算数。未完成的原因是：资金到位不及时，专项科室未能完成使用。</w:t>
      </w:r>
    </w:p>
    <w:p>
      <w:pPr>
        <w:ind w:firstLine="640"/>
        <w:jc w:val="both"/>
      </w:pPr>
      <w:r>
        <w:rPr>
          <w:rFonts w:hint="eastAsia"/>
        </w:rPr>
        <w:t>7.卫生健康支出（类）公共卫生（款）重大公共卫生服务（项）预算462.93万元，支出417.76万元，完成预算90.24%。决算数小于预算数。未完成的原因是：资金到位晚，专项科室未能完成使用。</w:t>
      </w:r>
    </w:p>
    <w:p>
      <w:pPr>
        <w:ind w:firstLine="640"/>
        <w:jc w:val="both"/>
      </w:pPr>
      <w:r>
        <w:rPr>
          <w:rFonts w:hint="eastAsia"/>
        </w:rPr>
        <w:t>8.卫生健康支出（类）公共卫生（款）突发公共卫生事件应急处理（项）预算221.75万元，支出221.75万元，决算数等于预算数。完成预算100%。</w:t>
      </w:r>
    </w:p>
    <w:p>
      <w:pPr>
        <w:ind w:firstLine="640"/>
        <w:jc w:val="both"/>
      </w:pPr>
      <w:r>
        <w:rPr>
          <w:rFonts w:hint="eastAsia"/>
        </w:rPr>
        <w:t>9.卫生健康支出（类）公共卫生（款）事业单位医疗（项）预算19.34万元，支出15.67万元，完成预算81.02%。决算数小于预算数。未完成的原因是：人员变动。</w:t>
      </w:r>
    </w:p>
    <w:p>
      <w:pPr>
        <w:ind w:firstLine="640"/>
        <w:jc w:val="both"/>
      </w:pPr>
      <w:r>
        <w:rPr>
          <w:rFonts w:hint="eastAsia"/>
        </w:rPr>
        <w:t>10.住房保障支出（类）住房改革支出（款）住房公积金（项）完成预算29.33万元的100%，决算数等于预算数。</w:t>
      </w:r>
    </w:p>
    <w:p>
      <w:pPr>
        <w:ind w:firstLine="640"/>
        <w:jc w:val="both"/>
        <w:outlineLvl w:val="1"/>
        <w:rPr>
          <w:rFonts w:ascii="黑体" w:hAnsi="黑体" w:eastAsia="黑体"/>
        </w:rPr>
      </w:pPr>
      <w:bookmarkStart w:id="18" w:name="_Toc24222"/>
      <w:bookmarkStart w:id="19" w:name="_Toc22668"/>
      <w:r>
        <w:rPr>
          <w:rFonts w:hint="eastAsia" w:ascii="黑体" w:hAnsi="黑体" w:eastAsia="黑体"/>
        </w:rPr>
        <w:t>六、一般公共预算财政拨款基本支出决算情况说明</w:t>
      </w:r>
      <w:bookmarkEnd w:id="18"/>
      <w:bookmarkEnd w:id="19"/>
    </w:p>
    <w:p>
      <w:pPr>
        <w:ind w:firstLine="640"/>
        <w:jc w:val="both"/>
      </w:pPr>
      <w:r>
        <w:rPr>
          <w:rFonts w:hint="eastAsia"/>
        </w:rPr>
        <w:t>2020年一般公共预算财政拨款基本支出517.24万元，其中：</w:t>
      </w:r>
    </w:p>
    <w:p>
      <w:pPr>
        <w:ind w:firstLine="640"/>
        <w:jc w:val="both"/>
      </w:pPr>
      <w:r>
        <w:rPr>
          <w:rFonts w:hint="eastAsia"/>
        </w:rPr>
        <w:t>人员经费491.21万元，主要包括：基本工资77.71万元、津贴补贴11.89万元、绩效工资197.25万元、机关事业单位基本养老保险缴费25.35万元、职业年金缴费10.42万元、职工基本医疗保障缴费15.67万元、其他社会保障缴费52.32万元、其他工资福利支出17.12万元、生活补助0.22万元、住房公积金58.62万元、其他对个人和家庭的补助支出24.64万元。日常公用经费26.03万元，主要包括：办公费2.32万元、水费0.09万元、电费0.09万元、邮电费0.42万元、差旅费2.87、维修（护）费0.02万元、工会经15.60万元、公务用车运行维护费4.06万元、其他交通费0.34万元、其他商品和服务支出0.22万元。</w:t>
      </w:r>
    </w:p>
    <w:p>
      <w:pPr>
        <w:ind w:firstLine="640"/>
        <w:jc w:val="both"/>
        <w:outlineLvl w:val="1"/>
        <w:rPr>
          <w:rFonts w:ascii="黑体" w:hAnsi="黑体" w:eastAsia="黑体"/>
        </w:rPr>
      </w:pPr>
      <w:bookmarkStart w:id="20" w:name="_Toc17115"/>
      <w:bookmarkStart w:id="21" w:name="_Toc4694"/>
      <w:r>
        <w:rPr>
          <w:rFonts w:hint="eastAsia" w:ascii="黑体" w:hAnsi="黑体" w:eastAsia="黑体"/>
        </w:rPr>
        <w:t>七、“三公”经费财政拨款支出决算情况说明</w:t>
      </w:r>
      <w:bookmarkEnd w:id="20"/>
      <w:bookmarkEnd w:id="21"/>
    </w:p>
    <w:p>
      <w:pPr>
        <w:ind w:firstLine="640"/>
        <w:jc w:val="both"/>
      </w:pPr>
      <w:r>
        <w:rPr>
          <w:rFonts w:hint="eastAsia"/>
        </w:rPr>
        <w:t>（一）“三公”经费财政拨款支出决算总体情况说明2020年“三公”经费财政拨款支出决算为4.59万元，完成预算公务接待费0.19万元和公务用车购置及运行维护费4.40万元，合计数4.59万元的100%，决算数持平预算数。</w:t>
      </w:r>
    </w:p>
    <w:p>
      <w:pPr>
        <w:ind w:firstLine="640"/>
        <w:jc w:val="both"/>
      </w:pPr>
      <w:r>
        <w:rPr>
          <w:rFonts w:hint="eastAsia"/>
        </w:rPr>
        <w:t>（二）“三公”经费财政拨款支出决算具体情况说明2020年“三公”经费财政拨款支出决算中，因公出国（境）费支出决算0万元，占0%；公务用车购置及运行维护费支出决算4.40万元，占95.8%；公务接待费支出决算0.19万元，占4.2%。具体情况如下：</w:t>
      </w:r>
    </w:p>
    <w:p>
      <w:pPr>
        <w:ind w:firstLine="640"/>
        <w:jc w:val="both"/>
      </w:pPr>
      <w:r>
        <w:drawing>
          <wp:anchor distT="0" distB="0" distL="114300" distR="114300" simplePos="0" relativeHeight="251665408" behindDoc="0" locked="0" layoutInCell="1" allowOverlap="1">
            <wp:simplePos x="0" y="0"/>
            <wp:positionH relativeFrom="page">
              <wp:posOffset>1757680</wp:posOffset>
            </wp:positionH>
            <wp:positionV relativeFrom="paragraph">
              <wp:posOffset>11430</wp:posOffset>
            </wp:positionV>
            <wp:extent cx="4325620" cy="1709420"/>
            <wp:effectExtent l="0" t="0" r="0" b="5080"/>
            <wp:wrapThrough wrapText="bothSides">
              <wp:wrapPolygon>
                <wp:start x="0" y="0"/>
                <wp:lineTo x="0" y="21423"/>
                <wp:lineTo x="21499" y="21423"/>
                <wp:lineTo x="21499" y="0"/>
                <wp:lineTo x="0" y="0"/>
              </wp:wrapPolygon>
            </wp:wrapThrough>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325620" cy="1709420"/>
                    </a:xfrm>
                    <a:prstGeom prst="rect">
                      <a:avLst/>
                    </a:prstGeom>
                  </pic:spPr>
                </pic:pic>
              </a:graphicData>
            </a:graphic>
          </wp:anchor>
        </w:drawing>
      </w:r>
    </w:p>
    <w:p>
      <w:pPr>
        <w:ind w:firstLine="640"/>
        <w:jc w:val="both"/>
      </w:pPr>
    </w:p>
    <w:p>
      <w:pPr>
        <w:ind w:firstLine="640"/>
        <w:jc w:val="both"/>
      </w:pPr>
    </w:p>
    <w:p>
      <w:pPr>
        <w:ind w:firstLine="640"/>
        <w:jc w:val="both"/>
      </w:pPr>
    </w:p>
    <w:p>
      <w:pPr>
        <w:ind w:firstLine="640"/>
        <w:jc w:val="both"/>
      </w:pPr>
    </w:p>
    <w:p>
      <w:pPr>
        <w:ind w:firstLine="640"/>
        <w:jc w:val="center"/>
      </w:pPr>
      <w:r>
        <w:rPr>
          <w:rFonts w:hint="eastAsia"/>
        </w:rPr>
        <w:t>（图7：“三公”经费财政拨款支出结构）</w:t>
      </w:r>
    </w:p>
    <w:p>
      <w:pPr>
        <w:ind w:firstLine="640"/>
        <w:jc w:val="both"/>
      </w:pPr>
      <w:r>
        <w:rPr>
          <w:rFonts w:hint="eastAsia"/>
        </w:rPr>
        <w:t>1.因公出国（境）经费支出0万元，完成预算0%。全年安排因公出国（境）团组0次，出国（境）0人。</w:t>
      </w:r>
    </w:p>
    <w:p>
      <w:pPr>
        <w:ind w:firstLine="640"/>
        <w:jc w:val="both"/>
      </w:pPr>
      <w:r>
        <w:rPr>
          <w:rFonts w:hint="eastAsia"/>
        </w:rPr>
        <w:t>2.公务用车购</w:t>
      </w:r>
      <w:r>
        <w:rPr>
          <w:rFonts w:hint="eastAsia" w:cs="微软雅黑"/>
        </w:rPr>
        <w:t>置</w:t>
      </w:r>
      <w:r>
        <w:rPr>
          <w:rFonts w:hint="eastAsia" w:cs="仿宋_GB2312"/>
        </w:rPr>
        <w:t>及运行维护费支出</w:t>
      </w:r>
      <w:r>
        <w:rPr>
          <w:rFonts w:hint="eastAsia"/>
        </w:rPr>
        <w:t>4.40万元,完成预算100%。公务用车购</w:t>
      </w:r>
      <w:r>
        <w:rPr>
          <w:rFonts w:hint="eastAsia" w:cs="微软雅黑"/>
        </w:rPr>
        <w:t>置</w:t>
      </w:r>
      <w:r>
        <w:rPr>
          <w:rFonts w:hint="eastAsia" w:cs="仿宋_GB2312"/>
        </w:rPr>
        <w:t>及运行维护费支出决算比</w:t>
      </w:r>
      <w:r>
        <w:rPr>
          <w:rFonts w:hint="eastAsia"/>
        </w:rPr>
        <w:t>2019年1.34万元增加3.05万元，增长227%，原因为新冠疫情，用车量较大。其中：公务用车购</w:t>
      </w:r>
      <w:r>
        <w:rPr>
          <w:rFonts w:hint="eastAsia" w:cs="微软雅黑"/>
        </w:rPr>
        <w:t>置</w:t>
      </w:r>
      <w:r>
        <w:rPr>
          <w:rFonts w:hint="eastAsia" w:cs="仿宋_GB2312"/>
        </w:rPr>
        <w:t>支出</w:t>
      </w:r>
      <w:r>
        <w:rPr>
          <w:rFonts w:hint="eastAsia"/>
        </w:rPr>
        <w:t>0万元。全年按规定更新购</w:t>
      </w:r>
      <w:r>
        <w:rPr>
          <w:rFonts w:hint="eastAsia" w:cs="微软雅黑"/>
        </w:rPr>
        <w:t>置</w:t>
      </w:r>
      <w:r>
        <w:rPr>
          <w:rFonts w:hint="eastAsia"/>
        </w:rPr>
        <w:t>公务用车0辆。公务用车运行维护费支出4.40万元。主要用于单位工作所需的公务用车燃料费、维修费、过路过桥费、保险费等支出。</w:t>
      </w:r>
    </w:p>
    <w:p>
      <w:pPr>
        <w:ind w:firstLine="640"/>
        <w:jc w:val="both"/>
      </w:pPr>
      <w:r>
        <w:rPr>
          <w:rFonts w:hint="eastAsia"/>
        </w:rPr>
        <w:t>3.公务接待费支出0.19万元，完成预算100%。公务接待费支出决算比2019年1.34万元减少1.15万元，下降85%。主要原因是接待较少。其中：国内公务接待支出0.19万元，主要用于开展业务活动开支的交通费、住宿费、用餐费。国内公务接待3批次，20人次（不包括陪同人员），共计支出0.19万元，具体内容包括：接待省疾控艾滋评估工作847元，接待省癌症中心督导检查480元，接待省癌症防治中心到中心检查580元。八、政府性基金预算支出决算情况说明2020年政府性基金预算拨款支出0万元。</w:t>
      </w:r>
    </w:p>
    <w:p>
      <w:pPr>
        <w:ind w:firstLine="640"/>
        <w:jc w:val="both"/>
        <w:outlineLvl w:val="1"/>
        <w:rPr>
          <w:rFonts w:ascii="黑体" w:hAnsi="黑体" w:eastAsia="黑体"/>
        </w:rPr>
      </w:pPr>
      <w:bookmarkStart w:id="22" w:name="_Toc24646"/>
      <w:bookmarkStart w:id="23" w:name="_Toc30314"/>
      <w:r>
        <w:rPr>
          <w:rFonts w:hint="eastAsia" w:ascii="黑体" w:hAnsi="黑体" w:eastAsia="黑体"/>
        </w:rPr>
        <w:t>九、国有资本经营预算支出决算情况说明</w:t>
      </w:r>
      <w:bookmarkEnd w:id="22"/>
      <w:bookmarkEnd w:id="23"/>
    </w:p>
    <w:p>
      <w:pPr>
        <w:ind w:firstLine="640"/>
        <w:jc w:val="both"/>
      </w:pPr>
      <w:r>
        <w:rPr>
          <w:rFonts w:hint="eastAsia"/>
        </w:rPr>
        <w:t>2020年国有资本经营预算拨款支出0万元。</w:t>
      </w:r>
    </w:p>
    <w:p>
      <w:pPr>
        <w:ind w:firstLine="640"/>
        <w:jc w:val="both"/>
        <w:outlineLvl w:val="1"/>
        <w:rPr>
          <w:rFonts w:ascii="黑体" w:hAnsi="黑体" w:eastAsia="黑体"/>
        </w:rPr>
      </w:pPr>
      <w:bookmarkStart w:id="24" w:name="_Toc15376"/>
      <w:bookmarkStart w:id="25" w:name="_Toc14019"/>
      <w:r>
        <w:rPr>
          <w:rFonts w:hint="eastAsia" w:ascii="黑体" w:hAnsi="黑体" w:eastAsia="黑体"/>
        </w:rPr>
        <w:t>十、其他重要事项的情况说明</w:t>
      </w:r>
      <w:bookmarkEnd w:id="24"/>
      <w:bookmarkEnd w:id="25"/>
    </w:p>
    <w:p>
      <w:pPr>
        <w:ind w:firstLine="643"/>
        <w:jc w:val="both"/>
        <w:rPr>
          <w:rFonts w:hint="eastAsia" w:ascii="楷体_GB2312" w:eastAsia="楷体_GB2312"/>
          <w:b/>
        </w:rPr>
      </w:pPr>
      <w:r>
        <w:rPr>
          <w:rFonts w:hint="eastAsia" w:ascii="楷体_GB2312" w:eastAsia="楷体_GB2312"/>
          <w:b/>
        </w:rPr>
        <w:t>（一）机关运行经费支出情况</w:t>
      </w:r>
    </w:p>
    <w:p>
      <w:pPr>
        <w:ind w:firstLine="640"/>
        <w:jc w:val="both"/>
      </w:pPr>
      <w:r>
        <w:rPr>
          <w:rFonts w:hint="eastAsia"/>
        </w:rPr>
        <w:t>2020年，自流井区疾控中心机关运行经费支出0万元，与2019年决算数持平。</w:t>
      </w:r>
    </w:p>
    <w:p>
      <w:pPr>
        <w:ind w:firstLine="643"/>
        <w:jc w:val="both"/>
        <w:rPr>
          <w:rFonts w:ascii="楷体_GB2312" w:eastAsia="楷体_GB2312"/>
          <w:b/>
        </w:rPr>
      </w:pPr>
      <w:r>
        <w:rPr>
          <w:rFonts w:hint="eastAsia" w:ascii="楷体_GB2312" w:eastAsia="楷体_GB2312"/>
          <w:b/>
        </w:rPr>
        <w:t>（二）政府采购支出情况</w:t>
      </w:r>
    </w:p>
    <w:p>
      <w:pPr>
        <w:ind w:firstLine="640"/>
        <w:jc w:val="both"/>
      </w:pPr>
      <w:r>
        <w:rPr>
          <w:rFonts w:hint="eastAsia"/>
        </w:rPr>
        <w:t>2020年自流井区疾病预防控制中心政府采购支出总</w:t>
      </w:r>
    </w:p>
    <w:p>
      <w:pPr>
        <w:ind w:firstLine="640"/>
        <w:jc w:val="both"/>
      </w:pPr>
      <w:r>
        <w:rPr>
          <w:rFonts w:hint="eastAsia"/>
        </w:rPr>
        <w:t>额188.62万元，其中：政府采购货物支出176.20万元、政</w:t>
      </w:r>
    </w:p>
    <w:p>
      <w:pPr>
        <w:ind w:firstLine="640"/>
        <w:jc w:val="both"/>
      </w:pPr>
      <w:r>
        <w:rPr>
          <w:rFonts w:hint="eastAsia"/>
        </w:rPr>
        <w:t>府采购工程支出0万元、政府采购服务支出12.42万元。主要用于职业危害因素、突发公共卫生、艾滋病、结核病。授予中小企业合同金额0万元，占政府采购支出总额的0%，其中：授予小微企业合同金额0万元，占政府采购支出总额</w:t>
      </w:r>
    </w:p>
    <w:p>
      <w:pPr>
        <w:ind w:firstLine="640"/>
        <w:jc w:val="both"/>
      </w:pPr>
      <w:r>
        <w:rPr>
          <w:rFonts w:hint="eastAsia"/>
        </w:rPr>
        <w:t>的0%</w:t>
      </w:r>
    </w:p>
    <w:p>
      <w:pPr>
        <w:ind w:firstLine="643"/>
        <w:jc w:val="both"/>
        <w:rPr>
          <w:rFonts w:ascii="楷体_GB2312" w:eastAsia="楷体_GB2312"/>
          <w:b/>
        </w:rPr>
      </w:pPr>
      <w:r>
        <w:rPr>
          <w:rFonts w:hint="eastAsia" w:ascii="楷体_GB2312" w:eastAsia="楷体_GB2312"/>
          <w:b/>
        </w:rPr>
        <w:t>（三）国有资产占有使用情况</w:t>
      </w:r>
    </w:p>
    <w:p>
      <w:pPr>
        <w:ind w:firstLine="640"/>
        <w:jc w:val="both"/>
      </w:pPr>
      <w:r>
        <w:rPr>
          <w:rFonts w:hint="eastAsia"/>
        </w:rPr>
        <w:t>截至2020年12月31日，自井疾控共有车辆5辆，其中：主要领导干部用车0辆、机要通信用车0辆、应急保障用车5辆、其他用车0辆，单价50万元以上通用设备1台（套），单价100万元以上专用设备0台（套）。</w:t>
      </w:r>
    </w:p>
    <w:p>
      <w:pPr>
        <w:ind w:firstLine="643"/>
        <w:jc w:val="both"/>
        <w:rPr>
          <w:rFonts w:ascii="楷体_GB2312" w:eastAsia="楷体_GB2312"/>
          <w:b/>
        </w:rPr>
      </w:pPr>
      <w:r>
        <w:rPr>
          <w:rFonts w:hint="eastAsia" w:ascii="楷体_GB2312" w:eastAsia="楷体_GB2312"/>
          <w:b/>
        </w:rPr>
        <w:t>（四）预算绩效管理情况。</w:t>
      </w:r>
    </w:p>
    <w:p>
      <w:pPr>
        <w:ind w:firstLine="640"/>
        <w:jc w:val="both"/>
      </w:pPr>
      <w:r>
        <w:rPr>
          <w:rFonts w:hint="eastAsia"/>
        </w:rPr>
        <w:t>根据预算绩效管理要求，本部门（单位）在年初预算编制阶段，组织对0项目（项目名称）开展了预算事前绩效评估，对17个项目编制了绩效目标，预算执行过程中，选取0个项目开展绩效监控，年终执行完毕后，对5个项目开展了绩效目标完成情况自评。本部门按要求对2020年部门整体支出开展绩效自评，从评价情况来看资金到位不及时，项目工作开展滞后。本部门还自行组织了5个项目支出绩效评价，从评价情况来看资金到位不及时。</w:t>
      </w:r>
    </w:p>
    <w:p>
      <w:pPr>
        <w:ind w:firstLine="640"/>
        <w:jc w:val="both"/>
      </w:pPr>
      <w:r>
        <w:rPr>
          <w:rFonts w:hint="eastAsia"/>
        </w:rPr>
        <w:t>1.项目绩效目标完成情况。</w:t>
      </w:r>
    </w:p>
    <w:p>
      <w:pPr>
        <w:ind w:firstLine="640"/>
        <w:jc w:val="both"/>
      </w:pPr>
      <w:r>
        <w:rPr>
          <w:rFonts w:hint="eastAsia"/>
        </w:rPr>
        <w:t>本部门在2020年度部门决算中反映“艾滋病防治配套经费”、“结核病防治配套经费”、“计量认证配套经费”、“地方病防治配套经费”、“水质监测配套经费”5个项目绩效目标实际完成情况。（本单位部门项目绩效目标个数在5个以上的，选取5个项目进行公开，目标个数在5个以下的，全部进行公开，公开内容包括选取的全部项目完成情况综述和完成情况表）。</w:t>
      </w:r>
    </w:p>
    <w:p>
      <w:pPr>
        <w:numPr>
          <w:ilvl w:val="0"/>
          <w:numId w:val="1"/>
        </w:numPr>
        <w:ind w:firstLine="640"/>
        <w:jc w:val="both"/>
      </w:pPr>
      <w:r>
        <w:rPr>
          <w:rFonts w:hint="eastAsia"/>
        </w:rPr>
        <w:t>艾滋病防治配套项目绩效目标完成情况综述。项目全年预算数100万元，实际到位96万，执行数为76.22万元，完成预算的76.22%。通过项目实施，积极履行艾滋病防治技术总牵头和预防干预具体牵头职责，统筹做好防治技术顶层设计、方案制定、组织实施、督导检查。负责组织定点医疗机构和妇幼保健机构等定期研究分析艾滋病抗病毒治疗管理、预防母婴传播、健康干预工作进展，提出建议意见；建立有效评估当地疫情的监测网络，开展疫情分析，摸清疫情态势和流行危险因素；负责检测实验室的规划布局和管理，多渠道，多形式开展检测发现，扩大检测覆盖面：及时更新疫情库数据，及时将感染者和病人信息通报定点医疗机构和妇幼保健机构；对新发现、既往确诊未治疗感染者和病人进行随访动员，转介至定点医疗机构，落实转介“三见面”要求，追踪转介结果；落实戒毒药物维持治疗、安全套推广、单阳家庭干预、宣传教育等措施；加强与监管场所对接，落实羁押人员全员检测、出所转介工作；主动为相关部门、社会组织开展艾滋病防治提供技术支持。确保艾滋病防治知识知晓率2018年、2019年、2020年底分别达85％、88％、90％，感染者和病人发现率2018年、2019年、2020年底分别达85％、88％、90%。发现的主要问题：</w:t>
      </w:r>
      <w:r>
        <w:rPr>
          <w:rFonts w:hint="eastAsia"/>
          <w:lang w:eastAsia="zh-CN"/>
        </w:rPr>
        <w:t>一是</w:t>
      </w:r>
      <w:r>
        <w:rPr>
          <w:rFonts w:hint="eastAsia"/>
        </w:rPr>
        <w:t>群众对艾滋病防治知识了解不全，恐艾歧艾心理普遍存在。部分居民对艾滋病知识了解不全，也不愿意参加到艾滋病防治知识宣传活动中，对艾滋病感染者/病人存在恐慌、歧视心理，造成艾滋病防治工作推进困难。</w:t>
      </w:r>
      <w:r>
        <w:rPr>
          <w:rFonts w:hint="eastAsia"/>
          <w:lang w:eastAsia="zh-CN"/>
        </w:rPr>
        <w:t>二是</w:t>
      </w:r>
      <w:r>
        <w:rPr>
          <w:rFonts w:hint="eastAsia"/>
        </w:rPr>
        <w:t>专业技术人员水平参差不齐，艾防工作开展困难。基层艾防专业技术人员专业技术水平普遍不高，多数人缺乏专业的艾滋病防治知识，影响艾滋病工作开展的质量。同时，基层工作任务繁重，存在一人身兼数职的情况，不利于工作开展。</w:t>
      </w:r>
      <w:r>
        <w:rPr>
          <w:rFonts w:hint="eastAsia"/>
          <w:lang w:eastAsia="zh-CN"/>
        </w:rPr>
        <w:t>三是</w:t>
      </w:r>
      <w:r>
        <w:rPr>
          <w:rFonts w:hint="eastAsia"/>
        </w:rPr>
        <w:t>部门协作机制不完善，仅依靠卫生系统难以完成艾防工作。我区尽管成立了重大疾病领导小组，由二十多个区级部门组成，但部分部门参与程度不高，仅依靠卫健部门独立承担逐步精细化、高标准的艾防工作是十分困难的。下一步改进措施：</w:t>
      </w:r>
      <w:r>
        <w:rPr>
          <w:rFonts w:hint="eastAsia"/>
          <w:lang w:eastAsia="zh-CN"/>
        </w:rPr>
        <w:t>一是</w:t>
      </w:r>
      <w:r>
        <w:rPr>
          <w:rFonts w:hint="eastAsia"/>
        </w:rPr>
        <w:t>加强组织领导，促进多部门协作。由区政府牵头，进一步增强做好艾滋病防治工作的紧迫感和责任感，加强相关部门的协作与联动，形成齐抓共管、同心协力的良好局面，共同健全和完善多部门合作、全社会参与的艾滋病防控机制。</w:t>
      </w:r>
      <w:r>
        <w:rPr>
          <w:rFonts w:hint="eastAsia"/>
          <w:lang w:eastAsia="zh-CN"/>
        </w:rPr>
        <w:t>二是</w:t>
      </w:r>
      <w:r>
        <w:rPr>
          <w:rFonts w:hint="eastAsia"/>
        </w:rPr>
        <w:t>发挥基层宣传作用，加大宣传力度</w:t>
      </w:r>
      <w:r>
        <w:rPr>
          <w:rFonts w:hint="eastAsia"/>
          <w:lang w:eastAsia="zh-CN"/>
        </w:rPr>
        <w:t>。</w:t>
      </w:r>
      <w:r>
        <w:rPr>
          <w:rFonts w:hint="eastAsia"/>
        </w:rPr>
        <w:t>明确宣传重点：根据人群特点，有针对性的进行宣传教育，如社区居民主要宣传艾滋病的传播途径、流行特点及防护知识；青少年学生主要是思想道德建设、树立正确的性观念及防护知识；重点人群主要是防护知识及自愿咨询检测的相关政策。发挥基层特点：要充分发挥基层组织的作用，采取有效的宣传教育形式贴近受众进行宣传，可结合新媒体如抖音、微信公众号等方式，进行艾滋病防治及相关知识的普及。3.提升专业技术水平，提高服务质量由我区“三线”管理办公室负责对全区各基层医疗机构开展艾滋病防治知识培训，着重于基层具体工作开展和业务工作实施。</w:t>
      </w:r>
    </w:p>
    <w:p>
      <w:pPr>
        <w:ind w:firstLine="640"/>
        <w:jc w:val="both"/>
      </w:pPr>
      <w:r>
        <w:rPr>
          <w:rFonts w:hint="eastAsia"/>
        </w:rPr>
        <w:t>（2）</w:t>
      </w:r>
      <w:r>
        <w:rPr>
          <w:rFonts w:hint="eastAsia"/>
        </w:rPr>
        <w:tab/>
      </w:r>
      <w:r>
        <w:rPr>
          <w:rFonts w:hint="eastAsia"/>
        </w:rPr>
        <w:t>结核病防治配套项目绩效目标完成情况综述。项目全年预算数1万元，实际到位1万元，执行数为1万元，完成预算的100%。通过项目实施，进一步完善“政府组织领导、部门各负其责、全社会共同参与”的防治机制，及时发现和规范治疗管理结核病患者，持续降低结核病的感染、发病与死亡，确保结核疫情稳步下降，提高群众健康水平。发现的主要问题：</w:t>
      </w:r>
      <w:r>
        <w:rPr>
          <w:rFonts w:hint="eastAsia"/>
          <w:lang w:eastAsia="zh-CN"/>
        </w:rPr>
        <w:t>一是</w:t>
      </w:r>
      <w:r>
        <w:rPr>
          <w:rFonts w:hint="eastAsia"/>
        </w:rPr>
        <w:t>结核知识宣传不够全面，没有做到人群全覆盖，特别文化程度较低的老年人对结核病知识知识了解不全。</w:t>
      </w:r>
      <w:r>
        <w:rPr>
          <w:rFonts w:hint="eastAsia"/>
          <w:lang w:eastAsia="zh-CN"/>
        </w:rPr>
        <w:t>二是</w:t>
      </w:r>
      <w:r>
        <w:rPr>
          <w:rFonts w:hint="eastAsia"/>
        </w:rPr>
        <w:t>专业技术人员水平需要不断提高。一些基层结核专业技术人员更换频繁，部分人员责任心不强，影响结核病工作管理和筛查质量。</w:t>
      </w:r>
      <w:r>
        <w:rPr>
          <w:rFonts w:hint="eastAsia"/>
          <w:lang w:eastAsia="zh-CN"/>
        </w:rPr>
        <w:t>三是</w:t>
      </w:r>
      <w:r>
        <w:rPr>
          <w:rFonts w:hint="eastAsia"/>
        </w:rPr>
        <w:t>我区结核病患者负担较重，患者报销做不到实时报销，特别是居民医保报销比例过低，患者存在因病致病和因病返贫现象。下一步改进措施：</w:t>
      </w:r>
      <w:r>
        <w:rPr>
          <w:rFonts w:hint="eastAsia"/>
          <w:lang w:eastAsia="zh-CN"/>
        </w:rPr>
        <w:t>一是</w:t>
      </w:r>
      <w:r>
        <w:rPr>
          <w:rFonts w:hint="eastAsia"/>
        </w:rPr>
        <w:t>加强组织领导，促进多部门协作。由区政府牵头，进一步加强相关部门的协作与联动，形成齐抓共管、同心协力的良好局面，共同健全和完善多部门合作、全社会参与的结核病防控机制。加大宣传力度，根据人群特点，有针对性的进行宣传教育，联合艾滋宣传做好结核艾滋双感知识宣传。</w:t>
      </w:r>
      <w:r>
        <w:rPr>
          <w:rFonts w:hint="eastAsia"/>
          <w:lang w:eastAsia="zh-CN"/>
        </w:rPr>
        <w:t>二是</w:t>
      </w:r>
      <w:r>
        <w:rPr>
          <w:rFonts w:hint="eastAsia"/>
        </w:rPr>
        <w:t>稳定防痨队伍，加强培训，提高专业知识，提升服务能力和服务水平。</w:t>
      </w:r>
      <w:r>
        <w:rPr>
          <w:rFonts w:hint="eastAsia"/>
          <w:lang w:eastAsia="zh-CN"/>
        </w:rPr>
        <w:t>三是</w:t>
      </w:r>
      <w:r>
        <w:rPr>
          <w:rFonts w:hint="eastAsia"/>
        </w:rPr>
        <w:t>不断完善医保政策，让患者能实时报销，希望能实行单病种付费，能将患者基本检查费等纳入报销范畴，减轻患者负担，对家庭主要劳动者患病的情况给予相关政策补助。</w:t>
      </w:r>
    </w:p>
    <w:p>
      <w:pPr>
        <w:ind w:firstLine="640"/>
        <w:jc w:val="both"/>
      </w:pPr>
      <w:r>
        <w:rPr>
          <w:rFonts w:hint="eastAsia"/>
        </w:rPr>
        <w:t>（3）计量认证配套项目绩效目标完成情况综述。项目全年预算数2万元，实际到位0.05万元，执行数为1.2万元，完成预算的60%。通过项目实施，维持检验检测能力。发现的主要问题：随着检验检测相关工作量的急剧增长，工作经费不能满足进一步提升能力的需要。下一步改进措施：根据工作量的增长，增加预算。</w:t>
      </w:r>
    </w:p>
    <w:p>
      <w:pPr>
        <w:ind w:firstLine="640"/>
        <w:jc w:val="both"/>
      </w:pPr>
      <w:r>
        <w:rPr>
          <w:rFonts w:hint="eastAsia"/>
        </w:rPr>
        <w:t>（4）地方病配套项目绩效目标完成情况综述。项目全年预算数1万元，实际到位0.5万元，执行数为0.04万元，完成预算的4.00%。通过项目实施，保持消除碘缺乏危害状态。2020年绩效目标：</w:t>
      </w:r>
      <w:r>
        <w:rPr>
          <w:rFonts w:hint="eastAsia"/>
          <w:lang w:eastAsia="zh-CN"/>
        </w:rPr>
        <w:t>一是</w:t>
      </w:r>
      <w:r>
        <w:rPr>
          <w:rFonts w:hint="eastAsia"/>
        </w:rPr>
        <w:t>8-10岁儿童尿碘、盐碘全区全年完成监测总人数不少于200人；尿碘中位数≥100μg/L。</w:t>
      </w:r>
      <w:r>
        <w:rPr>
          <w:rFonts w:hint="eastAsia"/>
          <w:lang w:eastAsia="zh-CN"/>
        </w:rPr>
        <w:t>二是</w:t>
      </w:r>
      <w:r>
        <w:rPr>
          <w:rFonts w:hint="eastAsia"/>
        </w:rPr>
        <w:t>孕妇尿碘、盐碘全区全年完成监测总人数不少于100人；尿碘中位数≥150μg/L。</w:t>
      </w:r>
      <w:r>
        <w:rPr>
          <w:rFonts w:hint="eastAsia"/>
          <w:lang w:eastAsia="zh-CN"/>
        </w:rPr>
        <w:t>三是</w:t>
      </w:r>
      <w:r>
        <w:rPr>
          <w:rFonts w:hint="eastAsia"/>
        </w:rPr>
        <w:t>合格碘盐覆盖率&gt;90%。发现的主要问题：</w:t>
      </w:r>
      <w:r>
        <w:rPr>
          <w:rFonts w:hint="eastAsia"/>
          <w:lang w:eastAsia="zh-CN"/>
        </w:rPr>
        <w:t>一是</w:t>
      </w:r>
      <w:r>
        <w:rPr>
          <w:rFonts w:hint="eastAsia"/>
        </w:rPr>
        <w:t>部份儿童碘营养状况为碘过量，本次监测的儿童中有30.5%的儿童尿碘水平</w:t>
      </w:r>
      <w:r>
        <w:rPr>
          <w:rFonts w:hint="eastAsia" w:ascii="微软雅黑" w:hAnsi="微软雅黑" w:eastAsia="微软雅黑" w:cs="微软雅黑"/>
        </w:rPr>
        <w:t>≧</w:t>
      </w:r>
      <w:r>
        <w:rPr>
          <w:rFonts w:hint="eastAsia"/>
        </w:rPr>
        <w:t>300μg/L。</w:t>
      </w:r>
      <w:r>
        <w:rPr>
          <w:rFonts w:hint="eastAsia"/>
          <w:lang w:eastAsia="zh-CN"/>
        </w:rPr>
        <w:t>二是</w:t>
      </w:r>
      <w:r>
        <w:rPr>
          <w:rFonts w:hint="eastAsia"/>
        </w:rPr>
        <w:t>目前市场上非碘盐管理不严格，各超市中均有非碘盐出售，居民不需提供医院证明材料就能随意购买到非碘盐。下一步改进措施：加强组织领导，促进多部门协作要进一步加强与盐政、工商部门、经信、食药部门的配合，切实做好市场上非碘盐的销售管理工作，确保市场合格碘盐的供应。持续关注部份儿童碘营养水平过量现象。</w:t>
      </w:r>
    </w:p>
    <w:p>
      <w:pPr>
        <w:ind w:firstLine="640"/>
        <w:jc w:val="both"/>
      </w:pPr>
      <w:r>
        <w:rPr>
          <w:rFonts w:hint="eastAsia"/>
        </w:rPr>
        <w:t>（5）水质监测配套经费项目绩效目标完成情况综述。项目全年预算数1万元，实际到位0.068万元，执行数为1万元，完成预算的100%。通过项目实施，生活饮用水卫生安全关系到广大人民群众的身体健康和生命安全，对于改善人居环境、提高人民生活质量具有重要意义。通过合理布</w:t>
      </w:r>
      <w:r>
        <w:rPr>
          <w:rFonts w:hint="eastAsia" w:cs="微软雅黑"/>
        </w:rPr>
        <w:t>置</w:t>
      </w:r>
      <w:r>
        <w:rPr>
          <w:rFonts w:hint="eastAsia" w:cs="仿宋_GB2312"/>
        </w:rPr>
        <w:t>监测点，每季度对辖区生活饮用水进行水质卫生监测，系统地了解我区生活饮用水卫生基</w:t>
      </w:r>
      <w:r>
        <w:rPr>
          <w:rFonts w:hint="eastAsia"/>
        </w:rPr>
        <w:t>本状况，为加强生活饮用水安全管理工作提供依据和技术支持。发现的主要问题：一是行政区划调整后按国家省市方案要求全区各乡镇农村生活饮用水全部覆盖，覆盖率存在差别；二是农村分散式供水单位较多，相关数据不够清楚；三是二次供水和小区现制现售水卫生监测工作，是不是应该由区疾控来承担，即使承担经费怎样落实。下一步改进措施：一是各个地区管网延伸和行政区划调整等相关信息和数据希望信息相关职能部门予以提供；二是希望区水务局尽快提供分散式供水数据及检测方案，便于区疾控合理安排检测；三是二次供水和小区现制现售水日常检测由第三方承担。</w:t>
      </w:r>
    </w:p>
    <w:p>
      <w:pPr>
        <w:ind w:firstLine="640"/>
        <w:jc w:val="both"/>
      </w:pPr>
    </w:p>
    <w:p>
      <w:pPr>
        <w:ind w:firstLine="640"/>
        <w:jc w:val="both"/>
      </w:pPr>
    </w:p>
    <w:p>
      <w:pPr>
        <w:ind w:firstLine="640"/>
        <w:jc w:val="both"/>
      </w:pPr>
    </w:p>
    <w:p>
      <w:pPr>
        <w:ind w:left="0" w:leftChars="0" w:firstLine="0" w:firstLineChars="0"/>
        <w:jc w:val="both"/>
      </w:pPr>
    </w:p>
    <w:p>
      <w:pPr>
        <w:ind w:left="0" w:leftChars="0" w:firstLine="0" w:firstLineChars="0"/>
        <w:jc w:val="both"/>
        <w:sectPr>
          <w:footerReference r:id="rId11" w:type="default"/>
          <w:footerReference r:id="rId12" w:type="even"/>
          <w:pgSz w:w="11906" w:h="16838"/>
          <w:pgMar w:top="2098" w:right="1474" w:bottom="1985" w:left="1588" w:header="851" w:footer="992" w:gutter="0"/>
          <w:pgNumType w:start="1"/>
          <w:cols w:space="425" w:num="1"/>
          <w:docGrid w:type="lines" w:linePitch="312" w:charSpace="0"/>
        </w:sectPr>
      </w:pPr>
    </w:p>
    <w:p>
      <w:pPr>
        <w:ind w:firstLine="640"/>
        <w:jc w:val="both"/>
        <w:rPr>
          <w:rFonts w:hint="eastAsia"/>
          <w:highlight w:val="none"/>
        </w:rPr>
      </w:pPr>
    </w:p>
    <w:p>
      <w:pPr>
        <w:spacing w:line="400" w:lineRule="exact"/>
        <w:ind w:firstLine="0" w:firstLineChars="0"/>
        <w:jc w:val="center"/>
        <w:rPr>
          <w:rFonts w:hint="eastAsia" w:ascii="方正小标宋简体" w:eastAsia="方正小标宋简体"/>
          <w:highlight w:val="none"/>
        </w:rPr>
      </w:pPr>
      <w:r>
        <w:rPr>
          <w:rFonts w:hint="eastAsia" w:ascii="方正小标宋简体" w:eastAsia="方正小标宋简体"/>
          <w:highlight w:val="none"/>
        </w:rPr>
        <w:t>项目绩效目标完成情况表</w:t>
      </w:r>
    </w:p>
    <w:p>
      <w:pPr>
        <w:spacing w:line="400" w:lineRule="exact"/>
        <w:ind w:firstLine="0" w:firstLineChars="0"/>
        <w:jc w:val="center"/>
        <w:rPr>
          <w:rFonts w:ascii="方正小标宋简体" w:eastAsia="方正小标宋简体"/>
          <w:highlight w:val="none"/>
        </w:rPr>
      </w:pPr>
      <w:r>
        <w:rPr>
          <w:rFonts w:hint="eastAsia" w:ascii="方正小标宋简体" w:eastAsia="方正小标宋简体"/>
          <w:highlight w:val="none"/>
        </w:rPr>
        <w:t>(2020年度)</w:t>
      </w:r>
    </w:p>
    <w:tbl>
      <w:tblPr>
        <w:tblStyle w:val="10"/>
        <w:tblpPr w:leftFromText="180" w:rightFromText="180" w:vertAnchor="text" w:horzAnchor="page" w:tblpXSpec="center" w:tblpY="395"/>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
        <w:gridCol w:w="1363"/>
        <w:gridCol w:w="1025"/>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8" w:hRule="atLeast"/>
          <w:jc w:val="center"/>
        </w:trPr>
        <w:tc>
          <w:tcPr>
            <w:tcW w:w="2782" w:type="dxa"/>
            <w:gridSpan w:val="3"/>
          </w:tcPr>
          <w:p>
            <w:pPr>
              <w:widowControl w:val="0"/>
              <w:autoSpaceDE w:val="0"/>
              <w:autoSpaceDN w:val="0"/>
              <w:spacing w:before="16"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项目名称</w:t>
            </w:r>
          </w:p>
        </w:tc>
        <w:tc>
          <w:tcPr>
            <w:tcW w:w="7179" w:type="dxa"/>
            <w:gridSpan w:val="3"/>
          </w:tcPr>
          <w:p>
            <w:pPr>
              <w:widowControl w:val="0"/>
              <w:autoSpaceDE w:val="0"/>
              <w:autoSpaceDN w:val="0"/>
              <w:spacing w:before="16"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艾滋病防治配套项目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2782" w:type="dxa"/>
            <w:gridSpan w:val="3"/>
          </w:tcPr>
          <w:p>
            <w:pPr>
              <w:widowControl w:val="0"/>
              <w:autoSpaceDE w:val="0"/>
              <w:autoSpaceDN w:val="0"/>
              <w:spacing w:before="14"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预算单位</w:t>
            </w:r>
          </w:p>
        </w:tc>
        <w:tc>
          <w:tcPr>
            <w:tcW w:w="7179" w:type="dxa"/>
            <w:gridSpan w:val="3"/>
          </w:tcPr>
          <w:p>
            <w:pPr>
              <w:widowControl w:val="0"/>
              <w:autoSpaceDE w:val="0"/>
              <w:autoSpaceDN w:val="0"/>
              <w:spacing w:before="14"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自流井区疾控中心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94" w:type="dxa"/>
            <w:vMerge w:val="restart"/>
          </w:tcPr>
          <w:p>
            <w:pPr>
              <w:widowControl w:val="0"/>
              <w:autoSpaceDE w:val="0"/>
              <w:autoSpaceDN w:val="0"/>
              <w:spacing w:before="16" w:line="242" w:lineRule="auto"/>
              <w:ind w:left="14" w:right="7" w:firstLine="60"/>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预算执行情况</w:t>
            </w:r>
            <w:r>
              <w:rPr>
                <w:rFonts w:ascii="宋体" w:hAnsi="宋体" w:eastAsia="宋体" w:cs="宋体"/>
                <w:spacing w:val="1"/>
                <w:sz w:val="24"/>
                <w:szCs w:val="22"/>
                <w:lang w:val="en-US" w:eastAsia="zh-CN" w:bidi="ar-SA"/>
              </w:rPr>
              <w:t xml:space="preserve"> </w:t>
            </w:r>
            <w:r>
              <w:rPr>
                <w:rFonts w:ascii="宋体" w:hAnsi="宋体" w:eastAsia="宋体" w:cs="宋体"/>
                <w:spacing w:val="-9"/>
                <w:sz w:val="24"/>
                <w:szCs w:val="22"/>
                <w:lang w:val="en-US" w:eastAsia="zh-CN" w:bidi="ar-SA"/>
              </w:rPr>
              <w:t>(万</w:t>
            </w:r>
          </w:p>
          <w:p>
            <w:pPr>
              <w:widowControl w:val="0"/>
              <w:autoSpaceDE w:val="0"/>
              <w:autoSpaceDN w:val="0"/>
              <w:spacing w:before="11" w:line="292" w:lineRule="exact"/>
              <w:ind w:left="14"/>
              <w:rPr>
                <w:rFonts w:ascii="宋体" w:hAnsi="宋体" w:eastAsia="宋体" w:cs="宋体"/>
                <w:sz w:val="24"/>
                <w:szCs w:val="22"/>
                <w:lang w:val="en-US" w:eastAsia="zh-CN" w:bidi="ar-SA"/>
              </w:rPr>
            </w:pPr>
            <w:r>
              <w:rPr>
                <w:rFonts w:ascii="宋体" w:hAnsi="宋体" w:eastAsia="宋体" w:cs="宋体"/>
                <w:sz w:val="24"/>
                <w:szCs w:val="22"/>
                <w:lang w:val="en-US" w:eastAsia="zh-CN" w:bidi="ar-SA"/>
              </w:rPr>
              <w:t>元)</w:t>
            </w:r>
          </w:p>
        </w:tc>
        <w:tc>
          <w:tcPr>
            <w:tcW w:w="2388" w:type="dxa"/>
            <w:gridSpan w:val="2"/>
          </w:tcPr>
          <w:p>
            <w:pPr>
              <w:widowControl w:val="0"/>
              <w:autoSpaceDE w:val="0"/>
              <w:autoSpaceDN w:val="0"/>
              <w:spacing w:before="16" w:line="292" w:lineRule="exact"/>
              <w:ind w:left="770"/>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预算数:</w:t>
            </w:r>
          </w:p>
        </w:tc>
        <w:tc>
          <w:tcPr>
            <w:tcW w:w="2393" w:type="dxa"/>
          </w:tcPr>
          <w:p>
            <w:pPr>
              <w:widowControl w:val="0"/>
              <w:autoSpaceDE w:val="0"/>
              <w:autoSpaceDN w:val="0"/>
              <w:spacing w:before="16" w:line="292" w:lineRule="exact"/>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100</w:t>
            </w:r>
          </w:p>
        </w:tc>
        <w:tc>
          <w:tcPr>
            <w:tcW w:w="2393" w:type="dxa"/>
          </w:tcPr>
          <w:p>
            <w:pPr>
              <w:widowControl w:val="0"/>
              <w:autoSpaceDE w:val="0"/>
              <w:autoSpaceDN w:val="0"/>
              <w:spacing w:before="16"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执行数:</w:t>
            </w:r>
          </w:p>
        </w:tc>
        <w:tc>
          <w:tcPr>
            <w:tcW w:w="2393" w:type="dxa"/>
          </w:tcPr>
          <w:p>
            <w:pPr>
              <w:widowControl w:val="0"/>
              <w:autoSpaceDE w:val="0"/>
              <w:autoSpaceDN w:val="0"/>
              <w:spacing w:before="16"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76.22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spacing w:before="14" w:line="292" w:lineRule="exact"/>
              <w:ind w:left="3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4" w:line="292" w:lineRule="exact"/>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100</w:t>
            </w:r>
          </w:p>
        </w:tc>
        <w:tc>
          <w:tcPr>
            <w:tcW w:w="2393" w:type="dxa"/>
          </w:tcPr>
          <w:p>
            <w:pPr>
              <w:widowControl w:val="0"/>
              <w:autoSpaceDE w:val="0"/>
              <w:autoSpaceDN w:val="0"/>
              <w:spacing w:before="14"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4"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76.22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vAlign w:val="center"/>
          </w:tcPr>
          <w:p>
            <w:pPr>
              <w:widowControl w:val="0"/>
              <w:autoSpaceDE w:val="0"/>
              <w:autoSpaceDN w:val="0"/>
              <w:ind w:left="0" w:leftChars="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vAlign w:val="center"/>
          </w:tcPr>
          <w:p>
            <w:pPr>
              <w:widowControl w:val="0"/>
              <w:autoSpaceDE w:val="0"/>
              <w:autoSpaceDN w:val="0"/>
              <w:jc w:val="center"/>
              <w:rPr>
                <w:rFonts w:ascii="宋体" w:hAnsi="宋体" w:eastAsia="宋体" w:cs="宋体"/>
                <w:sz w:val="24"/>
                <w:szCs w:val="22"/>
                <w:lang w:val="en-US" w:eastAsia="zh-CN" w:bidi="ar-SA"/>
              </w:rPr>
            </w:pPr>
          </w:p>
        </w:tc>
        <w:tc>
          <w:tcPr>
            <w:tcW w:w="2393" w:type="dxa"/>
            <w:vAlign w:val="center"/>
          </w:tcPr>
          <w:p>
            <w:pPr>
              <w:widowControl w:val="0"/>
              <w:autoSpaceDE w:val="0"/>
              <w:autoSpaceDN w:val="0"/>
              <w:ind w:left="0" w:leftChars="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94" w:type="dxa"/>
            <w:vMerge w:val="restart"/>
          </w:tcPr>
          <w:p>
            <w:pPr>
              <w:widowControl w:val="0"/>
              <w:autoSpaceDE w:val="0"/>
              <w:autoSpaceDN w:val="0"/>
              <w:spacing w:before="14"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年度目标完成情</w:t>
            </w:r>
          </w:p>
          <w:p>
            <w:pPr>
              <w:widowControl w:val="0"/>
              <w:autoSpaceDE w:val="0"/>
              <w:autoSpaceDN w:val="0"/>
              <w:spacing w:before="10" w:line="292" w:lineRule="exact"/>
              <w:ind w:left="74"/>
              <w:rPr>
                <w:rFonts w:ascii="宋体" w:hAnsi="宋体" w:eastAsia="宋体" w:cs="宋体"/>
                <w:sz w:val="24"/>
                <w:szCs w:val="22"/>
                <w:lang w:val="en-US" w:eastAsia="zh-CN" w:bidi="ar-SA"/>
              </w:rPr>
            </w:pPr>
            <w:r>
              <w:rPr>
                <w:rFonts w:ascii="宋体" w:hAnsi="宋体" w:eastAsia="宋体" w:cs="宋体"/>
                <w:sz w:val="24"/>
                <w:szCs w:val="22"/>
                <w:lang w:val="en-US" w:eastAsia="zh-CN" w:bidi="ar-SA"/>
              </w:rPr>
              <w:t>况</w:t>
            </w:r>
          </w:p>
        </w:tc>
        <w:tc>
          <w:tcPr>
            <w:tcW w:w="4781" w:type="dxa"/>
            <w:gridSpan w:val="3"/>
          </w:tcPr>
          <w:p>
            <w:pPr>
              <w:widowControl w:val="0"/>
              <w:autoSpaceDE w:val="0"/>
              <w:autoSpaceDN w:val="0"/>
              <w:spacing w:before="14" w:line="292" w:lineRule="exact"/>
              <w:ind w:left="5" w:right="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预期目标</w:t>
            </w:r>
          </w:p>
        </w:tc>
        <w:tc>
          <w:tcPr>
            <w:tcW w:w="4786" w:type="dxa"/>
            <w:gridSpan w:val="2"/>
          </w:tcPr>
          <w:p>
            <w:pPr>
              <w:widowControl w:val="0"/>
              <w:autoSpaceDE w:val="0"/>
              <w:autoSpaceDN w:val="0"/>
              <w:spacing w:before="14" w:line="292" w:lineRule="exact"/>
              <w:ind w:left="10" w:right="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实际完成目标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4"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4781" w:type="dxa"/>
            <w:gridSpan w:val="3"/>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62" w:line="242" w:lineRule="auto"/>
              <w:ind w:left="9" w:right="-29" w:hanging="30"/>
              <w:jc w:val="center"/>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全面落实各项艾滋病和性病预防控制措施，提</w:t>
            </w:r>
            <w:r>
              <w:rPr>
                <w:rFonts w:ascii="宋体" w:hAnsi="宋体" w:eastAsia="宋体" w:cs="宋体"/>
                <w:spacing w:val="-19"/>
                <w:sz w:val="24"/>
                <w:szCs w:val="22"/>
                <w:lang w:val="en-US" w:eastAsia="zh-CN" w:bidi="ar-SA"/>
              </w:rPr>
              <w:t>高发现率，扩大治疗覆盖面，提升治疗成功率，</w:t>
            </w:r>
            <w:r>
              <w:rPr>
                <w:rFonts w:ascii="宋体" w:hAnsi="宋体" w:eastAsia="宋体" w:cs="宋体"/>
                <w:spacing w:val="-100"/>
                <w:sz w:val="24"/>
                <w:szCs w:val="22"/>
                <w:lang w:val="en-US" w:eastAsia="zh-CN" w:bidi="ar-SA"/>
              </w:rPr>
              <w:t xml:space="preserve"> </w:t>
            </w:r>
            <w:r>
              <w:rPr>
                <w:rFonts w:ascii="宋体" w:hAnsi="宋体" w:eastAsia="宋体" w:cs="宋体"/>
                <w:spacing w:val="-2"/>
                <w:sz w:val="24"/>
                <w:szCs w:val="22"/>
                <w:lang w:val="en-US" w:eastAsia="zh-CN" w:bidi="ar-SA"/>
              </w:rPr>
              <w:t>降低死亡率，降低新发感染，提高感染者和病</w:t>
            </w:r>
            <w:r>
              <w:rPr>
                <w:rFonts w:ascii="宋体" w:hAnsi="宋体" w:eastAsia="宋体" w:cs="宋体"/>
                <w:sz w:val="24"/>
                <w:szCs w:val="22"/>
                <w:lang w:val="en-US" w:eastAsia="zh-CN" w:bidi="ar-SA"/>
              </w:rPr>
              <w:t>人的生活质量。</w:t>
            </w:r>
          </w:p>
        </w:tc>
        <w:tc>
          <w:tcPr>
            <w:tcW w:w="4786"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62" w:line="242" w:lineRule="auto"/>
              <w:ind w:left="12" w:right="-116" w:hanging="12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全面落实各项艾滋病和性病预防控制措施，提</w:t>
            </w:r>
            <w:r>
              <w:rPr>
                <w:rFonts w:ascii="宋体" w:hAnsi="宋体" w:eastAsia="宋体" w:cs="宋体"/>
                <w:spacing w:val="-14"/>
                <w:sz w:val="24"/>
                <w:szCs w:val="22"/>
                <w:lang w:val="en-US" w:eastAsia="zh-CN" w:bidi="ar-SA"/>
              </w:rPr>
              <w:t>高发现率，扩大治疗覆盖面，提升治疗成功率，</w:t>
            </w:r>
            <w:r>
              <w:rPr>
                <w:rFonts w:ascii="宋体" w:hAnsi="宋体" w:eastAsia="宋体" w:cs="宋体"/>
                <w:spacing w:val="-117"/>
                <w:sz w:val="24"/>
                <w:szCs w:val="22"/>
                <w:lang w:val="en-US" w:eastAsia="zh-CN" w:bidi="ar-SA"/>
              </w:rPr>
              <w:t xml:space="preserve"> </w:t>
            </w:r>
            <w:r>
              <w:rPr>
                <w:rFonts w:ascii="宋体" w:hAnsi="宋体" w:eastAsia="宋体" w:cs="宋体"/>
                <w:sz w:val="24"/>
                <w:szCs w:val="22"/>
                <w:lang w:val="en-US" w:eastAsia="zh-CN" w:bidi="ar-SA"/>
              </w:rPr>
              <w:t>降低死亡率，降低新发感染，提高感染者和病人的生活质量。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8" w:hRule="atLeast"/>
          <w:jc w:val="center"/>
        </w:trPr>
        <w:tc>
          <w:tcPr>
            <w:tcW w:w="394" w:type="dxa"/>
            <w:vMerge w:val="restart"/>
            <w:tcBorders>
              <w:bottom w:val="nil"/>
            </w:tcBorders>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76"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绩效指标完成情况</w:t>
            </w:r>
          </w:p>
        </w:tc>
        <w:tc>
          <w:tcPr>
            <w:tcW w:w="1363" w:type="dxa"/>
            <w:vAlign w:val="center"/>
          </w:tcPr>
          <w:p>
            <w:pPr>
              <w:widowControl w:val="0"/>
              <w:autoSpaceDE w:val="0"/>
              <w:autoSpaceDN w:val="0"/>
              <w:spacing w:before="1"/>
              <w:ind w:left="0" w:leftChars="0" w:right="56"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一级指标</w:t>
            </w:r>
          </w:p>
        </w:tc>
        <w:tc>
          <w:tcPr>
            <w:tcW w:w="1025" w:type="dxa"/>
            <w:vAlign w:val="center"/>
          </w:tcPr>
          <w:p>
            <w:pPr>
              <w:widowControl w:val="0"/>
              <w:autoSpaceDE w:val="0"/>
              <w:autoSpaceDN w:val="0"/>
              <w:spacing w:before="1"/>
              <w:ind w:left="0" w:leftChars="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二级指标</w:t>
            </w:r>
          </w:p>
        </w:tc>
        <w:tc>
          <w:tcPr>
            <w:tcW w:w="2393" w:type="dxa"/>
            <w:vAlign w:val="center"/>
          </w:tcPr>
          <w:p>
            <w:pPr>
              <w:widowControl w:val="0"/>
              <w:autoSpaceDE w:val="0"/>
              <w:autoSpaceDN w:val="0"/>
              <w:spacing w:before="1"/>
              <w:ind w:left="0" w:leftChars="0" w:right="85"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三级指标</w:t>
            </w:r>
          </w:p>
        </w:tc>
        <w:tc>
          <w:tcPr>
            <w:tcW w:w="2393" w:type="dxa"/>
            <w:vAlign w:val="center"/>
          </w:tcPr>
          <w:p>
            <w:pPr>
              <w:widowControl w:val="0"/>
              <w:autoSpaceDE w:val="0"/>
              <w:autoSpaceDN w:val="0"/>
              <w:spacing w:line="242" w:lineRule="auto"/>
              <w:ind w:left="0" w:leftChars="0" w:right="47" w:firstLine="0" w:firstLineChars="0"/>
              <w:jc w:val="center"/>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预期指标值(包含数字</w:t>
            </w:r>
            <w:r>
              <w:rPr>
                <w:rFonts w:ascii="宋体" w:hAnsi="宋体" w:eastAsia="宋体" w:cs="宋体"/>
                <w:sz w:val="24"/>
                <w:szCs w:val="22"/>
                <w:lang w:val="en-US" w:eastAsia="zh-CN" w:bidi="ar-SA"/>
              </w:rPr>
              <w:t>及文字描述)</w:t>
            </w:r>
          </w:p>
        </w:tc>
        <w:tc>
          <w:tcPr>
            <w:tcW w:w="2393" w:type="dxa"/>
            <w:vAlign w:val="center"/>
          </w:tcPr>
          <w:p>
            <w:pPr>
              <w:widowControl w:val="0"/>
              <w:autoSpaceDE w:val="0"/>
              <w:autoSpaceDN w:val="0"/>
              <w:spacing w:line="242" w:lineRule="auto"/>
              <w:ind w:left="0" w:leftChars="0" w:right="44" w:firstLine="0" w:firstLineChars="0"/>
              <w:jc w:val="center"/>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实际完成指标值(包含</w:t>
            </w:r>
            <w:r>
              <w:rPr>
                <w:rFonts w:ascii="宋体" w:hAnsi="宋体" w:eastAsia="宋体" w:cs="宋体"/>
                <w:sz w:val="24"/>
                <w:szCs w:val="22"/>
                <w:lang w:val="en-US" w:eastAsia="zh-CN" w:bidi="ar-SA"/>
              </w:rPr>
              <w:t>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394" w:type="dxa"/>
            <w:vMerge w:val="continue"/>
            <w:tcBorders>
              <w:top w:val="nil"/>
              <w:bottom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vAlign w:val="center"/>
          </w:tcPr>
          <w:p>
            <w:pPr>
              <w:widowControl w:val="0"/>
              <w:autoSpaceDE w:val="0"/>
              <w:autoSpaceDN w:val="0"/>
              <w:spacing w:before="179" w:line="242" w:lineRule="auto"/>
              <w:ind w:left="0" w:leftChars="0" w:right="74" w:firstLine="0" w:firstLineChars="0"/>
              <w:jc w:val="center"/>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vAlign w:val="center"/>
          </w:tcPr>
          <w:p>
            <w:pPr>
              <w:widowControl w:val="0"/>
              <w:autoSpaceDE w:val="0"/>
              <w:autoSpaceDN w:val="0"/>
              <w:jc w:val="center"/>
              <w:rPr>
                <w:rFonts w:ascii="Times New Roman" w:hAnsi="宋体" w:eastAsia="宋体" w:cs="宋体"/>
                <w:sz w:val="24"/>
                <w:szCs w:val="22"/>
                <w:lang w:val="en-US" w:eastAsia="zh-CN" w:bidi="ar-SA"/>
              </w:rPr>
            </w:pPr>
          </w:p>
        </w:tc>
        <w:tc>
          <w:tcPr>
            <w:tcW w:w="2393" w:type="dxa"/>
            <w:vAlign w:val="center"/>
          </w:tcPr>
          <w:p>
            <w:pPr>
              <w:widowControl w:val="0"/>
              <w:autoSpaceDE w:val="0"/>
              <w:autoSpaceDN w:val="0"/>
              <w:ind w:left="0" w:leftChars="0" w:right="85"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数量指标</w:t>
            </w:r>
          </w:p>
        </w:tc>
        <w:tc>
          <w:tcPr>
            <w:tcW w:w="2393" w:type="dxa"/>
            <w:vAlign w:val="center"/>
          </w:tcPr>
          <w:p>
            <w:pPr>
              <w:widowControl w:val="0"/>
              <w:autoSpaceDE w:val="0"/>
              <w:autoSpaceDN w:val="0"/>
              <w:ind w:left="0" w:leftChars="0" w:right="9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筛查人数</w:t>
            </w:r>
          </w:p>
        </w:tc>
        <w:tc>
          <w:tcPr>
            <w:tcW w:w="2393" w:type="dxa"/>
            <w:vAlign w:val="center"/>
          </w:tcPr>
          <w:p>
            <w:pPr>
              <w:widowControl w:val="0"/>
              <w:autoSpaceDE w:val="0"/>
              <w:autoSpaceDN w:val="0"/>
              <w:ind w:left="0" w:leftChars="0" w:right="84"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80400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jc w:val="center"/>
        </w:trPr>
        <w:tc>
          <w:tcPr>
            <w:tcW w:w="394" w:type="dxa"/>
            <w:vMerge w:val="continue"/>
            <w:tcBorders>
              <w:top w:val="nil"/>
              <w:bottom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vAlign w:val="center"/>
          </w:tcPr>
          <w:p>
            <w:pPr>
              <w:widowControl w:val="0"/>
              <w:autoSpaceDE w:val="0"/>
              <w:autoSpaceDN w:val="0"/>
              <w:spacing w:line="242" w:lineRule="auto"/>
              <w:ind w:left="0" w:leftChars="0" w:right="74" w:firstLine="0" w:firstLineChars="0"/>
              <w:jc w:val="center"/>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vAlign w:val="center"/>
          </w:tcPr>
          <w:p>
            <w:pPr>
              <w:widowControl w:val="0"/>
              <w:autoSpaceDE w:val="0"/>
              <w:autoSpaceDN w:val="0"/>
              <w:jc w:val="center"/>
              <w:rPr>
                <w:rFonts w:ascii="Times New Roman" w:hAnsi="宋体" w:eastAsia="宋体" w:cs="宋体"/>
                <w:sz w:val="24"/>
                <w:szCs w:val="22"/>
                <w:lang w:val="en-US" w:eastAsia="zh-CN" w:bidi="ar-SA"/>
              </w:rPr>
            </w:pPr>
          </w:p>
        </w:tc>
        <w:tc>
          <w:tcPr>
            <w:tcW w:w="2393" w:type="dxa"/>
            <w:vAlign w:val="center"/>
          </w:tcPr>
          <w:p>
            <w:pPr>
              <w:widowControl w:val="0"/>
              <w:autoSpaceDE w:val="0"/>
              <w:autoSpaceDN w:val="0"/>
              <w:spacing w:before="201"/>
              <w:ind w:left="0" w:leftChars="0" w:right="85"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数量指标</w:t>
            </w:r>
          </w:p>
        </w:tc>
        <w:tc>
          <w:tcPr>
            <w:tcW w:w="2393" w:type="dxa"/>
            <w:vAlign w:val="center"/>
          </w:tcPr>
          <w:p>
            <w:pPr>
              <w:widowControl w:val="0"/>
              <w:autoSpaceDE w:val="0"/>
              <w:autoSpaceDN w:val="0"/>
              <w:spacing w:before="201"/>
              <w:ind w:left="0" w:leftChars="0" w:right="9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随访检测</w:t>
            </w:r>
          </w:p>
        </w:tc>
        <w:tc>
          <w:tcPr>
            <w:tcW w:w="2393" w:type="dxa"/>
            <w:vAlign w:val="center"/>
          </w:tcPr>
          <w:p>
            <w:pPr>
              <w:widowControl w:val="0"/>
              <w:autoSpaceDE w:val="0"/>
              <w:autoSpaceDN w:val="0"/>
              <w:spacing w:before="201"/>
              <w:ind w:left="0" w:leftChars="0" w:right="84"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531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jc w:val="center"/>
        </w:trPr>
        <w:tc>
          <w:tcPr>
            <w:tcW w:w="394" w:type="dxa"/>
            <w:vMerge w:val="continue"/>
            <w:tcBorders>
              <w:top w:val="nil"/>
              <w:bottom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vAlign w:val="center"/>
          </w:tcPr>
          <w:p>
            <w:pPr>
              <w:widowControl w:val="0"/>
              <w:autoSpaceDE w:val="0"/>
              <w:autoSpaceDN w:val="0"/>
              <w:spacing w:before="201"/>
              <w:ind w:left="0" w:leftChars="0" w:right="56"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满意度指标</w:t>
            </w:r>
          </w:p>
        </w:tc>
        <w:tc>
          <w:tcPr>
            <w:tcW w:w="1025" w:type="dxa"/>
            <w:vAlign w:val="center"/>
          </w:tcPr>
          <w:p>
            <w:pPr>
              <w:widowControl w:val="0"/>
              <w:autoSpaceDE w:val="0"/>
              <w:autoSpaceDN w:val="0"/>
              <w:jc w:val="center"/>
              <w:rPr>
                <w:rFonts w:ascii="Times New Roman" w:hAnsi="宋体" w:eastAsia="宋体" w:cs="宋体"/>
                <w:sz w:val="24"/>
                <w:szCs w:val="22"/>
                <w:lang w:val="en-US" w:eastAsia="zh-CN" w:bidi="ar-SA"/>
              </w:rPr>
            </w:pPr>
          </w:p>
        </w:tc>
        <w:tc>
          <w:tcPr>
            <w:tcW w:w="2393" w:type="dxa"/>
            <w:vAlign w:val="center"/>
          </w:tcPr>
          <w:p>
            <w:pPr>
              <w:widowControl w:val="0"/>
              <w:autoSpaceDE w:val="0"/>
              <w:autoSpaceDN w:val="0"/>
              <w:spacing w:before="201"/>
              <w:ind w:left="0" w:leftChars="0" w:right="85"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w:t>
            </w:r>
          </w:p>
        </w:tc>
        <w:tc>
          <w:tcPr>
            <w:tcW w:w="2393" w:type="dxa"/>
            <w:vAlign w:val="center"/>
          </w:tcPr>
          <w:p>
            <w:pPr>
              <w:widowControl w:val="0"/>
              <w:autoSpaceDE w:val="0"/>
              <w:autoSpaceDN w:val="0"/>
              <w:spacing w:before="201"/>
              <w:ind w:left="0" w:leftChars="0" w:right="90"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群众满意度</w:t>
            </w:r>
          </w:p>
        </w:tc>
        <w:tc>
          <w:tcPr>
            <w:tcW w:w="2393" w:type="dxa"/>
            <w:vAlign w:val="center"/>
          </w:tcPr>
          <w:p>
            <w:pPr>
              <w:widowControl w:val="0"/>
              <w:autoSpaceDE w:val="0"/>
              <w:autoSpaceDN w:val="0"/>
              <w:spacing w:before="201"/>
              <w:ind w:left="0" w:leftChars="0" w:right="84" w:firstLine="0" w:firstLineChars="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90%</w:t>
            </w:r>
          </w:p>
        </w:tc>
      </w:tr>
    </w:tbl>
    <w:p>
      <w:pPr>
        <w:spacing w:line="400" w:lineRule="exact"/>
        <w:ind w:firstLine="0" w:firstLineChars="0"/>
        <w:jc w:val="center"/>
        <w:rPr>
          <w:rFonts w:ascii="方正小标宋简体" w:eastAsia="方正小标宋简体"/>
        </w:rPr>
      </w:pPr>
    </w:p>
    <w:p>
      <w:pPr>
        <w:spacing w:line="400" w:lineRule="exact"/>
        <w:ind w:firstLine="0" w:firstLineChars="0"/>
        <w:jc w:val="center"/>
        <w:rPr>
          <w:rFonts w:ascii="方正小标宋简体" w:eastAsia="方正小标宋简体"/>
        </w:rPr>
        <w:sectPr>
          <w:pgSz w:w="11906" w:h="16838"/>
          <w:pgMar w:top="1542" w:right="839" w:bottom="1378" w:left="862" w:header="851" w:footer="992" w:gutter="0"/>
          <w:cols w:space="425" w:num="1"/>
          <w:docGrid w:type="lines" w:linePitch="312" w:charSpace="0"/>
        </w:sectPr>
      </w:pPr>
    </w:p>
    <w:p>
      <w:pPr>
        <w:spacing w:line="400" w:lineRule="exact"/>
        <w:ind w:firstLine="0" w:firstLineChars="0"/>
        <w:jc w:val="center"/>
        <w:rPr>
          <w:rFonts w:hint="eastAsia" w:ascii="方正小标宋简体" w:eastAsia="方正小标宋简体"/>
          <w:highlight w:val="none"/>
        </w:rPr>
      </w:pPr>
      <w:r>
        <w:rPr>
          <w:rFonts w:hint="eastAsia" w:ascii="方正小标宋简体" w:eastAsia="方正小标宋简体"/>
          <w:highlight w:val="none"/>
        </w:rPr>
        <w:t>项目绩效目标完成情况表</w:t>
      </w:r>
    </w:p>
    <w:p>
      <w:pPr>
        <w:spacing w:line="400" w:lineRule="exact"/>
        <w:ind w:firstLine="0" w:firstLineChars="0"/>
        <w:jc w:val="center"/>
        <w:rPr>
          <w:rFonts w:hint="eastAsia" w:ascii="方正小标宋简体" w:eastAsia="方正小标宋简体"/>
          <w:highlight w:val="none"/>
        </w:rPr>
      </w:pPr>
      <w:r>
        <w:rPr>
          <w:rFonts w:hint="eastAsia" w:ascii="方正小标宋简体" w:eastAsia="方正小标宋简体"/>
          <w:highlight w:val="none"/>
        </w:rPr>
        <w:t>(2020年度)</w:t>
      </w:r>
    </w:p>
    <w:tbl>
      <w:tblPr>
        <w:tblStyle w:val="10"/>
        <w:tblpPr w:leftFromText="180" w:rightFromText="180" w:vertAnchor="text" w:horzAnchor="page" w:tblpXSpec="center" w:tblpY="409"/>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
        <w:gridCol w:w="1363"/>
        <w:gridCol w:w="1025"/>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8" w:hRule="atLeast"/>
          <w:jc w:val="center"/>
        </w:trPr>
        <w:tc>
          <w:tcPr>
            <w:tcW w:w="2782" w:type="dxa"/>
            <w:gridSpan w:val="3"/>
          </w:tcPr>
          <w:p>
            <w:pPr>
              <w:widowControl w:val="0"/>
              <w:autoSpaceDE w:val="0"/>
              <w:autoSpaceDN w:val="0"/>
              <w:spacing w:before="16"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项目名称</w:t>
            </w:r>
          </w:p>
        </w:tc>
        <w:tc>
          <w:tcPr>
            <w:tcW w:w="7179" w:type="dxa"/>
            <w:gridSpan w:val="3"/>
          </w:tcPr>
          <w:p>
            <w:pPr>
              <w:widowControl w:val="0"/>
              <w:autoSpaceDE w:val="0"/>
              <w:autoSpaceDN w:val="0"/>
              <w:spacing w:before="16"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结核病防治配套经费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2782" w:type="dxa"/>
            <w:gridSpan w:val="3"/>
          </w:tcPr>
          <w:p>
            <w:pPr>
              <w:widowControl w:val="0"/>
              <w:autoSpaceDE w:val="0"/>
              <w:autoSpaceDN w:val="0"/>
              <w:spacing w:before="14"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预算单位</w:t>
            </w:r>
          </w:p>
        </w:tc>
        <w:tc>
          <w:tcPr>
            <w:tcW w:w="7179" w:type="dxa"/>
            <w:gridSpan w:val="3"/>
          </w:tcPr>
          <w:p>
            <w:pPr>
              <w:widowControl w:val="0"/>
              <w:autoSpaceDE w:val="0"/>
              <w:autoSpaceDN w:val="0"/>
              <w:spacing w:before="14"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自流井区疾控中心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94" w:type="dxa"/>
            <w:vMerge w:val="restart"/>
          </w:tcPr>
          <w:p>
            <w:pPr>
              <w:widowControl w:val="0"/>
              <w:autoSpaceDE w:val="0"/>
              <w:autoSpaceDN w:val="0"/>
              <w:spacing w:before="16" w:line="242" w:lineRule="auto"/>
              <w:ind w:left="14" w:right="7" w:firstLine="60"/>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预算执行情况</w:t>
            </w:r>
            <w:r>
              <w:rPr>
                <w:rFonts w:ascii="宋体" w:hAnsi="宋体" w:eastAsia="宋体" w:cs="宋体"/>
                <w:spacing w:val="1"/>
                <w:sz w:val="24"/>
                <w:szCs w:val="22"/>
                <w:lang w:val="en-US" w:eastAsia="zh-CN" w:bidi="ar-SA"/>
              </w:rPr>
              <w:t xml:space="preserve"> </w:t>
            </w:r>
            <w:r>
              <w:rPr>
                <w:rFonts w:ascii="宋体" w:hAnsi="宋体" w:eastAsia="宋体" w:cs="宋体"/>
                <w:spacing w:val="-9"/>
                <w:sz w:val="24"/>
                <w:szCs w:val="22"/>
                <w:lang w:val="en-US" w:eastAsia="zh-CN" w:bidi="ar-SA"/>
              </w:rPr>
              <w:t>(万</w:t>
            </w:r>
          </w:p>
          <w:p>
            <w:pPr>
              <w:widowControl w:val="0"/>
              <w:autoSpaceDE w:val="0"/>
              <w:autoSpaceDN w:val="0"/>
              <w:spacing w:before="11" w:line="292" w:lineRule="exact"/>
              <w:ind w:left="14"/>
              <w:rPr>
                <w:rFonts w:ascii="宋体" w:hAnsi="宋体" w:eastAsia="宋体" w:cs="宋体"/>
                <w:sz w:val="24"/>
                <w:szCs w:val="22"/>
                <w:lang w:val="en-US" w:eastAsia="zh-CN" w:bidi="ar-SA"/>
              </w:rPr>
            </w:pPr>
            <w:r>
              <w:rPr>
                <w:rFonts w:ascii="宋体" w:hAnsi="宋体" w:eastAsia="宋体" w:cs="宋体"/>
                <w:sz w:val="24"/>
                <w:szCs w:val="22"/>
                <w:lang w:val="en-US" w:eastAsia="zh-CN" w:bidi="ar-SA"/>
              </w:rPr>
              <w:t>元)</w:t>
            </w:r>
          </w:p>
        </w:tc>
        <w:tc>
          <w:tcPr>
            <w:tcW w:w="2388" w:type="dxa"/>
            <w:gridSpan w:val="2"/>
          </w:tcPr>
          <w:p>
            <w:pPr>
              <w:widowControl w:val="0"/>
              <w:autoSpaceDE w:val="0"/>
              <w:autoSpaceDN w:val="0"/>
              <w:spacing w:before="16" w:line="292" w:lineRule="exact"/>
              <w:ind w:left="770"/>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预算数:</w:t>
            </w:r>
          </w:p>
        </w:tc>
        <w:tc>
          <w:tcPr>
            <w:tcW w:w="2393" w:type="dxa"/>
          </w:tcPr>
          <w:p>
            <w:pPr>
              <w:widowControl w:val="0"/>
              <w:autoSpaceDE w:val="0"/>
              <w:autoSpaceDN w:val="0"/>
              <w:spacing w:before="16"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c>
          <w:tcPr>
            <w:tcW w:w="2393" w:type="dxa"/>
          </w:tcPr>
          <w:p>
            <w:pPr>
              <w:widowControl w:val="0"/>
              <w:autoSpaceDE w:val="0"/>
              <w:autoSpaceDN w:val="0"/>
              <w:spacing w:before="16"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执行数:</w:t>
            </w:r>
          </w:p>
        </w:tc>
        <w:tc>
          <w:tcPr>
            <w:tcW w:w="2393" w:type="dxa"/>
          </w:tcPr>
          <w:p>
            <w:pPr>
              <w:widowControl w:val="0"/>
              <w:autoSpaceDE w:val="0"/>
              <w:autoSpaceDN w:val="0"/>
              <w:spacing w:before="16" w:line="292" w:lineRule="exact"/>
              <w:ind w:left="9"/>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spacing w:before="14" w:line="292" w:lineRule="exact"/>
              <w:ind w:left="3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4"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c>
          <w:tcPr>
            <w:tcW w:w="2393" w:type="dxa"/>
          </w:tcPr>
          <w:p>
            <w:pPr>
              <w:widowControl w:val="0"/>
              <w:autoSpaceDE w:val="0"/>
              <w:autoSpaceDN w:val="0"/>
              <w:spacing w:before="14"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4" w:line="292" w:lineRule="exact"/>
              <w:ind w:left="9"/>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6"/>
              <w:ind w:left="6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6"/>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94" w:type="dxa"/>
            <w:vMerge w:val="restart"/>
          </w:tcPr>
          <w:p>
            <w:pPr>
              <w:widowControl w:val="0"/>
              <w:autoSpaceDE w:val="0"/>
              <w:autoSpaceDN w:val="0"/>
              <w:spacing w:before="14"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年度目标完成情</w:t>
            </w:r>
          </w:p>
          <w:p>
            <w:pPr>
              <w:widowControl w:val="0"/>
              <w:autoSpaceDE w:val="0"/>
              <w:autoSpaceDN w:val="0"/>
              <w:spacing w:before="10" w:line="292" w:lineRule="exact"/>
              <w:ind w:left="74"/>
              <w:rPr>
                <w:rFonts w:ascii="宋体" w:hAnsi="宋体" w:eastAsia="宋体" w:cs="宋体"/>
                <w:sz w:val="24"/>
                <w:szCs w:val="22"/>
                <w:lang w:val="en-US" w:eastAsia="zh-CN" w:bidi="ar-SA"/>
              </w:rPr>
            </w:pPr>
            <w:r>
              <w:rPr>
                <w:rFonts w:ascii="宋体" w:hAnsi="宋体" w:eastAsia="宋体" w:cs="宋体"/>
                <w:sz w:val="24"/>
                <w:szCs w:val="22"/>
                <w:lang w:val="en-US" w:eastAsia="zh-CN" w:bidi="ar-SA"/>
              </w:rPr>
              <w:t>况</w:t>
            </w:r>
          </w:p>
        </w:tc>
        <w:tc>
          <w:tcPr>
            <w:tcW w:w="4781" w:type="dxa"/>
            <w:gridSpan w:val="3"/>
          </w:tcPr>
          <w:p>
            <w:pPr>
              <w:widowControl w:val="0"/>
              <w:autoSpaceDE w:val="0"/>
              <w:autoSpaceDN w:val="0"/>
              <w:spacing w:before="14" w:line="292" w:lineRule="exact"/>
              <w:ind w:left="5" w:right="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预期目标</w:t>
            </w:r>
          </w:p>
        </w:tc>
        <w:tc>
          <w:tcPr>
            <w:tcW w:w="4786" w:type="dxa"/>
            <w:gridSpan w:val="2"/>
          </w:tcPr>
          <w:p>
            <w:pPr>
              <w:widowControl w:val="0"/>
              <w:autoSpaceDE w:val="0"/>
              <w:autoSpaceDN w:val="0"/>
              <w:spacing w:before="14" w:line="292" w:lineRule="exact"/>
              <w:ind w:left="10" w:right="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实际完成目标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74"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4781" w:type="dxa"/>
            <w:gridSpan w:val="3"/>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9" w:right="5"/>
              <w:jc w:val="center"/>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及时发现和规范治疗管理结核病患者，持续降低结核病的感染、发病与死亡，确保结核疫情</w:t>
            </w:r>
            <w:r>
              <w:rPr>
                <w:rFonts w:ascii="宋体" w:hAnsi="宋体" w:eastAsia="宋体" w:cs="宋体"/>
                <w:sz w:val="24"/>
                <w:szCs w:val="22"/>
                <w:lang w:val="en-US" w:eastAsia="zh-CN" w:bidi="ar-SA"/>
              </w:rPr>
              <w:t>稳步下降，提高群众健康水平。</w:t>
            </w:r>
          </w:p>
        </w:tc>
        <w:tc>
          <w:tcPr>
            <w:tcW w:w="4786"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12" w:right="4"/>
              <w:jc w:val="center"/>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及时发现和规范治疗管理结核病患者，持续降低结核病的感染、发病与死亡，确保结核疫情</w:t>
            </w:r>
            <w:r>
              <w:rPr>
                <w:rFonts w:ascii="宋体" w:hAnsi="宋体" w:eastAsia="宋体" w:cs="宋体"/>
                <w:sz w:val="24"/>
                <w:szCs w:val="22"/>
                <w:lang w:val="en-US" w:eastAsia="zh-CN" w:bidi="ar-SA"/>
              </w:rPr>
              <w:t>稳步下降，提高群众健康水平。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8" w:hRule="atLeast"/>
          <w:jc w:val="center"/>
        </w:trPr>
        <w:tc>
          <w:tcPr>
            <w:tcW w:w="394" w:type="dxa"/>
            <w:vMerge w:val="restart"/>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
              <w:rPr>
                <w:rFonts w:ascii="宋体" w:hAnsi="宋体" w:eastAsia="宋体" w:cs="宋体"/>
                <w:sz w:val="28"/>
                <w:szCs w:val="22"/>
                <w:lang w:val="en-US" w:eastAsia="zh-CN" w:bidi="ar-SA"/>
              </w:rPr>
            </w:pPr>
          </w:p>
          <w:p>
            <w:pPr>
              <w:widowControl w:val="0"/>
              <w:autoSpaceDE w:val="0"/>
              <w:autoSpaceDN w:val="0"/>
              <w:spacing w:before="1"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绩效指标完成情况</w:t>
            </w:r>
          </w:p>
        </w:tc>
        <w:tc>
          <w:tcPr>
            <w:tcW w:w="1363" w:type="dxa"/>
          </w:tcPr>
          <w:p>
            <w:pPr>
              <w:widowControl w:val="0"/>
              <w:autoSpaceDE w:val="0"/>
              <w:autoSpaceDN w:val="0"/>
              <w:spacing w:before="9"/>
              <w:rPr>
                <w:rFonts w:ascii="宋体" w:hAnsi="宋体" w:eastAsia="宋体" w:cs="宋体"/>
                <w:sz w:val="29"/>
                <w:szCs w:val="22"/>
                <w:lang w:val="en-US" w:eastAsia="zh-CN" w:bidi="ar-SA"/>
              </w:rPr>
            </w:pPr>
          </w:p>
          <w:p>
            <w:pPr>
              <w:widowControl w:val="0"/>
              <w:autoSpaceDE w:val="0"/>
              <w:autoSpaceDN w:val="0"/>
              <w:spacing w:before="1"/>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一级指标</w:t>
            </w:r>
          </w:p>
        </w:tc>
        <w:tc>
          <w:tcPr>
            <w:tcW w:w="1025" w:type="dxa"/>
          </w:tcPr>
          <w:p>
            <w:pPr>
              <w:widowControl w:val="0"/>
              <w:autoSpaceDE w:val="0"/>
              <w:autoSpaceDN w:val="0"/>
              <w:spacing w:before="9"/>
              <w:rPr>
                <w:rFonts w:ascii="宋体" w:hAnsi="宋体" w:eastAsia="宋体" w:cs="宋体"/>
                <w:sz w:val="29"/>
                <w:szCs w:val="22"/>
                <w:lang w:val="en-US" w:eastAsia="zh-CN" w:bidi="ar-SA"/>
              </w:rPr>
            </w:pPr>
          </w:p>
          <w:p>
            <w:pPr>
              <w:widowControl w:val="0"/>
              <w:autoSpaceDE w:val="0"/>
              <w:autoSpaceDN w:val="0"/>
              <w:spacing w:before="1"/>
              <w:ind w:left="31"/>
              <w:rPr>
                <w:rFonts w:ascii="宋体" w:hAnsi="宋体" w:eastAsia="宋体" w:cs="宋体"/>
                <w:sz w:val="24"/>
                <w:szCs w:val="22"/>
                <w:lang w:val="en-US" w:eastAsia="zh-CN" w:bidi="ar-SA"/>
              </w:rPr>
            </w:pPr>
            <w:r>
              <w:rPr>
                <w:rFonts w:ascii="宋体" w:hAnsi="宋体" w:eastAsia="宋体" w:cs="宋体"/>
                <w:sz w:val="24"/>
                <w:szCs w:val="22"/>
                <w:lang w:val="en-US" w:eastAsia="zh-CN" w:bidi="ar-SA"/>
              </w:rPr>
              <w:t>二级指标</w:t>
            </w:r>
          </w:p>
        </w:tc>
        <w:tc>
          <w:tcPr>
            <w:tcW w:w="2393" w:type="dxa"/>
          </w:tcPr>
          <w:p>
            <w:pPr>
              <w:widowControl w:val="0"/>
              <w:autoSpaceDE w:val="0"/>
              <w:autoSpaceDN w:val="0"/>
              <w:spacing w:before="9"/>
              <w:rPr>
                <w:rFonts w:ascii="宋体" w:hAnsi="宋体" w:eastAsia="宋体" w:cs="宋体"/>
                <w:sz w:val="29"/>
                <w:szCs w:val="22"/>
                <w:lang w:val="en-US" w:eastAsia="zh-CN" w:bidi="ar-SA"/>
              </w:rPr>
            </w:pPr>
          </w:p>
          <w:p>
            <w:pPr>
              <w:widowControl w:val="0"/>
              <w:autoSpaceDE w:val="0"/>
              <w:autoSpaceDN w:val="0"/>
              <w:spacing w:before="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三级指标</w:t>
            </w:r>
          </w:p>
        </w:tc>
        <w:tc>
          <w:tcPr>
            <w:tcW w:w="2393" w:type="dxa"/>
          </w:tcPr>
          <w:p>
            <w:pPr>
              <w:widowControl w:val="0"/>
              <w:autoSpaceDE w:val="0"/>
              <w:autoSpaceDN w:val="0"/>
              <w:spacing w:before="7"/>
              <w:rPr>
                <w:rFonts w:ascii="宋体" w:hAnsi="宋体" w:eastAsia="宋体" w:cs="宋体"/>
                <w:sz w:val="17"/>
                <w:szCs w:val="22"/>
                <w:lang w:val="en-US" w:eastAsia="zh-CN" w:bidi="ar-SA"/>
              </w:rPr>
            </w:pPr>
          </w:p>
          <w:p>
            <w:pPr>
              <w:widowControl w:val="0"/>
              <w:autoSpaceDE w:val="0"/>
              <w:autoSpaceDN w:val="0"/>
              <w:spacing w:line="242" w:lineRule="auto"/>
              <w:ind w:left="533" w:right="47"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预期指标值(包含数字</w:t>
            </w:r>
            <w:r>
              <w:rPr>
                <w:rFonts w:ascii="宋体" w:hAnsi="宋体" w:eastAsia="宋体" w:cs="宋体"/>
                <w:sz w:val="24"/>
                <w:szCs w:val="22"/>
                <w:lang w:val="en-US" w:eastAsia="zh-CN" w:bidi="ar-SA"/>
              </w:rPr>
              <w:t>及文字描述)</w:t>
            </w:r>
          </w:p>
        </w:tc>
        <w:tc>
          <w:tcPr>
            <w:tcW w:w="2393" w:type="dxa"/>
          </w:tcPr>
          <w:p>
            <w:pPr>
              <w:widowControl w:val="0"/>
              <w:autoSpaceDE w:val="0"/>
              <w:autoSpaceDN w:val="0"/>
              <w:spacing w:before="7"/>
              <w:rPr>
                <w:rFonts w:ascii="宋体" w:hAnsi="宋体" w:eastAsia="宋体" w:cs="宋体"/>
                <w:sz w:val="17"/>
                <w:szCs w:val="22"/>
                <w:lang w:val="en-US" w:eastAsia="zh-CN" w:bidi="ar-SA"/>
              </w:rPr>
            </w:pPr>
          </w:p>
          <w:p>
            <w:pPr>
              <w:widowControl w:val="0"/>
              <w:autoSpaceDE w:val="0"/>
              <w:autoSpaceDN w:val="0"/>
              <w:spacing w:line="242" w:lineRule="auto"/>
              <w:ind w:left="296" w:right="44" w:hanging="24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实际完成指标值(包含</w:t>
            </w:r>
            <w:r>
              <w:rPr>
                <w:rFonts w:ascii="宋体" w:hAnsi="宋体" w:eastAsia="宋体" w:cs="宋体"/>
                <w:sz w:val="24"/>
                <w:szCs w:val="22"/>
                <w:lang w:val="en-US" w:eastAsia="zh-CN" w:bidi="ar-SA"/>
              </w:rPr>
              <w:t>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79"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质量指标</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结核患者治疗成功率</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质量指标</w:t>
            </w:r>
          </w:p>
        </w:tc>
        <w:tc>
          <w:tcPr>
            <w:tcW w:w="239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593" w:right="107"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保障贫困患者不会因</w:t>
            </w:r>
            <w:r>
              <w:rPr>
                <w:rFonts w:ascii="宋体" w:hAnsi="宋体" w:eastAsia="宋体" w:cs="宋体"/>
                <w:sz w:val="24"/>
                <w:szCs w:val="22"/>
                <w:lang w:val="en-US" w:eastAsia="zh-CN" w:bidi="ar-SA"/>
              </w:rPr>
              <w:t>贫中断治疗</w:t>
            </w: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5"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2"/>
              <w:rPr>
                <w:rFonts w:ascii="宋体" w:hAnsi="宋体" w:eastAsia="宋体" w:cs="宋体"/>
                <w:sz w:val="29"/>
                <w:szCs w:val="22"/>
                <w:lang w:val="en-US" w:eastAsia="zh-CN" w:bidi="ar-SA"/>
              </w:rPr>
            </w:pPr>
          </w:p>
          <w:p>
            <w:pPr>
              <w:widowControl w:val="0"/>
              <w:autoSpaceDE w:val="0"/>
              <w:autoSpaceDN w:val="0"/>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满意度指标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12"/>
              <w:rPr>
                <w:rFonts w:ascii="宋体" w:hAnsi="宋体" w:eastAsia="宋体" w:cs="宋体"/>
                <w:sz w:val="29"/>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w:t>
            </w:r>
          </w:p>
        </w:tc>
        <w:tc>
          <w:tcPr>
            <w:tcW w:w="2393" w:type="dxa"/>
          </w:tcPr>
          <w:p>
            <w:pPr>
              <w:widowControl w:val="0"/>
              <w:autoSpaceDE w:val="0"/>
              <w:autoSpaceDN w:val="0"/>
              <w:spacing w:before="12"/>
              <w:rPr>
                <w:rFonts w:ascii="宋体" w:hAnsi="宋体" w:eastAsia="宋体" w:cs="宋体"/>
                <w:sz w:val="29"/>
                <w:szCs w:val="22"/>
                <w:lang w:val="en-US" w:eastAsia="zh-CN" w:bidi="ar-SA"/>
              </w:rPr>
            </w:pPr>
          </w:p>
          <w:p>
            <w:pPr>
              <w:widowControl w:val="0"/>
              <w:autoSpaceDE w:val="0"/>
              <w:autoSpaceDN w:val="0"/>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群众满意度</w:t>
            </w:r>
          </w:p>
        </w:tc>
        <w:tc>
          <w:tcPr>
            <w:tcW w:w="2393" w:type="dxa"/>
          </w:tcPr>
          <w:p>
            <w:pPr>
              <w:widowControl w:val="0"/>
              <w:autoSpaceDE w:val="0"/>
              <w:autoSpaceDN w:val="0"/>
              <w:spacing w:before="12"/>
              <w:rPr>
                <w:rFonts w:ascii="宋体" w:hAnsi="宋体" w:eastAsia="宋体" w:cs="宋体"/>
                <w:sz w:val="29"/>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90%</w:t>
            </w:r>
          </w:p>
        </w:tc>
      </w:tr>
    </w:tbl>
    <w:p>
      <w:pPr>
        <w:spacing w:line="400" w:lineRule="exact"/>
        <w:ind w:firstLine="0" w:firstLineChars="0"/>
        <w:jc w:val="center"/>
        <w:rPr>
          <w:rFonts w:hint="eastAsia" w:ascii="方正小标宋简体" w:eastAsia="方正小标宋简体"/>
          <w:highlight w:val="yellow"/>
          <w:lang w:eastAsia="zh-CN"/>
        </w:rPr>
        <w:sectPr>
          <w:pgSz w:w="11906" w:h="16838"/>
          <w:pgMar w:top="2098" w:right="1474" w:bottom="1985" w:left="1588" w:header="851" w:footer="992" w:gutter="0"/>
          <w:cols w:space="425" w:num="1"/>
          <w:docGrid w:type="lines" w:linePitch="312" w:charSpace="0"/>
        </w:sectPr>
      </w:pPr>
    </w:p>
    <w:p>
      <w:pPr>
        <w:spacing w:line="400" w:lineRule="exact"/>
        <w:ind w:firstLine="0" w:firstLineChars="0"/>
        <w:jc w:val="center"/>
        <w:rPr>
          <w:rFonts w:hint="eastAsia" w:ascii="方正小标宋简体" w:eastAsia="方正小标宋简体"/>
          <w:highlight w:val="none"/>
          <w:lang w:val="en-US" w:eastAsia="zh-CN"/>
        </w:rPr>
      </w:pPr>
      <w:r>
        <w:rPr>
          <w:rFonts w:hint="eastAsia" w:ascii="方正小标宋简体" w:eastAsia="方正小标宋简体"/>
          <w:highlight w:val="none"/>
          <w:lang w:val="en-US" w:eastAsia="zh-CN"/>
        </w:rPr>
        <w:t>项目绩效目标完成情况表</w:t>
      </w:r>
    </w:p>
    <w:p>
      <w:pPr>
        <w:spacing w:line="400" w:lineRule="exact"/>
        <w:ind w:firstLine="0" w:firstLineChars="0"/>
        <w:jc w:val="center"/>
        <w:rPr>
          <w:rFonts w:hint="eastAsia" w:ascii="方正小标宋简体" w:eastAsia="方正小标宋简体"/>
          <w:highlight w:val="none"/>
        </w:rPr>
      </w:pPr>
      <w:r>
        <w:rPr>
          <w:rFonts w:hint="eastAsia" w:ascii="方正小标宋简体" w:eastAsia="方正小标宋简体"/>
          <w:highlight w:val="none"/>
        </w:rPr>
        <w:t>(2020 年度)</w:t>
      </w:r>
    </w:p>
    <w:p>
      <w:pPr>
        <w:widowControl w:val="0"/>
        <w:autoSpaceDE w:val="0"/>
        <w:autoSpaceDN w:val="0"/>
        <w:spacing w:before="4"/>
        <w:ind w:left="0"/>
        <w:rPr>
          <w:rFonts w:ascii="宋体" w:hAnsi="宋体" w:eastAsia="宋体" w:cs="宋体"/>
          <w:sz w:val="6"/>
          <w:szCs w:val="32"/>
          <w:lang w:val="en-US" w:eastAsia="zh-CN" w:bidi="ar-SA"/>
        </w:rPr>
      </w:pPr>
    </w:p>
    <w:tbl>
      <w:tblPr>
        <w:tblStyle w:val="10"/>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
        <w:gridCol w:w="1363"/>
        <w:gridCol w:w="1025"/>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2782" w:type="dxa"/>
            <w:gridSpan w:val="3"/>
          </w:tcPr>
          <w:p>
            <w:pPr>
              <w:widowControl w:val="0"/>
              <w:autoSpaceDE w:val="0"/>
              <w:autoSpaceDN w:val="0"/>
              <w:spacing w:before="16"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项目名称</w:t>
            </w:r>
          </w:p>
        </w:tc>
        <w:tc>
          <w:tcPr>
            <w:tcW w:w="7179" w:type="dxa"/>
            <w:gridSpan w:val="3"/>
          </w:tcPr>
          <w:p>
            <w:pPr>
              <w:widowControl w:val="0"/>
              <w:autoSpaceDE w:val="0"/>
              <w:autoSpaceDN w:val="0"/>
              <w:spacing w:before="16"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计量认证配套经费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782" w:type="dxa"/>
            <w:gridSpan w:val="3"/>
          </w:tcPr>
          <w:p>
            <w:pPr>
              <w:widowControl w:val="0"/>
              <w:autoSpaceDE w:val="0"/>
              <w:autoSpaceDN w:val="0"/>
              <w:spacing w:before="14"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预算单位</w:t>
            </w:r>
          </w:p>
        </w:tc>
        <w:tc>
          <w:tcPr>
            <w:tcW w:w="7179" w:type="dxa"/>
            <w:gridSpan w:val="3"/>
          </w:tcPr>
          <w:p>
            <w:pPr>
              <w:widowControl w:val="0"/>
              <w:autoSpaceDE w:val="0"/>
              <w:autoSpaceDN w:val="0"/>
              <w:spacing w:before="14"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自流井区疾控中心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94" w:type="dxa"/>
            <w:vMerge w:val="restart"/>
          </w:tcPr>
          <w:p>
            <w:pPr>
              <w:widowControl w:val="0"/>
              <w:autoSpaceDE w:val="0"/>
              <w:autoSpaceDN w:val="0"/>
              <w:spacing w:before="14" w:line="242" w:lineRule="auto"/>
              <w:ind w:left="14" w:right="7" w:firstLine="60"/>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预算执行情况</w:t>
            </w:r>
            <w:r>
              <w:rPr>
                <w:rFonts w:ascii="宋体" w:hAnsi="宋体" w:eastAsia="宋体" w:cs="宋体"/>
                <w:spacing w:val="1"/>
                <w:sz w:val="24"/>
                <w:szCs w:val="22"/>
                <w:lang w:val="en-US" w:eastAsia="zh-CN" w:bidi="ar-SA"/>
              </w:rPr>
              <w:t xml:space="preserve"> </w:t>
            </w:r>
            <w:r>
              <w:rPr>
                <w:rFonts w:ascii="宋体" w:hAnsi="宋体" w:eastAsia="宋体" w:cs="宋体"/>
                <w:spacing w:val="-9"/>
                <w:sz w:val="24"/>
                <w:szCs w:val="22"/>
                <w:lang w:val="en-US" w:eastAsia="zh-CN" w:bidi="ar-SA"/>
              </w:rPr>
              <w:t>(万</w:t>
            </w:r>
          </w:p>
          <w:p>
            <w:pPr>
              <w:widowControl w:val="0"/>
              <w:autoSpaceDE w:val="0"/>
              <w:autoSpaceDN w:val="0"/>
              <w:spacing w:before="10" w:line="292" w:lineRule="exact"/>
              <w:ind w:left="14"/>
              <w:rPr>
                <w:rFonts w:ascii="宋体" w:hAnsi="宋体" w:eastAsia="宋体" w:cs="宋体"/>
                <w:sz w:val="24"/>
                <w:szCs w:val="22"/>
                <w:lang w:val="en-US" w:eastAsia="zh-CN" w:bidi="ar-SA"/>
              </w:rPr>
            </w:pPr>
            <w:r>
              <w:rPr>
                <w:rFonts w:ascii="宋体" w:hAnsi="宋体" w:eastAsia="宋体" w:cs="宋体"/>
                <w:sz w:val="24"/>
                <w:szCs w:val="22"/>
                <w:lang w:val="en-US" w:eastAsia="zh-CN" w:bidi="ar-SA"/>
              </w:rPr>
              <w:t>元)</w:t>
            </w:r>
          </w:p>
        </w:tc>
        <w:tc>
          <w:tcPr>
            <w:tcW w:w="2388" w:type="dxa"/>
            <w:gridSpan w:val="2"/>
          </w:tcPr>
          <w:p>
            <w:pPr>
              <w:widowControl w:val="0"/>
              <w:autoSpaceDE w:val="0"/>
              <w:autoSpaceDN w:val="0"/>
              <w:spacing w:before="14" w:line="292" w:lineRule="exact"/>
              <w:ind w:left="770"/>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预算数:</w:t>
            </w:r>
          </w:p>
        </w:tc>
        <w:tc>
          <w:tcPr>
            <w:tcW w:w="2393" w:type="dxa"/>
          </w:tcPr>
          <w:p>
            <w:pPr>
              <w:widowControl w:val="0"/>
              <w:autoSpaceDE w:val="0"/>
              <w:autoSpaceDN w:val="0"/>
              <w:spacing w:before="14"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2</w:t>
            </w:r>
          </w:p>
        </w:tc>
        <w:tc>
          <w:tcPr>
            <w:tcW w:w="2393" w:type="dxa"/>
          </w:tcPr>
          <w:p>
            <w:pPr>
              <w:widowControl w:val="0"/>
              <w:autoSpaceDE w:val="0"/>
              <w:autoSpaceDN w:val="0"/>
              <w:spacing w:before="14"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执行数:</w:t>
            </w:r>
          </w:p>
        </w:tc>
        <w:tc>
          <w:tcPr>
            <w:tcW w:w="2393" w:type="dxa"/>
          </w:tcPr>
          <w:p>
            <w:pPr>
              <w:widowControl w:val="0"/>
              <w:autoSpaceDE w:val="0"/>
              <w:autoSpaceDN w:val="0"/>
              <w:spacing w:before="14"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spacing w:before="16" w:line="292" w:lineRule="exact"/>
              <w:ind w:left="3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0.05</w:t>
            </w:r>
          </w:p>
        </w:tc>
        <w:tc>
          <w:tcPr>
            <w:tcW w:w="2393" w:type="dxa"/>
          </w:tcPr>
          <w:p>
            <w:pPr>
              <w:widowControl w:val="0"/>
              <w:autoSpaceDE w:val="0"/>
              <w:autoSpaceDN w:val="0"/>
              <w:spacing w:before="16"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6"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6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94" w:type="dxa"/>
            <w:vMerge w:val="restart"/>
          </w:tcPr>
          <w:p>
            <w:pPr>
              <w:widowControl w:val="0"/>
              <w:autoSpaceDE w:val="0"/>
              <w:autoSpaceDN w:val="0"/>
              <w:spacing w:before="12" w:line="310" w:lineRule="atLeast"/>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年度目标完成情况</w:t>
            </w:r>
          </w:p>
        </w:tc>
        <w:tc>
          <w:tcPr>
            <w:tcW w:w="4781" w:type="dxa"/>
            <w:gridSpan w:val="3"/>
          </w:tcPr>
          <w:p>
            <w:pPr>
              <w:widowControl w:val="0"/>
              <w:autoSpaceDE w:val="0"/>
              <w:autoSpaceDN w:val="0"/>
              <w:spacing w:before="16" w:line="292" w:lineRule="exact"/>
              <w:ind w:left="5" w:right="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预期目标</w:t>
            </w:r>
          </w:p>
        </w:tc>
        <w:tc>
          <w:tcPr>
            <w:tcW w:w="4786" w:type="dxa"/>
            <w:gridSpan w:val="2"/>
          </w:tcPr>
          <w:p>
            <w:pPr>
              <w:widowControl w:val="0"/>
              <w:autoSpaceDE w:val="0"/>
              <w:autoSpaceDN w:val="0"/>
              <w:spacing w:before="16" w:line="292" w:lineRule="exact"/>
              <w:ind w:left="10" w:right="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实际完成目标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4781" w:type="dxa"/>
            <w:gridSpan w:val="3"/>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
              <w:rPr>
                <w:rFonts w:ascii="宋体" w:hAnsi="宋体" w:eastAsia="宋体" w:cs="宋体"/>
                <w:sz w:val="25"/>
                <w:szCs w:val="22"/>
                <w:lang w:val="en-US" w:eastAsia="zh-CN" w:bidi="ar-SA"/>
              </w:rPr>
            </w:pPr>
          </w:p>
          <w:p>
            <w:pPr>
              <w:widowControl w:val="0"/>
              <w:autoSpaceDE w:val="0"/>
              <w:autoSpaceDN w:val="0"/>
              <w:spacing w:before="1"/>
              <w:ind w:left="1425"/>
              <w:rPr>
                <w:rFonts w:ascii="宋体" w:hAnsi="宋体" w:eastAsia="宋体" w:cs="宋体"/>
                <w:sz w:val="24"/>
                <w:szCs w:val="22"/>
                <w:lang w:val="en-US" w:eastAsia="zh-CN" w:bidi="ar-SA"/>
              </w:rPr>
            </w:pPr>
            <w:r>
              <w:rPr>
                <w:rFonts w:ascii="宋体" w:hAnsi="宋体" w:eastAsia="宋体" w:cs="宋体"/>
                <w:sz w:val="24"/>
                <w:szCs w:val="22"/>
                <w:lang w:val="en-US" w:eastAsia="zh-CN" w:bidi="ar-SA"/>
              </w:rPr>
              <w:t>维持检验检测能力</w:t>
            </w:r>
          </w:p>
        </w:tc>
        <w:tc>
          <w:tcPr>
            <w:tcW w:w="4786"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
              <w:rPr>
                <w:rFonts w:ascii="宋体" w:hAnsi="宋体" w:eastAsia="宋体" w:cs="宋体"/>
                <w:sz w:val="25"/>
                <w:szCs w:val="22"/>
                <w:lang w:val="en-US" w:eastAsia="zh-CN" w:bidi="ar-SA"/>
              </w:rPr>
            </w:pPr>
          </w:p>
          <w:p>
            <w:pPr>
              <w:widowControl w:val="0"/>
              <w:autoSpaceDE w:val="0"/>
              <w:autoSpaceDN w:val="0"/>
              <w:spacing w:before="1"/>
              <w:ind w:left="1430"/>
              <w:rPr>
                <w:rFonts w:ascii="宋体" w:hAnsi="宋体" w:eastAsia="宋体" w:cs="宋体"/>
                <w:sz w:val="24"/>
                <w:szCs w:val="22"/>
                <w:lang w:val="en-US" w:eastAsia="zh-CN" w:bidi="ar-SA"/>
              </w:rPr>
            </w:pPr>
            <w:r>
              <w:rPr>
                <w:rFonts w:ascii="宋体" w:hAnsi="宋体" w:eastAsia="宋体" w:cs="宋体"/>
                <w:sz w:val="24"/>
                <w:szCs w:val="22"/>
                <w:lang w:val="en-US" w:eastAsia="zh-CN" w:bidi="ar-SA"/>
              </w:rPr>
              <w:t>维持检验检测能力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trPr>
        <w:tc>
          <w:tcPr>
            <w:tcW w:w="394" w:type="dxa"/>
            <w:vMerge w:val="restart"/>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3"/>
              <w:rPr>
                <w:rFonts w:ascii="宋体" w:hAnsi="宋体" w:eastAsia="宋体" w:cs="宋体"/>
                <w:sz w:val="28"/>
                <w:szCs w:val="22"/>
                <w:lang w:val="en-US" w:eastAsia="zh-CN" w:bidi="ar-SA"/>
              </w:rPr>
            </w:pPr>
          </w:p>
          <w:p>
            <w:pPr>
              <w:widowControl w:val="0"/>
              <w:autoSpaceDE w:val="0"/>
              <w:autoSpaceDN w:val="0"/>
              <w:spacing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绩效指标完成情况</w:t>
            </w:r>
          </w:p>
        </w:tc>
        <w:tc>
          <w:tcPr>
            <w:tcW w:w="136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一级指标</w:t>
            </w:r>
          </w:p>
        </w:tc>
        <w:tc>
          <w:tcPr>
            <w:tcW w:w="1025"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31"/>
              <w:rPr>
                <w:rFonts w:ascii="宋体" w:hAnsi="宋体" w:eastAsia="宋体" w:cs="宋体"/>
                <w:sz w:val="24"/>
                <w:szCs w:val="22"/>
                <w:lang w:val="en-US" w:eastAsia="zh-CN" w:bidi="ar-SA"/>
              </w:rPr>
            </w:pPr>
            <w:r>
              <w:rPr>
                <w:rFonts w:ascii="宋体" w:hAnsi="宋体" w:eastAsia="宋体" w:cs="宋体"/>
                <w:sz w:val="24"/>
                <w:szCs w:val="22"/>
                <w:lang w:val="en-US" w:eastAsia="zh-CN" w:bidi="ar-SA"/>
              </w:rPr>
              <w:t>二级指标</w:t>
            </w:r>
          </w:p>
        </w:tc>
        <w:tc>
          <w:tcPr>
            <w:tcW w:w="239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三级指标</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533" w:right="47"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预期指标值(包含数字</w:t>
            </w:r>
            <w:r>
              <w:rPr>
                <w:rFonts w:ascii="宋体" w:hAnsi="宋体" w:eastAsia="宋体" w:cs="宋体"/>
                <w:sz w:val="24"/>
                <w:szCs w:val="22"/>
                <w:lang w:val="en-US" w:eastAsia="zh-CN" w:bidi="ar-SA"/>
              </w:rPr>
              <w:t>及文字描述)</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296" w:right="44" w:hanging="24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实际完成指标值(包含</w:t>
            </w:r>
            <w:r>
              <w:rPr>
                <w:rFonts w:ascii="宋体" w:hAnsi="宋体" w:eastAsia="宋体" w:cs="宋体"/>
                <w:sz w:val="24"/>
                <w:szCs w:val="22"/>
                <w:lang w:val="en-US" w:eastAsia="zh-CN" w:bidi="ar-SA"/>
              </w:rPr>
              <w:t>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79"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质量指标</w:t>
            </w:r>
          </w:p>
        </w:tc>
        <w:tc>
          <w:tcPr>
            <w:tcW w:w="2393" w:type="dxa"/>
          </w:tcPr>
          <w:p>
            <w:pPr>
              <w:widowControl w:val="0"/>
              <w:autoSpaceDE w:val="0"/>
              <w:autoSpaceDN w:val="0"/>
              <w:spacing w:before="179" w:line="242" w:lineRule="auto"/>
              <w:ind w:left="1073" w:right="107" w:hanging="96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保证检验检测数据质</w:t>
            </w:r>
            <w:r>
              <w:rPr>
                <w:rFonts w:ascii="宋体" w:hAnsi="宋体" w:eastAsia="宋体" w:cs="宋体"/>
                <w:sz w:val="24"/>
                <w:szCs w:val="22"/>
                <w:lang w:val="en-US" w:eastAsia="zh-CN" w:bidi="ar-SA"/>
              </w:rPr>
              <w:t>量</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准确公正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质量指标</w:t>
            </w: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保障检验检测机构</w:t>
            </w: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运行有效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5"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rPr>
                <w:rFonts w:ascii="宋体" w:hAnsi="宋体" w:eastAsia="宋体" w:cs="宋体"/>
                <w:sz w:val="30"/>
                <w:szCs w:val="22"/>
                <w:lang w:val="en-US" w:eastAsia="zh-CN" w:bidi="ar-SA"/>
              </w:rPr>
            </w:pPr>
          </w:p>
          <w:p>
            <w:pPr>
              <w:widowControl w:val="0"/>
              <w:autoSpaceDE w:val="0"/>
              <w:autoSpaceDN w:val="0"/>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满意度指标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30"/>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w:t>
            </w:r>
          </w:p>
        </w:tc>
        <w:tc>
          <w:tcPr>
            <w:tcW w:w="2393" w:type="dxa"/>
          </w:tcPr>
          <w:p>
            <w:pPr>
              <w:widowControl w:val="0"/>
              <w:autoSpaceDE w:val="0"/>
              <w:autoSpaceDN w:val="0"/>
              <w:rPr>
                <w:rFonts w:ascii="宋体" w:hAnsi="宋体" w:eastAsia="宋体" w:cs="宋体"/>
                <w:sz w:val="30"/>
                <w:szCs w:val="22"/>
                <w:lang w:val="en-US" w:eastAsia="zh-CN" w:bidi="ar-SA"/>
              </w:rPr>
            </w:pPr>
          </w:p>
          <w:p>
            <w:pPr>
              <w:widowControl w:val="0"/>
              <w:autoSpaceDE w:val="0"/>
              <w:autoSpaceDN w:val="0"/>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群众满意度</w:t>
            </w:r>
          </w:p>
        </w:tc>
        <w:tc>
          <w:tcPr>
            <w:tcW w:w="2393" w:type="dxa"/>
          </w:tcPr>
          <w:p>
            <w:pPr>
              <w:widowControl w:val="0"/>
              <w:autoSpaceDE w:val="0"/>
              <w:autoSpaceDN w:val="0"/>
              <w:rPr>
                <w:rFonts w:ascii="宋体" w:hAnsi="宋体" w:eastAsia="宋体" w:cs="宋体"/>
                <w:sz w:val="30"/>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90%</w:t>
            </w:r>
          </w:p>
        </w:tc>
      </w:tr>
    </w:tbl>
    <w:p>
      <w:pPr>
        <w:jc w:val="center"/>
        <w:rPr>
          <w:sz w:val="24"/>
        </w:rPr>
        <w:sectPr>
          <w:pgSz w:w="11910" w:h="16840"/>
          <w:pgMar w:top="1480" w:right="840" w:bottom="1380" w:left="860" w:header="0" w:footer="1195" w:gutter="0"/>
          <w:cols w:space="720" w:num="1"/>
        </w:sectPr>
      </w:pPr>
    </w:p>
    <w:p>
      <w:pPr>
        <w:spacing w:line="400" w:lineRule="exact"/>
        <w:ind w:firstLine="0" w:firstLineChars="0"/>
        <w:jc w:val="center"/>
        <w:rPr>
          <w:rFonts w:hint="eastAsia" w:ascii="方正小标宋简体" w:eastAsia="方正小标宋简体"/>
          <w:highlight w:val="none"/>
          <w:lang w:val="en-US" w:eastAsia="zh-CN"/>
        </w:rPr>
      </w:pPr>
      <w:r>
        <w:rPr>
          <w:rFonts w:hint="eastAsia" w:ascii="方正小标宋简体" w:eastAsia="方正小标宋简体"/>
          <w:highlight w:val="none"/>
          <w:lang w:val="en-US" w:eastAsia="zh-CN"/>
        </w:rPr>
        <w:t>项目绩效目标完成情况表</w:t>
      </w:r>
    </w:p>
    <w:p>
      <w:pPr>
        <w:spacing w:line="400" w:lineRule="exact"/>
        <w:ind w:firstLine="0" w:firstLineChars="0"/>
        <w:jc w:val="center"/>
        <w:rPr>
          <w:rFonts w:hint="eastAsia" w:ascii="方正小标宋简体" w:eastAsia="方正小标宋简体"/>
          <w:highlight w:val="none"/>
          <w:lang w:val="en-US" w:eastAsia="zh-CN"/>
        </w:rPr>
      </w:pPr>
      <w:r>
        <w:rPr>
          <w:rFonts w:hint="eastAsia" w:ascii="方正小标宋简体" w:eastAsia="方正小标宋简体"/>
          <w:highlight w:val="none"/>
          <w:lang w:val="en-US" w:eastAsia="zh-CN"/>
        </w:rPr>
        <w:t>(2020 年度)</w:t>
      </w:r>
    </w:p>
    <w:p>
      <w:pPr>
        <w:widowControl w:val="0"/>
        <w:autoSpaceDE w:val="0"/>
        <w:autoSpaceDN w:val="0"/>
        <w:spacing w:before="4"/>
        <w:ind w:left="0"/>
        <w:rPr>
          <w:rFonts w:ascii="宋体" w:hAnsi="宋体" w:eastAsia="宋体" w:cs="宋体"/>
          <w:sz w:val="6"/>
          <w:szCs w:val="32"/>
          <w:lang w:val="en-US" w:eastAsia="zh-CN" w:bidi="ar-SA"/>
        </w:rPr>
      </w:pPr>
    </w:p>
    <w:tbl>
      <w:tblPr>
        <w:tblStyle w:val="10"/>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
        <w:gridCol w:w="1363"/>
        <w:gridCol w:w="1025"/>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8" w:hRule="atLeast"/>
        </w:trPr>
        <w:tc>
          <w:tcPr>
            <w:tcW w:w="2782" w:type="dxa"/>
            <w:gridSpan w:val="3"/>
          </w:tcPr>
          <w:p>
            <w:pPr>
              <w:widowControl w:val="0"/>
              <w:autoSpaceDE w:val="0"/>
              <w:autoSpaceDN w:val="0"/>
              <w:spacing w:before="16"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项目名称</w:t>
            </w:r>
          </w:p>
        </w:tc>
        <w:tc>
          <w:tcPr>
            <w:tcW w:w="7179" w:type="dxa"/>
            <w:gridSpan w:val="3"/>
          </w:tcPr>
          <w:p>
            <w:pPr>
              <w:widowControl w:val="0"/>
              <w:autoSpaceDE w:val="0"/>
              <w:autoSpaceDN w:val="0"/>
              <w:spacing w:before="16" w:line="292" w:lineRule="exact"/>
              <w:ind w:left="2248" w:right="2241"/>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地方病防治配套经费项目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2782" w:type="dxa"/>
            <w:gridSpan w:val="3"/>
          </w:tcPr>
          <w:p>
            <w:pPr>
              <w:widowControl w:val="0"/>
              <w:autoSpaceDE w:val="0"/>
              <w:autoSpaceDN w:val="0"/>
              <w:spacing w:before="14"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预算单位</w:t>
            </w:r>
          </w:p>
        </w:tc>
        <w:tc>
          <w:tcPr>
            <w:tcW w:w="7179" w:type="dxa"/>
            <w:gridSpan w:val="3"/>
          </w:tcPr>
          <w:p>
            <w:pPr>
              <w:widowControl w:val="0"/>
              <w:autoSpaceDE w:val="0"/>
              <w:autoSpaceDN w:val="0"/>
              <w:spacing w:before="14"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自流井区疾控中心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94" w:type="dxa"/>
            <w:vMerge w:val="restart"/>
          </w:tcPr>
          <w:p>
            <w:pPr>
              <w:widowControl w:val="0"/>
              <w:autoSpaceDE w:val="0"/>
              <w:autoSpaceDN w:val="0"/>
              <w:spacing w:before="14" w:line="242" w:lineRule="auto"/>
              <w:ind w:left="14" w:right="7" w:firstLine="60"/>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预算执行情况</w:t>
            </w:r>
            <w:r>
              <w:rPr>
                <w:rFonts w:ascii="宋体" w:hAnsi="宋体" w:eastAsia="宋体" w:cs="宋体"/>
                <w:spacing w:val="1"/>
                <w:sz w:val="24"/>
                <w:szCs w:val="22"/>
                <w:lang w:val="en-US" w:eastAsia="zh-CN" w:bidi="ar-SA"/>
              </w:rPr>
              <w:t xml:space="preserve"> </w:t>
            </w:r>
            <w:r>
              <w:rPr>
                <w:rFonts w:ascii="宋体" w:hAnsi="宋体" w:eastAsia="宋体" w:cs="宋体"/>
                <w:spacing w:val="-9"/>
                <w:sz w:val="24"/>
                <w:szCs w:val="22"/>
                <w:lang w:val="en-US" w:eastAsia="zh-CN" w:bidi="ar-SA"/>
              </w:rPr>
              <w:t>(万</w:t>
            </w:r>
          </w:p>
          <w:p>
            <w:pPr>
              <w:widowControl w:val="0"/>
              <w:autoSpaceDE w:val="0"/>
              <w:autoSpaceDN w:val="0"/>
              <w:spacing w:before="10" w:line="292" w:lineRule="exact"/>
              <w:ind w:left="14"/>
              <w:rPr>
                <w:rFonts w:ascii="宋体" w:hAnsi="宋体" w:eastAsia="宋体" w:cs="宋体"/>
                <w:sz w:val="24"/>
                <w:szCs w:val="22"/>
                <w:lang w:val="en-US" w:eastAsia="zh-CN" w:bidi="ar-SA"/>
              </w:rPr>
            </w:pPr>
            <w:r>
              <w:rPr>
                <w:rFonts w:ascii="宋体" w:hAnsi="宋体" w:eastAsia="宋体" w:cs="宋体"/>
                <w:sz w:val="24"/>
                <w:szCs w:val="22"/>
                <w:lang w:val="en-US" w:eastAsia="zh-CN" w:bidi="ar-SA"/>
              </w:rPr>
              <w:t>元)</w:t>
            </w:r>
          </w:p>
        </w:tc>
        <w:tc>
          <w:tcPr>
            <w:tcW w:w="2388" w:type="dxa"/>
            <w:gridSpan w:val="2"/>
          </w:tcPr>
          <w:p>
            <w:pPr>
              <w:widowControl w:val="0"/>
              <w:autoSpaceDE w:val="0"/>
              <w:autoSpaceDN w:val="0"/>
              <w:spacing w:before="14" w:line="292" w:lineRule="exact"/>
              <w:ind w:left="770"/>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预算数:</w:t>
            </w:r>
          </w:p>
        </w:tc>
        <w:tc>
          <w:tcPr>
            <w:tcW w:w="2393" w:type="dxa"/>
          </w:tcPr>
          <w:p>
            <w:pPr>
              <w:widowControl w:val="0"/>
              <w:autoSpaceDE w:val="0"/>
              <w:autoSpaceDN w:val="0"/>
              <w:spacing w:before="14"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c>
          <w:tcPr>
            <w:tcW w:w="2393" w:type="dxa"/>
          </w:tcPr>
          <w:p>
            <w:pPr>
              <w:widowControl w:val="0"/>
              <w:autoSpaceDE w:val="0"/>
              <w:autoSpaceDN w:val="0"/>
              <w:spacing w:before="14"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执行数:</w:t>
            </w:r>
          </w:p>
        </w:tc>
        <w:tc>
          <w:tcPr>
            <w:tcW w:w="2393" w:type="dxa"/>
          </w:tcPr>
          <w:p>
            <w:pPr>
              <w:widowControl w:val="0"/>
              <w:autoSpaceDE w:val="0"/>
              <w:autoSpaceDN w:val="0"/>
              <w:spacing w:before="14"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spacing w:before="16" w:line="292" w:lineRule="exact"/>
              <w:ind w:left="3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c>
          <w:tcPr>
            <w:tcW w:w="2393" w:type="dxa"/>
          </w:tcPr>
          <w:p>
            <w:pPr>
              <w:widowControl w:val="0"/>
              <w:autoSpaceDE w:val="0"/>
              <w:autoSpaceDN w:val="0"/>
              <w:spacing w:before="16"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6"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6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94" w:type="dxa"/>
            <w:vMerge w:val="restart"/>
          </w:tcPr>
          <w:p>
            <w:pPr>
              <w:widowControl w:val="0"/>
              <w:autoSpaceDE w:val="0"/>
              <w:autoSpaceDN w:val="0"/>
              <w:spacing w:before="12" w:line="310" w:lineRule="atLeast"/>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年度目标完成情况</w:t>
            </w:r>
          </w:p>
        </w:tc>
        <w:tc>
          <w:tcPr>
            <w:tcW w:w="4781" w:type="dxa"/>
            <w:gridSpan w:val="3"/>
          </w:tcPr>
          <w:p>
            <w:pPr>
              <w:widowControl w:val="0"/>
              <w:autoSpaceDE w:val="0"/>
              <w:autoSpaceDN w:val="0"/>
              <w:spacing w:before="16" w:line="292" w:lineRule="exact"/>
              <w:ind w:left="5" w:right="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预期目标</w:t>
            </w:r>
          </w:p>
        </w:tc>
        <w:tc>
          <w:tcPr>
            <w:tcW w:w="4786" w:type="dxa"/>
            <w:gridSpan w:val="2"/>
          </w:tcPr>
          <w:p>
            <w:pPr>
              <w:widowControl w:val="0"/>
              <w:autoSpaceDE w:val="0"/>
              <w:autoSpaceDN w:val="0"/>
              <w:spacing w:before="16" w:line="292" w:lineRule="exact"/>
              <w:ind w:left="10" w:right="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实际完成目标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73"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4781" w:type="dxa"/>
            <w:gridSpan w:val="3"/>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9" w:right="5"/>
              <w:jc w:val="center"/>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掌握我区重点行业职业病危害现状，研究分析不同规模、不同类型的用人单位工作场所中职</w:t>
            </w:r>
            <w:r>
              <w:rPr>
                <w:rFonts w:ascii="宋体" w:hAnsi="宋体" w:eastAsia="宋体" w:cs="宋体"/>
                <w:sz w:val="24"/>
                <w:szCs w:val="22"/>
                <w:lang w:val="en-US" w:eastAsia="zh-CN" w:bidi="ar-SA"/>
              </w:rPr>
              <w:t>业病危害因素分布</w:t>
            </w:r>
          </w:p>
        </w:tc>
        <w:tc>
          <w:tcPr>
            <w:tcW w:w="4786"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12" w:right="4"/>
              <w:jc w:val="center"/>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掌握我区重点行业职业病危害现状，研究分析不同规模、不同类型的用人单位工作场所中职</w:t>
            </w:r>
            <w:r>
              <w:rPr>
                <w:rFonts w:ascii="宋体" w:hAnsi="宋体" w:eastAsia="宋体" w:cs="宋体"/>
                <w:sz w:val="24"/>
                <w:szCs w:val="22"/>
                <w:lang w:val="en-US" w:eastAsia="zh-CN" w:bidi="ar-SA"/>
              </w:rPr>
              <w:t>业病危害因素分布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trPr>
        <w:tc>
          <w:tcPr>
            <w:tcW w:w="394" w:type="dxa"/>
            <w:vMerge w:val="restart"/>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0"/>
              <w:rPr>
                <w:rFonts w:ascii="宋体" w:hAnsi="宋体" w:eastAsia="宋体" w:cs="宋体"/>
                <w:sz w:val="21"/>
                <w:szCs w:val="22"/>
                <w:lang w:val="en-US" w:eastAsia="zh-CN" w:bidi="ar-SA"/>
              </w:rPr>
            </w:pPr>
          </w:p>
          <w:p>
            <w:pPr>
              <w:widowControl w:val="0"/>
              <w:autoSpaceDE w:val="0"/>
              <w:autoSpaceDN w:val="0"/>
              <w:spacing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绩效指标完成情况</w:t>
            </w:r>
          </w:p>
        </w:tc>
        <w:tc>
          <w:tcPr>
            <w:tcW w:w="136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一级指标</w:t>
            </w:r>
          </w:p>
        </w:tc>
        <w:tc>
          <w:tcPr>
            <w:tcW w:w="1025"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31"/>
              <w:rPr>
                <w:rFonts w:ascii="宋体" w:hAnsi="宋体" w:eastAsia="宋体" w:cs="宋体"/>
                <w:sz w:val="24"/>
                <w:szCs w:val="22"/>
                <w:lang w:val="en-US" w:eastAsia="zh-CN" w:bidi="ar-SA"/>
              </w:rPr>
            </w:pPr>
            <w:r>
              <w:rPr>
                <w:rFonts w:ascii="宋体" w:hAnsi="宋体" w:eastAsia="宋体" w:cs="宋体"/>
                <w:sz w:val="24"/>
                <w:szCs w:val="22"/>
                <w:lang w:val="en-US" w:eastAsia="zh-CN" w:bidi="ar-SA"/>
              </w:rPr>
              <w:t>二级指标</w:t>
            </w:r>
          </w:p>
        </w:tc>
        <w:tc>
          <w:tcPr>
            <w:tcW w:w="239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三级指标</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533" w:right="47"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预期指标值(包含数字</w:t>
            </w:r>
            <w:r>
              <w:rPr>
                <w:rFonts w:ascii="宋体" w:hAnsi="宋体" w:eastAsia="宋体" w:cs="宋体"/>
                <w:sz w:val="24"/>
                <w:szCs w:val="22"/>
                <w:lang w:val="en-US" w:eastAsia="zh-CN" w:bidi="ar-SA"/>
              </w:rPr>
              <w:t>及文字描述)</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296" w:right="44" w:hanging="24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实际完成指标值(包含</w:t>
            </w:r>
            <w:r>
              <w:rPr>
                <w:rFonts w:ascii="宋体" w:hAnsi="宋体" w:eastAsia="宋体" w:cs="宋体"/>
                <w:sz w:val="24"/>
                <w:szCs w:val="22"/>
                <w:lang w:val="en-US" w:eastAsia="zh-CN" w:bidi="ar-SA"/>
              </w:rPr>
              <w:t>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79"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数量指标</w:t>
            </w:r>
          </w:p>
        </w:tc>
        <w:tc>
          <w:tcPr>
            <w:tcW w:w="2393" w:type="dxa"/>
          </w:tcPr>
          <w:p>
            <w:pPr>
              <w:widowControl w:val="0"/>
              <w:autoSpaceDE w:val="0"/>
              <w:autoSpaceDN w:val="0"/>
              <w:spacing w:before="179" w:line="242" w:lineRule="auto"/>
              <w:ind w:left="953" w:right="107" w:hanging="84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完成职业病危害因素</w:t>
            </w:r>
            <w:r>
              <w:rPr>
                <w:rFonts w:ascii="宋体" w:hAnsi="宋体" w:eastAsia="宋体" w:cs="宋体"/>
                <w:sz w:val="24"/>
                <w:szCs w:val="22"/>
                <w:lang w:val="en-US" w:eastAsia="zh-CN" w:bidi="ar-SA"/>
              </w:rPr>
              <w:t>监测</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pacing w:val="-15"/>
                <w:sz w:val="24"/>
                <w:szCs w:val="22"/>
                <w:lang w:val="en-US" w:eastAsia="zh-CN" w:bidi="ar-SA"/>
              </w:rPr>
              <w:t xml:space="preserve">不少于 </w:t>
            </w:r>
            <w:r>
              <w:rPr>
                <w:rFonts w:ascii="宋体" w:hAnsi="宋体" w:eastAsia="宋体" w:cs="宋体"/>
                <w:sz w:val="24"/>
                <w:szCs w:val="22"/>
                <w:lang w:val="en-US" w:eastAsia="zh-CN" w:bidi="ar-SA"/>
              </w:rPr>
              <w:t>25</w:t>
            </w:r>
            <w:r>
              <w:rPr>
                <w:rFonts w:ascii="宋体" w:hAnsi="宋体" w:eastAsia="宋体" w:cs="宋体"/>
                <w:spacing w:val="-30"/>
                <w:sz w:val="24"/>
                <w:szCs w:val="22"/>
                <w:lang w:val="en-US" w:eastAsia="zh-CN" w:bidi="ar-SA"/>
              </w:rPr>
              <w:t xml:space="preserve"> 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数量指标</w:t>
            </w:r>
          </w:p>
        </w:tc>
        <w:tc>
          <w:tcPr>
            <w:tcW w:w="239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1073" w:right="107" w:hanging="96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职业健康体检人员档</w:t>
            </w:r>
            <w:r>
              <w:rPr>
                <w:rFonts w:ascii="宋体" w:hAnsi="宋体" w:eastAsia="宋体" w:cs="宋体"/>
                <w:sz w:val="24"/>
                <w:szCs w:val="22"/>
                <w:lang w:val="en-US" w:eastAsia="zh-CN" w:bidi="ar-SA"/>
              </w:rPr>
              <w:t>案</w:t>
            </w: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1334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5" w:hRule="atLeast"/>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
              <w:rPr>
                <w:rFonts w:ascii="宋体" w:hAnsi="宋体" w:eastAsia="宋体" w:cs="宋体"/>
                <w:sz w:val="30"/>
                <w:szCs w:val="22"/>
                <w:lang w:val="en-US" w:eastAsia="zh-CN" w:bidi="ar-SA"/>
              </w:rPr>
            </w:pPr>
          </w:p>
          <w:p>
            <w:pPr>
              <w:widowControl w:val="0"/>
              <w:autoSpaceDE w:val="0"/>
              <w:autoSpaceDN w:val="0"/>
              <w:spacing w:before="1"/>
              <w:ind w:left="56" w:right="56"/>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满意度指标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1"/>
              <w:rPr>
                <w:rFonts w:ascii="宋体" w:hAnsi="宋体" w:eastAsia="宋体" w:cs="宋体"/>
                <w:sz w:val="30"/>
                <w:szCs w:val="22"/>
                <w:lang w:val="en-US" w:eastAsia="zh-CN" w:bidi="ar-SA"/>
              </w:rPr>
            </w:pPr>
          </w:p>
          <w:p>
            <w:pPr>
              <w:widowControl w:val="0"/>
              <w:autoSpaceDE w:val="0"/>
              <w:autoSpaceDN w:val="0"/>
              <w:spacing w:before="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满意度</w:t>
            </w:r>
          </w:p>
        </w:tc>
        <w:tc>
          <w:tcPr>
            <w:tcW w:w="2393" w:type="dxa"/>
          </w:tcPr>
          <w:p>
            <w:pPr>
              <w:widowControl w:val="0"/>
              <w:autoSpaceDE w:val="0"/>
              <w:autoSpaceDN w:val="0"/>
              <w:spacing w:before="1"/>
              <w:rPr>
                <w:rFonts w:ascii="宋体" w:hAnsi="宋体" w:eastAsia="宋体" w:cs="宋体"/>
                <w:sz w:val="30"/>
                <w:szCs w:val="22"/>
                <w:lang w:val="en-US" w:eastAsia="zh-CN" w:bidi="ar-SA"/>
              </w:rPr>
            </w:pPr>
          </w:p>
          <w:p>
            <w:pPr>
              <w:widowControl w:val="0"/>
              <w:autoSpaceDE w:val="0"/>
              <w:autoSpaceDN w:val="0"/>
              <w:spacing w:before="1"/>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群众满意度</w:t>
            </w:r>
          </w:p>
        </w:tc>
        <w:tc>
          <w:tcPr>
            <w:tcW w:w="2393" w:type="dxa"/>
          </w:tcPr>
          <w:p>
            <w:pPr>
              <w:widowControl w:val="0"/>
              <w:autoSpaceDE w:val="0"/>
              <w:autoSpaceDN w:val="0"/>
              <w:spacing w:before="1"/>
              <w:rPr>
                <w:rFonts w:ascii="宋体" w:hAnsi="宋体" w:eastAsia="宋体" w:cs="宋体"/>
                <w:sz w:val="30"/>
                <w:szCs w:val="22"/>
                <w:lang w:val="en-US" w:eastAsia="zh-CN" w:bidi="ar-SA"/>
              </w:rPr>
            </w:pPr>
          </w:p>
          <w:p>
            <w:pPr>
              <w:widowControl w:val="0"/>
              <w:autoSpaceDE w:val="0"/>
              <w:autoSpaceDN w:val="0"/>
              <w:spacing w:before="1"/>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90%</w:t>
            </w:r>
          </w:p>
        </w:tc>
      </w:tr>
    </w:tbl>
    <w:p>
      <w:pPr>
        <w:jc w:val="center"/>
        <w:rPr>
          <w:sz w:val="24"/>
        </w:rPr>
        <w:sectPr>
          <w:pgSz w:w="11910" w:h="16840"/>
          <w:pgMar w:top="1480" w:right="840" w:bottom="1380" w:left="860" w:header="0" w:footer="1195" w:gutter="0"/>
          <w:cols w:space="720" w:num="1"/>
        </w:sectPr>
      </w:pPr>
    </w:p>
    <w:p>
      <w:pPr>
        <w:spacing w:line="400" w:lineRule="exact"/>
        <w:ind w:firstLine="0" w:firstLineChars="0"/>
        <w:jc w:val="center"/>
        <w:rPr>
          <w:rFonts w:hint="eastAsia" w:ascii="方正小标宋简体" w:eastAsia="方正小标宋简体"/>
          <w:highlight w:val="none"/>
          <w:lang w:val="en-US" w:eastAsia="zh-CN"/>
        </w:rPr>
      </w:pPr>
      <w:r>
        <w:rPr>
          <w:rFonts w:hint="eastAsia" w:ascii="方正小标宋简体" w:eastAsia="方正小标宋简体"/>
          <w:highlight w:val="none"/>
          <w:lang w:val="en-US" w:eastAsia="zh-CN"/>
        </w:rPr>
        <w:t>项目绩效目标完成情况表</w:t>
      </w:r>
    </w:p>
    <w:p>
      <w:pPr>
        <w:spacing w:line="400" w:lineRule="exact"/>
        <w:ind w:firstLine="0" w:firstLineChars="0"/>
        <w:jc w:val="center"/>
        <w:rPr>
          <w:rFonts w:hint="eastAsia" w:ascii="方正小标宋简体" w:eastAsia="方正小标宋简体"/>
          <w:highlight w:val="none"/>
          <w:lang w:val="en-US" w:eastAsia="zh-CN"/>
        </w:rPr>
      </w:pPr>
      <w:r>
        <w:rPr>
          <w:rFonts w:hint="eastAsia" w:ascii="方正小标宋简体" w:eastAsia="方正小标宋简体"/>
          <w:highlight w:val="none"/>
          <w:lang w:val="en-US" w:eastAsia="zh-CN"/>
        </w:rPr>
        <w:t>(2020 年度)</w:t>
      </w:r>
    </w:p>
    <w:p>
      <w:pPr>
        <w:widowControl w:val="0"/>
        <w:autoSpaceDE w:val="0"/>
        <w:autoSpaceDN w:val="0"/>
        <w:spacing w:before="4"/>
        <w:ind w:left="0"/>
        <w:rPr>
          <w:rFonts w:ascii="宋体" w:hAnsi="宋体" w:eastAsia="宋体" w:cs="宋体"/>
          <w:sz w:val="6"/>
          <w:szCs w:val="32"/>
          <w:lang w:val="en-US" w:eastAsia="zh-CN" w:bidi="ar-SA"/>
        </w:rPr>
      </w:pPr>
    </w:p>
    <w:tbl>
      <w:tblPr>
        <w:tblStyle w:val="10"/>
        <w:tblW w:w="99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4"/>
        <w:gridCol w:w="1363"/>
        <w:gridCol w:w="1025"/>
        <w:gridCol w:w="2393"/>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8" w:hRule="atLeast"/>
          <w:jc w:val="center"/>
        </w:trPr>
        <w:tc>
          <w:tcPr>
            <w:tcW w:w="2782" w:type="dxa"/>
            <w:gridSpan w:val="3"/>
          </w:tcPr>
          <w:p>
            <w:pPr>
              <w:widowControl w:val="0"/>
              <w:autoSpaceDE w:val="0"/>
              <w:autoSpaceDN w:val="0"/>
              <w:spacing w:before="16"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项目名称</w:t>
            </w:r>
          </w:p>
        </w:tc>
        <w:tc>
          <w:tcPr>
            <w:tcW w:w="7179" w:type="dxa"/>
            <w:gridSpan w:val="3"/>
          </w:tcPr>
          <w:p>
            <w:pPr>
              <w:widowControl w:val="0"/>
              <w:autoSpaceDE w:val="0"/>
              <w:autoSpaceDN w:val="0"/>
              <w:spacing w:before="16"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水质监测配套经费项目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2782" w:type="dxa"/>
            <w:gridSpan w:val="3"/>
          </w:tcPr>
          <w:p>
            <w:pPr>
              <w:widowControl w:val="0"/>
              <w:autoSpaceDE w:val="0"/>
              <w:autoSpaceDN w:val="0"/>
              <w:spacing w:before="14" w:line="292" w:lineRule="exact"/>
              <w:ind w:left="909"/>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预算单位</w:t>
            </w:r>
          </w:p>
        </w:tc>
        <w:tc>
          <w:tcPr>
            <w:tcW w:w="7179" w:type="dxa"/>
            <w:gridSpan w:val="3"/>
          </w:tcPr>
          <w:p>
            <w:pPr>
              <w:widowControl w:val="0"/>
              <w:autoSpaceDE w:val="0"/>
              <w:autoSpaceDN w:val="0"/>
              <w:spacing w:before="14" w:line="292" w:lineRule="exact"/>
              <w:ind w:left="2248" w:right="224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自流井区疾控中心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94" w:type="dxa"/>
            <w:vMerge w:val="restart"/>
          </w:tcPr>
          <w:p>
            <w:pPr>
              <w:widowControl w:val="0"/>
              <w:autoSpaceDE w:val="0"/>
              <w:autoSpaceDN w:val="0"/>
              <w:spacing w:before="14" w:line="242" w:lineRule="auto"/>
              <w:ind w:left="14" w:right="7" w:firstLine="60"/>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预算执行情况</w:t>
            </w:r>
            <w:r>
              <w:rPr>
                <w:rFonts w:ascii="宋体" w:hAnsi="宋体" w:eastAsia="宋体" w:cs="宋体"/>
                <w:spacing w:val="1"/>
                <w:sz w:val="24"/>
                <w:szCs w:val="22"/>
                <w:lang w:val="en-US" w:eastAsia="zh-CN" w:bidi="ar-SA"/>
              </w:rPr>
              <w:t xml:space="preserve"> </w:t>
            </w:r>
            <w:r>
              <w:rPr>
                <w:rFonts w:ascii="宋体" w:hAnsi="宋体" w:eastAsia="宋体" w:cs="宋体"/>
                <w:spacing w:val="-9"/>
                <w:sz w:val="24"/>
                <w:szCs w:val="22"/>
                <w:lang w:val="en-US" w:eastAsia="zh-CN" w:bidi="ar-SA"/>
              </w:rPr>
              <w:t>(万</w:t>
            </w:r>
          </w:p>
          <w:p>
            <w:pPr>
              <w:widowControl w:val="0"/>
              <w:autoSpaceDE w:val="0"/>
              <w:autoSpaceDN w:val="0"/>
              <w:spacing w:before="10" w:line="292" w:lineRule="exact"/>
              <w:ind w:left="14"/>
              <w:rPr>
                <w:rFonts w:ascii="宋体" w:hAnsi="宋体" w:eastAsia="宋体" w:cs="宋体"/>
                <w:sz w:val="24"/>
                <w:szCs w:val="22"/>
                <w:lang w:val="en-US" w:eastAsia="zh-CN" w:bidi="ar-SA"/>
              </w:rPr>
            </w:pPr>
            <w:r>
              <w:rPr>
                <w:rFonts w:ascii="宋体" w:hAnsi="宋体" w:eastAsia="宋体" w:cs="宋体"/>
                <w:sz w:val="24"/>
                <w:szCs w:val="22"/>
                <w:lang w:val="en-US" w:eastAsia="zh-CN" w:bidi="ar-SA"/>
              </w:rPr>
              <w:t>元)</w:t>
            </w:r>
          </w:p>
        </w:tc>
        <w:tc>
          <w:tcPr>
            <w:tcW w:w="2388" w:type="dxa"/>
            <w:gridSpan w:val="2"/>
          </w:tcPr>
          <w:p>
            <w:pPr>
              <w:widowControl w:val="0"/>
              <w:autoSpaceDE w:val="0"/>
              <w:autoSpaceDN w:val="0"/>
              <w:spacing w:before="14" w:line="292" w:lineRule="exact"/>
              <w:ind w:left="770"/>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预算数:</w:t>
            </w:r>
          </w:p>
        </w:tc>
        <w:tc>
          <w:tcPr>
            <w:tcW w:w="2393" w:type="dxa"/>
          </w:tcPr>
          <w:p>
            <w:pPr>
              <w:widowControl w:val="0"/>
              <w:autoSpaceDE w:val="0"/>
              <w:autoSpaceDN w:val="0"/>
              <w:spacing w:before="14" w:line="292" w:lineRule="exact"/>
              <w:ind w:left="8"/>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c>
          <w:tcPr>
            <w:tcW w:w="2393" w:type="dxa"/>
          </w:tcPr>
          <w:p>
            <w:pPr>
              <w:widowControl w:val="0"/>
              <w:autoSpaceDE w:val="0"/>
              <w:autoSpaceDN w:val="0"/>
              <w:spacing w:before="14"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执行数:</w:t>
            </w:r>
          </w:p>
        </w:tc>
        <w:tc>
          <w:tcPr>
            <w:tcW w:w="2393" w:type="dxa"/>
          </w:tcPr>
          <w:p>
            <w:pPr>
              <w:widowControl w:val="0"/>
              <w:autoSpaceDE w:val="0"/>
              <w:autoSpaceDN w:val="0"/>
              <w:spacing w:before="14" w:line="292" w:lineRule="exact"/>
              <w:ind w:left="9"/>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spacing w:before="16" w:line="292" w:lineRule="exact"/>
              <w:ind w:left="3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0.068</w:t>
            </w:r>
          </w:p>
        </w:tc>
        <w:tc>
          <w:tcPr>
            <w:tcW w:w="2393" w:type="dxa"/>
          </w:tcPr>
          <w:p>
            <w:pPr>
              <w:widowControl w:val="0"/>
              <w:autoSpaceDE w:val="0"/>
              <w:autoSpaceDN w:val="0"/>
              <w:spacing w:before="16" w:line="292" w:lineRule="exact"/>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其中-财政拨款:</w:t>
            </w:r>
          </w:p>
        </w:tc>
        <w:tc>
          <w:tcPr>
            <w:tcW w:w="2393" w:type="dxa"/>
          </w:tcPr>
          <w:p>
            <w:pPr>
              <w:widowControl w:val="0"/>
              <w:autoSpaceDE w:val="0"/>
              <w:autoSpaceDN w:val="0"/>
              <w:spacing w:before="16" w:line="292" w:lineRule="exact"/>
              <w:ind w:right="884"/>
              <w:jc w:val="right"/>
              <w:rPr>
                <w:rFonts w:ascii="宋体" w:hAnsi="宋体" w:eastAsia="宋体" w:cs="宋体"/>
                <w:sz w:val="24"/>
                <w:szCs w:val="22"/>
                <w:lang w:val="en-US" w:eastAsia="zh-CN" w:bidi="ar-SA"/>
              </w:rPr>
            </w:pPr>
            <w:r>
              <w:rPr>
                <w:rFonts w:ascii="宋体" w:hAnsi="宋体" w:eastAsia="宋体" w:cs="宋体"/>
                <w:sz w:val="24"/>
                <w:szCs w:val="22"/>
                <w:lang w:val="en-US" w:eastAsia="zh-CN" w:bidi="ar-SA"/>
              </w:rPr>
              <w:t>0.068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6"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2388"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650"/>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55"/>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其它资金:</w:t>
            </w:r>
          </w:p>
        </w:tc>
        <w:tc>
          <w:tcPr>
            <w:tcW w:w="2393" w:type="dxa"/>
          </w:tcPr>
          <w:p>
            <w:pPr>
              <w:widowControl w:val="0"/>
              <w:autoSpaceDE w:val="0"/>
              <w:autoSpaceDN w:val="0"/>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94" w:type="dxa"/>
            <w:vMerge w:val="restart"/>
          </w:tcPr>
          <w:p>
            <w:pPr>
              <w:widowControl w:val="0"/>
              <w:autoSpaceDE w:val="0"/>
              <w:autoSpaceDN w:val="0"/>
              <w:spacing w:before="12" w:line="310" w:lineRule="atLeast"/>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年度目标完成情况</w:t>
            </w:r>
          </w:p>
        </w:tc>
        <w:tc>
          <w:tcPr>
            <w:tcW w:w="4781" w:type="dxa"/>
            <w:gridSpan w:val="3"/>
          </w:tcPr>
          <w:p>
            <w:pPr>
              <w:widowControl w:val="0"/>
              <w:autoSpaceDE w:val="0"/>
              <w:autoSpaceDN w:val="0"/>
              <w:spacing w:before="16" w:line="292" w:lineRule="exact"/>
              <w:ind w:left="5" w:right="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预期目标</w:t>
            </w:r>
          </w:p>
        </w:tc>
        <w:tc>
          <w:tcPr>
            <w:tcW w:w="4786" w:type="dxa"/>
            <w:gridSpan w:val="2"/>
          </w:tcPr>
          <w:p>
            <w:pPr>
              <w:widowControl w:val="0"/>
              <w:autoSpaceDE w:val="0"/>
              <w:autoSpaceDN w:val="0"/>
              <w:spacing w:before="16" w:line="292" w:lineRule="exact"/>
              <w:ind w:left="10" w:right="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实际完成目标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394" w:type="dxa"/>
            <w:vMerge w:val="continue"/>
            <w:tcBorders>
              <w:top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4781" w:type="dxa"/>
            <w:gridSpan w:val="3"/>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9" w:right="5"/>
              <w:jc w:val="both"/>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辖区生活饮用水进行水质卫生监测，系统地了解我区生活饮用水卫生基本状况，为加强生活</w:t>
            </w:r>
            <w:r>
              <w:rPr>
                <w:rFonts w:ascii="宋体" w:hAnsi="宋体" w:eastAsia="宋体" w:cs="宋体"/>
                <w:sz w:val="24"/>
                <w:szCs w:val="22"/>
                <w:lang w:val="en-US" w:eastAsia="zh-CN" w:bidi="ar-SA"/>
              </w:rPr>
              <w:t>饮用水安全管理工作提供依据和技术支持。</w:t>
            </w:r>
          </w:p>
        </w:tc>
        <w:tc>
          <w:tcPr>
            <w:tcW w:w="4786" w:type="dxa"/>
            <w:gridSpan w:val="2"/>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1"/>
              <w:rPr>
                <w:rFonts w:ascii="宋体" w:hAnsi="宋体" w:eastAsia="宋体" w:cs="宋体"/>
                <w:sz w:val="24"/>
                <w:szCs w:val="22"/>
                <w:lang w:val="en-US" w:eastAsia="zh-CN" w:bidi="ar-SA"/>
              </w:rPr>
            </w:pPr>
          </w:p>
          <w:p>
            <w:pPr>
              <w:widowControl w:val="0"/>
              <w:autoSpaceDE w:val="0"/>
              <w:autoSpaceDN w:val="0"/>
              <w:spacing w:line="242" w:lineRule="auto"/>
              <w:ind w:left="12" w:right="4"/>
              <w:jc w:val="both"/>
              <w:rPr>
                <w:rFonts w:ascii="宋体" w:hAnsi="宋体" w:eastAsia="宋体" w:cs="宋体"/>
                <w:sz w:val="24"/>
                <w:szCs w:val="22"/>
                <w:lang w:val="en-US" w:eastAsia="zh-CN" w:bidi="ar-SA"/>
              </w:rPr>
            </w:pPr>
            <w:r>
              <w:rPr>
                <w:rFonts w:ascii="宋体" w:hAnsi="宋体" w:eastAsia="宋体" w:cs="宋体"/>
                <w:spacing w:val="-3"/>
                <w:sz w:val="24"/>
                <w:szCs w:val="22"/>
                <w:lang w:val="en-US" w:eastAsia="zh-CN" w:bidi="ar-SA"/>
              </w:rPr>
              <w:t>辖区生活饮用水进行水质卫生监测，系统地了解我区生活饮用水卫生基本状况，为加强生活</w:t>
            </w:r>
            <w:r>
              <w:rPr>
                <w:rFonts w:ascii="宋体" w:hAnsi="宋体" w:eastAsia="宋体" w:cs="宋体"/>
                <w:sz w:val="24"/>
                <w:szCs w:val="22"/>
                <w:lang w:val="en-US" w:eastAsia="zh-CN" w:bidi="ar-SA"/>
              </w:rPr>
              <w:t>饮用水安全管理工作提供依据和技术支持。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jc w:val="center"/>
        </w:trPr>
        <w:tc>
          <w:tcPr>
            <w:tcW w:w="394" w:type="dxa"/>
            <w:vMerge w:val="restart"/>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193" w:line="242" w:lineRule="auto"/>
              <w:ind w:left="74" w:right="67"/>
              <w:jc w:val="both"/>
              <w:rPr>
                <w:rFonts w:ascii="宋体" w:hAnsi="宋体" w:eastAsia="宋体" w:cs="宋体"/>
                <w:sz w:val="24"/>
                <w:szCs w:val="22"/>
                <w:lang w:val="en-US" w:eastAsia="zh-CN" w:bidi="ar-SA"/>
              </w:rPr>
            </w:pPr>
            <w:r>
              <w:rPr>
                <w:rFonts w:ascii="宋体" w:hAnsi="宋体" w:eastAsia="宋体" w:cs="宋体"/>
                <w:sz w:val="24"/>
                <w:szCs w:val="22"/>
                <w:lang w:val="en-US" w:eastAsia="zh-CN" w:bidi="ar-SA"/>
              </w:rPr>
              <w:t>绩效指标完成情况</w:t>
            </w:r>
          </w:p>
        </w:tc>
        <w:tc>
          <w:tcPr>
            <w:tcW w:w="136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196"/>
              <w:rPr>
                <w:rFonts w:ascii="宋体" w:hAnsi="宋体" w:eastAsia="宋体" w:cs="宋体"/>
                <w:sz w:val="24"/>
                <w:szCs w:val="22"/>
                <w:lang w:val="en-US" w:eastAsia="zh-CN" w:bidi="ar-SA"/>
              </w:rPr>
            </w:pPr>
            <w:r>
              <w:rPr>
                <w:rFonts w:ascii="宋体" w:hAnsi="宋体" w:eastAsia="宋体" w:cs="宋体"/>
                <w:sz w:val="24"/>
                <w:szCs w:val="22"/>
                <w:lang w:val="en-US" w:eastAsia="zh-CN" w:bidi="ar-SA"/>
              </w:rPr>
              <w:t>一级指标</w:t>
            </w:r>
          </w:p>
        </w:tc>
        <w:tc>
          <w:tcPr>
            <w:tcW w:w="1025"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31"/>
              <w:rPr>
                <w:rFonts w:ascii="宋体" w:hAnsi="宋体" w:eastAsia="宋体" w:cs="宋体"/>
                <w:sz w:val="24"/>
                <w:szCs w:val="22"/>
                <w:lang w:val="en-US" w:eastAsia="zh-CN" w:bidi="ar-SA"/>
              </w:rPr>
            </w:pPr>
            <w:r>
              <w:rPr>
                <w:rFonts w:ascii="宋体" w:hAnsi="宋体" w:eastAsia="宋体" w:cs="宋体"/>
                <w:sz w:val="24"/>
                <w:szCs w:val="22"/>
                <w:lang w:val="en-US" w:eastAsia="zh-CN" w:bidi="ar-SA"/>
              </w:rPr>
              <w:t>二级指标</w:t>
            </w:r>
          </w:p>
        </w:tc>
        <w:tc>
          <w:tcPr>
            <w:tcW w:w="2393" w:type="dxa"/>
          </w:tcPr>
          <w:p>
            <w:pPr>
              <w:widowControl w:val="0"/>
              <w:autoSpaceDE w:val="0"/>
              <w:autoSpaceDN w:val="0"/>
              <w:spacing w:before="7"/>
              <w:rPr>
                <w:rFonts w:ascii="宋体" w:hAnsi="宋体" w:eastAsia="宋体" w:cs="宋体"/>
                <w:sz w:val="29"/>
                <w:szCs w:val="22"/>
                <w:lang w:val="en-US" w:eastAsia="zh-CN" w:bidi="ar-SA"/>
              </w:rPr>
            </w:pPr>
          </w:p>
          <w:p>
            <w:pPr>
              <w:widowControl w:val="0"/>
              <w:autoSpaceDE w:val="0"/>
              <w:autoSpaceDN w:val="0"/>
              <w:spacing w:before="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三级指标</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533" w:right="47"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预期指标值(包含数字</w:t>
            </w:r>
            <w:r>
              <w:rPr>
                <w:rFonts w:ascii="宋体" w:hAnsi="宋体" w:eastAsia="宋体" w:cs="宋体"/>
                <w:sz w:val="24"/>
                <w:szCs w:val="22"/>
                <w:lang w:val="en-US" w:eastAsia="zh-CN" w:bidi="ar-SA"/>
              </w:rPr>
              <w:t>及文字描述)</w:t>
            </w:r>
          </w:p>
        </w:tc>
        <w:tc>
          <w:tcPr>
            <w:tcW w:w="239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296" w:right="44" w:hanging="24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实际完成指标值(包含</w:t>
            </w:r>
            <w:r>
              <w:rPr>
                <w:rFonts w:ascii="宋体" w:hAnsi="宋体" w:eastAsia="宋体" w:cs="宋体"/>
                <w:sz w:val="24"/>
                <w:szCs w:val="22"/>
                <w:lang w:val="en-US" w:eastAsia="zh-CN" w:bidi="ar-SA"/>
              </w:rPr>
              <w:t>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jc w:val="center"/>
        </w:trPr>
        <w:tc>
          <w:tcPr>
            <w:tcW w:w="394" w:type="dxa"/>
            <w:vMerge w:val="continue"/>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179"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数量指标</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每季度采集水样</w:t>
            </w:r>
          </w:p>
        </w:tc>
        <w:tc>
          <w:tcPr>
            <w:tcW w:w="2393" w:type="dxa"/>
          </w:tcPr>
          <w:p>
            <w:pPr>
              <w:widowControl w:val="0"/>
              <w:autoSpaceDE w:val="0"/>
              <w:autoSpaceDN w:val="0"/>
              <w:spacing w:before="2"/>
              <w:rPr>
                <w:rFonts w:ascii="宋体" w:hAnsi="宋体" w:eastAsia="宋体" w:cs="宋体"/>
                <w:sz w:val="26"/>
                <w:szCs w:val="22"/>
                <w:lang w:val="en-US" w:eastAsia="zh-CN" w:bidi="ar-SA"/>
              </w:rPr>
            </w:pPr>
          </w:p>
          <w:p>
            <w:pPr>
              <w:widowControl w:val="0"/>
              <w:autoSpaceDE w:val="0"/>
              <w:autoSpaceDN w:val="0"/>
              <w:ind w:left="93" w:right="84"/>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jc w:val="center"/>
        </w:trPr>
        <w:tc>
          <w:tcPr>
            <w:tcW w:w="394" w:type="dxa"/>
            <w:vMerge w:val="continue"/>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质量指标</w:t>
            </w:r>
          </w:p>
        </w:tc>
        <w:tc>
          <w:tcPr>
            <w:tcW w:w="2393" w:type="dxa"/>
          </w:tcPr>
          <w:p>
            <w:pPr>
              <w:widowControl w:val="0"/>
              <w:autoSpaceDE w:val="0"/>
              <w:autoSpaceDN w:val="0"/>
              <w:rPr>
                <w:rFonts w:ascii="宋体" w:hAnsi="宋体" w:eastAsia="宋体" w:cs="宋体"/>
                <w:sz w:val="24"/>
                <w:szCs w:val="22"/>
                <w:lang w:val="en-US" w:eastAsia="zh-CN" w:bidi="ar-SA"/>
              </w:rPr>
            </w:pPr>
          </w:p>
          <w:p>
            <w:pPr>
              <w:widowControl w:val="0"/>
              <w:autoSpaceDE w:val="0"/>
              <w:autoSpaceDN w:val="0"/>
              <w:spacing w:before="201"/>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配臵相应设备</w:t>
            </w:r>
          </w:p>
        </w:tc>
        <w:tc>
          <w:tcPr>
            <w:tcW w:w="2393" w:type="dxa"/>
          </w:tcPr>
          <w:p>
            <w:pPr>
              <w:widowControl w:val="0"/>
              <w:autoSpaceDE w:val="0"/>
              <w:autoSpaceDN w:val="0"/>
              <w:spacing w:before="6"/>
              <w:rPr>
                <w:rFonts w:ascii="宋体" w:hAnsi="宋体" w:eastAsia="宋体" w:cs="宋体"/>
                <w:sz w:val="27"/>
                <w:szCs w:val="22"/>
                <w:lang w:val="en-US" w:eastAsia="zh-CN" w:bidi="ar-SA"/>
              </w:rPr>
            </w:pPr>
          </w:p>
          <w:p>
            <w:pPr>
              <w:widowControl w:val="0"/>
              <w:autoSpaceDE w:val="0"/>
              <w:autoSpaceDN w:val="0"/>
              <w:spacing w:line="242" w:lineRule="auto"/>
              <w:ind w:left="1076" w:right="5" w:hanging="1061"/>
              <w:rPr>
                <w:rFonts w:ascii="宋体" w:hAnsi="宋体" w:eastAsia="宋体" w:cs="宋体"/>
                <w:sz w:val="24"/>
                <w:szCs w:val="22"/>
                <w:lang w:val="en-US" w:eastAsia="zh-CN" w:bidi="ar-SA"/>
              </w:rPr>
            </w:pPr>
            <w:r>
              <w:rPr>
                <w:rFonts w:ascii="宋体" w:hAnsi="宋体" w:eastAsia="宋体" w:cs="宋体"/>
                <w:spacing w:val="-5"/>
                <w:sz w:val="24"/>
                <w:szCs w:val="22"/>
                <w:lang w:val="en-US" w:eastAsia="zh-CN" w:bidi="ar-SA"/>
              </w:rPr>
              <w:t>气相色谱仪，离子色谱</w:t>
            </w:r>
            <w:r>
              <w:rPr>
                <w:rFonts w:ascii="宋体" w:hAnsi="宋体" w:eastAsia="宋体" w:cs="宋体"/>
                <w:sz w:val="24"/>
                <w:szCs w:val="22"/>
                <w:lang w:val="en-US" w:eastAsia="zh-CN" w:bidi="ar-SA"/>
              </w:rPr>
              <w:t>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jc w:val="center"/>
        </w:trPr>
        <w:tc>
          <w:tcPr>
            <w:tcW w:w="394" w:type="dxa"/>
            <w:vMerge w:val="continue"/>
            <w:tcBorders>
              <w:bottom w:val="nil"/>
            </w:tcBorders>
          </w:tcPr>
          <w:p>
            <w:pPr>
              <w:widowControl w:val="0"/>
              <w:autoSpaceDE w:val="0"/>
              <w:autoSpaceDN w:val="0"/>
              <w:spacing w:line="240" w:lineRule="auto"/>
              <w:ind w:firstLine="0" w:firstLineChars="0"/>
              <w:rPr>
                <w:rFonts w:ascii="宋体" w:hAnsi="宋体" w:eastAsia="宋体" w:cs="宋体"/>
                <w:kern w:val="0"/>
                <w:sz w:val="2"/>
                <w:szCs w:val="2"/>
              </w:rPr>
            </w:pPr>
          </w:p>
        </w:tc>
        <w:tc>
          <w:tcPr>
            <w:tcW w:w="1363" w:type="dxa"/>
          </w:tcPr>
          <w:p>
            <w:pPr>
              <w:widowControl w:val="0"/>
              <w:autoSpaceDE w:val="0"/>
              <w:autoSpaceDN w:val="0"/>
              <w:spacing w:before="5"/>
              <w:rPr>
                <w:rFonts w:ascii="宋体" w:hAnsi="宋体" w:eastAsia="宋体" w:cs="宋体"/>
                <w:sz w:val="17"/>
                <w:szCs w:val="22"/>
                <w:lang w:val="en-US" w:eastAsia="zh-CN" w:bidi="ar-SA"/>
              </w:rPr>
            </w:pPr>
          </w:p>
          <w:p>
            <w:pPr>
              <w:widowControl w:val="0"/>
              <w:autoSpaceDE w:val="0"/>
              <w:autoSpaceDN w:val="0"/>
              <w:spacing w:line="242" w:lineRule="auto"/>
              <w:ind w:left="556" w:right="74" w:hanging="480"/>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项目完成指</w:t>
            </w:r>
            <w:r>
              <w:rPr>
                <w:rFonts w:ascii="宋体" w:hAnsi="宋体" w:eastAsia="宋体" w:cs="宋体"/>
                <w:sz w:val="24"/>
                <w:szCs w:val="22"/>
                <w:lang w:val="en-US" w:eastAsia="zh-CN" w:bidi="ar-SA"/>
              </w:rPr>
              <w:t>标</w:t>
            </w:r>
          </w:p>
        </w:tc>
        <w:tc>
          <w:tcPr>
            <w:tcW w:w="1025" w:type="dxa"/>
          </w:tcPr>
          <w:p>
            <w:pPr>
              <w:widowControl w:val="0"/>
              <w:autoSpaceDE w:val="0"/>
              <w:autoSpaceDN w:val="0"/>
              <w:rPr>
                <w:rFonts w:ascii="Times New Roman" w:hAnsi="宋体" w:eastAsia="宋体" w:cs="宋体"/>
                <w:sz w:val="24"/>
                <w:szCs w:val="22"/>
                <w:lang w:val="en-US" w:eastAsia="zh-CN" w:bidi="ar-SA"/>
              </w:rPr>
            </w:pPr>
          </w:p>
        </w:tc>
        <w:tc>
          <w:tcPr>
            <w:tcW w:w="2393" w:type="dxa"/>
          </w:tcPr>
          <w:p>
            <w:pPr>
              <w:widowControl w:val="0"/>
              <w:autoSpaceDE w:val="0"/>
              <w:autoSpaceDN w:val="0"/>
              <w:spacing w:before="8"/>
              <w:rPr>
                <w:rFonts w:ascii="宋体" w:hAnsi="宋体" w:eastAsia="宋体" w:cs="宋体"/>
                <w:sz w:val="29"/>
                <w:szCs w:val="22"/>
                <w:lang w:val="en-US" w:eastAsia="zh-CN" w:bidi="ar-SA"/>
              </w:rPr>
            </w:pPr>
          </w:p>
          <w:p>
            <w:pPr>
              <w:widowControl w:val="0"/>
              <w:autoSpaceDE w:val="0"/>
              <w:autoSpaceDN w:val="0"/>
              <w:ind w:left="93" w:right="85"/>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时效指标</w:t>
            </w:r>
          </w:p>
        </w:tc>
        <w:tc>
          <w:tcPr>
            <w:tcW w:w="2393" w:type="dxa"/>
          </w:tcPr>
          <w:p>
            <w:pPr>
              <w:widowControl w:val="0"/>
              <w:autoSpaceDE w:val="0"/>
              <w:autoSpaceDN w:val="0"/>
              <w:spacing w:before="8"/>
              <w:rPr>
                <w:rFonts w:ascii="宋体" w:hAnsi="宋体" w:eastAsia="宋体" w:cs="宋体"/>
                <w:sz w:val="29"/>
                <w:szCs w:val="22"/>
                <w:lang w:val="en-US" w:eastAsia="zh-CN" w:bidi="ar-SA"/>
              </w:rPr>
            </w:pPr>
          </w:p>
          <w:p>
            <w:pPr>
              <w:widowControl w:val="0"/>
              <w:autoSpaceDE w:val="0"/>
              <w:autoSpaceDN w:val="0"/>
              <w:ind w:left="93" w:right="90"/>
              <w:jc w:val="center"/>
              <w:rPr>
                <w:rFonts w:ascii="宋体" w:hAnsi="宋体" w:eastAsia="宋体" w:cs="宋体"/>
                <w:sz w:val="24"/>
                <w:szCs w:val="22"/>
                <w:lang w:val="en-US" w:eastAsia="zh-CN" w:bidi="ar-SA"/>
              </w:rPr>
            </w:pPr>
            <w:r>
              <w:rPr>
                <w:rFonts w:ascii="宋体" w:hAnsi="宋体" w:eastAsia="宋体" w:cs="宋体"/>
                <w:sz w:val="24"/>
                <w:szCs w:val="22"/>
                <w:lang w:val="en-US" w:eastAsia="zh-CN" w:bidi="ar-SA"/>
              </w:rPr>
              <w:t>完成率</w:t>
            </w:r>
          </w:p>
        </w:tc>
        <w:tc>
          <w:tcPr>
            <w:tcW w:w="2393" w:type="dxa"/>
          </w:tcPr>
          <w:p>
            <w:pPr>
              <w:widowControl w:val="0"/>
              <w:autoSpaceDE w:val="0"/>
              <w:autoSpaceDN w:val="0"/>
              <w:spacing w:before="8"/>
              <w:rPr>
                <w:rFonts w:ascii="宋体" w:hAnsi="宋体" w:eastAsia="宋体" w:cs="宋体"/>
                <w:sz w:val="29"/>
                <w:szCs w:val="22"/>
                <w:lang w:val="en-US" w:eastAsia="zh-CN" w:bidi="ar-SA"/>
              </w:rPr>
            </w:pPr>
          </w:p>
          <w:p>
            <w:pPr>
              <w:widowControl w:val="0"/>
              <w:autoSpaceDE w:val="0"/>
              <w:autoSpaceDN w:val="0"/>
              <w:ind w:right="944"/>
              <w:jc w:val="right"/>
              <w:rPr>
                <w:rFonts w:ascii="宋体" w:hAnsi="宋体" w:eastAsia="宋体" w:cs="宋体"/>
                <w:sz w:val="24"/>
                <w:szCs w:val="22"/>
                <w:lang w:val="en-US" w:eastAsia="zh-CN" w:bidi="ar-SA"/>
              </w:rPr>
            </w:pPr>
            <w:r>
              <w:rPr>
                <w:rFonts w:ascii="宋体" w:hAnsi="宋体" w:eastAsia="宋体" w:cs="宋体"/>
                <w:sz w:val="24"/>
                <w:szCs w:val="22"/>
                <w:lang w:val="en-US" w:eastAsia="zh-CN" w:bidi="ar-SA"/>
              </w:rPr>
              <w:t>100%</w:t>
            </w:r>
          </w:p>
        </w:tc>
      </w:tr>
    </w:tbl>
    <w:p>
      <w:pPr>
        <w:spacing w:line="400" w:lineRule="exact"/>
        <w:ind w:firstLine="0" w:firstLineChars="0"/>
        <w:jc w:val="center"/>
        <w:rPr>
          <w:rFonts w:ascii="方正小标宋简体" w:eastAsia="方正小标宋简体"/>
        </w:rPr>
        <w:sectPr>
          <w:pgSz w:w="11906" w:h="16838"/>
          <w:pgMar w:top="2098" w:right="1474" w:bottom="1985" w:left="1588" w:header="851" w:footer="992" w:gutter="0"/>
          <w:cols w:space="425" w:num="1"/>
          <w:docGrid w:type="lines" w:linePitch="312" w:charSpace="0"/>
        </w:sectPr>
      </w:pPr>
    </w:p>
    <w:p>
      <w:pPr>
        <w:spacing w:line="400" w:lineRule="exact"/>
        <w:ind w:firstLine="0" w:firstLineChars="0"/>
        <w:jc w:val="center"/>
        <w:rPr>
          <w:rFonts w:ascii="方正小标宋简体" w:eastAsia="方正小标宋简体"/>
        </w:rPr>
      </w:pPr>
    </w:p>
    <w:p>
      <w:pPr>
        <w:spacing w:line="400" w:lineRule="exact"/>
        <w:ind w:firstLine="0" w:firstLineChars="0"/>
        <w:jc w:val="center"/>
        <w:rPr>
          <w:rFonts w:hint="eastAsia" w:ascii="方正小标宋简体" w:eastAsia="方正小标宋简体"/>
        </w:rPr>
      </w:pPr>
    </w:p>
    <w:p>
      <w:pPr>
        <w:jc w:val="both"/>
      </w:pPr>
      <w:r>
        <w:rPr>
          <w:rFonts w:hint="eastAsia"/>
        </w:rPr>
        <w:t>2.</w:t>
      </w:r>
      <w:r>
        <w:rPr>
          <w:rFonts w:hint="eastAsia"/>
        </w:rPr>
        <w:tab/>
      </w:r>
      <w:r>
        <w:rPr>
          <w:rFonts w:hint="eastAsia"/>
        </w:rPr>
        <w:t>部门绩效评价结果。</w:t>
      </w:r>
    </w:p>
    <w:p>
      <w:pPr>
        <w:ind w:firstLine="640"/>
        <w:jc w:val="both"/>
      </w:pPr>
      <w:r>
        <w:rPr>
          <w:rFonts w:hint="eastAsia"/>
        </w:rPr>
        <w:t>本部门按要求对2020年部门整体支出绩效评价情况开展自评《，自井疾控部门2020年部门整体支出绩效评价报告》见附件（附件1）。</w:t>
      </w:r>
    </w:p>
    <w:p>
      <w:pPr>
        <w:ind w:firstLine="640"/>
        <w:jc w:val="both"/>
      </w:pPr>
      <w:r>
        <w:rPr>
          <w:rFonts w:hint="eastAsia"/>
        </w:rPr>
        <w:t>本部门自行组织对艾滋中央项目、计量认证配套经费项目、结核配项目、水质监测配套项目、职业病中财项目开展了绩效评价，《项目2020年绩效评价报告》见附件（附件2）。</w:t>
      </w:r>
    </w:p>
    <w:p>
      <w:pPr>
        <w:ind w:firstLine="640"/>
        <w:jc w:val="both"/>
      </w:pPr>
      <w:r>
        <w:rPr>
          <w:rFonts w:hint="eastAsia"/>
        </w:rPr>
        <w:t>（非涉密部门均需公开部门整体支出评价报告，部门自行组织的绩效评价情况根据部门实际公开，若未组织项目绩效评价，则只需说明部门整体支出绩效评价情况）</w:t>
      </w:r>
    </w:p>
    <w:p>
      <w:pPr>
        <w:ind w:firstLine="640"/>
        <w:jc w:val="both"/>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rPr>
          <w:sz w:val="36"/>
          <w:szCs w:val="36"/>
        </w:rPr>
      </w:pPr>
    </w:p>
    <w:p>
      <w:pPr>
        <w:ind w:firstLine="0" w:firstLineChars="0"/>
        <w:jc w:val="center"/>
        <w:outlineLvl w:val="0"/>
        <w:rPr>
          <w:rFonts w:hint="eastAsia" w:ascii="方正小标宋简体" w:eastAsia="方正小标宋简体"/>
          <w:sz w:val="36"/>
          <w:szCs w:val="36"/>
        </w:rPr>
      </w:pPr>
      <w:bookmarkStart w:id="26" w:name="_Toc3368"/>
      <w:bookmarkStart w:id="27" w:name="_Toc5442"/>
      <w:r>
        <w:rPr>
          <w:rFonts w:hint="eastAsia" w:ascii="方正小标宋简体" w:eastAsia="方正小标宋简体"/>
          <w:sz w:val="36"/>
          <w:szCs w:val="36"/>
        </w:rPr>
        <w:t>第三部分名词解释</w:t>
      </w:r>
      <w:bookmarkEnd w:id="26"/>
      <w:bookmarkEnd w:id="27"/>
    </w:p>
    <w:p>
      <w:pPr>
        <w:ind w:firstLine="640"/>
        <w:jc w:val="both"/>
      </w:pPr>
    </w:p>
    <w:p>
      <w:pPr>
        <w:ind w:firstLine="640"/>
        <w:jc w:val="both"/>
      </w:pPr>
      <w:r>
        <w:rPr>
          <w:rFonts w:hint="eastAsia"/>
        </w:rPr>
        <w:t>1.财政拨款收入：指单位从同级财政部门取得的财政预算资金。</w:t>
      </w:r>
    </w:p>
    <w:p>
      <w:pPr>
        <w:ind w:firstLine="640"/>
        <w:jc w:val="both"/>
      </w:pPr>
      <w:r>
        <w:rPr>
          <w:rFonts w:hint="eastAsia"/>
        </w:rPr>
        <w:t>2.事业收入：指事业单位开展专业业务活动及辅助活动取得的收入。</w:t>
      </w:r>
    </w:p>
    <w:p>
      <w:pPr>
        <w:ind w:firstLine="640"/>
        <w:jc w:val="both"/>
      </w:pPr>
      <w:r>
        <w:rPr>
          <w:rFonts w:hint="eastAsia"/>
        </w:rPr>
        <w:t>3.经营收入：指事业单位在专业业务活动及其辅助活动之外开展非独立核算经营活动取得的收入。</w:t>
      </w:r>
    </w:p>
    <w:p>
      <w:pPr>
        <w:ind w:firstLine="640"/>
        <w:jc w:val="both"/>
      </w:pPr>
      <w:r>
        <w:rPr>
          <w:rFonts w:hint="eastAsia"/>
        </w:rPr>
        <w:t>4.其他收入：指单位取得的除上述收入以外的各项收入。主要是市疾控及区卫生健康局拨款等。</w:t>
      </w:r>
    </w:p>
    <w:p>
      <w:pPr>
        <w:ind w:firstLine="640"/>
        <w:jc w:val="both"/>
      </w:pPr>
      <w:r>
        <w:rPr>
          <w:rFonts w:hint="eastAsia"/>
        </w:rPr>
        <w:t>5.使用非财政拨款结余：指事业单位使用以前年度积累的非财政拨款结余弥补当年收支差额的金额。</w:t>
      </w:r>
    </w:p>
    <w:p>
      <w:pPr>
        <w:ind w:firstLine="640"/>
        <w:jc w:val="both"/>
      </w:pPr>
      <w:r>
        <w:rPr>
          <w:rFonts w:hint="eastAsia"/>
        </w:rPr>
        <w:t>6.年初结转和结余：指以前年度尚未完成、结转到本年按有关规定继续使用的资金。</w:t>
      </w:r>
    </w:p>
    <w:p>
      <w:pPr>
        <w:ind w:firstLine="640"/>
        <w:jc w:val="both"/>
      </w:pPr>
      <w:r>
        <w:rPr>
          <w:rFonts w:hint="eastAsia"/>
        </w:rPr>
        <w:t>7.结余分配：指事业单位按照会计制度规定缴纳的所得税、提取的专用结余以及转入非财政拨款结余的金额等。</w:t>
      </w:r>
    </w:p>
    <w:p>
      <w:pPr>
        <w:ind w:firstLine="640"/>
        <w:jc w:val="both"/>
      </w:pPr>
      <w:r>
        <w:rPr>
          <w:rFonts w:hint="eastAsia"/>
        </w:rPr>
        <w:t>8.年末结转和结余：指单位按有关规定结转到下年或以后年度继续使用的资金。</w:t>
      </w:r>
    </w:p>
    <w:p>
      <w:pPr>
        <w:ind w:firstLine="640"/>
        <w:jc w:val="both"/>
      </w:pPr>
      <w:r>
        <w:rPr>
          <w:rFonts w:hint="eastAsia"/>
        </w:rPr>
        <w:t>9.社会保障和就业（类）行政事业单位养老支出（款）事业单位离退休（项）：指实行归口管理的行政事业单位开支的离退休经费。</w:t>
      </w:r>
    </w:p>
    <w:p>
      <w:pPr>
        <w:ind w:firstLine="640"/>
        <w:jc w:val="both"/>
      </w:pPr>
      <w:r>
        <w:rPr>
          <w:rFonts w:hint="eastAsia"/>
        </w:rPr>
        <w:t>10.社会保障和就业（类）行政事业单位养老支出（款）机关事业单位基本养老保险缴费支出（项）：指机关事业单位实施养老保险制度由单位缴纳的养老保险费支出。</w:t>
      </w:r>
    </w:p>
    <w:p>
      <w:pPr>
        <w:ind w:firstLine="640"/>
        <w:jc w:val="both"/>
      </w:pPr>
      <w:r>
        <w:rPr>
          <w:rFonts w:hint="eastAsia"/>
        </w:rPr>
        <w:t>11.社会保障和就业（类）行政事业单位养老支出（款）机关事业单位职业年金缴费支出（项）：指机关事业单位实施养老保险制度由单位缴纳的职业年金缴费支出。</w:t>
      </w:r>
    </w:p>
    <w:p>
      <w:pPr>
        <w:ind w:firstLine="640"/>
        <w:jc w:val="both"/>
      </w:pPr>
      <w:r>
        <w:rPr>
          <w:rFonts w:hint="eastAsia"/>
        </w:rPr>
        <w:t>12.社会保障和就业（类）行政事业单位养老支出（款）其他社会保障和就业支出（项）：除上述项目外其他用于行政事业单位离退休方面的支出。</w:t>
      </w:r>
    </w:p>
    <w:p>
      <w:pPr>
        <w:ind w:firstLine="640"/>
        <w:jc w:val="both"/>
      </w:pPr>
      <w:r>
        <w:rPr>
          <w:rFonts w:hint="eastAsia"/>
        </w:rPr>
        <w:t>13.卫生健康支出（类）公共卫生（款）疾病预防控制机构（项）：指财政拨给疾控中心开展工作的经费，包括工资、公用经费、配套经费。</w:t>
      </w:r>
    </w:p>
    <w:p>
      <w:pPr>
        <w:ind w:firstLine="640"/>
        <w:jc w:val="both"/>
      </w:pPr>
      <w:r>
        <w:rPr>
          <w:rFonts w:hint="eastAsia"/>
        </w:rPr>
        <w:t>14.卫生健康支出（类）公共卫生（款）基本公共卫生服务（项）：指财政拨入单位专项经费。重大公共卫生服务（项）：指财政拨入单位专项经费。</w:t>
      </w:r>
    </w:p>
    <w:p>
      <w:pPr>
        <w:ind w:firstLine="640"/>
        <w:jc w:val="both"/>
      </w:pPr>
      <w:r>
        <w:rPr>
          <w:rFonts w:hint="eastAsia"/>
        </w:rPr>
        <w:t>15.卫生健康支出（类）公共卫生（款）突发公共卫生事件应急处理（项）：指财政拨款单位突发应急专项资金。</w:t>
      </w:r>
    </w:p>
    <w:p>
      <w:pPr>
        <w:ind w:firstLine="640"/>
        <w:jc w:val="both"/>
      </w:pPr>
      <w:r>
        <w:rPr>
          <w:rFonts w:hint="eastAsia"/>
        </w:rPr>
        <w:t>16.卫生健康支出（类）行政事业单位医疗（款）事业单位医疗（项）：指事业单位医保缴费支出。</w:t>
      </w:r>
    </w:p>
    <w:p>
      <w:pPr>
        <w:ind w:firstLine="640"/>
        <w:jc w:val="both"/>
      </w:pPr>
      <w:r>
        <w:rPr>
          <w:rFonts w:hint="eastAsia"/>
        </w:rPr>
        <w:t>17.卫生健康支出（类）其他卫生健康支出（款）其他卫生健康支出（项）：指财政拨入单位专项经费。</w:t>
      </w:r>
    </w:p>
    <w:p>
      <w:pPr>
        <w:ind w:firstLine="640"/>
        <w:jc w:val="both"/>
      </w:pPr>
      <w:r>
        <w:rPr>
          <w:rFonts w:hint="eastAsia"/>
        </w:rPr>
        <w:t>18.住房保障（类）住房改革支出（款）住房公积金（项）：指住房公积金缴费。</w:t>
      </w:r>
    </w:p>
    <w:p>
      <w:pPr>
        <w:ind w:firstLine="640"/>
        <w:jc w:val="both"/>
      </w:pPr>
      <w:r>
        <w:rPr>
          <w:rFonts w:hint="eastAsia"/>
        </w:rPr>
        <w:t>19.基本支出：指为保障机构正常运转、完成日常工作任务而发生的人员支出和公用支出。</w:t>
      </w:r>
    </w:p>
    <w:p>
      <w:pPr>
        <w:ind w:firstLine="640"/>
        <w:jc w:val="both"/>
      </w:pPr>
      <w:r>
        <w:rPr>
          <w:rFonts w:hint="eastAsia"/>
        </w:rPr>
        <w:t>20.项目支出：指在基本支出之外为完成特定行政任务和事业发展目标所发生的支出。</w:t>
      </w:r>
    </w:p>
    <w:p>
      <w:pPr>
        <w:ind w:firstLine="640"/>
        <w:jc w:val="both"/>
      </w:pPr>
      <w:r>
        <w:rPr>
          <w:rFonts w:hint="eastAsia"/>
        </w:rPr>
        <w:t>21.经营支出：指事业单位在专业业务活动及其辅助活动之外开展非独立核算经营活动发生的支出。</w:t>
      </w:r>
    </w:p>
    <w:p>
      <w:pPr>
        <w:ind w:firstLine="640"/>
        <w:jc w:val="both"/>
      </w:pPr>
      <w:r>
        <w:rPr>
          <w:rFonts w:hint="eastAsia"/>
        </w:rPr>
        <w:t>22.“三公”经费：指部门用财政拨款安排的因公出国（境）费、公务用车购</w:t>
      </w:r>
      <w:r>
        <w:rPr>
          <w:rFonts w:hint="eastAsia" w:cs="微软雅黑"/>
        </w:rPr>
        <w:t>置</w:t>
      </w:r>
      <w:r>
        <w:rPr>
          <w:rFonts w:hint="eastAsia" w:cs="仿宋_GB2312"/>
        </w:rPr>
        <w:t>及运行费和公务接待费。其中，因公出国（境）费反映单位公务出国（境）的国际旅费、国外城市间交通费、住宿费、伙食费、培训费、公杂费等支出；</w:t>
      </w:r>
      <w:r>
        <w:rPr>
          <w:rFonts w:hint="eastAsia"/>
        </w:rPr>
        <w:t>公务用车购</w:t>
      </w:r>
      <w:r>
        <w:rPr>
          <w:rFonts w:hint="eastAsia" w:cs="微软雅黑"/>
        </w:rPr>
        <w:t>置</w:t>
      </w:r>
      <w:r>
        <w:rPr>
          <w:rFonts w:hint="eastAsia" w:cs="仿宋_GB2312"/>
        </w:rPr>
        <w:t>及运行费反映单位公务用车车辆购</w:t>
      </w:r>
      <w:r>
        <w:rPr>
          <w:rFonts w:hint="eastAsia" w:cs="微软雅黑"/>
        </w:rPr>
        <w:t>置</w:t>
      </w:r>
      <w:r>
        <w:rPr>
          <w:rFonts w:hint="eastAsia" w:cs="仿宋_GB2312"/>
        </w:rPr>
        <w:t>支出（含车辆购</w:t>
      </w:r>
      <w:r>
        <w:rPr>
          <w:rFonts w:hint="eastAsia" w:cs="微软雅黑"/>
        </w:rPr>
        <w:t>置</w:t>
      </w:r>
      <w:r>
        <w:rPr>
          <w:rFonts w:hint="eastAsia" w:cs="仿宋_GB2312"/>
        </w:rPr>
        <w:t>税）及租用费、燃料费、维修费、过路过桥费、保险费等支出；公务接待费反映单位按规定开支的各类公务接待（含外宾接待）支出。</w:t>
      </w:r>
    </w:p>
    <w:p>
      <w:pPr>
        <w:ind w:firstLine="640"/>
        <w:jc w:val="both"/>
      </w:pPr>
      <w:r>
        <w:rPr>
          <w:rFonts w:hint="eastAsia"/>
        </w:rPr>
        <w:t>23.机关运行经费：为保障行政单位（含参照公务员法管理的事业单位）运行用于购买货物和服务的各项资金，包括办公及印刷费、邮电费、差旅费、会议费、福利费、日常维修费、专用材料及一般设备购</w:t>
      </w:r>
      <w:r>
        <w:rPr>
          <w:rFonts w:hint="eastAsia" w:cs="微软雅黑"/>
        </w:rPr>
        <w:t>置</w:t>
      </w:r>
      <w:r>
        <w:rPr>
          <w:rFonts w:hint="eastAsia" w:cs="仿宋_GB2312"/>
        </w:rPr>
        <w:t>费、办公用房水电费、办</w:t>
      </w:r>
      <w:r>
        <w:rPr>
          <w:rFonts w:hint="eastAsia"/>
        </w:rPr>
        <w:t>公用房取暖费、办公用房物业管理费、公务用车运行维护费以及其他费用。</w:t>
      </w:r>
    </w:p>
    <w:p>
      <w:pPr>
        <w:ind w:firstLine="640"/>
        <w:jc w:val="both"/>
      </w:pPr>
    </w:p>
    <w:p>
      <w:pPr>
        <w:ind w:firstLine="640"/>
        <w:jc w:val="both"/>
        <w:rPr>
          <w:rFonts w:hint="eastAsia"/>
        </w:rPr>
      </w:pPr>
    </w:p>
    <w:p>
      <w:pPr>
        <w:ind w:firstLine="720"/>
        <w:jc w:val="center"/>
        <w:outlineLvl w:val="0"/>
        <w:rPr>
          <w:rFonts w:hint="eastAsia" w:ascii="方正小标宋简体" w:eastAsia="方正小标宋简体"/>
          <w:sz w:val="36"/>
          <w:szCs w:val="36"/>
        </w:rPr>
      </w:pPr>
      <w:bookmarkStart w:id="28" w:name="_Toc27113"/>
      <w:bookmarkStart w:id="29" w:name="_Toc27676"/>
      <w:r>
        <w:rPr>
          <w:rFonts w:hint="eastAsia" w:ascii="方正小标宋简体" w:eastAsia="方正小标宋简体"/>
          <w:sz w:val="36"/>
          <w:szCs w:val="36"/>
        </w:rPr>
        <w:t>第四部分附件</w:t>
      </w:r>
      <w:bookmarkEnd w:id="28"/>
      <w:bookmarkEnd w:id="29"/>
    </w:p>
    <w:p>
      <w:pPr>
        <w:ind w:firstLine="0" w:firstLineChars="0"/>
        <w:jc w:val="both"/>
        <w:outlineLvl w:val="1"/>
      </w:pPr>
      <w:bookmarkStart w:id="30" w:name="_Toc6508"/>
      <w:bookmarkStart w:id="31" w:name="_Toc28552"/>
      <w:r>
        <w:rPr>
          <w:rFonts w:hint="eastAsia"/>
        </w:rPr>
        <w:t>附件1：</w:t>
      </w:r>
      <w:bookmarkEnd w:id="30"/>
      <w:bookmarkEnd w:id="31"/>
    </w:p>
    <w:p>
      <w:pPr>
        <w:ind w:firstLine="0" w:firstLineChars="0"/>
        <w:jc w:val="center"/>
        <w:rPr>
          <w:rFonts w:hint="eastAsia" w:ascii="方正小标宋简体" w:eastAsia="方正小标宋简体"/>
          <w:sz w:val="36"/>
          <w:szCs w:val="36"/>
        </w:rPr>
      </w:pPr>
      <w:r>
        <w:rPr>
          <w:rFonts w:hint="eastAsia" w:ascii="方正小标宋简体" w:eastAsia="方正小标宋简体"/>
          <w:sz w:val="36"/>
          <w:szCs w:val="36"/>
        </w:rPr>
        <w:t>自井疾控2020年部门整体支出绩效评价报告</w:t>
      </w:r>
    </w:p>
    <w:p>
      <w:pPr>
        <w:ind w:firstLine="640"/>
        <w:jc w:val="both"/>
      </w:pPr>
    </w:p>
    <w:p>
      <w:pPr>
        <w:ind w:firstLine="640"/>
        <w:jc w:val="both"/>
        <w:rPr>
          <w:rFonts w:ascii="黑体" w:hAnsi="黑体" w:eastAsia="黑体"/>
        </w:rPr>
      </w:pPr>
      <w:r>
        <w:rPr>
          <w:rFonts w:hint="eastAsia" w:ascii="黑体" w:hAnsi="黑体" w:eastAsia="黑体"/>
        </w:rPr>
        <w:t>一、部门（单位）概况</w:t>
      </w:r>
    </w:p>
    <w:p>
      <w:pPr>
        <w:ind w:firstLine="640"/>
        <w:jc w:val="both"/>
      </w:pPr>
      <w:r>
        <w:rPr>
          <w:rFonts w:hint="eastAsia"/>
        </w:rPr>
        <w:t>自流井区疾病预防控制中心位于自流井区大同路1号，办公业务用房1600余平方米，自流井区疾病预防控制中心经自流井区编制委员会核准为正科级全额拨款公益一类事业单位，核定编制48人，熊端萍任党支部书记兼主任；曾知柳、冯小伟任副主任。现有在编在岗44人，管理岗5名，工勤岗4名，专业技术岗35名（其中双肩挑3人）。中心内设职能科室3个，即党政办、财务科、后勤科；业务科室6个，即综合业务科、急性传染病免疫规划防控科、检验科、艾滋结核病防治科、监测科、慢性病防治科。疾控中心工作涵盖：突发公共卫生事件处</w:t>
      </w:r>
      <w:r>
        <w:rPr>
          <w:rFonts w:hint="eastAsia" w:cs="微软雅黑"/>
        </w:rPr>
        <w:t>置</w:t>
      </w:r>
      <w:r>
        <w:rPr>
          <w:rFonts w:hint="eastAsia" w:cs="仿宋_GB2312"/>
        </w:rPr>
        <w:t>、传染病监测管理、艾滋结核病防控、儿童计划免疫、地方病防治、卫生检验检测（生活饮用水、食品、公共</w:t>
      </w:r>
      <w:r>
        <w:rPr>
          <w:rFonts w:hint="eastAsia"/>
        </w:rPr>
        <w:t>场所监测）、学校卫生、职业卫生、病媒生物监测、慢性非传染性疾病管理、健康教育与健康促进、基本公共卫生服务、疾控业务技术培训和指导、从业人员预防性健康检查等。</w:t>
      </w:r>
    </w:p>
    <w:p>
      <w:pPr>
        <w:ind w:firstLine="640"/>
        <w:jc w:val="both"/>
        <w:rPr>
          <w:rFonts w:ascii="黑体" w:hAnsi="黑体" w:eastAsia="黑体"/>
        </w:rPr>
      </w:pPr>
      <w:r>
        <w:rPr>
          <w:rFonts w:hint="eastAsia" w:ascii="黑体" w:hAnsi="黑体" w:eastAsia="黑体"/>
        </w:rPr>
        <w:t>二、部门财政资金收支情况</w:t>
      </w:r>
    </w:p>
    <w:p>
      <w:pPr>
        <w:ind w:firstLine="643"/>
        <w:jc w:val="both"/>
        <w:rPr>
          <w:rFonts w:hint="eastAsia" w:ascii="楷体_GB2312" w:eastAsia="楷体_GB2312"/>
          <w:b/>
        </w:rPr>
      </w:pPr>
      <w:r>
        <w:rPr>
          <w:rFonts w:hint="eastAsia" w:ascii="楷体_GB2312" w:eastAsia="楷体_GB2312"/>
          <w:b/>
        </w:rPr>
        <w:t>（一）部门财政资金收入情况。</w:t>
      </w:r>
    </w:p>
    <w:p>
      <w:pPr>
        <w:ind w:firstLine="640"/>
        <w:jc w:val="both"/>
      </w:pPr>
      <w:r>
        <w:rPr>
          <w:rFonts w:hint="eastAsia"/>
        </w:rPr>
        <w:t>2020年本年收入合计1559.6万元，其中：一般公共预算财政拨款收入1303.7万元，占83.59%；政府性基金预算财政拨款收入0万元，占0%；上级补助收入0万元，占0%；事业收入0万元，占0%；经营收入0万元，占0%；附属单位上缴收入0万元，占0%；其他收入255.8万元，占16.41%。</w:t>
      </w:r>
    </w:p>
    <w:p>
      <w:pPr>
        <w:ind w:firstLine="643"/>
        <w:jc w:val="both"/>
        <w:rPr>
          <w:rFonts w:ascii="楷体_GB2312" w:eastAsia="楷体_GB2312"/>
          <w:b/>
        </w:rPr>
      </w:pPr>
      <w:r>
        <w:rPr>
          <w:rFonts w:hint="eastAsia" w:ascii="楷体_GB2312" w:eastAsia="楷体_GB2312"/>
          <w:b/>
        </w:rPr>
        <w:t>（二）部门财政资金支出情况。</w:t>
      </w:r>
    </w:p>
    <w:p>
      <w:pPr>
        <w:ind w:firstLine="640"/>
        <w:jc w:val="both"/>
      </w:pPr>
      <w:r>
        <w:rPr>
          <w:rFonts w:hint="eastAsia"/>
        </w:rPr>
        <w:t>2020年本年支出合计1360.2万元，其中：基本支出</w:t>
      </w:r>
    </w:p>
    <w:p>
      <w:pPr>
        <w:ind w:firstLine="640"/>
        <w:jc w:val="both"/>
      </w:pPr>
      <w:r>
        <w:rPr>
          <w:rFonts w:hint="eastAsia"/>
        </w:rPr>
        <w:t>707.1万元，占51.98%；项目支出653.15万元，占48.02%；上缴上级支出0万元，占0%；经营支出0万元，占0%；对附属单位补助支出0万元，占0%。</w:t>
      </w:r>
    </w:p>
    <w:p>
      <w:pPr>
        <w:ind w:firstLine="640"/>
        <w:jc w:val="both"/>
        <w:rPr>
          <w:rFonts w:ascii="黑体" w:hAnsi="黑体" w:eastAsia="黑体"/>
        </w:rPr>
      </w:pPr>
      <w:r>
        <w:rPr>
          <w:rFonts w:hint="eastAsia" w:ascii="黑体" w:hAnsi="黑体" w:eastAsia="黑体"/>
        </w:rPr>
        <w:t>三、部门整体预算绩效管理情况</w:t>
      </w:r>
    </w:p>
    <w:p>
      <w:pPr>
        <w:ind w:firstLine="643"/>
        <w:jc w:val="both"/>
        <w:rPr>
          <w:rFonts w:ascii="楷体_GB2312" w:eastAsia="楷体_GB2312"/>
          <w:b/>
        </w:rPr>
      </w:pPr>
      <w:r>
        <w:rPr>
          <w:rFonts w:hint="eastAsia" w:ascii="楷体_GB2312" w:eastAsia="楷体_GB2312"/>
          <w:b/>
        </w:rPr>
        <w:t>（一）部门预算管理。</w:t>
      </w:r>
    </w:p>
    <w:p>
      <w:pPr>
        <w:ind w:firstLine="640"/>
        <w:jc w:val="both"/>
      </w:pPr>
      <w:r>
        <w:rPr>
          <w:rFonts w:hint="eastAsia"/>
        </w:rPr>
        <w:t>资金实行专款专用，严格按项目执行情况有计划的使用资金，保障项目工作的开展。</w:t>
      </w:r>
    </w:p>
    <w:p>
      <w:pPr>
        <w:ind w:firstLine="643"/>
        <w:jc w:val="both"/>
        <w:rPr>
          <w:rFonts w:ascii="楷体_GB2312" w:eastAsia="楷体_GB2312"/>
          <w:b/>
        </w:rPr>
      </w:pPr>
      <w:r>
        <w:rPr>
          <w:rFonts w:hint="eastAsia" w:ascii="楷体_GB2312" w:eastAsia="楷体_GB2312"/>
          <w:b/>
        </w:rPr>
        <w:t>（二）结果应用情况。</w:t>
      </w:r>
    </w:p>
    <w:p>
      <w:pPr>
        <w:ind w:firstLine="640"/>
        <w:jc w:val="both"/>
      </w:pPr>
      <w:r>
        <w:rPr>
          <w:rFonts w:hint="eastAsia"/>
        </w:rPr>
        <w:t>包括绩效自评公开、评价结果整改和应用结果反馈等情况。</w:t>
      </w:r>
    </w:p>
    <w:p>
      <w:pPr>
        <w:ind w:firstLine="640"/>
        <w:jc w:val="both"/>
        <w:rPr>
          <w:rFonts w:ascii="黑体" w:hAnsi="黑体" w:eastAsia="黑体"/>
        </w:rPr>
      </w:pPr>
      <w:r>
        <w:rPr>
          <w:rFonts w:hint="eastAsia" w:ascii="黑体" w:hAnsi="黑体" w:eastAsia="黑体"/>
        </w:rPr>
        <w:t>四、评价结论及建议</w:t>
      </w:r>
    </w:p>
    <w:p>
      <w:pPr>
        <w:ind w:firstLine="643"/>
        <w:jc w:val="both"/>
        <w:rPr>
          <w:rFonts w:ascii="楷体_GB2312" w:eastAsia="楷体_GB2312"/>
          <w:b/>
        </w:rPr>
      </w:pPr>
      <w:r>
        <w:rPr>
          <w:rFonts w:hint="eastAsia" w:ascii="楷体_GB2312" w:eastAsia="楷体_GB2312"/>
          <w:b/>
        </w:rPr>
        <w:t>（一）评价结论。</w:t>
      </w:r>
    </w:p>
    <w:p>
      <w:pPr>
        <w:ind w:firstLine="643"/>
        <w:jc w:val="both"/>
        <w:rPr>
          <w:rFonts w:ascii="楷体_GB2312" w:eastAsia="楷体_GB2312"/>
          <w:b/>
        </w:rPr>
      </w:pPr>
      <w:r>
        <w:rPr>
          <w:rFonts w:hint="eastAsia" w:ascii="楷体_GB2312" w:eastAsia="楷体_GB2312"/>
          <w:b/>
        </w:rPr>
        <w:t>（二）存在问题。</w:t>
      </w:r>
    </w:p>
    <w:p>
      <w:pPr>
        <w:ind w:firstLine="640"/>
        <w:jc w:val="both"/>
      </w:pPr>
      <w:r>
        <w:rPr>
          <w:rFonts w:hint="eastAsia"/>
        </w:rPr>
        <w:t>资金到位不及时，不合理。基层单位收不到相应的资料管理文件及制度。</w:t>
      </w:r>
    </w:p>
    <w:p>
      <w:pPr>
        <w:ind w:firstLine="640"/>
        <w:jc w:val="both"/>
      </w:pPr>
    </w:p>
    <w:p>
      <w:pPr>
        <w:ind w:firstLine="643"/>
        <w:jc w:val="both"/>
        <w:rPr>
          <w:rFonts w:ascii="楷体_GB2312" w:eastAsia="楷体_GB2312"/>
          <w:b/>
        </w:rPr>
      </w:pPr>
      <w:r>
        <w:rPr>
          <w:rFonts w:hint="eastAsia" w:ascii="楷体_GB2312" w:eastAsia="楷体_GB2312"/>
          <w:b/>
        </w:rPr>
        <w:t>（三）改进建议。</w:t>
      </w:r>
    </w:p>
    <w:p>
      <w:pPr>
        <w:ind w:firstLine="640"/>
        <w:jc w:val="both"/>
      </w:pPr>
      <w:r>
        <w:rPr>
          <w:rFonts w:hint="eastAsia"/>
        </w:rPr>
        <w:t>资金在年初到位，利于使用和项目的开展。</w:t>
      </w: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0" w:firstLineChars="0"/>
        <w:jc w:val="both"/>
        <w:outlineLvl w:val="1"/>
      </w:pPr>
      <w:bookmarkStart w:id="32" w:name="_Toc22510"/>
      <w:bookmarkStart w:id="33" w:name="_Toc28757"/>
      <w:r>
        <w:rPr>
          <w:rFonts w:hint="eastAsia"/>
        </w:rPr>
        <w:t>附件2：</w:t>
      </w:r>
      <w:bookmarkEnd w:id="32"/>
      <w:bookmarkEnd w:id="33"/>
    </w:p>
    <w:p>
      <w:pPr>
        <w:ind w:firstLine="720"/>
        <w:jc w:val="both"/>
        <w:rPr>
          <w:rFonts w:hint="eastAsia" w:ascii="方正小标宋简体" w:eastAsia="方正小标宋简体"/>
          <w:sz w:val="36"/>
          <w:szCs w:val="36"/>
        </w:rPr>
      </w:pPr>
      <w:r>
        <w:rPr>
          <w:rFonts w:hint="eastAsia" w:ascii="方正小标宋简体" w:eastAsia="方正小标宋简体"/>
          <w:sz w:val="36"/>
          <w:szCs w:val="36"/>
        </w:rPr>
        <w:t>2020年艾滋病防治项目配套经费支出绩效自评报告</w:t>
      </w:r>
    </w:p>
    <w:p>
      <w:pPr>
        <w:ind w:firstLine="640"/>
        <w:jc w:val="both"/>
        <w:rPr>
          <w:rFonts w:ascii="黑体" w:hAnsi="黑体" w:eastAsia="黑体"/>
        </w:rPr>
      </w:pPr>
      <w:r>
        <w:rPr>
          <w:rFonts w:hint="eastAsia" w:ascii="黑体" w:hAnsi="黑体" w:eastAsia="黑体"/>
        </w:rPr>
        <w:t>一、项目概况</w:t>
      </w:r>
    </w:p>
    <w:p>
      <w:pPr>
        <w:ind w:firstLine="640"/>
        <w:jc w:val="both"/>
      </w:pPr>
      <w:r>
        <w:rPr>
          <w:rFonts w:hint="eastAsia"/>
        </w:rPr>
        <w:t>介绍项目基本情况，重点说明以下内容：</w:t>
      </w:r>
    </w:p>
    <w:p>
      <w:pPr>
        <w:ind w:firstLine="643"/>
        <w:jc w:val="both"/>
        <w:rPr>
          <w:rFonts w:ascii="楷体_GB2312" w:eastAsia="楷体_GB2312"/>
          <w:b/>
        </w:rPr>
      </w:pPr>
      <w:r>
        <w:rPr>
          <w:rFonts w:hint="eastAsia" w:ascii="楷体_GB2312" w:eastAsia="楷体_GB2312"/>
          <w:b/>
        </w:rPr>
        <w:t>（一）项目资金申报及批复情况。</w:t>
      </w:r>
    </w:p>
    <w:p>
      <w:pPr>
        <w:ind w:firstLine="640"/>
        <w:jc w:val="both"/>
      </w:pPr>
      <w:r>
        <w:rPr>
          <w:rFonts w:hint="eastAsia"/>
        </w:rPr>
        <w:t>艾滋配套经费年初预算安排资金100万元，到位资金96万元。</w:t>
      </w:r>
    </w:p>
    <w:p>
      <w:pPr>
        <w:ind w:firstLine="643"/>
        <w:jc w:val="both"/>
        <w:rPr>
          <w:rFonts w:ascii="楷体_GB2312" w:eastAsia="楷体_GB2312"/>
          <w:b/>
        </w:rPr>
      </w:pPr>
      <w:r>
        <w:rPr>
          <w:rFonts w:hint="eastAsia" w:ascii="楷体_GB2312" w:eastAsia="楷体_GB2312"/>
          <w:b/>
        </w:rPr>
        <w:t>（二）项目绩效目标。</w:t>
      </w:r>
    </w:p>
    <w:p>
      <w:pPr>
        <w:ind w:firstLine="643"/>
        <w:jc w:val="both"/>
        <w:rPr>
          <w:b/>
        </w:rPr>
      </w:pPr>
      <w:r>
        <w:rPr>
          <w:rFonts w:hint="eastAsia"/>
          <w:b/>
        </w:rPr>
        <w:t>1.项目主要内容：</w:t>
      </w:r>
    </w:p>
    <w:p>
      <w:pPr>
        <w:ind w:firstLine="640"/>
        <w:jc w:val="both"/>
      </w:pPr>
      <w:r>
        <w:rPr>
          <w:rFonts w:hint="eastAsia"/>
        </w:rPr>
        <w:t>进一步完善“政府组织领导、部门各负其责、全社会共同参与”的防治机制，全面落实各项艾滋病和性病预防控制措施，提高发现率，扩大治疗覆盖面，提升治疗成功率，降低死亡率，降低新发感染，提高感染者和病人的生活质量。</w:t>
      </w:r>
    </w:p>
    <w:p>
      <w:pPr>
        <w:ind w:firstLine="643"/>
        <w:jc w:val="both"/>
        <w:rPr>
          <w:b/>
        </w:rPr>
      </w:pPr>
      <w:r>
        <w:rPr>
          <w:rFonts w:hint="eastAsia"/>
          <w:b/>
        </w:rPr>
        <w:t>2.体绩效目标：</w:t>
      </w:r>
    </w:p>
    <w:p>
      <w:pPr>
        <w:ind w:firstLine="640"/>
        <w:jc w:val="both"/>
      </w:pPr>
      <w:r>
        <w:rPr>
          <w:rFonts w:hint="eastAsia"/>
        </w:rPr>
        <w:t>（1）哨点监测工作：哨点监测完成率≥95%（省级哨点：50岁及以上高危男性400人；性病门诊就诊人员400人）；</w:t>
      </w:r>
    </w:p>
    <w:p>
      <w:pPr>
        <w:ind w:firstLine="640"/>
        <w:jc w:val="both"/>
      </w:pPr>
      <w:r>
        <w:rPr>
          <w:rFonts w:hint="eastAsia"/>
        </w:rPr>
        <w:t>（2）自愿咨询和检测工作：全区全年完成免费自愿咨询和检测总人数不少于600人，确证检测不少于146人；</w:t>
      </w:r>
    </w:p>
    <w:p>
      <w:pPr>
        <w:ind w:firstLine="640"/>
        <w:jc w:val="both"/>
      </w:pPr>
      <w:r>
        <w:rPr>
          <w:rFonts w:hint="eastAsia"/>
        </w:rPr>
        <w:t>（3）艾滋病抗病毒治疗工作：艾滋病抗病毒治疗覆盖率≥90%；病毒载量检测比例≥90%；抗病治疗成功率≥90%；</w:t>
      </w:r>
    </w:p>
    <w:p>
      <w:pPr>
        <w:ind w:firstLine="640"/>
        <w:jc w:val="both"/>
      </w:pPr>
      <w:r>
        <w:rPr>
          <w:rFonts w:hint="eastAsia"/>
        </w:rPr>
        <w:t>（4）开展遏制艾滋病性传播行动：对抓获的卖淫嫖娼、聚众淫乱、吸毒贩毒人员一律开展艾滋病检测、艾滋病阳性卖淫嫖娼人员故意传播艾滋病等违法行为一律立案查处，构成犯罪的一律追究刑事责任；</w:t>
      </w:r>
    </w:p>
    <w:p>
      <w:pPr>
        <w:ind w:firstLine="640"/>
        <w:jc w:val="both"/>
      </w:pPr>
      <w:r>
        <w:rPr>
          <w:rFonts w:hint="eastAsia"/>
        </w:rPr>
        <w:t>（5）重点人群干预：开展针对暗娼的干预工作，暗娼干预率≥70%，暗娼检测率100%；开展清洁针具交换工作，满足辖区吸毒人员清洁针具交换需求；</w:t>
      </w:r>
    </w:p>
    <w:p>
      <w:pPr>
        <w:ind w:firstLine="640"/>
        <w:jc w:val="both"/>
      </w:pPr>
      <w:r>
        <w:rPr>
          <w:rFonts w:hint="eastAsia"/>
        </w:rPr>
        <w:t>（6）性病防治工作：依托性病门诊开展性病就诊者干预服务及哨点监测工作；</w:t>
      </w:r>
    </w:p>
    <w:p>
      <w:pPr>
        <w:ind w:firstLine="640"/>
        <w:jc w:val="both"/>
      </w:pPr>
      <w:r>
        <w:rPr>
          <w:rFonts w:hint="eastAsia"/>
        </w:rPr>
        <w:t>（7）加强随访服务工作：随访检测比例≥90%；配偶检测比例≥85%；结核筛查比例≥90%；病例完成及时报告比例=100%；艾滋病感染者随访工作：每年4次/人（2次面访、2次电话随访）；</w:t>
      </w:r>
    </w:p>
    <w:p>
      <w:pPr>
        <w:ind w:firstLine="640"/>
        <w:jc w:val="both"/>
      </w:pPr>
      <w:r>
        <w:rPr>
          <w:rFonts w:hint="eastAsia"/>
        </w:rPr>
        <w:t>3.项目实施进度计划：</w:t>
      </w:r>
    </w:p>
    <w:p>
      <w:pPr>
        <w:ind w:firstLine="640"/>
        <w:jc w:val="both"/>
      </w:pPr>
      <w:r>
        <w:rPr>
          <w:rFonts w:hint="eastAsia"/>
        </w:rPr>
        <w:t>（1）哨点监测工作：50岁及以上高危男性哨点由自流井区疾控中心于年底前完成，性病门诊就诊者哨点由自贡市疾控中心于年底前完成；</w:t>
      </w:r>
    </w:p>
    <w:p>
      <w:pPr>
        <w:ind w:firstLine="640"/>
        <w:jc w:val="both"/>
      </w:pPr>
      <w:r>
        <w:rPr>
          <w:rFonts w:hint="eastAsia"/>
        </w:rPr>
        <w:t>（2）自愿咨询和检测工作：由各基层医疗机构、自流井区疾控中心、自流井区妇幼保健院全年持续开展，年底前完成；</w:t>
      </w:r>
    </w:p>
    <w:p>
      <w:pPr>
        <w:ind w:firstLine="640"/>
        <w:jc w:val="both"/>
      </w:pPr>
      <w:r>
        <w:rPr>
          <w:rFonts w:hint="eastAsia"/>
        </w:rPr>
        <w:t>（3）艾滋病抗病毒治疗工作：全年持续开展，由各乡镇街道政府担负主体责任，由自流井区三医院技术指导、各基层医疗机构具体实施，按月均分考核指标要求，艾滋病抗病毒治疗覆盖率每月至少完成7.5%，病毒载量检测比例每月至少完成7.5%，抗病治疗成功率每月至少完成7.5%，年底前各指标均达到90%；</w:t>
      </w:r>
    </w:p>
    <w:p>
      <w:pPr>
        <w:ind w:firstLine="640"/>
        <w:jc w:val="both"/>
        <w:rPr>
          <w:highlight w:val="none"/>
        </w:rPr>
      </w:pPr>
      <w:r>
        <w:rPr>
          <w:rFonts w:hint="eastAsia"/>
          <w:highlight w:val="none"/>
        </w:rPr>
        <w:t>（4）开展遏制艾滋病性传播行动：全年持续开展；</w:t>
      </w:r>
    </w:p>
    <w:p>
      <w:pPr>
        <w:ind w:firstLine="640"/>
        <w:jc w:val="both"/>
      </w:pPr>
      <w:r>
        <w:rPr>
          <w:rFonts w:hint="eastAsia"/>
        </w:rPr>
        <w:t>（5）重点人群干预：开展针对暗娼的干预工作，每月由自流井区疾控中心联合东街CHS、新街CHS、五星街CHS的干预队伍进行暗娼干预和检测，每次至少干预覆盖全区暗娼总数的70%；全年持续开展清洁针具交换工作；</w:t>
      </w:r>
    </w:p>
    <w:p>
      <w:pPr>
        <w:ind w:firstLine="640"/>
        <w:jc w:val="both"/>
      </w:pPr>
      <w:r>
        <w:rPr>
          <w:rFonts w:hint="eastAsia"/>
        </w:rPr>
        <w:t>（6）性病防治工作：由自贡市一医院、自贡市四医院依托性病门诊开展性病就诊者干预服务及哨点监测工作，全年持续开展；</w:t>
      </w:r>
    </w:p>
    <w:p>
      <w:pPr>
        <w:ind w:firstLine="640"/>
        <w:jc w:val="both"/>
      </w:pPr>
      <w:r>
        <w:rPr>
          <w:rFonts w:hint="eastAsia"/>
        </w:rPr>
        <w:t>（7）加强随访服务工作：全年持续开展，由自流井区疾控中心、自流井区三医院负责技术指导、各基层医疗机构具体实施，按月均分考核指标要求，随访检测比例每月至少完成7.5%；配偶检测比例每月至少完成7.1%；结核筛查比例每月至少完成7.5%；病例完成及时报告比例每周自查；艾滋病感染者/病人每季度至少完成一次随访录入，年底完成2次面访、2次电话随访。</w:t>
      </w:r>
    </w:p>
    <w:p>
      <w:pPr>
        <w:ind w:firstLine="643"/>
        <w:jc w:val="both"/>
        <w:rPr>
          <w:rFonts w:hint="eastAsia" w:ascii="楷体_GB2312" w:eastAsia="楷体_GB2312"/>
          <w:b/>
        </w:rPr>
      </w:pPr>
      <w:r>
        <w:rPr>
          <w:rFonts w:hint="eastAsia" w:ascii="楷体_GB2312" w:eastAsia="楷体_GB2312"/>
          <w:b/>
        </w:rPr>
        <w:t>（三）项目资金申报相符性。</w:t>
      </w:r>
    </w:p>
    <w:p>
      <w:pPr>
        <w:ind w:firstLine="640"/>
        <w:jc w:val="both"/>
      </w:pPr>
      <w:r>
        <w:rPr>
          <w:rFonts w:hint="eastAsia"/>
        </w:rPr>
        <w:t>说明项目申报内容是否与具体实施内容相符、申报目标是否合理可行等。</w:t>
      </w:r>
    </w:p>
    <w:p>
      <w:pPr>
        <w:ind w:firstLine="640"/>
        <w:jc w:val="both"/>
        <w:rPr>
          <w:rFonts w:ascii="黑体" w:hAnsi="黑体" w:eastAsia="黑体"/>
        </w:rPr>
      </w:pPr>
      <w:r>
        <w:rPr>
          <w:rFonts w:hint="eastAsia" w:ascii="黑体" w:hAnsi="黑体" w:eastAsia="黑体"/>
        </w:rPr>
        <w:t>二、项目实施及管理情况</w:t>
      </w:r>
    </w:p>
    <w:p>
      <w:pPr>
        <w:ind w:firstLine="643"/>
        <w:jc w:val="both"/>
        <w:rPr>
          <w:rFonts w:hint="eastAsia" w:ascii="楷体_GB2312" w:eastAsia="楷体_GB2312"/>
          <w:b/>
        </w:rPr>
      </w:pPr>
      <w:r>
        <w:rPr>
          <w:rFonts w:hint="eastAsia" w:ascii="楷体_GB2312" w:eastAsia="楷体_GB2312"/>
          <w:b/>
        </w:rPr>
        <w:t>（一）资金计划、到位及使用情况。</w:t>
      </w:r>
    </w:p>
    <w:p>
      <w:pPr>
        <w:ind w:firstLine="640"/>
        <w:jc w:val="both"/>
      </w:pPr>
      <w:r>
        <w:rPr>
          <w:rFonts w:hint="eastAsia"/>
        </w:rPr>
        <w:t>1.资金计划及到位。艾滋中财自财社2020（42）号文件安排资金74.2万元，到位资金62.3万元。</w:t>
      </w:r>
    </w:p>
    <w:p>
      <w:pPr>
        <w:ind w:firstLine="640"/>
        <w:jc w:val="both"/>
      </w:pPr>
      <w:r>
        <w:rPr>
          <w:rFonts w:hint="eastAsia"/>
        </w:rPr>
        <w:t>2.资金使用。说明截止评价时点项目资金的实际支出593372.52元，剩余资金等年终考核完成后下拨。</w:t>
      </w:r>
    </w:p>
    <w:p>
      <w:pPr>
        <w:ind w:firstLine="643"/>
        <w:jc w:val="both"/>
        <w:rPr>
          <w:rFonts w:ascii="楷体_GB2312" w:eastAsia="楷体_GB2312"/>
          <w:b/>
        </w:rPr>
      </w:pPr>
      <w:r>
        <w:rPr>
          <w:rFonts w:hint="eastAsia" w:ascii="楷体_GB2312" w:eastAsia="楷体_GB2312"/>
          <w:b/>
        </w:rPr>
        <w:t>（二）项目财务管理情况。</w:t>
      </w:r>
    </w:p>
    <w:p>
      <w:pPr>
        <w:ind w:firstLine="640"/>
        <w:jc w:val="both"/>
      </w:pPr>
      <w:r>
        <w:rPr>
          <w:rFonts w:hint="eastAsia"/>
        </w:rPr>
        <w:t>所有项目支出均实行独立核算，专款专用。资金的使用严格把关，按照我单位财务管理制度执行；项目的运行完全按照我中心内部管理制度、区委区政府及财政的有关规定执行，严格人员作风，不存在违规违法的问题。</w:t>
      </w:r>
    </w:p>
    <w:p>
      <w:pPr>
        <w:ind w:firstLine="643"/>
        <w:jc w:val="both"/>
        <w:rPr>
          <w:rFonts w:ascii="楷体_GB2312" w:eastAsia="楷体_GB2312"/>
          <w:b/>
        </w:rPr>
      </w:pPr>
      <w:r>
        <w:rPr>
          <w:rFonts w:hint="eastAsia" w:ascii="楷体_GB2312" w:eastAsia="楷体_GB2312"/>
          <w:b/>
        </w:rPr>
        <w:t>（三）项目组织实施情况。</w:t>
      </w:r>
    </w:p>
    <w:p>
      <w:pPr>
        <w:ind w:firstLine="640"/>
        <w:jc w:val="both"/>
      </w:pPr>
      <w:r>
        <w:rPr>
          <w:rFonts w:hint="eastAsia"/>
        </w:rPr>
        <w:t>按照“分工负责、相互协作”原则，建立完善疾控、医疗、妇幼“三条专业防治工作线”和乡镇、街道“一个工作网底”的工作体系（简称“三线一网底”），进一步明确艾滋病防治攻坚责任。</w:t>
      </w:r>
    </w:p>
    <w:p>
      <w:pPr>
        <w:ind w:firstLine="643"/>
        <w:jc w:val="both"/>
        <w:rPr>
          <w:rFonts w:hint="eastAsia" w:ascii="仿宋_GB2312"/>
          <w:b/>
        </w:rPr>
      </w:pPr>
      <w:r>
        <w:rPr>
          <w:rFonts w:hint="eastAsia" w:ascii="仿宋_GB2312"/>
          <w:b/>
        </w:rPr>
        <w:t>1.区卫生健康局</w:t>
      </w:r>
    </w:p>
    <w:p>
      <w:pPr>
        <w:ind w:firstLine="640"/>
        <w:jc w:val="both"/>
      </w:pPr>
      <w:r>
        <w:rPr>
          <w:rFonts w:hint="eastAsia"/>
        </w:rPr>
        <w:t>积极履行重大疾病防控办公室职责，拟定全区艾滋病防治规划，制定艾滋病防治策略，落实市、区政府艾滋病防治工作任务，组织协调各成员单位开展艾滋病防治工作。建立和完善“三线一网底”工作机制，定期组织疾控、医疗、妇幼“三线”专业防治工作联系会。牵头制定考核细则和目标责任书，按照区目督办要求开展工作督导和考核。</w:t>
      </w:r>
    </w:p>
    <w:p>
      <w:pPr>
        <w:ind w:firstLine="643"/>
        <w:jc w:val="both"/>
        <w:rPr>
          <w:rFonts w:ascii="仿宋_GB2312"/>
          <w:b/>
        </w:rPr>
      </w:pPr>
      <w:r>
        <w:rPr>
          <w:rFonts w:hint="eastAsia" w:ascii="仿宋_GB2312"/>
          <w:b/>
        </w:rPr>
        <w:t>2.区疾病预防控制中心</w:t>
      </w:r>
    </w:p>
    <w:p>
      <w:pPr>
        <w:ind w:firstLine="643"/>
        <w:jc w:val="both"/>
        <w:rPr>
          <w:rFonts w:ascii="楷体_GB2312" w:eastAsia="楷体_GB2312"/>
          <w:b/>
        </w:rPr>
      </w:pPr>
      <w:r>
        <w:rPr>
          <w:rFonts w:hint="eastAsia" w:ascii="楷体_GB2312" w:eastAsia="楷体_GB2312"/>
          <w:b/>
        </w:rPr>
        <w:t>（1）总目标</w:t>
      </w:r>
    </w:p>
    <w:p>
      <w:pPr>
        <w:ind w:firstLine="640"/>
        <w:jc w:val="both"/>
      </w:pPr>
      <w:r>
        <w:rPr>
          <w:rFonts w:hint="eastAsia"/>
        </w:rPr>
        <w:t>积极履行艾滋病防治技术总牵头和预防干预具体牵头职责，统筹做好防治技术顶层设计、方案制定、组织实施、督导检查。负责组织定点医疗机构和妇幼保健机构等定期研究分析艾滋病抗病毒治疗管理、预防母婴传播、健康干预工作进展，提出建议意见；建立有效评估当地疫情的监测网络，开展疫情分析，摸清疫情态势和流行危险因素；负责检测实验室的规划布局和管理，多渠道，多形式开展检测发现，扩大检测覆盖面：及时更新疫情库数据，及时将感染者和病人信息通报定点医疗机构和妇幼保健机构；对新发现、既往确诊未治疗感染者和病人进行随访动员，转介至定点医疗机构，落实转介“三见面”要求，追踪转介结果；落实戒毒药物维持治疗、安全套推广、单阳家庭干预、宣传教育等措施；加强与监管场所对接，落实羁押人员全员检测、出所转介工作；主动为相关部门、社会组织开展艾滋病防治提供技术支持。确保艾滋病防治知识知晓率2018年、2019年、2020年底分别达85％、88％、90％，感染者和病人发现率2018年、2019年、2020年底分别达85％、88％、90%。</w:t>
      </w:r>
    </w:p>
    <w:p>
      <w:pPr>
        <w:ind w:firstLine="643"/>
        <w:jc w:val="both"/>
        <w:rPr>
          <w:rFonts w:ascii="楷体_GB2312" w:eastAsia="楷体_GB2312"/>
          <w:b/>
        </w:rPr>
      </w:pPr>
      <w:r>
        <w:rPr>
          <w:rFonts w:hint="eastAsia" w:ascii="楷体_GB2312" w:eastAsia="楷体_GB2312"/>
          <w:b/>
        </w:rPr>
        <w:t>（2）具体实施</w:t>
      </w:r>
    </w:p>
    <w:p>
      <w:pPr>
        <w:ind w:firstLine="640"/>
        <w:jc w:val="both"/>
      </w:pPr>
      <w:r>
        <w:rPr>
          <w:rFonts w:hint="eastAsia"/>
        </w:rPr>
        <w:t>区疾控中心成立艾滋病防治管理办公室，实行“一把手”负责制，配</w:t>
      </w:r>
      <w:r>
        <w:rPr>
          <w:rFonts w:hint="eastAsia" w:cs="微软雅黑"/>
        </w:rPr>
        <w:t>置</w:t>
      </w:r>
      <w:r>
        <w:rPr>
          <w:rFonts w:hint="eastAsia"/>
        </w:rPr>
        <w:t>10名以上专职人员。每季度组织召开“三线”工作联系会，分析研判艾滋病疫情，及抗病毒治疗和预防母婴传播工作情况，为下一步工作提供意见建议。每年组织开展艾滋病实验室检测现场指导，质量控制，覆盖所有快速检测点。开发健康教育材料，每年组织开展1次各类人群艾滋病知识知晓率调查，完成调查员培训。开展宣传干预、监测检测、随访管理、安全套推广等防治工作。每年组织开展专项技能培训。对乡镇综合防治工作开展现场督导和质量控制，每半年覆盖所有乡镇。及时将新发现、既往确诊未治疗感染者和病人转介至定点医疗机构，落实转介“三见面”要求，追踪转介结果，及时将感染育龄妇女相关信息提供给妇幼保健机构。加强与公安监管场所对接，落实羁押人员转介工作。</w:t>
      </w:r>
    </w:p>
    <w:p>
      <w:pPr>
        <w:ind w:firstLine="643"/>
        <w:jc w:val="both"/>
        <w:rPr>
          <w:b/>
        </w:rPr>
      </w:pPr>
      <w:r>
        <w:rPr>
          <w:rFonts w:hint="eastAsia"/>
          <w:b/>
        </w:rPr>
        <w:t>3.区治疗管理办公室（区三医院）</w:t>
      </w:r>
    </w:p>
    <w:p>
      <w:pPr>
        <w:ind w:firstLine="643"/>
        <w:jc w:val="both"/>
        <w:rPr>
          <w:rFonts w:ascii="楷体_GB2312" w:eastAsia="楷体_GB2312"/>
          <w:b/>
        </w:rPr>
      </w:pPr>
      <w:r>
        <w:rPr>
          <w:rFonts w:hint="eastAsia" w:ascii="楷体_GB2312" w:eastAsia="楷体_GB2312"/>
          <w:b/>
        </w:rPr>
        <w:t>（1）总目标</w:t>
      </w:r>
    </w:p>
    <w:p>
      <w:pPr>
        <w:ind w:firstLine="640"/>
        <w:jc w:val="both"/>
      </w:pPr>
      <w:r>
        <w:rPr>
          <w:rFonts w:hint="eastAsia"/>
        </w:rPr>
        <w:t>区治疗管理办公室（区三医院）履行抗病毒治疗管理牵头职责，在做好病人抗病毒治疗工作基础上，将治疗管理工作作为重中之重。负责为感染者和病人提供及时、规范的治疗服务，负责辖区内抗病毒治疗的督导服药、质量控制、技术指导。建立感染者和病人治疗信息数据库，定期对治疗情况进行分析，提出对策建议。负责本医疗机构治疗感染者和病人随访工作；与疾控中心建立治疗转介和信息交换机制，及时将未治疗的感染者和病人纳入治疗；建立依从性教育关爱中心，结合CD4细胞、病毒载量等指标进行治疗评估，及时调整治疗方案，加强培训与督导，提高治疗质量。为监管场所治疗提供技术支持。确保艾滋病抗病毒治疗覆盖率2018年、2019年、2020年底分别达85％、88％、90％，抗病毒治疗成功率每年均达90%以上。</w:t>
      </w:r>
    </w:p>
    <w:p>
      <w:pPr>
        <w:ind w:firstLine="643"/>
        <w:jc w:val="both"/>
        <w:rPr>
          <w:rFonts w:ascii="楷体_GB2312" w:eastAsia="楷体_GB2312"/>
          <w:b/>
        </w:rPr>
      </w:pPr>
      <w:r>
        <w:rPr>
          <w:rFonts w:hint="eastAsia" w:ascii="楷体_GB2312" w:eastAsia="楷体_GB2312"/>
          <w:b/>
        </w:rPr>
        <w:t>（2）具体实施</w:t>
      </w:r>
    </w:p>
    <w:p>
      <w:pPr>
        <w:ind w:firstLine="640"/>
        <w:jc w:val="both"/>
      </w:pPr>
      <w:r>
        <w:rPr>
          <w:rFonts w:hint="eastAsia"/>
        </w:rPr>
        <w:t>负责自流井区的抗病毒治疗和管理工作，实行“一把手”负责制，配</w:t>
      </w:r>
      <w:r>
        <w:rPr>
          <w:rFonts w:hint="eastAsia" w:cs="微软雅黑"/>
        </w:rPr>
        <w:t>置</w:t>
      </w:r>
      <w:r>
        <w:rPr>
          <w:rFonts w:hint="eastAsia"/>
        </w:rPr>
        <w:t>6名以上专职人员，由1名院领导和1名专职人员包干负责1-2个乡镇、街道，对本区所有乡镇、街道抗病毒治疗管理工作实行分片包干、责任到人。在做好感染者和病人抗病毒抬疗工作基础上，着力抓好全区治疗管理工作。每月统计分析全区抗病毒治疗工作情况，评估工作成效，及时向区卫生健康局提出针对性建议，并将工作情况通报各乡镇。开展艾滋病依从性教育、督导服药、不良反应及机会性感染处理、职业暴露处</w:t>
      </w:r>
      <w:r>
        <w:rPr>
          <w:rFonts w:hint="eastAsia" w:cs="微软雅黑"/>
        </w:rPr>
        <w:t>置</w:t>
      </w:r>
      <w:r>
        <w:rPr>
          <w:rFonts w:hint="eastAsia" w:cs="仿宋_GB2312"/>
        </w:rPr>
        <w:t>和治疗随访信息管理等专题培训，覆盖乡、村所有抗病毒治疗相关人员。负责抗病毒治疗信息汇总、数据上报、档案管理。开展乡、村两级抗病毒洽疗随访、督导服药、药品管理、不良反应监测及机会性感染处理工作检查，每季度覆盖辖区所有乡镇、街道。与区疾控中心建立治疗转介和即时信息交换机制，建立依从性教育关爱中心，结合</w:t>
      </w:r>
      <w:r>
        <w:rPr>
          <w:rFonts w:hint="eastAsia"/>
        </w:rPr>
        <w:t>CD4细胞、病毒载量等指标进行治疗评估，及时将未治疗的感染者和病人纳入治疗并及时调整治疗方案。将脱失的感染者和病人名单及时报告乡镇（街道），动员其接受治疗和管理。在区妇幼保健计划生育服务中心指导下，完成本院预防母婴传播工作职责。对本区抗病毒治疗工作开展督导和质量评估，每季度实现对乡镇现场督导全覆盖。</w:t>
      </w:r>
    </w:p>
    <w:p>
      <w:pPr>
        <w:ind w:firstLine="643"/>
        <w:jc w:val="both"/>
        <w:rPr>
          <w:b/>
        </w:rPr>
      </w:pPr>
      <w:r>
        <w:rPr>
          <w:rFonts w:hint="eastAsia"/>
          <w:b/>
        </w:rPr>
        <w:t>4.区妇幼保健计划生育服务中心</w:t>
      </w:r>
    </w:p>
    <w:p>
      <w:pPr>
        <w:ind w:firstLine="640"/>
        <w:jc w:val="both"/>
      </w:pPr>
      <w:r>
        <w:rPr>
          <w:rFonts w:hint="eastAsia"/>
        </w:rPr>
        <w:t>（1）总目标</w:t>
      </w:r>
    </w:p>
    <w:p>
      <w:pPr>
        <w:ind w:firstLine="640"/>
        <w:jc w:val="both"/>
      </w:pPr>
      <w:r>
        <w:rPr>
          <w:rFonts w:hint="eastAsia"/>
        </w:rPr>
        <w:t>区妇幼保健计划生育服务中心履行预防母婴传播的牵头职责，全面落实防治一体的预防母婴传播管理职责，全程做好预防母婴传播各环节工作，通过计划生育信息化支撑，建立育龄妇女信息库，及时、准确、动态掌握育龄妇女信息。结合婚检服务，实施“逢婚必检”；通过优生优育指导，计生服务，开展孕情监测，及早发现孕情，建立孕妇信息库，实施“逢孕必检”；建立感染育龄妇女，感染孕产妇、男性单阳家庭信息库，与疾控中心、定点医疗机构建立信息交换及转介机制。对感染孕产妇实施专案管理，规范提供阻断治疗、安全分娩等预防母婴传播综合干预服务，并追踪治疗情况；分娩结束后及时转介到定点医疗机构继续接受抗病毒治疗。建立感染孕产妇所生儿童信息库，规范提供预防服药、科学喂养、儿童保健等防母婴传播综合干预服务，落实早期诊断和18月龄艾滋病检测，明确感染状态；及时将感染艾滋病的儿童转介到定点医疗机构，及早启动抗病毒治疗。确保艾滋病母婴传播率维持在4％以下，努力实现在儿童中“零感染”。</w:t>
      </w:r>
    </w:p>
    <w:p>
      <w:pPr>
        <w:ind w:firstLine="640"/>
        <w:jc w:val="both"/>
      </w:pPr>
      <w:r>
        <w:rPr>
          <w:rFonts w:hint="eastAsia"/>
        </w:rPr>
        <w:t>（2）具体实施</w:t>
      </w:r>
    </w:p>
    <w:p>
      <w:pPr>
        <w:ind w:firstLine="640"/>
        <w:jc w:val="both"/>
      </w:pPr>
      <w:r>
        <w:rPr>
          <w:rFonts w:hint="eastAsia"/>
        </w:rPr>
        <w:t>成立艾滋病防治管理办公室，实行“一把手”负责制，配</w:t>
      </w:r>
      <w:r>
        <w:rPr>
          <w:rFonts w:hint="eastAsia" w:cs="微软雅黑"/>
        </w:rPr>
        <w:t>置</w:t>
      </w:r>
      <w:r>
        <w:rPr>
          <w:rFonts w:hint="eastAsia"/>
        </w:rPr>
        <w:t>6名以上专职人员。开展预防母婴传播管理和专题技术培训，覆盖乡镇（街道）、村（社区）两级预防母婴传播所有工作人员。以乡镇（街道）为单位建立育龄妇女、感染育龄妇女、男性单阳家庭台账，“一对一”实施综合干预。开展婚前医学检查和孕产妇检测，以及感染孕产妇及其所生儿童抗病毒药物应用，安全助产、科学喂养、随访检测、个案评审等预防母婴传播综合服务。指导乡镇（街道）、村（社区）两级通过计生“四查”、孕情监测等及早发现感染孕产妇，及时实施预防母婴传播综合干预措施。及时将感染儿童转介到定点医疗机构，及早启动抗病毒治疗，对辖区助产医疗机构预防母婴传播工作进行管理和指导，全程跟踪感染孕产妇预防母婴传播措施落实情况。每月统计分析预防母婴传播工作信息和进展，评估工作成效，及时通报各乡镇、街道。负责预防母婴传播信息汇总、数据上报、档案管理。开展孕情监测、感染孕产妇及所生儿童服药、科学喂养、随访检测等工作督导，每季度覆盖所有乡镇、街道。</w:t>
      </w:r>
    </w:p>
    <w:p>
      <w:pPr>
        <w:ind w:firstLine="643"/>
        <w:jc w:val="both"/>
        <w:rPr>
          <w:b/>
        </w:rPr>
      </w:pPr>
      <w:r>
        <w:rPr>
          <w:rFonts w:hint="eastAsia"/>
          <w:b/>
        </w:rPr>
        <w:t>5.乡镇、街道</w:t>
      </w:r>
    </w:p>
    <w:p>
      <w:pPr>
        <w:ind w:firstLine="640"/>
        <w:jc w:val="both"/>
      </w:pPr>
      <w:r>
        <w:rPr>
          <w:rFonts w:hint="eastAsia"/>
        </w:rPr>
        <w:t>（1）乡镇人民政府、街道办事处</w:t>
      </w:r>
    </w:p>
    <w:p>
      <w:pPr>
        <w:ind w:firstLine="640"/>
        <w:jc w:val="both"/>
      </w:pPr>
      <w:r>
        <w:rPr>
          <w:rFonts w:hint="eastAsia"/>
        </w:rPr>
        <w:t>承担辖区艾滋病防治主体责任，实行“一把手”负责制，完善艾滋病防治工作机制，配备足够的防艾人员。将艾滋病防治工作纳入目标管理，对辖区有关单位、村（社区）艾滋病防治工作实行目标考核。组织动员辖区居民积极参与全民健康体检。负责长期流动在外、拒绝治疗及失访感染者和病人的核查追踪，动员其接受治疗管理；对脱失或者治疗不规范、不听从医务人员劝导的感染者和病人，采取必要措施要求其规范治疗。以村（社区）为单位建立育龄妇女信息库，及时、准确、动态掌握育龄妇女信息；结合计生“四查”，建立孕情“早发现、早报告”工作机制，第一时间掌握育龄妇女怀孕信息并通报区卫生健康局。</w:t>
      </w:r>
    </w:p>
    <w:p>
      <w:pPr>
        <w:ind w:firstLine="640"/>
        <w:jc w:val="both"/>
      </w:pPr>
      <w:r>
        <w:rPr>
          <w:rFonts w:hint="eastAsia"/>
        </w:rPr>
        <w:t>（2）乡镇卫生院、社区卫生服务中心</w:t>
      </w:r>
    </w:p>
    <w:p>
      <w:pPr>
        <w:ind w:firstLine="640"/>
        <w:jc w:val="both"/>
      </w:pPr>
      <w:r>
        <w:rPr>
          <w:rFonts w:hint="eastAsia"/>
        </w:rPr>
        <w:t>落实专人负责每月统计各村（社区）艾滋病防治进展信息和数据，特别是艾滋病感染者和病人随访管理情况、服药情况，以及感染孕产妇及其所生儿童治疗、随访、检测等。开展感染者和病人随访管理，每年对感染者和病人开展至少1次面对面随访，完成随访检测、行为干预等，及时填写随访记录表并网报，确保一人一档；对于无法追踪的，及时上报乡镇（街道）党委政府。开展孕情监测，及时动员怀孕妇女接受检测，建立感染育龄妇女、感染孕产妇台账，“一对一”落实综合干预措施。每季度开展育龄妇女（包括流入暂住人口）孕情调查；对感染孕产妇所生儿童，及时协助提供检测和预防性服药、随访管理和定期检测服务。配合当地派出所开展依法盘问检查人员的艾滋病筛查工作，指导社区医生（村医）、社区(村)艾防员规范开展入户宣传、病人追踪随访、安全套发放、孕情发现及孕早期艾滋病检测动员等工作。开展院内医务人员、村医、艾防员艾滋病防治知识和技术培训。开展宣传教育，常年设</w:t>
      </w:r>
      <w:r>
        <w:rPr>
          <w:rFonts w:hint="eastAsia" w:cs="微软雅黑"/>
        </w:rPr>
        <w:t>置</w:t>
      </w:r>
      <w:r>
        <w:rPr>
          <w:rFonts w:hint="eastAsia" w:cs="仿宋_GB2312"/>
        </w:rPr>
        <w:t>宣</w:t>
      </w:r>
      <w:r>
        <w:rPr>
          <w:rFonts w:hint="eastAsia"/>
        </w:rPr>
        <w:t>传栏，不定期开展针对性宣传。开展干预工作，摸清辖区高危场所，每月定期开展宣传干预工作。</w:t>
      </w:r>
    </w:p>
    <w:p>
      <w:pPr>
        <w:ind w:firstLine="643"/>
        <w:jc w:val="both"/>
        <w:rPr>
          <w:b/>
        </w:rPr>
      </w:pPr>
      <w:r>
        <w:rPr>
          <w:rFonts w:hint="eastAsia"/>
          <w:b/>
        </w:rPr>
        <w:t>5.监管措施</w:t>
      </w:r>
    </w:p>
    <w:p>
      <w:pPr>
        <w:ind w:firstLine="640"/>
        <w:jc w:val="both"/>
      </w:pPr>
      <w:r>
        <w:rPr>
          <w:rFonts w:hint="eastAsia"/>
        </w:rPr>
        <w:t>（1）监督考核</w:t>
      </w:r>
    </w:p>
    <w:p>
      <w:pPr>
        <w:ind w:firstLine="640"/>
        <w:jc w:val="both"/>
      </w:pPr>
      <w:r>
        <w:rPr>
          <w:rFonts w:hint="eastAsia"/>
        </w:rPr>
        <w:t>区卫生健康局将艾防攻坚分片包干责任制、“三线一网底”工作纳入年度绩效考核重点内容，联合区委目督办等相关部门加大考核力度；对艾滋病防治工作人员在科研项目申报、绩效工资确定、评先评优等方面予以倾斜；对工作不力的，严肃通报批评和问责。</w:t>
      </w:r>
    </w:p>
    <w:p>
      <w:pPr>
        <w:ind w:firstLine="640"/>
        <w:jc w:val="both"/>
      </w:pPr>
      <w:r>
        <w:rPr>
          <w:rFonts w:hint="eastAsia"/>
        </w:rPr>
        <w:t>（2）定期通报制。</w:t>
      </w:r>
    </w:p>
    <w:p>
      <w:pPr>
        <w:ind w:firstLine="640"/>
        <w:jc w:val="both"/>
      </w:pPr>
      <w:r>
        <w:rPr>
          <w:rFonts w:hint="eastAsia"/>
        </w:rPr>
        <w:t>疾控、医疗、妇幼三条专业防治线建立定期通报制，对各自职责范围的工作情况要互通信息，认真研究工作中存在的问题，及时提出改进措施。</w:t>
      </w:r>
    </w:p>
    <w:p>
      <w:pPr>
        <w:ind w:firstLine="640"/>
        <w:jc w:val="both"/>
        <w:rPr>
          <w:rFonts w:ascii="黑体" w:hAnsi="黑体" w:eastAsia="黑体"/>
        </w:rPr>
      </w:pPr>
      <w:r>
        <w:rPr>
          <w:rFonts w:hint="eastAsia" w:ascii="黑体" w:hAnsi="黑体" w:eastAsia="黑体"/>
        </w:rPr>
        <w:t>三、项目绩效情况</w:t>
      </w:r>
    </w:p>
    <w:p>
      <w:pPr>
        <w:ind w:firstLine="643"/>
        <w:jc w:val="both"/>
        <w:rPr>
          <w:rFonts w:hint="eastAsia" w:ascii="楷体_GB2312" w:eastAsia="楷体_GB2312"/>
          <w:b/>
        </w:rPr>
      </w:pPr>
      <w:r>
        <w:rPr>
          <w:rFonts w:hint="eastAsia" w:ascii="楷体_GB2312" w:eastAsia="楷体_GB2312"/>
          <w:b/>
        </w:rPr>
        <w:t>（一）项目完成情况。</w:t>
      </w:r>
    </w:p>
    <w:p>
      <w:pPr>
        <w:ind w:firstLine="643"/>
        <w:jc w:val="both"/>
        <w:rPr>
          <w:b/>
        </w:rPr>
      </w:pPr>
      <w:r>
        <w:rPr>
          <w:rFonts w:hint="eastAsia"/>
          <w:b/>
        </w:rPr>
        <w:t>1.具体绩效目标完成情况（截止11月31日）：</w:t>
      </w:r>
    </w:p>
    <w:p>
      <w:pPr>
        <w:ind w:firstLine="640"/>
        <w:jc w:val="both"/>
      </w:pPr>
      <w:r>
        <w:rPr>
          <w:rFonts w:hint="eastAsia"/>
        </w:rPr>
        <w:t>（1）哨点监测工作：哨点监测完成率100%；</w:t>
      </w:r>
    </w:p>
    <w:p>
      <w:pPr>
        <w:ind w:firstLine="640"/>
        <w:jc w:val="both"/>
      </w:pPr>
      <w:r>
        <w:rPr>
          <w:rFonts w:hint="eastAsia"/>
        </w:rPr>
        <w:t>（2）自愿咨询和检测工作：全区全年完成主动检测总人数267885人，确证检测549人，确诊阳性数437人；</w:t>
      </w:r>
    </w:p>
    <w:p>
      <w:pPr>
        <w:ind w:firstLine="640"/>
        <w:jc w:val="both"/>
      </w:pPr>
      <w:r>
        <w:rPr>
          <w:rFonts w:hint="eastAsia"/>
        </w:rPr>
        <w:t>（3）艾滋病抗病毒治疗工作：艾滋病抗病毒治疗覆盖率94.6%；病毒载量检测比例95.6%；抗病治疗成功率98.55%；</w:t>
      </w:r>
    </w:p>
    <w:p>
      <w:pPr>
        <w:ind w:firstLine="640"/>
        <w:jc w:val="both"/>
      </w:pPr>
      <w:r>
        <w:rPr>
          <w:rFonts w:hint="eastAsia"/>
        </w:rPr>
        <w:t>（4）开展遏制艾滋病性传播行动：公安累计开展135</w:t>
      </w:r>
    </w:p>
    <w:p>
      <w:pPr>
        <w:ind w:firstLine="640"/>
        <w:jc w:val="both"/>
      </w:pPr>
      <w:r>
        <w:rPr>
          <w:rFonts w:hint="eastAsia"/>
        </w:rPr>
        <w:t>次，抓获暗娼12人、嫖客12人，全部进行艾滋病检测，结果均为阴性；</w:t>
      </w:r>
    </w:p>
    <w:p>
      <w:pPr>
        <w:ind w:firstLine="640"/>
        <w:jc w:val="both"/>
      </w:pPr>
      <w:r>
        <w:rPr>
          <w:rFonts w:hint="eastAsia"/>
        </w:rPr>
        <w:t>（5）重点人群干预：开展针对暗娼的干预工作，暗娼干预率70%，暗娼检测率100%；开展清洁针具交换工作，针具发放覆盖吸毒人员184人次，累计发放清洁针具41100</w:t>
      </w:r>
    </w:p>
    <w:p>
      <w:pPr>
        <w:ind w:firstLine="640"/>
        <w:jc w:val="both"/>
      </w:pPr>
      <w:r>
        <w:rPr>
          <w:rFonts w:hint="eastAsia"/>
        </w:rPr>
        <w:t>支，回收空针20093支；</w:t>
      </w:r>
    </w:p>
    <w:p>
      <w:pPr>
        <w:ind w:firstLine="640"/>
        <w:jc w:val="both"/>
      </w:pPr>
      <w:r>
        <w:rPr>
          <w:rFonts w:hint="eastAsia"/>
        </w:rPr>
        <w:t>（6）性病防治工作：已完成；</w:t>
      </w:r>
    </w:p>
    <w:p>
      <w:pPr>
        <w:ind w:firstLine="640"/>
        <w:jc w:val="both"/>
      </w:pPr>
      <w:r>
        <w:rPr>
          <w:rFonts w:hint="eastAsia"/>
        </w:rPr>
        <w:t>（7）加强随访服务工作：随访检测比例94.23%；配偶检测比例87.07%；结核筛查比例91.06%；病例完成及时报告比例100%；艾滋病感染者随访工作已完成。</w:t>
      </w:r>
    </w:p>
    <w:p>
      <w:pPr>
        <w:ind w:firstLine="640"/>
        <w:jc w:val="both"/>
      </w:pPr>
    </w:p>
    <w:p>
      <w:pPr>
        <w:ind w:firstLine="640"/>
        <w:jc w:val="both"/>
        <w:rPr>
          <w:rFonts w:ascii="黑体" w:hAnsi="黑体" w:eastAsia="黑体"/>
        </w:rPr>
      </w:pPr>
      <w:r>
        <w:rPr>
          <w:rFonts w:hint="eastAsia" w:ascii="黑体" w:hAnsi="黑体" w:eastAsia="黑体"/>
        </w:rPr>
        <w:t>四、问题及建议</w:t>
      </w:r>
    </w:p>
    <w:p>
      <w:pPr>
        <w:ind w:firstLine="643"/>
        <w:jc w:val="both"/>
        <w:rPr>
          <w:rFonts w:hint="eastAsia" w:ascii="楷体_GB2312" w:eastAsia="楷体_GB2312"/>
          <w:b/>
        </w:rPr>
      </w:pPr>
      <w:r>
        <w:rPr>
          <w:rFonts w:hint="eastAsia" w:ascii="楷体_GB2312" w:eastAsia="楷体_GB2312"/>
          <w:b/>
        </w:rPr>
        <w:t>（一）存在的问题。</w:t>
      </w:r>
    </w:p>
    <w:p>
      <w:pPr>
        <w:ind w:firstLine="640"/>
        <w:jc w:val="both"/>
      </w:pPr>
      <w:r>
        <w:rPr>
          <w:rFonts w:hint="eastAsia"/>
        </w:rPr>
        <w:t>1.群众对艾滋病防治知识了解不全，恐艾歧艾心理普遍存在。</w:t>
      </w:r>
    </w:p>
    <w:p>
      <w:pPr>
        <w:ind w:firstLine="640"/>
        <w:jc w:val="both"/>
      </w:pPr>
      <w:r>
        <w:rPr>
          <w:rFonts w:hint="eastAsia"/>
        </w:rPr>
        <w:t>部分居民对艾滋病知识了解不全，也不愿意参加到艾滋病防治知识宣传活动中，对艾滋病感染者/病人存在恐慌、歧视心理，造成艾滋病防治工作推进困难。</w:t>
      </w:r>
    </w:p>
    <w:p>
      <w:pPr>
        <w:ind w:firstLine="640"/>
        <w:jc w:val="both"/>
      </w:pPr>
      <w:r>
        <w:rPr>
          <w:rFonts w:hint="eastAsia"/>
        </w:rPr>
        <w:t>2.专业技术人员水平参差不齐，艾防工作开展困难。基层艾防专业技术人员专业技术水平普遍不高，多数人</w:t>
      </w:r>
    </w:p>
    <w:p>
      <w:pPr>
        <w:ind w:firstLine="640"/>
        <w:jc w:val="both"/>
      </w:pPr>
      <w:r>
        <w:rPr>
          <w:rFonts w:hint="eastAsia"/>
        </w:rPr>
        <w:t>缺乏专业的艾滋病防治知识，影响艾滋病工作开展的质量。同时，基层工作任务繁重，存在一人身兼数职的情况，不利于工作开展。</w:t>
      </w:r>
    </w:p>
    <w:p>
      <w:pPr>
        <w:ind w:firstLine="640"/>
        <w:jc w:val="both"/>
      </w:pPr>
      <w:r>
        <w:rPr>
          <w:rFonts w:hint="eastAsia"/>
        </w:rPr>
        <w:t>3.部门协作机制不完善，仅依靠卫生系统难以完成艾防工作。</w:t>
      </w:r>
    </w:p>
    <w:p>
      <w:pPr>
        <w:ind w:firstLine="640"/>
        <w:jc w:val="both"/>
      </w:pPr>
      <w:r>
        <w:rPr>
          <w:rFonts w:hint="eastAsia"/>
        </w:rPr>
        <w:t>我区尽管成立了重大疾病领导小组，由二十多个区级部门组成，但部分部门参与程度不高，仅依靠卫健部门独立承担逐步精细化、高标准的艾防工作是十分困难的。</w:t>
      </w:r>
    </w:p>
    <w:p>
      <w:pPr>
        <w:ind w:firstLine="643"/>
        <w:jc w:val="both"/>
        <w:rPr>
          <w:rFonts w:ascii="楷体_GB2312" w:eastAsia="楷体_GB2312"/>
          <w:b/>
        </w:rPr>
      </w:pPr>
      <w:r>
        <w:rPr>
          <w:rFonts w:hint="eastAsia" w:ascii="楷体_GB2312" w:eastAsia="楷体_GB2312"/>
          <w:b/>
        </w:rPr>
        <w:t>（二）相关建议。</w:t>
      </w:r>
    </w:p>
    <w:p>
      <w:pPr>
        <w:ind w:firstLine="643"/>
        <w:jc w:val="both"/>
        <w:rPr>
          <w:b/>
        </w:rPr>
      </w:pPr>
      <w:r>
        <w:rPr>
          <w:rFonts w:hint="eastAsia"/>
          <w:b/>
        </w:rPr>
        <w:t>1.加强组织领导，促进多部门协作</w:t>
      </w:r>
    </w:p>
    <w:p>
      <w:pPr>
        <w:ind w:firstLine="640"/>
        <w:jc w:val="both"/>
      </w:pPr>
      <w:r>
        <w:rPr>
          <w:rFonts w:hint="eastAsia"/>
        </w:rPr>
        <w:t>由区政府牵头，进一步增强做好艾滋病防治工作的紧迫感和责任感，加强相关部门的协作与联动，形成齐抓共管、同心协力的良好局面，共同健全和完善多部门合作、全社会参与的艾滋病防控机制。</w:t>
      </w:r>
    </w:p>
    <w:p>
      <w:pPr>
        <w:ind w:firstLine="640"/>
        <w:jc w:val="both"/>
      </w:pPr>
    </w:p>
    <w:p>
      <w:pPr>
        <w:ind w:firstLine="643"/>
        <w:jc w:val="both"/>
        <w:rPr>
          <w:b/>
        </w:rPr>
      </w:pPr>
      <w:r>
        <w:rPr>
          <w:rFonts w:hint="eastAsia"/>
          <w:b/>
        </w:rPr>
        <w:t>2.发挥基层宣传作用，加大宣传力度</w:t>
      </w:r>
    </w:p>
    <w:p>
      <w:pPr>
        <w:ind w:firstLine="640"/>
        <w:jc w:val="both"/>
      </w:pPr>
      <w:r>
        <w:rPr>
          <w:rFonts w:hint="eastAsia"/>
        </w:rPr>
        <w:t>（1）明确宣传重点：根据人群特点，有针对性的进行宣传教育，如社区居民主要宣传艾滋病的传播途径、流行特点及防护知识；青少年学生主要是思想道德建设、树立正确的性观念及防护知识；重点人群主要是防护知识及自愿咨询检测的相关政策。</w:t>
      </w:r>
    </w:p>
    <w:p>
      <w:pPr>
        <w:ind w:firstLine="640"/>
        <w:jc w:val="both"/>
      </w:pPr>
      <w:r>
        <w:rPr>
          <w:rFonts w:hint="eastAsia"/>
        </w:rPr>
        <w:t>（2）发挥基层特点：要充分发挥基层组织的作用，采取有效的宣传教育形式贴近受众进行宣传，可结合新媒体如抖音、微信公众号等方式，进行艾滋病防治及相关知识的普及。</w:t>
      </w:r>
    </w:p>
    <w:p>
      <w:pPr>
        <w:ind w:firstLine="643"/>
        <w:jc w:val="both"/>
        <w:rPr>
          <w:b/>
        </w:rPr>
      </w:pPr>
      <w:r>
        <w:rPr>
          <w:rFonts w:hint="eastAsia"/>
          <w:b/>
        </w:rPr>
        <w:t>3.提升专业技术水平，提高服务质量</w:t>
      </w:r>
    </w:p>
    <w:p>
      <w:pPr>
        <w:ind w:firstLine="640"/>
        <w:jc w:val="both"/>
      </w:pPr>
      <w:r>
        <w:rPr>
          <w:rFonts w:hint="eastAsia"/>
        </w:rPr>
        <w:t>由我区“三线”管理办公室负责对全区各基层医疗机构开展艾滋病防治知识培训，着重于基层具体工作开展和业务工作实施。</w:t>
      </w: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rPr>
          <w:rFonts w:hint="eastAsia"/>
        </w:rPr>
      </w:pPr>
    </w:p>
    <w:p>
      <w:pPr>
        <w:ind w:firstLine="720"/>
        <w:jc w:val="both"/>
        <w:rPr>
          <w:rFonts w:hint="eastAsia" w:ascii="方正小标宋简体" w:eastAsia="方正小标宋简体"/>
          <w:sz w:val="36"/>
          <w:szCs w:val="36"/>
        </w:rPr>
      </w:pPr>
      <w:r>
        <w:rPr>
          <w:rFonts w:hint="eastAsia" w:ascii="方正小标宋简体" w:eastAsia="方正小标宋简体"/>
          <w:sz w:val="36"/>
          <w:szCs w:val="36"/>
        </w:rPr>
        <w:t>2020年结核病防治配套项目项目支出绩效自评报告</w:t>
      </w:r>
    </w:p>
    <w:p>
      <w:pPr>
        <w:ind w:firstLine="640"/>
        <w:jc w:val="both"/>
      </w:pPr>
    </w:p>
    <w:p>
      <w:pPr>
        <w:ind w:firstLine="640"/>
        <w:jc w:val="both"/>
        <w:rPr>
          <w:rFonts w:ascii="黑体" w:hAnsi="黑体" w:eastAsia="黑体"/>
        </w:rPr>
      </w:pPr>
      <w:r>
        <w:rPr>
          <w:rFonts w:hint="eastAsia" w:ascii="黑体" w:hAnsi="黑体" w:eastAsia="黑体"/>
        </w:rPr>
        <w:t>一、项目概况</w:t>
      </w:r>
    </w:p>
    <w:p>
      <w:pPr>
        <w:ind w:firstLine="643"/>
        <w:jc w:val="both"/>
        <w:rPr>
          <w:rFonts w:hint="eastAsia" w:ascii="楷体_GB2312" w:eastAsia="楷体_GB2312"/>
          <w:b/>
        </w:rPr>
      </w:pPr>
      <w:r>
        <w:rPr>
          <w:rFonts w:hint="eastAsia" w:ascii="楷体_GB2312" w:eastAsia="楷体_GB2312"/>
          <w:b/>
        </w:rPr>
        <w:t>（一）项目绩效目标。</w:t>
      </w:r>
    </w:p>
    <w:p>
      <w:pPr>
        <w:ind w:firstLine="643"/>
        <w:jc w:val="both"/>
        <w:rPr>
          <w:b/>
        </w:rPr>
      </w:pPr>
      <w:r>
        <w:rPr>
          <w:rFonts w:hint="eastAsia"/>
          <w:b/>
        </w:rPr>
        <w:t>1.项目主要内容：</w:t>
      </w:r>
    </w:p>
    <w:p>
      <w:pPr>
        <w:ind w:firstLine="640"/>
        <w:jc w:val="both"/>
      </w:pPr>
      <w:r>
        <w:rPr>
          <w:rFonts w:hint="eastAsia"/>
        </w:rPr>
        <w:t>进一步完善“政府组织领导、部门各负其责、全社会共同参与”的防治机制，及时发现和规范治疗管理结核病患者，持续降低结核病的感染、发病与死亡，确保结核疫情稳步下降，提高群众健康水平。</w:t>
      </w:r>
    </w:p>
    <w:p>
      <w:pPr>
        <w:ind w:firstLine="643"/>
        <w:jc w:val="both"/>
        <w:rPr>
          <w:b/>
        </w:rPr>
      </w:pPr>
      <w:r>
        <w:rPr>
          <w:rFonts w:hint="eastAsia"/>
          <w:b/>
        </w:rPr>
        <w:t>2.具体绩效目标：</w:t>
      </w:r>
    </w:p>
    <w:p>
      <w:pPr>
        <w:ind w:firstLine="640"/>
        <w:jc w:val="both"/>
      </w:pPr>
      <w:r>
        <w:rPr>
          <w:rFonts w:hint="eastAsia"/>
        </w:rPr>
        <w:t>（1）肺结核可疑症状检查任务完成率达到85%以上。</w:t>
      </w:r>
    </w:p>
    <w:p>
      <w:pPr>
        <w:ind w:firstLine="640"/>
        <w:jc w:val="both"/>
      </w:pPr>
      <w:r>
        <w:rPr>
          <w:rFonts w:hint="eastAsia"/>
        </w:rPr>
        <w:t>（2）肺结核规范治疗和随访检查任务完成率达到85%以上。</w:t>
      </w:r>
    </w:p>
    <w:p>
      <w:pPr>
        <w:ind w:firstLine="640"/>
        <w:jc w:val="both"/>
      </w:pPr>
      <w:r>
        <w:rPr>
          <w:rFonts w:hint="eastAsia"/>
        </w:rPr>
        <w:t>（3）肺结核患者治疗成功率达到90%以上。</w:t>
      </w:r>
    </w:p>
    <w:p>
      <w:pPr>
        <w:ind w:firstLine="640"/>
        <w:jc w:val="both"/>
      </w:pPr>
      <w:r>
        <w:rPr>
          <w:rFonts w:hint="eastAsia"/>
        </w:rPr>
        <w:t>（4）</w:t>
      </w:r>
      <w:r>
        <w:rPr>
          <w:rFonts w:hint="eastAsia"/>
        </w:rPr>
        <w:tab/>
      </w:r>
      <w:r>
        <w:rPr>
          <w:rFonts w:hint="eastAsia"/>
        </w:rPr>
        <w:t>肺结核病原学阳性密切接触者筛查率达到95%以上。</w:t>
      </w:r>
    </w:p>
    <w:p>
      <w:pPr>
        <w:ind w:firstLine="643"/>
        <w:jc w:val="both"/>
        <w:rPr>
          <w:b/>
        </w:rPr>
      </w:pPr>
      <w:r>
        <w:rPr>
          <w:rFonts w:hint="eastAsia"/>
          <w:b/>
        </w:rPr>
        <w:t>3.项目实施计划：</w:t>
      </w:r>
    </w:p>
    <w:p>
      <w:pPr>
        <w:ind w:firstLine="640"/>
        <w:jc w:val="both"/>
      </w:pPr>
      <w:r>
        <w:rPr>
          <w:rFonts w:hint="eastAsia"/>
        </w:rPr>
        <w:t>对全区在定点医疗机构就诊肺结核可疑患者提供结核病诊断胸片检查1次、痰检查1次（3份痰）和一次性口罩；</w:t>
      </w:r>
    </w:p>
    <w:p>
      <w:pPr>
        <w:ind w:firstLine="640"/>
        <w:jc w:val="both"/>
      </w:pPr>
      <w:r>
        <w:rPr>
          <w:rFonts w:hint="eastAsia"/>
        </w:rPr>
        <w:t>为对全区200例左右的活动性肺结核患者提供随访检查、治疗管理和医务人员报病补助;对全区100左右例肺结核病原学阳性患者的密切接触者开展结核病流行病学调查；对所有报告的居住在自流井辖区的可疑肺结核患者或可疑肺结核患者进行追踪，对开展追踪工作的防治人员予以补助，对发现纳入治疗的患者进行规范化管理。</w:t>
      </w:r>
    </w:p>
    <w:p>
      <w:pPr>
        <w:ind w:firstLine="640"/>
        <w:jc w:val="both"/>
      </w:pPr>
      <w:r>
        <w:rPr>
          <w:rFonts w:hint="eastAsia"/>
        </w:rPr>
        <w:t>（2）耐多药肺结核防治</w:t>
      </w:r>
    </w:p>
    <w:p>
      <w:pPr>
        <w:ind w:firstLine="640"/>
        <w:jc w:val="both"/>
      </w:pPr>
      <w:r>
        <w:rPr>
          <w:rFonts w:hint="eastAsia"/>
        </w:rPr>
        <w:t>耐多药可疑者筛查：对我区发现的所有普通肺结核患者进行耐多药结核病筛查工作，开展分子生物学耐药检测，对涂阴或疑似结核病患者开展分子生物学检测，运送的菌株到自贡市疾控中心开展药敏检查。</w:t>
      </w:r>
    </w:p>
    <w:p>
      <w:pPr>
        <w:ind w:firstLine="640"/>
        <w:jc w:val="both"/>
      </w:pPr>
      <w:r>
        <w:rPr>
          <w:rFonts w:hint="eastAsia"/>
        </w:rPr>
        <w:t>（3）重点人群筛查</w:t>
      </w:r>
    </w:p>
    <w:p>
      <w:pPr>
        <w:ind w:firstLine="640"/>
        <w:jc w:val="both"/>
      </w:pPr>
      <w:r>
        <w:rPr>
          <w:rFonts w:hint="eastAsia"/>
        </w:rPr>
        <w:t>所有社区乡镇对常住人口中年龄大于65岁以上老年人和糖尿病患者开展结核症状筛查工作，年度筛查率达到90%以上。</w:t>
      </w:r>
    </w:p>
    <w:p>
      <w:pPr>
        <w:ind w:firstLine="640"/>
        <w:jc w:val="both"/>
        <w:rPr>
          <w:rFonts w:ascii="黑体" w:hAnsi="黑体" w:eastAsia="黑体"/>
        </w:rPr>
      </w:pPr>
      <w:r>
        <w:rPr>
          <w:rFonts w:hint="eastAsia" w:ascii="黑体" w:hAnsi="黑体" w:eastAsia="黑体"/>
        </w:rPr>
        <w:t>二、项目实施及管理情况</w:t>
      </w:r>
    </w:p>
    <w:p>
      <w:pPr>
        <w:ind w:firstLine="643"/>
        <w:jc w:val="both"/>
        <w:rPr>
          <w:rFonts w:hint="eastAsia" w:ascii="楷体_GB2312" w:eastAsia="楷体_GB2312"/>
          <w:b/>
        </w:rPr>
      </w:pPr>
      <w:r>
        <w:rPr>
          <w:rFonts w:hint="eastAsia" w:ascii="楷体_GB2312" w:eastAsia="楷体_GB2312"/>
          <w:b/>
        </w:rPr>
        <w:t>（一）资金计划、到位及使用情况</w:t>
      </w:r>
    </w:p>
    <w:p>
      <w:pPr>
        <w:ind w:firstLine="640"/>
        <w:jc w:val="both"/>
      </w:pPr>
      <w:r>
        <w:rPr>
          <w:rFonts w:hint="eastAsia"/>
        </w:rPr>
        <w:t>今年结核配套预计到位1万元，已到位1万元，已使用1万元。</w:t>
      </w:r>
    </w:p>
    <w:p>
      <w:pPr>
        <w:ind w:firstLine="643"/>
        <w:jc w:val="both"/>
        <w:rPr>
          <w:rFonts w:ascii="楷体_GB2312" w:eastAsia="楷体_GB2312"/>
          <w:b/>
        </w:rPr>
      </w:pPr>
      <w:r>
        <w:rPr>
          <w:rFonts w:hint="eastAsia" w:ascii="楷体_GB2312" w:eastAsia="楷体_GB2312"/>
          <w:b/>
        </w:rPr>
        <w:t>（二）项目财务管理情况</w:t>
      </w:r>
    </w:p>
    <w:p>
      <w:pPr>
        <w:ind w:firstLine="640"/>
        <w:jc w:val="both"/>
      </w:pPr>
      <w:r>
        <w:rPr>
          <w:rFonts w:hint="eastAsia"/>
        </w:rPr>
        <w:t>所有项目支出均实行独立核算，专款专用。资金的使用严格把关，按照我单位财务管理制度执行；项目的运行完全按照我中心内部管理制度、区委区政府及财政的有关规定执行，严格人员作风，不存在违规违法的问题。</w:t>
      </w:r>
    </w:p>
    <w:p>
      <w:pPr>
        <w:ind w:firstLine="640"/>
        <w:jc w:val="both"/>
      </w:pPr>
      <w:r>
        <w:rPr>
          <w:rFonts w:hint="eastAsia"/>
        </w:rPr>
        <w:t>根据《自贡市自流井区2020年中央财政补助艾滋病、结核病防治项目第一批资金实施方案》自井疾办发（2020）39号文件，《中央补助地方卫生事业专项资金管理办法》和《四川省省级卫生事业财政专项资金管理暂行办法（川财社【2004】159号》）的规定，严格资金使用，已经对定点医疗机构划拨结核患者诊疗、双感筛查、贫困补助等费用4万多元，对基层医疗机构医务人员报病追踪补助下发4560元，向市疾控划拨8000元。提高能力建设：按要求购买相关仪器设备，共计11.4万元。</w:t>
      </w:r>
    </w:p>
    <w:p>
      <w:pPr>
        <w:ind w:firstLine="643"/>
        <w:jc w:val="both"/>
        <w:rPr>
          <w:rFonts w:ascii="楷体_GB2312" w:eastAsia="楷体_GB2312"/>
          <w:b/>
        </w:rPr>
      </w:pPr>
      <w:r>
        <w:rPr>
          <w:rFonts w:hint="eastAsia" w:ascii="楷体_GB2312" w:eastAsia="楷体_GB2312"/>
          <w:b/>
        </w:rPr>
        <w:t>（三）项目组织实施情况</w:t>
      </w:r>
    </w:p>
    <w:p>
      <w:pPr>
        <w:ind w:firstLine="640"/>
        <w:jc w:val="both"/>
      </w:pPr>
      <w:r>
        <w:rPr>
          <w:rFonts w:hint="eastAsia"/>
        </w:rPr>
        <w:t>该项目工作在区政府领导下，区卫健局管理，市疾控指导，区疾控中心负责项目工作的实施，辖区各重疾办成员单位各负其责，按照《“十三五”自流井区结核病防治规划》和《遏制结核病行动计划（2019-2022年）》目标任务及省级“示范市”创建工作要求，进一步巩固和完善结核病分级诊疗制度和综合服务模式国家级试点成果，加快推进结核病防治信息化建设，提高结核病防治保障水平，降低患者疾病负担，减少结核病发病和传播。</w:t>
      </w:r>
    </w:p>
    <w:p>
      <w:pPr>
        <w:ind w:firstLine="640"/>
        <w:jc w:val="both"/>
        <w:rPr>
          <w:rFonts w:ascii="黑体" w:hAnsi="黑体" w:eastAsia="黑体"/>
        </w:rPr>
      </w:pPr>
      <w:r>
        <w:rPr>
          <w:rFonts w:hint="eastAsia" w:ascii="黑体" w:hAnsi="黑体" w:eastAsia="黑体"/>
        </w:rPr>
        <w:t>三、项目绩效情况</w:t>
      </w:r>
    </w:p>
    <w:p>
      <w:pPr>
        <w:ind w:firstLine="640"/>
        <w:jc w:val="both"/>
      </w:pPr>
      <w:r>
        <w:rPr>
          <w:rFonts w:hint="eastAsia"/>
        </w:rPr>
        <w:t>按今年工作进度，到目前为止我区定点医疗机构对就诊的可疑结核病患者进行免费胸片和查痰检查300例，共发现活动性结核病患者181例，均已纳入治疗和管理，所有患者均在各社区乡镇按要求规范管理，管理率到100%。去年发现患者189例，均规范管理，治疗成功率达96.75%。</w:t>
      </w:r>
    </w:p>
    <w:p>
      <w:pPr>
        <w:ind w:firstLine="643"/>
        <w:jc w:val="both"/>
        <w:rPr>
          <w:rFonts w:hint="eastAsia" w:ascii="楷体_GB2312" w:eastAsia="楷体_GB2312"/>
          <w:b/>
        </w:rPr>
      </w:pPr>
      <w:r>
        <w:rPr>
          <w:rFonts w:hint="eastAsia" w:ascii="楷体_GB2312" w:eastAsia="楷体_GB2312"/>
          <w:b/>
        </w:rPr>
        <w:t>（一）耐多药肺结核防治</w:t>
      </w:r>
    </w:p>
    <w:p>
      <w:pPr>
        <w:ind w:firstLine="640"/>
        <w:jc w:val="both"/>
      </w:pPr>
      <w:r>
        <w:rPr>
          <w:rFonts w:hint="eastAsia"/>
        </w:rPr>
        <w:t>耐多药可疑者筛查。对我区发现的181例普通肺结核患者进行耐多药结核病筛查工作，77例病原学阳性的患者开展分子生物学耐药检测，对涂阴结核病患者开展分子生物学检测，运送的菌株到自贡市疾控中心开展药敏检查，发现耐药患者4例，耐药患者均纳入治疗，目前正在治疗中。</w:t>
      </w:r>
    </w:p>
    <w:p>
      <w:pPr>
        <w:ind w:firstLine="643"/>
        <w:jc w:val="both"/>
        <w:rPr>
          <w:rFonts w:ascii="楷体_GB2312" w:eastAsia="楷体_GB2312"/>
          <w:b/>
        </w:rPr>
      </w:pPr>
      <w:r>
        <w:rPr>
          <w:rFonts w:hint="eastAsia" w:ascii="楷体_GB2312" w:eastAsia="楷体_GB2312"/>
          <w:b/>
        </w:rPr>
        <w:t>（二）重点人群筛查</w:t>
      </w:r>
    </w:p>
    <w:p>
      <w:pPr>
        <w:ind w:firstLine="640"/>
        <w:jc w:val="both"/>
      </w:pPr>
      <w:r>
        <w:rPr>
          <w:rFonts w:hint="eastAsia"/>
        </w:rPr>
        <w:t>所有社区/乡镇对常住人口中大于65岁以上老年人和糖尿病患者开展结核症状筛查工作，1-3季度老年人登记建档28920人，筛查23293人，筛查率80.54%（四季度达到90%以上）。糖尿病患者建档5393人，筛查4535人，筛查率达到84.09%（四季度达到90%以上）。</w:t>
      </w:r>
    </w:p>
    <w:p>
      <w:pPr>
        <w:ind w:firstLine="643"/>
        <w:jc w:val="both"/>
        <w:rPr>
          <w:rFonts w:ascii="楷体_GB2312" w:eastAsia="楷体_GB2312"/>
          <w:b/>
        </w:rPr>
      </w:pPr>
      <w:r>
        <w:rPr>
          <w:rFonts w:hint="eastAsia" w:ascii="楷体_GB2312" w:eastAsia="楷体_GB2312"/>
          <w:b/>
        </w:rPr>
        <w:t>（三）阳性的结核病患者</w:t>
      </w:r>
    </w:p>
    <w:p>
      <w:pPr>
        <w:ind w:firstLine="640"/>
        <w:jc w:val="both"/>
      </w:pPr>
      <w:r>
        <w:rPr>
          <w:rFonts w:hint="eastAsia"/>
        </w:rPr>
        <w:t>到今天共发现77例病原学阳性的结核病患者，及学生患者9例，共筛查密切接触者340人，筛查率达到100%。</w:t>
      </w:r>
    </w:p>
    <w:p>
      <w:pPr>
        <w:ind w:firstLine="640"/>
        <w:jc w:val="both"/>
        <w:rPr>
          <w:rFonts w:ascii="黑体" w:hAnsi="黑体" w:eastAsia="黑体"/>
        </w:rPr>
      </w:pPr>
      <w:r>
        <w:rPr>
          <w:rFonts w:hint="eastAsia" w:ascii="黑体" w:hAnsi="黑体" w:eastAsia="黑体"/>
        </w:rPr>
        <w:t>四、问题及建议</w:t>
      </w:r>
    </w:p>
    <w:p>
      <w:pPr>
        <w:ind w:firstLine="643"/>
        <w:jc w:val="both"/>
        <w:rPr>
          <w:rFonts w:ascii="楷体_GB2312" w:eastAsia="楷体_GB2312"/>
          <w:b/>
        </w:rPr>
      </w:pPr>
      <w:r>
        <w:rPr>
          <w:rFonts w:hint="eastAsia" w:ascii="楷体_GB2312" w:eastAsia="楷体_GB2312"/>
          <w:b/>
        </w:rPr>
        <w:t>（一）存在的问题。</w:t>
      </w:r>
    </w:p>
    <w:p>
      <w:pPr>
        <w:ind w:firstLine="640"/>
        <w:jc w:val="both"/>
      </w:pPr>
      <w:r>
        <w:rPr>
          <w:rFonts w:hint="eastAsia"/>
        </w:rPr>
        <w:t>1.结核知识宣传不够全面，没有做到人群全覆盖，特别文化程度较低的老年人对结核病知识知识了解不全。</w:t>
      </w:r>
    </w:p>
    <w:p>
      <w:pPr>
        <w:ind w:firstLine="640"/>
        <w:jc w:val="both"/>
      </w:pPr>
      <w:r>
        <w:rPr>
          <w:rFonts w:hint="eastAsia"/>
        </w:rPr>
        <w:t>2.专业技术人员水平需要不断提高。</w:t>
      </w:r>
    </w:p>
    <w:p>
      <w:pPr>
        <w:ind w:firstLine="640"/>
        <w:jc w:val="both"/>
      </w:pPr>
      <w:r>
        <w:rPr>
          <w:rFonts w:hint="eastAsia"/>
        </w:rPr>
        <w:t>一些基层结核专业技术人员更换频繁，部分人员责任心不强，影响结核病工作管理和筛查质量。</w:t>
      </w:r>
    </w:p>
    <w:p>
      <w:pPr>
        <w:ind w:firstLine="640"/>
        <w:jc w:val="both"/>
      </w:pPr>
      <w:r>
        <w:rPr>
          <w:rFonts w:hint="eastAsia"/>
        </w:rPr>
        <w:t>3.我区结核病患者负担较重，患者报销做不到实时报销，特别是居民医保报销比例过低，患者存在因病致病和因病返贫现象。</w:t>
      </w:r>
    </w:p>
    <w:p>
      <w:pPr>
        <w:ind w:firstLine="643"/>
        <w:jc w:val="both"/>
        <w:rPr>
          <w:rFonts w:ascii="楷体_GB2312" w:eastAsia="楷体_GB2312"/>
          <w:b/>
        </w:rPr>
      </w:pPr>
      <w:r>
        <w:rPr>
          <w:rFonts w:hint="eastAsia" w:ascii="楷体_GB2312" w:eastAsia="楷体_GB2312"/>
          <w:b/>
        </w:rPr>
        <w:t>（二）相关建议。</w:t>
      </w:r>
    </w:p>
    <w:p>
      <w:pPr>
        <w:ind w:firstLine="640"/>
        <w:jc w:val="both"/>
      </w:pPr>
    </w:p>
    <w:p>
      <w:pPr>
        <w:ind w:firstLine="640"/>
        <w:jc w:val="both"/>
      </w:pPr>
      <w:r>
        <w:rPr>
          <w:rFonts w:hint="eastAsia"/>
        </w:rPr>
        <w:t>1.加强组织领导，促进多部门协作</w:t>
      </w:r>
    </w:p>
    <w:p>
      <w:pPr>
        <w:ind w:firstLine="640"/>
        <w:jc w:val="both"/>
      </w:pPr>
      <w:r>
        <w:rPr>
          <w:rFonts w:hint="eastAsia"/>
        </w:rPr>
        <w:t>由区政府牵头，进一步加强相关部门的协作与联动，形成齐抓共管、同心协力的良好局面，共同健全和完善多部门合作、全社会参与的结核病防控机制。加大宣传力度，根据人群特点，有针对性的进行宣传教育，联合艾滋宣传做好结核艾滋双感知识宣传。</w:t>
      </w:r>
    </w:p>
    <w:p>
      <w:pPr>
        <w:ind w:firstLine="640"/>
        <w:jc w:val="both"/>
      </w:pPr>
      <w:r>
        <w:rPr>
          <w:rFonts w:hint="eastAsia"/>
        </w:rPr>
        <w:t>2.稳定防痨队伍，加强培训，提高专业知识，提升服务能力和服务水平。</w:t>
      </w:r>
    </w:p>
    <w:p>
      <w:pPr>
        <w:ind w:firstLine="640"/>
        <w:jc w:val="both"/>
      </w:pPr>
      <w:r>
        <w:rPr>
          <w:rFonts w:hint="eastAsia"/>
        </w:rPr>
        <w:t>3.不断完善医保政策，让患者能实时报销，希望能实行单病种付费，能将患者基本检查费等纳入报销范畴，减轻患者负担，对家庭主要劳动者患病的情况给予相关政策补助。</w:t>
      </w:r>
    </w:p>
    <w:p>
      <w:pPr>
        <w:ind w:firstLine="198" w:firstLineChars="62"/>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0" w:firstLineChars="0"/>
        <w:jc w:val="center"/>
        <w:rPr>
          <w:rFonts w:hint="eastAsia" w:ascii="方正小标宋简体" w:eastAsia="方正小标宋简体"/>
          <w:sz w:val="36"/>
          <w:szCs w:val="36"/>
        </w:rPr>
      </w:pPr>
      <w:r>
        <w:rPr>
          <w:rFonts w:hint="eastAsia" w:ascii="方正小标宋简体" w:eastAsia="方正小标宋简体"/>
          <w:sz w:val="36"/>
          <w:szCs w:val="36"/>
        </w:rPr>
        <w:t>计量认证配套项目支出绩效自评报告</w:t>
      </w:r>
    </w:p>
    <w:p>
      <w:pPr>
        <w:ind w:firstLine="640"/>
        <w:jc w:val="both"/>
      </w:pPr>
    </w:p>
    <w:p>
      <w:pPr>
        <w:ind w:firstLine="640"/>
        <w:jc w:val="both"/>
        <w:rPr>
          <w:rFonts w:ascii="黑体" w:hAnsi="黑体" w:eastAsia="黑体"/>
        </w:rPr>
      </w:pPr>
      <w:r>
        <w:rPr>
          <w:rFonts w:hint="eastAsia" w:ascii="黑体" w:hAnsi="黑体" w:eastAsia="黑体"/>
        </w:rPr>
        <w:t>一、项目概况</w:t>
      </w:r>
    </w:p>
    <w:p>
      <w:pPr>
        <w:ind w:firstLine="640"/>
        <w:jc w:val="both"/>
      </w:pPr>
      <w:r>
        <w:rPr>
          <w:rFonts w:hint="eastAsia"/>
        </w:rPr>
        <w:t>介绍项目基本情况，重点说明以下内容：</w:t>
      </w:r>
    </w:p>
    <w:p>
      <w:pPr>
        <w:ind w:firstLine="640"/>
        <w:jc w:val="both"/>
      </w:pPr>
      <w:r>
        <w:rPr>
          <w:rFonts w:hint="eastAsia"/>
        </w:rPr>
        <w:t>（一）项目资金申报及批复情况。年初预算申请资金2万元，今年实际到位0.05万元。</w:t>
      </w:r>
    </w:p>
    <w:p>
      <w:pPr>
        <w:ind w:firstLine="640"/>
        <w:jc w:val="both"/>
      </w:pPr>
      <w:r>
        <w:rPr>
          <w:rFonts w:hint="eastAsia"/>
        </w:rPr>
        <w:t>（二）项目绩效目标。维持检验检测能力。</w:t>
      </w:r>
    </w:p>
    <w:p>
      <w:pPr>
        <w:ind w:firstLine="640"/>
        <w:jc w:val="both"/>
      </w:pPr>
      <w:r>
        <w:rPr>
          <w:rFonts w:hint="eastAsia"/>
        </w:rPr>
        <w:t>（三）项目资金申报相符性。年初预算申请资金2万元，今年实际到位1.2万元。</w:t>
      </w:r>
    </w:p>
    <w:p>
      <w:pPr>
        <w:ind w:firstLine="640"/>
        <w:jc w:val="both"/>
        <w:rPr>
          <w:rFonts w:ascii="黑体" w:hAnsi="黑体" w:eastAsia="黑体"/>
        </w:rPr>
      </w:pPr>
      <w:r>
        <w:rPr>
          <w:rFonts w:hint="eastAsia" w:ascii="黑体" w:hAnsi="黑体" w:eastAsia="黑体"/>
        </w:rPr>
        <w:t>二、项目实施及管理情况</w:t>
      </w:r>
    </w:p>
    <w:p>
      <w:pPr>
        <w:ind w:firstLine="643"/>
        <w:jc w:val="both"/>
        <w:rPr>
          <w:rFonts w:hint="eastAsia" w:ascii="楷体_GB2312" w:eastAsia="楷体_GB2312"/>
          <w:b/>
        </w:rPr>
      </w:pPr>
      <w:r>
        <w:rPr>
          <w:rFonts w:hint="eastAsia" w:ascii="楷体_GB2312" w:eastAsia="楷体_GB2312"/>
          <w:b/>
        </w:rPr>
        <w:t>（一）资金计划、到位及使用情况。</w:t>
      </w:r>
    </w:p>
    <w:p>
      <w:pPr>
        <w:ind w:firstLine="640"/>
        <w:jc w:val="both"/>
      </w:pPr>
      <w:r>
        <w:rPr>
          <w:rFonts w:hint="eastAsia"/>
        </w:rPr>
        <w:t>1.</w:t>
      </w:r>
      <w:r>
        <w:rPr>
          <w:rFonts w:hint="eastAsia"/>
        </w:rPr>
        <w:tab/>
      </w:r>
      <w:r>
        <w:rPr>
          <w:rFonts w:hint="eastAsia"/>
        </w:rPr>
        <w:t>资金计划及到位。年初预算申请资金2万元，今年</w:t>
      </w:r>
    </w:p>
    <w:p>
      <w:pPr>
        <w:ind w:firstLine="640"/>
        <w:jc w:val="both"/>
      </w:pPr>
      <w:r>
        <w:rPr>
          <w:rFonts w:hint="eastAsia"/>
        </w:rPr>
        <w:t>实际到位1.2万元。</w:t>
      </w:r>
    </w:p>
    <w:p>
      <w:pPr>
        <w:ind w:firstLine="640"/>
        <w:jc w:val="both"/>
      </w:pPr>
      <w:r>
        <w:rPr>
          <w:rFonts w:hint="eastAsia"/>
        </w:rPr>
        <w:t>2.</w:t>
      </w:r>
      <w:r>
        <w:rPr>
          <w:rFonts w:hint="eastAsia"/>
        </w:rPr>
        <w:tab/>
      </w:r>
      <w:r>
        <w:rPr>
          <w:rFonts w:hint="eastAsia"/>
        </w:rPr>
        <w:t>资金使用。实际使用1.2万元。</w:t>
      </w:r>
    </w:p>
    <w:p>
      <w:pPr>
        <w:ind w:firstLine="643"/>
        <w:jc w:val="both"/>
        <w:rPr>
          <w:rFonts w:ascii="楷体_GB2312" w:eastAsia="楷体_GB2312"/>
          <w:b/>
        </w:rPr>
      </w:pPr>
      <w:r>
        <w:rPr>
          <w:rFonts w:hint="eastAsia" w:ascii="楷体_GB2312" w:eastAsia="楷体_GB2312"/>
          <w:b/>
        </w:rPr>
        <w:t>（二）项目财务管理情况。</w:t>
      </w:r>
    </w:p>
    <w:p>
      <w:pPr>
        <w:ind w:firstLine="640"/>
        <w:jc w:val="both"/>
      </w:pPr>
      <w:r>
        <w:rPr>
          <w:rFonts w:hint="eastAsia"/>
        </w:rPr>
        <w:t>所有项目支出均实行独立核算，专款专用。资金的使用严格把关，按照我单位财务管理制度执行；项目的运行完全按照我中心内部管理制度、区委区政府及财政的有关规定执行，严格人员作风，不存在违规违法的问题。</w:t>
      </w:r>
    </w:p>
    <w:p>
      <w:pPr>
        <w:ind w:firstLine="643"/>
        <w:jc w:val="both"/>
        <w:rPr>
          <w:rFonts w:ascii="楷体_GB2312" w:eastAsia="楷体_GB2312"/>
          <w:b/>
        </w:rPr>
      </w:pPr>
      <w:r>
        <w:rPr>
          <w:rFonts w:hint="eastAsia" w:ascii="楷体_GB2312" w:eastAsia="楷体_GB2312"/>
          <w:b/>
        </w:rPr>
        <w:t>（三）项目组织实施情况。</w:t>
      </w:r>
    </w:p>
    <w:p>
      <w:pPr>
        <w:ind w:firstLine="640"/>
        <w:jc w:val="both"/>
      </w:pPr>
      <w:r>
        <w:rPr>
          <w:rFonts w:hint="eastAsia"/>
        </w:rPr>
        <w:t>自流井区疾控中心有向社会出具有证明作用的数据和结果的职能，按国家管理要求应当具有相应基本条件和能力，政府质量技术监督部门对我中心的基本条件和能力是否符合法律、行政法规规定以及相关技术规范或者标准实施的评价和承认活动。为维持相关能力我中心质控办牵头负责仪器设备校检、实验室间比对、质控等工作。</w:t>
      </w:r>
    </w:p>
    <w:p>
      <w:pPr>
        <w:ind w:firstLine="640"/>
        <w:jc w:val="both"/>
        <w:rPr>
          <w:rFonts w:ascii="黑体" w:hAnsi="黑体" w:eastAsia="黑体"/>
        </w:rPr>
      </w:pPr>
      <w:r>
        <w:rPr>
          <w:rFonts w:hint="eastAsia" w:ascii="黑体" w:hAnsi="黑体" w:eastAsia="黑体"/>
        </w:rPr>
        <w:t>三、项目绩效情况</w:t>
      </w:r>
    </w:p>
    <w:p>
      <w:pPr>
        <w:ind w:firstLine="643"/>
        <w:jc w:val="both"/>
        <w:rPr>
          <w:rFonts w:ascii="楷体_GB2312" w:eastAsia="楷体_GB2312"/>
          <w:b/>
        </w:rPr>
      </w:pPr>
      <w:r>
        <w:rPr>
          <w:rFonts w:hint="eastAsia" w:ascii="楷体_GB2312" w:eastAsia="楷体_GB2312"/>
          <w:b/>
        </w:rPr>
        <w:t>（一）项目完成情况。</w:t>
      </w:r>
    </w:p>
    <w:p>
      <w:pPr>
        <w:ind w:firstLine="640"/>
        <w:jc w:val="both"/>
      </w:pPr>
      <w:r>
        <w:rPr>
          <w:rFonts w:hint="eastAsia"/>
        </w:rPr>
        <w:t>对现有仪器设备送检校验，完成实验室间比对质控、质量体系能力的维持。</w:t>
      </w:r>
    </w:p>
    <w:p>
      <w:pPr>
        <w:ind w:firstLine="643"/>
        <w:jc w:val="both"/>
        <w:rPr>
          <w:rFonts w:ascii="楷体_GB2312" w:eastAsia="楷体_GB2312"/>
          <w:b/>
        </w:rPr>
      </w:pPr>
      <w:r>
        <w:rPr>
          <w:rFonts w:hint="eastAsia" w:ascii="楷体_GB2312" w:eastAsia="楷体_GB2312"/>
          <w:b/>
        </w:rPr>
        <w:t>（二）项目效益情况。</w:t>
      </w:r>
    </w:p>
    <w:p>
      <w:pPr>
        <w:ind w:firstLine="640"/>
        <w:jc w:val="both"/>
      </w:pPr>
      <w:r>
        <w:rPr>
          <w:rFonts w:hint="eastAsia"/>
        </w:rPr>
        <w:t>社会效益：落实党和政府政策、维持疾病预防相关检验检测能力。</w:t>
      </w:r>
    </w:p>
    <w:p>
      <w:pPr>
        <w:ind w:firstLine="640"/>
        <w:jc w:val="both"/>
        <w:rPr>
          <w:rFonts w:ascii="黑体" w:hAnsi="黑体" w:eastAsia="黑体"/>
        </w:rPr>
      </w:pPr>
      <w:r>
        <w:rPr>
          <w:rFonts w:hint="eastAsia" w:ascii="黑体" w:hAnsi="黑体" w:eastAsia="黑体"/>
        </w:rPr>
        <w:t>四、问题及建议</w:t>
      </w:r>
    </w:p>
    <w:p>
      <w:pPr>
        <w:ind w:firstLine="643"/>
        <w:jc w:val="both"/>
        <w:rPr>
          <w:rFonts w:ascii="楷体_GB2312" w:eastAsia="楷体_GB2312"/>
          <w:b/>
        </w:rPr>
      </w:pPr>
      <w:r>
        <w:rPr>
          <w:rFonts w:hint="eastAsia" w:ascii="楷体_GB2312" w:eastAsia="楷体_GB2312"/>
          <w:b/>
        </w:rPr>
        <w:t>（一）存在的问题。</w:t>
      </w:r>
    </w:p>
    <w:p>
      <w:pPr>
        <w:ind w:firstLine="640"/>
        <w:jc w:val="both"/>
      </w:pPr>
      <w:r>
        <w:rPr>
          <w:rFonts w:hint="eastAsia"/>
        </w:rPr>
        <w:t>随着检验检测相关工作量的急剧增长，工作经费不能满足进一步提升能力的需要。</w:t>
      </w:r>
    </w:p>
    <w:p>
      <w:pPr>
        <w:ind w:firstLine="643"/>
        <w:jc w:val="both"/>
        <w:rPr>
          <w:rFonts w:ascii="楷体_GB2312" w:eastAsia="楷体_GB2312"/>
          <w:b/>
        </w:rPr>
      </w:pPr>
      <w:r>
        <w:rPr>
          <w:rFonts w:hint="eastAsia" w:ascii="楷体_GB2312" w:eastAsia="楷体_GB2312"/>
          <w:b/>
        </w:rPr>
        <w:t>（二）相关建议。</w:t>
      </w:r>
    </w:p>
    <w:p>
      <w:pPr>
        <w:ind w:firstLine="640"/>
        <w:jc w:val="both"/>
      </w:pPr>
      <w:r>
        <w:rPr>
          <w:rFonts w:hint="eastAsia"/>
        </w:rPr>
        <w:t>根据工作量的增长，增加预算。</w:t>
      </w:r>
    </w:p>
    <w:p>
      <w:pPr>
        <w:ind w:firstLine="640"/>
        <w:jc w:val="both"/>
      </w:pPr>
    </w:p>
    <w:p>
      <w:pPr>
        <w:ind w:firstLine="640"/>
        <w:jc w:val="both"/>
      </w:pPr>
    </w:p>
    <w:p>
      <w:pPr>
        <w:ind w:firstLine="640"/>
        <w:jc w:val="both"/>
      </w:pPr>
    </w:p>
    <w:p>
      <w:pPr>
        <w:ind w:firstLine="640"/>
        <w:jc w:val="both"/>
      </w:pPr>
    </w:p>
    <w:p>
      <w:pPr>
        <w:ind w:firstLine="640"/>
        <w:jc w:val="both"/>
        <w:rPr>
          <w:rFonts w:hint="eastAsia"/>
        </w:rPr>
      </w:pPr>
    </w:p>
    <w:p>
      <w:pPr>
        <w:ind w:firstLine="0" w:firstLineChars="0"/>
        <w:jc w:val="center"/>
        <w:rPr>
          <w:rFonts w:ascii="方正小标宋简体" w:eastAsia="方正小标宋简体"/>
          <w:sz w:val="36"/>
          <w:szCs w:val="36"/>
        </w:rPr>
      </w:pPr>
      <w:r>
        <w:rPr>
          <w:rFonts w:hint="eastAsia" w:ascii="方正小标宋简体" w:eastAsia="方正小标宋简体"/>
          <w:sz w:val="36"/>
          <w:szCs w:val="36"/>
        </w:rPr>
        <w:t>生活饮用水卫生监测配套项目支出绩效自评报告</w:t>
      </w:r>
    </w:p>
    <w:p>
      <w:pPr>
        <w:ind w:firstLine="0" w:firstLineChars="0"/>
        <w:jc w:val="center"/>
        <w:rPr>
          <w:rFonts w:hint="eastAsia" w:ascii="方正小标宋简体" w:eastAsia="方正小标宋简体"/>
          <w:sz w:val="36"/>
          <w:szCs w:val="36"/>
        </w:rPr>
      </w:pPr>
    </w:p>
    <w:p>
      <w:pPr>
        <w:ind w:firstLine="640"/>
        <w:jc w:val="both"/>
        <w:rPr>
          <w:rFonts w:ascii="黑体" w:hAnsi="黑体" w:eastAsia="黑体"/>
        </w:rPr>
      </w:pPr>
      <w:r>
        <w:rPr>
          <w:rFonts w:hint="eastAsia" w:ascii="黑体" w:hAnsi="黑体" w:eastAsia="黑体"/>
        </w:rPr>
        <w:t>一、项目概况</w:t>
      </w:r>
    </w:p>
    <w:p>
      <w:pPr>
        <w:ind w:firstLine="640"/>
        <w:jc w:val="both"/>
      </w:pPr>
      <w:r>
        <w:rPr>
          <w:rFonts w:hint="eastAsia"/>
        </w:rPr>
        <w:t>介绍项目基本情况，重点说明以下内容：</w:t>
      </w:r>
    </w:p>
    <w:p>
      <w:pPr>
        <w:ind w:firstLine="643"/>
        <w:jc w:val="both"/>
        <w:rPr>
          <w:rFonts w:hint="eastAsia" w:ascii="楷体_GB2312" w:eastAsia="楷体_GB2312"/>
          <w:b/>
        </w:rPr>
      </w:pPr>
      <w:r>
        <w:rPr>
          <w:rFonts w:hint="eastAsia" w:ascii="楷体_GB2312" w:eastAsia="楷体_GB2312"/>
          <w:b/>
        </w:rPr>
        <w:t>（一）项目资金申报及批复情况。</w:t>
      </w:r>
    </w:p>
    <w:p>
      <w:pPr>
        <w:ind w:firstLine="640"/>
        <w:jc w:val="both"/>
      </w:pPr>
      <w:r>
        <w:rPr>
          <w:rFonts w:hint="eastAsia"/>
        </w:rPr>
        <w:t>年初预算申报1万元，实际到位0.068万元。</w:t>
      </w:r>
    </w:p>
    <w:p>
      <w:pPr>
        <w:ind w:firstLine="643"/>
        <w:jc w:val="both"/>
        <w:rPr>
          <w:rFonts w:ascii="楷体_GB2312" w:eastAsia="楷体_GB2312"/>
          <w:b/>
        </w:rPr>
      </w:pPr>
      <w:r>
        <w:rPr>
          <w:rFonts w:hint="eastAsia" w:ascii="楷体_GB2312" w:eastAsia="楷体_GB2312"/>
          <w:b/>
        </w:rPr>
        <w:t>（二）项目绩效目标。</w:t>
      </w:r>
    </w:p>
    <w:p>
      <w:pPr>
        <w:ind w:firstLine="640"/>
        <w:jc w:val="both"/>
      </w:pPr>
      <w:r>
        <w:rPr>
          <w:rFonts w:hint="eastAsia"/>
        </w:rPr>
        <w:t>生活饮用水卫生安全关系到广大人民群众的身体健康和生命安全，对于改善人居环境、提高人民生活质量具有重要意义。通过合理布</w:t>
      </w:r>
      <w:r>
        <w:rPr>
          <w:rFonts w:hint="eastAsia" w:cs="微软雅黑"/>
        </w:rPr>
        <w:t>置</w:t>
      </w:r>
      <w:r>
        <w:rPr>
          <w:rFonts w:hint="eastAsia" w:cs="仿宋_GB2312"/>
        </w:rPr>
        <w:t>监测点，每季度</w:t>
      </w:r>
      <w:r>
        <w:rPr>
          <w:rFonts w:hint="eastAsia"/>
        </w:rPr>
        <w:t>对辖区生活饮用水进行水质卫生监测，系统地了解我区生活饮用水卫生基本状况，为加强生活饮用水安全管理工作提供依据和技术支持。</w:t>
      </w:r>
    </w:p>
    <w:p>
      <w:pPr>
        <w:ind w:firstLine="643"/>
        <w:jc w:val="both"/>
        <w:rPr>
          <w:rFonts w:ascii="楷体_GB2312" w:eastAsia="楷体_GB2312"/>
          <w:b/>
        </w:rPr>
      </w:pPr>
      <w:r>
        <w:rPr>
          <w:rFonts w:hint="eastAsia" w:ascii="楷体_GB2312" w:eastAsia="楷体_GB2312"/>
          <w:b/>
        </w:rPr>
        <w:t>（三）项目资金申报相符性。</w:t>
      </w:r>
    </w:p>
    <w:p>
      <w:pPr>
        <w:ind w:firstLine="640"/>
        <w:jc w:val="both"/>
      </w:pPr>
      <w:r>
        <w:rPr>
          <w:rFonts w:hint="eastAsia"/>
        </w:rPr>
        <w:t>年初预算申报1万元，实际到位0.068万元，已使用1万元。</w:t>
      </w:r>
    </w:p>
    <w:p>
      <w:pPr>
        <w:ind w:firstLine="640"/>
        <w:jc w:val="both"/>
        <w:rPr>
          <w:rFonts w:ascii="黑体" w:hAnsi="黑体" w:eastAsia="黑体"/>
        </w:rPr>
      </w:pPr>
      <w:r>
        <w:rPr>
          <w:rFonts w:hint="eastAsia" w:ascii="黑体" w:hAnsi="黑体" w:eastAsia="黑体"/>
        </w:rPr>
        <w:t>二、项目实施及管理情况</w:t>
      </w:r>
    </w:p>
    <w:p>
      <w:pPr>
        <w:ind w:firstLine="643"/>
        <w:jc w:val="both"/>
        <w:rPr>
          <w:rFonts w:ascii="楷体_GB2312" w:eastAsia="楷体_GB2312"/>
          <w:b/>
        </w:rPr>
      </w:pPr>
      <w:r>
        <w:rPr>
          <w:rFonts w:hint="eastAsia" w:ascii="楷体_GB2312" w:eastAsia="楷体_GB2312"/>
          <w:b/>
        </w:rPr>
        <w:t>（一）资金计划、到位及使用情况。</w:t>
      </w:r>
    </w:p>
    <w:p>
      <w:pPr>
        <w:ind w:firstLine="643"/>
        <w:jc w:val="both"/>
        <w:rPr>
          <w:b/>
        </w:rPr>
      </w:pPr>
      <w:r>
        <w:rPr>
          <w:rFonts w:hint="eastAsia"/>
          <w:b/>
        </w:rPr>
        <w:t>1.资金计划及到位。</w:t>
      </w:r>
    </w:p>
    <w:p>
      <w:pPr>
        <w:ind w:firstLine="640"/>
        <w:jc w:val="both"/>
      </w:pPr>
      <w:r>
        <w:rPr>
          <w:rFonts w:hint="eastAsia"/>
        </w:rPr>
        <w:t>该项目资金年初预算申报1万元，实际到位0.068万元，已使用1万元。</w:t>
      </w:r>
    </w:p>
    <w:p>
      <w:pPr>
        <w:ind w:firstLine="643"/>
        <w:jc w:val="both"/>
        <w:rPr>
          <w:b/>
        </w:rPr>
      </w:pPr>
      <w:r>
        <w:rPr>
          <w:rFonts w:hint="eastAsia"/>
          <w:b/>
        </w:rPr>
        <w:t>2.资金使用。</w:t>
      </w:r>
    </w:p>
    <w:p>
      <w:pPr>
        <w:ind w:firstLine="640"/>
        <w:jc w:val="both"/>
      </w:pPr>
      <w:r>
        <w:rPr>
          <w:rFonts w:hint="eastAsia"/>
        </w:rPr>
        <w:t>说明截止评价时点项目资金的实际支出1万元。</w:t>
      </w:r>
    </w:p>
    <w:p>
      <w:pPr>
        <w:ind w:firstLine="643"/>
        <w:jc w:val="both"/>
        <w:rPr>
          <w:rFonts w:ascii="楷体_GB2312" w:eastAsia="楷体_GB2312"/>
          <w:b/>
        </w:rPr>
      </w:pPr>
      <w:r>
        <w:rPr>
          <w:rFonts w:hint="eastAsia" w:ascii="楷体_GB2312" w:eastAsia="楷体_GB2312"/>
          <w:b/>
        </w:rPr>
        <w:t>（二）项目财务管理情况。</w:t>
      </w:r>
    </w:p>
    <w:p>
      <w:pPr>
        <w:ind w:firstLine="640"/>
        <w:jc w:val="both"/>
      </w:pPr>
      <w:r>
        <w:rPr>
          <w:rFonts w:hint="eastAsia"/>
        </w:rPr>
        <w:t>所有项目支出均实行独立核算，专款专用。资金的使用严格把关，按照我单位财务管理制度执行；项目的运行完全按照我中心内部管理制度、区委区政府及财政的有关规定执行，严格人员作风，不存在违规违法的问题。</w:t>
      </w:r>
    </w:p>
    <w:p>
      <w:pPr>
        <w:ind w:firstLine="643"/>
        <w:jc w:val="both"/>
        <w:rPr>
          <w:rFonts w:ascii="楷体_GB2312" w:eastAsia="楷体_GB2312"/>
          <w:b/>
        </w:rPr>
      </w:pPr>
      <w:r>
        <w:rPr>
          <w:rFonts w:hint="eastAsia" w:ascii="楷体_GB2312" w:eastAsia="楷体_GB2312"/>
          <w:b/>
        </w:rPr>
        <w:t>（三）项目组织实施情况。</w:t>
      </w:r>
    </w:p>
    <w:p>
      <w:pPr>
        <w:ind w:firstLine="640"/>
        <w:jc w:val="both"/>
      </w:pPr>
      <w:r>
        <w:rPr>
          <w:rFonts w:hint="eastAsia"/>
        </w:rPr>
        <w:t>各乡镇人民政府、街道办事处，区水务局要积极配合区疾控中心开展水质监测工作。区疾病预防控制中心要做好辖区内水样采集、实验室检测、现场卫生学调查、总结报告。区卫生计生监督执法大队要严格按照法律法规要求和卫生监督规定，坚持依法行政，对饮用水卫生监督工作中发现的问题要及时处理，涉及违法的行为要依法查处。</w:t>
      </w:r>
    </w:p>
    <w:p>
      <w:pPr>
        <w:ind w:firstLine="640"/>
        <w:jc w:val="both"/>
        <w:rPr>
          <w:rFonts w:ascii="黑体" w:hAnsi="黑体" w:eastAsia="黑体"/>
        </w:rPr>
      </w:pPr>
      <w:r>
        <w:rPr>
          <w:rFonts w:hint="eastAsia" w:ascii="黑体" w:hAnsi="黑体" w:eastAsia="黑体"/>
        </w:rPr>
        <w:t>三、项目绩效情况</w:t>
      </w:r>
    </w:p>
    <w:p>
      <w:pPr>
        <w:ind w:firstLine="643"/>
        <w:jc w:val="both"/>
        <w:rPr>
          <w:rFonts w:ascii="楷体_GB2312" w:eastAsia="楷体_GB2312"/>
          <w:b/>
        </w:rPr>
      </w:pPr>
      <w:r>
        <w:rPr>
          <w:rFonts w:hint="eastAsia" w:ascii="楷体_GB2312" w:eastAsia="楷体_GB2312"/>
          <w:b/>
        </w:rPr>
        <w:t>（一）项目完成情况。</w:t>
      </w:r>
    </w:p>
    <w:p>
      <w:pPr>
        <w:ind w:firstLine="643"/>
        <w:jc w:val="both"/>
        <w:rPr>
          <w:rFonts w:cs="仿宋_GB2312"/>
          <w:b/>
        </w:rPr>
      </w:pPr>
      <w:r>
        <w:rPr>
          <w:rFonts w:hint="eastAsia"/>
          <w:b/>
        </w:rPr>
        <w:t>1.检测点设</w:t>
      </w:r>
      <w:r>
        <w:rPr>
          <w:rFonts w:hint="eastAsia" w:cs="微软雅黑"/>
          <w:b/>
        </w:rPr>
        <w:t>置</w:t>
      </w:r>
      <w:r>
        <w:rPr>
          <w:rFonts w:hint="eastAsia" w:cs="仿宋_GB2312"/>
          <w:b/>
        </w:rPr>
        <w:t>：</w:t>
      </w:r>
    </w:p>
    <w:p>
      <w:pPr>
        <w:ind w:firstLine="640"/>
        <w:jc w:val="both"/>
      </w:pPr>
      <w:r>
        <w:rPr>
          <w:rFonts w:hint="eastAsia" w:cs="仿宋_GB2312"/>
        </w:rPr>
        <w:t>自流井区所辖城区合理设</w:t>
      </w:r>
      <w:r>
        <w:rPr>
          <w:rFonts w:hint="eastAsia" w:cs="微软雅黑"/>
        </w:rPr>
        <w:t>置</w:t>
      </w:r>
      <w:r>
        <w:rPr>
          <w:rFonts w:hint="eastAsia" w:cs="仿宋_GB2312"/>
        </w:rPr>
        <w:t>城市水采</w:t>
      </w:r>
      <w:r>
        <w:rPr>
          <w:rFonts w:hint="eastAsia"/>
        </w:rPr>
        <w:t>样监测点。2020年自流井区农村饮用水水质卫生监测覆盖范围为全区5个乡镇，每个乡镇均设</w:t>
      </w:r>
      <w:r>
        <w:rPr>
          <w:rFonts w:hint="eastAsia" w:cs="微软雅黑"/>
        </w:rPr>
        <w:t>置</w:t>
      </w:r>
      <w:r>
        <w:rPr>
          <w:rFonts w:hint="eastAsia"/>
        </w:rPr>
        <w:t>2个监测点。</w:t>
      </w:r>
    </w:p>
    <w:p>
      <w:pPr>
        <w:ind w:firstLine="643"/>
        <w:jc w:val="both"/>
        <w:rPr>
          <w:b/>
        </w:rPr>
      </w:pPr>
      <w:r>
        <w:rPr>
          <w:rFonts w:hint="eastAsia"/>
          <w:b/>
        </w:rPr>
        <w:t>2.监测时间</w:t>
      </w:r>
    </w:p>
    <w:p>
      <w:pPr>
        <w:ind w:firstLine="640"/>
        <w:jc w:val="both"/>
      </w:pPr>
      <w:r>
        <w:rPr>
          <w:rFonts w:hint="eastAsia"/>
        </w:rPr>
        <w:t>每季度进行一次水质监测采样（包含丰水期和枯水期）。</w:t>
      </w:r>
    </w:p>
    <w:p>
      <w:pPr>
        <w:ind w:firstLine="643"/>
        <w:jc w:val="both"/>
        <w:rPr>
          <w:b/>
        </w:rPr>
      </w:pPr>
      <w:r>
        <w:rPr>
          <w:rFonts w:hint="eastAsia"/>
          <w:b/>
        </w:rPr>
        <w:t>3.现制现售水和二次供水</w:t>
      </w:r>
    </w:p>
    <w:p>
      <w:pPr>
        <w:ind w:firstLine="640"/>
        <w:jc w:val="both"/>
      </w:pPr>
      <w:r>
        <w:rPr>
          <w:rFonts w:hint="eastAsia"/>
        </w:rPr>
        <w:t>按自流井区卫生行政部门相关要求执行。</w:t>
      </w:r>
    </w:p>
    <w:p>
      <w:pPr>
        <w:ind w:firstLine="643"/>
        <w:jc w:val="both"/>
        <w:rPr>
          <w:b/>
        </w:rPr>
      </w:pPr>
      <w:r>
        <w:rPr>
          <w:rFonts w:hint="eastAsia"/>
          <w:b/>
        </w:rPr>
        <w:t>4.监测内容和方法</w:t>
      </w:r>
    </w:p>
    <w:p>
      <w:pPr>
        <w:ind w:firstLine="640"/>
        <w:jc w:val="both"/>
      </w:pPr>
      <w:r>
        <w:rPr>
          <w:rFonts w:hint="eastAsia" w:ascii="Segoe UI Symbol" w:hAnsi="Segoe UI Symbol" w:cs="Segoe UI Symbol"/>
        </w:rPr>
        <w:t>（1）</w:t>
      </w:r>
      <w:r>
        <w:rPr>
          <w:rFonts w:hint="eastAsia"/>
        </w:rPr>
        <w:t>基本情况调查</w:t>
      </w:r>
    </w:p>
    <w:p>
      <w:pPr>
        <w:ind w:firstLine="640"/>
        <w:jc w:val="both"/>
      </w:pPr>
      <w:r>
        <w:rPr>
          <w:rFonts w:hint="eastAsia"/>
        </w:rPr>
        <w:t>监测城市（县、农村）饮用水状况、供水单位、监测点等基本信息调查。</w:t>
      </w:r>
    </w:p>
    <w:p>
      <w:pPr>
        <w:ind w:firstLine="640"/>
        <w:jc w:val="both"/>
      </w:pPr>
      <w:r>
        <w:rPr>
          <w:rFonts w:hint="eastAsia"/>
        </w:rPr>
        <w:t>（2）水质检测指标和频次</w:t>
      </w:r>
    </w:p>
    <w:p>
      <w:pPr>
        <w:ind w:firstLine="640"/>
        <w:jc w:val="both"/>
      </w:pPr>
      <w:r>
        <w:rPr>
          <w:rFonts w:hint="eastAsia"/>
        </w:rPr>
        <w:t>按照《生活饮用水卫生标准》（GB5749-2006），进行水质常规指标（放射性指标不要求）、氨氮及可能存在风险的指标监测，其中农村集中式供水和市政供水，在枯水期和丰水期各进行一次水质指标全分析（放射性指标和“两虫”指标不要求，不具备检测能力的非常规指标可以统筹协调其他有资质的机构进行检测）。县级城区和乡镇辖区对水质常规指标（放射性指标不要求）和氨氮指标进行监测。各监测点每季度检测1次。</w:t>
      </w:r>
    </w:p>
    <w:p>
      <w:pPr>
        <w:ind w:firstLine="640"/>
        <w:jc w:val="both"/>
      </w:pPr>
      <w:r>
        <w:rPr>
          <w:rFonts w:hint="eastAsia"/>
        </w:rPr>
        <w:t>根据本地区水质全分析结果，综合考虑水源、制水工艺、输配水等各个环节，确定可能存在风险指标重点加强监测。</w:t>
      </w:r>
    </w:p>
    <w:p>
      <w:pPr>
        <w:ind w:firstLine="640"/>
        <w:jc w:val="both"/>
      </w:pPr>
      <w:r>
        <w:rPr>
          <w:rFonts w:hint="eastAsia"/>
        </w:rPr>
        <w:t>（3）水质监测能力调查</w:t>
      </w:r>
    </w:p>
    <w:p>
      <w:pPr>
        <w:ind w:firstLine="640"/>
        <w:jc w:val="both"/>
      </w:pPr>
      <w:r>
        <w:rPr>
          <w:rFonts w:hint="eastAsia"/>
        </w:rPr>
        <w:t>由区疾病预防控制中心组织开展饮用水水质监测能力调查。</w:t>
      </w:r>
    </w:p>
    <w:p>
      <w:pPr>
        <w:ind w:firstLine="640"/>
        <w:jc w:val="both"/>
      </w:pPr>
      <w:r>
        <w:rPr>
          <w:rFonts w:hint="eastAsia"/>
        </w:rPr>
        <w:t>（4）监测数据系统报送</w:t>
      </w:r>
    </w:p>
    <w:p>
      <w:pPr>
        <w:ind w:firstLine="640"/>
        <w:jc w:val="both"/>
      </w:pPr>
      <w:r>
        <w:rPr>
          <w:rFonts w:hint="eastAsia"/>
        </w:rPr>
        <w:t>区疾控中心要将饮用水水质监测信息通过“国家饮用水水质卫生监测信息系统”上报至中国疾病预防控制中心。枯水期和丰水期网络直报时限分别为5月10日和10月10日,原始资料归档备查。</w:t>
      </w:r>
    </w:p>
    <w:p>
      <w:pPr>
        <w:ind w:firstLine="643"/>
        <w:jc w:val="both"/>
        <w:rPr>
          <w:rFonts w:ascii="楷体_GB2312" w:eastAsia="楷体_GB2312"/>
          <w:b/>
        </w:rPr>
      </w:pPr>
      <w:r>
        <w:rPr>
          <w:rFonts w:hint="eastAsia" w:ascii="楷体_GB2312" w:eastAsia="楷体_GB2312"/>
          <w:b/>
        </w:rPr>
        <w:t>（二）项目效益情况。</w:t>
      </w:r>
    </w:p>
    <w:p>
      <w:pPr>
        <w:ind w:firstLine="640"/>
        <w:jc w:val="both"/>
      </w:pPr>
      <w:r>
        <w:rPr>
          <w:rFonts w:hint="eastAsia"/>
        </w:rPr>
        <w:t>通过对辖区各集中式供水单位出厂水和管网末梢水进行科学合理监测；区卫生行政部门安排现制现售水、二次供水的抽样检测和保障应急饮用水水质卫生监测。让广大群众喝上安全放心的自来水，有效杜绝介水传染病的发生，保障广大群众身体健康。</w:t>
      </w:r>
    </w:p>
    <w:p>
      <w:pPr>
        <w:ind w:firstLine="640"/>
        <w:jc w:val="both"/>
        <w:rPr>
          <w:rFonts w:ascii="黑体" w:hAnsi="黑体" w:eastAsia="黑体"/>
        </w:rPr>
      </w:pPr>
      <w:r>
        <w:rPr>
          <w:rFonts w:hint="eastAsia" w:ascii="黑体" w:hAnsi="黑体" w:eastAsia="黑体"/>
        </w:rPr>
        <w:t>四、问题及建议</w:t>
      </w:r>
    </w:p>
    <w:p>
      <w:pPr>
        <w:ind w:firstLine="643"/>
        <w:jc w:val="both"/>
        <w:rPr>
          <w:rFonts w:ascii="楷体_GB2312" w:eastAsia="楷体_GB2312"/>
          <w:b/>
        </w:rPr>
      </w:pPr>
      <w:r>
        <w:rPr>
          <w:rFonts w:hint="eastAsia" w:ascii="楷体_GB2312" w:eastAsia="楷体_GB2312"/>
          <w:b/>
        </w:rPr>
        <w:t>（一）存在的问题。</w:t>
      </w:r>
    </w:p>
    <w:p>
      <w:pPr>
        <w:ind w:firstLine="640"/>
        <w:jc w:val="both"/>
      </w:pPr>
      <w:r>
        <w:rPr>
          <w:rFonts w:hint="eastAsia"/>
        </w:rPr>
        <w:t>1.行政区划调整后按国家省市方案要求全区各乡镇农村生活饮用水全部覆盖，覆盖率存在差别；</w:t>
      </w:r>
    </w:p>
    <w:p>
      <w:pPr>
        <w:ind w:firstLine="640"/>
        <w:jc w:val="both"/>
      </w:pPr>
      <w:r>
        <w:rPr>
          <w:rFonts w:hint="eastAsia"/>
        </w:rPr>
        <w:t>2.农村分散式供水单位较多，相关数据不够清楚；</w:t>
      </w:r>
    </w:p>
    <w:p>
      <w:pPr>
        <w:ind w:firstLine="640"/>
        <w:jc w:val="both"/>
      </w:pPr>
      <w:r>
        <w:rPr>
          <w:rFonts w:hint="eastAsia"/>
        </w:rPr>
        <w:t>3.二次供水和小区现制现售水卫生监测工作，是不是应该由区疾控来承担，即使承担经费怎样落实。</w:t>
      </w:r>
    </w:p>
    <w:p>
      <w:pPr>
        <w:ind w:firstLine="643"/>
        <w:jc w:val="both"/>
        <w:rPr>
          <w:rFonts w:ascii="楷体_GB2312" w:eastAsia="楷体_GB2312"/>
          <w:b/>
        </w:rPr>
      </w:pPr>
      <w:r>
        <w:rPr>
          <w:rFonts w:hint="eastAsia" w:ascii="楷体_GB2312" w:eastAsia="楷体_GB2312"/>
          <w:b/>
        </w:rPr>
        <w:t>（二）相关建议。</w:t>
      </w:r>
    </w:p>
    <w:p>
      <w:pPr>
        <w:ind w:firstLine="640"/>
        <w:jc w:val="both"/>
      </w:pPr>
      <w:r>
        <w:rPr>
          <w:rFonts w:hint="eastAsia"/>
        </w:rPr>
        <w:t>1.各个地区管网延伸和行政区划调整等相关信息和数据希望信息相关职能部门予以提供；</w:t>
      </w:r>
    </w:p>
    <w:p>
      <w:pPr>
        <w:ind w:firstLine="640"/>
        <w:jc w:val="both"/>
      </w:pPr>
      <w:r>
        <w:rPr>
          <w:rFonts w:hint="eastAsia"/>
        </w:rPr>
        <w:t>2.希望区水务局尽快提供分散式供水数据及检测方案，便于区疾控合理安排检测；</w:t>
      </w:r>
    </w:p>
    <w:p>
      <w:pPr>
        <w:ind w:firstLine="640"/>
        <w:jc w:val="both"/>
      </w:pPr>
      <w:r>
        <w:rPr>
          <w:rFonts w:hint="eastAsia"/>
        </w:rPr>
        <w:t>3.二次供水和小区现制现售水日常检测由第三方承担。</w:t>
      </w:r>
    </w:p>
    <w:p>
      <w:pPr>
        <w:ind w:firstLine="640"/>
        <w:jc w:val="both"/>
      </w:pPr>
    </w:p>
    <w:p>
      <w:pPr>
        <w:ind w:firstLine="640"/>
        <w:jc w:val="both"/>
      </w:pPr>
    </w:p>
    <w:p>
      <w:pPr>
        <w:ind w:firstLine="640"/>
        <w:jc w:val="both"/>
      </w:pPr>
    </w:p>
    <w:p>
      <w:pPr>
        <w:ind w:firstLine="640"/>
        <w:jc w:val="both"/>
      </w:pPr>
    </w:p>
    <w:p>
      <w:pPr>
        <w:ind w:firstLine="640"/>
        <w:jc w:val="both"/>
        <w:rPr>
          <w:rFonts w:hint="eastAsia"/>
        </w:rPr>
      </w:pPr>
    </w:p>
    <w:p>
      <w:pPr>
        <w:ind w:firstLine="0" w:firstLineChars="0"/>
        <w:jc w:val="center"/>
        <w:rPr>
          <w:rFonts w:ascii="方正小标宋简体" w:eastAsia="方正小标宋简体"/>
          <w:sz w:val="36"/>
          <w:szCs w:val="36"/>
        </w:rPr>
      </w:pPr>
      <w:r>
        <w:rPr>
          <w:rFonts w:hint="eastAsia" w:ascii="方正小标宋简体" w:eastAsia="方正小标宋简体"/>
          <w:sz w:val="36"/>
          <w:szCs w:val="36"/>
        </w:rPr>
        <w:t>2020年地方病配套资金绩效自评报告</w:t>
      </w:r>
    </w:p>
    <w:p>
      <w:pPr>
        <w:ind w:firstLine="640"/>
        <w:jc w:val="both"/>
      </w:pPr>
    </w:p>
    <w:p>
      <w:pPr>
        <w:ind w:firstLine="640"/>
        <w:jc w:val="both"/>
        <w:rPr>
          <w:rFonts w:ascii="黑体" w:hAnsi="黑体" w:eastAsia="黑体"/>
        </w:rPr>
      </w:pPr>
      <w:r>
        <w:rPr>
          <w:rFonts w:hint="eastAsia" w:ascii="黑体" w:hAnsi="黑体" w:eastAsia="黑体"/>
        </w:rPr>
        <w:t>一、项目概况</w:t>
      </w:r>
    </w:p>
    <w:p>
      <w:pPr>
        <w:ind w:firstLine="640"/>
        <w:jc w:val="both"/>
      </w:pPr>
      <w:r>
        <w:rPr>
          <w:rFonts w:hint="eastAsia"/>
        </w:rPr>
        <w:t>配套资金是为了保障地方病的监测、业务技术指导、工作督导、培训、宣传等相关工作的顺利开展。</w:t>
      </w:r>
    </w:p>
    <w:p>
      <w:pPr>
        <w:ind w:firstLine="643"/>
        <w:jc w:val="both"/>
        <w:rPr>
          <w:rFonts w:hint="eastAsia" w:ascii="楷体_GB2312" w:eastAsia="楷体_GB2312"/>
          <w:b/>
        </w:rPr>
      </w:pPr>
      <w:r>
        <w:rPr>
          <w:rFonts w:hint="eastAsia" w:ascii="楷体_GB2312" w:eastAsia="楷体_GB2312"/>
          <w:b/>
        </w:rPr>
        <w:t>（一）项目资金申报及批复情况。</w:t>
      </w:r>
    </w:p>
    <w:p>
      <w:pPr>
        <w:ind w:firstLine="640"/>
        <w:jc w:val="both"/>
      </w:pPr>
      <w:r>
        <w:rPr>
          <w:rFonts w:hint="eastAsia"/>
        </w:rPr>
        <w:t>年初预算1万元，实际到位0.5万元。</w:t>
      </w:r>
    </w:p>
    <w:p>
      <w:pPr>
        <w:ind w:firstLine="643"/>
        <w:jc w:val="both"/>
        <w:rPr>
          <w:rFonts w:ascii="楷体_GB2312" w:eastAsia="楷体_GB2312"/>
          <w:b/>
        </w:rPr>
      </w:pPr>
      <w:r>
        <w:rPr>
          <w:rFonts w:hint="eastAsia" w:ascii="楷体_GB2312" w:eastAsia="楷体_GB2312"/>
          <w:b/>
        </w:rPr>
        <w:t>（二）项目绩效目标。</w:t>
      </w:r>
    </w:p>
    <w:p>
      <w:pPr>
        <w:ind w:firstLine="640"/>
        <w:jc w:val="both"/>
      </w:pPr>
      <w:r>
        <w:rPr>
          <w:rFonts w:hint="eastAsia"/>
        </w:rPr>
        <w:t>1.项目绩效总目标。保持消除碘缺乏危害状态。</w:t>
      </w:r>
    </w:p>
    <w:p>
      <w:pPr>
        <w:ind w:firstLine="640"/>
        <w:jc w:val="both"/>
      </w:pPr>
      <w:r>
        <w:rPr>
          <w:rFonts w:hint="eastAsia"/>
        </w:rPr>
        <w:t>2.2020年绩效目标。</w:t>
      </w:r>
    </w:p>
    <w:p>
      <w:pPr>
        <w:ind w:firstLine="640"/>
        <w:jc w:val="both"/>
      </w:pPr>
      <w:r>
        <w:rPr>
          <w:rFonts w:hint="eastAsia"/>
        </w:rPr>
        <w:t>（1）8-10岁儿童尿碘、盐碘全区全年完成监测总人数不少于200人；尿碘中位数≥100μg/L。</w:t>
      </w:r>
    </w:p>
    <w:p>
      <w:pPr>
        <w:ind w:firstLine="640"/>
        <w:jc w:val="both"/>
      </w:pPr>
      <w:r>
        <w:rPr>
          <w:rFonts w:hint="eastAsia"/>
        </w:rPr>
        <w:t>（2）孕妇尿碘、盐碘全区全年完成监测总人数不少于100人；尿碘中位数≥150μg/L。</w:t>
      </w:r>
    </w:p>
    <w:p>
      <w:pPr>
        <w:ind w:firstLine="640"/>
        <w:jc w:val="both"/>
      </w:pPr>
      <w:r>
        <w:rPr>
          <w:rFonts w:hint="eastAsia"/>
        </w:rPr>
        <w:t>（3）合格碘盐覆盖率&gt;90%。</w:t>
      </w:r>
    </w:p>
    <w:p>
      <w:pPr>
        <w:ind w:firstLine="643"/>
        <w:jc w:val="both"/>
        <w:rPr>
          <w:rFonts w:ascii="楷体_GB2312" w:eastAsia="楷体_GB2312"/>
          <w:b/>
        </w:rPr>
      </w:pPr>
      <w:r>
        <w:rPr>
          <w:rFonts w:hint="eastAsia" w:ascii="楷体_GB2312" w:eastAsia="楷体_GB2312"/>
          <w:b/>
        </w:rPr>
        <w:t>（三）项目资金申报相符性。</w:t>
      </w:r>
    </w:p>
    <w:p>
      <w:pPr>
        <w:ind w:firstLine="640"/>
        <w:jc w:val="both"/>
      </w:pPr>
      <w:r>
        <w:rPr>
          <w:rFonts w:hint="eastAsia"/>
        </w:rPr>
        <w:t>年初预算1万元，实际到位0.5万元。</w:t>
      </w:r>
    </w:p>
    <w:p>
      <w:pPr>
        <w:ind w:firstLine="640"/>
        <w:jc w:val="both"/>
        <w:rPr>
          <w:rFonts w:ascii="黑体" w:hAnsi="黑体" w:eastAsia="黑体"/>
        </w:rPr>
      </w:pPr>
      <w:r>
        <w:rPr>
          <w:rFonts w:hint="eastAsia" w:ascii="黑体" w:hAnsi="黑体" w:eastAsia="黑体"/>
        </w:rPr>
        <w:t>二、项目实施及管理情况</w:t>
      </w:r>
    </w:p>
    <w:p>
      <w:pPr>
        <w:ind w:firstLine="643"/>
        <w:jc w:val="both"/>
        <w:rPr>
          <w:rFonts w:ascii="楷体_GB2312" w:eastAsia="楷体_GB2312"/>
          <w:b/>
        </w:rPr>
      </w:pPr>
      <w:r>
        <w:rPr>
          <w:rFonts w:hint="eastAsia" w:ascii="楷体_GB2312" w:eastAsia="楷体_GB2312"/>
          <w:b/>
        </w:rPr>
        <w:t>（一）资金计划、到位及使用情况。</w:t>
      </w:r>
    </w:p>
    <w:p>
      <w:pPr>
        <w:ind w:firstLine="640"/>
        <w:jc w:val="both"/>
      </w:pPr>
      <w:r>
        <w:rPr>
          <w:rFonts w:hint="eastAsia"/>
        </w:rPr>
        <w:t>1.资金计划及到位。年初预算1万元，实际到位0.5万元。</w:t>
      </w:r>
    </w:p>
    <w:p>
      <w:pPr>
        <w:ind w:firstLine="640"/>
        <w:jc w:val="both"/>
      </w:pPr>
      <w:r>
        <w:rPr>
          <w:rFonts w:hint="eastAsia"/>
        </w:rPr>
        <w:t>2.资金使用。孕妇和8-10岁儿童尿碘、盐碘监测435元。</w:t>
      </w:r>
    </w:p>
    <w:p>
      <w:pPr>
        <w:ind w:firstLine="643"/>
        <w:jc w:val="both"/>
        <w:rPr>
          <w:rFonts w:ascii="楷体_GB2312" w:eastAsia="楷体_GB2312"/>
          <w:b/>
        </w:rPr>
      </w:pPr>
      <w:r>
        <w:rPr>
          <w:rFonts w:hint="eastAsia" w:ascii="楷体_GB2312" w:eastAsia="楷体_GB2312"/>
          <w:b/>
        </w:rPr>
        <w:t>（二）项目财务管理情况。</w:t>
      </w:r>
    </w:p>
    <w:p>
      <w:pPr>
        <w:ind w:firstLine="640"/>
        <w:jc w:val="both"/>
      </w:pPr>
      <w:r>
        <w:rPr>
          <w:rFonts w:hint="eastAsia"/>
        </w:rPr>
        <w:t>所有项目支出均实行独立核算，专款专用。资金的使用严格把关，按照我单位财务管理制度执行；项目的运行完全按照我中心内部管理制度、区委区政府及财政的有关规定执行，严格人员作风，不存在违规违法的问题。</w:t>
      </w:r>
    </w:p>
    <w:p>
      <w:pPr>
        <w:ind w:firstLine="643"/>
        <w:jc w:val="both"/>
        <w:rPr>
          <w:rFonts w:ascii="楷体_GB2312" w:eastAsia="楷体_GB2312"/>
          <w:b/>
        </w:rPr>
      </w:pPr>
      <w:r>
        <w:rPr>
          <w:rFonts w:hint="eastAsia" w:ascii="楷体_GB2312" w:eastAsia="楷体_GB2312"/>
          <w:b/>
        </w:rPr>
        <w:t>（三）项目组织实施情况。</w:t>
      </w:r>
    </w:p>
    <w:p>
      <w:pPr>
        <w:ind w:firstLine="640"/>
        <w:jc w:val="both"/>
      </w:pPr>
      <w:r>
        <w:rPr>
          <w:rFonts w:hint="eastAsia"/>
        </w:rPr>
        <w:t>项目主要工作由疾控中心艾结科负责完成，检验科负责辅助艾结科绩效目标完成。资金使用严格按照项目申请内容执行。资金拨付按项目进度情况进行拨付使用，年终绩效目标按时按质完成。资金使用5435元，剩余4565元。</w:t>
      </w:r>
    </w:p>
    <w:p>
      <w:pPr>
        <w:ind w:firstLine="640"/>
        <w:jc w:val="both"/>
        <w:rPr>
          <w:rFonts w:ascii="黑体" w:hAnsi="黑体" w:eastAsia="黑体"/>
        </w:rPr>
      </w:pPr>
      <w:r>
        <w:rPr>
          <w:rFonts w:hint="eastAsia" w:ascii="黑体" w:hAnsi="黑体" w:eastAsia="黑体"/>
        </w:rPr>
        <w:t>三、项目绩效情况</w:t>
      </w:r>
    </w:p>
    <w:p>
      <w:pPr>
        <w:ind w:firstLine="643"/>
        <w:jc w:val="both"/>
        <w:rPr>
          <w:rFonts w:ascii="楷体_GB2312" w:eastAsia="楷体_GB2312"/>
          <w:b/>
        </w:rPr>
      </w:pPr>
      <w:r>
        <w:rPr>
          <w:rFonts w:hint="eastAsia" w:ascii="楷体_GB2312" w:eastAsia="楷体_GB2312"/>
          <w:b/>
        </w:rPr>
        <w:t>（一）项目完成情况。</w:t>
      </w:r>
    </w:p>
    <w:p>
      <w:pPr>
        <w:ind w:firstLine="640"/>
        <w:jc w:val="both"/>
      </w:pPr>
      <w:r>
        <w:rPr>
          <w:rFonts w:hint="eastAsia"/>
        </w:rPr>
        <w:t>按照《方案》要求，全区按东、西、南、北、中方位进行抽样，共抽取东街、郭街、舒坪、仲权镇、荣边镇5个乡镇/街道作为本次监测点，5所学校累计抽取200名学生，在所抽取的5个乡镇/街道,每个乡镇/街道孕妇累计抽取100名孕妇作为本次监测的对象。</w:t>
      </w:r>
    </w:p>
    <w:p>
      <w:pPr>
        <w:ind w:firstLine="640"/>
        <w:jc w:val="both"/>
      </w:pPr>
      <w:r>
        <w:rPr>
          <w:rFonts w:hint="eastAsia"/>
        </w:rPr>
        <w:t>2020年6月至7月区疾控中心对200名8-10岁儿童进行了现场甲状腺触诊检查，并现场采集了儿童尿样和家中食用的盐样。同期区疾控中心专业人员会同乡镇卫生院（卫生室）和社区卫生服务中心的人员到5个监测点入户采集了孕妇的尿样、家中食用盐样。由区疾控中心实验室对采集的尿样采用《尿中碘的砷铈催化分光光度测定方法》（WS/T107）检测尿碘含量，盐样采用《制盐工业通用试验方法碘的测定》（GB/T13025.7）仲裁法进行盐碘含量检测，样品检测过程中进行了质控。</w:t>
      </w:r>
    </w:p>
    <w:p>
      <w:pPr>
        <w:ind w:firstLine="640"/>
        <w:jc w:val="both"/>
      </w:pPr>
      <w:r>
        <w:rPr>
          <w:rFonts w:hint="eastAsia"/>
        </w:rPr>
        <w:t>1.对200名8-10岁儿童进行了甲状腺触诊检查，检查结果均正常。</w:t>
      </w:r>
    </w:p>
    <w:p>
      <w:pPr>
        <w:ind w:firstLine="640"/>
        <w:jc w:val="both"/>
      </w:pPr>
      <w:r>
        <w:rPr>
          <w:rFonts w:hint="eastAsia"/>
        </w:rPr>
        <w:t>2.8-10岁儿童尿碘中位数为221.0μg/L，尿碘水平&lt;50μg/L的比例为2.5%。</w:t>
      </w:r>
    </w:p>
    <w:p>
      <w:pPr>
        <w:ind w:firstLine="640"/>
        <w:jc w:val="both"/>
      </w:pPr>
      <w:r>
        <w:rPr>
          <w:rFonts w:hint="eastAsia"/>
        </w:rPr>
        <w:t>3.孕妇尿碘中位数为239.83μg/L。</w:t>
      </w:r>
    </w:p>
    <w:p>
      <w:pPr>
        <w:ind w:firstLine="640"/>
        <w:jc w:val="both"/>
      </w:pPr>
      <w:r>
        <w:rPr>
          <w:rFonts w:hint="eastAsia"/>
        </w:rPr>
        <w:t>4.居民合格碘盐食用率为95.33%。</w:t>
      </w:r>
    </w:p>
    <w:p>
      <w:pPr>
        <w:ind w:firstLine="643"/>
        <w:jc w:val="both"/>
        <w:rPr>
          <w:rFonts w:ascii="楷体_GB2312" w:eastAsia="楷体_GB2312"/>
          <w:b/>
        </w:rPr>
      </w:pPr>
      <w:r>
        <w:rPr>
          <w:rFonts w:hint="eastAsia" w:ascii="楷体_GB2312" w:eastAsia="楷体_GB2312"/>
          <w:b/>
        </w:rPr>
        <w:t>（二）项目效益情况。</w:t>
      </w:r>
    </w:p>
    <w:p>
      <w:pPr>
        <w:ind w:firstLine="640"/>
        <w:jc w:val="both"/>
      </w:pPr>
      <w:r>
        <w:rPr>
          <w:rFonts w:hint="eastAsia"/>
        </w:rPr>
        <w:t>依据国家碘缺乏病消除评价判定标准:判定为达到消除标准。碘盐监测情况显示我区居民碘盐普及情况良好，全民食用碘盐防治碘缺乏病的策略继续得到了有效落实，全区居民碘盐覆盖率和合格碘盐食用率均达到国家消除碘缺乏病标准。由此也表明经过多年来广泛、持久地开展碘缺乏病防治知识宣传，全区居民已经形成了自觉食用碘盐的意识，“食用碘盐防治碘缺乏病”的理念已深入人心。</w:t>
      </w:r>
    </w:p>
    <w:p>
      <w:pPr>
        <w:ind w:firstLine="640"/>
        <w:jc w:val="both"/>
        <w:rPr>
          <w:rFonts w:ascii="黑体" w:hAnsi="黑体" w:eastAsia="黑体"/>
        </w:rPr>
      </w:pPr>
      <w:r>
        <w:rPr>
          <w:rFonts w:hint="eastAsia" w:ascii="黑体" w:hAnsi="黑体" w:eastAsia="黑体"/>
        </w:rPr>
        <w:t>四、问题及建议</w:t>
      </w:r>
    </w:p>
    <w:p>
      <w:pPr>
        <w:ind w:firstLine="643"/>
        <w:jc w:val="both"/>
        <w:rPr>
          <w:rFonts w:ascii="楷体_GB2312" w:eastAsia="楷体_GB2312"/>
          <w:b/>
        </w:rPr>
      </w:pPr>
      <w:r>
        <w:rPr>
          <w:rFonts w:hint="eastAsia" w:ascii="楷体_GB2312" w:eastAsia="楷体_GB2312"/>
          <w:b/>
        </w:rPr>
        <w:t>（一）存在的问题。</w:t>
      </w:r>
    </w:p>
    <w:p>
      <w:pPr>
        <w:ind w:firstLine="640"/>
        <w:jc w:val="both"/>
      </w:pPr>
      <w:r>
        <w:rPr>
          <w:rFonts w:hint="eastAsia"/>
        </w:rPr>
        <w:t>1.部份儿童碘营养状况为碘过量，本次监测的儿童中有30.5%的儿童尿碘水平</w:t>
      </w:r>
      <w:r>
        <w:rPr>
          <w:rFonts w:hint="eastAsia" w:ascii="微软雅黑" w:hAnsi="微软雅黑" w:eastAsia="微软雅黑" w:cs="微软雅黑"/>
        </w:rPr>
        <w:t>≧</w:t>
      </w:r>
      <w:r>
        <w:rPr>
          <w:rFonts w:hint="eastAsia"/>
        </w:rPr>
        <w:t>300μg/L。</w:t>
      </w:r>
    </w:p>
    <w:p>
      <w:pPr>
        <w:ind w:firstLine="640"/>
        <w:jc w:val="both"/>
      </w:pPr>
      <w:r>
        <w:rPr>
          <w:rFonts w:hint="eastAsia"/>
        </w:rPr>
        <w:t>2.目前市场上非碘盐管理不严格，各超市中均有非碘盐出售，居民不需提供医院证明材料就能随意购买到非碘盐。</w:t>
      </w:r>
    </w:p>
    <w:p>
      <w:pPr>
        <w:ind w:firstLine="643"/>
        <w:jc w:val="both"/>
        <w:rPr>
          <w:rFonts w:ascii="楷体_GB2312" w:eastAsia="楷体_GB2312"/>
          <w:b/>
        </w:rPr>
      </w:pPr>
      <w:r>
        <w:rPr>
          <w:rFonts w:hint="eastAsia" w:ascii="楷体_GB2312" w:eastAsia="楷体_GB2312"/>
          <w:b/>
        </w:rPr>
        <w:t>（二）相关建议。</w:t>
      </w:r>
    </w:p>
    <w:p>
      <w:pPr>
        <w:ind w:firstLine="640"/>
        <w:jc w:val="both"/>
      </w:pPr>
      <w:r>
        <w:rPr>
          <w:rFonts w:hint="eastAsia"/>
        </w:rPr>
        <w:t>1.加强组织领导，促进多部门协作</w:t>
      </w:r>
    </w:p>
    <w:p>
      <w:pPr>
        <w:ind w:firstLine="640"/>
        <w:jc w:val="both"/>
      </w:pPr>
      <w:r>
        <w:rPr>
          <w:rFonts w:hint="eastAsia"/>
        </w:rPr>
        <w:t>要进一步加强与盐政、工商部门、经信、食药部门的配合，切实做好市场上非碘盐的销售管理工作，确保市场合格碘盐的供应。</w:t>
      </w:r>
    </w:p>
    <w:p>
      <w:pPr>
        <w:ind w:firstLine="640"/>
        <w:jc w:val="both"/>
      </w:pPr>
      <w:r>
        <w:rPr>
          <w:rFonts w:hint="eastAsia"/>
        </w:rPr>
        <w:t>2.持续关注部份儿童碘营养水平过量现象。</w:t>
      </w: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pPr>
    </w:p>
    <w:p>
      <w:pPr>
        <w:ind w:firstLine="640"/>
        <w:jc w:val="both"/>
        <w:rPr>
          <w:rFonts w:hint="eastAsia"/>
        </w:rPr>
      </w:pPr>
    </w:p>
    <w:p>
      <w:pPr>
        <w:ind w:firstLine="0" w:firstLineChars="0"/>
        <w:jc w:val="center"/>
        <w:outlineLvl w:val="0"/>
        <w:rPr>
          <w:rFonts w:ascii="方正小标宋简体" w:eastAsia="方正小标宋简体"/>
          <w:sz w:val="36"/>
          <w:szCs w:val="36"/>
        </w:rPr>
      </w:pPr>
      <w:bookmarkStart w:id="34" w:name="_Toc29941"/>
      <w:bookmarkStart w:id="35" w:name="_Toc18667"/>
      <w:r>
        <w:rPr>
          <w:rFonts w:hint="eastAsia" w:ascii="方正小标宋简体" w:eastAsia="方正小标宋简体"/>
          <w:sz w:val="36"/>
          <w:szCs w:val="36"/>
        </w:rPr>
        <w:t>第五部分附表</w:t>
      </w:r>
      <w:bookmarkEnd w:id="34"/>
      <w:bookmarkEnd w:id="35"/>
    </w:p>
    <w:p>
      <w:pPr>
        <w:ind w:firstLine="0" w:firstLineChars="0"/>
        <w:jc w:val="center"/>
        <w:rPr>
          <w:rFonts w:hint="eastAsia" w:ascii="方正小标宋简体" w:eastAsia="方正小标宋简体"/>
          <w:sz w:val="36"/>
          <w:szCs w:val="36"/>
        </w:rPr>
      </w:pPr>
    </w:p>
    <w:p>
      <w:pPr>
        <w:ind w:firstLine="640"/>
        <w:jc w:val="both"/>
        <w:outlineLvl w:val="1"/>
      </w:pPr>
      <w:bookmarkStart w:id="36" w:name="_Toc5420"/>
      <w:bookmarkStart w:id="37" w:name="_Toc31143"/>
      <w:r>
        <w:rPr>
          <w:rFonts w:hint="eastAsia"/>
        </w:rPr>
        <w:t>一、收入支出决算总表</w:t>
      </w:r>
      <w:bookmarkEnd w:id="36"/>
      <w:bookmarkEnd w:id="37"/>
    </w:p>
    <w:p>
      <w:pPr>
        <w:ind w:firstLine="640"/>
        <w:jc w:val="both"/>
        <w:outlineLvl w:val="1"/>
      </w:pPr>
      <w:bookmarkStart w:id="38" w:name="_Toc3022"/>
      <w:bookmarkStart w:id="39" w:name="_Toc5551"/>
      <w:r>
        <w:rPr>
          <w:rFonts w:hint="eastAsia"/>
        </w:rPr>
        <w:t>二、收入决算表</w:t>
      </w:r>
      <w:bookmarkEnd w:id="38"/>
      <w:bookmarkEnd w:id="39"/>
    </w:p>
    <w:p>
      <w:pPr>
        <w:ind w:firstLine="640"/>
        <w:jc w:val="both"/>
        <w:outlineLvl w:val="1"/>
      </w:pPr>
      <w:bookmarkStart w:id="40" w:name="_Toc10882"/>
      <w:bookmarkStart w:id="41" w:name="_Toc24014"/>
      <w:r>
        <w:rPr>
          <w:rFonts w:hint="eastAsia"/>
        </w:rPr>
        <w:t>三、支出决算表</w:t>
      </w:r>
      <w:bookmarkEnd w:id="40"/>
      <w:bookmarkEnd w:id="41"/>
    </w:p>
    <w:p>
      <w:pPr>
        <w:ind w:firstLine="640"/>
        <w:jc w:val="both"/>
        <w:outlineLvl w:val="1"/>
      </w:pPr>
      <w:bookmarkStart w:id="42" w:name="_Toc27978"/>
      <w:bookmarkStart w:id="43" w:name="_Toc31735"/>
      <w:r>
        <w:rPr>
          <w:rFonts w:hint="eastAsia"/>
        </w:rPr>
        <w:t>四、财政拨款收入支出决算总表</w:t>
      </w:r>
      <w:bookmarkEnd w:id="42"/>
      <w:bookmarkEnd w:id="43"/>
    </w:p>
    <w:p>
      <w:pPr>
        <w:ind w:firstLine="640"/>
        <w:jc w:val="both"/>
        <w:outlineLvl w:val="1"/>
      </w:pPr>
      <w:bookmarkStart w:id="44" w:name="_Toc5180"/>
      <w:bookmarkStart w:id="45" w:name="_Toc7263"/>
      <w:r>
        <w:rPr>
          <w:rFonts w:hint="eastAsia"/>
        </w:rPr>
        <w:t>五、财政拨款支出决算明细表</w:t>
      </w:r>
      <w:bookmarkEnd w:id="44"/>
      <w:bookmarkEnd w:id="45"/>
    </w:p>
    <w:p>
      <w:pPr>
        <w:ind w:firstLine="640"/>
        <w:jc w:val="both"/>
        <w:outlineLvl w:val="1"/>
      </w:pPr>
      <w:bookmarkStart w:id="46" w:name="_Toc11706"/>
      <w:bookmarkStart w:id="47" w:name="_Toc28467"/>
      <w:r>
        <w:rPr>
          <w:rFonts w:hint="eastAsia"/>
        </w:rPr>
        <w:t>六、一般公共预算财政拨款支出决算表</w:t>
      </w:r>
      <w:bookmarkEnd w:id="46"/>
      <w:bookmarkEnd w:id="47"/>
    </w:p>
    <w:p>
      <w:pPr>
        <w:ind w:firstLine="640"/>
        <w:jc w:val="both"/>
        <w:outlineLvl w:val="1"/>
      </w:pPr>
      <w:bookmarkStart w:id="48" w:name="_Toc25011"/>
      <w:bookmarkStart w:id="49" w:name="_Toc11394"/>
      <w:r>
        <w:rPr>
          <w:rFonts w:hint="eastAsia"/>
        </w:rPr>
        <w:t>七、一般公共预算财政拨款支出决算明细表</w:t>
      </w:r>
      <w:bookmarkEnd w:id="48"/>
      <w:bookmarkEnd w:id="49"/>
    </w:p>
    <w:p>
      <w:pPr>
        <w:ind w:firstLine="640"/>
        <w:jc w:val="both"/>
        <w:outlineLvl w:val="1"/>
      </w:pPr>
      <w:bookmarkStart w:id="50" w:name="_Toc542"/>
      <w:bookmarkStart w:id="51" w:name="_Toc7519"/>
      <w:r>
        <w:rPr>
          <w:rFonts w:hint="eastAsia"/>
        </w:rPr>
        <w:t>八、一般公共预算财政拨款基本支出决算表</w:t>
      </w:r>
      <w:bookmarkEnd w:id="50"/>
      <w:bookmarkEnd w:id="51"/>
    </w:p>
    <w:p>
      <w:pPr>
        <w:ind w:firstLine="640"/>
        <w:jc w:val="both"/>
        <w:outlineLvl w:val="1"/>
      </w:pPr>
      <w:bookmarkStart w:id="52" w:name="_Toc29390"/>
      <w:bookmarkStart w:id="53" w:name="_Toc12764"/>
      <w:r>
        <w:rPr>
          <w:rFonts w:hint="eastAsia"/>
        </w:rPr>
        <w:t>九、一般公共预算财政拨款项目支出决算表</w:t>
      </w:r>
      <w:bookmarkEnd w:id="52"/>
      <w:bookmarkEnd w:id="53"/>
    </w:p>
    <w:p>
      <w:pPr>
        <w:ind w:firstLine="640"/>
        <w:jc w:val="both"/>
        <w:outlineLvl w:val="1"/>
      </w:pPr>
      <w:bookmarkStart w:id="54" w:name="_Toc22041"/>
      <w:bookmarkStart w:id="55" w:name="_Toc23257"/>
      <w:r>
        <w:rPr>
          <w:rFonts w:hint="eastAsia"/>
        </w:rPr>
        <w:t>十、一般公共预算财政拨款“三公”经费支出决算表</w:t>
      </w:r>
      <w:bookmarkEnd w:id="54"/>
      <w:bookmarkEnd w:id="55"/>
    </w:p>
    <w:p>
      <w:pPr>
        <w:ind w:firstLine="640"/>
        <w:jc w:val="both"/>
        <w:outlineLvl w:val="1"/>
      </w:pPr>
      <w:bookmarkStart w:id="56" w:name="_Toc19089"/>
      <w:bookmarkStart w:id="57" w:name="_Toc6511"/>
      <w:r>
        <w:rPr>
          <w:rFonts w:hint="eastAsia"/>
        </w:rPr>
        <w:t>十一、政府性基金预算财政拨款收入支出决算表</w:t>
      </w:r>
      <w:bookmarkEnd w:id="56"/>
      <w:bookmarkEnd w:id="57"/>
    </w:p>
    <w:p>
      <w:pPr>
        <w:ind w:firstLine="640"/>
        <w:jc w:val="both"/>
        <w:outlineLvl w:val="1"/>
      </w:pPr>
      <w:bookmarkStart w:id="58" w:name="_Toc5836"/>
      <w:bookmarkStart w:id="59" w:name="_Toc10809"/>
      <w:r>
        <w:rPr>
          <w:rFonts w:hint="eastAsia"/>
        </w:rPr>
        <w:t>十二、政府性基金预算财政拨款“三公”经费支出决算表</w:t>
      </w:r>
      <w:bookmarkEnd w:id="58"/>
      <w:bookmarkEnd w:id="59"/>
    </w:p>
    <w:p>
      <w:pPr>
        <w:ind w:firstLine="640"/>
        <w:jc w:val="both"/>
        <w:outlineLvl w:val="1"/>
      </w:pPr>
      <w:bookmarkStart w:id="60" w:name="_Toc26400"/>
      <w:bookmarkStart w:id="61" w:name="_Toc26284"/>
      <w:r>
        <w:rPr>
          <w:rFonts w:hint="eastAsia"/>
        </w:rPr>
        <w:t>十三、国有资本经营预算财政拨款收入支出决算表</w:t>
      </w:r>
      <w:bookmarkEnd w:id="60"/>
      <w:bookmarkEnd w:id="61"/>
    </w:p>
    <w:p>
      <w:pPr>
        <w:ind w:firstLine="640"/>
        <w:jc w:val="both"/>
        <w:outlineLvl w:val="1"/>
      </w:pPr>
      <w:bookmarkStart w:id="62" w:name="_Toc326"/>
      <w:bookmarkStart w:id="63" w:name="_Toc10127"/>
      <w:r>
        <w:rPr>
          <w:rFonts w:hint="eastAsia"/>
        </w:rPr>
        <w:t>十四、国有资本经营预算财政拨款支出决算表</w:t>
      </w:r>
      <w:bookmarkEnd w:id="62"/>
      <w:bookmarkEnd w:id="63"/>
    </w:p>
    <w:p>
      <w:pPr>
        <w:ind w:firstLine="640"/>
        <w:jc w:val="both"/>
      </w:pPr>
    </w:p>
    <w:p>
      <w:pPr>
        <w:ind w:firstLine="640"/>
        <w:jc w:val="both"/>
      </w:pPr>
    </w:p>
    <w:p>
      <w:pPr>
        <w:ind w:firstLine="640"/>
        <w:jc w:val="both"/>
      </w:pPr>
    </w:p>
    <w:sectPr>
      <w:pgSz w:w="11906" w:h="16838"/>
      <w:pgMar w:top="2098" w:right="1474" w:bottom="1985"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icrosoft JhengHei">
    <w:panose1 w:val="020B0604030504040204"/>
    <w:charset w:val="88"/>
    <w:family w:val="swiss"/>
    <w:pitch w:val="default"/>
    <w:sig w:usb0="00000087" w:usb1="28AF4000" w:usb2="00000016" w:usb3="00000000" w:csb0="00100009" w:csb1="00000000"/>
  </w:font>
  <w:font w:name="Segoe UI Symbol">
    <w:panose1 w:val="020B0502040204020203"/>
    <w:charset w:val="00"/>
    <w:family w:val="swiss"/>
    <w:pitch w:val="default"/>
    <w:sig w:usb0="8000006F" w:usb1="1200FBEF" w:usb2="0064C000" w:usb3="00000002"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1943568275"/>
      <w:docPartObj>
        <w:docPartGallery w:val="autotext"/>
      </w:docPartObj>
    </w:sdtPr>
    <w:sdtEndPr>
      <w:rPr>
        <w:rFonts w:asciiTheme="minorEastAsia" w:hAnsiTheme="minorEastAsia" w:eastAsiaTheme="minorEastAsia"/>
        <w:sz w:val="28"/>
        <w:szCs w:val="28"/>
      </w:rPr>
    </w:sdtEndPr>
    <w:sdtContent>
      <w:p>
        <w:pPr>
          <w:pStyle w:val="3"/>
          <w:ind w:firstLine="560"/>
          <w:jc w:val="right"/>
          <w:rPr>
            <w:rFonts w:asciiTheme="minorEastAsia" w:hAnsiTheme="minorEastAsia" w:eastAsiaTheme="minorEastAsia"/>
            <w:sz w:val="28"/>
            <w:szCs w:val="28"/>
          </w:rPr>
        </w:pP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63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236692"/>
      <w:docPartObj>
        <w:docPartGallery w:val="autotext"/>
      </w:docPartObj>
    </w:sdtPr>
    <w:sdtEndPr>
      <w:rPr>
        <w:rFonts w:asciiTheme="minorEastAsia" w:hAnsiTheme="minorEastAsia" w:eastAsiaTheme="minorEastAsia"/>
        <w:sz w:val="28"/>
        <w:szCs w:val="28"/>
      </w:rPr>
    </w:sdtEndPr>
    <w:sdtContent>
      <w:p>
        <w:pPr>
          <w:pStyle w:val="3"/>
          <w:ind w:firstLineChars="0"/>
          <w:rPr>
            <w:rFonts w:asciiTheme="minorEastAsia" w:hAnsiTheme="minorEastAsia" w:eastAsiaTheme="minorEastAsia"/>
            <w:sz w:val="28"/>
            <w:szCs w:val="28"/>
          </w:rPr>
        </w:pP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62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60"/>
      <w:rPr>
        <w:rFonts w:asciiTheme="minorEastAsia" w:hAnsiTheme="minorEastAsia" w:eastAsiaTheme="minorEastAsia"/>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Chars="0"/>
      <w:rPr>
        <w:rFonts w:asciiTheme="minorEastAsia" w:hAnsiTheme="minorEastAsia" w:eastAsiaTheme="minorEastAsia"/>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1943568275"/>
      <w:docPartObj>
        <w:docPartGallery w:val="autotext"/>
      </w:docPartObj>
    </w:sdtPr>
    <w:sdtEndPr>
      <w:rPr>
        <w:rFonts w:asciiTheme="minorEastAsia" w:hAnsiTheme="minorEastAsia" w:eastAsiaTheme="minorEastAsia"/>
        <w:sz w:val="28"/>
        <w:szCs w:val="28"/>
      </w:rPr>
    </w:sdtEndPr>
    <w:sdtContent>
      <w:p>
        <w:pPr>
          <w:pStyle w:val="3"/>
          <w:ind w:firstLine="560"/>
          <w:jc w:val="right"/>
          <w:rPr>
            <w:rFonts w:asciiTheme="minorEastAsia" w:hAnsiTheme="minorEastAsia" w:eastAsiaTheme="minorEastAsia"/>
            <w:sz w:val="28"/>
            <w:szCs w:val="28"/>
          </w:rPr>
        </w:pP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63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236692"/>
      <w:docPartObj>
        <w:docPartGallery w:val="autotext"/>
      </w:docPartObj>
    </w:sdtPr>
    <w:sdtEndPr>
      <w:rPr>
        <w:rFonts w:asciiTheme="minorEastAsia" w:hAnsiTheme="minorEastAsia" w:eastAsiaTheme="minorEastAsia"/>
        <w:sz w:val="28"/>
        <w:szCs w:val="28"/>
      </w:rPr>
    </w:sdtEndPr>
    <w:sdtContent>
      <w:p>
        <w:pPr>
          <w:pStyle w:val="3"/>
          <w:ind w:firstLineChars="0"/>
          <w:rPr>
            <w:rFonts w:asciiTheme="minorEastAsia" w:hAnsiTheme="minorEastAsia" w:eastAsiaTheme="minorEastAsia"/>
            <w:sz w:val="28"/>
            <w:szCs w:val="28"/>
          </w:rPr>
        </w:pP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62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5454A6"/>
    <w:multiLevelType w:val="singleLevel"/>
    <w:tmpl w:val="A75454A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yZjhjMDljN2ZmZDI4MDM1OTczNmZkYWIwMTM0OGUifQ=="/>
  </w:docVars>
  <w:rsids>
    <w:rsidRoot w:val="005E59D1"/>
    <w:rsid w:val="001E4151"/>
    <w:rsid w:val="001E7A0B"/>
    <w:rsid w:val="002C1DC3"/>
    <w:rsid w:val="00331F21"/>
    <w:rsid w:val="0037561E"/>
    <w:rsid w:val="00412A24"/>
    <w:rsid w:val="00446E69"/>
    <w:rsid w:val="004D174A"/>
    <w:rsid w:val="005B544C"/>
    <w:rsid w:val="005E2248"/>
    <w:rsid w:val="005E59D1"/>
    <w:rsid w:val="00625D83"/>
    <w:rsid w:val="0066493B"/>
    <w:rsid w:val="006876DA"/>
    <w:rsid w:val="006B7290"/>
    <w:rsid w:val="0073513B"/>
    <w:rsid w:val="007A08ED"/>
    <w:rsid w:val="007E51EC"/>
    <w:rsid w:val="00821756"/>
    <w:rsid w:val="00835878"/>
    <w:rsid w:val="008424D3"/>
    <w:rsid w:val="00860F8F"/>
    <w:rsid w:val="00861253"/>
    <w:rsid w:val="00937D20"/>
    <w:rsid w:val="00973AE8"/>
    <w:rsid w:val="009E0135"/>
    <w:rsid w:val="00B324B1"/>
    <w:rsid w:val="00BC74A8"/>
    <w:rsid w:val="00CB3EDD"/>
    <w:rsid w:val="00DB39F0"/>
    <w:rsid w:val="00E428D1"/>
    <w:rsid w:val="00E67A57"/>
    <w:rsid w:val="00ED0BBE"/>
    <w:rsid w:val="00FE6459"/>
    <w:rsid w:val="01A06E9D"/>
    <w:rsid w:val="05926AFC"/>
    <w:rsid w:val="210053B0"/>
    <w:rsid w:val="217A4BBD"/>
    <w:rsid w:val="2D0D4B37"/>
    <w:rsid w:val="2D2A4B9A"/>
    <w:rsid w:val="3EA90890"/>
    <w:rsid w:val="4AAD305D"/>
    <w:rsid w:val="55570490"/>
    <w:rsid w:val="59DD3A6D"/>
    <w:rsid w:val="6192738A"/>
    <w:rsid w:val="6B542868"/>
    <w:rsid w:val="6D9E0F26"/>
    <w:rsid w:val="751C3136"/>
    <w:rsid w:val="758F1B5A"/>
    <w:rsid w:val="76005211"/>
    <w:rsid w:val="768F3DF2"/>
    <w:rsid w:val="78CD7317"/>
    <w:rsid w:val="7D2A11A3"/>
    <w:rsid w:val="7F6F0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spacing w:line="240" w:lineRule="atLeas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paragraph" w:customStyle="1" w:styleId="9">
    <w:name w:val="Table Paragraph"/>
    <w:basedOn w:val="1"/>
    <w:qFormat/>
    <w:uiPriority w:val="1"/>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WPSOffice手动目录 1"/>
    <w:uiPriority w:val="0"/>
    <w:pPr>
      <w:ind w:leftChars="0"/>
    </w:pPr>
    <w:rPr>
      <w:rFonts w:ascii="Times New Roman" w:hAnsi="Times New Roman" w:eastAsia="仿宋_GB2312" w:cs="Times New Roman"/>
      <w:sz w:val="20"/>
      <w:szCs w:val="20"/>
    </w:rPr>
  </w:style>
  <w:style w:type="paragraph" w:customStyle="1" w:styleId="12">
    <w:name w:val="WPSOffice手动目录 2"/>
    <w:uiPriority w:val="0"/>
    <w:pPr>
      <w:ind w:leftChars="200"/>
    </w:pPr>
    <w:rPr>
      <w:rFonts w:ascii="Times New Roman" w:hAnsi="Times New Roman" w:eastAsia="仿宋_GB2312"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6032;&#24314;&#25991;&#2672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新建文档</Template>
  <Pages>75</Pages>
  <Words>27487</Words>
  <Characters>29551</Characters>
  <Lines>198</Lines>
  <Paragraphs>55</Paragraphs>
  <TotalTime>3</TotalTime>
  <ScaleCrop>false</ScaleCrop>
  <LinksUpToDate>false</LinksUpToDate>
  <CharactersWithSpaces>29664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2022-05-06T03:39:00Z</dcterms:created>
  <dc:creator>PGOS</dc:creator>
  <cp:lastModifiedBy>Master'霖</cp:lastModifiedBy>
  <dcterms:modified xsi:type="dcterms:W3CDTF">2022-05-31T08:37:03Z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1506E4BD12874BBBB5DB3D3EC7C39BB8</vt:lpwstr>
  </property>
</Properties>
</file>