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自流井区卫生和计划生育监督执法大队2020</w:t>
      </w:r>
      <w:r>
        <w:rPr>
          <w:rFonts w:hint="eastAsia" w:ascii="方正小标宋简体" w:eastAsia="方正小标宋简体"/>
          <w:sz w:val="44"/>
          <w:szCs w:val="44"/>
        </w:rPr>
        <w:t>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w:t>
      </w:r>
      <w:r>
        <w:rPr>
          <w:rFonts w:hint="eastAsia" w:ascii="黑体" w:hAnsi="黑体" w:eastAsia="黑体"/>
          <w:color w:val="000000"/>
          <w:sz w:val="44"/>
          <w:szCs w:val="44"/>
          <w:lang w:val="en-US" w:eastAsia="zh-CN"/>
        </w:rPr>
        <w:t xml:space="preserve"> </w:t>
      </w:r>
      <w:r>
        <w:rPr>
          <w:rFonts w:hint="eastAsia" w:ascii="黑体" w:hAnsi="黑体" w:eastAsia="黑体"/>
          <w:color w:val="000000"/>
          <w:sz w:val="44"/>
          <w:szCs w:val="44"/>
        </w:rPr>
        <w:t>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_Toc10567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_Toc21498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一、基本职能及主要工作</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_Toc21498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_Toc6092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二、机构设置</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_Toc6092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_Toc23109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_Toc7163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 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_Toc7163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_Toc25258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 收入决算情况说明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_Toc25258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_Toc13725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 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_Toc13725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_Toc10354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四、财政拨款收入支出决算总体情况说明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_Toc10354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_Toc10967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五、一般公共预算财政拨款支出决算情况说明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_Toc10967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_Toc31021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六、一般公共预算财政拨款基本支出决算情况说明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_Toc31021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_Toc6926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七、“三公”经费财政拨款支出决算情况说明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_Toc6926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_Toc9843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八、政府性基金预算支出决算情况说明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_Toc9843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_Toc10775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 国有资本经营预算支出决算情况说明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_Toc10775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_Toc738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十、其他重要事项的情况说明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_Toc738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9</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_Toc3536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_Toc11207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lang w:val="en-US" w:eastAsia="zh-CN"/>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_Toc22930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附件1</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lang w:val="en-US" w:eastAsia="zh-CN"/>
        </w:rPr>
        <w:t>1</w:t>
      </w:r>
      <w:r>
        <w:rPr>
          <w:rFonts w:hint="eastAsia" w:ascii="仿宋_GB2312" w:hAnsi="仿宋_GB2312" w:eastAsia="仿宋_GB2312" w:cs="仿宋_GB2312"/>
          <w:b w:val="0"/>
          <w:bCs w:val="0"/>
          <w:i w:val="0"/>
          <w:iCs w:val="0"/>
          <w:caps/>
          <w:sz w:val="28"/>
          <w:szCs w:val="28"/>
        </w:rPr>
        <w:fldChar w:fldCharType="end"/>
      </w:r>
      <w:r>
        <w:rPr>
          <w:rFonts w:hint="eastAsia" w:ascii="仿宋_GB2312" w:hAnsi="仿宋_GB2312" w:eastAsia="仿宋_GB2312" w:cs="仿宋_GB2312"/>
          <w:b w:val="0"/>
          <w:bCs w:val="0"/>
          <w:i w:val="0"/>
          <w:iCs w:val="0"/>
          <w:caps/>
          <w:sz w:val="28"/>
          <w:szCs w:val="28"/>
          <w:lang w:val="en-US" w:eastAsia="zh-CN"/>
        </w:rPr>
        <w:t>3</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_Toc32283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_Toc15699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一、收入支出决算总表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_Toc15699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_Toc27106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二、收入决算表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_Toc27106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_Toc26817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三、支出决算表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_Toc26817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_Toc21747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四、财政拨款收入支出决算总表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_Toc21747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_Toc12959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五、财政拨款支出决算明细表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_Toc12959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_Toc23749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六、一般公共预算财政拨款支出决算表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_Toc23749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_Toc22275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七、一般公共预算财政拨款支出决算明细表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_Toc22275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_Toc30634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八、一般公共预算财政拨款基本支出决算表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_Toc30634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_Toc15170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九、一般公共预算财政拨款项目支出决算</w:t>
      </w:r>
      <w:bookmarkStart w:id="90" w:name="_GoBack"/>
      <w:bookmarkEnd w:id="90"/>
      <w:r>
        <w:rPr>
          <w:rFonts w:hint="eastAsia" w:ascii="仿宋_GB2312" w:hAnsi="仿宋_GB2312" w:eastAsia="仿宋_GB2312" w:cs="仿宋_GB2312"/>
          <w:b w:val="0"/>
          <w:bCs w:val="0"/>
          <w:i w:val="0"/>
          <w:iCs w:val="0"/>
          <w:sz w:val="28"/>
          <w:szCs w:val="28"/>
        </w:rPr>
        <w:t>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_Toc15170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_Toc17603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十、一般公共预算财政拨款“三公”经费支出决算表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_Toc17603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_Toc7313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十一、政府性基金预算财政拨款收入支出决算表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_Toc7313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_Toc9382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十二、政府性基金预算财政拨款“三公”经费支出决算表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_Toc9382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_Toc22683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十三、国有资本经营预算财政拨款收入支出决算表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_Toc22683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HYPERLINK \l _Toc10257 </w:instrText>
      </w:r>
      <w:r>
        <w:rPr>
          <w:rFonts w:hint="eastAsia" w:ascii="仿宋_GB2312" w:hAnsi="仿宋_GB2312" w:eastAsia="仿宋_GB2312" w:cs="仿宋_GB2312"/>
          <w:b w:val="0"/>
          <w:bCs w:val="0"/>
          <w:i w:val="0"/>
          <w:iCs w:val="0"/>
          <w:caps/>
          <w:sz w:val="28"/>
          <w:szCs w:val="28"/>
        </w:rPr>
        <w:fldChar w:fldCharType="separate"/>
      </w:r>
      <w:r>
        <w:rPr>
          <w:rFonts w:hint="eastAsia" w:ascii="仿宋_GB2312" w:hAnsi="仿宋_GB2312" w:eastAsia="仿宋_GB2312" w:cs="仿宋_GB2312"/>
          <w:b w:val="0"/>
          <w:bCs w:val="0"/>
          <w:i w:val="0"/>
          <w:iCs w:val="0"/>
          <w:sz w:val="28"/>
          <w:szCs w:val="28"/>
        </w:rPr>
        <w:t>十四、国有资本经营预算财政拨款支出决算表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_Toc10257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caps/>
          <w:sz w:val="28"/>
          <w:szCs w:val="28"/>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2100" w:firstLineChars="750"/>
        <w:textAlignment w:val="auto"/>
        <w:rPr>
          <w:rFonts w:hint="eastAsia" w:ascii="仿宋_GB2312" w:hAnsi="仿宋"/>
          <w:color w:val="FF0000"/>
          <w:szCs w:val="32"/>
        </w:rPr>
      </w:pPr>
      <w:r>
        <w:rPr>
          <w:rFonts w:hint="eastAsia" w:ascii="仿宋_GB2312" w:hAnsi="仿宋_GB2312" w:eastAsia="仿宋_GB2312" w:cs="仿宋_GB2312"/>
          <w:b w:val="0"/>
          <w:bCs w:val="0"/>
          <w:i w:val="0"/>
          <w:iCs w:val="0"/>
          <w:caps/>
          <w:sz w:val="28"/>
          <w:szCs w:val="28"/>
        </w:rPr>
        <w:fldChar w:fldCharType="end"/>
      </w:r>
    </w:p>
    <w:p>
      <w:r>
        <w:br w:type="page"/>
      </w:r>
    </w:p>
    <w:p>
      <w:pPr>
        <w:pStyle w:val="2"/>
        <w:jc w:val="center"/>
        <w:rPr>
          <w:rStyle w:val="16"/>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6"/>
          <w:rFonts w:hint="eastAsia" w:ascii="黑体" w:hAnsi="黑体" w:eastAsia="黑体"/>
          <w:b w:val="0"/>
          <w:bCs w:val="0"/>
        </w:rPr>
        <w:t>部门概况</w:t>
      </w:r>
      <w:bookmarkEnd w:id="0"/>
    </w:p>
    <w:p>
      <w:pPr>
        <w:widowControl/>
        <w:jc w:val="left"/>
        <w:rPr>
          <w:rFonts w:ascii="黑体" w:eastAsia="黑体"/>
          <w:color w:val="000000"/>
          <w:sz w:val="32"/>
          <w:szCs w:val="32"/>
        </w:rPr>
      </w:pPr>
    </w:p>
    <w:p>
      <w:pPr>
        <w:pStyle w:val="3"/>
        <w:rPr>
          <w:rStyle w:val="17"/>
          <w:rFonts w:ascii="仿宋" w:hAnsi="仿宋" w:eastAsia="仿宋"/>
          <w:b w:val="0"/>
          <w:bCs w:val="0"/>
        </w:rPr>
      </w:pPr>
      <w:bookmarkStart w:id="1" w:name="_Toc15396600"/>
      <w:bookmarkStart w:id="2" w:name="_Toc15377197"/>
      <w:bookmarkStart w:id="3" w:name="_Toc21498"/>
      <w:r>
        <w:rPr>
          <w:rFonts w:hint="eastAsia" w:ascii="黑体" w:hAnsi="黑体" w:eastAsia="黑体"/>
          <w:b w:val="0"/>
          <w:color w:val="000000"/>
        </w:rPr>
        <w:t>一、基</w:t>
      </w:r>
      <w:r>
        <w:rPr>
          <w:rStyle w:val="17"/>
          <w:rFonts w:hint="eastAsia" w:ascii="黑体" w:hAnsi="黑体" w:eastAsia="黑体"/>
          <w:b w:val="0"/>
          <w:bCs w:val="0"/>
        </w:rPr>
        <w:t>本职能及主要工作</w:t>
      </w:r>
      <w:bookmarkEnd w:id="1"/>
      <w:bookmarkEnd w:id="2"/>
      <w:bookmarkEnd w:id="3"/>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 w:eastAsia="仿宋_GB2312"/>
          <w:color w:val="FF0000"/>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bookmarkStart w:id="6" w:name="_Toc15378446"/>
      <w:bookmarkStart w:id="7" w:name="_Toc15377199"/>
      <w:r>
        <w:rPr>
          <w:rFonts w:hint="eastAsia" w:ascii="仿宋_GB2312" w:hAnsi="仿宋_GB2312" w:eastAsia="仿宋_GB2312" w:cs="仿宋_GB2312"/>
          <w:color w:val="000000"/>
          <w:sz w:val="32"/>
          <w:szCs w:val="32"/>
          <w:lang w:eastAsia="zh-CN"/>
        </w:rPr>
        <w:t>自流井区卫生和监督执法大队主要负责</w:t>
      </w:r>
      <w:r>
        <w:rPr>
          <w:rFonts w:hint="eastAsia" w:ascii="仿宋_GB2312" w:hAnsi="仿宋" w:eastAsia="仿宋_GB2312"/>
          <w:sz w:val="32"/>
          <w:szCs w:val="32"/>
        </w:rPr>
        <w:t>医疗卫生执法监督、学校卫生执法监督、饮水用卫生执法监督、公共场所卫生执法监督、职业卫生执法监督、传染病卫生执法监督等工作</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r>
        <w:rPr>
          <w:rFonts w:hint="eastAsia" w:ascii="仿宋_GB2312" w:hAnsi="仿宋" w:eastAsia="仿宋_GB2312"/>
          <w:sz w:val="32"/>
          <w:szCs w:val="32"/>
          <w:lang w:val="en-US" w:eastAsia="zh-CN"/>
        </w:rPr>
        <w:t>强化</w:t>
      </w:r>
      <w:r>
        <w:rPr>
          <w:rFonts w:hint="eastAsia" w:ascii="仿宋_GB2312" w:hAnsi="仿宋" w:eastAsia="仿宋_GB2312"/>
          <w:sz w:val="32"/>
          <w:szCs w:val="32"/>
        </w:rPr>
        <w:t>公共场所</w:t>
      </w:r>
      <w:r>
        <w:rPr>
          <w:rFonts w:hint="eastAsia" w:ascii="仿宋_GB2312" w:hAnsi="仿宋" w:eastAsia="仿宋_GB2312"/>
          <w:sz w:val="32"/>
          <w:szCs w:val="32"/>
          <w:lang w:val="en-US" w:eastAsia="zh-CN"/>
        </w:rPr>
        <w:t>卫生执法力度,结合群众关心，强化医疗专项检查,围绕“疫情防控”开展执法专项行动。</w:t>
      </w:r>
    </w:p>
    <w:p>
      <w:pPr>
        <w:pStyle w:val="3"/>
        <w:rPr>
          <w:rStyle w:val="17"/>
          <w:b w:val="0"/>
          <w:bCs w:val="0"/>
        </w:rPr>
      </w:pPr>
      <w:bookmarkStart w:id="8" w:name="_Toc15377200"/>
      <w:bookmarkStart w:id="9" w:name="_Toc15396601"/>
      <w:bookmarkStart w:id="10" w:name="_Toc6092"/>
      <w:r>
        <w:rPr>
          <w:rFonts w:hint="eastAsia" w:ascii="黑体" w:eastAsia="黑体"/>
          <w:b w:val="0"/>
          <w:color w:val="000000"/>
        </w:rPr>
        <w:t>二、</w:t>
      </w:r>
      <w:r>
        <w:rPr>
          <w:rFonts w:hint="eastAsia" w:ascii="黑体" w:hAnsi="黑体" w:eastAsia="黑体"/>
          <w:b w:val="0"/>
          <w:color w:val="000000"/>
        </w:rPr>
        <w:t>机</w:t>
      </w:r>
      <w:r>
        <w:rPr>
          <w:rStyle w:val="17"/>
          <w:rFonts w:hint="eastAsia" w:ascii="黑体" w:hAnsi="黑体" w:eastAsia="黑体"/>
          <w:b w:val="0"/>
          <w:bCs w:val="0"/>
        </w:rPr>
        <w:t>构设置</w:t>
      </w:r>
      <w:bookmarkEnd w:id="8"/>
      <w:bookmarkEnd w:id="9"/>
      <w:bookmarkEnd w:id="10"/>
    </w:p>
    <w:p>
      <w:pPr>
        <w:widowControl/>
        <w:ind w:firstLine="640" w:firstLineChars="200"/>
        <w:jc w:val="left"/>
        <w:rPr>
          <w:rFonts w:hint="eastAsia" w:ascii="仿宋" w:hAnsi="仿宋" w:eastAsia="仿宋_GB2312"/>
          <w:color w:val="000000"/>
          <w:kern w:val="0"/>
          <w:sz w:val="32"/>
          <w:szCs w:val="32"/>
          <w:lang w:eastAsia="zh-CN"/>
        </w:rPr>
      </w:pPr>
      <w:r>
        <w:rPr>
          <w:rFonts w:hint="eastAsia" w:ascii="宋体" w:hAnsi="宋体" w:cs="宋体"/>
          <w:color w:val="000000"/>
          <w:sz w:val="32"/>
          <w:szCs w:val="32"/>
          <w:u w:val="none"/>
          <w:lang w:val="en-US" w:eastAsia="zh-CN"/>
        </w:rPr>
        <w:t>本单位为参公单位。</w:t>
      </w:r>
      <w:r>
        <w:rPr>
          <w:rFonts w:hint="eastAsia" w:ascii="宋体" w:hAnsi="宋体" w:eastAsia="仿宋_GB2312" w:cs="宋体"/>
          <w:color w:val="000000"/>
          <w:sz w:val="32"/>
          <w:szCs w:val="32"/>
          <w:u w:val="none"/>
          <w:lang w:val="en-US" w:eastAsia="zh-CN"/>
        </w:rPr>
        <w:t>2020</w:t>
      </w:r>
      <w:r>
        <w:rPr>
          <w:rFonts w:hint="eastAsia" w:ascii="仿宋_GB2312" w:hAnsi="仿宋" w:eastAsia="仿宋_GB2312" w:cs="仿宋"/>
          <w:color w:val="000000"/>
          <w:sz w:val="32"/>
          <w:szCs w:val="32"/>
        </w:rPr>
        <w:t>年度，纳入本部门决算汇编范围的独立核算单位共</w:t>
      </w:r>
      <w:r>
        <w:rPr>
          <w:rFonts w:hint="eastAsia" w:ascii="仿宋_GB2312" w:hAnsi="仿宋" w:eastAsia="仿宋_GB2312"/>
          <w:color w:val="000000"/>
          <w:sz w:val="32"/>
          <w:szCs w:val="32"/>
          <w:u w:val="none"/>
        </w:rPr>
        <w:t xml:space="preserve">1 </w:t>
      </w:r>
      <w:r>
        <w:rPr>
          <w:rFonts w:hint="eastAsia" w:ascii="仿宋_GB2312" w:hAnsi="仿宋" w:eastAsia="仿宋_GB2312" w:cs="仿宋"/>
          <w:color w:val="000000"/>
          <w:sz w:val="32"/>
          <w:szCs w:val="32"/>
        </w:rPr>
        <w:t>个</w:t>
      </w:r>
      <w:r>
        <w:rPr>
          <w:rFonts w:hint="eastAsia" w:ascii="仿宋_GB2312" w:hAnsi="仿宋" w:cs="仿宋"/>
          <w:color w:val="000000"/>
          <w:sz w:val="32"/>
          <w:szCs w:val="32"/>
          <w:lang w:eastAsia="zh-CN"/>
        </w:rPr>
        <w:t>。</w:t>
      </w:r>
    </w:p>
    <w:p>
      <w:pPr>
        <w:pStyle w:val="2"/>
        <w:ind w:right="440"/>
        <w:jc w:val="right"/>
      </w:pPr>
      <w:bookmarkStart w:id="11" w:name="_Toc15396602"/>
      <w:bookmarkStart w:id="12" w:name="_Toc23109"/>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6"/>
          <w:rFonts w:ascii="黑体" w:hAnsi="黑体" w:eastAsia="黑体"/>
          <w:b w:val="0"/>
          <w:bCs w:val="0"/>
        </w:rPr>
        <w:t>2020</w:t>
      </w:r>
      <w:r>
        <w:rPr>
          <w:rStyle w:val="16"/>
          <w:rFonts w:hint="eastAsia" w:ascii="黑体" w:hAnsi="黑体" w:eastAsia="黑体"/>
          <w:b w:val="0"/>
          <w:bCs w:val="0"/>
        </w:rPr>
        <w:t>年度部门决算情况说明</w:t>
      </w:r>
      <w:bookmarkEnd w:id="11"/>
      <w:bookmarkEnd w:id="12"/>
      <w:bookmarkEnd w:id="13"/>
    </w:p>
    <w:p>
      <w:pPr>
        <w:pStyle w:val="18"/>
        <w:numPr>
          <w:ilvl w:val="0"/>
          <w:numId w:val="1"/>
        </w:numPr>
        <w:spacing w:line="600" w:lineRule="exact"/>
        <w:ind w:firstLineChars="0"/>
        <w:outlineLvl w:val="1"/>
        <w:rPr>
          <w:rStyle w:val="17"/>
          <w:rFonts w:ascii="黑体" w:hAnsi="黑体" w:eastAsia="黑体"/>
          <w:b w:val="0"/>
        </w:rPr>
      </w:pPr>
      <w:bookmarkStart w:id="14" w:name="_Toc15396603"/>
      <w:bookmarkStart w:id="15" w:name="_Toc15377205"/>
      <w:bookmarkStart w:id="16" w:name="_Toc7163"/>
      <w:r>
        <w:rPr>
          <w:rFonts w:hint="eastAsia" w:ascii="黑体" w:hAnsi="黑体" w:eastAsia="黑体"/>
          <w:color w:val="000000"/>
          <w:sz w:val="32"/>
          <w:szCs w:val="32"/>
        </w:rPr>
        <w:t>收</w:t>
      </w:r>
      <w:r>
        <w:rPr>
          <w:rStyle w:val="17"/>
          <w:rFonts w:hint="eastAsia" w:ascii="黑体" w:hAnsi="黑体" w:eastAsia="黑体"/>
          <w:b w:val="0"/>
        </w:rPr>
        <w:t>入支出决算总体情况说明</w:t>
      </w:r>
      <w:bookmarkEnd w:id="14"/>
      <w:bookmarkEnd w:id="15"/>
      <w:bookmarkEnd w:id="16"/>
    </w:p>
    <w:p>
      <w:pPr>
        <w:spacing w:line="600" w:lineRule="exact"/>
        <w:ind w:firstLine="640" w:firstLineChars="200"/>
        <w:rPr>
          <w:rFonts w:hint="eastAsia" w:ascii="仿宋" w:hAnsi="仿宋" w:eastAsia="仿宋"/>
          <w:color w:val="000000"/>
          <w:sz w:val="32"/>
          <w:szCs w:val="32"/>
          <w:lang w:val="en-US" w:eastAsia="zh-CN"/>
        </w:rPr>
      </w:pPr>
      <w:r>
        <w:rPr>
          <w:rFonts w:ascii="仿宋" w:hAnsi="仿宋" w:eastAsia="仿宋"/>
          <w:color w:val="000000"/>
          <w:sz w:val="32"/>
          <w:szCs w:val="32"/>
        </w:rPr>
        <w:t>2020</w:t>
      </w:r>
      <w:r>
        <w:rPr>
          <w:rFonts w:hint="eastAsia" w:ascii="仿宋" w:hAnsi="仿宋" w:eastAsia="仿宋"/>
          <w:color w:val="000000"/>
          <w:sz w:val="32"/>
          <w:szCs w:val="32"/>
        </w:rPr>
        <w:t>年度收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103.44、支出总计103.44</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年相比，收</w:t>
      </w:r>
      <w:r>
        <w:rPr>
          <w:rFonts w:hint="eastAsia" w:ascii="仿宋" w:hAnsi="仿宋" w:eastAsia="仿宋"/>
          <w:color w:val="000000"/>
          <w:sz w:val="32"/>
          <w:szCs w:val="32"/>
          <w:lang w:eastAsia="zh-CN"/>
        </w:rPr>
        <w:t>入减少</w:t>
      </w:r>
      <w:r>
        <w:rPr>
          <w:rFonts w:hint="eastAsia" w:ascii="仿宋" w:hAnsi="仿宋" w:eastAsia="仿宋"/>
          <w:color w:val="000000"/>
          <w:sz w:val="32"/>
          <w:szCs w:val="32"/>
          <w:lang w:val="en-US" w:eastAsia="zh-CN"/>
        </w:rPr>
        <w:t>27.22万元</w:t>
      </w:r>
      <w:r>
        <w:rPr>
          <w:rFonts w:hint="eastAsia" w:ascii="仿宋" w:hAnsi="仿宋" w:eastAsia="仿宋"/>
          <w:color w:val="000000"/>
          <w:sz w:val="32"/>
          <w:szCs w:val="32"/>
        </w:rPr>
        <w:t>，</w:t>
      </w:r>
      <w:r>
        <w:rPr>
          <w:rFonts w:hint="eastAsia" w:ascii="仿宋" w:hAnsi="仿宋" w:eastAsia="仿宋"/>
          <w:color w:val="000000"/>
          <w:sz w:val="32"/>
          <w:szCs w:val="32"/>
          <w:lang w:eastAsia="zh-CN"/>
        </w:rPr>
        <w:t>减少</w:t>
      </w:r>
      <w:r>
        <w:rPr>
          <w:rFonts w:hint="eastAsia" w:ascii="仿宋" w:hAnsi="仿宋" w:eastAsia="仿宋"/>
          <w:color w:val="000000"/>
          <w:sz w:val="32"/>
          <w:szCs w:val="32"/>
          <w:lang w:val="en-US" w:eastAsia="zh-CN"/>
        </w:rPr>
        <w:t>26.3%，减少原因为财政收回存量资金；支出减少1.41万元，减少1.4%，减少主要原因为缩减开支。</w:t>
      </w:r>
    </w:p>
    <w:p>
      <w:pPr>
        <w:spacing w:line="600" w:lineRule="exact"/>
        <w:ind w:firstLine="1600" w:firstLineChars="500"/>
        <w:jc w:val="both"/>
        <w:rPr>
          <w:rFonts w:hint="eastAsia" w:ascii="仿宋" w:hAnsi="仿宋" w:eastAsia="仿宋"/>
          <w:color w:val="000000" w:themeColor="text1"/>
          <w:sz w:val="32"/>
          <w:szCs w:val="32"/>
          <w14:textFill>
            <w14:solidFill>
              <w14:schemeClr w14:val="tx1"/>
            </w14:solidFill>
          </w14:textFill>
        </w:rPr>
      </w:pPr>
    </w:p>
    <w:p>
      <w:pPr>
        <w:spacing w:line="600" w:lineRule="exact"/>
        <w:ind w:firstLine="1600" w:firstLineChars="500"/>
        <w:jc w:val="both"/>
        <w:rPr>
          <w:rFonts w:hint="eastAsia" w:ascii="仿宋" w:hAnsi="仿宋" w:eastAsia="仿宋"/>
          <w:color w:val="0000FF"/>
          <w:sz w:val="32"/>
          <w:szCs w:val="32"/>
          <w:lang w:eastAsia="zh-CN"/>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：收、支决算总计变动情况图）</w:t>
      </w:r>
    </w:p>
    <w:p>
      <w:pPr>
        <w:spacing w:line="600" w:lineRule="exact"/>
        <w:ind w:firstLine="643" w:firstLineChars="200"/>
        <w:rPr>
          <w:rFonts w:hint="eastAsia" w:ascii="仿宋" w:hAnsi="仿宋" w:eastAsia="仿宋"/>
          <w:color w:val="0000FF"/>
          <w:sz w:val="32"/>
          <w:szCs w:val="32"/>
          <w:lang w:eastAsia="zh-CN"/>
        </w:rPr>
      </w:pPr>
      <w:r>
        <w:rPr>
          <w:rFonts w:hint="eastAsia" w:ascii="仿宋" w:hAnsi="仿宋" w:eastAsia="仿宋"/>
          <w:b/>
          <w:color w:val="FF0000"/>
          <w:sz w:val="32"/>
          <w:szCs w:val="32"/>
          <w:lang w:val="en-US" w:eastAsia="zh-CN"/>
        </w:rPr>
        <w:drawing>
          <wp:anchor distT="0" distB="0" distL="114300" distR="114300" simplePos="0" relativeHeight="251659264" behindDoc="0" locked="0" layoutInCell="1" allowOverlap="1">
            <wp:simplePos x="0" y="0"/>
            <wp:positionH relativeFrom="column">
              <wp:posOffset>772160</wp:posOffset>
            </wp:positionH>
            <wp:positionV relativeFrom="paragraph">
              <wp:posOffset>166370</wp:posOffset>
            </wp:positionV>
            <wp:extent cx="3853180" cy="2552700"/>
            <wp:effectExtent l="4445" t="5080" r="9525" b="1397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spacing w:line="600" w:lineRule="exact"/>
        <w:rPr>
          <w:rFonts w:hint="eastAsia" w:ascii="仿宋" w:hAnsi="仿宋" w:eastAsia="仿宋"/>
          <w:color w:val="0000FF"/>
          <w:sz w:val="32"/>
          <w:szCs w:val="32"/>
        </w:rPr>
      </w:pPr>
    </w:p>
    <w:p>
      <w:pPr>
        <w:pStyle w:val="18"/>
        <w:numPr>
          <w:ilvl w:val="0"/>
          <w:numId w:val="1"/>
        </w:numPr>
        <w:spacing w:line="600" w:lineRule="exact"/>
        <w:ind w:firstLineChars="0"/>
        <w:outlineLvl w:val="1"/>
        <w:rPr>
          <w:rStyle w:val="17"/>
          <w:rFonts w:ascii="黑体" w:hAnsi="黑体" w:eastAsia="黑体"/>
          <w:b w:val="0"/>
        </w:rPr>
      </w:pPr>
      <w:bookmarkStart w:id="17" w:name="_Toc25258"/>
      <w:bookmarkStart w:id="18" w:name="_Toc15377206"/>
      <w:bookmarkStart w:id="19" w:name="_Toc15396604"/>
      <w:r>
        <w:rPr>
          <w:rFonts w:hint="eastAsia" w:ascii="黑体" w:hAnsi="黑体" w:eastAsia="黑体"/>
          <w:color w:val="000000"/>
          <w:sz w:val="32"/>
          <w:szCs w:val="32"/>
        </w:rPr>
        <w:t>收</w:t>
      </w:r>
      <w:r>
        <w:rPr>
          <w:rStyle w:val="17"/>
          <w:rFonts w:hint="eastAsia" w:ascii="黑体" w:hAnsi="黑体" w:eastAsia="黑体"/>
          <w:b w:val="0"/>
        </w:rPr>
        <w:t>入决算情况说明</w:t>
      </w:r>
      <w:bookmarkEnd w:id="17"/>
      <w:bookmarkEnd w:id="18"/>
      <w:bookmarkEnd w:id="19"/>
    </w:p>
    <w:p>
      <w:pPr>
        <w:spacing w:line="600" w:lineRule="exact"/>
        <w:ind w:firstLine="640" w:firstLineChars="200"/>
        <w:outlineLvl w:val="9"/>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年本年收入合计</w:t>
      </w:r>
      <w:r>
        <w:rPr>
          <w:rFonts w:hint="eastAsia" w:ascii="仿宋" w:hAnsi="仿宋" w:eastAsia="仿宋"/>
          <w:color w:val="000000"/>
          <w:sz w:val="32"/>
          <w:szCs w:val="32"/>
          <w:lang w:val="en-US" w:eastAsia="zh-CN"/>
        </w:rPr>
        <w:t>103.44</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103.28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99.9</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0.16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0.1</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2240" w:firstLineChars="700"/>
        <w:rPr>
          <w:rFonts w:hint="eastAsia" w:ascii="仿宋" w:hAnsi="仿宋" w:eastAsia="仿宋"/>
          <w:color w:val="0000FF"/>
          <w:sz w:val="32"/>
          <w:szCs w:val="32"/>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：收入决算结构图）</w:t>
      </w:r>
    </w:p>
    <w:p>
      <w:pPr>
        <w:spacing w:line="600" w:lineRule="exact"/>
        <w:ind w:firstLine="640" w:firstLineChars="200"/>
        <w:rPr>
          <w:rFonts w:hint="eastAsia" w:ascii="仿宋" w:hAnsi="仿宋" w:eastAsia="仿宋"/>
          <w:color w:val="0000FF"/>
          <w:sz w:val="32"/>
          <w:szCs w:val="32"/>
          <w:lang w:eastAsia="zh-CN"/>
        </w:rPr>
      </w:pPr>
      <w:r>
        <w:rPr>
          <w:rFonts w:hint="eastAsia" w:ascii="仿宋" w:hAnsi="仿宋" w:eastAsia="仿宋"/>
          <w:color w:val="0000FF"/>
          <w:sz w:val="32"/>
          <w:szCs w:val="32"/>
          <w:lang w:eastAsia="zh-CN"/>
        </w:rPr>
        <w:drawing>
          <wp:anchor distT="0" distB="0" distL="114300" distR="114300" simplePos="0" relativeHeight="251660288" behindDoc="0" locked="0" layoutInCell="1" allowOverlap="1">
            <wp:simplePos x="0" y="0"/>
            <wp:positionH relativeFrom="column">
              <wp:posOffset>703580</wp:posOffset>
            </wp:positionH>
            <wp:positionV relativeFrom="paragraph">
              <wp:posOffset>47625</wp:posOffset>
            </wp:positionV>
            <wp:extent cx="4139565" cy="2440305"/>
            <wp:effectExtent l="4445" t="4445" r="8890" b="12700"/>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rPr>
          <w:rFonts w:hint="eastAsia" w:ascii="仿宋" w:hAnsi="仿宋" w:eastAsia="仿宋"/>
          <w:color w:val="0000FF"/>
          <w:sz w:val="32"/>
          <w:szCs w:val="32"/>
          <w:lang w:eastAsia="zh-CN"/>
        </w:rPr>
      </w:pPr>
    </w:p>
    <w:p>
      <w:pPr>
        <w:spacing w:line="600" w:lineRule="exact"/>
        <w:ind w:firstLine="640" w:firstLineChars="200"/>
        <w:rPr>
          <w:rFonts w:hint="eastAsia" w:ascii="仿宋" w:hAnsi="仿宋" w:eastAsia="仿宋"/>
          <w:color w:val="0000FF"/>
          <w:sz w:val="32"/>
          <w:szCs w:val="32"/>
          <w:lang w:eastAsia="zh-CN"/>
        </w:rPr>
      </w:pPr>
    </w:p>
    <w:p>
      <w:pPr>
        <w:pStyle w:val="18"/>
        <w:numPr>
          <w:ilvl w:val="0"/>
          <w:numId w:val="1"/>
        </w:numPr>
        <w:spacing w:line="600" w:lineRule="exact"/>
        <w:ind w:firstLineChars="0"/>
        <w:outlineLvl w:val="1"/>
        <w:rPr>
          <w:rStyle w:val="17"/>
          <w:rFonts w:ascii="黑体" w:hAnsi="黑体" w:eastAsia="黑体"/>
          <w:b w:val="0"/>
        </w:rPr>
      </w:pPr>
      <w:bookmarkStart w:id="20" w:name="_Toc15396605"/>
      <w:bookmarkStart w:id="21" w:name="_Toc15377207"/>
      <w:bookmarkStart w:id="22" w:name="_Toc13725"/>
      <w:r>
        <w:rPr>
          <w:rFonts w:hint="eastAsia" w:ascii="黑体" w:hAnsi="黑体" w:eastAsia="黑体"/>
          <w:color w:val="000000"/>
          <w:sz w:val="32"/>
          <w:szCs w:val="32"/>
        </w:rPr>
        <w:t>支</w:t>
      </w:r>
      <w:r>
        <w:rPr>
          <w:rStyle w:val="17"/>
          <w:rFonts w:hint="eastAsia" w:ascii="黑体" w:hAnsi="黑体" w:eastAsia="黑体"/>
          <w:b w:val="0"/>
        </w:rPr>
        <w:t>出决算情况说明</w:t>
      </w:r>
      <w:bookmarkEnd w:id="20"/>
      <w:bookmarkEnd w:id="21"/>
      <w:bookmarkEnd w:id="22"/>
    </w:p>
    <w:p>
      <w:pPr>
        <w:spacing w:line="600" w:lineRule="exact"/>
        <w:ind w:firstLine="640" w:firstLineChars="200"/>
        <w:outlineLvl w:val="9"/>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年本年支出合计</w:t>
      </w:r>
      <w:r>
        <w:rPr>
          <w:rFonts w:hint="eastAsia" w:ascii="仿宋" w:hAnsi="仿宋" w:eastAsia="仿宋"/>
          <w:color w:val="000000"/>
          <w:sz w:val="32"/>
          <w:szCs w:val="32"/>
          <w:lang w:val="en-US" w:eastAsia="zh-CN"/>
        </w:rPr>
        <w:t>102.17</w:t>
      </w:r>
      <w:r>
        <w:rPr>
          <w:rFonts w:hint="eastAsia" w:ascii="仿宋" w:hAnsi="仿宋" w:eastAsia="仿宋"/>
          <w:color w:val="000000"/>
          <w:sz w:val="32"/>
          <w:szCs w:val="32"/>
        </w:rPr>
        <w:t>万元，其中：基本支出</w:t>
      </w:r>
      <w:r>
        <w:rPr>
          <w:rFonts w:hint="eastAsia" w:ascii="仿宋" w:hAnsi="仿宋" w:eastAsia="仿宋"/>
          <w:color w:val="000000"/>
          <w:sz w:val="32"/>
          <w:szCs w:val="32"/>
          <w:lang w:val="en-US" w:eastAsia="zh-CN"/>
        </w:rPr>
        <w:t>102.17</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；项目支出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1920" w:firstLineChars="6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：支出决算结构图）</w:t>
      </w:r>
    </w:p>
    <w:p>
      <w:pPr>
        <w:pStyle w:val="14"/>
        <w:ind w:left="0" w:leftChars="0" w:firstLine="0" w:firstLineChars="0"/>
        <w:jc w:val="center"/>
        <w:rPr>
          <w:rFonts w:ascii="仿宋_GB2312" w:eastAsia="仿宋_GB2312"/>
          <w:color w:val="FF0000"/>
          <w:sz w:val="32"/>
          <w:szCs w:val="32"/>
        </w:rPr>
      </w:pPr>
      <w:r>
        <w:rPr>
          <w:rFonts w:hint="eastAsia" w:eastAsia="仿宋_GB2312"/>
          <w:lang w:eastAsia="zh-CN"/>
        </w:rPr>
        <w:drawing>
          <wp:inline distT="0" distB="0" distL="114300" distR="114300">
            <wp:extent cx="3462020" cy="2183130"/>
            <wp:effectExtent l="4445" t="4445" r="19685" b="222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outlineLvl w:val="1"/>
        <w:rPr>
          <w:rStyle w:val="17"/>
          <w:rFonts w:ascii="黑体" w:hAnsi="黑体" w:eastAsia="黑体"/>
          <w:b w:val="0"/>
        </w:rPr>
      </w:pPr>
      <w:bookmarkStart w:id="23" w:name="_Toc10354"/>
      <w:bookmarkStart w:id="24" w:name="_Toc15377208"/>
      <w:bookmarkStart w:id="25" w:name="_Toc15396606"/>
      <w:r>
        <w:rPr>
          <w:rFonts w:hint="eastAsia" w:ascii="黑体" w:hAnsi="黑体" w:eastAsia="黑体"/>
          <w:color w:val="000000"/>
          <w:sz w:val="32"/>
          <w:szCs w:val="32"/>
        </w:rPr>
        <w:t>四、财</w:t>
      </w:r>
      <w:r>
        <w:rPr>
          <w:rStyle w:val="17"/>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年财政拨款收</w:t>
      </w:r>
      <w:r>
        <w:rPr>
          <w:rFonts w:hint="eastAsia" w:ascii="仿宋" w:hAnsi="仿宋" w:eastAsia="仿宋"/>
          <w:color w:val="000000"/>
          <w:sz w:val="32"/>
          <w:szCs w:val="32"/>
          <w:lang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103.44万元，支出总计103.44</w:t>
      </w:r>
      <w:r>
        <w:rPr>
          <w:rFonts w:hint="eastAsia" w:ascii="仿宋" w:hAnsi="仿宋" w:eastAsia="仿宋"/>
          <w:color w:val="000000"/>
          <w:sz w:val="32"/>
          <w:szCs w:val="32"/>
        </w:rPr>
        <w:t>万元。与</w:t>
      </w:r>
      <w:r>
        <w:rPr>
          <w:rFonts w:ascii="仿宋" w:hAnsi="仿宋" w:eastAsia="仿宋"/>
          <w:color w:val="000000"/>
          <w:sz w:val="32"/>
          <w:szCs w:val="32"/>
        </w:rPr>
        <w:t>2019</w:t>
      </w:r>
      <w:r>
        <w:rPr>
          <w:rFonts w:hint="eastAsia" w:ascii="仿宋" w:hAnsi="仿宋" w:eastAsia="仿宋"/>
          <w:color w:val="000000"/>
          <w:sz w:val="32"/>
          <w:szCs w:val="32"/>
        </w:rPr>
        <w:t>年相比，财政拨款收</w:t>
      </w:r>
      <w:r>
        <w:rPr>
          <w:rFonts w:hint="eastAsia" w:ascii="仿宋" w:hAnsi="仿宋" w:eastAsia="仿宋"/>
          <w:color w:val="000000"/>
          <w:sz w:val="32"/>
          <w:szCs w:val="32"/>
          <w:lang w:eastAsia="zh-CN"/>
        </w:rPr>
        <w:t>入增加</w:t>
      </w:r>
      <w:r>
        <w:rPr>
          <w:rFonts w:hint="eastAsia" w:ascii="仿宋" w:hAnsi="仿宋" w:eastAsia="仿宋"/>
          <w:color w:val="000000"/>
          <w:sz w:val="32"/>
          <w:szCs w:val="32"/>
          <w:lang w:val="en-US" w:eastAsia="zh-CN"/>
        </w:rPr>
        <w:t>0.14</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0.1</w:t>
      </w:r>
      <w:r>
        <w:rPr>
          <w:rFonts w:ascii="仿宋" w:hAnsi="仿宋" w:eastAsia="仿宋"/>
          <w:color w:val="000000"/>
          <w:sz w:val="32"/>
          <w:szCs w:val="32"/>
        </w:rPr>
        <w:t>%</w:t>
      </w:r>
      <w:r>
        <w:rPr>
          <w:rFonts w:hint="eastAsia" w:ascii="仿宋" w:hAnsi="仿宋" w:eastAsia="仿宋"/>
          <w:color w:val="000000"/>
          <w:sz w:val="32"/>
          <w:szCs w:val="32"/>
          <w:lang w:eastAsia="zh-CN"/>
        </w:rPr>
        <w:t>；财政拨款支出减少</w:t>
      </w:r>
      <w:r>
        <w:rPr>
          <w:rFonts w:hint="eastAsia" w:ascii="仿宋" w:hAnsi="仿宋" w:eastAsia="仿宋"/>
          <w:color w:val="000000"/>
          <w:sz w:val="32"/>
          <w:szCs w:val="32"/>
          <w:lang w:val="en-US" w:eastAsia="zh-CN"/>
        </w:rPr>
        <w:t>1.41万元，减少1.4%。</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开展节约办公。</w:t>
      </w:r>
    </w:p>
    <w:p>
      <w:pPr>
        <w:spacing w:line="600" w:lineRule="exact"/>
        <w:ind w:firstLine="960" w:firstLineChars="3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：财政拨款收、支决算总计变动情况）</w:t>
      </w:r>
    </w:p>
    <w:p>
      <w:pPr>
        <w:spacing w:line="600" w:lineRule="exact"/>
        <w:rPr>
          <w:rFonts w:hint="eastAsia" w:ascii="仿宋" w:hAnsi="仿宋" w:eastAsia="仿宋"/>
          <w:b/>
          <w:color w:val="00B050"/>
          <w:sz w:val="32"/>
          <w:szCs w:val="32"/>
          <w:lang w:eastAsia="zh-CN"/>
        </w:rPr>
      </w:pPr>
      <w:r>
        <w:rPr>
          <w:rFonts w:hint="eastAsia" w:ascii="仿宋" w:hAnsi="仿宋" w:eastAsia="仿宋"/>
          <w:b/>
          <w:color w:val="00B050"/>
          <w:sz w:val="32"/>
          <w:szCs w:val="32"/>
          <w:lang w:eastAsia="zh-CN"/>
        </w:rPr>
        <w:drawing>
          <wp:anchor distT="0" distB="0" distL="114300" distR="114300" simplePos="0" relativeHeight="251661312" behindDoc="0" locked="0" layoutInCell="1" allowOverlap="1">
            <wp:simplePos x="0" y="0"/>
            <wp:positionH relativeFrom="column">
              <wp:posOffset>680085</wp:posOffset>
            </wp:positionH>
            <wp:positionV relativeFrom="paragraph">
              <wp:posOffset>94615</wp:posOffset>
            </wp:positionV>
            <wp:extent cx="3794760" cy="2125345"/>
            <wp:effectExtent l="4445" t="4445" r="10795" b="22860"/>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outlineLvl w:val="1"/>
        <w:rPr>
          <w:rFonts w:hint="eastAsia" w:ascii="黑体" w:hAnsi="黑体" w:eastAsia="黑体"/>
          <w:color w:val="000000"/>
          <w:sz w:val="32"/>
          <w:szCs w:val="32"/>
        </w:rPr>
      </w:pPr>
      <w:bookmarkStart w:id="26" w:name="_Toc10967"/>
      <w:bookmarkStart w:id="27" w:name="_Toc15396607"/>
      <w:bookmarkStart w:id="28" w:name="_Toc15377209"/>
    </w:p>
    <w:p>
      <w:pPr>
        <w:spacing w:line="600" w:lineRule="exact"/>
        <w:ind w:firstLine="640" w:firstLineChars="200"/>
        <w:outlineLvl w:val="1"/>
        <w:rPr>
          <w:rFonts w:hint="eastAsia" w:ascii="黑体" w:hAnsi="黑体" w:eastAsia="黑体"/>
          <w:color w:val="000000"/>
          <w:sz w:val="32"/>
          <w:szCs w:val="32"/>
        </w:rPr>
      </w:pPr>
    </w:p>
    <w:p>
      <w:pPr>
        <w:spacing w:line="600" w:lineRule="exact"/>
        <w:ind w:firstLine="640" w:firstLineChars="200"/>
        <w:outlineLvl w:val="1"/>
        <w:rPr>
          <w:rStyle w:val="17"/>
          <w:rFonts w:ascii="黑体" w:hAnsi="黑体" w:eastAsia="黑体"/>
          <w:b w:val="0"/>
        </w:rPr>
      </w:pPr>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17"/>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 w:val="32"/>
          <w:szCs w:val="32"/>
        </w:rPr>
      </w:pPr>
      <w:bookmarkStart w:id="29" w:name="_Toc15377210"/>
      <w:r>
        <w:rPr>
          <w:rFonts w:hint="eastAsia" w:ascii="仿宋" w:hAnsi="仿宋" w:eastAsia="仿宋"/>
          <w:b/>
          <w:color w:val="000000"/>
          <w:sz w:val="32"/>
          <w:szCs w:val="32"/>
        </w:rPr>
        <w:t>（一）一般公共预算财政拨款支出决算总体情况</w:t>
      </w:r>
      <w:bookmarkEnd w:id="29"/>
    </w:p>
    <w:p>
      <w:pPr>
        <w:spacing w:line="600" w:lineRule="exact"/>
        <w:ind w:firstLine="64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102.17</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98.8</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2019</w:t>
      </w:r>
      <w:r>
        <w:rPr>
          <w:rFonts w:hint="eastAsia" w:ascii="仿宋" w:hAnsi="仿宋" w:eastAsia="仿宋"/>
          <w:color w:val="000000"/>
          <w:sz w:val="32"/>
          <w:szCs w:val="32"/>
        </w:rPr>
        <w:t>年相比，一般公共预算财政拨款减少</w:t>
      </w:r>
      <w:r>
        <w:rPr>
          <w:rFonts w:hint="eastAsia" w:ascii="仿宋" w:hAnsi="仿宋" w:eastAsia="仿宋"/>
          <w:color w:val="000000"/>
          <w:sz w:val="32"/>
          <w:szCs w:val="32"/>
          <w:lang w:val="en-US" w:eastAsia="zh-CN"/>
        </w:rPr>
        <w:t>2.68</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2.6</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eastAsia="zh-CN"/>
        </w:rPr>
        <w:t>主要原因是开展节约办公。</w:t>
      </w:r>
    </w:p>
    <w:p>
      <w:pPr>
        <w:spacing w:line="600" w:lineRule="exact"/>
        <w:ind w:firstLine="640" w:firstLineChars="200"/>
        <w:rPr>
          <w:rFonts w:hint="eastAsia" w:ascii="仿宋" w:hAnsi="仿宋" w:eastAsia="仿宋"/>
          <w:color w:val="0000FF"/>
          <w:sz w:val="32"/>
          <w:szCs w:val="32"/>
        </w:rPr>
      </w:pPr>
      <w:r>
        <w:rPr>
          <w:rFonts w:hint="eastAsia" w:ascii="仿宋" w:hAnsi="仿宋" w:eastAsia="仿宋"/>
          <w:color w:val="0000FF"/>
          <w:sz w:val="32"/>
          <w:szCs w:val="32"/>
        </w:rPr>
        <w:t>（图</w:t>
      </w:r>
      <w:r>
        <w:rPr>
          <w:rFonts w:ascii="仿宋" w:hAnsi="仿宋" w:eastAsia="仿宋"/>
          <w:color w:val="0000FF"/>
          <w:sz w:val="32"/>
          <w:szCs w:val="32"/>
        </w:rPr>
        <w:t>5</w:t>
      </w:r>
      <w:r>
        <w:rPr>
          <w:rFonts w:hint="eastAsia" w:ascii="仿宋" w:hAnsi="仿宋" w:eastAsia="仿宋"/>
          <w:color w:val="0000FF"/>
          <w:sz w:val="32"/>
          <w:szCs w:val="32"/>
        </w:rPr>
        <w:t>：一般公共预算财政拨款支出决算变动情况）</w:t>
      </w:r>
    </w:p>
    <w:p>
      <w:pPr>
        <w:spacing w:line="600" w:lineRule="exact"/>
        <w:ind w:firstLine="640" w:firstLineChars="200"/>
        <w:rPr>
          <w:rFonts w:hint="eastAsia" w:ascii="仿宋" w:hAnsi="仿宋" w:eastAsia="仿宋"/>
          <w:color w:val="0000FF"/>
          <w:sz w:val="32"/>
          <w:szCs w:val="32"/>
          <w:lang w:eastAsia="zh-CN"/>
        </w:rPr>
      </w:pPr>
      <w:r>
        <w:rPr>
          <w:rFonts w:hint="eastAsia" w:ascii="仿宋" w:hAnsi="仿宋" w:eastAsia="仿宋"/>
          <w:color w:val="0000FF"/>
          <w:sz w:val="32"/>
          <w:szCs w:val="32"/>
          <w:lang w:eastAsia="zh-CN"/>
        </w:rPr>
        <w:drawing>
          <wp:anchor distT="0" distB="0" distL="114300" distR="114300" simplePos="0" relativeHeight="251662336" behindDoc="1" locked="0" layoutInCell="1" allowOverlap="1">
            <wp:simplePos x="0" y="0"/>
            <wp:positionH relativeFrom="column">
              <wp:posOffset>664210</wp:posOffset>
            </wp:positionH>
            <wp:positionV relativeFrom="paragraph">
              <wp:posOffset>92075</wp:posOffset>
            </wp:positionV>
            <wp:extent cx="3958590" cy="2202815"/>
            <wp:effectExtent l="4445" t="4445" r="18415" b="21590"/>
            <wp:wrapTight wrapText="bothSides">
              <wp:wrapPolygon>
                <wp:start x="-24" y="-44"/>
                <wp:lineTo x="-24" y="21438"/>
                <wp:lineTo x="21493" y="21438"/>
                <wp:lineTo x="21493" y="-44"/>
                <wp:lineTo x="-24" y="-44"/>
              </wp:wrapPolygon>
            </wp:wrapTight>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3" w:firstLineChars="200"/>
        <w:outlineLvl w:val="2"/>
        <w:rPr>
          <w:rFonts w:ascii="仿宋" w:hAnsi="仿宋" w:eastAsia="仿宋"/>
          <w:b/>
          <w:color w:val="000000"/>
          <w:sz w:val="32"/>
          <w:szCs w:val="32"/>
        </w:rPr>
      </w:pPr>
      <w:bookmarkStart w:id="30" w:name="_Toc15377211"/>
      <w:r>
        <w:rPr>
          <w:rFonts w:hint="eastAsia" w:ascii="仿宋" w:hAnsi="仿宋" w:eastAsia="仿宋"/>
          <w:b/>
          <w:color w:val="000000"/>
          <w:sz w:val="32"/>
          <w:szCs w:val="32"/>
        </w:rPr>
        <w:t>（二）一般公共预算财政拨款支出决算结构情况</w:t>
      </w:r>
      <w:bookmarkEnd w:id="30"/>
    </w:p>
    <w:p>
      <w:pPr>
        <w:spacing w:line="600" w:lineRule="exact"/>
        <w:ind w:firstLine="640"/>
        <w:rPr>
          <w:rFonts w:hint="eastAsia"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102.17</w:t>
      </w:r>
      <w:r>
        <w:rPr>
          <w:rFonts w:hint="eastAsia" w:ascii="仿宋" w:hAnsi="仿宋" w:eastAsia="仿宋"/>
          <w:color w:val="000000"/>
          <w:sz w:val="32"/>
          <w:szCs w:val="32"/>
        </w:rPr>
        <w:t>万元，主要用于以下方面</w:t>
      </w:r>
      <w:r>
        <w:rPr>
          <w:rFonts w:ascii="仿宋" w:hAnsi="仿宋" w:eastAsia="仿宋"/>
          <w:color w:val="000000"/>
          <w:sz w:val="32"/>
          <w:szCs w:val="32"/>
        </w:rPr>
        <w:t>:</w:t>
      </w:r>
      <w:r>
        <w:rPr>
          <w:rFonts w:hint="eastAsia" w:ascii="仿宋" w:hAnsi="仿宋" w:eastAsia="仿宋"/>
          <w:b/>
          <w:color w:val="000000"/>
          <w:sz w:val="32"/>
          <w:szCs w:val="32"/>
        </w:rPr>
        <w:t>一般公共服务（类）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教育支出（类）</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科学技术（类）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lang w:val="en-US" w:eastAsia="zh-CN"/>
        </w:rPr>
        <w:t>文化旅游体育与传媒（类）</w:t>
      </w:r>
      <w:r>
        <w:rPr>
          <w:rFonts w:hint="eastAsia" w:ascii="仿宋" w:hAnsi="仿宋" w:eastAsia="仿宋"/>
          <w:color w:val="000000"/>
          <w:sz w:val="32"/>
          <w:szCs w:val="32"/>
          <w:lang w:val="en-US" w:eastAsia="zh-CN"/>
        </w:rPr>
        <w:t>支出</w:t>
      </w:r>
      <w:r>
        <w:rPr>
          <w:rFonts w:hint="eastAsia" w:ascii="仿宋" w:hAnsi="仿宋" w:eastAsia="仿宋"/>
          <w:b/>
          <w:bCs/>
          <w:color w:val="000000"/>
          <w:sz w:val="32"/>
          <w:szCs w:val="32"/>
        </w:rPr>
        <w:t>，占</w:t>
      </w:r>
      <w:r>
        <w:rPr>
          <w:rFonts w:hint="eastAsia" w:ascii="仿宋" w:hAnsi="仿宋" w:eastAsia="仿宋"/>
          <w:b/>
          <w:bCs/>
          <w:color w:val="000000"/>
          <w:sz w:val="32"/>
          <w:szCs w:val="32"/>
          <w:lang w:val="en-US" w:eastAsia="zh-CN"/>
        </w:rPr>
        <w:t>0</w:t>
      </w:r>
      <w:r>
        <w:rPr>
          <w:rFonts w:ascii="仿宋" w:hAnsi="仿宋" w:eastAsia="仿宋"/>
          <w:b/>
          <w:bCs/>
          <w:color w:val="000000"/>
          <w:sz w:val="32"/>
          <w:szCs w:val="32"/>
        </w:rPr>
        <w:t>%</w:t>
      </w:r>
      <w:r>
        <w:rPr>
          <w:rFonts w:hint="eastAsia" w:ascii="仿宋" w:hAnsi="仿宋" w:eastAsia="仿宋"/>
          <w:color w:val="000000"/>
          <w:sz w:val="32"/>
          <w:szCs w:val="32"/>
        </w:rPr>
        <w:t>；</w:t>
      </w:r>
      <w:r>
        <w:rPr>
          <w:rFonts w:hint="eastAsia" w:ascii="仿宋" w:hAnsi="仿宋" w:eastAsia="仿宋"/>
          <w:b/>
          <w:color w:val="000000"/>
          <w:sz w:val="32"/>
          <w:szCs w:val="32"/>
        </w:rPr>
        <w:t>社会保障和就业（类）</w:t>
      </w:r>
      <w:r>
        <w:rPr>
          <w:rFonts w:hint="eastAsia" w:ascii="仿宋" w:hAnsi="仿宋" w:eastAsia="仿宋"/>
          <w:color w:val="000000"/>
          <w:sz w:val="32"/>
          <w:szCs w:val="32"/>
        </w:rPr>
        <w:t>支出</w:t>
      </w:r>
      <w:r>
        <w:rPr>
          <w:rFonts w:hint="eastAsia" w:ascii="仿宋" w:hAnsi="仿宋" w:eastAsia="仿宋"/>
          <w:color w:val="000000"/>
          <w:sz w:val="32"/>
          <w:szCs w:val="32"/>
          <w:lang w:val="en-US" w:eastAsia="zh-CN"/>
        </w:rPr>
        <w:t>8.42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b/>
          <w:bCs/>
          <w:color w:val="000000"/>
          <w:sz w:val="32"/>
          <w:szCs w:val="32"/>
        </w:rPr>
        <w:t>卫生健康支出</w:t>
      </w:r>
      <w:r>
        <w:rPr>
          <w:rFonts w:hint="eastAsia" w:ascii="仿宋" w:hAnsi="仿宋" w:eastAsia="仿宋"/>
          <w:color w:val="000000"/>
          <w:sz w:val="32"/>
          <w:szCs w:val="32"/>
          <w:lang w:val="en-US" w:eastAsia="zh-CN"/>
        </w:rPr>
        <w:t>88.62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86.7</w:t>
      </w:r>
      <w:r>
        <w:rPr>
          <w:rFonts w:ascii="仿宋" w:hAnsi="仿宋" w:eastAsia="仿宋"/>
          <w:color w:val="000000"/>
          <w:sz w:val="32"/>
          <w:szCs w:val="32"/>
        </w:rPr>
        <w:t>%</w:t>
      </w:r>
      <w:r>
        <w:rPr>
          <w:rFonts w:hint="eastAsia" w:ascii="仿宋" w:hAnsi="仿宋" w:eastAsia="仿宋"/>
          <w:color w:val="000000"/>
          <w:sz w:val="32"/>
          <w:szCs w:val="32"/>
        </w:rPr>
        <w:t>；住房保障支出</w:t>
      </w:r>
      <w:r>
        <w:rPr>
          <w:rFonts w:hint="eastAsia" w:ascii="仿宋" w:hAnsi="仿宋" w:eastAsia="仿宋"/>
          <w:color w:val="000000"/>
          <w:sz w:val="32"/>
          <w:szCs w:val="32"/>
          <w:lang w:val="en-US" w:eastAsia="zh-CN"/>
        </w:rPr>
        <w:t>5.13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5</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sz w:val="32"/>
          <w:szCs w:val="32"/>
          <w:lang w:eastAsia="zh-CN"/>
        </w:rPr>
        <w:t>其他分类科目支出均为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w:t>
      </w:r>
    </w:p>
    <w:p>
      <w:pPr>
        <w:spacing w:line="600" w:lineRule="exact"/>
        <w:ind w:firstLine="640" w:firstLineChars="200"/>
        <w:jc w:val="center"/>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：一般公共预算财政拨款支出决算结构）</w:t>
      </w:r>
    </w:p>
    <w:p>
      <w:pPr>
        <w:spacing w:line="600" w:lineRule="exact"/>
        <w:ind w:firstLine="643" w:firstLineChars="200"/>
        <w:outlineLvl w:val="2"/>
        <w:rPr>
          <w:rFonts w:hint="eastAsia" w:ascii="仿宋" w:hAnsi="仿宋" w:eastAsia="仿宋"/>
          <w:b/>
          <w:color w:val="000000"/>
          <w:sz w:val="32"/>
          <w:szCs w:val="32"/>
          <w:lang w:eastAsia="zh-CN"/>
        </w:rPr>
      </w:pPr>
      <w:bookmarkStart w:id="31" w:name="_Toc15377212"/>
    </w:p>
    <w:p>
      <w:pPr>
        <w:spacing w:line="600" w:lineRule="exact"/>
        <w:outlineLvl w:val="2"/>
        <w:rPr>
          <w:rFonts w:hint="eastAsia" w:ascii="仿宋" w:hAnsi="仿宋" w:eastAsia="仿宋"/>
          <w:b/>
          <w:color w:val="000000"/>
          <w:sz w:val="32"/>
          <w:szCs w:val="32"/>
        </w:rPr>
      </w:pPr>
    </w:p>
    <w:p>
      <w:pPr>
        <w:spacing w:line="600" w:lineRule="exact"/>
        <w:outlineLvl w:val="2"/>
        <w:rPr>
          <w:rFonts w:hint="eastAsia" w:ascii="仿宋" w:hAnsi="仿宋" w:eastAsia="仿宋"/>
          <w:b/>
          <w:color w:val="000000"/>
          <w:sz w:val="32"/>
          <w:szCs w:val="32"/>
          <w:lang w:val="en-US" w:eastAsia="zh-CN"/>
        </w:rPr>
      </w:pPr>
      <w:r>
        <w:rPr>
          <w:rFonts w:hint="eastAsia" w:ascii="仿宋" w:hAnsi="仿宋" w:eastAsia="仿宋"/>
          <w:b/>
          <w:color w:val="000000"/>
          <w:sz w:val="32"/>
          <w:szCs w:val="32"/>
          <w:lang w:val="en-US" w:eastAsia="zh-CN"/>
        </w:rPr>
        <w:drawing>
          <wp:anchor distT="0" distB="0" distL="114300" distR="114300" simplePos="0" relativeHeight="251663360" behindDoc="0" locked="0" layoutInCell="1" allowOverlap="1">
            <wp:simplePos x="0" y="0"/>
            <wp:positionH relativeFrom="column">
              <wp:posOffset>554355</wp:posOffset>
            </wp:positionH>
            <wp:positionV relativeFrom="paragraph">
              <wp:posOffset>-760095</wp:posOffset>
            </wp:positionV>
            <wp:extent cx="4477385" cy="3301365"/>
            <wp:effectExtent l="4445" t="4445" r="13970" b="8890"/>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outlineLvl w:val="2"/>
        <w:rPr>
          <w:rFonts w:hint="eastAsia" w:ascii="仿宋" w:hAnsi="仿宋" w:eastAsia="仿宋"/>
          <w:b/>
          <w:color w:val="000000"/>
          <w:sz w:val="32"/>
          <w:szCs w:val="32"/>
          <w:lang w:val="en-US" w:eastAsia="zh-CN"/>
        </w:rPr>
      </w:pPr>
    </w:p>
    <w:p>
      <w:pPr>
        <w:spacing w:line="600" w:lineRule="exact"/>
        <w:outlineLvl w:val="2"/>
        <w:rPr>
          <w:rFonts w:hint="eastAsia" w:ascii="仿宋" w:hAnsi="仿宋" w:eastAsia="仿宋"/>
          <w:b/>
          <w:color w:val="000000"/>
          <w:sz w:val="32"/>
          <w:szCs w:val="32"/>
          <w:lang w:val="en-US" w:eastAsia="zh-CN"/>
        </w:rPr>
      </w:pPr>
    </w:p>
    <w:p>
      <w:pPr>
        <w:spacing w:line="600" w:lineRule="exact"/>
        <w:ind w:firstLine="643" w:firstLineChars="200"/>
        <w:outlineLvl w:val="2"/>
        <w:rPr>
          <w:rFonts w:hint="eastAsia" w:ascii="仿宋" w:hAnsi="仿宋" w:eastAsia="仿宋"/>
          <w:b/>
          <w:color w:val="000000"/>
          <w:sz w:val="32"/>
          <w:szCs w:val="32"/>
          <w:lang w:eastAsia="zh-CN"/>
        </w:rPr>
      </w:pPr>
    </w:p>
    <w:p>
      <w:pPr>
        <w:spacing w:line="600" w:lineRule="exact"/>
        <w:ind w:firstLine="643" w:firstLineChars="200"/>
        <w:outlineLvl w:val="2"/>
        <w:rPr>
          <w:rFonts w:hint="eastAsia" w:ascii="仿宋" w:hAnsi="仿宋" w:eastAsia="仿宋"/>
          <w:b/>
          <w:color w:val="000000"/>
          <w:sz w:val="32"/>
          <w:szCs w:val="32"/>
          <w:lang w:eastAsia="zh-CN"/>
        </w:rPr>
      </w:pPr>
    </w:p>
    <w:p>
      <w:pPr>
        <w:spacing w:line="600" w:lineRule="exact"/>
        <w:ind w:firstLine="643" w:firstLineChars="200"/>
        <w:outlineLvl w:val="2"/>
        <w:rPr>
          <w:rFonts w:hint="eastAsia" w:ascii="仿宋" w:hAnsi="仿宋" w:eastAsia="仿宋"/>
          <w:b/>
          <w:color w:val="000000"/>
          <w:sz w:val="32"/>
          <w:szCs w:val="32"/>
          <w:lang w:eastAsia="zh-CN"/>
        </w:rPr>
      </w:pPr>
    </w:p>
    <w:p>
      <w:pPr>
        <w:spacing w:line="600" w:lineRule="exact"/>
        <w:ind w:left="640" w:leftChars="200" w:firstLine="0" w:firstLineChars="0"/>
        <w:outlineLvl w:val="2"/>
        <w:rPr>
          <w:rFonts w:ascii="仿宋" w:hAnsi="仿宋" w:eastAsia="仿宋"/>
          <w:b/>
          <w:color w:val="000000"/>
          <w:sz w:val="32"/>
          <w:szCs w:val="32"/>
        </w:rPr>
      </w:pPr>
      <w:r>
        <w:rPr>
          <w:rFonts w:hint="eastAsia" w:ascii="仿宋" w:hAnsi="仿宋" w:eastAsia="仿宋"/>
          <w:b/>
          <w:color w:val="000000"/>
          <w:sz w:val="32"/>
          <w:szCs w:val="32"/>
          <w:lang w:eastAsia="zh-CN"/>
        </w:rPr>
        <w:t>（</w:t>
      </w:r>
      <w:r>
        <w:rPr>
          <w:rFonts w:hint="eastAsia" w:ascii="仿宋" w:hAnsi="仿宋" w:eastAsia="仿宋"/>
          <w:b/>
          <w:color w:val="000000"/>
          <w:sz w:val="32"/>
          <w:szCs w:val="32"/>
          <w:lang w:val="en-US" w:eastAsia="zh-CN"/>
        </w:rPr>
        <w:t>(</w:t>
      </w:r>
      <w:r>
        <w:rPr>
          <w:rFonts w:hint="eastAsia" w:ascii="仿宋" w:hAnsi="仿宋" w:eastAsia="仿宋"/>
          <w:b/>
          <w:color w:val="000000"/>
          <w:sz w:val="32"/>
          <w:szCs w:val="32"/>
        </w:rPr>
        <w:t>三）一般公共预算财政拨款支出决算具体情况</w:t>
      </w:r>
      <w:bookmarkEnd w:id="31"/>
    </w:p>
    <w:p>
      <w:pPr>
        <w:spacing w:line="600" w:lineRule="exact"/>
        <w:ind w:firstLine="643" w:firstLineChars="200"/>
        <w:outlineLvl w:val="9"/>
        <w:rPr>
          <w:rFonts w:ascii="仿宋" w:hAnsi="仿宋" w:eastAsia="仿宋"/>
          <w:color w:val="FF0000"/>
          <w:sz w:val="32"/>
          <w:szCs w:val="32"/>
        </w:rPr>
      </w:pPr>
      <w:bookmarkStart w:id="32" w:name="_Toc15378460"/>
      <w:bookmarkStart w:id="33" w:name="_Toc15377444"/>
      <w:bookmarkStart w:id="34" w:name="_Toc15377213"/>
      <w:r>
        <w:rPr>
          <w:rFonts w:ascii="仿宋" w:hAnsi="仿宋" w:eastAsia="仿宋"/>
          <w:b/>
          <w:color w:val="000000"/>
          <w:sz w:val="32"/>
          <w:szCs w:val="32"/>
        </w:rPr>
        <w:t>2020</w:t>
      </w:r>
      <w:r>
        <w:rPr>
          <w:rFonts w:hint="eastAsia" w:ascii="仿宋" w:hAnsi="仿宋" w:eastAsia="仿宋"/>
          <w:b/>
          <w:color w:val="000000"/>
          <w:sz w:val="32"/>
          <w:szCs w:val="32"/>
        </w:rPr>
        <w:t>年一般公共预算支出决算数为</w:t>
      </w:r>
      <w:r>
        <w:rPr>
          <w:rFonts w:hint="eastAsia" w:ascii="仿宋" w:hAnsi="仿宋" w:eastAsia="仿宋"/>
          <w:b/>
          <w:color w:val="000000"/>
          <w:sz w:val="32"/>
          <w:szCs w:val="32"/>
          <w:lang w:val="en-US" w:eastAsia="zh-CN"/>
        </w:rPr>
        <w:t>102.17万元</w:t>
      </w:r>
      <w:r>
        <w:rPr>
          <w:rFonts w:hint="eastAsia" w:ascii="仿宋" w:hAnsi="仿宋" w:eastAsia="仿宋"/>
          <w:color w:val="000000"/>
          <w:sz w:val="32"/>
          <w:szCs w:val="32"/>
        </w:rPr>
        <w:t>，</w:t>
      </w:r>
      <w:r>
        <w:rPr>
          <w:rStyle w:val="12"/>
          <w:rFonts w:hint="eastAsia" w:ascii="仿宋" w:hAnsi="仿宋" w:eastAsia="仿宋"/>
          <w:bCs/>
          <w:color w:val="000000"/>
          <w:sz w:val="32"/>
          <w:szCs w:val="32"/>
        </w:rPr>
        <w:t>完成预算</w:t>
      </w:r>
      <w:r>
        <w:rPr>
          <w:rStyle w:val="12"/>
          <w:rFonts w:hint="eastAsia" w:ascii="仿宋" w:hAnsi="仿宋" w:eastAsia="仿宋"/>
          <w:bCs/>
          <w:color w:val="000000"/>
          <w:sz w:val="32"/>
          <w:szCs w:val="32"/>
          <w:lang w:val="en-US" w:eastAsia="zh-CN"/>
        </w:rPr>
        <w:t>100</w:t>
      </w:r>
      <w:r>
        <w:rPr>
          <w:rStyle w:val="12"/>
          <w:rFonts w:ascii="仿宋" w:hAnsi="仿宋" w:eastAsia="仿宋"/>
          <w:bCs/>
          <w:color w:val="000000"/>
          <w:sz w:val="32"/>
          <w:szCs w:val="32"/>
        </w:rPr>
        <w:t>%</w:t>
      </w:r>
      <w:r>
        <w:rPr>
          <w:rStyle w:val="12"/>
          <w:rFonts w:hint="eastAsia" w:ascii="仿宋" w:hAnsi="仿宋" w:eastAsia="仿宋"/>
          <w:bCs/>
          <w:color w:val="000000"/>
          <w:sz w:val="32"/>
          <w:szCs w:val="32"/>
        </w:rPr>
        <w:t>。其中：</w:t>
      </w:r>
      <w:bookmarkEnd w:id="32"/>
      <w:bookmarkEnd w:id="33"/>
      <w:bookmarkEnd w:id="34"/>
    </w:p>
    <w:p>
      <w:pPr>
        <w:spacing w:beforeLines="0" w:afterLines="0"/>
        <w:ind w:firstLine="640" w:firstLineChars="200"/>
        <w:jc w:val="left"/>
        <w:rPr>
          <w:rFonts w:hint="eastAsia" w:ascii="仿宋" w:hAnsi="仿宋" w:eastAsia="仿宋"/>
          <w:sz w:val="32"/>
          <w:szCs w:val="24"/>
        </w:rPr>
      </w:pPr>
      <w:r>
        <w:rPr>
          <w:rFonts w:hint="eastAsia" w:ascii="仿宋" w:hAnsi="仿宋" w:eastAsia="仿宋"/>
          <w:sz w:val="32"/>
          <w:szCs w:val="24"/>
          <w:lang w:val="en-US" w:eastAsia="zh-CN"/>
        </w:rPr>
        <w:t>1.</w:t>
      </w:r>
      <w:r>
        <w:rPr>
          <w:rFonts w:hint="eastAsia" w:ascii="仿宋" w:hAnsi="仿宋" w:eastAsia="仿宋"/>
          <w:sz w:val="32"/>
          <w:szCs w:val="24"/>
        </w:rPr>
        <w:t>社会保障和就业（类）行政事业单位</w:t>
      </w:r>
      <w:r>
        <w:rPr>
          <w:rFonts w:hint="eastAsia" w:ascii="仿宋" w:hAnsi="仿宋" w:eastAsia="仿宋"/>
          <w:sz w:val="32"/>
          <w:szCs w:val="24"/>
          <w:lang w:eastAsia="zh-CN"/>
        </w:rPr>
        <w:t>养老支出</w:t>
      </w:r>
      <w:r>
        <w:rPr>
          <w:rFonts w:hint="eastAsia" w:ascii="仿宋" w:hAnsi="仿宋" w:eastAsia="仿宋"/>
          <w:sz w:val="32"/>
          <w:szCs w:val="24"/>
        </w:rPr>
        <w:t>（款）</w:t>
      </w:r>
      <w:r>
        <w:rPr>
          <w:rFonts w:hint="eastAsia" w:ascii="仿宋" w:hAnsi="仿宋" w:eastAsia="仿宋"/>
          <w:sz w:val="32"/>
          <w:szCs w:val="24"/>
          <w:lang w:eastAsia="zh-CN"/>
        </w:rPr>
        <w:t>行政单位离退休</w:t>
      </w:r>
      <w:r>
        <w:rPr>
          <w:rFonts w:hint="eastAsia" w:ascii="仿宋" w:hAnsi="仿宋" w:eastAsia="仿宋"/>
          <w:sz w:val="32"/>
          <w:szCs w:val="24"/>
        </w:rPr>
        <w:t>（项）:支出决算为</w:t>
      </w:r>
      <w:r>
        <w:rPr>
          <w:rFonts w:hint="eastAsia" w:ascii="仿宋" w:hAnsi="仿宋" w:eastAsia="仿宋"/>
          <w:sz w:val="32"/>
          <w:szCs w:val="24"/>
          <w:lang w:val="en-US" w:eastAsia="zh-CN"/>
        </w:rPr>
        <w:t>2.0</w:t>
      </w:r>
      <w:r>
        <w:rPr>
          <w:rFonts w:hint="eastAsia" w:ascii="仿宋" w:hAnsi="仿宋" w:eastAsia="仿宋"/>
          <w:sz w:val="32"/>
          <w:szCs w:val="24"/>
        </w:rPr>
        <w:t>万元，完成预算100%，决算数等于预算数。</w:t>
      </w:r>
    </w:p>
    <w:p>
      <w:pPr>
        <w:spacing w:beforeLines="0" w:afterLines="0"/>
        <w:ind w:firstLine="640" w:firstLineChars="200"/>
        <w:jc w:val="left"/>
        <w:rPr>
          <w:rFonts w:hint="default" w:ascii="仿宋" w:hAnsi="仿宋" w:eastAsia="仿宋"/>
          <w:sz w:val="32"/>
          <w:szCs w:val="24"/>
          <w:lang w:val="en-US" w:eastAsia="zh-CN"/>
        </w:rPr>
      </w:pPr>
      <w:r>
        <w:rPr>
          <w:rFonts w:hint="eastAsia" w:ascii="仿宋" w:hAnsi="仿宋" w:eastAsia="仿宋"/>
          <w:sz w:val="32"/>
          <w:szCs w:val="24"/>
          <w:lang w:val="en-US" w:eastAsia="zh-CN"/>
        </w:rPr>
        <w:t>2.</w:t>
      </w:r>
      <w:r>
        <w:rPr>
          <w:rFonts w:hint="eastAsia" w:ascii="仿宋" w:hAnsi="仿宋" w:eastAsia="仿宋"/>
          <w:sz w:val="32"/>
          <w:szCs w:val="24"/>
        </w:rPr>
        <w:t>社会保障和就业（类）行政事业单位</w:t>
      </w:r>
      <w:r>
        <w:rPr>
          <w:rFonts w:hint="eastAsia" w:ascii="仿宋" w:hAnsi="仿宋" w:eastAsia="仿宋"/>
          <w:sz w:val="32"/>
          <w:szCs w:val="24"/>
          <w:lang w:eastAsia="zh-CN"/>
        </w:rPr>
        <w:t>养老支出</w:t>
      </w:r>
      <w:r>
        <w:rPr>
          <w:rFonts w:hint="eastAsia" w:ascii="仿宋" w:hAnsi="仿宋" w:eastAsia="仿宋"/>
          <w:sz w:val="32"/>
          <w:szCs w:val="24"/>
        </w:rPr>
        <w:t>（款</w:t>
      </w:r>
      <w:r>
        <w:rPr>
          <w:rFonts w:hint="eastAsia" w:ascii="仿宋" w:hAnsi="仿宋" w:eastAsia="仿宋"/>
          <w:sz w:val="32"/>
          <w:szCs w:val="24"/>
          <w:lang w:eastAsia="zh-CN"/>
        </w:rPr>
        <w:t>）</w:t>
      </w:r>
      <w:r>
        <w:rPr>
          <w:rFonts w:hint="eastAsia" w:ascii="仿宋" w:hAnsi="仿宋" w:eastAsia="仿宋"/>
          <w:sz w:val="32"/>
          <w:szCs w:val="24"/>
        </w:rPr>
        <w:t>机关事业单位基本养老保险缴费支出</w:t>
      </w:r>
      <w:r>
        <w:rPr>
          <w:rFonts w:hint="eastAsia" w:ascii="仿宋" w:hAnsi="仿宋" w:eastAsia="仿宋"/>
          <w:sz w:val="32"/>
          <w:szCs w:val="24"/>
          <w:lang w:eastAsia="zh-CN"/>
        </w:rPr>
        <w:t>（项）：支出决算为</w:t>
      </w:r>
      <w:r>
        <w:rPr>
          <w:rFonts w:hint="eastAsia" w:ascii="仿宋" w:hAnsi="仿宋" w:eastAsia="仿宋"/>
          <w:sz w:val="32"/>
          <w:szCs w:val="24"/>
          <w:lang w:val="en-US" w:eastAsia="zh-CN"/>
        </w:rPr>
        <w:t>6.42万元。完成预算125.3%，决算数比预算数多1.70万元的原因为基数调整。</w:t>
      </w:r>
    </w:p>
    <w:p>
      <w:pPr>
        <w:spacing w:beforeLines="0" w:afterLines="0"/>
        <w:ind w:firstLine="640" w:firstLineChars="200"/>
        <w:jc w:val="left"/>
        <w:rPr>
          <w:rFonts w:hint="eastAsia" w:ascii="仿宋" w:hAnsi="仿宋" w:eastAsia="仿宋"/>
          <w:sz w:val="32"/>
          <w:szCs w:val="24"/>
          <w:lang w:eastAsia="zh-CN"/>
        </w:rPr>
      </w:pPr>
      <w:r>
        <w:rPr>
          <w:rFonts w:hint="eastAsia" w:ascii="仿宋" w:hAnsi="仿宋" w:eastAsia="仿宋"/>
          <w:sz w:val="32"/>
          <w:szCs w:val="24"/>
          <w:lang w:val="en-US" w:eastAsia="zh-CN"/>
        </w:rPr>
        <w:t>3.</w:t>
      </w:r>
      <w:r>
        <w:rPr>
          <w:rFonts w:hint="eastAsia" w:ascii="仿宋" w:hAnsi="仿宋" w:eastAsia="仿宋"/>
          <w:sz w:val="32"/>
          <w:szCs w:val="24"/>
        </w:rPr>
        <w:t>卫生健康</w:t>
      </w:r>
      <w:r>
        <w:rPr>
          <w:rFonts w:hint="eastAsia" w:ascii="仿宋" w:hAnsi="仿宋" w:eastAsia="仿宋"/>
          <w:sz w:val="32"/>
          <w:szCs w:val="24"/>
          <w:lang w:eastAsia="zh-CN"/>
        </w:rPr>
        <w:t>支出</w:t>
      </w:r>
      <w:r>
        <w:rPr>
          <w:rFonts w:hint="eastAsia" w:ascii="仿宋" w:hAnsi="仿宋" w:eastAsia="仿宋"/>
          <w:sz w:val="32"/>
          <w:szCs w:val="24"/>
        </w:rPr>
        <w:t>（类）</w:t>
      </w:r>
      <w:r>
        <w:rPr>
          <w:rFonts w:hint="eastAsia" w:ascii="仿宋" w:hAnsi="仿宋" w:eastAsia="仿宋"/>
          <w:sz w:val="32"/>
          <w:szCs w:val="24"/>
          <w:lang w:eastAsia="zh-CN"/>
        </w:rPr>
        <w:t>公共卫生</w:t>
      </w:r>
      <w:r>
        <w:rPr>
          <w:rFonts w:hint="eastAsia" w:ascii="仿宋" w:hAnsi="仿宋" w:eastAsia="仿宋"/>
          <w:sz w:val="32"/>
          <w:szCs w:val="24"/>
        </w:rPr>
        <w:t>（款）</w:t>
      </w:r>
      <w:r>
        <w:rPr>
          <w:rFonts w:hint="eastAsia" w:ascii="仿宋" w:hAnsi="仿宋" w:eastAsia="仿宋"/>
          <w:sz w:val="32"/>
          <w:szCs w:val="24"/>
          <w:lang w:eastAsia="zh-CN"/>
        </w:rPr>
        <w:t>卫生监督机构</w:t>
      </w:r>
      <w:r>
        <w:rPr>
          <w:rFonts w:hint="eastAsia" w:ascii="仿宋" w:hAnsi="仿宋" w:eastAsia="仿宋"/>
          <w:sz w:val="32"/>
          <w:szCs w:val="24"/>
        </w:rPr>
        <w:t>（项）</w:t>
      </w:r>
      <w:r>
        <w:rPr>
          <w:rFonts w:hint="eastAsia" w:ascii="仿宋" w:hAnsi="仿宋" w:eastAsia="仿宋"/>
          <w:sz w:val="32"/>
          <w:szCs w:val="24"/>
          <w:lang w:eastAsia="zh-CN"/>
        </w:rPr>
        <w:t>：支出决算为</w:t>
      </w:r>
      <w:r>
        <w:rPr>
          <w:rFonts w:hint="eastAsia" w:ascii="仿宋" w:hAnsi="仿宋" w:eastAsia="仿宋"/>
          <w:sz w:val="32"/>
          <w:szCs w:val="24"/>
          <w:lang w:val="en-US" w:eastAsia="zh-CN"/>
        </w:rPr>
        <w:t>85.05万元。完成预算119.8%，决算数比预算数多14万元的原因为员工进行体检等活动。</w:t>
      </w:r>
    </w:p>
    <w:p>
      <w:pPr>
        <w:spacing w:beforeLines="0" w:afterLines="0"/>
        <w:ind w:firstLine="640" w:firstLineChars="200"/>
        <w:jc w:val="left"/>
        <w:rPr>
          <w:rFonts w:hint="eastAsia" w:ascii="仿宋" w:hAnsi="仿宋" w:eastAsia="仿宋"/>
          <w:sz w:val="32"/>
          <w:szCs w:val="24"/>
          <w:lang w:eastAsia="zh-CN"/>
        </w:rPr>
      </w:pPr>
      <w:r>
        <w:rPr>
          <w:rFonts w:hint="eastAsia" w:ascii="仿宋" w:hAnsi="仿宋" w:eastAsia="仿宋"/>
          <w:sz w:val="32"/>
          <w:szCs w:val="24"/>
          <w:lang w:val="en-US" w:eastAsia="zh-CN"/>
        </w:rPr>
        <w:t>4.</w:t>
      </w:r>
      <w:r>
        <w:rPr>
          <w:rFonts w:hint="eastAsia" w:ascii="仿宋" w:hAnsi="仿宋" w:eastAsia="仿宋"/>
          <w:sz w:val="32"/>
          <w:szCs w:val="24"/>
        </w:rPr>
        <w:t>卫生健康</w:t>
      </w:r>
      <w:r>
        <w:rPr>
          <w:rFonts w:hint="eastAsia" w:ascii="仿宋" w:hAnsi="仿宋" w:eastAsia="仿宋"/>
          <w:sz w:val="32"/>
          <w:szCs w:val="24"/>
          <w:lang w:eastAsia="zh-CN"/>
        </w:rPr>
        <w:t>支出</w:t>
      </w:r>
      <w:r>
        <w:rPr>
          <w:rFonts w:hint="eastAsia" w:ascii="仿宋" w:hAnsi="仿宋" w:eastAsia="仿宋"/>
          <w:sz w:val="32"/>
          <w:szCs w:val="24"/>
        </w:rPr>
        <w:t>（类）</w:t>
      </w:r>
      <w:r>
        <w:rPr>
          <w:rFonts w:hint="eastAsia" w:ascii="仿宋" w:hAnsi="仿宋" w:eastAsia="仿宋"/>
          <w:sz w:val="32"/>
          <w:szCs w:val="24"/>
          <w:lang w:eastAsia="zh-CN"/>
        </w:rPr>
        <w:t>行政事业单位医疗（款）行政单位医疗（项）：支出决算为</w:t>
      </w:r>
      <w:r>
        <w:rPr>
          <w:rFonts w:hint="eastAsia" w:ascii="仿宋" w:hAnsi="仿宋" w:eastAsia="仿宋"/>
          <w:sz w:val="32"/>
          <w:szCs w:val="24"/>
          <w:lang w:val="en-US" w:eastAsia="zh-CN"/>
        </w:rPr>
        <w:t>3.56万元。</w:t>
      </w:r>
      <w:r>
        <w:rPr>
          <w:rFonts w:hint="eastAsia" w:ascii="仿宋" w:hAnsi="仿宋" w:eastAsia="仿宋"/>
          <w:sz w:val="32"/>
          <w:szCs w:val="24"/>
        </w:rPr>
        <w:t>完成预算100%，决算数等于预算数。</w:t>
      </w:r>
    </w:p>
    <w:p>
      <w:pPr>
        <w:spacing w:beforeLines="0" w:afterLines="0"/>
        <w:ind w:firstLine="640" w:firstLineChars="200"/>
        <w:jc w:val="left"/>
        <w:rPr>
          <w:rStyle w:val="12"/>
          <w:rFonts w:hint="eastAsia" w:ascii="仿宋" w:hAnsi="仿宋" w:eastAsia="仿宋"/>
          <w:b w:val="0"/>
          <w:bCs/>
          <w:color w:val="000000"/>
          <w:sz w:val="32"/>
          <w:szCs w:val="32"/>
          <w:lang w:eastAsia="zh-CN"/>
        </w:rPr>
      </w:pPr>
      <w:r>
        <w:rPr>
          <w:rFonts w:hint="eastAsia" w:ascii="仿宋" w:hAnsi="仿宋" w:eastAsia="仿宋"/>
          <w:sz w:val="32"/>
          <w:szCs w:val="24"/>
          <w:lang w:val="en-US" w:eastAsia="zh-CN"/>
        </w:rPr>
        <w:t>5.住房保障支出（类）住房改革支出（款）住房公积金（项）：支出决算为5.13万元。</w:t>
      </w:r>
      <w:r>
        <w:rPr>
          <w:rFonts w:hint="eastAsia" w:ascii="仿宋" w:hAnsi="仿宋" w:eastAsia="仿宋"/>
          <w:sz w:val="32"/>
          <w:szCs w:val="24"/>
        </w:rPr>
        <w:t>完成预算100%，决算数等于预算数。</w:t>
      </w:r>
    </w:p>
    <w:p>
      <w:pPr>
        <w:spacing w:line="600" w:lineRule="exact"/>
        <w:rPr>
          <w:rFonts w:ascii="仿宋" w:hAnsi="仿宋" w:eastAsia="仿宋"/>
          <w:b/>
          <w:color w:val="000000"/>
          <w:sz w:val="32"/>
          <w:szCs w:val="32"/>
        </w:rPr>
      </w:pPr>
    </w:p>
    <w:p>
      <w:pPr>
        <w:tabs>
          <w:tab w:val="right" w:pos="8306"/>
        </w:tabs>
        <w:spacing w:line="600" w:lineRule="exact"/>
        <w:ind w:firstLine="640"/>
        <w:outlineLvl w:val="1"/>
        <w:rPr>
          <w:rStyle w:val="17"/>
        </w:rPr>
      </w:pPr>
      <w:bookmarkStart w:id="35" w:name="_Toc15377214"/>
      <w:bookmarkStart w:id="36" w:name="_Toc15396608"/>
      <w:bookmarkStart w:id="37" w:name="_Toc31021"/>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17"/>
          <w:rFonts w:hint="eastAsia" w:ascii="黑体" w:hAnsi="黑体" w:eastAsia="黑体"/>
          <w:b w:val="0"/>
        </w:rPr>
        <w:t>般公共预算财政拨款基本支出决算情况说明</w:t>
      </w:r>
      <w:bookmarkEnd w:id="35"/>
      <w:bookmarkEnd w:id="36"/>
      <w:bookmarkEnd w:id="37"/>
      <w:r>
        <w:rPr>
          <w:rStyle w:val="17"/>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102.17</w:t>
      </w:r>
      <w:r>
        <w:rPr>
          <w:rFonts w:hint="eastAsia" w:ascii="仿宋" w:hAnsi="仿宋" w:eastAsia="仿宋"/>
          <w:color w:val="000000"/>
          <w:sz w:val="32"/>
          <w:szCs w:val="32"/>
        </w:rPr>
        <w:t>万元，其中：</w:t>
      </w:r>
    </w:p>
    <w:p>
      <w:pPr>
        <w:spacing w:line="600" w:lineRule="exact"/>
        <w:ind w:firstLine="645"/>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82.2</w:t>
      </w:r>
      <w:r>
        <w:rPr>
          <w:rFonts w:hint="eastAsia" w:ascii="仿宋" w:hAnsi="仿宋" w:eastAsia="仿宋"/>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　　日常公用经费</w:t>
      </w:r>
      <w:r>
        <w:rPr>
          <w:rFonts w:hint="eastAsia" w:ascii="仿宋" w:hAnsi="仿宋" w:eastAsia="仿宋"/>
          <w:color w:val="000000"/>
          <w:sz w:val="32"/>
          <w:szCs w:val="32"/>
          <w:lang w:val="en-US" w:eastAsia="zh-CN"/>
        </w:rPr>
        <w:t>19.97</w:t>
      </w:r>
      <w:r>
        <w:rPr>
          <w:rFonts w:hint="eastAsia" w:ascii="仿宋" w:hAnsi="仿宋" w:eastAsia="仿宋"/>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rPr>
          <w:rFonts w:ascii="仿宋" w:hAnsi="仿宋" w:eastAsia="仿宋"/>
          <w:b/>
          <w:color w:val="FF0000"/>
          <w:sz w:val="32"/>
          <w:szCs w:val="32"/>
        </w:rPr>
      </w:pPr>
    </w:p>
    <w:p>
      <w:pPr>
        <w:spacing w:line="600" w:lineRule="exact"/>
        <w:ind w:firstLine="640"/>
        <w:outlineLvl w:val="1"/>
        <w:rPr>
          <w:rStyle w:val="17"/>
          <w:rFonts w:ascii="黑体" w:hAnsi="黑体" w:eastAsia="黑体"/>
          <w:b w:val="0"/>
        </w:rPr>
      </w:pPr>
      <w:bookmarkStart w:id="38" w:name="_Toc15377215"/>
      <w:bookmarkStart w:id="39" w:name="_Toc6926"/>
      <w:bookmarkStart w:id="40" w:name="_Toc15396609"/>
      <w:r>
        <w:rPr>
          <w:rFonts w:hint="eastAsia" w:ascii="黑体" w:eastAsia="黑体"/>
          <w:color w:val="000000"/>
          <w:sz w:val="32"/>
          <w:szCs w:val="32"/>
        </w:rPr>
        <w:t>七、</w:t>
      </w:r>
      <w:r>
        <w:rPr>
          <w:rStyle w:val="17"/>
          <w:rFonts w:hint="eastAsia" w:ascii="黑体" w:hAnsi="黑体" w:eastAsia="黑体"/>
        </w:rPr>
        <w:t>“</w:t>
      </w:r>
      <w:r>
        <w:rPr>
          <w:rStyle w:val="17"/>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 w:val="32"/>
          <w:szCs w:val="32"/>
        </w:rPr>
      </w:pPr>
      <w:bookmarkStart w:id="41" w:name="_Toc15377216"/>
      <w:r>
        <w:rPr>
          <w:rFonts w:hint="eastAsia" w:ascii="仿宋" w:hAnsi="仿宋" w:eastAsia="仿宋"/>
          <w:b/>
          <w:color w:val="000000"/>
          <w:sz w:val="32"/>
          <w:szCs w:val="32"/>
        </w:rPr>
        <w:t>（一）“三公”经费财政拨款支出决算总体情况说明</w:t>
      </w:r>
      <w:bookmarkEnd w:id="41"/>
    </w:p>
    <w:p>
      <w:pPr>
        <w:spacing w:line="600" w:lineRule="exact"/>
        <w:ind w:firstLine="640"/>
        <w:rPr>
          <w:rFonts w:hint="eastAsia" w:ascii="仿宋" w:hAnsi="仿宋" w:eastAsia="仿宋"/>
          <w:color w:val="000000"/>
          <w:sz w:val="32"/>
          <w:szCs w:val="32"/>
          <w:lang w:eastAsia="zh-CN"/>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lang w:val="en-US" w:eastAsia="zh-CN"/>
        </w:rPr>
        <w:t>.</w:t>
      </w:r>
    </w:p>
    <w:p>
      <w:pPr>
        <w:spacing w:line="600" w:lineRule="exact"/>
        <w:ind w:firstLine="640"/>
        <w:outlineLvl w:val="2"/>
        <w:rPr>
          <w:rFonts w:ascii="仿宋" w:hAnsi="仿宋" w:eastAsia="仿宋"/>
          <w:b/>
          <w:color w:val="000000"/>
          <w:sz w:val="32"/>
          <w:szCs w:val="32"/>
        </w:rPr>
      </w:pPr>
      <w:bookmarkStart w:id="42" w:name="_Toc15377217"/>
      <w:r>
        <w:rPr>
          <w:rFonts w:hint="eastAsia" w:ascii="仿宋" w:hAnsi="仿宋" w:eastAsia="仿宋"/>
          <w:b/>
          <w:color w:val="000000"/>
          <w:sz w:val="32"/>
          <w:szCs w:val="32"/>
        </w:rPr>
        <w:t>（二）“三公”经费财政拨款支出决算具体情况说明</w:t>
      </w:r>
      <w:bookmarkEnd w:id="42"/>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_GB2312" w:eastAsia="仿宋_GB2312"/>
          <w:b/>
          <w:color w:val="000000"/>
          <w:sz w:val="32"/>
          <w:szCs w:val="32"/>
          <w:lang w:eastAsia="zh-CN"/>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hint="eastAsia" w:ascii="仿宋_GB2312"/>
          <w:color w:val="000000"/>
          <w:sz w:val="32"/>
          <w:szCs w:val="32"/>
          <w:lang w:val="en-US" w:eastAsia="zh-CN"/>
        </w:rPr>
        <w:t>0</w:t>
      </w:r>
      <w:r>
        <w:rPr>
          <w:rFonts w:hint="eastAsia" w:ascii="仿宋_GB2312" w:eastAsia="仿宋_GB2312"/>
          <w:color w:val="000000"/>
          <w:sz w:val="32"/>
          <w:szCs w:val="32"/>
        </w:rPr>
        <w:t>次，出国（境）</w:t>
      </w:r>
      <w:r>
        <w:rPr>
          <w:rFonts w:hint="eastAsia" w:ascii="仿宋_GB2312"/>
          <w:color w:val="000000"/>
          <w:sz w:val="32"/>
          <w:szCs w:val="32"/>
          <w:lang w:val="en-US" w:eastAsia="zh-CN"/>
        </w:rPr>
        <w:t>0</w:t>
      </w:r>
      <w:r>
        <w:rPr>
          <w:rFonts w:hint="eastAsia" w:ascii="仿宋_GB2312" w:eastAsia="仿宋_GB2312"/>
          <w:color w:val="000000"/>
          <w:sz w:val="32"/>
          <w:szCs w:val="32"/>
        </w:rPr>
        <w:t>人。因公出国（境）支出决算</w:t>
      </w:r>
      <w:r>
        <w:rPr>
          <w:rFonts w:hint="eastAsia" w:ascii="仿宋_GB2312"/>
          <w:color w:val="000000"/>
          <w:sz w:val="32"/>
          <w:szCs w:val="32"/>
          <w:lang w:eastAsia="zh-CN"/>
        </w:rPr>
        <w:t>与</w:t>
      </w:r>
      <w:r>
        <w:rPr>
          <w:rFonts w:ascii="仿宋_GB2312" w:eastAsia="仿宋_GB2312"/>
          <w:color w:val="000000"/>
          <w:sz w:val="32"/>
          <w:szCs w:val="32"/>
        </w:rPr>
        <w:t>201</w:t>
      </w:r>
      <w:r>
        <w:rPr>
          <w:rFonts w:hint="eastAsia" w:ascii="仿宋_GB2312"/>
          <w:color w:val="000000"/>
          <w:sz w:val="32"/>
          <w:szCs w:val="32"/>
          <w:lang w:val="en-US" w:eastAsia="zh-CN"/>
        </w:rPr>
        <w:t>9</w:t>
      </w:r>
      <w:r>
        <w:rPr>
          <w:rFonts w:hint="eastAsia" w:ascii="仿宋_GB2312" w:eastAsia="仿宋_GB2312"/>
          <w:color w:val="000000"/>
          <w:sz w:val="32"/>
          <w:szCs w:val="32"/>
        </w:rPr>
        <w:t>年</w:t>
      </w:r>
      <w:r>
        <w:rPr>
          <w:rFonts w:hint="eastAsia" w:ascii="仿宋_GB2312"/>
          <w:color w:val="000000"/>
          <w:sz w:val="32"/>
          <w:szCs w:val="32"/>
          <w:lang w:eastAsia="zh-CN"/>
        </w:rPr>
        <w:t>无增加减少。</w:t>
      </w:r>
    </w:p>
    <w:p>
      <w:pPr>
        <w:spacing w:line="600" w:lineRule="exact"/>
        <w:ind w:firstLine="640"/>
        <w:rPr>
          <w:rFonts w:hint="eastAsia" w:ascii="仿宋_GB2312" w:eastAsia="仿宋_GB2312"/>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color w:val="000000"/>
          <w:sz w:val="32"/>
          <w:szCs w:val="32"/>
          <w:lang w:val="en-US" w:eastAsia="zh-CN"/>
        </w:rPr>
        <w:t>2019</w:t>
      </w:r>
      <w:r>
        <w:rPr>
          <w:rFonts w:hint="eastAsia" w:ascii="仿宋_GB2312" w:eastAsia="仿宋_GB2312"/>
          <w:color w:val="000000"/>
          <w:sz w:val="32"/>
          <w:szCs w:val="32"/>
        </w:rPr>
        <w:t>年</w:t>
      </w:r>
      <w:r>
        <w:rPr>
          <w:rFonts w:hint="eastAsia" w:ascii="仿宋_GB2312"/>
          <w:color w:val="000000"/>
          <w:sz w:val="32"/>
          <w:szCs w:val="32"/>
          <w:lang w:eastAsia="zh-CN"/>
        </w:rPr>
        <w:t>无增加减少。</w:t>
      </w:r>
      <w:r>
        <w:rPr>
          <w:rFonts w:hint="eastAsia" w:ascii="仿宋_GB2312" w:eastAsia="仿宋_GB2312"/>
          <w:b/>
          <w:color w:val="000000"/>
          <w:sz w:val="32"/>
          <w:szCs w:val="32"/>
        </w:rPr>
        <w:t>公务用车运行维护费支出</w:t>
      </w:r>
      <w:r>
        <w:rPr>
          <w:rFonts w:hint="eastAsia" w:ascii="仿宋_GB2312"/>
          <w:b/>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outlineLvl w:val="1"/>
        <w:rPr>
          <w:rFonts w:hint="eastAsia" w:ascii="仿宋_GB2312"/>
          <w:color w:val="000000"/>
          <w:sz w:val="32"/>
          <w:szCs w:val="32"/>
          <w:lang w:eastAsia="zh-CN"/>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Style w:val="12"/>
          <w:rFonts w:hint="eastAsia" w:ascii="仿宋" w:hAnsi="仿宋" w:eastAsia="仿宋"/>
          <w:b w:val="0"/>
          <w:bCs/>
          <w:color w:val="000000"/>
          <w:sz w:val="32"/>
          <w:szCs w:val="32"/>
        </w:rPr>
        <w:t>完成预算</w:t>
      </w:r>
      <w:r>
        <w:rPr>
          <w:rStyle w:val="12"/>
          <w:rFonts w:hint="eastAsia" w:ascii="仿宋" w:hAnsi="仿宋" w:eastAsia="仿宋"/>
          <w:b w:val="0"/>
          <w:bCs/>
          <w:color w:val="000000"/>
          <w:sz w:val="32"/>
          <w:szCs w:val="32"/>
          <w:lang w:val="en-US" w:eastAsia="zh-CN"/>
        </w:rPr>
        <w:t>100</w:t>
      </w:r>
      <w:r>
        <w:rPr>
          <w:rStyle w:val="12"/>
          <w:rFonts w:ascii="仿宋" w:hAnsi="仿宋" w:eastAsia="仿宋"/>
          <w:b w:val="0"/>
          <w:bCs/>
          <w:color w:val="000000"/>
          <w:sz w:val="32"/>
          <w:szCs w:val="32"/>
        </w:rPr>
        <w:t>%</w:t>
      </w:r>
      <w:r>
        <w:rPr>
          <w:rStyle w:val="12"/>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2019</w:t>
      </w:r>
      <w:r>
        <w:rPr>
          <w:rFonts w:hint="eastAsia" w:ascii="仿宋_GB2312" w:eastAsia="仿宋_GB2312"/>
          <w:color w:val="000000"/>
          <w:sz w:val="32"/>
          <w:szCs w:val="32"/>
        </w:rPr>
        <w:t>年</w:t>
      </w:r>
      <w:r>
        <w:rPr>
          <w:rFonts w:hint="eastAsia" w:ascii="仿宋_GB2312"/>
          <w:color w:val="000000"/>
          <w:sz w:val="32"/>
          <w:szCs w:val="32"/>
          <w:lang w:eastAsia="zh-CN"/>
        </w:rPr>
        <w:t>无增加减少。</w:t>
      </w: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w:t>
      </w:r>
      <w:r>
        <w:rPr>
          <w:rFonts w:hint="eastAsia" w:ascii="仿宋_GB2312"/>
          <w:color w:val="000000"/>
          <w:sz w:val="32"/>
          <w:szCs w:val="32"/>
          <w:lang w:eastAsia="zh-CN"/>
        </w:rPr>
        <w:t>。</w:t>
      </w:r>
      <w:r>
        <w:rPr>
          <w:rFonts w:hint="eastAsia" w:ascii="仿宋" w:hAnsi="仿宋" w:eastAsia="仿宋"/>
          <w:b/>
          <w:color w:val="000000"/>
          <w:sz w:val="32"/>
          <w:szCs w:val="32"/>
        </w:rPr>
        <w:t>外事接待支出</w:t>
      </w:r>
      <w:r>
        <w:rPr>
          <w:rFonts w:hint="eastAsia" w:ascii="仿宋" w:hAnsi="仿宋" w:eastAsia="仿宋"/>
          <w:color w:val="000000"/>
          <w:sz w:val="32"/>
          <w:szCs w:val="32"/>
          <w:lang w:val="en-US" w:eastAsia="zh-CN"/>
        </w:rPr>
        <w:t>0</w:t>
      </w:r>
      <w:r>
        <w:rPr>
          <w:rFonts w:hint="eastAsia" w:ascii="仿宋_GB2312" w:eastAsia="仿宋_GB2312"/>
          <w:color w:val="000000"/>
          <w:sz w:val="32"/>
          <w:szCs w:val="32"/>
        </w:rPr>
        <w:t>万元</w:t>
      </w:r>
      <w:bookmarkStart w:id="43" w:name="_Toc15377218"/>
      <w:bookmarkStart w:id="44" w:name="_Toc9843"/>
      <w:bookmarkStart w:id="45" w:name="_Toc15396610"/>
      <w:r>
        <w:rPr>
          <w:rFonts w:hint="eastAsia" w:ascii="仿宋_GB2312"/>
          <w:color w:val="000000"/>
          <w:sz w:val="32"/>
          <w:szCs w:val="32"/>
          <w:lang w:eastAsia="zh-CN"/>
        </w:rPr>
        <w:t>。</w:t>
      </w:r>
    </w:p>
    <w:p>
      <w:pPr>
        <w:spacing w:line="600" w:lineRule="exact"/>
        <w:ind w:firstLine="640"/>
        <w:outlineLvl w:val="1"/>
        <w:rPr>
          <w:rStyle w:val="17"/>
          <w:rFonts w:ascii="黑体" w:hAnsi="黑体" w:eastAsia="黑体"/>
        </w:rPr>
      </w:pPr>
      <w:r>
        <w:rPr>
          <w:rFonts w:hint="eastAsia" w:ascii="黑体" w:eastAsia="黑体"/>
          <w:color w:val="000000"/>
          <w:sz w:val="32"/>
          <w:szCs w:val="32"/>
        </w:rPr>
        <w:t>八、</w:t>
      </w:r>
      <w:r>
        <w:rPr>
          <w:rStyle w:val="17"/>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年政府性基金预算拨款支出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2"/>
        </w:numPr>
        <w:spacing w:line="600" w:lineRule="exact"/>
        <w:ind w:firstLine="640"/>
        <w:outlineLvl w:val="1"/>
        <w:rPr>
          <w:rStyle w:val="17"/>
          <w:rFonts w:ascii="黑体" w:hAnsi="黑体" w:eastAsia="黑体"/>
          <w:b w:val="0"/>
        </w:rPr>
      </w:pPr>
      <w:bookmarkStart w:id="46" w:name="_Toc15396611"/>
      <w:bookmarkStart w:id="47" w:name="_Toc10775"/>
      <w:bookmarkStart w:id="48" w:name="_Toc15377219"/>
      <w:r>
        <w:rPr>
          <w:rStyle w:val="17"/>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2020</w:t>
      </w:r>
      <w:r>
        <w:rPr>
          <w:rFonts w:hint="eastAsia" w:ascii="仿宋_GB2312" w:eastAsia="仿宋_GB2312"/>
          <w:color w:val="000000"/>
          <w:sz w:val="32"/>
          <w:szCs w:val="32"/>
        </w:rPr>
        <w:t>年国有资本经营预算拨款支出</w:t>
      </w:r>
      <w:r>
        <w:rPr>
          <w:rFonts w:hint="eastAsia" w:ascii="仿宋_GB2312"/>
          <w:color w:val="000000"/>
          <w:sz w:val="32"/>
          <w:szCs w:val="32"/>
          <w:lang w:val="en-US" w:eastAsia="zh-CN"/>
        </w:rPr>
        <w:t>0</w:t>
      </w:r>
      <w:r>
        <w:rPr>
          <w:rFonts w:hint="eastAsia" w:ascii="仿宋_GB2312" w:eastAsia="仿宋_GB2312"/>
          <w:color w:val="000000"/>
          <w:sz w:val="32"/>
          <w:szCs w:val="32"/>
        </w:rPr>
        <w:t>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7"/>
          <w:rFonts w:ascii="黑体" w:hAnsi="黑体" w:eastAsia="黑体"/>
        </w:rPr>
      </w:pPr>
      <w:bookmarkStart w:id="49" w:name="_Toc15377221"/>
      <w:bookmarkStart w:id="50" w:name="_Toc738"/>
      <w:bookmarkStart w:id="51" w:name="_Toc15396612"/>
      <w:r>
        <w:rPr>
          <w:rFonts w:hint="eastAsia" w:ascii="黑体" w:hAnsi="黑体" w:eastAsia="黑体"/>
          <w:color w:val="000000"/>
          <w:sz w:val="32"/>
          <w:szCs w:val="32"/>
        </w:rPr>
        <w:t>十</w:t>
      </w:r>
      <w:r>
        <w:rPr>
          <w:rStyle w:val="17"/>
          <w:rFonts w:hint="eastAsia" w:ascii="黑体" w:hAnsi="黑体" w:eastAsia="黑体"/>
        </w:rPr>
        <w:t>、</w:t>
      </w:r>
      <w:r>
        <w:rPr>
          <w:rStyle w:val="17"/>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eastAsia" w:ascii="仿宋_GB2312" w:eastAsia="仿宋_GB2312"/>
          <w:color w:val="000000"/>
          <w:sz w:val="32"/>
          <w:szCs w:val="32"/>
          <w:lang w:eastAsia="zh-CN"/>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自流井区卫生和计划生育监督执法大队</w:t>
      </w:r>
      <w:r>
        <w:rPr>
          <w:rFonts w:hint="eastAsia" w:ascii="仿宋_GB2312" w:eastAsia="仿宋_GB2312"/>
          <w:color w:val="000000"/>
          <w:sz w:val="32"/>
          <w:szCs w:val="32"/>
        </w:rPr>
        <w:t>运行经费支出</w:t>
      </w:r>
      <w:r>
        <w:rPr>
          <w:rFonts w:hint="eastAsia" w:ascii="仿宋_GB2312"/>
          <w:color w:val="000000"/>
          <w:sz w:val="32"/>
          <w:szCs w:val="32"/>
          <w:lang w:val="en-US" w:eastAsia="zh-CN"/>
        </w:rPr>
        <w:t>19.96</w:t>
      </w:r>
      <w:r>
        <w:rPr>
          <w:rFonts w:hint="eastAsia" w:ascii="仿宋_GB2312" w:eastAsia="仿宋_GB2312"/>
          <w:color w:val="000000"/>
          <w:sz w:val="32"/>
          <w:szCs w:val="32"/>
        </w:rPr>
        <w:t>万元，比</w:t>
      </w:r>
      <w:r>
        <w:rPr>
          <w:rFonts w:ascii="仿宋_GB2312" w:eastAsia="仿宋_GB2312"/>
          <w:color w:val="000000"/>
          <w:sz w:val="32"/>
          <w:szCs w:val="32"/>
        </w:rPr>
        <w:t>2019</w:t>
      </w:r>
      <w:r>
        <w:rPr>
          <w:rFonts w:hint="eastAsia" w:ascii="仿宋_GB2312" w:eastAsia="仿宋_GB2312"/>
          <w:color w:val="000000"/>
          <w:sz w:val="32"/>
          <w:szCs w:val="32"/>
        </w:rPr>
        <w:t>年减少</w:t>
      </w:r>
      <w:r>
        <w:rPr>
          <w:rFonts w:hint="eastAsia" w:ascii="仿宋" w:hAnsi="仿宋" w:eastAsia="仿宋"/>
          <w:color w:val="000000"/>
          <w:sz w:val="32"/>
          <w:szCs w:val="32"/>
          <w:lang w:val="en-US" w:eastAsia="zh-CN"/>
        </w:rPr>
        <w:t>2.47</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下降11.01%。</w:t>
      </w:r>
      <w:r>
        <w:rPr>
          <w:rFonts w:hint="eastAsia" w:ascii="仿宋_GB2312" w:eastAsia="仿宋_GB2312"/>
          <w:color w:val="000000"/>
          <w:sz w:val="32"/>
          <w:szCs w:val="32"/>
        </w:rPr>
        <w:t>主要原因是</w:t>
      </w:r>
      <w:r>
        <w:rPr>
          <w:rFonts w:hint="eastAsia" w:ascii="仿宋_GB2312"/>
          <w:color w:val="000000"/>
          <w:sz w:val="32"/>
          <w:szCs w:val="32"/>
          <w:lang w:eastAsia="zh-CN"/>
        </w:rPr>
        <w:t>开展节约办公。</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hint="eastAsia" w:ascii="仿宋_GB2312" w:eastAsia="仿宋_GB2312"/>
          <w:color w:val="000000"/>
          <w:sz w:val="32"/>
          <w:szCs w:val="32"/>
          <w:lang w:val="en-US" w:eastAsia="zh-CN"/>
        </w:rPr>
      </w:pPr>
      <w:r>
        <w:rPr>
          <w:rFonts w:ascii="仿宋_GB2312" w:eastAsia="仿宋_GB2312"/>
          <w:color w:val="000000"/>
          <w:sz w:val="32"/>
          <w:szCs w:val="32"/>
        </w:rPr>
        <w:t>2020</w:t>
      </w:r>
      <w:r>
        <w:rPr>
          <w:rFonts w:hint="eastAsia" w:ascii="仿宋_GB2312" w:eastAsia="仿宋_GB2312"/>
          <w:color w:val="000000"/>
          <w:sz w:val="32"/>
          <w:szCs w:val="32"/>
        </w:rPr>
        <w:t>年，</w:t>
      </w:r>
      <w:r>
        <w:rPr>
          <w:rFonts w:hint="eastAsia" w:ascii="仿宋_GB2312"/>
          <w:color w:val="000000"/>
          <w:sz w:val="32"/>
          <w:szCs w:val="32"/>
          <w:lang w:eastAsia="zh-CN"/>
        </w:rPr>
        <w:t>自流井区卫生和计划生育监督执法大队</w:t>
      </w:r>
      <w:r>
        <w:rPr>
          <w:rFonts w:hint="eastAsia" w:ascii="仿宋_GB2312" w:eastAsia="仿宋_GB2312"/>
          <w:color w:val="000000"/>
          <w:sz w:val="32"/>
          <w:szCs w:val="32"/>
        </w:rPr>
        <w:t>采购支出总额</w:t>
      </w:r>
      <w:r>
        <w:rPr>
          <w:rFonts w:hint="eastAsia" w:ascii="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color w:val="000000"/>
          <w:sz w:val="32"/>
          <w:szCs w:val="32"/>
          <w:lang w:val="en-US" w:eastAsia="zh-CN"/>
        </w:rPr>
        <w:t>.</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hint="eastAsia" w:ascii="仿宋" w:hAnsi="仿宋" w:eastAsia="仿宋_GB2312"/>
          <w:b/>
          <w:color w:val="FF0000"/>
          <w:sz w:val="32"/>
          <w:szCs w:val="32"/>
          <w:lang w:val="en-US" w:eastAsia="zh-CN"/>
        </w:rPr>
      </w:pPr>
      <w:r>
        <w:rPr>
          <w:rFonts w:hint="eastAsia" w:ascii="仿宋_GB2312" w:eastAsia="仿宋_GB2312"/>
          <w:color w:val="000000"/>
          <w:sz w:val="32"/>
          <w:szCs w:val="32"/>
        </w:rPr>
        <w:t>截至</w:t>
      </w:r>
      <w:r>
        <w:rPr>
          <w:rFonts w:ascii="仿宋_GB2312" w:eastAsia="仿宋_GB2312"/>
          <w:color w:val="000000"/>
          <w:sz w:val="32"/>
          <w:szCs w:val="32"/>
        </w:rPr>
        <w:t>2020</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color w:val="000000"/>
          <w:sz w:val="32"/>
          <w:szCs w:val="32"/>
          <w:lang w:eastAsia="zh-CN"/>
        </w:rPr>
        <w:t>自流井区卫生和计划生育监督执法大队</w:t>
      </w:r>
      <w:r>
        <w:rPr>
          <w:rFonts w:hint="eastAsia" w:ascii="仿宋_GB2312" w:eastAsia="仿宋_GB2312"/>
          <w:color w:val="000000"/>
          <w:sz w:val="32"/>
          <w:szCs w:val="32"/>
        </w:rPr>
        <w:t>共有车辆</w:t>
      </w:r>
      <w:r>
        <w:rPr>
          <w:rFonts w:hint="eastAsia" w:ascii="仿宋_GB2312"/>
          <w:color w:val="000000"/>
          <w:sz w:val="32"/>
          <w:szCs w:val="32"/>
          <w:lang w:val="en-US" w:eastAsia="zh-CN"/>
        </w:rPr>
        <w:t>0</w:t>
      </w:r>
      <w:r>
        <w:rPr>
          <w:rFonts w:hint="eastAsia" w:ascii="仿宋_GB2312" w:eastAsia="仿宋_GB2312"/>
          <w:color w:val="000000"/>
          <w:sz w:val="32"/>
          <w:szCs w:val="32"/>
        </w:rPr>
        <w:t>辆</w:t>
      </w:r>
      <w:r>
        <w:rPr>
          <w:rFonts w:hint="eastAsia" w:ascii="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根据预算绩效管理要求，本单位在年初预算编制阶段，组织对项目开展了预算事前绩效评估，对</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个项目开展了绩效目标完成情况自评。</w:t>
      </w:r>
    </w:p>
    <w:p>
      <w:pPr>
        <w:spacing w:line="580" w:lineRule="exac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sz w:val="32"/>
          <w:szCs w:val="32"/>
        </w:rPr>
        <w:t>本</w:t>
      </w:r>
      <w:r>
        <w:rPr>
          <w:rFonts w:hint="eastAsia" w:ascii="仿宋_GB2312" w:hAnsi="仿宋_GB2312" w:cs="仿宋_GB2312"/>
          <w:sz w:val="32"/>
          <w:szCs w:val="32"/>
          <w:lang w:eastAsia="zh-CN"/>
        </w:rPr>
        <w:t>单位</w:t>
      </w:r>
      <w:r>
        <w:rPr>
          <w:rFonts w:hint="eastAsia" w:ascii="仿宋_GB2312" w:hAnsi="仿宋_GB2312" w:eastAsia="仿宋_GB2312" w:cs="仿宋_GB2312"/>
          <w:sz w:val="32"/>
          <w:szCs w:val="32"/>
        </w:rPr>
        <w:t>无专项预算项目，因此未组织开展项目支出绩效评价</w:t>
      </w:r>
      <w:r>
        <w:rPr>
          <w:rFonts w:hint="eastAsia" w:ascii="仿宋_GB2312" w:hAnsi="仿宋_GB2312" w:cs="仿宋_GB2312"/>
          <w:color w:val="000000" w:themeColor="text1"/>
          <w:sz w:val="32"/>
          <w:szCs w:val="32"/>
          <w:lang w:eastAsia="zh-CN"/>
          <w14:textFill>
            <w14:solidFill>
              <w14:schemeClr w14:val="tx1"/>
            </w14:solidFill>
          </w14:textFill>
        </w:rPr>
        <w:t>。</w:t>
      </w:r>
    </w:p>
    <w:p>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ascii="楷体_GB2312" w:hAnsi="楷体_GB2312" w:eastAsia="楷体_GB2312" w:cs="楷体_GB2312"/>
          <w:color w:val="000000" w:themeColor="text1"/>
          <w:sz w:val="32"/>
          <w:szCs w:val="32"/>
          <w14:textFill>
            <w14:solidFill>
              <w14:schemeClr w14:val="tx1"/>
            </w14:solidFill>
          </w14:textFill>
        </w:rPr>
        <w:t>1.</w:t>
      </w:r>
      <w:r>
        <w:rPr>
          <w:rFonts w:hint="eastAsia" w:ascii="楷体_GB2312" w:hAnsi="楷体_GB2312" w:eastAsia="楷体_GB2312" w:cs="楷体_GB2312"/>
          <w:color w:val="000000" w:themeColor="text1"/>
          <w:sz w:val="32"/>
          <w:szCs w:val="32"/>
          <w14:textFill>
            <w14:solidFill>
              <w14:schemeClr w14:val="tx1"/>
            </w14:solidFill>
          </w14:textFill>
        </w:rPr>
        <w:t>项目绩效目标完成情况。</w:t>
      </w:r>
      <w:r>
        <w:rPr>
          <w:rFonts w:ascii="楷体_GB2312" w:hAnsi="楷体_GB2312" w:eastAsia="楷体_GB2312" w:cs="楷体_GB2312"/>
          <w:color w:val="000000" w:themeColor="text1"/>
          <w:sz w:val="32"/>
          <w:szCs w:val="32"/>
          <w14:textFill>
            <w14:solidFill>
              <w14:schemeClr w14:val="tx1"/>
            </w14:solidFill>
          </w14:textFill>
        </w:rPr>
        <w:br w:type="textWrapping"/>
      </w:r>
      <w:r>
        <w:rPr>
          <w:rFonts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本</w:t>
      </w:r>
      <w:r>
        <w:rPr>
          <w:rFonts w:hint="eastAsia" w:ascii="仿宋_GB2312" w:hAnsi="仿宋_GB2312" w:cs="仿宋_GB2312"/>
          <w:color w:val="000000" w:themeColor="text1"/>
          <w:sz w:val="32"/>
          <w:szCs w:val="32"/>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14:textFill>
            <w14:solidFill>
              <w14:schemeClr w14:val="tx1"/>
            </w14:solidFill>
          </w14:textFill>
        </w:rPr>
        <w:t>在</w:t>
      </w:r>
      <w:r>
        <w:rPr>
          <w:rFonts w:ascii="仿宋_GB2312" w:hAnsi="仿宋_GB2312" w:eastAsia="仿宋_GB2312" w:cs="仿宋_GB2312"/>
          <w:color w:val="000000" w:themeColor="text1"/>
          <w:sz w:val="32"/>
          <w:szCs w:val="32"/>
          <w14:textFill>
            <w14:solidFill>
              <w14:schemeClr w14:val="tx1"/>
            </w14:solidFill>
          </w14:textFill>
        </w:rPr>
        <w:t>2020</w:t>
      </w:r>
      <w:r>
        <w:rPr>
          <w:rFonts w:hint="eastAsia" w:ascii="仿宋_GB2312" w:hAnsi="仿宋_GB2312" w:eastAsia="仿宋_GB2312" w:cs="仿宋_GB2312"/>
          <w:color w:val="000000" w:themeColor="text1"/>
          <w:sz w:val="32"/>
          <w:szCs w:val="32"/>
          <w14:textFill>
            <w14:solidFill>
              <w14:schemeClr w14:val="tx1"/>
            </w14:solidFill>
          </w14:textFill>
        </w:rPr>
        <w:t>年度部门决算中反映</w:t>
      </w:r>
      <w:r>
        <w:rPr>
          <w:rFonts w:hint="eastAsia" w:ascii="仿宋_GB2312" w:hAnsi="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个项目绩效目标实际完成情况。（本单位部门项目绩效目标个数在</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个以上的，选取</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个项目进行公开，目标个数在</w:t>
      </w:r>
      <w:r>
        <w:rPr>
          <w:rFonts w:ascii="仿宋_GB2312" w:hAnsi="仿宋_GB2312" w:eastAsia="仿宋_GB2312" w:cs="仿宋_GB2312"/>
          <w:color w:val="000000" w:themeColor="text1"/>
          <w:sz w:val="32"/>
          <w:szCs w:val="32"/>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个以下的，全部进行公开，公开内容包括选取的全部项目完成情况综述和完成情况表）。</w:t>
      </w:r>
    </w:p>
    <w:p>
      <w:pPr>
        <w:numPr>
          <w:ilvl w:val="0"/>
          <w:numId w:val="3"/>
        </w:numPr>
        <w:spacing w:line="600" w:lineRule="exact"/>
        <w:ind w:firstLine="660" w:firstLineChars="150"/>
        <w:jc w:val="center"/>
        <w:outlineLvl w:val="0"/>
        <w:rPr>
          <w:rStyle w:val="16"/>
          <w:rFonts w:ascii="黑体" w:hAnsi="黑体" w:eastAsia="黑体"/>
          <w:b w:val="0"/>
        </w:rPr>
      </w:pPr>
      <w:bookmarkStart w:id="55" w:name="_Toc15377225"/>
      <w:bookmarkStart w:id="56" w:name="_Toc15396613"/>
      <w:bookmarkStart w:id="57" w:name="_Toc3536"/>
      <w:r>
        <w:rPr>
          <w:rFonts w:hint="eastAsia" w:ascii="黑体" w:hAnsi="黑体" w:eastAsia="黑体"/>
          <w:color w:val="000000"/>
          <w:sz w:val="44"/>
          <w:szCs w:val="44"/>
        </w:rPr>
        <w:t>名</w:t>
      </w:r>
      <w:r>
        <w:rPr>
          <w:rStyle w:val="16"/>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9"/>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r>
        <w:rPr>
          <w:rFonts w:ascii="仿宋_GB2312" w:eastAsia="仿宋_GB2312"/>
          <w:sz w:val="32"/>
          <w:szCs w:val="32"/>
        </w:rPr>
        <w:t xml:space="preserve"> </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19"/>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beforeLines="0" w:afterLines="0"/>
        <w:ind w:firstLine="640" w:firstLineChars="200"/>
        <w:jc w:val="left"/>
        <w:rPr>
          <w:rFonts w:hint="eastAsia" w:ascii="FangSong_GB2312" w:hAnsi="FangSong_GB2312" w:eastAsia="FangSong_GB2312"/>
          <w:sz w:val="32"/>
          <w:szCs w:val="24"/>
        </w:rPr>
      </w:pPr>
      <w:r>
        <w:rPr>
          <w:rFonts w:hint="eastAsia" w:ascii="仿宋_GB2312"/>
          <w:color w:val="000000"/>
          <w:sz w:val="32"/>
          <w:szCs w:val="32"/>
          <w:lang w:val="en-US" w:eastAsia="zh-CN"/>
        </w:rPr>
        <w:t>9</w:t>
      </w:r>
      <w:r>
        <w:rPr>
          <w:rFonts w:ascii="仿宋_GB2312" w:eastAsia="仿宋_GB2312"/>
          <w:color w:val="000000"/>
          <w:sz w:val="32"/>
          <w:szCs w:val="32"/>
        </w:rPr>
        <w:t>.</w:t>
      </w:r>
      <w:r>
        <w:rPr>
          <w:rFonts w:hint="eastAsia" w:ascii="FangSong_GB2312" w:hAnsi="FangSong_GB2312" w:eastAsia="FangSong_GB2312"/>
          <w:sz w:val="32"/>
          <w:szCs w:val="24"/>
        </w:rPr>
        <w:t>社会保障和就业（类）行政事业单位离退休（款）归</w:t>
      </w:r>
    </w:p>
    <w:p>
      <w:pPr>
        <w:spacing w:beforeLines="0" w:afterLines="0"/>
        <w:jc w:val="left"/>
        <w:rPr>
          <w:rFonts w:hint="eastAsia" w:ascii="FangSong_GB2312" w:hAnsi="FangSong_GB2312" w:eastAsia="FangSong_GB2312"/>
          <w:sz w:val="32"/>
          <w:szCs w:val="24"/>
        </w:rPr>
      </w:pPr>
      <w:r>
        <w:rPr>
          <w:rFonts w:hint="eastAsia" w:ascii="FangSong_GB2312" w:hAnsi="FangSong_GB2312" w:eastAsia="FangSong_GB2312"/>
          <w:sz w:val="32"/>
          <w:szCs w:val="24"/>
        </w:rPr>
        <w:t>口管理的行政单位离退休（项）: 指实行归口管理的行政单</w:t>
      </w:r>
    </w:p>
    <w:p>
      <w:pPr>
        <w:rPr>
          <w:rFonts w:hint="eastAsia" w:ascii="FangSong_GB2312" w:hAnsi="FangSong_GB2312" w:eastAsia="FangSong_GB2312"/>
          <w:sz w:val="32"/>
          <w:szCs w:val="24"/>
        </w:rPr>
      </w:pPr>
      <w:r>
        <w:rPr>
          <w:rFonts w:hint="eastAsia" w:ascii="FangSong_GB2312" w:hAnsi="FangSong_GB2312" w:eastAsia="FangSong_GB2312"/>
          <w:sz w:val="32"/>
          <w:szCs w:val="24"/>
        </w:rPr>
        <w:t>位（包括实行公务员管理的事业单位）开支的离退休经费。</w:t>
      </w:r>
    </w:p>
    <w:p>
      <w:pPr>
        <w:spacing w:beforeLines="0" w:afterLines="0"/>
        <w:jc w:val="left"/>
        <w:rPr>
          <w:rFonts w:hint="eastAsia" w:ascii="Calibri" w:hAnsi="Calibri" w:eastAsia="Calibri"/>
          <w:sz w:val="18"/>
          <w:szCs w:val="24"/>
        </w:rPr>
      </w:pPr>
      <w:r>
        <w:rPr>
          <w:rFonts w:hint="eastAsia" w:ascii="FangSong_GB2312" w:hAnsi="FangSong_GB2312" w:eastAsia="FangSong_GB2312"/>
          <w:sz w:val="32"/>
          <w:szCs w:val="24"/>
          <w:lang w:val="en-US" w:eastAsia="zh-CN"/>
        </w:rPr>
        <w:t xml:space="preserve">   10.</w:t>
      </w:r>
      <w:r>
        <w:rPr>
          <w:rFonts w:hint="eastAsia" w:ascii="仿宋" w:hAnsi="仿宋" w:eastAsia="仿宋"/>
          <w:sz w:val="32"/>
          <w:szCs w:val="24"/>
        </w:rPr>
        <w:t>社会保障和就业（类）行政事业单位</w:t>
      </w:r>
      <w:r>
        <w:rPr>
          <w:rFonts w:hint="eastAsia" w:ascii="仿宋" w:hAnsi="仿宋" w:eastAsia="仿宋"/>
          <w:sz w:val="32"/>
          <w:szCs w:val="24"/>
          <w:lang w:eastAsia="zh-CN"/>
        </w:rPr>
        <w:t>养老支出</w:t>
      </w:r>
      <w:r>
        <w:rPr>
          <w:rFonts w:hint="eastAsia" w:ascii="仿宋" w:hAnsi="仿宋" w:eastAsia="仿宋"/>
          <w:sz w:val="32"/>
          <w:szCs w:val="24"/>
        </w:rPr>
        <w:t>（款</w:t>
      </w:r>
      <w:r>
        <w:rPr>
          <w:rFonts w:hint="eastAsia" w:ascii="仿宋" w:hAnsi="仿宋" w:eastAsia="仿宋"/>
          <w:sz w:val="32"/>
          <w:szCs w:val="24"/>
          <w:lang w:eastAsia="zh-CN"/>
        </w:rPr>
        <w:t>）</w:t>
      </w:r>
      <w:r>
        <w:rPr>
          <w:rFonts w:hint="eastAsia" w:ascii="仿宋" w:hAnsi="仿宋" w:eastAsia="仿宋"/>
          <w:sz w:val="32"/>
          <w:szCs w:val="24"/>
        </w:rPr>
        <w:t>机关事业单位基本养老保险缴费支出</w:t>
      </w:r>
      <w:r>
        <w:rPr>
          <w:rFonts w:hint="eastAsia" w:ascii="仿宋" w:hAnsi="仿宋" w:eastAsia="仿宋"/>
          <w:sz w:val="32"/>
          <w:szCs w:val="24"/>
          <w:lang w:eastAsia="zh-CN"/>
        </w:rPr>
        <w:t>（项）：</w:t>
      </w:r>
      <w:r>
        <w:rPr>
          <w:rFonts w:hint="eastAsia" w:ascii="FangSong_GB2312" w:hAnsi="FangSong_GB2312" w:eastAsia="FangSong_GB2312"/>
          <w:sz w:val="32"/>
          <w:szCs w:val="24"/>
        </w:rPr>
        <w:t>指机关事业单</w:t>
      </w:r>
    </w:p>
    <w:p>
      <w:pPr>
        <w:rPr>
          <w:rFonts w:hint="default" w:ascii="FangSong_GB2312" w:hAnsi="FangSong_GB2312" w:eastAsia="FangSong_GB2312"/>
          <w:sz w:val="32"/>
          <w:szCs w:val="24"/>
          <w:lang w:val="en-US" w:eastAsia="zh-CN"/>
        </w:rPr>
      </w:pPr>
      <w:r>
        <w:rPr>
          <w:rFonts w:hint="eastAsia" w:ascii="FangSong_GB2312" w:hAnsi="FangSong_GB2312" w:eastAsia="FangSong_GB2312"/>
          <w:sz w:val="32"/>
          <w:szCs w:val="24"/>
        </w:rPr>
        <w:t>位实施养老保险制度由单位缴纳的养老保险费的支出。</w:t>
      </w:r>
    </w:p>
    <w:p>
      <w:pPr>
        <w:numPr>
          <w:ilvl w:val="0"/>
          <w:numId w:val="4"/>
        </w:numPr>
        <w:ind w:firstLine="640" w:firstLineChars="200"/>
        <w:rPr>
          <w:rFonts w:hint="eastAsia" w:ascii="FangSong_GB2312" w:hAnsi="FangSong_GB2312" w:eastAsia="FangSong_GB2312"/>
          <w:sz w:val="32"/>
          <w:szCs w:val="24"/>
          <w:lang w:eastAsia="zh-CN"/>
        </w:rPr>
      </w:pPr>
      <w:r>
        <w:rPr>
          <w:rFonts w:hint="eastAsia" w:ascii="仿宋" w:hAnsi="仿宋" w:eastAsia="仿宋"/>
          <w:sz w:val="32"/>
          <w:szCs w:val="24"/>
        </w:rPr>
        <w:t>卫生健康</w:t>
      </w:r>
      <w:r>
        <w:rPr>
          <w:rFonts w:hint="eastAsia" w:ascii="仿宋" w:hAnsi="仿宋" w:eastAsia="仿宋"/>
          <w:sz w:val="32"/>
          <w:szCs w:val="24"/>
          <w:lang w:eastAsia="zh-CN"/>
        </w:rPr>
        <w:t>支出</w:t>
      </w:r>
      <w:r>
        <w:rPr>
          <w:rFonts w:hint="eastAsia" w:ascii="仿宋" w:hAnsi="仿宋" w:eastAsia="仿宋"/>
          <w:sz w:val="32"/>
          <w:szCs w:val="24"/>
        </w:rPr>
        <w:t>（类）</w:t>
      </w:r>
      <w:r>
        <w:rPr>
          <w:rFonts w:hint="eastAsia" w:ascii="仿宋" w:hAnsi="仿宋" w:eastAsia="仿宋"/>
          <w:sz w:val="32"/>
          <w:szCs w:val="24"/>
          <w:lang w:eastAsia="zh-CN"/>
        </w:rPr>
        <w:t>公共卫生</w:t>
      </w:r>
      <w:r>
        <w:rPr>
          <w:rFonts w:hint="eastAsia" w:ascii="仿宋" w:hAnsi="仿宋" w:eastAsia="仿宋"/>
          <w:sz w:val="32"/>
          <w:szCs w:val="24"/>
        </w:rPr>
        <w:t>（款）</w:t>
      </w:r>
      <w:r>
        <w:rPr>
          <w:rFonts w:hint="eastAsia" w:ascii="仿宋" w:hAnsi="仿宋" w:eastAsia="仿宋"/>
          <w:sz w:val="32"/>
          <w:szCs w:val="24"/>
          <w:lang w:eastAsia="zh-CN"/>
        </w:rPr>
        <w:t>卫生监督机构</w:t>
      </w:r>
      <w:r>
        <w:rPr>
          <w:rFonts w:hint="eastAsia" w:ascii="仿宋" w:hAnsi="仿宋" w:eastAsia="仿宋"/>
          <w:sz w:val="32"/>
          <w:szCs w:val="24"/>
        </w:rPr>
        <w:t>（项）</w:t>
      </w:r>
      <w:r>
        <w:rPr>
          <w:rFonts w:hint="eastAsia" w:ascii="仿宋" w:hAnsi="仿宋" w:eastAsia="仿宋"/>
          <w:sz w:val="32"/>
          <w:szCs w:val="24"/>
          <w:lang w:eastAsia="zh-CN"/>
        </w:rPr>
        <w:t>：</w:t>
      </w:r>
      <w:r>
        <w:rPr>
          <w:rFonts w:hint="eastAsia" w:ascii="FangSong_GB2312" w:hAnsi="FangSong_GB2312" w:eastAsia="FangSong_GB2312"/>
          <w:sz w:val="32"/>
          <w:szCs w:val="24"/>
        </w:rPr>
        <w:t>指卫生健康部门所属卫生健康机构的支出</w:t>
      </w:r>
      <w:r>
        <w:rPr>
          <w:rFonts w:hint="eastAsia" w:ascii="FangSong_GB2312" w:hAnsi="FangSong_GB2312" w:eastAsia="FangSong_GB2312"/>
          <w:sz w:val="32"/>
          <w:szCs w:val="24"/>
          <w:lang w:eastAsia="zh-CN"/>
        </w:rPr>
        <w:t>。</w:t>
      </w:r>
    </w:p>
    <w:p>
      <w:pPr>
        <w:numPr>
          <w:ilvl w:val="0"/>
          <w:numId w:val="4"/>
        </w:numPr>
        <w:spacing w:beforeLines="0" w:afterLines="0"/>
        <w:ind w:left="0" w:leftChars="0" w:firstLine="640" w:firstLineChars="200"/>
        <w:jc w:val="left"/>
        <w:rPr>
          <w:rFonts w:hint="eastAsia" w:ascii="FangSong_GB2312" w:hAnsi="FangSong_GB2312" w:eastAsia="FangSong_GB2312"/>
          <w:sz w:val="32"/>
          <w:szCs w:val="24"/>
        </w:rPr>
      </w:pPr>
      <w:r>
        <w:rPr>
          <w:rFonts w:hint="eastAsia" w:ascii="仿宋" w:hAnsi="仿宋" w:eastAsia="仿宋"/>
          <w:sz w:val="32"/>
          <w:szCs w:val="24"/>
        </w:rPr>
        <w:t>卫生健康</w:t>
      </w:r>
      <w:r>
        <w:rPr>
          <w:rFonts w:hint="eastAsia" w:ascii="仿宋" w:hAnsi="仿宋" w:eastAsia="仿宋"/>
          <w:sz w:val="32"/>
          <w:szCs w:val="24"/>
          <w:lang w:eastAsia="zh-CN"/>
        </w:rPr>
        <w:t>支出</w:t>
      </w:r>
      <w:r>
        <w:rPr>
          <w:rFonts w:hint="eastAsia" w:ascii="仿宋" w:hAnsi="仿宋" w:eastAsia="仿宋"/>
          <w:sz w:val="32"/>
          <w:szCs w:val="24"/>
        </w:rPr>
        <w:t>（类）</w:t>
      </w:r>
      <w:r>
        <w:rPr>
          <w:rFonts w:hint="eastAsia" w:ascii="仿宋" w:hAnsi="仿宋" w:eastAsia="仿宋"/>
          <w:sz w:val="32"/>
          <w:szCs w:val="24"/>
          <w:lang w:eastAsia="zh-CN"/>
        </w:rPr>
        <w:t>行政事业单位医疗（款）行政单位医疗（项）：</w:t>
      </w:r>
      <w:r>
        <w:rPr>
          <w:rFonts w:hint="eastAsia" w:ascii="FangSong_GB2312" w:hAnsi="FangSong_GB2312" w:eastAsia="FangSong_GB2312"/>
          <w:sz w:val="32"/>
          <w:szCs w:val="24"/>
        </w:rPr>
        <w:t>指机关及参公管理事业单位用于缴纳单位基本医疗保险支出。</w:t>
      </w:r>
    </w:p>
    <w:p>
      <w:pPr>
        <w:numPr>
          <w:ilvl w:val="0"/>
          <w:numId w:val="4"/>
        </w:numPr>
        <w:spacing w:beforeLines="0" w:afterLines="0"/>
        <w:ind w:left="0" w:leftChars="0" w:firstLine="640" w:firstLineChars="200"/>
        <w:jc w:val="left"/>
        <w:rPr>
          <w:rFonts w:ascii="仿宋_GB2312" w:eastAsia="仿宋_GB2312"/>
          <w:color w:val="000000"/>
          <w:sz w:val="32"/>
          <w:szCs w:val="32"/>
        </w:rPr>
      </w:pPr>
      <w:r>
        <w:rPr>
          <w:rFonts w:hint="eastAsia" w:ascii="FangSong_GB2312" w:hAnsi="FangSong_GB2312" w:eastAsia="FangSong_GB2312"/>
          <w:sz w:val="32"/>
          <w:szCs w:val="24"/>
        </w:rPr>
        <w:t>住房保障支出（类）住房改革支出（款）住房公积金（项）: 指用于按规定的基本工资和津贴补贴以及规定比例为职工缴纳的住房公积金支出。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14</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15</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hint="eastAsia" w:ascii="仿宋_GB2312"/>
          <w:color w:val="000000"/>
          <w:sz w:val="32"/>
          <w:szCs w:val="32"/>
          <w:lang w:val="en-US" w:eastAsia="zh-CN"/>
        </w:rPr>
        <w:t>16</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19"/>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9"/>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18</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58" w:name="_Toc15396614"/>
      <w:bookmarkStart w:id="59" w:name="_Toc11207"/>
      <w:bookmarkStart w:id="60" w:name="_Toc15377226"/>
    </w:p>
    <w:p>
      <w:pPr>
        <w:pStyle w:val="19"/>
        <w:spacing w:line="560" w:lineRule="exact"/>
        <w:ind w:firstLine="640" w:firstLineChars="200"/>
        <w:rPr>
          <w:rFonts w:hint="eastAsia" w:ascii="仿宋_GB2312" w:eastAsia="仿宋_GB2312"/>
          <w:sz w:val="32"/>
          <w:szCs w:val="32"/>
        </w:rPr>
      </w:pPr>
    </w:p>
    <w:p>
      <w:pPr>
        <w:pStyle w:val="19"/>
        <w:spacing w:line="560" w:lineRule="exact"/>
        <w:ind w:firstLine="640" w:firstLineChars="200"/>
        <w:rPr>
          <w:rFonts w:hint="eastAsia" w:ascii="仿宋_GB2312" w:eastAsia="仿宋_GB2312"/>
          <w:sz w:val="32"/>
          <w:szCs w:val="32"/>
        </w:rPr>
      </w:pPr>
    </w:p>
    <w:p>
      <w:pPr>
        <w:pStyle w:val="19"/>
        <w:spacing w:line="560" w:lineRule="exact"/>
        <w:ind w:firstLine="640" w:firstLineChars="200"/>
        <w:rPr>
          <w:rFonts w:hint="eastAsia" w:ascii="仿宋_GB2312" w:eastAsia="仿宋_GB2312"/>
          <w:sz w:val="32"/>
          <w:szCs w:val="32"/>
        </w:rPr>
      </w:pPr>
    </w:p>
    <w:p>
      <w:pPr>
        <w:pStyle w:val="19"/>
        <w:spacing w:line="560" w:lineRule="exact"/>
        <w:ind w:firstLine="640" w:firstLineChars="200"/>
        <w:rPr>
          <w:rFonts w:hint="eastAsia" w:ascii="仿宋_GB2312" w:eastAsia="仿宋_GB2312"/>
          <w:sz w:val="32"/>
          <w:szCs w:val="32"/>
        </w:rPr>
      </w:pPr>
    </w:p>
    <w:p>
      <w:pPr>
        <w:pStyle w:val="19"/>
        <w:spacing w:line="560" w:lineRule="exact"/>
        <w:ind w:firstLine="880" w:firstLineChars="200"/>
        <w:jc w:val="center"/>
        <w:rPr>
          <w:rStyle w:val="16"/>
          <w:rFonts w:ascii="黑体" w:hAnsi="黑体" w:eastAsia="黑体"/>
          <w:b w:val="0"/>
        </w:rPr>
      </w:pPr>
      <w:r>
        <w:rPr>
          <w:rFonts w:hint="eastAsia" w:ascii="黑体" w:hAnsi="黑体" w:eastAsia="黑体"/>
          <w:color w:val="000000"/>
          <w:sz w:val="44"/>
          <w:szCs w:val="44"/>
        </w:rPr>
        <w:t>第</w:t>
      </w:r>
      <w:r>
        <w:rPr>
          <w:rStyle w:val="16"/>
          <w:rFonts w:hint="eastAsia" w:ascii="黑体" w:hAnsi="黑体" w:eastAsia="黑体"/>
          <w:b w:val="0"/>
        </w:rPr>
        <w:t>四部分</w:t>
      </w:r>
      <w:r>
        <w:rPr>
          <w:rStyle w:val="16"/>
          <w:rFonts w:ascii="黑体" w:hAnsi="黑体" w:eastAsia="黑体"/>
          <w:b w:val="0"/>
        </w:rPr>
        <w:t xml:space="preserve"> </w:t>
      </w:r>
      <w:r>
        <w:rPr>
          <w:rStyle w:val="16"/>
          <w:rFonts w:hint="eastAsia" w:ascii="黑体" w:hAnsi="黑体" w:eastAsia="黑体"/>
          <w:b w:val="0"/>
        </w:rPr>
        <w:t>附件</w:t>
      </w:r>
      <w:bookmarkEnd w:id="58"/>
      <w:bookmarkEnd w:id="59"/>
    </w:p>
    <w:p>
      <w:pPr>
        <w:spacing w:line="580" w:lineRule="exact"/>
        <w:rPr>
          <w:rFonts w:hint="eastAsia" w:ascii="仿宋_GB2312" w:hAnsi="仿宋_GB2312" w:cs="仿宋_GB2312"/>
          <w:sz w:val="32"/>
          <w:szCs w:val="32"/>
          <w:lang w:eastAsia="zh-CN"/>
        </w:rPr>
      </w:pPr>
      <w:r>
        <w:rPr>
          <w:rFonts w:hint="eastAsia" w:ascii="仿宋_GB2312" w:hAnsi="仿宋_GB2312" w:cs="仿宋_GB2312"/>
          <w:sz w:val="32"/>
          <w:szCs w:val="32"/>
          <w:lang w:eastAsia="zh-CN"/>
        </w:rPr>
        <w:t>附件 1</w:t>
      </w:r>
    </w:p>
    <w:p>
      <w:pPr>
        <w:spacing w:line="580" w:lineRule="exact"/>
        <w:rPr>
          <w:rFonts w:hint="eastAsia" w:ascii="仿宋_GB2312" w:hAnsi="仿宋_GB2312" w:cs="仿宋_GB2312"/>
          <w:sz w:val="32"/>
          <w:szCs w:val="32"/>
          <w:lang w:eastAsia="zh-CN"/>
        </w:rPr>
      </w:pPr>
    </w:p>
    <w:p>
      <w:pPr>
        <w:pStyle w:val="19"/>
        <w:spacing w:line="560" w:lineRule="exact"/>
        <w:ind w:firstLine="720" w:firstLineChars="200"/>
        <w:jc w:val="center"/>
        <w:rPr>
          <w:rFonts w:hint="eastAsia" w:ascii="黑体" w:hAnsi="黑体" w:eastAsia="黑体"/>
          <w:color w:val="000000"/>
          <w:sz w:val="36"/>
          <w:szCs w:val="36"/>
          <w:lang w:val="en-US"/>
        </w:rPr>
      </w:pPr>
      <w:r>
        <w:rPr>
          <w:rFonts w:hint="eastAsia" w:ascii="黑体" w:hAnsi="黑体" w:eastAsia="黑体"/>
          <w:color w:val="000000"/>
          <w:sz w:val="36"/>
          <w:szCs w:val="36"/>
          <w:lang w:val="en-US"/>
        </w:rPr>
        <w:t>自流井区卫生和计划生育监督执法大队</w:t>
      </w:r>
    </w:p>
    <w:p>
      <w:pPr>
        <w:pStyle w:val="19"/>
        <w:spacing w:line="560" w:lineRule="exact"/>
        <w:ind w:firstLine="720" w:firstLineChars="200"/>
        <w:jc w:val="center"/>
        <w:rPr>
          <w:rFonts w:hint="eastAsia" w:ascii="黑体" w:hAnsi="黑体" w:eastAsia="黑体"/>
          <w:color w:val="000000"/>
          <w:sz w:val="36"/>
          <w:szCs w:val="36"/>
          <w:lang w:val="en-US"/>
        </w:rPr>
      </w:pPr>
      <w:r>
        <w:rPr>
          <w:rFonts w:hint="eastAsia" w:ascii="黑体" w:hAnsi="黑体" w:eastAsia="黑体"/>
          <w:color w:val="000000"/>
          <w:sz w:val="36"/>
          <w:szCs w:val="36"/>
          <w:lang w:val="en-US"/>
        </w:rPr>
        <w:t>2020 年部门整体支出绩效评价报告</w:t>
      </w:r>
    </w:p>
    <w:p>
      <w:pPr>
        <w:pStyle w:val="19"/>
        <w:spacing w:line="560" w:lineRule="exact"/>
        <w:ind w:firstLine="720" w:firstLineChars="200"/>
        <w:jc w:val="center"/>
        <w:rPr>
          <w:rFonts w:hint="eastAsia" w:ascii="黑体" w:hAnsi="黑体" w:eastAsia="黑体"/>
          <w:color w:val="000000"/>
          <w:sz w:val="36"/>
          <w:szCs w:val="36"/>
          <w:lang w:val="en-US"/>
        </w:rPr>
      </w:pPr>
    </w:p>
    <w:p>
      <w:pPr>
        <w:keepNext w:val="0"/>
        <w:keepLines w:val="0"/>
        <w:pageBreakBefore w:val="0"/>
        <w:widowControl w:val="0"/>
        <w:numPr>
          <w:ilvl w:val="0"/>
          <w:numId w:val="0"/>
        </w:numPr>
        <w:kinsoku/>
        <w:wordWrap/>
        <w:overflowPunct/>
        <w:topLinePunct w:val="0"/>
        <w:autoSpaceDE/>
        <w:autoSpaceDN/>
        <w:bidi w:val="0"/>
        <w:adjustRightInd/>
        <w:snapToGrid/>
        <w:spacing w:line="59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一、部门（单位）概况</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eastAsia="仿宋_GB2312"/>
          <w:lang w:val="en-US" w:eastAsia="zh-CN"/>
        </w:rPr>
      </w:pPr>
      <w:r>
        <w:rPr>
          <w:rFonts w:hint="eastAsia" w:ascii="华文楷体" w:hAnsi="华文楷体" w:eastAsia="华文楷体" w:cs="华文楷体"/>
          <w:b/>
          <w:bCs/>
          <w:lang w:val="en-US"/>
        </w:rPr>
        <w:t>（一）机构组成。</w:t>
      </w:r>
      <w:r>
        <w:rPr>
          <w:lang w:val="en-US"/>
        </w:rPr>
        <w:t>2020年度，纳入本部门决算汇编范围</w:t>
      </w:r>
      <w:r>
        <w:rPr>
          <w:rFonts w:hint="eastAsia"/>
          <w:lang w:val="en-US" w:eastAsia="zh-CN"/>
        </w:rPr>
        <w:t>1</w:t>
      </w:r>
      <w:r>
        <w:rPr>
          <w:lang w:val="en-US"/>
        </w:rPr>
        <w:t>个</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lang w:val="en-US"/>
        </w:rPr>
      </w:pPr>
      <w:r>
        <w:rPr>
          <w:rFonts w:hint="eastAsia" w:ascii="华文楷体" w:hAnsi="华文楷体" w:eastAsia="华文楷体" w:cs="华文楷体"/>
          <w:b/>
          <w:bCs/>
          <w:lang w:val="en-US"/>
        </w:rPr>
        <w:t>（二）机构职能。</w:t>
      </w:r>
      <w:r>
        <w:rPr>
          <w:lang w:val="en-US"/>
        </w:rPr>
        <w:t>自流井区卫生和监督执法大队主要负责医疗卫生执法监督、学校卫生执法监督、饮水用卫生执法监督、公共场所卫生执法监督、职业卫生执法监督、传染病卫生执法监督等工作。</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lang w:val="en-US"/>
        </w:rPr>
      </w:pPr>
      <w:r>
        <w:rPr>
          <w:rFonts w:hint="eastAsia" w:ascii="华文楷体" w:hAnsi="华文楷体" w:eastAsia="华文楷体" w:cs="华文楷体"/>
          <w:b/>
          <w:bCs/>
          <w:lang w:val="en-US"/>
        </w:rPr>
        <w:t>（三）人员概况。</w:t>
      </w:r>
      <w:r>
        <w:rPr>
          <w:lang w:val="en-US"/>
        </w:rPr>
        <w:t>年末编制人数为7名，在职人员6人。2020年，减少员工1人，减少原因为工作调动。</w:t>
      </w:r>
    </w:p>
    <w:p>
      <w:pPr>
        <w:keepNext w:val="0"/>
        <w:keepLines w:val="0"/>
        <w:pageBreakBefore w:val="0"/>
        <w:widowControl w:val="0"/>
        <w:numPr>
          <w:ilvl w:val="0"/>
          <w:numId w:val="0"/>
        </w:numPr>
        <w:kinsoku/>
        <w:wordWrap/>
        <w:overflowPunct/>
        <w:topLinePunct w:val="0"/>
        <w:autoSpaceDE/>
        <w:autoSpaceDN/>
        <w:bidi w:val="0"/>
        <w:adjustRightInd/>
        <w:snapToGrid/>
        <w:spacing w:line="59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二、部门财政资金收支情况</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（一）部门财政资金收入情况。</w:t>
      </w:r>
      <w:r>
        <w:rPr>
          <w:rFonts w:hint="eastAsia"/>
          <w:lang w:val="en-US"/>
        </w:rPr>
        <w:t>2020年本年收入合计103.43万元∶其中∶一般公共预算财政拨款收入 103</w:t>
      </w:r>
      <w:r>
        <w:rPr>
          <w:rFonts w:hint="eastAsia"/>
          <w:lang w:val="en-US" w:eastAsia="zh-CN"/>
        </w:rPr>
        <w:t>.</w:t>
      </w:r>
      <w:r>
        <w:rPr>
          <w:rFonts w:hint="eastAsia"/>
          <w:lang w:val="en-US"/>
        </w:rPr>
        <w:t>28万元，占99.9%;政府性基金预算财政拨款收入0万元，占0%;上级补助收入0万元，占0%;事业收入0万元，占0%;经营收入0万元，占0%;附属单位上缴收入0万元，占0%;其他收入0.15万元，占0.1%。</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（二）部门财政资金支出情况。</w:t>
      </w:r>
      <w:r>
        <w:rPr>
          <w:rFonts w:hint="eastAsia"/>
          <w:lang w:val="en-US"/>
        </w:rPr>
        <w:t>2020年本年支出合计102.17万元，其中∶基本支出102.17万元，占100%;项目支出0万元，占0%;上缴上级支出0万元，占0%;经营支出0万元，占0%;对附属单位补助支出0万元，占0%。</w:t>
      </w:r>
    </w:p>
    <w:p>
      <w:pPr>
        <w:keepNext w:val="0"/>
        <w:keepLines w:val="0"/>
        <w:pageBreakBefore w:val="0"/>
        <w:widowControl w:val="0"/>
        <w:numPr>
          <w:ilvl w:val="0"/>
          <w:numId w:val="0"/>
        </w:numPr>
        <w:kinsoku/>
        <w:wordWrap/>
        <w:overflowPunct/>
        <w:topLinePunct w:val="0"/>
        <w:autoSpaceDE/>
        <w:autoSpaceDN/>
        <w:bidi w:val="0"/>
        <w:adjustRightInd/>
        <w:snapToGrid/>
        <w:spacing w:line="596" w:lineRule="exact"/>
        <w:ind w:firstLine="640"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val="0"/>
          <w:bCs w:val="0"/>
          <w:sz w:val="32"/>
          <w:szCs w:val="32"/>
          <w:lang w:val="en-US" w:eastAsia="zh-CN"/>
        </w:rPr>
        <w:t>三、部门整体预算绩效管理情况</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（一）部门预算管理。</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r>
        <w:rPr>
          <w:rFonts w:hint="eastAsia"/>
          <w:lang w:val="en-US"/>
        </w:rPr>
        <w:t>2020年，本单位绩效目标为监督专项培训费、卫计专项和卫生监督专项。其中监督专项培训费1.5万元，卫计专项4.0万元，卫生监督专项2.0万元，共计7.5万元。截止年底，绩效目标完成率为100%。已对辖区内被监督单位的监督覆盖率进行100%∶已开展"打非"、"二次供水整治"等多个专项整治行动;对存在问题的单位下达书面文书，不整改的按照法律法规进行处罚。所有绩效没有违规记录。</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ascii="华文楷体" w:hAnsi="华文楷体" w:eastAsia="华文楷体" w:cs="华文楷体"/>
          <w:b/>
          <w:bCs/>
          <w:lang w:val="en-US"/>
        </w:rPr>
      </w:pPr>
      <w:r>
        <w:rPr>
          <w:rFonts w:hint="eastAsia" w:ascii="华文楷体" w:hAnsi="华文楷体" w:eastAsia="华文楷体" w:cs="华文楷体"/>
          <w:b/>
          <w:bCs/>
          <w:lang w:val="en-US"/>
        </w:rPr>
        <w:t>（二）结果应用情况。</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r>
        <w:rPr>
          <w:rFonts w:hint="eastAsia"/>
          <w:lang w:val="en-US"/>
        </w:rPr>
        <w:t>绩效自评已公开，群众对绩效结果满意度为100%。</w:t>
      </w:r>
    </w:p>
    <w:p>
      <w:pPr>
        <w:keepNext w:val="0"/>
        <w:keepLines w:val="0"/>
        <w:pageBreakBefore w:val="0"/>
        <w:widowControl w:val="0"/>
        <w:numPr>
          <w:ilvl w:val="0"/>
          <w:numId w:val="0"/>
        </w:numPr>
        <w:kinsoku/>
        <w:wordWrap/>
        <w:overflowPunct/>
        <w:topLinePunct w:val="0"/>
        <w:autoSpaceDE/>
        <w:autoSpaceDN/>
        <w:bidi w:val="0"/>
        <w:adjustRightInd/>
        <w:snapToGrid/>
        <w:spacing w:line="59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四、评价结论及建议</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（一）评价结论。</w:t>
      </w:r>
      <w:r>
        <w:rPr>
          <w:rFonts w:hint="eastAsia"/>
          <w:lang w:val="en-US"/>
        </w:rPr>
        <w:t>我大队圆满完成预算配置、执行、管理的各项指标，完成了区委区政府政府下达我局的各项工作任务。</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（二）存在问题。</w:t>
      </w:r>
      <w:r>
        <w:rPr>
          <w:rFonts w:hint="eastAsia"/>
          <w:lang w:val="en-US"/>
        </w:rPr>
        <w:t>上级交办的突发性工作任务，无法预算和列入年初预算， 需要年度中进行预算增加和调整。</w:t>
      </w:r>
    </w:p>
    <w:p>
      <w:pPr>
        <w:keepNext w:val="0"/>
        <w:keepLines w:val="0"/>
        <w:pageBreakBefore w:val="0"/>
        <w:widowControl w:val="0"/>
        <w:kinsoku/>
        <w:wordWrap/>
        <w:overflowPunct/>
        <w:topLinePunct w:val="0"/>
        <w:autoSpaceDE/>
        <w:autoSpaceDN/>
        <w:bidi w:val="0"/>
        <w:adjustRightInd/>
        <w:snapToGrid/>
        <w:spacing w:line="596" w:lineRule="exact"/>
        <w:ind w:firstLine="643" w:firstLineChars="200"/>
        <w:textAlignment w:val="auto"/>
        <w:rPr>
          <w:rFonts w:hint="eastAsia"/>
          <w:lang w:val="en-US"/>
        </w:rPr>
      </w:pPr>
      <w:r>
        <w:rPr>
          <w:rFonts w:hint="eastAsia" w:ascii="华文楷体" w:hAnsi="华文楷体" w:eastAsia="华文楷体" w:cs="华文楷体"/>
          <w:b/>
          <w:bCs/>
          <w:lang w:val="en-US"/>
        </w:rPr>
        <w:t>（三）改进建议。</w:t>
      </w:r>
      <w:r>
        <w:rPr>
          <w:rFonts w:hint="eastAsia"/>
          <w:lang w:val="en-US"/>
        </w:rPr>
        <w:t>年初预算编制更加严密。</w:t>
      </w: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p>
    <w:p>
      <w:pPr>
        <w:spacing w:line="580" w:lineRule="exact"/>
        <w:outlineLvl w:val="1"/>
        <w:rPr>
          <w:rFonts w:ascii="仿宋_GB2312" w:hAnsi="仿宋_GB2312" w:eastAsia="仿宋_GB2312" w:cs="仿宋_GB2312"/>
          <w:sz w:val="32"/>
          <w:szCs w:val="32"/>
        </w:rPr>
      </w:pPr>
      <w:bookmarkStart w:id="61" w:name="_Toc11602"/>
      <w:r>
        <w:rPr>
          <w:rFonts w:hint="eastAsia" w:ascii="黑体" w:hAnsi="黑体" w:eastAsia="黑体" w:cs="黑体"/>
          <w:sz w:val="32"/>
          <w:szCs w:val="32"/>
        </w:rPr>
        <w:t>附件</w:t>
      </w:r>
      <w:r>
        <w:rPr>
          <w:rFonts w:ascii="黑体" w:hAnsi="黑体" w:eastAsia="黑体" w:cs="黑体"/>
          <w:sz w:val="32"/>
          <w:szCs w:val="32"/>
        </w:rPr>
        <w:t>2</w:t>
      </w:r>
      <w:bookmarkEnd w:id="61"/>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hint="eastAsia" w:ascii="方正小标宋简体" w:hAnsi="宋体" w:eastAsia="方正小标宋简体"/>
          <w:color w:val="000000"/>
          <w:kern w:val="0"/>
          <w:sz w:val="44"/>
          <w:szCs w:val="44"/>
          <w:lang w:val="en-US"/>
        </w:rPr>
      </w:pPr>
      <w:r>
        <w:rPr>
          <w:rFonts w:hint="eastAsia" w:ascii="方正小标宋简体" w:hAnsi="宋体" w:eastAsia="方正小标宋简体"/>
          <w:color w:val="000000"/>
          <w:kern w:val="0"/>
          <w:sz w:val="44"/>
          <w:szCs w:val="44"/>
          <w:lang w:val="en-US"/>
        </w:rPr>
        <w:t>自流井区卫生和计划生育监督执法大队</w:t>
      </w:r>
    </w:p>
    <w:p>
      <w:pPr>
        <w:spacing w:line="600" w:lineRule="exact"/>
        <w:jc w:val="center"/>
        <w:rPr>
          <w:rFonts w:hint="eastAsia"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jc w:val="center"/>
        <w:rPr>
          <w:rFonts w:hint="eastAsia" w:ascii="方正小标宋简体" w:hAnsi="宋体" w:eastAsia="方正小标宋简体"/>
          <w:color w:val="000000"/>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default"/>
          <w:lang w:val="en-US" w:eastAsia="zh-CN"/>
        </w:rPr>
      </w:pPr>
      <w:r>
        <w:rPr>
          <w:rFonts w:hint="eastAsia"/>
          <w:lang w:val="en-US" w:eastAsia="zh-CN"/>
        </w:rPr>
        <w:t>0个项目</w:t>
      </w:r>
    </w:p>
    <w:p>
      <w:pPr>
        <w:spacing w:line="600" w:lineRule="exact"/>
        <w:jc w:val="center"/>
        <w:rPr>
          <w:rFonts w:hint="eastAsia" w:ascii="方正小标宋简体" w:hAnsi="宋体" w:eastAsia="方正小标宋简体"/>
          <w:color w:val="000000"/>
          <w:kern w:val="0"/>
          <w:sz w:val="44"/>
          <w:szCs w:val="44"/>
          <w:lang w:val="zh-CN"/>
        </w:rPr>
      </w:pP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p>
    <w:p>
      <w:pPr>
        <w:keepNext w:val="0"/>
        <w:keepLines w:val="0"/>
        <w:pageBreakBefore w:val="0"/>
        <w:widowControl w:val="0"/>
        <w:kinsoku/>
        <w:wordWrap/>
        <w:overflowPunct/>
        <w:topLinePunct w:val="0"/>
        <w:autoSpaceDE/>
        <w:autoSpaceDN/>
        <w:bidi w:val="0"/>
        <w:adjustRightInd/>
        <w:snapToGrid/>
        <w:spacing w:line="596" w:lineRule="exact"/>
        <w:ind w:firstLine="640" w:firstLineChars="200"/>
        <w:textAlignment w:val="auto"/>
        <w:rPr>
          <w:rFonts w:hint="eastAsia"/>
          <w:lang w:val="en-US"/>
        </w:rPr>
      </w:pPr>
    </w:p>
    <w:p>
      <w:pPr>
        <w:spacing w:line="580" w:lineRule="exact"/>
        <w:rPr>
          <w:rStyle w:val="16"/>
          <w:rFonts w:ascii="黑体" w:hAnsi="黑体" w:eastAsia="黑体"/>
          <w:b w:val="0"/>
        </w:rPr>
      </w:pPr>
      <w:r>
        <w:rPr>
          <w:rStyle w:val="16"/>
          <w:rFonts w:ascii="黑体" w:hAnsi="黑体" w:eastAsia="黑体"/>
          <w:b w:val="0"/>
        </w:rPr>
        <w:br w:type="page"/>
      </w:r>
    </w:p>
    <w:p>
      <w:pPr>
        <w:spacing w:line="600" w:lineRule="exact"/>
        <w:ind w:firstLine="440" w:firstLineChars="100"/>
        <w:jc w:val="both"/>
        <w:outlineLvl w:val="0"/>
        <w:rPr>
          <w:rStyle w:val="16"/>
          <w:rFonts w:ascii="黑体" w:hAnsi="黑体" w:eastAsia="黑体"/>
          <w:b w:val="0"/>
        </w:rPr>
      </w:pPr>
      <w:bookmarkStart w:id="62" w:name="_Toc15396618"/>
      <w:bookmarkStart w:id="63" w:name="_Toc32283"/>
      <w:r>
        <w:rPr>
          <w:rFonts w:hint="eastAsia" w:ascii="黑体" w:hAnsi="黑体" w:eastAsia="黑体"/>
          <w:color w:val="000000"/>
          <w:sz w:val="44"/>
          <w:szCs w:val="44"/>
        </w:rPr>
        <w:t>第</w:t>
      </w:r>
      <w:r>
        <w:rPr>
          <w:rStyle w:val="16"/>
          <w:rFonts w:hint="eastAsia" w:ascii="黑体" w:hAnsi="黑体" w:eastAsia="黑体"/>
          <w:b w:val="0"/>
        </w:rPr>
        <w:t>五部分</w:t>
      </w:r>
      <w:r>
        <w:rPr>
          <w:rStyle w:val="16"/>
          <w:rFonts w:ascii="黑体" w:hAnsi="黑体" w:eastAsia="黑体"/>
          <w:b w:val="0"/>
        </w:rPr>
        <w:t xml:space="preserve"> </w:t>
      </w:r>
      <w:r>
        <w:rPr>
          <w:rStyle w:val="16"/>
          <w:rFonts w:hint="eastAsia" w:ascii="黑体" w:hAnsi="黑体" w:eastAsia="黑体"/>
          <w:b w:val="0"/>
        </w:rPr>
        <w:t>附表</w:t>
      </w:r>
      <w:bookmarkEnd w:id="60"/>
      <w:bookmarkEnd w:id="62"/>
      <w:bookmarkEnd w:id="63"/>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4" w:name="_Toc15699"/>
      <w:bookmarkStart w:id="65" w:name="_Toc15396619"/>
      <w:r>
        <w:rPr>
          <w:rFonts w:hint="eastAsia" w:ascii="仿宋" w:hAnsi="仿宋" w:eastAsia="仿宋"/>
          <w:b w:val="0"/>
          <w:color w:val="000000"/>
        </w:rPr>
        <w:t>一、收</w:t>
      </w:r>
      <w:r>
        <w:rPr>
          <w:rStyle w:val="17"/>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27106"/>
      <w:bookmarkStart w:id="67" w:name="_Toc15396620"/>
      <w:r>
        <w:rPr>
          <w:rFonts w:hint="eastAsia" w:ascii="仿宋" w:hAnsi="仿宋" w:eastAsia="仿宋"/>
          <w:b w:val="0"/>
          <w:color w:val="000000"/>
        </w:rPr>
        <w:t>二、收</w:t>
      </w:r>
      <w:r>
        <w:rPr>
          <w:rStyle w:val="17"/>
          <w:rFonts w:hint="eastAsia" w:ascii="仿宋" w:hAnsi="仿宋" w:eastAsia="仿宋"/>
          <w:b w:val="0"/>
          <w:bCs w:val="0"/>
        </w:rPr>
        <w:t>入决算表</w:t>
      </w:r>
      <w:bookmarkEnd w:id="66"/>
      <w:bookmarkEnd w:id="67"/>
    </w:p>
    <w:p>
      <w:pPr>
        <w:pStyle w:val="3"/>
        <w:rPr>
          <w:rFonts w:ascii="仿宋" w:hAnsi="仿宋" w:eastAsia="仿宋"/>
          <w:color w:val="000000"/>
        </w:rPr>
      </w:pPr>
      <w:bookmarkStart w:id="68" w:name="_Toc26817"/>
      <w:bookmarkStart w:id="69" w:name="_Toc15396621"/>
      <w:r>
        <w:rPr>
          <w:rStyle w:val="17"/>
          <w:rFonts w:hint="eastAsia" w:ascii="仿宋" w:hAnsi="仿宋" w:eastAsia="仿宋"/>
          <w:b w:val="0"/>
          <w:bCs w:val="0"/>
        </w:rPr>
        <w:t>三、</w:t>
      </w:r>
      <w:r>
        <w:rPr>
          <w:rFonts w:hint="eastAsia" w:ascii="仿宋" w:hAnsi="仿宋" w:eastAsia="仿宋"/>
          <w:b w:val="0"/>
          <w:color w:val="000000"/>
        </w:rPr>
        <w:t>支</w:t>
      </w:r>
      <w:r>
        <w:rPr>
          <w:rStyle w:val="17"/>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21747"/>
      <w:bookmarkStart w:id="71" w:name="_Toc15396622"/>
      <w:r>
        <w:rPr>
          <w:rStyle w:val="17"/>
          <w:rFonts w:hint="eastAsia" w:ascii="仿宋" w:hAnsi="仿宋" w:eastAsia="仿宋"/>
          <w:b w:val="0"/>
          <w:bCs w:val="0"/>
        </w:rPr>
        <w:t>四、</w:t>
      </w:r>
      <w:r>
        <w:rPr>
          <w:rFonts w:hint="eastAsia" w:ascii="仿宋" w:hAnsi="仿宋" w:eastAsia="仿宋"/>
          <w:b w:val="0"/>
          <w:color w:val="000000"/>
        </w:rPr>
        <w:t>财</w:t>
      </w:r>
      <w:r>
        <w:rPr>
          <w:rStyle w:val="17"/>
          <w:rFonts w:hint="eastAsia" w:ascii="仿宋" w:hAnsi="仿宋" w:eastAsia="仿宋"/>
          <w:b w:val="0"/>
          <w:bCs w:val="0"/>
        </w:rPr>
        <w:t>政拨款收入支出决算总表</w:t>
      </w:r>
      <w:bookmarkEnd w:id="70"/>
      <w:bookmarkEnd w:id="71"/>
    </w:p>
    <w:p>
      <w:pPr>
        <w:pStyle w:val="3"/>
        <w:rPr>
          <w:rStyle w:val="17"/>
          <w:rFonts w:ascii="仿宋" w:hAnsi="仿宋" w:eastAsia="仿宋"/>
          <w:b w:val="0"/>
          <w:bCs w:val="0"/>
        </w:rPr>
      </w:pPr>
      <w:bookmarkStart w:id="72" w:name="_Toc12959"/>
      <w:bookmarkStart w:id="73" w:name="_Toc15396623"/>
      <w:r>
        <w:rPr>
          <w:rStyle w:val="17"/>
          <w:rFonts w:hint="eastAsia" w:ascii="仿宋" w:hAnsi="仿宋" w:eastAsia="仿宋"/>
          <w:b w:val="0"/>
          <w:bCs w:val="0"/>
        </w:rPr>
        <w:t>五、</w:t>
      </w:r>
      <w:r>
        <w:rPr>
          <w:rFonts w:hint="eastAsia" w:ascii="仿宋" w:hAnsi="仿宋" w:eastAsia="仿宋"/>
          <w:b w:val="0"/>
          <w:color w:val="000000"/>
        </w:rPr>
        <w:t>财</w:t>
      </w:r>
      <w:r>
        <w:rPr>
          <w:rStyle w:val="17"/>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23749"/>
      <w:r>
        <w:rPr>
          <w:rStyle w:val="17"/>
          <w:rFonts w:hint="eastAsia" w:ascii="仿宋" w:hAnsi="仿宋" w:eastAsia="仿宋"/>
          <w:b w:val="0"/>
          <w:bCs w:val="0"/>
        </w:rPr>
        <w:t>六、</w:t>
      </w:r>
      <w:r>
        <w:rPr>
          <w:rFonts w:hint="eastAsia" w:ascii="仿宋" w:hAnsi="仿宋" w:eastAsia="仿宋"/>
          <w:b w:val="0"/>
          <w:color w:val="000000"/>
        </w:rPr>
        <w:t>一</w:t>
      </w:r>
      <w:r>
        <w:rPr>
          <w:rStyle w:val="17"/>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15396625"/>
      <w:bookmarkStart w:id="77" w:name="_Toc22275"/>
      <w:r>
        <w:rPr>
          <w:rStyle w:val="17"/>
          <w:rFonts w:hint="eastAsia" w:ascii="仿宋" w:hAnsi="仿宋" w:eastAsia="仿宋"/>
          <w:b w:val="0"/>
          <w:bCs w:val="0"/>
        </w:rPr>
        <w:t>七、</w:t>
      </w:r>
      <w:r>
        <w:rPr>
          <w:rFonts w:hint="eastAsia" w:ascii="仿宋" w:hAnsi="仿宋" w:eastAsia="仿宋"/>
          <w:b w:val="0"/>
          <w:color w:val="000000"/>
        </w:rPr>
        <w:t>一</w:t>
      </w:r>
      <w:r>
        <w:rPr>
          <w:rStyle w:val="17"/>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30634"/>
      <w:bookmarkStart w:id="79" w:name="_Toc15396626"/>
      <w:r>
        <w:rPr>
          <w:rStyle w:val="17"/>
          <w:rFonts w:hint="eastAsia" w:ascii="仿宋" w:hAnsi="仿宋" w:eastAsia="仿宋"/>
          <w:b w:val="0"/>
          <w:bCs w:val="0"/>
        </w:rPr>
        <w:t>八、</w:t>
      </w:r>
      <w:r>
        <w:rPr>
          <w:rFonts w:hint="eastAsia" w:ascii="仿宋" w:hAnsi="仿宋" w:eastAsia="仿宋"/>
          <w:b w:val="0"/>
          <w:color w:val="000000"/>
        </w:rPr>
        <w:t>一</w:t>
      </w:r>
      <w:r>
        <w:rPr>
          <w:rStyle w:val="17"/>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170"/>
      <w:bookmarkStart w:id="81" w:name="_Toc15396627"/>
      <w:r>
        <w:rPr>
          <w:rStyle w:val="17"/>
          <w:rFonts w:hint="eastAsia" w:ascii="仿宋" w:hAnsi="仿宋" w:eastAsia="仿宋"/>
          <w:b w:val="0"/>
          <w:bCs w:val="0"/>
        </w:rPr>
        <w:t>九、</w:t>
      </w:r>
      <w:r>
        <w:rPr>
          <w:rFonts w:hint="eastAsia" w:ascii="仿宋" w:hAnsi="仿宋" w:eastAsia="仿宋"/>
          <w:b w:val="0"/>
          <w:color w:val="000000"/>
        </w:rPr>
        <w:t>一</w:t>
      </w:r>
      <w:r>
        <w:rPr>
          <w:rStyle w:val="17"/>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5396628"/>
      <w:bookmarkStart w:id="83" w:name="_Toc17603"/>
      <w:r>
        <w:rPr>
          <w:rStyle w:val="17"/>
          <w:rFonts w:hint="eastAsia" w:ascii="仿宋" w:hAnsi="仿宋" w:eastAsia="仿宋"/>
          <w:b w:val="0"/>
          <w:bCs w:val="0"/>
        </w:rPr>
        <w:t>十、</w:t>
      </w:r>
      <w:r>
        <w:rPr>
          <w:rFonts w:hint="eastAsia" w:ascii="仿宋" w:hAnsi="仿宋" w:eastAsia="仿宋"/>
          <w:b w:val="0"/>
          <w:color w:val="000000"/>
        </w:rPr>
        <w:t>一</w:t>
      </w:r>
      <w:r>
        <w:rPr>
          <w:rStyle w:val="17"/>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15396629"/>
      <w:bookmarkStart w:id="85" w:name="_Toc7313"/>
      <w:r>
        <w:rPr>
          <w:rStyle w:val="17"/>
          <w:rFonts w:hint="eastAsia" w:ascii="仿宋" w:hAnsi="仿宋" w:eastAsia="仿宋"/>
          <w:b w:val="0"/>
          <w:bCs w:val="0"/>
        </w:rPr>
        <w:t>十一、</w:t>
      </w:r>
      <w:r>
        <w:rPr>
          <w:rFonts w:hint="eastAsia" w:ascii="仿宋" w:hAnsi="仿宋" w:eastAsia="仿宋"/>
          <w:b w:val="0"/>
          <w:color w:val="000000"/>
        </w:rPr>
        <w:t>政</w:t>
      </w:r>
      <w:r>
        <w:rPr>
          <w:rStyle w:val="17"/>
          <w:rFonts w:hint="eastAsia" w:ascii="仿宋" w:hAnsi="仿宋" w:eastAsia="仿宋"/>
          <w:b w:val="0"/>
          <w:bCs w:val="0"/>
        </w:rPr>
        <w:t>府性基金预算财政拨款收入支出决算表</w:t>
      </w:r>
      <w:bookmarkEnd w:id="84"/>
      <w:bookmarkEnd w:id="85"/>
    </w:p>
    <w:p>
      <w:pPr>
        <w:pStyle w:val="3"/>
        <w:rPr>
          <w:rFonts w:hint="eastAsia"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3"/>
        <w:rPr>
          <w:rFonts w:hint="eastAsia"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3"/>
        <w:rPr>
          <w:rFonts w:hint="eastAsia"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
    <w:panose1 w:val="00000000000000000000"/>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EDF5709C"/>
    <w:multiLevelType w:val="singleLevel"/>
    <w:tmpl w:val="EDF5709C"/>
    <w:lvl w:ilvl="0" w:tentative="0">
      <w:start w:val="1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00172A27"/>
    <w:rsid w:val="06D96529"/>
    <w:rsid w:val="095D1CD8"/>
    <w:rsid w:val="20012A54"/>
    <w:rsid w:val="28E67722"/>
    <w:rsid w:val="2AC65C17"/>
    <w:rsid w:val="32DC3742"/>
    <w:rsid w:val="32E81F34"/>
    <w:rsid w:val="371D16E2"/>
    <w:rsid w:val="380B643E"/>
    <w:rsid w:val="3858775E"/>
    <w:rsid w:val="3E4169FF"/>
    <w:rsid w:val="48BB578C"/>
    <w:rsid w:val="4E3A4862"/>
    <w:rsid w:val="57263D2F"/>
    <w:rsid w:val="576C5368"/>
    <w:rsid w:val="5D3E75DF"/>
    <w:rsid w:val="6504078C"/>
    <w:rsid w:val="726E3979"/>
    <w:rsid w:val="75EC4D89"/>
    <w:rsid w:val="778A75EB"/>
    <w:rsid w:val="7A6A7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paragraph" w:customStyle="1" w:styleId="14">
    <w:name w:val="Body Text First Indent 2"/>
    <w:basedOn w:val="15"/>
    <w:qFormat/>
    <w:uiPriority w:val="0"/>
    <w:pPr>
      <w:ind w:firstLine="420" w:firstLineChars="200"/>
    </w:pPr>
  </w:style>
  <w:style w:type="paragraph" w:customStyle="1" w:styleId="15">
    <w:name w:val="Body Text Indent"/>
    <w:basedOn w:val="1"/>
    <w:qFormat/>
    <w:uiPriority w:val="0"/>
    <w:pPr>
      <w:ind w:firstLine="640" w:firstLineChars="200"/>
    </w:pPr>
    <w:rPr>
      <w:rFonts w:eastAsia="仿宋_GB2312"/>
      <w:sz w:val="32"/>
    </w:rPr>
  </w:style>
  <w:style w:type="character" w:customStyle="1" w:styleId="16">
    <w:name w:val=" Char Char6"/>
    <w:basedOn w:val="11"/>
    <w:link w:val="2"/>
    <w:qFormat/>
    <w:locked/>
    <w:uiPriority w:val="9"/>
    <w:rPr>
      <w:b/>
      <w:bCs/>
      <w:kern w:val="44"/>
      <w:sz w:val="44"/>
      <w:szCs w:val="44"/>
    </w:rPr>
  </w:style>
  <w:style w:type="character" w:customStyle="1" w:styleId="17">
    <w:name w:val=" Char Char5"/>
    <w:basedOn w:val="11"/>
    <w:link w:val="3"/>
    <w:qFormat/>
    <w:locked/>
    <w:uiPriority w:val="9"/>
    <w:rPr>
      <w:rFonts w:ascii="Cambria" w:hAnsi="Cambria"/>
      <w:b/>
      <w:bCs/>
      <w:sz w:val="32"/>
      <w:szCs w:val="32"/>
    </w:rPr>
  </w:style>
  <w:style w:type="paragraph" w:customStyle="1"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703923714241"/>
          <c:y val="0.130769230769231"/>
          <c:w val="0.818414881975926"/>
          <c:h val="0.716512820512821"/>
        </c:manualLayout>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收入(万元)</c:v>
                </c:pt>
                <c:pt idx="1">
                  <c:v>支出(万元)</c:v>
                </c:pt>
              </c:strCache>
            </c:strRef>
          </c:cat>
          <c:val>
            <c:numRef>
              <c:f>Sheet1!$B$2:$B$3</c:f>
              <c:numCache>
                <c:formatCode>General</c:formatCode>
                <c:ptCount val="2"/>
                <c:pt idx="0">
                  <c:v>130.66</c:v>
                </c:pt>
                <c:pt idx="1">
                  <c:v>104.85</c:v>
                </c:pt>
              </c:numCache>
            </c:numRef>
          </c:val>
        </c:ser>
        <c:ser>
          <c:idx val="1"/>
          <c:order val="1"/>
          <c:tx>
            <c:strRef>
              <c:f>Sheet1!$C$1</c:f>
              <c:strCache>
                <c:ptCount val="1"/>
                <c:pt idx="0">
                  <c:v>2020年</c:v>
                </c:pt>
              </c:strCache>
            </c:strRef>
          </c:tx>
          <c:spPr>
            <a:solidFill>
              <a:srgbClr val="C0000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收入(万元)</c:v>
                </c:pt>
                <c:pt idx="1">
                  <c:v>支出(万元)</c:v>
                </c:pt>
              </c:strCache>
            </c:strRef>
          </c:cat>
          <c:val>
            <c:numRef>
              <c:f>Sheet1!$C$2:$C$3</c:f>
              <c:numCache>
                <c:formatCode>General</c:formatCode>
                <c:ptCount val="2"/>
                <c:pt idx="0">
                  <c:v>103.44</c:v>
                </c:pt>
                <c:pt idx="1">
                  <c:v>103.44</c:v>
                </c:pt>
              </c:numCache>
            </c:numRef>
          </c:val>
        </c:ser>
        <c:dLbls>
          <c:showLegendKey val="0"/>
          <c:showVal val="1"/>
          <c:showCatName val="0"/>
          <c:showSerName val="0"/>
          <c:showPercent val="0"/>
          <c:showBubbleSize val="0"/>
        </c:dLbls>
        <c:gapWidth val="219"/>
        <c:overlap val="-27"/>
        <c:axId val="492991092"/>
        <c:axId val="905782967"/>
      </c:barChart>
      <c:catAx>
        <c:axId val="49299109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05782967"/>
        <c:crosses val="autoZero"/>
        <c:auto val="1"/>
        <c:lblAlgn val="ctr"/>
        <c:lblOffset val="100"/>
        <c:noMultiLvlLbl val="0"/>
      </c:catAx>
      <c:valAx>
        <c:axId val="9057829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9299109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spPr/>
          <c:explosion val="0"/>
          <c:dPt>
            <c:idx val="0"/>
            <c:bubble3D val="0"/>
            <c:explosion val="0"/>
            <c:spPr>
              <a:solidFill>
                <a:schemeClr val="accent1"/>
              </a:solidFill>
              <a:ln w="9525">
                <a:solidFill>
                  <a:schemeClr val="accent1"/>
                </a:solidFill>
              </a:ln>
              <a:effectLst/>
              <a:sp3d contourW="9525"/>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Lbl>
              <c:idx val="0"/>
              <c:layout>
                <c:manualLayout>
                  <c:x val="0.0425460366677896"/>
                  <c:y val="0.070665489551268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301042758412192"/>
                  <c:y val="0.051427629776543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210925384124743"/>
                  <c:y val="0.074846833523615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96334139885093"/>
                  <c:y val="0.047524429152031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416091078706716"/>
                  <c:y val="-0.0032171789666262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38924716335495"/>
                  <c:y val="0.039718027903006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803138602276806"/>
                  <c:y val="-0.0461460945441903"/>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0619726951986501"/>
                      <c:h val="0.0830080666146239"/>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一般公共预算财政拨款收入</c:v>
                </c:pt>
                <c:pt idx="1">
                  <c:v>政府性基金预算财政拨款</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99.9</c:v>
                </c:pt>
                <c:pt idx="1">
                  <c:v>0</c:v>
                </c:pt>
                <c:pt idx="2">
                  <c:v>0</c:v>
                </c:pt>
                <c:pt idx="3">
                  <c:v>0</c:v>
                </c:pt>
                <c:pt idx="4">
                  <c:v>0</c:v>
                </c:pt>
                <c:pt idx="5">
                  <c:v>0</c:v>
                </c:pt>
                <c:pt idx="6">
                  <c:v>0.1</c:v>
                </c:pt>
              </c:numCache>
            </c:numRef>
          </c:val>
        </c:ser>
        <c:dLbls>
          <c:showLegendKey val="0"/>
          <c:showVal val="1"/>
          <c:showCatName val="0"/>
          <c:showSerName val="0"/>
          <c:showPercent val="0"/>
          <c:showBubbleSize val="0"/>
          <c:showLeaderLines val="1"/>
        </c:dLbls>
        <c:firstSliceAng val="225"/>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alpha val="94000"/>
        </a:schemeClr>
      </a:solidFill>
      <a:round/>
    </a:ln>
    <a:effectLst>
      <a:outerShdw blurRad="50800" dist="50800" dir="5400000" sx="1000" sy="1000" algn="ctr" rotWithShape="0">
        <a:srgbClr val="000000">
          <a:alpha val="43000"/>
        </a:srgbClr>
      </a:outerShdw>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alpha val="94000"/>
                  </a:schemeClr>
                </a:solidFill>
              </a:ln>
              <a:effectLst>
                <a:outerShdw blurRad="50800" dist="38100" dir="4800000" algn="ctr" rotWithShape="0">
                  <a:srgbClr val="000000">
                    <a:alpha val="43000"/>
                  </a:srgbClr>
                </a:outerShdw>
              </a:effectLst>
            </c:spPr>
          </c:dPt>
          <c:dLbls>
            <c:dLbl>
              <c:idx val="0"/>
              <c:layout>
                <c:manualLayout>
                  <c:x val="0.0168014561739479"/>
                  <c:y val="0.016057565307667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927679653895292"/>
                  <c:y val="0.03978633945480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3326836437293"/>
                  <c:y val="0.082061512398698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255786130270759"/>
                  <c:y val="-0.048607203973322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c:v>
                </c:pt>
                <c:pt idx="1">
                  <c:v>项目支出</c:v>
                </c:pt>
                <c:pt idx="2">
                  <c:v>上缴上级支出</c:v>
                </c:pt>
                <c:pt idx="3">
                  <c:v>经营支出</c:v>
                </c:pt>
                <c:pt idx="4">
                  <c:v>对附属单位补助支出</c:v>
                </c:pt>
              </c:strCache>
            </c:strRef>
          </c:cat>
          <c:val>
            <c:numRef>
              <c:f>Sheet1!$B$2:$B$6</c:f>
              <c:numCache>
                <c:formatCode>General</c:formatCode>
                <c:ptCount val="5"/>
                <c:pt idx="0">
                  <c:v>100</c:v>
                </c:pt>
                <c:pt idx="1">
                  <c:v>0</c:v>
                </c:pt>
                <c:pt idx="2">
                  <c:v>0</c:v>
                </c:pt>
                <c:pt idx="3">
                  <c:v>0</c:v>
                </c:pt>
                <c:pt idx="4">
                  <c:v>0</c:v>
                </c:pt>
              </c:numCache>
            </c:numRef>
          </c:val>
        </c:ser>
        <c:dLbls>
          <c:showLegendKey val="0"/>
          <c:showVal val="1"/>
          <c:showCatName val="0"/>
          <c:showSerName val="0"/>
          <c:showPercent val="0"/>
          <c:showBubbleSize val="0"/>
          <c:showLeaderLines val="1"/>
        </c:dLbls>
        <c:firstSliceAng val="242"/>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财政拨款收入(万元)</c:v>
                </c:pt>
                <c:pt idx="1">
                  <c:v>财政拨款支出(万元)</c:v>
                </c:pt>
              </c:strCache>
            </c:strRef>
          </c:cat>
          <c:val>
            <c:numRef>
              <c:f>Sheet1!$B$2:$B$3</c:f>
              <c:numCache>
                <c:formatCode>General</c:formatCode>
                <c:ptCount val="2"/>
                <c:pt idx="0">
                  <c:v>103.3</c:v>
                </c:pt>
                <c:pt idx="1">
                  <c:v>104.85</c:v>
                </c:pt>
              </c:numCache>
            </c:numRef>
          </c:val>
        </c:ser>
        <c:ser>
          <c:idx val="1"/>
          <c:order val="1"/>
          <c:tx>
            <c:strRef>
              <c:f>Sheet1!$C$1</c:f>
              <c:strCache>
                <c:ptCount val="1"/>
                <c:pt idx="0">
                  <c:v>2020年</c:v>
                </c:pt>
              </c:strCache>
            </c:strRef>
          </c:tx>
          <c:spPr>
            <a:solidFill>
              <a:srgbClr val="C0000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财政拨款收入(万元)</c:v>
                </c:pt>
                <c:pt idx="1">
                  <c:v>财政拨款支出(万元)</c:v>
                </c:pt>
              </c:strCache>
            </c:strRef>
          </c:cat>
          <c:val>
            <c:numRef>
              <c:f>Sheet1!$C$2:$C$3</c:f>
              <c:numCache>
                <c:formatCode>General</c:formatCode>
                <c:ptCount val="2"/>
                <c:pt idx="0">
                  <c:v>103.44</c:v>
                </c:pt>
                <c:pt idx="1">
                  <c:v>103.44</c:v>
                </c:pt>
              </c:numCache>
            </c:numRef>
          </c:val>
        </c:ser>
        <c:dLbls>
          <c:showLegendKey val="0"/>
          <c:showVal val="1"/>
          <c:showCatName val="0"/>
          <c:showSerName val="0"/>
          <c:showPercent val="0"/>
          <c:showBubbleSize val="0"/>
        </c:dLbls>
        <c:gapWidth val="219"/>
        <c:overlap val="-27"/>
        <c:axId val="482079248"/>
        <c:axId val="346060656"/>
      </c:barChart>
      <c:catAx>
        <c:axId val="48207924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6060656"/>
        <c:crosses val="autoZero"/>
        <c:auto val="1"/>
        <c:lblAlgn val="ctr"/>
        <c:lblOffset val="100"/>
        <c:noMultiLvlLbl val="0"/>
      </c:catAx>
      <c:valAx>
        <c:axId val="346060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207924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104.85</c:v>
                </c:pt>
                <c:pt idx="1">
                  <c:v>102.17</c:v>
                </c:pt>
              </c:numCache>
            </c:numRef>
          </c:val>
        </c:ser>
        <c:dLbls>
          <c:showLegendKey val="0"/>
          <c:showVal val="1"/>
          <c:showCatName val="0"/>
          <c:showSerName val="0"/>
          <c:showPercent val="0"/>
          <c:showBubbleSize val="0"/>
        </c:dLbls>
        <c:gapWidth val="219"/>
        <c:overlap val="-27"/>
        <c:axId val="61481707"/>
        <c:axId val="271336005"/>
      </c:barChart>
      <c:catAx>
        <c:axId val="6148170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1336005"/>
        <c:crosses val="autoZero"/>
        <c:auto val="1"/>
        <c:lblAlgn val="ctr"/>
        <c:lblOffset val="100"/>
        <c:noMultiLvlLbl val="0"/>
      </c:catAx>
      <c:valAx>
        <c:axId val="271336005"/>
        <c:scaling>
          <c:orientation val="minMax"/>
          <c:min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148170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Lbls>
            <c:dLbl>
              <c:idx val="0"/>
              <c:layout>
                <c:manualLayout>
                  <c:x val="0.00226918167635796"/>
                  <c:y val="-0.0071798422790260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781449439795774"/>
                  <c:y val="0.0074467999983594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96383491703304"/>
                  <c:y val="-0.003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520493547014608"/>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7733275328463"/>
                  <c:y val="0.05481455864123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132396945059156"/>
                  <c:y val="-0.031103926945025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528274540970746"/>
                  <c:y val="0.026884696262243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212735782158559"/>
                  <c:y val="-0.0071798422793486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Sheet1!$A$2:$A$9</c:f>
              <c:strCache>
                <c:ptCount val="8"/>
                <c:pt idx="0">
                  <c:v>一般公共服务（类）支出</c:v>
                </c:pt>
                <c:pt idx="1">
                  <c:v>教育支出（类）</c:v>
                </c:pt>
                <c:pt idx="2">
                  <c:v>科学技术（类）支出</c:v>
                </c:pt>
                <c:pt idx="3">
                  <c:v>文化旅游体育与传媒（类）支出</c:v>
                </c:pt>
                <c:pt idx="4">
                  <c:v>社会保障和就业（类）支出</c:v>
                </c:pt>
                <c:pt idx="5">
                  <c:v>卫生健康支出</c:v>
                </c:pt>
                <c:pt idx="6">
                  <c:v>住房保障支出</c:v>
                </c:pt>
                <c:pt idx="7">
                  <c:v>其他分类科目支出</c:v>
                </c:pt>
              </c:strCache>
            </c:strRef>
          </c:cat>
          <c:val>
            <c:numRef>
              <c:f>Sheet1!$B$2:$B$9</c:f>
              <c:numCache>
                <c:formatCode>General</c:formatCode>
                <c:ptCount val="8"/>
                <c:pt idx="0">
                  <c:v>0</c:v>
                </c:pt>
                <c:pt idx="1">
                  <c:v>0</c:v>
                </c:pt>
                <c:pt idx="2">
                  <c:v>0</c:v>
                </c:pt>
                <c:pt idx="3">
                  <c:v>0</c:v>
                </c:pt>
                <c:pt idx="4">
                  <c:v>8.2</c:v>
                </c:pt>
                <c:pt idx="5">
                  <c:v>86.7</c:v>
                </c:pt>
                <c:pt idx="6">
                  <c:v>5</c:v>
                </c:pt>
                <c:pt idx="7">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5230</Words>
  <Characters>5678</Characters>
  <Lines>0</Lines>
  <Paragraphs>0</Paragraphs>
  <TotalTime>263</TotalTime>
  <ScaleCrop>false</ScaleCrop>
  <LinksUpToDate>false</LinksUpToDate>
  <CharactersWithSpaces>5745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2021-10-14T04:48:00Z</cp:lastPrinted>
  <dcterms:modified xsi:type="dcterms:W3CDTF">2022-06-06T03:12:52Z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45FA2B07CCDF485CB8457971DB54CC99</vt:lpwstr>
  </property>
</Properties>
</file>