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3" w:line="176" w:lineRule="auto"/>
        <w:ind w:left="1260" w:right="1010" w:hanging="19"/>
        <w:rPr>
          <w:rFonts w:ascii="Microsoft JhengHei" w:hAnsi="Microsoft JhengHei" w:eastAsia="Microsoft JhengHei" w:cs="Microsoft JhengHei"/>
          <w:sz w:val="44"/>
          <w:szCs w:val="44"/>
        </w:rPr>
      </w:pPr>
      <w:r>
        <w:rPr>
          <w:rFonts w:ascii="Microsoft JhengHei" w:hAnsi="Microsoft JhengHei" w:eastAsia="Microsoft JhengHei" w:cs="Microsoft JhengHei"/>
          <w:spacing w:val="-6"/>
          <w:sz w:val="44"/>
          <w:szCs w:val="44"/>
        </w:rPr>
        <w:t>自贡市自流井区退役军人事务局</w:t>
      </w:r>
      <w:r>
        <w:rPr>
          <w:rFonts w:ascii="Microsoft JhengHei" w:hAnsi="Microsoft JhengHei" w:eastAsia="Microsoft JhengHei" w:cs="Microsoft JhengHei"/>
          <w:spacing w:val="-11"/>
          <w:sz w:val="44"/>
          <w:szCs w:val="44"/>
        </w:rPr>
        <w:t>2020年度部门决算编制的说明</w:t>
      </w:r>
    </w:p>
    <w:p>
      <w:pPr>
        <w:spacing w:line="354" w:lineRule="auto"/>
        <w:rPr>
          <w:rFonts w:ascii="Microsoft JhengHei"/>
          <w:sz w:val="21"/>
        </w:rPr>
      </w:pPr>
    </w:p>
    <w:p>
      <w:pPr>
        <w:spacing w:before="143" w:line="187" w:lineRule="auto"/>
        <w:ind w:firstLine="3798"/>
        <w:rPr>
          <w:rFonts w:ascii="黑体" w:hAnsi="黑体" w:eastAsia="黑体" w:cs="黑体"/>
          <w:spacing w:val="-37"/>
          <w:sz w:val="44"/>
          <w:szCs w:val="44"/>
        </w:rPr>
      </w:pPr>
      <w:r>
        <w:rPr>
          <w:rFonts w:ascii="黑体" w:hAnsi="黑体" w:eastAsia="黑体" w:cs="黑体"/>
          <w:spacing w:val="-37"/>
          <w:sz w:val="44"/>
          <w:szCs w:val="44"/>
        </w:rPr>
        <w:t>目录</w:t>
      </w:r>
    </w:p>
    <w:p>
      <w:pPr>
        <w:spacing w:before="204" w:line="560" w:lineRule="exact"/>
        <w:ind w:firstLine="39"/>
        <w:rPr>
          <w:rFonts w:ascii="仿宋" w:hAnsi="仿宋" w:eastAsia="仿宋" w:cs="仿宋"/>
          <w:sz w:val="28"/>
          <w:szCs w:val="28"/>
        </w:rPr>
      </w:pPr>
      <w:bookmarkStart w:id="33" w:name="_GoBack"/>
      <w:bookmarkEnd w:id="33"/>
      <w:r>
        <w:fldChar w:fldCharType="begin"/>
      </w:r>
      <w:r>
        <w:instrText xml:space="preserve"> HYPERLINK \l "_bookmark1" </w:instrText>
      </w:r>
      <w:r>
        <w:fldChar w:fldCharType="separate"/>
      </w:r>
      <w:r>
        <w:rPr>
          <w:rFonts w:ascii="仿宋" w:hAnsi="仿宋" w:eastAsia="仿宋" w:cs="仿宋"/>
          <w:spacing w:val="-2"/>
          <w:position w:val="6"/>
          <w:sz w:val="28"/>
          <w:szCs w:val="28"/>
        </w:rPr>
        <w:t>第一部分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部门概况</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3</w:t>
      </w:r>
      <w:r>
        <w:rPr>
          <w:rFonts w:ascii="仿宋" w:hAnsi="仿宋" w:eastAsia="仿宋" w:cs="仿宋"/>
          <w:spacing w:val="-2"/>
          <w:position w:val="6"/>
          <w:sz w:val="28"/>
          <w:szCs w:val="28"/>
        </w:rPr>
        <w:fldChar w:fldCharType="end"/>
      </w:r>
    </w:p>
    <w:p>
      <w:pPr>
        <w:spacing w:before="120" w:line="560" w:lineRule="exact"/>
        <w:ind w:firstLine="342"/>
        <w:rPr>
          <w:rFonts w:ascii="仿宋" w:hAnsi="仿宋" w:eastAsia="仿宋" w:cs="仿宋"/>
          <w:sz w:val="28"/>
          <w:szCs w:val="28"/>
        </w:rPr>
      </w:pPr>
      <w:r>
        <w:fldChar w:fldCharType="begin"/>
      </w:r>
      <w:r>
        <w:instrText xml:space="preserve"> HYPERLINK \l "_bookmark2" </w:instrText>
      </w:r>
      <w:r>
        <w:fldChar w:fldCharType="separate"/>
      </w:r>
      <w:r>
        <w:rPr>
          <w:rFonts w:ascii="仿宋" w:hAnsi="仿宋" w:eastAsia="仿宋" w:cs="仿宋"/>
          <w:spacing w:val="-2"/>
          <w:position w:val="6"/>
          <w:sz w:val="28"/>
          <w:szCs w:val="28"/>
        </w:rPr>
        <w:t>一、基本职能及主要工作</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3</w:t>
      </w:r>
      <w:r>
        <w:rPr>
          <w:rFonts w:ascii="仿宋" w:hAnsi="仿宋" w:eastAsia="仿宋" w:cs="仿宋"/>
          <w:spacing w:val="-2"/>
          <w:position w:val="6"/>
          <w:sz w:val="28"/>
          <w:szCs w:val="28"/>
        </w:rPr>
        <w:fldChar w:fldCharType="end"/>
      </w:r>
    </w:p>
    <w:p>
      <w:pPr>
        <w:spacing w:before="120" w:line="560" w:lineRule="exact"/>
        <w:ind w:firstLine="340"/>
        <w:rPr>
          <w:rFonts w:ascii="仿宋" w:hAnsi="仿宋" w:eastAsia="仿宋" w:cs="仿宋"/>
          <w:sz w:val="28"/>
          <w:szCs w:val="28"/>
        </w:rPr>
      </w:pPr>
      <w:r>
        <w:fldChar w:fldCharType="begin"/>
      </w:r>
      <w:r>
        <w:instrText xml:space="preserve"> HYPERLINK \l "_bookmark3" </w:instrText>
      </w:r>
      <w:r>
        <w:fldChar w:fldCharType="separate"/>
      </w:r>
      <w:r>
        <w:rPr>
          <w:rFonts w:ascii="仿宋" w:hAnsi="仿宋" w:eastAsia="仿宋" w:cs="仿宋"/>
          <w:spacing w:val="-2"/>
          <w:position w:val="6"/>
          <w:sz w:val="28"/>
          <w:szCs w:val="28"/>
        </w:rPr>
        <w:t>二、机构设置</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6</w:t>
      </w:r>
      <w:r>
        <w:rPr>
          <w:rFonts w:ascii="仿宋" w:hAnsi="仿宋" w:eastAsia="仿宋" w:cs="仿宋"/>
          <w:spacing w:val="-2"/>
          <w:position w:val="6"/>
          <w:sz w:val="28"/>
          <w:szCs w:val="28"/>
        </w:rPr>
        <w:fldChar w:fldCharType="end"/>
      </w:r>
    </w:p>
    <w:p>
      <w:pPr>
        <w:spacing w:before="120" w:line="560" w:lineRule="exact"/>
        <w:ind w:firstLine="39"/>
        <w:rPr>
          <w:rFonts w:ascii="仿宋" w:hAnsi="仿宋" w:eastAsia="仿宋" w:cs="仿宋"/>
          <w:sz w:val="28"/>
          <w:szCs w:val="28"/>
        </w:rPr>
      </w:pPr>
      <w:r>
        <w:fldChar w:fldCharType="begin"/>
      </w:r>
      <w:r>
        <w:instrText xml:space="preserve"> HYPERLINK \l "_bookmark4" </w:instrText>
      </w:r>
      <w:r>
        <w:fldChar w:fldCharType="separate"/>
      </w:r>
      <w:r>
        <w:rPr>
          <w:rFonts w:ascii="仿宋" w:hAnsi="仿宋" w:eastAsia="仿宋" w:cs="仿宋"/>
          <w:spacing w:val="-2"/>
          <w:position w:val="6"/>
          <w:sz w:val="28"/>
          <w:szCs w:val="28"/>
        </w:rPr>
        <w:t>第二部分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2020年度部门决算情况说明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7</w:t>
      </w:r>
      <w:r>
        <w:rPr>
          <w:rFonts w:ascii="仿宋" w:hAnsi="仿宋" w:eastAsia="仿宋" w:cs="仿宋"/>
          <w:spacing w:val="-2"/>
          <w:position w:val="6"/>
          <w:sz w:val="28"/>
          <w:szCs w:val="28"/>
        </w:rPr>
        <w:fldChar w:fldCharType="end"/>
      </w:r>
    </w:p>
    <w:p>
      <w:pPr>
        <w:spacing w:before="120" w:line="560" w:lineRule="exact"/>
        <w:ind w:firstLine="342"/>
        <w:rPr>
          <w:rFonts w:ascii="仿宋" w:hAnsi="仿宋" w:eastAsia="仿宋" w:cs="仿宋"/>
          <w:sz w:val="28"/>
          <w:szCs w:val="28"/>
        </w:rPr>
      </w:pPr>
      <w:r>
        <w:fldChar w:fldCharType="begin"/>
      </w:r>
      <w:r>
        <w:instrText xml:space="preserve"> HYPERLINK \l "_bookmark5" </w:instrText>
      </w:r>
      <w:r>
        <w:fldChar w:fldCharType="separate"/>
      </w:r>
      <w:r>
        <w:rPr>
          <w:rFonts w:ascii="仿宋" w:hAnsi="仿宋" w:eastAsia="仿宋" w:cs="仿宋"/>
          <w:spacing w:val="-5"/>
          <w:position w:val="6"/>
          <w:sz w:val="28"/>
          <w:szCs w:val="28"/>
        </w:rPr>
        <w:t>一、收入支出决算总体情况说明</w:t>
      </w:r>
      <w:r>
        <w:rPr>
          <w:rFonts w:ascii="Times New Roman" w:hAnsi="Times New Roman" w:eastAsia="Times New Roman" w:cs="Times New Roman"/>
          <w:spacing w:val="-5"/>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5"/>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5"/>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5"/>
          <w:position w:val="6"/>
          <w:sz w:val="28"/>
          <w:szCs w:val="28"/>
        </w:rPr>
        <w:t>................</w:t>
      </w:r>
      <w:r>
        <w:rPr>
          <w:rFonts w:ascii="仿宋" w:hAnsi="仿宋" w:eastAsia="仿宋" w:cs="仿宋"/>
          <w:spacing w:val="-5"/>
          <w:position w:val="6"/>
          <w:sz w:val="28"/>
          <w:szCs w:val="28"/>
        </w:rPr>
        <w:t>7</w:t>
      </w:r>
      <w:r>
        <w:rPr>
          <w:rFonts w:ascii="仿宋" w:hAnsi="仿宋" w:eastAsia="仿宋" w:cs="仿宋"/>
          <w:spacing w:val="-5"/>
          <w:position w:val="6"/>
          <w:sz w:val="28"/>
          <w:szCs w:val="28"/>
        </w:rPr>
        <w:fldChar w:fldCharType="end"/>
      </w:r>
    </w:p>
    <w:p>
      <w:pPr>
        <w:spacing w:before="120" w:line="560" w:lineRule="exact"/>
        <w:ind w:firstLine="340"/>
        <w:rPr>
          <w:rFonts w:ascii="仿宋" w:hAnsi="仿宋" w:eastAsia="仿宋" w:cs="仿宋"/>
          <w:sz w:val="28"/>
          <w:szCs w:val="28"/>
        </w:rPr>
      </w:pPr>
      <w:r>
        <w:fldChar w:fldCharType="begin"/>
      </w:r>
      <w:r>
        <w:instrText xml:space="preserve"> HYPERLINK \l "_bookmark6" </w:instrText>
      </w:r>
      <w:r>
        <w:fldChar w:fldCharType="separate"/>
      </w:r>
      <w:r>
        <w:rPr>
          <w:rFonts w:ascii="仿宋" w:hAnsi="仿宋" w:eastAsia="仿宋" w:cs="仿宋"/>
          <w:spacing w:val="-4"/>
          <w:position w:val="6"/>
          <w:sz w:val="28"/>
          <w:szCs w:val="28"/>
        </w:rPr>
        <w:t>二、收入决算情况说明</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仿宋" w:hAnsi="仿宋" w:eastAsia="仿宋" w:cs="仿宋"/>
          <w:spacing w:val="-4"/>
          <w:position w:val="6"/>
          <w:sz w:val="28"/>
          <w:szCs w:val="28"/>
        </w:rPr>
        <w:t>7</w:t>
      </w:r>
      <w:r>
        <w:rPr>
          <w:rFonts w:ascii="仿宋" w:hAnsi="仿宋" w:eastAsia="仿宋" w:cs="仿宋"/>
          <w:spacing w:val="-4"/>
          <w:position w:val="6"/>
          <w:sz w:val="28"/>
          <w:szCs w:val="28"/>
        </w:rPr>
        <w:fldChar w:fldCharType="end"/>
      </w:r>
    </w:p>
    <w:p>
      <w:pPr>
        <w:spacing w:before="120" w:line="560" w:lineRule="exact"/>
        <w:ind w:firstLine="345"/>
        <w:rPr>
          <w:rFonts w:ascii="仿宋" w:hAnsi="仿宋" w:eastAsia="仿宋" w:cs="仿宋"/>
          <w:sz w:val="28"/>
          <w:szCs w:val="28"/>
        </w:rPr>
      </w:pPr>
      <w:r>
        <w:fldChar w:fldCharType="begin"/>
      </w:r>
      <w:r>
        <w:instrText xml:space="preserve"> HYPERLINK \l "_bookmark7" </w:instrText>
      </w:r>
      <w:r>
        <w:fldChar w:fldCharType="separate"/>
      </w:r>
      <w:r>
        <w:rPr>
          <w:rFonts w:ascii="仿宋" w:hAnsi="仿宋" w:eastAsia="仿宋" w:cs="仿宋"/>
          <w:spacing w:val="-4"/>
          <w:position w:val="6"/>
          <w:sz w:val="28"/>
          <w:szCs w:val="28"/>
        </w:rPr>
        <w:t>三、支出决算情况说明</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仿宋" w:hAnsi="仿宋" w:eastAsia="仿宋" w:cs="仿宋"/>
          <w:spacing w:val="-4"/>
          <w:position w:val="6"/>
          <w:sz w:val="28"/>
          <w:szCs w:val="28"/>
        </w:rPr>
        <w:t>8</w:t>
      </w:r>
      <w:r>
        <w:rPr>
          <w:rFonts w:ascii="仿宋" w:hAnsi="仿宋" w:eastAsia="仿宋" w:cs="仿宋"/>
          <w:spacing w:val="-4"/>
          <w:position w:val="6"/>
          <w:sz w:val="28"/>
          <w:szCs w:val="28"/>
        </w:rPr>
        <w:fldChar w:fldCharType="end"/>
      </w:r>
    </w:p>
    <w:p>
      <w:pPr>
        <w:spacing w:before="120" w:line="560" w:lineRule="exact"/>
        <w:ind w:firstLine="357"/>
        <w:rPr>
          <w:rFonts w:ascii="仿宋" w:hAnsi="仿宋" w:eastAsia="仿宋" w:cs="仿宋"/>
          <w:sz w:val="28"/>
          <w:szCs w:val="28"/>
        </w:rPr>
      </w:pPr>
      <w:r>
        <w:fldChar w:fldCharType="begin"/>
      </w:r>
      <w:r>
        <w:instrText xml:space="preserve"> HYPERLINK \l "_bookmark8" </w:instrText>
      </w:r>
      <w:r>
        <w:fldChar w:fldCharType="separate"/>
      </w:r>
      <w:r>
        <w:rPr>
          <w:rFonts w:ascii="仿宋" w:hAnsi="仿宋" w:eastAsia="仿宋" w:cs="仿宋"/>
          <w:spacing w:val="-2"/>
          <w:position w:val="6"/>
          <w:sz w:val="28"/>
          <w:szCs w:val="28"/>
        </w:rPr>
        <w:t>四、财政拨款收入支出决算总体情况说明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9</w:t>
      </w:r>
      <w:r>
        <w:rPr>
          <w:rFonts w:ascii="仿宋" w:hAnsi="仿宋" w:eastAsia="仿宋" w:cs="仿宋"/>
          <w:spacing w:val="-2"/>
          <w:position w:val="6"/>
          <w:sz w:val="28"/>
          <w:szCs w:val="28"/>
        </w:rPr>
        <w:fldChar w:fldCharType="end"/>
      </w:r>
    </w:p>
    <w:p>
      <w:pPr>
        <w:spacing w:before="120" w:line="560" w:lineRule="exact"/>
        <w:ind w:firstLine="334"/>
        <w:rPr>
          <w:rFonts w:ascii="仿宋" w:hAnsi="仿宋" w:eastAsia="仿宋" w:cs="仿宋"/>
          <w:sz w:val="28"/>
          <w:szCs w:val="28"/>
        </w:rPr>
      </w:pPr>
      <w:r>
        <w:fldChar w:fldCharType="begin"/>
      </w:r>
      <w:r>
        <w:instrText xml:space="preserve"> HYPERLINK \l "_bookmark9" </w:instrText>
      </w:r>
      <w:r>
        <w:fldChar w:fldCharType="separate"/>
      </w:r>
      <w:r>
        <w:rPr>
          <w:rFonts w:ascii="仿宋" w:hAnsi="仿宋" w:eastAsia="仿宋" w:cs="仿宋"/>
          <w:spacing w:val="-2"/>
          <w:position w:val="6"/>
          <w:sz w:val="28"/>
          <w:szCs w:val="28"/>
        </w:rPr>
        <w:t>五、一般公共预算财政拨款支出决算情况说明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9</w:t>
      </w:r>
      <w:r>
        <w:rPr>
          <w:rFonts w:ascii="仿宋" w:hAnsi="仿宋" w:eastAsia="仿宋" w:cs="仿宋"/>
          <w:spacing w:val="-2"/>
          <w:position w:val="6"/>
          <w:sz w:val="28"/>
          <w:szCs w:val="28"/>
        </w:rPr>
        <w:fldChar w:fldCharType="end"/>
      </w:r>
    </w:p>
    <w:p>
      <w:pPr>
        <w:spacing w:before="120" w:line="560" w:lineRule="exact"/>
        <w:ind w:firstLine="337"/>
        <w:rPr>
          <w:rFonts w:ascii="仿宋" w:hAnsi="仿宋" w:eastAsia="仿宋" w:cs="仿宋"/>
          <w:sz w:val="28"/>
          <w:szCs w:val="28"/>
        </w:rPr>
      </w:pPr>
      <w:r>
        <w:fldChar w:fldCharType="begin"/>
      </w:r>
      <w:r>
        <w:instrText xml:space="preserve"> HYPERLINK \l "_bookmark10" </w:instrText>
      </w:r>
      <w:r>
        <w:fldChar w:fldCharType="separate"/>
      </w:r>
      <w:r>
        <w:rPr>
          <w:rFonts w:ascii="仿宋" w:hAnsi="仿宋" w:eastAsia="仿宋" w:cs="仿宋"/>
          <w:spacing w:val="-2"/>
          <w:position w:val="6"/>
          <w:sz w:val="28"/>
          <w:szCs w:val="28"/>
        </w:rPr>
        <w:t>六、一般公共预算财政拨款基本支出决算情况说明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13</w:t>
      </w:r>
      <w:r>
        <w:rPr>
          <w:rFonts w:ascii="仿宋" w:hAnsi="仿宋" w:eastAsia="仿宋" w:cs="仿宋"/>
          <w:spacing w:val="-2"/>
          <w:position w:val="6"/>
          <w:sz w:val="28"/>
          <w:szCs w:val="28"/>
        </w:rPr>
        <w:fldChar w:fldCharType="end"/>
      </w:r>
    </w:p>
    <w:p>
      <w:pPr>
        <w:spacing w:before="120" w:line="560" w:lineRule="exact"/>
        <w:ind w:firstLine="331"/>
        <w:rPr>
          <w:rFonts w:ascii="仿宋" w:hAnsi="仿宋" w:eastAsia="仿宋" w:cs="仿宋"/>
          <w:sz w:val="28"/>
          <w:szCs w:val="28"/>
        </w:rPr>
      </w:pPr>
      <w:r>
        <w:fldChar w:fldCharType="begin"/>
      </w:r>
      <w:r>
        <w:instrText xml:space="preserve"> HYPERLINK \l "_bookmark11" </w:instrText>
      </w:r>
      <w:r>
        <w:fldChar w:fldCharType="separate"/>
      </w:r>
      <w:r>
        <w:rPr>
          <w:rFonts w:ascii="仿宋" w:hAnsi="仿宋" w:eastAsia="仿宋" w:cs="仿宋"/>
          <w:spacing w:val="-4"/>
          <w:position w:val="6"/>
          <w:sz w:val="28"/>
          <w:szCs w:val="28"/>
        </w:rPr>
        <w:t>七、“三公”经费财政拨款支出决算情况说明</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仿宋" w:hAnsi="仿宋" w:eastAsia="仿宋" w:cs="仿宋"/>
          <w:spacing w:val="-4"/>
          <w:position w:val="6"/>
          <w:sz w:val="28"/>
          <w:szCs w:val="28"/>
        </w:rPr>
        <w:t>14</w:t>
      </w:r>
      <w:r>
        <w:rPr>
          <w:rFonts w:ascii="仿宋" w:hAnsi="仿宋" w:eastAsia="仿宋" w:cs="仿宋"/>
          <w:spacing w:val="-4"/>
          <w:position w:val="6"/>
          <w:sz w:val="28"/>
          <w:szCs w:val="28"/>
        </w:rPr>
        <w:fldChar w:fldCharType="end"/>
      </w:r>
    </w:p>
    <w:p>
      <w:pPr>
        <w:spacing w:before="120" w:line="560" w:lineRule="exact"/>
        <w:ind w:firstLine="330"/>
        <w:rPr>
          <w:rFonts w:ascii="仿宋" w:hAnsi="仿宋" w:eastAsia="仿宋" w:cs="仿宋"/>
          <w:sz w:val="28"/>
          <w:szCs w:val="28"/>
        </w:rPr>
      </w:pPr>
      <w:r>
        <w:fldChar w:fldCharType="begin"/>
      </w:r>
      <w:r>
        <w:instrText xml:space="preserve"> HYPERLINK \l "_bookmark12" </w:instrText>
      </w:r>
      <w:r>
        <w:fldChar w:fldCharType="separate"/>
      </w:r>
      <w:r>
        <w:rPr>
          <w:rFonts w:ascii="仿宋" w:hAnsi="仿宋" w:eastAsia="仿宋" w:cs="仿宋"/>
          <w:spacing w:val="-2"/>
          <w:position w:val="6"/>
          <w:sz w:val="28"/>
          <w:szCs w:val="28"/>
        </w:rPr>
        <w:t>八、政府性基金预算支出决算情况说明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16</w:t>
      </w:r>
      <w:r>
        <w:rPr>
          <w:rFonts w:ascii="仿宋" w:hAnsi="仿宋" w:eastAsia="仿宋" w:cs="仿宋"/>
          <w:spacing w:val="-2"/>
          <w:position w:val="6"/>
          <w:sz w:val="28"/>
          <w:szCs w:val="28"/>
        </w:rPr>
        <w:fldChar w:fldCharType="end"/>
      </w:r>
    </w:p>
    <w:p>
      <w:pPr>
        <w:spacing w:before="120" w:line="560" w:lineRule="exact"/>
        <w:ind w:firstLine="328"/>
        <w:rPr>
          <w:rFonts w:ascii="仿宋" w:hAnsi="仿宋" w:eastAsia="仿宋" w:cs="仿宋"/>
          <w:sz w:val="28"/>
          <w:szCs w:val="28"/>
        </w:rPr>
      </w:pPr>
      <w:r>
        <w:fldChar w:fldCharType="begin"/>
      </w:r>
      <w:r>
        <w:instrText xml:space="preserve"> HYPERLINK \l "_bookmark13" </w:instrText>
      </w:r>
      <w:r>
        <w:fldChar w:fldCharType="separate"/>
      </w:r>
      <w:r>
        <w:rPr>
          <w:rFonts w:ascii="仿宋" w:hAnsi="仿宋" w:eastAsia="仿宋" w:cs="仿宋"/>
          <w:spacing w:val="-6"/>
          <w:position w:val="6"/>
          <w:sz w:val="28"/>
          <w:szCs w:val="28"/>
        </w:rPr>
        <w:t>九、国有资本经营预算支出决算情况说明</w:t>
      </w:r>
      <w:r>
        <w:rPr>
          <w:rFonts w:ascii="Times New Roman" w:hAnsi="Times New Roman" w:eastAsia="Times New Roman" w:cs="Times New Roman"/>
          <w:spacing w:val="-6"/>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6"/>
          <w:position w:val="6"/>
          <w:sz w:val="28"/>
          <w:szCs w:val="28"/>
        </w:rPr>
        <w:t>...................................</w:t>
      </w:r>
      <w:r>
        <w:rPr>
          <w:rFonts w:ascii="仿宋" w:hAnsi="仿宋" w:eastAsia="仿宋" w:cs="仿宋"/>
          <w:spacing w:val="-6"/>
          <w:position w:val="6"/>
          <w:sz w:val="28"/>
          <w:szCs w:val="28"/>
        </w:rPr>
        <w:t>16</w:t>
      </w:r>
      <w:r>
        <w:rPr>
          <w:rFonts w:ascii="仿宋" w:hAnsi="仿宋" w:eastAsia="仿宋" w:cs="仿宋"/>
          <w:spacing w:val="-6"/>
          <w:position w:val="6"/>
          <w:sz w:val="28"/>
          <w:szCs w:val="28"/>
        </w:rPr>
        <w:fldChar w:fldCharType="end"/>
      </w:r>
    </w:p>
    <w:p>
      <w:pPr>
        <w:spacing w:before="120" w:line="560" w:lineRule="exact"/>
        <w:ind w:firstLine="337"/>
        <w:rPr>
          <w:rFonts w:ascii="仿宋" w:hAnsi="仿宋" w:eastAsia="仿宋" w:cs="仿宋"/>
          <w:sz w:val="28"/>
          <w:szCs w:val="28"/>
        </w:rPr>
      </w:pPr>
      <w:r>
        <w:fldChar w:fldCharType="begin"/>
      </w:r>
      <w:r>
        <w:instrText xml:space="preserve"> HYPERLINK \l "_bookmark14" </w:instrText>
      </w:r>
      <w:r>
        <w:fldChar w:fldCharType="separate"/>
      </w:r>
      <w:r>
        <w:rPr>
          <w:rFonts w:ascii="仿宋" w:hAnsi="仿宋" w:eastAsia="仿宋" w:cs="仿宋"/>
          <w:spacing w:val="-2"/>
          <w:position w:val="6"/>
          <w:sz w:val="28"/>
          <w:szCs w:val="28"/>
        </w:rPr>
        <w:t>十、其他重要事项的情况说明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16</w:t>
      </w:r>
      <w:r>
        <w:rPr>
          <w:rFonts w:ascii="仿宋" w:hAnsi="仿宋" w:eastAsia="仿宋" w:cs="仿宋"/>
          <w:spacing w:val="-2"/>
          <w:position w:val="6"/>
          <w:sz w:val="28"/>
          <w:szCs w:val="28"/>
        </w:rPr>
        <w:fldChar w:fldCharType="end"/>
      </w:r>
    </w:p>
    <w:p>
      <w:pPr>
        <w:spacing w:before="120" w:line="560" w:lineRule="exact"/>
        <w:ind w:firstLine="39"/>
        <w:rPr>
          <w:rFonts w:hint="eastAsia" w:ascii="仿宋" w:hAnsi="仿宋" w:eastAsia="仿宋" w:cs="仿宋"/>
          <w:sz w:val="28"/>
          <w:szCs w:val="28"/>
          <w:lang w:val="en-US" w:eastAsia="zh-CN"/>
        </w:rPr>
      </w:pPr>
      <w:r>
        <w:fldChar w:fldCharType="begin"/>
      </w:r>
      <w:r>
        <w:instrText xml:space="preserve"> HYPERLINK \l "_bookmark15" </w:instrText>
      </w:r>
      <w:r>
        <w:fldChar w:fldCharType="separate"/>
      </w:r>
      <w:r>
        <w:rPr>
          <w:rFonts w:ascii="仿宋" w:hAnsi="仿宋" w:eastAsia="仿宋" w:cs="仿宋"/>
          <w:spacing w:val="-2"/>
          <w:position w:val="6"/>
          <w:sz w:val="28"/>
          <w:szCs w:val="28"/>
        </w:rPr>
        <w:t>第三部分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名词解释</w:t>
      </w:r>
      <w:r>
        <w:rPr>
          <w:rFonts w:ascii="Times New Roman" w:hAnsi="Times New Roman" w:eastAsia="Times New Roman" w:cs="Times New Roman"/>
          <w:spacing w:val="-2"/>
          <w:position w:val="6"/>
          <w:sz w:val="28"/>
          <w:szCs w:val="28"/>
        </w:rPr>
        <w:t>..................................................................................</w:t>
      </w:r>
      <w:r>
        <w:rPr>
          <w:rFonts w:hint="eastAsia" w:ascii="仿宋" w:hAnsi="仿宋" w:eastAsia="仿宋" w:cs="仿宋"/>
          <w:spacing w:val="-2"/>
          <w:position w:val="6"/>
          <w:sz w:val="28"/>
          <w:szCs w:val="28"/>
          <w:lang w:val="en-US" w:eastAsia="zh-CN"/>
        </w:rPr>
        <w:t>2</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5</w:t>
      </w:r>
    </w:p>
    <w:p>
      <w:pPr>
        <w:spacing w:before="120" w:line="560" w:lineRule="exact"/>
        <w:ind w:firstLine="39"/>
        <w:rPr>
          <w:rFonts w:hint="eastAsia" w:ascii="仿宋" w:hAnsi="仿宋" w:eastAsia="仿宋" w:cs="仿宋"/>
          <w:sz w:val="28"/>
          <w:szCs w:val="28"/>
          <w:lang w:val="en-US" w:eastAsia="zh-CN"/>
        </w:rPr>
      </w:pPr>
      <w:r>
        <w:fldChar w:fldCharType="begin"/>
      </w:r>
      <w:r>
        <w:instrText xml:space="preserve"> HYPERLINK \l "_bookmark16" </w:instrText>
      </w:r>
      <w:r>
        <w:fldChar w:fldCharType="separate"/>
      </w:r>
      <w:r>
        <w:rPr>
          <w:rFonts w:ascii="仿宋" w:hAnsi="仿宋" w:eastAsia="仿宋" w:cs="仿宋"/>
          <w:spacing w:val="-2"/>
          <w:position w:val="6"/>
          <w:sz w:val="28"/>
          <w:szCs w:val="28"/>
        </w:rPr>
        <w:t>第四部分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附件</w:t>
      </w:r>
      <w:r>
        <w:rPr>
          <w:rFonts w:ascii="Times New Roman" w:hAnsi="Times New Roman" w:eastAsia="Times New Roman" w:cs="Times New Roman"/>
          <w:spacing w:val="-2"/>
          <w:position w:val="6"/>
          <w:sz w:val="28"/>
          <w:szCs w:val="28"/>
        </w:rPr>
        <w:t>..........................................................................................</w:t>
      </w:r>
      <w:r>
        <w:rPr>
          <w:rFonts w:hint="eastAsia" w:ascii="仿宋" w:hAnsi="仿宋" w:eastAsia="仿宋" w:cs="仿宋"/>
          <w:spacing w:val="-2"/>
          <w:position w:val="6"/>
          <w:sz w:val="28"/>
          <w:szCs w:val="28"/>
          <w:lang w:val="en-US" w:eastAsia="zh-CN"/>
        </w:rPr>
        <w:t>2</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9</w:t>
      </w:r>
    </w:p>
    <w:p/>
    <w:p>
      <w:pPr>
        <w:pStyle w:val="2"/>
        <w:ind w:left="0" w:leftChars="0" w:firstLine="276" w:firstLineChars="100"/>
        <w:rPr>
          <w:rFonts w:hint="default" w:eastAsia="宋体"/>
          <w:lang w:val="en-US" w:eastAsia="zh-CN"/>
        </w:rPr>
      </w:pPr>
      <w:r>
        <w:rPr>
          <w:rFonts w:ascii="仿宋" w:hAnsi="仿宋" w:eastAsia="仿宋" w:cs="仿宋"/>
          <w:spacing w:val="-2"/>
          <w:position w:val="6"/>
          <w:sz w:val="28"/>
          <w:szCs w:val="28"/>
        </w:rPr>
        <w:t>附表</w:t>
      </w:r>
      <w:r>
        <w:rPr>
          <w:rFonts w:hint="eastAsia" w:ascii="仿宋" w:hAnsi="仿宋" w:eastAsia="仿宋" w:cs="仿宋"/>
          <w:spacing w:val="-2"/>
          <w:position w:val="6"/>
          <w:sz w:val="28"/>
          <w:szCs w:val="28"/>
          <w:lang w:val="en-US" w:eastAsia="zh-CN"/>
        </w:rPr>
        <w:t>1</w:t>
      </w:r>
      <w:r>
        <w:rPr>
          <w:rFonts w:ascii="Times New Roman" w:hAnsi="Times New Roman" w:eastAsia="Times New Roman" w:cs="Times New Roman"/>
          <w:spacing w:val="-2"/>
          <w:position w:val="6"/>
          <w:sz w:val="28"/>
          <w:szCs w:val="28"/>
        </w:rPr>
        <w:t>........................................................................................................</w:t>
      </w:r>
      <w:r>
        <w:rPr>
          <w:rFonts w:hint="eastAsia" w:ascii="仿宋" w:hAnsi="仿宋" w:eastAsia="仿宋" w:cs="仿宋"/>
          <w:spacing w:val="-2"/>
          <w:position w:val="6"/>
          <w:sz w:val="28"/>
          <w:szCs w:val="28"/>
          <w:lang w:val="en-US" w:eastAsia="zh-CN"/>
        </w:rPr>
        <w:t>29</w:t>
      </w:r>
    </w:p>
    <w:p>
      <w:pPr>
        <w:spacing w:before="120" w:line="560" w:lineRule="exact"/>
        <w:ind w:firstLine="39"/>
        <w:rPr>
          <w:rFonts w:hint="eastAsia" w:ascii="仿宋" w:hAnsi="仿宋" w:eastAsia="仿宋" w:cs="仿宋"/>
          <w:spacing w:val="-2"/>
          <w:position w:val="6"/>
          <w:sz w:val="28"/>
          <w:szCs w:val="28"/>
          <w:lang w:val="en-US" w:eastAsia="zh-CN"/>
        </w:rPr>
      </w:pPr>
      <w:r>
        <w:fldChar w:fldCharType="begin"/>
      </w:r>
      <w:r>
        <w:instrText xml:space="preserve"> HYPERLINK \l "_bookmark19" </w:instrText>
      </w:r>
      <w:r>
        <w:fldChar w:fldCharType="separate"/>
      </w:r>
      <w:r>
        <w:rPr>
          <w:rFonts w:ascii="仿宋" w:hAnsi="仿宋" w:eastAsia="仿宋" w:cs="仿宋"/>
          <w:spacing w:val="-2"/>
          <w:position w:val="6"/>
          <w:sz w:val="28"/>
          <w:szCs w:val="28"/>
        </w:rPr>
        <w:t>第五部分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附表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42"/>
        <w:rPr>
          <w:rFonts w:hint="default" w:ascii="仿宋" w:hAnsi="仿宋" w:eastAsia="仿宋" w:cs="仿宋"/>
          <w:sz w:val="28"/>
          <w:szCs w:val="28"/>
          <w:lang w:val="en-US" w:eastAsia="zh-CN"/>
        </w:rPr>
      </w:pPr>
      <w:r>
        <w:fldChar w:fldCharType="begin"/>
      </w:r>
      <w:r>
        <w:instrText xml:space="preserve"> HYPERLINK \l "_bookmark20" </w:instrText>
      </w:r>
      <w:r>
        <w:fldChar w:fldCharType="separate"/>
      </w:r>
      <w:r>
        <w:rPr>
          <w:rFonts w:ascii="仿宋" w:hAnsi="仿宋" w:eastAsia="仿宋" w:cs="仿宋"/>
          <w:spacing w:val="-2"/>
          <w:position w:val="6"/>
          <w:sz w:val="28"/>
          <w:szCs w:val="28"/>
        </w:rPr>
        <w:t>一、收入支出决算总表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40"/>
        <w:rPr>
          <w:rFonts w:hint="default" w:ascii="仿宋" w:hAnsi="仿宋" w:eastAsia="仿宋" w:cs="仿宋"/>
          <w:sz w:val="28"/>
          <w:szCs w:val="28"/>
          <w:lang w:val="en-US" w:eastAsia="zh-CN"/>
        </w:rPr>
      </w:pPr>
      <w:r>
        <w:fldChar w:fldCharType="begin"/>
      </w:r>
      <w:r>
        <w:instrText xml:space="preserve"> HYPERLINK \l "_bookmark21" </w:instrText>
      </w:r>
      <w:r>
        <w:fldChar w:fldCharType="separate"/>
      </w:r>
      <w:r>
        <w:rPr>
          <w:rFonts w:ascii="仿宋" w:hAnsi="仿宋" w:eastAsia="仿宋" w:cs="仿宋"/>
          <w:spacing w:val="-2"/>
          <w:position w:val="6"/>
          <w:sz w:val="28"/>
          <w:szCs w:val="28"/>
        </w:rPr>
        <w:t>二、收入决算表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45"/>
        <w:rPr>
          <w:rFonts w:hint="default" w:ascii="仿宋" w:hAnsi="仿宋" w:eastAsia="仿宋" w:cs="仿宋"/>
          <w:sz w:val="28"/>
          <w:szCs w:val="28"/>
          <w:lang w:val="en-US" w:eastAsia="zh-CN"/>
        </w:rPr>
      </w:pPr>
      <w:r>
        <w:fldChar w:fldCharType="begin"/>
      </w:r>
      <w:r>
        <w:instrText xml:space="preserve"> HYPERLINK \l "_bookmark22" </w:instrText>
      </w:r>
      <w:r>
        <w:fldChar w:fldCharType="separate"/>
      </w:r>
      <w:r>
        <w:rPr>
          <w:rFonts w:ascii="仿宋" w:hAnsi="仿宋" w:eastAsia="仿宋" w:cs="仿宋"/>
          <w:spacing w:val="-2"/>
          <w:position w:val="6"/>
          <w:sz w:val="28"/>
          <w:szCs w:val="28"/>
        </w:rPr>
        <w:t>三、支出决算表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57"/>
        <w:rPr>
          <w:rFonts w:hint="default" w:ascii="仿宋" w:hAnsi="仿宋" w:eastAsia="仿宋" w:cs="仿宋"/>
          <w:sz w:val="28"/>
          <w:szCs w:val="28"/>
          <w:lang w:val="en-US" w:eastAsia="zh-CN"/>
        </w:rPr>
      </w:pPr>
      <w:r>
        <w:fldChar w:fldCharType="begin"/>
      </w:r>
      <w:r>
        <w:instrText xml:space="preserve"> HYPERLINK \l "_bookmark23" </w:instrText>
      </w:r>
      <w:r>
        <w:fldChar w:fldCharType="separate"/>
      </w:r>
      <w:r>
        <w:rPr>
          <w:rFonts w:ascii="仿宋" w:hAnsi="仿宋" w:eastAsia="仿宋" w:cs="仿宋"/>
          <w:spacing w:val="-2"/>
          <w:position w:val="6"/>
          <w:sz w:val="28"/>
          <w:szCs w:val="28"/>
        </w:rPr>
        <w:t>四、财政拨款收入支出决算总表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4"/>
        <w:rPr>
          <w:rFonts w:hint="default" w:ascii="仿宋" w:hAnsi="仿宋" w:eastAsia="仿宋" w:cs="仿宋"/>
          <w:sz w:val="28"/>
          <w:szCs w:val="28"/>
          <w:lang w:val="en-US" w:eastAsia="zh-CN"/>
        </w:rPr>
      </w:pPr>
      <w:r>
        <w:fldChar w:fldCharType="begin"/>
      </w:r>
      <w:r>
        <w:instrText xml:space="preserve"> HYPERLINK \l "_bookmark24" </w:instrText>
      </w:r>
      <w:r>
        <w:fldChar w:fldCharType="separate"/>
      </w:r>
      <w:r>
        <w:rPr>
          <w:rFonts w:ascii="仿宋" w:hAnsi="仿宋" w:eastAsia="仿宋" w:cs="仿宋"/>
          <w:spacing w:val="-2"/>
          <w:position w:val="6"/>
          <w:sz w:val="28"/>
          <w:szCs w:val="28"/>
        </w:rPr>
        <w:t>五、财政拨款支出决算明细表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"_bookmark25" </w:instrText>
      </w:r>
      <w:r>
        <w:fldChar w:fldCharType="separate"/>
      </w:r>
      <w:r>
        <w:rPr>
          <w:rFonts w:ascii="仿宋" w:hAnsi="仿宋" w:eastAsia="仿宋" w:cs="仿宋"/>
          <w:spacing w:val="-2"/>
          <w:position w:val="6"/>
          <w:sz w:val="28"/>
          <w:szCs w:val="28"/>
        </w:rPr>
        <w:t>六、一般公共预算财政拨款支出决算表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1"/>
        <w:rPr>
          <w:rFonts w:hint="default" w:ascii="仿宋" w:hAnsi="仿宋" w:eastAsia="仿宋" w:cs="仿宋"/>
          <w:sz w:val="28"/>
          <w:szCs w:val="28"/>
          <w:lang w:val="en-US" w:eastAsia="zh-CN"/>
        </w:rPr>
      </w:pPr>
      <w:r>
        <w:fldChar w:fldCharType="begin"/>
      </w:r>
      <w:r>
        <w:instrText xml:space="preserve"> HYPERLINK \l "_bookmark26" </w:instrText>
      </w:r>
      <w:r>
        <w:fldChar w:fldCharType="separate"/>
      </w:r>
      <w:r>
        <w:rPr>
          <w:rFonts w:ascii="仿宋" w:hAnsi="仿宋" w:eastAsia="仿宋" w:cs="仿宋"/>
          <w:spacing w:val="-2"/>
          <w:position w:val="6"/>
          <w:sz w:val="28"/>
          <w:szCs w:val="28"/>
        </w:rPr>
        <w:t>七、一般公共预算财政拨款支出决算明细表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0"/>
        <w:rPr>
          <w:rFonts w:hint="default" w:ascii="仿宋" w:hAnsi="仿宋" w:eastAsia="仿宋" w:cs="仿宋"/>
          <w:sz w:val="28"/>
          <w:szCs w:val="28"/>
          <w:lang w:val="en-US" w:eastAsia="zh-CN"/>
        </w:rPr>
      </w:pPr>
      <w:r>
        <w:fldChar w:fldCharType="begin"/>
      </w:r>
      <w:r>
        <w:instrText xml:space="preserve"> HYPERLINK \l "_bookmark27" </w:instrText>
      </w:r>
      <w:r>
        <w:fldChar w:fldCharType="separate"/>
      </w:r>
      <w:r>
        <w:rPr>
          <w:rFonts w:ascii="仿宋" w:hAnsi="仿宋" w:eastAsia="仿宋" w:cs="仿宋"/>
          <w:spacing w:val="-2"/>
          <w:position w:val="6"/>
          <w:sz w:val="28"/>
          <w:szCs w:val="28"/>
        </w:rPr>
        <w:t>八、一般公共预算财政拨款基本支出决算表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28"/>
        <w:rPr>
          <w:rFonts w:hint="default" w:ascii="仿宋" w:hAnsi="仿宋" w:eastAsia="仿宋" w:cs="仿宋"/>
          <w:sz w:val="28"/>
          <w:szCs w:val="28"/>
          <w:lang w:val="en-US" w:eastAsia="zh-CN"/>
        </w:rPr>
      </w:pPr>
      <w:r>
        <w:fldChar w:fldCharType="begin"/>
      </w:r>
      <w:r>
        <w:instrText xml:space="preserve"> HYPERLINK \l "_bookmark28" </w:instrText>
      </w:r>
      <w:r>
        <w:fldChar w:fldCharType="separate"/>
      </w:r>
      <w:r>
        <w:rPr>
          <w:rFonts w:ascii="仿宋" w:hAnsi="仿宋" w:eastAsia="仿宋" w:cs="仿宋"/>
          <w:spacing w:val="-2"/>
          <w:position w:val="6"/>
          <w:sz w:val="28"/>
          <w:szCs w:val="28"/>
        </w:rPr>
        <w:t>九、一般公共预算财政拨款项目支出决算表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"_bookmark29" </w:instrText>
      </w:r>
      <w:r>
        <w:fldChar w:fldCharType="separate"/>
      </w:r>
      <w:r>
        <w:rPr>
          <w:rFonts w:ascii="仿宋" w:hAnsi="仿宋" w:eastAsia="仿宋" w:cs="仿宋"/>
          <w:spacing w:val="-2"/>
          <w:position w:val="6"/>
          <w:sz w:val="28"/>
          <w:szCs w:val="28"/>
        </w:rPr>
        <w:t>十、一般公共预算财政拨款“三公”经费支出决算表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"_bookmark30" </w:instrText>
      </w:r>
      <w:r>
        <w:fldChar w:fldCharType="separate"/>
      </w:r>
      <w:r>
        <w:rPr>
          <w:rFonts w:ascii="仿宋" w:hAnsi="仿宋" w:eastAsia="仿宋" w:cs="仿宋"/>
          <w:spacing w:val="-2"/>
          <w:position w:val="6"/>
          <w:sz w:val="28"/>
          <w:szCs w:val="28"/>
        </w:rPr>
        <w:t>十一、政府性基金预算财政拨款收入支出决算表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"_bookmark31" </w:instrText>
      </w:r>
      <w:r>
        <w:fldChar w:fldCharType="separate"/>
      </w:r>
      <w:r>
        <w:rPr>
          <w:rFonts w:ascii="仿宋" w:hAnsi="仿宋" w:eastAsia="仿宋" w:cs="仿宋"/>
          <w:spacing w:val="-2"/>
          <w:position w:val="6"/>
          <w:sz w:val="28"/>
          <w:szCs w:val="28"/>
        </w:rPr>
        <w:t>十二、政府性基金预算财政拨款“三公”经费支出决算表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"_bookmark32" </w:instrText>
      </w:r>
      <w:r>
        <w:fldChar w:fldCharType="separate"/>
      </w:r>
      <w:r>
        <w:rPr>
          <w:rFonts w:ascii="仿宋" w:hAnsi="仿宋" w:eastAsia="仿宋" w:cs="仿宋"/>
          <w:spacing w:val="-2"/>
          <w:position w:val="6"/>
          <w:sz w:val="28"/>
          <w:szCs w:val="28"/>
        </w:rPr>
        <w:t>十三、国有资本经营预算财政拨款收入支出决算表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"_bookmark33" </w:instrText>
      </w:r>
      <w:r>
        <w:fldChar w:fldCharType="separate"/>
      </w:r>
      <w:r>
        <w:rPr>
          <w:rFonts w:ascii="仿宋" w:hAnsi="仿宋" w:eastAsia="仿宋" w:cs="仿宋"/>
          <w:spacing w:val="-2"/>
          <w:position w:val="6"/>
          <w:sz w:val="28"/>
          <w:szCs w:val="28"/>
        </w:rPr>
        <w:t>十四、国有资本经营预算财政拨款支出决算表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ectPr>
          <w:footerReference r:id="rId5" w:type="default"/>
          <w:pgSz w:w="11906" w:h="16839"/>
          <w:pgMar w:top="1328" w:right="1785" w:bottom="1152" w:left="1785" w:header="0" w:footer="1035" w:gutter="0"/>
          <w:pgNumType w:fmt="decimal"/>
          <w:cols w:space="720" w:num="1"/>
        </w:sectPr>
      </w:pPr>
    </w:p>
    <w:p>
      <w:pPr>
        <w:pStyle w:val="3"/>
        <w:widowControl w:val="0"/>
        <w:kinsoku/>
        <w:autoSpaceDE/>
        <w:autoSpaceDN/>
        <w:adjustRightInd/>
        <w:snapToGrid/>
        <w:jc w:val="center"/>
        <w:textAlignment w:val="auto"/>
        <w:rPr>
          <w:rFonts w:ascii="黑体" w:hAnsi="黑体" w:eastAsia="黑体" w:cs="黑体"/>
          <w:sz w:val="44"/>
          <w:szCs w:val="44"/>
        </w:rPr>
      </w:pPr>
      <w:bookmarkStart w:id="0" w:name="_bookmark1"/>
      <w:bookmarkEnd w:id="0"/>
      <w:r>
        <w:rPr>
          <w:rFonts w:ascii="黑体" w:hAnsi="黑体" w:eastAsia="黑体" w:cs="黑体"/>
          <w:spacing w:val="-3"/>
          <w:sz w:val="44"/>
          <w:szCs w:val="44"/>
        </w:rPr>
        <w:t>第一部分部门概况</w:t>
      </w:r>
    </w:p>
    <w:p>
      <w:pPr>
        <w:spacing w:before="104" w:line="187" w:lineRule="auto"/>
        <w:ind w:firstLine="31"/>
        <w:outlineLvl w:val="1"/>
        <w:rPr>
          <w:rFonts w:ascii="黑体" w:hAnsi="黑体" w:eastAsia="黑体" w:cs="黑体"/>
          <w:sz w:val="32"/>
          <w:szCs w:val="32"/>
        </w:rPr>
      </w:pPr>
      <w:bookmarkStart w:id="1" w:name="_bookmark2"/>
      <w:bookmarkEnd w:id="1"/>
      <w:r>
        <w:rPr>
          <w:rFonts w:ascii="黑体" w:hAnsi="黑体" w:eastAsia="黑体" w:cs="黑体"/>
          <w:spacing w:val="-2"/>
          <w:sz w:val="32"/>
          <w:szCs w:val="32"/>
        </w:rPr>
        <w:t>一、基本职能及主要工作</w:t>
      </w:r>
    </w:p>
    <w:p>
      <w:pPr>
        <w:spacing w:line="327" w:lineRule="auto"/>
        <w:rPr>
          <w:rFonts w:ascii="Microsoft JhengHei"/>
          <w:sz w:val="21"/>
        </w:rPr>
      </w:pPr>
    </w:p>
    <w:p>
      <w:pPr>
        <w:tabs>
          <w:tab w:val="left" w:pos="679"/>
          <w:tab w:val="left" w:pos="686"/>
          <w:tab w:val="left" w:pos="835"/>
        </w:tabs>
        <w:spacing w:before="104" w:line="342" w:lineRule="auto"/>
        <w:ind w:left="14"/>
        <w:rPr>
          <w:rFonts w:ascii="仿宋" w:hAnsi="仿宋" w:eastAsia="仿宋" w:cs="仿宋"/>
          <w:spacing w:val="-23"/>
          <w:sz w:val="32"/>
          <w:szCs w:val="32"/>
          <w:shd w:val="clear" w:fill="FFFFFE"/>
        </w:rPr>
      </w:pPr>
      <w:r>
        <w:rPr>
          <w:rFonts w:ascii="Microsoft JhengHei" w:hAnsi="Microsoft JhengHei" w:eastAsia="Microsoft JhengHei" w:cs="Microsoft JhengHei"/>
          <w:sz w:val="21"/>
          <w:szCs w:val="21"/>
          <w:shd w:val="clear" w:fill="FFFFFE"/>
        </w:rPr>
        <w:tab/>
      </w:r>
      <w:r>
        <w:rPr>
          <w:rFonts w:ascii="Microsoft JhengHei" w:hAnsi="Microsoft JhengHei" w:eastAsia="Microsoft JhengHei" w:cs="Microsoft JhengHei"/>
          <w:sz w:val="21"/>
          <w:szCs w:val="21"/>
          <w:shd w:val="clear" w:fill="FFFFFE"/>
        </w:rPr>
        <w:tab/>
      </w:r>
      <w:r>
        <w:rPr>
          <w:rFonts w:ascii="Microsoft JhengHei" w:hAnsi="Microsoft JhengHei" w:eastAsia="Microsoft JhengHei" w:cs="Microsoft JhengHei"/>
          <w:sz w:val="21"/>
          <w:szCs w:val="21"/>
          <w:shd w:val="clear" w:fill="FFFFFE"/>
        </w:rPr>
        <w:tab/>
      </w:r>
      <w:r>
        <w:rPr>
          <w:rFonts w:ascii="仿宋" w:hAnsi="仿宋" w:eastAsia="仿宋" w:cs="仿宋"/>
          <w:spacing w:val="-23"/>
          <w:sz w:val="32"/>
          <w:szCs w:val="32"/>
          <w:shd w:val="clear" w:fill="FFFFFE"/>
        </w:rPr>
        <w:t>（一）主要职能</w:t>
      </w:r>
    </w:p>
    <w:p>
      <w:pPr>
        <w:keepNext w:val="0"/>
        <w:keepLines w:val="0"/>
        <w:pageBreakBefore w:val="0"/>
        <w:widowControl/>
        <w:tabs>
          <w:tab w:val="left" w:pos="679"/>
          <w:tab w:val="left" w:pos="686"/>
          <w:tab w:val="left" w:pos="835"/>
        </w:tabs>
        <w:kinsoku w:val="0"/>
        <w:wordWrap/>
        <w:overflowPunct/>
        <w:topLinePunct w:val="0"/>
        <w:autoSpaceDE w:val="0"/>
        <w:autoSpaceDN w:val="0"/>
        <w:bidi w:val="0"/>
        <w:adjustRightInd w:val="0"/>
        <w:snapToGrid w:val="0"/>
        <w:spacing w:before="104" w:line="341" w:lineRule="auto"/>
        <w:ind w:left="11" w:firstLine="620" w:firstLineChars="200"/>
        <w:textAlignment w:val="baseline"/>
        <w:rPr>
          <w:rFonts w:ascii="仿宋" w:hAnsi="仿宋" w:eastAsia="仿宋" w:cs="仿宋"/>
          <w:spacing w:val="-5"/>
          <w:sz w:val="32"/>
          <w:szCs w:val="32"/>
          <w:shd w:val="clear" w:fill="FFFFFE"/>
        </w:rPr>
      </w:pPr>
      <w:r>
        <w:rPr>
          <w:rFonts w:ascii="仿宋" w:hAnsi="仿宋" w:eastAsia="仿宋" w:cs="仿宋"/>
          <w:spacing w:val="-5"/>
          <w:sz w:val="32"/>
          <w:szCs w:val="32"/>
          <w:shd w:val="clear" w:fill="FFFFFE"/>
        </w:rPr>
        <w:t>1.贯彻执行中央和省、市有关退役军人工作的方针政策</w:t>
      </w:r>
      <w:r>
        <w:rPr>
          <w:rFonts w:ascii="仿宋" w:hAnsi="仿宋" w:eastAsia="仿宋" w:cs="仿宋"/>
          <w:spacing w:val="-5"/>
          <w:sz w:val="32"/>
          <w:szCs w:val="32"/>
        </w:rPr>
        <w:t>、</w:t>
      </w:r>
      <w:r>
        <w:rPr>
          <w:rFonts w:ascii="仿宋" w:hAnsi="仿宋" w:eastAsia="仿宋" w:cs="仿宋"/>
          <w:spacing w:val="-1"/>
          <w:sz w:val="32"/>
          <w:szCs w:val="32"/>
          <w:shd w:val="clear" w:fill="FFFFFE"/>
        </w:rPr>
        <w:t>法律法规。组织实施退役军人思想政治、管理保障和安置优</w:t>
      </w:r>
      <w:r>
        <w:rPr>
          <w:rFonts w:ascii="仿宋" w:hAnsi="仿宋" w:eastAsia="仿宋" w:cs="仿宋"/>
          <w:spacing w:val="-5"/>
          <w:sz w:val="32"/>
          <w:szCs w:val="32"/>
          <w:shd w:val="clear" w:fill="FFFFFE"/>
        </w:rPr>
        <w:t>抚等工作。</w:t>
      </w:r>
    </w:p>
    <w:p>
      <w:pPr>
        <w:keepNext w:val="0"/>
        <w:keepLines w:val="0"/>
        <w:pageBreakBefore w:val="0"/>
        <w:widowControl/>
        <w:tabs>
          <w:tab w:val="left" w:pos="679"/>
          <w:tab w:val="left" w:pos="686"/>
          <w:tab w:val="left" w:pos="835"/>
        </w:tabs>
        <w:kinsoku w:val="0"/>
        <w:wordWrap/>
        <w:overflowPunct/>
        <w:topLinePunct w:val="0"/>
        <w:autoSpaceDE w:val="0"/>
        <w:autoSpaceDN w:val="0"/>
        <w:bidi w:val="0"/>
        <w:adjustRightInd w:val="0"/>
        <w:snapToGrid w:val="0"/>
        <w:spacing w:before="104" w:line="341" w:lineRule="auto"/>
        <w:ind w:left="11" w:firstLine="632" w:firstLineChars="200"/>
        <w:textAlignment w:val="baseline"/>
        <w:rPr>
          <w:rFonts w:hint="eastAsia" w:ascii="仿宋" w:hAnsi="仿宋" w:eastAsia="仿宋" w:cs="仿宋"/>
          <w:sz w:val="32"/>
          <w:szCs w:val="32"/>
          <w:lang w:eastAsia="zh-CN"/>
        </w:rPr>
      </w:pPr>
      <w:r>
        <w:rPr>
          <w:rFonts w:ascii="仿宋" w:hAnsi="仿宋" w:eastAsia="仿宋" w:cs="仿宋"/>
          <w:spacing w:val="-2"/>
          <w:sz w:val="32"/>
          <w:szCs w:val="32"/>
          <w:shd w:val="clear" w:fill="FFFFFE"/>
        </w:rPr>
        <w:t>2.负责军队转业干部、复员干部、离休退休干部、退役</w:t>
      </w:r>
      <w:r>
        <w:rPr>
          <w:rFonts w:ascii="仿宋" w:hAnsi="仿宋" w:eastAsia="仿宋" w:cs="仿宋"/>
          <w:spacing w:val="-1"/>
          <w:sz w:val="32"/>
          <w:szCs w:val="32"/>
          <w:shd w:val="clear" w:fill="FFFFFE"/>
        </w:rPr>
        <w:t>士兵和无军籍退休退职职工的接收安置工作和自主择业、就</w:t>
      </w:r>
      <w:r>
        <w:rPr>
          <w:rFonts w:ascii="仿宋" w:hAnsi="仿宋" w:eastAsia="仿宋" w:cs="仿宋"/>
          <w:spacing w:val="-2"/>
          <w:sz w:val="32"/>
          <w:szCs w:val="32"/>
          <w:shd w:val="clear" w:fill="FFFFFE"/>
        </w:rPr>
        <w:t>业退役军人服务管理工作。</w:t>
      </w:r>
    </w:p>
    <w:p>
      <w:pPr>
        <w:spacing w:before="1" w:line="340" w:lineRule="auto"/>
        <w:ind w:left="46" w:right="263" w:firstLine="645"/>
        <w:rPr>
          <w:rFonts w:ascii="仿宋" w:hAnsi="仿宋" w:eastAsia="仿宋" w:cs="仿宋"/>
          <w:sz w:val="32"/>
          <w:szCs w:val="32"/>
        </w:rPr>
      </w:pPr>
      <w:r>
        <w:rPr>
          <w:rFonts w:ascii="仿宋" w:hAnsi="仿宋" w:eastAsia="仿宋" w:cs="仿宋"/>
          <w:spacing w:val="-3"/>
          <w:sz w:val="32"/>
          <w:szCs w:val="32"/>
        </w:rPr>
        <w:t>3.组织、指导退役军人教育培训工作，承担退役军人和随军随调家属就业创业扶持工作。</w:t>
      </w:r>
    </w:p>
    <w:p>
      <w:pPr>
        <w:spacing w:before="4" w:line="263" w:lineRule="auto"/>
        <w:ind w:left="36" w:right="320" w:firstLine="642"/>
        <w:rPr>
          <w:rFonts w:ascii="仿宋" w:hAnsi="仿宋" w:eastAsia="仿宋" w:cs="仿宋"/>
          <w:sz w:val="32"/>
          <w:szCs w:val="32"/>
        </w:rPr>
      </w:pPr>
      <w:r>
        <w:rPr>
          <w:rFonts w:ascii="仿宋" w:hAnsi="仿宋" w:eastAsia="仿宋" w:cs="仿宋"/>
          <w:spacing w:val="-4"/>
          <w:sz w:val="32"/>
          <w:szCs w:val="32"/>
        </w:rPr>
        <w:t>4.贯彻执行国家、省、市有关退役军人特殊保障政策，</w:t>
      </w:r>
      <w:r>
        <w:rPr>
          <w:rFonts w:ascii="仿宋" w:hAnsi="仿宋" w:eastAsia="仿宋" w:cs="仿宋"/>
          <w:spacing w:val="-2"/>
          <w:sz w:val="32"/>
          <w:szCs w:val="32"/>
        </w:rPr>
        <w:t>拟订有关地方性政策并组织实施。</w:t>
      </w:r>
    </w:p>
    <w:p>
      <w:pPr>
        <w:spacing w:before="273" w:line="289" w:lineRule="auto"/>
        <w:ind w:left="22" w:right="263" w:firstLine="660"/>
        <w:rPr>
          <w:rFonts w:ascii="仿宋" w:hAnsi="仿宋" w:eastAsia="仿宋" w:cs="仿宋"/>
          <w:sz w:val="32"/>
          <w:szCs w:val="32"/>
        </w:rPr>
      </w:pPr>
      <w:r>
        <w:rPr>
          <w:rFonts w:ascii="仿宋" w:hAnsi="仿宋" w:eastAsia="仿宋" w:cs="仿宋"/>
          <w:spacing w:val="-2"/>
          <w:sz w:val="32"/>
          <w:szCs w:val="32"/>
        </w:rPr>
        <w:t>5.组织、协调落实移交地方的离休退休军人、符合条件</w:t>
      </w:r>
      <w:r>
        <w:rPr>
          <w:rFonts w:ascii="仿宋" w:hAnsi="仿宋" w:eastAsia="仿宋" w:cs="仿宋"/>
          <w:spacing w:val="-1"/>
          <w:sz w:val="32"/>
          <w:szCs w:val="32"/>
        </w:rPr>
        <w:t>的其他退役军人和无军籍退休退职职工的住房保障工作，以及退役军人医疗保障、社会保险等待遇保障工作。</w:t>
      </w:r>
    </w:p>
    <w:p>
      <w:pPr>
        <w:spacing w:before="269" w:line="342" w:lineRule="auto"/>
        <w:ind w:left="30" w:right="260" w:firstLine="651"/>
        <w:rPr>
          <w:rFonts w:ascii="仿宋" w:hAnsi="仿宋" w:eastAsia="仿宋" w:cs="仿宋"/>
          <w:sz w:val="32"/>
          <w:szCs w:val="32"/>
        </w:rPr>
      </w:pPr>
      <w:r>
        <w:rPr>
          <w:rFonts w:ascii="仿宋" w:hAnsi="仿宋" w:eastAsia="仿宋" w:cs="仿宋"/>
          <w:spacing w:val="-2"/>
          <w:sz w:val="32"/>
          <w:szCs w:val="32"/>
        </w:rPr>
        <w:t>6.负责伤病残退役军人服务管理和抚恤工作，贯彻执行国家有关退役军人医疗、疗养、养老等机构的规划政策。承担不适宜继续服役的伤病残军人接收安置、退休安置、供养</w:t>
      </w:r>
      <w:r>
        <w:rPr>
          <w:rFonts w:ascii="仿宋" w:hAnsi="仿宋" w:eastAsia="仿宋" w:cs="仿宋"/>
          <w:spacing w:val="-5"/>
          <w:sz w:val="32"/>
          <w:szCs w:val="32"/>
        </w:rPr>
        <w:t>等工作。</w:t>
      </w:r>
    </w:p>
    <w:p>
      <w:pPr>
        <w:sectPr>
          <w:footerReference r:id="rId6" w:type="default"/>
          <w:pgSz w:w="11906" w:h="16839"/>
          <w:pgMar w:top="1431" w:right="1538" w:bottom="1152" w:left="1785" w:header="0" w:footer="1033" w:gutter="0"/>
          <w:pgNumType w:fmt="decimal"/>
          <w:cols w:space="720" w:num="1"/>
        </w:sectPr>
      </w:pPr>
    </w:p>
    <w:p>
      <w:pPr>
        <w:spacing w:before="206" w:line="342" w:lineRule="auto"/>
        <w:ind w:left="23" w:right="86" w:firstLine="658"/>
        <w:rPr>
          <w:rFonts w:ascii="仿宋" w:hAnsi="仿宋" w:eastAsia="仿宋" w:cs="仿宋"/>
          <w:sz w:val="32"/>
          <w:szCs w:val="32"/>
        </w:rPr>
      </w:pPr>
      <w:r>
        <w:rPr>
          <w:rFonts w:ascii="仿宋" w:hAnsi="仿宋" w:eastAsia="仿宋" w:cs="仿宋"/>
          <w:spacing w:val="-5"/>
          <w:sz w:val="32"/>
          <w:szCs w:val="32"/>
        </w:rPr>
        <w:t>7.组织、指导各乡镇（街道）、区级各部门（单位）拥</w:t>
      </w:r>
      <w:r>
        <w:rPr>
          <w:rFonts w:ascii="仿宋" w:hAnsi="仿宋" w:eastAsia="仿宋" w:cs="仿宋"/>
          <w:spacing w:val="-2"/>
          <w:sz w:val="32"/>
          <w:szCs w:val="32"/>
        </w:rPr>
        <w:t>军优属工作，承担现役军人、退役军人、军队文职人员和军</w:t>
      </w:r>
      <w:r>
        <w:rPr>
          <w:rFonts w:ascii="仿宋" w:hAnsi="仿宋" w:eastAsia="仿宋" w:cs="仿宋"/>
          <w:spacing w:val="-1"/>
          <w:sz w:val="32"/>
          <w:szCs w:val="32"/>
        </w:rPr>
        <w:t>属的优待、抚恤等工作。贯彻执行国家有关国民党抗战老兵</w:t>
      </w:r>
      <w:r>
        <w:rPr>
          <w:rFonts w:ascii="仿宋" w:hAnsi="仿宋" w:eastAsia="仿宋" w:cs="仿宋"/>
          <w:spacing w:val="-2"/>
          <w:sz w:val="32"/>
          <w:szCs w:val="32"/>
        </w:rPr>
        <w:t>等有关人员优待政策。</w:t>
      </w:r>
    </w:p>
    <w:p>
      <w:pPr>
        <w:spacing w:before="2" w:line="341" w:lineRule="auto"/>
        <w:ind w:left="26" w:firstLine="655"/>
        <w:rPr>
          <w:rFonts w:ascii="仿宋" w:hAnsi="仿宋" w:eastAsia="仿宋" w:cs="仿宋"/>
          <w:sz w:val="32"/>
          <w:szCs w:val="32"/>
        </w:rPr>
      </w:pPr>
      <w:r>
        <w:rPr>
          <w:rFonts w:ascii="仿宋" w:hAnsi="仿宋" w:eastAsia="仿宋" w:cs="仿宋"/>
          <w:spacing w:val="11"/>
          <w:sz w:val="32"/>
          <w:szCs w:val="32"/>
        </w:rPr>
        <w:t>8.负责烈士及退役军人荣誉奖励和烈士纪念设施的建</w:t>
      </w:r>
      <w:r>
        <w:rPr>
          <w:rFonts w:ascii="仿宋" w:hAnsi="仿宋" w:eastAsia="仿宋" w:cs="仿宋"/>
          <w:spacing w:val="-10"/>
          <w:sz w:val="32"/>
          <w:szCs w:val="32"/>
        </w:rPr>
        <w:t>设管理、纪念活动等工作，依法承担英雄烈士保护相关工作，</w:t>
      </w:r>
      <w:r>
        <w:rPr>
          <w:rFonts w:ascii="仿宋" w:hAnsi="仿宋" w:eastAsia="仿宋" w:cs="仿宋"/>
          <w:spacing w:val="-1"/>
          <w:sz w:val="32"/>
          <w:szCs w:val="32"/>
        </w:rPr>
        <w:t>负责烈士的审核、报批和褒扬工作。</w:t>
      </w:r>
    </w:p>
    <w:p>
      <w:pPr>
        <w:spacing w:before="3" w:line="340" w:lineRule="auto"/>
        <w:ind w:left="26" w:right="89" w:firstLine="655"/>
        <w:rPr>
          <w:rFonts w:ascii="仿宋" w:hAnsi="仿宋" w:eastAsia="仿宋" w:cs="仿宋"/>
          <w:sz w:val="32"/>
          <w:szCs w:val="32"/>
        </w:rPr>
      </w:pPr>
      <w:r>
        <w:rPr>
          <w:rFonts w:ascii="仿宋" w:hAnsi="仿宋" w:eastAsia="仿宋" w:cs="仿宋"/>
          <w:spacing w:val="-2"/>
          <w:sz w:val="32"/>
          <w:szCs w:val="32"/>
        </w:rPr>
        <w:t>9.组织、协调开展退役军人权益维护和有关人员的帮扶</w:t>
      </w:r>
      <w:r>
        <w:rPr>
          <w:rFonts w:ascii="仿宋" w:hAnsi="仿宋" w:eastAsia="仿宋" w:cs="仿宋"/>
          <w:spacing w:val="-3"/>
          <w:sz w:val="32"/>
          <w:szCs w:val="32"/>
        </w:rPr>
        <w:t>援助工作。</w:t>
      </w:r>
    </w:p>
    <w:p>
      <w:pPr>
        <w:spacing w:before="3" w:line="341" w:lineRule="auto"/>
        <w:ind w:left="23" w:right="86" w:firstLine="663"/>
        <w:rPr>
          <w:rFonts w:ascii="仿宋" w:hAnsi="仿宋" w:eastAsia="仿宋" w:cs="仿宋"/>
          <w:sz w:val="32"/>
          <w:szCs w:val="32"/>
        </w:rPr>
      </w:pPr>
      <w:r>
        <w:rPr>
          <w:rFonts w:ascii="仿宋" w:hAnsi="仿宋" w:eastAsia="仿宋" w:cs="仿宋"/>
          <w:spacing w:val="4"/>
          <w:sz w:val="32"/>
          <w:szCs w:val="32"/>
        </w:rPr>
        <w:t>10.推动建立退役军人事务分级负责和突发事件应急联</w:t>
      </w:r>
      <w:r>
        <w:rPr>
          <w:rFonts w:ascii="仿宋" w:hAnsi="仿宋" w:eastAsia="仿宋" w:cs="仿宋"/>
          <w:spacing w:val="-6"/>
          <w:sz w:val="32"/>
          <w:szCs w:val="32"/>
        </w:rPr>
        <w:t>动机制，组织、指导各乡镇（街道）退役军人综合服务体系</w:t>
      </w:r>
      <w:r>
        <w:rPr>
          <w:rFonts w:ascii="仿宋" w:hAnsi="仿宋" w:eastAsia="仿宋" w:cs="仿宋"/>
          <w:spacing w:val="-4"/>
          <w:sz w:val="32"/>
          <w:szCs w:val="32"/>
        </w:rPr>
        <w:t>建设。</w:t>
      </w:r>
    </w:p>
    <w:p>
      <w:pPr>
        <w:spacing w:before="3" w:line="262" w:lineRule="auto"/>
        <w:ind w:left="22" w:right="233" w:firstLine="664"/>
        <w:rPr>
          <w:rFonts w:ascii="仿宋" w:hAnsi="仿宋" w:eastAsia="仿宋" w:cs="仿宋"/>
          <w:sz w:val="32"/>
          <w:szCs w:val="32"/>
        </w:rPr>
      </w:pPr>
      <w:r>
        <w:rPr>
          <w:rFonts w:ascii="仿宋" w:hAnsi="仿宋" w:eastAsia="仿宋" w:cs="仿宋"/>
          <w:spacing w:val="-2"/>
          <w:sz w:val="32"/>
          <w:szCs w:val="32"/>
        </w:rPr>
        <w:t>11.负责职责范围内的安全生产和职业健康、生态环境</w:t>
      </w:r>
      <w:r>
        <w:rPr>
          <w:rFonts w:ascii="仿宋" w:hAnsi="仿宋" w:eastAsia="仿宋" w:cs="仿宋"/>
          <w:spacing w:val="-1"/>
          <w:sz w:val="32"/>
          <w:szCs w:val="32"/>
        </w:rPr>
        <w:t>保护、审批服务便民化工作。</w:t>
      </w:r>
    </w:p>
    <w:p>
      <w:pPr>
        <w:spacing w:before="273" w:line="183" w:lineRule="auto"/>
        <w:ind w:firstLine="687"/>
        <w:rPr>
          <w:rFonts w:ascii="仿宋" w:hAnsi="仿宋" w:eastAsia="仿宋" w:cs="仿宋"/>
          <w:sz w:val="32"/>
          <w:szCs w:val="32"/>
        </w:rPr>
      </w:pPr>
      <w:r>
        <w:rPr>
          <w:rFonts w:ascii="仿宋" w:hAnsi="仿宋" w:eastAsia="仿宋" w:cs="仿宋"/>
          <w:spacing w:val="-5"/>
          <w:sz w:val="32"/>
          <w:szCs w:val="32"/>
        </w:rPr>
        <w:t>12.完成区委、区政府和军方交办的其他任务。</w:t>
      </w:r>
    </w:p>
    <w:p>
      <w:pPr>
        <w:spacing w:before="272" w:line="342" w:lineRule="auto"/>
        <w:ind w:left="27" w:right="86" w:firstLine="659"/>
        <w:rPr>
          <w:rFonts w:ascii="仿宋" w:hAnsi="仿宋" w:eastAsia="仿宋" w:cs="仿宋"/>
          <w:sz w:val="32"/>
          <w:szCs w:val="32"/>
        </w:rPr>
      </w:pPr>
      <w:r>
        <w:rPr>
          <w:rFonts w:ascii="仿宋" w:hAnsi="仿宋" w:eastAsia="仿宋" w:cs="仿宋"/>
          <w:spacing w:val="-2"/>
          <w:sz w:val="32"/>
          <w:szCs w:val="32"/>
        </w:rPr>
        <w:t>13.职能转变。加强全区退役军人思想政治工作以及服务保障体系建设，建立健全集中统一、职责清晰的退役军人管理保障体制，协调各方力量更好为军人军属服务，维护军</w:t>
      </w:r>
      <w:r>
        <w:rPr>
          <w:rFonts w:ascii="仿宋" w:hAnsi="仿宋" w:eastAsia="仿宋" w:cs="仿宋"/>
          <w:spacing w:val="-1"/>
          <w:sz w:val="32"/>
          <w:szCs w:val="32"/>
        </w:rPr>
        <w:t>人军属合法权益，让军人成为全社会尊崇的职业。</w:t>
      </w:r>
    </w:p>
    <w:p>
      <w:pPr>
        <w:spacing w:before="101" w:line="188" w:lineRule="auto"/>
        <w:ind w:firstLine="706"/>
        <w:outlineLvl w:val="2"/>
        <w:rPr>
          <w:rFonts w:ascii="仿宋" w:hAnsi="仿宋" w:eastAsia="仿宋" w:cs="仿宋"/>
          <w:sz w:val="32"/>
          <w:szCs w:val="32"/>
        </w:rPr>
      </w:pPr>
      <w:r>
        <w:rPr>
          <w:rFonts w:ascii="仿宋" w:hAnsi="仿宋" w:eastAsia="仿宋" w:cs="仿宋"/>
          <w:spacing w:val="-13"/>
          <w:sz w:val="32"/>
          <w:szCs w:val="32"/>
        </w:rPr>
        <w:t>（二）2020年重点工作完成情况</w:t>
      </w:r>
    </w:p>
    <w:p>
      <w:pPr>
        <w:spacing w:before="274" w:line="341" w:lineRule="auto"/>
        <w:ind w:left="38" w:right="86" w:firstLine="636"/>
        <w:rPr>
          <w:rFonts w:ascii="仿宋" w:hAnsi="仿宋" w:eastAsia="仿宋" w:cs="仿宋"/>
          <w:spacing w:val="-1"/>
          <w:sz w:val="32"/>
          <w:szCs w:val="32"/>
        </w:rPr>
      </w:pPr>
      <w:r>
        <w:rPr>
          <w:rFonts w:ascii="仿宋" w:hAnsi="仿宋" w:eastAsia="仿宋" w:cs="仿宋"/>
          <w:spacing w:val="-1"/>
          <w:sz w:val="32"/>
          <w:szCs w:val="32"/>
        </w:rPr>
        <w:t>强化责任担当，服务中心工作</w:t>
      </w:r>
    </w:p>
    <w:p>
      <w:pPr>
        <w:spacing w:before="274" w:line="341" w:lineRule="auto"/>
        <w:ind w:left="38" w:right="86" w:firstLine="636"/>
        <w:rPr>
          <w:rFonts w:ascii="仿宋" w:hAnsi="仿宋" w:eastAsia="仿宋" w:cs="仿宋"/>
          <w:sz w:val="32"/>
          <w:szCs w:val="32"/>
        </w:rPr>
      </w:pPr>
      <w:r>
        <w:rPr>
          <w:rFonts w:ascii="Times New Roman" w:hAnsi="Times New Roman" w:eastAsia="Times New Roman" w:cs="Times New Roman"/>
          <w:b/>
          <w:bCs/>
          <w:spacing w:val="-1"/>
          <w:sz w:val="32"/>
          <w:szCs w:val="32"/>
        </w:rPr>
        <w:t>1.</w:t>
      </w:r>
      <w:r>
        <w:rPr>
          <w:rFonts w:ascii="仿宋" w:hAnsi="仿宋" w:eastAsia="仿宋" w:cs="仿宋"/>
          <w:spacing w:val="-1"/>
          <w:sz w:val="32"/>
          <w:szCs w:val="32"/>
        </w:rPr>
        <w:t>坚决打赢疫情防控阻击战，我局第一时间成立了局疫</w:t>
      </w:r>
      <w:r>
        <w:rPr>
          <w:rFonts w:ascii="仿宋" w:hAnsi="仿宋" w:eastAsia="仿宋" w:cs="仿宋"/>
          <w:spacing w:val="-3"/>
          <w:sz w:val="32"/>
          <w:szCs w:val="32"/>
        </w:rPr>
        <w:t>情防控工作领导小组和</w:t>
      </w:r>
      <w:r>
        <w:rPr>
          <w:rFonts w:ascii="Times New Roman" w:hAnsi="Times New Roman" w:eastAsia="Times New Roman" w:cs="Times New Roman"/>
          <w:spacing w:val="-3"/>
          <w:sz w:val="32"/>
          <w:szCs w:val="32"/>
        </w:rPr>
        <w:t>3</w:t>
      </w:r>
      <w:r>
        <w:rPr>
          <w:rFonts w:ascii="仿宋" w:hAnsi="仿宋" w:eastAsia="仿宋" w:cs="仿宋"/>
          <w:spacing w:val="-3"/>
          <w:sz w:val="32"/>
          <w:szCs w:val="32"/>
        </w:rPr>
        <w:t>个工作组，班子成员亲自带队投身</w:t>
      </w:r>
    </w:p>
    <w:p>
      <w:pPr>
        <w:sectPr>
          <w:footerReference r:id="rId7" w:type="default"/>
          <w:pgSz w:w="11906" w:h="16839"/>
          <w:pgMar w:top="1431" w:right="1713" w:bottom="1151" w:left="1785" w:header="0" w:footer="1035" w:gutter="0"/>
          <w:pgNumType w:fmt="decimal"/>
          <w:cols w:space="720" w:num="1"/>
        </w:sectPr>
      </w:pPr>
    </w:p>
    <w:p>
      <w:pPr>
        <w:spacing w:before="209" w:line="310" w:lineRule="auto"/>
        <w:ind w:left="23" w:right="16" w:firstLine="16"/>
        <w:rPr>
          <w:rFonts w:ascii="仿宋" w:hAnsi="仿宋" w:eastAsia="仿宋" w:cs="仿宋"/>
          <w:sz w:val="32"/>
          <w:szCs w:val="32"/>
        </w:rPr>
      </w:pPr>
      <w:r>
        <w:rPr>
          <w:rFonts w:ascii="仿宋" w:hAnsi="仿宋" w:eastAsia="仿宋" w:cs="仿宋"/>
          <w:spacing w:val="-2"/>
          <w:sz w:val="32"/>
          <w:szCs w:val="32"/>
        </w:rPr>
        <w:t>到疫情防控第一线，支援社区开展疫情防控工作。严格做好机关内部防控工作，坚持做好来访人员体温测量登记。积极</w:t>
      </w:r>
      <w:r>
        <w:rPr>
          <w:rFonts w:ascii="仿宋" w:hAnsi="仿宋" w:eastAsia="仿宋" w:cs="仿宋"/>
          <w:spacing w:val="-3"/>
          <w:sz w:val="32"/>
          <w:szCs w:val="32"/>
        </w:rPr>
        <w:t>组织退役军人投身疫情防控，发送疫情防控短信</w:t>
      </w:r>
      <w:r>
        <w:rPr>
          <w:rFonts w:ascii="Times New Roman" w:hAnsi="Times New Roman" w:eastAsia="Times New Roman" w:cs="Times New Roman"/>
          <w:spacing w:val="-3"/>
          <w:sz w:val="32"/>
          <w:szCs w:val="32"/>
        </w:rPr>
        <w:t>4</w:t>
      </w:r>
      <w:r>
        <w:rPr>
          <w:rFonts w:ascii="仿宋" w:hAnsi="仿宋" w:eastAsia="仿宋" w:cs="仿宋"/>
          <w:spacing w:val="-3"/>
          <w:sz w:val="32"/>
          <w:szCs w:val="32"/>
        </w:rPr>
        <w:t>万余条，</w:t>
      </w:r>
      <w:r>
        <w:rPr>
          <w:rFonts w:ascii="仿宋" w:hAnsi="仿宋" w:eastAsia="仿宋" w:cs="仿宋"/>
          <w:spacing w:val="-4"/>
          <w:sz w:val="32"/>
          <w:szCs w:val="32"/>
        </w:rPr>
        <w:t>发动我区</w:t>
      </w:r>
      <w:r>
        <w:rPr>
          <w:rFonts w:ascii="Times New Roman" w:hAnsi="Times New Roman" w:eastAsia="Times New Roman" w:cs="Times New Roman"/>
          <w:spacing w:val="-4"/>
          <w:sz w:val="32"/>
          <w:szCs w:val="32"/>
        </w:rPr>
        <w:t>197</w:t>
      </w:r>
      <w:r>
        <w:rPr>
          <w:rFonts w:ascii="仿宋" w:hAnsi="仿宋" w:eastAsia="仿宋" w:cs="仿宋"/>
          <w:spacing w:val="-4"/>
          <w:sz w:val="32"/>
          <w:szCs w:val="32"/>
        </w:rPr>
        <w:t>名退役军人参与疫情防控并为抗疫捐款捐物</w:t>
      </w:r>
      <w:r>
        <w:rPr>
          <w:rFonts w:ascii="Times New Roman" w:hAnsi="Times New Roman" w:eastAsia="Times New Roman" w:cs="Times New Roman"/>
          <w:spacing w:val="-4"/>
          <w:sz w:val="32"/>
          <w:szCs w:val="32"/>
        </w:rPr>
        <w:t>1</w:t>
      </w:r>
      <w:r>
        <w:rPr>
          <w:rFonts w:ascii="仿宋" w:hAnsi="仿宋" w:eastAsia="仿宋" w:cs="仿宋"/>
          <w:spacing w:val="-1"/>
          <w:sz w:val="32"/>
          <w:szCs w:val="32"/>
        </w:rPr>
        <w:t>万余元，组织慰问了参加防疫的退役军人。</w:t>
      </w:r>
    </w:p>
    <w:p>
      <w:pPr>
        <w:spacing w:before="273" w:line="183" w:lineRule="auto"/>
        <w:ind w:firstLine="661"/>
        <w:rPr>
          <w:rFonts w:ascii="仿宋" w:hAnsi="仿宋" w:eastAsia="仿宋" w:cs="仿宋"/>
          <w:sz w:val="32"/>
          <w:szCs w:val="32"/>
        </w:rPr>
      </w:pPr>
      <w:r>
        <w:rPr>
          <w:rFonts w:ascii="Times New Roman" w:hAnsi="Times New Roman" w:eastAsia="Times New Roman" w:cs="Times New Roman"/>
          <w:spacing w:val="2"/>
          <w:sz w:val="32"/>
          <w:szCs w:val="32"/>
        </w:rPr>
        <w:t>2.</w:t>
      </w:r>
      <w:r>
        <w:rPr>
          <w:rFonts w:ascii="仿宋" w:hAnsi="仿宋" w:eastAsia="仿宋" w:cs="仿宋"/>
          <w:spacing w:val="2"/>
          <w:sz w:val="32"/>
          <w:szCs w:val="32"/>
        </w:rPr>
        <w:t>着力提升脱贫攻坚质效，主要领导亲自挂帅，亲自过</w:t>
      </w:r>
    </w:p>
    <w:p>
      <w:pPr>
        <w:spacing w:before="276" w:line="315" w:lineRule="auto"/>
        <w:ind w:left="29" w:right="14" w:firstLine="34"/>
        <w:rPr>
          <w:rFonts w:ascii="仿宋" w:hAnsi="仿宋" w:eastAsia="仿宋" w:cs="仿宋"/>
          <w:sz w:val="32"/>
          <w:szCs w:val="32"/>
        </w:rPr>
      </w:pPr>
      <w:r>
        <w:rPr>
          <w:rFonts w:ascii="仿宋" w:hAnsi="仿宋" w:eastAsia="仿宋" w:cs="仿宋"/>
          <w:spacing w:val="-3"/>
          <w:sz w:val="32"/>
          <w:szCs w:val="32"/>
        </w:rPr>
        <w:t>问，抽派班子成员作为驻村干部和担当突击队长到村开展帮</w:t>
      </w:r>
      <w:r>
        <w:rPr>
          <w:rFonts w:ascii="仿宋" w:hAnsi="仿宋" w:eastAsia="仿宋" w:cs="仿宋"/>
          <w:sz w:val="32"/>
          <w:szCs w:val="32"/>
        </w:rPr>
        <w:t>扶工作，制定</w:t>
      </w:r>
      <w:r>
        <w:rPr>
          <w:rFonts w:ascii="Times New Roman" w:hAnsi="Times New Roman" w:eastAsia="Times New Roman" w:cs="Times New Roman"/>
          <w:sz w:val="32"/>
          <w:szCs w:val="32"/>
        </w:rPr>
        <w:t>“</w:t>
      </w:r>
      <w:r>
        <w:rPr>
          <w:rFonts w:ascii="仿宋" w:hAnsi="仿宋" w:eastAsia="仿宋" w:cs="仿宋"/>
          <w:sz w:val="32"/>
          <w:szCs w:val="32"/>
        </w:rPr>
        <w:t>一人一策</w:t>
      </w:r>
      <w:r>
        <w:rPr>
          <w:rFonts w:ascii="Times New Roman" w:hAnsi="Times New Roman" w:eastAsia="Times New Roman" w:cs="Times New Roman"/>
          <w:sz w:val="32"/>
          <w:szCs w:val="32"/>
        </w:rPr>
        <w:t>”</w:t>
      </w:r>
      <w:r>
        <w:rPr>
          <w:rFonts w:ascii="仿宋" w:hAnsi="仿宋" w:eastAsia="仿宋" w:cs="仿宋"/>
          <w:sz w:val="32"/>
          <w:szCs w:val="32"/>
        </w:rPr>
        <w:t>帮扶计划，帮扶责任人经常性开展</w:t>
      </w:r>
      <w:r>
        <w:rPr>
          <w:rFonts w:ascii="仿宋" w:hAnsi="仿宋" w:eastAsia="仿宋" w:cs="仿宋"/>
          <w:spacing w:val="-2"/>
          <w:sz w:val="32"/>
          <w:szCs w:val="32"/>
        </w:rPr>
        <w:t>入户走访，帮扶成效得到了帮扶对象认可。组织单位干部职</w:t>
      </w:r>
      <w:r>
        <w:rPr>
          <w:rFonts w:ascii="仿宋" w:hAnsi="仿宋" w:eastAsia="仿宋" w:cs="仿宋"/>
          <w:spacing w:val="-3"/>
          <w:sz w:val="32"/>
          <w:szCs w:val="32"/>
        </w:rPr>
        <w:t>工扶贫捐款</w:t>
      </w:r>
      <w:r>
        <w:rPr>
          <w:rFonts w:ascii="Times New Roman" w:hAnsi="Times New Roman" w:eastAsia="Times New Roman" w:cs="Times New Roman"/>
          <w:spacing w:val="-3"/>
          <w:sz w:val="32"/>
          <w:szCs w:val="32"/>
        </w:rPr>
        <w:t>4000</w:t>
      </w:r>
      <w:r>
        <w:rPr>
          <w:rFonts w:ascii="仿宋" w:hAnsi="仿宋" w:eastAsia="仿宋" w:cs="仿宋"/>
          <w:spacing w:val="-3"/>
          <w:sz w:val="32"/>
          <w:szCs w:val="32"/>
        </w:rPr>
        <w:t>余元，购买扶贫物资</w:t>
      </w:r>
      <w:r>
        <w:rPr>
          <w:rFonts w:ascii="Times New Roman" w:hAnsi="Times New Roman" w:eastAsia="Times New Roman" w:cs="Times New Roman"/>
          <w:spacing w:val="-3"/>
          <w:sz w:val="32"/>
          <w:szCs w:val="32"/>
        </w:rPr>
        <w:t>3000</w:t>
      </w:r>
      <w:r>
        <w:rPr>
          <w:rFonts w:ascii="仿宋" w:hAnsi="仿宋" w:eastAsia="仿宋" w:cs="仿宋"/>
          <w:spacing w:val="-3"/>
          <w:sz w:val="32"/>
          <w:szCs w:val="32"/>
        </w:rPr>
        <w:t>余元，向贫困户</w:t>
      </w:r>
      <w:r>
        <w:rPr>
          <w:rFonts w:ascii="仿宋" w:hAnsi="仿宋" w:eastAsia="仿宋" w:cs="仿宋"/>
          <w:spacing w:val="3"/>
          <w:sz w:val="32"/>
          <w:szCs w:val="32"/>
        </w:rPr>
        <w:t>送去慰问物资</w:t>
      </w:r>
      <w:r>
        <w:rPr>
          <w:rFonts w:ascii="Times New Roman" w:hAnsi="Times New Roman" w:eastAsia="Times New Roman" w:cs="Times New Roman"/>
          <w:spacing w:val="3"/>
          <w:sz w:val="32"/>
          <w:szCs w:val="32"/>
        </w:rPr>
        <w:t>4000</w:t>
      </w:r>
      <w:r>
        <w:rPr>
          <w:rFonts w:ascii="仿宋" w:hAnsi="仿宋" w:eastAsia="仿宋" w:cs="仿宋"/>
          <w:spacing w:val="3"/>
          <w:sz w:val="32"/>
          <w:szCs w:val="32"/>
        </w:rPr>
        <w:t>余元，帮助困难对象申请关爱帮扶资金</w:t>
      </w:r>
      <w:r>
        <w:rPr>
          <w:rFonts w:ascii="Times New Roman" w:hAnsi="Times New Roman" w:eastAsia="Times New Roman" w:cs="Times New Roman"/>
          <w:spacing w:val="-7"/>
          <w:sz w:val="32"/>
          <w:szCs w:val="32"/>
        </w:rPr>
        <w:t>5000</w:t>
      </w:r>
      <w:r>
        <w:rPr>
          <w:rFonts w:ascii="仿宋" w:hAnsi="仿宋" w:eastAsia="仿宋" w:cs="仿宋"/>
          <w:spacing w:val="-7"/>
          <w:sz w:val="32"/>
          <w:szCs w:val="32"/>
        </w:rPr>
        <w:t>元。</w:t>
      </w:r>
    </w:p>
    <w:p>
      <w:pPr>
        <w:spacing w:before="270" w:line="342" w:lineRule="auto"/>
        <w:ind w:left="30" w:right="13" w:firstLine="637"/>
        <w:rPr>
          <w:rFonts w:ascii="仿宋" w:hAnsi="仿宋" w:eastAsia="仿宋" w:cs="仿宋"/>
          <w:sz w:val="32"/>
          <w:szCs w:val="32"/>
        </w:rPr>
      </w:pPr>
      <w:r>
        <w:rPr>
          <w:rFonts w:ascii="Times New Roman" w:hAnsi="Times New Roman" w:eastAsia="Times New Roman" w:cs="Times New Roman"/>
          <w:spacing w:val="-2"/>
          <w:sz w:val="32"/>
          <w:szCs w:val="32"/>
        </w:rPr>
        <w:t>3.</w:t>
      </w:r>
      <w:r>
        <w:rPr>
          <w:rFonts w:ascii="仿宋" w:hAnsi="仿宋" w:eastAsia="仿宋" w:cs="仿宋"/>
          <w:spacing w:val="-2"/>
          <w:sz w:val="32"/>
          <w:szCs w:val="32"/>
        </w:rPr>
        <w:t>全力配合“三创”联动，派出工作人员</w:t>
      </w:r>
      <w:r>
        <w:rPr>
          <w:rFonts w:ascii="Times New Roman" w:hAnsi="Times New Roman" w:eastAsia="Times New Roman" w:cs="Times New Roman"/>
          <w:spacing w:val="-2"/>
          <w:sz w:val="32"/>
          <w:szCs w:val="32"/>
        </w:rPr>
        <w:t>300</w:t>
      </w:r>
      <w:r>
        <w:rPr>
          <w:rFonts w:ascii="仿宋" w:hAnsi="仿宋" w:eastAsia="仿宋" w:cs="仿宋"/>
          <w:spacing w:val="-2"/>
          <w:sz w:val="32"/>
          <w:szCs w:val="32"/>
        </w:rPr>
        <w:t>余人次到新民街社区开展志愿者活动，同时组织动员</w:t>
      </w:r>
      <w:r>
        <w:rPr>
          <w:rFonts w:ascii="Times New Roman" w:hAnsi="Times New Roman" w:eastAsia="Times New Roman" w:cs="Times New Roman"/>
          <w:spacing w:val="-2"/>
          <w:sz w:val="32"/>
          <w:szCs w:val="32"/>
        </w:rPr>
        <w:t>326</w:t>
      </w:r>
      <w:r>
        <w:rPr>
          <w:rFonts w:ascii="仿宋" w:hAnsi="仿宋" w:eastAsia="仿宋" w:cs="仿宋"/>
          <w:spacing w:val="-2"/>
          <w:sz w:val="32"/>
          <w:szCs w:val="32"/>
        </w:rPr>
        <w:t>名退役军人</w:t>
      </w:r>
      <w:r>
        <w:rPr>
          <w:rFonts w:ascii="仿宋" w:hAnsi="仿宋" w:eastAsia="仿宋" w:cs="仿宋"/>
          <w:spacing w:val="-1"/>
          <w:sz w:val="32"/>
          <w:szCs w:val="32"/>
        </w:rPr>
        <w:t>退役军人参与创文创卫创模，助力创建工作取得成功。</w:t>
      </w:r>
    </w:p>
    <w:p>
      <w:pPr>
        <w:spacing w:before="274" w:line="341" w:lineRule="auto"/>
        <w:ind w:left="38" w:right="86" w:firstLine="636"/>
        <w:rPr>
          <w:rFonts w:ascii="仿宋" w:hAnsi="仿宋" w:eastAsia="仿宋" w:cs="仿宋"/>
          <w:spacing w:val="-1"/>
          <w:sz w:val="32"/>
          <w:szCs w:val="32"/>
        </w:rPr>
      </w:pPr>
      <w:r>
        <w:rPr>
          <w:rFonts w:ascii="仿宋" w:hAnsi="仿宋" w:eastAsia="仿宋" w:cs="仿宋"/>
          <w:spacing w:val="-1"/>
          <w:sz w:val="32"/>
          <w:szCs w:val="32"/>
        </w:rPr>
        <w:t>落实政策措施，增强工作实效</w:t>
      </w:r>
    </w:p>
    <w:p>
      <w:pPr>
        <w:spacing w:before="237" w:line="344" w:lineRule="auto"/>
        <w:ind w:left="21" w:right="1" w:firstLine="689"/>
        <w:rPr>
          <w:rFonts w:ascii="仿宋" w:hAnsi="仿宋" w:eastAsia="仿宋" w:cs="仿宋"/>
          <w:sz w:val="32"/>
          <w:szCs w:val="32"/>
        </w:rPr>
      </w:pPr>
      <w:r>
        <w:rPr>
          <w:rFonts w:ascii="Times New Roman" w:hAnsi="Times New Roman" w:eastAsia="Times New Roman" w:cs="Times New Roman"/>
          <w:spacing w:val="-7"/>
          <w:sz w:val="32"/>
          <w:szCs w:val="32"/>
        </w:rPr>
        <w:t>1.</w:t>
      </w:r>
      <w:r>
        <w:rPr>
          <w:rFonts w:ascii="仿宋" w:hAnsi="仿宋" w:eastAsia="仿宋" w:cs="仿宋"/>
          <w:spacing w:val="-7"/>
          <w:sz w:val="32"/>
          <w:szCs w:val="32"/>
        </w:rPr>
        <w:t>推进</w:t>
      </w:r>
      <w:r>
        <w:rPr>
          <w:rFonts w:ascii="Times New Roman" w:hAnsi="Times New Roman" w:eastAsia="Times New Roman" w:cs="Times New Roman"/>
          <w:spacing w:val="-7"/>
          <w:sz w:val="32"/>
          <w:szCs w:val="32"/>
        </w:rPr>
        <w:t>“</w:t>
      </w:r>
      <w:r>
        <w:rPr>
          <w:rFonts w:ascii="仿宋" w:hAnsi="仿宋" w:eastAsia="仿宋" w:cs="仿宋"/>
          <w:spacing w:val="-7"/>
          <w:sz w:val="32"/>
          <w:szCs w:val="32"/>
        </w:rPr>
        <w:t>一体化</w:t>
      </w:r>
      <w:r>
        <w:rPr>
          <w:rFonts w:ascii="Times New Roman" w:hAnsi="Times New Roman" w:eastAsia="Times New Roman" w:cs="Times New Roman"/>
          <w:spacing w:val="-7"/>
          <w:sz w:val="32"/>
          <w:szCs w:val="32"/>
        </w:rPr>
        <w:t>”</w:t>
      </w:r>
      <w:r>
        <w:rPr>
          <w:rFonts w:ascii="仿宋" w:hAnsi="仿宋" w:eastAsia="仿宋" w:cs="仿宋"/>
          <w:spacing w:val="-7"/>
          <w:sz w:val="32"/>
          <w:szCs w:val="32"/>
        </w:rPr>
        <w:t>政务服务，梳理行政权力事项</w:t>
      </w:r>
      <w:r>
        <w:rPr>
          <w:rFonts w:ascii="Times New Roman" w:hAnsi="Times New Roman" w:eastAsia="Times New Roman" w:cs="Times New Roman"/>
          <w:spacing w:val="-7"/>
          <w:sz w:val="32"/>
          <w:szCs w:val="32"/>
        </w:rPr>
        <w:t>12</w:t>
      </w:r>
      <w:r>
        <w:rPr>
          <w:rFonts w:ascii="仿宋" w:hAnsi="仿宋" w:eastAsia="仿宋" w:cs="仿宋"/>
          <w:spacing w:val="-7"/>
          <w:sz w:val="32"/>
          <w:szCs w:val="32"/>
        </w:rPr>
        <w:t>项、公</w:t>
      </w:r>
      <w:r>
        <w:rPr>
          <w:rFonts w:ascii="仿宋" w:hAnsi="仿宋" w:eastAsia="仿宋" w:cs="仿宋"/>
          <w:spacing w:val="-3"/>
          <w:sz w:val="32"/>
          <w:szCs w:val="32"/>
        </w:rPr>
        <w:t>共服务事项</w:t>
      </w:r>
      <w:r>
        <w:rPr>
          <w:rFonts w:ascii="Times New Roman" w:hAnsi="Times New Roman" w:eastAsia="Times New Roman" w:cs="Times New Roman"/>
          <w:spacing w:val="-3"/>
          <w:sz w:val="32"/>
          <w:szCs w:val="32"/>
        </w:rPr>
        <w:t>5</w:t>
      </w:r>
      <w:r>
        <w:rPr>
          <w:rFonts w:ascii="仿宋" w:hAnsi="仿宋" w:eastAsia="仿宋" w:cs="仿宋"/>
          <w:spacing w:val="-3"/>
          <w:sz w:val="32"/>
          <w:szCs w:val="32"/>
        </w:rPr>
        <w:t>项，做到最多跑一次率和网上可办率双双达到</w:t>
      </w:r>
      <w:r>
        <w:rPr>
          <w:rFonts w:ascii="Times New Roman" w:hAnsi="Times New Roman" w:eastAsia="Times New Roman" w:cs="Times New Roman"/>
          <w:spacing w:val="-3"/>
          <w:sz w:val="32"/>
          <w:szCs w:val="32"/>
        </w:rPr>
        <w:t>100%</w:t>
      </w:r>
      <w:r>
        <w:rPr>
          <w:rFonts w:ascii="仿宋" w:hAnsi="仿宋" w:eastAsia="仿宋" w:cs="仿宋"/>
          <w:spacing w:val="-3"/>
          <w:sz w:val="32"/>
          <w:szCs w:val="32"/>
        </w:rPr>
        <w:t>；推进信息化建设，完善退役军人数据库</w:t>
      </w:r>
      <w:r>
        <w:rPr>
          <w:rFonts w:ascii="Times New Roman" w:hAnsi="Times New Roman" w:eastAsia="Times New Roman" w:cs="Times New Roman"/>
          <w:spacing w:val="-3"/>
          <w:sz w:val="32"/>
          <w:szCs w:val="32"/>
        </w:rPr>
        <w:t>“</w:t>
      </w:r>
      <w:r>
        <w:rPr>
          <w:rFonts w:ascii="仿宋" w:hAnsi="仿宋" w:eastAsia="仿宋" w:cs="仿宋"/>
          <w:spacing w:val="-3"/>
          <w:sz w:val="32"/>
          <w:szCs w:val="32"/>
        </w:rPr>
        <w:t>一人一档</w:t>
      </w:r>
      <w:r>
        <w:rPr>
          <w:rFonts w:ascii="Times New Roman" w:hAnsi="Times New Roman" w:eastAsia="Times New Roman" w:cs="Times New Roman"/>
          <w:spacing w:val="-3"/>
          <w:sz w:val="32"/>
          <w:szCs w:val="32"/>
        </w:rPr>
        <w:t>”</w:t>
      </w:r>
      <w:r>
        <w:rPr>
          <w:rFonts w:ascii="仿宋" w:hAnsi="仿宋" w:eastAsia="仿宋" w:cs="仿宋"/>
          <w:spacing w:val="-3"/>
          <w:sz w:val="32"/>
          <w:szCs w:val="32"/>
        </w:rPr>
        <w:t>，</w:t>
      </w:r>
      <w:r>
        <w:rPr>
          <w:rFonts w:ascii="仿宋" w:hAnsi="仿宋" w:eastAsia="仿宋" w:cs="仿宋"/>
          <w:spacing w:val="-6"/>
          <w:sz w:val="32"/>
          <w:szCs w:val="32"/>
        </w:rPr>
        <w:t>目前已完成</w:t>
      </w:r>
      <w:r>
        <w:rPr>
          <w:rFonts w:ascii="Times New Roman" w:hAnsi="Times New Roman" w:eastAsia="Times New Roman" w:cs="Times New Roman"/>
          <w:spacing w:val="-6"/>
          <w:sz w:val="32"/>
          <w:szCs w:val="32"/>
        </w:rPr>
        <w:t>8145</w:t>
      </w:r>
      <w:r>
        <w:rPr>
          <w:rFonts w:ascii="仿宋" w:hAnsi="仿宋" w:eastAsia="仿宋" w:cs="仿宋"/>
          <w:spacing w:val="-6"/>
          <w:sz w:val="32"/>
          <w:szCs w:val="32"/>
        </w:rPr>
        <w:t>人的建档立卡；切实做好接收安置工作，</w:t>
      </w:r>
      <w:r>
        <w:rPr>
          <w:rFonts w:ascii="仿宋" w:hAnsi="仿宋" w:eastAsia="仿宋" w:cs="仿宋"/>
          <w:spacing w:val="1"/>
          <w:sz w:val="32"/>
          <w:szCs w:val="32"/>
        </w:rPr>
        <w:t>今年接收退役士兵</w:t>
      </w:r>
      <w:r>
        <w:rPr>
          <w:rFonts w:ascii="Times New Roman" w:hAnsi="Times New Roman" w:eastAsia="Times New Roman" w:cs="Times New Roman"/>
          <w:spacing w:val="1"/>
          <w:sz w:val="32"/>
          <w:szCs w:val="32"/>
        </w:rPr>
        <w:t>68</w:t>
      </w:r>
      <w:r>
        <w:rPr>
          <w:rFonts w:ascii="仿宋" w:hAnsi="仿宋" w:eastAsia="仿宋" w:cs="仿宋"/>
          <w:spacing w:val="1"/>
          <w:sz w:val="32"/>
          <w:szCs w:val="32"/>
        </w:rPr>
        <w:t>名、军休干部</w:t>
      </w:r>
      <w:r>
        <w:rPr>
          <w:rFonts w:ascii="Times New Roman" w:hAnsi="Times New Roman" w:eastAsia="Times New Roman" w:cs="Times New Roman"/>
          <w:spacing w:val="1"/>
          <w:sz w:val="32"/>
          <w:szCs w:val="32"/>
        </w:rPr>
        <w:t>1</w:t>
      </w:r>
      <w:r>
        <w:rPr>
          <w:rFonts w:ascii="仿宋" w:hAnsi="仿宋" w:eastAsia="仿宋" w:cs="仿宋"/>
          <w:spacing w:val="1"/>
          <w:sz w:val="32"/>
          <w:szCs w:val="32"/>
        </w:rPr>
        <w:t>名、军队自主择业军</w:t>
      </w:r>
      <w:r>
        <w:rPr>
          <w:rFonts w:ascii="仿宋" w:hAnsi="仿宋" w:eastAsia="仿宋" w:cs="仿宋"/>
          <w:spacing w:val="4"/>
          <w:sz w:val="32"/>
          <w:szCs w:val="32"/>
        </w:rPr>
        <w:t>转干部</w:t>
      </w:r>
      <w:r>
        <w:rPr>
          <w:rFonts w:ascii="Times New Roman" w:hAnsi="Times New Roman" w:eastAsia="Times New Roman" w:cs="Times New Roman"/>
          <w:spacing w:val="4"/>
          <w:sz w:val="32"/>
          <w:szCs w:val="32"/>
        </w:rPr>
        <w:t>1</w:t>
      </w:r>
      <w:r>
        <w:rPr>
          <w:rFonts w:ascii="仿宋" w:hAnsi="仿宋" w:eastAsia="仿宋" w:cs="仿宋"/>
          <w:spacing w:val="4"/>
          <w:sz w:val="32"/>
          <w:szCs w:val="32"/>
        </w:rPr>
        <w:t>名，安置计划符合政府安排工作条件退役士兵</w:t>
      </w:r>
      <w:r>
        <w:rPr>
          <w:rFonts w:ascii="Times New Roman" w:hAnsi="Times New Roman" w:eastAsia="Times New Roman" w:cs="Times New Roman"/>
          <w:spacing w:val="4"/>
          <w:sz w:val="32"/>
          <w:szCs w:val="32"/>
        </w:rPr>
        <w:t>30</w:t>
      </w:r>
      <w:r>
        <w:rPr>
          <w:rFonts w:ascii="仿宋" w:hAnsi="仿宋" w:eastAsia="仿宋" w:cs="仿宋"/>
          <w:spacing w:val="2"/>
          <w:sz w:val="32"/>
          <w:szCs w:val="32"/>
        </w:rPr>
        <w:t>名，安置率达到</w:t>
      </w:r>
      <w:r>
        <w:rPr>
          <w:rFonts w:ascii="Times New Roman" w:hAnsi="Times New Roman" w:eastAsia="Times New Roman" w:cs="Times New Roman"/>
          <w:spacing w:val="2"/>
          <w:sz w:val="32"/>
          <w:szCs w:val="32"/>
        </w:rPr>
        <w:t>100%</w:t>
      </w:r>
      <w:r>
        <w:rPr>
          <w:rFonts w:ascii="仿宋" w:hAnsi="仿宋" w:eastAsia="仿宋" w:cs="仿宋"/>
          <w:spacing w:val="2"/>
          <w:sz w:val="32"/>
          <w:szCs w:val="32"/>
        </w:rPr>
        <w:t>；及时发放各类优抚资金，今年发放</w:t>
      </w:r>
    </w:p>
    <w:p>
      <w:pPr>
        <w:sectPr>
          <w:footerReference r:id="rId8" w:type="default"/>
          <w:pgSz w:w="11906" w:h="16839"/>
          <w:pgMar w:top="1431" w:right="1785" w:bottom="1150" w:left="1785" w:header="0" w:footer="1033" w:gutter="0"/>
          <w:pgNumType w:fmt="decimal"/>
          <w:cols w:space="720" w:num="1"/>
        </w:sectPr>
      </w:pPr>
    </w:p>
    <w:p>
      <w:pPr>
        <w:spacing w:before="209" w:line="310" w:lineRule="auto"/>
        <w:ind w:left="21" w:right="89" w:firstLine="5"/>
        <w:jc w:val="both"/>
        <w:rPr>
          <w:rFonts w:ascii="仿宋" w:hAnsi="仿宋" w:eastAsia="仿宋" w:cs="仿宋"/>
          <w:sz w:val="32"/>
          <w:szCs w:val="32"/>
        </w:rPr>
      </w:pPr>
      <w:r>
        <w:rPr>
          <w:rFonts w:ascii="仿宋" w:hAnsi="仿宋" w:eastAsia="仿宋" w:cs="仿宋"/>
          <w:spacing w:val="-1"/>
          <w:sz w:val="32"/>
          <w:szCs w:val="32"/>
        </w:rPr>
        <w:t>抚恤金</w:t>
      </w:r>
      <w:r>
        <w:rPr>
          <w:rFonts w:ascii="Times New Roman" w:hAnsi="Times New Roman" w:eastAsia="Times New Roman" w:cs="Times New Roman"/>
          <w:spacing w:val="-1"/>
          <w:sz w:val="32"/>
          <w:szCs w:val="32"/>
        </w:rPr>
        <w:t>1042.9</w:t>
      </w:r>
      <w:r>
        <w:rPr>
          <w:rFonts w:ascii="仿宋" w:hAnsi="仿宋" w:eastAsia="仿宋" w:cs="仿宋"/>
          <w:spacing w:val="-1"/>
          <w:sz w:val="32"/>
          <w:szCs w:val="32"/>
        </w:rPr>
        <w:t>万元，发放大学生入伍一次性奖励金</w:t>
      </w:r>
      <w:r>
        <w:rPr>
          <w:rFonts w:ascii="Times New Roman" w:hAnsi="Times New Roman" w:eastAsia="Times New Roman" w:cs="Times New Roman"/>
          <w:spacing w:val="-1"/>
          <w:sz w:val="32"/>
          <w:szCs w:val="32"/>
        </w:rPr>
        <w:t>87.6</w:t>
      </w:r>
      <w:r>
        <w:rPr>
          <w:rFonts w:ascii="仿宋" w:hAnsi="仿宋" w:eastAsia="仿宋" w:cs="仿宋"/>
          <w:spacing w:val="-1"/>
          <w:sz w:val="32"/>
          <w:szCs w:val="32"/>
        </w:rPr>
        <w:t>万</w:t>
      </w:r>
      <w:r>
        <w:rPr>
          <w:rFonts w:ascii="仿宋" w:hAnsi="仿宋" w:eastAsia="仿宋" w:cs="仿宋"/>
          <w:spacing w:val="4"/>
          <w:sz w:val="32"/>
          <w:szCs w:val="32"/>
        </w:rPr>
        <w:t>元，发放医疗补助</w:t>
      </w:r>
      <w:r>
        <w:rPr>
          <w:rFonts w:ascii="Times New Roman" w:hAnsi="Times New Roman" w:eastAsia="Times New Roman" w:cs="Times New Roman"/>
          <w:spacing w:val="4"/>
          <w:sz w:val="32"/>
          <w:szCs w:val="32"/>
        </w:rPr>
        <w:t>26.23</w:t>
      </w:r>
      <w:r>
        <w:rPr>
          <w:rFonts w:ascii="仿宋" w:hAnsi="仿宋" w:eastAsia="仿宋" w:cs="仿宋"/>
          <w:spacing w:val="4"/>
          <w:sz w:val="32"/>
          <w:szCs w:val="32"/>
        </w:rPr>
        <w:t>万元。完成了</w:t>
      </w:r>
      <w:r>
        <w:rPr>
          <w:rFonts w:ascii="Times New Roman" w:hAnsi="Times New Roman" w:eastAsia="Times New Roman" w:cs="Times New Roman"/>
          <w:spacing w:val="4"/>
          <w:sz w:val="32"/>
          <w:szCs w:val="32"/>
        </w:rPr>
        <w:t>43</w:t>
      </w:r>
      <w:r>
        <w:rPr>
          <w:rFonts w:ascii="仿宋" w:hAnsi="仿宋" w:eastAsia="仿宋" w:cs="仿宋"/>
          <w:spacing w:val="4"/>
          <w:sz w:val="32"/>
          <w:szCs w:val="32"/>
        </w:rPr>
        <w:t>名军转干部、</w:t>
      </w:r>
      <w:r>
        <w:rPr>
          <w:rFonts w:ascii="Times New Roman" w:hAnsi="Times New Roman" w:eastAsia="Times New Roman" w:cs="Times New Roman"/>
          <w:spacing w:val="4"/>
          <w:sz w:val="32"/>
          <w:szCs w:val="32"/>
        </w:rPr>
        <w:t>19</w:t>
      </w:r>
      <w:r>
        <w:rPr>
          <w:rFonts w:ascii="仿宋" w:hAnsi="仿宋" w:eastAsia="仿宋" w:cs="仿宋"/>
          <w:spacing w:val="-10"/>
          <w:sz w:val="32"/>
          <w:szCs w:val="32"/>
        </w:rPr>
        <w:t>名军休干部</w:t>
      </w:r>
      <w:r>
        <w:rPr>
          <w:rFonts w:hint="eastAsia" w:ascii="仿宋" w:hAnsi="仿宋" w:eastAsia="仿宋" w:cs="仿宋"/>
          <w:spacing w:val="-10"/>
          <w:sz w:val="32"/>
          <w:szCs w:val="32"/>
          <w:lang w:eastAsia="zh-CN"/>
        </w:rPr>
        <w:t>、</w:t>
      </w:r>
      <w:r>
        <w:rPr>
          <w:rFonts w:ascii="Times New Roman" w:hAnsi="Times New Roman" w:eastAsia="Times New Roman" w:cs="Times New Roman"/>
          <w:spacing w:val="-10"/>
          <w:sz w:val="32"/>
          <w:szCs w:val="32"/>
        </w:rPr>
        <w:t>3</w:t>
      </w:r>
      <w:r>
        <w:rPr>
          <w:rFonts w:ascii="仿宋" w:hAnsi="仿宋" w:eastAsia="仿宋" w:cs="仿宋"/>
          <w:spacing w:val="-10"/>
          <w:sz w:val="32"/>
          <w:szCs w:val="32"/>
        </w:rPr>
        <w:t>名遗属调资工作，补发薪资</w:t>
      </w:r>
      <w:r>
        <w:rPr>
          <w:rFonts w:ascii="Times New Roman" w:hAnsi="Times New Roman" w:eastAsia="Times New Roman" w:cs="Times New Roman"/>
          <w:spacing w:val="-10"/>
          <w:sz w:val="32"/>
          <w:szCs w:val="32"/>
        </w:rPr>
        <w:t>219</w:t>
      </w:r>
      <w:r>
        <w:rPr>
          <w:rFonts w:ascii="仿宋" w:hAnsi="仿宋" w:eastAsia="仿宋" w:cs="仿宋"/>
          <w:spacing w:val="-10"/>
          <w:sz w:val="32"/>
          <w:szCs w:val="32"/>
        </w:rPr>
        <w:t>万余元；</w:t>
      </w:r>
      <w:r>
        <w:rPr>
          <w:rFonts w:ascii="仿宋" w:hAnsi="仿宋" w:eastAsia="仿宋" w:cs="仿宋"/>
          <w:spacing w:val="4"/>
          <w:sz w:val="32"/>
          <w:szCs w:val="32"/>
        </w:rPr>
        <w:t>完成部</w:t>
      </w:r>
      <w:r>
        <w:rPr>
          <w:rFonts w:ascii="仿宋" w:hAnsi="仿宋" w:eastAsia="仿宋" w:cs="仿宋"/>
          <w:spacing w:val="2"/>
          <w:sz w:val="32"/>
          <w:szCs w:val="32"/>
        </w:rPr>
        <w:t>分退役士兵保险接续工作阶段性任务，为</w:t>
      </w:r>
      <w:r>
        <w:rPr>
          <w:rFonts w:ascii="Times New Roman" w:hAnsi="Times New Roman" w:eastAsia="Times New Roman" w:cs="Times New Roman"/>
          <w:spacing w:val="2"/>
          <w:sz w:val="32"/>
          <w:szCs w:val="32"/>
        </w:rPr>
        <w:t>1056</w:t>
      </w:r>
      <w:r>
        <w:rPr>
          <w:rFonts w:ascii="仿宋" w:hAnsi="仿宋" w:eastAsia="仿宋" w:cs="仿宋"/>
          <w:spacing w:val="2"/>
          <w:sz w:val="32"/>
          <w:szCs w:val="32"/>
        </w:rPr>
        <w:t>名退役</w:t>
      </w:r>
      <w:r>
        <w:rPr>
          <w:rFonts w:ascii="仿宋" w:hAnsi="仿宋" w:eastAsia="仿宋" w:cs="仿宋"/>
          <w:spacing w:val="-3"/>
          <w:sz w:val="32"/>
          <w:szCs w:val="32"/>
        </w:rPr>
        <w:t>士兵办理接续手续，补缴社保、医保</w:t>
      </w:r>
      <w:r>
        <w:rPr>
          <w:rFonts w:ascii="Times New Roman" w:hAnsi="Times New Roman" w:eastAsia="Times New Roman" w:cs="Times New Roman"/>
          <w:spacing w:val="-3"/>
          <w:sz w:val="32"/>
          <w:szCs w:val="32"/>
        </w:rPr>
        <w:t>825</w:t>
      </w:r>
      <w:r>
        <w:rPr>
          <w:rFonts w:ascii="仿宋" w:hAnsi="仿宋" w:eastAsia="仿宋" w:cs="仿宋"/>
          <w:spacing w:val="-3"/>
          <w:sz w:val="32"/>
          <w:szCs w:val="32"/>
        </w:rPr>
        <w:t>万元。</w:t>
      </w:r>
    </w:p>
    <w:p>
      <w:pPr>
        <w:spacing w:before="267" w:line="342" w:lineRule="auto"/>
        <w:ind w:left="26" w:firstLine="654"/>
        <w:rPr>
          <w:rFonts w:ascii="仿宋" w:hAnsi="仿宋" w:eastAsia="仿宋" w:cs="仿宋"/>
          <w:sz w:val="32"/>
          <w:szCs w:val="32"/>
        </w:rPr>
      </w:pPr>
      <w:r>
        <w:rPr>
          <w:rFonts w:ascii="Times New Roman" w:hAnsi="Times New Roman" w:eastAsia="Times New Roman" w:cs="Times New Roman"/>
          <w:spacing w:val="-5"/>
          <w:sz w:val="32"/>
          <w:szCs w:val="32"/>
        </w:rPr>
        <w:t>2.</w:t>
      </w:r>
      <w:r>
        <w:rPr>
          <w:rFonts w:ascii="仿宋" w:hAnsi="仿宋" w:eastAsia="仿宋" w:cs="仿宋"/>
          <w:spacing w:val="-5"/>
          <w:sz w:val="32"/>
          <w:szCs w:val="32"/>
        </w:rPr>
        <w:t>全面开展</w:t>
      </w:r>
      <w:r>
        <w:rPr>
          <w:rFonts w:ascii="Times New Roman" w:hAnsi="Times New Roman" w:eastAsia="Times New Roman" w:cs="Times New Roman"/>
          <w:spacing w:val="-5"/>
          <w:sz w:val="32"/>
          <w:szCs w:val="32"/>
        </w:rPr>
        <w:t>“</w:t>
      </w:r>
      <w:r>
        <w:rPr>
          <w:rFonts w:ascii="仿宋" w:hAnsi="仿宋" w:eastAsia="仿宋" w:cs="仿宋"/>
          <w:spacing w:val="-5"/>
          <w:sz w:val="32"/>
          <w:szCs w:val="32"/>
        </w:rPr>
        <w:t>大走访</w:t>
      </w:r>
      <w:r>
        <w:rPr>
          <w:rFonts w:ascii="Times New Roman" w:hAnsi="Times New Roman" w:eastAsia="Times New Roman" w:cs="Times New Roman"/>
          <w:spacing w:val="-5"/>
          <w:sz w:val="32"/>
          <w:szCs w:val="32"/>
        </w:rPr>
        <w:t>”</w:t>
      </w:r>
      <w:r>
        <w:rPr>
          <w:rFonts w:ascii="仿宋" w:hAnsi="仿宋" w:eastAsia="仿宋" w:cs="仿宋"/>
          <w:spacing w:val="-5"/>
          <w:sz w:val="32"/>
          <w:szCs w:val="32"/>
        </w:rPr>
        <w:t>活动，为退役军人开展</w:t>
      </w:r>
      <w:r>
        <w:rPr>
          <w:rFonts w:ascii="Times New Roman" w:hAnsi="Times New Roman" w:eastAsia="Times New Roman" w:cs="Times New Roman"/>
          <w:spacing w:val="-5"/>
          <w:sz w:val="32"/>
          <w:szCs w:val="32"/>
        </w:rPr>
        <w:t>“</w:t>
      </w:r>
      <w:r>
        <w:rPr>
          <w:rFonts w:ascii="仿宋" w:hAnsi="仿宋" w:eastAsia="仿宋" w:cs="仿宋"/>
          <w:spacing w:val="-5"/>
          <w:sz w:val="32"/>
          <w:szCs w:val="32"/>
        </w:rPr>
        <w:t>上门服务</w:t>
      </w:r>
      <w:r>
        <w:rPr>
          <w:rFonts w:ascii="Times New Roman" w:hAnsi="Times New Roman" w:eastAsia="Times New Roman" w:cs="Times New Roman"/>
          <w:spacing w:val="-5"/>
          <w:sz w:val="32"/>
          <w:szCs w:val="32"/>
        </w:rPr>
        <w:t>”</w:t>
      </w:r>
      <w:r>
        <w:rPr>
          <w:rFonts w:ascii="仿宋" w:hAnsi="仿宋" w:eastAsia="仿宋" w:cs="仿宋"/>
          <w:spacing w:val="-5"/>
          <w:sz w:val="32"/>
          <w:szCs w:val="32"/>
        </w:rPr>
        <w:t>，</w:t>
      </w:r>
      <w:r>
        <w:rPr>
          <w:rFonts w:ascii="仿宋" w:hAnsi="仿宋" w:eastAsia="仿宋" w:cs="仿宋"/>
          <w:spacing w:val="2"/>
          <w:sz w:val="32"/>
          <w:szCs w:val="32"/>
        </w:rPr>
        <w:t>目前已走访联系</w:t>
      </w:r>
      <w:r>
        <w:rPr>
          <w:rFonts w:ascii="Times New Roman" w:hAnsi="Times New Roman" w:eastAsia="Times New Roman" w:cs="Times New Roman"/>
          <w:spacing w:val="2"/>
          <w:sz w:val="32"/>
          <w:szCs w:val="32"/>
        </w:rPr>
        <w:t>8145</w:t>
      </w:r>
      <w:r>
        <w:rPr>
          <w:rFonts w:ascii="仿宋" w:hAnsi="仿宋" w:eastAsia="仿宋" w:cs="仿宋"/>
          <w:spacing w:val="2"/>
          <w:sz w:val="32"/>
          <w:szCs w:val="32"/>
        </w:rPr>
        <w:t>户，收集问题意见</w:t>
      </w:r>
      <w:r>
        <w:rPr>
          <w:rFonts w:ascii="Times New Roman" w:hAnsi="Times New Roman" w:eastAsia="Times New Roman" w:cs="Times New Roman"/>
          <w:spacing w:val="2"/>
          <w:sz w:val="32"/>
          <w:szCs w:val="32"/>
        </w:rPr>
        <w:t>5</w:t>
      </w:r>
      <w:r>
        <w:rPr>
          <w:rFonts w:ascii="仿宋" w:hAnsi="仿宋" w:eastAsia="仿宋" w:cs="仿宋"/>
          <w:spacing w:val="2"/>
          <w:sz w:val="32"/>
          <w:szCs w:val="32"/>
        </w:rPr>
        <w:t>个，办结问题</w:t>
      </w:r>
      <w:r>
        <w:rPr>
          <w:rFonts w:ascii="Times New Roman" w:hAnsi="Times New Roman" w:eastAsia="Times New Roman" w:cs="Times New Roman"/>
          <w:spacing w:val="2"/>
          <w:sz w:val="32"/>
          <w:szCs w:val="32"/>
        </w:rPr>
        <w:t>5</w:t>
      </w:r>
      <w:r>
        <w:rPr>
          <w:rFonts w:ascii="仿宋" w:hAnsi="仿宋" w:eastAsia="仿宋" w:cs="仿宋"/>
          <w:spacing w:val="-11"/>
          <w:sz w:val="32"/>
          <w:szCs w:val="32"/>
        </w:rPr>
        <w:t>个；关心关爱困难退役军人，建立困难退役军人关爱帮扶基</w:t>
      </w:r>
      <w:r>
        <w:rPr>
          <w:rFonts w:ascii="仿宋" w:hAnsi="仿宋" w:eastAsia="仿宋" w:cs="仿宋"/>
          <w:spacing w:val="-6"/>
          <w:sz w:val="32"/>
          <w:szCs w:val="32"/>
        </w:rPr>
        <w:t>金，为</w:t>
      </w:r>
      <w:r>
        <w:rPr>
          <w:rFonts w:ascii="Times New Roman" w:hAnsi="Times New Roman" w:eastAsia="Times New Roman" w:cs="Times New Roman"/>
          <w:spacing w:val="-6"/>
          <w:sz w:val="32"/>
          <w:szCs w:val="32"/>
        </w:rPr>
        <w:t>868</w:t>
      </w:r>
      <w:r>
        <w:rPr>
          <w:rFonts w:ascii="仿宋" w:hAnsi="仿宋" w:eastAsia="仿宋" w:cs="仿宋"/>
          <w:spacing w:val="-6"/>
          <w:sz w:val="32"/>
          <w:szCs w:val="32"/>
        </w:rPr>
        <w:t>人次困难退役军人发放关爱帮扶资金</w:t>
      </w:r>
      <w:r>
        <w:rPr>
          <w:rFonts w:ascii="Times New Roman" w:hAnsi="Times New Roman" w:eastAsia="Times New Roman" w:cs="Times New Roman"/>
          <w:spacing w:val="-6"/>
          <w:sz w:val="32"/>
          <w:szCs w:val="32"/>
        </w:rPr>
        <w:t>43.9</w:t>
      </w:r>
      <w:r>
        <w:rPr>
          <w:rFonts w:ascii="仿宋" w:hAnsi="仿宋" w:eastAsia="仿宋" w:cs="仿宋"/>
          <w:spacing w:val="-6"/>
          <w:sz w:val="32"/>
          <w:szCs w:val="32"/>
        </w:rPr>
        <w:t>万元；</w:t>
      </w:r>
      <w:r>
        <w:rPr>
          <w:rFonts w:ascii="仿宋" w:hAnsi="仿宋" w:eastAsia="仿宋" w:cs="仿宋"/>
          <w:spacing w:val="-2"/>
          <w:sz w:val="32"/>
          <w:szCs w:val="32"/>
        </w:rPr>
        <w:t>强化退役军人权益维护，设立退役军人法律服务站，聘请律</w:t>
      </w:r>
      <w:r>
        <w:rPr>
          <w:rFonts w:ascii="仿宋" w:hAnsi="仿宋" w:eastAsia="仿宋" w:cs="仿宋"/>
          <w:sz w:val="32"/>
          <w:szCs w:val="32"/>
        </w:rPr>
        <w:t>师面对面为退役军人提供法律服务，目前已服务</w:t>
      </w:r>
      <w:r>
        <w:rPr>
          <w:rFonts w:ascii="Times New Roman" w:hAnsi="Times New Roman" w:eastAsia="Times New Roman" w:cs="Times New Roman"/>
          <w:sz w:val="32"/>
          <w:szCs w:val="32"/>
        </w:rPr>
        <w:t>20</w:t>
      </w:r>
      <w:r>
        <w:rPr>
          <w:rFonts w:ascii="仿宋" w:hAnsi="仿宋" w:eastAsia="仿宋" w:cs="仿宋"/>
          <w:sz w:val="32"/>
          <w:szCs w:val="32"/>
        </w:rPr>
        <w:t>余名退</w:t>
      </w:r>
      <w:r>
        <w:rPr>
          <w:rFonts w:ascii="仿宋" w:hAnsi="仿宋" w:eastAsia="仿宋" w:cs="仿宋"/>
          <w:spacing w:val="-4"/>
          <w:sz w:val="32"/>
          <w:szCs w:val="32"/>
        </w:rPr>
        <w:t>役军人。</w:t>
      </w:r>
    </w:p>
    <w:p>
      <w:pPr>
        <w:pStyle w:val="4"/>
        <w:widowControl w:val="0"/>
        <w:kinsoku/>
        <w:autoSpaceDE/>
        <w:autoSpaceDN/>
        <w:adjustRightInd/>
        <w:snapToGrid/>
        <w:jc w:val="both"/>
        <w:textAlignment w:val="auto"/>
        <w:rPr>
          <w:rFonts w:hint="eastAsia" w:ascii="黑体" w:eastAsia="黑体" w:cs="Times New Roman"/>
          <w:b w:val="0"/>
          <w:snapToGrid/>
          <w:color w:val="000000"/>
          <w:kern w:val="2"/>
          <w:lang w:val="en-US" w:eastAsia="zh-CN" w:bidi="ar-SA"/>
        </w:rPr>
      </w:pPr>
      <w:bookmarkStart w:id="2" w:name="_bookmark3"/>
      <w:bookmarkEnd w:id="2"/>
      <w:r>
        <w:rPr>
          <w:rFonts w:hint="eastAsia" w:ascii="黑体" w:eastAsia="黑体" w:cs="Times New Roman"/>
          <w:b w:val="0"/>
          <w:snapToGrid/>
          <w:color w:val="000000"/>
          <w:kern w:val="2"/>
          <w:lang w:val="en-US" w:eastAsia="zh-CN" w:bidi="ar-SA"/>
        </w:rPr>
        <w:t>二、机构设置</w:t>
      </w:r>
    </w:p>
    <w:p>
      <w:pPr>
        <w:spacing w:before="104" w:line="360" w:lineRule="auto"/>
        <w:ind w:left="35" w:right="91" w:firstLine="700"/>
        <w:rPr>
          <w:rFonts w:ascii="仿宋" w:hAnsi="仿宋" w:eastAsia="仿宋" w:cs="仿宋"/>
          <w:sz w:val="32"/>
          <w:szCs w:val="32"/>
        </w:rPr>
      </w:pPr>
      <w:r>
        <w:rPr>
          <w:rFonts w:ascii="仿宋" w:hAnsi="仿宋" w:eastAsia="仿宋" w:cs="仿宋"/>
          <w:spacing w:val="-7"/>
          <w:sz w:val="32"/>
          <w:szCs w:val="32"/>
        </w:rPr>
        <w:t>自贡市自流井区退役军人事务局下属二级单位1个，其</w:t>
      </w:r>
      <w:r>
        <w:rPr>
          <w:rFonts w:ascii="仿宋" w:hAnsi="仿宋" w:eastAsia="仿宋" w:cs="仿宋"/>
          <w:spacing w:val="-5"/>
          <w:sz w:val="32"/>
          <w:szCs w:val="32"/>
        </w:rPr>
        <w:t>中行政单位0个，参照公务员法管理的事业单位0个，其他</w:t>
      </w:r>
      <w:r>
        <w:rPr>
          <w:rFonts w:ascii="仿宋" w:hAnsi="仿宋" w:eastAsia="仿宋" w:cs="仿宋"/>
          <w:spacing w:val="-12"/>
          <w:sz w:val="32"/>
          <w:szCs w:val="32"/>
        </w:rPr>
        <w:t>事业单位1个。</w:t>
      </w:r>
    </w:p>
    <w:p>
      <w:pPr>
        <w:spacing w:before="147" w:line="346" w:lineRule="auto"/>
        <w:ind w:left="35" w:right="91" w:firstLine="675"/>
        <w:rPr>
          <w:rFonts w:ascii="仿宋" w:hAnsi="仿宋" w:eastAsia="仿宋" w:cs="仿宋"/>
          <w:sz w:val="32"/>
          <w:szCs w:val="32"/>
        </w:rPr>
      </w:pPr>
      <w:r>
        <w:rPr>
          <w:rFonts w:ascii="仿宋" w:hAnsi="仿宋" w:eastAsia="仿宋" w:cs="仿宋"/>
          <w:spacing w:val="1"/>
          <w:sz w:val="32"/>
          <w:szCs w:val="32"/>
        </w:rPr>
        <w:t>纳入自贡市自流井区退役军人事务局2020年度部门决</w:t>
      </w:r>
      <w:r>
        <w:rPr>
          <w:rFonts w:ascii="仿宋" w:hAnsi="仿宋" w:eastAsia="仿宋" w:cs="仿宋"/>
          <w:spacing w:val="-2"/>
          <w:sz w:val="32"/>
          <w:szCs w:val="32"/>
        </w:rPr>
        <w:t>算编制范围的二级预算单位包括：</w:t>
      </w:r>
    </w:p>
    <w:p>
      <w:pPr>
        <w:numPr>
          <w:ilvl w:val="0"/>
          <w:numId w:val="1"/>
        </w:numPr>
        <w:spacing w:before="94" w:line="188" w:lineRule="auto"/>
        <w:outlineLvl w:val="2"/>
        <w:rPr>
          <w:rFonts w:ascii="仿宋" w:hAnsi="仿宋" w:eastAsia="仿宋" w:cs="仿宋"/>
          <w:sz w:val="32"/>
          <w:szCs w:val="32"/>
        </w:rPr>
      </w:pPr>
      <w:r>
        <w:rPr>
          <w:rFonts w:ascii="仿宋" w:hAnsi="仿宋" w:eastAsia="仿宋" w:cs="仿宋"/>
          <w:spacing w:val="-9"/>
          <w:sz w:val="32"/>
          <w:szCs w:val="32"/>
        </w:rPr>
        <w:t>自贡市自流井区退役军人服务中心（自贡市自流井区军</w:t>
      </w:r>
      <w:r>
        <w:rPr>
          <w:rFonts w:ascii="仿宋" w:hAnsi="仿宋" w:eastAsia="仿宋" w:cs="仿宋"/>
          <w:spacing w:val="-12"/>
          <w:sz w:val="32"/>
          <w:szCs w:val="32"/>
        </w:rPr>
        <w:t>队离休退休干部休养所）</w:t>
      </w:r>
    </w:p>
    <w:p>
      <w:pPr>
        <w:numPr>
          <w:ilvl w:val="0"/>
          <w:numId w:val="1"/>
        </w:numPr>
        <w:spacing w:before="94" w:line="188" w:lineRule="auto"/>
        <w:outlineLvl w:val="2"/>
        <w:rPr>
          <w:rFonts w:ascii="仿宋" w:hAnsi="仿宋" w:eastAsia="仿宋" w:cs="仿宋"/>
          <w:sz w:val="32"/>
          <w:szCs w:val="32"/>
        </w:rPr>
      </w:pPr>
      <w:r>
        <w:rPr>
          <w:rFonts w:ascii="仿宋" w:hAnsi="仿宋" w:eastAsia="仿宋" w:cs="仿宋"/>
          <w:spacing w:val="-9"/>
          <w:sz w:val="32"/>
          <w:szCs w:val="32"/>
        </w:rPr>
        <w:t>自流井</w:t>
      </w:r>
      <w:r>
        <w:rPr>
          <w:rFonts w:ascii="仿宋" w:hAnsi="仿宋" w:eastAsia="仿宋" w:cs="仿宋"/>
          <w:spacing w:val="-12"/>
          <w:sz w:val="32"/>
          <w:szCs w:val="32"/>
        </w:rPr>
        <w:t>区烈士纪念设施管理</w:t>
      </w:r>
      <w:r>
        <w:rPr>
          <w:rFonts w:ascii="仿宋" w:hAnsi="仿宋" w:eastAsia="仿宋" w:cs="仿宋"/>
          <w:spacing w:val="-21"/>
          <w:sz w:val="32"/>
          <w:szCs w:val="32"/>
        </w:rPr>
        <w:t>中心。</w:t>
      </w:r>
    </w:p>
    <w:p>
      <w:pPr>
        <w:sectPr>
          <w:footerReference r:id="rId9" w:type="default"/>
          <w:pgSz w:w="11906" w:h="16839"/>
          <w:pgMar w:top="1431" w:right="1710" w:bottom="1152" w:left="1785" w:header="0" w:footer="1033" w:gutter="0"/>
          <w:pgNumType w:fmt="decimal"/>
          <w:cols w:space="720" w:num="1"/>
        </w:sectPr>
      </w:pPr>
    </w:p>
    <w:p>
      <w:pPr>
        <w:pStyle w:val="3"/>
        <w:widowControl w:val="0"/>
        <w:kinsoku/>
        <w:autoSpaceDE/>
        <w:autoSpaceDN/>
        <w:adjustRightInd/>
        <w:snapToGrid/>
        <w:ind w:right="440"/>
        <w:jc w:val="right"/>
        <w:textAlignment w:val="auto"/>
        <w:rPr>
          <w:rFonts w:hint="eastAsia" w:ascii="黑体" w:hAnsi="黑体" w:eastAsia="黑体" w:cs="Times New Roman"/>
          <w:b w:val="0"/>
          <w:snapToGrid/>
          <w:color w:val="000000"/>
          <w:lang w:val="en-US" w:eastAsia="zh-CN" w:bidi="ar-SA"/>
        </w:rPr>
      </w:pPr>
      <w:bookmarkStart w:id="3" w:name="_bookmark4"/>
      <w:bookmarkEnd w:id="3"/>
      <w:r>
        <w:rPr>
          <w:rFonts w:hint="eastAsia" w:ascii="黑体" w:hAnsi="黑体" w:eastAsia="黑体" w:cs="Times New Roman"/>
          <w:b w:val="0"/>
          <w:snapToGrid/>
          <w:color w:val="000000"/>
          <w:lang w:val="en-US" w:eastAsia="zh-CN" w:bidi="ar-SA"/>
        </w:rPr>
        <w:t>第二部分2020年度部门决算情况说明</w:t>
      </w:r>
    </w:p>
    <w:p>
      <w:pPr>
        <w:spacing w:before="104" w:line="187" w:lineRule="auto"/>
        <w:ind w:firstLine="672"/>
        <w:outlineLvl w:val="1"/>
        <w:rPr>
          <w:rFonts w:ascii="黑体" w:hAnsi="黑体" w:eastAsia="黑体" w:cs="黑体"/>
          <w:sz w:val="32"/>
          <w:szCs w:val="32"/>
        </w:rPr>
      </w:pPr>
      <w:bookmarkStart w:id="4" w:name="_bookmark5"/>
      <w:bookmarkEnd w:id="4"/>
      <w:r>
        <w:rPr>
          <w:rFonts w:ascii="黑体" w:hAnsi="黑体" w:eastAsia="黑体" w:cs="黑体"/>
          <w:spacing w:val="-3"/>
          <w:sz w:val="32"/>
          <w:szCs w:val="32"/>
        </w:rPr>
        <w:t>一、收入支出决算总体情况说明</w:t>
      </w:r>
    </w:p>
    <w:p>
      <w:pPr>
        <w:widowControl w:val="0"/>
        <w:kinsoku/>
        <w:autoSpaceDE/>
        <w:autoSpaceDN/>
        <w:adjustRightInd/>
        <w:snapToGrid/>
        <w:spacing w:line="600" w:lineRule="exact"/>
        <w:ind w:firstLine="640" w:firstLineChars="20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2020年度收、支总计3512.77万元。与2019年相比，收、支总计各增加1376.51万元，增长64.44%。主要变动原因是2019年单位新成立时数据为8-12月数据，2020年为全年数据。</w:t>
      </w:r>
    </w:p>
    <w:p>
      <w:pPr>
        <w:spacing w:before="262" w:line="4680" w:lineRule="exact"/>
        <w:ind w:firstLine="878"/>
        <w:textAlignment w:val="center"/>
      </w:pPr>
      <w:r>
        <w:drawing>
          <wp:inline distT="0" distB="0" distL="0" distR="0">
            <wp:extent cx="4581525" cy="297180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21"/>
                    <a:stretch>
                      <a:fillRect/>
                    </a:stretch>
                  </pic:blipFill>
                  <pic:spPr>
                    <a:xfrm>
                      <a:off x="0" y="0"/>
                      <a:ext cx="4581525" cy="2971800"/>
                    </a:xfrm>
                    <a:prstGeom prst="rect">
                      <a:avLst/>
                    </a:prstGeom>
                  </pic:spPr>
                </pic:pic>
              </a:graphicData>
            </a:graphic>
          </wp:inline>
        </w:drawing>
      </w:r>
    </w:p>
    <w:p>
      <w:pPr>
        <w:spacing w:before="131" w:line="188" w:lineRule="auto"/>
        <w:ind w:firstLine="994"/>
        <w:rPr>
          <w:rFonts w:ascii="仿宋" w:hAnsi="仿宋" w:eastAsia="仿宋" w:cs="仿宋"/>
          <w:sz w:val="32"/>
          <w:szCs w:val="32"/>
        </w:rPr>
      </w:pPr>
      <w:r>
        <w:rPr>
          <w:rFonts w:ascii="仿宋" w:hAnsi="仿宋" w:eastAsia="仿宋" w:cs="仿宋"/>
          <w:spacing w:val="-12"/>
          <w:sz w:val="32"/>
          <w:szCs w:val="32"/>
        </w:rPr>
        <w:t>（图1：收、支决算总计变动情况图</w:t>
      </w:r>
      <w:r>
        <w:rPr>
          <w:rFonts w:ascii="仿宋" w:hAnsi="仿宋" w:eastAsia="仿宋" w:cs="仿宋"/>
          <w:spacing w:val="-107"/>
          <w:sz w:val="32"/>
          <w:szCs w:val="32"/>
        </w:rPr>
        <w:t>）（</w:t>
      </w:r>
      <w:r>
        <w:rPr>
          <w:rFonts w:ascii="仿宋" w:hAnsi="仿宋" w:eastAsia="仿宋" w:cs="仿宋"/>
          <w:spacing w:val="-12"/>
          <w:sz w:val="32"/>
          <w:szCs w:val="32"/>
        </w:rPr>
        <w:t>柱状图）</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p>
    <w:p>
      <w:pPr>
        <w:spacing w:before="104" w:line="187" w:lineRule="auto"/>
        <w:ind w:firstLine="672"/>
        <w:outlineLvl w:val="1"/>
        <w:rPr>
          <w:rFonts w:ascii="黑体" w:hAnsi="黑体" w:eastAsia="黑体" w:cs="黑体"/>
          <w:sz w:val="32"/>
          <w:szCs w:val="32"/>
        </w:rPr>
      </w:pPr>
      <w:bookmarkStart w:id="5" w:name="_bookmark6"/>
      <w:bookmarkEnd w:id="5"/>
      <w:r>
        <w:rPr>
          <w:rFonts w:ascii="黑体" w:hAnsi="黑体" w:eastAsia="黑体" w:cs="黑体"/>
          <w:spacing w:val="-4"/>
          <w:sz w:val="32"/>
          <w:szCs w:val="32"/>
        </w:rPr>
        <w:t>二、收入决算情况说明</w:t>
      </w:r>
    </w:p>
    <w:p>
      <w:pPr>
        <w:widowControl w:val="0"/>
        <w:kinsoku/>
        <w:autoSpaceDE/>
        <w:autoSpaceDN/>
        <w:adjustRightInd/>
        <w:snapToGrid/>
        <w:spacing w:line="600" w:lineRule="exact"/>
        <w:ind w:firstLine="640" w:firstLineChars="200"/>
        <w:jc w:val="both"/>
        <w:textAlignment w:val="auto"/>
        <w:outlineLvl w:val="9"/>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本年收入合计3057.44万元，其中：一般公共预算财政拨款收入3057.04万元，占99.99%；政府性基金预算财政拨款收入0万元；上级补助收入0万元；事业收入0万元；经营收入0万元；附属单位上缴收入0万元；其他收入0.4万元，占0.01%。</w:t>
      </w:r>
    </w:p>
    <w:p>
      <w:pPr>
        <w:spacing w:line="321" w:lineRule="auto"/>
        <w:rPr>
          <w:rFonts w:ascii="Microsoft JhengHei"/>
          <w:sz w:val="21"/>
        </w:rPr>
      </w:pPr>
    </w:p>
    <w:p>
      <w:pPr>
        <w:spacing w:line="4395" w:lineRule="exact"/>
        <w:ind w:firstLine="638"/>
        <w:textAlignment w:val="center"/>
      </w:pPr>
      <w:r>
        <w:drawing>
          <wp:inline distT="0" distB="0" distL="0" distR="0">
            <wp:extent cx="4619625" cy="27908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2"/>
                    <a:stretch>
                      <a:fillRect/>
                    </a:stretch>
                  </pic:blipFill>
                  <pic:spPr>
                    <a:xfrm>
                      <a:off x="0" y="0"/>
                      <a:ext cx="4619625" cy="2790825"/>
                    </a:xfrm>
                    <a:prstGeom prst="rect">
                      <a:avLst/>
                    </a:prstGeom>
                  </pic:spPr>
                </pic:pic>
              </a:graphicData>
            </a:graphic>
          </wp:inline>
        </w:drawing>
      </w:r>
    </w:p>
    <w:p>
      <w:pPr>
        <w:spacing w:before="192" w:line="188" w:lineRule="auto"/>
        <w:ind w:firstLine="1635"/>
        <w:rPr>
          <w:rFonts w:ascii="仿宋" w:hAnsi="仿宋" w:eastAsia="仿宋" w:cs="仿宋"/>
          <w:sz w:val="32"/>
          <w:szCs w:val="32"/>
        </w:rPr>
      </w:pPr>
      <w:r>
        <w:rPr>
          <w:rFonts w:ascii="仿宋" w:hAnsi="仿宋" w:eastAsia="仿宋" w:cs="仿宋"/>
          <w:spacing w:val="-16"/>
          <w:sz w:val="32"/>
          <w:szCs w:val="32"/>
        </w:rPr>
        <w:t>（图2：收入决算结构图</w:t>
      </w:r>
      <w:r>
        <w:rPr>
          <w:rFonts w:ascii="仿宋" w:hAnsi="仿宋" w:eastAsia="仿宋" w:cs="仿宋"/>
          <w:spacing w:val="-107"/>
          <w:sz w:val="32"/>
          <w:szCs w:val="32"/>
        </w:rPr>
        <w:t>）（</w:t>
      </w:r>
      <w:r>
        <w:rPr>
          <w:rFonts w:ascii="仿宋" w:hAnsi="仿宋" w:eastAsia="仿宋" w:cs="仿宋"/>
          <w:spacing w:val="-16"/>
          <w:sz w:val="32"/>
          <w:szCs w:val="32"/>
        </w:rPr>
        <w:t>饼状图）</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p>
    <w:p>
      <w:pPr>
        <w:spacing w:before="104" w:line="187" w:lineRule="auto"/>
        <w:ind w:firstLine="673"/>
        <w:outlineLvl w:val="1"/>
        <w:rPr>
          <w:rFonts w:ascii="黑体" w:hAnsi="黑体" w:eastAsia="黑体" w:cs="黑体"/>
          <w:sz w:val="32"/>
          <w:szCs w:val="32"/>
        </w:rPr>
      </w:pPr>
      <w:bookmarkStart w:id="6" w:name="_bookmark7"/>
      <w:bookmarkEnd w:id="6"/>
      <w:r>
        <w:rPr>
          <w:rFonts w:ascii="黑体" w:hAnsi="黑体" w:eastAsia="黑体" w:cs="黑体"/>
          <w:spacing w:val="-5"/>
          <w:sz w:val="32"/>
          <w:szCs w:val="32"/>
        </w:rPr>
        <w:t>三、支出决算情况说明</w:t>
      </w:r>
    </w:p>
    <w:p>
      <w:pPr>
        <w:widowControl w:val="0"/>
        <w:kinsoku/>
        <w:autoSpaceDE/>
        <w:autoSpaceDN/>
        <w:adjustRightInd/>
        <w:snapToGrid/>
        <w:spacing w:line="600" w:lineRule="exact"/>
        <w:ind w:firstLine="640" w:firstLineChars="200"/>
        <w:jc w:val="both"/>
        <w:textAlignment w:val="auto"/>
        <w:outlineLvl w:val="9"/>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2020年本年支出合计3061.37万元，其中：基本支出3061.37万元，占100%；项目支出0万元；上缴上级支出0万元；经营支出0万元；对附属单位补助支出0万元。</w:t>
      </w:r>
    </w:p>
    <w:p>
      <w:pPr>
        <w:spacing w:before="111" w:line="4379" w:lineRule="exact"/>
        <w:ind w:firstLine="683"/>
        <w:textAlignment w:val="center"/>
      </w:pPr>
      <w:r>
        <w:drawing>
          <wp:inline distT="0" distB="0" distL="0" distR="0">
            <wp:extent cx="4619625" cy="2960370"/>
            <wp:effectExtent l="0" t="0" r="9525" b="1143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23"/>
                    <a:stretch>
                      <a:fillRect/>
                    </a:stretch>
                  </pic:blipFill>
                  <pic:spPr>
                    <a:xfrm>
                      <a:off x="0" y="0"/>
                      <a:ext cx="4619625" cy="2960370"/>
                    </a:xfrm>
                    <a:prstGeom prst="rect">
                      <a:avLst/>
                    </a:prstGeom>
                  </pic:spPr>
                </pic:pic>
              </a:graphicData>
            </a:graphic>
          </wp:inline>
        </w:drawing>
      </w:r>
    </w:p>
    <w:p>
      <w:pPr>
        <w:spacing w:before="1" w:line="204" w:lineRule="auto"/>
        <w:ind w:firstLine="1635"/>
        <w:rPr>
          <w:rFonts w:ascii="仿宋" w:hAnsi="仿宋" w:eastAsia="仿宋" w:cs="仿宋"/>
          <w:sz w:val="30"/>
          <w:szCs w:val="30"/>
        </w:rPr>
      </w:pPr>
      <w:r>
        <w:rPr>
          <w:rFonts w:ascii="仿宋" w:hAnsi="仿宋" w:eastAsia="仿宋" w:cs="仿宋"/>
          <w:spacing w:val="2"/>
          <w:sz w:val="30"/>
          <w:szCs w:val="30"/>
        </w:rPr>
        <w:t>（图3：支出决算结构图</w:t>
      </w:r>
      <w:r>
        <w:rPr>
          <w:rFonts w:ascii="仿宋" w:hAnsi="仿宋" w:eastAsia="仿宋" w:cs="仿宋"/>
          <w:spacing w:val="-83"/>
          <w:sz w:val="30"/>
          <w:szCs w:val="30"/>
        </w:rPr>
        <w:t>）（</w:t>
      </w:r>
      <w:r>
        <w:rPr>
          <w:rFonts w:ascii="仿宋" w:hAnsi="仿宋" w:eastAsia="仿宋" w:cs="仿宋"/>
          <w:spacing w:val="2"/>
          <w:sz w:val="30"/>
          <w:szCs w:val="30"/>
        </w:rPr>
        <w:t>饼状图）</w:t>
      </w:r>
    </w:p>
    <w:p>
      <w:pPr>
        <w:sectPr>
          <w:footerReference r:id="rId10" w:type="default"/>
          <w:pgSz w:w="11906" w:h="16839"/>
          <w:pgMar w:top="1431" w:right="1785" w:bottom="1152" w:left="1785" w:header="0" w:footer="1033" w:gutter="0"/>
          <w:pgNumType w:fmt="decimal"/>
          <w:cols w:space="720" w:num="1"/>
        </w:sectPr>
      </w:pPr>
    </w:p>
    <w:p>
      <w:pPr>
        <w:spacing w:before="215" w:line="187" w:lineRule="auto"/>
        <w:ind w:firstLine="686"/>
        <w:outlineLvl w:val="1"/>
        <w:rPr>
          <w:rFonts w:ascii="黑体" w:hAnsi="黑体" w:eastAsia="黑体" w:cs="黑体"/>
          <w:sz w:val="32"/>
          <w:szCs w:val="32"/>
        </w:rPr>
      </w:pPr>
      <w:bookmarkStart w:id="7" w:name="_bookmark8"/>
      <w:bookmarkEnd w:id="7"/>
      <w:r>
        <w:rPr>
          <w:rFonts w:ascii="黑体" w:hAnsi="黑体" w:eastAsia="黑体" w:cs="黑体"/>
          <w:spacing w:val="-2"/>
          <w:sz w:val="32"/>
          <w:szCs w:val="32"/>
        </w:rPr>
        <w:t>四、财政拨款收入支出决算总体情况说明</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2020年财政拨款收、支总计3512.37万元。与2019年相比，财政拨款收、支总计各增加1443.88万元，增长69.8%。主要变动原因是2019年单位新成立时数据为8-12月数据，2020年为全年数据。</w:t>
      </w:r>
    </w:p>
    <w:p>
      <w:pPr>
        <w:spacing w:before="17" w:line="4395" w:lineRule="exact"/>
        <w:ind w:firstLine="788"/>
        <w:textAlignment w:val="center"/>
      </w:pPr>
      <w:r>
        <w:drawing>
          <wp:inline distT="0" distB="0" distL="0" distR="0">
            <wp:extent cx="4619625" cy="27908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4"/>
                    <a:stretch>
                      <a:fillRect/>
                    </a:stretch>
                  </pic:blipFill>
                  <pic:spPr>
                    <a:xfrm>
                      <a:off x="0" y="0"/>
                      <a:ext cx="4619625" cy="2790825"/>
                    </a:xfrm>
                    <a:prstGeom prst="rect">
                      <a:avLst/>
                    </a:prstGeom>
                  </pic:spPr>
                </pic:pic>
              </a:graphicData>
            </a:graphic>
          </wp:inline>
        </w:drawing>
      </w:r>
    </w:p>
    <w:p>
      <w:pPr>
        <w:spacing w:before="387" w:line="188" w:lineRule="auto"/>
        <w:ind w:firstLine="675"/>
        <w:rPr>
          <w:rFonts w:ascii="仿宋" w:hAnsi="仿宋" w:eastAsia="仿宋" w:cs="仿宋"/>
          <w:sz w:val="32"/>
          <w:szCs w:val="32"/>
        </w:rPr>
      </w:pPr>
      <w:r>
        <w:rPr>
          <w:rFonts w:ascii="仿宋" w:hAnsi="仿宋" w:eastAsia="仿宋" w:cs="仿宋"/>
          <w:spacing w:val="-10"/>
          <w:sz w:val="32"/>
          <w:szCs w:val="32"/>
        </w:rPr>
        <w:t>（图4：财政拨款收、支决算总计变动情况</w:t>
      </w:r>
      <w:r>
        <w:rPr>
          <w:rFonts w:ascii="仿宋" w:hAnsi="仿宋" w:eastAsia="仿宋" w:cs="仿宋"/>
          <w:spacing w:val="-106"/>
          <w:sz w:val="32"/>
          <w:szCs w:val="32"/>
        </w:rPr>
        <w:t>）（</w:t>
      </w:r>
      <w:r>
        <w:rPr>
          <w:rFonts w:ascii="仿宋" w:hAnsi="仿宋" w:eastAsia="仿宋" w:cs="仿宋"/>
          <w:spacing w:val="-10"/>
          <w:sz w:val="32"/>
          <w:szCs w:val="32"/>
        </w:rPr>
        <w:t>柱状图）</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p>
    <w:p>
      <w:pPr>
        <w:spacing w:before="104" w:line="187" w:lineRule="auto"/>
        <w:ind w:firstLine="675"/>
        <w:outlineLvl w:val="1"/>
        <w:rPr>
          <w:rFonts w:ascii="黑体" w:hAnsi="黑体" w:eastAsia="黑体" w:cs="黑体"/>
          <w:sz w:val="32"/>
          <w:szCs w:val="32"/>
        </w:rPr>
      </w:pPr>
      <w:r>
        <w:rPr>
          <w:rFonts w:ascii="黑体" w:hAnsi="黑体" w:eastAsia="黑体" w:cs="黑体"/>
          <w:spacing w:val="-2"/>
          <w:sz w:val="32"/>
          <w:szCs w:val="32"/>
        </w:rPr>
        <w:t>五、</w:t>
      </w:r>
      <w:r>
        <w:rPr>
          <w:rFonts w:ascii="黑体" w:hAnsi="黑体" w:eastAsia="黑体" w:cs="黑体"/>
          <w:spacing w:val="-2"/>
          <w:sz w:val="32"/>
          <w:szCs w:val="32"/>
          <w14:textOutline w14:w="5793" w14:cap="sq" w14:cmpd="sng">
            <w14:solidFill>
              <w14:srgbClr w14:val="000000"/>
            </w14:solidFill>
            <w14:prstDash w14:val="solid"/>
            <w14:bevel/>
          </w14:textOutline>
        </w:rPr>
        <w:t>一</w:t>
      </w:r>
      <w:r>
        <w:rPr>
          <w:rFonts w:ascii="黑体" w:hAnsi="黑体" w:eastAsia="黑体" w:cs="黑体"/>
          <w:spacing w:val="-2"/>
          <w:sz w:val="32"/>
          <w:szCs w:val="32"/>
        </w:rPr>
        <w:t>般公共预算财政拨款支出决算情况说明</w:t>
      </w:r>
    </w:p>
    <w:p>
      <w:pPr>
        <w:spacing w:before="277" w:line="188" w:lineRule="auto"/>
        <w:ind w:firstLine="675"/>
        <w:outlineLvl w:val="2"/>
        <w:rPr>
          <w:rFonts w:ascii="仿宋" w:hAnsi="仿宋" w:eastAsia="仿宋" w:cs="仿宋"/>
          <w:sz w:val="32"/>
          <w:szCs w:val="32"/>
        </w:rPr>
      </w:pPr>
      <w:bookmarkStart w:id="8" w:name="_bookmark9"/>
      <w:bookmarkEnd w:id="8"/>
      <w:r>
        <w:rPr>
          <w:rFonts w:ascii="仿宋" w:hAnsi="仿宋" w:eastAsia="仿宋" w:cs="仿宋"/>
          <w:sz w:val="32"/>
          <w:szCs w:val="32"/>
          <w14:textOutline w14:w="5793" w14:cap="sq" w14:cmpd="sng">
            <w14:solidFill>
              <w14:srgbClr w14:val="000000"/>
            </w14:solidFill>
            <w14:prstDash w14:val="solid"/>
            <w14:bevel/>
          </w14:textOutline>
        </w:rPr>
        <w:t>（一）一般公共预算财政拨款支出决算总体情况</w:t>
      </w:r>
    </w:p>
    <w:p>
      <w:pPr>
        <w:widowControl w:val="0"/>
        <w:kinsoku/>
        <w:autoSpaceDE/>
        <w:autoSpaceDN/>
        <w:adjustRightInd/>
        <w:snapToGrid/>
        <w:spacing w:line="600" w:lineRule="exact"/>
        <w:ind w:firstLine="640" w:firstLineChars="20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pict>
          <v:shape id="_x0000_s1026" o:spid="_x0000_s1026" o:spt="202" type="#_x0000_t202" style="position:absolute;left:0pt;margin-left:97.85pt;margin-top:808.05pt;height:18.7pt;width:410.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jc w:val="center"/>
                    <w:rPr>
                      <w:rFonts w:hint="eastAsia" w:eastAsia="宋体"/>
                      <w:lang w:val="en-US" w:eastAsia="zh-CN"/>
                    </w:rPr>
                  </w:pPr>
                  <w:r>
                    <w:rPr>
                      <w:rFonts w:hint="eastAsia" w:eastAsia="宋体" w:asciiTheme="minorAscii"/>
                      <w:sz w:val="20"/>
                      <w:szCs w:val="20"/>
                      <w:lang w:val="en-US" w:eastAsia="zh-CN"/>
                    </w:rPr>
                    <w:t>9</w:t>
                  </w:r>
                </w:p>
              </w:txbxContent>
            </v:textbox>
          </v:shape>
        </w:pict>
      </w:r>
      <w:r>
        <w:rPr>
          <w:rFonts w:ascii="仿宋" w:hAnsi="仿宋" w:eastAsia="仿宋" w:cs="Times New Roman"/>
          <w:snapToGrid/>
          <w:color w:val="000000"/>
          <w:kern w:val="2"/>
          <w:sz w:val="32"/>
          <w:szCs w:val="32"/>
          <w:lang w:val="en-US" w:eastAsia="zh-CN" w:bidi="ar-SA"/>
        </w:rPr>
        <w:t>2020年一般公共预算财政拨款支出3060.97万元，占本年支出合计的99.99%。与2019年相比，一般公共预算财政拨款增加1433.83万元，增长88.12%。主要变动原因是2019年</w:t>
      </w:r>
      <w:r>
        <w:rPr>
          <w:rFonts w:hint="eastAsia" w:ascii="仿宋" w:hAnsi="仿宋" w:eastAsia="仿宋" w:cs="Times New Roman"/>
          <w:snapToGrid/>
          <w:color w:val="000000"/>
          <w:kern w:val="2"/>
          <w:sz w:val="32"/>
          <w:szCs w:val="32"/>
          <w:lang w:val="en-US" w:eastAsia="zh-CN" w:bidi="ar-SA"/>
        </w:rPr>
        <w:t>部门</w:t>
      </w:r>
      <w:r>
        <w:rPr>
          <w:rFonts w:ascii="仿宋" w:hAnsi="仿宋" w:eastAsia="仿宋" w:cs="Times New Roman"/>
          <w:snapToGrid/>
          <w:color w:val="000000"/>
          <w:kern w:val="2"/>
          <w:sz w:val="32"/>
          <w:szCs w:val="32"/>
          <w:lang w:val="en-US" w:eastAsia="zh-CN" w:bidi="ar-SA"/>
        </w:rPr>
        <w:t>新成立时数据为8-12月数据，2020年为全年数据。</w:t>
      </w:r>
    </w:p>
    <w:p>
      <w:pPr>
        <w:spacing w:before="277" w:line="346" w:lineRule="auto"/>
        <w:ind w:left="29" w:firstLine="640"/>
        <w:rPr>
          <w:rFonts w:ascii="仿宋" w:hAnsi="仿宋" w:eastAsia="仿宋" w:cs="仿宋"/>
          <w:spacing w:val="-3"/>
          <w:sz w:val="32"/>
          <w:szCs w:val="32"/>
        </w:rPr>
        <w:sectPr>
          <w:footerReference r:id="rId11" w:type="default"/>
          <w:pgSz w:w="11906" w:h="16839"/>
          <w:pgMar w:top="1431" w:right="1680" w:bottom="400" w:left="1785" w:header="0" w:footer="0" w:gutter="0"/>
          <w:pgNumType w:fmt="decimal"/>
          <w:cols w:space="720" w:num="1"/>
        </w:sectPr>
      </w:pPr>
    </w:p>
    <w:p>
      <w:pPr>
        <w:spacing w:line="257" w:lineRule="auto"/>
        <w:rPr>
          <w:rFonts w:ascii="Microsoft JhengHei"/>
          <w:sz w:val="21"/>
        </w:rPr>
      </w:pPr>
      <w:r>
        <w:drawing>
          <wp:anchor distT="0" distB="0" distL="0" distR="0" simplePos="0" relativeHeight="251659264" behindDoc="0" locked="0" layoutInCell="1" allowOverlap="1">
            <wp:simplePos x="0" y="0"/>
            <wp:positionH relativeFrom="column">
              <wp:posOffset>281305</wp:posOffset>
            </wp:positionH>
            <wp:positionV relativeFrom="paragraph">
              <wp:posOffset>-17780</wp:posOffset>
            </wp:positionV>
            <wp:extent cx="4619625" cy="1878965"/>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25"/>
                    <a:stretch>
                      <a:fillRect/>
                    </a:stretch>
                  </pic:blipFill>
                  <pic:spPr>
                    <a:xfrm>
                      <a:off x="0" y="0"/>
                      <a:ext cx="4619625" cy="1879028"/>
                    </a:xfrm>
                    <a:prstGeom prst="rect">
                      <a:avLst/>
                    </a:prstGeom>
                  </pic:spPr>
                </pic:pic>
              </a:graphicData>
            </a:graphic>
          </wp:anchor>
        </w:drawing>
      </w: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8" w:lineRule="auto"/>
        <w:rPr>
          <w:rFonts w:ascii="Microsoft JhengHei"/>
          <w:sz w:val="21"/>
        </w:rPr>
      </w:pPr>
    </w:p>
    <w:p>
      <w:pPr>
        <w:spacing w:before="104" w:line="188" w:lineRule="auto"/>
        <w:ind w:firstLine="34"/>
        <w:rPr>
          <w:rFonts w:ascii="仿宋" w:hAnsi="仿宋" w:eastAsia="仿宋" w:cs="仿宋"/>
          <w:sz w:val="32"/>
          <w:szCs w:val="32"/>
        </w:rPr>
      </w:pPr>
      <w:r>
        <w:rPr>
          <w:rFonts w:ascii="仿宋" w:hAnsi="仿宋" w:eastAsia="仿宋" w:cs="仿宋"/>
          <w:spacing w:val="-10"/>
          <w:sz w:val="32"/>
          <w:szCs w:val="32"/>
        </w:rPr>
        <w:t>（图5：一般公共预算财政拨款支出决算变动情况</w:t>
      </w:r>
      <w:r>
        <w:rPr>
          <w:rFonts w:ascii="仿宋" w:hAnsi="仿宋" w:eastAsia="仿宋" w:cs="仿宋"/>
          <w:spacing w:val="-128"/>
          <w:w w:val="88"/>
          <w:sz w:val="32"/>
          <w:szCs w:val="32"/>
        </w:rPr>
        <w:t>）（</w:t>
      </w:r>
      <w:r>
        <w:rPr>
          <w:rFonts w:ascii="仿宋" w:hAnsi="仿宋" w:eastAsia="仿宋" w:cs="仿宋"/>
          <w:spacing w:val="-10"/>
          <w:sz w:val="32"/>
          <w:szCs w:val="32"/>
        </w:rPr>
        <w:t>柱状图）</w:t>
      </w:r>
    </w:p>
    <w:p>
      <w:pPr>
        <w:spacing w:before="274" w:line="188" w:lineRule="auto"/>
        <w:ind w:firstLine="353"/>
        <w:outlineLvl w:val="2"/>
        <w:rPr>
          <w:rFonts w:ascii="仿宋" w:hAnsi="仿宋" w:eastAsia="仿宋" w:cs="仿宋"/>
          <w:sz w:val="32"/>
          <w:szCs w:val="32"/>
        </w:rPr>
      </w:pPr>
      <w:r>
        <w:rPr>
          <w:rFonts w:ascii="仿宋" w:hAnsi="仿宋" w:eastAsia="仿宋" w:cs="仿宋"/>
          <w:spacing w:val="-9"/>
          <w:sz w:val="32"/>
          <w:szCs w:val="32"/>
          <w14:textOutline w14:w="5793" w14:cap="sq" w14:cmpd="sng">
            <w14:solidFill>
              <w14:srgbClr w14:val="000000"/>
            </w14:solidFill>
            <w14:prstDash w14:val="solid"/>
            <w14:bevel/>
          </w14:textOutline>
        </w:rPr>
        <w:t>（二）一般公共预算财政拨款支出决算结构情况</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2020年一般公共预算财政拨款支出3060.97万元，主要用于以下方面:</w:t>
      </w:r>
      <w:r>
        <w:rPr>
          <w:rFonts w:ascii="仿宋" w:hAnsi="仿宋" w:eastAsia="仿宋" w:cs="Times New Roman"/>
          <w:b/>
          <w:bCs/>
          <w:snapToGrid/>
          <w:color w:val="000000"/>
          <w:kern w:val="2"/>
          <w:sz w:val="32"/>
          <w:szCs w:val="32"/>
          <w:lang w:val="en-US" w:eastAsia="zh-CN" w:bidi="ar-SA"/>
        </w:rPr>
        <w:t>一般公共服务（类）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教育支出（类）0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科学技术（类）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文化旅游体育与传媒（类）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社会保障和就业（类）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3013.28</w:t>
      </w:r>
      <w:r>
        <w:rPr>
          <w:rFonts w:ascii="仿宋" w:hAnsi="仿宋" w:eastAsia="仿宋" w:cs="Times New Roman"/>
          <w:snapToGrid/>
          <w:color w:val="000000"/>
          <w:kern w:val="2"/>
          <w:sz w:val="32"/>
          <w:szCs w:val="32"/>
          <w:lang w:val="en-US" w:eastAsia="zh-CN" w:bidi="ar-SA"/>
        </w:rPr>
        <w:t>万元，占</w:t>
      </w:r>
      <w:r>
        <w:rPr>
          <w:rFonts w:ascii="仿宋" w:hAnsi="仿宋" w:eastAsia="仿宋" w:cs="Times New Roman"/>
          <w:b/>
          <w:bCs/>
          <w:snapToGrid/>
          <w:color w:val="000000"/>
          <w:kern w:val="2"/>
          <w:sz w:val="32"/>
          <w:szCs w:val="32"/>
          <w:lang w:val="en-US" w:eastAsia="zh-CN" w:bidi="ar-SA"/>
        </w:rPr>
        <w:t>98.44</w:t>
      </w:r>
      <w:r>
        <w:rPr>
          <w:rFonts w:ascii="仿宋" w:hAnsi="仿宋" w:eastAsia="仿宋" w:cs="Times New Roman"/>
          <w:snapToGrid/>
          <w:color w:val="000000"/>
          <w:kern w:val="2"/>
          <w:sz w:val="32"/>
          <w:szCs w:val="32"/>
          <w:lang w:val="en-US" w:eastAsia="zh-CN" w:bidi="ar-SA"/>
        </w:rPr>
        <w:t>%；</w:t>
      </w:r>
      <w:r>
        <w:rPr>
          <w:rFonts w:ascii="仿宋" w:hAnsi="仿宋" w:eastAsia="仿宋" w:cs="Times New Roman"/>
          <w:b/>
          <w:bCs/>
          <w:snapToGrid/>
          <w:color w:val="000000"/>
          <w:kern w:val="2"/>
          <w:sz w:val="32"/>
          <w:szCs w:val="32"/>
          <w:lang w:val="en-US" w:eastAsia="zh-CN" w:bidi="ar-SA"/>
        </w:rPr>
        <w:t>卫生健康支出40.2</w:t>
      </w:r>
      <w:r>
        <w:rPr>
          <w:rFonts w:ascii="仿宋" w:hAnsi="仿宋" w:eastAsia="仿宋" w:cs="Times New Roman"/>
          <w:snapToGrid/>
          <w:color w:val="000000"/>
          <w:kern w:val="2"/>
          <w:sz w:val="32"/>
          <w:szCs w:val="32"/>
          <w:lang w:val="en-US" w:eastAsia="zh-CN" w:bidi="ar-SA"/>
        </w:rPr>
        <w:t>万元，占</w:t>
      </w:r>
      <w:r>
        <w:rPr>
          <w:rFonts w:ascii="仿宋" w:hAnsi="仿宋" w:eastAsia="仿宋" w:cs="Times New Roman"/>
          <w:b/>
          <w:bCs/>
          <w:snapToGrid/>
          <w:color w:val="000000"/>
          <w:kern w:val="2"/>
          <w:sz w:val="32"/>
          <w:szCs w:val="32"/>
          <w:lang w:val="en-US" w:eastAsia="zh-CN" w:bidi="ar-SA"/>
        </w:rPr>
        <w:t>1.31</w:t>
      </w:r>
      <w:r>
        <w:rPr>
          <w:rFonts w:ascii="仿宋" w:hAnsi="仿宋" w:eastAsia="仿宋" w:cs="Times New Roman"/>
          <w:snapToGrid/>
          <w:color w:val="000000"/>
          <w:kern w:val="2"/>
          <w:sz w:val="32"/>
          <w:szCs w:val="32"/>
          <w:lang w:val="en-US" w:eastAsia="zh-CN" w:bidi="ar-SA"/>
        </w:rPr>
        <w:t>%；住房保障支出</w:t>
      </w:r>
      <w:r>
        <w:rPr>
          <w:rFonts w:ascii="仿宋" w:hAnsi="仿宋" w:eastAsia="仿宋" w:cs="Times New Roman"/>
          <w:b/>
          <w:bCs/>
          <w:snapToGrid/>
          <w:color w:val="000000"/>
          <w:kern w:val="2"/>
          <w:sz w:val="32"/>
          <w:szCs w:val="32"/>
          <w:lang w:val="en-US" w:eastAsia="zh-CN" w:bidi="ar-SA"/>
        </w:rPr>
        <w:t>7.49</w:t>
      </w:r>
      <w:r>
        <w:rPr>
          <w:rFonts w:ascii="仿宋" w:hAnsi="仿宋" w:eastAsia="仿宋" w:cs="Times New Roman"/>
          <w:snapToGrid/>
          <w:color w:val="000000"/>
          <w:kern w:val="2"/>
          <w:sz w:val="32"/>
          <w:szCs w:val="32"/>
          <w:lang w:val="en-US" w:eastAsia="zh-CN" w:bidi="ar-SA"/>
        </w:rPr>
        <w:t>万元，占</w:t>
      </w:r>
      <w:r>
        <w:rPr>
          <w:rFonts w:ascii="仿宋" w:hAnsi="仿宋" w:eastAsia="仿宋" w:cs="Times New Roman"/>
          <w:b/>
          <w:bCs/>
          <w:snapToGrid/>
          <w:color w:val="000000"/>
          <w:kern w:val="2"/>
          <w:sz w:val="32"/>
          <w:szCs w:val="32"/>
          <w:lang w:val="en-US" w:eastAsia="zh-CN" w:bidi="ar-SA"/>
        </w:rPr>
        <w:t>0.25</w:t>
      </w:r>
      <w:r>
        <w:rPr>
          <w:rFonts w:ascii="仿宋" w:hAnsi="仿宋" w:eastAsia="仿宋" w:cs="Times New Roman"/>
          <w:snapToGrid/>
          <w:color w:val="000000"/>
          <w:kern w:val="2"/>
          <w:sz w:val="32"/>
          <w:szCs w:val="32"/>
          <w:lang w:val="en-US" w:eastAsia="zh-CN" w:bidi="ar-SA"/>
        </w:rPr>
        <w:t>%。</w:t>
      </w:r>
    </w:p>
    <w:p>
      <w:pPr>
        <w:spacing w:before="92" w:line="4395" w:lineRule="exact"/>
        <w:ind w:firstLine="668"/>
        <w:textAlignment w:val="center"/>
      </w:pPr>
      <w:r>
        <w:drawing>
          <wp:inline distT="0" distB="0" distL="0" distR="0">
            <wp:extent cx="4619625" cy="27908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6"/>
                    <a:stretch>
                      <a:fillRect/>
                    </a:stretch>
                  </pic:blipFill>
                  <pic:spPr>
                    <a:xfrm>
                      <a:off x="0" y="0"/>
                      <a:ext cx="4619625" cy="2790825"/>
                    </a:xfrm>
                    <a:prstGeom prst="rect">
                      <a:avLst/>
                    </a:prstGeom>
                  </pic:spPr>
                </pic:pic>
              </a:graphicData>
            </a:graphic>
          </wp:inline>
        </w:drawing>
      </w:r>
    </w:p>
    <w:p>
      <w:pPr>
        <w:spacing w:before="312" w:line="188" w:lineRule="auto"/>
        <w:ind w:firstLine="353"/>
        <w:rPr>
          <w:rFonts w:ascii="仿宋" w:hAnsi="仿宋" w:eastAsia="仿宋" w:cs="仿宋"/>
          <w:spacing w:val="-9"/>
          <w:sz w:val="32"/>
          <w:szCs w:val="32"/>
        </w:rPr>
      </w:pPr>
      <w:r>
        <w:rPr>
          <w:rFonts w:ascii="仿宋" w:hAnsi="仿宋" w:eastAsia="仿宋" w:cs="仿宋"/>
          <w:spacing w:val="-9"/>
          <w:sz w:val="32"/>
          <w:szCs w:val="32"/>
        </w:rPr>
        <w:t>（图6：一般公共预算财政拨款支出决算结构</w:t>
      </w:r>
      <w:r>
        <w:rPr>
          <w:rFonts w:ascii="仿宋" w:hAnsi="仿宋" w:eastAsia="仿宋" w:cs="仿宋"/>
          <w:spacing w:val="-112"/>
          <w:sz w:val="32"/>
          <w:szCs w:val="32"/>
        </w:rPr>
        <w:t>）（</w:t>
      </w:r>
      <w:r>
        <w:rPr>
          <w:rFonts w:ascii="仿宋" w:hAnsi="仿宋" w:eastAsia="仿宋" w:cs="仿宋"/>
          <w:spacing w:val="-9"/>
          <w:sz w:val="32"/>
          <w:szCs w:val="32"/>
        </w:rPr>
        <w:t>饼状图）</w:t>
      </w:r>
    </w:p>
    <w:p>
      <w:pPr>
        <w:pStyle w:val="5"/>
        <w:rPr>
          <w:rFonts w:ascii="仿宋" w:hAnsi="仿宋" w:eastAsia="仿宋" w:cs="Times New Roman"/>
          <w:snapToGrid/>
          <w:color w:val="000000"/>
          <w:kern w:val="2"/>
          <w:sz w:val="32"/>
          <w:szCs w:val="32"/>
          <w:lang w:val="en-US" w:eastAsia="zh-CN" w:bidi="ar-SA"/>
        </w:rPr>
      </w:pPr>
    </w:p>
    <w:p>
      <w:pPr>
        <w:spacing w:before="274" w:line="188" w:lineRule="auto"/>
        <w:ind w:firstLine="353"/>
        <w:outlineLvl w:val="2"/>
        <w:rPr>
          <w:rFonts w:ascii="仿宋" w:hAnsi="仿宋" w:eastAsia="仿宋" w:cs="仿宋"/>
          <w:sz w:val="32"/>
          <w:szCs w:val="32"/>
        </w:rPr>
      </w:pPr>
      <w:r>
        <w:rPr>
          <w:rFonts w:ascii="仿宋" w:hAnsi="仿宋" w:eastAsia="仿宋" w:cs="仿宋"/>
          <w:spacing w:val="-9"/>
          <w:sz w:val="32"/>
          <w:szCs w:val="32"/>
          <w14:textOutline w14:w="5793" w14:cap="sq" w14:cmpd="sng">
            <w14:solidFill>
              <w14:srgbClr w14:val="000000"/>
            </w14:solidFill>
            <w14:prstDash w14:val="solid"/>
            <w14:bevel/>
          </w14:textOutline>
        </w:rPr>
        <w:t>（三）一般公共预算财政拨款支出决算具体情况</w:t>
      </w:r>
    </w:p>
    <w:p>
      <w:pPr>
        <w:sectPr>
          <w:footerReference r:id="rId12" w:type="default"/>
          <w:pgSz w:w="11906" w:h="16839"/>
          <w:pgMar w:top="1431" w:right="1661" w:bottom="1152" w:left="1785" w:header="0" w:footer="1033" w:gutter="0"/>
          <w:pgNumType w:fmt="decimal"/>
          <w:cols w:space="720" w:num="1"/>
        </w:sectPr>
      </w:pPr>
    </w:p>
    <w:p>
      <w:pPr>
        <w:widowControl w:val="0"/>
        <w:kinsoku/>
        <w:autoSpaceDE/>
        <w:autoSpaceDN/>
        <w:adjustRightInd/>
        <w:snapToGrid/>
        <w:spacing w:line="600" w:lineRule="exact"/>
        <w:ind w:firstLine="643" w:firstLineChars="200"/>
        <w:jc w:val="both"/>
        <w:textAlignment w:val="auto"/>
        <w:outlineLvl w:val="9"/>
        <w:rPr>
          <w:rFonts w:ascii="仿宋" w:hAnsi="仿宋" w:eastAsia="仿宋" w:cs="Times New Roman"/>
          <w:b/>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2020年一般公共预算支出决算数为3060.97万元，完成预算87.15%。其中：</w:t>
      </w:r>
    </w:p>
    <w:p>
      <w:pPr>
        <w:spacing w:line="346" w:lineRule="auto"/>
        <w:ind w:left="37" w:firstLine="651"/>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1.社会保障和就业支出（类）行政事业单位养老支出（款）行政单位离退休（项）:</w:t>
      </w:r>
      <w:r>
        <w:rPr>
          <w:rStyle w:val="13"/>
          <w:rFonts w:hint="eastAsia" w:ascii="仿宋" w:hAnsi="仿宋" w:eastAsia="仿宋"/>
          <w:b w:val="0"/>
          <w:bCs/>
          <w:snapToGrid/>
          <w:color w:val="000000"/>
          <w:kern w:val="2"/>
          <w:sz w:val="32"/>
          <w:szCs w:val="32"/>
          <w:lang w:val="en-US" w:eastAsia="zh-CN" w:bidi="ar-SA"/>
        </w:rPr>
        <w:t>支出决算为92.76万元，完成预算100%。</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2.社会保障和就业支出（类）行政事业单位养老支出（款）事业单位离退休（项）</w:t>
      </w:r>
      <w:r>
        <w:rPr>
          <w:rFonts w:hint="eastAsia" w:ascii="仿宋" w:hAnsi="仿宋" w:eastAsia="仿宋" w:cs="Times New Roman"/>
          <w:b/>
          <w:snapToGrid/>
          <w:color w:val="000000"/>
          <w:kern w:val="2"/>
          <w:sz w:val="32"/>
          <w:szCs w:val="32"/>
          <w:lang w:val="en-US" w:eastAsia="zh-CN" w:bidi="ar-SA"/>
        </w:rPr>
        <w:t>：</w:t>
      </w:r>
      <w:r>
        <w:rPr>
          <w:rStyle w:val="13"/>
          <w:rFonts w:hint="eastAsia" w:ascii="仿宋" w:hAnsi="仿宋" w:eastAsia="仿宋"/>
          <w:b w:val="0"/>
          <w:bCs/>
          <w:snapToGrid/>
          <w:color w:val="000000"/>
          <w:kern w:val="2"/>
          <w:sz w:val="32"/>
          <w:szCs w:val="32"/>
          <w:lang w:val="en-US" w:eastAsia="zh-CN" w:bidi="ar-SA"/>
        </w:rPr>
        <w:t>支出决算为0.18万元，完成预算100%。</w:t>
      </w:r>
    </w:p>
    <w:p>
      <w:pPr>
        <w:spacing w:before="2" w:line="293" w:lineRule="auto"/>
        <w:ind w:left="35" w:firstLine="637"/>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3.社会保障和就业支出（类）行政事业单位养老支出（款）机关事业单位基本养老保险缴费支出（项）</w:t>
      </w:r>
      <w:r>
        <w:rPr>
          <w:rFonts w:hint="eastAsia" w:ascii="仿宋" w:hAnsi="仿宋" w:eastAsia="仿宋" w:cs="Times New Roman"/>
          <w:b/>
          <w:snapToGrid/>
          <w:color w:val="000000"/>
          <w:kern w:val="2"/>
          <w:sz w:val="32"/>
          <w:szCs w:val="32"/>
          <w:lang w:val="en-US" w:eastAsia="zh-CN" w:bidi="ar-SA"/>
        </w:rPr>
        <w:t>：</w:t>
      </w:r>
      <w:r>
        <w:rPr>
          <w:rStyle w:val="13"/>
          <w:rFonts w:hint="eastAsia" w:ascii="仿宋" w:hAnsi="仿宋" w:eastAsia="仿宋"/>
          <w:b w:val="0"/>
          <w:bCs/>
          <w:snapToGrid/>
          <w:color w:val="000000"/>
          <w:kern w:val="2"/>
          <w:sz w:val="32"/>
          <w:szCs w:val="32"/>
          <w:lang w:val="en-US" w:eastAsia="zh-CN" w:bidi="ar-SA"/>
        </w:rPr>
        <w:t>支出决算为9.66万元，完成预算100%。</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4.</w:t>
      </w:r>
      <w:r>
        <w:rPr>
          <w:rStyle w:val="13"/>
          <w:rFonts w:hint="eastAsia" w:ascii="仿宋" w:hAnsi="仿宋" w:eastAsia="仿宋"/>
          <w:bCs/>
          <w:snapToGrid/>
          <w:color w:val="000000"/>
          <w:kern w:val="2"/>
          <w:sz w:val="32"/>
          <w:szCs w:val="32"/>
          <w:lang w:val="en-US" w:eastAsia="zh-CN" w:bidi="ar-SA"/>
        </w:rPr>
        <w:t>社会保障和就业支出（类）抚恤（款）死亡抚恤（项）:</w:t>
      </w:r>
      <w:r>
        <w:rPr>
          <w:rStyle w:val="13"/>
          <w:rFonts w:hint="eastAsia" w:ascii="仿宋" w:hAnsi="仿宋" w:eastAsia="仿宋"/>
          <w:b w:val="0"/>
          <w:bCs/>
          <w:snapToGrid/>
          <w:color w:val="000000"/>
          <w:kern w:val="2"/>
          <w:sz w:val="32"/>
          <w:szCs w:val="32"/>
          <w:lang w:val="en-US" w:eastAsia="zh-CN" w:bidi="ar-SA"/>
        </w:rPr>
        <w:t>支出决算为150.44万元，完成预算100%。</w:t>
      </w:r>
    </w:p>
    <w:p>
      <w:pPr>
        <w:widowControl w:val="0"/>
        <w:kinsoku/>
        <w:autoSpaceDE/>
        <w:autoSpaceDN/>
        <w:adjustRightInd/>
        <w:snapToGrid/>
        <w:spacing w:line="600" w:lineRule="exact"/>
        <w:ind w:firstLine="643" w:firstLineChars="200"/>
        <w:jc w:val="both"/>
        <w:textAlignment w:val="auto"/>
        <w:outlineLvl w:val="9"/>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5.社会保障和就业支出（类）抚恤（款）伤残抚恤（项）:</w:t>
      </w:r>
      <w:r>
        <w:rPr>
          <w:rStyle w:val="13"/>
          <w:rFonts w:hint="eastAsia" w:ascii="仿宋" w:hAnsi="仿宋" w:eastAsia="仿宋"/>
          <w:b w:val="0"/>
          <w:bCs/>
          <w:snapToGrid/>
          <w:color w:val="000000"/>
          <w:kern w:val="2"/>
          <w:sz w:val="32"/>
          <w:szCs w:val="32"/>
          <w:lang w:val="en-US" w:eastAsia="zh-CN" w:bidi="ar-SA"/>
        </w:rPr>
        <w:t>支出决算为471.03万元，完成预算100%。</w:t>
      </w:r>
    </w:p>
    <w:p>
      <w:pPr>
        <w:spacing w:before="275" w:line="346" w:lineRule="auto"/>
        <w:ind w:left="36" w:right="293" w:firstLine="632"/>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6.社会保障和就业支出（类）抚恤（款）在乡复员、退伍军人生活补助（项）:</w:t>
      </w:r>
      <w:r>
        <w:rPr>
          <w:rStyle w:val="13"/>
          <w:rFonts w:hint="eastAsia" w:ascii="仿宋" w:hAnsi="仿宋" w:eastAsia="仿宋"/>
          <w:b w:val="0"/>
          <w:bCs/>
          <w:snapToGrid/>
          <w:color w:val="000000"/>
          <w:kern w:val="2"/>
          <w:sz w:val="32"/>
          <w:szCs w:val="32"/>
          <w:lang w:val="en-US" w:eastAsia="zh-CN" w:bidi="ar-SA"/>
        </w:rPr>
        <w:t>支出决算为373.32万元，完成预算100%。</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7.社会保障和就业支出（类）抚恤（款）义务兵优待（项）:</w:t>
      </w:r>
      <w:r>
        <w:rPr>
          <w:rStyle w:val="13"/>
          <w:rFonts w:hint="eastAsia" w:ascii="仿宋" w:hAnsi="仿宋" w:eastAsia="仿宋"/>
          <w:b w:val="0"/>
          <w:bCs/>
          <w:snapToGrid/>
          <w:color w:val="000000"/>
          <w:kern w:val="2"/>
          <w:sz w:val="32"/>
          <w:szCs w:val="32"/>
          <w:lang w:val="en-US" w:eastAsia="zh-CN" w:bidi="ar-SA"/>
        </w:rPr>
        <w:t>支出决算为228.33万元，完成预算97.81%，决算数小于预算数的主要原因是本年预算时未将年初结余扣除。</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8.社会保障和就业支出（类）抚恤（款）农村籍退役士兵老年生活补助（项）:</w:t>
      </w:r>
      <w:r>
        <w:rPr>
          <w:rStyle w:val="13"/>
          <w:rFonts w:hint="eastAsia" w:ascii="仿宋" w:hAnsi="仿宋" w:eastAsia="仿宋"/>
          <w:b w:val="0"/>
          <w:bCs/>
          <w:snapToGrid/>
          <w:color w:val="000000"/>
          <w:kern w:val="2"/>
          <w:sz w:val="32"/>
          <w:szCs w:val="32"/>
          <w:lang w:val="en-US" w:eastAsia="zh-CN" w:bidi="ar-SA"/>
        </w:rPr>
        <w:t>支出决算为70万元，完成预算100%。</w:t>
      </w:r>
    </w:p>
    <w:p>
      <w:pPr>
        <w:widowControl w:val="0"/>
        <w:kinsoku/>
        <w:autoSpaceDE/>
        <w:autoSpaceDN/>
        <w:adjustRightInd/>
        <w:snapToGrid/>
        <w:spacing w:line="600" w:lineRule="exact"/>
        <w:ind w:firstLine="640"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sectPr>
          <w:footerReference r:id="rId13" w:type="default"/>
          <w:pgSz w:w="11906" w:h="16839"/>
          <w:pgMar w:top="1431" w:right="1501" w:bottom="1151" w:left="1785" w:header="0" w:footer="1035" w:gutter="0"/>
          <w:pgNumType w:fmt="decimal"/>
          <w:cols w:space="720" w:num="1"/>
        </w:sectPr>
      </w:pPr>
    </w:p>
    <w:p>
      <w:pPr>
        <w:spacing w:before="216" w:line="346" w:lineRule="auto"/>
        <w:ind w:left="34" w:right="140" w:firstLine="632"/>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9.社会保障和就业支出（类）抚恤（款）其他优抚支出（项）:</w:t>
      </w:r>
      <w:r>
        <w:rPr>
          <w:rStyle w:val="13"/>
          <w:rFonts w:hint="eastAsia" w:ascii="仿宋" w:hAnsi="仿宋" w:eastAsia="仿宋"/>
          <w:b w:val="0"/>
          <w:bCs/>
          <w:snapToGrid/>
          <w:color w:val="000000"/>
          <w:kern w:val="2"/>
          <w:sz w:val="32"/>
          <w:szCs w:val="32"/>
          <w:lang w:val="en-US" w:eastAsia="zh-CN" w:bidi="ar-SA"/>
        </w:rPr>
        <w:t>支出决算为159.15万元，完成预算100%。</w:t>
      </w:r>
    </w:p>
    <w:p>
      <w:pPr>
        <w:spacing w:line="346" w:lineRule="auto"/>
        <w:ind w:left="36" w:right="107" w:firstLine="653"/>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10.社会保障和就业支出（类）退役安置（款）退役士兵安置（项）:</w:t>
      </w:r>
      <w:r>
        <w:rPr>
          <w:rStyle w:val="13"/>
          <w:rFonts w:hint="eastAsia" w:ascii="仿宋" w:hAnsi="仿宋" w:eastAsia="仿宋"/>
          <w:b w:val="0"/>
          <w:bCs/>
          <w:snapToGrid/>
          <w:color w:val="000000"/>
          <w:kern w:val="2"/>
          <w:sz w:val="32"/>
          <w:szCs w:val="32"/>
          <w:lang w:val="en-US" w:eastAsia="zh-CN" w:bidi="ar-SA"/>
        </w:rPr>
        <w:t>支出决算为132.36万元，完成预算99.17%，决算数小于预算数的主要原因是退役士兵人数减少。</w:t>
      </w:r>
    </w:p>
    <w:p>
      <w:pPr>
        <w:spacing w:before="4" w:line="306" w:lineRule="auto"/>
        <w:ind w:left="37" w:right="142" w:firstLine="651"/>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11.社会保障和就业支出（类）退役安置（款）军队移交政府的离退休人员安置（项）:</w:t>
      </w:r>
      <w:r>
        <w:rPr>
          <w:rStyle w:val="13"/>
          <w:rFonts w:hint="eastAsia" w:ascii="仿宋" w:hAnsi="仿宋" w:eastAsia="仿宋"/>
          <w:b w:val="0"/>
          <w:bCs/>
          <w:snapToGrid/>
          <w:color w:val="000000"/>
          <w:kern w:val="2"/>
          <w:sz w:val="32"/>
          <w:szCs w:val="32"/>
          <w:lang w:val="en-US" w:eastAsia="zh-CN" w:bidi="ar-SA"/>
        </w:rPr>
        <w:t>支出决算为581.12万元，完成预算73.68%，决算数小于预算数的主要原因是有累计结余。</w:t>
      </w:r>
    </w:p>
    <w:p>
      <w:pPr>
        <w:keepNext w:val="0"/>
        <w:keepLines w:val="0"/>
        <w:pageBreakBefore w:val="0"/>
        <w:widowControl/>
        <w:kinsoku w:val="0"/>
        <w:wordWrap/>
        <w:overflowPunct/>
        <w:topLinePunct w:val="0"/>
        <w:autoSpaceDE w:val="0"/>
        <w:autoSpaceDN w:val="0"/>
        <w:bidi w:val="0"/>
        <w:adjustRightInd w:val="0"/>
        <w:snapToGrid w:val="0"/>
        <w:spacing w:line="346" w:lineRule="auto"/>
        <w:ind w:left="40" w:right="45" w:firstLine="646"/>
        <w:textAlignment w:val="baseline"/>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12.社会保障和就业支出（类）退役安置（款）军队移交政府离退休干部管理机构（项）:</w:t>
      </w:r>
      <w:r>
        <w:rPr>
          <w:rStyle w:val="13"/>
          <w:rFonts w:hint="eastAsia" w:ascii="仿宋" w:hAnsi="仿宋" w:eastAsia="仿宋"/>
          <w:b w:val="0"/>
          <w:bCs/>
          <w:snapToGrid/>
          <w:color w:val="000000"/>
          <w:kern w:val="2"/>
          <w:sz w:val="32"/>
          <w:szCs w:val="32"/>
          <w:lang w:val="en-US" w:eastAsia="zh-CN" w:bidi="ar-SA"/>
        </w:rPr>
        <w:t>支出决算为120.84万元，完成预算100%。</w:t>
      </w:r>
    </w:p>
    <w:p>
      <w:pPr>
        <w:spacing w:before="1" w:line="346" w:lineRule="auto"/>
        <w:ind w:left="36" w:right="26" w:firstLine="653"/>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13.社会保障和就业支出（类）退役安置（款）退役士兵管理教育（项）:</w:t>
      </w:r>
      <w:r>
        <w:rPr>
          <w:rStyle w:val="13"/>
          <w:rFonts w:hint="eastAsia" w:ascii="仿宋" w:hAnsi="仿宋" w:eastAsia="仿宋"/>
          <w:b w:val="0"/>
          <w:bCs/>
          <w:snapToGrid/>
          <w:color w:val="000000"/>
          <w:kern w:val="2"/>
          <w:sz w:val="32"/>
          <w:szCs w:val="32"/>
          <w:lang w:val="en-US" w:eastAsia="zh-CN" w:bidi="ar-SA"/>
        </w:rPr>
        <w:t>支出决算为6.75万元，完成预算7.68%。决算数小于预算数的主要原因是有累计结余。</w:t>
      </w:r>
    </w:p>
    <w:p>
      <w:pPr>
        <w:spacing w:line="346" w:lineRule="auto"/>
        <w:ind w:left="35" w:right="49" w:firstLine="654"/>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14.社会保障和就业支出（类）退役安置（款）军队转业干部安置（项）:</w:t>
      </w:r>
      <w:r>
        <w:rPr>
          <w:rStyle w:val="13"/>
          <w:rFonts w:hint="eastAsia" w:ascii="仿宋" w:hAnsi="仿宋" w:eastAsia="仿宋"/>
          <w:b w:val="0"/>
          <w:bCs/>
          <w:snapToGrid/>
          <w:color w:val="000000"/>
          <w:kern w:val="2"/>
          <w:sz w:val="32"/>
          <w:szCs w:val="32"/>
          <w:lang w:val="en-US" w:eastAsia="zh-CN" w:bidi="ar-SA"/>
        </w:rPr>
        <w:t>支出决算为45.68万元，完成预算41.03%，决算数小于预算数的主要原因是有累计结余。</w:t>
      </w:r>
    </w:p>
    <w:p>
      <w:pPr>
        <w:spacing w:before="1" w:line="346" w:lineRule="auto"/>
        <w:ind w:left="36" w:right="142" w:firstLine="653"/>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15.社会保障和就业支出（类）退役安置（款）其他退役安置支出（项）:</w:t>
      </w:r>
      <w:r>
        <w:rPr>
          <w:rStyle w:val="13"/>
          <w:rFonts w:hint="eastAsia" w:ascii="仿宋" w:hAnsi="仿宋" w:eastAsia="仿宋"/>
          <w:b w:val="0"/>
          <w:bCs/>
          <w:snapToGrid/>
          <w:color w:val="000000"/>
          <w:kern w:val="2"/>
          <w:sz w:val="32"/>
          <w:szCs w:val="32"/>
          <w:lang w:val="en-US" w:eastAsia="zh-CN" w:bidi="ar-SA"/>
        </w:rPr>
        <w:t>支出决算为298万元，完成预算100%。</w:t>
      </w:r>
    </w:p>
    <w:p>
      <w:pPr>
        <w:spacing w:line="346" w:lineRule="auto"/>
        <w:ind w:left="37" w:firstLine="651"/>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16.社会保障和就业支出（类）退役军人管理事务（款）行政运行（项）:</w:t>
      </w:r>
      <w:r>
        <w:rPr>
          <w:rStyle w:val="13"/>
          <w:rFonts w:hint="eastAsia" w:ascii="仿宋" w:hAnsi="仿宋" w:eastAsia="仿宋"/>
          <w:b w:val="0"/>
          <w:bCs/>
          <w:snapToGrid/>
          <w:color w:val="000000"/>
          <w:kern w:val="2"/>
          <w:sz w:val="32"/>
          <w:szCs w:val="32"/>
          <w:lang w:val="en-US" w:eastAsia="zh-CN" w:bidi="ar-SA"/>
        </w:rPr>
        <w:t>支出决算为88.13万元，完成预算100%。</w:t>
      </w:r>
    </w:p>
    <w:p>
      <w:pPr>
        <w:spacing w:line="346" w:lineRule="auto"/>
        <w:ind w:left="37" w:firstLine="651"/>
        <w:rPr>
          <w:rStyle w:val="13"/>
          <w:rFonts w:hint="eastAsia" w:ascii="仿宋" w:hAnsi="仿宋" w:eastAsia="仿宋"/>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17.社会保障和就业支出（类）退役军人管理事务（款）</w:t>
      </w:r>
    </w:p>
    <w:p>
      <w:pPr>
        <w:spacing w:line="346" w:lineRule="auto"/>
        <w:ind w:left="37" w:firstLine="651"/>
        <w:rPr>
          <w:rStyle w:val="13"/>
          <w:rFonts w:hint="eastAsia" w:ascii="仿宋" w:hAnsi="仿宋" w:eastAsia="仿宋"/>
          <w:bCs/>
          <w:snapToGrid/>
          <w:color w:val="000000"/>
          <w:kern w:val="2"/>
          <w:sz w:val="32"/>
          <w:szCs w:val="32"/>
          <w:lang w:val="en-US" w:eastAsia="zh-CN" w:bidi="ar-SA"/>
        </w:rPr>
        <w:sectPr>
          <w:footerReference r:id="rId14" w:type="default"/>
          <w:pgSz w:w="11906" w:h="16839"/>
          <w:pgMar w:top="1431" w:right="1654" w:bottom="1152" w:left="1785" w:header="0" w:footer="1035" w:gutter="0"/>
          <w:pgNumType w:fmt="decimal"/>
          <w:cols w:space="720" w:num="1"/>
        </w:sectPr>
      </w:pPr>
    </w:p>
    <w:p>
      <w:pPr>
        <w:spacing w:line="346" w:lineRule="auto"/>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拥军优属（项）:</w:t>
      </w:r>
      <w:r>
        <w:rPr>
          <w:rStyle w:val="13"/>
          <w:rFonts w:hint="eastAsia" w:ascii="仿宋" w:hAnsi="仿宋" w:eastAsia="仿宋"/>
          <w:b w:val="0"/>
          <w:bCs/>
          <w:snapToGrid/>
          <w:color w:val="000000"/>
          <w:kern w:val="2"/>
          <w:sz w:val="32"/>
          <w:szCs w:val="32"/>
          <w:lang w:val="en-US" w:eastAsia="zh-CN" w:bidi="ar-SA"/>
        </w:rPr>
        <w:t>支出决算为167.95万元，完成预算100%。</w:t>
      </w:r>
    </w:p>
    <w:p>
      <w:pPr>
        <w:spacing w:line="346" w:lineRule="auto"/>
        <w:ind w:left="37" w:firstLine="651"/>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18.社会保障和就业支出（类）退役军人管理事务（款）事业运行（项）:</w:t>
      </w:r>
      <w:r>
        <w:rPr>
          <w:rStyle w:val="13"/>
          <w:rFonts w:hint="eastAsia" w:ascii="仿宋" w:hAnsi="仿宋" w:eastAsia="仿宋"/>
          <w:b w:val="0"/>
          <w:bCs/>
          <w:snapToGrid/>
          <w:color w:val="000000"/>
          <w:kern w:val="2"/>
          <w:sz w:val="32"/>
          <w:szCs w:val="32"/>
          <w:lang w:val="en-US" w:eastAsia="zh-CN" w:bidi="ar-SA"/>
        </w:rPr>
        <w:t>支出决算为1.38万元，完成预算100%。</w:t>
      </w:r>
    </w:p>
    <w:p>
      <w:pPr>
        <w:spacing w:line="346" w:lineRule="auto"/>
        <w:ind w:left="37" w:firstLine="651"/>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19.社会保障和就业支出（类）退役军人管理事务（款）其他退役军人事务管理支出（项）:</w:t>
      </w:r>
      <w:r>
        <w:rPr>
          <w:rStyle w:val="13"/>
          <w:rFonts w:hint="eastAsia" w:ascii="仿宋" w:hAnsi="仿宋" w:eastAsia="仿宋"/>
          <w:b w:val="0"/>
          <w:bCs/>
          <w:snapToGrid/>
          <w:color w:val="000000"/>
          <w:kern w:val="2"/>
          <w:sz w:val="32"/>
          <w:szCs w:val="32"/>
          <w:lang w:val="en-US" w:eastAsia="zh-CN" w:bidi="ar-SA"/>
        </w:rPr>
        <w:t>支出决算为15.73万元，完成预算100%。</w:t>
      </w:r>
    </w:p>
    <w:p>
      <w:pPr>
        <w:spacing w:before="2" w:line="293" w:lineRule="auto"/>
        <w:ind w:left="37" w:right="142" w:firstLine="632"/>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20.社会保障和就业支出（类）其他社会保障和就业支出（款）其他社会保障和就业支出（项）:</w:t>
      </w:r>
      <w:r>
        <w:rPr>
          <w:rStyle w:val="13"/>
          <w:rFonts w:hint="eastAsia" w:ascii="仿宋" w:hAnsi="仿宋" w:eastAsia="仿宋"/>
          <w:b w:val="0"/>
          <w:bCs/>
          <w:snapToGrid/>
          <w:color w:val="000000"/>
          <w:kern w:val="2"/>
          <w:sz w:val="32"/>
          <w:szCs w:val="32"/>
          <w:lang w:val="en-US" w:eastAsia="zh-CN" w:bidi="ar-SA"/>
        </w:rPr>
        <w:t>支出决算为0.47万元，完成预算100%。</w:t>
      </w:r>
    </w:p>
    <w:p>
      <w:pPr>
        <w:keepNext w:val="0"/>
        <w:keepLines w:val="0"/>
        <w:pageBreakBefore w:val="0"/>
        <w:widowControl/>
        <w:kinsoku w:val="0"/>
        <w:wordWrap/>
        <w:overflowPunct/>
        <w:topLinePunct w:val="0"/>
        <w:autoSpaceDE w:val="0"/>
        <w:autoSpaceDN w:val="0"/>
        <w:bidi w:val="0"/>
        <w:adjustRightInd w:val="0"/>
        <w:snapToGrid w:val="0"/>
        <w:spacing w:line="346" w:lineRule="auto"/>
        <w:ind w:left="40" w:right="142" w:firstLine="629"/>
        <w:textAlignment w:val="baseline"/>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21.卫生健康支出（类）行政事业单位医疗（款）行政单位医疗（项）:</w:t>
      </w:r>
      <w:r>
        <w:rPr>
          <w:rStyle w:val="13"/>
          <w:rFonts w:hint="eastAsia" w:ascii="仿宋" w:hAnsi="仿宋" w:eastAsia="仿宋"/>
          <w:b w:val="0"/>
          <w:bCs/>
          <w:snapToGrid/>
          <w:color w:val="000000"/>
          <w:kern w:val="2"/>
          <w:sz w:val="32"/>
          <w:szCs w:val="32"/>
          <w:lang w:val="en-US" w:eastAsia="zh-CN" w:bidi="ar-SA"/>
        </w:rPr>
        <w:t>支出决算为4.81万元，完成预算100%。</w:t>
      </w:r>
    </w:p>
    <w:p>
      <w:pPr>
        <w:spacing w:before="1" w:line="346" w:lineRule="auto"/>
        <w:ind w:left="36" w:right="49" w:firstLine="633"/>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22.卫生健康支出（类）优抚对象医疗（款）优抚对象医疗补助（项）:</w:t>
      </w:r>
      <w:r>
        <w:rPr>
          <w:rStyle w:val="13"/>
          <w:rFonts w:hint="eastAsia" w:ascii="仿宋" w:hAnsi="仿宋" w:eastAsia="仿宋"/>
          <w:b w:val="0"/>
          <w:bCs/>
          <w:snapToGrid/>
          <w:color w:val="000000"/>
          <w:kern w:val="2"/>
          <w:sz w:val="32"/>
          <w:szCs w:val="32"/>
          <w:lang w:val="en-US" w:eastAsia="zh-CN" w:bidi="ar-SA"/>
        </w:rPr>
        <w:t>支出决算为35.39万元，完成预算28.07%，决算数小于预算数的主要原因是区民政局转交了机改前结余。</w:t>
      </w:r>
    </w:p>
    <w:p>
      <w:pPr>
        <w:spacing w:line="346" w:lineRule="auto"/>
        <w:ind w:left="35" w:right="142" w:firstLine="634"/>
        <w:rPr>
          <w:rFonts w:ascii="仿宋" w:hAnsi="仿宋" w:eastAsia="仿宋" w:cs="仿宋"/>
          <w:sz w:val="32"/>
          <w:szCs w:val="32"/>
        </w:rPr>
      </w:pPr>
      <w:bookmarkStart w:id="9" w:name="_bookmark10"/>
      <w:bookmarkEnd w:id="9"/>
      <w:r>
        <w:rPr>
          <w:rStyle w:val="13"/>
          <w:rFonts w:hint="eastAsia" w:ascii="仿宋" w:hAnsi="仿宋" w:eastAsia="仿宋"/>
          <w:bCs/>
          <w:snapToGrid/>
          <w:color w:val="000000"/>
          <w:kern w:val="2"/>
          <w:sz w:val="32"/>
          <w:szCs w:val="32"/>
          <w:lang w:val="en-US" w:eastAsia="zh-CN" w:bidi="ar-SA"/>
        </w:rPr>
        <w:t>23.住房保障支出（类）住房改革支出（款）住房公积金（项）:</w:t>
      </w:r>
      <w:r>
        <w:rPr>
          <w:rStyle w:val="13"/>
          <w:rFonts w:hint="eastAsia" w:ascii="仿宋" w:hAnsi="仿宋" w:eastAsia="仿宋"/>
          <w:b w:val="0"/>
          <w:bCs/>
          <w:snapToGrid/>
          <w:color w:val="000000"/>
          <w:kern w:val="2"/>
          <w:sz w:val="32"/>
          <w:szCs w:val="32"/>
          <w:lang w:val="en-US" w:eastAsia="zh-CN" w:bidi="ar-SA"/>
        </w:rPr>
        <w:t>支出决算为7.49万元，完成预算100%。</w:t>
      </w:r>
    </w:p>
    <w:p>
      <w:pPr>
        <w:spacing w:line="327" w:lineRule="auto"/>
        <w:rPr>
          <w:rFonts w:hint="eastAsia" w:ascii="仿宋" w:hAnsi="仿宋" w:eastAsia="仿宋" w:cs="仿宋"/>
          <w:sz w:val="32"/>
          <w:szCs w:val="32"/>
        </w:rPr>
      </w:pPr>
    </w:p>
    <w:p>
      <w:pPr>
        <w:spacing w:before="105" w:line="187" w:lineRule="auto"/>
        <w:ind w:firstLine="677"/>
        <w:outlineLvl w:val="1"/>
        <w:rPr>
          <w:rFonts w:ascii="黑体" w:hAnsi="黑体" w:eastAsia="黑体" w:cs="黑体"/>
          <w:sz w:val="32"/>
          <w:szCs w:val="32"/>
        </w:rPr>
      </w:pPr>
      <w:r>
        <w:rPr>
          <w:rFonts w:ascii="黑体" w:hAnsi="黑体" w:eastAsia="黑体" w:cs="黑体"/>
          <w:spacing w:val="-2"/>
          <w:sz w:val="32"/>
          <w:szCs w:val="32"/>
        </w:rPr>
        <w:t>六</w:t>
      </w:r>
      <w:r>
        <w:rPr>
          <w:rFonts w:ascii="黑体" w:hAnsi="黑体" w:eastAsia="黑体" w:cs="黑体"/>
          <w:spacing w:val="-2"/>
          <w:sz w:val="32"/>
          <w:szCs w:val="32"/>
          <w14:textOutline w14:w="5793" w14:cap="sq" w14:cmpd="sng">
            <w14:solidFill>
              <w14:srgbClr w14:val="000000"/>
            </w14:solidFill>
            <w14:prstDash w14:val="solid"/>
            <w14:bevel/>
          </w14:textOutline>
        </w:rPr>
        <w:t>、一</w:t>
      </w:r>
      <w:r>
        <w:rPr>
          <w:rFonts w:ascii="黑体" w:hAnsi="黑体" w:eastAsia="黑体" w:cs="黑体"/>
          <w:spacing w:val="-2"/>
          <w:sz w:val="32"/>
          <w:szCs w:val="32"/>
        </w:rPr>
        <w:t>般公共预算财政拨款基本支出决算情况说明</w:t>
      </w:r>
    </w:p>
    <w:p>
      <w:pPr>
        <w:widowControl w:val="0"/>
        <w:kinsoku/>
        <w:autoSpaceDE/>
        <w:autoSpaceDN/>
        <w:adjustRightInd/>
        <w:snapToGrid/>
        <w:spacing w:line="600" w:lineRule="exact"/>
        <w:ind w:firstLine="645"/>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2020年一般公共预算财政拨款基本支出3060.97万元，其中：</w:t>
      </w:r>
    </w:p>
    <w:p>
      <w:pPr>
        <w:widowControl w:val="0"/>
        <w:kinsoku/>
        <w:autoSpaceDE/>
        <w:autoSpaceDN/>
        <w:adjustRightInd/>
        <w:snapToGrid/>
        <w:spacing w:line="600" w:lineRule="exact"/>
        <w:ind w:firstLine="645"/>
        <w:jc w:val="both"/>
        <w:textAlignment w:val="auto"/>
        <w:rPr>
          <w:rFonts w:ascii="仿宋" w:hAnsi="仿宋" w:eastAsia="仿宋" w:cs="Times New Roman"/>
          <w:snapToGrid/>
          <w:color w:val="000000"/>
          <w:kern w:val="2"/>
          <w:sz w:val="32"/>
          <w:szCs w:val="32"/>
          <w:lang w:val="en-US" w:eastAsia="zh-CN" w:bidi="ar-SA"/>
        </w:rPr>
        <w:sectPr>
          <w:footerReference r:id="rId15" w:type="default"/>
          <w:pgSz w:w="11906" w:h="16839"/>
          <w:pgMar w:top="1431" w:right="1654" w:bottom="1152" w:left="1785" w:header="0" w:footer="1033" w:gutter="0"/>
          <w:pgNumType w:fmt="decimal"/>
          <w:cols w:space="720" w:num="1"/>
        </w:sectPr>
      </w:pPr>
      <w:r>
        <w:rPr>
          <w:rFonts w:ascii="仿宋" w:hAnsi="仿宋" w:eastAsia="仿宋" w:cs="Times New Roman"/>
          <w:snapToGrid/>
          <w:color w:val="000000"/>
          <w:kern w:val="2"/>
          <w:sz w:val="32"/>
          <w:szCs w:val="32"/>
          <w:lang w:val="en-US" w:eastAsia="zh-CN" w:bidi="ar-SA"/>
        </w:rPr>
        <w:t>人员经费2988.02万元，主要包括：基本工资、津贴补贴、奖金、绩效工资、机关事业单位基本养老保险缴费、职</w:t>
      </w:r>
    </w:p>
    <w:p>
      <w:pPr>
        <w:widowControl w:val="0"/>
        <w:kinsoku/>
        <w:autoSpaceDE/>
        <w:autoSpaceDN/>
        <w:adjustRightInd/>
        <w:snapToGrid/>
        <w:spacing w:line="600" w:lineRule="exact"/>
        <w:ind w:firstLine="645"/>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业年金缴费、其他社会保障缴费、其他工资福利支出、退休费、抚恤金、生活补助、医疗费补助、奖励金、住房公积金、其他对个人和家庭的补助支出等。</w:t>
      </w:r>
    </w:p>
    <w:p>
      <w:pPr>
        <w:widowControl w:val="0"/>
        <w:kinsoku/>
        <w:autoSpaceDE/>
        <w:autoSpaceDN/>
        <w:adjustRightInd/>
        <w:snapToGrid/>
        <w:spacing w:line="600" w:lineRule="exact"/>
        <w:ind w:firstLine="645"/>
        <w:jc w:val="both"/>
        <w:textAlignment w:val="auto"/>
        <w:rPr>
          <w:rFonts w:hint="eastAsia" w:ascii="仿宋" w:hAnsi="仿宋" w:eastAsia="仿宋" w:cs="Times New Roman"/>
          <w:snapToGrid/>
          <w:color w:val="000000"/>
          <w:kern w:val="2"/>
          <w:sz w:val="32"/>
          <w:szCs w:val="32"/>
          <w:lang w:val="en-US" w:eastAsia="zh-CN" w:bidi="ar-SA"/>
        </w:rPr>
      </w:pPr>
      <w:r>
        <w:rPr>
          <w:rFonts w:hint="eastAsia" w:ascii="仿宋" w:hAnsi="仿宋" w:eastAsia="仿宋" w:cs="Times New Roman"/>
          <w:snapToGrid/>
          <w:color w:val="000000"/>
          <w:kern w:val="2"/>
          <w:sz w:val="32"/>
          <w:szCs w:val="32"/>
          <w:lang w:val="en-US" w:eastAsia="zh-CN" w:bidi="ar-SA"/>
        </w:rPr>
        <w:t>日常公用经费72.95万元，主要包括：办公费、印刷费、咨询费、手续费、水费、电费、邮电费、物业管理费、差旅费、维修（护）费、租赁费、会议费、培训费、公务接待费、劳务费、委托业务费、工会经费、其他交通费、其他商品和服务支出、办公设备购置、其他资本性支出等。</w:t>
      </w:r>
    </w:p>
    <w:p>
      <w:pPr>
        <w:spacing w:line="327" w:lineRule="auto"/>
        <w:rPr>
          <w:rFonts w:hint="eastAsia" w:ascii="仿宋" w:hAnsi="仿宋" w:eastAsia="仿宋" w:cs="仿宋"/>
          <w:sz w:val="32"/>
          <w:szCs w:val="32"/>
        </w:rPr>
      </w:pPr>
    </w:p>
    <w:p>
      <w:pPr>
        <w:spacing w:before="104" w:line="187" w:lineRule="auto"/>
        <w:ind w:firstLine="666"/>
        <w:outlineLvl w:val="1"/>
        <w:rPr>
          <w:rFonts w:ascii="黑体" w:hAnsi="黑体" w:eastAsia="黑体" w:cs="黑体"/>
          <w:sz w:val="32"/>
          <w:szCs w:val="32"/>
        </w:rPr>
      </w:pPr>
      <w:r>
        <w:rPr>
          <w:rFonts w:ascii="黑体" w:hAnsi="黑体" w:eastAsia="黑体" w:cs="黑体"/>
          <w:spacing w:val="-9"/>
          <w:sz w:val="32"/>
          <w:szCs w:val="32"/>
        </w:rPr>
        <w:t>七、</w:t>
      </w:r>
      <w:r>
        <w:rPr>
          <w:rFonts w:ascii="黑体" w:hAnsi="黑体" w:eastAsia="黑体" w:cs="黑体"/>
          <w:spacing w:val="-9"/>
          <w:sz w:val="32"/>
          <w:szCs w:val="32"/>
          <w14:textOutline w14:w="5793" w14:cap="sq" w14:cmpd="sng">
            <w14:solidFill>
              <w14:srgbClr w14:val="000000"/>
            </w14:solidFill>
            <w14:prstDash w14:val="solid"/>
            <w14:bevel/>
          </w14:textOutline>
        </w:rPr>
        <w:t>“</w:t>
      </w:r>
      <w:r>
        <w:rPr>
          <w:rFonts w:ascii="黑体" w:hAnsi="黑体" w:eastAsia="黑体" w:cs="黑体"/>
          <w:spacing w:val="-9"/>
          <w:sz w:val="32"/>
          <w:szCs w:val="32"/>
        </w:rPr>
        <w:t>三公”经费财政拨款支出决算情况说明</w:t>
      </w:r>
    </w:p>
    <w:p>
      <w:pPr>
        <w:spacing w:before="276" w:line="188" w:lineRule="auto"/>
        <w:ind w:firstLine="675"/>
        <w:outlineLvl w:val="2"/>
        <w:rPr>
          <w:rFonts w:ascii="仿宋" w:hAnsi="仿宋" w:eastAsia="仿宋" w:cs="仿宋"/>
          <w:sz w:val="32"/>
          <w:szCs w:val="32"/>
        </w:rPr>
      </w:pPr>
      <w:bookmarkStart w:id="10" w:name="_bookmark11"/>
      <w:bookmarkEnd w:id="10"/>
      <w:r>
        <w:rPr>
          <w:rFonts w:ascii="仿宋" w:hAnsi="仿宋" w:eastAsia="仿宋" w:cs="仿宋"/>
          <w:spacing w:val="-7"/>
          <w:sz w:val="32"/>
          <w:szCs w:val="32"/>
          <w14:textOutline w14:w="5793" w14:cap="sq" w14:cmpd="sng">
            <w14:solidFill>
              <w14:srgbClr w14:val="000000"/>
            </w14:solidFill>
            <w14:prstDash w14:val="solid"/>
            <w14:bevel/>
          </w14:textOutline>
        </w:rPr>
        <w:t>（一）“三公”经费财政拨款支出决算总体情况说明</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2020年“三公”经费财政拨款支出决算为0.22万元，完成预算14.67%，决算数小于预算数的主要原因是严格按规定执行并厉行节约。</w:t>
      </w:r>
    </w:p>
    <w:p>
      <w:pPr>
        <w:spacing w:before="1" w:line="204" w:lineRule="auto"/>
        <w:ind w:firstLine="675"/>
        <w:outlineLvl w:val="2"/>
        <w:rPr>
          <w:rFonts w:ascii="仿宋" w:hAnsi="仿宋" w:eastAsia="仿宋" w:cs="仿宋"/>
          <w:sz w:val="32"/>
          <w:szCs w:val="32"/>
        </w:rPr>
      </w:pPr>
      <w:r>
        <w:rPr>
          <w:rFonts w:ascii="仿宋" w:hAnsi="仿宋" w:eastAsia="仿宋" w:cs="仿宋"/>
          <w:spacing w:val="-7"/>
          <w:sz w:val="32"/>
          <w:szCs w:val="32"/>
          <w14:textOutline w14:w="5793" w14:cap="sq" w14:cmpd="sng">
            <w14:solidFill>
              <w14:srgbClr w14:val="000000"/>
            </w14:solidFill>
            <w14:prstDash w14:val="solid"/>
            <w14:bevel/>
          </w14:textOutline>
        </w:rPr>
        <w:t>（二）“三公”经费财政拨款支出决算具体情况说明</w:t>
      </w:r>
    </w:p>
    <w:p>
      <w:pPr>
        <w:widowControl w:val="0"/>
        <w:kinsoku/>
        <w:autoSpaceDE/>
        <w:autoSpaceDN/>
        <w:adjustRightInd/>
        <w:snapToGrid/>
        <w:spacing w:line="600" w:lineRule="exact"/>
        <w:ind w:firstLine="640"/>
        <w:jc w:val="both"/>
        <w:textAlignment w:val="auto"/>
        <w:rPr>
          <w:rFonts w:ascii="仿宋" w:hAnsi="仿宋" w:eastAsia="仿宋" w:cs="仿宋"/>
          <w:sz w:val="32"/>
          <w:szCs w:val="32"/>
        </w:rPr>
      </w:pPr>
      <w:r>
        <w:rPr>
          <w:rFonts w:ascii="仿宋" w:hAnsi="仿宋" w:eastAsia="仿宋" w:cs="Times New Roman"/>
          <w:snapToGrid/>
          <w:color w:val="000000"/>
          <w:kern w:val="2"/>
          <w:sz w:val="32"/>
          <w:szCs w:val="32"/>
          <w:lang w:val="en-US" w:eastAsia="zh-CN" w:bidi="ar-SA"/>
        </w:rPr>
        <w:t>2020年“三公”经费财政拨款支出决算中，因公出国（境）费支出决算万元；公务用车购置及运行维护费支出决算0万元；公务接待费支出决算0.22万元，占100%。具体情况如下：</w:t>
      </w:r>
    </w:p>
    <w:p>
      <w:pPr>
        <w:spacing w:line="244" w:lineRule="auto"/>
        <w:rPr>
          <w:rFonts w:ascii="Microsoft JhengHei"/>
          <w:sz w:val="21"/>
        </w:rPr>
      </w:pPr>
      <w:r>
        <w:rPr>
          <w:rFonts w:ascii="仿宋" w:hAnsi="仿宋" w:eastAsia="仿宋" w:cs="Times New Roman"/>
          <w:snapToGrid/>
          <w:color w:val="000000"/>
          <w:kern w:val="2"/>
          <w:sz w:val="32"/>
          <w:szCs w:val="32"/>
          <w:lang w:val="en-US" w:eastAsia="zh-CN" w:bidi="ar-SA"/>
        </w:rPr>
        <w:drawing>
          <wp:anchor distT="0" distB="0" distL="0" distR="0" simplePos="0" relativeHeight="251661312" behindDoc="0" locked="0" layoutInCell="1" allowOverlap="1">
            <wp:simplePos x="0" y="0"/>
            <wp:positionH relativeFrom="column">
              <wp:posOffset>519430</wp:posOffset>
            </wp:positionH>
            <wp:positionV relativeFrom="paragraph">
              <wp:posOffset>31115</wp:posOffset>
            </wp:positionV>
            <wp:extent cx="4352925" cy="2037715"/>
            <wp:effectExtent l="0" t="0" r="9525" b="635"/>
            <wp:wrapNone/>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27"/>
                    <a:stretch>
                      <a:fillRect/>
                    </a:stretch>
                  </pic:blipFill>
                  <pic:spPr>
                    <a:xfrm>
                      <a:off x="0" y="0"/>
                      <a:ext cx="4352925" cy="2037715"/>
                    </a:xfrm>
                    <a:prstGeom prst="rect">
                      <a:avLst/>
                    </a:prstGeom>
                  </pic:spPr>
                </pic:pic>
              </a:graphicData>
            </a:graphic>
          </wp:anchor>
        </w:drawing>
      </w: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pStyle w:val="5"/>
        <w:rPr>
          <w:rFonts w:ascii="Microsoft JhengHei"/>
          <w:sz w:val="21"/>
        </w:rPr>
      </w:pPr>
    </w:p>
    <w:p>
      <w:pPr>
        <w:rPr>
          <w:rFonts w:ascii="Microsoft JhengHei"/>
          <w:sz w:val="21"/>
        </w:rPr>
      </w:pPr>
    </w:p>
    <w:p>
      <w:pPr>
        <w:widowControl w:val="0"/>
        <w:kinsoku/>
        <w:autoSpaceDE/>
        <w:autoSpaceDN/>
        <w:adjustRightInd/>
        <w:snapToGrid/>
        <w:spacing w:line="600" w:lineRule="exact"/>
        <w:ind w:firstLine="640"/>
        <w:jc w:val="center"/>
        <w:textAlignment w:val="auto"/>
        <w:rPr>
          <w:rFonts w:hint="default" w:ascii="仿宋" w:hAnsi="仿宋" w:eastAsia="仿宋" w:cs="Times New Roman"/>
          <w:snapToGrid/>
          <w:color w:val="000000"/>
          <w:kern w:val="2"/>
          <w:sz w:val="20"/>
          <w:szCs w:val="20"/>
          <w:lang w:val="en-US" w:eastAsia="zh-CN" w:bidi="ar-SA"/>
        </w:rPr>
      </w:pPr>
      <w:r>
        <w:rPr>
          <w:rFonts w:hint="eastAsia" w:ascii="仿宋" w:hAnsi="仿宋" w:eastAsia="仿宋" w:cs="Times New Roman"/>
          <w:snapToGrid/>
          <w:color w:val="000000"/>
          <w:kern w:val="2"/>
          <w:sz w:val="20"/>
          <w:szCs w:val="20"/>
          <w:lang w:val="en-US" w:eastAsia="zh-CN" w:bidi="ar-SA"/>
        </w:rPr>
        <w:t>14</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sectPr>
          <w:footerReference r:id="rId16" w:type="default"/>
          <w:pgSz w:w="11906" w:h="16839"/>
          <w:pgMar w:top="1431" w:right="1659" w:bottom="400" w:left="1785" w:header="0" w:footer="0" w:gutter="0"/>
          <w:pgNumType w:fmt="decimal"/>
          <w:cols w:space="720" w:num="1"/>
        </w:sectPr>
      </w:pPr>
    </w:p>
    <w:p>
      <w:pPr>
        <w:spacing w:before="105" w:line="188" w:lineRule="auto"/>
        <w:ind w:firstLine="675"/>
        <w:rPr>
          <w:rFonts w:ascii="仿宋" w:hAnsi="仿宋" w:eastAsia="仿宋" w:cs="仿宋"/>
          <w:sz w:val="32"/>
          <w:szCs w:val="32"/>
        </w:rPr>
      </w:pPr>
      <w:r>
        <w:rPr>
          <w:rFonts w:ascii="仿宋" w:hAnsi="仿宋" w:eastAsia="仿宋" w:cs="仿宋"/>
          <w:spacing w:val="-10"/>
          <w:sz w:val="32"/>
          <w:szCs w:val="32"/>
        </w:rPr>
        <w:t>（图7：“三公”经费财政拨款支出结构</w:t>
      </w:r>
      <w:r>
        <w:rPr>
          <w:rFonts w:ascii="仿宋" w:hAnsi="仿宋" w:eastAsia="仿宋" w:cs="仿宋"/>
          <w:spacing w:val="-99"/>
          <w:sz w:val="32"/>
          <w:szCs w:val="32"/>
        </w:rPr>
        <w:t>）（</w:t>
      </w:r>
      <w:r>
        <w:rPr>
          <w:rFonts w:ascii="仿宋" w:hAnsi="仿宋" w:eastAsia="仿宋" w:cs="仿宋"/>
          <w:spacing w:val="-10"/>
          <w:sz w:val="32"/>
          <w:szCs w:val="32"/>
        </w:rPr>
        <w:t>饼状图）</w:t>
      </w:r>
    </w:p>
    <w:p>
      <w:pPr>
        <w:spacing w:before="271" w:line="346" w:lineRule="auto"/>
        <w:ind w:left="30" w:right="100" w:firstLine="657"/>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1.因公出国（境）经费支出</w:t>
      </w:r>
      <w:r>
        <w:rPr>
          <w:rFonts w:ascii="仿宋_GB2312" w:hAnsi="Times New Roman" w:eastAsia="仿宋_GB2312" w:cs="Times New Roman"/>
          <w:snapToGrid/>
          <w:color w:val="000000"/>
          <w:kern w:val="2"/>
          <w:sz w:val="32"/>
          <w:szCs w:val="32"/>
          <w:lang w:val="en-US" w:eastAsia="zh-CN" w:bidi="ar-SA"/>
        </w:rPr>
        <w:t>0万元，完成预算100%。全年安排因公出国（境）团组0次，出国（境）0人。因公出国（境）支出决算与2019年持平。</w:t>
      </w:r>
    </w:p>
    <w:p>
      <w:pPr>
        <w:spacing w:before="3" w:line="346" w:lineRule="auto"/>
        <w:ind w:left="48" w:right="8" w:firstLine="630"/>
        <w:rPr>
          <w:rFonts w:ascii="仿宋" w:hAnsi="仿宋" w:eastAsia="仿宋" w:cs="仿宋"/>
          <w:sz w:val="32"/>
          <w:szCs w:val="32"/>
        </w:rPr>
      </w:pPr>
      <w:r>
        <w:rPr>
          <w:rFonts w:ascii="仿宋_GB2312" w:hAnsi="Times New Roman" w:eastAsia="仿宋_GB2312" w:cs="Times New Roman"/>
          <w:b/>
          <w:snapToGrid/>
          <w:color w:val="000000"/>
          <w:kern w:val="2"/>
          <w:sz w:val="32"/>
          <w:szCs w:val="32"/>
          <w:lang w:val="en-US" w:eastAsia="zh-CN" w:bidi="ar-SA"/>
        </w:rPr>
        <w:t>2.公务用车购置及运行维护费支出</w:t>
      </w:r>
      <w:r>
        <w:rPr>
          <w:rFonts w:ascii="仿宋_GB2312" w:hAnsi="Times New Roman" w:eastAsia="仿宋_GB2312" w:cs="Times New Roman"/>
          <w:snapToGrid/>
          <w:color w:val="000000"/>
          <w:kern w:val="2"/>
          <w:sz w:val="32"/>
          <w:szCs w:val="32"/>
          <w:lang w:val="en-US" w:eastAsia="zh-CN" w:bidi="ar-SA"/>
        </w:rPr>
        <w:t>0万元,完成预算100%。公务用车购置及运行维护费支出决算与2019年持平。</w:t>
      </w:r>
    </w:p>
    <w:p>
      <w:pPr>
        <w:spacing w:before="2" w:line="346" w:lineRule="auto"/>
        <w:ind w:left="25" w:firstLine="642"/>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其中：</w:t>
      </w:r>
      <w:r>
        <w:rPr>
          <w:rFonts w:ascii="仿宋_GB2312" w:hAnsi="Times New Roman" w:eastAsia="仿宋_GB2312" w:cs="Times New Roman"/>
          <w:b/>
          <w:snapToGrid/>
          <w:color w:val="000000"/>
          <w:kern w:val="2"/>
          <w:sz w:val="32"/>
          <w:szCs w:val="32"/>
          <w:lang w:val="en-US" w:eastAsia="zh-CN" w:bidi="ar-SA"/>
        </w:rPr>
        <w:t>公务用车购置支出</w:t>
      </w:r>
      <w:r>
        <w:rPr>
          <w:rFonts w:ascii="仿宋_GB2312" w:hAnsi="Times New Roman" w:eastAsia="仿宋_GB2312" w:cs="Times New Roman"/>
          <w:snapToGrid/>
          <w:color w:val="000000"/>
          <w:kern w:val="2"/>
          <w:sz w:val="32"/>
          <w:szCs w:val="32"/>
          <w:lang w:val="en-US" w:eastAsia="zh-CN" w:bidi="ar-SA"/>
        </w:rPr>
        <w:t>0万元。全年按规定更新购置公务用车0辆，其中：轿车0辆、金额0万元，越野车0辆、金额0万元，载客汽车0辆、金额0万元。截至2020年12月底</w:t>
      </w:r>
      <w:r>
        <w:rPr>
          <w:rFonts w:hint="eastAsia" w:ascii="仿宋_GB2312" w:hAnsi="Times New Roman" w:eastAsia="仿宋_GB2312" w:cs="Times New Roman"/>
          <w:snapToGrid/>
          <w:color w:val="000000"/>
          <w:kern w:val="2"/>
          <w:sz w:val="32"/>
          <w:szCs w:val="32"/>
          <w:lang w:val="en-US" w:eastAsia="zh-CN" w:bidi="ar-SA"/>
        </w:rPr>
        <w:t>，</w:t>
      </w:r>
      <w:r>
        <w:rPr>
          <w:rFonts w:ascii="仿宋_GB2312" w:hAnsi="Times New Roman" w:eastAsia="仿宋_GB2312" w:cs="Times New Roman"/>
          <w:snapToGrid/>
          <w:color w:val="000000"/>
          <w:kern w:val="2"/>
          <w:sz w:val="32"/>
          <w:szCs w:val="32"/>
          <w:lang w:val="en-US" w:eastAsia="zh-CN" w:bidi="ar-SA"/>
        </w:rPr>
        <w:t>单位共有公务用车0辆，其中</w:t>
      </w:r>
      <w:r>
        <w:rPr>
          <w:rFonts w:hint="eastAsia" w:ascii="仿宋_GB2312" w:hAnsi="Times New Roman" w:eastAsia="仿宋_GB2312" w:cs="Times New Roman"/>
          <w:snapToGrid/>
          <w:color w:val="000000"/>
          <w:kern w:val="2"/>
          <w:sz w:val="32"/>
          <w:szCs w:val="32"/>
          <w:lang w:val="en-US" w:eastAsia="zh-CN" w:bidi="ar-SA"/>
        </w:rPr>
        <w:t>：</w:t>
      </w:r>
      <w:r>
        <w:rPr>
          <w:rFonts w:ascii="仿宋_GB2312" w:hAnsi="Times New Roman" w:eastAsia="仿宋_GB2312" w:cs="Times New Roman"/>
          <w:snapToGrid/>
          <w:color w:val="000000"/>
          <w:kern w:val="2"/>
          <w:sz w:val="32"/>
          <w:szCs w:val="32"/>
          <w:lang w:val="en-US" w:eastAsia="zh-CN" w:bidi="ar-SA"/>
        </w:rPr>
        <w:t>轿车0辆、越野车0辆、载客汽车0辆。</w:t>
      </w:r>
    </w:p>
    <w:p>
      <w:pPr>
        <w:spacing w:line="204" w:lineRule="auto"/>
        <w:ind w:firstLine="666"/>
        <w:rPr>
          <w:rFonts w:ascii="仿宋" w:hAnsi="仿宋" w:eastAsia="仿宋" w:cs="仿宋"/>
          <w:sz w:val="32"/>
          <w:szCs w:val="32"/>
        </w:rPr>
      </w:pPr>
      <w:r>
        <w:rPr>
          <w:rFonts w:ascii="仿宋_GB2312" w:hAnsi="Times New Roman" w:eastAsia="仿宋_GB2312" w:cs="Times New Roman"/>
          <w:b/>
          <w:snapToGrid/>
          <w:color w:val="000000"/>
          <w:kern w:val="2"/>
          <w:sz w:val="32"/>
          <w:szCs w:val="32"/>
          <w:lang w:val="en-US" w:eastAsia="zh-CN" w:bidi="ar-SA"/>
        </w:rPr>
        <w:t>公务用车运行维护费支出</w:t>
      </w:r>
      <w:r>
        <w:rPr>
          <w:rFonts w:ascii="仿宋_GB2312" w:hAnsi="Times New Roman" w:eastAsia="仿宋_GB2312" w:cs="Times New Roman"/>
          <w:snapToGrid/>
          <w:color w:val="000000"/>
          <w:kern w:val="2"/>
          <w:sz w:val="32"/>
          <w:szCs w:val="32"/>
          <w:lang w:val="en-US" w:eastAsia="zh-CN" w:bidi="ar-SA"/>
        </w:rPr>
        <w:t>0万元。</w:t>
      </w:r>
    </w:p>
    <w:p>
      <w:pPr>
        <w:spacing w:before="244" w:line="346" w:lineRule="auto"/>
        <w:ind w:left="26" w:right="100" w:firstLine="665"/>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3.公务接待费支出</w:t>
      </w:r>
      <w:r>
        <w:rPr>
          <w:rFonts w:ascii="仿宋_GB2312" w:hAnsi="Times New Roman" w:eastAsia="仿宋_GB2312" w:cs="Times New Roman"/>
          <w:snapToGrid/>
          <w:color w:val="000000"/>
          <w:kern w:val="2"/>
          <w:sz w:val="32"/>
          <w:szCs w:val="32"/>
          <w:lang w:val="en-US" w:eastAsia="zh-CN" w:bidi="ar-SA"/>
        </w:rPr>
        <w:t>0.22万元，完成预算14.67%。公务接待费支出决算比2019年增加0.12万元，增长120%。主要原因是本单位在2019年5月新成立，不包含1-5月数据。2020年为全年数据。</w:t>
      </w:r>
      <w:r>
        <w:rPr>
          <w:rFonts w:ascii="仿宋" w:hAnsi="仿宋" w:eastAsia="仿宋" w:cs="仿宋"/>
          <w:spacing w:val="-3"/>
          <w:sz w:val="32"/>
          <w:szCs w:val="32"/>
        </w:rPr>
        <w:t>其中：</w:t>
      </w:r>
    </w:p>
    <w:p>
      <w:pPr>
        <w:keepNext w:val="0"/>
        <w:keepLines w:val="0"/>
        <w:pageBreakBefore w:val="0"/>
        <w:widowControl/>
        <w:kinsoku w:val="0"/>
        <w:wordWrap/>
        <w:overflowPunct/>
        <w:topLinePunct w:val="0"/>
        <w:autoSpaceDE w:val="0"/>
        <w:autoSpaceDN w:val="0"/>
        <w:bidi w:val="0"/>
        <w:adjustRightInd w:val="0"/>
        <w:snapToGrid w:val="0"/>
        <w:spacing w:line="183" w:lineRule="auto"/>
        <w:ind w:firstLine="643" w:firstLineChars="200"/>
        <w:textAlignment w:val="baseline"/>
        <w:rPr>
          <w:rFonts w:hint="eastAsia"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国内公务接待支出</w:t>
      </w:r>
      <w:r>
        <w:rPr>
          <w:rFonts w:hint="eastAsia" w:ascii="仿宋_GB2312" w:hAnsi="Times New Roman" w:eastAsia="仿宋_GB2312" w:cs="Times New Roman"/>
          <w:snapToGrid/>
          <w:color w:val="000000"/>
          <w:kern w:val="2"/>
          <w:sz w:val="32"/>
          <w:szCs w:val="32"/>
          <w:lang w:val="en-US" w:eastAsia="zh-CN" w:bidi="ar-SA"/>
        </w:rPr>
        <w:t>0.22万元，主要用于接待用餐费。国内公务接待2批次，25人次（不包括陪同人员），共计支出0.22万元，具体内容包括：接待凉山州退役局交流学习及大走访工作用餐0.14万元，接待省厅参加卢德铭纪念馆开馆仪式用餐0.08万元。</w:t>
      </w:r>
    </w:p>
    <w:p>
      <w:pPr>
        <w:widowControl w:val="0"/>
        <w:kinsoku/>
        <w:autoSpaceDE/>
        <w:autoSpaceDN/>
        <w:adjustRightInd/>
        <w:snapToGrid/>
        <w:spacing w:line="600" w:lineRule="exact"/>
        <w:ind w:firstLine="640"/>
        <w:jc w:val="both"/>
        <w:textAlignment w:val="auto"/>
        <w:rPr>
          <w:rFonts w:hint="eastAsia"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外事接待支出</w:t>
      </w:r>
      <w:r>
        <w:rPr>
          <w:rFonts w:hint="eastAsia" w:ascii="仿宋_GB2312" w:hAnsi="Times New Roman" w:eastAsia="仿宋_GB2312" w:cs="Times New Roman"/>
          <w:snapToGrid/>
          <w:color w:val="000000"/>
          <w:kern w:val="2"/>
          <w:sz w:val="32"/>
          <w:szCs w:val="32"/>
          <w:lang w:val="en-US" w:eastAsia="zh-CN" w:bidi="ar-SA"/>
        </w:rPr>
        <w:t>0万元，外事接待0批次，0人，共计支出0万元。</w:t>
      </w:r>
    </w:p>
    <w:p>
      <w:pPr>
        <w:spacing w:before="105" w:line="187" w:lineRule="auto"/>
        <w:ind w:firstLine="667"/>
        <w:outlineLvl w:val="1"/>
        <w:rPr>
          <w:rFonts w:hint="eastAsia" w:ascii="黑体" w:hAnsi="黑体" w:eastAsia="黑体" w:cs="黑体"/>
          <w:spacing w:val="-1"/>
          <w:sz w:val="32"/>
          <w:szCs w:val="32"/>
        </w:rPr>
      </w:pPr>
      <w:bookmarkStart w:id="11" w:name="_bookmark12"/>
      <w:bookmarkEnd w:id="11"/>
    </w:p>
    <w:p>
      <w:pPr>
        <w:widowControl w:val="0"/>
        <w:kinsoku/>
        <w:autoSpaceDE/>
        <w:autoSpaceDN/>
        <w:adjustRightInd/>
        <w:snapToGrid/>
        <w:spacing w:line="600" w:lineRule="exact"/>
        <w:ind w:firstLine="640"/>
        <w:jc w:val="both"/>
        <w:textAlignment w:val="auto"/>
        <w:outlineLvl w:val="1"/>
        <w:rPr>
          <w:rFonts w:hint="eastAsia" w:ascii="黑体" w:hAnsi="Times New Roman" w:eastAsia="黑体" w:cs="Times New Roman"/>
          <w:snapToGrid/>
          <w:color w:val="000000"/>
          <w:kern w:val="2"/>
          <w:sz w:val="32"/>
          <w:szCs w:val="32"/>
          <w:lang w:val="en-US" w:eastAsia="zh-CN" w:bidi="ar-SA"/>
        </w:rPr>
      </w:pPr>
      <w:r>
        <w:rPr>
          <w:rFonts w:hint="eastAsia" w:ascii="黑体" w:hAnsi="Times New Roman" w:eastAsia="黑体" w:cs="Times New Roman"/>
          <w:snapToGrid/>
          <w:color w:val="000000"/>
          <w:kern w:val="2"/>
          <w:sz w:val="32"/>
          <w:szCs w:val="32"/>
          <w:lang w:val="en-US" w:eastAsia="zh-CN" w:bidi="ar-SA"/>
        </w:rPr>
        <w:t>八、政府性基金预算支出决算情况说明</w:t>
      </w:r>
    </w:p>
    <w:p>
      <w:pPr>
        <w:widowControl w:val="0"/>
        <w:kinsoku/>
        <w:autoSpaceDE/>
        <w:autoSpaceDN/>
        <w:adjustRightInd/>
        <w:snapToGrid/>
        <w:spacing w:line="600" w:lineRule="exact"/>
        <w:ind w:firstLine="64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2020年政府性基金预算拨款支出0万元。</w:t>
      </w:r>
    </w:p>
    <w:p>
      <w:pPr>
        <w:spacing w:line="256" w:lineRule="auto"/>
        <w:rPr>
          <w:rFonts w:ascii="Microsoft JhengHei"/>
          <w:sz w:val="21"/>
        </w:rPr>
      </w:pPr>
    </w:p>
    <w:p>
      <w:pPr>
        <w:spacing w:line="257" w:lineRule="auto"/>
        <w:rPr>
          <w:rFonts w:ascii="Microsoft JhengHei"/>
          <w:sz w:val="21"/>
        </w:rPr>
      </w:pPr>
    </w:p>
    <w:p>
      <w:pPr>
        <w:spacing w:before="104" w:line="187" w:lineRule="auto"/>
        <w:ind w:firstLine="674"/>
        <w:outlineLvl w:val="1"/>
        <w:rPr>
          <w:rFonts w:ascii="黑体" w:hAnsi="黑体" w:eastAsia="黑体" w:cs="黑体"/>
          <w:sz w:val="32"/>
          <w:szCs w:val="32"/>
        </w:rPr>
      </w:pPr>
      <w:bookmarkStart w:id="12" w:name="_bookmark13"/>
      <w:bookmarkEnd w:id="12"/>
      <w:r>
        <w:rPr>
          <w:rFonts w:ascii="黑体" w:hAnsi="黑体" w:eastAsia="黑体" w:cs="黑体"/>
          <w:spacing w:val="-2"/>
          <w:sz w:val="32"/>
          <w:szCs w:val="32"/>
        </w:rPr>
        <w:t>九、国有资本经营预算支出决算情况说明</w:t>
      </w:r>
    </w:p>
    <w:p>
      <w:pPr>
        <w:widowControl w:val="0"/>
        <w:kinsoku/>
        <w:autoSpaceDE/>
        <w:autoSpaceDN/>
        <w:adjustRightInd/>
        <w:snapToGrid/>
        <w:spacing w:line="600" w:lineRule="exact"/>
        <w:ind w:firstLine="64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2020年国有资本经营预算拨款支出0万元。</w:t>
      </w:r>
    </w:p>
    <w:p>
      <w:pPr>
        <w:widowControl w:val="0"/>
        <w:kinsoku/>
        <w:autoSpaceDE/>
        <w:autoSpaceDN/>
        <w:adjustRightInd/>
        <w:snapToGrid/>
        <w:spacing w:line="600" w:lineRule="exact"/>
        <w:ind w:firstLine="640"/>
        <w:jc w:val="both"/>
        <w:textAlignment w:val="auto"/>
        <w:rPr>
          <w:rFonts w:ascii="Microsoft JhengHei"/>
          <w:sz w:val="21"/>
        </w:rPr>
      </w:pPr>
    </w:p>
    <w:p>
      <w:pPr>
        <w:widowControl w:val="0"/>
        <w:kinsoku/>
        <w:autoSpaceDE/>
        <w:autoSpaceDN/>
        <w:adjustRightInd/>
        <w:snapToGrid/>
        <w:spacing w:line="600" w:lineRule="exact"/>
        <w:ind w:firstLine="800" w:firstLineChars="250"/>
        <w:jc w:val="both"/>
        <w:textAlignment w:val="auto"/>
        <w:outlineLvl w:val="1"/>
        <w:rPr>
          <w:rFonts w:hint="eastAsia" w:ascii="黑体" w:hAnsi="黑体" w:eastAsia="黑体" w:cs="Times New Roman"/>
          <w:snapToGrid/>
          <w:color w:val="000000"/>
          <w:kern w:val="2"/>
          <w:sz w:val="32"/>
          <w:szCs w:val="32"/>
          <w:lang w:val="en-US" w:eastAsia="zh-CN" w:bidi="ar-SA"/>
        </w:rPr>
      </w:pPr>
      <w:r>
        <w:rPr>
          <w:rFonts w:hint="eastAsia" w:ascii="黑体" w:hAnsi="黑体" w:eastAsia="黑体" w:cs="Times New Roman"/>
          <w:snapToGrid/>
          <w:color w:val="000000"/>
          <w:kern w:val="2"/>
          <w:sz w:val="32"/>
          <w:szCs w:val="32"/>
          <w:lang w:val="en-US" w:eastAsia="zh-CN" w:bidi="ar-SA"/>
        </w:rPr>
        <w:t>十、其他重要事项的情况说明</w:t>
      </w:r>
    </w:p>
    <w:p>
      <w:pPr>
        <w:widowControl w:val="0"/>
        <w:kinsoku/>
        <w:autoSpaceDE/>
        <w:autoSpaceDN/>
        <w:adjustRightInd/>
        <w:snapToGrid/>
        <w:spacing w:line="600" w:lineRule="exact"/>
        <w:ind w:firstLine="643" w:firstLineChars="200"/>
        <w:jc w:val="both"/>
        <w:textAlignment w:val="auto"/>
        <w:outlineLvl w:val="2"/>
        <w:rPr>
          <w:rFonts w:hint="eastAsia" w:ascii="仿宋" w:hAnsi="仿宋" w:eastAsia="仿宋" w:cs="Times New Roman"/>
          <w:b/>
          <w:snapToGrid/>
          <w:color w:val="000000"/>
          <w:kern w:val="2"/>
          <w:sz w:val="32"/>
          <w:szCs w:val="32"/>
          <w:lang w:val="en-US" w:eastAsia="zh-CN" w:bidi="ar-SA"/>
        </w:rPr>
      </w:pPr>
      <w:bookmarkStart w:id="13" w:name="_bookmark14"/>
      <w:bookmarkEnd w:id="13"/>
      <w:r>
        <w:rPr>
          <w:rFonts w:hint="eastAsia" w:ascii="仿宋" w:hAnsi="仿宋" w:eastAsia="仿宋" w:cs="Times New Roman"/>
          <w:b/>
          <w:snapToGrid/>
          <w:color w:val="000000"/>
          <w:kern w:val="2"/>
          <w:sz w:val="32"/>
          <w:szCs w:val="32"/>
          <w:lang w:val="en-US" w:eastAsia="zh-CN" w:bidi="ar-SA"/>
        </w:rPr>
        <w:t>（一）机关运行经费支出情况</w:t>
      </w:r>
    </w:p>
    <w:p>
      <w:pPr>
        <w:widowControl w:val="0"/>
        <w:kinsoku/>
        <w:autoSpaceDE/>
        <w:autoSpaceDN/>
        <w:adjustRightInd/>
        <w:snapToGrid/>
        <w:spacing w:line="600" w:lineRule="exact"/>
        <w:ind w:firstLine="640" w:firstLineChars="20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2020年，自贡市自流井区退役军人事务局机关运行经费支出72.95万元，比2019年减少46.56万元，下降38.96%。主要原因是2019年新成立单位时，需要购置办公设备、办公家具、办公网络等，2020年这些费用减少所致。</w:t>
      </w:r>
    </w:p>
    <w:p>
      <w:pPr>
        <w:widowControl w:val="0"/>
        <w:kinsoku/>
        <w:autoSpaceDE w:val="0"/>
        <w:autoSpaceDN w:val="0"/>
        <w:adjustRightInd w:val="0"/>
        <w:snapToGrid/>
        <w:spacing w:line="600" w:lineRule="exact"/>
        <w:ind w:firstLine="643" w:firstLineChars="200"/>
        <w:jc w:val="left"/>
        <w:textAlignment w:val="auto"/>
        <w:outlineLvl w:val="2"/>
        <w:rPr>
          <w:rFonts w:hint="eastAsia" w:ascii="仿宋" w:hAnsi="仿宋" w:eastAsia="仿宋" w:cs="Times New Roman"/>
          <w:b/>
          <w:snapToGrid/>
          <w:color w:val="000000"/>
          <w:kern w:val="2"/>
          <w:sz w:val="32"/>
          <w:szCs w:val="32"/>
          <w:lang w:val="en-US" w:eastAsia="zh-CN" w:bidi="ar-SA"/>
        </w:rPr>
      </w:pPr>
      <w:r>
        <w:rPr>
          <w:rFonts w:hint="eastAsia" w:ascii="仿宋" w:hAnsi="仿宋" w:eastAsia="仿宋" w:cs="Times New Roman"/>
          <w:b/>
          <w:snapToGrid/>
          <w:color w:val="000000"/>
          <w:kern w:val="2"/>
          <w:sz w:val="32"/>
          <w:szCs w:val="32"/>
          <w:lang w:val="en-US" w:eastAsia="zh-CN" w:bidi="ar-SA"/>
        </w:rPr>
        <w:t>（二）政府采购支出情况</w:t>
      </w:r>
    </w:p>
    <w:p>
      <w:pPr>
        <w:widowControl w:val="0"/>
        <w:kinsoku/>
        <w:autoSpaceDE/>
        <w:autoSpaceDN/>
        <w:adjustRightInd/>
        <w:snapToGrid/>
        <w:spacing w:line="600" w:lineRule="exact"/>
        <w:ind w:firstLine="640" w:firstLineChars="20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自贡市自流井区退役军人事务局政府采购支出总额5.55万元，其中：政府采购货物支出5.55万元、政府采购工程支出0万元、政府采购服务支出0万元。主要用于采购电脑、打印机、办公椅、装订机。授予中小企业合同金额0万元，占政府采购支出总额的0%，其中：授予小微企业合同金额0万元，占政府采购支出总额的0%。</w:t>
      </w:r>
    </w:p>
    <w:p>
      <w:pPr>
        <w:widowControl w:val="0"/>
        <w:kinsoku/>
        <w:autoSpaceDE w:val="0"/>
        <w:autoSpaceDN w:val="0"/>
        <w:adjustRightInd w:val="0"/>
        <w:snapToGrid/>
        <w:spacing w:line="600" w:lineRule="exact"/>
        <w:ind w:firstLine="643" w:firstLineChars="200"/>
        <w:jc w:val="left"/>
        <w:textAlignment w:val="auto"/>
        <w:outlineLvl w:val="2"/>
        <w:rPr>
          <w:rFonts w:hint="eastAsia" w:ascii="仿宋" w:hAnsi="仿宋" w:eastAsia="仿宋" w:cs="Times New Roman"/>
          <w:b/>
          <w:snapToGrid/>
          <w:color w:val="000000"/>
          <w:kern w:val="2"/>
          <w:sz w:val="32"/>
          <w:szCs w:val="32"/>
          <w:lang w:val="en-US" w:eastAsia="zh-CN" w:bidi="ar-SA"/>
        </w:rPr>
      </w:pPr>
      <w:r>
        <w:rPr>
          <w:rFonts w:hint="eastAsia" w:ascii="仿宋" w:hAnsi="仿宋" w:eastAsia="仿宋" w:cs="Times New Roman"/>
          <w:b/>
          <w:snapToGrid/>
          <w:color w:val="000000"/>
          <w:kern w:val="2"/>
          <w:sz w:val="32"/>
          <w:szCs w:val="32"/>
          <w:lang w:val="en-US" w:eastAsia="zh-CN" w:bidi="ar-SA"/>
        </w:rPr>
        <w:t>（三）国有资产占有使用情况</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截至2020年12月31日，自贡市自流井区退役军人事务局共有车辆0辆，其中：主要领导干部用车0辆、机要通信用车0辆、应急保障用车0辆、其他用车0辆、单价50万元以上通用设备0台（套），单价100万元以上专用设备0台（套）。</w:t>
      </w:r>
    </w:p>
    <w:p>
      <w:pPr>
        <w:spacing w:before="281" w:line="188" w:lineRule="auto"/>
        <w:ind w:firstLine="675"/>
        <w:outlineLvl w:val="2"/>
        <w:rPr>
          <w:rFonts w:ascii="仿宋" w:hAnsi="仿宋" w:eastAsia="仿宋" w:cs="仿宋"/>
          <w:sz w:val="32"/>
          <w:szCs w:val="32"/>
        </w:rPr>
      </w:pPr>
      <w:r>
        <w:rPr>
          <w:rFonts w:ascii="仿宋" w:hAnsi="仿宋" w:eastAsia="仿宋" w:cs="仿宋"/>
          <w:spacing w:val="-15"/>
          <w:sz w:val="32"/>
          <w:szCs w:val="32"/>
          <w14:textOutline w14:w="5793" w14:cap="sq" w14:cmpd="sng">
            <w14:solidFill>
              <w14:srgbClr w14:val="000000"/>
            </w14:solidFill>
            <w14:prstDash w14:val="solid"/>
            <w14:bevel/>
          </w14:textOutline>
        </w:rPr>
        <w:t>（四）预算绩效管理情况。</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根据预算绩效管理要求，本部门（单位）在年初预算编制阶段，组织对5个项目（乡复员、退伍军人生活补助项目，拥军拥属项目，义务兵优待项目，退役士兵安置项目，大学生入伍奖励金项目）开展了预算事前绩效评估，对5个项目编制了绩效目标，预算执行过程中，选取5个项目开展绩效监控，年终执行完毕后，对5个项目开展了绩效目标完成情况自评。</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本部门按要求对2020年部门整体支出开展绩效自评，从评价情况来看项目均已完成。本部门还自行组织了5个项目支出绩效评价，从评价情况来看项目均已完成。</w:t>
      </w:r>
    </w:p>
    <w:p>
      <w:pPr>
        <w:widowControl w:val="0"/>
        <w:kinsoku/>
        <w:autoSpaceDE/>
        <w:autoSpaceDN/>
        <w:adjustRightInd/>
        <w:snapToGrid/>
        <w:spacing w:line="580" w:lineRule="exact"/>
        <w:ind w:firstLine="640" w:firstLineChars="200"/>
        <w:jc w:val="both"/>
        <w:textAlignment w:val="auto"/>
        <w:rPr>
          <w:rFonts w:ascii="楷体_GB2312" w:hAnsi="楷体_GB2312" w:eastAsia="楷体_GB2312" w:cs="楷体_GB2312"/>
          <w:snapToGrid/>
          <w:kern w:val="2"/>
          <w:sz w:val="32"/>
          <w:szCs w:val="32"/>
          <w:lang w:val="en-US" w:eastAsia="zh-CN" w:bidi="ar-SA"/>
        </w:rPr>
      </w:pPr>
      <w:r>
        <w:rPr>
          <w:rFonts w:ascii="楷体_GB2312" w:hAnsi="楷体_GB2312" w:eastAsia="楷体_GB2312" w:cs="楷体_GB2312"/>
          <w:snapToGrid/>
          <w:kern w:val="2"/>
          <w:sz w:val="32"/>
          <w:szCs w:val="32"/>
          <w:lang w:val="en-US" w:eastAsia="zh-CN" w:bidi="ar-SA"/>
        </w:rPr>
        <w:t>1.项目绩效目标完成情况。</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本部门在2020年度部门决算中反映“乡复员、退伍军人生活补助”“拥军拥属”“义务兵优待”等5个项目绩效目标实际完成情况。</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乡复员、退伍军人生活补助项目绩效目标完成情况综述。项目全年预算数70万元，执行数为70万元，完成预算的100%。通过项目实施，保障了优抚对象的生活补助正常发放，发现的主要问题：2。下一步改进措施：继续加大涉军信访诉求服务工作。深入开展退役军人诉求大调研、大排查、大走访活动，广泛听取意见、了解诉求，变退役军人上访为服务机构上门，着力破解矛盾问题，及时回应退役军人最直接、最现实的利益诉求，切实为优抚对象解疑答惑，努力将各类问题化解在萌芽状态。</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拥军拥属项目绩效目标完成情况综述。项目全年预算数160万元，执行数为160万元，完成预算的100%。通过项目实施，保障了退役军人节日慰问资金的正常发放，发现的主要问题：1。下一步改进措施：建议由市级部门出面相对统一慰问标准。</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3）义务兵优待项目绩效目标完成情况综述。项目全年预算数228.33万元，执行数为228.33万元，完成预算的100%。通过项目实施，鼓励了适龄青年响应国家号召，积极参军，发现的主要问题：1。下一步改进措施：继续加大义务兵入伍奖励服务工作。深入开展关于义务兵入伍相关问题大调研、大排查、大走访活动，广泛听取意见、了解诉求，着力破解矛盾问题，及时解决最直接、最现实的利益诉求。</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（4）退役士兵安置项目绩效目标完成情况综述。项目全年预算数83.08万元，执行数为83.08万元，完成预算的100%。通过项目实施，保障了退役士兵安置费的正常发放，发现的主要问题：0。下一步改进措施：0。</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5）大学生入伍奖励金项目绩效目标完成情况综述。项目全年预算数58万元，执行数为58万元，完成预算的100%。通过项目实施，鼓励了适龄青年响应国家号召，积极参军，发现的主要问题：1。下一步改进措施：继续加大大学生入伍奖励服务工作。深入开展关于大学生入伍相关问题大调研、大排查、大走访活动，广泛听取意见、了解诉求，着力破解矛盾问题，及时解决最直接、最现实的利益诉求。</w:t>
      </w:r>
    </w:p>
    <w:p>
      <w:pPr>
        <w:spacing w:before="378" w:line="184" w:lineRule="auto"/>
        <w:jc w:val="cente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p>
    <w:p>
      <w:pPr>
        <w:spacing w:before="378" w:line="184" w:lineRule="auto"/>
        <w:jc w:val="cente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pPr>
    </w:p>
    <w:p>
      <w:pPr>
        <w:widowControl/>
        <w:kinsoku/>
        <w:autoSpaceDE/>
        <w:autoSpaceDN/>
        <w:adjustRightInd/>
        <w:snapToGrid/>
        <w:spacing w:line="240" w:lineRule="auto"/>
        <w:jc w:val="center"/>
        <w:textAlignment w:val="center"/>
        <w:rPr>
          <w:rFonts w:hint="eastAsia" w:ascii="宋体" w:hAnsi="宋体" w:eastAsia="仿宋_GB2312" w:cs="宋体"/>
          <w:b/>
          <w:bCs/>
          <w:snapToGrid/>
          <w:color w:val="000000"/>
          <w:kern w:val="0"/>
          <w:sz w:val="36"/>
          <w:szCs w:val="36"/>
          <w:lang w:val="en-US" w:eastAsia="zh-CN" w:bidi="ar"/>
        </w:rPr>
      </w:pPr>
      <w:r>
        <w:rPr>
          <w:rFonts w:hint="eastAsia" w:ascii="宋体" w:hAnsi="宋体" w:eastAsia="仿宋_GB2312" w:cs="宋体"/>
          <w:b/>
          <w:bCs/>
          <w:snapToGrid/>
          <w:color w:val="000000"/>
          <w:kern w:val="0"/>
          <w:sz w:val="36"/>
          <w:szCs w:val="36"/>
          <w:lang w:val="en-US" w:eastAsia="zh-CN" w:bidi="ar"/>
        </w:rPr>
        <w:t>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line="335" w:lineRule="exact"/>
              <w:jc w:val="center"/>
              <w:rPr>
                <w:rFonts w:ascii="Microsoft JhengHei"/>
                <w:sz w:val="19"/>
              </w:rPr>
            </w:pPr>
            <w:r>
              <w:rPr>
                <w:rFonts w:hint="eastAsia" w:ascii="仿宋" w:hAnsi="仿宋" w:eastAsia="仿宋" w:cs="仿宋"/>
                <w:spacing w:val="-4"/>
                <w:sz w:val="24"/>
                <w:szCs w:val="24"/>
                <w:lang w:val="en-US" w:eastAsia="zh-CN"/>
              </w:rPr>
              <w:t>乡复员、退伍军人生活补助</w:t>
            </w:r>
            <w:r>
              <w:rPr>
                <w:rFonts w:ascii="仿宋" w:hAnsi="仿宋" w:eastAsia="仿宋" w:cs="仿宋"/>
                <w:spacing w:val="-4"/>
                <w:sz w:val="24"/>
                <w:szCs w:val="24"/>
              </w:rPr>
              <w:t>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tabs>
                <w:tab w:val="left" w:pos="2951"/>
              </w:tabs>
              <w:spacing w:line="332" w:lineRule="exact"/>
              <w:jc w:val="center"/>
              <w:rPr>
                <w:rFonts w:hint="default" w:ascii="Microsoft JhengHei" w:eastAsia="宋体"/>
                <w:sz w:val="19"/>
                <w:lang w:val="en-US" w:eastAsia="zh-CN"/>
              </w:rPr>
            </w:pPr>
            <w:r>
              <w:rPr>
                <w:rFonts w:hint="eastAsia" w:ascii="仿宋" w:hAnsi="仿宋" w:eastAsia="仿宋" w:cs="仿宋"/>
                <w:spacing w:val="-6"/>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70万元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70万元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70万元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70万元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Microsoft JhengHei" w:eastAsia="宋体"/>
                <w:sz w:val="21"/>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050" w:firstLineChars="500"/>
              <w:jc w:val="both"/>
              <w:rPr>
                <w:rFonts w:hint="eastAsia" w:ascii="Microsoft JhengHei" w:eastAsia="宋体"/>
                <w:sz w:val="21"/>
                <w:lang w:val="en-US" w:eastAsia="zh-CN"/>
              </w:rPr>
            </w:pPr>
            <w:r>
              <w:rPr>
                <w:rFonts w:hint="eastAsia" w:ascii="Microsoft JhengHei" w:eastAsia="宋体"/>
                <w:sz w:val="21"/>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2"/>
              </w:numPr>
              <w:rPr>
                <w:rFonts w:hint="eastAsia" w:ascii="Microsoft JhengHei"/>
                <w:sz w:val="21"/>
              </w:rPr>
            </w:pPr>
            <w:r>
              <w:rPr>
                <w:rFonts w:hint="eastAsia" w:ascii="Microsoft JhengHei" w:eastAsia="宋体"/>
                <w:sz w:val="21"/>
                <w:lang w:val="en-US" w:eastAsia="zh-CN"/>
              </w:rPr>
              <w:t>完成</w:t>
            </w:r>
            <w:r>
              <w:rPr>
                <w:rFonts w:hint="eastAsia" w:ascii="Microsoft JhengHei"/>
                <w:sz w:val="21"/>
              </w:rPr>
              <w:t>重点优抚对象自然增长补助</w:t>
            </w:r>
          </w:p>
          <w:p>
            <w:pPr>
              <w:numPr>
                <w:ilvl w:val="0"/>
                <w:numId w:val="2"/>
              </w:numPr>
              <w:rPr>
                <w:rFonts w:hint="eastAsia" w:ascii="Microsoft JhengHei"/>
                <w:sz w:val="21"/>
              </w:rPr>
            </w:pPr>
            <w:r>
              <w:rPr>
                <w:rFonts w:hint="eastAsia" w:ascii="Microsoft JhengHei"/>
                <w:sz w:val="21"/>
              </w:rPr>
              <w:t>提高重点优抚对象满意度</w:t>
            </w:r>
          </w:p>
        </w:tc>
        <w:tc>
          <w:tcPr>
            <w:tcW w:w="4786" w:type="dxa"/>
            <w:gridSpan w:val="2"/>
            <w:vAlign w:val="top"/>
          </w:tcPr>
          <w:p>
            <w:pPr>
              <w:numPr>
                <w:ilvl w:val="0"/>
                <w:numId w:val="3"/>
              </w:numPr>
              <w:rPr>
                <w:rFonts w:hint="eastAsia" w:ascii="Microsoft JhengHei"/>
                <w:sz w:val="21"/>
              </w:rPr>
            </w:pPr>
            <w:r>
              <w:rPr>
                <w:rFonts w:hint="eastAsia" w:ascii="Microsoft JhengHei" w:eastAsia="宋体"/>
                <w:sz w:val="21"/>
                <w:lang w:val="en-US" w:eastAsia="zh-CN"/>
              </w:rPr>
              <w:t>完成</w:t>
            </w:r>
            <w:r>
              <w:rPr>
                <w:rFonts w:hint="eastAsia" w:ascii="Microsoft JhengHei"/>
                <w:sz w:val="21"/>
              </w:rPr>
              <w:t>重点优抚对象自然增长补助</w:t>
            </w:r>
          </w:p>
          <w:p>
            <w:pPr>
              <w:numPr>
                <w:ilvl w:val="0"/>
                <w:numId w:val="3"/>
              </w:numPr>
              <w:rPr>
                <w:rFonts w:hint="eastAsia" w:ascii="Microsoft JhengHei"/>
                <w:sz w:val="21"/>
              </w:rPr>
            </w:pPr>
            <w:r>
              <w:rPr>
                <w:rFonts w:hint="eastAsia" w:ascii="Microsoft JhengHei"/>
                <w:sz w:val="21"/>
              </w:rPr>
              <w:t>提高重点优抚对象满意度</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及时落实自然这增长补助资金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780人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780人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780人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重点优抚对象全享受</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footerReference r:id="rId17" w:type="default"/>
          <w:pgSz w:w="11906" w:h="16839"/>
          <w:pgMar w:top="1431" w:right="1706" w:bottom="1152" w:left="1763" w:header="0" w:footer="1033" w:gutter="0"/>
          <w:pgNumType w:fmt="decimal"/>
          <w:cols w:space="720" w:num="1"/>
        </w:sectPr>
      </w:pPr>
    </w:p>
    <w:p>
      <w:pPr>
        <w:widowControl/>
        <w:kinsoku/>
        <w:autoSpaceDE/>
        <w:autoSpaceDN/>
        <w:adjustRightInd/>
        <w:snapToGrid/>
        <w:spacing w:line="240" w:lineRule="auto"/>
        <w:jc w:val="center"/>
        <w:textAlignment w:val="center"/>
        <w:rPr>
          <w:rFonts w:hint="eastAsia" w:ascii="宋体" w:hAnsi="宋体" w:eastAsia="仿宋_GB2312" w:cs="宋体"/>
          <w:b/>
          <w:bCs/>
          <w:snapToGrid/>
          <w:color w:val="000000"/>
          <w:kern w:val="0"/>
          <w:sz w:val="36"/>
          <w:szCs w:val="36"/>
          <w:lang w:val="en-US" w:eastAsia="zh-CN" w:bidi="ar"/>
        </w:rPr>
      </w:pPr>
      <w:r>
        <w:rPr>
          <w:rFonts w:hint="eastAsia" w:ascii="宋体" w:hAnsi="宋体" w:eastAsia="仿宋_GB2312" w:cs="宋体"/>
          <w:b/>
          <w:bCs/>
          <w:snapToGrid/>
          <w:color w:val="000000"/>
          <w:kern w:val="0"/>
          <w:sz w:val="36"/>
          <w:szCs w:val="36"/>
          <w:lang w:val="en-US" w:eastAsia="zh-CN" w:bidi="ar"/>
        </w:rPr>
        <w:t xml:space="preserve">   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ascii="仿宋" w:hAnsi="仿宋" w:eastAsia="仿宋" w:cs="仿宋"/>
                <w:spacing w:val="-4"/>
                <w:sz w:val="24"/>
                <w:szCs w:val="24"/>
              </w:rPr>
            </w:pPr>
            <w:r>
              <w:rPr>
                <w:rFonts w:hint="eastAsia" w:ascii="仿宋" w:hAnsi="仿宋" w:eastAsia="仿宋" w:cs="仿宋"/>
                <w:spacing w:val="-4"/>
                <w:sz w:val="24"/>
                <w:szCs w:val="24"/>
                <w:lang w:val="en-US" w:eastAsia="zh-CN"/>
              </w:rPr>
              <w:t>拥军拥属</w:t>
            </w:r>
            <w:r>
              <w:rPr>
                <w:rFonts w:ascii="仿宋" w:hAnsi="仿宋" w:eastAsia="仿宋" w:cs="仿宋"/>
                <w:spacing w:val="-4"/>
                <w:sz w:val="24"/>
                <w:szCs w:val="24"/>
              </w:rPr>
              <w:t>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944" w:firstLineChars="4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0"/>
              </w:numPr>
              <w:ind w:firstLine="210" w:firstLineChars="100"/>
              <w:rPr>
                <w:rFonts w:hint="eastAsia" w:ascii="Microsoft JhengHei" w:eastAsia="宋体"/>
                <w:sz w:val="21"/>
                <w:lang w:val="en-US" w:eastAsia="zh-CN"/>
              </w:rPr>
            </w:pPr>
          </w:p>
          <w:p>
            <w:pPr>
              <w:numPr>
                <w:ilvl w:val="0"/>
                <w:numId w:val="0"/>
              </w:numPr>
              <w:ind w:firstLine="210" w:firstLineChars="100"/>
              <w:rPr>
                <w:rFonts w:hint="eastAsia" w:ascii="Microsoft JhengHei" w:eastAsia="宋体"/>
                <w:sz w:val="21"/>
                <w:lang w:val="en-US" w:eastAsia="zh-CN"/>
              </w:rPr>
            </w:pPr>
          </w:p>
          <w:p>
            <w:pPr>
              <w:numPr>
                <w:ilvl w:val="0"/>
                <w:numId w:val="0"/>
              </w:numPr>
              <w:ind w:firstLine="210" w:firstLineChars="100"/>
              <w:jc w:val="center"/>
              <w:rPr>
                <w:rFonts w:hint="default" w:ascii="Microsoft JhengHei" w:eastAsia="宋体"/>
                <w:sz w:val="21"/>
                <w:lang w:val="en-US" w:eastAsia="zh-CN"/>
              </w:rPr>
            </w:pPr>
            <w:r>
              <w:rPr>
                <w:rFonts w:hint="eastAsia" w:ascii="Microsoft JhengHei" w:eastAsia="宋体"/>
                <w:sz w:val="21"/>
                <w:lang w:val="en-US" w:eastAsia="zh-CN"/>
              </w:rPr>
              <w:t>对驻区部队及全区优抚对象进行节日慰问</w:t>
            </w:r>
          </w:p>
        </w:tc>
        <w:tc>
          <w:tcPr>
            <w:tcW w:w="4786" w:type="dxa"/>
            <w:gridSpan w:val="2"/>
            <w:vAlign w:val="top"/>
          </w:tcPr>
          <w:p>
            <w:pPr>
              <w:numPr>
                <w:ilvl w:val="0"/>
                <w:numId w:val="0"/>
              </w:numPr>
              <w:rPr>
                <w:rFonts w:hint="eastAsia" w:ascii="Microsoft JhengHei"/>
                <w:sz w:val="21"/>
              </w:rPr>
            </w:pPr>
          </w:p>
          <w:p>
            <w:pPr>
              <w:numPr>
                <w:ilvl w:val="0"/>
                <w:numId w:val="0"/>
              </w:numPr>
              <w:rPr>
                <w:rFonts w:hint="eastAsia" w:ascii="Microsoft JhengHei"/>
                <w:sz w:val="21"/>
              </w:rPr>
            </w:pPr>
          </w:p>
          <w:p>
            <w:pPr>
              <w:numPr>
                <w:ilvl w:val="0"/>
                <w:numId w:val="0"/>
              </w:numPr>
              <w:ind w:firstLine="210" w:firstLineChars="100"/>
              <w:jc w:val="center"/>
              <w:rPr>
                <w:rFonts w:hint="eastAsia" w:ascii="Microsoft JhengHei"/>
                <w:sz w:val="21"/>
              </w:rPr>
            </w:pPr>
            <w:r>
              <w:rPr>
                <w:rFonts w:hint="eastAsia" w:ascii="Microsoft JhengHei"/>
                <w:sz w:val="21"/>
              </w:rPr>
              <w:t>对驻区部队及全区优抚对象进行节日慰问</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服务优抚对象个数</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8952名</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8952名</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8952名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及时落实节日慰问资金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sz w:val="21"/>
              </w:rPr>
            </w:pPr>
          </w:p>
          <w:p>
            <w:pPr>
              <w:jc w:val="center"/>
              <w:rPr>
                <w:rFonts w:hint="default" w:ascii="Microsoft JhengHei" w:eastAsia="宋体"/>
                <w:sz w:val="21"/>
                <w:lang w:val="en-US" w:eastAsia="zh-CN"/>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hint="eastAsia" w:ascii="仿宋" w:hAnsi="仿宋" w:eastAsia="仿宋" w:cs="仿宋"/>
                <w:spacing w:val="-3"/>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sz w:val="21"/>
              </w:rPr>
            </w:pPr>
          </w:p>
          <w:p>
            <w:pPr>
              <w:jc w:val="center"/>
              <w:rPr>
                <w:rFonts w:hint="eastAsia" w:ascii="Microsoft JhengHei"/>
                <w:sz w:val="21"/>
              </w:rPr>
            </w:pPr>
            <w:r>
              <w:rPr>
                <w:rFonts w:hint="eastAsia" w:ascii="Microsoft JhengHei"/>
                <w:sz w:val="21"/>
              </w:rPr>
              <w:t>服务驻区部队个数</w:t>
            </w:r>
          </w:p>
        </w:tc>
        <w:tc>
          <w:tcPr>
            <w:tcW w:w="1500" w:type="dxa"/>
            <w:vAlign w:val="top"/>
          </w:tcPr>
          <w:p>
            <w:pPr>
              <w:jc w:val="center"/>
              <w:rPr>
                <w:rFonts w:hint="default" w:ascii="Microsoft JhengHei" w:eastAsia="宋体"/>
                <w:sz w:val="21"/>
                <w:lang w:val="en-US" w:eastAsia="zh-CN"/>
              </w:rPr>
            </w:pPr>
          </w:p>
          <w:p>
            <w:pPr>
              <w:jc w:val="center"/>
              <w:rPr>
                <w:rFonts w:hint="default" w:ascii="Microsoft JhengHei" w:eastAsia="宋体"/>
                <w:sz w:val="21"/>
                <w:lang w:val="en-US" w:eastAsia="zh-CN"/>
              </w:rPr>
            </w:pPr>
            <w:r>
              <w:rPr>
                <w:rFonts w:hint="default" w:ascii="Microsoft JhengHei" w:eastAsia="宋体"/>
                <w:sz w:val="21"/>
                <w:lang w:val="en-US" w:eastAsia="zh-CN"/>
              </w:rPr>
              <w:t>5</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spacing w:before="378" w:line="184" w:lineRule="auto"/>
        <w:jc w:val="center"/>
        <w:rPr>
          <w:rFonts w:ascii="仿宋" w:hAnsi="仿宋" w:eastAsia="仿宋" w:cs="仿宋"/>
          <w:sz w:val="36"/>
          <w:szCs w:val="36"/>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r>
        <w:rPr>
          <w:rFonts w:hint="eastAsia" w:ascii="宋体" w:hAnsi="宋体" w:eastAsia="仿宋_GB2312" w:cs="宋体"/>
          <w:b/>
          <w:bCs/>
          <w:snapToGrid/>
          <w:color w:val="000000"/>
          <w:kern w:val="0"/>
          <w:sz w:val="36"/>
          <w:szCs w:val="36"/>
          <w:lang w:val="en-US" w:eastAsia="zh-CN" w:bidi="ar"/>
        </w:rPr>
        <w:t>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义务兵优待项目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228.33万元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228.33万元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228.33万元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228.33万元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180" w:firstLineChars="5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4"/>
              </w:numPr>
              <w:rPr>
                <w:rFonts w:hint="eastAsia" w:ascii="Microsoft JhengHei" w:eastAsia="宋体"/>
                <w:sz w:val="21"/>
                <w:lang w:val="en-US" w:eastAsia="zh-CN"/>
              </w:rPr>
            </w:pPr>
            <w:r>
              <w:rPr>
                <w:rFonts w:hint="eastAsia" w:ascii="Microsoft JhengHei" w:eastAsia="宋体"/>
                <w:sz w:val="21"/>
                <w:lang w:val="en-US" w:eastAsia="zh-CN"/>
              </w:rPr>
              <w:t>鼓励适龄青年响应国家号召，积极参军</w:t>
            </w:r>
          </w:p>
          <w:p>
            <w:pPr>
              <w:numPr>
                <w:ilvl w:val="0"/>
                <w:numId w:val="4"/>
              </w:numPr>
              <w:rPr>
                <w:rFonts w:hint="default" w:ascii="Microsoft JhengHei" w:eastAsia="宋体"/>
                <w:sz w:val="21"/>
                <w:lang w:val="en-US" w:eastAsia="zh-CN"/>
              </w:rPr>
            </w:pPr>
            <w:r>
              <w:rPr>
                <w:rFonts w:hint="default" w:ascii="Microsoft JhengHei" w:eastAsia="宋体"/>
                <w:sz w:val="21"/>
                <w:lang w:val="en-US" w:eastAsia="zh-CN"/>
              </w:rPr>
              <w:t>提高适龄青年参军报效祖国的积极性</w:t>
            </w:r>
          </w:p>
        </w:tc>
        <w:tc>
          <w:tcPr>
            <w:tcW w:w="4786" w:type="dxa"/>
            <w:gridSpan w:val="2"/>
            <w:vAlign w:val="top"/>
          </w:tcPr>
          <w:p>
            <w:pPr>
              <w:numPr>
                <w:ilvl w:val="0"/>
                <w:numId w:val="0"/>
              </w:numPr>
              <w:rPr>
                <w:rFonts w:hint="eastAsia" w:ascii="Microsoft JhengHei" w:eastAsia="宋体"/>
                <w:sz w:val="21"/>
                <w:lang w:val="en-US" w:eastAsia="zh-CN"/>
              </w:rPr>
            </w:pPr>
            <w:r>
              <w:rPr>
                <w:rFonts w:hint="eastAsia" w:ascii="Microsoft JhengHei" w:eastAsia="宋体"/>
                <w:sz w:val="21"/>
                <w:lang w:val="en-US" w:eastAsia="zh-CN"/>
              </w:rPr>
              <w:t>1.鼓励适龄青年响应国家号召，积极参军</w:t>
            </w:r>
          </w:p>
          <w:p>
            <w:pPr>
              <w:numPr>
                <w:ilvl w:val="0"/>
                <w:numId w:val="0"/>
              </w:numPr>
              <w:rPr>
                <w:rFonts w:hint="eastAsia" w:ascii="Microsoft JhengHei"/>
                <w:b/>
                <w:bCs/>
                <w:sz w:val="21"/>
              </w:rPr>
            </w:pPr>
            <w:r>
              <w:rPr>
                <w:rFonts w:hint="eastAsia" w:ascii="Microsoft JhengHei" w:eastAsia="宋体"/>
                <w:sz w:val="21"/>
                <w:lang w:val="en-US" w:eastAsia="zh-CN"/>
              </w:rPr>
              <w:t>2.</w:t>
            </w:r>
            <w:r>
              <w:rPr>
                <w:rFonts w:hint="default" w:ascii="Microsoft JhengHei" w:eastAsia="宋体"/>
                <w:sz w:val="21"/>
                <w:lang w:val="en-US" w:eastAsia="zh-CN"/>
              </w:rPr>
              <w:t>提高适龄青年参军报效祖国的积极性</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ascii="Microsoft JhengHei"/>
                <w:sz w:val="21"/>
              </w:rPr>
            </w:pPr>
            <w:r>
              <w:rPr>
                <w:rFonts w:hint="eastAsia" w:ascii="Microsoft JhengHei"/>
                <w:sz w:val="21"/>
              </w:rPr>
              <w:t>现役的义务兵</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135人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135人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135人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确保及时落实义务兵家属优待金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义务兵家属满意度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spacing w:before="378" w:line="184" w:lineRule="auto"/>
        <w:jc w:val="center"/>
        <w:rPr>
          <w:rFonts w:ascii="仿宋" w:hAnsi="仿宋" w:eastAsia="仿宋" w:cs="仿宋"/>
          <w:sz w:val="36"/>
          <w:szCs w:val="36"/>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r>
        <w:rPr>
          <w:rFonts w:hint="eastAsia" w:ascii="宋体" w:hAnsi="宋体" w:eastAsia="仿宋_GB2312" w:cs="宋体"/>
          <w:b/>
          <w:bCs/>
          <w:snapToGrid/>
          <w:color w:val="000000"/>
          <w:kern w:val="0"/>
          <w:sz w:val="36"/>
          <w:szCs w:val="36"/>
          <w:lang w:val="en-US" w:eastAsia="zh-CN" w:bidi="ar"/>
        </w:rPr>
        <w:t xml:space="preserve"> 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ascii="仿宋" w:hAnsi="仿宋" w:eastAsia="仿宋" w:cs="仿宋"/>
                <w:spacing w:val="-4"/>
                <w:sz w:val="24"/>
                <w:szCs w:val="24"/>
              </w:rPr>
            </w:pPr>
            <w:r>
              <w:rPr>
                <w:rFonts w:hint="eastAsia" w:ascii="仿宋" w:hAnsi="仿宋" w:eastAsia="仿宋" w:cs="仿宋"/>
                <w:spacing w:val="-4"/>
                <w:sz w:val="24"/>
                <w:szCs w:val="24"/>
                <w:lang w:val="en-US" w:eastAsia="zh-CN"/>
              </w:rPr>
              <w:t>退役士兵安置</w:t>
            </w:r>
            <w:r>
              <w:rPr>
                <w:rFonts w:ascii="仿宋" w:hAnsi="仿宋" w:eastAsia="仿宋" w:cs="仿宋"/>
                <w:spacing w:val="-4"/>
                <w:sz w:val="24"/>
                <w:szCs w:val="24"/>
              </w:rPr>
              <w:t>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83.08万元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83.08万元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83.08万元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83.08万元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180" w:firstLineChars="5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0"/>
              </w:numPr>
              <w:rPr>
                <w:rFonts w:hint="eastAsia" w:ascii="Microsoft JhengHei" w:eastAsia="宋体"/>
                <w:sz w:val="21"/>
                <w:lang w:val="en-US" w:eastAsia="zh-CN"/>
              </w:rPr>
            </w:pPr>
          </w:p>
          <w:p>
            <w:pPr>
              <w:numPr>
                <w:ilvl w:val="0"/>
                <w:numId w:val="0"/>
              </w:numPr>
              <w:rPr>
                <w:rFonts w:hint="eastAsia" w:ascii="Microsoft JhengHei" w:eastAsia="宋体"/>
                <w:sz w:val="21"/>
                <w:lang w:val="en-US" w:eastAsia="zh-CN"/>
              </w:rPr>
            </w:pPr>
          </w:p>
          <w:p>
            <w:pPr>
              <w:numPr>
                <w:ilvl w:val="0"/>
                <w:numId w:val="0"/>
              </w:numPr>
              <w:jc w:val="center"/>
              <w:rPr>
                <w:rFonts w:hint="default" w:ascii="Microsoft JhengHei" w:eastAsia="宋体"/>
                <w:sz w:val="21"/>
                <w:lang w:val="en-US" w:eastAsia="zh-CN"/>
              </w:rPr>
            </w:pPr>
            <w:r>
              <w:rPr>
                <w:rFonts w:hint="eastAsia" w:ascii="Microsoft JhengHei" w:eastAsia="宋体"/>
                <w:sz w:val="21"/>
                <w:lang w:val="en-US" w:eastAsia="zh-CN"/>
              </w:rPr>
              <w:t>按照相关文件依据妥善安置退役士兵</w:t>
            </w:r>
          </w:p>
        </w:tc>
        <w:tc>
          <w:tcPr>
            <w:tcW w:w="4786" w:type="dxa"/>
            <w:gridSpan w:val="2"/>
            <w:vAlign w:val="top"/>
          </w:tcPr>
          <w:p>
            <w:pPr>
              <w:numPr>
                <w:ilvl w:val="0"/>
                <w:numId w:val="0"/>
              </w:numPr>
              <w:rPr>
                <w:rFonts w:hint="eastAsia" w:ascii="Microsoft JhengHei" w:eastAsia="宋体"/>
                <w:sz w:val="21"/>
                <w:lang w:val="en-US" w:eastAsia="zh-CN"/>
              </w:rPr>
            </w:pPr>
          </w:p>
          <w:p>
            <w:pPr>
              <w:numPr>
                <w:ilvl w:val="0"/>
                <w:numId w:val="0"/>
              </w:numPr>
              <w:rPr>
                <w:rFonts w:hint="eastAsia" w:ascii="Microsoft JhengHei" w:eastAsia="宋体"/>
                <w:sz w:val="21"/>
                <w:lang w:val="en-US" w:eastAsia="zh-CN"/>
              </w:rPr>
            </w:pPr>
          </w:p>
          <w:p>
            <w:pPr>
              <w:numPr>
                <w:ilvl w:val="0"/>
                <w:numId w:val="0"/>
              </w:numPr>
              <w:ind w:firstLine="630" w:firstLineChars="300"/>
              <w:jc w:val="both"/>
              <w:rPr>
                <w:rFonts w:hint="eastAsia" w:ascii="Microsoft JhengHei"/>
                <w:sz w:val="21"/>
              </w:rPr>
            </w:pPr>
            <w:r>
              <w:rPr>
                <w:rFonts w:hint="eastAsia" w:ascii="Microsoft JhengHei" w:eastAsia="宋体"/>
                <w:sz w:val="21"/>
                <w:lang w:val="en-US" w:eastAsia="zh-CN"/>
              </w:rPr>
              <w:t>按照相关文件依据妥善安置退役士兵</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ascii="Microsoft JhengHei"/>
                <w:sz w:val="21"/>
              </w:rPr>
            </w:pPr>
            <w:r>
              <w:rPr>
                <w:rFonts w:hint="eastAsia" w:ascii="Microsoft JhengHei"/>
                <w:sz w:val="21"/>
              </w:rPr>
              <w:t>2019年退伍义务兵36人、士官20人</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56人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56人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56人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及时落实退役士兵安置费</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spacing w:before="378" w:line="184" w:lineRule="auto"/>
        <w:jc w:val="center"/>
        <w:rPr>
          <w:rFonts w:ascii="仿宋" w:hAnsi="仿宋" w:eastAsia="仿宋" w:cs="仿宋"/>
          <w:sz w:val="36"/>
          <w:szCs w:val="36"/>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r>
        <w:rPr>
          <w:rFonts w:hint="eastAsia" w:ascii="宋体" w:hAnsi="宋体" w:eastAsia="仿宋_GB2312" w:cs="宋体"/>
          <w:b/>
          <w:bCs/>
          <w:snapToGrid/>
          <w:color w:val="000000"/>
          <w:kern w:val="0"/>
          <w:sz w:val="36"/>
          <w:szCs w:val="36"/>
          <w:lang w:val="en-US" w:eastAsia="zh-CN" w:bidi="ar"/>
        </w:rPr>
        <w:t xml:space="preserve"> 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大学生入伍奖励金项目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58万元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58万元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58万元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58万元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仿宋" w:hAnsi="仿宋" w:eastAsia="仿宋" w:cs="仿宋"/>
                <w:spacing w:val="-2"/>
                <w:sz w:val="24"/>
                <w:szCs w:val="24"/>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180" w:firstLineChars="5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5"/>
              </w:numPr>
              <w:rPr>
                <w:rFonts w:hint="eastAsia" w:ascii="Microsoft JhengHei" w:eastAsia="宋体"/>
                <w:sz w:val="21"/>
                <w:lang w:val="en-US" w:eastAsia="zh-CN"/>
              </w:rPr>
            </w:pPr>
            <w:r>
              <w:rPr>
                <w:rFonts w:hint="eastAsia" w:ascii="Microsoft JhengHei" w:eastAsia="宋体"/>
                <w:sz w:val="21"/>
                <w:lang w:val="en-US" w:eastAsia="zh-CN"/>
              </w:rPr>
              <w:t>鼓励大学生响应号召积极应征入伍奖励</w:t>
            </w:r>
          </w:p>
          <w:p>
            <w:pPr>
              <w:numPr>
                <w:ilvl w:val="0"/>
                <w:numId w:val="5"/>
              </w:numPr>
              <w:rPr>
                <w:rFonts w:hint="default" w:ascii="Microsoft JhengHei" w:eastAsia="宋体"/>
                <w:sz w:val="21"/>
                <w:lang w:val="en-US" w:eastAsia="zh-CN"/>
              </w:rPr>
            </w:pPr>
            <w:r>
              <w:rPr>
                <w:rFonts w:hint="default" w:ascii="Microsoft JhengHei" w:eastAsia="宋体"/>
                <w:sz w:val="21"/>
                <w:lang w:val="en-US" w:eastAsia="zh-CN"/>
              </w:rPr>
              <w:t>及时足额发放资金</w:t>
            </w:r>
          </w:p>
        </w:tc>
        <w:tc>
          <w:tcPr>
            <w:tcW w:w="4786" w:type="dxa"/>
            <w:gridSpan w:val="2"/>
            <w:vAlign w:val="top"/>
          </w:tcPr>
          <w:p>
            <w:pPr>
              <w:numPr>
                <w:ilvl w:val="0"/>
                <w:numId w:val="0"/>
              </w:numPr>
              <w:rPr>
                <w:rFonts w:hint="eastAsia" w:ascii="Microsoft JhengHei" w:eastAsia="宋体"/>
                <w:sz w:val="21"/>
                <w:lang w:val="en-US" w:eastAsia="zh-CN"/>
              </w:rPr>
            </w:pPr>
            <w:r>
              <w:rPr>
                <w:rFonts w:hint="eastAsia" w:ascii="Microsoft JhengHei" w:eastAsia="宋体"/>
                <w:sz w:val="21"/>
                <w:lang w:val="en-US" w:eastAsia="zh-CN"/>
              </w:rPr>
              <w:t>1.鼓励大学生响应号召积极应征入伍奖励</w:t>
            </w:r>
          </w:p>
          <w:p>
            <w:pPr>
              <w:numPr>
                <w:ilvl w:val="0"/>
                <w:numId w:val="0"/>
              </w:numPr>
              <w:rPr>
                <w:rFonts w:hint="eastAsia" w:ascii="Microsoft JhengHei"/>
                <w:sz w:val="21"/>
              </w:rPr>
            </w:pPr>
            <w:r>
              <w:rPr>
                <w:rFonts w:hint="eastAsia" w:ascii="Microsoft JhengHei" w:eastAsia="宋体"/>
                <w:sz w:val="21"/>
                <w:lang w:val="en-US" w:eastAsia="zh-CN"/>
              </w:rPr>
              <w:t>2.</w:t>
            </w:r>
            <w:r>
              <w:rPr>
                <w:rFonts w:hint="default" w:ascii="Microsoft JhengHei" w:eastAsia="宋体"/>
                <w:sz w:val="21"/>
                <w:lang w:val="en-US" w:eastAsia="zh-CN"/>
              </w:rPr>
              <w:t>及时足额发放资金</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rPr>
            </w:pPr>
          </w:p>
          <w:p>
            <w:pPr>
              <w:jc w:val="center"/>
              <w:rPr>
                <w:rFonts w:ascii="Microsoft JhengHei"/>
                <w:sz w:val="21"/>
              </w:rPr>
            </w:pPr>
            <w:r>
              <w:rPr>
                <w:rFonts w:hint="eastAsia"/>
              </w:rPr>
              <w:t>提高大学生入伍的积极性</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34人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34人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34人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完成资金的支付率</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widowControl w:val="0"/>
        <w:kinsoku/>
        <w:autoSpaceDE/>
        <w:autoSpaceDN/>
        <w:adjustRightInd/>
        <w:snapToGrid/>
        <w:spacing w:line="580" w:lineRule="exact"/>
        <w:ind w:left="630"/>
        <w:jc w:val="both"/>
        <w:textAlignment w:val="auto"/>
        <w:rPr>
          <w:rFonts w:ascii="楷体_GB2312" w:hAnsi="楷体_GB2312" w:eastAsia="楷体_GB2312" w:cs="楷体_GB2312"/>
          <w:snapToGrid/>
          <w:kern w:val="2"/>
          <w:sz w:val="32"/>
          <w:szCs w:val="32"/>
          <w:lang w:val="en-US" w:eastAsia="zh-CN" w:bidi="ar-SA"/>
        </w:rPr>
      </w:pPr>
      <w:r>
        <w:rPr>
          <w:rFonts w:ascii="楷体_GB2312" w:hAnsi="楷体_GB2312" w:eastAsia="楷体_GB2312" w:cs="楷体_GB2312"/>
          <w:snapToGrid/>
          <w:kern w:val="2"/>
          <w:sz w:val="32"/>
          <w:szCs w:val="32"/>
          <w:lang w:val="en-US" w:eastAsia="zh-CN" w:bidi="ar-SA"/>
        </w:rPr>
        <w:t>2.部门绩效评价结果。</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本部门按要求对2020年部门整体支出绩效评价情况开展自评，《自流井区退役军人事务局部门2020年部门整体支出绩效评价报告》见附件（附件1）。</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本部门未组织项目支出绩效评价，不涉及附件2内容。</w:t>
      </w:r>
    </w:p>
    <w:p>
      <w:pPr>
        <w:pStyle w:val="5"/>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lang w:val="en-US" w:eastAsia="zh-CN"/>
        </w:rPr>
      </w:pPr>
    </w:p>
    <w:p>
      <w:pPr>
        <w:widowControl w:val="0"/>
        <w:numPr>
          <w:ilvl w:val="0"/>
          <w:numId w:val="6"/>
        </w:numPr>
        <w:kinsoku/>
        <w:autoSpaceDE/>
        <w:autoSpaceDN/>
        <w:adjustRightInd/>
        <w:snapToGrid/>
        <w:spacing w:line="600" w:lineRule="exact"/>
        <w:ind w:firstLine="660" w:firstLineChars="150"/>
        <w:jc w:val="center"/>
        <w:textAlignment w:val="auto"/>
        <w:outlineLvl w:val="0"/>
        <w:rPr>
          <w:rFonts w:hint="eastAsia" w:ascii="黑体" w:hAnsi="黑体" w:eastAsia="黑体" w:cs="Times New Roman"/>
          <w:snapToGrid/>
          <w:color w:val="000000"/>
          <w:kern w:val="2"/>
          <w:sz w:val="44"/>
          <w:szCs w:val="44"/>
          <w:lang w:val="en-US" w:eastAsia="zh-CN" w:bidi="ar-SA"/>
        </w:rPr>
      </w:pPr>
      <w:bookmarkStart w:id="14" w:name="_bookmark15"/>
      <w:bookmarkEnd w:id="14"/>
      <w:r>
        <w:rPr>
          <w:rFonts w:hint="eastAsia" w:ascii="黑体" w:hAnsi="黑体" w:eastAsia="黑体" w:cs="Times New Roman"/>
          <w:snapToGrid/>
          <w:color w:val="000000"/>
          <w:kern w:val="2"/>
          <w:sz w:val="44"/>
          <w:szCs w:val="44"/>
          <w:lang w:val="en-US" w:eastAsia="zh-CN" w:bidi="ar-SA"/>
        </w:rPr>
        <w:t>名词解释</w:t>
      </w:r>
    </w:p>
    <w:p>
      <w:pPr>
        <w:pStyle w:val="15"/>
        <w:spacing w:line="560" w:lineRule="exact"/>
        <w:ind w:firstLine="880" w:firstLineChars="200"/>
        <w:rPr>
          <w:rFonts w:hint="eastAsia" w:ascii="仿宋_GB2312" w:hAnsi="仿宋_GB2312" w:eastAsia="仿宋_GB2312" w:cs="仿宋_GB2312"/>
          <w:sz w:val="44"/>
          <w:szCs w:val="44"/>
        </w:rPr>
      </w:pPr>
    </w:p>
    <w:p>
      <w:pPr>
        <w:pStyle w:val="15"/>
        <w:spacing w:line="560" w:lineRule="exact"/>
        <w:ind w:firstLine="640" w:firstLineChars="200"/>
        <w:rPr>
          <w:rFonts w:ascii="仿宋_GB2312" w:eastAsia="仿宋_GB2312"/>
          <w:sz w:val="32"/>
          <w:szCs w:val="32"/>
        </w:rPr>
      </w:pPr>
      <w:r>
        <w:rPr>
          <w:rFonts w:ascii="仿宋_GB2312" w:eastAsia="仿宋_GB2312"/>
          <w:sz w:val="32"/>
          <w:szCs w:val="32"/>
        </w:rPr>
        <w:t>1.财政拨款收入：指单位从同级财政部门取得的财政预算资金。</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2.事业收入：指事业单位开展专业业务活动及辅助活动取得的收入。</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3.经营收入：指事业单位在专业业务活动及其辅助活动之外开展非独立核算经营活动取得的收入。</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4.其他收入：指单位取得的除上述收入以外的各项收入。</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5.使用非财政拨款结余：指事业单位使用以前年度积累的非财政拨款结余弥补当年收支差额的金额。</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6.年初结转和结余：指以前年度尚未完成、结转到本年按有关规定继续使用的资金。</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7.结余分配：指事业单位按照会计制度规定缴纳的所得税、提取的专用结余以及转入非财政拨款结余的金额等。</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lang w:val="en-US" w:eastAsia="zh-CN"/>
        </w:rPr>
        <w:t>.</w:t>
      </w:r>
      <w:r>
        <w:rPr>
          <w:rFonts w:ascii="仿宋_GB2312" w:eastAsia="仿宋_GB2312"/>
          <w:sz w:val="32"/>
          <w:szCs w:val="32"/>
        </w:rPr>
        <w:t>年末结转和结余：指单位按有关规定结转到下年或以后年度继续使用的资金。</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9.社会保障和就业支出（类）行政事业单位离退休（款）归口管理的行政单位离退休（项）：保障机关退休人员活动费用支出及遗属补助。</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10.社会保障和就业支出（类）行政事业单位离退休（款）机关事业单位基本养老保险缴费支出（项）：指用于保障机关事业单位养老保险缴费。</w:t>
      </w:r>
    </w:p>
    <w:p>
      <w:pPr>
        <w:pStyle w:val="15"/>
        <w:spacing w:line="560" w:lineRule="exact"/>
        <w:ind w:firstLine="640" w:firstLineChars="2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11.社会保障和就业（类）其他社会保障和就业支出（款）其他社会保障和就业支出（项）：指用于保障事业人员的工伤、生育等保险缴费。</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12.卫生健康支出（类）行政事业单位医疗（款）行政单位医疗（项）：指用于保障机关及事业单位基本医疗保险缴费支出。</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13.住房保障（类）住房改革支出（款）住房公积金（项）：指用于部门按人力资源和社会保障部、财政部规定的基本工资和津贴补贴以及规定比例为职工缴纳的住房公积金支出。</w:t>
      </w:r>
    </w:p>
    <w:p>
      <w:pPr>
        <w:spacing w:before="240" w:line="254" w:lineRule="auto"/>
        <w:ind w:left="31" w:right="75" w:firstLine="655"/>
        <w:jc w:val="both"/>
        <w:rPr>
          <w:rFonts w:ascii="仿宋" w:hAnsi="仿宋" w:eastAsia="仿宋" w:cs="仿宋"/>
          <w:sz w:val="32"/>
          <w:szCs w:val="32"/>
        </w:rPr>
      </w:pPr>
      <w:r>
        <w:rPr>
          <w:rFonts w:ascii="仿宋_GB2312" w:hAnsi="Calibri" w:eastAsia="仿宋_GB2312" w:cs="仿宋"/>
          <w:snapToGrid/>
          <w:color w:val="000000"/>
          <w:kern w:val="0"/>
          <w:sz w:val="32"/>
          <w:szCs w:val="32"/>
          <w:lang w:val="en-US" w:eastAsia="zh-CN" w:bidi="ar-SA"/>
        </w:rPr>
        <w:t>14.基本支出：指为保证机构正常运转，完成日常工作任务而发生的人员支出和公用支出。</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15.项目支出：指在基本支出之外为完成特定行政任务和事业发展目标所发生的支出。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16.“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17.行政运行经费：为保障行政单位（包含参照公务员法管理的事业单位）运行用于购买货物和服务的各项资金。包括办公及印刷费、邮电费、差旅费、会议费等费用开支。</w:t>
      </w:r>
    </w:p>
    <w:p>
      <w:pPr>
        <w:pStyle w:val="15"/>
        <w:spacing w:line="560" w:lineRule="exact"/>
        <w:ind w:firstLine="640" w:firstLineChars="200"/>
        <w:rPr>
          <w:rFonts w:ascii="仿宋_GB2312" w:eastAsia="仿宋_GB2312"/>
          <w:sz w:val="32"/>
          <w:szCs w:val="32"/>
        </w:rPr>
      </w:pPr>
      <w:r>
        <w:rPr>
          <w:rFonts w:ascii="仿宋_GB2312" w:hAnsi="Calibri" w:eastAsia="仿宋_GB2312" w:cs="仿宋"/>
          <w:snapToGrid/>
          <w:color w:val="000000"/>
          <w:kern w:val="0"/>
          <w:sz w:val="32"/>
          <w:szCs w:val="32"/>
          <w:lang w:val="en-US" w:eastAsia="zh-CN" w:bidi="ar-SA"/>
        </w:rPr>
        <w:t>18.义务兵优待：反映用于义务兵优待方面的支出。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19.退役安置：反映用于退役士兵的安置和军队移交政府的退休人员安置及管理的支出。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20.拥军拥属：反映开展拥军优属活动的支出。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21.死亡抚恤：反映按规定用于烈士和牺牲、病故人员家属的一次性和定期抚恤金以及丧葬补助费。</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22.伤残抚恤：反映按规定用于伤残人员的抚恤金和按规定开支的各种伤残补助费。</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23.在乡复员、退伍军人生活补助：反映在乡退伍红军老战士（含西路军红军老战士、红军失散人员）、1954年10月31日前入伍的在乡复员军人、按规定办理带病回乡手续的退伍军人生活补助。</w:t>
      </w:r>
    </w:p>
    <w:p>
      <w:pPr>
        <w:pStyle w:val="15"/>
        <w:spacing w:line="560" w:lineRule="exact"/>
        <w:ind w:firstLine="640" w:firstLineChars="200"/>
        <w:rPr>
          <w:rFonts w:ascii="仿宋_GB2312" w:eastAsia="仿宋_GB2312"/>
          <w:sz w:val="32"/>
          <w:szCs w:val="32"/>
        </w:rPr>
      </w:pPr>
      <w:r>
        <w:rPr>
          <w:rFonts w:ascii="仿宋_GB2312" w:hAnsi="Calibri" w:eastAsia="仿宋_GB2312" w:cs="仿宋"/>
          <w:snapToGrid/>
          <w:color w:val="000000"/>
          <w:kern w:val="0"/>
          <w:sz w:val="32"/>
          <w:szCs w:val="32"/>
          <w:lang w:val="en-US" w:eastAsia="zh-CN" w:bidi="ar-SA"/>
        </w:rPr>
        <w:t>24.农村籍退役士兵老年生活补助：反映1954年11月1日试行义务兵役制后至《退役士兵安置条列》实施前入伍、年龄在60周岁以上（含60周岁）、未享受到国家定期抚恤补助的农村籍退役士兵的老年生活补助。</w:t>
      </w:r>
    </w:p>
    <w:p>
      <w:pPr>
        <w:pStyle w:val="15"/>
        <w:spacing w:line="560" w:lineRule="exact"/>
        <w:ind w:firstLine="640" w:firstLineChars="200"/>
        <w:rPr>
          <w:rFonts w:ascii="仿宋_GB2312" w:eastAsia="仿宋_GB2312"/>
          <w:sz w:val="32"/>
          <w:szCs w:val="32"/>
        </w:rPr>
      </w:pPr>
      <w:r>
        <w:rPr>
          <w:rFonts w:ascii="仿宋_GB2312" w:hAnsi="Calibri" w:eastAsia="仿宋_GB2312" w:cs="仿宋"/>
          <w:snapToGrid/>
          <w:color w:val="000000"/>
          <w:kern w:val="0"/>
          <w:sz w:val="32"/>
          <w:szCs w:val="32"/>
          <w:lang w:val="en-US" w:eastAsia="zh-CN" w:bidi="ar-SA"/>
        </w:rPr>
        <w:t>25.军队移交政府的离退休人员安置：反映移交政府的军队离退休人员安置支出。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26.军队移交政府离退休干部管理机构安置：反映民政部门管理的移交政府安置的离退休干部管理机构列入事业编制人员经费、公用经费以及管理机构用房建设等支出。</w:t>
      </w:r>
    </w:p>
    <w:p>
      <w:pPr>
        <w:spacing w:before="240" w:line="254" w:lineRule="auto"/>
        <w:ind w:left="31" w:right="75" w:firstLine="655"/>
        <w:jc w:val="both"/>
        <w:rPr>
          <w:rFonts w:hint="eastAsia"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27.退役士兵管理教育：反映退役士兵只有教育、转业士官待安期间管理教育、医疗等支出</w:t>
      </w:r>
      <w:r>
        <w:rPr>
          <w:rFonts w:hint="eastAsia" w:ascii="仿宋_GB2312" w:hAnsi="Calibri" w:eastAsia="仿宋_GB2312" w:cs="仿宋"/>
          <w:snapToGrid/>
          <w:color w:val="000000"/>
          <w:kern w:val="0"/>
          <w:sz w:val="32"/>
          <w:szCs w:val="32"/>
          <w:lang w:val="en-US" w:eastAsia="zh-CN" w:bidi="ar-SA"/>
        </w:rPr>
        <w:t>。</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28.军队转业干部安置：反映军队干部安置、人员经费、自主择业退役金等方面的支出。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29.优抚对象医疗补助：反映按规定补助优抚对象的医疗经费。</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30.基本支出：指为保障机构正常运转、完成日常工作任务而发生的人员支出和公用支出。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31.项目支出：指在基本支出之外为完成特定行政任务和事业发展目标所发生的支出。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32.经营支出：指事业单位在专业业务活动及其辅助活动之外开展非独立核算经营活动发生的支出。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33.“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34.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sectPr>
          <w:footerReference r:id="rId18" w:type="default"/>
          <w:pgSz w:w="11906" w:h="16839"/>
          <w:pgMar w:top="1431" w:right="1699" w:bottom="1152" w:left="1785" w:header="0" w:footer="1035" w:gutter="0"/>
          <w:pgNumType w:fmt="decimal"/>
          <w:cols w:space="720" w:num="1"/>
        </w:sectPr>
      </w:pPr>
    </w:p>
    <w:p>
      <w:pPr>
        <w:spacing w:line="260" w:lineRule="auto"/>
        <w:rPr>
          <w:rFonts w:ascii="Microsoft JhengHei"/>
          <w:sz w:val="21"/>
        </w:rPr>
      </w:pPr>
    </w:p>
    <w:p>
      <w:pPr>
        <w:spacing w:before="112" w:line="187" w:lineRule="auto"/>
        <w:ind w:firstLine="2863"/>
        <w:rPr>
          <w:rFonts w:ascii="黑体" w:hAnsi="黑体" w:eastAsia="黑体" w:cs="黑体"/>
          <w:sz w:val="44"/>
          <w:szCs w:val="44"/>
        </w:rPr>
      </w:pPr>
      <w:bookmarkStart w:id="15" w:name="_bookmark16"/>
      <w:bookmarkEnd w:id="15"/>
      <w:r>
        <w:rPr>
          <w:rFonts w:ascii="黑体" w:hAnsi="黑体" w:eastAsia="黑体" w:cs="黑体"/>
          <w:spacing w:val="-3"/>
          <w:sz w:val="44"/>
          <w:szCs w:val="44"/>
        </w:rPr>
        <w:t>第四部分</w:t>
      </w:r>
      <w:r>
        <w:rPr>
          <w:rFonts w:hint="eastAsia" w:ascii="黑体" w:hAnsi="黑体" w:eastAsia="黑体" w:cs="黑体"/>
          <w:spacing w:val="-3"/>
          <w:sz w:val="44"/>
          <w:szCs w:val="44"/>
          <w:lang w:val="en-US" w:eastAsia="zh-CN"/>
        </w:rPr>
        <w:t xml:space="preserve"> </w:t>
      </w:r>
      <w:r>
        <w:rPr>
          <w:rFonts w:ascii="黑体" w:hAnsi="黑体" w:eastAsia="黑体" w:cs="黑体"/>
          <w:spacing w:val="-3"/>
          <w:sz w:val="44"/>
          <w:szCs w:val="44"/>
        </w:rPr>
        <w:t>附件</w:t>
      </w:r>
    </w:p>
    <w:p>
      <w:pPr>
        <w:spacing w:before="257" w:line="187" w:lineRule="auto"/>
        <w:ind w:firstLine="44"/>
        <w:outlineLvl w:val="1"/>
        <w:rPr>
          <w:rFonts w:ascii="黑体" w:hAnsi="黑体" w:eastAsia="黑体" w:cs="黑体"/>
          <w:sz w:val="32"/>
          <w:szCs w:val="32"/>
        </w:rPr>
      </w:pPr>
      <w:bookmarkStart w:id="16" w:name="_bookmark17"/>
      <w:bookmarkEnd w:id="16"/>
      <w:r>
        <w:rPr>
          <w:rFonts w:ascii="黑体" w:hAnsi="黑体" w:eastAsia="黑体" w:cs="黑体"/>
          <w:spacing w:val="-11"/>
          <w:sz w:val="32"/>
          <w:szCs w:val="32"/>
        </w:rPr>
        <w:t>附件1</w:t>
      </w:r>
    </w:p>
    <w:p>
      <w:pPr>
        <w:spacing w:line="398" w:lineRule="auto"/>
        <w:rPr>
          <w:rFonts w:ascii="Microsoft JhengHei"/>
          <w:sz w:val="21"/>
        </w:rPr>
      </w:pPr>
    </w:p>
    <w:p>
      <w:pPr>
        <w:widowControl w:val="0"/>
        <w:kinsoku/>
        <w:autoSpaceDE/>
        <w:autoSpaceDN/>
        <w:adjustRightInd/>
        <w:snapToGrid/>
        <w:spacing w:line="600" w:lineRule="exact"/>
        <w:jc w:val="center"/>
        <w:textAlignment w:val="auto"/>
        <w:rPr>
          <w:rFonts w:hint="eastAsia" w:ascii="方正小标宋简体" w:hAnsi="宋体" w:eastAsia="方正小标宋简体" w:cs="Times New Roman"/>
          <w:snapToGrid/>
          <w:color w:val="000000"/>
          <w:kern w:val="0"/>
          <w:sz w:val="40"/>
          <w:szCs w:val="44"/>
          <w:lang w:val="en-US" w:eastAsia="zh-CN" w:bidi="ar-SA"/>
        </w:rPr>
      </w:pPr>
      <w:r>
        <w:rPr>
          <w:rFonts w:hint="eastAsia" w:ascii="方正小标宋简体" w:hAnsi="宋体" w:eastAsia="方正小标宋简体" w:cs="Times New Roman"/>
          <w:snapToGrid/>
          <w:color w:val="000000"/>
          <w:kern w:val="0"/>
          <w:sz w:val="40"/>
          <w:szCs w:val="44"/>
          <w:lang w:val="en-US" w:eastAsia="zh-CN" w:bidi="ar-SA"/>
        </w:rPr>
        <w:t>自流井区退役军人事务局部门</w:t>
      </w:r>
    </w:p>
    <w:p>
      <w:pPr>
        <w:widowControl w:val="0"/>
        <w:kinsoku/>
        <w:autoSpaceDE/>
        <w:autoSpaceDN/>
        <w:adjustRightInd/>
        <w:snapToGrid/>
        <w:spacing w:line="600" w:lineRule="exact"/>
        <w:jc w:val="center"/>
        <w:textAlignment w:val="auto"/>
        <w:rPr>
          <w:rFonts w:hint="eastAsia" w:ascii="方正小标宋简体" w:hAnsi="宋体" w:eastAsia="方正小标宋简体" w:cs="Times New Roman"/>
          <w:snapToGrid/>
          <w:color w:val="000000"/>
          <w:kern w:val="0"/>
          <w:sz w:val="40"/>
          <w:szCs w:val="44"/>
          <w:lang w:val="en-US" w:eastAsia="zh-CN" w:bidi="ar-SA"/>
        </w:rPr>
      </w:pPr>
      <w:r>
        <w:rPr>
          <w:rFonts w:hint="eastAsia" w:ascii="方正小标宋简体" w:hAnsi="宋体" w:eastAsia="方正小标宋简体" w:cs="Times New Roman"/>
          <w:snapToGrid/>
          <w:color w:val="000000"/>
          <w:kern w:val="0"/>
          <w:sz w:val="40"/>
          <w:szCs w:val="44"/>
          <w:lang w:val="en-US" w:eastAsia="zh-CN" w:bidi="ar-SA"/>
        </w:rPr>
        <w:t>2020年单位整体支出绩效评价报告</w:t>
      </w:r>
    </w:p>
    <w:p>
      <w:pPr>
        <w:spacing w:before="129" w:line="183" w:lineRule="auto"/>
        <w:ind w:firstLine="2087"/>
        <w:rPr>
          <w:rFonts w:ascii="仿宋" w:hAnsi="仿宋" w:eastAsia="仿宋" w:cs="仿宋"/>
          <w:sz w:val="32"/>
          <w:szCs w:val="32"/>
        </w:rPr>
      </w:pPr>
      <w:r>
        <w:rPr>
          <w:rFonts w:ascii="仿宋" w:hAnsi="仿宋" w:eastAsia="仿宋" w:cs="仿宋"/>
          <w:sz w:val="32"/>
          <w:szCs w:val="32"/>
        </w:rPr>
        <w:t>（报告范围包括机关和下属单位）</w:t>
      </w:r>
    </w:p>
    <w:p>
      <w:pPr>
        <w:spacing w:line="243" w:lineRule="auto"/>
        <w:rPr>
          <w:rFonts w:ascii="Microsoft JhengHei"/>
          <w:sz w:val="21"/>
        </w:rPr>
      </w:pP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zh-CN" w:eastAsia="zh-CN" w:bidi="ar-SA"/>
        </w:rPr>
      </w:pPr>
      <w:r>
        <w:rPr>
          <w:rFonts w:hint="eastAsia" w:ascii="黑体" w:hAnsi="宋体" w:eastAsia="黑体" w:cs="宋体"/>
          <w:snapToGrid/>
          <w:color w:val="000000"/>
          <w:kern w:val="0"/>
          <w:sz w:val="32"/>
          <w:szCs w:val="32"/>
          <w:shd w:val="clear" w:color="auto" w:fill="FFFFFF"/>
          <w:lang w:val="en-US" w:eastAsia="zh-CN" w:bidi="ar-SA"/>
        </w:rPr>
        <w:t>一、</w:t>
      </w:r>
      <w:r>
        <w:rPr>
          <w:rFonts w:hint="eastAsia" w:ascii="黑体" w:hAnsi="宋体" w:eastAsia="黑体" w:cs="宋体"/>
          <w:snapToGrid/>
          <w:color w:val="000000"/>
          <w:kern w:val="0"/>
          <w:sz w:val="32"/>
          <w:szCs w:val="32"/>
          <w:shd w:val="clear" w:color="auto" w:fill="FFFFFF"/>
          <w:lang w:val="zh-CN" w:eastAsia="zh-CN" w:bidi="ar-SA"/>
        </w:rPr>
        <w:t>部门概况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（一）机构组成。</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区退役军人局设下列内设机构：</w:t>
      </w:r>
    </w:p>
    <w:p>
      <w:pPr>
        <w:shd w:val="clear" w:color="auto" w:fill="FFFFFF"/>
        <w:spacing w:line="592" w:lineRule="exact"/>
        <w:ind w:firstLine="640" w:firstLineChars="200"/>
        <w:jc w:val="left"/>
        <w:rPr>
          <w:rFonts w:eastAsia="仿宋_GB2312"/>
          <w:sz w:val="32"/>
          <w:szCs w:val="32"/>
        </w:rPr>
      </w:pPr>
      <w:r>
        <w:rPr>
          <w:rFonts w:hint="eastAsia" w:ascii="仿宋_GB2312" w:hAnsi="宋体" w:eastAsia="仿宋_GB2312" w:cs="宋体"/>
          <w:snapToGrid/>
          <w:color w:val="000000"/>
          <w:kern w:val="0"/>
          <w:sz w:val="32"/>
          <w:szCs w:val="32"/>
          <w:shd w:val="clear" w:color="auto" w:fill="FFFFFF"/>
          <w:lang w:val="zh-CN" w:eastAsia="zh-CN" w:bidi="ar-SA"/>
        </w:rPr>
        <w:t>1.办公室（区拥军优属拥政爱民工作领导小组办公室）</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负责文电、会务、档案、保密机要、财会、安全等机关日常运转工作。承担信息、信息化建设、目标绩效管理、政务公开、综合性文稿起草、史志编纂等工作。组织办理人大代表建议、政协委员提案。负责机关及所属事业单位国有资产管理工作。拟订退役军人事业发展规划、年度计划，贯彻执行国家退役军人管理保障基础设施建设标准，指导和监督退役军人事业资金管理。负责机关及所属单位机构编制、组织人事、劳动工资、离退休人员管理、内部审计工作。负责系统干部的教育培训工作。负责职责范围内的职业健康、生态环境保护、审批服务便民化工作。负责机关和所属事业单位党的组织、思想、作风、制度建设和群团组织工作。负责退役军人事务对外交流与合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组织、指导退役军人综合服务体系建设。承担退役军人思想政治、舆论宣传工作，配合指导退役军人党建工作、退役军人党员教育管理工作。组织起草退役军人思想政治、管理保障和安置优抚等政策措施，并组织实施和监督管理。承担规范性文件的合法性审查、备案和行政复议、行政应诉工作。指导并监督检查退役军人相关法律法规和政策措施的落实。</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承担自流井区拥军优属拥政爱民工作领导小组具体工作。组织、指导全区拥军优属拥政爱民工作，检查督促“双拥工作”开展情况。负责协调指导全区拥军优属拥政爱民工作，指导做好地方支持军队相关工作；承担现役军人、退役军人、军队文职人员和军属优待，拟订地方性拥军优属政策并监督实施；组织、指导拥军优属拥政爱民活动。</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2.综合业务股。</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拟订计划分配的军队转业干部、符合政府安排工作条件的退役士兵接收安置方案并按计划组织实施。负责区属破产、改制国有企业军队转业干部、自主择业军队转业干部、复员干部、自主就业退役士兵的服务管理工作。负责移交地方的军队离退休干部、无军籍退休退职职工和符合条件的其他退役军人的接收安置和服务管理工作，管理军休保障单位。承担接收安置，就业创业扶持和教育培训工作，拟订就业创业年度计划并组织实施。承担随军随调家属就业创业扶持工作。指导开展有关中介服务工作。组织、协调落实退役军人社会保险等待遇保障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承担现役军人、退役军人、军队文职人员和军属优待、抚恤等工作。组织、协调落实退役军人住房、医疗保障工作，贯彻执行国家有关退役军人医疗、疗养、养老等优抚保障机构以及军供保障机构的规划政策。负责不适宜继续服役的伤病残军人接收安置、退休安置、供养等工作。贯彻执行国民党抗战老兵等有关人员优待政策。负责抚恤优待待遇的审核、报批工作。承担退役军人总结表扬、荣誉奖励和烈士褒扬、纪念设施管理保护工作，依法承担英雄烈士保护相关工作。负责全区烈士纪念设施的报批和管理维护工作。承担烈士的初审、报批工作，组织、指导英雄烈士纪念工作。指导各乡镇（街道）开展退役军人、军烈属的优待、抚恤、褒扬等服务管理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承担退役军人权益维护和有关人员的帮扶援助工作。组织拟订部分企业军队转业干部解困和稳定政策并组织实施。承担退役军人信访工作，研究分析全区退役军人信访工作情况，负责有关信访事项的接待、处理和答复，督查督办重大信访案件。推动建立全区退役军人事务应急联动机制，协调处理有关突发事件。负责退役军人事务相关舆情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区退役军人局所属事业单位：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自流井区退役军人服务中心系自流井区退役军人事务局所属公益一类事业单位（副科级），挂自流井区军队离休退休干部休养所牌子、自流井区烈士纪念设施管理中心牌子。</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（二）机构职能。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区退役军人局机构职能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贯彻执行中央和省、市有关退役军人工作的方针政策、法律法规。拟订全区退役军人工作政策并组织实施。组织实施退役军人思想政治、管理保障和安置优抚等工作，褒扬彰显退役军人为党、国家和人民牺牲奉献的精神风范和价值导向。</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2.负责军队转业干部、复员干部、离休退休干部、退役士兵和无军籍退休退职职工的接收安置工作和自主择业、就业退役军人服务管理工作。</w:t>
      </w:r>
    </w:p>
    <w:p>
      <w:pPr>
        <w:spacing w:line="592" w:lineRule="exact"/>
        <w:ind w:firstLine="640" w:firstLineChars="200"/>
        <w:rPr>
          <w:rFonts w:eastAsia="仿宋_GB2312"/>
          <w:sz w:val="32"/>
          <w:szCs w:val="32"/>
        </w:rPr>
      </w:pPr>
      <w:r>
        <w:rPr>
          <w:rFonts w:hint="eastAsia" w:ascii="仿宋_GB2312" w:hAnsi="宋体" w:eastAsia="仿宋_GB2312" w:cs="宋体"/>
          <w:snapToGrid/>
          <w:color w:val="000000"/>
          <w:kern w:val="0"/>
          <w:sz w:val="32"/>
          <w:szCs w:val="32"/>
          <w:shd w:val="clear" w:color="auto" w:fill="FFFFFF"/>
          <w:lang w:val="zh-CN" w:eastAsia="zh-CN" w:bidi="ar-SA"/>
        </w:rPr>
        <w:t>3.组织、指导退役军人教育培训工作，承担退役军人和随军随调家属就业创业扶持工作。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4.贯彻执行国家、省、市有关退役军人特殊保障政策，拟订有关地方性政策并组织实施。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5.组织、协调落实移交地方的离休退休军人、符合条件的其他退役军人和无军籍退休退职职工的住房保障工作，以及退役军人医疗保障、社会保险等待遇保障工作。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6.负责伤病残退役军人服务管理和抚恤工作，贯彻执行国家有关退役军人医疗、疗养、养老等机构的规划政策。承担不适宜继续服役的伤病残军人接收安置、退休安置、供养等工作。组织军供服务保障工作。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7.组织、指导各乡镇（街道）、区级各部门（单位）拥军优属工作，承担现役军人、退役军人、军队文职人员和军属的优待、抚恤等工作。贯彻执行国家有关国民党抗战老兵等有关人员优待政策。</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8.负责烈士及退役军人荣誉奖励和烈士纪念设施的建设管理、纪念活动等工作，依法承担英雄烈士保护相关工作，负责烈士的审核、报批和褒扬工作，总结表扬和宣扬退役军人、退役军人工作单位和个人先进典型事迹。</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9.指导并监督检查全区退役军人相关法律法规和政策措施的落实，组织、协调开展退役军人权益维护和有关人员的帮扶援助工作。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10.推动建立退役军人事务分级负责和突发事件应急联动机制，组织、指导各乡镇（街道）退役军人综合服务体系建设。配合指导退役军人党建工作。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11.负责职责范围内的安全生产和职业健康、生态环境保护、审批服务便民化工作。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12.完成区委、区政府和军方交办的其他任务。</w:t>
      </w:r>
    </w:p>
    <w:p>
      <w:pPr>
        <w:widowControl/>
        <w:kinsoku/>
        <w:autoSpaceDE/>
        <w:autoSpaceDN/>
        <w:adjustRightInd w:val="0"/>
        <w:snapToGrid w:val="0"/>
        <w:spacing w:line="580" w:lineRule="exact"/>
        <w:ind w:firstLine="640" w:firstLineChars="200"/>
        <w:contextualSpacing/>
        <w:jc w:val="left"/>
        <w:textAlignment w:val="auto"/>
        <w:rPr>
          <w:rFonts w:eastAsia="仿宋_GB2312"/>
          <w:sz w:val="32"/>
          <w:szCs w:val="32"/>
        </w:rPr>
      </w:pPr>
      <w:r>
        <w:rPr>
          <w:rFonts w:hint="eastAsia" w:ascii="仿宋_GB2312" w:hAnsi="宋体" w:eastAsia="仿宋_GB2312" w:cs="宋体"/>
          <w:snapToGrid/>
          <w:color w:val="000000"/>
          <w:kern w:val="0"/>
          <w:sz w:val="32"/>
          <w:szCs w:val="32"/>
          <w:shd w:val="clear" w:color="auto" w:fill="FFFFFF"/>
          <w:lang w:val="zh-CN" w:eastAsia="zh-CN" w:bidi="ar-SA"/>
        </w:rPr>
        <w:t>13.职能转变。加强全区退役军人思想政治工作以及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区退役军人服务中心主要职能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1.协调落实就业创业、优抚帮扶、权益保障、数据信息采集等有关政策措施，组织实施退役军人适应性培训和职业教育、技能培训；</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2.协助做好本级辖区内单位退役军人组织关系、行政关系、供给关系转接和档案移交，退役军人党员摸排登记等工作，协助基层党组织做好党员教育管理服务工作；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3.协助做好退役军人和其他优抚对象来访接待、来信办理、网上信访和电话信访，上级领导、部门交办信访事项，落实信访事项首办责任，依法及时就地化解矛盾问题，有条件的地区可开展心理疏导、法律服务等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4.搭建政策咨询、沟通联系、学习交流等活动场所，多渠道筹措资金，针对性、常态化开展精准帮扶援助、化解矛盾和思想稳定工作，把党和政府的关怀温暖传递给每一个退役军人；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5.全面摸清、动态掌握、及时报告有关政策落实、工作开展，以及辖区内退役军人和其他优抚对象思想状况、家庭生活情况；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6.当好退役军人的服务员、宣传员、信息员、联络员，就近听取诉求，突出面对面、个性化、一对一服务，主动登门入户宣讲政策、解决问题，送立功喜报、悬挂光荣牌；</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7.结合“八一”、春节等节日，以及退役军人和其他优抚对象出现重大变故等情况，及时开展走访慰问；</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8.按政策规定接收安置军队离休退休干部，落实军队离休退休干部的政治待遇、生活待遇，组织军队离休退休干部开展学习及活动；</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9.指导乡镇（街道）、村（社区）退役军人服务站工作；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10.完成退本区役军人事务部门交办的其他事务性工作。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（三）人员概况。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区退役军人局行政编制5名。其中：局长1名、副局长2名。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机关工勤人员控制数1名。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区退役军人服务中心单位编制数10人，实有编制人员4人，临聘人员实有1人。其中：</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1.管理八级2人；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2.管理九级2人；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3.临聘人员1人。</w:t>
      </w:r>
    </w:p>
    <w:p>
      <w:pPr>
        <w:pStyle w:val="2"/>
        <w:tabs>
          <w:tab w:val="left" w:pos="1236"/>
        </w:tabs>
        <w:rPr>
          <w:rFonts w:hint="eastAsia" w:ascii="仿宋" w:hAnsi="仿宋" w:eastAsia="仿宋" w:cs="仿宋"/>
          <w:sz w:val="32"/>
          <w:szCs w:val="32"/>
          <w:lang w:eastAsia="zh-CN"/>
        </w:rPr>
      </w:pPr>
      <w:r>
        <w:rPr>
          <w:rFonts w:hint="eastAsia" w:eastAsia="宋体"/>
          <w:lang w:eastAsia="zh-CN"/>
        </w:rPr>
        <w:tab/>
      </w: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r>
        <w:rPr>
          <w:rFonts w:hint="eastAsia" w:ascii="黑体" w:hAnsi="宋体" w:eastAsia="黑体" w:cs="宋体"/>
          <w:snapToGrid/>
          <w:color w:val="000000"/>
          <w:kern w:val="0"/>
          <w:sz w:val="32"/>
          <w:szCs w:val="32"/>
          <w:shd w:val="clear" w:color="auto" w:fill="FFFFFF"/>
          <w:lang w:val="en-US" w:eastAsia="zh-CN" w:bidi="ar-SA"/>
        </w:rPr>
        <w:t>二、部门财政资金收支情况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本年收入合计3057.44万元，其中：一般公共预算财政拨款收入3057.40万元，占99.9%；政府性基金预算财政拨款收入0万元，占0%；上级补助收入0万元，占0%；事业收入0万元，占0%；经营收入0万元，占0%；附属单位上缴收入0万元，占0%；其他收入0.4万元，占0.01%。</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（二）部门财政资金支出情况。</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2020年本年支出合计3057.44万元，其中：基本支出3057.44万元，占100%；项目支出0万元；上缴上级支出0万元；经营支出0万元；对附属单位补助支出0万元。</w:t>
      </w: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r>
        <w:rPr>
          <w:rFonts w:hint="eastAsia" w:ascii="黑体" w:hAnsi="宋体" w:eastAsia="黑体" w:cs="宋体"/>
          <w:snapToGrid/>
          <w:color w:val="000000"/>
          <w:kern w:val="0"/>
          <w:sz w:val="32"/>
          <w:szCs w:val="32"/>
          <w:shd w:val="clear" w:color="auto" w:fill="FFFFFF"/>
          <w:lang w:val="en-US" w:eastAsia="zh-CN" w:bidi="ar-SA"/>
        </w:rPr>
        <w:t>三、部门整体预算绩效管理情况</w:t>
      </w:r>
    </w:p>
    <w:p>
      <w:pPr>
        <w:pStyle w:val="15"/>
        <w:ind w:firstLine="640" w:firstLineChars="200"/>
        <w:rPr>
          <w:rFonts w:ascii="仿宋_GB2312" w:hAnsi="宋体" w:eastAsia="仿宋_GB2312" w:cs="宋体"/>
          <w:color w:val="auto"/>
          <w:sz w:val="32"/>
          <w:szCs w:val="32"/>
          <w:shd w:val="clear" w:color="auto" w:fill="FFFFFF"/>
          <w:lang w:val="zh-CN"/>
        </w:rPr>
      </w:pPr>
      <w:r>
        <w:rPr>
          <w:rFonts w:hint="eastAsia" w:ascii="仿宋_GB2312" w:hAnsi="宋体" w:eastAsia="仿宋_GB2312" w:cs="宋体"/>
          <w:color w:val="auto"/>
          <w:sz w:val="32"/>
          <w:szCs w:val="32"/>
          <w:shd w:val="clear" w:color="auto" w:fill="FFFFFF"/>
          <w:lang w:val="zh-CN"/>
        </w:rPr>
        <w:t>（一）部门预算管理。</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自流井区退役局收入预算总额为计3057.44万元，支出预算总额为计3057.44万元。预算安排财政拨款支出主要用于保障该部门机构正常运转、完成日常工作任务相关工作，包括人员支出和公用支出。人员支出，包括基本工资、津贴补贴、养老保险、医疗保险、住房公积金等工资及福利支出，公用支出，包括工会经费、福利费、办公费、差旅费等商品服务支出。</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2020财政拨款收入3057.4万元，其他收入0.4万元,上年结转结余455.33万元；2020年财政拨款收、支总计3512.37万元。全年执行进度合理，能保证单位各项工作的正常运转。</w:t>
      </w:r>
    </w:p>
    <w:p>
      <w:pPr>
        <w:widowControl/>
        <w:kinsoku/>
        <w:autoSpaceDE/>
        <w:autoSpaceDN/>
        <w:adjustRightInd w:val="0"/>
        <w:snapToGrid w:val="0"/>
        <w:spacing w:line="580" w:lineRule="exact"/>
        <w:ind w:left="638" w:leftChars="304" w:firstLine="0" w:firstLineChars="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2020年无违规执行预算的情况</w:t>
      </w:r>
      <w:r>
        <w:rPr>
          <w:rFonts w:hint="eastAsia" w:ascii="仿宋_GB2312" w:hAnsi="宋体" w:eastAsia="仿宋_GB2312" w:cs="宋体"/>
          <w:snapToGrid/>
          <w:color w:val="000000"/>
          <w:kern w:val="0"/>
          <w:sz w:val="32"/>
          <w:szCs w:val="32"/>
          <w:shd w:val="clear" w:color="auto" w:fill="FFFFFF"/>
          <w:lang w:val="zh-CN" w:eastAsia="zh-CN" w:bidi="ar-SA"/>
        </w:rPr>
        <w:br w:type="textWrapping"/>
      </w:r>
      <w:r>
        <w:rPr>
          <w:rFonts w:hint="eastAsia" w:ascii="仿宋_GB2312" w:hAnsi="宋体" w:eastAsia="仿宋_GB2312" w:cs="宋体"/>
          <w:snapToGrid/>
          <w:color w:val="000000"/>
          <w:kern w:val="0"/>
          <w:sz w:val="32"/>
          <w:szCs w:val="32"/>
          <w:shd w:val="clear" w:color="auto" w:fill="FFFFFF"/>
          <w:lang w:val="zh-CN" w:eastAsia="zh-CN" w:bidi="ar-SA"/>
        </w:rPr>
        <w:t>（二）结果应用情况。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（1）行政运转保障。</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2020年，自流井区退役局总经费支出3512.37万元。预算安排的基本支出能保障我局的正常运转、能有效履行各股室职能职责：</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①强化退役军人权益维护；</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②深入开展涉军问题矛盾化解；</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③发掘推广退役军人先进典型；</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④完成区、镇（街道）、村（社区）三级服务保障体系建设；</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⑤完善退役军人数据库“一人一档”；</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⑥真情服务退役军人就业创业；</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⑦切实保障各类优抚政策落地；</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⑧关心关爱困难退役军人；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⑨大力营造崇军氛围；</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⑩提升军休服务质量、全面完成退役军人接收安置任务。</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（2）机关厉行节约。</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2020年“三公”经费支出决算为0.22万元，支出金额小，主要原因是厉行节约，严格控制开支。</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（3）机关节能降耗。</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严格执行区政府的节能相关制度，厉行节约，不铺张浪费。</w:t>
      </w: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r>
        <w:rPr>
          <w:rFonts w:hint="eastAsia" w:ascii="黑体" w:hAnsi="宋体" w:eastAsia="黑体" w:cs="宋体"/>
          <w:snapToGrid/>
          <w:color w:val="000000"/>
          <w:kern w:val="0"/>
          <w:sz w:val="32"/>
          <w:szCs w:val="32"/>
          <w:shd w:val="clear" w:color="auto" w:fill="FFFFFF"/>
          <w:lang w:val="en-US" w:eastAsia="zh-CN" w:bidi="ar-SA"/>
        </w:rPr>
        <w:t>四、评价结论及建议</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（一）评价结论。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按照区级部门预决编制通知和有关要求，按时完成基础工作并按在规定时间内公开，本单位的预算执行都达到了执行进度；本单位的财务制度健全，制度执行严格，会计核算符合财政局的相关规定，资金达到了专款专用，开支标准合理、合法。</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达到了预期的社会效益、质量效益、经济效益等效益，完成预算的98.3%。</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en-US" w:eastAsia="zh-CN" w:bidi="ar-SA"/>
        </w:rPr>
        <w:t>（二）</w:t>
      </w:r>
      <w:r>
        <w:rPr>
          <w:rFonts w:hint="eastAsia" w:ascii="仿宋_GB2312" w:hAnsi="宋体" w:eastAsia="仿宋_GB2312" w:cs="宋体"/>
          <w:snapToGrid/>
          <w:color w:val="000000"/>
          <w:kern w:val="0"/>
          <w:sz w:val="32"/>
          <w:szCs w:val="32"/>
          <w:shd w:val="clear" w:color="auto" w:fill="FFFFFF"/>
          <w:lang w:val="zh-CN" w:eastAsia="zh-CN" w:bidi="ar-SA"/>
        </w:rPr>
        <w:t>存在问题。</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1、财务制度执行力有待加强，资金使用计划有待细化。</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2、财政预算资金到位迟缓，各项目经费支付不能及时到位。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（三）改进建议。</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1、继续从严控制出国(境)经费、车辆购置及运行费、公务接待费等一般性支出。</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2、加强财务管理，严格财务审核。在费用报账支付时，按照预算规定的费用项目和用途进行资金使用审核、列报支付、财务核算，杜绝超支现象的发生。</w:t>
      </w:r>
    </w:p>
    <w:p>
      <w:pPr>
        <w:spacing w:before="263" w:line="183" w:lineRule="auto"/>
        <w:ind w:firstLine="654"/>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
      <w:pPr>
        <w:spacing w:before="112" w:line="187" w:lineRule="auto"/>
        <w:ind w:firstLine="2863"/>
        <w:outlineLvl w:val="0"/>
        <w:rPr>
          <w:rFonts w:ascii="黑体" w:hAnsi="黑体" w:eastAsia="黑体" w:cs="黑体"/>
          <w:sz w:val="44"/>
          <w:szCs w:val="44"/>
        </w:rPr>
      </w:pPr>
      <w:bookmarkStart w:id="17" w:name="_bookmark18"/>
      <w:bookmarkEnd w:id="17"/>
      <w:bookmarkStart w:id="18" w:name="_bookmark19"/>
      <w:bookmarkEnd w:id="18"/>
      <w:r>
        <w:rPr>
          <w:rFonts w:ascii="黑体" w:hAnsi="黑体" w:eastAsia="黑体" w:cs="黑体"/>
          <w:spacing w:val="-3"/>
          <w:sz w:val="44"/>
          <w:szCs w:val="44"/>
        </w:rPr>
        <w:t>第五部分附表</w:t>
      </w:r>
    </w:p>
    <w:p>
      <w:pPr>
        <w:spacing w:line="317" w:lineRule="auto"/>
        <w:rPr>
          <w:rFonts w:ascii="Microsoft JhengHei"/>
          <w:sz w:val="21"/>
        </w:rPr>
      </w:pPr>
    </w:p>
    <w:p>
      <w:pPr>
        <w:spacing w:line="317" w:lineRule="auto"/>
        <w:rPr>
          <w:rFonts w:ascii="Microsoft JhengHei"/>
          <w:sz w:val="21"/>
        </w:rPr>
      </w:pPr>
    </w:p>
    <w:p>
      <w:pPr>
        <w:spacing w:before="105" w:line="188" w:lineRule="auto"/>
        <w:ind w:firstLine="40"/>
        <w:outlineLvl w:val="1"/>
        <w:rPr>
          <w:rFonts w:ascii="仿宋" w:hAnsi="仿宋" w:eastAsia="仿宋" w:cs="仿宋"/>
          <w:sz w:val="32"/>
          <w:szCs w:val="32"/>
        </w:rPr>
      </w:pPr>
      <w:bookmarkStart w:id="19" w:name="_bookmark20"/>
      <w:bookmarkEnd w:id="19"/>
      <w:r>
        <w:rPr>
          <w:rFonts w:ascii="仿宋" w:hAnsi="仿宋" w:eastAsia="仿宋" w:cs="仿宋"/>
          <w:spacing w:val="-3"/>
          <w:sz w:val="32"/>
          <w:szCs w:val="32"/>
        </w:rPr>
        <w:t>一、收入支出决算总表</w:t>
      </w:r>
    </w:p>
    <w:p>
      <w:pPr>
        <w:spacing w:line="301" w:lineRule="auto"/>
        <w:rPr>
          <w:rFonts w:ascii="Microsoft JhengHei"/>
          <w:sz w:val="21"/>
        </w:rPr>
      </w:pPr>
    </w:p>
    <w:p>
      <w:pPr>
        <w:spacing w:before="104" w:line="188" w:lineRule="auto"/>
        <w:ind w:firstLine="45"/>
        <w:outlineLvl w:val="1"/>
        <w:rPr>
          <w:rFonts w:ascii="仿宋" w:hAnsi="仿宋" w:eastAsia="仿宋" w:cs="仿宋"/>
          <w:sz w:val="32"/>
          <w:szCs w:val="32"/>
        </w:rPr>
      </w:pPr>
      <w:bookmarkStart w:id="20" w:name="_bookmark21"/>
      <w:bookmarkEnd w:id="20"/>
      <w:r>
        <w:rPr>
          <w:rFonts w:ascii="仿宋" w:hAnsi="仿宋" w:eastAsia="仿宋" w:cs="仿宋"/>
          <w:spacing w:val="-5"/>
          <w:sz w:val="32"/>
          <w:szCs w:val="32"/>
        </w:rPr>
        <w:t>二、收入决算表</w:t>
      </w:r>
    </w:p>
    <w:p>
      <w:pPr>
        <w:spacing w:line="299" w:lineRule="auto"/>
        <w:rPr>
          <w:rFonts w:ascii="Microsoft JhengHei"/>
          <w:sz w:val="21"/>
        </w:rPr>
      </w:pPr>
    </w:p>
    <w:p>
      <w:pPr>
        <w:spacing w:before="104" w:line="188" w:lineRule="auto"/>
        <w:ind w:firstLine="44"/>
        <w:outlineLvl w:val="1"/>
        <w:rPr>
          <w:rFonts w:ascii="仿宋" w:hAnsi="仿宋" w:eastAsia="仿宋" w:cs="仿宋"/>
          <w:sz w:val="32"/>
          <w:szCs w:val="32"/>
        </w:rPr>
      </w:pPr>
      <w:bookmarkStart w:id="21" w:name="_bookmark22"/>
      <w:bookmarkEnd w:id="21"/>
      <w:r>
        <w:rPr>
          <w:rFonts w:ascii="仿宋" w:hAnsi="仿宋" w:eastAsia="仿宋" w:cs="仿宋"/>
          <w:spacing w:val="-5"/>
          <w:sz w:val="32"/>
          <w:szCs w:val="32"/>
        </w:rPr>
        <w:t>三、支出决算表</w:t>
      </w:r>
    </w:p>
    <w:p>
      <w:pPr>
        <w:spacing w:line="299" w:lineRule="auto"/>
        <w:rPr>
          <w:rFonts w:ascii="Microsoft JhengHei"/>
          <w:sz w:val="21"/>
        </w:rPr>
      </w:pPr>
    </w:p>
    <w:p>
      <w:pPr>
        <w:spacing w:before="104" w:line="188" w:lineRule="auto"/>
        <w:ind w:firstLine="72"/>
        <w:outlineLvl w:val="1"/>
        <w:rPr>
          <w:rFonts w:ascii="仿宋" w:hAnsi="仿宋" w:eastAsia="仿宋" w:cs="仿宋"/>
          <w:sz w:val="32"/>
          <w:szCs w:val="32"/>
        </w:rPr>
      </w:pPr>
      <w:bookmarkStart w:id="22" w:name="_bookmark23"/>
      <w:bookmarkEnd w:id="22"/>
      <w:r>
        <w:rPr>
          <w:rFonts w:ascii="仿宋" w:hAnsi="仿宋" w:eastAsia="仿宋" w:cs="仿宋"/>
          <w:spacing w:val="-5"/>
          <w:sz w:val="32"/>
          <w:szCs w:val="32"/>
        </w:rPr>
        <w:t>四、财政拨款收入支出决算总表</w:t>
      </w:r>
    </w:p>
    <w:p>
      <w:pPr>
        <w:spacing w:line="301" w:lineRule="auto"/>
        <w:rPr>
          <w:rFonts w:ascii="Microsoft JhengHei"/>
          <w:sz w:val="21"/>
        </w:rPr>
      </w:pPr>
    </w:p>
    <w:p>
      <w:pPr>
        <w:spacing w:before="105" w:line="188" w:lineRule="auto"/>
        <w:ind w:firstLine="40"/>
        <w:outlineLvl w:val="1"/>
        <w:rPr>
          <w:rFonts w:ascii="仿宋" w:hAnsi="仿宋" w:eastAsia="仿宋" w:cs="仿宋"/>
          <w:sz w:val="32"/>
          <w:szCs w:val="32"/>
        </w:rPr>
      </w:pPr>
      <w:bookmarkStart w:id="23" w:name="_bookmark24"/>
      <w:bookmarkEnd w:id="23"/>
      <w:r>
        <w:rPr>
          <w:rFonts w:ascii="仿宋" w:hAnsi="仿宋" w:eastAsia="仿宋" w:cs="仿宋"/>
          <w:spacing w:val="-3"/>
          <w:sz w:val="32"/>
          <w:szCs w:val="32"/>
        </w:rPr>
        <w:t>五、财政拨款支出决算明细表</w:t>
      </w:r>
    </w:p>
    <w:p>
      <w:pPr>
        <w:spacing w:line="299" w:lineRule="auto"/>
        <w:rPr>
          <w:rFonts w:ascii="Microsoft JhengHei"/>
          <w:sz w:val="21"/>
        </w:rPr>
      </w:pPr>
    </w:p>
    <w:p>
      <w:pPr>
        <w:spacing w:before="105" w:line="188" w:lineRule="auto"/>
        <w:ind w:firstLine="37"/>
        <w:outlineLvl w:val="1"/>
        <w:rPr>
          <w:rFonts w:ascii="仿宋" w:hAnsi="仿宋" w:eastAsia="仿宋" w:cs="仿宋"/>
          <w:sz w:val="32"/>
          <w:szCs w:val="32"/>
        </w:rPr>
      </w:pPr>
      <w:bookmarkStart w:id="24" w:name="_bookmark25"/>
      <w:bookmarkEnd w:id="24"/>
      <w:r>
        <w:rPr>
          <w:rFonts w:ascii="仿宋" w:hAnsi="仿宋" w:eastAsia="仿宋" w:cs="仿宋"/>
          <w:spacing w:val="-2"/>
          <w:sz w:val="32"/>
          <w:szCs w:val="32"/>
        </w:rPr>
        <w:t>六、一般公共预算财政拨款支出决算表</w:t>
      </w:r>
    </w:p>
    <w:p>
      <w:pPr>
        <w:spacing w:line="299" w:lineRule="auto"/>
        <w:rPr>
          <w:rFonts w:ascii="Microsoft JhengHei"/>
          <w:sz w:val="21"/>
        </w:rPr>
      </w:pPr>
    </w:p>
    <w:p>
      <w:pPr>
        <w:spacing w:before="105" w:line="188" w:lineRule="auto"/>
        <w:ind w:firstLine="41"/>
        <w:outlineLvl w:val="1"/>
        <w:rPr>
          <w:rFonts w:ascii="仿宋" w:hAnsi="仿宋" w:eastAsia="仿宋" w:cs="仿宋"/>
          <w:sz w:val="32"/>
          <w:szCs w:val="32"/>
        </w:rPr>
      </w:pPr>
      <w:bookmarkStart w:id="25" w:name="_bookmark26"/>
      <w:bookmarkEnd w:id="25"/>
      <w:r>
        <w:rPr>
          <w:rFonts w:ascii="仿宋" w:hAnsi="仿宋" w:eastAsia="仿宋" w:cs="仿宋"/>
          <w:spacing w:val="-2"/>
          <w:sz w:val="32"/>
          <w:szCs w:val="32"/>
        </w:rPr>
        <w:t>七、一般公共预算财政拨款支出决算明细表</w:t>
      </w:r>
    </w:p>
    <w:p>
      <w:pPr>
        <w:spacing w:line="301" w:lineRule="auto"/>
        <w:rPr>
          <w:rFonts w:ascii="Microsoft JhengHei"/>
          <w:sz w:val="21"/>
        </w:rPr>
      </w:pPr>
    </w:p>
    <w:p>
      <w:pPr>
        <w:spacing w:before="104" w:line="188" w:lineRule="auto"/>
        <w:ind w:firstLine="34"/>
        <w:outlineLvl w:val="1"/>
        <w:rPr>
          <w:rFonts w:ascii="仿宋" w:hAnsi="仿宋" w:eastAsia="仿宋" w:cs="仿宋"/>
          <w:sz w:val="32"/>
          <w:szCs w:val="32"/>
        </w:rPr>
      </w:pPr>
      <w:bookmarkStart w:id="26" w:name="_bookmark27"/>
      <w:bookmarkEnd w:id="26"/>
      <w:r>
        <w:rPr>
          <w:rFonts w:ascii="仿宋" w:hAnsi="仿宋" w:eastAsia="仿宋" w:cs="仿宋"/>
          <w:spacing w:val="-2"/>
          <w:sz w:val="32"/>
          <w:szCs w:val="32"/>
        </w:rPr>
        <w:t>八、一般公共预算财政拨款基本支出决算表</w:t>
      </w:r>
    </w:p>
    <w:p>
      <w:pPr>
        <w:spacing w:line="299" w:lineRule="auto"/>
        <w:rPr>
          <w:rFonts w:ascii="Microsoft JhengHei"/>
          <w:sz w:val="21"/>
        </w:rPr>
      </w:pPr>
    </w:p>
    <w:p>
      <w:pPr>
        <w:spacing w:before="105" w:line="188" w:lineRule="auto"/>
        <w:ind w:firstLine="46"/>
        <w:outlineLvl w:val="1"/>
        <w:rPr>
          <w:rFonts w:ascii="仿宋" w:hAnsi="仿宋" w:eastAsia="仿宋" w:cs="仿宋"/>
          <w:sz w:val="32"/>
          <w:szCs w:val="32"/>
        </w:rPr>
      </w:pPr>
      <w:bookmarkStart w:id="27" w:name="_bookmark28"/>
      <w:bookmarkEnd w:id="27"/>
      <w:r>
        <w:rPr>
          <w:rFonts w:ascii="仿宋" w:hAnsi="仿宋" w:eastAsia="仿宋" w:cs="仿宋"/>
          <w:spacing w:val="-2"/>
          <w:sz w:val="32"/>
          <w:szCs w:val="32"/>
        </w:rPr>
        <w:t>九、一般公共预算财政拨款项目支出决算表</w:t>
      </w:r>
    </w:p>
    <w:p>
      <w:pPr>
        <w:spacing w:line="299"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28" w:name="_bookmark29"/>
      <w:bookmarkEnd w:id="28"/>
      <w:r>
        <w:rPr>
          <w:rFonts w:ascii="仿宋" w:hAnsi="仿宋" w:eastAsia="仿宋" w:cs="仿宋"/>
          <w:spacing w:val="-2"/>
          <w:sz w:val="32"/>
          <w:szCs w:val="32"/>
        </w:rPr>
        <w:t>十、一般公共预算财政拨款“三公”经费支出决算表</w:t>
      </w:r>
    </w:p>
    <w:p>
      <w:pPr>
        <w:spacing w:line="301" w:lineRule="auto"/>
        <w:rPr>
          <w:rFonts w:ascii="Microsoft JhengHei"/>
          <w:sz w:val="21"/>
        </w:rPr>
      </w:pPr>
    </w:p>
    <w:p>
      <w:pPr>
        <w:spacing w:before="104" w:line="188" w:lineRule="auto"/>
        <w:ind w:firstLine="44"/>
        <w:outlineLvl w:val="1"/>
        <w:rPr>
          <w:rFonts w:ascii="仿宋" w:hAnsi="仿宋" w:eastAsia="仿宋" w:cs="仿宋"/>
          <w:sz w:val="32"/>
          <w:szCs w:val="32"/>
        </w:rPr>
      </w:pPr>
      <w:bookmarkStart w:id="29" w:name="_bookmark30"/>
      <w:bookmarkEnd w:id="29"/>
      <w:r>
        <w:rPr>
          <w:rFonts w:ascii="仿宋" w:hAnsi="仿宋" w:eastAsia="仿宋" w:cs="仿宋"/>
          <w:spacing w:val="-2"/>
          <w:sz w:val="32"/>
          <w:szCs w:val="32"/>
        </w:rPr>
        <w:t>十一、政府性基金预算财政拨款收入支出决算表</w:t>
      </w:r>
    </w:p>
    <w:p>
      <w:pPr>
        <w:spacing w:line="299"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30" w:name="_bookmark31"/>
      <w:bookmarkEnd w:id="30"/>
      <w:r>
        <w:rPr>
          <w:rFonts w:ascii="仿宋" w:hAnsi="仿宋" w:eastAsia="仿宋" w:cs="仿宋"/>
          <w:spacing w:val="-2"/>
          <w:sz w:val="32"/>
          <w:szCs w:val="32"/>
        </w:rPr>
        <w:t>十二、政府性基金预算财政拨款“三公”经费支出决算表</w:t>
      </w:r>
    </w:p>
    <w:p>
      <w:pPr>
        <w:spacing w:line="299"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31" w:name="_bookmark32"/>
      <w:bookmarkEnd w:id="31"/>
      <w:r>
        <w:rPr>
          <w:rFonts w:ascii="仿宋" w:hAnsi="仿宋" w:eastAsia="仿宋" w:cs="仿宋"/>
          <w:spacing w:val="-2"/>
          <w:sz w:val="32"/>
          <w:szCs w:val="32"/>
        </w:rPr>
        <w:t>十三、国有资本经营预算财政拨款收入支出决算表</w:t>
      </w:r>
    </w:p>
    <w:p>
      <w:pPr>
        <w:spacing w:line="301"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32" w:name="_bookmark33"/>
      <w:bookmarkEnd w:id="32"/>
      <w:r>
        <w:rPr>
          <w:rFonts w:ascii="仿宋" w:hAnsi="仿宋" w:eastAsia="仿宋" w:cs="仿宋"/>
          <w:spacing w:val="-2"/>
          <w:sz w:val="32"/>
          <w:szCs w:val="32"/>
        </w:rPr>
        <w:t>十四、国有资本经营预算财政拨款支出决算表</w:t>
      </w:r>
    </w:p>
    <w:sectPr>
      <w:footerReference r:id="rId19" w:type="default"/>
      <w:pgSz w:w="11906" w:h="16839"/>
      <w:pgMar w:top="1431" w:right="1785" w:bottom="1152" w:left="1785" w:header="0" w:footer="1033"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7" w:lineRule="exact"/>
      <w:ind w:firstLine="4130"/>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7" w:lineRule="exact"/>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12</w:t>
                    </w:r>
                    <w:r>
                      <w:rPr>
                        <w:rFonts w:hint="eastAsia" w:eastAsia="宋体"/>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hint="default" w:ascii="Microsoft JhengHei"/>
        <w:sz w:val="2"/>
        <w:lang w:val="en-US"/>
      </w:rPr>
    </w:pPr>
    <w:r>
      <w:rPr>
        <w:sz w:val="2"/>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v:textbox>
            </v:shape>
          </w:pict>
        </mc:Fallback>
      </mc:AlternateContent>
    </w:r>
    <w:r>
      <w:rPr>
        <w:rFonts w:hint="eastAsia" w:ascii="Microsoft JhengHei" w:eastAsia="宋体"/>
        <w:sz w:val="2"/>
        <w:lang w:val="en-US" w:eastAsia="zh-CN"/>
      </w:rPr>
      <w:t>14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907"/>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19</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19</w:t>
                    </w:r>
                    <w:r>
                      <w:rPr>
                        <w:rFonts w:hint="eastAsia" w:eastAsia="宋体"/>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7" w:lineRule="exact"/>
      <w:ind w:firstLine="4084"/>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24</w:t>
                    </w:r>
                    <w:r>
                      <w:rPr>
                        <w:rFonts w:hint="eastAsia" w:eastAsia="宋体"/>
                        <w:lang w:eastAsia="zh-CN"/>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31</w:t>
                    </w:r>
                    <w:r>
                      <w:rPr>
                        <w:rFonts w:hint="eastAsia" w:eastAsia="宋体"/>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29"/>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124"/>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129"/>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29"/>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6</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6</w:t>
                    </w:r>
                    <w:r>
                      <w:rPr>
                        <w:rFonts w:hint="eastAsia" w:eastAsia="宋体"/>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27"/>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8</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8</w:t>
                    </w:r>
                    <w:r>
                      <w:rPr>
                        <w:rFonts w:hint="eastAsia" w:eastAsia="宋体"/>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9</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9</w:t>
                    </w:r>
                    <w:r>
                      <w:rPr>
                        <w:rFonts w:hint="eastAsia" w:eastAsia="宋体"/>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090"/>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10</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10</w:t>
                    </w:r>
                    <w:r>
                      <w:rPr>
                        <w:rFonts w:hint="eastAsia" w:eastAsia="宋体"/>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11</w:t>
                    </w:r>
                    <w:r>
                      <w:rPr>
                        <w:rFonts w:hint="eastAsia" w:eastAsia="宋体"/>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3D88C"/>
    <w:multiLevelType w:val="singleLevel"/>
    <w:tmpl w:val="9643D88C"/>
    <w:lvl w:ilvl="0" w:tentative="0">
      <w:start w:val="1"/>
      <w:numFmt w:val="decimal"/>
      <w:lvlText w:val="%1."/>
      <w:lvlJc w:val="left"/>
      <w:pPr>
        <w:tabs>
          <w:tab w:val="left" w:pos="312"/>
        </w:tabs>
      </w:p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E6E3E58E"/>
    <w:multiLevelType w:val="singleLevel"/>
    <w:tmpl w:val="E6E3E58E"/>
    <w:lvl w:ilvl="0" w:tentative="0">
      <w:start w:val="1"/>
      <w:numFmt w:val="decimal"/>
      <w:lvlText w:val="%1."/>
      <w:lvlJc w:val="left"/>
      <w:pPr>
        <w:tabs>
          <w:tab w:val="left" w:pos="312"/>
        </w:tabs>
      </w:pPr>
    </w:lvl>
  </w:abstractNum>
  <w:abstractNum w:abstractNumId="3">
    <w:nsid w:val="EDCC2DBD"/>
    <w:multiLevelType w:val="singleLevel"/>
    <w:tmpl w:val="EDCC2DBD"/>
    <w:lvl w:ilvl="0" w:tentative="0">
      <w:start w:val="1"/>
      <w:numFmt w:val="decimal"/>
      <w:lvlText w:val="%1."/>
      <w:lvlJc w:val="left"/>
      <w:pPr>
        <w:tabs>
          <w:tab w:val="left" w:pos="312"/>
        </w:tabs>
      </w:pPr>
    </w:lvl>
  </w:abstractNum>
  <w:abstractNum w:abstractNumId="4">
    <w:nsid w:val="F5F50345"/>
    <w:multiLevelType w:val="singleLevel"/>
    <w:tmpl w:val="F5F50345"/>
    <w:lvl w:ilvl="0" w:tentative="0">
      <w:start w:val="1"/>
      <w:numFmt w:val="decimal"/>
      <w:lvlText w:val="%1."/>
      <w:lvlJc w:val="left"/>
      <w:pPr>
        <w:tabs>
          <w:tab w:val="left" w:pos="312"/>
        </w:tabs>
      </w:pPr>
    </w:lvl>
  </w:abstractNum>
  <w:abstractNum w:abstractNumId="5">
    <w:nsid w:val="4A5DA133"/>
    <w:multiLevelType w:val="singleLevel"/>
    <w:tmpl w:val="4A5DA133"/>
    <w:lvl w:ilvl="0" w:tentative="0">
      <w:start w:val="1"/>
      <w:numFmt w:val="decimal"/>
      <w:lvlText w:val="%1."/>
      <w:lvlJc w:val="left"/>
      <w:pPr>
        <w:tabs>
          <w:tab w:val="left" w:pos="312"/>
        </w:tabs>
      </w:p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EyZjhjMDljN2ZmZDI4MDM1OTczNmZkYWIwMTM0OGUifQ=="/>
  </w:docVars>
  <w:rsids>
    <w:rsidRoot w:val="00000000"/>
    <w:rsid w:val="034105A4"/>
    <w:rsid w:val="0F5668E2"/>
    <w:rsid w:val="113813F4"/>
    <w:rsid w:val="16932E56"/>
    <w:rsid w:val="17CD14A8"/>
    <w:rsid w:val="1DFB6236"/>
    <w:rsid w:val="2150416D"/>
    <w:rsid w:val="255006FE"/>
    <w:rsid w:val="28A152FA"/>
    <w:rsid w:val="2AD74051"/>
    <w:rsid w:val="3E2E2A81"/>
    <w:rsid w:val="3EAA29BF"/>
    <w:rsid w:val="45BB4EF7"/>
    <w:rsid w:val="49BC1416"/>
    <w:rsid w:val="4DD42428"/>
    <w:rsid w:val="555F0AA8"/>
    <w:rsid w:val="61EC2D8E"/>
    <w:rsid w:val="62DE7894"/>
    <w:rsid w:val="746317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5"/>
    <w:basedOn w:val="1"/>
    <w:next w:val="1"/>
    <w:qFormat/>
    <w:uiPriority w:val="0"/>
    <w:pPr>
      <w:ind w:left="1680" w:leftChars="800"/>
    </w:pPr>
  </w:style>
  <w:style w:type="paragraph" w:styleId="5">
    <w:name w:val="table of authorities"/>
    <w:basedOn w:val="1"/>
    <w:next w:val="1"/>
    <w:qFormat/>
    <w:uiPriority w:val="99"/>
    <w:pPr>
      <w:ind w:left="420" w:leftChars="200"/>
    </w:pPr>
    <w:rPr>
      <w:rFonts w:ascii="Times New Roman" w:hAnsi="Times New Roman" w:cs="Times New Roman"/>
      <w:szCs w:val="20"/>
    </w:rPr>
  </w:style>
  <w:style w:type="paragraph" w:styleId="6">
    <w:name w:val="Body Text"/>
    <w:basedOn w:val="1"/>
    <w:qFormat/>
    <w:uiPriority w:val="99"/>
    <w:pPr>
      <w:spacing w:beforeLines="30"/>
    </w:pPr>
    <w:rPr>
      <w:rFonts w:ascii="仿宋_GB2312" w:eastAsia="仿宋_GB2312"/>
      <w:kern w:val="0"/>
      <w:sz w:val="30"/>
    </w:rPr>
  </w:style>
  <w:style w:type="paragraph" w:styleId="7">
    <w:name w:val="Body Text Indent"/>
    <w:basedOn w:val="1"/>
    <w:qFormat/>
    <w:uiPriority w:val="0"/>
    <w:pPr>
      <w:spacing w:line="560" w:lineRule="exact"/>
      <w:ind w:firstLine="640" w:firstLine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7"/>
    <w:qFormat/>
    <w:uiPriority w:val="0"/>
    <w:pPr>
      <w:spacing w:after="120" w:line="240" w:lineRule="auto"/>
      <w:ind w:left="420" w:leftChars="200" w:firstLine="420"/>
    </w:pPr>
  </w:style>
  <w:style w:type="character" w:styleId="13">
    <w:name w:val="Strong"/>
    <w:basedOn w:val="12"/>
    <w:qFormat/>
    <w:uiPriority w:val="99"/>
    <w:rPr>
      <w:rFonts w:cs="Times New Roman"/>
      <w:b/>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7.jpeg"/><Relationship Id="rId26" Type="http://schemas.openxmlformats.org/officeDocument/2006/relationships/image" Target="media/image6.jpeg"/><Relationship Id="rId25" Type="http://schemas.openxmlformats.org/officeDocument/2006/relationships/image" Target="media/image5.jpeg"/><Relationship Id="rId24" Type="http://schemas.openxmlformats.org/officeDocument/2006/relationships/image" Target="media/image4.jpeg"/><Relationship Id="rId23" Type="http://schemas.openxmlformats.org/officeDocument/2006/relationships/image" Target="media/image3.jpeg"/><Relationship Id="rId22" Type="http://schemas.openxmlformats.org/officeDocument/2006/relationships/image" Target="media/image2.jpe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39</Pages>
  <Words>14763</Words>
  <Characters>17811</Characters>
  <TotalTime>3</TotalTime>
  <ScaleCrop>false</ScaleCrop>
  <LinksUpToDate>false</LinksUpToDate>
  <CharactersWithSpaces>17869</CharactersWithSpaces>
  <Application>WPS Office_11.1.0.11744_F1E327BC-269C-435d-A152-05C5408002CA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2021-10-20T11:49:00Z</dcterms:created>
  <dc:creator>Administrator</dc:creator>
  <cp:lastModifiedBy>Master'霖</cp:lastModifiedBy>
  <dcterms:modified xsi:type="dcterms:W3CDTF">2022-05-31T08:09:39Z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2022-04-27T09:26:21Z</vt:filetime>
  </property>
  <property fmtid="{D5CDD505-2E9C-101B-9397-08002B2CF9AE}" pid="4" name="KSOProductBuildVer">
    <vt:lpwstr>2052-11.1.0.11744</vt:lpwstr>
  </property>
  <property fmtid="{D5CDD505-2E9C-101B-9397-08002B2CF9AE}" pid="5" name="ICV">
    <vt:lpwstr>A1134549977B486EA582977768316959</vt:lpwstr>
  </property>
</Properties>
</file>