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黑体" w:hAnsi="黑体" w:eastAsia="黑体" w:cs="黑体"/>
          <w:sz w:val="44"/>
          <w:szCs w:val="44"/>
          <w:lang w:val="en-US" w:eastAsia="zh-CN"/>
        </w:rPr>
      </w:pPr>
    </w:p>
    <w:p>
      <w:pPr>
        <w:widowControl/>
        <w:spacing w:line="58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自贡市自流井区人民政府舒坪街道办事处</w:t>
      </w:r>
    </w:p>
    <w:p>
      <w:pPr>
        <w:widowControl/>
        <w:spacing w:line="580" w:lineRule="exact"/>
        <w:jc w:val="center"/>
        <w:rPr>
          <w:rFonts w:hint="eastAsia" w:ascii="黑体" w:hAnsi="黑体" w:eastAsia="黑体" w:cs="黑体"/>
          <w:sz w:val="44"/>
          <w:szCs w:val="44"/>
        </w:rPr>
      </w:pPr>
      <w:r>
        <w:rPr>
          <w:rFonts w:hint="eastAsia" w:ascii="黑体" w:hAnsi="黑体" w:eastAsia="黑体" w:cs="黑体"/>
          <w:sz w:val="44"/>
          <w:szCs w:val="44"/>
          <w:lang w:val="en-US" w:eastAsia="zh-CN"/>
        </w:rPr>
        <w:t>（本级）2020</w:t>
      </w:r>
      <w:r>
        <w:rPr>
          <w:rFonts w:hint="eastAsia" w:ascii="黑体" w:hAnsi="黑体" w:eastAsia="黑体" w:cs="黑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bookmarkStart w:id="95" w:name="_GoBack"/>
      <w:bookmarkEnd w:id="95"/>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_Toc6092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_Toc7163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_Toc25258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_Toc13725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7</w:t>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_Toc10967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_Toc31021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_Toc6926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_Toc9843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_Toc10775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_Toc11602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附件2</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0</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34</w:t>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3"/>
        <w:jc w:val="center"/>
        <w:rPr>
          <w:rStyle w:val="13"/>
          <w:rFonts w:ascii="黑体" w:hAnsi="黑体" w:eastAsia="黑体"/>
          <w:b w:val="0"/>
          <w:bCs/>
        </w:rPr>
      </w:pPr>
      <w:bookmarkStart w:id="0" w:name="_Toc10567"/>
      <w:r>
        <w:rPr>
          <w:rFonts w:hint="eastAsia" w:ascii="黑体" w:hAnsi="黑体" w:eastAsia="黑体"/>
          <w:b w:val="0"/>
          <w:bCs/>
        </w:rPr>
        <w:t>第一部分</w:t>
      </w:r>
      <w:r>
        <w:rPr>
          <w:rFonts w:ascii="黑体" w:hAnsi="黑体" w:eastAsia="黑体"/>
          <w:b w:val="0"/>
          <w:bCs/>
        </w:rPr>
        <w:t xml:space="preserve"> </w:t>
      </w:r>
      <w:r>
        <w:rPr>
          <w:rStyle w:val="13"/>
          <w:rFonts w:hint="eastAsia" w:ascii="黑体" w:hAnsi="黑体" w:eastAsia="黑体"/>
          <w:b w:val="0"/>
          <w:bCs/>
        </w:rPr>
        <w:t>部门概况</w:t>
      </w:r>
      <w:bookmarkEnd w:id="0"/>
    </w:p>
    <w:p>
      <w:pPr>
        <w:widowControl/>
        <w:jc w:val="left"/>
        <w:rPr>
          <w:rFonts w:ascii="黑体" w:eastAsia="黑体"/>
          <w:color w:val="000000"/>
          <w:sz w:val="32"/>
          <w:szCs w:val="32"/>
        </w:rPr>
      </w:pPr>
    </w:p>
    <w:p>
      <w:pPr>
        <w:pStyle w:val="4"/>
        <w:rPr>
          <w:rStyle w:val="14"/>
          <w:rFonts w:ascii="仿宋" w:hAnsi="仿宋" w:eastAsia="仿宋"/>
          <w:b w:val="0"/>
          <w:bCs w:val="0"/>
        </w:rPr>
      </w:pPr>
      <w:bookmarkStart w:id="1" w:name="_Toc21498"/>
      <w:bookmarkStart w:id="2" w:name="_Toc15396600"/>
      <w:bookmarkStart w:id="3" w:name="_Toc15377197"/>
      <w:r>
        <w:rPr>
          <w:rFonts w:hint="eastAsia" w:ascii="黑体" w:hAnsi="黑体" w:eastAsia="黑体"/>
          <w:b w:val="0"/>
          <w:color w:val="000000"/>
        </w:rPr>
        <w:t>一、基</w:t>
      </w:r>
      <w:r>
        <w:rPr>
          <w:rStyle w:val="14"/>
          <w:rFonts w:hint="eastAsia" w:ascii="黑体" w:hAnsi="黑体" w:eastAsia="黑体"/>
          <w:b w:val="0"/>
          <w:bCs w:val="0"/>
        </w:rPr>
        <w:t>本职能及主要工作</w:t>
      </w:r>
      <w:bookmarkEnd w:id="1"/>
      <w:bookmarkEnd w:id="2"/>
      <w:bookmarkEnd w:id="3"/>
    </w:p>
    <w:p>
      <w:pPr>
        <w:pStyle w:val="2"/>
        <w:adjustRightInd w:val="0"/>
        <w:snapToGrid w:val="0"/>
        <w:spacing w:before="93" w:line="600" w:lineRule="exact"/>
        <w:ind w:firstLine="675" w:firstLineChars="210"/>
        <w:outlineLvl w:val="2"/>
        <w:rPr>
          <w:rFonts w:hint="eastAsia" w:ascii="仿宋" w:hAnsi="仿宋" w:eastAsia="仿宋"/>
          <w:b/>
          <w:bCs w:val="0"/>
          <w:color w:val="000000"/>
          <w:sz w:val="32"/>
          <w:szCs w:val="32"/>
        </w:rPr>
      </w:pPr>
      <w:bookmarkStart w:id="4" w:name="_Toc15377198"/>
      <w:bookmarkStart w:id="5" w:name="_Toc15378445"/>
      <w:r>
        <w:rPr>
          <w:rFonts w:hint="eastAsia" w:ascii="仿宋" w:hAnsi="仿宋" w:eastAsia="仿宋"/>
          <w:b/>
          <w:bCs w:val="0"/>
          <w:color w:val="000000"/>
          <w:sz w:val="32"/>
          <w:szCs w:val="32"/>
        </w:rPr>
        <w:t>（一）主要职能</w:t>
      </w:r>
      <w:bookmarkEnd w:id="4"/>
      <w:bookmarkEnd w:id="5"/>
      <w:bookmarkStart w:id="6" w:name="_Toc15378446"/>
      <w:bookmarkStart w:id="7" w:name="_Toc15377199"/>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rPr>
        <w:t>舒坪街道办事处是基层行政机关，宣传贯彻党的方针、政策和国家的法律、法规，执行上级党委、政府的决定和命令及本街党工委的决议，贯彻落实区委、区政府的重大决策和重要工作部署，制定和实施本街农业、经济发展规划、年度计划；谋划实施街域范围内的经济发展，制定并组织实施乡村建设规划，部署重点工程建设，负责社会主义新农村基础设施建设和生态环境的保护，抓实文教、卫生、公民素质教育等与政治、经济、社会协调发展的相关内容。</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3" w:firstLineChars="200"/>
        <w:jc w:val="both"/>
        <w:textAlignment w:val="auto"/>
        <w:outlineLvl w:val="2"/>
        <w:rPr>
          <w:rFonts w:hint="eastAsia" w:ascii="仿宋" w:hAnsi="仿宋" w:eastAsia="仿宋"/>
          <w:b/>
          <w:bCs w:val="0"/>
          <w:color w:val="000000"/>
          <w:sz w:val="32"/>
          <w:szCs w:val="32"/>
        </w:rPr>
      </w:pPr>
      <w:r>
        <w:rPr>
          <w:rFonts w:hint="eastAsia" w:ascii="仿宋" w:hAnsi="仿宋" w:eastAsia="仿宋"/>
          <w:b/>
          <w:bCs w:val="0"/>
          <w:color w:val="000000"/>
          <w:sz w:val="32"/>
          <w:szCs w:val="32"/>
        </w:rPr>
        <w:t>（二）</w:t>
      </w:r>
      <w:r>
        <w:rPr>
          <w:rFonts w:ascii="仿宋" w:hAnsi="仿宋" w:eastAsia="仿宋"/>
          <w:b/>
          <w:bCs w:val="0"/>
          <w:color w:val="000000"/>
          <w:sz w:val="32"/>
          <w:szCs w:val="32"/>
        </w:rPr>
        <w:t>2020</w:t>
      </w:r>
      <w:r>
        <w:rPr>
          <w:rFonts w:hint="eastAsia" w:ascii="仿宋" w:hAnsi="仿宋" w:eastAsia="仿宋"/>
          <w:b/>
          <w:bCs w:val="0"/>
          <w:color w:val="000000"/>
          <w:sz w:val="32"/>
          <w:szCs w:val="32"/>
        </w:rPr>
        <w:t>年重点工作完成情况</w:t>
      </w:r>
      <w:bookmarkEnd w:id="6"/>
      <w:bookmarkEnd w:id="7"/>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b/>
          <w:bCs w:val="0"/>
          <w:color w:val="auto"/>
          <w:sz w:val="32"/>
          <w:szCs w:val="32"/>
        </w:rPr>
      </w:pPr>
      <w:r>
        <w:rPr>
          <w:rFonts w:hint="eastAsia" w:ascii="仿宋" w:hAnsi="仿宋" w:eastAsia="仿宋" w:cs="仿宋"/>
          <w:i w:val="0"/>
          <w:caps w:val="0"/>
          <w:color w:val="auto"/>
          <w:spacing w:val="0"/>
          <w:sz w:val="32"/>
          <w:szCs w:val="32"/>
          <w:shd w:val="clear" w:fill="FFFFFF"/>
        </w:rPr>
        <w:t>1.贯彻落实党的路线、方针、政策和国家法律、法规以及上级的决议；负责辖区内的地区性、群众性、公益性、社会性工作。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2．按照职责范围，做好街道范围内的城市管理、社会管理、安全生产、应急、防汛救灾、生态环保、市容环境卫生、园林绿化等监督、管理、协调、服务工作。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3．负责街道的信访工作及平安建设、公共安全工作。承担民族宗教、拥军优属、社区文化、卫生健康、教育体育、社会保障、民政、科技、统计等工作。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4．负责社区治理，指导社区基层群众性自治组织建设，健全自治平台，组织居民和辖区单位参与社区建设和管理。</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5．协助做好国防教育和兵役等工作。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6．按照权限负责街道综合行政执法工作。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7．制定完善街道权力清单、责任清单、公共服务清单,建立清单动态调整、公示机制，推进街道政务公开，接受群众监督，增强政府公信力。</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8．负责街道财政资金使用、监督和管理，按计划组织、管理街道财政收入和支出，指导社区财务管理。</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9．完成法律、法规、规章规定的其他职能和上级党委、政府交办的其他任务。</w:t>
      </w:r>
    </w:p>
    <w:p>
      <w:pPr>
        <w:pStyle w:val="4"/>
        <w:rPr>
          <w:rStyle w:val="14"/>
          <w:b w:val="0"/>
          <w:bCs w:val="0"/>
        </w:rPr>
      </w:pPr>
      <w:bookmarkStart w:id="8" w:name="_Toc6092"/>
      <w:bookmarkStart w:id="9" w:name="_Toc15377200"/>
      <w:bookmarkStart w:id="10" w:name="_Toc15396601"/>
      <w:r>
        <w:rPr>
          <w:rFonts w:hint="eastAsia" w:ascii="黑体" w:eastAsia="黑体"/>
          <w:b w:val="0"/>
          <w:color w:val="000000"/>
        </w:rPr>
        <w:t>二、</w:t>
      </w:r>
      <w:r>
        <w:rPr>
          <w:rFonts w:hint="eastAsia" w:ascii="黑体" w:hAnsi="黑体" w:eastAsia="黑体"/>
          <w:b w:val="0"/>
          <w:color w:val="000000"/>
        </w:rPr>
        <w:t>机</w:t>
      </w:r>
      <w:r>
        <w:rPr>
          <w:rStyle w:val="14"/>
          <w:rFonts w:hint="eastAsia" w:ascii="黑体" w:hAnsi="黑体" w:eastAsia="黑体"/>
          <w:b w:val="0"/>
          <w:bCs w:val="0"/>
        </w:rPr>
        <w:t>构设置</w:t>
      </w:r>
      <w:bookmarkEnd w:id="8"/>
      <w:bookmarkEnd w:id="9"/>
      <w:bookmarkEnd w:id="10"/>
    </w:p>
    <w:p>
      <w:pPr>
        <w:keepNext w:val="0"/>
        <w:keepLines w:val="0"/>
        <w:pageBreakBefore w:val="0"/>
        <w:widowControl w:val="0"/>
        <w:kinsoku/>
        <w:wordWrap/>
        <w:overflowPunct/>
        <w:topLinePunct w:val="0"/>
        <w:autoSpaceDE/>
        <w:autoSpaceDN/>
        <w:bidi w:val="0"/>
        <w:ind w:firstLine="640" w:firstLineChars="200"/>
        <w:textAlignment w:val="auto"/>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rPr>
        <w:t>舒坪街道办事处下属二级预算单位</w:t>
      </w:r>
      <w:r>
        <w:rPr>
          <w:rFonts w:hint="eastAsia" w:ascii="仿宋" w:hAnsi="仿宋" w:eastAsia="仿宋" w:cs="仿宋"/>
          <w:i w:val="0"/>
          <w:caps w:val="0"/>
          <w:color w:val="auto"/>
          <w:spacing w:val="0"/>
          <w:sz w:val="32"/>
          <w:szCs w:val="32"/>
          <w:shd w:val="clear" w:fill="FFFFFF"/>
          <w:lang w:val="en-US" w:eastAsia="zh-CN"/>
        </w:rPr>
        <w:t>5</w:t>
      </w:r>
      <w:r>
        <w:rPr>
          <w:rFonts w:hint="eastAsia" w:ascii="仿宋" w:hAnsi="仿宋" w:eastAsia="仿宋" w:cs="仿宋"/>
          <w:i w:val="0"/>
          <w:caps w:val="0"/>
          <w:color w:val="auto"/>
          <w:spacing w:val="0"/>
          <w:sz w:val="32"/>
          <w:szCs w:val="32"/>
          <w:shd w:val="clear" w:fill="FFFFFF"/>
        </w:rPr>
        <w:t>个，</w:t>
      </w:r>
      <w:r>
        <w:rPr>
          <w:rFonts w:hint="eastAsia" w:ascii="仿宋" w:hAnsi="仿宋" w:eastAsia="仿宋" w:cs="仿宋"/>
          <w:i w:val="0"/>
          <w:caps w:val="0"/>
          <w:color w:val="auto"/>
          <w:spacing w:val="0"/>
          <w:sz w:val="32"/>
          <w:szCs w:val="32"/>
          <w:highlight w:val="none"/>
          <w:shd w:val="clear" w:fill="FFFFFF"/>
        </w:rPr>
        <w:t>其中行政单位</w:t>
      </w:r>
      <w:r>
        <w:rPr>
          <w:rFonts w:hint="eastAsia" w:ascii="仿宋" w:hAnsi="仿宋" w:eastAsia="仿宋" w:cs="仿宋"/>
          <w:i w:val="0"/>
          <w:caps w:val="0"/>
          <w:color w:val="auto"/>
          <w:spacing w:val="0"/>
          <w:sz w:val="32"/>
          <w:szCs w:val="32"/>
          <w:highlight w:val="none"/>
          <w:shd w:val="clear" w:fill="FFFFFF"/>
          <w:lang w:val="en-US" w:eastAsia="zh-CN"/>
        </w:rPr>
        <w:t>1</w:t>
      </w:r>
      <w:r>
        <w:rPr>
          <w:rFonts w:hint="eastAsia" w:ascii="仿宋" w:hAnsi="仿宋" w:eastAsia="仿宋" w:cs="仿宋"/>
          <w:i w:val="0"/>
          <w:caps w:val="0"/>
          <w:color w:val="auto"/>
          <w:spacing w:val="0"/>
          <w:sz w:val="32"/>
          <w:szCs w:val="32"/>
          <w:highlight w:val="none"/>
          <w:shd w:val="clear" w:fill="FFFFFF"/>
        </w:rPr>
        <w:t>个，</w:t>
      </w:r>
      <w:r>
        <w:rPr>
          <w:rFonts w:hint="eastAsia" w:ascii="仿宋" w:hAnsi="仿宋" w:eastAsia="仿宋" w:cs="仿宋"/>
          <w:i w:val="0"/>
          <w:caps w:val="0"/>
          <w:color w:val="auto"/>
          <w:spacing w:val="0"/>
          <w:sz w:val="32"/>
          <w:szCs w:val="32"/>
          <w:shd w:val="clear" w:fill="FFFFFF"/>
        </w:rPr>
        <w:t>参照公务员法管理的事业单位0个，其他事业单位4个。纳入</w:t>
      </w:r>
      <w:r>
        <w:rPr>
          <w:rFonts w:hint="eastAsia" w:ascii="仿宋" w:hAnsi="仿宋" w:eastAsia="仿宋" w:cs="仿宋"/>
          <w:i w:val="0"/>
          <w:caps w:val="0"/>
          <w:color w:val="auto"/>
          <w:spacing w:val="0"/>
          <w:sz w:val="32"/>
          <w:szCs w:val="32"/>
          <w:shd w:val="clear" w:fill="FFFFFF"/>
          <w:lang w:val="en-US" w:eastAsia="zh-CN"/>
        </w:rPr>
        <w:t>舒坪街道办事处</w:t>
      </w:r>
      <w:r>
        <w:rPr>
          <w:rFonts w:hint="eastAsia" w:ascii="仿宋" w:hAnsi="仿宋" w:eastAsia="仿宋" w:cs="仿宋"/>
          <w:i w:val="0"/>
          <w:caps w:val="0"/>
          <w:color w:val="auto"/>
          <w:spacing w:val="0"/>
          <w:sz w:val="32"/>
          <w:szCs w:val="32"/>
          <w:shd w:val="clear" w:fill="FFFFFF"/>
        </w:rPr>
        <w:t>2020年度部门决算编制范围的二级预算单位</w:t>
      </w:r>
      <w:r>
        <w:rPr>
          <w:rFonts w:hint="eastAsia" w:ascii="仿宋" w:hAnsi="仿宋" w:eastAsia="仿宋" w:cs="仿宋"/>
          <w:i w:val="0"/>
          <w:caps w:val="0"/>
          <w:color w:val="auto"/>
          <w:spacing w:val="0"/>
          <w:sz w:val="32"/>
          <w:szCs w:val="32"/>
          <w:shd w:val="clear" w:fill="FFFFFF"/>
          <w:lang w:val="en-US" w:eastAsia="zh-CN"/>
        </w:rPr>
        <w:t>（下属二级预算单位无单独核算）</w:t>
      </w:r>
      <w:r>
        <w:rPr>
          <w:rFonts w:hint="eastAsia" w:ascii="仿宋" w:hAnsi="仿宋" w:eastAsia="仿宋" w:cs="仿宋"/>
          <w:i w:val="0"/>
          <w:caps w:val="0"/>
          <w:color w:val="auto"/>
          <w:spacing w:val="0"/>
          <w:sz w:val="32"/>
          <w:szCs w:val="32"/>
          <w:shd w:val="clear" w:fill="FFFFFF"/>
        </w:rPr>
        <w:t>包括：</w:t>
      </w:r>
    </w:p>
    <w:p>
      <w:pPr>
        <w:pStyle w:val="2"/>
        <w:numPr>
          <w:ilvl w:val="0"/>
          <w:numId w:val="0"/>
        </w:numPr>
        <w:adjustRightInd w:val="0"/>
        <w:snapToGrid w:val="0"/>
        <w:spacing w:before="93" w:line="600" w:lineRule="exact"/>
        <w:ind w:left="672" w:leftChars="0"/>
        <w:outlineLvl w:val="2"/>
        <w:rPr>
          <w:rFonts w:hint="eastAsia" w:ascii="仿宋" w:hAnsi="仿宋" w:eastAsia="仿宋" w:cs="仿宋"/>
          <w:color w:val="auto"/>
          <w:sz w:val="32"/>
          <w:szCs w:val="32"/>
        </w:rPr>
      </w:pPr>
      <w:bookmarkStart w:id="11" w:name="_Toc15377202"/>
      <w:bookmarkStart w:id="12" w:name="_Toc15378449"/>
      <w:bookmarkStart w:id="13" w:name="_Toc15306276"/>
      <w:bookmarkStart w:id="14" w:name="_Toc15377433"/>
      <w:r>
        <w:rPr>
          <w:rFonts w:hint="eastAsia" w:ascii="仿宋" w:hAnsi="仿宋" w:eastAsia="仿宋" w:cs="仿宋"/>
          <w:i w:val="0"/>
          <w:caps w:val="0"/>
          <w:color w:val="auto"/>
          <w:spacing w:val="0"/>
          <w:sz w:val="32"/>
          <w:szCs w:val="32"/>
          <w:shd w:val="clear" w:fill="FFFFFF"/>
          <w:lang w:val="en-US" w:eastAsia="zh-CN"/>
        </w:rPr>
        <w:t>1.</w:t>
      </w:r>
      <w:r>
        <w:rPr>
          <w:rFonts w:hint="eastAsia" w:ascii="仿宋" w:hAnsi="仿宋" w:eastAsia="仿宋" w:cs="仿宋"/>
          <w:i w:val="0"/>
          <w:caps w:val="0"/>
          <w:color w:val="auto"/>
          <w:spacing w:val="0"/>
          <w:sz w:val="32"/>
          <w:szCs w:val="32"/>
          <w:shd w:val="clear" w:fill="FFFFFF"/>
        </w:rPr>
        <w:t>便民服务中心</w:t>
      </w:r>
      <w:bookmarkEnd w:id="11"/>
      <w:bookmarkEnd w:id="12"/>
      <w:bookmarkEnd w:id="13"/>
      <w:bookmarkEnd w:id="14"/>
    </w:p>
    <w:p>
      <w:pPr>
        <w:pStyle w:val="2"/>
        <w:numPr>
          <w:ilvl w:val="0"/>
          <w:numId w:val="0"/>
        </w:numPr>
        <w:adjustRightInd w:val="0"/>
        <w:snapToGrid w:val="0"/>
        <w:spacing w:before="93" w:line="600" w:lineRule="exact"/>
        <w:ind w:left="672" w:leftChars="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lang w:val="en-US" w:eastAsia="zh-CN"/>
        </w:rPr>
        <w:t>2.</w:t>
      </w:r>
      <w:r>
        <w:rPr>
          <w:rFonts w:hint="eastAsia" w:ascii="仿宋" w:hAnsi="仿宋" w:eastAsia="仿宋" w:cs="仿宋"/>
          <w:i w:val="0"/>
          <w:caps w:val="0"/>
          <w:color w:val="auto"/>
          <w:spacing w:val="0"/>
          <w:sz w:val="32"/>
          <w:szCs w:val="32"/>
          <w:shd w:val="clear" w:fill="FFFFFF"/>
        </w:rPr>
        <w:t>社区治理服务中心</w:t>
      </w:r>
    </w:p>
    <w:p>
      <w:pPr>
        <w:pStyle w:val="2"/>
        <w:numPr>
          <w:ilvl w:val="0"/>
          <w:numId w:val="0"/>
        </w:numPr>
        <w:adjustRightInd w:val="0"/>
        <w:snapToGrid w:val="0"/>
        <w:spacing w:before="93" w:line="600" w:lineRule="exact"/>
        <w:ind w:left="672" w:leftChars="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lang w:val="en-US" w:eastAsia="zh-CN"/>
        </w:rPr>
        <w:t>3.</w:t>
      </w:r>
      <w:r>
        <w:rPr>
          <w:rFonts w:hint="eastAsia" w:ascii="仿宋" w:hAnsi="仿宋" w:eastAsia="仿宋" w:cs="仿宋"/>
          <w:i w:val="0"/>
          <w:caps w:val="0"/>
          <w:color w:val="auto"/>
          <w:spacing w:val="0"/>
          <w:sz w:val="32"/>
          <w:szCs w:val="32"/>
          <w:shd w:val="clear" w:fill="FFFFFF"/>
        </w:rPr>
        <w:t>农业综合服务中心</w:t>
      </w:r>
    </w:p>
    <w:p>
      <w:pPr>
        <w:pStyle w:val="2"/>
        <w:numPr>
          <w:ilvl w:val="0"/>
          <w:numId w:val="0"/>
        </w:numPr>
        <w:adjustRightInd w:val="0"/>
        <w:snapToGrid w:val="0"/>
        <w:spacing w:before="93" w:line="600" w:lineRule="exact"/>
        <w:ind w:left="672" w:leftChars="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lang w:val="en-US" w:eastAsia="zh-CN"/>
        </w:rPr>
        <w:t>4.</w:t>
      </w:r>
      <w:r>
        <w:rPr>
          <w:rFonts w:hint="eastAsia" w:ascii="仿宋" w:hAnsi="仿宋" w:eastAsia="仿宋" w:cs="仿宋"/>
          <w:i w:val="0"/>
          <w:caps w:val="0"/>
          <w:color w:val="auto"/>
          <w:spacing w:val="0"/>
          <w:sz w:val="32"/>
          <w:szCs w:val="32"/>
          <w:shd w:val="clear" w:fill="FFFFFF"/>
        </w:rPr>
        <w:t>发展保障服务中心</w:t>
      </w:r>
      <w:r>
        <w:rPr>
          <w:rFonts w:hint="eastAsia" w:ascii="仿宋" w:hAnsi="仿宋" w:eastAsia="仿宋" w:cs="仿宋"/>
          <w:i w:val="0"/>
          <w:caps w:val="0"/>
          <w:color w:val="auto"/>
          <w:spacing w:val="0"/>
          <w:sz w:val="32"/>
          <w:szCs w:val="32"/>
          <w:shd w:val="clear" w:fill="FFFFFF"/>
          <w:lang w:val="en-US" w:eastAsia="zh-CN"/>
        </w:rPr>
        <w:t xml:space="preserve"> </w:t>
      </w:r>
    </w:p>
    <w:p>
      <w:pPr>
        <w:widowControl/>
        <w:jc w:val="center"/>
        <w:rPr>
          <w:rStyle w:val="13"/>
          <w:rFonts w:ascii="黑体" w:hAnsi="黑体" w:eastAsia="黑体"/>
          <w:b w:val="0"/>
          <w:bCs w:val="0"/>
        </w:rPr>
      </w:pPr>
      <w:bookmarkStart w:id="15" w:name="_Toc15396602"/>
      <w:bookmarkStart w:id="16" w:name="_Toc23109"/>
      <w:bookmarkStart w:id="17" w:name="_Toc15377204"/>
      <w:r>
        <w:rPr>
          <w:rStyle w:val="13"/>
          <w:rFonts w:hint="eastAsia" w:ascii="黑体" w:hAnsi="黑体" w:eastAsia="黑体"/>
          <w:b w:val="0"/>
          <w:bCs w:val="0"/>
        </w:rPr>
        <w:t>第二部分</w:t>
      </w:r>
      <w:r>
        <w:rPr>
          <w:rFonts w:ascii="黑体" w:hAnsi="黑体" w:eastAsia="黑体"/>
          <w:color w:val="000000"/>
        </w:rPr>
        <w:t xml:space="preserve"> </w:t>
      </w:r>
      <w:r>
        <w:rPr>
          <w:rStyle w:val="13"/>
          <w:rFonts w:ascii="黑体" w:hAnsi="黑体" w:eastAsia="黑体"/>
          <w:b w:val="0"/>
          <w:bCs w:val="0"/>
        </w:rPr>
        <w:t>2020</w:t>
      </w:r>
      <w:r>
        <w:rPr>
          <w:rStyle w:val="13"/>
          <w:rFonts w:hint="eastAsia" w:ascii="黑体" w:hAnsi="黑体" w:eastAsia="黑体"/>
          <w:b w:val="0"/>
          <w:bCs w:val="0"/>
        </w:rPr>
        <w:t>年度部门决算情况说明</w:t>
      </w:r>
      <w:bookmarkEnd w:id="15"/>
      <w:bookmarkEnd w:id="16"/>
      <w:bookmarkEnd w:id="17"/>
    </w:p>
    <w:p/>
    <w:p>
      <w:pPr>
        <w:pStyle w:val="15"/>
        <w:numPr>
          <w:ilvl w:val="0"/>
          <w:numId w:val="1"/>
        </w:numPr>
        <w:spacing w:line="600" w:lineRule="exact"/>
        <w:ind w:firstLineChars="0"/>
        <w:outlineLvl w:val="1"/>
        <w:rPr>
          <w:rStyle w:val="14"/>
          <w:rFonts w:ascii="黑体" w:hAnsi="黑体" w:eastAsia="黑体"/>
          <w:b w:val="0"/>
        </w:rPr>
      </w:pPr>
      <w:bookmarkStart w:id="18" w:name="_Toc15396603"/>
      <w:bookmarkStart w:id="19" w:name="_Toc15377205"/>
      <w:bookmarkStart w:id="20" w:name="_Toc7163"/>
      <w:r>
        <w:rPr>
          <w:rFonts w:hint="eastAsia" w:ascii="黑体" w:hAnsi="黑体" w:eastAsia="黑体"/>
          <w:color w:val="000000"/>
          <w:sz w:val="32"/>
          <w:szCs w:val="32"/>
        </w:rPr>
        <w:t>收</w:t>
      </w:r>
      <w:r>
        <w:rPr>
          <w:rStyle w:val="14"/>
          <w:rFonts w:hint="eastAsia" w:ascii="黑体" w:hAnsi="黑体" w:eastAsia="黑体"/>
          <w:b w:val="0"/>
        </w:rPr>
        <w:t>入支出决算总体情况说明</w:t>
      </w:r>
      <w:bookmarkEnd w:id="18"/>
      <w:bookmarkEnd w:id="19"/>
      <w:bookmarkEnd w:id="20"/>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微软雅黑" w:hAnsi="微软雅黑" w:eastAsia="微软雅黑" w:cs="微软雅黑"/>
          <w:i w:val="0"/>
          <w:caps w:val="0"/>
          <w:color w:val="auto"/>
          <w:spacing w:val="0"/>
          <w:sz w:val="32"/>
          <w:szCs w:val="32"/>
          <w:highlight w:val="none"/>
          <w:shd w:val="clear" w:fill="FFFFFF"/>
        </w:rPr>
      </w:pPr>
      <w:r>
        <w:rPr>
          <w:rFonts w:hint="eastAsia" w:ascii="仿宋" w:hAnsi="仿宋" w:eastAsia="仿宋" w:cs="仿宋"/>
          <w:color w:val="auto"/>
          <w:sz w:val="32"/>
          <w:szCs w:val="32"/>
          <w:highlight w:val="none"/>
        </w:rPr>
        <w:t>2020年度收、支总计4256.55万元。与2019年相比，收、支总计各减少</w:t>
      </w:r>
      <w:r>
        <w:rPr>
          <w:rFonts w:hint="eastAsia" w:ascii="仿宋" w:hAnsi="仿宋" w:eastAsia="仿宋" w:cs="仿宋"/>
          <w:i w:val="0"/>
          <w:caps w:val="0"/>
          <w:color w:val="auto"/>
          <w:spacing w:val="0"/>
          <w:sz w:val="32"/>
          <w:szCs w:val="32"/>
          <w:highlight w:val="none"/>
          <w:shd w:val="clear" w:fill="FFFFFF"/>
          <w:lang w:val="en-US" w:eastAsia="zh-CN"/>
        </w:rPr>
        <w:t>5697.53</w:t>
      </w:r>
      <w:r>
        <w:rPr>
          <w:rFonts w:hint="eastAsia" w:ascii="仿宋" w:hAnsi="仿宋" w:eastAsia="仿宋" w:cs="仿宋"/>
          <w:color w:val="auto"/>
          <w:sz w:val="32"/>
          <w:szCs w:val="32"/>
          <w:highlight w:val="none"/>
        </w:rPr>
        <w:t>万元，下降</w:t>
      </w:r>
      <w:r>
        <w:rPr>
          <w:rFonts w:hint="eastAsia" w:ascii="仿宋" w:hAnsi="仿宋" w:eastAsia="仿宋" w:cs="仿宋"/>
          <w:i w:val="0"/>
          <w:caps w:val="0"/>
          <w:color w:val="auto"/>
          <w:spacing w:val="0"/>
          <w:sz w:val="32"/>
          <w:szCs w:val="32"/>
          <w:highlight w:val="none"/>
          <w:shd w:val="clear" w:fill="FFFFFF"/>
          <w:lang w:val="en-US" w:eastAsia="zh-CN"/>
        </w:rPr>
        <w:t>57.24</w:t>
      </w:r>
      <w:r>
        <w:rPr>
          <w:rFonts w:hint="eastAsia" w:ascii="仿宋" w:hAnsi="仿宋" w:eastAsia="仿宋" w:cs="仿宋"/>
          <w:color w:val="auto"/>
          <w:sz w:val="32"/>
          <w:szCs w:val="32"/>
          <w:highlight w:val="none"/>
        </w:rPr>
        <w:t>%。主要变动原因是政府性基金预算拨款项目收支有所减少（征地拆迁项目收支减少）。</w:t>
      </w:r>
    </w:p>
    <w:p>
      <w:pPr>
        <w:spacing w:line="600" w:lineRule="exact"/>
        <w:ind w:firstLine="640" w:firstLineChars="200"/>
        <w:rPr>
          <w:rFonts w:hint="eastAsia" w:ascii="仿宋" w:hAnsi="仿宋" w:eastAsia="仿宋"/>
          <w:color w:val="000000"/>
          <w:sz w:val="32"/>
          <w:szCs w:val="32"/>
        </w:rPr>
      </w:pPr>
      <w:r>
        <w:rPr>
          <w:sz w:val="32"/>
        </w:rPr>
        <mc:AlternateContent>
          <mc:Choice Requires="wps">
            <w:drawing>
              <wp:anchor distT="0" distB="0" distL="114300" distR="114300" simplePos="0" relativeHeight="251677696" behindDoc="0" locked="0" layoutInCell="1" allowOverlap="1">
                <wp:simplePos x="0" y="0"/>
                <wp:positionH relativeFrom="column">
                  <wp:posOffset>4323715</wp:posOffset>
                </wp:positionH>
                <wp:positionV relativeFrom="paragraph">
                  <wp:posOffset>206375</wp:posOffset>
                </wp:positionV>
                <wp:extent cx="698500" cy="269875"/>
                <wp:effectExtent l="0" t="0" r="6350" b="15875"/>
                <wp:wrapNone/>
                <wp:docPr id="20" name="文本框 20"/>
                <wp:cNvGraphicFramePr/>
                <a:graphic xmlns:a="http://schemas.openxmlformats.org/drawingml/2006/main">
                  <a:graphicData uri="http://schemas.microsoft.com/office/word/2010/wordprocessingShape">
                    <wps:wsp>
                      <wps:cNvSpPr txBox="1"/>
                      <wps:spPr>
                        <a:xfrm>
                          <a:off x="0" y="0"/>
                          <a:ext cx="698500" cy="2698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0.45pt;margin-top:16.25pt;height:21.25pt;width:55pt;z-index:251677696;mso-width-relative:page;mso-height-relative:page;" fillcolor="#FFFFFF [3201]" filled="t" stroked="f" coordsize="21600,21600" o:gfxdata="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GWyfXUAAAACQEAAA8AAAAAAAAA&#10;AQAgAAAAIgAAAGRycy9kb3ducmV2LnhtbFBLAQIUABQAAAAIAIdO4kA/5bHcTgIAAJAEAAAOAAAA&#10;AAAAAAEAIAAAACMBAABkcnMvZTJvRG9jLnhtbFBLBQYAAAAABgAGAFkBAADjBQ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r>
        <w:rPr>
          <w:rFonts w:hint="eastAsia" w:ascii="仿宋" w:hAnsi="仿宋" w:eastAsia="仿宋"/>
          <w:color w:val="000000"/>
          <w:sz w:val="32"/>
          <w:szCs w:val="32"/>
          <w:lang w:eastAsia="zh-CN"/>
        </w:rPr>
        <w:drawing>
          <wp:anchor distT="0" distB="0" distL="114300" distR="114300" simplePos="0" relativeHeight="251660288" behindDoc="1" locked="0" layoutInCell="1" allowOverlap="1">
            <wp:simplePos x="0" y="0"/>
            <wp:positionH relativeFrom="column">
              <wp:posOffset>151130</wp:posOffset>
            </wp:positionH>
            <wp:positionV relativeFrom="paragraph">
              <wp:posOffset>30480</wp:posOffset>
            </wp:positionV>
            <wp:extent cx="5020310" cy="2987040"/>
            <wp:effectExtent l="4445" t="4445" r="23495" b="1841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jc w:val="left"/>
        <w:rPr>
          <w:rFonts w:ascii="仿宋_GB2312" w:eastAsia="仿宋_GB2312"/>
          <w:color w:val="000000"/>
          <w:sz w:val="32"/>
          <w:szCs w:val="32"/>
        </w:rPr>
      </w:pPr>
    </w:p>
    <w:p>
      <w:pPr>
        <w:spacing w:line="600" w:lineRule="exact"/>
        <w:jc w:val="center"/>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w:t>
      </w:r>
    </w:p>
    <w:p>
      <w:pPr>
        <w:pStyle w:val="15"/>
        <w:numPr>
          <w:ilvl w:val="0"/>
          <w:numId w:val="1"/>
        </w:numPr>
        <w:spacing w:line="600" w:lineRule="exact"/>
        <w:ind w:firstLineChars="0"/>
        <w:outlineLvl w:val="1"/>
        <w:rPr>
          <w:rStyle w:val="14"/>
          <w:rFonts w:ascii="黑体" w:hAnsi="黑体" w:eastAsia="黑体"/>
          <w:b w:val="0"/>
        </w:rPr>
      </w:pPr>
      <w:bookmarkStart w:id="21" w:name="_Toc15377206"/>
      <w:bookmarkStart w:id="22" w:name="_Toc25258"/>
      <w:bookmarkStart w:id="23" w:name="_Toc15396604"/>
      <w:r>
        <w:rPr>
          <w:rFonts w:hint="eastAsia" w:ascii="黑体" w:hAnsi="黑体" w:eastAsia="黑体"/>
          <w:color w:val="000000"/>
          <w:sz w:val="32"/>
          <w:szCs w:val="32"/>
        </w:rPr>
        <w:t>收</w:t>
      </w:r>
      <w:r>
        <w:rPr>
          <w:rStyle w:val="14"/>
          <w:rFonts w:hint="eastAsia" w:ascii="黑体" w:hAnsi="黑体" w:eastAsia="黑体"/>
          <w:b w:val="0"/>
        </w:rPr>
        <w:t>入决算情况说明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年本年收入合计4256.55万元，其中：一般公共预算财政拨款收入1236.55万元，占</w:t>
      </w:r>
      <w:r>
        <w:rPr>
          <w:rFonts w:hint="eastAsia" w:ascii="仿宋" w:hAnsi="仿宋" w:eastAsia="仿宋"/>
          <w:color w:val="000000"/>
          <w:sz w:val="32"/>
          <w:szCs w:val="32"/>
          <w:highlight w:val="none"/>
          <w:lang w:val="en-US" w:eastAsia="zh-CN"/>
        </w:rPr>
        <w:t>29.05</w:t>
      </w:r>
      <w:r>
        <w:rPr>
          <w:rFonts w:ascii="仿宋" w:hAnsi="仿宋" w:eastAsia="仿宋"/>
          <w:color w:val="000000"/>
          <w:sz w:val="32"/>
          <w:szCs w:val="32"/>
          <w:highlight w:val="none"/>
        </w:rPr>
        <w:t>%</w:t>
      </w:r>
      <w:r>
        <w:rPr>
          <w:rFonts w:hint="eastAsia" w:ascii="仿宋" w:hAnsi="仿宋" w:eastAsia="仿宋"/>
          <w:color w:val="000000"/>
          <w:sz w:val="32"/>
          <w:szCs w:val="32"/>
        </w:rPr>
        <w:t>；政府性基金预算财政拨款收入3020万元，</w:t>
      </w:r>
      <w:r>
        <w:rPr>
          <w:rFonts w:hint="eastAsia" w:ascii="仿宋" w:hAnsi="仿宋" w:eastAsia="仿宋"/>
          <w:color w:val="000000"/>
          <w:sz w:val="32"/>
          <w:szCs w:val="32"/>
          <w:highlight w:val="none"/>
        </w:rPr>
        <w:t>占</w:t>
      </w:r>
      <w:r>
        <w:rPr>
          <w:rFonts w:hint="eastAsia" w:ascii="仿宋" w:hAnsi="仿宋" w:eastAsia="仿宋"/>
          <w:color w:val="000000"/>
          <w:sz w:val="32"/>
          <w:szCs w:val="32"/>
          <w:highlight w:val="none"/>
          <w:lang w:val="en-US" w:eastAsia="zh-CN"/>
        </w:rPr>
        <w:t>70.95</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r>
        <w:rPr>
          <w:sz w:val="32"/>
        </w:rPr>
        <mc:AlternateContent>
          <mc:Choice Requires="wps">
            <w:drawing>
              <wp:anchor distT="0" distB="0" distL="114300" distR="114300" simplePos="0" relativeHeight="251676672" behindDoc="0" locked="0" layoutInCell="1" allowOverlap="1">
                <wp:simplePos x="0" y="0"/>
                <wp:positionH relativeFrom="column">
                  <wp:posOffset>3974465</wp:posOffset>
                </wp:positionH>
                <wp:positionV relativeFrom="paragraph">
                  <wp:posOffset>130810</wp:posOffset>
                </wp:positionV>
                <wp:extent cx="698500" cy="365125"/>
                <wp:effectExtent l="0" t="0" r="6350" b="15875"/>
                <wp:wrapNone/>
                <wp:docPr id="19" name="文本框 19"/>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2.95pt;margin-top:10.3pt;height:28.75pt;width:55pt;z-index:251676672;mso-width-relative:page;mso-height-relative:page;" fillcolor="#FFFFFF [3201]" filled="t" stroked="f" coordsize="21600,21600" o:gfxdata="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ekUj/TAAAACQEAAA8AAAAAAAAA&#10;AQAgAAAAIgAAAGRycy9kb3ducmV2LnhtbFBLAQIUABQAAAAIAIdO4kAC7uEBTwIAAJAEAAAOAAAA&#10;AAAAAAEAIAAAACIBAABkcnMvZTJvRG9jLnhtbFBLBQYAAAAABgAGAFkBAADjBQ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r>
        <w:rPr>
          <w:rFonts w:hint="eastAsia" w:ascii="仿宋" w:hAnsi="仿宋" w:eastAsia="仿宋"/>
          <w:color w:val="000000"/>
          <w:sz w:val="32"/>
          <w:szCs w:val="32"/>
          <w:lang w:eastAsia="zh-CN"/>
        </w:rPr>
        <w:drawing>
          <wp:anchor distT="0" distB="0" distL="114300" distR="114300" simplePos="0" relativeHeight="251662336" behindDoc="1" locked="0" layoutInCell="1" allowOverlap="1">
            <wp:simplePos x="0" y="0"/>
            <wp:positionH relativeFrom="column">
              <wp:posOffset>427990</wp:posOffset>
            </wp:positionH>
            <wp:positionV relativeFrom="paragraph">
              <wp:posOffset>-212725</wp:posOffset>
            </wp:positionV>
            <wp:extent cx="4500880" cy="2477135"/>
            <wp:effectExtent l="6350" t="6350" r="7620" b="1206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w:t>
      </w:r>
    </w:p>
    <w:p>
      <w:pPr>
        <w:pStyle w:val="15"/>
        <w:numPr>
          <w:ilvl w:val="0"/>
          <w:numId w:val="1"/>
        </w:numPr>
        <w:spacing w:line="600" w:lineRule="exact"/>
        <w:ind w:firstLineChars="0"/>
        <w:outlineLvl w:val="1"/>
        <w:rPr>
          <w:rStyle w:val="14"/>
          <w:rFonts w:ascii="黑体" w:hAnsi="黑体" w:eastAsia="黑体"/>
          <w:b w:val="0"/>
        </w:rPr>
      </w:pPr>
      <w:bookmarkStart w:id="24" w:name="_Toc13725"/>
      <w:bookmarkStart w:id="25" w:name="_Toc15377207"/>
      <w:bookmarkStart w:id="26" w:name="_Toc15396605"/>
      <w:r>
        <w:rPr>
          <w:rFonts w:hint="eastAsia" w:ascii="黑体" w:hAnsi="黑体" w:eastAsia="黑体"/>
          <w:color w:val="000000"/>
          <w:sz w:val="32"/>
          <w:szCs w:val="32"/>
        </w:rPr>
        <w:t>支</w:t>
      </w:r>
      <w:r>
        <w:rPr>
          <w:rStyle w:val="14"/>
          <w:rFonts w:hint="eastAsia" w:ascii="黑体" w:hAnsi="黑体" w:eastAsia="黑体"/>
          <w:b w:val="0"/>
        </w:rPr>
        <w:t>出决算情况说明</w:t>
      </w:r>
      <w:bookmarkEnd w:id="24"/>
      <w:bookmarkEnd w:id="25"/>
      <w:bookmarkEnd w:id="26"/>
    </w:p>
    <w:p>
      <w:pPr>
        <w:spacing w:line="600" w:lineRule="exact"/>
        <w:ind w:firstLine="640" w:firstLineChars="200"/>
        <w:outlineLvl w:val="9"/>
        <w:rPr>
          <w:rFonts w:ascii="仿宋" w:hAnsi="仿宋" w:eastAsia="仿宋"/>
          <w:color w:val="000000"/>
          <w:sz w:val="32"/>
          <w:szCs w:val="32"/>
          <w:shd w:val="pct10" w:color="auto" w:fill="FFFFFF"/>
        </w:rPr>
      </w:pPr>
      <w:r>
        <w:rPr>
          <w:rFonts w:hint="eastAsia" w:ascii="仿宋" w:hAnsi="仿宋" w:eastAsia="仿宋" w:cs="仿宋"/>
          <w:color w:val="000000"/>
          <w:sz w:val="32"/>
          <w:szCs w:val="32"/>
        </w:rPr>
        <w:t>2020年本年支出合计4256.55万元，其中：基本支出1143.85万元</w:t>
      </w:r>
      <w:r>
        <w:rPr>
          <w:rFonts w:hint="eastAsia" w:ascii="仿宋" w:hAnsi="仿宋" w:eastAsia="仿宋" w:cs="仿宋"/>
          <w:color w:val="auto"/>
          <w:sz w:val="32"/>
          <w:szCs w:val="32"/>
        </w:rPr>
        <w:t>，占</w:t>
      </w:r>
      <w:r>
        <w:rPr>
          <w:rFonts w:hint="eastAsia" w:ascii="仿宋" w:hAnsi="仿宋" w:eastAsia="仿宋" w:cs="仿宋"/>
          <w:i w:val="0"/>
          <w:caps w:val="0"/>
          <w:color w:val="auto"/>
          <w:spacing w:val="0"/>
          <w:sz w:val="32"/>
          <w:szCs w:val="32"/>
          <w:shd w:val="clear" w:fill="FFFFFF"/>
          <w:lang w:val="en-US" w:eastAsia="zh-CN"/>
        </w:rPr>
        <w:t>26.87</w:t>
      </w:r>
      <w:r>
        <w:rPr>
          <w:rFonts w:hint="eastAsia" w:ascii="仿宋" w:hAnsi="仿宋" w:eastAsia="仿宋" w:cs="仿宋"/>
          <w:color w:val="auto"/>
          <w:sz w:val="32"/>
          <w:szCs w:val="32"/>
        </w:rPr>
        <w:t>%；项目支</w:t>
      </w:r>
      <w:r>
        <w:rPr>
          <w:rFonts w:hint="eastAsia" w:ascii="仿宋" w:hAnsi="仿宋" w:eastAsia="仿宋" w:cs="仿宋"/>
          <w:color w:val="000000"/>
          <w:sz w:val="32"/>
          <w:szCs w:val="32"/>
        </w:rPr>
        <w:t>出3112.7万元，占</w:t>
      </w:r>
      <w:r>
        <w:rPr>
          <w:rFonts w:hint="eastAsia" w:ascii="仿宋" w:hAnsi="仿宋" w:eastAsia="仿宋" w:cs="仿宋"/>
          <w:i w:val="0"/>
          <w:caps w:val="0"/>
          <w:color w:val="555555"/>
          <w:spacing w:val="0"/>
          <w:sz w:val="32"/>
          <w:szCs w:val="32"/>
          <w:shd w:val="clear" w:fill="FFFFFF"/>
          <w:lang w:val="en-US" w:eastAsia="zh-CN"/>
        </w:rPr>
        <w:t>73.13</w:t>
      </w:r>
      <w:r>
        <w:rPr>
          <w:rFonts w:hint="eastAsia" w:ascii="仿宋" w:hAnsi="仿宋" w:eastAsia="仿宋" w:cs="仿宋"/>
          <w:color w:val="000000"/>
          <w:sz w:val="32"/>
          <w:szCs w:val="32"/>
        </w:rPr>
        <w:t>%；上缴上级支出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%；经营支出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%；对附属单位补助支出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w:t>
      </w:r>
    </w:p>
    <w:p>
      <w:pPr>
        <w:spacing w:line="600" w:lineRule="exact"/>
        <w:ind w:firstLine="640"/>
        <w:outlineLvl w:val="9"/>
        <w:rPr>
          <w:rFonts w:ascii="仿宋" w:hAnsi="仿宋" w:eastAsia="仿宋"/>
          <w:color w:val="000000"/>
          <w:sz w:val="32"/>
          <w:szCs w:val="32"/>
          <w:shd w:val="pct10" w:color="auto" w:fill="FFFFFF"/>
        </w:rPr>
      </w:pPr>
      <w:r>
        <w:rPr>
          <w:rFonts w:hint="eastAsia" w:ascii="仿宋" w:hAnsi="仿宋" w:eastAsia="仿宋"/>
          <w:color w:val="000000"/>
          <w:sz w:val="32"/>
          <w:szCs w:val="32"/>
          <w:lang w:eastAsia="zh-CN"/>
        </w:rPr>
        <w:drawing>
          <wp:anchor distT="0" distB="0" distL="114300" distR="114300" simplePos="0" relativeHeight="251663360" behindDoc="1" locked="0" layoutInCell="1" allowOverlap="1">
            <wp:simplePos x="0" y="0"/>
            <wp:positionH relativeFrom="column">
              <wp:posOffset>567055</wp:posOffset>
            </wp:positionH>
            <wp:positionV relativeFrom="paragraph">
              <wp:posOffset>125730</wp:posOffset>
            </wp:positionV>
            <wp:extent cx="4534535" cy="2876550"/>
            <wp:effectExtent l="4445" t="4445" r="13970" b="1460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outlineLvl w:val="9"/>
        <w:rPr>
          <w:rFonts w:ascii="仿宋" w:hAnsi="仿宋" w:eastAsia="仿宋"/>
          <w:color w:val="000000"/>
          <w:sz w:val="32"/>
          <w:szCs w:val="32"/>
          <w:shd w:val="pct10" w:color="auto" w:fill="FFFFFF"/>
        </w:rPr>
      </w:pPr>
      <w:r>
        <w:rPr>
          <w:sz w:val="32"/>
        </w:rPr>
        <mc:AlternateContent>
          <mc:Choice Requires="wps">
            <w:drawing>
              <wp:anchor distT="0" distB="0" distL="114300" distR="114300" simplePos="0" relativeHeight="251675648" behindDoc="0" locked="0" layoutInCell="1" allowOverlap="1">
                <wp:simplePos x="0" y="0"/>
                <wp:positionH relativeFrom="column">
                  <wp:posOffset>4252595</wp:posOffset>
                </wp:positionH>
                <wp:positionV relativeFrom="paragraph">
                  <wp:posOffset>154940</wp:posOffset>
                </wp:positionV>
                <wp:extent cx="698500" cy="365125"/>
                <wp:effectExtent l="0" t="0" r="6350" b="15875"/>
                <wp:wrapNone/>
                <wp:docPr id="18" name="文本框 18"/>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4.85pt;margin-top:12.2pt;height:28.75pt;width:55pt;z-index:251675648;mso-width-relative:page;mso-height-relative:page;" fillcolor="#FFFFFF [3201]" filled="t" stroked="f" coordsize="21600,21600" o:gfxdata="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BHuktUAAAAJAQAADwAAAAAA&#10;AAABACAAAAAiAAAAZHJzL2Rvd25yZXYueG1sUEsBAhQAFAAAAAgAh07iQCJzg6RPAgAAkAQAAA4A&#10;AAAAAAAAAQAgAAAAJAEAAGRycy9lMm9Eb2MueG1sUEsFBgAAAAAGAAYAWQEAAOUFA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p>
    <w:p>
      <w:pPr>
        <w:spacing w:line="600" w:lineRule="exact"/>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ascii="仿宋_GB2312" w:eastAsia="仿宋_GB2312"/>
          <w:color w:val="FF0000"/>
          <w:sz w:val="32"/>
          <w:szCs w:val="32"/>
        </w:rPr>
      </w:pPr>
    </w:p>
    <w:p>
      <w:pPr>
        <w:spacing w:line="600" w:lineRule="exact"/>
        <w:outlineLvl w:val="1"/>
        <w:rPr>
          <w:rFonts w:hint="eastAsia" w:ascii="黑体" w:hAnsi="黑体" w:eastAsia="黑体"/>
          <w:color w:val="000000"/>
          <w:sz w:val="32"/>
          <w:szCs w:val="32"/>
        </w:rPr>
      </w:pPr>
      <w:bookmarkStart w:id="27" w:name="_Toc15396606"/>
      <w:bookmarkStart w:id="28" w:name="_Toc15377208"/>
      <w:bookmarkStart w:id="29" w:name="_Toc10354"/>
    </w:p>
    <w:p>
      <w:pPr>
        <w:spacing w:line="600" w:lineRule="exact"/>
        <w:ind w:firstLine="640" w:firstLineChars="200"/>
        <w:outlineLvl w:val="1"/>
        <w:rPr>
          <w:rFonts w:hint="eastAsia" w:ascii="黑体" w:hAnsi="黑体" w:eastAsia="黑体"/>
          <w:color w:val="000000"/>
          <w:sz w:val="32"/>
          <w:szCs w:val="32"/>
        </w:rPr>
      </w:pPr>
    </w:p>
    <w:p>
      <w:pPr>
        <w:spacing w:line="600" w:lineRule="exact"/>
        <w:ind w:firstLine="640" w:firstLineChars="200"/>
        <w:jc w:val="center"/>
        <w:outlineLvl w:val="1"/>
        <w:rPr>
          <w:rFonts w:hint="eastAsia" w:ascii="仿宋" w:hAnsi="仿宋" w:eastAsia="仿宋"/>
          <w:color w:val="000000"/>
          <w:sz w:val="32"/>
          <w:szCs w:val="32"/>
        </w:rPr>
      </w:pPr>
    </w:p>
    <w:p>
      <w:pPr>
        <w:spacing w:line="600" w:lineRule="exact"/>
        <w:ind w:firstLine="640" w:firstLineChars="200"/>
        <w:jc w:val="center"/>
        <w:outlineLvl w:val="1"/>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w:t>
      </w:r>
    </w:p>
    <w:p>
      <w:pPr>
        <w:spacing w:line="600" w:lineRule="exact"/>
        <w:jc w:val="both"/>
        <w:outlineLvl w:val="1"/>
        <w:rPr>
          <w:rFonts w:hint="eastAsia" w:ascii="仿宋" w:hAnsi="仿宋" w:eastAsia="仿宋"/>
          <w:color w:val="000000"/>
          <w:sz w:val="32"/>
          <w:szCs w:val="32"/>
        </w:rPr>
      </w:pPr>
    </w:p>
    <w:p>
      <w:pPr>
        <w:spacing w:line="600" w:lineRule="exact"/>
        <w:ind w:firstLine="640" w:firstLineChars="200"/>
        <w:outlineLvl w:val="1"/>
        <w:rPr>
          <w:rStyle w:val="14"/>
          <w:rFonts w:ascii="黑体" w:hAnsi="黑体" w:eastAsia="黑体"/>
          <w:b w:val="0"/>
        </w:rPr>
      </w:pPr>
      <w:r>
        <w:rPr>
          <w:rFonts w:hint="eastAsia" w:ascii="黑体" w:hAnsi="黑体" w:eastAsia="黑体"/>
          <w:color w:val="000000"/>
          <w:sz w:val="32"/>
          <w:szCs w:val="32"/>
        </w:rPr>
        <w:t>四、财</w:t>
      </w:r>
      <w:r>
        <w:rPr>
          <w:rStyle w:val="14"/>
          <w:rFonts w:hint="eastAsia" w:ascii="黑体" w:hAnsi="黑体" w:eastAsia="黑体"/>
          <w:b w:val="0"/>
        </w:rPr>
        <w:t>政拨款收入支出决算总体情况说明</w:t>
      </w:r>
      <w:bookmarkEnd w:id="27"/>
      <w:bookmarkEnd w:id="28"/>
      <w:bookmarkEnd w:id="29"/>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2020年财政拨款收、支总计4256.55万元。与2019年相比，财政拨款收、支总计各减少</w:t>
      </w:r>
      <w:r>
        <w:rPr>
          <w:rFonts w:hint="eastAsia" w:ascii="仿宋" w:hAnsi="仿宋" w:eastAsia="仿宋" w:cs="仿宋"/>
          <w:color w:val="000000"/>
          <w:sz w:val="32"/>
          <w:szCs w:val="32"/>
          <w:lang w:val="en-US" w:eastAsia="zh-CN"/>
        </w:rPr>
        <w:t>5697.53</w:t>
      </w:r>
      <w:r>
        <w:rPr>
          <w:rFonts w:hint="eastAsia" w:ascii="仿宋" w:hAnsi="仿宋" w:eastAsia="仿宋" w:cs="仿宋"/>
          <w:color w:val="000000"/>
          <w:sz w:val="32"/>
          <w:szCs w:val="32"/>
        </w:rPr>
        <w:t>万元，下降</w:t>
      </w:r>
      <w:r>
        <w:rPr>
          <w:rFonts w:hint="eastAsia" w:ascii="仿宋" w:hAnsi="仿宋" w:eastAsia="仿宋" w:cs="仿宋"/>
          <w:color w:val="000000"/>
          <w:sz w:val="32"/>
          <w:szCs w:val="32"/>
          <w:lang w:val="en-US" w:eastAsia="zh-CN"/>
        </w:rPr>
        <w:t>57.24</w:t>
      </w:r>
      <w:r>
        <w:rPr>
          <w:rFonts w:hint="eastAsia" w:ascii="仿宋" w:hAnsi="仿宋" w:eastAsia="仿宋" w:cs="仿宋"/>
          <w:color w:val="000000"/>
          <w:sz w:val="32"/>
          <w:szCs w:val="32"/>
        </w:rPr>
        <w:t>%。主要变动原因是政府性基金预算拨款项目收支有所减少（征地拆迁项目收支减少）。</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4384" behindDoc="1" locked="0" layoutInCell="1" allowOverlap="1">
            <wp:simplePos x="0" y="0"/>
            <wp:positionH relativeFrom="column">
              <wp:posOffset>245745</wp:posOffset>
            </wp:positionH>
            <wp:positionV relativeFrom="paragraph">
              <wp:posOffset>134620</wp:posOffset>
            </wp:positionV>
            <wp:extent cx="5201920" cy="3982085"/>
            <wp:effectExtent l="4445" t="4445" r="13335" b="1397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z w:val="32"/>
          <w:szCs w:val="32"/>
        </w:rPr>
      </w:pPr>
      <w:r>
        <w:rPr>
          <w:sz w:val="32"/>
        </w:rPr>
        <mc:AlternateContent>
          <mc:Choice Requires="wps">
            <w:drawing>
              <wp:anchor distT="0" distB="0" distL="114300" distR="114300" simplePos="0" relativeHeight="251674624" behindDoc="0" locked="0" layoutInCell="1" allowOverlap="1">
                <wp:simplePos x="0" y="0"/>
                <wp:positionH relativeFrom="column">
                  <wp:posOffset>4617720</wp:posOffset>
                </wp:positionH>
                <wp:positionV relativeFrom="paragraph">
                  <wp:posOffset>181610</wp:posOffset>
                </wp:positionV>
                <wp:extent cx="698500" cy="365125"/>
                <wp:effectExtent l="0" t="0" r="6350" b="15875"/>
                <wp:wrapNone/>
                <wp:docPr id="17" name="文本框 17"/>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3.6pt;margin-top:14.3pt;height:28.75pt;width:55pt;z-index:251674624;mso-width-relative:page;mso-height-relative:page;" fillcolor="#FFFFFF [3201]" filled="t" stroked="f" coordsize="21600,21600" o:gfxdata="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atcSNQAAAAJAQAADwAAAAAA&#10;AAABACAAAAAiAAAAZHJzL2Rvd25yZXYueG1sUEsBAhQAFAAAAAgAh07iQIdWD0NQAgAAkAQAAA4A&#10;AAAAAAAAAQAgAAAAIwEAAGRycy9lMm9Eb2MueG1sUEsFBgAAAAAGAAYAWQEAAOUFA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p>
    <w:p>
      <w:pPr>
        <w:spacing w:line="600" w:lineRule="exact"/>
        <w:ind w:firstLine="640"/>
        <w:rPr>
          <w:rFonts w:hint="eastAsia" w:ascii="仿宋" w:hAnsi="仿宋" w:eastAsia="仿宋"/>
          <w:color w:val="000000"/>
          <w:sz w:val="32"/>
          <w:szCs w:val="32"/>
          <w:lang w:eastAsia="zh-CN"/>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jc w:val="center"/>
        <w:rPr>
          <w:rFonts w:ascii="仿宋" w:hAnsi="仿宋" w:eastAsia="仿宋"/>
          <w:b/>
          <w:color w:val="00B05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w:t>
      </w:r>
    </w:p>
    <w:p>
      <w:pPr>
        <w:spacing w:line="600" w:lineRule="exact"/>
        <w:ind w:firstLine="640" w:firstLineChars="200"/>
        <w:outlineLvl w:val="1"/>
        <w:rPr>
          <w:rStyle w:val="14"/>
          <w:rFonts w:ascii="黑体" w:hAnsi="黑体" w:eastAsia="黑体"/>
          <w:b w:val="0"/>
        </w:rPr>
      </w:pPr>
      <w:bookmarkStart w:id="30" w:name="_Toc10967"/>
      <w:bookmarkStart w:id="31" w:name="_Toc15377209"/>
      <w:bookmarkStart w:id="32"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4"/>
          <w:rFonts w:hint="eastAsia" w:ascii="黑体" w:hAnsi="黑体" w:eastAsia="黑体"/>
          <w:b w:val="0"/>
        </w:rPr>
        <w:t>般公共预算财政拨款支出决算情况说明</w:t>
      </w:r>
      <w:bookmarkEnd w:id="30"/>
      <w:bookmarkEnd w:id="31"/>
      <w:bookmarkEnd w:id="32"/>
    </w:p>
    <w:p>
      <w:pPr>
        <w:spacing w:line="600" w:lineRule="exact"/>
        <w:ind w:firstLine="643" w:firstLineChars="200"/>
        <w:outlineLvl w:val="2"/>
        <w:rPr>
          <w:rFonts w:ascii="仿宋" w:hAnsi="仿宋" w:eastAsia="仿宋"/>
          <w:b/>
          <w:color w:val="000000"/>
          <w:sz w:val="32"/>
          <w:szCs w:val="32"/>
        </w:rPr>
      </w:pPr>
      <w:bookmarkStart w:id="33" w:name="_Toc15377210"/>
      <w:r>
        <w:rPr>
          <w:rFonts w:hint="eastAsia" w:ascii="仿宋" w:hAnsi="仿宋" w:eastAsia="仿宋"/>
          <w:b/>
          <w:color w:val="000000"/>
          <w:sz w:val="32"/>
          <w:szCs w:val="32"/>
        </w:rPr>
        <w:t>（一）一般公共预算财政拨款支出决算总体情况</w:t>
      </w:r>
      <w:bookmarkEnd w:id="33"/>
    </w:p>
    <w:p>
      <w:pPr>
        <w:spacing w:line="600" w:lineRule="exact"/>
        <w:ind w:firstLine="640" w:firstLineChars="200"/>
        <w:rPr>
          <w:rFonts w:hint="eastAsia" w:ascii="仿宋" w:hAnsi="仿宋" w:eastAsia="仿宋"/>
          <w:color w:val="000000"/>
          <w:sz w:val="32"/>
          <w:szCs w:val="32"/>
          <w:highlight w:val="none"/>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年一般公共预算财政拨款支出1236.55万元，占本年支出合计的</w:t>
      </w:r>
      <w:r>
        <w:rPr>
          <w:rFonts w:hint="eastAsia" w:ascii="仿宋" w:hAnsi="仿宋" w:eastAsia="仿宋"/>
          <w:color w:val="000000"/>
          <w:sz w:val="32"/>
          <w:szCs w:val="32"/>
          <w:lang w:val="en-US" w:eastAsia="zh-CN"/>
        </w:rPr>
        <w:t>29.05</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年相比，一般公共预算财政拨款减少</w:t>
      </w:r>
      <w:r>
        <w:rPr>
          <w:rFonts w:hint="eastAsia" w:ascii="仿宋" w:hAnsi="仿宋" w:eastAsia="仿宋"/>
          <w:color w:val="000000"/>
          <w:sz w:val="32"/>
          <w:szCs w:val="32"/>
          <w:lang w:val="en-US" w:eastAsia="zh-CN"/>
        </w:rPr>
        <w:t>112.75</w:t>
      </w:r>
      <w:r>
        <w:rPr>
          <w:rFonts w:hint="eastAsia" w:ascii="仿宋" w:hAnsi="仿宋" w:eastAsia="仿宋"/>
          <w:color w:val="000000"/>
          <w:sz w:val="32"/>
          <w:szCs w:val="32"/>
        </w:rPr>
        <w:t>万元，下降</w:t>
      </w:r>
      <w:r>
        <w:rPr>
          <w:rFonts w:hint="eastAsia" w:ascii="仿宋" w:hAnsi="仿宋" w:eastAsia="仿宋"/>
          <w:color w:val="000000"/>
          <w:sz w:val="32"/>
          <w:szCs w:val="32"/>
          <w:highlight w:val="none"/>
          <w:lang w:val="en-US" w:eastAsia="zh-CN"/>
        </w:rPr>
        <w:t>8.36</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加强了管理，压缩了开支</w:t>
      </w:r>
      <w:r>
        <w:rPr>
          <w:rFonts w:hint="eastAsia" w:ascii="仿宋" w:hAnsi="仿宋" w:eastAsia="仿宋"/>
          <w:color w:val="000000"/>
          <w:sz w:val="32"/>
          <w:szCs w:val="32"/>
          <w:highlight w:val="none"/>
        </w:rPr>
        <w:t>。</w:t>
      </w:r>
    </w:p>
    <w:p>
      <w:pPr>
        <w:spacing w:line="600" w:lineRule="exact"/>
        <w:outlineLvl w:val="2"/>
        <w:rPr>
          <w:rFonts w:hint="eastAsia" w:ascii="仿宋" w:hAnsi="仿宋" w:eastAsia="仿宋"/>
          <w:b/>
          <w:color w:val="000000"/>
          <w:sz w:val="32"/>
          <w:szCs w:val="32"/>
        </w:rPr>
      </w:pPr>
      <w:bookmarkStart w:id="34" w:name="_Toc15377211"/>
    </w:p>
    <w:p>
      <w:pPr>
        <w:spacing w:line="600" w:lineRule="exact"/>
        <w:outlineLvl w:val="2"/>
        <w:rPr>
          <w:rFonts w:hint="eastAsia" w:ascii="仿宋" w:hAnsi="仿宋" w:eastAsia="仿宋"/>
          <w:b/>
          <w:color w:val="000000"/>
          <w:sz w:val="32"/>
          <w:szCs w:val="32"/>
        </w:rPr>
      </w:pPr>
      <w:r>
        <w:rPr>
          <w:rFonts w:hint="eastAsia" w:ascii="仿宋" w:hAnsi="仿宋" w:eastAsia="仿宋"/>
          <w:color w:val="000000"/>
          <w:sz w:val="32"/>
          <w:szCs w:val="32"/>
          <w:lang w:eastAsia="zh-CN"/>
        </w:rPr>
        <w:drawing>
          <wp:anchor distT="0" distB="0" distL="114300" distR="114300" simplePos="0" relativeHeight="251661312" behindDoc="1" locked="0" layoutInCell="1" allowOverlap="1">
            <wp:simplePos x="0" y="0"/>
            <wp:positionH relativeFrom="column">
              <wp:posOffset>12065</wp:posOffset>
            </wp:positionH>
            <wp:positionV relativeFrom="paragraph">
              <wp:posOffset>182880</wp:posOffset>
            </wp:positionV>
            <wp:extent cx="5260975" cy="3853180"/>
            <wp:effectExtent l="5080" t="4445" r="10795" b="952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outlineLvl w:val="2"/>
        <w:rPr>
          <w:rFonts w:hint="eastAsia" w:ascii="仿宋" w:hAnsi="仿宋" w:eastAsia="仿宋"/>
          <w:b/>
          <w:color w:val="000000"/>
          <w:sz w:val="32"/>
          <w:szCs w:val="32"/>
        </w:rPr>
      </w:pPr>
      <w:r>
        <w:rPr>
          <w:sz w:val="32"/>
        </w:rPr>
        <mc:AlternateContent>
          <mc:Choice Requires="wps">
            <w:drawing>
              <wp:anchor distT="0" distB="0" distL="114300" distR="114300" simplePos="0" relativeHeight="251673600" behindDoc="0" locked="0" layoutInCell="1" allowOverlap="1">
                <wp:simplePos x="0" y="0"/>
                <wp:positionH relativeFrom="column">
                  <wp:posOffset>4585970</wp:posOffset>
                </wp:positionH>
                <wp:positionV relativeFrom="paragraph">
                  <wp:posOffset>257810</wp:posOffset>
                </wp:positionV>
                <wp:extent cx="698500" cy="365125"/>
                <wp:effectExtent l="0" t="0" r="6350" b="15875"/>
                <wp:wrapNone/>
                <wp:docPr id="16" name="文本框 16"/>
                <wp:cNvGraphicFramePr/>
                <a:graphic xmlns:a="http://schemas.openxmlformats.org/drawingml/2006/main">
                  <a:graphicData uri="http://schemas.microsoft.com/office/word/2010/wordprocessingShape">
                    <wps:wsp>
                      <wps:cNvSpPr txBox="1"/>
                      <wps:spPr>
                        <a:xfrm>
                          <a:off x="5609590" y="1688465"/>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1.1pt;margin-top:20.3pt;height:28.75pt;width:55pt;z-index:251673600;mso-width-relative:page;mso-height-relative:page;" fillcolor="#FFFFFF [3201]" filled="t" stroked="f" coordsize="21600,21600" o:gfxdata="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ORDfO1AAA&#10;AAkBAAAPAAAAAAAAAAEAIAAAACIAAABkcnMvZG93bnJldi54bWxQSwECFAAUAAAACACHTuJAT2hD&#10;NFsCAACcBAAADgAAAAAAAAABACAAAAAjAQAAZHJzL2Uyb0RvYy54bWxQSwUGAAAAAAYABgBZAQAA&#10;8AU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outlineLvl w:val="2"/>
        <w:rPr>
          <w:rFonts w:hint="eastAsia" w:ascii="仿宋" w:hAnsi="仿宋" w:eastAsia="仿宋"/>
          <w:b/>
          <w:color w:val="000000"/>
          <w:sz w:val="32"/>
          <w:szCs w:val="32"/>
        </w:rPr>
      </w:pPr>
    </w:p>
    <w:p>
      <w:pPr>
        <w:spacing w:line="600" w:lineRule="exact"/>
        <w:rPr>
          <w:rFonts w:hint="eastAsia" w:ascii="仿宋" w:hAnsi="仿宋" w:eastAsia="仿宋"/>
          <w:color w:val="000000"/>
          <w:sz w:val="30"/>
          <w:szCs w:val="30"/>
        </w:rPr>
      </w:pPr>
    </w:p>
    <w:p>
      <w:pPr>
        <w:spacing w:line="600" w:lineRule="exact"/>
        <w:rPr>
          <w:rFonts w:hint="eastAsia" w:ascii="仿宋" w:hAnsi="仿宋" w:eastAsia="仿宋"/>
          <w:color w:val="000000"/>
          <w:sz w:val="30"/>
          <w:szCs w:val="30"/>
        </w:rPr>
      </w:pPr>
    </w:p>
    <w:p>
      <w:pPr>
        <w:spacing w:line="600" w:lineRule="exact"/>
        <w:rPr>
          <w:rFonts w:hint="eastAsia" w:ascii="仿宋" w:hAnsi="仿宋" w:eastAsia="仿宋"/>
          <w:color w:val="000000"/>
          <w:sz w:val="30"/>
          <w:szCs w:val="30"/>
        </w:rPr>
      </w:pPr>
    </w:p>
    <w:p>
      <w:pPr>
        <w:spacing w:line="600" w:lineRule="exact"/>
        <w:jc w:val="center"/>
        <w:rPr>
          <w:rFonts w:hint="eastAsia" w:ascii="仿宋" w:hAnsi="仿宋" w:eastAsia="仿宋"/>
          <w:b/>
          <w:color w:val="000000"/>
          <w:sz w:val="30"/>
          <w:szCs w:val="30"/>
        </w:rPr>
      </w:pPr>
      <w:r>
        <w:rPr>
          <w:rFonts w:hint="eastAsia" w:ascii="仿宋" w:hAnsi="仿宋" w:eastAsia="仿宋"/>
          <w:color w:val="000000"/>
          <w:sz w:val="30"/>
          <w:szCs w:val="30"/>
        </w:rPr>
        <w:t>（图</w:t>
      </w:r>
      <w:r>
        <w:rPr>
          <w:rFonts w:ascii="仿宋" w:hAnsi="仿宋" w:eastAsia="仿宋"/>
          <w:color w:val="000000"/>
          <w:sz w:val="30"/>
          <w:szCs w:val="30"/>
        </w:rPr>
        <w:t>5</w:t>
      </w:r>
      <w:r>
        <w:rPr>
          <w:rFonts w:hint="eastAsia" w:ascii="仿宋" w:hAnsi="仿宋" w:eastAsia="仿宋"/>
          <w:color w:val="000000"/>
          <w:sz w:val="30"/>
          <w:szCs w:val="30"/>
        </w:rPr>
        <w:t>：一般公共预算财政拨款支出决算变动情况）</w:t>
      </w:r>
    </w:p>
    <w:p>
      <w:pPr>
        <w:spacing w:line="600" w:lineRule="exact"/>
        <w:ind w:firstLine="643" w:firstLineChars="200"/>
        <w:outlineLvl w:val="2"/>
        <w:rPr>
          <w:rFonts w:ascii="仿宋" w:hAnsi="仿宋" w:eastAsia="仿宋"/>
          <w:b/>
          <w:color w:val="000000"/>
          <w:sz w:val="32"/>
          <w:szCs w:val="32"/>
        </w:rPr>
      </w:pPr>
      <w:r>
        <w:rPr>
          <w:rFonts w:hint="eastAsia" w:ascii="仿宋" w:hAnsi="仿宋" w:eastAsia="仿宋"/>
          <w:b/>
          <w:color w:val="000000"/>
          <w:sz w:val="32"/>
          <w:szCs w:val="32"/>
        </w:rPr>
        <w:t>（二）一般公共预算财政拨款支出决算结构情况</w:t>
      </w:r>
      <w:bookmarkEnd w:id="34"/>
    </w:p>
    <w:p>
      <w:pPr>
        <w:spacing w:line="600" w:lineRule="exact"/>
        <w:ind w:firstLine="640"/>
        <w:rPr>
          <w:rFonts w:hint="eastAsia" w:ascii="仿宋" w:hAnsi="仿宋" w:eastAsia="仿宋"/>
          <w:color w:val="000000"/>
          <w:sz w:val="32"/>
          <w:szCs w:val="32"/>
          <w:highlight w:val="none"/>
          <w:lang w:eastAsia="zh-CN"/>
        </w:rPr>
      </w:pPr>
      <w:r>
        <w:rPr>
          <w:rFonts w:ascii="仿宋" w:hAnsi="仿宋" w:eastAsia="仿宋"/>
          <w:color w:val="000000"/>
          <w:sz w:val="32"/>
          <w:szCs w:val="32"/>
          <w:highlight w:val="none"/>
        </w:rPr>
        <w:t>2020</w:t>
      </w:r>
      <w:r>
        <w:rPr>
          <w:rFonts w:hint="eastAsia" w:ascii="仿宋" w:hAnsi="仿宋" w:eastAsia="仿宋"/>
          <w:color w:val="000000"/>
          <w:sz w:val="32"/>
          <w:szCs w:val="32"/>
          <w:highlight w:val="none"/>
        </w:rPr>
        <w:t>年一般公共预算财政拨款支出1236.5</w:t>
      </w:r>
      <w:r>
        <w:rPr>
          <w:rFonts w:hint="eastAsia" w:ascii="仿宋" w:hAnsi="仿宋" w:eastAsia="仿宋"/>
          <w:color w:val="000000"/>
          <w:sz w:val="32"/>
          <w:szCs w:val="32"/>
          <w:highlight w:val="none"/>
          <w:lang w:val="en-US" w:eastAsia="zh-CN"/>
        </w:rPr>
        <w:t>5</w:t>
      </w:r>
      <w:r>
        <w:rPr>
          <w:rFonts w:hint="eastAsia" w:ascii="仿宋" w:hAnsi="仿宋" w:eastAsia="仿宋"/>
          <w:color w:val="000000"/>
          <w:sz w:val="32"/>
          <w:szCs w:val="32"/>
          <w:highlight w:val="none"/>
        </w:rPr>
        <w:t>万元，主要用于以下方面</w:t>
      </w:r>
      <w:r>
        <w:rPr>
          <w:rFonts w:ascii="仿宋" w:hAnsi="仿宋" w:eastAsia="仿宋"/>
          <w:color w:val="000000"/>
          <w:sz w:val="32"/>
          <w:szCs w:val="32"/>
          <w:highlight w:val="none"/>
        </w:rPr>
        <w:t>:</w:t>
      </w:r>
      <w:r>
        <w:rPr>
          <w:rFonts w:hint="eastAsia" w:ascii="仿宋" w:hAnsi="仿宋" w:eastAsia="仿宋"/>
          <w:b/>
          <w:color w:val="000000"/>
          <w:sz w:val="32"/>
          <w:szCs w:val="32"/>
          <w:highlight w:val="none"/>
        </w:rPr>
        <w:t>一般公共服务（类）</w:t>
      </w:r>
      <w:r>
        <w:rPr>
          <w:rFonts w:hint="eastAsia" w:ascii="仿宋" w:hAnsi="仿宋" w:eastAsia="仿宋"/>
          <w:color w:val="000000"/>
          <w:sz w:val="32"/>
          <w:szCs w:val="32"/>
          <w:highlight w:val="none"/>
        </w:rPr>
        <w:t>支出582.26万元，占</w:t>
      </w:r>
      <w:r>
        <w:rPr>
          <w:rFonts w:hint="eastAsia" w:ascii="仿宋" w:hAnsi="仿宋" w:eastAsia="仿宋"/>
          <w:color w:val="000000"/>
          <w:sz w:val="32"/>
          <w:szCs w:val="32"/>
          <w:highlight w:val="none"/>
          <w:lang w:val="en-US" w:eastAsia="zh-CN"/>
        </w:rPr>
        <w:t>47.09</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b/>
          <w:color w:val="000000"/>
          <w:sz w:val="32"/>
          <w:szCs w:val="32"/>
          <w:highlight w:val="none"/>
        </w:rPr>
        <w:t>社会保障和就业（类）</w:t>
      </w:r>
      <w:r>
        <w:rPr>
          <w:rFonts w:hint="eastAsia" w:ascii="仿宋" w:hAnsi="仿宋" w:eastAsia="仿宋"/>
          <w:color w:val="000000"/>
          <w:sz w:val="32"/>
          <w:szCs w:val="32"/>
          <w:highlight w:val="none"/>
        </w:rPr>
        <w:t>支出217.72万元，占</w:t>
      </w:r>
      <w:r>
        <w:rPr>
          <w:rFonts w:hint="eastAsia" w:ascii="仿宋" w:hAnsi="仿宋" w:eastAsia="仿宋"/>
          <w:color w:val="000000"/>
          <w:sz w:val="32"/>
          <w:szCs w:val="32"/>
          <w:highlight w:val="none"/>
          <w:lang w:val="en-US" w:eastAsia="zh-CN"/>
        </w:rPr>
        <w:t>17.61</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b/>
          <w:bCs/>
          <w:color w:val="000000"/>
          <w:sz w:val="32"/>
          <w:szCs w:val="32"/>
          <w:highlight w:val="none"/>
        </w:rPr>
        <w:t>卫生健康</w:t>
      </w:r>
      <w:r>
        <w:rPr>
          <w:rFonts w:hint="eastAsia" w:ascii="仿宋" w:hAnsi="仿宋" w:eastAsia="仿宋"/>
          <w:b/>
          <w:bCs/>
          <w:color w:val="000000"/>
          <w:sz w:val="32"/>
          <w:szCs w:val="32"/>
          <w:highlight w:val="none"/>
          <w:lang w:eastAsia="zh-CN"/>
        </w:rPr>
        <w:t>（</w:t>
      </w:r>
      <w:r>
        <w:rPr>
          <w:rFonts w:hint="eastAsia" w:ascii="仿宋" w:hAnsi="仿宋" w:eastAsia="仿宋"/>
          <w:b/>
          <w:bCs/>
          <w:color w:val="000000"/>
          <w:sz w:val="32"/>
          <w:szCs w:val="32"/>
          <w:highlight w:val="none"/>
          <w:lang w:val="en-US" w:eastAsia="zh-CN"/>
        </w:rPr>
        <w:t>类</w:t>
      </w:r>
      <w:r>
        <w:rPr>
          <w:rFonts w:hint="eastAsia" w:ascii="仿宋" w:hAnsi="仿宋" w:eastAsia="仿宋"/>
          <w:b/>
          <w:bCs/>
          <w:color w:val="000000"/>
          <w:sz w:val="32"/>
          <w:szCs w:val="32"/>
          <w:highlight w:val="none"/>
          <w:lang w:eastAsia="zh-CN"/>
        </w:rPr>
        <w:t>）</w:t>
      </w:r>
      <w:r>
        <w:rPr>
          <w:rFonts w:hint="eastAsia" w:ascii="仿宋" w:hAnsi="仿宋" w:eastAsia="仿宋"/>
          <w:b w:val="0"/>
          <w:bCs w:val="0"/>
          <w:color w:val="000000"/>
          <w:sz w:val="32"/>
          <w:szCs w:val="32"/>
          <w:highlight w:val="none"/>
        </w:rPr>
        <w:t>支出</w:t>
      </w:r>
      <w:r>
        <w:rPr>
          <w:rFonts w:hint="eastAsia" w:ascii="仿宋" w:hAnsi="仿宋" w:eastAsia="仿宋"/>
          <w:color w:val="000000"/>
          <w:sz w:val="32"/>
          <w:szCs w:val="32"/>
          <w:highlight w:val="none"/>
        </w:rPr>
        <w:t>22.28万元，占</w:t>
      </w:r>
      <w:r>
        <w:rPr>
          <w:rFonts w:hint="eastAsia" w:ascii="仿宋" w:hAnsi="仿宋" w:eastAsia="仿宋"/>
          <w:color w:val="000000"/>
          <w:sz w:val="32"/>
          <w:szCs w:val="32"/>
          <w:highlight w:val="none"/>
          <w:lang w:val="en-US" w:eastAsia="zh-CN"/>
        </w:rPr>
        <w:t>1.80</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b/>
          <w:bCs/>
          <w:color w:val="000000"/>
          <w:sz w:val="32"/>
          <w:szCs w:val="32"/>
          <w:highlight w:val="none"/>
          <w:lang w:val="en-US" w:eastAsia="zh-CN"/>
        </w:rPr>
        <w:t>节能环保（类）</w:t>
      </w:r>
      <w:r>
        <w:rPr>
          <w:rFonts w:hint="eastAsia" w:ascii="仿宋" w:hAnsi="仿宋" w:eastAsia="仿宋"/>
          <w:color w:val="000000"/>
          <w:sz w:val="32"/>
          <w:szCs w:val="32"/>
          <w:highlight w:val="none"/>
          <w:lang w:val="en-US" w:eastAsia="zh-CN"/>
        </w:rPr>
        <w:t>支出25万元，占2.02%;</w:t>
      </w:r>
      <w:r>
        <w:rPr>
          <w:rFonts w:hint="eastAsia" w:ascii="仿宋" w:hAnsi="仿宋" w:eastAsia="仿宋"/>
          <w:b/>
          <w:bCs/>
          <w:color w:val="000000"/>
          <w:sz w:val="32"/>
          <w:szCs w:val="32"/>
          <w:highlight w:val="none"/>
          <w:lang w:val="en-US" w:eastAsia="zh-CN"/>
        </w:rPr>
        <w:t>城乡社区（类）</w:t>
      </w:r>
      <w:r>
        <w:rPr>
          <w:rFonts w:hint="eastAsia" w:ascii="仿宋" w:hAnsi="仿宋" w:eastAsia="仿宋"/>
          <w:color w:val="000000"/>
          <w:sz w:val="32"/>
          <w:szCs w:val="32"/>
          <w:highlight w:val="none"/>
          <w:lang w:val="en-US" w:eastAsia="zh-CN"/>
        </w:rPr>
        <w:t>支出16.94万元，占1.37%；</w:t>
      </w:r>
      <w:r>
        <w:rPr>
          <w:rFonts w:hint="eastAsia" w:ascii="仿宋" w:hAnsi="仿宋" w:eastAsia="仿宋"/>
          <w:b/>
          <w:bCs/>
          <w:color w:val="000000"/>
          <w:sz w:val="32"/>
          <w:szCs w:val="32"/>
          <w:highlight w:val="none"/>
          <w:lang w:val="en-US" w:eastAsia="zh-CN"/>
        </w:rPr>
        <w:t>农林水（类）</w:t>
      </w:r>
      <w:r>
        <w:rPr>
          <w:rFonts w:hint="eastAsia" w:ascii="仿宋" w:hAnsi="仿宋" w:eastAsia="仿宋"/>
          <w:color w:val="000000"/>
          <w:sz w:val="32"/>
          <w:szCs w:val="32"/>
          <w:highlight w:val="none"/>
          <w:lang w:val="en-US" w:eastAsia="zh-CN"/>
        </w:rPr>
        <w:t>支出334.86万元，占27.08%；</w:t>
      </w:r>
      <w:r>
        <w:rPr>
          <w:rFonts w:hint="eastAsia" w:ascii="仿宋" w:hAnsi="仿宋" w:eastAsia="仿宋"/>
          <w:b/>
          <w:bCs/>
          <w:color w:val="000000"/>
          <w:sz w:val="32"/>
          <w:szCs w:val="32"/>
          <w:highlight w:val="none"/>
          <w:lang w:val="en-US" w:eastAsia="zh-CN"/>
        </w:rPr>
        <w:t>交通运输（类）</w:t>
      </w:r>
      <w:r>
        <w:rPr>
          <w:rFonts w:hint="eastAsia" w:ascii="仿宋" w:hAnsi="仿宋" w:eastAsia="仿宋"/>
          <w:color w:val="000000"/>
          <w:sz w:val="32"/>
          <w:szCs w:val="32"/>
          <w:highlight w:val="none"/>
          <w:lang w:val="en-US" w:eastAsia="zh-CN"/>
        </w:rPr>
        <w:t>支出5万元，占0.40%；</w:t>
      </w:r>
      <w:r>
        <w:rPr>
          <w:rFonts w:hint="eastAsia" w:ascii="仿宋" w:hAnsi="仿宋" w:eastAsia="仿宋"/>
          <w:b/>
          <w:bCs/>
          <w:color w:val="000000"/>
          <w:sz w:val="32"/>
          <w:szCs w:val="32"/>
          <w:highlight w:val="none"/>
          <w:lang w:val="en-US" w:eastAsia="zh-CN"/>
        </w:rPr>
        <w:t>住房保障（类）</w:t>
      </w:r>
      <w:r>
        <w:rPr>
          <w:rFonts w:hint="eastAsia" w:ascii="仿宋" w:hAnsi="仿宋" w:eastAsia="仿宋"/>
          <w:color w:val="000000"/>
          <w:sz w:val="32"/>
          <w:szCs w:val="32"/>
          <w:highlight w:val="none"/>
        </w:rPr>
        <w:t>支出32.49万元，占</w:t>
      </w:r>
      <w:r>
        <w:rPr>
          <w:rFonts w:hint="eastAsia" w:ascii="仿宋" w:hAnsi="仿宋" w:eastAsia="仿宋"/>
          <w:color w:val="000000"/>
          <w:sz w:val="32"/>
          <w:szCs w:val="32"/>
          <w:highlight w:val="none"/>
          <w:lang w:val="en-US" w:eastAsia="zh-CN"/>
        </w:rPr>
        <w:t>2.63</w:t>
      </w:r>
      <w:r>
        <w:rPr>
          <w:rFonts w:ascii="仿宋" w:hAnsi="仿宋" w:eastAsia="仿宋"/>
          <w:color w:val="000000"/>
          <w:sz w:val="32"/>
          <w:szCs w:val="32"/>
          <w:highlight w:val="none"/>
        </w:rPr>
        <w:t>%</w:t>
      </w:r>
      <w:r>
        <w:rPr>
          <w:rFonts w:hint="eastAsia" w:ascii="仿宋" w:hAnsi="仿宋" w:eastAsia="仿宋"/>
          <w:color w:val="000000"/>
          <w:sz w:val="32"/>
          <w:szCs w:val="32"/>
          <w:highlight w:val="none"/>
          <w:lang w:eastAsia="zh-CN"/>
        </w:rPr>
        <w:t>。</w:t>
      </w:r>
    </w:p>
    <w:p>
      <w:pPr>
        <w:spacing w:line="600" w:lineRule="exact"/>
        <w:rPr>
          <w:rFonts w:hint="eastAsia" w:ascii="仿宋" w:hAnsi="仿宋" w:eastAsia="仿宋"/>
          <w:color w:val="000000"/>
          <w:sz w:val="32"/>
          <w:szCs w:val="32"/>
          <w:lang w:eastAsia="zh-CN"/>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5408" behindDoc="1" locked="0" layoutInCell="1" allowOverlap="1">
            <wp:simplePos x="0" y="0"/>
            <wp:positionH relativeFrom="column">
              <wp:posOffset>134620</wp:posOffset>
            </wp:positionH>
            <wp:positionV relativeFrom="paragraph">
              <wp:posOffset>34925</wp:posOffset>
            </wp:positionV>
            <wp:extent cx="5080000" cy="3810000"/>
            <wp:effectExtent l="4445" t="4445" r="20955" b="1460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hAnsi="仿宋" w:eastAsia="仿宋"/>
          <w:color w:val="000000"/>
          <w:sz w:val="32"/>
          <w:szCs w:val="32"/>
        </w:rPr>
      </w:pPr>
      <w:r>
        <w:rPr>
          <w:sz w:val="32"/>
        </w:rPr>
        <mc:AlternateContent>
          <mc:Choice Requires="wps">
            <w:drawing>
              <wp:anchor distT="0" distB="0" distL="114300" distR="114300" simplePos="0" relativeHeight="251678720" behindDoc="0" locked="0" layoutInCell="1" allowOverlap="1">
                <wp:simplePos x="0" y="0"/>
                <wp:positionH relativeFrom="column">
                  <wp:posOffset>4347845</wp:posOffset>
                </wp:positionH>
                <wp:positionV relativeFrom="paragraph">
                  <wp:posOffset>114300</wp:posOffset>
                </wp:positionV>
                <wp:extent cx="698500" cy="365125"/>
                <wp:effectExtent l="0" t="0" r="6350" b="15875"/>
                <wp:wrapNone/>
                <wp:docPr id="21" name="文本框 21"/>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35pt;margin-top:9pt;height:28.75pt;width:55pt;z-index:251678720;mso-width-relative:page;mso-height-relative:page;" fillcolor="#FFFFFF [3201]" filled="t" stroked="f" coordsize="21600,21600" o:gfxdata="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abzNN1AAAAAkBAAAPAAAAAAAA&#10;AAEAIAAAACIAAABkcnMvZG93bnJldi54bWxQSwECFAAUAAAACACHTuJAOtL/Zk8CAACQBAAADgAA&#10;AAAAAAABACAAAAAjAQAAZHJzL2Uyb0RvYy54bWxQSwUGAAAAAAYABgBZAQAA5AU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2495550</wp:posOffset>
                </wp:positionH>
                <wp:positionV relativeFrom="paragraph">
                  <wp:posOffset>5715</wp:posOffset>
                </wp:positionV>
                <wp:extent cx="484505" cy="260350"/>
                <wp:effectExtent l="0" t="0" r="10795" b="6350"/>
                <wp:wrapNone/>
                <wp:docPr id="12" name="文本框 12"/>
                <wp:cNvGraphicFramePr/>
                <a:graphic xmlns:a="http://schemas.openxmlformats.org/drawingml/2006/main">
                  <a:graphicData uri="http://schemas.microsoft.com/office/word/2010/wordprocessingShape">
                    <wps:wsp>
                      <wps:cNvSpPr txBox="1"/>
                      <wps:spPr>
                        <a:xfrm>
                          <a:off x="3750310" y="1456690"/>
                          <a:ext cx="484505" cy="2603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32.49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6.5pt;margin-top:0.45pt;height:20.5pt;width:38.15pt;z-index:251667456;mso-width-relative:page;mso-height-relative:page;" fillcolor="#FFFFFF [3201]" filled="t" stroked="f" coordsize="21600,21600" o:gfxdata="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tL8El1AAA&#10;AAcBAAAPAAAAAAAAAAEAIAAAACIAAABkcnMvZG93bnJldi54bWxQSwECFAAUAAAACACHTuJA7uQX&#10;sVsCAACcBAAADgAAAAAAAAABACAAAAAjAQAAZHJzL2Uyb0RvYy54bWxQSwUGAAAAAAYABgBZAQAA&#10;8AU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32.49</w:t>
                      </w:r>
                    </w:p>
                  </w:txbxContent>
                </v:textbox>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2225675</wp:posOffset>
                </wp:positionH>
                <wp:positionV relativeFrom="paragraph">
                  <wp:posOffset>109220</wp:posOffset>
                </wp:positionV>
                <wp:extent cx="456565" cy="442595"/>
                <wp:effectExtent l="0" t="0" r="0" b="0"/>
                <wp:wrapNone/>
                <wp:docPr id="11" name="文本框 11"/>
                <wp:cNvGraphicFramePr/>
                <a:graphic xmlns:a="http://schemas.openxmlformats.org/drawingml/2006/main">
                  <a:graphicData uri="http://schemas.microsoft.com/office/word/2010/wordprocessingShape">
                    <wps:wsp>
                      <wps:cNvSpPr txBox="1"/>
                      <wps:spPr>
                        <a:xfrm>
                          <a:off x="3542665" y="1595755"/>
                          <a:ext cx="456565" cy="4425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仿宋_GB2312"/>
                                <w:sz w:val="18"/>
                                <w:szCs w:val="18"/>
                                <w:lang w:val="en-US" w:eastAsia="zh-CN"/>
                              </w:rPr>
                            </w:pPr>
                            <w:r>
                              <w:rPr>
                                <w:rFonts w:hint="eastAsia"/>
                                <w:sz w:val="18"/>
                                <w:szCs w:val="18"/>
                                <w:lang w:val="en-US" w:eastAsia="zh-CN"/>
                              </w:rPr>
                              <w:t>5</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5.25pt;margin-top:8.6pt;height:34.85pt;width:35.95pt;z-index:251666432;mso-width-relative:page;mso-height-relative:page;" filled="f" stroked="f" coordsize="21600,21600" o:gfxdata="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7o7fjaAAAACQEAAA8AAAAAAAAAAQAg&#10;AAAAIgAAAGRycy9kb3ducmV2LnhtbFBLAQIUABQAAAAIAIdO4kDZz6LkRQIAAHMEAAAOAAAAAAAA&#10;AAEAIAAAACkBAABkcnMvZTJvRG9jLnhtbFBLBQYAAAAABgAGAFkBAADgBQAAAAA=&#10;">
                <v:fill on="f" focussize="0,0"/>
                <v:stroke on="f" weight="0.5pt"/>
                <v:imagedata o:title=""/>
                <o:lock v:ext="edit" aspectratio="f"/>
                <v:textbox>
                  <w:txbxContent>
                    <w:p>
                      <w:pPr>
                        <w:rPr>
                          <w:rFonts w:hint="eastAsia" w:eastAsia="仿宋_GB2312"/>
                          <w:sz w:val="18"/>
                          <w:szCs w:val="18"/>
                          <w:lang w:val="en-US" w:eastAsia="zh-CN"/>
                        </w:rPr>
                      </w:pPr>
                      <w:r>
                        <w:rPr>
                          <w:rFonts w:hint="eastAsia"/>
                          <w:sz w:val="18"/>
                          <w:szCs w:val="18"/>
                          <w:lang w:val="en-US" w:eastAsia="zh-CN"/>
                        </w:rPr>
                        <w:t>5</w:t>
                      </w:r>
                    </w:p>
                    <w:p>
                      <w:pPr>
                        <w:rPr>
                          <w:rFonts w:hint="eastAsia"/>
                          <w:lang w:val="en-US" w:eastAsia="zh-CN"/>
                        </w:rPr>
                      </w:pPr>
                    </w:p>
                  </w:txbxContent>
                </v:textbox>
              </v:shape>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1490345</wp:posOffset>
                </wp:positionH>
                <wp:positionV relativeFrom="paragraph">
                  <wp:posOffset>358140</wp:posOffset>
                </wp:positionV>
                <wp:extent cx="553085" cy="287655"/>
                <wp:effectExtent l="142240" t="28575" r="141605" b="46990"/>
                <wp:wrapNone/>
                <wp:docPr id="13" name="文本框 13"/>
                <wp:cNvGraphicFramePr/>
                <a:graphic xmlns:a="http://schemas.openxmlformats.org/drawingml/2006/main">
                  <a:graphicData uri="http://schemas.microsoft.com/office/word/2010/wordprocessingShape">
                    <wps:wsp>
                      <wps:cNvSpPr txBox="1"/>
                      <wps:spPr>
                        <a:xfrm rot="18540000">
                          <a:off x="2711450" y="1731010"/>
                          <a:ext cx="553085" cy="2876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334.866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35pt;margin-top:28.2pt;height:22.65pt;width:43.55pt;rotation:-3342336f;z-index:251668480;mso-width-relative:page;mso-height-relative:page;" fillcolor="#FFFFFF [3201]" filled="t" stroked="f" coordsize="21600,21600" o:gfxdata="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Wjj4bYAAAACgEAAA8AAAAAAAAAAQAgAAAAIgAAAGRycy9kb3ducmV2LnhtbFBLAQIUABQA&#10;AAAIAIdO4kDt6Jk0YgIAAKsEAAAOAAAAAAAAAAEAIAAAACcBAABkcnMvZTJvRG9jLnhtbFBLBQYA&#10;AAAABgAGAFkBAAD7BQ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334.866</w:t>
                      </w:r>
                    </w:p>
                  </w:txbxContent>
                </v:textbox>
              </v:shape>
            </w:pict>
          </mc:Fallback>
        </mc:AlternateContent>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sz w:val="32"/>
        </w:rPr>
        <mc:AlternateContent>
          <mc:Choice Requires="wps">
            <w:drawing>
              <wp:anchor distT="0" distB="0" distL="114300" distR="114300" simplePos="0" relativeHeight="251669504" behindDoc="0" locked="0" layoutInCell="1" allowOverlap="1">
                <wp:simplePos x="0" y="0"/>
                <wp:positionH relativeFrom="column">
                  <wp:posOffset>1014730</wp:posOffset>
                </wp:positionH>
                <wp:positionV relativeFrom="paragraph">
                  <wp:posOffset>170815</wp:posOffset>
                </wp:positionV>
                <wp:extent cx="536575" cy="269875"/>
                <wp:effectExtent l="0" t="0" r="15875" b="15875"/>
                <wp:wrapNone/>
                <wp:docPr id="2" name="文本框 2"/>
                <wp:cNvGraphicFramePr/>
                <a:graphic xmlns:a="http://schemas.openxmlformats.org/drawingml/2006/main">
                  <a:graphicData uri="http://schemas.microsoft.com/office/word/2010/wordprocessingShape">
                    <wps:wsp>
                      <wps:cNvSpPr txBox="1"/>
                      <wps:spPr>
                        <a:xfrm>
                          <a:off x="2503170" y="3102610"/>
                          <a:ext cx="536575" cy="2698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16.94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9pt;margin-top:13.45pt;height:21.25pt;width:42.25pt;z-index:251669504;mso-width-relative:page;mso-height-relative:page;" fillcolor="#FFFFFF [3201]" filled="t" stroked="f" coordsize="21600,21600" o:gfxdata="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2Ngv21QAA&#10;AAkBAAAPAAAAAAAAAAEAIAAAACIAAABkcnMvZG93bnJldi54bWxQSwECFAAUAAAACACHTuJAL5Fz&#10;MVoCAACaBAAADgAAAAAAAAABACAAAAAkAQAAZHJzL2Uyb0RvYy54bWxQSwUGAAAAAAYABgBZAQAA&#10;8AU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16.94</w:t>
                      </w:r>
                    </w:p>
                  </w:txbxContent>
                </v:textbox>
              </v:shape>
            </w:pict>
          </mc:Fallback>
        </mc:AlternateContent>
      </w:r>
    </w:p>
    <w:p>
      <w:pPr>
        <w:spacing w:line="600" w:lineRule="exact"/>
        <w:ind w:firstLine="640" w:firstLineChars="200"/>
        <w:rPr>
          <w:rFonts w:ascii="仿宋" w:hAnsi="仿宋" w:eastAsia="仿宋"/>
          <w:color w:val="000000"/>
          <w:sz w:val="32"/>
          <w:szCs w:val="32"/>
        </w:rPr>
      </w:pPr>
      <w:r>
        <w:rPr>
          <w:sz w:val="32"/>
        </w:rPr>
        <mc:AlternateContent>
          <mc:Choice Requires="wps">
            <w:drawing>
              <wp:anchor distT="0" distB="0" distL="114300" distR="114300" simplePos="0" relativeHeight="251671552" behindDoc="0" locked="0" layoutInCell="1" allowOverlap="1">
                <wp:simplePos x="0" y="0"/>
                <wp:positionH relativeFrom="column">
                  <wp:posOffset>1256665</wp:posOffset>
                </wp:positionH>
                <wp:positionV relativeFrom="paragraph">
                  <wp:posOffset>274955</wp:posOffset>
                </wp:positionV>
                <wp:extent cx="501015" cy="374650"/>
                <wp:effectExtent l="0" t="0" r="13335" b="6350"/>
                <wp:wrapNone/>
                <wp:docPr id="14" name="文本框 14"/>
                <wp:cNvGraphicFramePr/>
                <a:graphic xmlns:a="http://schemas.openxmlformats.org/drawingml/2006/main">
                  <a:graphicData uri="http://schemas.microsoft.com/office/word/2010/wordprocessingShape">
                    <wps:wsp>
                      <wps:cNvSpPr txBox="1"/>
                      <wps:spPr>
                        <a:xfrm>
                          <a:off x="2590165" y="3518535"/>
                          <a:ext cx="501015" cy="3746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22.28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95pt;margin-top:21.65pt;height:29.5pt;width:39.45pt;z-index:251671552;mso-width-relative:page;mso-height-relative:page;" fillcolor="#FFFFFF [3201]" filled="t" stroked="f" coordsize="21600,21600" o:gfxdata="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tZ+1DV&#10;AAAACgEAAA8AAAAAAAAAAQAgAAAAIgAAAGRycy9kb3ducmV2LnhtbFBLAQIUABQAAAAIAIdO4kDt&#10;2fz0XAIAAJwEAAAOAAAAAAAAAAEAIAAAACQBAABkcnMvZTJvRG9jLnhtbFBLBQYAAAAABgAGAFkB&#10;AADyBQ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22.28</w:t>
                      </w:r>
                    </w:p>
                  </w:txbxContent>
                </v:textbox>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1212215</wp:posOffset>
                </wp:positionH>
                <wp:positionV relativeFrom="paragraph">
                  <wp:posOffset>13970</wp:posOffset>
                </wp:positionV>
                <wp:extent cx="356870" cy="285750"/>
                <wp:effectExtent l="0" t="0" r="5080" b="0"/>
                <wp:wrapNone/>
                <wp:docPr id="10" name="文本框 10"/>
                <wp:cNvGraphicFramePr/>
                <a:graphic xmlns:a="http://schemas.openxmlformats.org/drawingml/2006/main">
                  <a:graphicData uri="http://schemas.microsoft.com/office/word/2010/wordprocessingShape">
                    <wps:wsp>
                      <wps:cNvSpPr txBox="1"/>
                      <wps:spPr>
                        <a:xfrm>
                          <a:off x="2217420" y="3354070"/>
                          <a:ext cx="35687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45pt;margin-top:1.1pt;height:22.5pt;width:28.1pt;z-index:251670528;mso-width-relative:page;mso-height-relative:page;" fillcolor="#FFFFFF [3201]" filled="t" stroked="f" coordsize="21600,21600" o:gfxdata="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5SQtd9QAAAAI&#10;AQAADwAAAAAAAAABACAAAAAiAAAAZHJzL2Rvd25yZXYueG1sUEsBAhQAFAAAAAgAh07iQBz9V65Z&#10;AgAAnAQAAA4AAAAAAAAAAQAgAAAAIwEAAGRycy9lMm9Eb2MueG1sUEsFBgAAAAAGAAYAWQEAAO4F&#10;A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25</w:t>
                      </w:r>
                    </w:p>
                  </w:txbxContent>
                </v:textbox>
              </v:shape>
            </w:pict>
          </mc:Fallback>
        </mc:AlternateContent>
      </w:r>
    </w:p>
    <w:p>
      <w:pPr>
        <w:spacing w:line="600" w:lineRule="exact"/>
        <w:ind w:firstLine="640" w:firstLineChars="200"/>
        <w:outlineLvl w:val="2"/>
        <w:rPr>
          <w:rFonts w:hint="eastAsia" w:ascii="仿宋" w:hAnsi="仿宋" w:eastAsia="仿宋"/>
          <w:b/>
          <w:color w:val="000000"/>
          <w:sz w:val="32"/>
          <w:szCs w:val="32"/>
        </w:rPr>
      </w:pPr>
      <w:bookmarkStart w:id="35" w:name="_Toc15377212"/>
      <w:r>
        <w:rPr>
          <w:sz w:val="32"/>
        </w:rPr>
        <mc:AlternateContent>
          <mc:Choice Requires="wps">
            <w:drawing>
              <wp:anchor distT="0" distB="0" distL="114300" distR="114300" simplePos="0" relativeHeight="251672576" behindDoc="0" locked="0" layoutInCell="1" allowOverlap="1">
                <wp:simplePos x="0" y="0"/>
                <wp:positionH relativeFrom="column">
                  <wp:posOffset>1819910</wp:posOffset>
                </wp:positionH>
                <wp:positionV relativeFrom="paragraph">
                  <wp:posOffset>231775</wp:posOffset>
                </wp:positionV>
                <wp:extent cx="528320" cy="276860"/>
                <wp:effectExtent l="0" t="0" r="5080" b="8890"/>
                <wp:wrapNone/>
                <wp:docPr id="15" name="文本框 15"/>
                <wp:cNvGraphicFramePr/>
                <a:graphic xmlns:a="http://schemas.openxmlformats.org/drawingml/2006/main">
                  <a:graphicData uri="http://schemas.microsoft.com/office/word/2010/wordprocessingShape">
                    <wps:wsp>
                      <wps:cNvSpPr txBox="1"/>
                      <wps:spPr>
                        <a:xfrm>
                          <a:off x="2962275" y="3726180"/>
                          <a:ext cx="528320" cy="2768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217.72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3pt;margin-top:18.25pt;height:21.8pt;width:41.6pt;z-index:251672576;mso-width-relative:page;mso-height-relative:page;" fillcolor="#FFFFFF [3201]" filled="t" stroked="f" coordsize="21600,21600" o:gfxdata="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s66O5&#10;1QAAAAkBAAAPAAAAAAAAAAEAIAAAACIAAABkcnMvZG93bnJldi54bWxQSwECFAAUAAAACACHTuJA&#10;GaxT9l0CAACcBAAADgAAAAAAAAABACAAAAAkAQAAZHJzL2Uyb0RvYy54bWxQSwUGAAAAAAYABgBZ&#10;AQAA8wU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217.72</w:t>
                      </w:r>
                    </w:p>
                  </w:txbxContent>
                </v:textbox>
              </v:shape>
            </w:pict>
          </mc:Fallback>
        </mc:AlternateContent>
      </w: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jc w:val="center"/>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（图</w:t>
      </w:r>
      <w:r>
        <w:rPr>
          <w:rFonts w:ascii="仿宋" w:hAnsi="仿宋" w:eastAsia="仿宋"/>
          <w:color w:val="000000"/>
          <w:sz w:val="32"/>
          <w:szCs w:val="32"/>
          <w:highlight w:val="none"/>
        </w:rPr>
        <w:t>6</w:t>
      </w:r>
      <w:r>
        <w:rPr>
          <w:rFonts w:hint="eastAsia" w:ascii="仿宋" w:hAnsi="仿宋" w:eastAsia="仿宋"/>
          <w:color w:val="000000"/>
          <w:sz w:val="32"/>
          <w:szCs w:val="32"/>
          <w:highlight w:val="none"/>
        </w:rPr>
        <w:t>：一般公共预算财政拨款支出决算结构）</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000000"/>
          <w:sz w:val="32"/>
          <w:szCs w:val="32"/>
        </w:rPr>
      </w:pPr>
      <w:r>
        <w:rPr>
          <w:rFonts w:hint="eastAsia" w:ascii="仿宋" w:hAnsi="仿宋" w:eastAsia="仿宋"/>
          <w:b/>
          <w:color w:val="000000"/>
          <w:sz w:val="32"/>
          <w:szCs w:val="32"/>
        </w:rPr>
        <w:t>（三）一般公共预算财政拨款支出决算具体情况</w:t>
      </w:r>
      <w:bookmarkEnd w:id="35"/>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Style w:val="11"/>
          <w:rFonts w:hint="eastAsia" w:ascii="仿宋" w:hAnsi="仿宋" w:eastAsia="仿宋" w:cs="仿宋"/>
          <w:bCs/>
          <w:color w:val="000000"/>
          <w:sz w:val="32"/>
          <w:szCs w:val="32"/>
        </w:rPr>
      </w:pPr>
      <w:bookmarkStart w:id="36" w:name="_Toc15377444"/>
      <w:bookmarkStart w:id="37" w:name="_Toc15378460"/>
      <w:bookmarkStart w:id="38" w:name="_Toc15377213"/>
      <w:r>
        <w:rPr>
          <w:rFonts w:hint="eastAsia" w:ascii="仿宋" w:hAnsi="仿宋" w:eastAsia="仿宋" w:cs="仿宋"/>
          <w:b/>
          <w:color w:val="000000"/>
          <w:sz w:val="32"/>
          <w:szCs w:val="32"/>
        </w:rPr>
        <w:t>2020年一般公共预算支出决算数为</w:t>
      </w:r>
      <w:r>
        <w:rPr>
          <w:rFonts w:hint="eastAsia" w:ascii="仿宋" w:hAnsi="仿宋" w:eastAsia="仿宋" w:cs="仿宋"/>
          <w:b/>
          <w:color w:val="000000"/>
          <w:sz w:val="32"/>
          <w:szCs w:val="32"/>
          <w:lang w:val="en-US" w:eastAsia="zh-CN"/>
        </w:rPr>
        <w:t>1236.55万元</w:t>
      </w:r>
      <w:r>
        <w:rPr>
          <w:rFonts w:hint="eastAsia" w:ascii="仿宋" w:hAnsi="仿宋" w:eastAsia="仿宋" w:cs="仿宋"/>
          <w:color w:val="000000"/>
          <w:sz w:val="32"/>
          <w:szCs w:val="32"/>
        </w:rPr>
        <w:t>，</w:t>
      </w:r>
      <w:r>
        <w:rPr>
          <w:rStyle w:val="11"/>
          <w:rFonts w:hint="eastAsia" w:ascii="仿宋" w:hAnsi="仿宋" w:eastAsia="仿宋" w:cs="仿宋"/>
          <w:bCs/>
          <w:color w:val="000000"/>
          <w:sz w:val="32"/>
          <w:szCs w:val="32"/>
        </w:rPr>
        <w:t>完成预算</w:t>
      </w:r>
      <w:r>
        <w:rPr>
          <w:rStyle w:val="11"/>
          <w:rFonts w:hint="eastAsia" w:ascii="仿宋" w:hAnsi="仿宋" w:eastAsia="仿宋" w:cs="仿宋"/>
          <w:bCs/>
          <w:color w:val="000000"/>
          <w:sz w:val="32"/>
          <w:szCs w:val="32"/>
          <w:lang w:val="en-US" w:eastAsia="zh-CN"/>
        </w:rPr>
        <w:t>100</w:t>
      </w:r>
      <w:r>
        <w:rPr>
          <w:rStyle w:val="11"/>
          <w:rFonts w:hint="eastAsia" w:ascii="仿宋" w:hAnsi="仿宋" w:eastAsia="仿宋" w:cs="仿宋"/>
          <w:bCs/>
          <w:color w:val="000000"/>
          <w:sz w:val="32"/>
          <w:szCs w:val="32"/>
        </w:rPr>
        <w:t>%。其中：</w:t>
      </w:r>
      <w:bookmarkEnd w:id="36"/>
      <w:bookmarkEnd w:id="37"/>
      <w:bookmarkEnd w:id="38"/>
    </w:p>
    <w:p>
      <w:pPr>
        <w:spacing w:line="600" w:lineRule="exact"/>
        <w:ind w:firstLine="643" w:firstLineChars="200"/>
        <w:outlineLvl w:val="9"/>
        <w:rPr>
          <w:rFonts w:hint="eastAsia" w:ascii="仿宋" w:hAnsi="仿宋" w:eastAsia="仿宋" w:cs="仿宋"/>
          <w:b/>
          <w:color w:val="000000"/>
          <w:sz w:val="32"/>
          <w:szCs w:val="32"/>
        </w:rPr>
      </w:pPr>
      <w:r>
        <w:rPr>
          <w:rStyle w:val="11"/>
          <w:rFonts w:hint="eastAsia" w:ascii="仿宋" w:hAnsi="仿宋" w:eastAsia="仿宋" w:cs="仿宋"/>
          <w:bCs/>
          <w:color w:val="000000"/>
          <w:sz w:val="32"/>
          <w:szCs w:val="32"/>
          <w:lang w:val="en-US" w:eastAsia="zh-CN"/>
        </w:rPr>
        <w:t>1.</w:t>
      </w:r>
      <w:r>
        <w:rPr>
          <w:rStyle w:val="11"/>
          <w:rFonts w:hint="eastAsia" w:ascii="仿宋" w:hAnsi="仿宋" w:eastAsia="仿宋" w:cs="仿宋"/>
          <w:bCs/>
          <w:color w:val="000000"/>
          <w:sz w:val="32"/>
          <w:szCs w:val="32"/>
        </w:rPr>
        <w:t>一般公共服务（类）</w:t>
      </w:r>
      <w:r>
        <w:rPr>
          <w:rStyle w:val="11"/>
          <w:rFonts w:hint="eastAsia" w:ascii="仿宋" w:hAnsi="仿宋" w:eastAsia="仿宋" w:cs="仿宋"/>
          <w:bCs/>
          <w:color w:val="000000"/>
          <w:sz w:val="32"/>
          <w:szCs w:val="32"/>
          <w:lang w:val="en-US" w:eastAsia="zh-CN"/>
        </w:rPr>
        <w:t>人大事务</w:t>
      </w:r>
      <w:r>
        <w:rPr>
          <w:rStyle w:val="11"/>
          <w:rFonts w:hint="eastAsia" w:ascii="仿宋" w:hAnsi="仿宋" w:eastAsia="仿宋" w:cs="仿宋"/>
          <w:bCs/>
          <w:color w:val="000000"/>
          <w:sz w:val="32"/>
          <w:szCs w:val="32"/>
        </w:rPr>
        <w:t>（款）</w:t>
      </w:r>
      <w:r>
        <w:rPr>
          <w:rStyle w:val="11"/>
          <w:rFonts w:hint="eastAsia" w:ascii="仿宋" w:hAnsi="仿宋" w:eastAsia="仿宋" w:cs="仿宋"/>
          <w:bCs/>
          <w:color w:val="000000"/>
          <w:sz w:val="32"/>
          <w:szCs w:val="32"/>
          <w:lang w:val="en-US" w:eastAsia="zh-CN"/>
        </w:rPr>
        <w:t>人大会议</w:t>
      </w:r>
      <w:r>
        <w:rPr>
          <w:rStyle w:val="11"/>
          <w:rFonts w:hint="eastAsia" w:ascii="仿宋" w:hAnsi="仿宋" w:eastAsia="仿宋" w:cs="仿宋"/>
          <w:bCs/>
          <w:color w:val="000000"/>
          <w:sz w:val="32"/>
          <w:szCs w:val="32"/>
        </w:rPr>
        <w:t>（项）:</w:t>
      </w:r>
      <w:r>
        <w:rPr>
          <w:rStyle w:val="11"/>
          <w:rFonts w:hint="eastAsia" w:ascii="仿宋" w:hAnsi="仿宋" w:eastAsia="仿宋" w:cs="仿宋"/>
          <w:b w:val="0"/>
          <w:bCs/>
          <w:color w:val="000000"/>
          <w:sz w:val="32"/>
          <w:szCs w:val="32"/>
        </w:rPr>
        <w:t xml:space="preserve"> 支出决算为</w:t>
      </w:r>
      <w:r>
        <w:rPr>
          <w:rStyle w:val="11"/>
          <w:rFonts w:hint="eastAsia" w:ascii="仿宋" w:hAnsi="仿宋" w:eastAsia="仿宋" w:cs="仿宋"/>
          <w:b w:val="0"/>
          <w:bCs/>
          <w:color w:val="000000"/>
          <w:sz w:val="32"/>
          <w:szCs w:val="32"/>
          <w:lang w:val="en-US" w:eastAsia="zh-CN"/>
        </w:rPr>
        <w:t>9</w:t>
      </w:r>
      <w:r>
        <w:rPr>
          <w:rStyle w:val="11"/>
          <w:rFonts w:hint="eastAsia" w:ascii="仿宋" w:hAnsi="仿宋" w:eastAsia="仿宋" w:cs="仿宋"/>
          <w:b w:val="0"/>
          <w:bCs/>
          <w:color w:val="000000"/>
          <w:sz w:val="32"/>
          <w:szCs w:val="32"/>
        </w:rPr>
        <w:t>万元，</w:t>
      </w:r>
      <w:r>
        <w:rPr>
          <w:rStyle w:val="11"/>
          <w:rFonts w:hint="eastAsia" w:ascii="仿宋" w:hAnsi="仿宋" w:eastAsia="仿宋" w:cs="仿宋"/>
          <w:b w:val="0"/>
          <w:bCs/>
          <w:color w:val="000000"/>
          <w:sz w:val="32"/>
          <w:szCs w:val="32"/>
          <w:highlight w:val="none"/>
        </w:rPr>
        <w:t>完成预算</w:t>
      </w:r>
      <w:r>
        <w:rPr>
          <w:rStyle w:val="11"/>
          <w:rFonts w:hint="eastAsia" w:ascii="仿宋" w:hAnsi="仿宋" w:eastAsia="仿宋" w:cs="仿宋"/>
          <w:b w:val="0"/>
          <w:bCs/>
          <w:color w:val="000000"/>
          <w:sz w:val="32"/>
          <w:szCs w:val="32"/>
          <w:highlight w:val="none"/>
          <w:lang w:val="en-US" w:eastAsia="zh-CN"/>
        </w:rPr>
        <w:t>100</w:t>
      </w:r>
      <w:r>
        <w:rPr>
          <w:rStyle w:val="11"/>
          <w:rFonts w:hint="eastAsia" w:ascii="仿宋" w:hAnsi="仿宋" w:eastAsia="仿宋" w:cs="仿宋"/>
          <w:b w:val="0"/>
          <w:bCs/>
          <w:color w:val="000000"/>
          <w:sz w:val="32"/>
          <w:szCs w:val="32"/>
          <w:highlight w:val="none"/>
        </w:rPr>
        <w:t>%，决算数等于预算数。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Cs/>
          <w:color w:val="000000"/>
          <w:sz w:val="32"/>
          <w:szCs w:val="32"/>
        </w:rPr>
        <w:t>2.一般公共服务（类）政府办公厅（室）及相关机构事务（款）行政运行（项）</w:t>
      </w:r>
      <w:r>
        <w:rPr>
          <w:rStyle w:val="11"/>
          <w:rFonts w:hint="eastAsia" w:ascii="仿宋" w:hAnsi="仿宋" w:eastAsia="仿宋" w:cs="仿宋"/>
          <w:bCs/>
          <w:color w:val="000000"/>
          <w:sz w:val="32"/>
          <w:szCs w:val="32"/>
          <w:lang w:eastAsia="zh-CN"/>
        </w:rPr>
        <w:t>：</w:t>
      </w:r>
      <w:r>
        <w:rPr>
          <w:rStyle w:val="11"/>
          <w:rFonts w:hint="eastAsia" w:ascii="仿宋" w:hAnsi="仿宋" w:eastAsia="仿宋" w:cs="仿宋"/>
          <w:b w:val="0"/>
          <w:bCs/>
          <w:color w:val="000000"/>
          <w:sz w:val="32"/>
          <w:szCs w:val="32"/>
          <w:lang w:val="en-US" w:eastAsia="zh-CN"/>
        </w:rPr>
        <w:t>支出决算为476.76万元，完成预算100%，决算数等于预算数。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rPr>
      </w:pPr>
      <w:r>
        <w:rPr>
          <w:rStyle w:val="11"/>
          <w:rFonts w:hint="eastAsia" w:ascii="仿宋" w:hAnsi="仿宋" w:eastAsia="仿宋" w:cs="仿宋"/>
          <w:b/>
          <w:bCs w:val="0"/>
          <w:color w:val="000000"/>
          <w:sz w:val="32"/>
          <w:szCs w:val="32"/>
          <w:lang w:val="en-US" w:eastAsia="zh-CN"/>
        </w:rPr>
        <w:t>3.</w:t>
      </w:r>
      <w:r>
        <w:rPr>
          <w:rStyle w:val="11"/>
          <w:rFonts w:hint="eastAsia" w:ascii="仿宋" w:hAnsi="仿宋" w:eastAsia="仿宋" w:cs="仿宋"/>
          <w:bCs/>
          <w:color w:val="000000"/>
          <w:sz w:val="32"/>
          <w:szCs w:val="32"/>
        </w:rPr>
        <w:t>一般公共服务（类）政府办公厅（室）及相关机构事务（款）</w:t>
      </w:r>
      <w:r>
        <w:rPr>
          <w:rStyle w:val="11"/>
          <w:rFonts w:hint="eastAsia" w:ascii="仿宋" w:hAnsi="仿宋" w:eastAsia="仿宋" w:cs="仿宋"/>
          <w:bCs/>
          <w:color w:val="000000"/>
          <w:sz w:val="32"/>
          <w:szCs w:val="32"/>
          <w:lang w:val="en-US" w:eastAsia="zh-CN"/>
        </w:rPr>
        <w:t>事业运行</w:t>
      </w:r>
      <w:r>
        <w:rPr>
          <w:rStyle w:val="11"/>
          <w:rFonts w:hint="eastAsia" w:ascii="仿宋" w:hAnsi="仿宋" w:eastAsia="仿宋" w:cs="仿宋"/>
          <w:bCs/>
          <w:color w:val="000000"/>
          <w:sz w:val="32"/>
          <w:szCs w:val="32"/>
        </w:rPr>
        <w:t>（项）</w:t>
      </w:r>
      <w:r>
        <w:rPr>
          <w:rStyle w:val="11"/>
          <w:rFonts w:hint="eastAsia" w:ascii="仿宋" w:hAnsi="仿宋" w:eastAsia="仿宋" w:cs="仿宋"/>
          <w:b w:val="0"/>
          <w:bCs/>
          <w:color w:val="000000"/>
          <w:sz w:val="32"/>
          <w:szCs w:val="32"/>
        </w:rPr>
        <w:t>支出决算为</w:t>
      </w:r>
      <w:r>
        <w:rPr>
          <w:rStyle w:val="11"/>
          <w:rFonts w:hint="eastAsia" w:ascii="仿宋" w:hAnsi="仿宋" w:eastAsia="仿宋" w:cs="仿宋"/>
          <w:b w:val="0"/>
          <w:bCs/>
          <w:color w:val="000000"/>
          <w:sz w:val="32"/>
          <w:szCs w:val="32"/>
          <w:lang w:val="en-US" w:eastAsia="zh-CN"/>
        </w:rPr>
        <w:t>42.57</w:t>
      </w:r>
      <w:r>
        <w:rPr>
          <w:rStyle w:val="11"/>
          <w:rFonts w:hint="eastAsia" w:ascii="仿宋" w:hAnsi="仿宋" w:eastAsia="仿宋" w:cs="仿宋"/>
          <w:b w:val="0"/>
          <w:bCs/>
          <w:color w:val="000000"/>
          <w:sz w:val="32"/>
          <w:szCs w:val="32"/>
        </w:rPr>
        <w:t>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4.</w:t>
      </w:r>
      <w:r>
        <w:rPr>
          <w:rStyle w:val="11"/>
          <w:rFonts w:hint="eastAsia" w:ascii="仿宋" w:hAnsi="仿宋" w:eastAsia="仿宋" w:cs="仿宋"/>
          <w:bCs/>
          <w:color w:val="000000"/>
          <w:sz w:val="32"/>
          <w:szCs w:val="32"/>
        </w:rPr>
        <w:t>一般公共服务（类）政府办公厅（室）及相关机构事务（款）其他政府办公厅（室）及相关机构事务支出（项）</w:t>
      </w:r>
      <w:r>
        <w:rPr>
          <w:rStyle w:val="11"/>
          <w:rFonts w:hint="eastAsia" w:ascii="仿宋" w:hAnsi="仿宋" w:eastAsia="仿宋" w:cs="仿宋"/>
          <w:b w:val="0"/>
          <w:bCs/>
          <w:color w:val="000000"/>
          <w:sz w:val="32"/>
          <w:szCs w:val="32"/>
          <w:lang w:val="en-US" w:eastAsia="zh-CN"/>
        </w:rPr>
        <w:t>支出决算为53.93万元，完成预算100%，决算数等于预算数。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5.</w:t>
      </w:r>
      <w:r>
        <w:rPr>
          <w:rStyle w:val="11"/>
          <w:rFonts w:hint="eastAsia" w:ascii="仿宋" w:hAnsi="仿宋" w:eastAsia="仿宋" w:cs="仿宋"/>
          <w:bCs/>
          <w:color w:val="000000"/>
          <w:sz w:val="32"/>
          <w:szCs w:val="32"/>
        </w:rPr>
        <w:t>社会保障和就业支出（类）民政管理事务（款）基层政权</w:t>
      </w:r>
      <w:r>
        <w:rPr>
          <w:rStyle w:val="11"/>
          <w:rFonts w:hint="eastAsia" w:ascii="仿宋" w:hAnsi="仿宋" w:eastAsia="仿宋" w:cs="仿宋"/>
          <w:bCs/>
          <w:color w:val="000000"/>
          <w:sz w:val="32"/>
          <w:szCs w:val="32"/>
          <w:lang w:val="en-US" w:eastAsia="zh-CN"/>
        </w:rPr>
        <w:t>建设</w:t>
      </w:r>
      <w:r>
        <w:rPr>
          <w:rStyle w:val="11"/>
          <w:rFonts w:hint="eastAsia" w:ascii="仿宋" w:hAnsi="仿宋" w:eastAsia="仿宋" w:cs="仿宋"/>
          <w:bCs/>
          <w:color w:val="000000"/>
          <w:sz w:val="32"/>
          <w:szCs w:val="32"/>
        </w:rPr>
        <w:t>和社区</w:t>
      </w:r>
      <w:r>
        <w:rPr>
          <w:rStyle w:val="11"/>
          <w:rFonts w:hint="eastAsia" w:ascii="仿宋" w:hAnsi="仿宋" w:eastAsia="仿宋" w:cs="仿宋"/>
          <w:bCs/>
          <w:color w:val="000000"/>
          <w:sz w:val="32"/>
          <w:szCs w:val="32"/>
          <w:lang w:val="en-US" w:eastAsia="zh-CN"/>
        </w:rPr>
        <w:t>治理</w:t>
      </w:r>
      <w:r>
        <w:rPr>
          <w:rStyle w:val="11"/>
          <w:rFonts w:hint="eastAsia" w:ascii="仿宋" w:hAnsi="仿宋" w:eastAsia="仿宋" w:cs="仿宋"/>
          <w:bCs/>
          <w:color w:val="000000"/>
          <w:sz w:val="32"/>
          <w:szCs w:val="32"/>
        </w:rPr>
        <w:t>（项）</w:t>
      </w:r>
      <w:r>
        <w:rPr>
          <w:rStyle w:val="11"/>
          <w:rFonts w:hint="eastAsia" w:ascii="仿宋" w:hAnsi="仿宋" w:eastAsia="仿宋" w:cs="仿宋"/>
          <w:b w:val="0"/>
          <w:bCs/>
          <w:color w:val="000000"/>
          <w:sz w:val="32"/>
          <w:szCs w:val="32"/>
          <w:lang w:val="en-US" w:eastAsia="zh-CN"/>
        </w:rPr>
        <w:t>支出决算为122.35万元，完成预算100%，决算数等于预算数。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6.</w:t>
      </w:r>
      <w:r>
        <w:rPr>
          <w:rStyle w:val="11"/>
          <w:rFonts w:hint="eastAsia" w:ascii="仿宋" w:hAnsi="仿宋" w:eastAsia="仿宋" w:cs="仿宋"/>
          <w:bCs/>
          <w:color w:val="000000"/>
          <w:sz w:val="32"/>
          <w:szCs w:val="32"/>
        </w:rPr>
        <w:t>社会保障和就业支出（类）行政事业单位</w:t>
      </w:r>
      <w:r>
        <w:rPr>
          <w:rStyle w:val="11"/>
          <w:rFonts w:hint="eastAsia" w:ascii="仿宋" w:hAnsi="仿宋" w:eastAsia="仿宋" w:cs="仿宋"/>
          <w:bCs/>
          <w:color w:val="000000"/>
          <w:sz w:val="32"/>
          <w:szCs w:val="32"/>
          <w:lang w:val="en-US" w:eastAsia="zh-CN"/>
        </w:rPr>
        <w:t>养老支出</w:t>
      </w:r>
      <w:r>
        <w:rPr>
          <w:rStyle w:val="11"/>
          <w:rFonts w:hint="eastAsia" w:ascii="仿宋" w:hAnsi="仿宋" w:eastAsia="仿宋" w:cs="仿宋"/>
          <w:bCs/>
          <w:color w:val="000000"/>
          <w:sz w:val="32"/>
          <w:szCs w:val="32"/>
        </w:rPr>
        <w:t>（款）行政单位离退休（项）</w:t>
      </w:r>
      <w:r>
        <w:rPr>
          <w:rStyle w:val="11"/>
          <w:rFonts w:hint="eastAsia" w:ascii="仿宋" w:hAnsi="仿宋" w:eastAsia="仿宋" w:cs="仿宋"/>
          <w:b w:val="0"/>
          <w:bCs/>
          <w:color w:val="000000"/>
          <w:sz w:val="32"/>
          <w:szCs w:val="32"/>
          <w:lang w:val="en-US" w:eastAsia="zh-CN"/>
        </w:rPr>
        <w:t>支出决算为42.70万元，完成预算100%，决算数等于预算数。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7.</w:t>
      </w:r>
      <w:r>
        <w:rPr>
          <w:rStyle w:val="11"/>
          <w:rFonts w:hint="eastAsia" w:ascii="仿宋" w:hAnsi="仿宋" w:eastAsia="仿宋" w:cs="仿宋"/>
          <w:bCs/>
          <w:color w:val="000000"/>
          <w:sz w:val="32"/>
          <w:szCs w:val="32"/>
        </w:rPr>
        <w:t>社会保障和就业支出（类）行政事业单位</w:t>
      </w:r>
      <w:r>
        <w:rPr>
          <w:rStyle w:val="11"/>
          <w:rFonts w:hint="eastAsia" w:ascii="仿宋" w:hAnsi="仿宋" w:eastAsia="仿宋" w:cs="仿宋"/>
          <w:bCs/>
          <w:color w:val="000000"/>
          <w:sz w:val="32"/>
          <w:szCs w:val="32"/>
          <w:lang w:val="en-US" w:eastAsia="zh-CN"/>
        </w:rPr>
        <w:t>养老支出</w:t>
      </w:r>
      <w:r>
        <w:rPr>
          <w:rStyle w:val="11"/>
          <w:rFonts w:hint="eastAsia" w:ascii="仿宋" w:hAnsi="仿宋" w:eastAsia="仿宋" w:cs="仿宋"/>
          <w:bCs/>
          <w:color w:val="000000"/>
          <w:sz w:val="32"/>
          <w:szCs w:val="32"/>
        </w:rPr>
        <w:t>（款）事业单位离退休（项）</w:t>
      </w:r>
      <w:r>
        <w:rPr>
          <w:rStyle w:val="11"/>
          <w:rFonts w:hint="eastAsia" w:ascii="仿宋" w:hAnsi="仿宋" w:eastAsia="仿宋" w:cs="仿宋"/>
          <w:b w:val="0"/>
          <w:bCs/>
          <w:color w:val="000000"/>
          <w:sz w:val="32"/>
          <w:szCs w:val="32"/>
          <w:lang w:val="en-US" w:eastAsia="zh-CN"/>
        </w:rPr>
        <w:t>支出决算为7万元，完成预算100%，决算数等于预算数。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8.</w:t>
      </w:r>
      <w:r>
        <w:rPr>
          <w:rStyle w:val="11"/>
          <w:rFonts w:hint="eastAsia" w:ascii="仿宋" w:hAnsi="仿宋" w:eastAsia="仿宋" w:cs="仿宋"/>
          <w:bCs/>
          <w:color w:val="000000"/>
          <w:sz w:val="32"/>
          <w:szCs w:val="32"/>
        </w:rPr>
        <w:t>社会保障和就业支出（类）行政事业单位</w:t>
      </w:r>
      <w:r>
        <w:rPr>
          <w:rStyle w:val="11"/>
          <w:rFonts w:hint="eastAsia" w:ascii="仿宋" w:hAnsi="仿宋" w:eastAsia="仿宋" w:cs="仿宋"/>
          <w:bCs/>
          <w:color w:val="000000"/>
          <w:sz w:val="32"/>
          <w:szCs w:val="32"/>
          <w:lang w:val="en-US" w:eastAsia="zh-CN"/>
        </w:rPr>
        <w:t>养老支出</w:t>
      </w:r>
      <w:r>
        <w:rPr>
          <w:rStyle w:val="11"/>
          <w:rFonts w:hint="eastAsia" w:ascii="仿宋" w:hAnsi="仿宋" w:eastAsia="仿宋" w:cs="仿宋"/>
          <w:bCs/>
          <w:color w:val="000000"/>
          <w:sz w:val="32"/>
          <w:szCs w:val="32"/>
        </w:rPr>
        <w:t>（款） 机关事业单位基本养老保险缴费支出（项）</w:t>
      </w:r>
      <w:r>
        <w:rPr>
          <w:rStyle w:val="11"/>
          <w:rFonts w:hint="eastAsia" w:ascii="仿宋" w:hAnsi="仿宋" w:eastAsia="仿宋" w:cs="仿宋"/>
          <w:b w:val="0"/>
          <w:bCs/>
          <w:color w:val="000000"/>
          <w:sz w:val="32"/>
          <w:szCs w:val="32"/>
          <w:lang w:val="en-US" w:eastAsia="zh-CN"/>
        </w:rPr>
        <w:t>支出决算为43.17万元，完成预算100%，决算数等于预算数。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color w:val="000000"/>
          <w:sz w:val="32"/>
          <w:szCs w:val="32"/>
          <w:lang w:val="en-US" w:eastAsia="zh-CN"/>
        </w:rPr>
        <w:t>9.</w:t>
      </w:r>
      <w:r>
        <w:rPr>
          <w:rStyle w:val="11"/>
          <w:rFonts w:hint="eastAsia" w:ascii="仿宋" w:hAnsi="仿宋" w:eastAsia="仿宋" w:cs="仿宋"/>
          <w:bCs/>
          <w:color w:val="000000"/>
          <w:sz w:val="32"/>
          <w:szCs w:val="32"/>
        </w:rPr>
        <w:t>社会保障和就业（类）其他社会保障和就业支出（款）其他社会保障和就业支出（项）</w:t>
      </w:r>
      <w:r>
        <w:rPr>
          <w:rStyle w:val="11"/>
          <w:rFonts w:hint="eastAsia" w:ascii="仿宋" w:hAnsi="仿宋" w:eastAsia="仿宋" w:cs="仿宋"/>
          <w:b w:val="0"/>
          <w:bCs/>
          <w:color w:val="000000"/>
          <w:sz w:val="32"/>
          <w:szCs w:val="32"/>
          <w:lang w:val="en-US" w:eastAsia="zh-CN"/>
        </w:rPr>
        <w:t>支出决算为2.50万元，完成预算100%，决算数等于预算数。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color w:val="000000"/>
          <w:sz w:val="32"/>
          <w:szCs w:val="32"/>
          <w:lang w:val="en-US" w:eastAsia="zh-CN"/>
        </w:rPr>
        <w:t>10.</w:t>
      </w:r>
      <w:r>
        <w:rPr>
          <w:rStyle w:val="11"/>
          <w:rFonts w:hint="eastAsia" w:ascii="仿宋" w:hAnsi="仿宋" w:eastAsia="仿宋" w:cs="仿宋"/>
          <w:bCs/>
          <w:color w:val="000000"/>
          <w:sz w:val="32"/>
          <w:szCs w:val="32"/>
        </w:rPr>
        <w:t>卫生健康支出（类）</w:t>
      </w:r>
      <w:r>
        <w:rPr>
          <w:rStyle w:val="11"/>
          <w:rFonts w:hint="eastAsia" w:ascii="仿宋" w:hAnsi="仿宋" w:eastAsia="仿宋" w:cs="仿宋"/>
          <w:bCs/>
          <w:color w:val="000000"/>
          <w:sz w:val="32"/>
          <w:szCs w:val="32"/>
          <w:lang w:val="en-US" w:eastAsia="zh-CN"/>
        </w:rPr>
        <w:t>行政事业单位医疗</w:t>
      </w:r>
      <w:r>
        <w:rPr>
          <w:rStyle w:val="11"/>
          <w:rFonts w:hint="eastAsia" w:ascii="仿宋" w:hAnsi="仿宋" w:eastAsia="仿宋" w:cs="仿宋"/>
          <w:bCs/>
          <w:color w:val="000000"/>
          <w:sz w:val="32"/>
          <w:szCs w:val="32"/>
        </w:rPr>
        <w:t>（款）行政单位医疗（项</w:t>
      </w:r>
      <w:r>
        <w:rPr>
          <w:rStyle w:val="11"/>
          <w:rFonts w:hint="eastAsia" w:ascii="仿宋" w:hAnsi="仿宋" w:eastAsia="仿宋" w:cs="仿宋"/>
          <w:b/>
          <w:i w:val="0"/>
          <w:caps w:val="0"/>
          <w:color w:val="555555"/>
          <w:spacing w:val="0"/>
          <w:sz w:val="32"/>
          <w:szCs w:val="32"/>
          <w:shd w:val="clear" w:fill="FFFFFF"/>
        </w:rPr>
        <w:t>）</w:t>
      </w:r>
      <w:r>
        <w:rPr>
          <w:rStyle w:val="11"/>
          <w:rFonts w:hint="eastAsia" w:ascii="仿宋" w:hAnsi="仿宋" w:eastAsia="仿宋" w:cs="仿宋"/>
          <w:b w:val="0"/>
          <w:bCs/>
          <w:color w:val="000000"/>
          <w:sz w:val="32"/>
          <w:szCs w:val="32"/>
          <w:lang w:val="en-US" w:eastAsia="zh-CN"/>
        </w:rPr>
        <w:t>支出决算为22.28万元，完成预算100%，决算数等于预算数。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11.</w:t>
      </w:r>
      <w:r>
        <w:rPr>
          <w:rStyle w:val="11"/>
          <w:rFonts w:hint="eastAsia" w:ascii="仿宋" w:hAnsi="仿宋" w:eastAsia="仿宋" w:cs="仿宋"/>
          <w:bCs/>
          <w:color w:val="000000"/>
          <w:sz w:val="32"/>
          <w:szCs w:val="32"/>
          <w:lang w:val="en-US" w:eastAsia="zh-CN"/>
        </w:rPr>
        <w:t>节能环保支出（类）污染防治（款）水体（项）</w:t>
      </w:r>
      <w:r>
        <w:rPr>
          <w:rStyle w:val="11"/>
          <w:rFonts w:hint="eastAsia" w:ascii="仿宋" w:hAnsi="仿宋" w:eastAsia="仿宋" w:cs="仿宋"/>
          <w:b w:val="0"/>
          <w:bCs/>
          <w:color w:val="000000"/>
          <w:sz w:val="32"/>
          <w:szCs w:val="32"/>
          <w:lang w:val="en-US" w:eastAsia="zh-CN"/>
        </w:rPr>
        <w:t>支出决算为25万元，完成决算100%，决算数等于预算数。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12.</w:t>
      </w:r>
      <w:r>
        <w:rPr>
          <w:rStyle w:val="11"/>
          <w:rFonts w:hint="eastAsia" w:ascii="仿宋" w:hAnsi="仿宋" w:eastAsia="仿宋" w:cs="仿宋"/>
          <w:bCs/>
          <w:color w:val="000000"/>
          <w:sz w:val="32"/>
          <w:szCs w:val="32"/>
          <w:lang w:val="en-US" w:eastAsia="zh-CN"/>
        </w:rPr>
        <w:t>城乡社区支出（类）城乡社区环境卫生（款）城乡社区环境卫生（项）</w:t>
      </w:r>
      <w:r>
        <w:rPr>
          <w:rStyle w:val="11"/>
          <w:rFonts w:hint="eastAsia" w:ascii="仿宋" w:hAnsi="仿宋" w:eastAsia="仿宋" w:cs="仿宋"/>
          <w:b w:val="0"/>
          <w:bCs/>
          <w:color w:val="000000"/>
          <w:sz w:val="32"/>
          <w:szCs w:val="32"/>
          <w:lang w:val="en-US" w:eastAsia="zh-CN"/>
        </w:rPr>
        <w:t>支出决算为</w:t>
      </w:r>
      <w:r>
        <w:rPr>
          <w:rStyle w:val="11"/>
          <w:rFonts w:hint="eastAsia" w:ascii="仿宋" w:hAnsi="仿宋" w:eastAsia="仿宋" w:cs="仿宋"/>
          <w:b w:val="0"/>
          <w:bCs/>
          <w:color w:val="000000"/>
          <w:sz w:val="32"/>
          <w:szCs w:val="32"/>
          <w:highlight w:val="none"/>
          <w:lang w:val="en-US" w:eastAsia="zh-CN"/>
        </w:rPr>
        <w:t>16.94万</w:t>
      </w:r>
      <w:r>
        <w:rPr>
          <w:rStyle w:val="11"/>
          <w:rFonts w:hint="eastAsia" w:ascii="仿宋" w:hAnsi="仿宋" w:eastAsia="仿宋" w:cs="仿宋"/>
          <w:b w:val="0"/>
          <w:bCs/>
          <w:color w:val="000000"/>
          <w:sz w:val="32"/>
          <w:szCs w:val="32"/>
          <w:lang w:val="en-US" w:eastAsia="zh-CN"/>
        </w:rPr>
        <w:t>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13.</w:t>
      </w:r>
      <w:r>
        <w:rPr>
          <w:rStyle w:val="11"/>
          <w:rFonts w:hint="eastAsia" w:ascii="仿宋" w:hAnsi="仿宋" w:eastAsia="仿宋" w:cs="仿宋"/>
          <w:bCs/>
          <w:color w:val="000000"/>
          <w:sz w:val="32"/>
          <w:szCs w:val="32"/>
          <w:lang w:val="en-US" w:eastAsia="zh-CN"/>
        </w:rPr>
        <w:t>农林水支出（类）扶贫（款）其他扶贫支出（项）</w:t>
      </w:r>
      <w:r>
        <w:rPr>
          <w:rStyle w:val="11"/>
          <w:rFonts w:hint="eastAsia" w:ascii="仿宋" w:hAnsi="仿宋" w:eastAsia="仿宋" w:cs="仿宋"/>
          <w:b w:val="0"/>
          <w:bCs/>
          <w:color w:val="000000"/>
          <w:sz w:val="32"/>
          <w:szCs w:val="32"/>
          <w:lang w:val="en-US" w:eastAsia="zh-CN"/>
        </w:rPr>
        <w:t>支出决算为23.06万元，完成决算100%，决算数等于预算数。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14.</w:t>
      </w:r>
      <w:r>
        <w:rPr>
          <w:rStyle w:val="11"/>
          <w:rFonts w:hint="eastAsia" w:ascii="仿宋" w:hAnsi="仿宋" w:eastAsia="仿宋" w:cs="仿宋"/>
          <w:bCs/>
          <w:color w:val="000000"/>
          <w:sz w:val="32"/>
          <w:szCs w:val="32"/>
          <w:lang w:val="en-US" w:eastAsia="zh-CN"/>
        </w:rPr>
        <w:t>农林水支出（类）农村综合改革（款）对村级一事一议的补助（项）</w:t>
      </w:r>
      <w:r>
        <w:rPr>
          <w:rStyle w:val="11"/>
          <w:rFonts w:hint="eastAsia" w:ascii="仿宋" w:hAnsi="仿宋" w:eastAsia="仿宋" w:cs="仿宋"/>
          <w:b w:val="0"/>
          <w:bCs/>
          <w:color w:val="000000"/>
          <w:sz w:val="32"/>
          <w:szCs w:val="32"/>
          <w:lang w:val="en-US" w:eastAsia="zh-CN"/>
        </w:rPr>
        <w:t>支出决算为20万元，完成决算100%，决算数等于预算数。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15.</w:t>
      </w:r>
      <w:r>
        <w:rPr>
          <w:rStyle w:val="11"/>
          <w:rFonts w:hint="eastAsia" w:ascii="仿宋" w:hAnsi="仿宋" w:eastAsia="仿宋" w:cs="仿宋"/>
          <w:bCs/>
          <w:color w:val="000000"/>
          <w:sz w:val="32"/>
          <w:szCs w:val="32"/>
          <w:lang w:val="en-US" w:eastAsia="zh-CN"/>
        </w:rPr>
        <w:t>农林水支出（类）农村综合改革（款） 对村民委员会和村党支部的补助（项）</w:t>
      </w:r>
      <w:r>
        <w:rPr>
          <w:rStyle w:val="11"/>
          <w:rFonts w:hint="eastAsia" w:ascii="仿宋" w:hAnsi="仿宋" w:eastAsia="仿宋" w:cs="仿宋"/>
          <w:b w:val="0"/>
          <w:bCs/>
          <w:color w:val="000000"/>
          <w:sz w:val="32"/>
          <w:szCs w:val="32"/>
          <w:lang w:val="en-US" w:eastAsia="zh-CN"/>
        </w:rPr>
        <w:t>支出决算</w:t>
      </w:r>
      <w:r>
        <w:rPr>
          <w:rStyle w:val="11"/>
          <w:rFonts w:hint="eastAsia" w:ascii="仿宋" w:hAnsi="仿宋" w:eastAsia="仿宋" w:cs="仿宋"/>
          <w:b w:val="0"/>
          <w:bCs/>
          <w:color w:val="000000"/>
          <w:sz w:val="32"/>
          <w:szCs w:val="32"/>
          <w:highlight w:val="none"/>
          <w:lang w:val="en-US" w:eastAsia="zh-CN"/>
        </w:rPr>
        <w:t>为291.80万</w:t>
      </w:r>
      <w:r>
        <w:rPr>
          <w:rStyle w:val="11"/>
          <w:rFonts w:hint="eastAsia" w:ascii="仿宋" w:hAnsi="仿宋" w:eastAsia="仿宋" w:cs="仿宋"/>
          <w:b w:val="0"/>
          <w:bCs/>
          <w:color w:val="000000"/>
          <w:sz w:val="32"/>
          <w:szCs w:val="32"/>
          <w:lang w:val="en-US" w:eastAsia="zh-CN"/>
        </w:rPr>
        <w:t>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16.</w:t>
      </w:r>
      <w:r>
        <w:rPr>
          <w:rStyle w:val="11"/>
          <w:rFonts w:hint="eastAsia" w:ascii="仿宋" w:hAnsi="仿宋" w:eastAsia="仿宋" w:cs="仿宋"/>
          <w:bCs/>
          <w:color w:val="000000"/>
          <w:sz w:val="32"/>
          <w:szCs w:val="32"/>
          <w:lang w:val="en-US" w:eastAsia="zh-CN"/>
        </w:rPr>
        <w:t>交通运输支出（类）公路水路运输（款）公路和运输安全（项）</w:t>
      </w:r>
      <w:r>
        <w:rPr>
          <w:rStyle w:val="11"/>
          <w:rFonts w:hint="eastAsia" w:ascii="仿宋" w:hAnsi="仿宋" w:eastAsia="仿宋" w:cs="仿宋"/>
          <w:b w:val="0"/>
          <w:bCs/>
          <w:color w:val="000000"/>
          <w:sz w:val="32"/>
          <w:szCs w:val="32"/>
          <w:lang w:val="en-US" w:eastAsia="zh-CN"/>
        </w:rPr>
        <w:t>支出决算为5万元，完成决算100%，决算数等于预算数。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17.</w:t>
      </w:r>
      <w:r>
        <w:rPr>
          <w:rStyle w:val="11"/>
          <w:rFonts w:hint="eastAsia" w:ascii="仿宋" w:hAnsi="仿宋" w:eastAsia="仿宋" w:cs="仿宋"/>
          <w:bCs/>
          <w:color w:val="000000"/>
          <w:sz w:val="32"/>
          <w:szCs w:val="32"/>
          <w:lang w:val="en-US" w:eastAsia="zh-CN"/>
        </w:rPr>
        <w:t>住房保障（类）住房改革支出（款）住房公积金（项）</w:t>
      </w:r>
      <w:r>
        <w:rPr>
          <w:rStyle w:val="11"/>
          <w:rFonts w:hint="eastAsia" w:ascii="仿宋" w:hAnsi="仿宋" w:eastAsia="仿宋" w:cs="仿宋"/>
          <w:b w:val="0"/>
          <w:bCs/>
          <w:color w:val="000000"/>
          <w:sz w:val="32"/>
          <w:szCs w:val="32"/>
          <w:lang w:val="en-US" w:eastAsia="zh-CN"/>
        </w:rPr>
        <w:t>支出决算为32.49万元，完成决算100%，决算数等于预算数。</w:t>
      </w:r>
    </w:p>
    <w:p>
      <w:pPr>
        <w:pStyle w:val="2"/>
      </w:pPr>
    </w:p>
    <w:p>
      <w:pPr>
        <w:tabs>
          <w:tab w:val="right" w:pos="8306"/>
        </w:tabs>
        <w:spacing w:line="600" w:lineRule="exact"/>
        <w:ind w:firstLine="640"/>
        <w:outlineLvl w:val="1"/>
        <w:rPr>
          <w:rStyle w:val="14"/>
        </w:rPr>
      </w:pPr>
      <w:bookmarkStart w:id="39" w:name="_Toc15396608"/>
      <w:bookmarkStart w:id="40" w:name="_Toc15377214"/>
      <w:bookmarkStart w:id="41" w:name="_Toc31021"/>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4"/>
          <w:rFonts w:hint="eastAsia" w:ascii="黑体" w:hAnsi="黑体" w:eastAsia="黑体"/>
          <w:b w:val="0"/>
        </w:rPr>
        <w:t>般公共预算财政拨款基本支出决算情况说明</w:t>
      </w:r>
      <w:bookmarkEnd w:id="39"/>
      <w:bookmarkEnd w:id="40"/>
      <w:bookmarkEnd w:id="41"/>
      <w:r>
        <w:rPr>
          <w:rStyle w:val="14"/>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年一般公共预算财政拨款基本支出1143.85万元，其中：</w:t>
      </w:r>
    </w:p>
    <w:p>
      <w:pPr>
        <w:spacing w:line="600" w:lineRule="exact"/>
        <w:ind w:firstLine="645"/>
        <w:rPr>
          <w:rFonts w:ascii="仿宋" w:hAnsi="仿宋" w:eastAsia="仿宋"/>
          <w:b/>
          <w:color w:val="FF0000"/>
          <w:sz w:val="32"/>
          <w:szCs w:val="32"/>
        </w:rPr>
      </w:pPr>
      <w:r>
        <w:rPr>
          <w:rFonts w:hint="eastAsia" w:ascii="仿宋" w:hAnsi="仿宋" w:eastAsia="仿宋"/>
          <w:color w:val="000000"/>
          <w:sz w:val="32"/>
          <w:szCs w:val="32"/>
          <w:highlight w:val="none"/>
        </w:rPr>
        <w:t>人员经费</w:t>
      </w:r>
      <w:r>
        <w:rPr>
          <w:rFonts w:hint="eastAsia" w:ascii="仿宋" w:hAnsi="仿宋" w:eastAsia="仿宋"/>
          <w:color w:val="000000"/>
          <w:sz w:val="32"/>
          <w:szCs w:val="32"/>
          <w:highlight w:val="none"/>
          <w:lang w:val="en-US" w:eastAsia="zh-CN"/>
        </w:rPr>
        <w:t>880.17</w:t>
      </w:r>
      <w:r>
        <w:rPr>
          <w:rFonts w:hint="eastAsia" w:ascii="仿宋" w:hAnsi="仿宋" w:eastAsia="仿宋"/>
          <w:color w:val="000000"/>
          <w:sz w:val="32"/>
          <w:szCs w:val="32"/>
          <w:highlight w:val="none"/>
        </w:rPr>
        <w:t>万元，主要包括：基本工资、津贴补贴、奖金、伙食补助费、绩效工资、机关事业单位基本养老保险缴费、职业年金缴费、</w:t>
      </w:r>
      <w:r>
        <w:rPr>
          <w:rFonts w:hint="eastAsia" w:ascii="仿宋" w:hAnsi="仿宋" w:eastAsia="仿宋"/>
          <w:color w:val="000000"/>
          <w:sz w:val="32"/>
          <w:szCs w:val="32"/>
          <w:highlight w:val="none"/>
          <w:lang w:val="en-US" w:eastAsia="zh-CN"/>
        </w:rPr>
        <w:t>职工基本医疗保险缴费、</w:t>
      </w:r>
      <w:r>
        <w:rPr>
          <w:rFonts w:hint="eastAsia" w:ascii="仿宋" w:hAnsi="仿宋" w:eastAsia="仿宋"/>
          <w:color w:val="000000"/>
          <w:sz w:val="32"/>
          <w:szCs w:val="32"/>
          <w:highlight w:val="none"/>
        </w:rPr>
        <w:t>其他社会保障缴费、其他工资福利支出、离休费、退休费、抚恤金、生活补助、医疗费补助、奖励金、住房公积金、其他对个人和家庭的补助支出等。</w:t>
      </w:r>
      <w:r>
        <w:rPr>
          <w:rFonts w:ascii="仿宋" w:hAnsi="仿宋" w:eastAsia="仿宋"/>
          <w:color w:val="000000"/>
          <w:sz w:val="32"/>
          <w:szCs w:val="32"/>
          <w:highlight w:val="none"/>
        </w:rPr>
        <w:br w:type="textWrapping"/>
      </w:r>
      <w:r>
        <w:rPr>
          <w:rFonts w:hint="eastAsia" w:ascii="仿宋" w:hAnsi="仿宋" w:eastAsia="仿宋"/>
          <w:color w:val="000000"/>
          <w:sz w:val="32"/>
          <w:szCs w:val="32"/>
          <w:highlight w:val="none"/>
        </w:rPr>
        <w:t>　　日常公用经</w:t>
      </w:r>
      <w:r>
        <w:rPr>
          <w:rFonts w:hint="eastAsia" w:ascii="仿宋" w:hAnsi="仿宋" w:eastAsia="仿宋"/>
          <w:color w:val="000000"/>
          <w:sz w:val="32"/>
          <w:szCs w:val="32"/>
          <w:highlight w:val="none"/>
          <w:lang w:val="en-US" w:eastAsia="zh-CN"/>
        </w:rPr>
        <w:t>263.68</w:t>
      </w:r>
      <w:r>
        <w:rPr>
          <w:rFonts w:hint="eastAsia" w:ascii="仿宋" w:hAnsi="仿宋" w:eastAsia="仿宋"/>
          <w:color w:val="000000"/>
          <w:sz w:val="32"/>
          <w:szCs w:val="32"/>
          <w:highlight w:val="none"/>
        </w:rPr>
        <w:t>万元，主要包括：办公费、印刷费、咨询费、手续费、水费、电费、邮电费、取暖费、物业管理</w:t>
      </w:r>
      <w:r>
        <w:rPr>
          <w:rFonts w:hint="eastAsia" w:ascii="仿宋" w:hAnsi="仿宋" w:eastAsia="仿宋"/>
          <w:color w:val="000000"/>
          <w:sz w:val="32"/>
          <w:szCs w:val="32"/>
        </w:rPr>
        <w:t>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14"/>
          <w:rFonts w:ascii="黑体" w:hAnsi="黑体" w:eastAsia="黑体"/>
          <w:b w:val="0"/>
        </w:rPr>
      </w:pPr>
      <w:bookmarkStart w:id="42" w:name="_Toc15377215"/>
      <w:bookmarkStart w:id="43" w:name="_Toc6926"/>
      <w:bookmarkStart w:id="44" w:name="_Toc15396609"/>
      <w:r>
        <w:rPr>
          <w:rFonts w:hint="eastAsia" w:ascii="黑体" w:eastAsia="黑体"/>
          <w:color w:val="000000"/>
          <w:sz w:val="32"/>
          <w:szCs w:val="32"/>
        </w:rPr>
        <w:t>七、</w:t>
      </w:r>
      <w:r>
        <w:rPr>
          <w:rStyle w:val="14"/>
          <w:rFonts w:hint="eastAsia" w:ascii="黑体" w:hAnsi="黑体" w:eastAsia="黑体"/>
        </w:rPr>
        <w:t>“</w:t>
      </w:r>
      <w:r>
        <w:rPr>
          <w:rStyle w:val="14"/>
          <w:rFonts w:hint="eastAsia" w:ascii="黑体" w:hAnsi="黑体" w:eastAsia="黑体"/>
          <w:b w:val="0"/>
        </w:rPr>
        <w:t>三公”经费财政拨款支出决算情况说明</w:t>
      </w:r>
      <w:bookmarkEnd w:id="42"/>
      <w:bookmarkEnd w:id="43"/>
      <w:bookmarkEnd w:id="44"/>
    </w:p>
    <w:p>
      <w:pPr>
        <w:spacing w:line="600" w:lineRule="exact"/>
        <w:ind w:firstLine="640"/>
        <w:outlineLvl w:val="2"/>
        <w:rPr>
          <w:rFonts w:ascii="仿宋" w:hAnsi="仿宋" w:eastAsia="仿宋"/>
          <w:b/>
          <w:color w:val="000000"/>
          <w:sz w:val="32"/>
          <w:szCs w:val="32"/>
        </w:rPr>
      </w:pPr>
      <w:bookmarkStart w:id="45" w:name="_Toc15377216"/>
      <w:r>
        <w:rPr>
          <w:rFonts w:hint="eastAsia" w:ascii="仿宋" w:hAnsi="仿宋" w:eastAsia="仿宋"/>
          <w:b/>
          <w:color w:val="000000"/>
          <w:sz w:val="32"/>
          <w:szCs w:val="32"/>
        </w:rPr>
        <w:t>（一）“三公”经费财政拨款支出决算总体情况说明</w:t>
      </w:r>
      <w:bookmarkEnd w:id="45"/>
    </w:p>
    <w:p>
      <w:pPr>
        <w:spacing w:line="600" w:lineRule="exact"/>
        <w:ind w:firstLine="640"/>
        <w:rPr>
          <w:rFonts w:hint="eastAsia" w:ascii="仿宋" w:hAnsi="仿宋" w:eastAsia="仿宋"/>
          <w:b/>
          <w:color w:val="FF0000"/>
          <w:sz w:val="32"/>
          <w:szCs w:val="32"/>
          <w:highlight w:val="none"/>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1.89</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，决算数与预算数持平。</w:t>
      </w:r>
      <w:bookmarkStart w:id="46" w:name="_Toc15377217"/>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（二）“三公”经费财政拨款支出决算具体情况说明</w:t>
      </w:r>
      <w:bookmarkEnd w:id="46"/>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1312" behindDoc="1" locked="0" layoutInCell="1" allowOverlap="1">
            <wp:simplePos x="0" y="0"/>
            <wp:positionH relativeFrom="column">
              <wp:posOffset>714375</wp:posOffset>
            </wp:positionH>
            <wp:positionV relativeFrom="paragraph">
              <wp:posOffset>1522730</wp:posOffset>
            </wp:positionV>
            <wp:extent cx="4165600" cy="1482090"/>
            <wp:effectExtent l="4445" t="4445" r="20955" b="1841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1.89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 w:hAnsi="仿宋" w:eastAsia="仿宋"/>
          <w:color w:val="000000"/>
          <w:sz w:val="32"/>
          <w:szCs w:val="32"/>
          <w:lang w:eastAsia="zh-CN"/>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lang w:val="en-US" w:eastAsia="zh-CN"/>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w:t>
      </w:r>
      <w:r>
        <w:rPr>
          <w:rFonts w:hint="eastAsia" w:ascii="仿宋" w:hAnsi="仿宋" w:eastAsia="仿宋"/>
          <w:color w:val="000000"/>
          <w:sz w:val="32"/>
          <w:szCs w:val="32"/>
          <w:lang w:val="en-US" w:eastAsia="zh-CN"/>
        </w:rPr>
        <w:t xml:space="preserve"> 单位：万元</w:t>
      </w:r>
      <w:r>
        <w:rPr>
          <w:rFonts w:hint="eastAsia" w:ascii="仿宋" w:hAnsi="仿宋" w:eastAsia="仿宋"/>
          <w:color w:val="000000"/>
          <w:sz w:val="32"/>
          <w:szCs w:val="32"/>
        </w:rPr>
        <w:t>）</w:t>
      </w:r>
    </w:p>
    <w:p>
      <w:p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b/>
          <w:color w:val="000000"/>
          <w:sz w:val="32"/>
          <w:szCs w:val="32"/>
        </w:rPr>
        <w:t>1.因公出国（境）经费支出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Style w:val="11"/>
          <w:rFonts w:hint="eastAsia" w:ascii="仿宋" w:hAnsi="仿宋" w:eastAsia="仿宋" w:cs="仿宋"/>
          <w:b w:val="0"/>
          <w:bCs/>
          <w:color w:val="000000"/>
          <w:sz w:val="32"/>
          <w:szCs w:val="32"/>
        </w:rPr>
        <w:t>完成预算</w:t>
      </w:r>
      <w:r>
        <w:rPr>
          <w:rStyle w:val="11"/>
          <w:rFonts w:hint="eastAsia" w:ascii="仿宋" w:hAnsi="仿宋" w:eastAsia="仿宋" w:cs="仿宋"/>
          <w:b w:val="0"/>
          <w:bCs/>
          <w:color w:val="000000"/>
          <w:sz w:val="32"/>
          <w:szCs w:val="32"/>
          <w:lang w:val="en-US" w:eastAsia="zh-CN"/>
        </w:rPr>
        <w:t>0</w:t>
      </w:r>
      <w:r>
        <w:rPr>
          <w:rStyle w:val="11"/>
          <w:rFonts w:hint="eastAsia" w:ascii="仿宋" w:hAnsi="仿宋" w:eastAsia="仿宋" w:cs="仿宋"/>
          <w:b w:val="0"/>
          <w:bCs/>
          <w:color w:val="000000"/>
          <w:sz w:val="32"/>
          <w:szCs w:val="32"/>
        </w:rPr>
        <w:t>%。</w:t>
      </w:r>
      <w:r>
        <w:rPr>
          <w:rFonts w:hint="eastAsia" w:ascii="仿宋" w:hAnsi="仿宋" w:eastAsia="仿宋" w:cs="仿宋"/>
          <w:color w:val="000000"/>
          <w:sz w:val="32"/>
          <w:szCs w:val="32"/>
        </w:rPr>
        <w:t>全年安排因公出国（境）团组</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次，出国（境）</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人。因公出国（境）支出决算比201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年增加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万元，增长</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与2019年持平。</w:t>
      </w:r>
    </w:p>
    <w:p>
      <w:pPr>
        <w:spacing w:line="600" w:lineRule="exact"/>
        <w:ind w:firstLine="640"/>
        <w:rPr>
          <w:rFonts w:hint="eastAsia" w:ascii="仿宋" w:hAnsi="仿宋" w:eastAsia="仿宋" w:cs="仿宋"/>
          <w:color w:val="000000"/>
          <w:sz w:val="32"/>
          <w:szCs w:val="32"/>
          <w:highlight w:val="yellow"/>
          <w:lang w:eastAsia="zh-CN"/>
        </w:rPr>
      </w:pPr>
      <w:r>
        <w:rPr>
          <w:rFonts w:hint="eastAsia" w:ascii="仿宋" w:hAnsi="仿宋" w:eastAsia="仿宋" w:cs="仿宋"/>
          <w:b/>
          <w:color w:val="000000"/>
          <w:sz w:val="32"/>
          <w:szCs w:val="32"/>
        </w:rPr>
        <w:t>2.公务用车购置及运行维护费支出</w:t>
      </w:r>
      <w:r>
        <w:rPr>
          <w:rFonts w:hint="eastAsia" w:ascii="仿宋" w:hAnsi="仿宋" w:eastAsia="仿宋" w:cs="仿宋"/>
          <w:color w:val="000000"/>
          <w:sz w:val="32"/>
          <w:szCs w:val="32"/>
          <w:lang w:val="en-US" w:eastAsia="zh-CN"/>
        </w:rPr>
        <w:t>1.89</w:t>
      </w:r>
      <w:r>
        <w:rPr>
          <w:rFonts w:hint="eastAsia" w:ascii="仿宋" w:hAnsi="仿宋" w:eastAsia="仿宋" w:cs="仿宋"/>
          <w:color w:val="000000"/>
          <w:sz w:val="32"/>
          <w:szCs w:val="32"/>
        </w:rPr>
        <w:t>万元,</w:t>
      </w:r>
      <w:r>
        <w:rPr>
          <w:rStyle w:val="11"/>
          <w:rFonts w:hint="eastAsia" w:ascii="仿宋" w:hAnsi="仿宋" w:eastAsia="仿宋" w:cs="仿宋"/>
          <w:b w:val="0"/>
          <w:bCs/>
          <w:color w:val="000000"/>
          <w:sz w:val="32"/>
          <w:szCs w:val="32"/>
        </w:rPr>
        <w:t>完成预算</w:t>
      </w:r>
      <w:r>
        <w:rPr>
          <w:rStyle w:val="11"/>
          <w:rFonts w:hint="eastAsia" w:ascii="仿宋" w:hAnsi="仿宋" w:eastAsia="仿宋" w:cs="仿宋"/>
          <w:b w:val="0"/>
          <w:bCs/>
          <w:color w:val="000000"/>
          <w:sz w:val="32"/>
          <w:szCs w:val="32"/>
          <w:lang w:val="en-US" w:eastAsia="zh-CN"/>
        </w:rPr>
        <w:t>100</w:t>
      </w:r>
      <w:r>
        <w:rPr>
          <w:rStyle w:val="11"/>
          <w:rFonts w:hint="eastAsia" w:ascii="仿宋" w:hAnsi="仿宋" w:eastAsia="仿宋" w:cs="仿宋"/>
          <w:b w:val="0"/>
          <w:bCs/>
          <w:color w:val="000000"/>
          <w:sz w:val="32"/>
          <w:szCs w:val="32"/>
        </w:rPr>
        <w:t>%。</w:t>
      </w:r>
      <w:r>
        <w:rPr>
          <w:rFonts w:hint="eastAsia" w:ascii="仿宋" w:hAnsi="仿宋" w:eastAsia="仿宋" w:cs="仿宋"/>
          <w:color w:val="000000"/>
          <w:sz w:val="32"/>
          <w:szCs w:val="32"/>
        </w:rPr>
        <w:t>公务用车购置及运行维护费支出决算比</w:t>
      </w:r>
      <w:r>
        <w:rPr>
          <w:rFonts w:hint="eastAsia" w:ascii="仿宋" w:hAnsi="仿宋" w:eastAsia="仿宋" w:cs="仿宋"/>
          <w:color w:val="000000"/>
          <w:sz w:val="32"/>
          <w:szCs w:val="32"/>
          <w:lang w:val="en-US" w:eastAsia="zh-CN"/>
        </w:rPr>
        <w:t>2019</w:t>
      </w:r>
      <w:r>
        <w:rPr>
          <w:rFonts w:hint="eastAsia" w:ascii="仿宋" w:hAnsi="仿宋" w:eastAsia="仿宋" w:cs="仿宋"/>
          <w:color w:val="000000"/>
          <w:sz w:val="32"/>
          <w:szCs w:val="32"/>
        </w:rPr>
        <w:t>年减少</w:t>
      </w:r>
      <w:r>
        <w:rPr>
          <w:rFonts w:hint="eastAsia" w:ascii="仿宋" w:hAnsi="仿宋" w:eastAsia="仿宋" w:cs="仿宋"/>
          <w:color w:val="000000"/>
          <w:sz w:val="32"/>
          <w:szCs w:val="32"/>
          <w:lang w:val="en-US" w:eastAsia="zh-CN"/>
        </w:rPr>
        <w:t>0.01</w:t>
      </w:r>
      <w:r>
        <w:rPr>
          <w:rFonts w:hint="eastAsia" w:ascii="仿宋" w:hAnsi="仿宋" w:eastAsia="仿宋" w:cs="仿宋"/>
          <w:color w:val="000000"/>
          <w:sz w:val="32"/>
          <w:szCs w:val="32"/>
        </w:rPr>
        <w:t>万元，下降</w:t>
      </w:r>
      <w:r>
        <w:rPr>
          <w:rFonts w:hint="eastAsia" w:ascii="仿宋" w:hAnsi="仿宋" w:eastAsia="仿宋" w:cs="仿宋"/>
          <w:color w:val="000000"/>
          <w:sz w:val="32"/>
          <w:szCs w:val="32"/>
          <w:lang w:val="en-US" w:eastAsia="zh-CN"/>
        </w:rPr>
        <w:t>0.53</w:t>
      </w:r>
      <w:r>
        <w:rPr>
          <w:rFonts w:hint="eastAsia" w:ascii="仿宋" w:hAnsi="仿宋" w:eastAsia="仿宋" w:cs="仿宋"/>
          <w:color w:val="000000"/>
          <w:sz w:val="32"/>
          <w:szCs w:val="32"/>
        </w:rPr>
        <w:t>%。</w:t>
      </w:r>
      <w:r>
        <w:rPr>
          <w:rFonts w:hint="eastAsia" w:ascii="仿宋" w:hAnsi="仿宋" w:eastAsia="仿宋" w:cs="仿宋"/>
          <w:color w:val="000000"/>
          <w:sz w:val="32"/>
          <w:szCs w:val="32"/>
          <w:highlight w:val="none"/>
        </w:rPr>
        <w:t>主要原因是加强了公车管理</w:t>
      </w:r>
      <w:r>
        <w:rPr>
          <w:rFonts w:hint="eastAsia" w:ascii="仿宋" w:hAnsi="仿宋" w:eastAsia="仿宋" w:cs="仿宋"/>
          <w:color w:val="000000"/>
          <w:sz w:val="32"/>
          <w:szCs w:val="32"/>
          <w:highlight w:val="none"/>
          <w:lang w:eastAsia="zh-CN"/>
        </w:rPr>
        <w:t>。</w:t>
      </w:r>
    </w:p>
    <w:p>
      <w:pPr>
        <w:spacing w:line="600" w:lineRule="exact"/>
        <w:ind w:firstLine="640" w:firstLineChars="200"/>
        <w:rPr>
          <w:rFonts w:hint="default" w:ascii="仿宋" w:hAnsi="仿宋" w:eastAsia="仿宋" w:cs="仿宋"/>
          <w:b/>
          <w:color w:val="000000"/>
          <w:sz w:val="32"/>
          <w:szCs w:val="32"/>
          <w:highlight w:val="yellow"/>
          <w:lang w:val="en-US" w:eastAsia="zh-CN"/>
        </w:rPr>
      </w:pPr>
      <w:r>
        <w:rPr>
          <w:rFonts w:hint="eastAsia" w:ascii="仿宋" w:hAnsi="仿宋" w:eastAsia="仿宋" w:cs="仿宋"/>
          <w:color w:val="000000"/>
          <w:sz w:val="32"/>
          <w:szCs w:val="32"/>
        </w:rPr>
        <w:t>其中：</w:t>
      </w:r>
      <w:r>
        <w:rPr>
          <w:rFonts w:hint="eastAsia" w:ascii="仿宋" w:hAnsi="仿宋" w:eastAsia="仿宋" w:cs="仿宋"/>
          <w:b/>
          <w:color w:val="000000"/>
          <w:sz w:val="32"/>
          <w:szCs w:val="32"/>
        </w:rPr>
        <w:t>公务用车购置支出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万元。全年按规定更新购置公务用车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辆，金额</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万元。截至2020年12月底，</w:t>
      </w:r>
      <w:r>
        <w:rPr>
          <w:rFonts w:hint="eastAsia" w:ascii="仿宋" w:hAnsi="仿宋" w:eastAsia="仿宋" w:cs="仿宋"/>
          <w:color w:val="000000"/>
          <w:sz w:val="32"/>
          <w:szCs w:val="32"/>
          <w:highlight w:val="none"/>
        </w:rPr>
        <w:t>单位共有公务用车</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rPr>
        <w:t>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其中：其他用车2辆。</w:t>
      </w:r>
    </w:p>
    <w:p>
      <w:pPr>
        <w:spacing w:line="600" w:lineRule="exact"/>
        <w:ind w:firstLine="640"/>
        <w:rPr>
          <w:rFonts w:hint="eastAsia" w:ascii="仿宋" w:hAnsi="仿宋" w:eastAsia="仿宋" w:cs="仿宋"/>
          <w:color w:val="000000"/>
          <w:sz w:val="32"/>
          <w:szCs w:val="32"/>
        </w:rPr>
      </w:pPr>
      <w:r>
        <w:rPr>
          <w:rFonts w:hint="eastAsia" w:ascii="仿宋" w:hAnsi="仿宋" w:eastAsia="仿宋" w:cs="仿宋"/>
          <w:b/>
          <w:color w:val="000000"/>
          <w:sz w:val="32"/>
          <w:szCs w:val="32"/>
        </w:rPr>
        <w:t>公务用车运行维护费支出</w:t>
      </w:r>
      <w:r>
        <w:rPr>
          <w:rFonts w:hint="eastAsia" w:ascii="仿宋" w:hAnsi="仿宋" w:eastAsia="仿宋" w:cs="仿宋"/>
          <w:color w:val="000000"/>
          <w:sz w:val="32"/>
          <w:szCs w:val="32"/>
          <w:lang w:val="en-US" w:eastAsia="zh-CN"/>
        </w:rPr>
        <w:t>1.89</w:t>
      </w:r>
      <w:r>
        <w:rPr>
          <w:rFonts w:hint="eastAsia" w:ascii="仿宋" w:hAnsi="仿宋" w:eastAsia="仿宋" w:cs="仿宋"/>
          <w:color w:val="000000"/>
          <w:sz w:val="32"/>
          <w:szCs w:val="32"/>
        </w:rPr>
        <w:t>万元。主要用于</w:t>
      </w:r>
      <w:r>
        <w:rPr>
          <w:rFonts w:hint="eastAsia" w:ascii="仿宋" w:hAnsi="仿宋" w:eastAsia="仿宋" w:cs="仿宋"/>
          <w:color w:val="000000"/>
          <w:sz w:val="32"/>
          <w:szCs w:val="32"/>
          <w:lang w:val="en-US" w:eastAsia="zh-CN"/>
        </w:rPr>
        <w:t>保障机关及下属单位开展乡村振兴、环境治理、维稳等所需的公务用车燃料费、维修费、过路过桥费、保险费等支出</w:t>
      </w:r>
      <w:r>
        <w:rPr>
          <w:rFonts w:hint="eastAsia" w:ascii="仿宋" w:hAnsi="仿宋" w:eastAsia="仿宋" w:cs="仿宋"/>
          <w:color w:val="000000"/>
          <w:sz w:val="32"/>
          <w:szCs w:val="32"/>
        </w:rPr>
        <w:t>。</w:t>
      </w:r>
    </w:p>
    <w:p>
      <w:pPr>
        <w:spacing w:line="600" w:lineRule="exact"/>
        <w:ind w:firstLine="640"/>
        <w:rPr>
          <w:rFonts w:hint="eastAsia" w:ascii="仿宋" w:hAnsi="仿宋" w:eastAsia="仿宋" w:cs="仿宋"/>
          <w:color w:val="000000"/>
          <w:sz w:val="32"/>
          <w:szCs w:val="32"/>
          <w:highlight w:val="none"/>
        </w:rPr>
      </w:pPr>
      <w:r>
        <w:rPr>
          <w:rFonts w:hint="eastAsia" w:ascii="仿宋" w:hAnsi="仿宋" w:eastAsia="仿宋" w:cs="仿宋"/>
          <w:b/>
          <w:color w:val="000000"/>
          <w:sz w:val="32"/>
          <w:szCs w:val="32"/>
        </w:rPr>
        <w:t>3.公务接待费支出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Style w:val="11"/>
          <w:rFonts w:hint="eastAsia" w:ascii="仿宋" w:hAnsi="仿宋" w:eastAsia="仿宋" w:cs="仿宋"/>
          <w:b w:val="0"/>
          <w:bCs/>
          <w:color w:val="000000"/>
          <w:sz w:val="32"/>
          <w:szCs w:val="32"/>
        </w:rPr>
        <w:t>完成预算</w:t>
      </w:r>
      <w:r>
        <w:rPr>
          <w:rStyle w:val="11"/>
          <w:rFonts w:hint="eastAsia" w:ascii="仿宋" w:hAnsi="仿宋" w:eastAsia="仿宋" w:cs="仿宋"/>
          <w:b w:val="0"/>
          <w:bCs/>
          <w:color w:val="000000"/>
          <w:sz w:val="32"/>
          <w:szCs w:val="32"/>
          <w:lang w:val="en-US" w:eastAsia="zh-CN"/>
        </w:rPr>
        <w:t>0</w:t>
      </w:r>
      <w:r>
        <w:rPr>
          <w:rStyle w:val="11"/>
          <w:rFonts w:hint="eastAsia" w:ascii="仿宋" w:hAnsi="仿宋" w:eastAsia="仿宋" w:cs="仿宋"/>
          <w:b w:val="0"/>
          <w:bCs/>
          <w:color w:val="000000"/>
          <w:sz w:val="32"/>
          <w:szCs w:val="32"/>
        </w:rPr>
        <w:t>%。</w:t>
      </w:r>
      <w:r>
        <w:rPr>
          <w:rFonts w:hint="eastAsia" w:ascii="仿宋" w:hAnsi="仿宋" w:eastAsia="仿宋" w:cs="仿宋"/>
          <w:color w:val="000000"/>
          <w:sz w:val="32"/>
          <w:szCs w:val="32"/>
        </w:rPr>
        <w:t>公务接待费支出决算比2019年</w:t>
      </w:r>
      <w:r>
        <w:rPr>
          <w:rFonts w:hint="eastAsia" w:ascii="仿宋" w:hAnsi="仿宋" w:eastAsia="仿宋" w:cs="仿宋"/>
          <w:color w:val="000000"/>
          <w:sz w:val="32"/>
          <w:szCs w:val="32"/>
          <w:highlight w:val="none"/>
        </w:rPr>
        <w:t>增加</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万元，增长</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%。其中：</w:t>
      </w:r>
    </w:p>
    <w:p>
      <w:pPr>
        <w:spacing w:line="600" w:lineRule="exact"/>
        <w:ind w:firstLine="640"/>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highlight w:val="none"/>
        </w:rPr>
        <w:t>国内公务接待支出</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万元。国内公务接</w:t>
      </w:r>
      <w:r>
        <w:rPr>
          <w:rFonts w:hint="eastAsia" w:ascii="仿宋" w:hAnsi="仿宋" w:eastAsia="仿宋" w:cs="仿宋"/>
          <w:color w:val="000000"/>
          <w:sz w:val="32"/>
          <w:szCs w:val="32"/>
        </w:rPr>
        <w:t>待</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批次，</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人次（不包括陪同人员），共计支出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p>
    <w:p>
      <w:pPr>
        <w:spacing w:line="600" w:lineRule="exact"/>
        <w:ind w:firstLine="643" w:firstLineChars="200"/>
        <w:rPr>
          <w:rFonts w:ascii="黑体" w:eastAsia="黑体"/>
          <w:color w:val="000000"/>
          <w:sz w:val="32"/>
          <w:szCs w:val="32"/>
        </w:rPr>
      </w:pPr>
      <w:r>
        <w:rPr>
          <w:rFonts w:hint="eastAsia" w:ascii="仿宋" w:hAnsi="仿宋" w:eastAsia="仿宋" w:cs="仿宋"/>
          <w:b/>
          <w:color w:val="000000"/>
          <w:sz w:val="32"/>
          <w:szCs w:val="32"/>
        </w:rPr>
        <w:t>外事接待支出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万元，外事接待</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批次，</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人，共计支出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bookmarkStart w:id="47" w:name="_Toc15396610"/>
      <w:bookmarkStart w:id="48" w:name="_Toc15377218"/>
    </w:p>
    <w:p>
      <w:pPr>
        <w:spacing w:line="600" w:lineRule="exact"/>
        <w:ind w:firstLine="640"/>
        <w:outlineLvl w:val="1"/>
        <w:rPr>
          <w:rStyle w:val="14"/>
          <w:rFonts w:ascii="黑体" w:hAnsi="黑体" w:eastAsia="黑体"/>
        </w:rPr>
      </w:pPr>
      <w:bookmarkStart w:id="49" w:name="_Toc9843"/>
      <w:r>
        <w:rPr>
          <w:rFonts w:hint="eastAsia" w:ascii="黑体" w:eastAsia="黑体"/>
          <w:color w:val="000000"/>
          <w:sz w:val="32"/>
          <w:szCs w:val="32"/>
        </w:rPr>
        <w:t>八、</w:t>
      </w:r>
      <w:r>
        <w:rPr>
          <w:rStyle w:val="14"/>
          <w:rFonts w:hint="eastAsia" w:ascii="黑体" w:hAnsi="黑体" w:eastAsia="黑体"/>
          <w:b w:val="0"/>
        </w:rPr>
        <w:t>政府性基金预算支出决算情况说明</w:t>
      </w:r>
      <w:bookmarkEnd w:id="47"/>
      <w:bookmarkEnd w:id="48"/>
      <w:bookmarkEnd w:id="49"/>
    </w:p>
    <w:p>
      <w:pPr>
        <w:spacing w:line="600" w:lineRule="exact"/>
        <w:ind w:firstLine="640"/>
        <w:rPr>
          <w:rFonts w:ascii="仿宋_GB2312" w:eastAsia="仿宋_GB2312"/>
          <w:color w:val="000000"/>
          <w:sz w:val="32"/>
          <w:szCs w:val="32"/>
        </w:rPr>
      </w:pPr>
      <w:r>
        <w:rPr>
          <w:rFonts w:hint="eastAsia" w:ascii="仿宋" w:hAnsi="仿宋" w:eastAsia="仿宋" w:cs="仿宋"/>
          <w:color w:val="000000"/>
          <w:sz w:val="32"/>
          <w:szCs w:val="32"/>
        </w:rPr>
        <w:t>2020年政府性基金预算拨款支出</w:t>
      </w:r>
      <w:r>
        <w:rPr>
          <w:rFonts w:hint="eastAsia" w:ascii="仿宋" w:hAnsi="仿宋" w:eastAsia="仿宋" w:cs="仿宋"/>
          <w:color w:val="000000"/>
          <w:sz w:val="32"/>
          <w:szCs w:val="32"/>
          <w:lang w:val="en-US" w:eastAsia="zh-CN"/>
        </w:rPr>
        <w:t>3020</w:t>
      </w:r>
      <w:r>
        <w:rPr>
          <w:rFonts w:hint="eastAsia" w:ascii="仿宋" w:hAnsi="仿宋" w:eastAsia="仿宋" w:cs="仿宋"/>
          <w:color w:val="000000"/>
          <w:sz w:val="32"/>
          <w:szCs w:val="32"/>
        </w:rPr>
        <w:t>万元。</w:t>
      </w:r>
    </w:p>
    <w:p>
      <w:pPr>
        <w:numPr>
          <w:ilvl w:val="0"/>
          <w:numId w:val="2"/>
        </w:numPr>
        <w:spacing w:line="600" w:lineRule="exact"/>
        <w:ind w:firstLine="640"/>
        <w:outlineLvl w:val="1"/>
        <w:rPr>
          <w:rStyle w:val="14"/>
          <w:rFonts w:ascii="黑体" w:hAnsi="黑体" w:eastAsia="黑体"/>
          <w:b w:val="0"/>
        </w:rPr>
      </w:pPr>
      <w:bookmarkStart w:id="50" w:name="_Toc10775"/>
      <w:bookmarkStart w:id="51" w:name="_Toc15377219"/>
      <w:bookmarkStart w:id="52" w:name="_Toc15396611"/>
      <w:r>
        <w:rPr>
          <w:rStyle w:val="14"/>
          <w:rFonts w:hint="eastAsia" w:ascii="黑体" w:hAnsi="黑体" w:eastAsia="黑体"/>
          <w:b w:val="0"/>
        </w:rPr>
        <w:t>国有资本经营预算支出决算情况说明</w:t>
      </w:r>
      <w:bookmarkEnd w:id="50"/>
      <w:bookmarkEnd w:id="51"/>
      <w:bookmarkEnd w:id="52"/>
    </w:p>
    <w:p>
      <w:pPr>
        <w:spacing w:line="600" w:lineRule="exact"/>
        <w:ind w:firstLine="640"/>
        <w:rPr>
          <w:rFonts w:ascii="方正小标宋简体" w:hAnsi="方正小标宋简体" w:eastAsia="方正小标宋简体" w:cs="方正小标宋简体"/>
          <w:sz w:val="44"/>
          <w:szCs w:val="44"/>
        </w:rPr>
      </w:pPr>
      <w:r>
        <w:rPr>
          <w:rFonts w:hint="eastAsia" w:ascii="仿宋" w:hAnsi="仿宋" w:eastAsia="仿宋" w:cs="仿宋"/>
          <w:color w:val="000000"/>
          <w:sz w:val="32"/>
          <w:szCs w:val="32"/>
        </w:rPr>
        <w:t>2020年国有资本经营预算拨款支出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p>
    <w:p>
      <w:pPr>
        <w:spacing w:line="600" w:lineRule="exact"/>
        <w:ind w:firstLine="800" w:firstLineChars="250"/>
        <w:outlineLvl w:val="1"/>
        <w:rPr>
          <w:rStyle w:val="14"/>
          <w:rFonts w:ascii="黑体" w:hAnsi="黑体" w:eastAsia="黑体"/>
        </w:rPr>
      </w:pPr>
      <w:bookmarkStart w:id="53" w:name="_Toc738"/>
      <w:bookmarkStart w:id="54" w:name="_Toc15396612"/>
      <w:bookmarkStart w:id="55" w:name="_Toc15377221"/>
      <w:r>
        <w:rPr>
          <w:rFonts w:hint="eastAsia" w:ascii="黑体" w:hAnsi="黑体" w:eastAsia="黑体"/>
          <w:color w:val="000000"/>
          <w:sz w:val="32"/>
          <w:szCs w:val="32"/>
        </w:rPr>
        <w:t>十</w:t>
      </w:r>
      <w:r>
        <w:rPr>
          <w:rStyle w:val="14"/>
          <w:rFonts w:hint="eastAsia" w:ascii="黑体" w:hAnsi="黑体" w:eastAsia="黑体"/>
        </w:rPr>
        <w:t>、</w:t>
      </w:r>
      <w:r>
        <w:rPr>
          <w:rStyle w:val="14"/>
          <w:rFonts w:hint="eastAsia" w:ascii="黑体" w:hAnsi="黑体" w:eastAsia="黑体"/>
          <w:b w:val="0"/>
        </w:rPr>
        <w:t>其他重要事项的情况说明</w:t>
      </w:r>
      <w:bookmarkEnd w:id="53"/>
      <w:bookmarkEnd w:id="54"/>
      <w:bookmarkEnd w:id="55"/>
    </w:p>
    <w:p>
      <w:pPr>
        <w:spacing w:line="600" w:lineRule="exact"/>
        <w:ind w:firstLine="643" w:firstLineChars="200"/>
        <w:outlineLvl w:val="2"/>
        <w:rPr>
          <w:rFonts w:ascii="仿宋" w:hAnsi="仿宋" w:eastAsia="仿宋"/>
          <w:color w:val="000000"/>
          <w:sz w:val="32"/>
          <w:szCs w:val="32"/>
        </w:rPr>
      </w:pPr>
      <w:bookmarkStart w:id="56" w:name="_Toc15377222"/>
      <w:r>
        <w:rPr>
          <w:rFonts w:hint="eastAsia" w:ascii="仿宋" w:hAnsi="仿宋" w:eastAsia="仿宋"/>
          <w:b/>
          <w:color w:val="000000"/>
          <w:sz w:val="32"/>
          <w:szCs w:val="32"/>
        </w:rPr>
        <w:t>（一）机关运行经费支出情况</w:t>
      </w:r>
      <w:bookmarkEnd w:id="56"/>
    </w:p>
    <w:p>
      <w:pPr>
        <w:spacing w:line="600" w:lineRule="exact"/>
        <w:ind w:firstLine="640" w:firstLineChars="200"/>
        <w:rPr>
          <w:rFonts w:hint="default" w:ascii="仿宋_GB2312" w:eastAsia="仿宋_GB2312"/>
          <w:color w:val="000000"/>
          <w:sz w:val="32"/>
          <w:szCs w:val="32"/>
          <w:highlight w:val="none"/>
          <w:lang w:val="en-US" w:eastAsia="zh-CN"/>
        </w:rPr>
      </w:pPr>
      <w:r>
        <w:rPr>
          <w:rFonts w:ascii="仿宋_GB2312" w:eastAsia="仿宋_GB2312"/>
          <w:color w:val="000000"/>
          <w:sz w:val="32"/>
          <w:szCs w:val="32"/>
          <w:highlight w:val="none"/>
        </w:rPr>
        <w:t>2020</w:t>
      </w:r>
      <w:r>
        <w:rPr>
          <w:rFonts w:hint="eastAsia" w:ascii="仿宋_GB2312" w:eastAsia="仿宋_GB2312"/>
          <w:color w:val="000000"/>
          <w:sz w:val="32"/>
          <w:szCs w:val="32"/>
          <w:highlight w:val="none"/>
        </w:rPr>
        <w:t>年，</w:t>
      </w:r>
      <w:r>
        <w:rPr>
          <w:rFonts w:hint="eastAsia" w:ascii="仿宋_GB2312"/>
          <w:color w:val="000000"/>
          <w:sz w:val="32"/>
          <w:szCs w:val="32"/>
          <w:highlight w:val="none"/>
          <w:lang w:val="en-US" w:eastAsia="zh-CN"/>
        </w:rPr>
        <w:t>舒坪街道办事处机关</w:t>
      </w:r>
      <w:r>
        <w:rPr>
          <w:rFonts w:hint="eastAsia" w:ascii="仿宋_GB2312" w:eastAsia="仿宋_GB2312"/>
          <w:color w:val="000000"/>
          <w:sz w:val="32"/>
          <w:szCs w:val="32"/>
          <w:highlight w:val="none"/>
        </w:rPr>
        <w:t>运行经费支出</w:t>
      </w:r>
      <w:r>
        <w:rPr>
          <w:rFonts w:hint="eastAsia" w:ascii="仿宋_GB2312"/>
          <w:color w:val="000000"/>
          <w:sz w:val="32"/>
          <w:szCs w:val="32"/>
          <w:highlight w:val="none"/>
          <w:lang w:val="en-US" w:eastAsia="zh-CN"/>
        </w:rPr>
        <w:t>263.68</w:t>
      </w:r>
      <w:r>
        <w:rPr>
          <w:rFonts w:hint="eastAsia" w:ascii="仿宋_GB2312" w:eastAsia="仿宋_GB2312"/>
          <w:color w:val="000000"/>
          <w:sz w:val="32"/>
          <w:szCs w:val="32"/>
          <w:highlight w:val="none"/>
        </w:rPr>
        <w:t>万元，比</w:t>
      </w:r>
      <w:r>
        <w:rPr>
          <w:rFonts w:ascii="仿宋_GB2312" w:eastAsia="仿宋_GB2312"/>
          <w:color w:val="000000"/>
          <w:sz w:val="32"/>
          <w:szCs w:val="32"/>
          <w:highlight w:val="none"/>
        </w:rPr>
        <w:t>2019</w:t>
      </w:r>
      <w:r>
        <w:rPr>
          <w:rFonts w:hint="eastAsia" w:ascii="仿宋_GB2312" w:eastAsia="仿宋_GB2312"/>
          <w:color w:val="000000"/>
          <w:sz w:val="32"/>
          <w:szCs w:val="32"/>
          <w:highlight w:val="none"/>
        </w:rPr>
        <w:t>年减少</w:t>
      </w:r>
      <w:r>
        <w:rPr>
          <w:rFonts w:hint="eastAsia" w:ascii="仿宋_GB2312"/>
          <w:color w:val="000000"/>
          <w:sz w:val="32"/>
          <w:szCs w:val="32"/>
          <w:highlight w:val="none"/>
          <w:lang w:val="en-US" w:eastAsia="zh-CN"/>
        </w:rPr>
        <w:t>136.17</w:t>
      </w:r>
      <w:r>
        <w:rPr>
          <w:rFonts w:hint="eastAsia" w:ascii="仿宋_GB2312" w:eastAsia="仿宋_GB2312"/>
          <w:color w:val="000000"/>
          <w:sz w:val="32"/>
          <w:szCs w:val="32"/>
          <w:highlight w:val="none"/>
        </w:rPr>
        <w:t>万元，下降</w:t>
      </w:r>
      <w:r>
        <w:rPr>
          <w:rFonts w:hint="eastAsia" w:ascii="仿宋_GB2312"/>
          <w:color w:val="000000"/>
          <w:sz w:val="32"/>
          <w:szCs w:val="32"/>
          <w:highlight w:val="none"/>
          <w:lang w:val="en-US" w:eastAsia="zh-CN"/>
        </w:rPr>
        <w:t>34.06</w:t>
      </w:r>
      <w:r>
        <w:rPr>
          <w:rFonts w:ascii="仿宋_GB2312" w:eastAsia="仿宋_GB2312"/>
          <w:color w:val="000000"/>
          <w:sz w:val="32"/>
          <w:szCs w:val="32"/>
          <w:highlight w:val="none"/>
        </w:rPr>
        <w:t>%</w:t>
      </w:r>
      <w:r>
        <w:rPr>
          <w:rFonts w:hint="eastAsia" w:ascii="仿宋_GB2312"/>
          <w:color w:val="000000"/>
          <w:sz w:val="32"/>
          <w:szCs w:val="32"/>
          <w:highlight w:val="none"/>
          <w:lang w:eastAsia="zh-CN"/>
        </w:rPr>
        <w:t>。</w:t>
      </w:r>
      <w:r>
        <w:rPr>
          <w:rFonts w:hint="eastAsia" w:ascii="仿宋_GB2312" w:eastAsia="仿宋_GB2312"/>
          <w:color w:val="000000"/>
          <w:sz w:val="32"/>
          <w:szCs w:val="32"/>
          <w:highlight w:val="none"/>
        </w:rPr>
        <w:t>主要原因是</w:t>
      </w:r>
      <w:r>
        <w:rPr>
          <w:rFonts w:hint="eastAsia" w:ascii="仿宋_GB2312"/>
          <w:color w:val="000000"/>
          <w:sz w:val="32"/>
          <w:szCs w:val="32"/>
          <w:highlight w:val="none"/>
          <w:lang w:val="en-US" w:eastAsia="zh-CN"/>
        </w:rPr>
        <w:t>加强了管理。</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7" w:name="_Toc15377223"/>
      <w:r>
        <w:rPr>
          <w:rFonts w:hint="eastAsia" w:ascii="仿宋" w:hAnsi="仿宋" w:eastAsia="仿宋"/>
          <w:b/>
          <w:color w:val="000000"/>
          <w:sz w:val="32"/>
          <w:szCs w:val="32"/>
        </w:rPr>
        <w:t>（二）政府采购支出情况</w:t>
      </w:r>
      <w:bookmarkEnd w:id="57"/>
    </w:p>
    <w:p>
      <w:pPr>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2020年，</w:t>
      </w:r>
      <w:r>
        <w:rPr>
          <w:rFonts w:hint="eastAsia" w:ascii="仿宋" w:hAnsi="仿宋" w:eastAsia="仿宋" w:cs="仿宋"/>
          <w:color w:val="000000"/>
          <w:sz w:val="32"/>
          <w:szCs w:val="32"/>
          <w:highlight w:val="none"/>
          <w:lang w:val="en-US" w:eastAsia="zh-CN"/>
        </w:rPr>
        <w:t>舒坪街道办事处</w:t>
      </w:r>
      <w:r>
        <w:rPr>
          <w:rFonts w:hint="eastAsia" w:ascii="仿宋" w:hAnsi="仿宋" w:eastAsia="仿宋" w:cs="仿宋"/>
          <w:color w:val="000000"/>
          <w:sz w:val="32"/>
          <w:szCs w:val="32"/>
          <w:highlight w:val="none"/>
        </w:rPr>
        <w:t>政府采购支出总额</w:t>
      </w:r>
      <w:r>
        <w:rPr>
          <w:rFonts w:hint="eastAsia" w:ascii="仿宋" w:hAnsi="仿宋" w:eastAsia="仿宋" w:cs="仿宋"/>
          <w:color w:val="000000"/>
          <w:sz w:val="32"/>
          <w:szCs w:val="32"/>
          <w:highlight w:val="none"/>
          <w:lang w:val="en-US" w:eastAsia="zh-CN"/>
        </w:rPr>
        <w:t>17.24</w:t>
      </w:r>
      <w:r>
        <w:rPr>
          <w:rFonts w:hint="eastAsia" w:ascii="仿宋" w:hAnsi="仿宋" w:eastAsia="仿宋" w:cs="仿宋"/>
          <w:color w:val="000000"/>
          <w:sz w:val="32"/>
          <w:szCs w:val="32"/>
          <w:highlight w:val="none"/>
        </w:rPr>
        <w:t>万元，其中：政府采购货物支出</w:t>
      </w:r>
      <w:r>
        <w:rPr>
          <w:rFonts w:hint="eastAsia" w:ascii="仿宋" w:hAnsi="仿宋" w:eastAsia="仿宋" w:cs="仿宋"/>
          <w:color w:val="000000"/>
          <w:sz w:val="32"/>
          <w:szCs w:val="32"/>
          <w:highlight w:val="none"/>
          <w:lang w:val="en-US" w:eastAsia="zh-CN"/>
        </w:rPr>
        <w:t>1.06</w:t>
      </w:r>
      <w:r>
        <w:rPr>
          <w:rFonts w:hint="eastAsia" w:ascii="仿宋" w:hAnsi="仿宋" w:eastAsia="仿宋" w:cs="仿宋"/>
          <w:color w:val="000000"/>
          <w:sz w:val="32"/>
          <w:szCs w:val="32"/>
          <w:highlight w:val="none"/>
        </w:rPr>
        <w:t>万元、政府采购工程支出</w:t>
      </w:r>
      <w:r>
        <w:rPr>
          <w:rFonts w:hint="eastAsia" w:ascii="仿宋" w:hAnsi="仿宋" w:eastAsia="仿宋" w:cs="仿宋"/>
          <w:color w:val="000000"/>
          <w:sz w:val="32"/>
          <w:szCs w:val="32"/>
          <w:highlight w:val="none"/>
          <w:lang w:val="en-US" w:eastAsia="zh-CN"/>
        </w:rPr>
        <w:t>16.18</w:t>
      </w:r>
      <w:r>
        <w:rPr>
          <w:rFonts w:hint="eastAsia" w:ascii="仿宋" w:hAnsi="仿宋" w:eastAsia="仿宋" w:cs="仿宋"/>
          <w:color w:val="000000"/>
          <w:sz w:val="32"/>
          <w:szCs w:val="32"/>
          <w:highlight w:val="none"/>
        </w:rPr>
        <w:t>万元、政府采购服务支出</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万元。主要用于</w:t>
      </w:r>
      <w:r>
        <w:rPr>
          <w:rFonts w:hint="eastAsia" w:ascii="仿宋" w:hAnsi="仿宋" w:eastAsia="仿宋" w:cs="仿宋"/>
          <w:color w:val="000000"/>
          <w:sz w:val="32"/>
          <w:szCs w:val="32"/>
          <w:highlight w:val="none"/>
          <w:lang w:val="en-US" w:eastAsia="zh-CN"/>
        </w:rPr>
        <w:t>日常采购办公电脑、打印机等设备、办公环境改造维护。</w:t>
      </w:r>
      <w:r>
        <w:rPr>
          <w:rFonts w:hint="eastAsia" w:ascii="仿宋" w:hAnsi="仿宋" w:eastAsia="仿宋" w:cs="仿宋"/>
          <w:color w:val="000000"/>
          <w:sz w:val="32"/>
          <w:szCs w:val="32"/>
          <w:highlight w:val="none"/>
        </w:rPr>
        <w:t>授予中小企业合同金额</w:t>
      </w:r>
      <w:r>
        <w:rPr>
          <w:rFonts w:hint="eastAsia" w:ascii="仿宋" w:hAnsi="仿宋" w:eastAsia="仿宋" w:cs="仿宋"/>
          <w:color w:val="000000"/>
          <w:sz w:val="32"/>
          <w:szCs w:val="32"/>
          <w:highlight w:val="none"/>
          <w:lang w:val="en-US" w:eastAsia="zh-CN"/>
        </w:rPr>
        <w:t>16.18</w:t>
      </w:r>
      <w:r>
        <w:rPr>
          <w:rFonts w:hint="eastAsia" w:ascii="仿宋" w:hAnsi="仿宋" w:eastAsia="仿宋" w:cs="仿宋"/>
          <w:color w:val="000000"/>
          <w:sz w:val="32"/>
          <w:szCs w:val="32"/>
          <w:highlight w:val="none"/>
        </w:rPr>
        <w:t>万元，占政府采购支出总额的</w:t>
      </w:r>
      <w:r>
        <w:rPr>
          <w:rFonts w:hint="eastAsia" w:ascii="仿宋" w:hAnsi="仿宋" w:eastAsia="仿宋" w:cs="仿宋"/>
          <w:color w:val="000000"/>
          <w:sz w:val="32"/>
          <w:szCs w:val="32"/>
          <w:highlight w:val="none"/>
          <w:lang w:val="en-US" w:eastAsia="zh-CN"/>
        </w:rPr>
        <w:t>93.85</w:t>
      </w:r>
      <w:r>
        <w:rPr>
          <w:rFonts w:hint="eastAsia" w:ascii="仿宋" w:hAnsi="仿宋" w:eastAsia="仿宋" w:cs="仿宋"/>
          <w:color w:val="000000"/>
          <w:sz w:val="32"/>
          <w:szCs w:val="32"/>
          <w:highlight w:val="none"/>
        </w:rPr>
        <w:t>%，其中：授予小微企业合同金额</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万元，占政府采购支出总额的</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8" w:name="_Toc15377224"/>
      <w:r>
        <w:rPr>
          <w:rFonts w:hint="eastAsia" w:ascii="仿宋" w:hAnsi="仿宋" w:eastAsia="仿宋"/>
          <w:b/>
          <w:color w:val="000000"/>
          <w:sz w:val="32"/>
          <w:szCs w:val="32"/>
        </w:rPr>
        <w:t>（三）国有资产占有使用情况</w:t>
      </w:r>
      <w:bookmarkEnd w:id="58"/>
    </w:p>
    <w:p>
      <w:pPr>
        <w:autoSpaceDE w:val="0"/>
        <w:autoSpaceDN w:val="0"/>
        <w:adjustRightInd w:val="0"/>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截至2020年12月31日，</w:t>
      </w:r>
      <w:r>
        <w:rPr>
          <w:rFonts w:hint="eastAsia" w:ascii="仿宋" w:hAnsi="仿宋" w:eastAsia="仿宋" w:cs="仿宋"/>
          <w:color w:val="000000"/>
          <w:sz w:val="32"/>
          <w:szCs w:val="32"/>
          <w:highlight w:val="none"/>
          <w:lang w:val="en-US" w:eastAsia="zh-CN"/>
        </w:rPr>
        <w:t>舒坪街道办事处</w:t>
      </w:r>
      <w:r>
        <w:rPr>
          <w:rFonts w:hint="eastAsia" w:ascii="仿宋" w:hAnsi="仿宋" w:eastAsia="仿宋" w:cs="仿宋"/>
          <w:color w:val="000000"/>
          <w:sz w:val="32"/>
          <w:szCs w:val="32"/>
          <w:highlight w:val="none"/>
        </w:rPr>
        <w:t>共有车辆</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rPr>
        <w:t>辆，</w:t>
      </w:r>
      <w:r>
        <w:rPr>
          <w:rFonts w:hint="eastAsia" w:ascii="仿宋" w:hAnsi="仿宋" w:eastAsia="仿宋" w:cs="仿宋"/>
          <w:color w:val="000000"/>
          <w:sz w:val="32"/>
          <w:szCs w:val="32"/>
        </w:rPr>
        <w:t>其中：主要领导干部用车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辆、机要通信用车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辆、应急保障用车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辆、其他用车</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其他用车主要是用于</w:t>
      </w:r>
      <w:r>
        <w:rPr>
          <w:rFonts w:hint="eastAsia" w:ascii="仿宋" w:hAnsi="仿宋" w:eastAsia="仿宋" w:cs="仿宋"/>
          <w:color w:val="000000"/>
          <w:sz w:val="32"/>
          <w:szCs w:val="32"/>
          <w:lang w:val="en-US" w:eastAsia="zh-CN"/>
        </w:rPr>
        <w:t>一般公务用车1辆、其他用车1辆（环卫洒水车）。</w:t>
      </w:r>
      <w:r>
        <w:rPr>
          <w:rFonts w:hint="eastAsia" w:ascii="仿宋" w:hAnsi="仿宋" w:eastAsia="仿宋" w:cs="仿宋"/>
          <w:color w:val="000000"/>
          <w:sz w:val="32"/>
          <w:szCs w:val="32"/>
        </w:rPr>
        <w:t>单价50万元以上通用设备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台（套），单价100万元以上专用设备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根据预算绩效管理要求，本部门（单位）在年初预算编制阶段，组织对</w:t>
      </w:r>
      <w:r>
        <w:rPr>
          <w:rFonts w:hint="eastAsia" w:ascii="仿宋" w:hAnsi="仿宋" w:eastAsia="仿宋" w:cs="仿宋"/>
          <w:sz w:val="32"/>
          <w:szCs w:val="32"/>
          <w:lang w:val="en-US" w:eastAsia="zh-CN"/>
        </w:rPr>
        <w:t>部门整体绩效、部门整体任务</w:t>
      </w:r>
      <w:r>
        <w:rPr>
          <w:rFonts w:hint="eastAsia" w:ascii="仿宋" w:hAnsi="仿宋" w:eastAsia="仿宋" w:cs="仿宋"/>
          <w:sz w:val="32"/>
          <w:szCs w:val="32"/>
        </w:rPr>
        <w:t>开展了预算事前绩效评估，编制了绩效目标，预算执行过程中，开展绩效监控，年终执行完毕后，开展了绩效目标完成情况自评。</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本部门按要求对2020年部门整体支出开展绩效自评，从评价情况来看</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总体</w:t>
      </w:r>
      <w:r>
        <w:rPr>
          <w:rFonts w:hint="eastAsia" w:ascii="仿宋" w:hAnsi="仿宋" w:eastAsia="仿宋" w:cs="仿宋"/>
          <w:sz w:val="32"/>
          <w:szCs w:val="32"/>
        </w:rPr>
        <w:t>目标、群众满意度、时效、质量等指标完成情况为100%，极大改善群众生活环境，提升群众安全感、幸福感。本部门无</w:t>
      </w:r>
      <w:r>
        <w:rPr>
          <w:rFonts w:hint="eastAsia" w:ascii="仿宋" w:hAnsi="仿宋" w:eastAsia="仿宋" w:cs="仿宋"/>
          <w:sz w:val="32"/>
          <w:szCs w:val="32"/>
          <w:lang w:val="en-US" w:eastAsia="zh-CN"/>
        </w:rPr>
        <w:t>专项</w:t>
      </w:r>
      <w:r>
        <w:rPr>
          <w:rFonts w:hint="eastAsia" w:ascii="仿宋" w:hAnsi="仿宋" w:eastAsia="仿宋" w:cs="仿宋"/>
          <w:sz w:val="32"/>
          <w:szCs w:val="32"/>
        </w:rPr>
        <w:t>预算项目，因此未组织开展项目支出绩效评价。</w:t>
      </w:r>
    </w:p>
    <w:p>
      <w:pPr>
        <w:numPr>
          <w:ilvl w:val="0"/>
          <w:numId w:val="3"/>
        </w:numPr>
        <w:spacing w:line="58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项目绩效目标完成情况。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本部门在</w:t>
      </w:r>
      <w:r>
        <w:rPr>
          <w:rFonts w:ascii="仿宋_GB2312" w:hAnsi="仿宋_GB2312" w:eastAsia="仿宋_GB2312" w:cs="仿宋_GB2312"/>
          <w:sz w:val="32"/>
          <w:szCs w:val="32"/>
          <w:highlight w:val="none"/>
        </w:rPr>
        <w:t>2020</w:t>
      </w:r>
      <w:r>
        <w:rPr>
          <w:rFonts w:hint="eastAsia" w:ascii="仿宋_GB2312" w:hAnsi="仿宋_GB2312" w:eastAsia="仿宋_GB2312" w:cs="仿宋_GB2312"/>
          <w:sz w:val="32"/>
          <w:szCs w:val="32"/>
          <w:highlight w:val="none"/>
        </w:rPr>
        <w:t>年度部门决算中反映</w:t>
      </w:r>
      <w:r>
        <w:rPr>
          <w:rFonts w:hint="eastAsia" w:ascii="仿宋_GB2312" w:hAnsi="仿宋_GB2312" w:cs="仿宋_GB2312"/>
          <w:sz w:val="32"/>
          <w:szCs w:val="32"/>
          <w:highlight w:val="none"/>
          <w:lang w:val="en-US" w:eastAsia="zh-CN"/>
        </w:rPr>
        <w:t>“基层政权建设和社区治理”、“水体”、“对村级一事一议的补助”、“城市基础设施配套费安排的支出”、“其他政府性基金及对应专项债务收入安排的支出”等5个</w:t>
      </w:r>
      <w:r>
        <w:rPr>
          <w:rFonts w:hint="eastAsia" w:ascii="仿宋_GB2312" w:hAnsi="仿宋_GB2312" w:eastAsia="仿宋_GB2312" w:cs="仿宋_GB2312"/>
          <w:sz w:val="32"/>
          <w:szCs w:val="32"/>
          <w:highlight w:val="none"/>
        </w:rPr>
        <w:t>实际完成情况。</w:t>
      </w:r>
    </w:p>
    <w:p>
      <w:pPr>
        <w:numPr>
          <w:ilvl w:val="0"/>
          <w:numId w:val="4"/>
        </w:num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cs="仿宋_GB2312"/>
          <w:sz w:val="32"/>
          <w:szCs w:val="32"/>
          <w:highlight w:val="none"/>
          <w:lang w:val="en-US" w:eastAsia="zh-CN"/>
        </w:rPr>
        <w:t>“基层政权建设和社区治理”</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47.7</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47.7</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顺利完成2020年基层政权建设和社区治理工作。</w:t>
      </w:r>
    </w:p>
    <w:p>
      <w:pPr>
        <w:numPr>
          <w:ilvl w:val="0"/>
          <w:numId w:val="0"/>
        </w:numPr>
        <w:spacing w:line="58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“水体”</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保障了农村生活污水治理“千村示范”工程的实施。</w:t>
      </w:r>
    </w:p>
    <w:p>
      <w:pPr>
        <w:spacing w:line="58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“对村级一事一议的补助”</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保障一事一议的顺利开展。</w:t>
      </w:r>
    </w:p>
    <w:p>
      <w:pPr>
        <w:spacing w:line="58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“城市基础设施配套费安排的支出”</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保障了城市基础设施配套的顺利开展。</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“其他政府性基金及对应专项债务收入安排的支出”</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3000</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3000</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 xml:space="preserve">保障征地拆迁的相关工作。 </w:t>
      </w:r>
      <w:r>
        <w:rPr>
          <w:rFonts w:hint="eastAsia" w:ascii="仿宋_GB2312" w:hAnsi="仿宋_GB2312" w:cs="仿宋_GB2312"/>
          <w:sz w:val="32"/>
          <w:szCs w:val="32"/>
          <w:lang w:val="en-US" w:eastAsia="zh-CN"/>
        </w:rPr>
        <w:t xml:space="preserve">   </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xml:space="preserve">              </w:t>
      </w: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基层政权建设和社区治理</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保障完成基层政权建设和社区治理相关工作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lang w:val="en-US" w:eastAsia="zh-CN"/>
              </w:rPr>
            </w:pPr>
          </w:p>
          <w:p>
            <w:pPr>
              <w:widowControl/>
              <w:jc w:val="center"/>
              <w:textAlignment w:val="center"/>
              <w:rPr>
                <w:rFonts w:hint="eastAsia" w:ascii="宋体" w:cs="宋体"/>
                <w:color w:val="000000"/>
                <w:sz w:val="24"/>
                <w:lang w:val="en-US" w:eastAsia="zh-CN"/>
              </w:rPr>
            </w:pPr>
            <w:r>
              <w:rPr>
                <w:rFonts w:hint="eastAsia" w:ascii="宋体" w:cs="宋体"/>
                <w:color w:val="000000"/>
                <w:sz w:val="24"/>
                <w:lang w:val="en-US" w:eastAsia="zh-CN"/>
              </w:rPr>
              <w:t>完成2020年基层政权建设和社区治理工作</w:t>
            </w:r>
          </w:p>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top w:val="single" w:color="auto"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质量指标</w:t>
            </w:r>
          </w:p>
        </w:tc>
        <w:tc>
          <w:tcPr>
            <w:tcW w:w="2392"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基层组织和公共服务运行质量</w:t>
            </w:r>
          </w:p>
        </w:tc>
        <w:tc>
          <w:tcPr>
            <w:tcW w:w="2394"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rPr>
              <w:t>符合上级部门要求</w:t>
            </w:r>
          </w:p>
        </w:tc>
        <w:tc>
          <w:tcPr>
            <w:tcW w:w="2392"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完成当年相关工作</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在规定时间完成工作</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2020年底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规定时间完成了工作</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ab/>
            </w:r>
            <w:r>
              <w:rPr>
                <w:rFonts w:hint="eastAsia" w:ascii="宋体" w:cs="宋体"/>
                <w:color w:val="000000"/>
                <w:sz w:val="24"/>
                <w:lang w:val="en-US" w:eastAsia="zh-CN"/>
              </w:rPr>
              <w:t>保障基政权建设和社区治理知晓率</w:t>
            </w:r>
            <w:r>
              <w:rPr>
                <w:rFonts w:hint="eastAsia" w:ascii="宋体" w:cs="宋体"/>
                <w:color w:val="000000"/>
                <w:sz w:val="24"/>
                <w:lang w:val="en-US" w:eastAsia="zh-CN"/>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基层群众满意度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社区群众满意度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bl>
    <w:p>
      <w:pPr>
        <w:spacing w:line="580" w:lineRule="exact"/>
        <w:ind w:left="630"/>
        <w:rPr>
          <w:rFonts w:ascii="仿宋_GB2312" w:hAnsi="仿宋_GB2312" w:eastAsia="仿宋_GB2312" w:cs="仿宋_GB2312"/>
          <w:sz w:val="32"/>
          <w:szCs w:val="32"/>
        </w:rPr>
      </w:pPr>
    </w:p>
    <w:p>
      <w:pPr>
        <w:pStyle w:val="2"/>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水体</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left"/>
              <w:textAlignment w:val="center"/>
              <w:rPr>
                <w:rFonts w:hint="eastAsia" w:ascii="宋体" w:eastAsia="仿宋_GB2312" w:cs="宋体"/>
                <w:color w:val="000000"/>
                <w:sz w:val="24"/>
                <w:lang w:val="en-US" w:eastAsia="zh-CN"/>
              </w:rPr>
            </w:pPr>
            <w:r>
              <w:rPr>
                <w:rFonts w:hint="eastAsia" w:ascii="宋体" w:cs="宋体"/>
                <w:color w:val="000000"/>
                <w:sz w:val="24"/>
              </w:rPr>
              <w:t>通过开展农村生活污水整治，改善农村生活污水处理情况，进一步提升水生态系统自净能力，保障水资源环境安全</w:t>
            </w:r>
            <w:r>
              <w:rPr>
                <w:rFonts w:hint="eastAsia" w:ascii="宋体" w:cs="宋体"/>
                <w:color w:val="000000"/>
                <w:sz w:val="24"/>
                <w:lang w:eastAsia="zh-CN"/>
              </w:rPr>
              <w:t>。</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宋体" w:eastAsia="仿宋_GB2312" w:cs="宋体"/>
                <w:color w:val="000000"/>
                <w:sz w:val="24"/>
                <w:lang w:val="en-US" w:eastAsia="zh-CN"/>
              </w:rPr>
            </w:pPr>
            <w:r>
              <w:rPr>
                <w:rFonts w:hint="eastAsia" w:ascii="宋体" w:cs="宋体"/>
                <w:color w:val="000000"/>
                <w:sz w:val="24"/>
              </w:rPr>
              <w:t>改善农村生活污水处理情况，进一步提升水生态系统自净能力，保障水资源环境安全</w:t>
            </w:r>
            <w:r>
              <w:rPr>
                <w:rFonts w:hint="eastAsia" w:ascii="宋体" w:cs="宋体"/>
                <w:color w:val="000000"/>
                <w:sz w:val="24"/>
                <w:lang w:eastAsia="zh-CN"/>
              </w:rPr>
              <w:t>。</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ab/>
            </w:r>
            <w:r>
              <w:rPr>
                <w:rFonts w:hint="eastAsia" w:ascii="宋体" w:cs="宋体"/>
                <w:color w:val="000000"/>
                <w:sz w:val="24"/>
                <w:lang w:val="en-US" w:eastAsia="zh-CN"/>
              </w:rPr>
              <w:t>项目工作质量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做好</w:t>
            </w:r>
            <w:r>
              <w:rPr>
                <w:rFonts w:hint="eastAsia" w:ascii="宋体" w:cs="宋体"/>
                <w:color w:val="000000"/>
                <w:sz w:val="24"/>
                <w:lang w:val="en-US" w:eastAsia="zh-CN"/>
              </w:rPr>
              <w:t>技术指导，日常运行维护</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顺利完成相关工作，并做好了技术指导，日常运行</w:t>
            </w:r>
            <w:r>
              <w:rPr>
                <w:rFonts w:hint="eastAsia" w:ascii="宋体" w:cs="宋体"/>
                <w:color w:val="000000"/>
                <w:sz w:val="24"/>
              </w:rPr>
              <w:t>维护</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项目支出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项目支出预算25万元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实际支付25万元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ab/>
            </w:r>
            <w:r>
              <w:rPr>
                <w:rFonts w:hint="eastAsia" w:ascii="宋体" w:cs="宋体"/>
                <w:color w:val="000000"/>
                <w:sz w:val="24"/>
                <w:lang w:val="en-US" w:eastAsia="zh-CN"/>
              </w:rPr>
              <w:t>良好的环境效益和社会效益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对扩大内需发挥积极作用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0"/>
                <w:sz w:val="24"/>
                <w:szCs w:val="24"/>
                <w:lang w:val="en-US" w:eastAsia="zh-CN"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农村居民满意度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cs="宋体"/>
                <w:b/>
                <w:bCs/>
                <w:color w:val="000000"/>
                <w:kern w:val="0"/>
                <w:sz w:val="36"/>
                <w:szCs w:val="36"/>
                <w:lang w:bidi="ar"/>
              </w:rPr>
            </w:pPr>
          </w:p>
          <w:p>
            <w:pPr>
              <w:pStyle w:val="2"/>
              <w:rPr>
                <w:rFonts w:hint="eastAsia" w:ascii="宋体" w:hAnsi="宋体" w:cs="宋体"/>
                <w:b/>
                <w:bCs/>
                <w:color w:val="000000"/>
                <w:kern w:val="0"/>
                <w:sz w:val="36"/>
                <w:szCs w:val="36"/>
                <w:lang w:bidi="ar"/>
              </w:rPr>
            </w:pPr>
          </w:p>
          <w:p>
            <w:pPr>
              <w:pStyle w:val="2"/>
              <w:rPr>
                <w:rFonts w:hint="eastAsia" w:ascii="宋体" w:hAnsi="宋体" w:cs="宋体"/>
                <w:b/>
                <w:bCs/>
                <w:color w:val="000000"/>
                <w:kern w:val="0"/>
                <w:sz w:val="36"/>
                <w:szCs w:val="36"/>
                <w:lang w:bidi="ar"/>
              </w:rPr>
            </w:pPr>
          </w:p>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对村级一事一议的补助</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152"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90"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做好村级一事一议补助的工作。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做好村级一事一议补助的工作</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ab/>
            </w:r>
            <w:r>
              <w:rPr>
                <w:rFonts w:hint="eastAsia" w:ascii="宋体" w:cs="宋体"/>
                <w:color w:val="000000"/>
                <w:sz w:val="24"/>
                <w:lang w:val="en-US" w:eastAsia="zh-CN"/>
              </w:rPr>
              <w:t>工作完成时间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2020年底</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项目支出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项目支出不超过20万元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实际支付20万元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服务面覆盖</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0"/>
                <w:sz w:val="24"/>
                <w:szCs w:val="24"/>
                <w:lang w:val="en-US" w:eastAsia="zh-CN"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辖区内群众满意度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bl>
    <w:p>
      <w:pPr>
        <w:pStyle w:val="2"/>
        <w:rPr>
          <w:rFonts w:ascii="仿宋_GB2312" w:hAnsi="仿宋_GB2312" w:eastAsia="仿宋_GB2312" w:cs="仿宋_GB2312"/>
          <w:sz w:val="32"/>
          <w:szCs w:val="32"/>
        </w:rPr>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其他城市基础设施配套费安排的支出</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做好城市基础设施配套工作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eastAsia" w:ascii="宋体" w:cs="宋体"/>
                <w:color w:val="000000"/>
                <w:sz w:val="24"/>
                <w:lang w:val="en-US" w:eastAsia="zh-CN"/>
              </w:rPr>
            </w:pPr>
          </w:p>
          <w:p>
            <w:pPr>
              <w:widowControl/>
              <w:numPr>
                <w:ilvl w:val="0"/>
                <w:numId w:val="0"/>
              </w:numPr>
              <w:jc w:val="center"/>
              <w:textAlignment w:val="center"/>
              <w:rPr>
                <w:rFonts w:hint="default" w:ascii="宋体" w:cs="宋体"/>
                <w:color w:val="000000"/>
                <w:sz w:val="24"/>
                <w:lang w:val="en-US" w:eastAsia="zh-CN"/>
              </w:rPr>
            </w:pPr>
            <w:r>
              <w:rPr>
                <w:rFonts w:hint="eastAsia" w:ascii="宋体" w:cs="宋体"/>
                <w:color w:val="000000"/>
                <w:sz w:val="24"/>
                <w:lang w:val="en-US" w:eastAsia="zh-CN"/>
              </w:rPr>
              <w:t>保障了城市基础设施配套的顺利开展</w:t>
            </w:r>
          </w:p>
          <w:p>
            <w:pPr>
              <w:widowControl/>
              <w:jc w:val="center"/>
              <w:textAlignment w:val="center"/>
              <w:rPr>
                <w:rFonts w:hint="default" w:ascii="宋体" w:eastAsia="仿宋_GB2312" w:cs="宋体"/>
                <w:color w:val="000000"/>
                <w:sz w:val="24"/>
                <w:lang w:val="en-US" w:eastAsia="zh-CN"/>
              </w:rPr>
            </w:pP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ab/>
            </w:r>
            <w:r>
              <w:rPr>
                <w:rFonts w:hint="eastAsia" w:ascii="宋体" w:cs="宋体"/>
                <w:color w:val="000000"/>
                <w:sz w:val="24"/>
                <w:lang w:val="en-US" w:eastAsia="zh-CN"/>
              </w:rPr>
              <w:t>工作完成时间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2020年底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2020年底</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项目支出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项目支出不超过20万元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实际支付20万元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做好城市基础设施配套设施宣传效率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≥100%</w:t>
            </w:r>
          </w:p>
        </w:tc>
      </w:tr>
    </w:tbl>
    <w:p>
      <w:pPr>
        <w:pStyle w:val="2"/>
        <w:rPr>
          <w:rFonts w:ascii="仿宋_GB2312" w:hAnsi="仿宋_GB2312" w:eastAsia="仿宋_GB2312" w:cs="仿宋_GB2312"/>
          <w:sz w:val="32"/>
          <w:szCs w:val="32"/>
        </w:rPr>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其他地方自行试点项目收益专项债券收入安排的支出</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default" w:ascii="宋体" w:eastAsia="仿宋_GB2312" w:cs="宋体"/>
                <w:color w:val="000000"/>
                <w:sz w:val="24"/>
                <w:highlight w:val="yellow"/>
                <w:lang w:val="en-US" w:eastAsia="zh-CN"/>
              </w:rPr>
            </w:pPr>
            <w:r>
              <w:rPr>
                <w:rFonts w:hint="eastAsia" w:ascii="宋体" w:cs="宋体"/>
                <w:color w:val="000000"/>
                <w:sz w:val="24"/>
                <w:highlight w:val="none"/>
              </w:rPr>
              <w:t>保障</w:t>
            </w:r>
            <w:r>
              <w:rPr>
                <w:rFonts w:hint="eastAsia" w:ascii="宋体" w:cs="宋体"/>
                <w:color w:val="000000"/>
                <w:sz w:val="24"/>
                <w:highlight w:val="none"/>
                <w:lang w:val="en-US" w:eastAsia="zh-CN"/>
              </w:rPr>
              <w:t>征地拆迁相关开支</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yellow"/>
                <w:lang w:val="en-US" w:eastAsia="zh-CN"/>
              </w:rPr>
            </w:pPr>
            <w:r>
              <w:rPr>
                <w:rFonts w:hint="eastAsia" w:ascii="宋体" w:cs="宋体"/>
                <w:color w:val="000000"/>
                <w:sz w:val="24"/>
                <w:highlight w:val="none"/>
              </w:rPr>
              <w:t>保障</w:t>
            </w:r>
            <w:r>
              <w:rPr>
                <w:rFonts w:hint="eastAsia" w:ascii="宋体" w:cs="宋体"/>
                <w:color w:val="000000"/>
                <w:sz w:val="24"/>
                <w:highlight w:val="none"/>
                <w:lang w:val="en-US" w:eastAsia="zh-CN"/>
              </w:rPr>
              <w:t>征地拆迁相关开支</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hAnsi="宋体" w:cs="宋体"/>
                <w:color w:val="000000"/>
                <w:kern w:val="0"/>
                <w:sz w:val="24"/>
                <w:highlight w:val="none"/>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cs="宋体"/>
                <w:color w:val="000000"/>
                <w:sz w:val="24"/>
                <w:highlight w:val="none"/>
              </w:rPr>
              <w:tab/>
            </w:r>
            <w:r>
              <w:rPr>
                <w:rFonts w:hint="eastAsia" w:ascii="宋体" w:cs="宋体"/>
                <w:color w:val="000000"/>
                <w:sz w:val="24"/>
                <w:highlight w:val="none"/>
                <w:lang w:val="en-US" w:eastAsia="zh-CN"/>
              </w:rPr>
              <w:t>项目工作质量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保障征地拆迁工作</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保障征地拆迁工作</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促进社会的安定团结推动和谐社会的建设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highlight w:val="none"/>
                <w:lang w:val="en-US"/>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highlight w:val="none"/>
                <w:lang w:val="en-US"/>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hAnsi="宋体" w:cs="宋体"/>
                <w:color w:val="000000"/>
                <w:kern w:val="0"/>
                <w:sz w:val="24"/>
                <w:highlight w:val="none"/>
                <w:lang w:val="en-US" w:eastAsia="zh-CN" w:bidi="ar"/>
              </w:rPr>
              <w:t>效益</w:t>
            </w:r>
            <w:r>
              <w:rPr>
                <w:rFonts w:hint="eastAsia" w:ascii="宋体" w:hAnsi="宋体" w:cs="宋体"/>
                <w:color w:val="000000"/>
                <w:kern w:val="0"/>
                <w:sz w:val="24"/>
                <w:highlight w:val="none"/>
                <w:lang w:bidi="ar"/>
              </w:rPr>
              <w:t>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改善当地群众的居住条件和环境，提高该 片区居民生活质量</w:t>
            </w:r>
            <w:r>
              <w:rPr>
                <w:rFonts w:hint="eastAsia" w:ascii="宋体" w:cs="宋体"/>
                <w:color w:val="000000"/>
                <w:sz w:val="24"/>
                <w:highlight w:val="none"/>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0"/>
                <w:sz w:val="24"/>
                <w:szCs w:val="24"/>
                <w:highlight w:val="none"/>
                <w:lang w:val="en-US" w:eastAsia="zh-CN" w:bidi="ar"/>
              </w:rPr>
            </w:pPr>
            <w:r>
              <w:rPr>
                <w:rFonts w:hint="eastAsia" w:ascii="宋体" w:hAnsi="宋体" w:cs="宋体"/>
                <w:color w:val="000000"/>
                <w:kern w:val="0"/>
                <w:sz w:val="24"/>
                <w:highlight w:val="none"/>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辖区内群众满意度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≥100%</w:t>
            </w:r>
          </w:p>
        </w:tc>
      </w:tr>
    </w:tbl>
    <w:p>
      <w:pPr>
        <w:spacing w:line="580" w:lineRule="exact"/>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highlight w:val="none"/>
        </w:rPr>
      </w:pPr>
      <w:r>
        <w:rPr>
          <w:rFonts w:ascii="楷体_GB2312" w:hAnsi="楷体_GB2312" w:eastAsia="楷体_GB2312" w:cs="楷体_GB2312"/>
          <w:sz w:val="32"/>
          <w:szCs w:val="32"/>
          <w:highlight w:val="none"/>
        </w:rPr>
        <w:t>2.</w:t>
      </w:r>
      <w:r>
        <w:rPr>
          <w:rFonts w:hint="eastAsia" w:ascii="楷体_GB2312" w:hAnsi="楷体_GB2312" w:eastAsia="楷体_GB2312" w:cs="楷体_GB2312"/>
          <w:sz w:val="32"/>
          <w:szCs w:val="32"/>
          <w:highlight w:val="none"/>
        </w:rPr>
        <w:t>部门绩效评价结果。</w:t>
      </w:r>
    </w:p>
    <w:p>
      <w:pPr>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本部门按要求对2020年部门整体支出绩效评价情况开展自评，《</w:t>
      </w:r>
      <w:r>
        <w:rPr>
          <w:rFonts w:hint="eastAsia" w:ascii="仿宋" w:hAnsi="仿宋" w:eastAsia="仿宋" w:cs="仿宋"/>
          <w:sz w:val="32"/>
          <w:szCs w:val="32"/>
          <w:highlight w:val="none"/>
          <w:lang w:val="en-US" w:eastAsia="zh-CN"/>
        </w:rPr>
        <w:t>舒坪街道办事处</w:t>
      </w:r>
      <w:r>
        <w:rPr>
          <w:rFonts w:hint="eastAsia" w:ascii="仿宋" w:hAnsi="仿宋" w:eastAsia="仿宋" w:cs="仿宋"/>
          <w:sz w:val="32"/>
          <w:szCs w:val="32"/>
          <w:highlight w:val="none"/>
        </w:rPr>
        <w:t>部门2020年部门整体支出绩效评价报告》见附件（附件1）。</w:t>
      </w:r>
    </w:p>
    <w:p>
      <w:pPr>
        <w:spacing w:line="58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本部门</w:t>
      </w:r>
      <w:r>
        <w:rPr>
          <w:rFonts w:hint="eastAsia" w:ascii="仿宋" w:hAnsi="仿宋" w:eastAsia="仿宋" w:cs="仿宋"/>
          <w:sz w:val="32"/>
          <w:szCs w:val="32"/>
          <w:highlight w:val="none"/>
          <w:lang w:val="en-US" w:eastAsia="zh-CN"/>
        </w:rPr>
        <w:t>自行</w:t>
      </w:r>
      <w:r>
        <w:rPr>
          <w:rFonts w:hint="eastAsia" w:ascii="仿宋" w:hAnsi="仿宋" w:eastAsia="仿宋" w:cs="仿宋"/>
          <w:sz w:val="32"/>
          <w:szCs w:val="32"/>
          <w:highlight w:val="none"/>
        </w:rPr>
        <w:t>组织</w:t>
      </w:r>
      <w:r>
        <w:rPr>
          <w:rFonts w:hint="eastAsia" w:ascii="仿宋" w:hAnsi="仿宋" w:eastAsia="仿宋" w:cs="仿宋"/>
          <w:sz w:val="32"/>
          <w:szCs w:val="32"/>
          <w:highlight w:val="none"/>
          <w:lang w:val="en-US" w:eastAsia="zh-CN"/>
        </w:rPr>
        <w:t>对</w:t>
      </w:r>
      <w:r>
        <w:rPr>
          <w:rFonts w:hint="eastAsia" w:ascii="仿宋_GB2312" w:hAnsi="仿宋_GB2312" w:cs="仿宋_GB2312"/>
          <w:sz w:val="32"/>
          <w:szCs w:val="32"/>
          <w:highlight w:val="none"/>
          <w:lang w:val="en-US" w:eastAsia="zh-CN"/>
        </w:rPr>
        <w:t>“基层政权建设和社区治理”、“水体”、“对村级一事一议的补助”、“城市基础设施配套费安排的支出”、“其他政府性基金及对应专项债务收入安排的支出”</w:t>
      </w:r>
      <w:r>
        <w:rPr>
          <w:rFonts w:hint="eastAsia" w:ascii="仿宋" w:hAnsi="仿宋" w:eastAsia="仿宋" w:cs="仿宋"/>
          <w:sz w:val="32"/>
          <w:szCs w:val="32"/>
          <w:highlight w:val="none"/>
          <w:lang w:val="en-US" w:eastAsia="zh-CN"/>
        </w:rPr>
        <w:t>开展了项目绩效评价</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舒坪街道办事处水体-农村生活污水治理“千村师范工程”项目</w:t>
      </w:r>
      <w:r>
        <w:rPr>
          <w:rFonts w:hint="eastAsia" w:ascii="仿宋" w:hAnsi="仿宋" w:eastAsia="仿宋" w:cs="仿宋"/>
          <w:sz w:val="32"/>
          <w:szCs w:val="32"/>
          <w:highlight w:val="none"/>
        </w:rPr>
        <w:t>2020年绩效评价报告》见附件（附件2）</w:t>
      </w:r>
      <w:r>
        <w:rPr>
          <w:rFonts w:hint="eastAsia" w:ascii="仿宋" w:hAnsi="仿宋" w:eastAsia="仿宋" w:cs="仿宋"/>
          <w:sz w:val="32"/>
          <w:szCs w:val="32"/>
          <w:highlight w:val="none"/>
          <w:lang w:val="en-US" w:eastAsia="zh-CN"/>
        </w:rPr>
        <w:t>。</w:t>
      </w:r>
      <w:bookmarkStart w:id="59" w:name="_Toc15377225"/>
      <w:bookmarkStart w:id="60" w:name="_Toc15396613"/>
      <w:bookmarkStart w:id="61" w:name="_Toc3536"/>
    </w:p>
    <w:p>
      <w:pPr>
        <w:spacing w:line="580" w:lineRule="exact"/>
        <w:jc w:val="both"/>
        <w:rPr>
          <w:rFonts w:hint="eastAsia" w:ascii="黑体" w:hAnsi="黑体" w:eastAsia="黑体"/>
          <w:color w:val="000000"/>
          <w:sz w:val="44"/>
          <w:szCs w:val="44"/>
          <w:lang w:val="en-US" w:eastAsia="zh-CN"/>
        </w:rPr>
      </w:pPr>
    </w:p>
    <w:p>
      <w:pPr>
        <w:spacing w:line="580" w:lineRule="exact"/>
        <w:ind w:firstLine="880" w:firstLineChars="200"/>
        <w:jc w:val="center"/>
        <w:rPr>
          <w:rFonts w:hint="eastAsia" w:ascii="黑体" w:hAnsi="黑体" w:eastAsia="黑体"/>
          <w:color w:val="000000"/>
          <w:sz w:val="44"/>
          <w:szCs w:val="44"/>
          <w:lang w:val="en-US" w:eastAsia="zh-CN"/>
        </w:rPr>
      </w:pPr>
    </w:p>
    <w:p>
      <w:pPr>
        <w:spacing w:line="580" w:lineRule="exact"/>
        <w:ind w:firstLine="880" w:firstLineChars="200"/>
        <w:jc w:val="center"/>
        <w:rPr>
          <w:rStyle w:val="13"/>
          <w:rFonts w:ascii="黑体" w:hAnsi="黑体" w:eastAsia="黑体"/>
          <w:b w:val="0"/>
        </w:rPr>
      </w:pPr>
      <w:r>
        <w:rPr>
          <w:rFonts w:hint="eastAsia" w:ascii="黑体" w:hAnsi="黑体" w:eastAsia="黑体"/>
          <w:color w:val="000000"/>
          <w:sz w:val="44"/>
          <w:szCs w:val="44"/>
          <w:lang w:val="en-US" w:eastAsia="zh-CN"/>
        </w:rPr>
        <w:t xml:space="preserve">第三部分 </w:t>
      </w:r>
      <w:r>
        <w:rPr>
          <w:rFonts w:hint="eastAsia" w:ascii="黑体" w:hAnsi="黑体" w:eastAsia="黑体"/>
          <w:color w:val="000000"/>
          <w:sz w:val="44"/>
          <w:szCs w:val="44"/>
        </w:rPr>
        <w:t>名</w:t>
      </w:r>
      <w:r>
        <w:rPr>
          <w:rStyle w:val="13"/>
          <w:rFonts w:hint="eastAsia" w:ascii="黑体" w:hAnsi="黑体" w:eastAsia="黑体"/>
          <w:b w:val="0"/>
        </w:rPr>
        <w:t>词解释</w:t>
      </w:r>
      <w:bookmarkEnd w:id="59"/>
      <w:bookmarkEnd w:id="60"/>
      <w:bookmarkEnd w:id="61"/>
    </w:p>
    <w:p>
      <w:pPr>
        <w:spacing w:line="600" w:lineRule="exact"/>
        <w:jc w:val="left"/>
        <w:rPr>
          <w:rFonts w:ascii="宋体"/>
          <w:b/>
          <w:color w:val="000000"/>
          <w:sz w:val="44"/>
          <w:szCs w:val="44"/>
        </w:rPr>
      </w:pP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1.财政拨款收入：指单位从同级财政部门取得的财政预算资金。</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3.经营收入：指事业单位在专业业务活动及其辅助活动之外开展非独立核算经营活动取得的收入。</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4.其他收入：指单位取得的除上述收入以外的各项收入。</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5.使用非财政拨款结余：指事业单位使用以前年度积累的非财政拨款结余弥补当年收支差额的金额。 </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6.年初结转和结余：指以前年度尚未完成、结转到本年按有关规定继续使用的资金。 </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7.结余分配：指事业单位按照会计制度规定缴纳的所得税、提取的专用结余以及转入非财政拨款结余的金额等。</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8、年末结转和结余：指单位按有关规定结转到下年或以后年度继续使用的资金。</w:t>
      </w:r>
    </w:p>
    <w:p>
      <w:pPr>
        <w:spacing w:line="600" w:lineRule="exact"/>
        <w:ind w:firstLine="640" w:firstLineChars="200"/>
        <w:outlineLvl w:val="9"/>
        <w:rPr>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9.</w:t>
      </w:r>
      <w:r>
        <w:rPr>
          <w:rStyle w:val="11"/>
          <w:rFonts w:hint="eastAsia" w:ascii="仿宋" w:hAnsi="仿宋" w:eastAsia="仿宋" w:cs="仿宋"/>
          <w:b w:val="0"/>
          <w:bCs w:val="0"/>
          <w:color w:val="000000"/>
          <w:sz w:val="32"/>
          <w:szCs w:val="32"/>
        </w:rPr>
        <w:t>一般公共服务（类）</w:t>
      </w:r>
      <w:r>
        <w:rPr>
          <w:rStyle w:val="11"/>
          <w:rFonts w:hint="eastAsia" w:ascii="仿宋" w:hAnsi="仿宋" w:eastAsia="仿宋" w:cs="仿宋"/>
          <w:b w:val="0"/>
          <w:bCs w:val="0"/>
          <w:color w:val="000000"/>
          <w:sz w:val="32"/>
          <w:szCs w:val="32"/>
          <w:lang w:val="en-US" w:eastAsia="zh-CN"/>
        </w:rPr>
        <w:t>人大事务</w:t>
      </w:r>
      <w:r>
        <w:rPr>
          <w:rStyle w:val="11"/>
          <w:rFonts w:hint="eastAsia" w:ascii="仿宋" w:hAnsi="仿宋" w:eastAsia="仿宋" w:cs="仿宋"/>
          <w:b w:val="0"/>
          <w:bCs w:val="0"/>
          <w:color w:val="000000"/>
          <w:sz w:val="32"/>
          <w:szCs w:val="32"/>
        </w:rPr>
        <w:t>（款）</w:t>
      </w:r>
      <w:r>
        <w:rPr>
          <w:rStyle w:val="11"/>
          <w:rFonts w:hint="eastAsia" w:ascii="仿宋" w:hAnsi="仿宋" w:eastAsia="仿宋" w:cs="仿宋"/>
          <w:b w:val="0"/>
          <w:bCs w:val="0"/>
          <w:color w:val="000000"/>
          <w:sz w:val="32"/>
          <w:szCs w:val="32"/>
          <w:lang w:val="en-US" w:eastAsia="zh-CN"/>
        </w:rPr>
        <w:t>人大会议</w:t>
      </w:r>
      <w:r>
        <w:rPr>
          <w:rStyle w:val="11"/>
          <w:rFonts w:hint="eastAsia" w:ascii="仿宋" w:hAnsi="仿宋" w:eastAsia="仿宋" w:cs="仿宋"/>
          <w:b w:val="0"/>
          <w:bCs w:val="0"/>
          <w:color w:val="000000"/>
          <w:sz w:val="32"/>
          <w:szCs w:val="32"/>
        </w:rPr>
        <w:t>（项）:</w:t>
      </w:r>
      <w:r>
        <w:rPr>
          <w:rStyle w:val="11"/>
          <w:rFonts w:hint="eastAsia" w:ascii="仿宋" w:hAnsi="仿宋" w:eastAsia="仿宋" w:cs="仿宋"/>
          <w:b w:val="0"/>
          <w:bCs w:val="0"/>
          <w:color w:val="000000"/>
          <w:sz w:val="32"/>
          <w:szCs w:val="32"/>
          <w:lang w:val="en-US" w:eastAsia="zh-CN"/>
        </w:rPr>
        <w:t>指用于保障机构正常举办各类会议产生的费用。</w:t>
      </w:r>
      <w:r>
        <w:rPr>
          <w:rStyle w:val="11"/>
          <w:rFonts w:hint="eastAsia" w:ascii="仿宋" w:hAnsi="仿宋" w:eastAsia="仿宋" w:cs="仿宋"/>
          <w:b w:val="0"/>
          <w:bCs w:val="0"/>
          <w:color w:val="000000"/>
          <w:sz w:val="32"/>
          <w:szCs w:val="32"/>
        </w:rPr>
        <w:t xml:space="preserve"> </w:t>
      </w:r>
    </w:p>
    <w:p>
      <w:pPr>
        <w:spacing w:line="600" w:lineRule="exact"/>
        <w:ind w:firstLine="640" w:firstLineChars="200"/>
        <w:rPr>
          <w:rStyle w:val="11"/>
          <w:rFonts w:hint="eastAsia" w:ascii="仿宋" w:hAnsi="仿宋" w:eastAsia="仿宋" w:cs="仿宋"/>
          <w:b w:val="0"/>
          <w:bCs w:val="0"/>
          <w:color w:val="000000"/>
          <w:sz w:val="32"/>
          <w:szCs w:val="32"/>
          <w:lang w:eastAsia="zh-CN"/>
        </w:rPr>
      </w:pPr>
      <w:r>
        <w:rPr>
          <w:rStyle w:val="11"/>
          <w:rFonts w:hint="eastAsia" w:ascii="仿宋" w:hAnsi="仿宋" w:eastAsia="仿宋" w:cs="仿宋"/>
          <w:b w:val="0"/>
          <w:bCs w:val="0"/>
          <w:color w:val="000000"/>
          <w:sz w:val="32"/>
          <w:szCs w:val="32"/>
          <w:lang w:val="en-US" w:eastAsia="zh-CN"/>
        </w:rPr>
        <w:t>10</w:t>
      </w:r>
      <w:r>
        <w:rPr>
          <w:rStyle w:val="11"/>
          <w:rFonts w:hint="eastAsia" w:ascii="仿宋" w:hAnsi="仿宋" w:eastAsia="仿宋" w:cs="仿宋"/>
          <w:b w:val="0"/>
          <w:bCs w:val="0"/>
          <w:color w:val="000000"/>
          <w:sz w:val="32"/>
          <w:szCs w:val="32"/>
        </w:rPr>
        <w:t>.一般公共服务（类）政府办公厅（室）及相关机构事务（款）行政运行（项）</w:t>
      </w:r>
      <w:r>
        <w:rPr>
          <w:rStyle w:val="11"/>
          <w:rFonts w:hint="eastAsia" w:ascii="仿宋" w:hAnsi="仿宋" w:eastAsia="仿宋" w:cs="仿宋"/>
          <w:b w:val="0"/>
          <w:bCs w:val="0"/>
          <w:color w:val="000000"/>
          <w:sz w:val="32"/>
          <w:szCs w:val="32"/>
          <w:lang w:eastAsia="zh-CN"/>
        </w:rPr>
        <w:t>：</w:t>
      </w:r>
      <w:r>
        <w:rPr>
          <w:rStyle w:val="11"/>
          <w:rFonts w:hint="eastAsia" w:ascii="仿宋" w:hAnsi="仿宋" w:eastAsia="仿宋" w:cs="仿宋"/>
          <w:b w:val="0"/>
          <w:bCs w:val="0"/>
          <w:color w:val="000000"/>
          <w:sz w:val="32"/>
          <w:szCs w:val="32"/>
        </w:rPr>
        <w:t>指机关及事业单位正常运转的基本支出，包括基本工资、津贴补贴等人员经费以及办公费、印刷费、水电费等日常公用经费,保障部门正常运转。</w:t>
      </w:r>
    </w:p>
    <w:p>
      <w:pPr>
        <w:spacing w:line="600" w:lineRule="exact"/>
        <w:ind w:firstLine="640" w:firstLineChars="200"/>
        <w:rPr>
          <w:rStyle w:val="11"/>
          <w:rFonts w:hint="eastAsia" w:ascii="仿宋" w:hAnsi="仿宋" w:eastAsia="仿宋" w:cs="仿宋"/>
          <w:b w:val="0"/>
          <w:bCs w:val="0"/>
          <w:color w:val="000000"/>
          <w:sz w:val="32"/>
          <w:szCs w:val="32"/>
          <w:lang w:eastAsia="zh-CN"/>
        </w:rPr>
      </w:pPr>
      <w:r>
        <w:rPr>
          <w:rStyle w:val="11"/>
          <w:rFonts w:hint="eastAsia" w:ascii="仿宋" w:hAnsi="仿宋" w:eastAsia="仿宋" w:cs="仿宋"/>
          <w:b w:val="0"/>
          <w:bCs w:val="0"/>
          <w:color w:val="000000"/>
          <w:sz w:val="32"/>
          <w:szCs w:val="32"/>
          <w:lang w:val="en-US" w:eastAsia="zh-CN"/>
        </w:rPr>
        <w:t>11.</w:t>
      </w:r>
      <w:r>
        <w:rPr>
          <w:rStyle w:val="11"/>
          <w:rFonts w:hint="eastAsia" w:ascii="仿宋" w:hAnsi="仿宋" w:eastAsia="仿宋" w:cs="仿宋"/>
          <w:b w:val="0"/>
          <w:bCs w:val="0"/>
          <w:color w:val="000000"/>
          <w:sz w:val="32"/>
          <w:szCs w:val="32"/>
        </w:rPr>
        <w:t>一般公共服务（类）政府办公厅（室）及相关机构事务（款）</w:t>
      </w:r>
      <w:r>
        <w:rPr>
          <w:rStyle w:val="11"/>
          <w:rFonts w:hint="eastAsia" w:ascii="仿宋" w:hAnsi="仿宋" w:eastAsia="仿宋" w:cs="仿宋"/>
          <w:b w:val="0"/>
          <w:bCs w:val="0"/>
          <w:color w:val="000000"/>
          <w:sz w:val="32"/>
          <w:szCs w:val="32"/>
          <w:lang w:val="en-US" w:eastAsia="zh-CN"/>
        </w:rPr>
        <w:t>事业运行（</w:t>
      </w:r>
      <w:r>
        <w:rPr>
          <w:rStyle w:val="11"/>
          <w:rFonts w:hint="eastAsia" w:ascii="仿宋" w:hAnsi="仿宋" w:eastAsia="仿宋" w:cs="仿宋"/>
          <w:b w:val="0"/>
          <w:bCs w:val="0"/>
          <w:color w:val="000000"/>
          <w:sz w:val="32"/>
          <w:szCs w:val="32"/>
        </w:rPr>
        <w:t>项）</w:t>
      </w:r>
      <w:r>
        <w:rPr>
          <w:rStyle w:val="11"/>
          <w:rFonts w:hint="eastAsia" w:ascii="仿宋" w:hAnsi="仿宋" w:eastAsia="仿宋" w:cs="仿宋"/>
          <w:b w:val="0"/>
          <w:bCs w:val="0"/>
          <w:color w:val="000000"/>
          <w:sz w:val="32"/>
          <w:szCs w:val="32"/>
          <w:lang w:eastAsia="zh-CN"/>
        </w:rPr>
        <w:t>：</w:t>
      </w:r>
      <w:r>
        <w:rPr>
          <w:rStyle w:val="11"/>
          <w:rFonts w:hint="eastAsia" w:ascii="仿宋" w:hAnsi="仿宋" w:eastAsia="仿宋" w:cs="仿宋"/>
          <w:b w:val="0"/>
          <w:bCs w:val="0"/>
          <w:color w:val="000000"/>
          <w:sz w:val="32"/>
          <w:szCs w:val="32"/>
        </w:rPr>
        <w:t>指</w:t>
      </w:r>
      <w:r>
        <w:rPr>
          <w:rStyle w:val="11"/>
          <w:rFonts w:hint="eastAsia" w:ascii="仿宋" w:hAnsi="仿宋" w:eastAsia="仿宋" w:cs="仿宋"/>
          <w:b w:val="0"/>
          <w:bCs w:val="0"/>
          <w:color w:val="000000"/>
          <w:sz w:val="32"/>
          <w:szCs w:val="32"/>
          <w:lang w:val="en-US" w:eastAsia="zh-CN"/>
        </w:rPr>
        <w:t>反映事业单位的基本支出，不包括行政单位（包括实行公务员管理的事业单位）后勤服务中心、医务室等附属事业单位</w:t>
      </w:r>
      <w:r>
        <w:rPr>
          <w:rStyle w:val="11"/>
          <w:rFonts w:hint="eastAsia" w:ascii="仿宋" w:hAnsi="仿宋" w:eastAsia="仿宋" w:cs="仿宋"/>
          <w:b w:val="0"/>
          <w:bCs w:val="0"/>
          <w:color w:val="000000"/>
          <w:sz w:val="32"/>
          <w:szCs w:val="32"/>
        </w:rPr>
        <w:t>。</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12.</w:t>
      </w:r>
      <w:r>
        <w:rPr>
          <w:rStyle w:val="11"/>
          <w:rFonts w:hint="eastAsia" w:ascii="仿宋" w:hAnsi="仿宋" w:eastAsia="仿宋" w:cs="仿宋"/>
          <w:b w:val="0"/>
          <w:bCs w:val="0"/>
          <w:color w:val="000000"/>
          <w:sz w:val="32"/>
          <w:szCs w:val="32"/>
          <w:highlight w:val="none"/>
        </w:rPr>
        <w:t>一般公共服务（类）政府办公厅（室）及相关机构事务（款）其他政府办公厅（室）及相关机构事务支出（项）</w:t>
      </w:r>
      <w:r>
        <w:rPr>
          <w:rStyle w:val="11"/>
          <w:rFonts w:hint="eastAsia" w:ascii="仿宋" w:hAnsi="仿宋" w:eastAsia="仿宋" w:cs="仿宋"/>
          <w:b w:val="0"/>
          <w:bCs w:val="0"/>
          <w:color w:val="000000"/>
          <w:sz w:val="32"/>
          <w:szCs w:val="32"/>
          <w:highlight w:val="none"/>
          <w:lang w:val="en-US" w:eastAsia="zh-CN"/>
        </w:rPr>
        <w:t>:反映除上述项目以外的其他政府办公厅（室）及相关机构事务支出。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13.</w:t>
      </w:r>
      <w:r>
        <w:rPr>
          <w:rStyle w:val="11"/>
          <w:rFonts w:hint="eastAsia" w:ascii="仿宋" w:hAnsi="仿宋" w:eastAsia="仿宋" w:cs="仿宋"/>
          <w:b w:val="0"/>
          <w:bCs w:val="0"/>
          <w:color w:val="000000"/>
          <w:sz w:val="32"/>
          <w:szCs w:val="32"/>
        </w:rPr>
        <w:t>社会保障和就业支出（类）民政管理事务（款）基层政权</w:t>
      </w:r>
      <w:r>
        <w:rPr>
          <w:rStyle w:val="11"/>
          <w:rFonts w:hint="eastAsia" w:ascii="仿宋" w:hAnsi="仿宋" w:eastAsia="仿宋" w:cs="仿宋"/>
          <w:b w:val="0"/>
          <w:bCs w:val="0"/>
          <w:color w:val="000000"/>
          <w:sz w:val="32"/>
          <w:szCs w:val="32"/>
          <w:lang w:val="en-US" w:eastAsia="zh-CN"/>
        </w:rPr>
        <w:t>建设</w:t>
      </w:r>
      <w:r>
        <w:rPr>
          <w:rStyle w:val="11"/>
          <w:rFonts w:hint="eastAsia" w:ascii="仿宋" w:hAnsi="仿宋" w:eastAsia="仿宋" w:cs="仿宋"/>
          <w:b w:val="0"/>
          <w:bCs w:val="0"/>
          <w:color w:val="000000"/>
          <w:sz w:val="32"/>
          <w:szCs w:val="32"/>
        </w:rPr>
        <w:t>和社区</w:t>
      </w:r>
      <w:r>
        <w:rPr>
          <w:rStyle w:val="11"/>
          <w:rFonts w:hint="eastAsia" w:ascii="仿宋" w:hAnsi="仿宋" w:eastAsia="仿宋" w:cs="仿宋"/>
          <w:b w:val="0"/>
          <w:bCs w:val="0"/>
          <w:color w:val="000000"/>
          <w:sz w:val="32"/>
          <w:szCs w:val="32"/>
          <w:lang w:val="en-US" w:eastAsia="zh-CN"/>
        </w:rPr>
        <w:t>治理</w:t>
      </w:r>
      <w:r>
        <w:rPr>
          <w:rStyle w:val="11"/>
          <w:rFonts w:hint="eastAsia" w:ascii="仿宋" w:hAnsi="仿宋" w:eastAsia="仿宋" w:cs="仿宋"/>
          <w:b w:val="0"/>
          <w:bCs w:val="0"/>
          <w:color w:val="000000"/>
          <w:sz w:val="32"/>
          <w:szCs w:val="32"/>
        </w:rPr>
        <w:t>（项）</w:t>
      </w:r>
      <w:r>
        <w:rPr>
          <w:rStyle w:val="11"/>
          <w:rFonts w:hint="eastAsia" w:ascii="仿宋" w:hAnsi="仿宋" w:eastAsia="仿宋" w:cs="仿宋"/>
          <w:b w:val="0"/>
          <w:bCs w:val="0"/>
          <w:color w:val="000000"/>
          <w:sz w:val="32"/>
          <w:szCs w:val="32"/>
          <w:lang w:val="en-US" w:eastAsia="zh-CN"/>
        </w:rPr>
        <w:t>:反映开展城乡社区治理、城乡社区服务（乡村便民服务）、村（居）民自治、村（居）务公开、乡镇（街道）服务能力建设等基层政权建设和社区治理工作的支出</w:t>
      </w:r>
      <w:r>
        <w:rPr>
          <w:rStyle w:val="11"/>
          <w:rFonts w:hint="eastAsia" w:ascii="仿宋" w:hAnsi="仿宋" w:eastAsia="仿宋" w:cs="仿宋"/>
          <w:b w:val="0"/>
          <w:bCs w:val="0"/>
          <w:color w:val="000000"/>
          <w:sz w:val="32"/>
          <w:szCs w:val="32"/>
        </w:rPr>
        <w:t>。</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14.</w:t>
      </w:r>
      <w:r>
        <w:rPr>
          <w:rStyle w:val="11"/>
          <w:rFonts w:hint="eastAsia" w:ascii="仿宋" w:hAnsi="仿宋" w:eastAsia="仿宋" w:cs="仿宋"/>
          <w:b w:val="0"/>
          <w:bCs w:val="0"/>
          <w:color w:val="000000"/>
          <w:sz w:val="32"/>
          <w:szCs w:val="32"/>
          <w:highlight w:val="none"/>
        </w:rPr>
        <w:t>社会保障和就业支出（类）行政事业单位</w:t>
      </w:r>
      <w:r>
        <w:rPr>
          <w:rStyle w:val="11"/>
          <w:rFonts w:hint="eastAsia" w:ascii="仿宋" w:hAnsi="仿宋" w:eastAsia="仿宋" w:cs="仿宋"/>
          <w:b w:val="0"/>
          <w:bCs w:val="0"/>
          <w:color w:val="000000"/>
          <w:sz w:val="32"/>
          <w:szCs w:val="32"/>
          <w:highlight w:val="none"/>
          <w:lang w:val="en-US" w:eastAsia="zh-CN"/>
        </w:rPr>
        <w:t>养老支出</w:t>
      </w:r>
      <w:r>
        <w:rPr>
          <w:rStyle w:val="11"/>
          <w:rFonts w:hint="eastAsia" w:ascii="仿宋" w:hAnsi="仿宋" w:eastAsia="仿宋" w:cs="仿宋"/>
          <w:b w:val="0"/>
          <w:bCs w:val="0"/>
          <w:color w:val="000000"/>
          <w:sz w:val="32"/>
          <w:szCs w:val="32"/>
          <w:highlight w:val="none"/>
        </w:rPr>
        <w:t>（款）行政单位离退休（项）</w:t>
      </w:r>
      <w:r>
        <w:rPr>
          <w:rStyle w:val="11"/>
          <w:rFonts w:hint="eastAsia" w:ascii="仿宋" w:hAnsi="仿宋" w:eastAsia="仿宋" w:cs="仿宋"/>
          <w:b w:val="0"/>
          <w:bCs w:val="0"/>
          <w:color w:val="000000"/>
          <w:sz w:val="32"/>
          <w:szCs w:val="32"/>
          <w:highlight w:val="none"/>
          <w:lang w:val="en-US" w:eastAsia="zh-CN"/>
        </w:rPr>
        <w:t>:反映行政单位（包括实行公务员管理的事业单位）开支的离退休经费。</w:t>
      </w:r>
    </w:p>
    <w:p>
      <w:pPr>
        <w:spacing w:line="600" w:lineRule="exact"/>
        <w:ind w:firstLine="640" w:firstLineChars="200"/>
        <w:rPr>
          <w:rStyle w:val="11"/>
          <w:rFonts w:hint="eastAsia" w:ascii="仿宋" w:hAnsi="仿宋" w:eastAsia="仿宋" w:cs="仿宋"/>
          <w:b w:val="0"/>
          <w:bCs w:val="0"/>
          <w:color w:val="000000"/>
          <w:sz w:val="32"/>
          <w:szCs w:val="32"/>
          <w:lang w:eastAsia="zh-CN"/>
        </w:rPr>
      </w:pPr>
      <w:r>
        <w:rPr>
          <w:rStyle w:val="11"/>
          <w:rFonts w:hint="eastAsia" w:ascii="仿宋" w:hAnsi="仿宋" w:eastAsia="仿宋" w:cs="仿宋"/>
          <w:b w:val="0"/>
          <w:bCs w:val="0"/>
          <w:color w:val="000000"/>
          <w:sz w:val="32"/>
          <w:szCs w:val="32"/>
          <w:lang w:val="en-US" w:eastAsia="zh-CN"/>
        </w:rPr>
        <w:t>15.</w:t>
      </w:r>
      <w:r>
        <w:rPr>
          <w:rStyle w:val="11"/>
          <w:rFonts w:hint="eastAsia" w:ascii="仿宋" w:hAnsi="仿宋" w:eastAsia="仿宋" w:cs="仿宋"/>
          <w:b w:val="0"/>
          <w:bCs w:val="0"/>
          <w:color w:val="000000"/>
          <w:sz w:val="32"/>
          <w:szCs w:val="32"/>
        </w:rPr>
        <w:t>社会保障和就业支出（类）行政事业单位</w:t>
      </w:r>
      <w:r>
        <w:rPr>
          <w:rStyle w:val="11"/>
          <w:rFonts w:hint="eastAsia" w:ascii="仿宋" w:hAnsi="仿宋" w:eastAsia="仿宋" w:cs="仿宋"/>
          <w:b w:val="0"/>
          <w:bCs w:val="0"/>
          <w:color w:val="000000"/>
          <w:sz w:val="32"/>
          <w:szCs w:val="32"/>
          <w:lang w:val="en-US" w:eastAsia="zh-CN"/>
        </w:rPr>
        <w:t>养老支出</w:t>
      </w:r>
      <w:r>
        <w:rPr>
          <w:rStyle w:val="11"/>
          <w:rFonts w:hint="eastAsia" w:ascii="仿宋" w:hAnsi="仿宋" w:eastAsia="仿宋" w:cs="仿宋"/>
          <w:b w:val="0"/>
          <w:bCs w:val="0"/>
          <w:color w:val="000000"/>
          <w:sz w:val="32"/>
          <w:szCs w:val="32"/>
        </w:rPr>
        <w:t>（款）事业单位离退休（项）</w:t>
      </w:r>
      <w:r>
        <w:rPr>
          <w:rStyle w:val="11"/>
          <w:rFonts w:hint="eastAsia" w:ascii="仿宋" w:hAnsi="仿宋" w:eastAsia="仿宋" w:cs="仿宋"/>
          <w:b w:val="0"/>
          <w:bCs w:val="0"/>
          <w:color w:val="000000"/>
          <w:sz w:val="32"/>
          <w:szCs w:val="32"/>
          <w:lang w:eastAsia="zh-CN"/>
        </w:rPr>
        <w:t>：</w:t>
      </w:r>
      <w:r>
        <w:rPr>
          <w:rStyle w:val="11"/>
          <w:rFonts w:hint="eastAsia" w:ascii="仿宋" w:hAnsi="仿宋" w:eastAsia="仿宋" w:cs="仿宋"/>
          <w:b w:val="0"/>
          <w:bCs w:val="0"/>
          <w:color w:val="000000"/>
          <w:sz w:val="32"/>
          <w:szCs w:val="32"/>
        </w:rPr>
        <w:t>指事业退休人员慰问补助。</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16.</w:t>
      </w:r>
      <w:r>
        <w:rPr>
          <w:rStyle w:val="11"/>
          <w:rFonts w:hint="eastAsia" w:ascii="仿宋" w:hAnsi="仿宋" w:eastAsia="仿宋" w:cs="仿宋"/>
          <w:b w:val="0"/>
          <w:bCs w:val="0"/>
          <w:color w:val="000000"/>
          <w:sz w:val="32"/>
          <w:szCs w:val="32"/>
        </w:rPr>
        <w:t>社会保障和就业支出（类）行政事业单位</w:t>
      </w:r>
      <w:r>
        <w:rPr>
          <w:rStyle w:val="11"/>
          <w:rFonts w:hint="eastAsia" w:ascii="仿宋" w:hAnsi="仿宋" w:eastAsia="仿宋" w:cs="仿宋"/>
          <w:b w:val="0"/>
          <w:bCs w:val="0"/>
          <w:color w:val="000000"/>
          <w:sz w:val="32"/>
          <w:szCs w:val="32"/>
          <w:lang w:val="en-US" w:eastAsia="zh-CN"/>
        </w:rPr>
        <w:t>养老支出</w:t>
      </w:r>
      <w:r>
        <w:rPr>
          <w:rStyle w:val="11"/>
          <w:rFonts w:hint="eastAsia" w:ascii="仿宋" w:hAnsi="仿宋" w:eastAsia="仿宋" w:cs="仿宋"/>
          <w:b w:val="0"/>
          <w:bCs w:val="0"/>
          <w:color w:val="000000"/>
          <w:sz w:val="32"/>
          <w:szCs w:val="32"/>
        </w:rPr>
        <w:t>（款） 机关事业单位基本养老保险缴费支出（项）</w:t>
      </w:r>
      <w:r>
        <w:rPr>
          <w:rStyle w:val="11"/>
          <w:rFonts w:hint="eastAsia" w:ascii="仿宋" w:hAnsi="仿宋" w:eastAsia="仿宋" w:cs="仿宋"/>
          <w:b w:val="0"/>
          <w:bCs w:val="0"/>
          <w:color w:val="000000"/>
          <w:sz w:val="32"/>
          <w:szCs w:val="32"/>
          <w:lang w:val="en-US" w:eastAsia="zh-CN"/>
        </w:rPr>
        <w:t>:</w:t>
      </w:r>
      <w:r>
        <w:rPr>
          <w:rStyle w:val="11"/>
          <w:rFonts w:hint="eastAsia" w:ascii="仿宋" w:hAnsi="仿宋" w:eastAsia="仿宋" w:cs="仿宋"/>
          <w:b w:val="0"/>
          <w:bCs w:val="0"/>
          <w:color w:val="000000"/>
          <w:sz w:val="32"/>
          <w:szCs w:val="32"/>
        </w:rPr>
        <w:t>指用于保障机关事业单位养老保险缴费。</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17.</w:t>
      </w:r>
      <w:r>
        <w:rPr>
          <w:rStyle w:val="11"/>
          <w:rFonts w:hint="eastAsia" w:ascii="仿宋" w:hAnsi="仿宋" w:eastAsia="仿宋" w:cs="仿宋"/>
          <w:b w:val="0"/>
          <w:bCs w:val="0"/>
          <w:color w:val="000000"/>
          <w:sz w:val="32"/>
          <w:szCs w:val="32"/>
        </w:rPr>
        <w:t>社会保障和就业（类）其他社会保障和就业支出（款）其他社会保障和就业支出（项）</w:t>
      </w:r>
      <w:r>
        <w:rPr>
          <w:rStyle w:val="11"/>
          <w:rFonts w:hint="eastAsia" w:ascii="仿宋" w:hAnsi="仿宋" w:eastAsia="仿宋" w:cs="仿宋"/>
          <w:b w:val="0"/>
          <w:bCs w:val="0"/>
          <w:color w:val="000000"/>
          <w:sz w:val="32"/>
          <w:szCs w:val="32"/>
          <w:lang w:val="en-US" w:eastAsia="zh-CN"/>
        </w:rPr>
        <w:t>:</w:t>
      </w:r>
      <w:r>
        <w:rPr>
          <w:rStyle w:val="11"/>
          <w:rFonts w:hint="eastAsia" w:ascii="仿宋" w:hAnsi="仿宋" w:eastAsia="仿宋" w:cs="仿宋"/>
          <w:b w:val="0"/>
          <w:bCs w:val="0"/>
          <w:color w:val="000000"/>
          <w:sz w:val="32"/>
          <w:szCs w:val="32"/>
        </w:rPr>
        <w:t>指用于保障事业人员的工伤、生育等保险缴费。</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18.</w:t>
      </w:r>
      <w:r>
        <w:rPr>
          <w:rStyle w:val="11"/>
          <w:rFonts w:hint="eastAsia" w:ascii="仿宋" w:hAnsi="仿宋" w:eastAsia="仿宋" w:cs="仿宋"/>
          <w:b w:val="0"/>
          <w:bCs w:val="0"/>
          <w:color w:val="000000"/>
          <w:sz w:val="32"/>
          <w:szCs w:val="32"/>
        </w:rPr>
        <w:t>卫生健康支出（类）</w:t>
      </w:r>
      <w:r>
        <w:rPr>
          <w:rStyle w:val="11"/>
          <w:rFonts w:hint="eastAsia" w:ascii="仿宋" w:hAnsi="仿宋" w:eastAsia="仿宋" w:cs="仿宋"/>
          <w:b w:val="0"/>
          <w:bCs w:val="0"/>
          <w:color w:val="000000"/>
          <w:sz w:val="32"/>
          <w:szCs w:val="32"/>
          <w:lang w:val="en-US" w:eastAsia="zh-CN"/>
        </w:rPr>
        <w:t>行政事业单位医疗</w:t>
      </w:r>
      <w:r>
        <w:rPr>
          <w:rStyle w:val="11"/>
          <w:rFonts w:hint="eastAsia" w:ascii="仿宋" w:hAnsi="仿宋" w:eastAsia="仿宋" w:cs="仿宋"/>
          <w:b w:val="0"/>
          <w:bCs w:val="0"/>
          <w:color w:val="000000"/>
          <w:sz w:val="32"/>
          <w:szCs w:val="32"/>
        </w:rPr>
        <w:t>（款）行政单位医疗（项</w:t>
      </w:r>
      <w:r>
        <w:rPr>
          <w:rStyle w:val="11"/>
          <w:rFonts w:hint="eastAsia" w:ascii="仿宋" w:hAnsi="仿宋" w:eastAsia="仿宋" w:cs="仿宋"/>
          <w:b w:val="0"/>
          <w:bCs w:val="0"/>
          <w:i w:val="0"/>
          <w:caps w:val="0"/>
          <w:color w:val="555555"/>
          <w:spacing w:val="0"/>
          <w:sz w:val="32"/>
          <w:szCs w:val="32"/>
          <w:shd w:val="clear" w:fill="FFFFFF"/>
        </w:rPr>
        <w:t>）</w:t>
      </w:r>
      <w:r>
        <w:rPr>
          <w:rStyle w:val="11"/>
          <w:rFonts w:hint="eastAsia" w:ascii="仿宋" w:hAnsi="仿宋" w:eastAsia="仿宋" w:cs="仿宋"/>
          <w:b w:val="0"/>
          <w:bCs w:val="0"/>
          <w:color w:val="000000"/>
          <w:sz w:val="32"/>
          <w:szCs w:val="32"/>
          <w:lang w:val="en-US" w:eastAsia="zh-CN"/>
        </w:rPr>
        <w:t>:</w:t>
      </w:r>
      <w:r>
        <w:rPr>
          <w:rStyle w:val="11"/>
          <w:rFonts w:hint="eastAsia" w:ascii="仿宋" w:hAnsi="仿宋" w:eastAsia="仿宋" w:cs="仿宋"/>
          <w:b w:val="0"/>
          <w:bCs w:val="0"/>
          <w:color w:val="000000"/>
          <w:sz w:val="32"/>
          <w:szCs w:val="32"/>
        </w:rPr>
        <w:t>指用于保障机关及事业单位基本医疗保险缴费支出。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19.节能环保支出（类）污染防治（款）水体（项）:</w:t>
      </w:r>
      <w:r>
        <w:rPr>
          <w:rStyle w:val="11"/>
          <w:rFonts w:hint="eastAsia" w:ascii="仿宋" w:hAnsi="仿宋" w:eastAsia="仿宋" w:cs="仿宋"/>
          <w:b w:val="0"/>
          <w:bCs w:val="0"/>
          <w:color w:val="000000"/>
          <w:sz w:val="32"/>
          <w:szCs w:val="32"/>
        </w:rPr>
        <w:t>指用于农村生活污水治理支出。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20.城乡社区支出（类）城乡社区环境卫生（款）城乡社区环境卫生（项）:指用于保障环境卫生整治支出。</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21.农林水支出（类）扶贫（款）其他扶贫支出（项）：反映除上述项目以外其他用于扶贫方面的支出。</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22.农林水支出（类）农村综合改革（款）对村级一事一议的补助（项）:反映农村税费改革后对村级公益事业建设的补助支出。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23.农林水支出（类）农村综合改革（款） 对村民委员会和村党支部的补助（项）:指用于保障环境卫生整治支出。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24.交通运输支出（类）公路水路运输（款）公路和运输安全（项）:指用于保障安全工作产生的经费。</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25.住房保障（类）住房改革支出（款）住房公积金（项）：指用于部门按人力资源和社会保障部、财政部规定的基本工资和津贴补贴以及规定比例为职工缴纳的住房公积金支出。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27.基本支出：指为保障机构正常运转、完成日常工作任务而发生的人员支出和公用支出。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28.项目支出：指在基本支出之外为完成特定行政任务和事业发展目标所发生的支出。 </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29.经营支出：指事业单位在专业业务活动及其辅助活动之外开展非独立核算经营活动发生的支出。</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pacing w:line="560" w:lineRule="exact"/>
        <w:ind w:firstLine="640" w:firstLineChars="200"/>
        <w:rPr>
          <w:rFonts w:hint="eastAsia"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6"/>
        <w:spacing w:line="560" w:lineRule="exact"/>
        <w:ind w:firstLine="640" w:firstLineChars="200"/>
        <w:rPr>
          <w:rFonts w:hint="eastAsia" w:ascii="仿宋_GB2312" w:eastAsia="仿宋_GB2312"/>
          <w:sz w:val="32"/>
          <w:szCs w:val="32"/>
        </w:rPr>
      </w:pPr>
    </w:p>
    <w:p>
      <w:pPr>
        <w:pStyle w:val="16"/>
        <w:spacing w:line="560" w:lineRule="exact"/>
        <w:ind w:firstLine="640" w:firstLineChars="200"/>
        <w:rPr>
          <w:rFonts w:hint="eastAsia" w:ascii="仿宋_GB2312" w:eastAsia="仿宋_GB2312"/>
          <w:sz w:val="32"/>
          <w:szCs w:val="32"/>
        </w:rPr>
      </w:pPr>
    </w:p>
    <w:p>
      <w:pPr>
        <w:spacing w:line="600" w:lineRule="exact"/>
        <w:jc w:val="both"/>
        <w:outlineLvl w:val="0"/>
        <w:rPr>
          <w:rFonts w:hint="eastAsia" w:ascii="黑体" w:hAnsi="黑体" w:eastAsia="黑体"/>
          <w:color w:val="000000"/>
          <w:sz w:val="44"/>
          <w:szCs w:val="44"/>
        </w:rPr>
      </w:pPr>
      <w:bookmarkStart w:id="62" w:name="_Toc11207"/>
      <w:bookmarkStart w:id="63" w:name="_Toc15396614"/>
      <w:bookmarkStart w:id="64" w:name="_Toc15377226"/>
    </w:p>
    <w:p>
      <w:pPr>
        <w:pStyle w:val="2"/>
        <w:rPr>
          <w:rFonts w:hint="eastAsia"/>
        </w:rPr>
      </w:pPr>
    </w:p>
    <w:p>
      <w:pPr>
        <w:spacing w:line="600" w:lineRule="exact"/>
        <w:jc w:val="center"/>
        <w:outlineLvl w:val="0"/>
        <w:rPr>
          <w:rStyle w:val="13"/>
          <w:rFonts w:ascii="黑体" w:hAnsi="黑体" w:eastAsia="黑体"/>
          <w:b w:val="0"/>
        </w:rPr>
      </w:pPr>
      <w:r>
        <w:rPr>
          <w:rFonts w:hint="eastAsia" w:ascii="黑体" w:hAnsi="黑体" w:eastAsia="黑体"/>
          <w:color w:val="000000"/>
          <w:sz w:val="44"/>
          <w:szCs w:val="44"/>
        </w:rPr>
        <w:t>第</w:t>
      </w:r>
      <w:r>
        <w:rPr>
          <w:rStyle w:val="13"/>
          <w:rFonts w:hint="eastAsia" w:ascii="黑体" w:hAnsi="黑体" w:eastAsia="黑体"/>
          <w:b w:val="0"/>
        </w:rPr>
        <w:t>四部分</w:t>
      </w:r>
      <w:r>
        <w:rPr>
          <w:rStyle w:val="13"/>
          <w:rFonts w:ascii="黑体" w:hAnsi="黑体" w:eastAsia="黑体"/>
          <w:b w:val="0"/>
        </w:rPr>
        <w:t xml:space="preserve"> </w:t>
      </w:r>
      <w:r>
        <w:rPr>
          <w:rStyle w:val="13"/>
          <w:rFonts w:hint="eastAsia" w:ascii="黑体" w:hAnsi="黑体" w:eastAsia="黑体"/>
          <w:b w:val="0"/>
        </w:rPr>
        <w:t>附件</w:t>
      </w:r>
      <w:bookmarkEnd w:id="62"/>
      <w:bookmarkEnd w:id="63"/>
    </w:p>
    <w:p>
      <w:pPr>
        <w:spacing w:line="600" w:lineRule="exact"/>
        <w:jc w:val="left"/>
        <w:outlineLvl w:val="1"/>
        <w:rPr>
          <w:rFonts w:ascii="方正小标宋简体" w:hAnsi="方正小标宋简体" w:eastAsia="方正小标宋简体" w:cs="方正小标宋简体"/>
          <w:sz w:val="32"/>
          <w:szCs w:val="32"/>
        </w:rPr>
      </w:pPr>
      <w:bookmarkStart w:id="65" w:name="_Toc22930"/>
      <w:r>
        <w:rPr>
          <w:rFonts w:hint="eastAsia" w:ascii="黑体" w:hAnsi="黑体" w:eastAsia="黑体" w:cs="黑体"/>
          <w:sz w:val="32"/>
          <w:szCs w:val="32"/>
        </w:rPr>
        <w:t>附件</w:t>
      </w:r>
      <w:r>
        <w:rPr>
          <w:rFonts w:ascii="黑体" w:hAnsi="黑体" w:eastAsia="黑体" w:cs="黑体"/>
          <w:sz w:val="32"/>
          <w:szCs w:val="32"/>
        </w:rPr>
        <w:t>1</w:t>
      </w:r>
      <w:bookmarkEnd w:id="65"/>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eastAsia" w:ascii="微软雅黑" w:hAnsi="微软雅黑" w:eastAsia="微软雅黑" w:cs="微软雅黑"/>
          <w:color w:val="000000"/>
          <w:w w:val="80"/>
          <w:kern w:val="0"/>
          <w:sz w:val="40"/>
          <w:szCs w:val="44"/>
          <w:lang w:val="zh-CN"/>
        </w:rPr>
      </w:pPr>
      <w:r>
        <w:rPr>
          <w:rFonts w:hint="eastAsia" w:ascii="微软雅黑" w:hAnsi="微软雅黑" w:eastAsia="微软雅黑" w:cs="微软雅黑"/>
          <w:color w:val="000000"/>
          <w:w w:val="80"/>
          <w:kern w:val="0"/>
          <w:sz w:val="40"/>
          <w:szCs w:val="44"/>
          <w:lang w:val="en-US" w:eastAsia="zh-CN"/>
        </w:rPr>
        <w:t>舒坪街道办事处部门</w:t>
      </w:r>
      <w:r>
        <w:rPr>
          <w:rFonts w:hint="eastAsia" w:ascii="微软雅黑" w:hAnsi="微软雅黑" w:eastAsia="微软雅黑" w:cs="微软雅黑"/>
          <w:color w:val="000000"/>
          <w:w w:val="80"/>
          <w:kern w:val="0"/>
          <w:sz w:val="40"/>
          <w:szCs w:val="44"/>
        </w:rPr>
        <w:t>2020年部门</w:t>
      </w:r>
      <w:r>
        <w:rPr>
          <w:rFonts w:hint="eastAsia" w:ascii="微软雅黑" w:hAnsi="微软雅黑" w:eastAsia="微软雅黑" w:cs="微软雅黑"/>
          <w:color w:val="000000"/>
          <w:w w:val="80"/>
          <w:kern w:val="0"/>
          <w:sz w:val="40"/>
          <w:szCs w:val="44"/>
          <w:lang w:val="zh-CN"/>
        </w:rPr>
        <w:t>整体支出绩效评价报告</w:t>
      </w:r>
    </w:p>
    <w:p>
      <w:pPr>
        <w:widowControl/>
        <w:spacing w:line="580" w:lineRule="exact"/>
        <w:ind w:firstLine="640" w:firstLineChars="200"/>
        <w:contextualSpacing/>
        <w:jc w:val="center"/>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（报告范围包括机关和下属单位）</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（一）机构组成。</w:t>
      </w:r>
    </w:p>
    <w:p>
      <w:pPr>
        <w:keepNext w:val="0"/>
        <w:keepLines w:val="0"/>
        <w:pageBreakBefore w:val="0"/>
        <w:widowControl w:val="0"/>
        <w:kinsoku/>
        <w:wordWrap/>
        <w:overflowPunct/>
        <w:topLinePunct w:val="0"/>
        <w:autoSpaceDE/>
        <w:autoSpaceDN/>
        <w:bidi w:val="0"/>
        <w:ind w:firstLine="640" w:firstLineChars="200"/>
        <w:textAlignment w:val="auto"/>
        <w:rPr>
          <w:rFonts w:hint="eastAsia" w:ascii="仿宋_GB2312" w:hAnsi="宋体" w:eastAsia="仿宋_GB2312" w:cs="宋体"/>
          <w:color w:val="auto"/>
          <w:kern w:val="0"/>
          <w:sz w:val="32"/>
          <w:szCs w:val="32"/>
          <w:shd w:val="clear" w:color="auto" w:fill="FFFFFF"/>
          <w:lang w:val="zh-CN"/>
        </w:rPr>
      </w:pPr>
      <w:r>
        <w:rPr>
          <w:rFonts w:hint="eastAsia" w:ascii="仿宋" w:hAnsi="仿宋" w:eastAsia="仿宋" w:cs="仿宋"/>
          <w:i w:val="0"/>
          <w:caps w:val="0"/>
          <w:color w:val="auto"/>
          <w:spacing w:val="0"/>
          <w:sz w:val="32"/>
          <w:szCs w:val="32"/>
          <w:shd w:val="clear" w:fill="FFFFFF"/>
        </w:rPr>
        <w:t>舒坪街道办事处下属二级预算单位</w:t>
      </w:r>
      <w:r>
        <w:rPr>
          <w:rFonts w:hint="eastAsia" w:ascii="仿宋" w:hAnsi="仿宋" w:eastAsia="仿宋" w:cs="仿宋"/>
          <w:i w:val="0"/>
          <w:caps w:val="0"/>
          <w:color w:val="auto"/>
          <w:spacing w:val="0"/>
          <w:sz w:val="32"/>
          <w:szCs w:val="32"/>
          <w:shd w:val="clear" w:fill="FFFFFF"/>
          <w:lang w:val="en-US" w:eastAsia="zh-CN"/>
        </w:rPr>
        <w:t>5</w:t>
      </w:r>
      <w:r>
        <w:rPr>
          <w:rFonts w:hint="eastAsia" w:ascii="仿宋" w:hAnsi="仿宋" w:eastAsia="仿宋" w:cs="仿宋"/>
          <w:i w:val="0"/>
          <w:caps w:val="0"/>
          <w:color w:val="auto"/>
          <w:spacing w:val="0"/>
          <w:sz w:val="32"/>
          <w:szCs w:val="32"/>
          <w:shd w:val="clear" w:fill="FFFFFF"/>
        </w:rPr>
        <w:t>个</w:t>
      </w:r>
      <w:r>
        <w:rPr>
          <w:rFonts w:hint="eastAsia" w:ascii="仿宋" w:hAnsi="仿宋" w:eastAsia="仿宋" w:cs="仿宋"/>
          <w:i w:val="0"/>
          <w:caps w:val="0"/>
          <w:color w:val="auto"/>
          <w:spacing w:val="0"/>
          <w:sz w:val="32"/>
          <w:szCs w:val="32"/>
          <w:highlight w:val="none"/>
          <w:shd w:val="clear" w:fill="FFFFFF"/>
        </w:rPr>
        <w:t>，其中行政单位</w:t>
      </w:r>
      <w:r>
        <w:rPr>
          <w:rFonts w:hint="eastAsia" w:ascii="仿宋" w:hAnsi="仿宋" w:eastAsia="仿宋" w:cs="仿宋"/>
          <w:i w:val="0"/>
          <w:caps w:val="0"/>
          <w:color w:val="auto"/>
          <w:spacing w:val="0"/>
          <w:sz w:val="32"/>
          <w:szCs w:val="32"/>
          <w:highlight w:val="none"/>
          <w:shd w:val="clear" w:fill="FFFFFF"/>
          <w:lang w:val="en-US" w:eastAsia="zh-CN"/>
        </w:rPr>
        <w:t>1</w:t>
      </w:r>
      <w:r>
        <w:rPr>
          <w:rFonts w:hint="eastAsia" w:ascii="仿宋" w:hAnsi="仿宋" w:eastAsia="仿宋" w:cs="仿宋"/>
          <w:i w:val="0"/>
          <w:caps w:val="0"/>
          <w:color w:val="auto"/>
          <w:spacing w:val="0"/>
          <w:sz w:val="32"/>
          <w:szCs w:val="32"/>
          <w:highlight w:val="none"/>
          <w:shd w:val="clear" w:fill="FFFFFF"/>
        </w:rPr>
        <w:t>个，</w:t>
      </w:r>
      <w:r>
        <w:rPr>
          <w:rFonts w:hint="eastAsia" w:ascii="仿宋" w:hAnsi="仿宋" w:eastAsia="仿宋" w:cs="仿宋"/>
          <w:i w:val="0"/>
          <w:caps w:val="0"/>
          <w:color w:val="auto"/>
          <w:spacing w:val="0"/>
          <w:sz w:val="32"/>
          <w:szCs w:val="32"/>
          <w:shd w:val="clear" w:fill="FFFFFF"/>
        </w:rPr>
        <w:t>参照公务员法管理的事业单位0个，其他事业单位4个。</w:t>
      </w:r>
    </w:p>
    <w:p>
      <w:pPr>
        <w:widowControl/>
        <w:numPr>
          <w:ilvl w:val="0"/>
          <w:numId w:val="5"/>
        </w:numPr>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机构职能</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i w:val="0"/>
          <w:caps w:val="0"/>
          <w:color w:val="auto"/>
          <w:spacing w:val="0"/>
          <w:kern w:val="2"/>
          <w:sz w:val="32"/>
          <w:szCs w:val="32"/>
          <w:shd w:val="clear" w:fill="FFFFFF"/>
          <w:lang w:val="en-US" w:eastAsia="zh-CN" w:bidi="ar-SA"/>
        </w:rPr>
        <w:t>舒坪街道办事处是基层行政机关，宣传贯彻党的方针、政策和国家的法律、法规，执行上级党委、政府的决定和命令及本街党工委的决议，贯彻落实区委、区政府的重大决策和重要工作部署，制定和实施本街农业、经济发展规划、年度计划；谋划实施街域范围内的经济发展，制定并组织实施乡村建设规划，部署重点工程建设，负责社会主义新农村基础设施建设和生态环境的保护，抓实文教、卫生、公民素质教育等与政治、经济、社会协调发展的相关内容。</w:t>
      </w:r>
    </w:p>
    <w:p>
      <w:pPr>
        <w:widowControl/>
        <w:numPr>
          <w:ilvl w:val="0"/>
          <w:numId w:val="5"/>
        </w:numPr>
        <w:adjustRightInd w:val="0"/>
        <w:snapToGrid w:val="0"/>
        <w:spacing w:line="580" w:lineRule="exact"/>
        <w:ind w:left="0" w:leftChars="0"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人员概况。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en-US" w:eastAsia="zh-CN" w:bidi="ar-SA"/>
        </w:rPr>
      </w:pPr>
      <w:r>
        <w:rPr>
          <w:rFonts w:hint="eastAsia" w:ascii="仿宋" w:hAnsi="仿宋" w:eastAsia="仿宋" w:cs="仿宋"/>
          <w:i w:val="0"/>
          <w:caps w:val="0"/>
          <w:color w:val="auto"/>
          <w:spacing w:val="0"/>
          <w:kern w:val="2"/>
          <w:sz w:val="32"/>
          <w:szCs w:val="32"/>
          <w:shd w:val="clear" w:fill="FFFFFF"/>
          <w:lang w:val="en-US" w:eastAsia="zh-CN" w:bidi="ar-SA"/>
        </w:rPr>
        <w:t>舒坪街道办事处行政人员22人，非参公事业人员21人。</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仿宋" w:hAnsi="仿宋" w:eastAsia="仿宋" w:cs="仿宋"/>
          <w:i w:val="0"/>
          <w:caps w:val="0"/>
          <w:color w:val="auto"/>
          <w:spacing w:val="0"/>
          <w:kern w:val="2"/>
          <w:sz w:val="32"/>
          <w:szCs w:val="32"/>
          <w:shd w:val="clear" w:fill="FFFFFF"/>
          <w:lang w:val="en-US" w:eastAsia="zh-CN" w:bidi="ar-SA"/>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（一）部门财政资金收入情况。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i w:val="0"/>
          <w:caps w:val="0"/>
          <w:color w:val="auto"/>
          <w:spacing w:val="0"/>
          <w:kern w:val="2"/>
          <w:sz w:val="32"/>
          <w:szCs w:val="32"/>
          <w:shd w:val="clear" w:fill="FFFFFF"/>
          <w:lang w:val="en-US" w:eastAsia="zh-CN" w:bidi="ar-SA"/>
        </w:rPr>
        <w:t>2020年本年收入合计4256.55万元，其中：一般公共预算财政拨款收入1236.55万元，占29.05%；政府性基金预算财政拨款收入3020万元，占70.95%；上级补助收入0万元，占0%；事业收入0万元，占0%；经营收入0万元，占0%；附属单位上缴收入0万元，占0%；其他收入0万元，占0%。</w:t>
      </w:r>
    </w:p>
    <w:p>
      <w:pPr>
        <w:widowControl/>
        <w:numPr>
          <w:ilvl w:val="0"/>
          <w:numId w:val="6"/>
        </w:numPr>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部门财政资金支出情况。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仿宋" w:hAnsi="仿宋" w:eastAsia="仿宋" w:cs="仿宋"/>
          <w:i w:val="0"/>
          <w:caps w:val="0"/>
          <w:color w:val="auto"/>
          <w:spacing w:val="0"/>
          <w:kern w:val="2"/>
          <w:sz w:val="32"/>
          <w:szCs w:val="32"/>
          <w:shd w:val="clear" w:fill="FFFFFF"/>
          <w:lang w:val="en-US" w:eastAsia="zh-CN" w:bidi="ar-SA"/>
        </w:rPr>
      </w:pPr>
      <w:r>
        <w:rPr>
          <w:rFonts w:hint="eastAsia" w:ascii="仿宋" w:hAnsi="仿宋" w:eastAsia="仿宋" w:cs="仿宋"/>
          <w:i w:val="0"/>
          <w:caps w:val="0"/>
          <w:color w:val="auto"/>
          <w:spacing w:val="0"/>
          <w:kern w:val="2"/>
          <w:sz w:val="32"/>
          <w:szCs w:val="32"/>
          <w:shd w:val="clear" w:fill="FFFFFF"/>
          <w:lang w:val="en-US" w:eastAsia="zh-CN" w:bidi="ar-SA"/>
        </w:rPr>
        <w:t>2020年本年支出合计4256.55万元，其中：一般公共服务支出582.26万元，社会保障和就业支出217.72万元，卫生健康支出22.28万元，节能环保支出25万元，城乡社区支出36.94万元，农林水支出334.86万元，交通运输支出5万元，住房保障支出32.49万元，其他支出3000万元。</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highlight w:val="none"/>
          <w:shd w:val="clear" w:color="auto" w:fill="FFFFFF"/>
          <w:lang w:val="zh-CN"/>
        </w:rPr>
      </w:pPr>
      <w:r>
        <w:rPr>
          <w:rFonts w:hint="eastAsia" w:ascii="仿宋_GB2312" w:hAnsi="宋体" w:eastAsia="仿宋_GB2312" w:cs="宋体"/>
          <w:color w:val="000000"/>
          <w:kern w:val="0"/>
          <w:sz w:val="32"/>
          <w:szCs w:val="32"/>
          <w:highlight w:val="none"/>
          <w:shd w:val="clear" w:color="auto" w:fill="FFFFFF"/>
          <w:lang w:val="zh-CN"/>
        </w:rPr>
        <w:t>（一）部门预算管理。</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shd w:val="clear" w:fill="FFFFFF"/>
          <w:lang w:val="en-US" w:eastAsia="zh-CN" w:bidi="ar-SA"/>
        </w:rPr>
        <w:t>1.预算编制情况。严格按照预算管理的相关规定和区级部门预算编制要求, 科学合理编制次年预算,按时完成了2020年预算编制工作。2020年舒坪街道办事处收入预算总额</w:t>
      </w:r>
      <w:r>
        <w:rPr>
          <w:rFonts w:hint="eastAsia" w:ascii="仿宋" w:hAnsi="仿宋" w:eastAsia="仿宋" w:cs="仿宋"/>
          <w:i w:val="0"/>
          <w:caps w:val="0"/>
          <w:color w:val="auto"/>
          <w:spacing w:val="0"/>
          <w:kern w:val="2"/>
          <w:sz w:val="32"/>
          <w:szCs w:val="32"/>
          <w:highlight w:val="none"/>
          <w:shd w:val="clear" w:fill="FFFFFF"/>
          <w:lang w:val="en-US" w:eastAsia="zh-CN" w:bidi="ar-SA"/>
        </w:rPr>
        <w:t>为4256.55万元，其中：当年财政拨款收入4256.55万元。相应安排支出预算4256.55万元，其中：人员支出475.85万元，日常公用支出263.68万元，对个人和家庭的补助支出404.32万元，专项支出3112.7万元。</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2.执行管理情况。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一是行政运行保障情况。我街严格按照年</w:t>
      </w:r>
      <w:r>
        <w:rPr>
          <w:rFonts w:hint="eastAsia" w:ascii="仿宋" w:hAnsi="仿宋" w:eastAsia="仿宋" w:cs="仿宋"/>
          <w:i w:val="0"/>
          <w:caps w:val="0"/>
          <w:color w:val="auto"/>
          <w:spacing w:val="0"/>
          <w:kern w:val="2"/>
          <w:sz w:val="32"/>
          <w:szCs w:val="32"/>
          <w:shd w:val="clear" w:fill="FFFFFF"/>
          <w:lang w:val="en-US" w:eastAsia="zh-CN" w:bidi="ar-SA"/>
        </w:rPr>
        <w:t>初预算安排,严格执行中央八项规定和省、市、区各项规定,厉行节约规范使用预算资金。收入上，严格执行 "收支两条线"管理制度，按规定使用票据并缴入国库，无隐瞒收入和其他违反国家收费管理规定的行为。在支出管理中, 认真执行国库集中支付、政府采购、重点工作和大额支付上会集体决策等相关财务管理制度。认真做好每月与银行、区财政国库股的对账工作，加强动态监控，保障机关各项工作顺利开展。</w:t>
      </w:r>
      <w:r>
        <w:rPr>
          <w:rFonts w:hint="eastAsia" w:ascii="仿宋" w:hAnsi="仿宋" w:eastAsia="仿宋" w:cs="仿宋"/>
          <w:i w:val="0"/>
          <w:caps w:val="0"/>
          <w:color w:val="auto"/>
          <w:spacing w:val="0"/>
          <w:kern w:val="2"/>
          <w:sz w:val="32"/>
          <w:szCs w:val="32"/>
          <w:shd w:val="clear" w:fill="FFFFFF"/>
          <w:lang w:val="en-US" w:eastAsia="zh-CN" w:bidi="ar-SA"/>
        </w:rPr>
        <w:br w:type="textWrapping"/>
      </w:r>
      <w:r>
        <w:rPr>
          <w:rFonts w:hint="eastAsia" w:ascii="仿宋" w:hAnsi="仿宋" w:eastAsia="仿宋" w:cs="仿宋"/>
          <w:i w:val="0"/>
          <w:caps w:val="0"/>
          <w:color w:val="auto"/>
          <w:spacing w:val="0"/>
          <w:kern w:val="2"/>
          <w:sz w:val="32"/>
          <w:szCs w:val="32"/>
          <w:shd w:val="clear" w:fill="FFFFFF"/>
          <w:lang w:val="en-US" w:eastAsia="zh-CN" w:bidi="ar-SA"/>
        </w:rPr>
        <w:t xml:space="preserve">    二是“三公”经费预算执行情况。我街严格按照中央、省、市、区的相关文件要求, 严控“三公经费”支出。2020年因公出国（境）经费支出0万元，全年安排因公出国（境）团组0次，出国（境）0人。2020年公务用车购置及运行维护费支出1.89万元,完成预算100%。比2019年减少0.01万元，减少0.53%，主要原因是加强了公车管理。2020年公务接待费支出0万元，比2019年增加0万元。主要原因是贯彻执行中央八项规定，坚决杜绝奢侈浪费，有效控制公务接待费用。</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1.严格执行财务管理制度。严格执行中央和上级有关部门出台的财经纪律相关规定，严控"三公经费"、会议费、培训费、差旅费等支出。严格报账程序，严把票据审核关，减少现金支付。认真做好会计核算，做到账账相符、账实相符。强化内控管理，防范防控岗位风险,确保各项工作有序运转，修改完善了《舒坪街道办事处差旅费管理办法》,制发了《舒坪街道办事处机关管理办法》等制度。</w:t>
      </w:r>
      <w:r>
        <w:rPr>
          <w:rFonts w:hint="eastAsia" w:ascii="仿宋" w:hAnsi="仿宋" w:eastAsia="仿宋" w:cs="仿宋"/>
          <w:i w:val="0"/>
          <w:caps w:val="0"/>
          <w:color w:val="auto"/>
          <w:spacing w:val="0"/>
          <w:kern w:val="2"/>
          <w:sz w:val="32"/>
          <w:szCs w:val="32"/>
          <w:highlight w:val="none"/>
          <w:shd w:val="clear" w:fill="FFFFFF"/>
          <w:lang w:val="en-US" w:eastAsia="zh-CN" w:bidi="ar-SA"/>
        </w:rPr>
        <w:br w:type="textWrapping"/>
      </w:r>
      <w:r>
        <w:rPr>
          <w:rFonts w:hint="eastAsia" w:ascii="仿宋" w:hAnsi="仿宋" w:eastAsia="仿宋" w:cs="仿宋"/>
          <w:i w:val="0"/>
          <w:caps w:val="0"/>
          <w:color w:val="auto"/>
          <w:spacing w:val="0"/>
          <w:kern w:val="2"/>
          <w:sz w:val="32"/>
          <w:szCs w:val="32"/>
          <w:highlight w:val="none"/>
          <w:shd w:val="clear" w:fill="FFFFFF"/>
          <w:lang w:val="en-US" w:eastAsia="zh-CN" w:bidi="ar-SA"/>
        </w:rPr>
        <w:t xml:space="preserve">   2.加强政府采购管理。严格按照《政府采购法》和《政府采购法实施条例》等相关管理规定，根据省采购目录和财政部门预算管理要求，编制政府采购计划，将采购项目全部纳入部门预算管理。采购前,各相关部门事前沟通,做好采购政策咨询，了解相关业务规范；采购中,合理选择采购方式，确保采购流程合理合规，做好采购项目信息的公开公示工作；采购后,抓好采购项目的监管工作，严把质量关力求实效。</w:t>
      </w:r>
      <w:r>
        <w:rPr>
          <w:rFonts w:hint="eastAsia" w:ascii="仿宋" w:hAnsi="仿宋" w:eastAsia="仿宋" w:cs="仿宋"/>
          <w:i w:val="0"/>
          <w:caps w:val="0"/>
          <w:color w:val="auto"/>
          <w:spacing w:val="0"/>
          <w:kern w:val="2"/>
          <w:sz w:val="32"/>
          <w:szCs w:val="32"/>
          <w:highlight w:val="none"/>
          <w:shd w:val="clear" w:fill="FFFFFF"/>
          <w:lang w:val="en-US" w:eastAsia="zh-CN" w:bidi="ar-SA"/>
        </w:rPr>
        <w:br w:type="textWrapping"/>
      </w:r>
      <w:r>
        <w:rPr>
          <w:rFonts w:hint="eastAsia" w:ascii="仿宋" w:hAnsi="仿宋" w:eastAsia="仿宋" w:cs="仿宋"/>
          <w:i w:val="0"/>
          <w:caps w:val="0"/>
          <w:color w:val="auto"/>
          <w:spacing w:val="0"/>
          <w:kern w:val="2"/>
          <w:sz w:val="32"/>
          <w:szCs w:val="32"/>
          <w:highlight w:val="none"/>
          <w:shd w:val="clear" w:fill="FFFFFF"/>
          <w:lang w:val="en-US" w:eastAsia="zh-CN" w:bidi="ar-SA"/>
        </w:rPr>
        <w:t xml:space="preserve">    3.加强固定资产管理。严格按照区机关事务管理局和区财政局资产管理家具配置标准、新增资产配置流程、处置审批制度等相关文件要求，做好固定资产采买、报废、调整等相关管理工作。部门资产录入固定资产管理系统,建资产管理卡片, 及时更新资产管理信息系统数据，做到账实相符、账卡相符。</w:t>
      </w:r>
      <w:r>
        <w:rPr>
          <w:rFonts w:hint="eastAsia" w:ascii="仿宋" w:hAnsi="仿宋" w:eastAsia="仿宋" w:cs="仿宋"/>
          <w:i w:val="0"/>
          <w:caps w:val="0"/>
          <w:color w:val="auto"/>
          <w:spacing w:val="0"/>
          <w:kern w:val="2"/>
          <w:sz w:val="32"/>
          <w:szCs w:val="32"/>
          <w:highlight w:val="none"/>
          <w:shd w:val="clear" w:fill="FFFFFF"/>
          <w:lang w:val="en-US" w:eastAsia="zh-CN" w:bidi="ar-SA"/>
        </w:rPr>
        <w:br w:type="textWrapping"/>
      </w:r>
      <w:r>
        <w:rPr>
          <w:rFonts w:hint="eastAsia" w:ascii="仿宋" w:hAnsi="仿宋" w:eastAsia="仿宋" w:cs="仿宋"/>
          <w:i w:val="0"/>
          <w:caps w:val="0"/>
          <w:color w:val="auto"/>
          <w:spacing w:val="0"/>
          <w:kern w:val="2"/>
          <w:sz w:val="32"/>
          <w:szCs w:val="32"/>
          <w:highlight w:val="none"/>
          <w:shd w:val="clear" w:fill="FFFFFF"/>
          <w:lang w:val="en-US" w:eastAsia="zh-CN" w:bidi="ar-SA"/>
        </w:rPr>
        <w:t xml:space="preserve">    4.加强政府信息公开。2020年，我街严格按照区委、区政府关于全面推进政府信息公开工作的统一安排部署，突出重点，狠抓落实，细化公开内容，拓宽公开渠道，不断提高政府信息公开的质量和实效。</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_GB2312" w:hAnsi="宋体" w:eastAsia="仿宋_GB2312" w:cs="宋体"/>
          <w:color w:val="000000"/>
          <w:kern w:val="0"/>
          <w:sz w:val="32"/>
          <w:szCs w:val="32"/>
          <w:shd w:val="clear" w:color="auto" w:fill="FFFFFF"/>
          <w:lang w:val="zh-CN"/>
        </w:rPr>
        <w:t>（一）评价结论。</w:t>
      </w:r>
      <w:r>
        <w:rPr>
          <w:rFonts w:hint="eastAsia" w:ascii="仿宋" w:hAnsi="仿宋" w:eastAsia="仿宋" w:cs="仿宋"/>
          <w:i w:val="0"/>
          <w:caps w:val="0"/>
          <w:color w:val="auto"/>
          <w:spacing w:val="0"/>
          <w:kern w:val="2"/>
          <w:sz w:val="32"/>
          <w:szCs w:val="32"/>
          <w:shd w:val="clear" w:fill="FFFFFF"/>
          <w:lang w:val="en-US" w:eastAsia="zh-CN" w:bidi="ar-SA"/>
        </w:rPr>
        <w:t>2020年，我街严格按照年初预算批复认真组织实施, 严格执行财经纪律相关管理规定，做到各项收支安排使用符合事业发展计划和财政政策的要求，确保了单位正常运行和重大项目的实施，较好地完成了2020年部门预算编制和决算汇总工作, 2020年目标任务基本完成，综合得分95分，部门整体支出绩效执行良好。</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color w:val="000000"/>
          <w:kern w:val="0"/>
          <w:sz w:val="32"/>
          <w:szCs w:val="32"/>
          <w:shd w:val="clear" w:color="auto" w:fill="FFFFFF"/>
          <w:lang w:val="zh-CN"/>
        </w:rPr>
        <w:t>（二）存在问题。</w:t>
      </w:r>
      <w:r>
        <w:rPr>
          <w:rFonts w:hint="eastAsia" w:ascii="仿宋" w:hAnsi="仿宋" w:eastAsia="仿宋" w:cs="仿宋"/>
          <w:i w:val="0"/>
          <w:caps w:val="0"/>
          <w:color w:val="auto"/>
          <w:spacing w:val="0"/>
          <w:kern w:val="2"/>
          <w:sz w:val="32"/>
          <w:szCs w:val="32"/>
          <w:shd w:val="clear" w:fill="FFFFFF"/>
          <w:lang w:val="en-US" w:eastAsia="zh-CN" w:bidi="ar-SA"/>
        </w:rPr>
        <w:t>存在预算编制相对不够完善,经费使用上存在挤占现象，绩效管理工作有待加强等问题。</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555555"/>
          <w:spacing w:val="0"/>
          <w:sz w:val="30"/>
          <w:szCs w:val="30"/>
          <w:highlight w:val="none"/>
          <w:shd w:val="clear" w:fill="FFFFFF"/>
          <w:lang w:val="en-US" w:eastAsia="zh-CN"/>
        </w:rPr>
      </w:pPr>
      <w:r>
        <w:rPr>
          <w:rFonts w:hint="eastAsia" w:ascii="仿宋" w:hAnsi="仿宋" w:eastAsia="仿宋" w:cs="仿宋"/>
          <w:color w:val="000000"/>
          <w:kern w:val="0"/>
          <w:sz w:val="32"/>
          <w:szCs w:val="32"/>
          <w:shd w:val="clear" w:color="auto" w:fill="FFFFFF"/>
          <w:lang w:val="zh-CN"/>
        </w:rPr>
        <w:t>（三）改进建议。</w:t>
      </w:r>
      <w:r>
        <w:rPr>
          <w:rFonts w:hint="eastAsia" w:ascii="仿宋" w:hAnsi="仿宋" w:eastAsia="仿宋" w:cs="仿宋"/>
          <w:i w:val="0"/>
          <w:caps w:val="0"/>
          <w:color w:val="auto"/>
          <w:spacing w:val="0"/>
          <w:kern w:val="2"/>
          <w:sz w:val="32"/>
          <w:szCs w:val="32"/>
          <w:shd w:val="clear" w:fill="FFFFFF"/>
          <w:lang w:val="en-US" w:eastAsia="zh-CN" w:bidi="ar-SA"/>
        </w:rPr>
        <w:t>进一步完善预算编制，加强绩效管理工</w:t>
      </w:r>
      <w:r>
        <w:rPr>
          <w:rFonts w:hint="eastAsia" w:ascii="仿宋" w:hAnsi="仿宋" w:eastAsia="仿宋" w:cs="仿宋"/>
          <w:i w:val="0"/>
          <w:caps w:val="0"/>
          <w:color w:val="555555"/>
          <w:spacing w:val="0"/>
          <w:sz w:val="30"/>
          <w:szCs w:val="30"/>
          <w:highlight w:val="none"/>
          <w:shd w:val="clear" w:fill="FFFFFF"/>
          <w:lang w:val="en-US" w:eastAsia="zh-CN"/>
        </w:rPr>
        <w:t>作。</w:t>
      </w:r>
    </w:p>
    <w:p>
      <w:pPr>
        <w:pStyle w:val="2"/>
        <w:rPr>
          <w:rFonts w:hint="eastAsia"/>
        </w:rPr>
      </w:pPr>
    </w:p>
    <w:p>
      <w:pPr>
        <w:spacing w:line="580" w:lineRule="exact"/>
        <w:ind w:firstLine="640" w:firstLineChars="200"/>
        <w:rPr>
          <w:rFonts w:ascii="仿宋_GB2312" w:hAnsi="仿宋_GB2312" w:eastAsia="仿宋_GB2312" w:cs="仿宋_GB2312"/>
          <w:sz w:val="32"/>
          <w:szCs w:val="32"/>
        </w:rPr>
      </w:pPr>
    </w:p>
    <w:p>
      <w:pPr>
        <w:spacing w:line="580" w:lineRule="exact"/>
        <w:outlineLvl w:val="1"/>
        <w:rPr>
          <w:rFonts w:ascii="仿宋_GB2312" w:hAnsi="仿宋_GB2312" w:eastAsia="仿宋_GB2312" w:cs="仿宋_GB2312"/>
          <w:sz w:val="32"/>
          <w:szCs w:val="32"/>
        </w:rPr>
      </w:pPr>
      <w:bookmarkStart w:id="66" w:name="_Toc11602"/>
      <w:r>
        <w:rPr>
          <w:rFonts w:hint="eastAsia" w:ascii="黑体" w:hAnsi="黑体" w:eastAsia="黑体" w:cs="黑体"/>
          <w:sz w:val="32"/>
          <w:szCs w:val="32"/>
        </w:rPr>
        <w:t>附件</w:t>
      </w:r>
      <w:r>
        <w:rPr>
          <w:rFonts w:ascii="黑体" w:hAnsi="黑体" w:eastAsia="黑体" w:cs="黑体"/>
          <w:sz w:val="32"/>
          <w:szCs w:val="32"/>
        </w:rPr>
        <w:t>2</w:t>
      </w:r>
      <w:bookmarkEnd w:id="66"/>
    </w:p>
    <w:p>
      <w:pPr>
        <w:spacing w:line="600" w:lineRule="exact"/>
        <w:jc w:val="both"/>
        <w:rPr>
          <w:rFonts w:hint="eastAsia" w:ascii="仿宋" w:hAnsi="仿宋" w:eastAsia="仿宋" w:cs="仿宋"/>
          <w:color w:val="000000"/>
          <w:kern w:val="0"/>
          <w:sz w:val="30"/>
          <w:szCs w:val="30"/>
          <w:lang w:val="zh-CN"/>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自流井区</w:t>
      </w:r>
      <w:r>
        <w:rPr>
          <w:rFonts w:hint="eastAsia" w:ascii="方正小标宋简体" w:hAnsi="宋体" w:eastAsia="方正小标宋简体"/>
          <w:color w:val="000000"/>
          <w:kern w:val="0"/>
          <w:sz w:val="44"/>
          <w:szCs w:val="44"/>
          <w:lang w:val="en-US" w:eastAsia="zh-CN"/>
        </w:rPr>
        <w:t>舒坪</w:t>
      </w:r>
      <w:r>
        <w:rPr>
          <w:rFonts w:hint="eastAsia" w:ascii="方正小标宋简体" w:hAnsi="宋体" w:eastAsia="方正小标宋简体"/>
          <w:color w:val="000000"/>
          <w:kern w:val="0"/>
          <w:sz w:val="44"/>
          <w:szCs w:val="44"/>
        </w:rPr>
        <w:t>街道</w:t>
      </w:r>
      <w:r>
        <w:rPr>
          <w:rFonts w:hint="eastAsia" w:ascii="方正小标宋简体" w:hAnsi="宋体" w:eastAsia="方正小标宋简体"/>
          <w:color w:val="000000"/>
          <w:kern w:val="0"/>
          <w:sz w:val="44"/>
          <w:szCs w:val="44"/>
          <w:lang w:val="en-US" w:eastAsia="zh-CN"/>
        </w:rPr>
        <w:t>办事处水体-农村生活污水治理“千村示范工程”</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en-US" w:eastAsia="zh-CN"/>
        </w:rPr>
        <w:t>水体-农村生活污水治理“千村示范工程”</w:t>
      </w:r>
      <w:r>
        <w:rPr>
          <w:rFonts w:hint="eastAsia" w:ascii="仿宋_GB2312" w:hAnsi="宋体" w:eastAsia="仿宋_GB2312"/>
          <w:sz w:val="32"/>
          <w:szCs w:val="32"/>
          <w:lang w:val="zh-CN"/>
        </w:rPr>
        <w:t>项目是</w:t>
      </w:r>
      <w:r>
        <w:rPr>
          <w:rFonts w:hint="eastAsia" w:ascii="仿宋_GB2312" w:hAnsi="宋体"/>
          <w:sz w:val="32"/>
          <w:szCs w:val="32"/>
          <w:lang w:val="en-US" w:eastAsia="zh-CN"/>
        </w:rPr>
        <w:t>舒坪街道办事处</w:t>
      </w:r>
      <w:r>
        <w:rPr>
          <w:rFonts w:hint="eastAsia" w:ascii="仿宋_GB2312" w:hAnsi="宋体" w:eastAsia="仿宋_GB2312"/>
          <w:sz w:val="32"/>
          <w:szCs w:val="32"/>
          <w:lang w:val="zh-CN"/>
        </w:rPr>
        <w:t>开展的项目之一，建立长效机制，在项目完成率较高的基础上，才能有效发挥职能效用的最大化。</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lang w:val="zh-CN"/>
        </w:rPr>
        <w:t>．项目资金申报相符性。该项目申报内容与具体实施内容相符、申报目标是合理可行的。</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．建立目标绩效</w:t>
      </w:r>
      <w:r>
        <w:rPr>
          <w:rFonts w:hint="eastAsia" w:ascii="仿宋_GB2312" w:hAnsi="宋体"/>
          <w:sz w:val="32"/>
          <w:szCs w:val="32"/>
          <w:lang w:val="en-US" w:eastAsia="zh-CN"/>
        </w:rPr>
        <w:t>监督</w:t>
      </w:r>
      <w:r>
        <w:rPr>
          <w:rFonts w:hint="eastAsia" w:ascii="仿宋_GB2312" w:hAnsi="宋体" w:eastAsia="仿宋_GB2312"/>
          <w:sz w:val="32"/>
          <w:szCs w:val="32"/>
          <w:lang w:val="zh-CN"/>
        </w:rPr>
        <w:t>机制，对</w:t>
      </w:r>
      <w:r>
        <w:rPr>
          <w:rFonts w:hint="eastAsia" w:ascii="仿宋_GB2312" w:hAnsi="宋体"/>
          <w:sz w:val="32"/>
          <w:szCs w:val="32"/>
          <w:lang w:val="en-US" w:eastAsia="zh-CN"/>
        </w:rPr>
        <w:t>水体-农村生活污水治理“千村示范工程”项目工作的完成</w:t>
      </w:r>
      <w:r>
        <w:rPr>
          <w:rFonts w:hint="eastAsia" w:ascii="仿宋_GB2312" w:hAnsi="宋体" w:eastAsia="仿宋_GB2312"/>
          <w:sz w:val="32"/>
          <w:szCs w:val="32"/>
          <w:lang w:val="zh-CN"/>
        </w:rPr>
        <w:t>情况进行定期</w:t>
      </w:r>
      <w:r>
        <w:rPr>
          <w:rFonts w:hint="eastAsia" w:ascii="仿宋_GB2312" w:hAnsi="宋体"/>
          <w:sz w:val="32"/>
          <w:szCs w:val="32"/>
          <w:lang w:val="en-US" w:eastAsia="zh-CN"/>
        </w:rPr>
        <w:t>监督</w:t>
      </w:r>
      <w:r>
        <w:rPr>
          <w:rFonts w:hint="eastAsia" w:ascii="仿宋_GB2312" w:hAnsi="宋体" w:eastAsia="仿宋_GB2312"/>
          <w:sz w:val="32"/>
          <w:szCs w:val="32"/>
          <w:lang w:val="zh-CN"/>
        </w:rPr>
        <w:t>，提高工作效率，提升项目的</w:t>
      </w:r>
      <w:r>
        <w:rPr>
          <w:rFonts w:hint="eastAsia" w:ascii="仿宋_GB2312" w:hAnsi="宋体"/>
          <w:sz w:val="32"/>
          <w:szCs w:val="32"/>
          <w:lang w:val="en-US" w:eastAsia="zh-CN"/>
        </w:rPr>
        <w:t>成本</w:t>
      </w:r>
      <w:r>
        <w:rPr>
          <w:rFonts w:hint="eastAsia" w:ascii="仿宋_GB2312" w:hAnsi="宋体" w:eastAsia="仿宋_GB2312"/>
          <w:sz w:val="32"/>
          <w:szCs w:val="32"/>
          <w:lang w:val="zh-CN"/>
        </w:rPr>
        <w:t>效益和社会效益</w:t>
      </w:r>
      <w:r>
        <w:rPr>
          <w:rFonts w:hint="eastAsia" w:ascii="仿宋_GB2312" w:hAnsi="宋体"/>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4</w:t>
      </w:r>
      <w:r>
        <w:rPr>
          <w:rFonts w:hint="eastAsia" w:ascii="仿宋_GB2312" w:hAnsi="宋体" w:eastAsia="仿宋_GB2312"/>
          <w:sz w:val="32"/>
          <w:szCs w:val="32"/>
          <w:lang w:val="zh-CN"/>
        </w:rPr>
        <w:t>．定期向</w:t>
      </w:r>
      <w:r>
        <w:rPr>
          <w:rFonts w:hint="eastAsia" w:ascii="仿宋_GB2312" w:hAnsi="宋体"/>
          <w:sz w:val="32"/>
          <w:szCs w:val="32"/>
          <w:lang w:val="en-US" w:eastAsia="zh-CN"/>
        </w:rPr>
        <w:t>上级报告该项目</w:t>
      </w:r>
      <w:r>
        <w:rPr>
          <w:rFonts w:hint="eastAsia" w:ascii="仿宋_GB2312" w:hAnsi="宋体" w:eastAsia="仿宋_GB2312"/>
          <w:sz w:val="32"/>
          <w:szCs w:val="32"/>
          <w:lang w:val="zh-CN"/>
        </w:rPr>
        <w:t>工作的开展情况，实行各项指标的有效监控，实现项目的可持续性，提高项目的可执行性。</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en-US" w:eastAsia="zh-CN"/>
        </w:rPr>
      </w:pPr>
      <w:r>
        <w:rPr>
          <w:rFonts w:hint="eastAsia" w:ascii="仿宋_GB2312" w:hAnsi="宋体" w:eastAsia="仿宋_GB2312"/>
          <w:sz w:val="32"/>
          <w:szCs w:val="32"/>
          <w:lang w:val="zh-CN"/>
        </w:rPr>
        <w:t>1．项目主要内容：保障</w:t>
      </w:r>
      <w:r>
        <w:rPr>
          <w:rFonts w:hint="eastAsia" w:ascii="仿宋_GB2312" w:hAnsi="宋体"/>
          <w:sz w:val="32"/>
          <w:szCs w:val="32"/>
          <w:lang w:val="en-US" w:eastAsia="zh-CN"/>
        </w:rPr>
        <w:t>水体-农村生活污水治理“千村示范工程”项目工作</w:t>
      </w:r>
      <w:r>
        <w:rPr>
          <w:rFonts w:hint="eastAsia" w:ascii="仿宋_GB2312" w:hAnsi="宋体" w:eastAsia="仿宋_GB2312"/>
          <w:sz w:val="32"/>
          <w:szCs w:val="32"/>
          <w:lang w:val="zh-CN"/>
        </w:rPr>
        <w:t>费用支出</w:t>
      </w:r>
      <w:r>
        <w:rPr>
          <w:rFonts w:hint="eastAsia" w:ascii="仿宋_GB2312" w:hAnsi="宋体"/>
          <w:sz w:val="32"/>
          <w:szCs w:val="32"/>
          <w:lang w:val="en-US" w:eastAsia="zh-CN"/>
        </w:rPr>
        <w:t>。</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2．项目目标：保障</w:t>
      </w:r>
      <w:r>
        <w:rPr>
          <w:rFonts w:hint="eastAsia" w:ascii="仿宋_GB2312" w:hAnsi="宋体"/>
          <w:sz w:val="32"/>
          <w:szCs w:val="32"/>
          <w:lang w:val="en-US" w:eastAsia="zh-CN"/>
        </w:rPr>
        <w:t>该项目</w:t>
      </w:r>
      <w:r>
        <w:rPr>
          <w:rFonts w:hint="eastAsia" w:ascii="仿宋_GB2312" w:hAnsi="宋体" w:eastAsia="仿宋_GB2312"/>
          <w:sz w:val="32"/>
          <w:szCs w:val="32"/>
          <w:lang w:val="zh-CN"/>
        </w:rPr>
        <w:t>工作的</w:t>
      </w:r>
      <w:r>
        <w:rPr>
          <w:rFonts w:hint="eastAsia" w:ascii="仿宋_GB2312" w:hAnsi="宋体"/>
          <w:sz w:val="32"/>
          <w:szCs w:val="32"/>
          <w:lang w:val="en-US" w:eastAsia="zh-CN"/>
        </w:rPr>
        <w:t>顺利</w:t>
      </w:r>
      <w:r>
        <w:rPr>
          <w:rFonts w:hint="eastAsia" w:ascii="仿宋_GB2312" w:hAnsi="宋体" w:eastAsia="仿宋_GB2312"/>
          <w:sz w:val="32"/>
          <w:szCs w:val="32"/>
          <w:lang w:val="zh-CN"/>
        </w:rPr>
        <w:t>开展，</w:t>
      </w:r>
      <w:r>
        <w:rPr>
          <w:rFonts w:hint="eastAsia" w:ascii="仿宋_GB2312" w:hAnsi="宋体"/>
          <w:sz w:val="32"/>
          <w:szCs w:val="32"/>
          <w:lang w:val="zh-CN"/>
        </w:rPr>
        <w:t>促进提高群众理解度和满意度。</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3．项目申报内容与实际相符，申报目标合理可行。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自流井区舒坪街道办事处</w:t>
      </w:r>
      <w:r>
        <w:rPr>
          <w:rFonts w:hint="eastAsia" w:ascii="仿宋_GB2312" w:hAnsi="宋体" w:eastAsia="仿宋_GB2312"/>
          <w:sz w:val="32"/>
          <w:szCs w:val="32"/>
          <w:lang w:val="zh-CN"/>
        </w:rPr>
        <w:t>对单位项目实施绩效评价，运用成本效益分析法、比较法、公众评判法提高绩效评估评价结果的客观性和准确性，建立分层次的核心绩效指标和标准体系，实现科学合理、细化量化、可比可测。进一步规范</w:t>
      </w:r>
      <w:r>
        <w:rPr>
          <w:rFonts w:hint="eastAsia" w:ascii="仿宋_GB2312" w:hAnsi="宋体"/>
          <w:sz w:val="32"/>
          <w:szCs w:val="32"/>
          <w:lang w:val="en-US" w:eastAsia="zh-CN"/>
        </w:rPr>
        <w:t>项目资金使用</w:t>
      </w:r>
      <w:r>
        <w:rPr>
          <w:rFonts w:hint="eastAsia" w:ascii="仿宋_GB2312" w:hAnsi="宋体" w:eastAsia="仿宋_GB2312"/>
          <w:sz w:val="32"/>
          <w:szCs w:val="32"/>
          <w:lang w:val="zh-CN"/>
        </w:rPr>
        <w:t>，有效</w:t>
      </w:r>
      <w:r>
        <w:rPr>
          <w:rFonts w:hint="eastAsia" w:ascii="仿宋_GB2312" w:hAnsi="宋体"/>
          <w:sz w:val="32"/>
          <w:szCs w:val="32"/>
          <w:lang w:val="en-US" w:eastAsia="zh-CN"/>
        </w:rPr>
        <w:t>保障该项目工作的开展。</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lang w:val="zh-CN"/>
        </w:rPr>
      </w:pPr>
      <w:r>
        <w:rPr>
          <w:rFonts w:hint="eastAsia" w:ascii="仿宋_GB2312" w:hAnsi="宋体" w:eastAsia="仿宋_GB2312"/>
          <w:sz w:val="32"/>
          <w:szCs w:val="32"/>
          <w:lang w:val="zh-CN"/>
        </w:rPr>
        <w:t>项目资金</w:t>
      </w:r>
      <w:r>
        <w:rPr>
          <w:rFonts w:hint="eastAsia" w:ascii="仿宋_GB2312" w:hAnsi="宋体"/>
          <w:sz w:val="32"/>
          <w:szCs w:val="32"/>
          <w:lang w:val="en-US" w:eastAsia="zh-CN"/>
        </w:rPr>
        <w:t>25</w:t>
      </w:r>
      <w:r>
        <w:rPr>
          <w:rFonts w:hint="eastAsia" w:ascii="仿宋_GB2312" w:hAnsi="宋体" w:eastAsia="仿宋_GB2312"/>
          <w:sz w:val="32"/>
          <w:szCs w:val="32"/>
          <w:lang w:val="en-US" w:eastAsia="zh-CN"/>
        </w:rPr>
        <w:t>万元，项目资金符合国家财经法规和财务管理制度及有关专项资金管理办法规定。</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w:t>
      </w:r>
    </w:p>
    <w:p>
      <w:pPr>
        <w:adjustRightInd w:val="0"/>
        <w:snapToGrid w:val="0"/>
        <w:spacing w:line="600" w:lineRule="exact"/>
        <w:ind w:firstLine="720"/>
        <w:rPr>
          <w:rFonts w:hint="eastAsia" w:ascii="仿宋_GB2312" w:hAnsi="仿宋_GB2312" w:cs="仿宋_GB2312"/>
          <w:sz w:val="32"/>
          <w:szCs w:val="32"/>
          <w:lang w:val="zh-CN"/>
        </w:rPr>
      </w:pPr>
      <w:r>
        <w:rPr>
          <w:rFonts w:hint="eastAsia" w:ascii="仿宋_GB2312" w:hAnsi="仿宋_GB2312" w:eastAsia="仿宋_GB2312" w:cs="仿宋_GB2312"/>
          <w:sz w:val="32"/>
          <w:szCs w:val="32"/>
          <w:lang w:val="zh-CN"/>
        </w:rPr>
        <w:t>1.资金计划。</w:t>
      </w:r>
      <w:r>
        <w:rPr>
          <w:rFonts w:hint="eastAsia" w:ascii="仿宋_GB2312" w:hAnsi="仿宋_GB2312" w:cs="仿宋_GB2312"/>
          <w:sz w:val="32"/>
          <w:szCs w:val="32"/>
          <w:lang w:val="en-US" w:eastAsia="zh-CN"/>
        </w:rPr>
        <w:t>向上级申请的项目资金，</w:t>
      </w:r>
      <w:r>
        <w:rPr>
          <w:rFonts w:hint="eastAsia" w:ascii="仿宋_GB2312" w:hAnsi="仿宋_GB2312" w:eastAsia="仿宋_GB2312" w:cs="仿宋_GB2312"/>
          <w:sz w:val="32"/>
          <w:szCs w:val="32"/>
          <w:lang w:val="zh-CN"/>
        </w:rPr>
        <w:t>2020年</w:t>
      </w:r>
      <w:r>
        <w:rPr>
          <w:rFonts w:hint="eastAsia" w:ascii="仿宋_GB2312" w:hAnsi="仿宋_GB2312" w:cs="仿宋_GB2312"/>
          <w:sz w:val="32"/>
          <w:szCs w:val="32"/>
          <w:lang w:val="en-US" w:eastAsia="zh-CN"/>
        </w:rPr>
        <w:t>为25</w:t>
      </w:r>
      <w:r>
        <w:rPr>
          <w:rFonts w:hint="eastAsia" w:ascii="仿宋_GB2312" w:hAnsi="仿宋_GB2312" w:eastAsia="仿宋_GB2312" w:cs="仿宋_GB2312"/>
          <w:sz w:val="32"/>
          <w:szCs w:val="32"/>
          <w:lang w:val="zh-CN"/>
        </w:rPr>
        <w:t>万元</w:t>
      </w:r>
      <w:r>
        <w:rPr>
          <w:rFonts w:hint="eastAsia" w:ascii="仿宋_GB2312" w:hAnsi="仿宋_GB2312" w:cs="仿宋_GB2312"/>
          <w:sz w:val="32"/>
          <w:szCs w:val="32"/>
          <w:lang w:val="zh-CN"/>
        </w:rPr>
        <w:t>。</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2.资金到位。资金到位率高、到位及时。</w:t>
      </w:r>
    </w:p>
    <w:p>
      <w:pPr>
        <w:adjustRightInd w:val="0"/>
        <w:snapToGrid w:val="0"/>
        <w:spacing w:line="600" w:lineRule="exact"/>
        <w:ind w:firstLine="720"/>
        <w:rPr>
          <w:rFonts w:hint="eastAsia" w:ascii="仿宋_GB2312" w:hAnsi="仿宋_GB2312" w:cs="仿宋_GB2312"/>
          <w:sz w:val="32"/>
          <w:szCs w:val="32"/>
          <w:lang w:val="zh-CN"/>
        </w:rPr>
      </w:pPr>
      <w:r>
        <w:rPr>
          <w:rFonts w:hint="eastAsia" w:ascii="仿宋_GB2312" w:hAnsi="仿宋_GB2312" w:eastAsia="仿宋_GB2312" w:cs="仿宋_GB2312"/>
          <w:sz w:val="32"/>
          <w:szCs w:val="32"/>
          <w:lang w:val="zh-CN"/>
        </w:rPr>
        <w:t>3.资金使用。该项目资金使用保障了安全性、规范性及有效性，资金支付范围、支付标准、支付进度、支付依据等合规合法</w:t>
      </w:r>
      <w:r>
        <w:rPr>
          <w:rFonts w:hint="eastAsia" w:ascii="仿宋_GB2312" w:hAnsi="仿宋_GB2312" w:cs="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en-US" w:eastAsia="zh-CN"/>
        </w:rPr>
        <w:t>我单位</w:t>
      </w:r>
      <w:r>
        <w:rPr>
          <w:rFonts w:hint="eastAsia" w:ascii="仿宋_GB2312" w:hAnsi="宋体" w:eastAsia="仿宋_GB2312"/>
          <w:sz w:val="32"/>
          <w:szCs w:val="32"/>
          <w:lang w:val="zh-CN"/>
        </w:rPr>
        <w:t>按照十九大关于“全面实施绩效管理”的精神，树立绩效意识，把握绩效导向的管理趋势，实施绩效评价；单位财务管理制度健全，内部控制制度健全完整并执行良好，账务处理及时，会计核算规范。</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numPr>
          <w:ilvl w:val="0"/>
          <w:numId w:val="7"/>
        </w:numPr>
        <w:adjustRightInd w:val="0"/>
        <w:snapToGrid w:val="0"/>
        <w:spacing w:line="600" w:lineRule="exact"/>
        <w:ind w:firstLine="720"/>
        <w:rPr>
          <w:lang w:val="zh-CN"/>
        </w:rPr>
      </w:pPr>
      <w:r>
        <w:rPr>
          <w:rFonts w:hint="eastAsia" w:ascii="楷体_GB2312" w:hAnsi="宋体" w:eastAsia="楷体_GB2312"/>
          <w:b/>
          <w:sz w:val="32"/>
          <w:szCs w:val="32"/>
          <w:lang w:val="zh-CN"/>
        </w:rPr>
        <w:t>项目组织架构及实施流程。</w:t>
      </w:r>
      <w:r>
        <w:rPr>
          <w:rFonts w:hint="eastAsia" w:ascii="仿宋_GB2312" w:hAnsi="宋体" w:eastAsia="仿宋_GB2312" w:cs="Times New Roman"/>
          <w:sz w:val="32"/>
          <w:szCs w:val="32"/>
          <w:highlight w:val="none"/>
          <w:lang w:val="zh-CN" w:eastAsia="zh-CN"/>
        </w:rPr>
        <w:t>项目主要采取</w:t>
      </w:r>
      <w:r>
        <w:rPr>
          <w:rFonts w:hint="eastAsia" w:ascii="仿宋_GB2312" w:hAnsi="宋体" w:cs="Times New Roman"/>
          <w:sz w:val="32"/>
          <w:szCs w:val="32"/>
          <w:highlight w:val="none"/>
          <w:lang w:val="en-US" w:eastAsia="zh-CN"/>
        </w:rPr>
        <w:t>实际发生—凭票报销—领导审核</w:t>
      </w:r>
      <w:r>
        <w:rPr>
          <w:rFonts w:hint="eastAsia" w:ascii="仿宋_GB2312" w:hAnsi="宋体" w:eastAsia="仿宋_GB2312" w:cs="Times New Roman"/>
          <w:sz w:val="32"/>
          <w:szCs w:val="32"/>
          <w:highlight w:val="none"/>
          <w:lang w:val="zh-CN" w:eastAsia="zh-CN"/>
        </w:rPr>
        <w:t>方式实现支出。</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（二）项目管理情况。</w:t>
      </w:r>
      <w:r>
        <w:rPr>
          <w:rFonts w:hint="eastAsia" w:ascii="仿宋_GB2312" w:hAnsi="宋体" w:cs="Times New Roman"/>
          <w:sz w:val="32"/>
          <w:szCs w:val="32"/>
          <w:highlight w:val="none"/>
          <w:lang w:val="en-US" w:eastAsia="zh-CN"/>
        </w:rPr>
        <w:t>我</w:t>
      </w:r>
      <w:r>
        <w:rPr>
          <w:rFonts w:hint="eastAsia" w:ascii="仿宋_GB2312" w:hAnsi="宋体" w:eastAsia="仿宋_GB2312" w:cs="Times New Roman"/>
          <w:sz w:val="32"/>
          <w:szCs w:val="32"/>
          <w:highlight w:val="none"/>
          <w:lang w:val="zh-CN" w:eastAsia="zh-CN"/>
        </w:rPr>
        <w:t>单位执行严格按照相关法律法规和内控制度对项目实施管理。</w:t>
      </w:r>
    </w:p>
    <w:p>
      <w:pPr>
        <w:adjustRightInd w:val="0"/>
        <w:snapToGrid w:val="0"/>
        <w:spacing w:line="600" w:lineRule="exact"/>
        <w:ind w:firstLine="643" w:firstLineChars="200"/>
        <w:rPr>
          <w:rFonts w:hint="eastAsia" w:ascii="楷体_GB2312" w:hAnsi="宋体" w:eastAsia="楷体_GB2312"/>
          <w:b/>
          <w:sz w:val="32"/>
          <w:szCs w:val="32"/>
          <w:lang w:val="zh-CN"/>
        </w:rPr>
      </w:pPr>
      <w:r>
        <w:rPr>
          <w:rFonts w:hint="eastAsia" w:ascii="楷体_GB2312" w:hAnsi="宋体" w:eastAsia="楷体_GB2312"/>
          <w:b/>
          <w:sz w:val="32"/>
          <w:szCs w:val="32"/>
          <w:lang w:val="zh-CN"/>
        </w:rPr>
        <w:t>（三）项目监管情况。</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cs="Times New Roman"/>
          <w:sz w:val="32"/>
          <w:szCs w:val="32"/>
          <w:highlight w:val="none"/>
          <w:lang w:val="en-US" w:eastAsia="zh-CN"/>
        </w:rPr>
        <w:t>舒坪街道办事处加</w:t>
      </w:r>
      <w:r>
        <w:rPr>
          <w:rFonts w:hint="eastAsia" w:ascii="仿宋_GB2312" w:hAnsi="宋体" w:eastAsia="仿宋_GB2312" w:cs="Times New Roman"/>
          <w:sz w:val="32"/>
          <w:szCs w:val="32"/>
          <w:highlight w:val="none"/>
          <w:lang w:val="zh-CN" w:eastAsia="zh-CN"/>
        </w:rPr>
        <w:t>强项目管理．</w:t>
      </w:r>
      <w:r>
        <w:rPr>
          <w:rFonts w:hint="eastAsia" w:ascii="仿宋_GB2312" w:hAnsi="宋体" w:eastAsia="仿宋_GB2312"/>
          <w:sz w:val="32"/>
          <w:szCs w:val="32"/>
          <w:lang w:val="zh-CN"/>
        </w:rPr>
        <w:t>建立目标绩效</w:t>
      </w:r>
      <w:r>
        <w:rPr>
          <w:rFonts w:hint="eastAsia" w:ascii="仿宋_GB2312" w:hAnsi="宋体"/>
          <w:sz w:val="32"/>
          <w:szCs w:val="32"/>
          <w:lang w:val="en-US" w:eastAsia="zh-CN"/>
        </w:rPr>
        <w:t>监督</w:t>
      </w:r>
      <w:r>
        <w:rPr>
          <w:rFonts w:hint="eastAsia" w:ascii="仿宋_GB2312" w:hAnsi="宋体" w:eastAsia="仿宋_GB2312"/>
          <w:sz w:val="32"/>
          <w:szCs w:val="32"/>
          <w:lang w:val="zh-CN"/>
        </w:rPr>
        <w:t>机制</w:t>
      </w:r>
      <w:r>
        <w:rPr>
          <w:rFonts w:hint="eastAsia" w:ascii="仿宋_GB2312" w:hAnsi="宋体" w:eastAsia="仿宋_GB2312" w:cs="Times New Roman"/>
          <w:sz w:val="32"/>
          <w:szCs w:val="32"/>
          <w:highlight w:val="none"/>
          <w:lang w:val="zh-CN" w:eastAsia="zh-CN"/>
        </w:rPr>
        <w:t>，对</w:t>
      </w:r>
      <w:r>
        <w:rPr>
          <w:rFonts w:hint="eastAsia" w:ascii="仿宋_GB2312" w:hAnsi="宋体" w:cs="Times New Roman"/>
          <w:sz w:val="32"/>
          <w:szCs w:val="32"/>
          <w:highlight w:val="none"/>
          <w:lang w:val="en-US" w:eastAsia="zh-CN"/>
        </w:rPr>
        <w:t>项目</w:t>
      </w:r>
      <w:r>
        <w:rPr>
          <w:rFonts w:hint="eastAsia" w:ascii="仿宋_GB2312" w:hAnsi="宋体" w:eastAsia="仿宋_GB2312" w:cs="Times New Roman"/>
          <w:sz w:val="32"/>
          <w:szCs w:val="32"/>
          <w:highlight w:val="none"/>
          <w:lang w:val="zh-CN" w:eastAsia="zh-CN"/>
        </w:rPr>
        <w:t>工作</w:t>
      </w:r>
      <w:r>
        <w:rPr>
          <w:rFonts w:hint="eastAsia" w:ascii="仿宋_GB2312" w:hAnsi="宋体" w:cs="Times New Roman"/>
          <w:sz w:val="32"/>
          <w:szCs w:val="32"/>
          <w:highlight w:val="none"/>
          <w:lang w:val="en-US" w:eastAsia="zh-CN"/>
        </w:rPr>
        <w:t>完成</w:t>
      </w:r>
      <w:r>
        <w:rPr>
          <w:rFonts w:hint="eastAsia" w:ascii="仿宋_GB2312" w:hAnsi="宋体" w:eastAsia="仿宋_GB2312" w:cs="Times New Roman"/>
          <w:sz w:val="32"/>
          <w:szCs w:val="32"/>
          <w:highlight w:val="none"/>
          <w:lang w:val="zh-CN" w:eastAsia="zh-CN"/>
        </w:rPr>
        <w:t>情况进行定期</w:t>
      </w:r>
      <w:r>
        <w:rPr>
          <w:rFonts w:hint="eastAsia" w:ascii="仿宋_GB2312" w:hAnsi="宋体" w:cs="Times New Roman"/>
          <w:sz w:val="32"/>
          <w:szCs w:val="32"/>
          <w:highlight w:val="none"/>
          <w:lang w:val="en-US" w:eastAsia="zh-CN"/>
        </w:rPr>
        <w:t>监督</w:t>
      </w:r>
      <w:r>
        <w:rPr>
          <w:rFonts w:hint="eastAsia" w:ascii="仿宋_GB2312" w:hAnsi="宋体" w:eastAsia="仿宋_GB2312" w:cs="Times New Roman"/>
          <w:sz w:val="32"/>
          <w:szCs w:val="32"/>
          <w:highlight w:val="none"/>
          <w:lang w:val="zh-CN" w:eastAsia="zh-CN"/>
        </w:rPr>
        <w:t>，提高工作效率。</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en-US" w:eastAsia="zh-CN"/>
        </w:rPr>
        <w:t>舒坪街道办事处水体-农村生活污水治理“千村示范工程”</w:t>
      </w:r>
      <w:r>
        <w:rPr>
          <w:rFonts w:hint="eastAsia" w:ascii="仿宋_GB2312" w:hAnsi="宋体" w:eastAsia="仿宋_GB2312"/>
          <w:sz w:val="32"/>
          <w:szCs w:val="32"/>
          <w:lang w:val="zh-CN"/>
        </w:rPr>
        <w:t>项目</w:t>
      </w:r>
      <w:r>
        <w:rPr>
          <w:rFonts w:hint="eastAsia" w:ascii="仿宋_GB2312" w:hAnsi="宋体"/>
          <w:sz w:val="32"/>
          <w:szCs w:val="32"/>
          <w:lang w:val="en-US" w:eastAsia="zh-CN"/>
        </w:rPr>
        <w:t>金额25</w:t>
      </w:r>
      <w:r>
        <w:rPr>
          <w:rFonts w:hint="eastAsia" w:ascii="仿宋_GB2312" w:hAnsi="宋体" w:eastAsia="仿宋_GB2312"/>
          <w:sz w:val="32"/>
          <w:szCs w:val="32"/>
          <w:lang w:val="zh-CN"/>
        </w:rPr>
        <w:t>万元，执行数为</w:t>
      </w:r>
      <w:r>
        <w:rPr>
          <w:rFonts w:hint="eastAsia" w:ascii="仿宋_GB2312" w:hAnsi="宋体"/>
          <w:sz w:val="32"/>
          <w:szCs w:val="32"/>
          <w:lang w:val="en-US" w:eastAsia="zh-CN"/>
        </w:rPr>
        <w:t>25</w:t>
      </w:r>
      <w:r>
        <w:rPr>
          <w:rFonts w:hint="eastAsia" w:ascii="仿宋_GB2312" w:hAnsi="宋体" w:eastAsia="仿宋_GB2312"/>
          <w:sz w:val="32"/>
          <w:szCs w:val="32"/>
          <w:lang w:val="zh-CN"/>
        </w:rPr>
        <w:t>万元，完成预算的100%。通过项目实施，有效保障全年</w:t>
      </w:r>
      <w:r>
        <w:rPr>
          <w:rFonts w:hint="eastAsia" w:ascii="仿宋_GB2312" w:hAnsi="宋体"/>
          <w:sz w:val="32"/>
          <w:szCs w:val="32"/>
          <w:lang w:val="en-US" w:eastAsia="zh-CN"/>
        </w:rPr>
        <w:t>该项目</w:t>
      </w:r>
      <w:r>
        <w:rPr>
          <w:rFonts w:hint="eastAsia" w:ascii="仿宋_GB2312" w:hAnsi="宋体" w:eastAsia="仿宋_GB2312"/>
          <w:sz w:val="32"/>
          <w:szCs w:val="32"/>
          <w:lang w:val="zh-CN"/>
        </w:rPr>
        <w:t>工作</w:t>
      </w:r>
      <w:r>
        <w:rPr>
          <w:rFonts w:hint="eastAsia" w:ascii="仿宋_GB2312" w:hAnsi="宋体"/>
          <w:sz w:val="32"/>
          <w:szCs w:val="32"/>
          <w:lang w:val="en-US" w:eastAsia="zh-CN"/>
        </w:rPr>
        <w:t>的</w:t>
      </w:r>
      <w:r>
        <w:rPr>
          <w:rFonts w:hint="eastAsia" w:ascii="仿宋_GB2312" w:hAnsi="宋体" w:eastAsia="仿宋_GB2312"/>
          <w:sz w:val="32"/>
          <w:szCs w:val="32"/>
          <w:lang w:val="zh-CN"/>
        </w:rPr>
        <w:t>开展</w:t>
      </w:r>
      <w:r>
        <w:rPr>
          <w:rFonts w:hint="eastAsia" w:ascii="仿宋_GB2312" w:hAnsi="宋体"/>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spacing w:line="592" w:lineRule="exact"/>
        <w:ind w:firstLine="640"/>
        <w:rPr>
          <w:rFonts w:ascii="仿宋_GB2312" w:hAnsi="宋体" w:eastAsia="仿宋_GB2312"/>
          <w:sz w:val="32"/>
          <w:szCs w:val="32"/>
          <w:lang w:val="zh-CN"/>
        </w:rPr>
      </w:pPr>
      <w:r>
        <w:rPr>
          <w:rFonts w:ascii="Times New Roman" w:hAnsi="Times New Roman" w:eastAsia="仿宋_GB2312"/>
        </w:rPr>
        <w:t>农村生活污水治理是一项保护环境、建设和谐社会、造福子孙后代的公用事业工程</w:t>
      </w:r>
      <w:r>
        <w:rPr>
          <w:rFonts w:hint="eastAsia" w:ascii="Times New Roman" w:hAnsi="Times New Roman"/>
          <w:lang w:eastAsia="zh-CN"/>
        </w:rPr>
        <w:t>。</w:t>
      </w:r>
      <w:r>
        <w:rPr>
          <w:rFonts w:hint="eastAsia" w:ascii="仿宋_GB2312" w:hAnsi="宋体"/>
          <w:sz w:val="32"/>
          <w:szCs w:val="32"/>
          <w:lang w:val="en-US" w:eastAsia="zh-CN"/>
        </w:rPr>
        <w:t>项目保障了</w:t>
      </w:r>
      <w:r>
        <w:rPr>
          <w:rFonts w:hint="eastAsia" w:ascii="仿宋_GB2312" w:hAnsi="宋体" w:eastAsia="仿宋_GB2312"/>
          <w:sz w:val="32"/>
          <w:szCs w:val="32"/>
          <w:lang w:val="zh-CN"/>
        </w:rPr>
        <w:t>工作的</w:t>
      </w:r>
      <w:r>
        <w:rPr>
          <w:rFonts w:hint="eastAsia" w:ascii="仿宋_GB2312" w:hAnsi="宋体"/>
          <w:sz w:val="32"/>
          <w:szCs w:val="32"/>
          <w:lang w:val="en-US" w:eastAsia="zh-CN"/>
        </w:rPr>
        <w:t>顺利</w:t>
      </w:r>
      <w:r>
        <w:rPr>
          <w:rFonts w:hint="eastAsia" w:ascii="仿宋_GB2312" w:hAnsi="宋体" w:eastAsia="仿宋_GB2312"/>
          <w:sz w:val="32"/>
          <w:szCs w:val="32"/>
          <w:lang w:val="zh-CN"/>
        </w:rPr>
        <w:t>开展，</w:t>
      </w:r>
      <w:r>
        <w:rPr>
          <w:rFonts w:hint="eastAsia" w:ascii="仿宋_GB2312" w:hAnsi="宋体"/>
          <w:sz w:val="32"/>
          <w:szCs w:val="32"/>
          <w:lang w:val="zh-CN"/>
        </w:rPr>
        <w:t>促进提高群众理解度和满意度，</w:t>
      </w:r>
      <w:r>
        <w:rPr>
          <w:rFonts w:ascii="Times New Roman" w:hAnsi="Times New Roman" w:eastAsia="仿宋_GB2312"/>
        </w:rPr>
        <w:t>对农村生活污水治理项目的推进起到积极的示范作用。</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严格按照区级部门通知和有关要求，部门绩效目标制定完整合理，按绩效目标情况履行职责，按规定及时分配专项</w:t>
      </w:r>
      <w:r>
        <w:rPr>
          <w:rFonts w:hint="eastAsia" w:ascii="仿宋_GB2312" w:hAnsi="宋体"/>
          <w:sz w:val="32"/>
          <w:szCs w:val="32"/>
          <w:lang w:val="en-US" w:eastAsia="zh-CN"/>
        </w:rPr>
        <w:t>资金</w:t>
      </w:r>
      <w:r>
        <w:rPr>
          <w:rFonts w:hint="eastAsia" w:ascii="仿宋_GB2312" w:hAnsi="宋体" w:eastAsia="仿宋_GB2312"/>
          <w:sz w:val="32"/>
          <w:szCs w:val="32"/>
          <w:lang w:val="zh-CN"/>
        </w:rPr>
        <w:t>，按要求严格</w:t>
      </w:r>
      <w:r>
        <w:rPr>
          <w:rFonts w:hint="eastAsia" w:ascii="仿宋_GB2312" w:hAnsi="宋体"/>
          <w:sz w:val="32"/>
          <w:szCs w:val="32"/>
          <w:lang w:val="en-US" w:eastAsia="zh-CN"/>
        </w:rPr>
        <w:t>预算</w:t>
      </w:r>
      <w:r>
        <w:rPr>
          <w:rFonts w:hint="eastAsia" w:ascii="仿宋_GB2312" w:hAnsi="宋体" w:eastAsia="仿宋_GB2312"/>
          <w:sz w:val="32"/>
          <w:szCs w:val="32"/>
          <w:lang w:val="zh-CN"/>
        </w:rPr>
        <w:t>执行管理，无违规记录等情况。该项目自评得分</w:t>
      </w:r>
      <w:r>
        <w:rPr>
          <w:rFonts w:hint="eastAsia" w:ascii="仿宋_GB2312" w:hAnsi="宋体"/>
          <w:sz w:val="32"/>
          <w:szCs w:val="32"/>
          <w:lang w:val="en-US" w:eastAsia="zh-CN"/>
        </w:rPr>
        <w:t>95</w:t>
      </w:r>
      <w:r>
        <w:rPr>
          <w:rFonts w:hint="eastAsia" w:ascii="仿宋_GB2312" w:hAnsi="宋体" w:eastAsia="仿宋_GB2312"/>
          <w:sz w:val="32"/>
          <w:szCs w:val="32"/>
          <w:lang w:val="zh-CN"/>
        </w:rPr>
        <w:t>分。</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i w:val="0"/>
          <w:caps w:val="0"/>
          <w:color w:val="auto"/>
          <w:spacing w:val="0"/>
          <w:kern w:val="2"/>
          <w:sz w:val="32"/>
          <w:szCs w:val="32"/>
          <w:shd w:val="clear" w:fill="FFFFFF"/>
          <w:lang w:val="en-US" w:eastAsia="zh-CN" w:bidi="ar-SA"/>
        </w:rPr>
        <w:t>预算编制相对不够完善,经费使用上存在挤占现象，绩效管理工作有待加强等问题。</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widowControl/>
        <w:adjustRightInd w:val="0"/>
        <w:snapToGrid w:val="0"/>
        <w:spacing w:line="580" w:lineRule="exact"/>
        <w:ind w:firstLine="640" w:firstLineChars="200"/>
        <w:contextualSpacing/>
        <w:jc w:val="left"/>
        <w:rPr>
          <w:rFonts w:hint="eastAsia" w:ascii="黑体" w:hAnsi="黑体" w:eastAsia="黑体"/>
          <w:color w:val="000000"/>
          <w:sz w:val="44"/>
          <w:szCs w:val="44"/>
        </w:rPr>
      </w:pPr>
      <w:r>
        <w:rPr>
          <w:rFonts w:hint="eastAsia" w:ascii="仿宋" w:hAnsi="仿宋" w:eastAsia="仿宋" w:cs="仿宋"/>
          <w:i w:val="0"/>
          <w:caps w:val="0"/>
          <w:color w:val="auto"/>
          <w:spacing w:val="0"/>
          <w:kern w:val="2"/>
          <w:sz w:val="32"/>
          <w:szCs w:val="32"/>
          <w:shd w:val="clear" w:fill="FFFFFF"/>
          <w:lang w:val="en-US" w:eastAsia="zh-CN" w:bidi="ar-SA"/>
        </w:rPr>
        <w:t>进一步完善预算编制，注重财务部门和业务部门的配合，同时加强绩效管理工作。</w:t>
      </w:r>
      <w:bookmarkStart w:id="67" w:name="_Toc15396618"/>
      <w:bookmarkStart w:id="68" w:name="_Toc32283"/>
    </w:p>
    <w:p>
      <w:pPr>
        <w:pStyle w:val="2"/>
        <w:rPr>
          <w:rFonts w:hint="eastAsia" w:ascii="黑体" w:hAnsi="黑体" w:eastAsia="黑体"/>
          <w:color w:val="000000"/>
          <w:sz w:val="44"/>
          <w:szCs w:val="44"/>
        </w:rPr>
      </w:pPr>
    </w:p>
    <w:p>
      <w:pPr>
        <w:pStyle w:val="2"/>
        <w:rPr>
          <w:rFonts w:hint="eastAsia" w:ascii="黑体" w:hAnsi="黑体" w:eastAsia="黑体"/>
          <w:color w:val="000000"/>
          <w:sz w:val="44"/>
          <w:szCs w:val="44"/>
        </w:rPr>
      </w:pPr>
    </w:p>
    <w:p>
      <w:pPr>
        <w:pStyle w:val="2"/>
        <w:rPr>
          <w:rFonts w:hint="eastAsia" w:ascii="黑体" w:hAnsi="黑体" w:eastAsia="黑体"/>
          <w:color w:val="000000"/>
          <w:sz w:val="44"/>
          <w:szCs w:val="44"/>
        </w:rPr>
      </w:pPr>
    </w:p>
    <w:bookmarkEnd w:id="64"/>
    <w:bookmarkEnd w:id="67"/>
    <w:bookmarkEnd w:id="68"/>
    <w:p>
      <w:pPr>
        <w:spacing w:line="600" w:lineRule="exact"/>
        <w:jc w:val="center"/>
        <w:outlineLvl w:val="0"/>
        <w:rPr>
          <w:rStyle w:val="13"/>
          <w:rFonts w:ascii="黑体" w:hAnsi="黑体" w:eastAsia="黑体"/>
          <w:b w:val="0"/>
        </w:rPr>
      </w:pPr>
      <w:r>
        <w:rPr>
          <w:rFonts w:hint="eastAsia" w:ascii="黑体" w:hAnsi="黑体" w:eastAsia="黑体"/>
          <w:color w:val="000000"/>
          <w:sz w:val="44"/>
          <w:szCs w:val="44"/>
        </w:rPr>
        <w:t>第</w:t>
      </w:r>
      <w:r>
        <w:rPr>
          <w:rStyle w:val="13"/>
          <w:rFonts w:hint="eastAsia" w:ascii="黑体" w:hAnsi="黑体" w:eastAsia="黑体"/>
          <w:b w:val="0"/>
        </w:rPr>
        <w:t>五部分</w:t>
      </w:r>
      <w:r>
        <w:rPr>
          <w:rStyle w:val="13"/>
          <w:rFonts w:ascii="黑体" w:hAnsi="黑体" w:eastAsia="黑体"/>
          <w:b w:val="0"/>
        </w:rPr>
        <w:t xml:space="preserve"> </w:t>
      </w:r>
      <w:r>
        <w:rPr>
          <w:rStyle w:val="13"/>
          <w:rFonts w:hint="eastAsia" w:ascii="黑体" w:hAnsi="黑体" w:eastAsia="黑体"/>
          <w:b w:val="0"/>
        </w:rPr>
        <w:t>附表</w:t>
      </w:r>
    </w:p>
    <w:p>
      <w:pPr>
        <w:pStyle w:val="4"/>
        <w:rPr>
          <w:rFonts w:ascii="仿宋" w:hAnsi="仿宋" w:eastAsia="仿宋"/>
          <w:color w:val="000000"/>
        </w:rPr>
      </w:pPr>
      <w:bookmarkStart w:id="69" w:name="_Toc15699"/>
      <w:bookmarkStart w:id="70" w:name="_Toc15396619"/>
      <w:r>
        <w:rPr>
          <w:rFonts w:hint="eastAsia" w:ascii="仿宋" w:hAnsi="仿宋" w:eastAsia="仿宋"/>
          <w:b w:val="0"/>
          <w:color w:val="000000"/>
        </w:rPr>
        <w:t>一、收</w:t>
      </w:r>
      <w:r>
        <w:rPr>
          <w:rStyle w:val="14"/>
          <w:rFonts w:hint="eastAsia" w:ascii="仿宋" w:hAnsi="仿宋" w:eastAsia="仿宋"/>
          <w:b w:val="0"/>
          <w:bCs w:val="0"/>
        </w:rPr>
        <w:t>入支出决算总表</w:t>
      </w:r>
      <w:bookmarkEnd w:id="69"/>
      <w:bookmarkEnd w:id="70"/>
    </w:p>
    <w:p>
      <w:pPr>
        <w:pStyle w:val="4"/>
        <w:rPr>
          <w:rFonts w:ascii="仿宋" w:hAnsi="仿宋" w:eastAsia="仿宋"/>
          <w:color w:val="000000"/>
        </w:rPr>
      </w:pPr>
      <w:bookmarkStart w:id="71" w:name="_Toc27106"/>
      <w:bookmarkStart w:id="72" w:name="_Toc15396620"/>
      <w:r>
        <w:rPr>
          <w:rFonts w:hint="eastAsia" w:ascii="仿宋" w:hAnsi="仿宋" w:eastAsia="仿宋"/>
          <w:b w:val="0"/>
          <w:color w:val="000000"/>
        </w:rPr>
        <w:t>二、收</w:t>
      </w:r>
      <w:r>
        <w:rPr>
          <w:rStyle w:val="14"/>
          <w:rFonts w:hint="eastAsia" w:ascii="仿宋" w:hAnsi="仿宋" w:eastAsia="仿宋"/>
          <w:b w:val="0"/>
          <w:bCs w:val="0"/>
        </w:rPr>
        <w:t>入决算表</w:t>
      </w:r>
      <w:bookmarkEnd w:id="71"/>
      <w:bookmarkEnd w:id="72"/>
    </w:p>
    <w:p>
      <w:pPr>
        <w:pStyle w:val="4"/>
        <w:rPr>
          <w:rFonts w:ascii="仿宋" w:hAnsi="仿宋" w:eastAsia="仿宋"/>
          <w:color w:val="000000"/>
        </w:rPr>
      </w:pPr>
      <w:bookmarkStart w:id="73" w:name="_Toc15396621"/>
      <w:bookmarkStart w:id="74" w:name="_Toc26817"/>
      <w:r>
        <w:rPr>
          <w:rStyle w:val="14"/>
          <w:rFonts w:hint="eastAsia" w:ascii="仿宋" w:hAnsi="仿宋" w:eastAsia="仿宋"/>
          <w:b w:val="0"/>
          <w:bCs w:val="0"/>
        </w:rPr>
        <w:t>三、</w:t>
      </w:r>
      <w:r>
        <w:rPr>
          <w:rFonts w:hint="eastAsia" w:ascii="仿宋" w:hAnsi="仿宋" w:eastAsia="仿宋"/>
          <w:b w:val="0"/>
          <w:color w:val="000000"/>
        </w:rPr>
        <w:t>支</w:t>
      </w:r>
      <w:r>
        <w:rPr>
          <w:rStyle w:val="14"/>
          <w:rFonts w:hint="eastAsia" w:ascii="仿宋" w:hAnsi="仿宋" w:eastAsia="仿宋"/>
          <w:b w:val="0"/>
          <w:bCs w:val="0"/>
        </w:rPr>
        <w:t>出决算表</w:t>
      </w:r>
      <w:bookmarkEnd w:id="73"/>
      <w:bookmarkEnd w:id="74"/>
    </w:p>
    <w:p>
      <w:pPr>
        <w:pStyle w:val="4"/>
        <w:rPr>
          <w:rFonts w:ascii="仿宋" w:hAnsi="仿宋" w:eastAsia="仿宋"/>
          <w:b w:val="0"/>
          <w:color w:val="000000"/>
        </w:rPr>
      </w:pPr>
      <w:bookmarkStart w:id="75" w:name="_Toc15396622"/>
      <w:bookmarkStart w:id="76" w:name="_Toc21747"/>
      <w:r>
        <w:rPr>
          <w:rStyle w:val="14"/>
          <w:rFonts w:hint="eastAsia" w:ascii="仿宋" w:hAnsi="仿宋" w:eastAsia="仿宋"/>
          <w:b w:val="0"/>
          <w:bCs w:val="0"/>
        </w:rPr>
        <w:t>四、</w:t>
      </w:r>
      <w:r>
        <w:rPr>
          <w:rFonts w:hint="eastAsia" w:ascii="仿宋" w:hAnsi="仿宋" w:eastAsia="仿宋"/>
          <w:b w:val="0"/>
          <w:color w:val="000000"/>
        </w:rPr>
        <w:t>财</w:t>
      </w:r>
      <w:r>
        <w:rPr>
          <w:rStyle w:val="14"/>
          <w:rFonts w:hint="eastAsia" w:ascii="仿宋" w:hAnsi="仿宋" w:eastAsia="仿宋"/>
          <w:b w:val="0"/>
          <w:bCs w:val="0"/>
        </w:rPr>
        <w:t>政拨款收入支出决算总表</w:t>
      </w:r>
      <w:bookmarkEnd w:id="75"/>
      <w:bookmarkEnd w:id="76"/>
    </w:p>
    <w:p>
      <w:pPr>
        <w:pStyle w:val="4"/>
        <w:rPr>
          <w:rStyle w:val="14"/>
          <w:rFonts w:ascii="仿宋" w:hAnsi="仿宋" w:eastAsia="仿宋"/>
          <w:b w:val="0"/>
          <w:bCs w:val="0"/>
        </w:rPr>
      </w:pPr>
      <w:bookmarkStart w:id="77" w:name="_Toc12959"/>
      <w:bookmarkStart w:id="78" w:name="_Toc15396623"/>
      <w:r>
        <w:rPr>
          <w:rStyle w:val="14"/>
          <w:rFonts w:hint="eastAsia" w:ascii="仿宋" w:hAnsi="仿宋" w:eastAsia="仿宋"/>
          <w:b w:val="0"/>
          <w:bCs w:val="0"/>
        </w:rPr>
        <w:t>五、</w:t>
      </w:r>
      <w:r>
        <w:rPr>
          <w:rFonts w:hint="eastAsia" w:ascii="仿宋" w:hAnsi="仿宋" w:eastAsia="仿宋"/>
          <w:b w:val="0"/>
          <w:color w:val="000000"/>
        </w:rPr>
        <w:t>财</w:t>
      </w:r>
      <w:r>
        <w:rPr>
          <w:rStyle w:val="14"/>
          <w:rFonts w:hint="eastAsia" w:ascii="仿宋" w:hAnsi="仿宋" w:eastAsia="仿宋"/>
          <w:b w:val="0"/>
          <w:bCs w:val="0"/>
        </w:rPr>
        <w:t>政拨款支出决算明细表</w:t>
      </w:r>
      <w:bookmarkEnd w:id="77"/>
      <w:bookmarkEnd w:id="78"/>
      <w:bookmarkStart w:id="79" w:name="_Toc15396624"/>
    </w:p>
    <w:p>
      <w:pPr>
        <w:pStyle w:val="4"/>
        <w:rPr>
          <w:rFonts w:ascii="仿宋" w:hAnsi="仿宋" w:eastAsia="仿宋"/>
          <w:color w:val="000000"/>
        </w:rPr>
      </w:pPr>
      <w:bookmarkStart w:id="80" w:name="_Toc23749"/>
      <w:r>
        <w:rPr>
          <w:rStyle w:val="14"/>
          <w:rFonts w:hint="eastAsia" w:ascii="仿宋" w:hAnsi="仿宋" w:eastAsia="仿宋"/>
          <w:b w:val="0"/>
          <w:bCs w:val="0"/>
        </w:rPr>
        <w:t>六、</w:t>
      </w:r>
      <w:r>
        <w:rPr>
          <w:rFonts w:hint="eastAsia" w:ascii="仿宋" w:hAnsi="仿宋" w:eastAsia="仿宋"/>
          <w:b w:val="0"/>
          <w:color w:val="000000"/>
        </w:rPr>
        <w:t>一</w:t>
      </w:r>
      <w:r>
        <w:rPr>
          <w:rStyle w:val="14"/>
          <w:rFonts w:hint="eastAsia" w:ascii="仿宋" w:hAnsi="仿宋" w:eastAsia="仿宋"/>
          <w:b w:val="0"/>
          <w:bCs w:val="0"/>
        </w:rPr>
        <w:t>般公共预算财政拨款支出决算表</w:t>
      </w:r>
      <w:bookmarkEnd w:id="79"/>
      <w:bookmarkEnd w:id="80"/>
    </w:p>
    <w:p>
      <w:pPr>
        <w:pStyle w:val="4"/>
        <w:rPr>
          <w:rFonts w:ascii="仿宋" w:hAnsi="仿宋" w:eastAsia="仿宋"/>
          <w:color w:val="000000"/>
        </w:rPr>
      </w:pPr>
      <w:bookmarkStart w:id="81" w:name="_Toc22275"/>
      <w:bookmarkStart w:id="82" w:name="_Toc15396625"/>
      <w:r>
        <w:rPr>
          <w:rStyle w:val="14"/>
          <w:rFonts w:hint="eastAsia" w:ascii="仿宋" w:hAnsi="仿宋" w:eastAsia="仿宋"/>
          <w:b w:val="0"/>
          <w:bCs w:val="0"/>
        </w:rPr>
        <w:t>七、</w:t>
      </w:r>
      <w:r>
        <w:rPr>
          <w:rFonts w:hint="eastAsia" w:ascii="仿宋" w:hAnsi="仿宋" w:eastAsia="仿宋"/>
          <w:b w:val="0"/>
          <w:color w:val="000000"/>
        </w:rPr>
        <w:t>一</w:t>
      </w:r>
      <w:r>
        <w:rPr>
          <w:rStyle w:val="14"/>
          <w:rFonts w:hint="eastAsia" w:ascii="仿宋" w:hAnsi="仿宋" w:eastAsia="仿宋"/>
          <w:b w:val="0"/>
          <w:bCs w:val="0"/>
        </w:rPr>
        <w:t>般公共预算财政拨款支出决算明细表</w:t>
      </w:r>
      <w:bookmarkEnd w:id="81"/>
      <w:bookmarkEnd w:id="82"/>
    </w:p>
    <w:p>
      <w:pPr>
        <w:pStyle w:val="4"/>
        <w:rPr>
          <w:rFonts w:ascii="仿宋" w:hAnsi="仿宋" w:eastAsia="仿宋"/>
          <w:color w:val="000000"/>
        </w:rPr>
      </w:pPr>
      <w:bookmarkStart w:id="83" w:name="_Toc15396626"/>
      <w:bookmarkStart w:id="84" w:name="_Toc30634"/>
      <w:r>
        <w:rPr>
          <w:rStyle w:val="14"/>
          <w:rFonts w:hint="eastAsia" w:ascii="仿宋" w:hAnsi="仿宋" w:eastAsia="仿宋"/>
          <w:b w:val="0"/>
          <w:bCs w:val="0"/>
        </w:rPr>
        <w:t>八、</w:t>
      </w:r>
      <w:r>
        <w:rPr>
          <w:rFonts w:hint="eastAsia" w:ascii="仿宋" w:hAnsi="仿宋" w:eastAsia="仿宋"/>
          <w:b w:val="0"/>
          <w:color w:val="000000"/>
        </w:rPr>
        <w:t>一</w:t>
      </w:r>
      <w:r>
        <w:rPr>
          <w:rStyle w:val="14"/>
          <w:rFonts w:hint="eastAsia" w:ascii="仿宋" w:hAnsi="仿宋" w:eastAsia="仿宋"/>
          <w:b w:val="0"/>
          <w:bCs w:val="0"/>
        </w:rPr>
        <w:t>般公共预算财政拨款基本支出决算表</w:t>
      </w:r>
      <w:bookmarkEnd w:id="83"/>
      <w:bookmarkEnd w:id="84"/>
    </w:p>
    <w:p>
      <w:pPr>
        <w:pStyle w:val="4"/>
        <w:rPr>
          <w:rFonts w:ascii="仿宋" w:hAnsi="仿宋" w:eastAsia="仿宋"/>
          <w:color w:val="000000"/>
        </w:rPr>
      </w:pPr>
      <w:bookmarkStart w:id="85" w:name="_Toc15170"/>
      <w:bookmarkStart w:id="86" w:name="_Toc15396627"/>
      <w:r>
        <w:rPr>
          <w:rStyle w:val="14"/>
          <w:rFonts w:hint="eastAsia" w:ascii="仿宋" w:hAnsi="仿宋" w:eastAsia="仿宋"/>
          <w:b w:val="0"/>
          <w:bCs w:val="0"/>
        </w:rPr>
        <w:t>九、</w:t>
      </w:r>
      <w:r>
        <w:rPr>
          <w:rFonts w:hint="eastAsia" w:ascii="仿宋" w:hAnsi="仿宋" w:eastAsia="仿宋"/>
          <w:b w:val="0"/>
          <w:color w:val="000000"/>
        </w:rPr>
        <w:t>一</w:t>
      </w:r>
      <w:r>
        <w:rPr>
          <w:rStyle w:val="14"/>
          <w:rFonts w:hint="eastAsia" w:ascii="仿宋" w:hAnsi="仿宋" w:eastAsia="仿宋"/>
          <w:b w:val="0"/>
          <w:bCs w:val="0"/>
        </w:rPr>
        <w:t>般公共预算财政拨款项目支出决算表</w:t>
      </w:r>
      <w:bookmarkEnd w:id="85"/>
      <w:bookmarkEnd w:id="86"/>
    </w:p>
    <w:p>
      <w:pPr>
        <w:pStyle w:val="4"/>
        <w:spacing w:line="360" w:lineRule="auto"/>
        <w:rPr>
          <w:rFonts w:ascii="仿宋" w:hAnsi="仿宋" w:eastAsia="仿宋"/>
          <w:color w:val="000000"/>
        </w:rPr>
      </w:pPr>
      <w:bookmarkStart w:id="87" w:name="_Toc17603"/>
      <w:bookmarkStart w:id="88" w:name="_Toc15396628"/>
      <w:r>
        <w:rPr>
          <w:rStyle w:val="14"/>
          <w:rFonts w:hint="eastAsia" w:ascii="仿宋" w:hAnsi="仿宋" w:eastAsia="仿宋"/>
          <w:b w:val="0"/>
          <w:bCs w:val="0"/>
        </w:rPr>
        <w:t>十、</w:t>
      </w:r>
      <w:r>
        <w:rPr>
          <w:rFonts w:hint="eastAsia" w:ascii="仿宋" w:hAnsi="仿宋" w:eastAsia="仿宋"/>
          <w:b w:val="0"/>
          <w:color w:val="000000"/>
        </w:rPr>
        <w:t>一</w:t>
      </w:r>
      <w:r>
        <w:rPr>
          <w:rStyle w:val="14"/>
          <w:rFonts w:hint="eastAsia" w:ascii="仿宋" w:hAnsi="仿宋" w:eastAsia="仿宋"/>
          <w:b w:val="0"/>
          <w:bCs w:val="0"/>
        </w:rPr>
        <w:t>般公共预算财政拨款“三公”经费支出决算表</w:t>
      </w:r>
      <w:bookmarkEnd w:id="87"/>
      <w:bookmarkEnd w:id="88"/>
    </w:p>
    <w:p>
      <w:pPr>
        <w:pStyle w:val="4"/>
        <w:spacing w:line="360" w:lineRule="auto"/>
        <w:rPr>
          <w:rFonts w:ascii="仿宋" w:hAnsi="仿宋" w:eastAsia="仿宋"/>
          <w:color w:val="000000"/>
        </w:rPr>
      </w:pPr>
      <w:bookmarkStart w:id="89" w:name="_Toc7313"/>
      <w:bookmarkStart w:id="90" w:name="_Toc15396629"/>
      <w:r>
        <w:rPr>
          <w:rStyle w:val="14"/>
          <w:rFonts w:hint="eastAsia" w:ascii="仿宋" w:hAnsi="仿宋" w:eastAsia="仿宋"/>
          <w:b w:val="0"/>
          <w:bCs w:val="0"/>
        </w:rPr>
        <w:t>十一、</w:t>
      </w:r>
      <w:r>
        <w:rPr>
          <w:rFonts w:hint="eastAsia" w:ascii="仿宋" w:hAnsi="仿宋" w:eastAsia="仿宋"/>
          <w:b w:val="0"/>
          <w:color w:val="000000"/>
        </w:rPr>
        <w:t>政</w:t>
      </w:r>
      <w:r>
        <w:rPr>
          <w:rStyle w:val="14"/>
          <w:rFonts w:hint="eastAsia" w:ascii="仿宋" w:hAnsi="仿宋" w:eastAsia="仿宋"/>
          <w:b w:val="0"/>
          <w:bCs w:val="0"/>
        </w:rPr>
        <w:t>府性基金预算财政拨款收入支出决算表</w:t>
      </w:r>
      <w:bookmarkEnd w:id="89"/>
      <w:bookmarkEnd w:id="90"/>
    </w:p>
    <w:p>
      <w:pPr>
        <w:pStyle w:val="4"/>
        <w:rPr>
          <w:rFonts w:hint="eastAsia" w:ascii="仿宋" w:hAnsi="仿宋" w:eastAsia="仿宋"/>
          <w:b w:val="0"/>
          <w:color w:val="000000"/>
        </w:rPr>
      </w:pPr>
      <w:bookmarkStart w:id="91" w:name="_Toc9382"/>
      <w:bookmarkStart w:id="92" w:name="_Toc15396630"/>
      <w:r>
        <w:rPr>
          <w:rFonts w:hint="eastAsia" w:ascii="仿宋" w:hAnsi="仿宋" w:eastAsia="仿宋"/>
          <w:b w:val="0"/>
          <w:color w:val="000000"/>
        </w:rPr>
        <w:t>十二、政府性基金预算财政拨款“三公”经费支出决算表</w:t>
      </w:r>
      <w:bookmarkEnd w:id="91"/>
      <w:bookmarkEnd w:id="92"/>
    </w:p>
    <w:p>
      <w:pPr>
        <w:pStyle w:val="4"/>
        <w:rPr>
          <w:rFonts w:hint="eastAsia" w:ascii="仿宋" w:hAnsi="仿宋" w:eastAsia="仿宋"/>
          <w:b w:val="0"/>
          <w:color w:val="000000"/>
        </w:rPr>
      </w:pPr>
      <w:bookmarkStart w:id="93" w:name="_Toc22683"/>
      <w:r>
        <w:rPr>
          <w:rFonts w:hint="eastAsia" w:ascii="仿宋" w:hAnsi="仿宋" w:eastAsia="仿宋"/>
          <w:b w:val="0"/>
          <w:color w:val="000000"/>
        </w:rPr>
        <w:t>十三、国有资本经营预算财政拨款收入支出决算表</w:t>
      </w:r>
      <w:bookmarkEnd w:id="93"/>
    </w:p>
    <w:p>
      <w:pPr>
        <w:pStyle w:val="4"/>
        <w:rPr>
          <w:rFonts w:hint="eastAsia" w:ascii="仿宋" w:hAnsi="仿宋" w:eastAsia="仿宋"/>
          <w:b w:val="0"/>
          <w:color w:val="000000"/>
        </w:rPr>
      </w:pPr>
      <w:bookmarkStart w:id="94" w:name="_Toc10257"/>
      <w:r>
        <w:rPr>
          <w:rFonts w:hint="eastAsia" w:ascii="仿宋" w:hAnsi="仿宋" w:eastAsia="仿宋"/>
          <w:b w:val="0"/>
          <w:color w:val="000000"/>
        </w:rPr>
        <w:t>十四、国有资本经营预算财政拨款支出决算表</w:t>
      </w:r>
      <w:bookmarkEnd w:id="94"/>
    </w:p>
    <w:p>
      <w:pPr>
        <w:pStyle w:val="4"/>
        <w:rPr>
          <w:rFonts w:hint="eastAsia" w:ascii="仿宋" w:hAnsi="仿宋" w:eastAsia="仿宋"/>
          <w:b w:val="0"/>
          <w:color w:val="00000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361AA"/>
    <w:multiLevelType w:val="singleLevel"/>
    <w:tmpl w:val="8FB361AA"/>
    <w:lvl w:ilvl="0" w:tentative="0">
      <w:start w:val="1"/>
      <w:numFmt w:val="chineseCounting"/>
      <w:suff w:val="nothing"/>
      <w:lvlText w:val="（%1）"/>
      <w:lvlJc w:val="left"/>
      <w:rPr>
        <w:rFonts w:hint="eastAsia"/>
      </w:rPr>
    </w:lvl>
  </w:abstractNum>
  <w:abstractNum w:abstractNumId="1">
    <w:nsid w:val="A4097B97"/>
    <w:multiLevelType w:val="singleLevel"/>
    <w:tmpl w:val="A4097B97"/>
    <w:lvl w:ilvl="0" w:tentative="0">
      <w:start w:val="1"/>
      <w:numFmt w:val="decimal"/>
      <w:suff w:val="nothing"/>
      <w:lvlText w:val="（%1）"/>
      <w:lvlJc w:val="left"/>
    </w:lvl>
  </w:abstractNum>
  <w:abstractNum w:abstractNumId="2">
    <w:nsid w:val="A670A9C3"/>
    <w:multiLevelType w:val="singleLevel"/>
    <w:tmpl w:val="A670A9C3"/>
    <w:lvl w:ilvl="0" w:tentative="0">
      <w:start w:val="2"/>
      <w:numFmt w:val="chineseCounting"/>
      <w:suff w:val="nothing"/>
      <w:lvlText w:val="（%1）"/>
      <w:lvlJc w:val="left"/>
      <w:rPr>
        <w:rFonts w:hint="eastAsia"/>
      </w:rPr>
    </w:lvl>
  </w:abstractNum>
  <w:abstractNum w:abstractNumId="3">
    <w:nsid w:val="BDE9A6C6"/>
    <w:multiLevelType w:val="singleLevel"/>
    <w:tmpl w:val="BDE9A6C6"/>
    <w:lvl w:ilvl="0" w:tentative="0">
      <w:start w:val="1"/>
      <w:numFmt w:val="decimal"/>
      <w:lvlText w:val="%1."/>
      <w:lvlJc w:val="left"/>
      <w:pPr>
        <w:tabs>
          <w:tab w:val="left" w:pos="312"/>
        </w:tabs>
      </w:pPr>
    </w:lvl>
  </w:abstractNum>
  <w:abstractNum w:abstractNumId="4">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6">
    <w:nsid w:val="3A6E1C0F"/>
    <w:multiLevelType w:val="singleLevel"/>
    <w:tmpl w:val="3A6E1C0F"/>
    <w:lvl w:ilvl="0" w:tentative="0">
      <w:start w:val="2"/>
      <w:numFmt w:val="chineseCounting"/>
      <w:suff w:val="nothing"/>
      <w:lvlText w:val="（%1）"/>
      <w:lvlJc w:val="left"/>
      <w:rPr>
        <w:rFonts w:hint="eastAsia"/>
      </w:rPr>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284AB7"/>
    <w:rsid w:val="01D61645"/>
    <w:rsid w:val="048926B2"/>
    <w:rsid w:val="05D8411C"/>
    <w:rsid w:val="06424AC8"/>
    <w:rsid w:val="06D96529"/>
    <w:rsid w:val="07E4794F"/>
    <w:rsid w:val="08FF0891"/>
    <w:rsid w:val="09251B81"/>
    <w:rsid w:val="0A72550E"/>
    <w:rsid w:val="0AA73FC6"/>
    <w:rsid w:val="0B922A84"/>
    <w:rsid w:val="0BF06BC1"/>
    <w:rsid w:val="0E314050"/>
    <w:rsid w:val="11422DE9"/>
    <w:rsid w:val="118C1304"/>
    <w:rsid w:val="119514AE"/>
    <w:rsid w:val="12373854"/>
    <w:rsid w:val="12424E68"/>
    <w:rsid w:val="129A6D70"/>
    <w:rsid w:val="13EA6E21"/>
    <w:rsid w:val="16092119"/>
    <w:rsid w:val="168168C1"/>
    <w:rsid w:val="174A56EF"/>
    <w:rsid w:val="1880711D"/>
    <w:rsid w:val="193118AC"/>
    <w:rsid w:val="195C2FA9"/>
    <w:rsid w:val="19613F71"/>
    <w:rsid w:val="1B991F0B"/>
    <w:rsid w:val="1CC366C0"/>
    <w:rsid w:val="1D1F7324"/>
    <w:rsid w:val="1D2C7795"/>
    <w:rsid w:val="1F386F38"/>
    <w:rsid w:val="21575D6B"/>
    <w:rsid w:val="22F37846"/>
    <w:rsid w:val="24AF339B"/>
    <w:rsid w:val="25C824D6"/>
    <w:rsid w:val="25F44C7C"/>
    <w:rsid w:val="272E7CF0"/>
    <w:rsid w:val="27796E5D"/>
    <w:rsid w:val="278E07C1"/>
    <w:rsid w:val="28723517"/>
    <w:rsid w:val="29EA07B3"/>
    <w:rsid w:val="2A205960"/>
    <w:rsid w:val="2AC65C17"/>
    <w:rsid w:val="2AF43EF8"/>
    <w:rsid w:val="2C846529"/>
    <w:rsid w:val="2ED53439"/>
    <w:rsid w:val="2EE968AB"/>
    <w:rsid w:val="3003724D"/>
    <w:rsid w:val="30D25D6B"/>
    <w:rsid w:val="31343EEA"/>
    <w:rsid w:val="32183CB6"/>
    <w:rsid w:val="33905624"/>
    <w:rsid w:val="345A6035"/>
    <w:rsid w:val="34EA371F"/>
    <w:rsid w:val="35BC0EB4"/>
    <w:rsid w:val="35C30A07"/>
    <w:rsid w:val="36C00B48"/>
    <w:rsid w:val="38CE5D20"/>
    <w:rsid w:val="39E11887"/>
    <w:rsid w:val="3A177EE7"/>
    <w:rsid w:val="3A26792D"/>
    <w:rsid w:val="3A740269"/>
    <w:rsid w:val="3A8532A2"/>
    <w:rsid w:val="3B624478"/>
    <w:rsid w:val="3BEC3DE0"/>
    <w:rsid w:val="3E0E3281"/>
    <w:rsid w:val="3E4169FF"/>
    <w:rsid w:val="3F203DE8"/>
    <w:rsid w:val="3FAA27A6"/>
    <w:rsid w:val="3FC27483"/>
    <w:rsid w:val="3FE348C3"/>
    <w:rsid w:val="41E45E73"/>
    <w:rsid w:val="44705B02"/>
    <w:rsid w:val="44930A0D"/>
    <w:rsid w:val="44EF610C"/>
    <w:rsid w:val="45387534"/>
    <w:rsid w:val="457B78A1"/>
    <w:rsid w:val="46E71A56"/>
    <w:rsid w:val="46F70545"/>
    <w:rsid w:val="48CC26F3"/>
    <w:rsid w:val="49325078"/>
    <w:rsid w:val="4B3F2E43"/>
    <w:rsid w:val="4BAA2196"/>
    <w:rsid w:val="4BB22EBF"/>
    <w:rsid w:val="4C5E7FE4"/>
    <w:rsid w:val="4D317C4F"/>
    <w:rsid w:val="4D8F0571"/>
    <w:rsid w:val="4D913AE6"/>
    <w:rsid w:val="4E3A4862"/>
    <w:rsid w:val="4E7F24BC"/>
    <w:rsid w:val="4E934B00"/>
    <w:rsid w:val="4EE6650C"/>
    <w:rsid w:val="506D3FFB"/>
    <w:rsid w:val="5108718F"/>
    <w:rsid w:val="52B05BA7"/>
    <w:rsid w:val="52B57C50"/>
    <w:rsid w:val="57E713A5"/>
    <w:rsid w:val="58011386"/>
    <w:rsid w:val="5B553D53"/>
    <w:rsid w:val="5BA42ADD"/>
    <w:rsid w:val="5BA71846"/>
    <w:rsid w:val="5BD50EB8"/>
    <w:rsid w:val="5BD520CE"/>
    <w:rsid w:val="5CB934DE"/>
    <w:rsid w:val="5D3E75DF"/>
    <w:rsid w:val="5FDD04EB"/>
    <w:rsid w:val="60341CEC"/>
    <w:rsid w:val="60BA3510"/>
    <w:rsid w:val="60F81FA5"/>
    <w:rsid w:val="61937CDF"/>
    <w:rsid w:val="626C4617"/>
    <w:rsid w:val="632515FB"/>
    <w:rsid w:val="6352450F"/>
    <w:rsid w:val="63CA2D39"/>
    <w:rsid w:val="64554376"/>
    <w:rsid w:val="6497364F"/>
    <w:rsid w:val="6504078C"/>
    <w:rsid w:val="65AE0225"/>
    <w:rsid w:val="65EA7CA4"/>
    <w:rsid w:val="6889693A"/>
    <w:rsid w:val="695535AB"/>
    <w:rsid w:val="69E30B78"/>
    <w:rsid w:val="6BAD5A5B"/>
    <w:rsid w:val="6DD66CD5"/>
    <w:rsid w:val="6E073066"/>
    <w:rsid w:val="6E1506D9"/>
    <w:rsid w:val="6E6D5234"/>
    <w:rsid w:val="6EE44A1E"/>
    <w:rsid w:val="6F650FF4"/>
    <w:rsid w:val="6FEC0E45"/>
    <w:rsid w:val="726E3979"/>
    <w:rsid w:val="73BD1C8D"/>
    <w:rsid w:val="73F41D20"/>
    <w:rsid w:val="747F40F5"/>
    <w:rsid w:val="75495801"/>
    <w:rsid w:val="767A7B29"/>
    <w:rsid w:val="773F3091"/>
    <w:rsid w:val="77D20F47"/>
    <w:rsid w:val="794320DB"/>
    <w:rsid w:val="79625477"/>
    <w:rsid w:val="7AC50346"/>
    <w:rsid w:val="7B172B89"/>
    <w:rsid w:val="7BE96601"/>
    <w:rsid w:val="7C7E3F73"/>
    <w:rsid w:val="7CE76090"/>
    <w:rsid w:val="7E627931"/>
    <w:rsid w:val="7F6A0712"/>
    <w:rsid w:val="7FD9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unhideWhenUsed/>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eastAsia="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 Char Char6"/>
    <w:basedOn w:val="10"/>
    <w:link w:val="3"/>
    <w:qFormat/>
    <w:locked/>
    <w:uiPriority w:val="9"/>
    <w:rPr>
      <w:b/>
      <w:bCs/>
      <w:kern w:val="44"/>
      <w:sz w:val="44"/>
      <w:szCs w:val="44"/>
    </w:rPr>
  </w:style>
  <w:style w:type="character" w:customStyle="1" w:styleId="14">
    <w:name w:val=" Char Char5"/>
    <w:basedOn w:val="10"/>
    <w:link w:val="4"/>
    <w:qFormat/>
    <w:locked/>
    <w:uiPriority w:val="9"/>
    <w:rPr>
      <w:rFonts w:ascii="Cambria" w:hAnsi="Cambria"/>
      <w:b/>
      <w:bCs/>
      <w:sz w:val="32"/>
      <w:szCs w:val="32"/>
    </w:rPr>
  </w:style>
  <w:style w:type="paragraph" w:customStyle="1" w:styleId="15">
    <w:name w:val="List Paragraph"/>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t>收、支决算总计变化情况图</a:t>
            </a:r>
            <a:endParaRPr b="1"/>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2019年</c:v>
                </c:pt>
                <c:pt idx="1">
                  <c:v>2020年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9954.08</c:v>
                </c:pt>
                <c:pt idx="1">
                  <c:v>4256.55</c:v>
                </c:pt>
              </c:numCache>
            </c:numRef>
          </c:val>
        </c:ser>
        <c:dLbls>
          <c:showLegendKey val="0"/>
          <c:showVal val="1"/>
          <c:showCatName val="0"/>
          <c:showSerName val="0"/>
          <c:showPercent val="0"/>
          <c:showBubbleSize val="0"/>
        </c:dLbls>
        <c:gapWidth val="219"/>
        <c:overlap val="-27"/>
        <c:axId val="674012471"/>
        <c:axId val="922822224"/>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674012471"/>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2822224"/>
        <c:crosses val="autoZero"/>
        <c:auto val="1"/>
        <c:lblAlgn val="ctr"/>
        <c:lblOffset val="100"/>
        <c:noMultiLvlLbl val="0"/>
      </c:catAx>
      <c:valAx>
        <c:axId val="922822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401247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t>收入决算结构图</a:t>
            </a:r>
            <a:endParaRPr b="1"/>
          </a:p>
        </c:rich>
      </c:tx>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explosion val="0"/>
            <c:spPr>
              <a:solidFill>
                <a:schemeClr val="accent2"/>
              </a:solidFill>
              <a:ln w="28575" cmpd="sng">
                <a:solidFill>
                  <a:schemeClr val="lt1"/>
                </a:solidFill>
                <a:prstDash val="solid"/>
              </a:ln>
              <a:effectLst/>
              <a:sp3d contourW="28575"/>
            </c:spPr>
          </c:dPt>
          <c:dPt>
            <c:idx val="2"/>
            <c:bubble3D val="0"/>
            <c:spPr>
              <a:solidFill>
                <a:schemeClr val="accent3"/>
              </a:solidFill>
              <a:ln w="19050">
                <a:solidFill>
                  <a:schemeClr val="lt1"/>
                </a:solidFill>
              </a:ln>
              <a:effectLst/>
            </c:spPr>
          </c:dPt>
          <c:dLbls>
            <c:dLbl>
              <c:idx val="0"/>
              <c:layout>
                <c:manualLayout>
                  <c:x val="-0.105416872521756"/>
                  <c:y val="0.12213380205682"/>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07625"/>
                      <c:h val="0.0906666666666667"/>
                    </c:manualLayout>
                  </c15:layout>
                </c:ext>
              </c:extLst>
            </c:dLbl>
            <c:dLbl>
              <c:idx val="1"/>
              <c:layout>
                <c:manualLayout>
                  <c:x val="0.106881734158524"/>
                  <c:y val="-0.137086526634097"/>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3325"/>
                      <c:h val="0.114833333333333"/>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Sheet1!$A$2:$A$4</c:f>
              <c:strCache>
                <c:ptCount val="3"/>
                <c:pt idx="0">
                  <c:v>一般公共预算财政拨款收入</c:v>
                </c:pt>
                <c:pt idx="1">
                  <c:v>政府性基金预算财政拨款收入</c:v>
                </c:pt>
                <c:pt idx="2">
                  <c:v>其他</c:v>
                </c:pt>
              </c:strCache>
            </c:strRef>
          </c:cat>
          <c:val>
            <c:numRef>
              <c:extLst>
                <c:ext xmlns:c15="http://schemas.microsoft.com/office/drawing/2012/chart" uri="{02D57815-91ED-43cb-92C2-25804820EDAC}">
                  <c15:fullRef>
                    <c15:sqref>Sheet1!$B$2:$B$5</c15:sqref>
                  </c15:fullRef>
                </c:ext>
              </c:extLst>
              <c:f>Sheet1!$B$2:$B$4</c:f>
              <c:numCache>
                <c:formatCode>General</c:formatCode>
                <c:ptCount val="3"/>
                <c:pt idx="0">
                  <c:v>1236.55</c:v>
                </c:pt>
                <c:pt idx="1">
                  <c:v>3020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12700" cap="flat" cmpd="sng" algn="ctr">
      <a:solidFill>
        <a:schemeClr val="bg2"/>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15:layout>
                    <c:manualLayout>
                      <c:w val="0.152875"/>
                      <c:h val="0.0896666666666667"/>
                    </c:manualLayout>
                  </c15:layout>
                </c:ext>
              </c:extLst>
            </c:dLbl>
            <c:dLbl>
              <c:idx val="1"/>
              <c:layout>
                <c:manualLayout>
                  <c:x val="0.15844151030273"/>
                  <c:y val="-0.0520618352115169"/>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4475"/>
                      <c:h val="0.1185"/>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1143.85</c:v>
                </c:pt>
                <c:pt idx="1">
                  <c:v>3112.7</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t>财政拨款收、支决算总计变动情况</a:t>
            </a:r>
            <a:endParaRPr b="1"/>
          </a:p>
        </c:rich>
      </c:tx>
      <c:layout/>
      <c:overlay val="0"/>
      <c:spPr>
        <a:noFill/>
        <a:ln>
          <a:noFill/>
        </a:ln>
        <a:effectLst/>
      </c:spPr>
    </c:title>
    <c:autoTitleDeleted val="0"/>
    <c:plotArea>
      <c:layout>
        <c:manualLayout>
          <c:layoutTarget val="inner"/>
          <c:xMode val="edge"/>
          <c:yMode val="edge"/>
          <c:x val="0.046325"/>
          <c:y val="0.2345"/>
          <c:w val="0.927925"/>
          <c:h val="0.716566666666667"/>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(Sheet1!$A$2,Sheet1!$A$5)</c:f>
              <c:strCache>
                <c:ptCount val="2"/>
                <c:pt idx="0">
                  <c:v>2019年</c:v>
                </c:pt>
                <c:pt idx="1">
                  <c:v>2020年</c:v>
                </c:pt>
              </c:strCache>
            </c:strRef>
          </c:cat>
          <c:val>
            <c:numRef>
              <c:extLst>
                <c:ext xmlns:c15="http://schemas.microsoft.com/office/drawing/2012/chart" uri="{02D57815-91ED-43cb-92C2-25804820EDAC}">
                  <c15:fullRef>
                    <c15:sqref>Sheet1!$B$2:$B$5</c15:sqref>
                  </c15:fullRef>
                </c:ext>
              </c:extLst>
              <c:f>(Sheet1!$B$2,Sheet1!$B$5)</c:f>
              <c:numCache>
                <c:formatCode>General</c:formatCode>
                <c:ptCount val="2"/>
                <c:pt idx="0">
                  <c:v>9954.08</c:v>
                </c:pt>
                <c:pt idx="1">
                  <c:v>4256.55</c:v>
                </c:pt>
              </c:numCache>
            </c:numRef>
          </c:val>
        </c:ser>
        <c:dLbls>
          <c:showLegendKey val="0"/>
          <c:showVal val="1"/>
          <c:showCatName val="0"/>
          <c:showSerName val="0"/>
          <c:showPercent val="0"/>
          <c:showBubbleSize val="0"/>
        </c:dLbls>
        <c:gapWidth val="219"/>
        <c:overlap val="-27"/>
        <c:axId val="38185405"/>
        <c:axId val="13923744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(Sheet1!$A$2,Sheet1!$A$5)</c15:sqref>
                        </c15:formulaRef>
                      </c:ext>
                    </c:extLst>
                    <c:strCache>
                      <c:ptCount val="2"/>
                      <c:pt idx="0">
                        <c:v>2019年</c:v>
                      </c:pt>
                      <c:pt idx="1">
                        <c:v>2020年</c:v>
                      </c:pt>
                    </c:strCache>
                  </c:strRef>
                </c:cat>
                <c:val>
                  <c:numRef>
                    <c:extLst>
                      <c:ext uri="{02D57815-91ED-43cb-92C2-25804820EDAC}">
                        <c15:fullRef>
                          <c15:sqref>Sheet1!$C$2:$C$5</c15:sqref>
                        </c15:fullRef>
                        <c15:formulaRef>
                          <c15:sqref>(Sheet1!$C$2,Sheet1!$C$5)</c15:sqref>
                        </c15:formulaRef>
                      </c:ext>
                    </c:extLst>
                    <c:numCache>
                      <c:formatCode>General</c:formatCode>
                      <c:ptCount val="2"/>
                      <c:pt idx="0">
                        <c:v>2.4</c:v>
                      </c:pt>
                      <c:pt idx="1">
                        <c:v>2.8</c:v>
                      </c:pt>
                    </c:numCache>
                  </c:numRef>
                </c:val>
              </c15:ser>
            </c15:filteredBarSeries>
          </c:ext>
        </c:extLst>
      </c:barChart>
      <c:catAx>
        <c:axId val="3818540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9237447"/>
        <c:crosses val="autoZero"/>
        <c:auto val="1"/>
        <c:lblAlgn val="ctr"/>
        <c:lblOffset val="100"/>
        <c:noMultiLvlLbl val="0"/>
      </c:catAx>
      <c:valAx>
        <c:axId val="139237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18540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manualLayout>
          <c:xMode val="edge"/>
          <c:yMode val="edge"/>
          <c:x val="0.2134375"/>
          <c:y val="0.07"/>
        </c:manualLayout>
      </c:layout>
      <c:overlay val="0"/>
      <c:spPr>
        <a:noFill/>
        <a:ln>
          <a:noFill/>
        </a:ln>
        <a:effectLst/>
      </c:spPr>
    </c:title>
    <c:autoTitleDeleted val="0"/>
    <c:plotArea>
      <c:layout>
        <c:manualLayout>
          <c:layoutTarget val="inner"/>
          <c:xMode val="edge"/>
          <c:yMode val="edge"/>
          <c:x val="0.0327"/>
          <c:y val="0.2345"/>
          <c:w val="0.927925"/>
          <c:h val="0.716566666666667"/>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manualLayout>
                  <c:x val="0.011875"/>
                  <c:y val="0.013666666666666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2019年</c:v>
                </c:pt>
                <c:pt idx="1">
                  <c:v>2020年</c:v>
                </c:pt>
              </c:strCache>
            </c:strRef>
          </c:cat>
          <c:val>
            <c:numRef>
              <c:extLst>
                <c:ext xmlns:c15="http://schemas.microsoft.com/office/drawing/2012/chart" uri="{02D57815-91ED-43cb-92C2-25804820EDAC}">
                  <c15:fullRef>
                    <c15:sqref>Sheet1!$B$2:$B$5</c15:sqref>
                  </c15:fullRef>
                </c:ext>
              </c:extLst>
              <c:f>Sheet1!$B$2:$B$3</c:f>
              <c:numCache>
                <c:formatCode>0.00_ </c:formatCode>
                <c:ptCount val="2"/>
                <c:pt idx="0">
                  <c:v>1349.3</c:v>
                </c:pt>
                <c:pt idx="1" c:formatCode="General">
                  <c:v>1236.55</c:v>
                </c:pt>
              </c:numCache>
            </c:numRef>
          </c:val>
        </c:ser>
        <c:dLbls>
          <c:showLegendKey val="0"/>
          <c:showVal val="0"/>
          <c:showCatName val="0"/>
          <c:showSerName val="0"/>
          <c:showPercent val="0"/>
          <c:showBubbleSize val="0"/>
        </c:dLbls>
        <c:gapWidth val="219"/>
        <c:overlap val="-27"/>
        <c:axId val="615603430"/>
        <c:axId val="39930707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delete val="1"/>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delete val="1"/>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6156034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9307077"/>
        <c:crosses val="autoZero"/>
        <c:auto val="1"/>
        <c:lblAlgn val="ctr"/>
        <c:lblOffset val="100"/>
        <c:noMultiLvlLbl val="0"/>
      </c:catAx>
      <c:valAx>
        <c:axId val="399307077"/>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56034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manualLayout>
          <c:xMode val="edge"/>
          <c:yMode val="edge"/>
          <c:x val="0.21375"/>
          <c:y val="0.0268333333333333"/>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explosion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delete val="1"/>
            </c:dLbl>
            <c:dLbl>
              <c:idx val="2"/>
              <c:delete val="1"/>
            </c:dLbl>
            <c:dLbl>
              <c:idx val="3"/>
              <c:delete val="1"/>
            </c:dLbl>
            <c:dLbl>
              <c:idx val="4"/>
              <c:delete val="1"/>
            </c:dLbl>
            <c:dLbl>
              <c:idx val="5"/>
              <c:delete val="1"/>
            </c:dLbl>
            <c:dLbl>
              <c:idx val="6"/>
              <c:delete val="1"/>
            </c:dLbl>
            <c:dLbl>
              <c:idx val="7"/>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一般公共服务（类）支出</c:v>
                </c:pt>
                <c:pt idx="1">
                  <c:v>社会保障和就业（类）支出</c:v>
                </c:pt>
                <c:pt idx="2">
                  <c:v>卫生健康（类）支出</c:v>
                </c:pt>
                <c:pt idx="3">
                  <c:v>节能环保（类）支出</c:v>
                </c:pt>
                <c:pt idx="4">
                  <c:v>城乡社区（类）支出</c:v>
                </c:pt>
                <c:pt idx="5">
                  <c:v>农林水（类）支出</c:v>
                </c:pt>
                <c:pt idx="6">
                  <c:v>交通运输（类）支出</c:v>
                </c:pt>
                <c:pt idx="7">
                  <c:v>住房保障（类）支出</c:v>
                </c:pt>
              </c:strCache>
            </c:strRef>
          </c:cat>
          <c:val>
            <c:numRef>
              <c:f>Sheet1!$B$2:$B$9</c:f>
              <c:numCache>
                <c:formatCode>General</c:formatCode>
                <c:ptCount val="8"/>
                <c:pt idx="0">
                  <c:v>582.26</c:v>
                </c:pt>
                <c:pt idx="1">
                  <c:v>217.72</c:v>
                </c:pt>
                <c:pt idx="2">
                  <c:v>22.28</c:v>
                </c:pt>
                <c:pt idx="3">
                  <c:v>25</c:v>
                </c:pt>
                <c:pt idx="4">
                  <c:v>16.94</c:v>
                </c:pt>
                <c:pt idx="5">
                  <c:v>334.86</c:v>
                </c:pt>
                <c:pt idx="6">
                  <c:v>5</c:v>
                </c:pt>
                <c:pt idx="7">
                  <c:v>32.49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500">
                <a:latin typeface="仿宋" panose="02010609060101010101" charset="-122"/>
                <a:ea typeface="仿宋" panose="02010609060101010101" charset="-122"/>
                <a:cs typeface="仿宋" panose="02010609060101010101" charset="-122"/>
              </a:rPr>
              <a:t>“</a:t>
            </a:r>
            <a:r>
              <a:rPr altLang="en-US" sz="1500">
                <a:latin typeface="仿宋" panose="02010609060101010101" charset="-122"/>
                <a:ea typeface="仿宋" panose="02010609060101010101" charset="-122"/>
                <a:cs typeface="仿宋" panose="02010609060101010101" charset="-122"/>
              </a:rPr>
              <a:t>三公</a:t>
            </a:r>
            <a:r>
              <a:rPr lang="en-US" altLang="zh-CN" sz="1500">
                <a:latin typeface="仿宋" panose="02010609060101010101" charset="-122"/>
                <a:ea typeface="仿宋" panose="02010609060101010101" charset="-122"/>
                <a:cs typeface="仿宋" panose="02010609060101010101" charset="-122"/>
              </a:rPr>
              <a:t>”</a:t>
            </a:r>
            <a:r>
              <a:rPr altLang="en-US" sz="1500">
                <a:latin typeface="仿宋" panose="02010609060101010101" charset="-122"/>
                <a:ea typeface="仿宋" panose="02010609060101010101" charset="-122"/>
                <a:cs typeface="仿宋" panose="02010609060101010101" charset="-122"/>
              </a:rPr>
              <a:t>经费财政拨款支出结构</a:t>
            </a:r>
            <a:endParaRPr lang="en-US" altLang="zh-CN" sz="1500">
              <a:latin typeface="仿宋" panose="02010609060101010101" charset="-122"/>
              <a:ea typeface="仿宋" panose="02010609060101010101" charset="-122"/>
              <a:cs typeface="仿宋" panose="02010609060101010101" charset="-122"/>
            </a:endParaRP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00176606081620459"/>
                  <c:y val="-0.174472589296486"/>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758255197717081"/>
                      <c:h val="0.120328425821065"/>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Sheet1!$A$2:$A$4</c:f>
              <c:strCache>
                <c:ptCount val="3"/>
                <c:pt idx="0">
                  <c:v>因公出国（境）费支出</c:v>
                </c:pt>
                <c:pt idx="1">
                  <c:v>公务用车购置及运行维护费支出</c:v>
                </c:pt>
                <c:pt idx="2">
                  <c:v>公务接待费支出</c:v>
                </c:pt>
              </c:strCache>
            </c:strRef>
          </c:cat>
          <c:val>
            <c:numRef>
              <c:extLst>
                <c:ext xmlns:c15="http://schemas.microsoft.com/office/drawing/2012/chart" uri="{02D57815-91ED-43cb-92C2-25804820EDAC}">
                  <c15:fullRef>
                    <c15:sqref>Sheet1!$B$2:$B$5</c15:sqref>
                  </c15:fullRef>
                </c:ext>
              </c:extLst>
              <c:f>Sheet1!$B$2:$B$4</c:f>
              <c:numCache>
                <c:formatCode>General</c:formatCode>
                <c:ptCount val="3"/>
                <c:pt idx="0">
                  <c:v>0</c:v>
                </c:pt>
                <c:pt idx="1">
                  <c:v>1.89</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12569</Words>
  <Characters>13540</Characters>
  <Lines>0</Lines>
  <Paragraphs>0</Paragraphs>
  <TotalTime>2</TotalTime>
  <ScaleCrop>false</ScaleCrop>
  <LinksUpToDate>false</LinksUpToDate>
  <CharactersWithSpaces>13684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2022-04-27T02:14:00Z</cp:lastPrinted>
  <dcterms:modified xsi:type="dcterms:W3CDTF">2022-05-31T08:58:52Z</dcterms:modified>
  <dc:title>自贡市自流井区人民政府舒坪街道办事处本级2020年度部门决算编制的说明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79E43E2DF14E47E0B600FC53B00235DB</vt:lpwstr>
  </property>
</Properties>
</file>