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hint="eastAsia" w:ascii="黑体" w:hAnsi="黑体" w:eastAsia="黑体" w:cs="黑体"/>
          <w:sz w:val="44"/>
          <w:szCs w:val="44"/>
          <w:lang w:val="en-US" w:eastAsia="zh-CN"/>
        </w:rPr>
      </w:pPr>
    </w:p>
    <w:p>
      <w:pPr>
        <w:widowControl/>
        <w:spacing w:line="580" w:lineRule="exact"/>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自贡市自流井区人民政府舒坪街道办事处</w:t>
      </w:r>
    </w:p>
    <w:p>
      <w:pPr>
        <w:widowControl/>
        <w:spacing w:line="580" w:lineRule="exact"/>
        <w:jc w:val="center"/>
        <w:rPr>
          <w:rFonts w:hint="eastAsia" w:ascii="黑体" w:hAnsi="黑体" w:eastAsia="黑体" w:cs="黑体"/>
          <w:sz w:val="44"/>
          <w:szCs w:val="44"/>
        </w:rPr>
      </w:pPr>
      <w:r>
        <w:rPr>
          <w:rFonts w:hint="eastAsia" w:ascii="黑体" w:hAnsi="黑体" w:eastAsia="黑体" w:cs="黑体"/>
          <w:sz w:val="44"/>
          <w:szCs w:val="44"/>
          <w:lang w:val="en-US" w:eastAsia="zh-CN"/>
        </w:rPr>
        <w:t>2020</w:t>
      </w:r>
      <w:r>
        <w:rPr>
          <w:rFonts w:hint="eastAsia" w:ascii="黑体" w:hAnsi="黑体" w:eastAsia="黑体" w:cs="黑体"/>
          <w:sz w:val="44"/>
          <w:szCs w:val="44"/>
        </w:rPr>
        <w:t>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w:t>
      </w:r>
      <w:r>
        <w:rPr>
          <w:rFonts w:hint="eastAsia" w:ascii="黑体" w:hAnsi="黑体" w:eastAsia="黑体"/>
          <w:color w:val="000000"/>
          <w:sz w:val="44"/>
          <w:szCs w:val="44"/>
          <w:lang w:val="en-US" w:eastAsia="zh-CN"/>
        </w:rPr>
        <w:t xml:space="preserve"> </w:t>
      </w:r>
      <w:r>
        <w:rPr>
          <w:rFonts w:hint="eastAsia" w:ascii="黑体" w:hAnsi="黑体" w:eastAsia="黑体"/>
          <w:color w:val="000000"/>
          <w:sz w:val="44"/>
          <w:szCs w:val="44"/>
        </w:rPr>
        <w:t>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bookmarkStart w:id="95" w:name="_GoBack"/>
      <w:bookmarkEnd w:id="95"/>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_Toc10567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第一部分 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_Toc21498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一、基本职能及主要工作</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_Toc21498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_Toc6092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二、机构设置</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_Toc6092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4</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_Toc23109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_Toc23109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5</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_Toc7163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 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_Toc7163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5</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_Toc25258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 收入决算情况说明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_Toc25258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5</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_Toc13725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 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_Toc13725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_Toc10354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7</w:t>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_Toc10967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五、一般公共预算财政拨款支出决算情况说明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_Toc10967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_Toc31021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六、一般公共预算财政拨款基本支出决算情况说明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_Toc31021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11</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_Toc6926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七、“三公”经费财政拨款支出决算情况说明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_Toc6926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_Toc9843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八、政府性基金预算支出决算情况说明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_Toc9843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_Toc10775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 国有资本经营预算支出决算情况说明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_Toc10775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十、其他重要事项的情况说明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_Toc738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14</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_Toc3536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_Toc11207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6</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_Toc22930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附件1</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6</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_Toc11602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附件2</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0</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_Toc32283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_Toc15699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_Toc27106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二、收入决算表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_Toc26817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_Toc21747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_Toc12959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_Toc23749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34</w:t>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_Toc22275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七、一般公共预算财政拨款支出决算明细表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_Toc30634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八、一般公共预算财政拨款基本支出决算表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_Toc15170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九、一般公共预算财政拨款项目支出决算表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_Toc17603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十、一般公共预算财政拨款“三公”经费支出决算表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_Toc7313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十一、政府性基金预算财政拨款收入支出决算表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_Toc9382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十二、政府性基金预算财政拨款“三公”经费支出决算表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_Toc22683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十三、国有资本经营预算财政拨款收入支出决算表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_Toc10257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十四、国有资本经营预算财政拨款支出决算表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4</w:t>
      </w:r>
    </w:p>
    <w:p>
      <w:pPr>
        <w:keepNext w:val="0"/>
        <w:keepLines w:val="0"/>
        <w:pageBreakBefore w:val="0"/>
        <w:widowControl w:val="0"/>
        <w:kinsoku/>
        <w:wordWrap/>
        <w:overflowPunct/>
        <w:topLinePunct w:val="0"/>
        <w:autoSpaceDE/>
        <w:autoSpaceDN/>
        <w:bidi w:val="0"/>
        <w:adjustRightInd/>
        <w:snapToGrid/>
        <w:spacing w:line="560" w:lineRule="exact"/>
        <w:ind w:firstLine="2100" w:firstLineChars="750"/>
        <w:textAlignment w:val="auto"/>
        <w:rPr>
          <w:rFonts w:hint="eastAsia" w:ascii="仿宋_GB2312" w:hAnsi="仿宋"/>
          <w:color w:val="FF0000"/>
          <w:szCs w:val="32"/>
        </w:rPr>
      </w:pPr>
      <w:r>
        <w:rPr>
          <w:rFonts w:hint="eastAsia" w:ascii="仿宋_GB2312" w:hAnsi="仿宋_GB2312" w:eastAsia="仿宋_GB2312" w:cs="仿宋_GB2312"/>
          <w:b w:val="0"/>
          <w:bCs w:val="0"/>
          <w:i w:val="0"/>
          <w:iCs w:val="0"/>
          <w:caps/>
          <w:sz w:val="28"/>
          <w:szCs w:val="28"/>
        </w:rPr>
        <w:fldChar w:fldCharType="end"/>
      </w:r>
    </w:p>
    <w:p>
      <w:r>
        <w:br w:type="page"/>
      </w:r>
    </w:p>
    <w:p>
      <w:pPr>
        <w:pStyle w:val="3"/>
        <w:jc w:val="center"/>
        <w:rPr>
          <w:rStyle w:val="13"/>
          <w:rFonts w:ascii="黑体" w:hAnsi="黑体" w:eastAsia="黑体"/>
          <w:b w:val="0"/>
          <w:bCs/>
        </w:rPr>
      </w:pPr>
      <w:bookmarkStart w:id="0" w:name="_Toc10567"/>
      <w:r>
        <w:rPr>
          <w:rFonts w:hint="eastAsia" w:ascii="黑体" w:hAnsi="黑体" w:eastAsia="黑体"/>
          <w:b w:val="0"/>
          <w:bCs/>
        </w:rPr>
        <w:t>第一部分</w:t>
      </w:r>
      <w:r>
        <w:rPr>
          <w:rFonts w:ascii="黑体" w:hAnsi="黑体" w:eastAsia="黑体"/>
          <w:b w:val="0"/>
          <w:bCs/>
        </w:rPr>
        <w:t xml:space="preserve"> </w:t>
      </w:r>
      <w:r>
        <w:rPr>
          <w:rStyle w:val="13"/>
          <w:rFonts w:hint="eastAsia" w:ascii="黑体" w:hAnsi="黑体" w:eastAsia="黑体"/>
          <w:b w:val="0"/>
          <w:bCs/>
        </w:rPr>
        <w:t>部门概况</w:t>
      </w:r>
      <w:bookmarkEnd w:id="0"/>
    </w:p>
    <w:p>
      <w:pPr>
        <w:widowControl/>
        <w:jc w:val="left"/>
        <w:rPr>
          <w:rFonts w:ascii="黑体" w:eastAsia="黑体"/>
          <w:color w:val="000000"/>
          <w:sz w:val="32"/>
          <w:szCs w:val="32"/>
        </w:rPr>
      </w:pPr>
    </w:p>
    <w:p>
      <w:pPr>
        <w:pStyle w:val="4"/>
        <w:rPr>
          <w:rStyle w:val="14"/>
          <w:rFonts w:ascii="仿宋" w:hAnsi="仿宋" w:eastAsia="仿宋"/>
          <w:b w:val="0"/>
          <w:bCs w:val="0"/>
        </w:rPr>
      </w:pPr>
      <w:bookmarkStart w:id="1" w:name="_Toc15377197"/>
      <w:bookmarkStart w:id="2" w:name="_Toc15396600"/>
      <w:bookmarkStart w:id="3" w:name="_Toc21498"/>
      <w:r>
        <w:rPr>
          <w:rFonts w:hint="eastAsia" w:ascii="黑体" w:hAnsi="黑体" w:eastAsia="黑体"/>
          <w:b w:val="0"/>
          <w:color w:val="000000"/>
        </w:rPr>
        <w:t>一、基</w:t>
      </w:r>
      <w:r>
        <w:rPr>
          <w:rStyle w:val="14"/>
          <w:rFonts w:hint="eastAsia" w:ascii="黑体" w:hAnsi="黑体" w:eastAsia="黑体"/>
          <w:b w:val="0"/>
          <w:bCs w:val="0"/>
        </w:rPr>
        <w:t>本职能及主要工作</w:t>
      </w:r>
      <w:bookmarkEnd w:id="1"/>
      <w:bookmarkEnd w:id="2"/>
      <w:bookmarkEnd w:id="3"/>
    </w:p>
    <w:p>
      <w:pPr>
        <w:pStyle w:val="2"/>
        <w:adjustRightInd w:val="0"/>
        <w:snapToGrid w:val="0"/>
        <w:spacing w:before="93" w:line="600" w:lineRule="exact"/>
        <w:ind w:firstLine="675" w:firstLineChars="210"/>
        <w:outlineLvl w:val="2"/>
        <w:rPr>
          <w:rFonts w:hint="eastAsia" w:ascii="仿宋" w:hAnsi="仿宋" w:eastAsia="仿宋"/>
          <w:b/>
          <w:bCs w:val="0"/>
          <w:color w:val="000000"/>
          <w:sz w:val="32"/>
          <w:szCs w:val="32"/>
        </w:rPr>
      </w:pPr>
      <w:bookmarkStart w:id="4" w:name="_Toc15378445"/>
      <w:bookmarkStart w:id="5" w:name="_Toc15377198"/>
      <w:r>
        <w:rPr>
          <w:rFonts w:hint="eastAsia" w:ascii="仿宋" w:hAnsi="仿宋" w:eastAsia="仿宋"/>
          <w:b/>
          <w:bCs w:val="0"/>
          <w:color w:val="000000"/>
          <w:sz w:val="32"/>
          <w:szCs w:val="32"/>
        </w:rPr>
        <w:t>（一）主要职能</w:t>
      </w:r>
      <w:bookmarkEnd w:id="4"/>
      <w:bookmarkEnd w:id="5"/>
      <w:bookmarkStart w:id="6" w:name="_Toc15377199"/>
      <w:bookmarkStart w:id="7" w:name="_Toc15378446"/>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i w:val="0"/>
          <w:caps w:val="0"/>
          <w:color w:val="auto"/>
          <w:spacing w:val="0"/>
          <w:sz w:val="32"/>
          <w:szCs w:val="32"/>
          <w:shd w:val="clear" w:fill="FFFFFF"/>
        </w:rPr>
      </w:pPr>
      <w:r>
        <w:rPr>
          <w:rFonts w:hint="eastAsia" w:ascii="仿宋" w:hAnsi="仿宋" w:eastAsia="仿宋" w:cs="仿宋"/>
          <w:i w:val="0"/>
          <w:caps w:val="0"/>
          <w:color w:val="auto"/>
          <w:spacing w:val="0"/>
          <w:sz w:val="32"/>
          <w:szCs w:val="32"/>
          <w:shd w:val="clear" w:fill="FFFFFF"/>
        </w:rPr>
        <w:t>舒坪街道办事处是基层行政机关，宣传贯彻党的方针、政策和国家的法律、法规，执行上级党委、政府的决定和命令及本街党工委的决议，贯彻落实区委、区政府的重大决策和重要工作部署，制定和实施本街农业、经济发展规划、年度计划；谋划实施街域范围内的经济发展，制定并组织实施乡村建设规划，部署重点工程建设，负责社会主义新农村基础设施建设和生态环境的保护，抓实文教、卫生、公民素质教育等与政治、经济、社会协调发展的相关内容。</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3" w:firstLineChars="200"/>
        <w:jc w:val="both"/>
        <w:textAlignment w:val="auto"/>
        <w:outlineLvl w:val="2"/>
        <w:rPr>
          <w:rFonts w:hint="eastAsia" w:ascii="仿宋" w:hAnsi="仿宋" w:eastAsia="仿宋"/>
          <w:b/>
          <w:bCs w:val="0"/>
          <w:color w:val="000000"/>
          <w:sz w:val="32"/>
          <w:szCs w:val="32"/>
        </w:rPr>
      </w:pPr>
      <w:r>
        <w:rPr>
          <w:rFonts w:hint="eastAsia" w:ascii="仿宋" w:hAnsi="仿宋" w:eastAsia="仿宋"/>
          <w:b/>
          <w:bCs w:val="0"/>
          <w:color w:val="000000"/>
          <w:sz w:val="32"/>
          <w:szCs w:val="32"/>
        </w:rPr>
        <w:t>（二）</w:t>
      </w:r>
      <w:r>
        <w:rPr>
          <w:rFonts w:ascii="仿宋" w:hAnsi="仿宋" w:eastAsia="仿宋"/>
          <w:b/>
          <w:bCs w:val="0"/>
          <w:color w:val="000000"/>
          <w:sz w:val="32"/>
          <w:szCs w:val="32"/>
        </w:rPr>
        <w:t>2020</w:t>
      </w:r>
      <w:r>
        <w:rPr>
          <w:rFonts w:hint="eastAsia" w:ascii="仿宋" w:hAnsi="仿宋" w:eastAsia="仿宋"/>
          <w:b/>
          <w:bCs w:val="0"/>
          <w:color w:val="000000"/>
          <w:sz w:val="32"/>
          <w:szCs w:val="32"/>
        </w:rPr>
        <w:t>年重点工作完成情况</w:t>
      </w:r>
      <w:bookmarkEnd w:id="6"/>
      <w:bookmarkEnd w:id="7"/>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b/>
          <w:bCs w:val="0"/>
          <w:color w:val="auto"/>
          <w:sz w:val="32"/>
          <w:szCs w:val="32"/>
        </w:rPr>
      </w:pPr>
      <w:r>
        <w:rPr>
          <w:rFonts w:hint="eastAsia" w:ascii="仿宋" w:hAnsi="仿宋" w:eastAsia="仿宋" w:cs="仿宋"/>
          <w:i w:val="0"/>
          <w:caps w:val="0"/>
          <w:color w:val="auto"/>
          <w:spacing w:val="0"/>
          <w:sz w:val="32"/>
          <w:szCs w:val="32"/>
          <w:shd w:val="clear" w:fill="FFFFFF"/>
        </w:rPr>
        <w:t>1.贯彻落实党的路线、方针、政策和国家法律、法规以及上级的决议；负责辖区内的地区性、群众性、公益性、社会性工作。</w:t>
      </w:r>
      <w:r>
        <w:rPr>
          <w:rFonts w:hint="eastAsia" w:ascii="仿宋" w:hAnsi="仿宋" w:eastAsia="仿宋" w:cs="仿宋"/>
          <w:i w:val="0"/>
          <w:caps w:val="0"/>
          <w:color w:val="auto"/>
          <w:spacing w:val="0"/>
          <w:sz w:val="32"/>
          <w:szCs w:val="32"/>
          <w:shd w:val="clear" w:fill="FFFFFF"/>
        </w:rPr>
        <w:br w:type="textWrapping"/>
      </w:r>
      <w:r>
        <w:rPr>
          <w:rFonts w:hint="eastAsia" w:ascii="仿宋" w:hAnsi="仿宋" w:eastAsia="仿宋" w:cs="仿宋"/>
          <w:i w:val="0"/>
          <w:caps w:val="0"/>
          <w:color w:val="auto"/>
          <w:spacing w:val="0"/>
          <w:sz w:val="32"/>
          <w:szCs w:val="32"/>
          <w:shd w:val="clear" w:fill="FFFFFF"/>
          <w:lang w:val="en-US" w:eastAsia="zh-CN"/>
        </w:rPr>
        <w:t xml:space="preserve">    </w:t>
      </w:r>
      <w:r>
        <w:rPr>
          <w:rFonts w:hint="eastAsia" w:ascii="仿宋" w:hAnsi="仿宋" w:eastAsia="仿宋" w:cs="仿宋"/>
          <w:i w:val="0"/>
          <w:caps w:val="0"/>
          <w:color w:val="auto"/>
          <w:spacing w:val="0"/>
          <w:sz w:val="32"/>
          <w:szCs w:val="32"/>
          <w:shd w:val="clear" w:fill="FFFFFF"/>
        </w:rPr>
        <w:t>2．按照职责范围，做好街道范围内的城市管理、社会管理、安全生产、应急、防汛救灾、生态环保、市容环境卫生、园林绿化等监督、管理、协调、服务工作。</w:t>
      </w:r>
      <w:r>
        <w:rPr>
          <w:rFonts w:hint="eastAsia" w:ascii="仿宋" w:hAnsi="仿宋" w:eastAsia="仿宋" w:cs="仿宋"/>
          <w:i w:val="0"/>
          <w:caps w:val="0"/>
          <w:color w:val="auto"/>
          <w:spacing w:val="0"/>
          <w:sz w:val="32"/>
          <w:szCs w:val="32"/>
          <w:shd w:val="clear" w:fill="FFFFFF"/>
        </w:rPr>
        <w:br w:type="textWrapping"/>
      </w:r>
      <w:r>
        <w:rPr>
          <w:rFonts w:hint="eastAsia" w:ascii="仿宋" w:hAnsi="仿宋" w:eastAsia="仿宋" w:cs="仿宋"/>
          <w:i w:val="0"/>
          <w:caps w:val="0"/>
          <w:color w:val="auto"/>
          <w:spacing w:val="0"/>
          <w:sz w:val="32"/>
          <w:szCs w:val="32"/>
          <w:shd w:val="clear" w:fill="FFFFFF"/>
          <w:lang w:val="en-US" w:eastAsia="zh-CN"/>
        </w:rPr>
        <w:t xml:space="preserve">    </w:t>
      </w:r>
      <w:r>
        <w:rPr>
          <w:rFonts w:hint="eastAsia" w:ascii="仿宋" w:hAnsi="仿宋" w:eastAsia="仿宋" w:cs="仿宋"/>
          <w:i w:val="0"/>
          <w:caps w:val="0"/>
          <w:color w:val="auto"/>
          <w:spacing w:val="0"/>
          <w:sz w:val="32"/>
          <w:szCs w:val="32"/>
          <w:shd w:val="clear" w:fill="FFFFFF"/>
        </w:rPr>
        <w:t>3．负责街道的信访工作及平安建设、公共安全工作。承担民族宗教、拥军优属、社区文化、卫生健康、教育体育、社会保障、民政、科技、统计等工作。</w:t>
      </w:r>
      <w:r>
        <w:rPr>
          <w:rFonts w:hint="eastAsia" w:ascii="仿宋" w:hAnsi="仿宋" w:eastAsia="仿宋" w:cs="仿宋"/>
          <w:i w:val="0"/>
          <w:caps w:val="0"/>
          <w:color w:val="auto"/>
          <w:spacing w:val="0"/>
          <w:sz w:val="32"/>
          <w:szCs w:val="32"/>
          <w:shd w:val="clear" w:fill="FFFFFF"/>
        </w:rPr>
        <w:br w:type="textWrapping"/>
      </w:r>
      <w:r>
        <w:rPr>
          <w:rFonts w:hint="eastAsia" w:ascii="仿宋" w:hAnsi="仿宋" w:eastAsia="仿宋" w:cs="仿宋"/>
          <w:i w:val="0"/>
          <w:caps w:val="0"/>
          <w:color w:val="auto"/>
          <w:spacing w:val="0"/>
          <w:sz w:val="32"/>
          <w:szCs w:val="32"/>
          <w:shd w:val="clear" w:fill="FFFFFF"/>
          <w:lang w:val="en-US" w:eastAsia="zh-CN"/>
        </w:rPr>
        <w:t xml:space="preserve">    </w:t>
      </w:r>
      <w:r>
        <w:rPr>
          <w:rFonts w:hint="eastAsia" w:ascii="仿宋" w:hAnsi="仿宋" w:eastAsia="仿宋" w:cs="仿宋"/>
          <w:i w:val="0"/>
          <w:caps w:val="0"/>
          <w:color w:val="auto"/>
          <w:spacing w:val="0"/>
          <w:sz w:val="32"/>
          <w:szCs w:val="32"/>
          <w:shd w:val="clear" w:fill="FFFFFF"/>
        </w:rPr>
        <w:t>4．负责社区治理，指导社区基层群众性自治组织建设，健全自治平台，组织居民和辖区单位参与社区建设和管理。</w:t>
      </w:r>
      <w:r>
        <w:rPr>
          <w:rFonts w:hint="eastAsia" w:ascii="仿宋" w:hAnsi="仿宋" w:eastAsia="仿宋" w:cs="仿宋"/>
          <w:i w:val="0"/>
          <w:caps w:val="0"/>
          <w:color w:val="auto"/>
          <w:spacing w:val="0"/>
          <w:sz w:val="32"/>
          <w:szCs w:val="32"/>
          <w:shd w:val="clear" w:fill="FFFFFF"/>
        </w:rPr>
        <w:br w:type="textWrapping"/>
      </w:r>
      <w:r>
        <w:rPr>
          <w:rFonts w:hint="eastAsia" w:ascii="仿宋" w:hAnsi="仿宋" w:eastAsia="仿宋" w:cs="仿宋"/>
          <w:i w:val="0"/>
          <w:caps w:val="0"/>
          <w:color w:val="auto"/>
          <w:spacing w:val="0"/>
          <w:sz w:val="32"/>
          <w:szCs w:val="32"/>
          <w:shd w:val="clear" w:fill="FFFFFF"/>
          <w:lang w:val="en-US" w:eastAsia="zh-CN"/>
        </w:rPr>
        <w:t xml:space="preserve">    </w:t>
      </w:r>
      <w:r>
        <w:rPr>
          <w:rFonts w:hint="eastAsia" w:ascii="仿宋" w:hAnsi="仿宋" w:eastAsia="仿宋" w:cs="仿宋"/>
          <w:i w:val="0"/>
          <w:caps w:val="0"/>
          <w:color w:val="auto"/>
          <w:spacing w:val="0"/>
          <w:sz w:val="32"/>
          <w:szCs w:val="32"/>
          <w:shd w:val="clear" w:fill="FFFFFF"/>
        </w:rPr>
        <w:t>5．协助做好国防教育和兵役等工作。</w:t>
      </w:r>
      <w:r>
        <w:rPr>
          <w:rFonts w:hint="eastAsia" w:ascii="仿宋" w:hAnsi="仿宋" w:eastAsia="仿宋" w:cs="仿宋"/>
          <w:i w:val="0"/>
          <w:caps w:val="0"/>
          <w:color w:val="auto"/>
          <w:spacing w:val="0"/>
          <w:sz w:val="32"/>
          <w:szCs w:val="32"/>
          <w:shd w:val="clear" w:fill="FFFFFF"/>
        </w:rPr>
        <w:br w:type="textWrapping"/>
      </w:r>
      <w:r>
        <w:rPr>
          <w:rFonts w:hint="eastAsia" w:ascii="仿宋" w:hAnsi="仿宋" w:eastAsia="仿宋" w:cs="仿宋"/>
          <w:i w:val="0"/>
          <w:caps w:val="0"/>
          <w:color w:val="auto"/>
          <w:spacing w:val="0"/>
          <w:sz w:val="32"/>
          <w:szCs w:val="32"/>
          <w:shd w:val="clear" w:fill="FFFFFF"/>
          <w:lang w:val="en-US" w:eastAsia="zh-CN"/>
        </w:rPr>
        <w:t xml:space="preserve">    </w:t>
      </w:r>
      <w:r>
        <w:rPr>
          <w:rFonts w:hint="eastAsia" w:ascii="仿宋" w:hAnsi="仿宋" w:eastAsia="仿宋" w:cs="仿宋"/>
          <w:i w:val="0"/>
          <w:caps w:val="0"/>
          <w:color w:val="auto"/>
          <w:spacing w:val="0"/>
          <w:sz w:val="32"/>
          <w:szCs w:val="32"/>
          <w:shd w:val="clear" w:fill="FFFFFF"/>
        </w:rPr>
        <w:t>6．按照权限负责街道综合行政执法工作。</w:t>
      </w:r>
      <w:r>
        <w:rPr>
          <w:rFonts w:hint="eastAsia" w:ascii="仿宋" w:hAnsi="仿宋" w:eastAsia="仿宋" w:cs="仿宋"/>
          <w:i w:val="0"/>
          <w:caps w:val="0"/>
          <w:color w:val="auto"/>
          <w:spacing w:val="0"/>
          <w:sz w:val="32"/>
          <w:szCs w:val="32"/>
          <w:shd w:val="clear" w:fill="FFFFFF"/>
        </w:rPr>
        <w:br w:type="textWrapping"/>
      </w:r>
      <w:r>
        <w:rPr>
          <w:rFonts w:hint="eastAsia" w:ascii="仿宋" w:hAnsi="仿宋" w:eastAsia="仿宋" w:cs="仿宋"/>
          <w:i w:val="0"/>
          <w:caps w:val="0"/>
          <w:color w:val="auto"/>
          <w:spacing w:val="0"/>
          <w:sz w:val="32"/>
          <w:szCs w:val="32"/>
          <w:shd w:val="clear" w:fill="FFFFFF"/>
          <w:lang w:val="en-US" w:eastAsia="zh-CN"/>
        </w:rPr>
        <w:t xml:space="preserve">    </w:t>
      </w:r>
      <w:r>
        <w:rPr>
          <w:rFonts w:hint="eastAsia" w:ascii="仿宋" w:hAnsi="仿宋" w:eastAsia="仿宋" w:cs="仿宋"/>
          <w:i w:val="0"/>
          <w:caps w:val="0"/>
          <w:color w:val="auto"/>
          <w:spacing w:val="0"/>
          <w:sz w:val="32"/>
          <w:szCs w:val="32"/>
          <w:shd w:val="clear" w:fill="FFFFFF"/>
        </w:rPr>
        <w:t>7．制定完善街道权力清单、责任清单、公共服务清单,建立清单动态调整、公示机制，推进街道政务公开，接受群众监督，增强政府公信力。</w:t>
      </w:r>
      <w:r>
        <w:rPr>
          <w:rFonts w:hint="eastAsia" w:ascii="仿宋" w:hAnsi="仿宋" w:eastAsia="仿宋" w:cs="仿宋"/>
          <w:i w:val="0"/>
          <w:caps w:val="0"/>
          <w:color w:val="auto"/>
          <w:spacing w:val="0"/>
          <w:sz w:val="32"/>
          <w:szCs w:val="32"/>
          <w:shd w:val="clear" w:fill="FFFFFF"/>
        </w:rPr>
        <w:br w:type="textWrapping"/>
      </w:r>
      <w:r>
        <w:rPr>
          <w:rFonts w:hint="eastAsia" w:ascii="仿宋" w:hAnsi="仿宋" w:eastAsia="仿宋" w:cs="仿宋"/>
          <w:i w:val="0"/>
          <w:caps w:val="0"/>
          <w:color w:val="auto"/>
          <w:spacing w:val="0"/>
          <w:sz w:val="32"/>
          <w:szCs w:val="32"/>
          <w:shd w:val="clear" w:fill="FFFFFF"/>
          <w:lang w:val="en-US" w:eastAsia="zh-CN"/>
        </w:rPr>
        <w:t xml:space="preserve">    </w:t>
      </w:r>
      <w:r>
        <w:rPr>
          <w:rFonts w:hint="eastAsia" w:ascii="仿宋" w:hAnsi="仿宋" w:eastAsia="仿宋" w:cs="仿宋"/>
          <w:i w:val="0"/>
          <w:caps w:val="0"/>
          <w:color w:val="auto"/>
          <w:spacing w:val="0"/>
          <w:sz w:val="32"/>
          <w:szCs w:val="32"/>
          <w:shd w:val="clear" w:fill="FFFFFF"/>
        </w:rPr>
        <w:t>8．负责街道财政资金使用、监督和管理，按计划组织、管理街道财政收入和支出，指导社区财务管理。</w:t>
      </w:r>
      <w:r>
        <w:rPr>
          <w:rFonts w:hint="eastAsia" w:ascii="仿宋" w:hAnsi="仿宋" w:eastAsia="仿宋" w:cs="仿宋"/>
          <w:i w:val="0"/>
          <w:caps w:val="0"/>
          <w:color w:val="auto"/>
          <w:spacing w:val="0"/>
          <w:sz w:val="32"/>
          <w:szCs w:val="32"/>
          <w:shd w:val="clear" w:fill="FFFFFF"/>
        </w:rPr>
        <w:br w:type="textWrapping"/>
      </w:r>
      <w:r>
        <w:rPr>
          <w:rFonts w:hint="eastAsia" w:ascii="仿宋" w:hAnsi="仿宋" w:eastAsia="仿宋" w:cs="仿宋"/>
          <w:i w:val="0"/>
          <w:caps w:val="0"/>
          <w:color w:val="auto"/>
          <w:spacing w:val="0"/>
          <w:sz w:val="32"/>
          <w:szCs w:val="32"/>
          <w:shd w:val="clear" w:fill="FFFFFF"/>
          <w:lang w:val="en-US" w:eastAsia="zh-CN"/>
        </w:rPr>
        <w:t xml:space="preserve">    </w:t>
      </w:r>
      <w:r>
        <w:rPr>
          <w:rFonts w:hint="eastAsia" w:ascii="仿宋" w:hAnsi="仿宋" w:eastAsia="仿宋" w:cs="仿宋"/>
          <w:i w:val="0"/>
          <w:caps w:val="0"/>
          <w:color w:val="auto"/>
          <w:spacing w:val="0"/>
          <w:sz w:val="32"/>
          <w:szCs w:val="32"/>
          <w:shd w:val="clear" w:fill="FFFFFF"/>
        </w:rPr>
        <w:t>9．完成法律、法规、规章规定的其他职能和上级党委、政府交办的其他任务。</w:t>
      </w:r>
    </w:p>
    <w:p>
      <w:pPr>
        <w:pStyle w:val="4"/>
        <w:rPr>
          <w:rStyle w:val="14"/>
          <w:b w:val="0"/>
          <w:bCs w:val="0"/>
        </w:rPr>
      </w:pPr>
      <w:bookmarkStart w:id="8" w:name="_Toc6092"/>
      <w:bookmarkStart w:id="9" w:name="_Toc15396601"/>
      <w:bookmarkStart w:id="10" w:name="_Toc15377200"/>
      <w:r>
        <w:rPr>
          <w:rFonts w:hint="eastAsia" w:ascii="黑体" w:eastAsia="黑体"/>
          <w:b w:val="0"/>
          <w:color w:val="000000"/>
        </w:rPr>
        <w:t>二、</w:t>
      </w:r>
      <w:r>
        <w:rPr>
          <w:rFonts w:hint="eastAsia" w:ascii="黑体" w:hAnsi="黑体" w:eastAsia="黑体"/>
          <w:b w:val="0"/>
          <w:color w:val="000000"/>
        </w:rPr>
        <w:t>机</w:t>
      </w:r>
      <w:r>
        <w:rPr>
          <w:rStyle w:val="14"/>
          <w:rFonts w:hint="eastAsia" w:ascii="黑体" w:hAnsi="黑体" w:eastAsia="黑体"/>
          <w:b w:val="0"/>
          <w:bCs w:val="0"/>
        </w:rPr>
        <w:t>构设置</w:t>
      </w:r>
      <w:bookmarkEnd w:id="8"/>
      <w:bookmarkEnd w:id="9"/>
      <w:bookmarkEnd w:id="10"/>
    </w:p>
    <w:p>
      <w:pPr>
        <w:keepNext w:val="0"/>
        <w:keepLines w:val="0"/>
        <w:pageBreakBefore w:val="0"/>
        <w:widowControl w:val="0"/>
        <w:kinsoku/>
        <w:wordWrap/>
        <w:overflowPunct/>
        <w:topLinePunct w:val="0"/>
        <w:autoSpaceDE/>
        <w:autoSpaceDN/>
        <w:bidi w:val="0"/>
        <w:ind w:firstLine="640" w:firstLineChars="200"/>
        <w:textAlignment w:val="auto"/>
        <w:rPr>
          <w:rFonts w:hint="eastAsia" w:ascii="仿宋" w:hAnsi="仿宋" w:eastAsia="仿宋" w:cs="仿宋"/>
          <w:i w:val="0"/>
          <w:caps w:val="0"/>
          <w:color w:val="auto"/>
          <w:spacing w:val="0"/>
          <w:sz w:val="32"/>
          <w:szCs w:val="32"/>
          <w:shd w:val="clear" w:fill="FFFFFF"/>
        </w:rPr>
      </w:pPr>
      <w:r>
        <w:rPr>
          <w:rFonts w:hint="eastAsia" w:ascii="仿宋" w:hAnsi="仿宋" w:eastAsia="仿宋" w:cs="仿宋"/>
          <w:i w:val="0"/>
          <w:caps w:val="0"/>
          <w:color w:val="auto"/>
          <w:spacing w:val="0"/>
          <w:sz w:val="32"/>
          <w:szCs w:val="32"/>
          <w:shd w:val="clear" w:fill="FFFFFF"/>
        </w:rPr>
        <w:t>舒坪街道办事处下属二级预算单位</w:t>
      </w:r>
      <w:r>
        <w:rPr>
          <w:rFonts w:hint="eastAsia" w:ascii="仿宋" w:hAnsi="仿宋" w:eastAsia="仿宋" w:cs="仿宋"/>
          <w:i w:val="0"/>
          <w:caps w:val="0"/>
          <w:color w:val="auto"/>
          <w:spacing w:val="0"/>
          <w:sz w:val="32"/>
          <w:szCs w:val="32"/>
          <w:shd w:val="clear" w:fill="FFFFFF"/>
          <w:lang w:val="en-US" w:eastAsia="zh-CN"/>
        </w:rPr>
        <w:t>5</w:t>
      </w:r>
      <w:r>
        <w:rPr>
          <w:rFonts w:hint="eastAsia" w:ascii="仿宋" w:hAnsi="仿宋" w:eastAsia="仿宋" w:cs="仿宋"/>
          <w:i w:val="0"/>
          <w:caps w:val="0"/>
          <w:color w:val="auto"/>
          <w:spacing w:val="0"/>
          <w:sz w:val="32"/>
          <w:szCs w:val="32"/>
          <w:shd w:val="clear" w:fill="FFFFFF"/>
        </w:rPr>
        <w:t>个，</w:t>
      </w:r>
      <w:r>
        <w:rPr>
          <w:rFonts w:hint="eastAsia" w:ascii="仿宋" w:hAnsi="仿宋" w:eastAsia="仿宋" w:cs="仿宋"/>
          <w:i w:val="0"/>
          <w:caps w:val="0"/>
          <w:color w:val="auto"/>
          <w:spacing w:val="0"/>
          <w:sz w:val="32"/>
          <w:szCs w:val="32"/>
          <w:highlight w:val="none"/>
          <w:shd w:val="clear" w:fill="FFFFFF"/>
        </w:rPr>
        <w:t>其中行政单位</w:t>
      </w:r>
      <w:r>
        <w:rPr>
          <w:rFonts w:hint="eastAsia" w:ascii="仿宋" w:hAnsi="仿宋" w:eastAsia="仿宋" w:cs="仿宋"/>
          <w:i w:val="0"/>
          <w:caps w:val="0"/>
          <w:color w:val="auto"/>
          <w:spacing w:val="0"/>
          <w:sz w:val="32"/>
          <w:szCs w:val="32"/>
          <w:highlight w:val="none"/>
          <w:shd w:val="clear" w:fill="FFFFFF"/>
          <w:lang w:val="en-US" w:eastAsia="zh-CN"/>
        </w:rPr>
        <w:t>1</w:t>
      </w:r>
      <w:r>
        <w:rPr>
          <w:rFonts w:hint="eastAsia" w:ascii="仿宋" w:hAnsi="仿宋" w:eastAsia="仿宋" w:cs="仿宋"/>
          <w:i w:val="0"/>
          <w:caps w:val="0"/>
          <w:color w:val="auto"/>
          <w:spacing w:val="0"/>
          <w:sz w:val="32"/>
          <w:szCs w:val="32"/>
          <w:highlight w:val="none"/>
          <w:shd w:val="clear" w:fill="FFFFFF"/>
        </w:rPr>
        <w:t>个，</w:t>
      </w:r>
      <w:r>
        <w:rPr>
          <w:rFonts w:hint="eastAsia" w:ascii="仿宋" w:hAnsi="仿宋" w:eastAsia="仿宋" w:cs="仿宋"/>
          <w:i w:val="0"/>
          <w:caps w:val="0"/>
          <w:color w:val="auto"/>
          <w:spacing w:val="0"/>
          <w:sz w:val="32"/>
          <w:szCs w:val="32"/>
          <w:shd w:val="clear" w:fill="FFFFFF"/>
        </w:rPr>
        <w:t>参照公务员法管理的事业单位0个，其他事业单位4个。纳入</w:t>
      </w:r>
      <w:r>
        <w:rPr>
          <w:rFonts w:hint="eastAsia" w:ascii="仿宋" w:hAnsi="仿宋" w:eastAsia="仿宋" w:cs="仿宋"/>
          <w:i w:val="0"/>
          <w:caps w:val="0"/>
          <w:color w:val="auto"/>
          <w:spacing w:val="0"/>
          <w:sz w:val="32"/>
          <w:szCs w:val="32"/>
          <w:shd w:val="clear" w:fill="FFFFFF"/>
          <w:lang w:val="en-US" w:eastAsia="zh-CN"/>
        </w:rPr>
        <w:t>舒坪街道办事处</w:t>
      </w:r>
      <w:r>
        <w:rPr>
          <w:rFonts w:hint="eastAsia" w:ascii="仿宋" w:hAnsi="仿宋" w:eastAsia="仿宋" w:cs="仿宋"/>
          <w:i w:val="0"/>
          <w:caps w:val="0"/>
          <w:color w:val="auto"/>
          <w:spacing w:val="0"/>
          <w:sz w:val="32"/>
          <w:szCs w:val="32"/>
          <w:shd w:val="clear" w:fill="FFFFFF"/>
        </w:rPr>
        <w:t>2020年度部门决算编制范围的二级预算单位</w:t>
      </w:r>
      <w:r>
        <w:rPr>
          <w:rFonts w:hint="eastAsia" w:ascii="仿宋" w:hAnsi="仿宋" w:eastAsia="仿宋" w:cs="仿宋"/>
          <w:i w:val="0"/>
          <w:caps w:val="0"/>
          <w:color w:val="auto"/>
          <w:spacing w:val="0"/>
          <w:sz w:val="32"/>
          <w:szCs w:val="32"/>
          <w:shd w:val="clear" w:fill="FFFFFF"/>
          <w:lang w:val="en-US" w:eastAsia="zh-CN"/>
        </w:rPr>
        <w:t>（下属二级预算单位无单独核算）</w:t>
      </w:r>
      <w:r>
        <w:rPr>
          <w:rFonts w:hint="eastAsia" w:ascii="仿宋" w:hAnsi="仿宋" w:eastAsia="仿宋" w:cs="仿宋"/>
          <w:i w:val="0"/>
          <w:caps w:val="0"/>
          <w:color w:val="auto"/>
          <w:spacing w:val="0"/>
          <w:sz w:val="32"/>
          <w:szCs w:val="32"/>
          <w:shd w:val="clear" w:fill="FFFFFF"/>
        </w:rPr>
        <w:t>包括：</w:t>
      </w:r>
    </w:p>
    <w:p>
      <w:pPr>
        <w:pStyle w:val="2"/>
        <w:numPr>
          <w:ilvl w:val="0"/>
          <w:numId w:val="0"/>
        </w:numPr>
        <w:adjustRightInd w:val="0"/>
        <w:snapToGrid w:val="0"/>
        <w:spacing w:before="93" w:line="600" w:lineRule="exact"/>
        <w:ind w:left="672" w:leftChars="0"/>
        <w:outlineLvl w:val="2"/>
        <w:rPr>
          <w:rFonts w:hint="eastAsia" w:ascii="仿宋" w:hAnsi="仿宋" w:eastAsia="仿宋" w:cs="仿宋"/>
          <w:color w:val="auto"/>
          <w:sz w:val="32"/>
          <w:szCs w:val="32"/>
        </w:rPr>
      </w:pPr>
      <w:bookmarkStart w:id="11" w:name="_Toc15306276"/>
      <w:bookmarkStart w:id="12" w:name="_Toc15377433"/>
      <w:bookmarkStart w:id="13" w:name="_Toc15378449"/>
      <w:bookmarkStart w:id="14" w:name="_Toc15377202"/>
      <w:r>
        <w:rPr>
          <w:rFonts w:hint="eastAsia" w:ascii="仿宋" w:hAnsi="仿宋" w:eastAsia="仿宋" w:cs="仿宋"/>
          <w:i w:val="0"/>
          <w:caps w:val="0"/>
          <w:color w:val="auto"/>
          <w:spacing w:val="0"/>
          <w:sz w:val="32"/>
          <w:szCs w:val="32"/>
          <w:shd w:val="clear" w:fill="FFFFFF"/>
          <w:lang w:val="en-US" w:eastAsia="zh-CN"/>
        </w:rPr>
        <w:t>1.</w:t>
      </w:r>
      <w:r>
        <w:rPr>
          <w:rFonts w:hint="eastAsia" w:ascii="仿宋" w:hAnsi="仿宋" w:eastAsia="仿宋" w:cs="仿宋"/>
          <w:i w:val="0"/>
          <w:caps w:val="0"/>
          <w:color w:val="auto"/>
          <w:spacing w:val="0"/>
          <w:sz w:val="32"/>
          <w:szCs w:val="32"/>
          <w:shd w:val="clear" w:fill="FFFFFF"/>
        </w:rPr>
        <w:t>便民服务中心</w:t>
      </w:r>
      <w:bookmarkEnd w:id="11"/>
      <w:bookmarkEnd w:id="12"/>
      <w:bookmarkEnd w:id="13"/>
      <w:bookmarkEnd w:id="14"/>
    </w:p>
    <w:p>
      <w:pPr>
        <w:pStyle w:val="2"/>
        <w:numPr>
          <w:ilvl w:val="0"/>
          <w:numId w:val="0"/>
        </w:numPr>
        <w:adjustRightInd w:val="0"/>
        <w:snapToGrid w:val="0"/>
        <w:spacing w:before="93" w:line="600" w:lineRule="exact"/>
        <w:ind w:left="672" w:leftChars="0"/>
        <w:rPr>
          <w:rFonts w:hint="eastAsia" w:ascii="仿宋" w:hAnsi="仿宋" w:eastAsia="仿宋" w:cs="仿宋"/>
          <w:i w:val="0"/>
          <w:caps w:val="0"/>
          <w:color w:val="auto"/>
          <w:spacing w:val="0"/>
          <w:sz w:val="32"/>
          <w:szCs w:val="32"/>
          <w:shd w:val="clear" w:fill="FFFFFF"/>
        </w:rPr>
      </w:pPr>
      <w:r>
        <w:rPr>
          <w:rFonts w:hint="eastAsia" w:ascii="仿宋" w:hAnsi="仿宋" w:eastAsia="仿宋" w:cs="仿宋"/>
          <w:i w:val="0"/>
          <w:caps w:val="0"/>
          <w:color w:val="auto"/>
          <w:spacing w:val="0"/>
          <w:sz w:val="32"/>
          <w:szCs w:val="32"/>
          <w:shd w:val="clear" w:fill="FFFFFF"/>
          <w:lang w:val="en-US" w:eastAsia="zh-CN"/>
        </w:rPr>
        <w:t>2.</w:t>
      </w:r>
      <w:r>
        <w:rPr>
          <w:rFonts w:hint="eastAsia" w:ascii="仿宋" w:hAnsi="仿宋" w:eastAsia="仿宋" w:cs="仿宋"/>
          <w:i w:val="0"/>
          <w:caps w:val="0"/>
          <w:color w:val="auto"/>
          <w:spacing w:val="0"/>
          <w:sz w:val="32"/>
          <w:szCs w:val="32"/>
          <w:shd w:val="clear" w:fill="FFFFFF"/>
        </w:rPr>
        <w:t>社区治理服务中心</w:t>
      </w:r>
    </w:p>
    <w:p>
      <w:pPr>
        <w:pStyle w:val="2"/>
        <w:numPr>
          <w:ilvl w:val="0"/>
          <w:numId w:val="0"/>
        </w:numPr>
        <w:adjustRightInd w:val="0"/>
        <w:snapToGrid w:val="0"/>
        <w:spacing w:before="93" w:line="600" w:lineRule="exact"/>
        <w:ind w:left="672" w:leftChars="0"/>
        <w:rPr>
          <w:rFonts w:hint="eastAsia" w:ascii="仿宋" w:hAnsi="仿宋" w:eastAsia="仿宋" w:cs="仿宋"/>
          <w:i w:val="0"/>
          <w:caps w:val="0"/>
          <w:color w:val="auto"/>
          <w:spacing w:val="0"/>
          <w:sz w:val="32"/>
          <w:szCs w:val="32"/>
          <w:shd w:val="clear" w:fill="FFFFFF"/>
        </w:rPr>
      </w:pPr>
      <w:r>
        <w:rPr>
          <w:rFonts w:hint="eastAsia" w:ascii="仿宋" w:hAnsi="仿宋" w:eastAsia="仿宋" w:cs="仿宋"/>
          <w:i w:val="0"/>
          <w:caps w:val="0"/>
          <w:color w:val="auto"/>
          <w:spacing w:val="0"/>
          <w:sz w:val="32"/>
          <w:szCs w:val="32"/>
          <w:shd w:val="clear" w:fill="FFFFFF"/>
          <w:lang w:val="en-US" w:eastAsia="zh-CN"/>
        </w:rPr>
        <w:t>3.</w:t>
      </w:r>
      <w:r>
        <w:rPr>
          <w:rFonts w:hint="eastAsia" w:ascii="仿宋" w:hAnsi="仿宋" w:eastAsia="仿宋" w:cs="仿宋"/>
          <w:i w:val="0"/>
          <w:caps w:val="0"/>
          <w:color w:val="auto"/>
          <w:spacing w:val="0"/>
          <w:sz w:val="32"/>
          <w:szCs w:val="32"/>
          <w:shd w:val="clear" w:fill="FFFFFF"/>
        </w:rPr>
        <w:t>农业综合服务中心</w:t>
      </w:r>
    </w:p>
    <w:p>
      <w:pPr>
        <w:pStyle w:val="2"/>
        <w:numPr>
          <w:ilvl w:val="0"/>
          <w:numId w:val="0"/>
        </w:numPr>
        <w:adjustRightInd w:val="0"/>
        <w:snapToGrid w:val="0"/>
        <w:spacing w:before="93" w:line="600" w:lineRule="exact"/>
        <w:ind w:left="672" w:leftChars="0"/>
        <w:rPr>
          <w:rFonts w:hint="eastAsia" w:ascii="仿宋" w:hAnsi="仿宋" w:eastAsia="仿宋" w:cs="仿宋"/>
          <w:i w:val="0"/>
          <w:caps w:val="0"/>
          <w:color w:val="auto"/>
          <w:spacing w:val="0"/>
          <w:sz w:val="32"/>
          <w:szCs w:val="32"/>
          <w:shd w:val="clear" w:fill="FFFFFF"/>
        </w:rPr>
      </w:pPr>
      <w:r>
        <w:rPr>
          <w:rFonts w:hint="eastAsia" w:ascii="仿宋" w:hAnsi="仿宋" w:eastAsia="仿宋" w:cs="仿宋"/>
          <w:i w:val="0"/>
          <w:caps w:val="0"/>
          <w:color w:val="auto"/>
          <w:spacing w:val="0"/>
          <w:sz w:val="32"/>
          <w:szCs w:val="32"/>
          <w:shd w:val="clear" w:fill="FFFFFF"/>
          <w:lang w:val="en-US" w:eastAsia="zh-CN"/>
        </w:rPr>
        <w:t>4.</w:t>
      </w:r>
      <w:r>
        <w:rPr>
          <w:rFonts w:hint="eastAsia" w:ascii="仿宋" w:hAnsi="仿宋" w:eastAsia="仿宋" w:cs="仿宋"/>
          <w:i w:val="0"/>
          <w:caps w:val="0"/>
          <w:color w:val="auto"/>
          <w:spacing w:val="0"/>
          <w:sz w:val="32"/>
          <w:szCs w:val="32"/>
          <w:shd w:val="clear" w:fill="FFFFFF"/>
        </w:rPr>
        <w:t>发展保障服务中心</w:t>
      </w:r>
      <w:r>
        <w:rPr>
          <w:rFonts w:hint="eastAsia" w:ascii="仿宋" w:hAnsi="仿宋" w:eastAsia="仿宋" w:cs="仿宋"/>
          <w:i w:val="0"/>
          <w:caps w:val="0"/>
          <w:color w:val="auto"/>
          <w:spacing w:val="0"/>
          <w:sz w:val="32"/>
          <w:szCs w:val="32"/>
          <w:shd w:val="clear" w:fill="FFFFFF"/>
          <w:lang w:val="en-US" w:eastAsia="zh-CN"/>
        </w:rPr>
        <w:t xml:space="preserve"> </w:t>
      </w:r>
    </w:p>
    <w:p>
      <w:pPr>
        <w:widowControl/>
        <w:jc w:val="center"/>
        <w:rPr>
          <w:rStyle w:val="13"/>
          <w:rFonts w:ascii="黑体" w:hAnsi="黑体" w:eastAsia="黑体"/>
          <w:b w:val="0"/>
          <w:bCs w:val="0"/>
        </w:rPr>
      </w:pPr>
      <w:bookmarkStart w:id="15" w:name="_Toc15377204"/>
      <w:bookmarkStart w:id="16" w:name="_Toc15396602"/>
      <w:bookmarkStart w:id="17" w:name="_Toc23109"/>
      <w:r>
        <w:rPr>
          <w:rStyle w:val="13"/>
          <w:rFonts w:hint="eastAsia" w:ascii="黑体" w:hAnsi="黑体" w:eastAsia="黑体"/>
          <w:b w:val="0"/>
          <w:bCs w:val="0"/>
        </w:rPr>
        <w:t>第二部分</w:t>
      </w:r>
      <w:r>
        <w:rPr>
          <w:rFonts w:ascii="黑体" w:hAnsi="黑体" w:eastAsia="黑体"/>
          <w:color w:val="000000"/>
        </w:rPr>
        <w:t xml:space="preserve"> </w:t>
      </w:r>
      <w:r>
        <w:rPr>
          <w:rStyle w:val="13"/>
          <w:rFonts w:ascii="黑体" w:hAnsi="黑体" w:eastAsia="黑体"/>
          <w:b w:val="0"/>
          <w:bCs w:val="0"/>
        </w:rPr>
        <w:t>2020</w:t>
      </w:r>
      <w:r>
        <w:rPr>
          <w:rStyle w:val="13"/>
          <w:rFonts w:hint="eastAsia" w:ascii="黑体" w:hAnsi="黑体" w:eastAsia="黑体"/>
          <w:b w:val="0"/>
          <w:bCs w:val="0"/>
        </w:rPr>
        <w:t>年度部门决算情况说明</w:t>
      </w:r>
      <w:bookmarkEnd w:id="15"/>
      <w:bookmarkEnd w:id="16"/>
      <w:bookmarkEnd w:id="17"/>
    </w:p>
    <w:p/>
    <w:p>
      <w:pPr>
        <w:pStyle w:val="15"/>
        <w:numPr>
          <w:ilvl w:val="0"/>
          <w:numId w:val="1"/>
        </w:numPr>
        <w:spacing w:line="600" w:lineRule="exact"/>
        <w:ind w:firstLineChars="0"/>
        <w:outlineLvl w:val="1"/>
        <w:rPr>
          <w:rStyle w:val="14"/>
          <w:rFonts w:ascii="黑体" w:hAnsi="黑体" w:eastAsia="黑体"/>
          <w:b w:val="0"/>
        </w:rPr>
      </w:pPr>
      <w:bookmarkStart w:id="18" w:name="_Toc15396603"/>
      <w:bookmarkStart w:id="19" w:name="_Toc15377205"/>
      <w:bookmarkStart w:id="20" w:name="_Toc7163"/>
      <w:r>
        <w:rPr>
          <w:rFonts w:hint="eastAsia" w:ascii="黑体" w:hAnsi="黑体" w:eastAsia="黑体"/>
          <w:color w:val="000000"/>
          <w:sz w:val="32"/>
          <w:szCs w:val="32"/>
        </w:rPr>
        <w:t>收</w:t>
      </w:r>
      <w:r>
        <w:rPr>
          <w:rStyle w:val="14"/>
          <w:rFonts w:hint="eastAsia" w:ascii="黑体" w:hAnsi="黑体" w:eastAsia="黑体"/>
          <w:b w:val="0"/>
        </w:rPr>
        <w:t>入支出决算总体情况说明</w:t>
      </w:r>
      <w:bookmarkEnd w:id="18"/>
      <w:bookmarkEnd w:id="19"/>
      <w:bookmarkEnd w:id="20"/>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微软雅黑" w:hAnsi="微软雅黑" w:eastAsia="微软雅黑" w:cs="微软雅黑"/>
          <w:i w:val="0"/>
          <w:caps w:val="0"/>
          <w:color w:val="auto"/>
          <w:spacing w:val="0"/>
          <w:sz w:val="32"/>
          <w:szCs w:val="32"/>
          <w:highlight w:val="none"/>
          <w:shd w:val="clear" w:fill="FFFFFF"/>
        </w:rPr>
      </w:pPr>
      <w:r>
        <w:rPr>
          <w:rFonts w:hint="eastAsia" w:ascii="仿宋" w:hAnsi="仿宋" w:eastAsia="仿宋" w:cs="仿宋"/>
          <w:color w:val="auto"/>
          <w:sz w:val="32"/>
          <w:szCs w:val="32"/>
          <w:highlight w:val="none"/>
        </w:rPr>
        <w:t>2020年度收、支总计4256.55万元。与2019年相比，收、支总计各减少</w:t>
      </w:r>
      <w:r>
        <w:rPr>
          <w:rFonts w:hint="eastAsia" w:ascii="仿宋" w:hAnsi="仿宋" w:eastAsia="仿宋" w:cs="仿宋"/>
          <w:i w:val="0"/>
          <w:caps w:val="0"/>
          <w:color w:val="auto"/>
          <w:spacing w:val="0"/>
          <w:sz w:val="32"/>
          <w:szCs w:val="32"/>
          <w:highlight w:val="none"/>
          <w:shd w:val="clear" w:fill="FFFFFF"/>
          <w:lang w:val="en-US" w:eastAsia="zh-CN"/>
        </w:rPr>
        <w:t>5697.53</w:t>
      </w:r>
      <w:r>
        <w:rPr>
          <w:rFonts w:hint="eastAsia" w:ascii="仿宋" w:hAnsi="仿宋" w:eastAsia="仿宋" w:cs="仿宋"/>
          <w:color w:val="auto"/>
          <w:sz w:val="32"/>
          <w:szCs w:val="32"/>
          <w:highlight w:val="none"/>
        </w:rPr>
        <w:t>万元，下降</w:t>
      </w:r>
      <w:r>
        <w:rPr>
          <w:rFonts w:hint="eastAsia" w:ascii="仿宋" w:hAnsi="仿宋" w:eastAsia="仿宋" w:cs="仿宋"/>
          <w:i w:val="0"/>
          <w:caps w:val="0"/>
          <w:color w:val="auto"/>
          <w:spacing w:val="0"/>
          <w:sz w:val="32"/>
          <w:szCs w:val="32"/>
          <w:highlight w:val="none"/>
          <w:shd w:val="clear" w:fill="FFFFFF"/>
          <w:lang w:val="en-US" w:eastAsia="zh-CN"/>
        </w:rPr>
        <w:t>57.24</w:t>
      </w:r>
      <w:r>
        <w:rPr>
          <w:rFonts w:hint="eastAsia" w:ascii="仿宋" w:hAnsi="仿宋" w:eastAsia="仿宋" w:cs="仿宋"/>
          <w:color w:val="auto"/>
          <w:sz w:val="32"/>
          <w:szCs w:val="32"/>
          <w:highlight w:val="none"/>
        </w:rPr>
        <w:t>%。主要变动原因是政府性基金预算拨款项目收支有所减少（征地拆迁项目收支减少）。</w:t>
      </w:r>
    </w:p>
    <w:p>
      <w:pPr>
        <w:spacing w:line="600" w:lineRule="exact"/>
        <w:ind w:firstLine="640" w:firstLineChars="200"/>
        <w:rPr>
          <w:rFonts w:hint="eastAsia" w:ascii="仿宋" w:hAnsi="仿宋" w:eastAsia="仿宋"/>
          <w:color w:val="000000"/>
          <w:sz w:val="32"/>
          <w:szCs w:val="32"/>
        </w:rPr>
      </w:pPr>
      <w:r>
        <w:rPr>
          <w:sz w:val="32"/>
        </w:rPr>
        <mc:AlternateContent>
          <mc:Choice Requires="wps">
            <w:drawing>
              <wp:anchor distT="0" distB="0" distL="114300" distR="114300" simplePos="0" relativeHeight="251677696" behindDoc="0" locked="0" layoutInCell="1" allowOverlap="1">
                <wp:simplePos x="0" y="0"/>
                <wp:positionH relativeFrom="column">
                  <wp:posOffset>4323715</wp:posOffset>
                </wp:positionH>
                <wp:positionV relativeFrom="paragraph">
                  <wp:posOffset>206375</wp:posOffset>
                </wp:positionV>
                <wp:extent cx="698500" cy="269875"/>
                <wp:effectExtent l="0" t="0" r="6350" b="15875"/>
                <wp:wrapNone/>
                <wp:docPr id="20" name="文本框 20"/>
                <wp:cNvGraphicFramePr/>
                <a:graphic xmlns:a="http://schemas.openxmlformats.org/drawingml/2006/main">
                  <a:graphicData uri="http://schemas.microsoft.com/office/word/2010/wordprocessingShape">
                    <wps:wsp>
                      <wps:cNvSpPr txBox="1"/>
                      <wps:spPr>
                        <a:xfrm>
                          <a:off x="0" y="0"/>
                          <a:ext cx="698500" cy="2698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0.45pt;margin-top:16.25pt;height:21.25pt;width:55pt;z-index:251677696;mso-width-relative:page;mso-height-relative:page;" fillcolor="#FFFFFF [3201]" filled="t" stroked="f" coordsize="21600,21600" o:gfxdata="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GWyfXUAAAACQEAAA8AAAAAAAAA&#10;AQAgAAAAIgAAAGRycy9kb3ducmV2LnhtbFBLAQIUABQAAAAIAIdO4kA/5bHcTgIAAJAEAAAOAAAA&#10;AAAAAAEAIAAAACMBAABkcnMvZTJvRG9jLnhtbFBLBQYAAAAABgAGAFkBAADjBQAAAAA=&#10;">
                <v:fill on="t" focussize="0,0"/>
                <v:stroke on="f" weight="0.5pt"/>
                <v:imagedata o:title=""/>
                <o:lock v:ext="edit" aspectratio="f"/>
                <v:textbo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v:textbox>
              </v:shape>
            </w:pict>
          </mc:Fallback>
        </mc:AlternateContent>
      </w:r>
      <w:r>
        <w:rPr>
          <w:rFonts w:hint="eastAsia" w:ascii="仿宋" w:hAnsi="仿宋" w:eastAsia="仿宋"/>
          <w:color w:val="000000"/>
          <w:sz w:val="32"/>
          <w:szCs w:val="32"/>
          <w:lang w:eastAsia="zh-CN"/>
        </w:rPr>
        <w:drawing>
          <wp:anchor distT="0" distB="0" distL="114300" distR="114300" simplePos="0" relativeHeight="251660288" behindDoc="1" locked="0" layoutInCell="1" allowOverlap="1">
            <wp:simplePos x="0" y="0"/>
            <wp:positionH relativeFrom="column">
              <wp:posOffset>151130</wp:posOffset>
            </wp:positionH>
            <wp:positionV relativeFrom="paragraph">
              <wp:posOffset>30480</wp:posOffset>
            </wp:positionV>
            <wp:extent cx="5020310" cy="2987040"/>
            <wp:effectExtent l="4445" t="4445" r="23495" b="18415"/>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spacing w:line="600" w:lineRule="exact"/>
        <w:rPr>
          <w:rFonts w:hint="eastAsia" w:ascii="仿宋" w:hAnsi="仿宋" w:eastAsia="仿宋"/>
          <w:color w:val="000000"/>
          <w:sz w:val="32"/>
          <w:szCs w:val="32"/>
          <w:lang w:eastAsia="zh-CN"/>
        </w:rPr>
      </w:pPr>
    </w:p>
    <w:p>
      <w:pPr>
        <w:spacing w:line="600" w:lineRule="exact"/>
        <w:ind w:firstLine="640" w:firstLineChars="200"/>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lang w:eastAsia="zh-CN"/>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jc w:val="left"/>
        <w:rPr>
          <w:rFonts w:ascii="仿宋_GB2312" w:eastAsia="仿宋_GB2312"/>
          <w:color w:val="000000"/>
          <w:sz w:val="32"/>
          <w:szCs w:val="32"/>
        </w:rPr>
      </w:pPr>
    </w:p>
    <w:p>
      <w:pPr>
        <w:spacing w:line="600" w:lineRule="exact"/>
        <w:jc w:val="center"/>
        <w:rPr>
          <w:rFonts w:hint="eastAsia"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1</w:t>
      </w:r>
      <w:r>
        <w:rPr>
          <w:rFonts w:hint="eastAsia" w:ascii="仿宋" w:hAnsi="仿宋" w:eastAsia="仿宋"/>
          <w:color w:val="000000"/>
          <w:sz w:val="32"/>
          <w:szCs w:val="32"/>
        </w:rPr>
        <w:t>：收、支决算总计变动情况图）</w:t>
      </w:r>
    </w:p>
    <w:p>
      <w:pPr>
        <w:pStyle w:val="15"/>
        <w:numPr>
          <w:ilvl w:val="0"/>
          <w:numId w:val="1"/>
        </w:numPr>
        <w:spacing w:line="600" w:lineRule="exact"/>
        <w:ind w:firstLineChars="0"/>
        <w:outlineLvl w:val="1"/>
        <w:rPr>
          <w:rStyle w:val="14"/>
          <w:rFonts w:ascii="黑体" w:hAnsi="黑体" w:eastAsia="黑体"/>
          <w:b w:val="0"/>
        </w:rPr>
      </w:pPr>
      <w:bookmarkStart w:id="21" w:name="_Toc15377206"/>
      <w:bookmarkStart w:id="22" w:name="_Toc25258"/>
      <w:bookmarkStart w:id="23" w:name="_Toc15396604"/>
      <w:r>
        <w:rPr>
          <w:rFonts w:hint="eastAsia" w:ascii="黑体" w:hAnsi="黑体" w:eastAsia="黑体"/>
          <w:color w:val="000000"/>
          <w:sz w:val="32"/>
          <w:szCs w:val="32"/>
        </w:rPr>
        <w:t>收</w:t>
      </w:r>
      <w:r>
        <w:rPr>
          <w:rStyle w:val="14"/>
          <w:rFonts w:hint="eastAsia" w:ascii="黑体" w:hAnsi="黑体" w:eastAsia="黑体"/>
          <w:b w:val="0"/>
        </w:rPr>
        <w:t>入决算情况说明</w:t>
      </w:r>
      <w:bookmarkEnd w:id="21"/>
      <w:bookmarkEnd w:id="22"/>
      <w:bookmarkEnd w:id="2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年本年收入合计4256.55万元，其中：一般公共预算财政拨款收入1236.55万元，占</w:t>
      </w:r>
      <w:r>
        <w:rPr>
          <w:rFonts w:hint="eastAsia" w:ascii="仿宋" w:hAnsi="仿宋" w:eastAsia="仿宋"/>
          <w:color w:val="000000"/>
          <w:sz w:val="32"/>
          <w:szCs w:val="32"/>
          <w:highlight w:val="none"/>
          <w:lang w:val="en-US" w:eastAsia="zh-CN"/>
        </w:rPr>
        <w:t>29.05</w:t>
      </w:r>
      <w:r>
        <w:rPr>
          <w:rFonts w:ascii="仿宋" w:hAnsi="仿宋" w:eastAsia="仿宋"/>
          <w:color w:val="000000"/>
          <w:sz w:val="32"/>
          <w:szCs w:val="32"/>
          <w:highlight w:val="none"/>
        </w:rPr>
        <w:t>%</w:t>
      </w:r>
      <w:r>
        <w:rPr>
          <w:rFonts w:hint="eastAsia" w:ascii="仿宋" w:hAnsi="仿宋" w:eastAsia="仿宋"/>
          <w:color w:val="000000"/>
          <w:sz w:val="32"/>
          <w:szCs w:val="32"/>
        </w:rPr>
        <w:t>；政府性基金预算财政拨款收入3020万元，</w:t>
      </w:r>
      <w:r>
        <w:rPr>
          <w:rFonts w:hint="eastAsia" w:ascii="仿宋" w:hAnsi="仿宋" w:eastAsia="仿宋"/>
          <w:color w:val="000000"/>
          <w:sz w:val="32"/>
          <w:szCs w:val="32"/>
          <w:highlight w:val="none"/>
        </w:rPr>
        <w:t>占</w:t>
      </w:r>
      <w:r>
        <w:rPr>
          <w:rFonts w:hint="eastAsia" w:ascii="仿宋" w:hAnsi="仿宋" w:eastAsia="仿宋"/>
          <w:color w:val="000000"/>
          <w:sz w:val="32"/>
          <w:szCs w:val="32"/>
          <w:highlight w:val="none"/>
          <w:lang w:val="en-US" w:eastAsia="zh-CN"/>
        </w:rPr>
        <w:t>70.95</w:t>
      </w:r>
      <w:r>
        <w:rPr>
          <w:rFonts w:ascii="仿宋" w:hAnsi="仿宋" w:eastAsia="仿宋"/>
          <w:color w:val="000000"/>
          <w:sz w:val="32"/>
          <w:szCs w:val="32"/>
          <w:highlight w:val="none"/>
        </w:rPr>
        <w:t>%</w:t>
      </w:r>
      <w:r>
        <w:rPr>
          <w:rFonts w:hint="eastAsia" w:ascii="仿宋" w:hAnsi="仿宋" w:eastAsia="仿宋"/>
          <w:color w:val="000000"/>
          <w:sz w:val="32"/>
          <w:szCs w:val="32"/>
          <w:highlight w:val="none"/>
        </w:rPr>
        <w:t>；</w:t>
      </w:r>
      <w:r>
        <w:rPr>
          <w:rFonts w:hint="eastAsia" w:ascii="仿宋" w:hAnsi="仿宋" w:eastAsia="仿宋"/>
          <w:color w:val="000000"/>
          <w:sz w:val="32"/>
          <w:szCs w:val="32"/>
        </w:rPr>
        <w:t>上级补助收入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；事业收入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；附属单位上缴收入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；其他收入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firstLineChars="200"/>
        <w:rPr>
          <w:rFonts w:hint="eastAsia" w:ascii="仿宋" w:hAnsi="仿宋" w:eastAsia="仿宋"/>
          <w:color w:val="000000"/>
          <w:sz w:val="32"/>
          <w:szCs w:val="32"/>
          <w:lang w:eastAsia="zh-CN"/>
        </w:rPr>
      </w:pPr>
    </w:p>
    <w:p>
      <w:pPr>
        <w:spacing w:line="600" w:lineRule="exact"/>
        <w:ind w:firstLine="640" w:firstLineChars="200"/>
        <w:rPr>
          <w:rFonts w:hint="eastAsia" w:ascii="仿宋" w:hAnsi="仿宋" w:eastAsia="仿宋"/>
          <w:color w:val="000000"/>
          <w:sz w:val="32"/>
          <w:szCs w:val="32"/>
          <w:lang w:eastAsia="zh-CN"/>
        </w:rPr>
      </w:pPr>
    </w:p>
    <w:p>
      <w:pPr>
        <w:spacing w:line="600" w:lineRule="exact"/>
        <w:ind w:firstLine="640" w:firstLineChars="200"/>
        <w:rPr>
          <w:rFonts w:hint="eastAsia" w:ascii="仿宋" w:hAnsi="仿宋" w:eastAsia="仿宋"/>
          <w:color w:val="000000"/>
          <w:sz w:val="32"/>
          <w:szCs w:val="32"/>
          <w:lang w:eastAsia="zh-CN"/>
        </w:rPr>
      </w:pPr>
      <w:r>
        <w:rPr>
          <w:sz w:val="32"/>
        </w:rPr>
        <mc:AlternateContent>
          <mc:Choice Requires="wps">
            <w:drawing>
              <wp:anchor distT="0" distB="0" distL="114300" distR="114300" simplePos="0" relativeHeight="251676672" behindDoc="0" locked="0" layoutInCell="1" allowOverlap="1">
                <wp:simplePos x="0" y="0"/>
                <wp:positionH relativeFrom="column">
                  <wp:posOffset>3974465</wp:posOffset>
                </wp:positionH>
                <wp:positionV relativeFrom="paragraph">
                  <wp:posOffset>130810</wp:posOffset>
                </wp:positionV>
                <wp:extent cx="698500" cy="365125"/>
                <wp:effectExtent l="0" t="0" r="6350" b="15875"/>
                <wp:wrapNone/>
                <wp:docPr id="19" name="文本框 19"/>
                <wp:cNvGraphicFramePr/>
                <a:graphic xmlns:a="http://schemas.openxmlformats.org/drawingml/2006/main">
                  <a:graphicData uri="http://schemas.microsoft.com/office/word/2010/wordprocessingShape">
                    <wps:wsp>
                      <wps:cNvSpPr txBox="1"/>
                      <wps:spPr>
                        <a:xfrm>
                          <a:off x="0" y="0"/>
                          <a:ext cx="698500" cy="3651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2.95pt;margin-top:10.3pt;height:28.75pt;width:55pt;z-index:251676672;mso-width-relative:page;mso-height-relative:page;" fillcolor="#FFFFFF [3201]" filled="t" stroked="f" coordsize="21600,21600" o:gfxdata="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CekUj/TAAAACQEAAA8AAAAAAAAA&#10;AQAgAAAAIgAAAGRycy9kb3ducmV2LnhtbFBLAQIUABQAAAAIAIdO4kAC7uEBTwIAAJAEAAAOAAAA&#10;AAAAAAEAIAAAACIBAABkcnMvZTJvRG9jLnhtbFBLBQYAAAAABgAGAFkBAADjBQAAAAA=&#10;">
                <v:fill on="t" focussize="0,0"/>
                <v:stroke on="f" weight="0.5pt"/>
                <v:imagedata o:title=""/>
                <o:lock v:ext="edit" aspectratio="f"/>
                <v:textbo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v:textbox>
              </v:shape>
            </w:pict>
          </mc:Fallback>
        </mc:AlternateContent>
      </w:r>
      <w:r>
        <w:rPr>
          <w:rFonts w:hint="eastAsia" w:ascii="仿宋" w:hAnsi="仿宋" w:eastAsia="仿宋"/>
          <w:color w:val="000000"/>
          <w:sz w:val="32"/>
          <w:szCs w:val="32"/>
          <w:lang w:eastAsia="zh-CN"/>
        </w:rPr>
        <w:drawing>
          <wp:anchor distT="0" distB="0" distL="114300" distR="114300" simplePos="0" relativeHeight="251662336" behindDoc="1" locked="0" layoutInCell="1" allowOverlap="1">
            <wp:simplePos x="0" y="0"/>
            <wp:positionH relativeFrom="column">
              <wp:posOffset>427990</wp:posOffset>
            </wp:positionH>
            <wp:positionV relativeFrom="paragraph">
              <wp:posOffset>-212725</wp:posOffset>
            </wp:positionV>
            <wp:extent cx="4500880" cy="2477135"/>
            <wp:effectExtent l="6350" t="6350" r="7620" b="12065"/>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ind w:firstLine="640" w:firstLineChars="200"/>
        <w:jc w:val="center"/>
        <w:rPr>
          <w:rFonts w:hint="eastAsia"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2</w:t>
      </w:r>
      <w:r>
        <w:rPr>
          <w:rFonts w:hint="eastAsia" w:ascii="仿宋" w:hAnsi="仿宋" w:eastAsia="仿宋"/>
          <w:color w:val="000000"/>
          <w:sz w:val="32"/>
          <w:szCs w:val="32"/>
        </w:rPr>
        <w:t>：收入决算结构图）</w:t>
      </w:r>
    </w:p>
    <w:p>
      <w:pPr>
        <w:pStyle w:val="15"/>
        <w:numPr>
          <w:ilvl w:val="0"/>
          <w:numId w:val="1"/>
        </w:numPr>
        <w:spacing w:line="600" w:lineRule="exact"/>
        <w:ind w:firstLineChars="0"/>
        <w:outlineLvl w:val="1"/>
        <w:rPr>
          <w:rStyle w:val="14"/>
          <w:rFonts w:ascii="黑体" w:hAnsi="黑体" w:eastAsia="黑体"/>
          <w:b w:val="0"/>
        </w:rPr>
      </w:pPr>
      <w:bookmarkStart w:id="24" w:name="_Toc15377207"/>
      <w:bookmarkStart w:id="25" w:name="_Toc15396605"/>
      <w:bookmarkStart w:id="26" w:name="_Toc13725"/>
      <w:r>
        <w:rPr>
          <w:rFonts w:hint="eastAsia" w:ascii="黑体" w:hAnsi="黑体" w:eastAsia="黑体"/>
          <w:color w:val="000000"/>
          <w:sz w:val="32"/>
          <w:szCs w:val="32"/>
        </w:rPr>
        <w:t>支</w:t>
      </w:r>
      <w:r>
        <w:rPr>
          <w:rStyle w:val="14"/>
          <w:rFonts w:hint="eastAsia" w:ascii="黑体" w:hAnsi="黑体" w:eastAsia="黑体"/>
          <w:b w:val="0"/>
        </w:rPr>
        <w:t>出决算情况说明</w:t>
      </w:r>
      <w:bookmarkEnd w:id="24"/>
      <w:bookmarkEnd w:id="25"/>
      <w:bookmarkEnd w:id="26"/>
    </w:p>
    <w:p>
      <w:pPr>
        <w:spacing w:line="600" w:lineRule="exact"/>
        <w:ind w:firstLine="640" w:firstLineChars="200"/>
        <w:outlineLvl w:val="9"/>
        <w:rPr>
          <w:rFonts w:ascii="仿宋" w:hAnsi="仿宋" w:eastAsia="仿宋"/>
          <w:color w:val="000000"/>
          <w:sz w:val="32"/>
          <w:szCs w:val="32"/>
          <w:shd w:val="pct10" w:color="auto" w:fill="FFFFFF"/>
        </w:rPr>
      </w:pPr>
      <w:r>
        <w:rPr>
          <w:rFonts w:hint="eastAsia" w:ascii="仿宋" w:hAnsi="仿宋" w:eastAsia="仿宋" w:cs="仿宋"/>
          <w:color w:val="000000"/>
          <w:sz w:val="32"/>
          <w:szCs w:val="32"/>
        </w:rPr>
        <w:t>2020年本年支出合计4256.55万元，其中：基本支出1143.85万元</w:t>
      </w:r>
      <w:r>
        <w:rPr>
          <w:rFonts w:hint="eastAsia" w:ascii="仿宋" w:hAnsi="仿宋" w:eastAsia="仿宋" w:cs="仿宋"/>
          <w:color w:val="auto"/>
          <w:sz w:val="32"/>
          <w:szCs w:val="32"/>
        </w:rPr>
        <w:t>，占</w:t>
      </w:r>
      <w:r>
        <w:rPr>
          <w:rFonts w:hint="eastAsia" w:ascii="仿宋" w:hAnsi="仿宋" w:eastAsia="仿宋" w:cs="仿宋"/>
          <w:i w:val="0"/>
          <w:caps w:val="0"/>
          <w:color w:val="auto"/>
          <w:spacing w:val="0"/>
          <w:sz w:val="32"/>
          <w:szCs w:val="32"/>
          <w:shd w:val="clear" w:fill="FFFFFF"/>
          <w:lang w:val="en-US" w:eastAsia="zh-CN"/>
        </w:rPr>
        <w:t>26.87</w:t>
      </w:r>
      <w:r>
        <w:rPr>
          <w:rFonts w:hint="eastAsia" w:ascii="仿宋" w:hAnsi="仿宋" w:eastAsia="仿宋" w:cs="仿宋"/>
          <w:color w:val="auto"/>
          <w:sz w:val="32"/>
          <w:szCs w:val="32"/>
        </w:rPr>
        <w:t>%；项目支</w:t>
      </w:r>
      <w:r>
        <w:rPr>
          <w:rFonts w:hint="eastAsia" w:ascii="仿宋" w:hAnsi="仿宋" w:eastAsia="仿宋" w:cs="仿宋"/>
          <w:color w:val="000000"/>
          <w:sz w:val="32"/>
          <w:szCs w:val="32"/>
        </w:rPr>
        <w:t>出3112.7万元，占</w:t>
      </w:r>
      <w:r>
        <w:rPr>
          <w:rFonts w:hint="eastAsia" w:ascii="仿宋" w:hAnsi="仿宋" w:eastAsia="仿宋" w:cs="仿宋"/>
          <w:i w:val="0"/>
          <w:caps w:val="0"/>
          <w:color w:val="555555"/>
          <w:spacing w:val="0"/>
          <w:sz w:val="32"/>
          <w:szCs w:val="32"/>
          <w:shd w:val="clear" w:fill="FFFFFF"/>
          <w:lang w:val="en-US" w:eastAsia="zh-CN"/>
        </w:rPr>
        <w:t>73.13</w:t>
      </w:r>
      <w:r>
        <w:rPr>
          <w:rFonts w:hint="eastAsia" w:ascii="仿宋" w:hAnsi="仿宋" w:eastAsia="仿宋" w:cs="仿宋"/>
          <w:color w:val="000000"/>
          <w:sz w:val="32"/>
          <w:szCs w:val="32"/>
        </w:rPr>
        <w:t>%；上缴上级支出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%；经营支出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%；对附属单位补助支出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w:t>
      </w:r>
    </w:p>
    <w:p>
      <w:pPr>
        <w:spacing w:line="600" w:lineRule="exact"/>
        <w:ind w:firstLine="640"/>
        <w:outlineLvl w:val="9"/>
        <w:rPr>
          <w:rFonts w:ascii="仿宋" w:hAnsi="仿宋" w:eastAsia="仿宋"/>
          <w:color w:val="000000"/>
          <w:sz w:val="32"/>
          <w:szCs w:val="32"/>
          <w:shd w:val="pct10" w:color="auto" w:fill="FFFFFF"/>
        </w:rPr>
      </w:pPr>
      <w:r>
        <w:rPr>
          <w:rFonts w:hint="eastAsia" w:ascii="仿宋" w:hAnsi="仿宋" w:eastAsia="仿宋"/>
          <w:color w:val="000000"/>
          <w:sz w:val="32"/>
          <w:szCs w:val="32"/>
          <w:lang w:eastAsia="zh-CN"/>
        </w:rPr>
        <w:drawing>
          <wp:anchor distT="0" distB="0" distL="114300" distR="114300" simplePos="0" relativeHeight="251663360" behindDoc="1" locked="0" layoutInCell="1" allowOverlap="1">
            <wp:simplePos x="0" y="0"/>
            <wp:positionH relativeFrom="column">
              <wp:posOffset>567055</wp:posOffset>
            </wp:positionH>
            <wp:positionV relativeFrom="paragraph">
              <wp:posOffset>125730</wp:posOffset>
            </wp:positionV>
            <wp:extent cx="4534535" cy="2876550"/>
            <wp:effectExtent l="4445" t="4445" r="13970" b="1460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640"/>
        <w:outlineLvl w:val="9"/>
        <w:rPr>
          <w:rFonts w:ascii="仿宋" w:hAnsi="仿宋" w:eastAsia="仿宋"/>
          <w:color w:val="000000"/>
          <w:sz w:val="32"/>
          <w:szCs w:val="32"/>
          <w:shd w:val="pct10" w:color="auto" w:fill="FFFFFF"/>
        </w:rPr>
      </w:pPr>
      <w:r>
        <w:rPr>
          <w:sz w:val="32"/>
        </w:rPr>
        <mc:AlternateContent>
          <mc:Choice Requires="wps">
            <w:drawing>
              <wp:anchor distT="0" distB="0" distL="114300" distR="114300" simplePos="0" relativeHeight="251675648" behindDoc="0" locked="0" layoutInCell="1" allowOverlap="1">
                <wp:simplePos x="0" y="0"/>
                <wp:positionH relativeFrom="column">
                  <wp:posOffset>4252595</wp:posOffset>
                </wp:positionH>
                <wp:positionV relativeFrom="paragraph">
                  <wp:posOffset>154940</wp:posOffset>
                </wp:positionV>
                <wp:extent cx="698500" cy="365125"/>
                <wp:effectExtent l="0" t="0" r="6350" b="15875"/>
                <wp:wrapNone/>
                <wp:docPr id="18" name="文本框 18"/>
                <wp:cNvGraphicFramePr/>
                <a:graphic xmlns:a="http://schemas.openxmlformats.org/drawingml/2006/main">
                  <a:graphicData uri="http://schemas.microsoft.com/office/word/2010/wordprocessingShape">
                    <wps:wsp>
                      <wps:cNvSpPr txBox="1"/>
                      <wps:spPr>
                        <a:xfrm>
                          <a:off x="0" y="0"/>
                          <a:ext cx="698500" cy="3651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4.85pt;margin-top:12.2pt;height:28.75pt;width:55pt;z-index:251675648;mso-width-relative:page;mso-height-relative:page;" fillcolor="#FFFFFF [3201]" filled="t" stroked="f" coordsize="21600,21600" o:gfxdata="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6BHuktUAAAAJAQAADwAAAAAA&#10;AAABACAAAAAiAAAAZHJzL2Rvd25yZXYueG1sUEsBAhQAFAAAAAgAh07iQCJzg6RPAgAAkAQAAA4A&#10;AAAAAAAAAQAgAAAAJAEAAGRycy9lMm9Eb2MueG1sUEsFBgAAAAAGAAYAWQEAAOUFAAAAAA==&#10;">
                <v:fill on="t" focussize="0,0"/>
                <v:stroke on="f" weight="0.5pt"/>
                <v:imagedata o:title=""/>
                <o:lock v:ext="edit" aspectratio="f"/>
                <v:textbo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v:textbox>
              </v:shape>
            </w:pict>
          </mc:Fallback>
        </mc:AlternateContent>
      </w:r>
    </w:p>
    <w:p>
      <w:pPr>
        <w:spacing w:line="600" w:lineRule="exact"/>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lang w:eastAsia="zh-CN"/>
        </w:rPr>
      </w:pPr>
    </w:p>
    <w:p>
      <w:pPr>
        <w:spacing w:line="600" w:lineRule="exact"/>
        <w:ind w:firstLine="640" w:firstLineChars="200"/>
        <w:rPr>
          <w:rFonts w:ascii="仿宋_GB2312" w:eastAsia="仿宋_GB2312"/>
          <w:color w:val="FF0000"/>
          <w:sz w:val="32"/>
          <w:szCs w:val="32"/>
        </w:rPr>
      </w:pPr>
    </w:p>
    <w:p>
      <w:pPr>
        <w:spacing w:line="600" w:lineRule="exact"/>
        <w:outlineLvl w:val="1"/>
        <w:rPr>
          <w:rFonts w:hint="eastAsia" w:ascii="黑体" w:hAnsi="黑体" w:eastAsia="黑体"/>
          <w:color w:val="000000"/>
          <w:sz w:val="32"/>
          <w:szCs w:val="32"/>
        </w:rPr>
      </w:pPr>
      <w:bookmarkStart w:id="27" w:name="_Toc10354"/>
      <w:bookmarkStart w:id="28" w:name="_Toc15396606"/>
      <w:bookmarkStart w:id="29" w:name="_Toc15377208"/>
    </w:p>
    <w:p>
      <w:pPr>
        <w:spacing w:line="600" w:lineRule="exact"/>
        <w:ind w:firstLine="640" w:firstLineChars="200"/>
        <w:outlineLvl w:val="1"/>
        <w:rPr>
          <w:rFonts w:hint="eastAsia" w:ascii="黑体" w:hAnsi="黑体" w:eastAsia="黑体"/>
          <w:color w:val="000000"/>
          <w:sz w:val="32"/>
          <w:szCs w:val="32"/>
        </w:rPr>
      </w:pPr>
    </w:p>
    <w:p>
      <w:pPr>
        <w:spacing w:line="600" w:lineRule="exact"/>
        <w:ind w:firstLine="640" w:firstLineChars="200"/>
        <w:jc w:val="center"/>
        <w:outlineLvl w:val="1"/>
        <w:rPr>
          <w:rFonts w:hint="eastAsia" w:ascii="仿宋" w:hAnsi="仿宋" w:eastAsia="仿宋"/>
          <w:color w:val="000000"/>
          <w:sz w:val="32"/>
          <w:szCs w:val="32"/>
        </w:rPr>
      </w:pPr>
    </w:p>
    <w:p>
      <w:pPr>
        <w:spacing w:line="600" w:lineRule="exact"/>
        <w:ind w:firstLine="640" w:firstLineChars="200"/>
        <w:jc w:val="center"/>
        <w:outlineLvl w:val="1"/>
        <w:rPr>
          <w:rFonts w:hint="eastAsia"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3</w:t>
      </w:r>
      <w:r>
        <w:rPr>
          <w:rFonts w:hint="eastAsia" w:ascii="仿宋" w:hAnsi="仿宋" w:eastAsia="仿宋"/>
          <w:color w:val="000000"/>
          <w:sz w:val="32"/>
          <w:szCs w:val="32"/>
        </w:rPr>
        <w:t>：支出决算结构图）</w:t>
      </w:r>
    </w:p>
    <w:p>
      <w:pPr>
        <w:spacing w:line="600" w:lineRule="exact"/>
        <w:jc w:val="both"/>
        <w:outlineLvl w:val="1"/>
        <w:rPr>
          <w:rFonts w:hint="eastAsia" w:ascii="仿宋" w:hAnsi="仿宋" w:eastAsia="仿宋"/>
          <w:color w:val="000000"/>
          <w:sz w:val="32"/>
          <w:szCs w:val="32"/>
        </w:rPr>
      </w:pPr>
    </w:p>
    <w:p>
      <w:pPr>
        <w:spacing w:line="600" w:lineRule="exact"/>
        <w:ind w:firstLine="640" w:firstLineChars="200"/>
        <w:outlineLvl w:val="1"/>
        <w:rPr>
          <w:rStyle w:val="14"/>
          <w:rFonts w:ascii="黑体" w:hAnsi="黑体" w:eastAsia="黑体"/>
          <w:b w:val="0"/>
        </w:rPr>
      </w:pPr>
      <w:r>
        <w:rPr>
          <w:rFonts w:hint="eastAsia" w:ascii="黑体" w:hAnsi="黑体" w:eastAsia="黑体"/>
          <w:color w:val="000000"/>
          <w:sz w:val="32"/>
          <w:szCs w:val="32"/>
        </w:rPr>
        <w:t>四、财</w:t>
      </w:r>
      <w:r>
        <w:rPr>
          <w:rStyle w:val="14"/>
          <w:rFonts w:hint="eastAsia" w:ascii="黑体" w:hAnsi="黑体" w:eastAsia="黑体"/>
          <w:b w:val="0"/>
        </w:rPr>
        <w:t>政拨款收入支出决算总体情况说明</w:t>
      </w:r>
      <w:bookmarkEnd w:id="27"/>
      <w:bookmarkEnd w:id="28"/>
      <w:bookmarkEnd w:id="29"/>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2020年财政拨款收、支总计4256.55万元。与2019年相比，财政拨款收、支总计各减少</w:t>
      </w:r>
      <w:r>
        <w:rPr>
          <w:rFonts w:hint="eastAsia" w:ascii="仿宋" w:hAnsi="仿宋" w:eastAsia="仿宋" w:cs="仿宋"/>
          <w:color w:val="000000"/>
          <w:sz w:val="32"/>
          <w:szCs w:val="32"/>
          <w:lang w:val="en-US" w:eastAsia="zh-CN"/>
        </w:rPr>
        <w:t>5697.53</w:t>
      </w:r>
      <w:r>
        <w:rPr>
          <w:rFonts w:hint="eastAsia" w:ascii="仿宋" w:hAnsi="仿宋" w:eastAsia="仿宋" w:cs="仿宋"/>
          <w:color w:val="000000"/>
          <w:sz w:val="32"/>
          <w:szCs w:val="32"/>
        </w:rPr>
        <w:t>万元，下降</w:t>
      </w:r>
      <w:r>
        <w:rPr>
          <w:rFonts w:hint="eastAsia" w:ascii="仿宋" w:hAnsi="仿宋" w:eastAsia="仿宋" w:cs="仿宋"/>
          <w:color w:val="000000"/>
          <w:sz w:val="32"/>
          <w:szCs w:val="32"/>
          <w:lang w:val="en-US" w:eastAsia="zh-CN"/>
        </w:rPr>
        <w:t>57.24</w:t>
      </w:r>
      <w:r>
        <w:rPr>
          <w:rFonts w:hint="eastAsia" w:ascii="仿宋" w:hAnsi="仿宋" w:eastAsia="仿宋" w:cs="仿宋"/>
          <w:color w:val="000000"/>
          <w:sz w:val="32"/>
          <w:szCs w:val="32"/>
        </w:rPr>
        <w:t>%。主要变动原因是政府性基金预算拨款项目收支有所减少（征地拆迁项目收支减少）。</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olor w:val="000000"/>
          <w:sz w:val="32"/>
          <w:szCs w:val="32"/>
          <w:lang w:eastAsia="zh-CN"/>
        </w:rPr>
        <w:drawing>
          <wp:anchor distT="0" distB="0" distL="114300" distR="114300" simplePos="0" relativeHeight="251664384" behindDoc="1" locked="0" layoutInCell="1" allowOverlap="1">
            <wp:simplePos x="0" y="0"/>
            <wp:positionH relativeFrom="column">
              <wp:posOffset>245745</wp:posOffset>
            </wp:positionH>
            <wp:positionV relativeFrom="paragraph">
              <wp:posOffset>134620</wp:posOffset>
            </wp:positionV>
            <wp:extent cx="5201920" cy="3982085"/>
            <wp:effectExtent l="4445" t="4445" r="13335" b="13970"/>
            <wp:wrapNone/>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sz w:val="32"/>
          <w:szCs w:val="32"/>
        </w:rPr>
      </w:pPr>
      <w:r>
        <w:rPr>
          <w:sz w:val="32"/>
        </w:rPr>
        <mc:AlternateContent>
          <mc:Choice Requires="wps">
            <w:drawing>
              <wp:anchor distT="0" distB="0" distL="114300" distR="114300" simplePos="0" relativeHeight="251674624" behindDoc="0" locked="0" layoutInCell="1" allowOverlap="1">
                <wp:simplePos x="0" y="0"/>
                <wp:positionH relativeFrom="column">
                  <wp:posOffset>4617720</wp:posOffset>
                </wp:positionH>
                <wp:positionV relativeFrom="paragraph">
                  <wp:posOffset>181610</wp:posOffset>
                </wp:positionV>
                <wp:extent cx="698500" cy="365125"/>
                <wp:effectExtent l="0" t="0" r="6350" b="15875"/>
                <wp:wrapNone/>
                <wp:docPr id="17" name="文本框 17"/>
                <wp:cNvGraphicFramePr/>
                <a:graphic xmlns:a="http://schemas.openxmlformats.org/drawingml/2006/main">
                  <a:graphicData uri="http://schemas.microsoft.com/office/word/2010/wordprocessingShape">
                    <wps:wsp>
                      <wps:cNvSpPr txBox="1"/>
                      <wps:spPr>
                        <a:xfrm>
                          <a:off x="0" y="0"/>
                          <a:ext cx="698500" cy="3651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3.6pt;margin-top:14.3pt;height:28.75pt;width:55pt;z-index:251674624;mso-width-relative:page;mso-height-relative:page;" fillcolor="#FFFFFF [3201]" filled="t" stroked="f" coordsize="21600,21600" o:gfxdata="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EatcSNQAAAAJAQAADwAAAAAA&#10;AAABACAAAAAiAAAAZHJzL2Rvd25yZXYueG1sUEsBAhQAFAAAAAgAh07iQIdWD0NQAgAAkAQAAA4A&#10;AAAAAAAAAQAgAAAAIwEAAGRycy9lMm9Eb2MueG1sUEsFBgAAAAAGAAYAWQEAAOUFAAAAAA==&#10;">
                <v:fill on="t" focussize="0,0"/>
                <v:stroke on="f" weight="0.5pt"/>
                <v:imagedata o:title=""/>
                <o:lock v:ext="edit" aspectratio="f"/>
                <v:textbo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v:textbox>
              </v:shape>
            </w:pict>
          </mc:Fallback>
        </mc:AlternateContent>
      </w:r>
    </w:p>
    <w:p>
      <w:pPr>
        <w:spacing w:line="600" w:lineRule="exact"/>
        <w:ind w:firstLine="640"/>
        <w:rPr>
          <w:rFonts w:hint="eastAsia" w:ascii="仿宋" w:hAnsi="仿宋" w:eastAsia="仿宋"/>
          <w:color w:val="000000"/>
          <w:sz w:val="32"/>
          <w:szCs w:val="32"/>
          <w:lang w:eastAsia="zh-CN"/>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jc w:val="center"/>
        <w:rPr>
          <w:rFonts w:ascii="仿宋" w:hAnsi="仿宋" w:eastAsia="仿宋"/>
          <w:b/>
          <w:color w:val="00B050"/>
          <w:sz w:val="32"/>
          <w:szCs w:val="32"/>
        </w:rPr>
      </w:pPr>
      <w:r>
        <w:rPr>
          <w:rFonts w:hint="eastAsia" w:ascii="仿宋" w:hAnsi="仿宋" w:eastAsia="仿宋"/>
          <w:color w:val="000000"/>
          <w:sz w:val="32"/>
          <w:szCs w:val="32"/>
        </w:rPr>
        <w:t>（图</w:t>
      </w:r>
      <w:r>
        <w:rPr>
          <w:rFonts w:ascii="仿宋" w:hAnsi="仿宋" w:eastAsia="仿宋"/>
          <w:color w:val="000000"/>
          <w:sz w:val="32"/>
          <w:szCs w:val="32"/>
        </w:rPr>
        <w:t>4</w:t>
      </w:r>
      <w:r>
        <w:rPr>
          <w:rFonts w:hint="eastAsia" w:ascii="仿宋" w:hAnsi="仿宋" w:eastAsia="仿宋"/>
          <w:color w:val="000000"/>
          <w:sz w:val="32"/>
          <w:szCs w:val="32"/>
        </w:rPr>
        <w:t>：财政拨款收、支决算总计变动情况）</w:t>
      </w:r>
    </w:p>
    <w:p>
      <w:pPr>
        <w:spacing w:line="600" w:lineRule="exact"/>
        <w:ind w:firstLine="640" w:firstLineChars="200"/>
        <w:outlineLvl w:val="1"/>
        <w:rPr>
          <w:rStyle w:val="14"/>
          <w:rFonts w:ascii="黑体" w:hAnsi="黑体" w:eastAsia="黑体"/>
          <w:b w:val="0"/>
        </w:rPr>
      </w:pPr>
      <w:bookmarkStart w:id="30" w:name="_Toc15377209"/>
      <w:bookmarkStart w:id="31" w:name="_Toc10967"/>
      <w:bookmarkStart w:id="32" w:name="_Toc15396607"/>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14"/>
          <w:rFonts w:hint="eastAsia" w:ascii="黑体" w:hAnsi="黑体" w:eastAsia="黑体"/>
          <w:b w:val="0"/>
        </w:rPr>
        <w:t>般公共预算财政拨款支出决算情况说明</w:t>
      </w:r>
      <w:bookmarkEnd w:id="30"/>
      <w:bookmarkEnd w:id="31"/>
      <w:bookmarkEnd w:id="32"/>
    </w:p>
    <w:p>
      <w:pPr>
        <w:spacing w:line="600" w:lineRule="exact"/>
        <w:ind w:firstLine="643" w:firstLineChars="200"/>
        <w:outlineLvl w:val="2"/>
        <w:rPr>
          <w:rFonts w:ascii="仿宋" w:hAnsi="仿宋" w:eastAsia="仿宋"/>
          <w:b/>
          <w:color w:val="000000"/>
          <w:sz w:val="32"/>
          <w:szCs w:val="32"/>
        </w:rPr>
      </w:pPr>
      <w:bookmarkStart w:id="33" w:name="_Toc15377210"/>
      <w:r>
        <w:rPr>
          <w:rFonts w:hint="eastAsia" w:ascii="仿宋" w:hAnsi="仿宋" w:eastAsia="仿宋"/>
          <w:b/>
          <w:color w:val="000000"/>
          <w:sz w:val="32"/>
          <w:szCs w:val="32"/>
        </w:rPr>
        <w:t>（一）一般公共预算财政拨款支出决算总体情况</w:t>
      </w:r>
      <w:bookmarkEnd w:id="33"/>
    </w:p>
    <w:p>
      <w:pPr>
        <w:spacing w:line="600" w:lineRule="exact"/>
        <w:ind w:firstLine="640" w:firstLineChars="200"/>
        <w:rPr>
          <w:rFonts w:hint="eastAsia" w:ascii="仿宋" w:hAnsi="仿宋" w:eastAsia="仿宋"/>
          <w:color w:val="000000"/>
          <w:sz w:val="32"/>
          <w:szCs w:val="32"/>
          <w:highlight w:val="none"/>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年一般公共预算财政拨款支出1236.55万元，占本年支出合计的</w:t>
      </w:r>
      <w:r>
        <w:rPr>
          <w:rFonts w:hint="eastAsia" w:ascii="仿宋" w:hAnsi="仿宋" w:eastAsia="仿宋"/>
          <w:color w:val="000000"/>
          <w:sz w:val="32"/>
          <w:szCs w:val="32"/>
          <w:lang w:val="en-US" w:eastAsia="zh-CN"/>
        </w:rPr>
        <w:t>29.05</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2019</w:t>
      </w:r>
      <w:r>
        <w:rPr>
          <w:rFonts w:hint="eastAsia" w:ascii="仿宋" w:hAnsi="仿宋" w:eastAsia="仿宋"/>
          <w:color w:val="000000"/>
          <w:sz w:val="32"/>
          <w:szCs w:val="32"/>
        </w:rPr>
        <w:t>年相比，一般公共预算财政拨款减少</w:t>
      </w:r>
      <w:r>
        <w:rPr>
          <w:rFonts w:hint="eastAsia" w:ascii="仿宋" w:hAnsi="仿宋" w:eastAsia="仿宋"/>
          <w:color w:val="000000"/>
          <w:sz w:val="32"/>
          <w:szCs w:val="32"/>
          <w:lang w:val="en-US" w:eastAsia="zh-CN"/>
        </w:rPr>
        <w:t>112.75</w:t>
      </w:r>
      <w:r>
        <w:rPr>
          <w:rFonts w:hint="eastAsia" w:ascii="仿宋" w:hAnsi="仿宋" w:eastAsia="仿宋"/>
          <w:color w:val="000000"/>
          <w:sz w:val="32"/>
          <w:szCs w:val="32"/>
        </w:rPr>
        <w:t>万元，下降</w:t>
      </w:r>
      <w:r>
        <w:rPr>
          <w:rFonts w:hint="eastAsia" w:ascii="仿宋" w:hAnsi="仿宋" w:eastAsia="仿宋"/>
          <w:color w:val="000000"/>
          <w:sz w:val="32"/>
          <w:szCs w:val="32"/>
          <w:highlight w:val="none"/>
          <w:lang w:val="en-US" w:eastAsia="zh-CN"/>
        </w:rPr>
        <w:t>8.36</w:t>
      </w:r>
      <w:r>
        <w:rPr>
          <w:rFonts w:ascii="仿宋" w:hAnsi="仿宋" w:eastAsia="仿宋"/>
          <w:color w:val="000000"/>
          <w:sz w:val="32"/>
          <w:szCs w:val="32"/>
          <w:highlight w:val="none"/>
        </w:rPr>
        <w:t>%</w:t>
      </w:r>
      <w:r>
        <w:rPr>
          <w:rFonts w:hint="eastAsia" w:ascii="仿宋" w:hAnsi="仿宋" w:eastAsia="仿宋"/>
          <w:color w:val="000000"/>
          <w:sz w:val="32"/>
          <w:szCs w:val="32"/>
          <w:highlight w:val="none"/>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加强了管理，压缩了开支</w:t>
      </w:r>
      <w:r>
        <w:rPr>
          <w:rFonts w:hint="eastAsia" w:ascii="仿宋" w:hAnsi="仿宋" w:eastAsia="仿宋"/>
          <w:color w:val="000000"/>
          <w:sz w:val="32"/>
          <w:szCs w:val="32"/>
          <w:highlight w:val="none"/>
        </w:rPr>
        <w:t>。</w:t>
      </w:r>
    </w:p>
    <w:p>
      <w:pPr>
        <w:spacing w:line="600" w:lineRule="exact"/>
        <w:outlineLvl w:val="2"/>
        <w:rPr>
          <w:rFonts w:hint="eastAsia" w:ascii="仿宋" w:hAnsi="仿宋" w:eastAsia="仿宋"/>
          <w:b/>
          <w:color w:val="000000"/>
          <w:sz w:val="32"/>
          <w:szCs w:val="32"/>
        </w:rPr>
      </w:pPr>
      <w:bookmarkStart w:id="34" w:name="_Toc15377211"/>
    </w:p>
    <w:p>
      <w:pPr>
        <w:spacing w:line="600" w:lineRule="exact"/>
        <w:outlineLvl w:val="2"/>
        <w:rPr>
          <w:rFonts w:hint="eastAsia" w:ascii="仿宋" w:hAnsi="仿宋" w:eastAsia="仿宋"/>
          <w:b/>
          <w:color w:val="000000"/>
          <w:sz w:val="32"/>
          <w:szCs w:val="32"/>
        </w:rPr>
      </w:pPr>
      <w:r>
        <w:rPr>
          <w:rFonts w:hint="eastAsia" w:ascii="仿宋" w:hAnsi="仿宋" w:eastAsia="仿宋"/>
          <w:color w:val="000000"/>
          <w:sz w:val="32"/>
          <w:szCs w:val="32"/>
          <w:lang w:eastAsia="zh-CN"/>
        </w:rPr>
        <w:drawing>
          <wp:anchor distT="0" distB="0" distL="114300" distR="114300" simplePos="0" relativeHeight="251661312" behindDoc="1" locked="0" layoutInCell="1" allowOverlap="1">
            <wp:simplePos x="0" y="0"/>
            <wp:positionH relativeFrom="column">
              <wp:posOffset>12065</wp:posOffset>
            </wp:positionH>
            <wp:positionV relativeFrom="paragraph">
              <wp:posOffset>182880</wp:posOffset>
            </wp:positionV>
            <wp:extent cx="5260975" cy="3853180"/>
            <wp:effectExtent l="5080" t="4445" r="10795" b="9525"/>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firstLineChars="200"/>
        <w:outlineLvl w:val="2"/>
        <w:rPr>
          <w:rFonts w:hint="eastAsia" w:ascii="仿宋" w:hAnsi="仿宋" w:eastAsia="仿宋"/>
          <w:b/>
          <w:color w:val="000000"/>
          <w:sz w:val="32"/>
          <w:szCs w:val="32"/>
        </w:rPr>
      </w:pPr>
      <w:r>
        <w:rPr>
          <w:sz w:val="32"/>
        </w:rPr>
        <mc:AlternateContent>
          <mc:Choice Requires="wps">
            <w:drawing>
              <wp:anchor distT="0" distB="0" distL="114300" distR="114300" simplePos="0" relativeHeight="251673600" behindDoc="0" locked="0" layoutInCell="1" allowOverlap="1">
                <wp:simplePos x="0" y="0"/>
                <wp:positionH relativeFrom="column">
                  <wp:posOffset>4585970</wp:posOffset>
                </wp:positionH>
                <wp:positionV relativeFrom="paragraph">
                  <wp:posOffset>257810</wp:posOffset>
                </wp:positionV>
                <wp:extent cx="698500" cy="365125"/>
                <wp:effectExtent l="0" t="0" r="6350" b="15875"/>
                <wp:wrapNone/>
                <wp:docPr id="16" name="文本框 16"/>
                <wp:cNvGraphicFramePr/>
                <a:graphic xmlns:a="http://schemas.openxmlformats.org/drawingml/2006/main">
                  <a:graphicData uri="http://schemas.microsoft.com/office/word/2010/wordprocessingShape">
                    <wps:wsp>
                      <wps:cNvSpPr txBox="1"/>
                      <wps:spPr>
                        <a:xfrm>
                          <a:off x="5609590" y="1688465"/>
                          <a:ext cx="698500" cy="3651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1.1pt;margin-top:20.3pt;height:28.75pt;width:55pt;z-index:251673600;mso-width-relative:page;mso-height-relative:page;" fillcolor="#FFFFFF [3201]" filled="t" stroked="f" coordsize="21600,21600" o:gfxdata="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ORDfO1AAA&#10;AAkBAAAPAAAAAAAAAAEAIAAAACIAAABkcnMvZG93bnJldi54bWxQSwECFAAUAAAACACHTuJAT2hD&#10;NFsCAACcBAAADgAAAAAAAAABACAAAAAjAQAAZHJzL2Uyb0RvYy54bWxQSwUGAAAAAAYABgBZAQAA&#10;8AUAAAAA&#10;">
                <v:fill on="t" focussize="0,0"/>
                <v:stroke on="f" weight="0.5pt"/>
                <v:imagedata o:title=""/>
                <o:lock v:ext="edit" aspectratio="f"/>
                <v:textbo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v:textbox>
              </v:shape>
            </w:pict>
          </mc:Fallback>
        </mc:AlternateContent>
      </w:r>
    </w:p>
    <w:p>
      <w:pPr>
        <w:spacing w:line="600" w:lineRule="exact"/>
        <w:ind w:firstLine="643" w:firstLineChars="200"/>
        <w:outlineLvl w:val="2"/>
        <w:rPr>
          <w:rFonts w:hint="eastAsia" w:ascii="仿宋" w:hAnsi="仿宋" w:eastAsia="仿宋"/>
          <w:b/>
          <w:color w:val="000000"/>
          <w:sz w:val="32"/>
          <w:szCs w:val="32"/>
        </w:rPr>
      </w:pPr>
    </w:p>
    <w:p>
      <w:pPr>
        <w:spacing w:line="600" w:lineRule="exact"/>
        <w:ind w:firstLine="643" w:firstLineChars="200"/>
        <w:outlineLvl w:val="2"/>
        <w:rPr>
          <w:rFonts w:hint="eastAsia" w:ascii="仿宋" w:hAnsi="仿宋" w:eastAsia="仿宋"/>
          <w:b/>
          <w:color w:val="000000"/>
          <w:sz w:val="32"/>
          <w:szCs w:val="32"/>
        </w:rPr>
      </w:pPr>
    </w:p>
    <w:p>
      <w:pPr>
        <w:spacing w:line="600" w:lineRule="exact"/>
        <w:ind w:firstLine="643" w:firstLineChars="200"/>
        <w:outlineLvl w:val="2"/>
        <w:rPr>
          <w:rFonts w:hint="eastAsia" w:ascii="仿宋" w:hAnsi="仿宋" w:eastAsia="仿宋"/>
          <w:b/>
          <w:color w:val="000000"/>
          <w:sz w:val="32"/>
          <w:szCs w:val="32"/>
        </w:rPr>
      </w:pPr>
    </w:p>
    <w:p>
      <w:pPr>
        <w:spacing w:line="600" w:lineRule="exact"/>
        <w:ind w:firstLine="643" w:firstLineChars="200"/>
        <w:outlineLvl w:val="2"/>
        <w:rPr>
          <w:rFonts w:hint="eastAsia" w:ascii="仿宋" w:hAnsi="仿宋" w:eastAsia="仿宋"/>
          <w:b/>
          <w:color w:val="000000"/>
          <w:sz w:val="32"/>
          <w:szCs w:val="32"/>
        </w:rPr>
      </w:pPr>
    </w:p>
    <w:p>
      <w:pPr>
        <w:spacing w:line="600" w:lineRule="exact"/>
        <w:ind w:firstLine="643" w:firstLineChars="200"/>
        <w:outlineLvl w:val="2"/>
        <w:rPr>
          <w:rFonts w:hint="eastAsia" w:ascii="仿宋" w:hAnsi="仿宋" w:eastAsia="仿宋"/>
          <w:b/>
          <w:color w:val="000000"/>
          <w:sz w:val="32"/>
          <w:szCs w:val="32"/>
        </w:rPr>
      </w:pPr>
    </w:p>
    <w:p>
      <w:pPr>
        <w:spacing w:line="600" w:lineRule="exact"/>
        <w:outlineLvl w:val="2"/>
        <w:rPr>
          <w:rFonts w:hint="eastAsia" w:ascii="仿宋" w:hAnsi="仿宋" w:eastAsia="仿宋"/>
          <w:b/>
          <w:color w:val="000000"/>
          <w:sz w:val="32"/>
          <w:szCs w:val="32"/>
        </w:rPr>
      </w:pPr>
    </w:p>
    <w:p>
      <w:pPr>
        <w:spacing w:line="600" w:lineRule="exact"/>
        <w:rPr>
          <w:rFonts w:hint="eastAsia" w:ascii="仿宋" w:hAnsi="仿宋" w:eastAsia="仿宋"/>
          <w:color w:val="000000"/>
          <w:sz w:val="30"/>
          <w:szCs w:val="30"/>
        </w:rPr>
      </w:pPr>
    </w:p>
    <w:p>
      <w:pPr>
        <w:spacing w:line="600" w:lineRule="exact"/>
        <w:rPr>
          <w:rFonts w:hint="eastAsia" w:ascii="仿宋" w:hAnsi="仿宋" w:eastAsia="仿宋"/>
          <w:color w:val="000000"/>
          <w:sz w:val="30"/>
          <w:szCs w:val="30"/>
        </w:rPr>
      </w:pPr>
    </w:p>
    <w:p>
      <w:pPr>
        <w:spacing w:line="600" w:lineRule="exact"/>
        <w:rPr>
          <w:rFonts w:hint="eastAsia" w:ascii="仿宋" w:hAnsi="仿宋" w:eastAsia="仿宋"/>
          <w:color w:val="000000"/>
          <w:sz w:val="30"/>
          <w:szCs w:val="30"/>
        </w:rPr>
      </w:pPr>
    </w:p>
    <w:p>
      <w:pPr>
        <w:spacing w:line="600" w:lineRule="exact"/>
        <w:jc w:val="center"/>
        <w:rPr>
          <w:rFonts w:hint="eastAsia" w:ascii="仿宋" w:hAnsi="仿宋" w:eastAsia="仿宋"/>
          <w:b/>
          <w:color w:val="000000"/>
          <w:sz w:val="30"/>
          <w:szCs w:val="30"/>
        </w:rPr>
      </w:pPr>
      <w:r>
        <w:rPr>
          <w:rFonts w:hint="eastAsia" w:ascii="仿宋" w:hAnsi="仿宋" w:eastAsia="仿宋"/>
          <w:color w:val="000000"/>
          <w:sz w:val="30"/>
          <w:szCs w:val="30"/>
        </w:rPr>
        <w:t>（图</w:t>
      </w:r>
      <w:r>
        <w:rPr>
          <w:rFonts w:ascii="仿宋" w:hAnsi="仿宋" w:eastAsia="仿宋"/>
          <w:color w:val="000000"/>
          <w:sz w:val="30"/>
          <w:szCs w:val="30"/>
        </w:rPr>
        <w:t>5</w:t>
      </w:r>
      <w:r>
        <w:rPr>
          <w:rFonts w:hint="eastAsia" w:ascii="仿宋" w:hAnsi="仿宋" w:eastAsia="仿宋"/>
          <w:color w:val="000000"/>
          <w:sz w:val="30"/>
          <w:szCs w:val="30"/>
        </w:rPr>
        <w:t>：一般公共预算财政拨款支出决算变动情况）</w:t>
      </w:r>
    </w:p>
    <w:p>
      <w:pPr>
        <w:spacing w:line="600" w:lineRule="exact"/>
        <w:ind w:firstLine="643" w:firstLineChars="200"/>
        <w:outlineLvl w:val="2"/>
        <w:rPr>
          <w:rFonts w:ascii="仿宋" w:hAnsi="仿宋" w:eastAsia="仿宋"/>
          <w:b/>
          <w:color w:val="000000"/>
          <w:sz w:val="32"/>
          <w:szCs w:val="32"/>
        </w:rPr>
      </w:pPr>
      <w:r>
        <w:rPr>
          <w:rFonts w:hint="eastAsia" w:ascii="仿宋" w:hAnsi="仿宋" w:eastAsia="仿宋"/>
          <w:b/>
          <w:color w:val="000000"/>
          <w:sz w:val="32"/>
          <w:szCs w:val="32"/>
        </w:rPr>
        <w:t>（二）一般公共预算财政拨款支出决算结构情况</w:t>
      </w:r>
      <w:bookmarkEnd w:id="34"/>
    </w:p>
    <w:p>
      <w:pPr>
        <w:spacing w:line="600" w:lineRule="exact"/>
        <w:ind w:firstLine="640"/>
        <w:rPr>
          <w:rFonts w:hint="eastAsia" w:ascii="仿宋" w:hAnsi="仿宋" w:eastAsia="仿宋"/>
          <w:color w:val="000000"/>
          <w:sz w:val="32"/>
          <w:szCs w:val="32"/>
          <w:highlight w:val="none"/>
          <w:lang w:eastAsia="zh-CN"/>
        </w:rPr>
      </w:pPr>
      <w:r>
        <w:rPr>
          <w:rFonts w:ascii="仿宋" w:hAnsi="仿宋" w:eastAsia="仿宋"/>
          <w:color w:val="000000"/>
          <w:sz w:val="32"/>
          <w:szCs w:val="32"/>
          <w:highlight w:val="none"/>
        </w:rPr>
        <w:t>2020</w:t>
      </w:r>
      <w:r>
        <w:rPr>
          <w:rFonts w:hint="eastAsia" w:ascii="仿宋" w:hAnsi="仿宋" w:eastAsia="仿宋"/>
          <w:color w:val="000000"/>
          <w:sz w:val="32"/>
          <w:szCs w:val="32"/>
          <w:highlight w:val="none"/>
        </w:rPr>
        <w:t>年一般公共预算财政拨款支出1236.5</w:t>
      </w:r>
      <w:r>
        <w:rPr>
          <w:rFonts w:hint="eastAsia" w:ascii="仿宋" w:hAnsi="仿宋" w:eastAsia="仿宋"/>
          <w:color w:val="000000"/>
          <w:sz w:val="32"/>
          <w:szCs w:val="32"/>
          <w:highlight w:val="none"/>
          <w:lang w:val="en-US" w:eastAsia="zh-CN"/>
        </w:rPr>
        <w:t>5</w:t>
      </w:r>
      <w:r>
        <w:rPr>
          <w:rFonts w:hint="eastAsia" w:ascii="仿宋" w:hAnsi="仿宋" w:eastAsia="仿宋"/>
          <w:color w:val="000000"/>
          <w:sz w:val="32"/>
          <w:szCs w:val="32"/>
          <w:highlight w:val="none"/>
        </w:rPr>
        <w:t>万元，主要用于以下方面</w:t>
      </w:r>
      <w:r>
        <w:rPr>
          <w:rFonts w:ascii="仿宋" w:hAnsi="仿宋" w:eastAsia="仿宋"/>
          <w:color w:val="000000"/>
          <w:sz w:val="32"/>
          <w:szCs w:val="32"/>
          <w:highlight w:val="none"/>
        </w:rPr>
        <w:t>:</w:t>
      </w:r>
      <w:r>
        <w:rPr>
          <w:rFonts w:hint="eastAsia" w:ascii="仿宋" w:hAnsi="仿宋" w:eastAsia="仿宋"/>
          <w:b/>
          <w:color w:val="000000"/>
          <w:sz w:val="32"/>
          <w:szCs w:val="32"/>
          <w:highlight w:val="none"/>
        </w:rPr>
        <w:t>一般公共服务（类）</w:t>
      </w:r>
      <w:r>
        <w:rPr>
          <w:rFonts w:hint="eastAsia" w:ascii="仿宋" w:hAnsi="仿宋" w:eastAsia="仿宋"/>
          <w:color w:val="000000"/>
          <w:sz w:val="32"/>
          <w:szCs w:val="32"/>
          <w:highlight w:val="none"/>
        </w:rPr>
        <w:t>支出582.26万元，占</w:t>
      </w:r>
      <w:r>
        <w:rPr>
          <w:rFonts w:hint="eastAsia" w:ascii="仿宋" w:hAnsi="仿宋" w:eastAsia="仿宋"/>
          <w:color w:val="000000"/>
          <w:sz w:val="32"/>
          <w:szCs w:val="32"/>
          <w:highlight w:val="none"/>
          <w:lang w:val="en-US" w:eastAsia="zh-CN"/>
        </w:rPr>
        <w:t>47.09</w:t>
      </w:r>
      <w:r>
        <w:rPr>
          <w:rFonts w:ascii="仿宋" w:hAnsi="仿宋" w:eastAsia="仿宋"/>
          <w:color w:val="000000"/>
          <w:sz w:val="32"/>
          <w:szCs w:val="32"/>
          <w:highlight w:val="none"/>
        </w:rPr>
        <w:t>%</w:t>
      </w:r>
      <w:r>
        <w:rPr>
          <w:rFonts w:hint="eastAsia" w:ascii="仿宋" w:hAnsi="仿宋" w:eastAsia="仿宋"/>
          <w:color w:val="000000"/>
          <w:sz w:val="32"/>
          <w:szCs w:val="32"/>
          <w:highlight w:val="none"/>
        </w:rPr>
        <w:t>；</w:t>
      </w:r>
      <w:r>
        <w:rPr>
          <w:rFonts w:hint="eastAsia" w:ascii="仿宋" w:hAnsi="仿宋" w:eastAsia="仿宋"/>
          <w:b/>
          <w:color w:val="000000"/>
          <w:sz w:val="32"/>
          <w:szCs w:val="32"/>
          <w:highlight w:val="none"/>
        </w:rPr>
        <w:t>社会保障和就业（类）</w:t>
      </w:r>
      <w:r>
        <w:rPr>
          <w:rFonts w:hint="eastAsia" w:ascii="仿宋" w:hAnsi="仿宋" w:eastAsia="仿宋"/>
          <w:color w:val="000000"/>
          <w:sz w:val="32"/>
          <w:szCs w:val="32"/>
          <w:highlight w:val="none"/>
        </w:rPr>
        <w:t>支出217.72万元，占</w:t>
      </w:r>
      <w:r>
        <w:rPr>
          <w:rFonts w:hint="eastAsia" w:ascii="仿宋" w:hAnsi="仿宋" w:eastAsia="仿宋"/>
          <w:color w:val="000000"/>
          <w:sz w:val="32"/>
          <w:szCs w:val="32"/>
          <w:highlight w:val="none"/>
          <w:lang w:val="en-US" w:eastAsia="zh-CN"/>
        </w:rPr>
        <w:t>17.61</w:t>
      </w:r>
      <w:r>
        <w:rPr>
          <w:rFonts w:ascii="仿宋" w:hAnsi="仿宋" w:eastAsia="仿宋"/>
          <w:color w:val="000000"/>
          <w:sz w:val="32"/>
          <w:szCs w:val="32"/>
          <w:highlight w:val="none"/>
        </w:rPr>
        <w:t>%</w:t>
      </w:r>
      <w:r>
        <w:rPr>
          <w:rFonts w:hint="eastAsia" w:ascii="仿宋" w:hAnsi="仿宋" w:eastAsia="仿宋"/>
          <w:color w:val="000000"/>
          <w:sz w:val="32"/>
          <w:szCs w:val="32"/>
          <w:highlight w:val="none"/>
        </w:rPr>
        <w:t>；</w:t>
      </w:r>
      <w:r>
        <w:rPr>
          <w:rFonts w:hint="eastAsia" w:ascii="仿宋" w:hAnsi="仿宋" w:eastAsia="仿宋"/>
          <w:b/>
          <w:bCs/>
          <w:color w:val="000000"/>
          <w:sz w:val="32"/>
          <w:szCs w:val="32"/>
          <w:highlight w:val="none"/>
        </w:rPr>
        <w:t>卫生健康</w:t>
      </w:r>
      <w:r>
        <w:rPr>
          <w:rFonts w:hint="eastAsia" w:ascii="仿宋" w:hAnsi="仿宋" w:eastAsia="仿宋"/>
          <w:b/>
          <w:bCs/>
          <w:color w:val="000000"/>
          <w:sz w:val="32"/>
          <w:szCs w:val="32"/>
          <w:highlight w:val="none"/>
          <w:lang w:eastAsia="zh-CN"/>
        </w:rPr>
        <w:t>（</w:t>
      </w:r>
      <w:r>
        <w:rPr>
          <w:rFonts w:hint="eastAsia" w:ascii="仿宋" w:hAnsi="仿宋" w:eastAsia="仿宋"/>
          <w:b/>
          <w:bCs/>
          <w:color w:val="000000"/>
          <w:sz w:val="32"/>
          <w:szCs w:val="32"/>
          <w:highlight w:val="none"/>
          <w:lang w:val="en-US" w:eastAsia="zh-CN"/>
        </w:rPr>
        <w:t>类</w:t>
      </w:r>
      <w:r>
        <w:rPr>
          <w:rFonts w:hint="eastAsia" w:ascii="仿宋" w:hAnsi="仿宋" w:eastAsia="仿宋"/>
          <w:b/>
          <w:bCs/>
          <w:color w:val="000000"/>
          <w:sz w:val="32"/>
          <w:szCs w:val="32"/>
          <w:highlight w:val="none"/>
          <w:lang w:eastAsia="zh-CN"/>
        </w:rPr>
        <w:t>）</w:t>
      </w:r>
      <w:r>
        <w:rPr>
          <w:rFonts w:hint="eastAsia" w:ascii="仿宋" w:hAnsi="仿宋" w:eastAsia="仿宋"/>
          <w:b w:val="0"/>
          <w:bCs w:val="0"/>
          <w:color w:val="000000"/>
          <w:sz w:val="32"/>
          <w:szCs w:val="32"/>
          <w:highlight w:val="none"/>
        </w:rPr>
        <w:t>支出</w:t>
      </w:r>
      <w:r>
        <w:rPr>
          <w:rFonts w:hint="eastAsia" w:ascii="仿宋" w:hAnsi="仿宋" w:eastAsia="仿宋"/>
          <w:color w:val="000000"/>
          <w:sz w:val="32"/>
          <w:szCs w:val="32"/>
          <w:highlight w:val="none"/>
        </w:rPr>
        <w:t>22.28万元，占</w:t>
      </w:r>
      <w:r>
        <w:rPr>
          <w:rFonts w:hint="eastAsia" w:ascii="仿宋" w:hAnsi="仿宋" w:eastAsia="仿宋"/>
          <w:color w:val="000000"/>
          <w:sz w:val="32"/>
          <w:szCs w:val="32"/>
          <w:highlight w:val="none"/>
          <w:lang w:val="en-US" w:eastAsia="zh-CN"/>
        </w:rPr>
        <w:t>1.80</w:t>
      </w:r>
      <w:r>
        <w:rPr>
          <w:rFonts w:ascii="仿宋" w:hAnsi="仿宋" w:eastAsia="仿宋"/>
          <w:color w:val="000000"/>
          <w:sz w:val="32"/>
          <w:szCs w:val="32"/>
          <w:highlight w:val="none"/>
        </w:rPr>
        <w:t>%</w:t>
      </w:r>
      <w:r>
        <w:rPr>
          <w:rFonts w:hint="eastAsia" w:ascii="仿宋" w:hAnsi="仿宋" w:eastAsia="仿宋"/>
          <w:color w:val="000000"/>
          <w:sz w:val="32"/>
          <w:szCs w:val="32"/>
          <w:highlight w:val="none"/>
        </w:rPr>
        <w:t>；</w:t>
      </w:r>
      <w:r>
        <w:rPr>
          <w:rFonts w:hint="eastAsia" w:ascii="仿宋" w:hAnsi="仿宋" w:eastAsia="仿宋"/>
          <w:b/>
          <w:bCs/>
          <w:color w:val="000000"/>
          <w:sz w:val="32"/>
          <w:szCs w:val="32"/>
          <w:highlight w:val="none"/>
          <w:lang w:val="en-US" w:eastAsia="zh-CN"/>
        </w:rPr>
        <w:t>节能环保（类）</w:t>
      </w:r>
      <w:r>
        <w:rPr>
          <w:rFonts w:hint="eastAsia" w:ascii="仿宋" w:hAnsi="仿宋" w:eastAsia="仿宋"/>
          <w:color w:val="000000"/>
          <w:sz w:val="32"/>
          <w:szCs w:val="32"/>
          <w:highlight w:val="none"/>
          <w:lang w:val="en-US" w:eastAsia="zh-CN"/>
        </w:rPr>
        <w:t>支出25万元，占2.02%;</w:t>
      </w:r>
      <w:r>
        <w:rPr>
          <w:rFonts w:hint="eastAsia" w:ascii="仿宋" w:hAnsi="仿宋" w:eastAsia="仿宋"/>
          <w:b/>
          <w:bCs/>
          <w:color w:val="000000"/>
          <w:sz w:val="32"/>
          <w:szCs w:val="32"/>
          <w:highlight w:val="none"/>
          <w:lang w:val="en-US" w:eastAsia="zh-CN"/>
        </w:rPr>
        <w:t>城乡社区（类）</w:t>
      </w:r>
      <w:r>
        <w:rPr>
          <w:rFonts w:hint="eastAsia" w:ascii="仿宋" w:hAnsi="仿宋" w:eastAsia="仿宋"/>
          <w:color w:val="000000"/>
          <w:sz w:val="32"/>
          <w:szCs w:val="32"/>
          <w:highlight w:val="none"/>
          <w:lang w:val="en-US" w:eastAsia="zh-CN"/>
        </w:rPr>
        <w:t>支出16.94万元，占1.37%；</w:t>
      </w:r>
      <w:r>
        <w:rPr>
          <w:rFonts w:hint="eastAsia" w:ascii="仿宋" w:hAnsi="仿宋" w:eastAsia="仿宋"/>
          <w:b/>
          <w:bCs/>
          <w:color w:val="000000"/>
          <w:sz w:val="32"/>
          <w:szCs w:val="32"/>
          <w:highlight w:val="none"/>
          <w:lang w:val="en-US" w:eastAsia="zh-CN"/>
        </w:rPr>
        <w:t>农林水（类）</w:t>
      </w:r>
      <w:r>
        <w:rPr>
          <w:rFonts w:hint="eastAsia" w:ascii="仿宋" w:hAnsi="仿宋" w:eastAsia="仿宋"/>
          <w:color w:val="000000"/>
          <w:sz w:val="32"/>
          <w:szCs w:val="32"/>
          <w:highlight w:val="none"/>
          <w:lang w:val="en-US" w:eastAsia="zh-CN"/>
        </w:rPr>
        <w:t>支出334.86万元，占27.08%；</w:t>
      </w:r>
      <w:r>
        <w:rPr>
          <w:rFonts w:hint="eastAsia" w:ascii="仿宋" w:hAnsi="仿宋" w:eastAsia="仿宋"/>
          <w:b/>
          <w:bCs/>
          <w:color w:val="000000"/>
          <w:sz w:val="32"/>
          <w:szCs w:val="32"/>
          <w:highlight w:val="none"/>
          <w:lang w:val="en-US" w:eastAsia="zh-CN"/>
        </w:rPr>
        <w:t>交通运输（类）</w:t>
      </w:r>
      <w:r>
        <w:rPr>
          <w:rFonts w:hint="eastAsia" w:ascii="仿宋" w:hAnsi="仿宋" w:eastAsia="仿宋"/>
          <w:color w:val="000000"/>
          <w:sz w:val="32"/>
          <w:szCs w:val="32"/>
          <w:highlight w:val="none"/>
          <w:lang w:val="en-US" w:eastAsia="zh-CN"/>
        </w:rPr>
        <w:t>支出5万元，占0.40%；</w:t>
      </w:r>
      <w:r>
        <w:rPr>
          <w:rFonts w:hint="eastAsia" w:ascii="仿宋" w:hAnsi="仿宋" w:eastAsia="仿宋"/>
          <w:b/>
          <w:bCs/>
          <w:color w:val="000000"/>
          <w:sz w:val="32"/>
          <w:szCs w:val="32"/>
          <w:highlight w:val="none"/>
          <w:lang w:val="en-US" w:eastAsia="zh-CN"/>
        </w:rPr>
        <w:t>住房保障（类）</w:t>
      </w:r>
      <w:r>
        <w:rPr>
          <w:rFonts w:hint="eastAsia" w:ascii="仿宋" w:hAnsi="仿宋" w:eastAsia="仿宋"/>
          <w:color w:val="000000"/>
          <w:sz w:val="32"/>
          <w:szCs w:val="32"/>
          <w:highlight w:val="none"/>
        </w:rPr>
        <w:t>支出32.49万元，占</w:t>
      </w:r>
      <w:r>
        <w:rPr>
          <w:rFonts w:hint="eastAsia" w:ascii="仿宋" w:hAnsi="仿宋" w:eastAsia="仿宋"/>
          <w:color w:val="000000"/>
          <w:sz w:val="32"/>
          <w:szCs w:val="32"/>
          <w:highlight w:val="none"/>
          <w:lang w:val="en-US" w:eastAsia="zh-CN"/>
        </w:rPr>
        <w:t>2.63</w:t>
      </w:r>
      <w:r>
        <w:rPr>
          <w:rFonts w:ascii="仿宋" w:hAnsi="仿宋" w:eastAsia="仿宋"/>
          <w:color w:val="000000"/>
          <w:sz w:val="32"/>
          <w:szCs w:val="32"/>
          <w:highlight w:val="none"/>
        </w:rPr>
        <w:t>%</w:t>
      </w:r>
      <w:r>
        <w:rPr>
          <w:rFonts w:hint="eastAsia" w:ascii="仿宋" w:hAnsi="仿宋" w:eastAsia="仿宋"/>
          <w:color w:val="000000"/>
          <w:sz w:val="32"/>
          <w:szCs w:val="32"/>
          <w:highlight w:val="none"/>
          <w:lang w:eastAsia="zh-CN"/>
        </w:rPr>
        <w:t>。</w:t>
      </w:r>
    </w:p>
    <w:p>
      <w:pPr>
        <w:spacing w:line="600" w:lineRule="exact"/>
        <w:rPr>
          <w:rFonts w:hint="eastAsia" w:ascii="仿宋" w:hAnsi="仿宋" w:eastAsia="仿宋"/>
          <w:color w:val="000000"/>
          <w:sz w:val="32"/>
          <w:szCs w:val="32"/>
          <w:lang w:eastAsia="zh-CN"/>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lang w:eastAsia="zh-CN"/>
        </w:rPr>
        <w:drawing>
          <wp:anchor distT="0" distB="0" distL="114300" distR="114300" simplePos="0" relativeHeight="251665408" behindDoc="1" locked="0" layoutInCell="1" allowOverlap="1">
            <wp:simplePos x="0" y="0"/>
            <wp:positionH relativeFrom="column">
              <wp:posOffset>134620</wp:posOffset>
            </wp:positionH>
            <wp:positionV relativeFrom="paragraph">
              <wp:posOffset>34925</wp:posOffset>
            </wp:positionV>
            <wp:extent cx="5080000" cy="3810000"/>
            <wp:effectExtent l="4445" t="4445" r="20955" b="14605"/>
            <wp:wrapNone/>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rPr>
          <w:rFonts w:ascii="仿宋" w:hAnsi="仿宋" w:eastAsia="仿宋"/>
          <w:color w:val="000000"/>
          <w:sz w:val="32"/>
          <w:szCs w:val="32"/>
        </w:rPr>
      </w:pPr>
      <w:r>
        <w:rPr>
          <w:sz w:val="32"/>
        </w:rPr>
        <mc:AlternateContent>
          <mc:Choice Requires="wps">
            <w:drawing>
              <wp:anchor distT="0" distB="0" distL="114300" distR="114300" simplePos="0" relativeHeight="251678720" behindDoc="0" locked="0" layoutInCell="1" allowOverlap="1">
                <wp:simplePos x="0" y="0"/>
                <wp:positionH relativeFrom="column">
                  <wp:posOffset>4347845</wp:posOffset>
                </wp:positionH>
                <wp:positionV relativeFrom="paragraph">
                  <wp:posOffset>114300</wp:posOffset>
                </wp:positionV>
                <wp:extent cx="698500" cy="365125"/>
                <wp:effectExtent l="0" t="0" r="6350" b="15875"/>
                <wp:wrapNone/>
                <wp:docPr id="21" name="文本框 21"/>
                <wp:cNvGraphicFramePr/>
                <a:graphic xmlns:a="http://schemas.openxmlformats.org/drawingml/2006/main">
                  <a:graphicData uri="http://schemas.microsoft.com/office/word/2010/wordprocessingShape">
                    <wps:wsp>
                      <wps:cNvSpPr txBox="1"/>
                      <wps:spPr>
                        <a:xfrm>
                          <a:off x="0" y="0"/>
                          <a:ext cx="698500" cy="3651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35pt;margin-top:9pt;height:28.75pt;width:55pt;z-index:251678720;mso-width-relative:page;mso-height-relative:page;" fillcolor="#FFFFFF [3201]" filled="t" stroked="f" coordsize="21600,21600" o:gfxdata="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abzNN1AAAAAkBAAAPAAAAAAAA&#10;AAEAIAAAACIAAABkcnMvZG93bnJldi54bWxQSwECFAAUAAAACACHTuJAOtL/Zk8CAACQBAAADgAA&#10;AAAAAAABACAAAAAjAQAAZHJzL2Uyb0RvYy54bWxQSwUGAAAAAAYABgBZAQAA5AUAAAAA&#10;">
                <v:fill on="t" focussize="0,0"/>
                <v:stroke on="f" weight="0.5pt"/>
                <v:imagedata o:title=""/>
                <o:lock v:ext="edit" aspectratio="f"/>
                <v:textbox>
                  <w:txbxContent>
                    <w:p>
                      <w:pP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单位：万元</w:t>
                      </w:r>
                    </w:p>
                  </w:txbxContent>
                </v:textbox>
              </v:shape>
            </w:pict>
          </mc:Fallback>
        </mc:AlternateContent>
      </w:r>
      <w:r>
        <w:rPr>
          <w:sz w:val="32"/>
        </w:rPr>
        <mc:AlternateContent>
          <mc:Choice Requires="wps">
            <w:drawing>
              <wp:anchor distT="0" distB="0" distL="114300" distR="114300" simplePos="0" relativeHeight="251667456" behindDoc="0" locked="0" layoutInCell="1" allowOverlap="1">
                <wp:simplePos x="0" y="0"/>
                <wp:positionH relativeFrom="column">
                  <wp:posOffset>2495550</wp:posOffset>
                </wp:positionH>
                <wp:positionV relativeFrom="paragraph">
                  <wp:posOffset>5715</wp:posOffset>
                </wp:positionV>
                <wp:extent cx="484505" cy="260350"/>
                <wp:effectExtent l="0" t="0" r="10795" b="6350"/>
                <wp:wrapNone/>
                <wp:docPr id="12" name="文本框 12"/>
                <wp:cNvGraphicFramePr/>
                <a:graphic xmlns:a="http://schemas.openxmlformats.org/drawingml/2006/main">
                  <a:graphicData uri="http://schemas.microsoft.com/office/word/2010/wordprocessingShape">
                    <wps:wsp>
                      <wps:cNvSpPr txBox="1"/>
                      <wps:spPr>
                        <a:xfrm>
                          <a:off x="3750310" y="1456690"/>
                          <a:ext cx="484505" cy="2603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仿宋_GB2312"/>
                                <w:sz w:val="18"/>
                                <w:szCs w:val="18"/>
                                <w:lang w:val="en-US" w:eastAsia="zh-CN"/>
                              </w:rPr>
                            </w:pPr>
                            <w:r>
                              <w:rPr>
                                <w:rFonts w:hint="eastAsia"/>
                                <w:sz w:val="18"/>
                                <w:szCs w:val="18"/>
                                <w:lang w:val="en-US" w:eastAsia="zh-CN"/>
                              </w:rPr>
                              <w:t>32.49</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6.5pt;margin-top:0.45pt;height:20.5pt;width:38.15pt;z-index:251667456;mso-width-relative:page;mso-height-relative:page;" fillcolor="#FFFFFF [3201]" filled="t" stroked="f" coordsize="21600,21600" o:gfxdata="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tL8El1AAA&#10;AAcBAAAPAAAAAAAAAAEAIAAAACIAAABkcnMvZG93bnJldi54bWxQSwECFAAUAAAACACHTuJA7uQX&#10;sVsCAACcBAAADgAAAAAAAAABACAAAAAjAQAAZHJzL2Uyb0RvYy54bWxQSwUGAAAAAAYABgBZAQAA&#10;8AUAAAAA&#10;">
                <v:fill on="t" focussize="0,0"/>
                <v:stroke on="f" weight="0.5pt"/>
                <v:imagedata o:title=""/>
                <o:lock v:ext="edit" aspectratio="f"/>
                <v:textbox>
                  <w:txbxContent>
                    <w:p>
                      <w:pPr>
                        <w:rPr>
                          <w:rFonts w:hint="default" w:eastAsia="仿宋_GB2312"/>
                          <w:sz w:val="18"/>
                          <w:szCs w:val="18"/>
                          <w:lang w:val="en-US" w:eastAsia="zh-CN"/>
                        </w:rPr>
                      </w:pPr>
                      <w:r>
                        <w:rPr>
                          <w:rFonts w:hint="eastAsia"/>
                          <w:sz w:val="18"/>
                          <w:szCs w:val="18"/>
                          <w:lang w:val="en-US" w:eastAsia="zh-CN"/>
                        </w:rPr>
                        <w:t>32.49</w:t>
                      </w:r>
                    </w:p>
                  </w:txbxContent>
                </v:textbox>
              </v:shape>
            </w:pict>
          </mc:Fallback>
        </mc:AlternateContent>
      </w:r>
      <w:r>
        <w:rPr>
          <w:sz w:val="32"/>
        </w:rPr>
        <mc:AlternateContent>
          <mc:Choice Requires="wps">
            <w:drawing>
              <wp:anchor distT="0" distB="0" distL="114300" distR="114300" simplePos="0" relativeHeight="251666432" behindDoc="0" locked="0" layoutInCell="1" allowOverlap="1">
                <wp:simplePos x="0" y="0"/>
                <wp:positionH relativeFrom="column">
                  <wp:posOffset>2225675</wp:posOffset>
                </wp:positionH>
                <wp:positionV relativeFrom="paragraph">
                  <wp:posOffset>109220</wp:posOffset>
                </wp:positionV>
                <wp:extent cx="456565" cy="442595"/>
                <wp:effectExtent l="0" t="0" r="0" b="0"/>
                <wp:wrapNone/>
                <wp:docPr id="11" name="文本框 11"/>
                <wp:cNvGraphicFramePr/>
                <a:graphic xmlns:a="http://schemas.openxmlformats.org/drawingml/2006/main">
                  <a:graphicData uri="http://schemas.microsoft.com/office/word/2010/wordprocessingShape">
                    <wps:wsp>
                      <wps:cNvSpPr txBox="1"/>
                      <wps:spPr>
                        <a:xfrm>
                          <a:off x="3542665" y="1595755"/>
                          <a:ext cx="456565" cy="4425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仿宋_GB2312"/>
                                <w:sz w:val="18"/>
                                <w:szCs w:val="18"/>
                                <w:lang w:val="en-US" w:eastAsia="zh-CN"/>
                              </w:rPr>
                            </w:pPr>
                            <w:r>
                              <w:rPr>
                                <w:rFonts w:hint="eastAsia"/>
                                <w:sz w:val="18"/>
                                <w:szCs w:val="18"/>
                                <w:lang w:val="en-US" w:eastAsia="zh-CN"/>
                              </w:rPr>
                              <w:t>5</w:t>
                            </w:r>
                          </w:p>
                          <w:p>
                            <w:pPr>
                              <w:rPr>
                                <w:rFonts w:hint="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5.25pt;margin-top:8.6pt;height:34.85pt;width:35.95pt;z-index:251666432;mso-width-relative:page;mso-height-relative:page;" filled="f" stroked="f" coordsize="21600,21600" o:gfxdata="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M7o7fjaAAAACQEAAA8AAAAAAAAAAQAg&#10;AAAAIgAAAGRycy9kb3ducmV2LnhtbFBLAQIUABQAAAAIAIdO4kDZz6LkRQIAAHMEAAAOAAAAAAAA&#10;AAEAIAAAACkBAABkcnMvZTJvRG9jLnhtbFBLBQYAAAAABgAGAFkBAADgBQAAAAA=&#10;">
                <v:fill on="f" focussize="0,0"/>
                <v:stroke on="f" weight="0.5pt"/>
                <v:imagedata o:title=""/>
                <o:lock v:ext="edit" aspectratio="f"/>
                <v:textbox>
                  <w:txbxContent>
                    <w:p>
                      <w:pPr>
                        <w:rPr>
                          <w:rFonts w:hint="eastAsia" w:eastAsia="仿宋_GB2312"/>
                          <w:sz w:val="18"/>
                          <w:szCs w:val="18"/>
                          <w:lang w:val="en-US" w:eastAsia="zh-CN"/>
                        </w:rPr>
                      </w:pPr>
                      <w:r>
                        <w:rPr>
                          <w:rFonts w:hint="eastAsia"/>
                          <w:sz w:val="18"/>
                          <w:szCs w:val="18"/>
                          <w:lang w:val="en-US" w:eastAsia="zh-CN"/>
                        </w:rPr>
                        <w:t>5</w:t>
                      </w:r>
                    </w:p>
                    <w:p>
                      <w:pPr>
                        <w:rPr>
                          <w:rFonts w:hint="eastAsia"/>
                          <w:lang w:val="en-US" w:eastAsia="zh-CN"/>
                        </w:rPr>
                      </w:pPr>
                    </w:p>
                  </w:txbxContent>
                </v:textbox>
              </v:shape>
            </w:pict>
          </mc:Fallback>
        </mc:AlternateContent>
      </w:r>
      <w:r>
        <w:rPr>
          <w:sz w:val="32"/>
        </w:rPr>
        <mc:AlternateContent>
          <mc:Choice Requires="wps">
            <w:drawing>
              <wp:anchor distT="0" distB="0" distL="114300" distR="114300" simplePos="0" relativeHeight="251668480" behindDoc="0" locked="0" layoutInCell="1" allowOverlap="1">
                <wp:simplePos x="0" y="0"/>
                <wp:positionH relativeFrom="column">
                  <wp:posOffset>1490345</wp:posOffset>
                </wp:positionH>
                <wp:positionV relativeFrom="paragraph">
                  <wp:posOffset>358140</wp:posOffset>
                </wp:positionV>
                <wp:extent cx="553085" cy="287655"/>
                <wp:effectExtent l="142240" t="28575" r="141605" b="46990"/>
                <wp:wrapNone/>
                <wp:docPr id="13" name="文本框 13"/>
                <wp:cNvGraphicFramePr/>
                <a:graphic xmlns:a="http://schemas.openxmlformats.org/drawingml/2006/main">
                  <a:graphicData uri="http://schemas.microsoft.com/office/word/2010/wordprocessingShape">
                    <wps:wsp>
                      <wps:cNvSpPr txBox="1"/>
                      <wps:spPr>
                        <a:xfrm rot="18540000">
                          <a:off x="2711450" y="1731010"/>
                          <a:ext cx="553085" cy="28765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仿宋_GB2312"/>
                                <w:sz w:val="18"/>
                                <w:szCs w:val="18"/>
                                <w:lang w:val="en-US" w:eastAsia="zh-CN"/>
                              </w:rPr>
                            </w:pPr>
                            <w:r>
                              <w:rPr>
                                <w:rFonts w:hint="eastAsia"/>
                                <w:sz w:val="18"/>
                                <w:szCs w:val="18"/>
                                <w:lang w:val="en-US" w:eastAsia="zh-CN"/>
                              </w:rPr>
                              <w:t>334.866</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35pt;margin-top:28.2pt;height:22.65pt;width:43.55pt;rotation:-3342336f;z-index:251668480;mso-width-relative:page;mso-height-relative:page;" fillcolor="#FFFFFF [3201]" filled="t" stroked="f" coordsize="21600,21600" o:gfxdata="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Wjj4bYAAAACgEAAA8AAAAAAAAAAQAgAAAAIgAAAGRycy9kb3ducmV2LnhtbFBLAQIUABQA&#10;AAAIAIdO4kDt6Jk0YgIAAKsEAAAOAAAAAAAAAAEAIAAAACcBAABkcnMvZTJvRG9jLnhtbFBLBQYA&#10;AAAABgAGAFkBAAD7BQAAAAA=&#10;">
                <v:fill on="t" focussize="0,0"/>
                <v:stroke on="f" weight="0.5pt"/>
                <v:imagedata o:title=""/>
                <o:lock v:ext="edit" aspectratio="f"/>
                <v:textbox>
                  <w:txbxContent>
                    <w:p>
                      <w:pPr>
                        <w:rPr>
                          <w:rFonts w:hint="default" w:eastAsia="仿宋_GB2312"/>
                          <w:sz w:val="18"/>
                          <w:szCs w:val="18"/>
                          <w:lang w:val="en-US" w:eastAsia="zh-CN"/>
                        </w:rPr>
                      </w:pPr>
                      <w:r>
                        <w:rPr>
                          <w:rFonts w:hint="eastAsia"/>
                          <w:sz w:val="18"/>
                          <w:szCs w:val="18"/>
                          <w:lang w:val="en-US" w:eastAsia="zh-CN"/>
                        </w:rPr>
                        <w:t>334.866</w:t>
                      </w:r>
                    </w:p>
                  </w:txbxContent>
                </v:textbox>
              </v:shape>
            </w:pict>
          </mc:Fallback>
        </mc:AlternateContent>
      </w: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r>
        <w:rPr>
          <w:sz w:val="32"/>
        </w:rPr>
        <mc:AlternateContent>
          <mc:Choice Requires="wps">
            <w:drawing>
              <wp:anchor distT="0" distB="0" distL="114300" distR="114300" simplePos="0" relativeHeight="251669504" behindDoc="0" locked="0" layoutInCell="1" allowOverlap="1">
                <wp:simplePos x="0" y="0"/>
                <wp:positionH relativeFrom="column">
                  <wp:posOffset>1014730</wp:posOffset>
                </wp:positionH>
                <wp:positionV relativeFrom="paragraph">
                  <wp:posOffset>170815</wp:posOffset>
                </wp:positionV>
                <wp:extent cx="536575" cy="269875"/>
                <wp:effectExtent l="0" t="0" r="15875" b="15875"/>
                <wp:wrapNone/>
                <wp:docPr id="2" name="文本框 2"/>
                <wp:cNvGraphicFramePr/>
                <a:graphic xmlns:a="http://schemas.openxmlformats.org/drawingml/2006/main">
                  <a:graphicData uri="http://schemas.microsoft.com/office/word/2010/wordprocessingShape">
                    <wps:wsp>
                      <wps:cNvSpPr txBox="1"/>
                      <wps:spPr>
                        <a:xfrm>
                          <a:off x="2503170" y="3102610"/>
                          <a:ext cx="536575" cy="2698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仿宋_GB2312"/>
                                <w:sz w:val="18"/>
                                <w:szCs w:val="18"/>
                                <w:lang w:val="en-US" w:eastAsia="zh-CN"/>
                              </w:rPr>
                            </w:pPr>
                            <w:r>
                              <w:rPr>
                                <w:rFonts w:hint="eastAsia"/>
                                <w:sz w:val="18"/>
                                <w:szCs w:val="18"/>
                                <w:lang w:val="en-US" w:eastAsia="zh-CN"/>
                              </w:rPr>
                              <w:t>16.94</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9.9pt;margin-top:13.45pt;height:21.25pt;width:42.25pt;z-index:251669504;mso-width-relative:page;mso-height-relative:page;" fillcolor="#FFFFFF [3201]" filled="t" stroked="f" coordsize="21600,21600" o:gfxdata="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2Ngv21QAA&#10;AAkBAAAPAAAAAAAAAAEAIAAAACIAAABkcnMvZG93bnJldi54bWxQSwECFAAUAAAACACHTuJAL5Fz&#10;MVoCAACaBAAADgAAAAAAAAABACAAAAAkAQAAZHJzL2Uyb0RvYy54bWxQSwUGAAAAAAYABgBZAQAA&#10;8AUAAAAA&#10;">
                <v:fill on="t" focussize="0,0"/>
                <v:stroke on="f" weight="0.5pt"/>
                <v:imagedata o:title=""/>
                <o:lock v:ext="edit" aspectratio="f"/>
                <v:textbox>
                  <w:txbxContent>
                    <w:p>
                      <w:pPr>
                        <w:rPr>
                          <w:rFonts w:hint="default" w:eastAsia="仿宋_GB2312"/>
                          <w:sz w:val="18"/>
                          <w:szCs w:val="18"/>
                          <w:lang w:val="en-US" w:eastAsia="zh-CN"/>
                        </w:rPr>
                      </w:pPr>
                      <w:r>
                        <w:rPr>
                          <w:rFonts w:hint="eastAsia"/>
                          <w:sz w:val="18"/>
                          <w:szCs w:val="18"/>
                          <w:lang w:val="en-US" w:eastAsia="zh-CN"/>
                        </w:rPr>
                        <w:t>16.94</w:t>
                      </w:r>
                    </w:p>
                  </w:txbxContent>
                </v:textbox>
              </v:shape>
            </w:pict>
          </mc:Fallback>
        </mc:AlternateContent>
      </w:r>
    </w:p>
    <w:p>
      <w:pPr>
        <w:spacing w:line="600" w:lineRule="exact"/>
        <w:ind w:firstLine="640" w:firstLineChars="200"/>
        <w:rPr>
          <w:rFonts w:ascii="仿宋" w:hAnsi="仿宋" w:eastAsia="仿宋"/>
          <w:color w:val="000000"/>
          <w:sz w:val="32"/>
          <w:szCs w:val="32"/>
        </w:rPr>
      </w:pPr>
      <w:r>
        <w:rPr>
          <w:sz w:val="32"/>
        </w:rPr>
        <mc:AlternateContent>
          <mc:Choice Requires="wps">
            <w:drawing>
              <wp:anchor distT="0" distB="0" distL="114300" distR="114300" simplePos="0" relativeHeight="251671552" behindDoc="0" locked="0" layoutInCell="1" allowOverlap="1">
                <wp:simplePos x="0" y="0"/>
                <wp:positionH relativeFrom="column">
                  <wp:posOffset>1256665</wp:posOffset>
                </wp:positionH>
                <wp:positionV relativeFrom="paragraph">
                  <wp:posOffset>274955</wp:posOffset>
                </wp:positionV>
                <wp:extent cx="501015" cy="374650"/>
                <wp:effectExtent l="0" t="0" r="13335" b="6350"/>
                <wp:wrapNone/>
                <wp:docPr id="14" name="文本框 14"/>
                <wp:cNvGraphicFramePr/>
                <a:graphic xmlns:a="http://schemas.openxmlformats.org/drawingml/2006/main">
                  <a:graphicData uri="http://schemas.microsoft.com/office/word/2010/wordprocessingShape">
                    <wps:wsp>
                      <wps:cNvSpPr txBox="1"/>
                      <wps:spPr>
                        <a:xfrm>
                          <a:off x="2590165" y="3518535"/>
                          <a:ext cx="501015" cy="3746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仿宋_GB2312"/>
                                <w:sz w:val="18"/>
                                <w:szCs w:val="18"/>
                                <w:lang w:val="en-US" w:eastAsia="zh-CN"/>
                              </w:rPr>
                            </w:pPr>
                            <w:r>
                              <w:rPr>
                                <w:rFonts w:hint="eastAsia"/>
                                <w:sz w:val="18"/>
                                <w:szCs w:val="18"/>
                                <w:lang w:val="en-US" w:eastAsia="zh-CN"/>
                              </w:rPr>
                              <w:t>22.28</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95pt;margin-top:21.65pt;height:29.5pt;width:39.45pt;z-index:251671552;mso-width-relative:page;mso-height-relative:page;" fillcolor="#FFFFFF [3201]" filled="t" stroked="f" coordsize="21600,21600" o:gfxdata="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FtZ+1DV&#10;AAAACgEAAA8AAAAAAAAAAQAgAAAAIgAAAGRycy9kb3ducmV2LnhtbFBLAQIUABQAAAAIAIdO4kDt&#10;2fz0XAIAAJwEAAAOAAAAAAAAAAEAIAAAACQBAABkcnMvZTJvRG9jLnhtbFBLBQYAAAAABgAGAFkB&#10;AADyBQAAAAA=&#10;">
                <v:fill on="t" focussize="0,0"/>
                <v:stroke on="f" weight="0.5pt"/>
                <v:imagedata o:title=""/>
                <o:lock v:ext="edit" aspectratio="f"/>
                <v:textbox>
                  <w:txbxContent>
                    <w:p>
                      <w:pPr>
                        <w:rPr>
                          <w:rFonts w:hint="default" w:eastAsia="仿宋_GB2312"/>
                          <w:sz w:val="18"/>
                          <w:szCs w:val="18"/>
                          <w:lang w:val="en-US" w:eastAsia="zh-CN"/>
                        </w:rPr>
                      </w:pPr>
                      <w:r>
                        <w:rPr>
                          <w:rFonts w:hint="eastAsia"/>
                          <w:sz w:val="18"/>
                          <w:szCs w:val="18"/>
                          <w:lang w:val="en-US" w:eastAsia="zh-CN"/>
                        </w:rPr>
                        <w:t>22.28</w:t>
                      </w:r>
                    </w:p>
                  </w:txbxContent>
                </v:textbox>
              </v:shape>
            </w:pict>
          </mc:Fallback>
        </mc:AlternateContent>
      </w:r>
      <w:r>
        <w:rPr>
          <w:sz w:val="32"/>
        </w:rPr>
        <mc:AlternateContent>
          <mc:Choice Requires="wps">
            <w:drawing>
              <wp:anchor distT="0" distB="0" distL="114300" distR="114300" simplePos="0" relativeHeight="251670528" behindDoc="0" locked="0" layoutInCell="1" allowOverlap="1">
                <wp:simplePos x="0" y="0"/>
                <wp:positionH relativeFrom="column">
                  <wp:posOffset>1212215</wp:posOffset>
                </wp:positionH>
                <wp:positionV relativeFrom="paragraph">
                  <wp:posOffset>13970</wp:posOffset>
                </wp:positionV>
                <wp:extent cx="356870" cy="285750"/>
                <wp:effectExtent l="0" t="0" r="5080" b="0"/>
                <wp:wrapNone/>
                <wp:docPr id="10" name="文本框 10"/>
                <wp:cNvGraphicFramePr/>
                <a:graphic xmlns:a="http://schemas.openxmlformats.org/drawingml/2006/main">
                  <a:graphicData uri="http://schemas.microsoft.com/office/word/2010/wordprocessingShape">
                    <wps:wsp>
                      <wps:cNvSpPr txBox="1"/>
                      <wps:spPr>
                        <a:xfrm>
                          <a:off x="2217420" y="3354070"/>
                          <a:ext cx="356870" cy="2857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仿宋_GB2312"/>
                                <w:sz w:val="18"/>
                                <w:szCs w:val="18"/>
                                <w:lang w:val="en-US" w:eastAsia="zh-CN"/>
                              </w:rPr>
                            </w:pPr>
                            <w:r>
                              <w:rPr>
                                <w:rFonts w:hint="eastAsia"/>
                                <w:sz w:val="18"/>
                                <w:szCs w:val="18"/>
                                <w:lang w:val="en-US" w:eastAsia="zh-CN"/>
                              </w:rPr>
                              <w:t>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5.45pt;margin-top:1.1pt;height:22.5pt;width:28.1pt;z-index:251670528;mso-width-relative:page;mso-height-relative:page;" fillcolor="#FFFFFF [3201]" filled="t" stroked="f" coordsize="21600,21600" o:gfxdata="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5SQtd9QAAAAI&#10;AQAADwAAAAAAAAABACAAAAAiAAAAZHJzL2Rvd25yZXYueG1sUEsBAhQAFAAAAAgAh07iQBz9V65Z&#10;AgAAnAQAAA4AAAAAAAAAAQAgAAAAIwEAAGRycy9lMm9Eb2MueG1sUEsFBgAAAAAGAAYAWQEAAO4F&#10;AAAAAA==&#10;">
                <v:fill on="t" focussize="0,0"/>
                <v:stroke on="f" weight="0.5pt"/>
                <v:imagedata o:title=""/>
                <o:lock v:ext="edit" aspectratio="f"/>
                <v:textbox>
                  <w:txbxContent>
                    <w:p>
                      <w:pPr>
                        <w:rPr>
                          <w:rFonts w:hint="default" w:eastAsia="仿宋_GB2312"/>
                          <w:sz w:val="18"/>
                          <w:szCs w:val="18"/>
                          <w:lang w:val="en-US" w:eastAsia="zh-CN"/>
                        </w:rPr>
                      </w:pPr>
                      <w:r>
                        <w:rPr>
                          <w:rFonts w:hint="eastAsia"/>
                          <w:sz w:val="18"/>
                          <w:szCs w:val="18"/>
                          <w:lang w:val="en-US" w:eastAsia="zh-CN"/>
                        </w:rPr>
                        <w:t>25</w:t>
                      </w:r>
                    </w:p>
                  </w:txbxContent>
                </v:textbox>
              </v:shape>
            </w:pict>
          </mc:Fallback>
        </mc:AlternateContent>
      </w:r>
    </w:p>
    <w:p>
      <w:pPr>
        <w:spacing w:line="600" w:lineRule="exact"/>
        <w:ind w:firstLine="640" w:firstLineChars="200"/>
        <w:outlineLvl w:val="2"/>
        <w:rPr>
          <w:rFonts w:hint="eastAsia" w:ascii="仿宋" w:hAnsi="仿宋" w:eastAsia="仿宋"/>
          <w:b/>
          <w:color w:val="000000"/>
          <w:sz w:val="32"/>
          <w:szCs w:val="32"/>
        </w:rPr>
      </w:pPr>
      <w:bookmarkStart w:id="35" w:name="_Toc15377212"/>
      <w:r>
        <w:rPr>
          <w:sz w:val="32"/>
        </w:rPr>
        <mc:AlternateContent>
          <mc:Choice Requires="wps">
            <w:drawing>
              <wp:anchor distT="0" distB="0" distL="114300" distR="114300" simplePos="0" relativeHeight="251672576" behindDoc="0" locked="0" layoutInCell="1" allowOverlap="1">
                <wp:simplePos x="0" y="0"/>
                <wp:positionH relativeFrom="column">
                  <wp:posOffset>1819910</wp:posOffset>
                </wp:positionH>
                <wp:positionV relativeFrom="paragraph">
                  <wp:posOffset>231775</wp:posOffset>
                </wp:positionV>
                <wp:extent cx="528320" cy="276860"/>
                <wp:effectExtent l="0" t="0" r="5080" b="8890"/>
                <wp:wrapNone/>
                <wp:docPr id="15" name="文本框 15"/>
                <wp:cNvGraphicFramePr/>
                <a:graphic xmlns:a="http://schemas.openxmlformats.org/drawingml/2006/main">
                  <a:graphicData uri="http://schemas.microsoft.com/office/word/2010/wordprocessingShape">
                    <wps:wsp>
                      <wps:cNvSpPr txBox="1"/>
                      <wps:spPr>
                        <a:xfrm>
                          <a:off x="2962275" y="3726180"/>
                          <a:ext cx="528320" cy="27686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仿宋_GB2312"/>
                                <w:sz w:val="18"/>
                                <w:szCs w:val="18"/>
                                <w:lang w:val="en-US" w:eastAsia="zh-CN"/>
                              </w:rPr>
                            </w:pPr>
                            <w:r>
                              <w:rPr>
                                <w:rFonts w:hint="eastAsia"/>
                                <w:sz w:val="18"/>
                                <w:szCs w:val="18"/>
                                <w:lang w:val="en-US" w:eastAsia="zh-CN"/>
                              </w:rPr>
                              <w:t>217.72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3.3pt;margin-top:18.25pt;height:21.8pt;width:41.6pt;z-index:251672576;mso-width-relative:page;mso-height-relative:page;" fillcolor="#FFFFFF [3201]" filled="t" stroked="f" coordsize="21600,21600" o:gfxdata="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s66O5&#10;1QAAAAkBAAAPAAAAAAAAAAEAIAAAACIAAABkcnMvZG93bnJldi54bWxQSwECFAAUAAAACACHTuJA&#10;GaxT9l0CAACcBAAADgAAAAAAAAABACAAAAAkAQAAZHJzL2Uyb0RvYy54bWxQSwUGAAAAAAYABgBZ&#10;AQAA8wUAAAAA&#10;">
                <v:fill on="t" focussize="0,0"/>
                <v:stroke on="f" weight="0.5pt"/>
                <v:imagedata o:title=""/>
                <o:lock v:ext="edit" aspectratio="f"/>
                <v:textbox>
                  <w:txbxContent>
                    <w:p>
                      <w:pPr>
                        <w:rPr>
                          <w:rFonts w:hint="default" w:eastAsia="仿宋_GB2312"/>
                          <w:sz w:val="18"/>
                          <w:szCs w:val="18"/>
                          <w:lang w:val="en-US" w:eastAsia="zh-CN"/>
                        </w:rPr>
                      </w:pPr>
                      <w:r>
                        <w:rPr>
                          <w:rFonts w:hint="eastAsia"/>
                          <w:sz w:val="18"/>
                          <w:szCs w:val="18"/>
                          <w:lang w:val="en-US" w:eastAsia="zh-CN"/>
                        </w:rPr>
                        <w:t>217.72</w:t>
                      </w:r>
                    </w:p>
                  </w:txbxContent>
                </v:textbox>
              </v:shape>
            </w:pict>
          </mc:Fallback>
        </mc:AlternateContent>
      </w:r>
    </w:p>
    <w:p>
      <w:pPr>
        <w:spacing w:line="600" w:lineRule="exact"/>
        <w:ind w:firstLine="643" w:firstLineChars="200"/>
        <w:outlineLvl w:val="2"/>
        <w:rPr>
          <w:rFonts w:hint="eastAsia" w:ascii="仿宋" w:hAnsi="仿宋" w:eastAsia="仿宋"/>
          <w:b/>
          <w:color w:val="000000"/>
          <w:sz w:val="32"/>
          <w:szCs w:val="32"/>
        </w:rPr>
      </w:pPr>
    </w:p>
    <w:p>
      <w:pPr>
        <w:spacing w:line="600" w:lineRule="exact"/>
        <w:ind w:firstLine="643" w:firstLineChars="200"/>
        <w:outlineLvl w:val="2"/>
        <w:rPr>
          <w:rFonts w:hint="eastAsia" w:ascii="仿宋" w:hAnsi="仿宋" w:eastAsia="仿宋"/>
          <w:b/>
          <w:color w:val="000000"/>
          <w:sz w:val="32"/>
          <w:szCs w:val="32"/>
        </w:rPr>
      </w:pPr>
    </w:p>
    <w:p>
      <w:pPr>
        <w:spacing w:line="600" w:lineRule="exact"/>
        <w:jc w:val="center"/>
        <w:rPr>
          <w:rFonts w:hint="eastAsia" w:ascii="仿宋" w:hAnsi="仿宋" w:eastAsia="仿宋"/>
          <w:color w:val="000000"/>
          <w:sz w:val="32"/>
          <w:szCs w:val="32"/>
          <w:highlight w:val="none"/>
        </w:rPr>
      </w:pPr>
      <w:r>
        <w:rPr>
          <w:rFonts w:hint="eastAsia" w:ascii="仿宋" w:hAnsi="仿宋" w:eastAsia="仿宋"/>
          <w:color w:val="000000"/>
          <w:sz w:val="32"/>
          <w:szCs w:val="32"/>
          <w:highlight w:val="none"/>
        </w:rPr>
        <w:t>（图</w:t>
      </w:r>
      <w:r>
        <w:rPr>
          <w:rFonts w:ascii="仿宋" w:hAnsi="仿宋" w:eastAsia="仿宋"/>
          <w:color w:val="000000"/>
          <w:sz w:val="32"/>
          <w:szCs w:val="32"/>
          <w:highlight w:val="none"/>
        </w:rPr>
        <w:t>6</w:t>
      </w:r>
      <w:r>
        <w:rPr>
          <w:rFonts w:hint="eastAsia" w:ascii="仿宋" w:hAnsi="仿宋" w:eastAsia="仿宋"/>
          <w:color w:val="000000"/>
          <w:sz w:val="32"/>
          <w:szCs w:val="32"/>
          <w:highlight w:val="none"/>
        </w:rPr>
        <w:t>：一般公共预算财政拨款支出决算结构）</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仿宋" w:hAnsi="仿宋" w:eastAsia="仿宋"/>
          <w:b/>
          <w:color w:val="000000"/>
          <w:sz w:val="32"/>
          <w:szCs w:val="32"/>
        </w:rPr>
      </w:pPr>
      <w:r>
        <w:rPr>
          <w:rFonts w:hint="eastAsia" w:ascii="仿宋" w:hAnsi="仿宋" w:eastAsia="仿宋"/>
          <w:b/>
          <w:color w:val="000000"/>
          <w:sz w:val="32"/>
          <w:szCs w:val="32"/>
        </w:rPr>
        <w:t>（三）一般公共预算财政拨款支出决算具体情况</w:t>
      </w:r>
      <w:bookmarkEnd w:id="35"/>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9"/>
        <w:rPr>
          <w:rStyle w:val="11"/>
          <w:rFonts w:hint="eastAsia" w:ascii="仿宋" w:hAnsi="仿宋" w:eastAsia="仿宋" w:cs="仿宋"/>
          <w:bCs/>
          <w:color w:val="000000"/>
          <w:sz w:val="32"/>
          <w:szCs w:val="32"/>
        </w:rPr>
      </w:pPr>
      <w:bookmarkStart w:id="36" w:name="_Toc15377213"/>
      <w:bookmarkStart w:id="37" w:name="_Toc15377444"/>
      <w:bookmarkStart w:id="38" w:name="_Toc15378460"/>
      <w:r>
        <w:rPr>
          <w:rFonts w:hint="eastAsia" w:ascii="仿宋" w:hAnsi="仿宋" w:eastAsia="仿宋" w:cs="仿宋"/>
          <w:b/>
          <w:color w:val="000000"/>
          <w:sz w:val="32"/>
          <w:szCs w:val="32"/>
        </w:rPr>
        <w:t>2020年一般公共预算支出决算数为</w:t>
      </w:r>
      <w:r>
        <w:rPr>
          <w:rFonts w:hint="eastAsia" w:ascii="仿宋" w:hAnsi="仿宋" w:eastAsia="仿宋" w:cs="仿宋"/>
          <w:b/>
          <w:color w:val="000000"/>
          <w:sz w:val="32"/>
          <w:szCs w:val="32"/>
          <w:lang w:val="en-US" w:eastAsia="zh-CN"/>
        </w:rPr>
        <w:t>1236.55万元</w:t>
      </w:r>
      <w:r>
        <w:rPr>
          <w:rFonts w:hint="eastAsia" w:ascii="仿宋" w:hAnsi="仿宋" w:eastAsia="仿宋" w:cs="仿宋"/>
          <w:color w:val="000000"/>
          <w:sz w:val="32"/>
          <w:szCs w:val="32"/>
        </w:rPr>
        <w:t>，</w:t>
      </w:r>
      <w:r>
        <w:rPr>
          <w:rStyle w:val="11"/>
          <w:rFonts w:hint="eastAsia" w:ascii="仿宋" w:hAnsi="仿宋" w:eastAsia="仿宋" w:cs="仿宋"/>
          <w:bCs/>
          <w:color w:val="000000"/>
          <w:sz w:val="32"/>
          <w:szCs w:val="32"/>
        </w:rPr>
        <w:t>完成预算</w:t>
      </w:r>
      <w:r>
        <w:rPr>
          <w:rStyle w:val="11"/>
          <w:rFonts w:hint="eastAsia" w:ascii="仿宋" w:hAnsi="仿宋" w:eastAsia="仿宋" w:cs="仿宋"/>
          <w:bCs/>
          <w:color w:val="000000"/>
          <w:sz w:val="32"/>
          <w:szCs w:val="32"/>
          <w:lang w:val="en-US" w:eastAsia="zh-CN"/>
        </w:rPr>
        <w:t>100</w:t>
      </w:r>
      <w:r>
        <w:rPr>
          <w:rStyle w:val="11"/>
          <w:rFonts w:hint="eastAsia" w:ascii="仿宋" w:hAnsi="仿宋" w:eastAsia="仿宋" w:cs="仿宋"/>
          <w:bCs/>
          <w:color w:val="000000"/>
          <w:sz w:val="32"/>
          <w:szCs w:val="32"/>
        </w:rPr>
        <w:t>%。其中：</w:t>
      </w:r>
      <w:bookmarkEnd w:id="36"/>
      <w:bookmarkEnd w:id="37"/>
      <w:bookmarkEnd w:id="38"/>
    </w:p>
    <w:p>
      <w:pPr>
        <w:spacing w:line="600" w:lineRule="exact"/>
        <w:ind w:firstLine="643" w:firstLineChars="200"/>
        <w:outlineLvl w:val="9"/>
        <w:rPr>
          <w:rFonts w:hint="eastAsia" w:ascii="仿宋" w:hAnsi="仿宋" w:eastAsia="仿宋" w:cs="仿宋"/>
          <w:b/>
          <w:color w:val="000000"/>
          <w:sz w:val="32"/>
          <w:szCs w:val="32"/>
        </w:rPr>
      </w:pPr>
      <w:r>
        <w:rPr>
          <w:rStyle w:val="11"/>
          <w:rFonts w:hint="eastAsia" w:ascii="仿宋" w:hAnsi="仿宋" w:eastAsia="仿宋" w:cs="仿宋"/>
          <w:bCs/>
          <w:color w:val="000000"/>
          <w:sz w:val="32"/>
          <w:szCs w:val="32"/>
          <w:lang w:val="en-US" w:eastAsia="zh-CN"/>
        </w:rPr>
        <w:t>1.</w:t>
      </w:r>
      <w:r>
        <w:rPr>
          <w:rStyle w:val="11"/>
          <w:rFonts w:hint="eastAsia" w:ascii="仿宋" w:hAnsi="仿宋" w:eastAsia="仿宋" w:cs="仿宋"/>
          <w:bCs/>
          <w:color w:val="000000"/>
          <w:sz w:val="32"/>
          <w:szCs w:val="32"/>
        </w:rPr>
        <w:t>一般公共服务（类）</w:t>
      </w:r>
      <w:r>
        <w:rPr>
          <w:rStyle w:val="11"/>
          <w:rFonts w:hint="eastAsia" w:ascii="仿宋" w:hAnsi="仿宋" w:eastAsia="仿宋" w:cs="仿宋"/>
          <w:bCs/>
          <w:color w:val="000000"/>
          <w:sz w:val="32"/>
          <w:szCs w:val="32"/>
          <w:lang w:val="en-US" w:eastAsia="zh-CN"/>
        </w:rPr>
        <w:t>人大事务</w:t>
      </w:r>
      <w:r>
        <w:rPr>
          <w:rStyle w:val="11"/>
          <w:rFonts w:hint="eastAsia" w:ascii="仿宋" w:hAnsi="仿宋" w:eastAsia="仿宋" w:cs="仿宋"/>
          <w:bCs/>
          <w:color w:val="000000"/>
          <w:sz w:val="32"/>
          <w:szCs w:val="32"/>
        </w:rPr>
        <w:t>（款）</w:t>
      </w:r>
      <w:r>
        <w:rPr>
          <w:rStyle w:val="11"/>
          <w:rFonts w:hint="eastAsia" w:ascii="仿宋" w:hAnsi="仿宋" w:eastAsia="仿宋" w:cs="仿宋"/>
          <w:bCs/>
          <w:color w:val="000000"/>
          <w:sz w:val="32"/>
          <w:szCs w:val="32"/>
          <w:lang w:val="en-US" w:eastAsia="zh-CN"/>
        </w:rPr>
        <w:t>人大会议</w:t>
      </w:r>
      <w:r>
        <w:rPr>
          <w:rStyle w:val="11"/>
          <w:rFonts w:hint="eastAsia" w:ascii="仿宋" w:hAnsi="仿宋" w:eastAsia="仿宋" w:cs="仿宋"/>
          <w:bCs/>
          <w:color w:val="000000"/>
          <w:sz w:val="32"/>
          <w:szCs w:val="32"/>
        </w:rPr>
        <w:t>（项）:</w:t>
      </w:r>
      <w:r>
        <w:rPr>
          <w:rStyle w:val="11"/>
          <w:rFonts w:hint="eastAsia" w:ascii="仿宋" w:hAnsi="仿宋" w:eastAsia="仿宋" w:cs="仿宋"/>
          <w:b w:val="0"/>
          <w:bCs/>
          <w:color w:val="000000"/>
          <w:sz w:val="32"/>
          <w:szCs w:val="32"/>
        </w:rPr>
        <w:t xml:space="preserve"> 支出决算为</w:t>
      </w:r>
      <w:r>
        <w:rPr>
          <w:rStyle w:val="11"/>
          <w:rFonts w:hint="eastAsia" w:ascii="仿宋" w:hAnsi="仿宋" w:eastAsia="仿宋" w:cs="仿宋"/>
          <w:b w:val="0"/>
          <w:bCs/>
          <w:color w:val="000000"/>
          <w:sz w:val="32"/>
          <w:szCs w:val="32"/>
          <w:lang w:val="en-US" w:eastAsia="zh-CN"/>
        </w:rPr>
        <w:t>9</w:t>
      </w:r>
      <w:r>
        <w:rPr>
          <w:rStyle w:val="11"/>
          <w:rFonts w:hint="eastAsia" w:ascii="仿宋" w:hAnsi="仿宋" w:eastAsia="仿宋" w:cs="仿宋"/>
          <w:b w:val="0"/>
          <w:bCs/>
          <w:color w:val="000000"/>
          <w:sz w:val="32"/>
          <w:szCs w:val="32"/>
        </w:rPr>
        <w:t>万元，</w:t>
      </w:r>
      <w:r>
        <w:rPr>
          <w:rStyle w:val="11"/>
          <w:rFonts w:hint="eastAsia" w:ascii="仿宋" w:hAnsi="仿宋" w:eastAsia="仿宋" w:cs="仿宋"/>
          <w:b w:val="0"/>
          <w:bCs/>
          <w:color w:val="000000"/>
          <w:sz w:val="32"/>
          <w:szCs w:val="32"/>
          <w:highlight w:val="none"/>
        </w:rPr>
        <w:t>完成预算</w:t>
      </w:r>
      <w:r>
        <w:rPr>
          <w:rStyle w:val="11"/>
          <w:rFonts w:hint="eastAsia" w:ascii="仿宋" w:hAnsi="仿宋" w:eastAsia="仿宋" w:cs="仿宋"/>
          <w:b w:val="0"/>
          <w:bCs/>
          <w:color w:val="000000"/>
          <w:sz w:val="32"/>
          <w:szCs w:val="32"/>
          <w:highlight w:val="none"/>
          <w:lang w:val="en-US" w:eastAsia="zh-CN"/>
        </w:rPr>
        <w:t>100</w:t>
      </w:r>
      <w:r>
        <w:rPr>
          <w:rStyle w:val="11"/>
          <w:rFonts w:hint="eastAsia" w:ascii="仿宋" w:hAnsi="仿宋" w:eastAsia="仿宋" w:cs="仿宋"/>
          <w:b w:val="0"/>
          <w:bCs/>
          <w:color w:val="000000"/>
          <w:sz w:val="32"/>
          <w:szCs w:val="32"/>
          <w:highlight w:val="none"/>
        </w:rPr>
        <w:t>%，决算数等于预算数。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Cs/>
          <w:color w:val="000000"/>
          <w:sz w:val="32"/>
          <w:szCs w:val="32"/>
        </w:rPr>
        <w:t>2.一般公共服务（类）政府办公厅（室）及相关机构事务（款）行政运行（项）</w:t>
      </w:r>
      <w:r>
        <w:rPr>
          <w:rStyle w:val="11"/>
          <w:rFonts w:hint="eastAsia" w:ascii="仿宋" w:hAnsi="仿宋" w:eastAsia="仿宋" w:cs="仿宋"/>
          <w:bCs/>
          <w:color w:val="000000"/>
          <w:sz w:val="32"/>
          <w:szCs w:val="32"/>
          <w:lang w:eastAsia="zh-CN"/>
        </w:rPr>
        <w:t>：</w:t>
      </w:r>
      <w:r>
        <w:rPr>
          <w:rStyle w:val="11"/>
          <w:rFonts w:hint="eastAsia" w:ascii="仿宋" w:hAnsi="仿宋" w:eastAsia="仿宋" w:cs="仿宋"/>
          <w:b w:val="0"/>
          <w:bCs/>
          <w:color w:val="000000"/>
          <w:sz w:val="32"/>
          <w:szCs w:val="32"/>
          <w:lang w:val="en-US" w:eastAsia="zh-CN"/>
        </w:rPr>
        <w:t>支出决算为476.76万元，完成预算100%，决算数等于预算数。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rPr>
      </w:pPr>
      <w:r>
        <w:rPr>
          <w:rStyle w:val="11"/>
          <w:rFonts w:hint="eastAsia" w:ascii="仿宋" w:hAnsi="仿宋" w:eastAsia="仿宋" w:cs="仿宋"/>
          <w:b/>
          <w:bCs w:val="0"/>
          <w:color w:val="000000"/>
          <w:sz w:val="32"/>
          <w:szCs w:val="32"/>
          <w:lang w:val="en-US" w:eastAsia="zh-CN"/>
        </w:rPr>
        <w:t>3.</w:t>
      </w:r>
      <w:r>
        <w:rPr>
          <w:rStyle w:val="11"/>
          <w:rFonts w:hint="eastAsia" w:ascii="仿宋" w:hAnsi="仿宋" w:eastAsia="仿宋" w:cs="仿宋"/>
          <w:bCs/>
          <w:color w:val="000000"/>
          <w:sz w:val="32"/>
          <w:szCs w:val="32"/>
        </w:rPr>
        <w:t>一般公共服务（类）政府办公厅（室）及相关机构事务（款）</w:t>
      </w:r>
      <w:r>
        <w:rPr>
          <w:rStyle w:val="11"/>
          <w:rFonts w:hint="eastAsia" w:ascii="仿宋" w:hAnsi="仿宋" w:eastAsia="仿宋" w:cs="仿宋"/>
          <w:bCs/>
          <w:color w:val="000000"/>
          <w:sz w:val="32"/>
          <w:szCs w:val="32"/>
          <w:lang w:val="en-US" w:eastAsia="zh-CN"/>
        </w:rPr>
        <w:t>事业运行</w:t>
      </w:r>
      <w:r>
        <w:rPr>
          <w:rStyle w:val="11"/>
          <w:rFonts w:hint="eastAsia" w:ascii="仿宋" w:hAnsi="仿宋" w:eastAsia="仿宋" w:cs="仿宋"/>
          <w:bCs/>
          <w:color w:val="000000"/>
          <w:sz w:val="32"/>
          <w:szCs w:val="32"/>
        </w:rPr>
        <w:t>（项）</w:t>
      </w:r>
      <w:r>
        <w:rPr>
          <w:rStyle w:val="11"/>
          <w:rFonts w:hint="eastAsia" w:ascii="仿宋" w:hAnsi="仿宋" w:eastAsia="仿宋" w:cs="仿宋"/>
          <w:b w:val="0"/>
          <w:bCs/>
          <w:color w:val="000000"/>
          <w:sz w:val="32"/>
          <w:szCs w:val="32"/>
        </w:rPr>
        <w:t>支出决算为</w:t>
      </w:r>
      <w:r>
        <w:rPr>
          <w:rStyle w:val="11"/>
          <w:rFonts w:hint="eastAsia" w:ascii="仿宋" w:hAnsi="仿宋" w:eastAsia="仿宋" w:cs="仿宋"/>
          <w:b w:val="0"/>
          <w:bCs/>
          <w:color w:val="000000"/>
          <w:sz w:val="32"/>
          <w:szCs w:val="32"/>
          <w:lang w:val="en-US" w:eastAsia="zh-CN"/>
        </w:rPr>
        <w:t>42.57</w:t>
      </w:r>
      <w:r>
        <w:rPr>
          <w:rStyle w:val="11"/>
          <w:rFonts w:hint="eastAsia" w:ascii="仿宋" w:hAnsi="仿宋" w:eastAsia="仿宋" w:cs="仿宋"/>
          <w:b w:val="0"/>
          <w:bCs/>
          <w:color w:val="000000"/>
          <w:sz w:val="32"/>
          <w:szCs w:val="32"/>
        </w:rPr>
        <w:t>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4.</w:t>
      </w:r>
      <w:r>
        <w:rPr>
          <w:rStyle w:val="11"/>
          <w:rFonts w:hint="eastAsia" w:ascii="仿宋" w:hAnsi="仿宋" w:eastAsia="仿宋" w:cs="仿宋"/>
          <w:bCs/>
          <w:color w:val="000000"/>
          <w:sz w:val="32"/>
          <w:szCs w:val="32"/>
        </w:rPr>
        <w:t>一般公共服务（类）政府办公厅（室）及相关机构事务（款）其他政府办公厅（室）及相关机构事务支出（项）</w:t>
      </w:r>
      <w:r>
        <w:rPr>
          <w:rStyle w:val="11"/>
          <w:rFonts w:hint="eastAsia" w:ascii="仿宋" w:hAnsi="仿宋" w:eastAsia="仿宋" w:cs="仿宋"/>
          <w:b w:val="0"/>
          <w:bCs/>
          <w:color w:val="000000"/>
          <w:sz w:val="32"/>
          <w:szCs w:val="32"/>
          <w:lang w:val="en-US" w:eastAsia="zh-CN"/>
        </w:rPr>
        <w:t>支出决算为53.93万元，完成预算100%，决算数等于预算数。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5.</w:t>
      </w:r>
      <w:r>
        <w:rPr>
          <w:rStyle w:val="11"/>
          <w:rFonts w:hint="eastAsia" w:ascii="仿宋" w:hAnsi="仿宋" w:eastAsia="仿宋" w:cs="仿宋"/>
          <w:bCs/>
          <w:color w:val="000000"/>
          <w:sz w:val="32"/>
          <w:szCs w:val="32"/>
        </w:rPr>
        <w:t>社会保障和就业支出（类）民政管理事务（款）基层政权</w:t>
      </w:r>
      <w:r>
        <w:rPr>
          <w:rStyle w:val="11"/>
          <w:rFonts w:hint="eastAsia" w:ascii="仿宋" w:hAnsi="仿宋" w:eastAsia="仿宋" w:cs="仿宋"/>
          <w:bCs/>
          <w:color w:val="000000"/>
          <w:sz w:val="32"/>
          <w:szCs w:val="32"/>
          <w:lang w:val="en-US" w:eastAsia="zh-CN"/>
        </w:rPr>
        <w:t>建设</w:t>
      </w:r>
      <w:r>
        <w:rPr>
          <w:rStyle w:val="11"/>
          <w:rFonts w:hint="eastAsia" w:ascii="仿宋" w:hAnsi="仿宋" w:eastAsia="仿宋" w:cs="仿宋"/>
          <w:bCs/>
          <w:color w:val="000000"/>
          <w:sz w:val="32"/>
          <w:szCs w:val="32"/>
        </w:rPr>
        <w:t>和社区</w:t>
      </w:r>
      <w:r>
        <w:rPr>
          <w:rStyle w:val="11"/>
          <w:rFonts w:hint="eastAsia" w:ascii="仿宋" w:hAnsi="仿宋" w:eastAsia="仿宋" w:cs="仿宋"/>
          <w:bCs/>
          <w:color w:val="000000"/>
          <w:sz w:val="32"/>
          <w:szCs w:val="32"/>
          <w:lang w:val="en-US" w:eastAsia="zh-CN"/>
        </w:rPr>
        <w:t>治理</w:t>
      </w:r>
      <w:r>
        <w:rPr>
          <w:rStyle w:val="11"/>
          <w:rFonts w:hint="eastAsia" w:ascii="仿宋" w:hAnsi="仿宋" w:eastAsia="仿宋" w:cs="仿宋"/>
          <w:bCs/>
          <w:color w:val="000000"/>
          <w:sz w:val="32"/>
          <w:szCs w:val="32"/>
        </w:rPr>
        <w:t>（项）</w:t>
      </w:r>
      <w:r>
        <w:rPr>
          <w:rStyle w:val="11"/>
          <w:rFonts w:hint="eastAsia" w:ascii="仿宋" w:hAnsi="仿宋" w:eastAsia="仿宋" w:cs="仿宋"/>
          <w:b w:val="0"/>
          <w:bCs/>
          <w:color w:val="000000"/>
          <w:sz w:val="32"/>
          <w:szCs w:val="32"/>
          <w:lang w:val="en-US" w:eastAsia="zh-CN"/>
        </w:rPr>
        <w:t>支出决算为122.35万元，完成预算100%，决算数等于预算数。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6.</w:t>
      </w:r>
      <w:r>
        <w:rPr>
          <w:rStyle w:val="11"/>
          <w:rFonts w:hint="eastAsia" w:ascii="仿宋" w:hAnsi="仿宋" w:eastAsia="仿宋" w:cs="仿宋"/>
          <w:bCs/>
          <w:color w:val="000000"/>
          <w:sz w:val="32"/>
          <w:szCs w:val="32"/>
        </w:rPr>
        <w:t>社会保障和就业支出（类）行政事业单位</w:t>
      </w:r>
      <w:r>
        <w:rPr>
          <w:rStyle w:val="11"/>
          <w:rFonts w:hint="eastAsia" w:ascii="仿宋" w:hAnsi="仿宋" w:eastAsia="仿宋" w:cs="仿宋"/>
          <w:bCs/>
          <w:color w:val="000000"/>
          <w:sz w:val="32"/>
          <w:szCs w:val="32"/>
          <w:lang w:val="en-US" w:eastAsia="zh-CN"/>
        </w:rPr>
        <w:t>养老支出</w:t>
      </w:r>
      <w:r>
        <w:rPr>
          <w:rStyle w:val="11"/>
          <w:rFonts w:hint="eastAsia" w:ascii="仿宋" w:hAnsi="仿宋" w:eastAsia="仿宋" w:cs="仿宋"/>
          <w:bCs/>
          <w:color w:val="000000"/>
          <w:sz w:val="32"/>
          <w:szCs w:val="32"/>
        </w:rPr>
        <w:t>（款）行政单位离退休（项）</w:t>
      </w:r>
      <w:r>
        <w:rPr>
          <w:rStyle w:val="11"/>
          <w:rFonts w:hint="eastAsia" w:ascii="仿宋" w:hAnsi="仿宋" w:eastAsia="仿宋" w:cs="仿宋"/>
          <w:b w:val="0"/>
          <w:bCs/>
          <w:color w:val="000000"/>
          <w:sz w:val="32"/>
          <w:szCs w:val="32"/>
          <w:lang w:val="en-US" w:eastAsia="zh-CN"/>
        </w:rPr>
        <w:t>支出决算为42.70万元，完成预算100%，决算数等于预算数。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7.</w:t>
      </w:r>
      <w:r>
        <w:rPr>
          <w:rStyle w:val="11"/>
          <w:rFonts w:hint="eastAsia" w:ascii="仿宋" w:hAnsi="仿宋" w:eastAsia="仿宋" w:cs="仿宋"/>
          <w:bCs/>
          <w:color w:val="000000"/>
          <w:sz w:val="32"/>
          <w:szCs w:val="32"/>
        </w:rPr>
        <w:t>社会保障和就业支出（类）行政事业单位</w:t>
      </w:r>
      <w:r>
        <w:rPr>
          <w:rStyle w:val="11"/>
          <w:rFonts w:hint="eastAsia" w:ascii="仿宋" w:hAnsi="仿宋" w:eastAsia="仿宋" w:cs="仿宋"/>
          <w:bCs/>
          <w:color w:val="000000"/>
          <w:sz w:val="32"/>
          <w:szCs w:val="32"/>
          <w:lang w:val="en-US" w:eastAsia="zh-CN"/>
        </w:rPr>
        <w:t>养老支出</w:t>
      </w:r>
      <w:r>
        <w:rPr>
          <w:rStyle w:val="11"/>
          <w:rFonts w:hint="eastAsia" w:ascii="仿宋" w:hAnsi="仿宋" w:eastAsia="仿宋" w:cs="仿宋"/>
          <w:bCs/>
          <w:color w:val="000000"/>
          <w:sz w:val="32"/>
          <w:szCs w:val="32"/>
        </w:rPr>
        <w:t>（款）事业单位离退休（项）</w:t>
      </w:r>
      <w:r>
        <w:rPr>
          <w:rStyle w:val="11"/>
          <w:rFonts w:hint="eastAsia" w:ascii="仿宋" w:hAnsi="仿宋" w:eastAsia="仿宋" w:cs="仿宋"/>
          <w:b w:val="0"/>
          <w:bCs/>
          <w:color w:val="000000"/>
          <w:sz w:val="32"/>
          <w:szCs w:val="32"/>
          <w:lang w:val="en-US" w:eastAsia="zh-CN"/>
        </w:rPr>
        <w:t>支出决算为7万元，完成预算100%，决算数等于预算数。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8.</w:t>
      </w:r>
      <w:r>
        <w:rPr>
          <w:rStyle w:val="11"/>
          <w:rFonts w:hint="eastAsia" w:ascii="仿宋" w:hAnsi="仿宋" w:eastAsia="仿宋" w:cs="仿宋"/>
          <w:bCs/>
          <w:color w:val="000000"/>
          <w:sz w:val="32"/>
          <w:szCs w:val="32"/>
        </w:rPr>
        <w:t>社会保障和就业支出（类）行政事业单位</w:t>
      </w:r>
      <w:r>
        <w:rPr>
          <w:rStyle w:val="11"/>
          <w:rFonts w:hint="eastAsia" w:ascii="仿宋" w:hAnsi="仿宋" w:eastAsia="仿宋" w:cs="仿宋"/>
          <w:bCs/>
          <w:color w:val="000000"/>
          <w:sz w:val="32"/>
          <w:szCs w:val="32"/>
          <w:lang w:val="en-US" w:eastAsia="zh-CN"/>
        </w:rPr>
        <w:t>养老支出</w:t>
      </w:r>
      <w:r>
        <w:rPr>
          <w:rStyle w:val="11"/>
          <w:rFonts w:hint="eastAsia" w:ascii="仿宋" w:hAnsi="仿宋" w:eastAsia="仿宋" w:cs="仿宋"/>
          <w:bCs/>
          <w:color w:val="000000"/>
          <w:sz w:val="32"/>
          <w:szCs w:val="32"/>
        </w:rPr>
        <w:t>（款） 机关事业单位基本养老保险缴费支出（项）</w:t>
      </w:r>
      <w:r>
        <w:rPr>
          <w:rStyle w:val="11"/>
          <w:rFonts w:hint="eastAsia" w:ascii="仿宋" w:hAnsi="仿宋" w:eastAsia="仿宋" w:cs="仿宋"/>
          <w:b w:val="0"/>
          <w:bCs/>
          <w:color w:val="000000"/>
          <w:sz w:val="32"/>
          <w:szCs w:val="32"/>
          <w:lang w:val="en-US" w:eastAsia="zh-CN"/>
        </w:rPr>
        <w:t>支出决算为43.17万元，完成预算100%，决算数等于预算数。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color w:val="000000"/>
          <w:sz w:val="32"/>
          <w:szCs w:val="32"/>
          <w:lang w:val="en-US" w:eastAsia="zh-CN"/>
        </w:rPr>
        <w:t>9.</w:t>
      </w:r>
      <w:r>
        <w:rPr>
          <w:rStyle w:val="11"/>
          <w:rFonts w:hint="eastAsia" w:ascii="仿宋" w:hAnsi="仿宋" w:eastAsia="仿宋" w:cs="仿宋"/>
          <w:bCs/>
          <w:color w:val="000000"/>
          <w:sz w:val="32"/>
          <w:szCs w:val="32"/>
        </w:rPr>
        <w:t>社会保障和就业（类）其他社会保障和就业支出（款）其他社会保障和就业支出（项）</w:t>
      </w:r>
      <w:r>
        <w:rPr>
          <w:rStyle w:val="11"/>
          <w:rFonts w:hint="eastAsia" w:ascii="仿宋" w:hAnsi="仿宋" w:eastAsia="仿宋" w:cs="仿宋"/>
          <w:b w:val="0"/>
          <w:bCs/>
          <w:color w:val="000000"/>
          <w:sz w:val="32"/>
          <w:szCs w:val="32"/>
          <w:lang w:val="en-US" w:eastAsia="zh-CN"/>
        </w:rPr>
        <w:t>支出决算为2.50万元，完成预算100%，决算数等于预算数。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color w:val="000000"/>
          <w:sz w:val="32"/>
          <w:szCs w:val="32"/>
          <w:lang w:val="en-US" w:eastAsia="zh-CN"/>
        </w:rPr>
        <w:t>10.</w:t>
      </w:r>
      <w:r>
        <w:rPr>
          <w:rStyle w:val="11"/>
          <w:rFonts w:hint="eastAsia" w:ascii="仿宋" w:hAnsi="仿宋" w:eastAsia="仿宋" w:cs="仿宋"/>
          <w:bCs/>
          <w:color w:val="000000"/>
          <w:sz w:val="32"/>
          <w:szCs w:val="32"/>
        </w:rPr>
        <w:t>卫生健康支出（类）</w:t>
      </w:r>
      <w:r>
        <w:rPr>
          <w:rStyle w:val="11"/>
          <w:rFonts w:hint="eastAsia" w:ascii="仿宋" w:hAnsi="仿宋" w:eastAsia="仿宋" w:cs="仿宋"/>
          <w:bCs/>
          <w:color w:val="000000"/>
          <w:sz w:val="32"/>
          <w:szCs w:val="32"/>
          <w:lang w:val="en-US" w:eastAsia="zh-CN"/>
        </w:rPr>
        <w:t>行政事业单位医疗</w:t>
      </w:r>
      <w:r>
        <w:rPr>
          <w:rStyle w:val="11"/>
          <w:rFonts w:hint="eastAsia" w:ascii="仿宋" w:hAnsi="仿宋" w:eastAsia="仿宋" w:cs="仿宋"/>
          <w:bCs/>
          <w:color w:val="000000"/>
          <w:sz w:val="32"/>
          <w:szCs w:val="32"/>
        </w:rPr>
        <w:t>（款）行政单位医疗（项</w:t>
      </w:r>
      <w:r>
        <w:rPr>
          <w:rStyle w:val="11"/>
          <w:rFonts w:hint="eastAsia" w:ascii="仿宋" w:hAnsi="仿宋" w:eastAsia="仿宋" w:cs="仿宋"/>
          <w:b/>
          <w:i w:val="0"/>
          <w:caps w:val="0"/>
          <w:color w:val="555555"/>
          <w:spacing w:val="0"/>
          <w:sz w:val="32"/>
          <w:szCs w:val="32"/>
          <w:shd w:val="clear" w:fill="FFFFFF"/>
        </w:rPr>
        <w:t>）</w:t>
      </w:r>
      <w:r>
        <w:rPr>
          <w:rStyle w:val="11"/>
          <w:rFonts w:hint="eastAsia" w:ascii="仿宋" w:hAnsi="仿宋" w:eastAsia="仿宋" w:cs="仿宋"/>
          <w:b w:val="0"/>
          <w:bCs/>
          <w:color w:val="000000"/>
          <w:sz w:val="32"/>
          <w:szCs w:val="32"/>
          <w:lang w:val="en-US" w:eastAsia="zh-CN"/>
        </w:rPr>
        <w:t>支出决算为22.28万元，完成预算100%，决算数等于预算数。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11.</w:t>
      </w:r>
      <w:r>
        <w:rPr>
          <w:rStyle w:val="11"/>
          <w:rFonts w:hint="eastAsia" w:ascii="仿宋" w:hAnsi="仿宋" w:eastAsia="仿宋" w:cs="仿宋"/>
          <w:bCs/>
          <w:color w:val="000000"/>
          <w:sz w:val="32"/>
          <w:szCs w:val="32"/>
          <w:lang w:val="en-US" w:eastAsia="zh-CN"/>
        </w:rPr>
        <w:t>节能环保支出（类）污染防治（款）水体（项）</w:t>
      </w:r>
      <w:r>
        <w:rPr>
          <w:rStyle w:val="11"/>
          <w:rFonts w:hint="eastAsia" w:ascii="仿宋" w:hAnsi="仿宋" w:eastAsia="仿宋" w:cs="仿宋"/>
          <w:b w:val="0"/>
          <w:bCs/>
          <w:color w:val="000000"/>
          <w:sz w:val="32"/>
          <w:szCs w:val="32"/>
          <w:lang w:val="en-US" w:eastAsia="zh-CN"/>
        </w:rPr>
        <w:t>支出决算为25万元，完成决算100%，决算数等于预算数。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12.</w:t>
      </w:r>
      <w:r>
        <w:rPr>
          <w:rStyle w:val="11"/>
          <w:rFonts w:hint="eastAsia" w:ascii="仿宋" w:hAnsi="仿宋" w:eastAsia="仿宋" w:cs="仿宋"/>
          <w:bCs/>
          <w:color w:val="000000"/>
          <w:sz w:val="32"/>
          <w:szCs w:val="32"/>
          <w:lang w:val="en-US" w:eastAsia="zh-CN"/>
        </w:rPr>
        <w:t>城乡社区支出（类）城乡社区环境卫生（款）城乡社区环境卫生（项）</w:t>
      </w:r>
      <w:r>
        <w:rPr>
          <w:rStyle w:val="11"/>
          <w:rFonts w:hint="eastAsia" w:ascii="仿宋" w:hAnsi="仿宋" w:eastAsia="仿宋" w:cs="仿宋"/>
          <w:b w:val="0"/>
          <w:bCs/>
          <w:color w:val="000000"/>
          <w:sz w:val="32"/>
          <w:szCs w:val="32"/>
          <w:lang w:val="en-US" w:eastAsia="zh-CN"/>
        </w:rPr>
        <w:t>支出决算为</w:t>
      </w:r>
      <w:r>
        <w:rPr>
          <w:rStyle w:val="11"/>
          <w:rFonts w:hint="eastAsia" w:ascii="仿宋" w:hAnsi="仿宋" w:eastAsia="仿宋" w:cs="仿宋"/>
          <w:b w:val="0"/>
          <w:bCs/>
          <w:color w:val="000000"/>
          <w:sz w:val="32"/>
          <w:szCs w:val="32"/>
          <w:highlight w:val="none"/>
          <w:lang w:val="en-US" w:eastAsia="zh-CN"/>
        </w:rPr>
        <w:t>16.94万</w:t>
      </w:r>
      <w:r>
        <w:rPr>
          <w:rStyle w:val="11"/>
          <w:rFonts w:hint="eastAsia" w:ascii="仿宋" w:hAnsi="仿宋" w:eastAsia="仿宋" w:cs="仿宋"/>
          <w:b w:val="0"/>
          <w:bCs/>
          <w:color w:val="000000"/>
          <w:sz w:val="32"/>
          <w:szCs w:val="32"/>
          <w:lang w:val="en-US" w:eastAsia="zh-CN"/>
        </w:rPr>
        <w:t>元，完成决算100%，决算数等于预算数。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13.</w:t>
      </w:r>
      <w:r>
        <w:rPr>
          <w:rStyle w:val="11"/>
          <w:rFonts w:hint="eastAsia" w:ascii="仿宋" w:hAnsi="仿宋" w:eastAsia="仿宋" w:cs="仿宋"/>
          <w:bCs/>
          <w:color w:val="000000"/>
          <w:sz w:val="32"/>
          <w:szCs w:val="32"/>
          <w:lang w:val="en-US" w:eastAsia="zh-CN"/>
        </w:rPr>
        <w:t>农林水支出（类）扶贫（款）其他扶贫支出（项）</w:t>
      </w:r>
      <w:r>
        <w:rPr>
          <w:rStyle w:val="11"/>
          <w:rFonts w:hint="eastAsia" w:ascii="仿宋" w:hAnsi="仿宋" w:eastAsia="仿宋" w:cs="仿宋"/>
          <w:b w:val="0"/>
          <w:bCs/>
          <w:color w:val="000000"/>
          <w:sz w:val="32"/>
          <w:szCs w:val="32"/>
          <w:lang w:val="en-US" w:eastAsia="zh-CN"/>
        </w:rPr>
        <w:t>支出决算为23.06万元，完成决算100%，决算数等于预算数。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14.</w:t>
      </w:r>
      <w:r>
        <w:rPr>
          <w:rStyle w:val="11"/>
          <w:rFonts w:hint="eastAsia" w:ascii="仿宋" w:hAnsi="仿宋" w:eastAsia="仿宋" w:cs="仿宋"/>
          <w:bCs/>
          <w:color w:val="000000"/>
          <w:sz w:val="32"/>
          <w:szCs w:val="32"/>
          <w:lang w:val="en-US" w:eastAsia="zh-CN"/>
        </w:rPr>
        <w:t>农林水支出（类）农村综合改革（款）对村级一事一议的补助（项）</w:t>
      </w:r>
      <w:r>
        <w:rPr>
          <w:rStyle w:val="11"/>
          <w:rFonts w:hint="eastAsia" w:ascii="仿宋" w:hAnsi="仿宋" w:eastAsia="仿宋" w:cs="仿宋"/>
          <w:b w:val="0"/>
          <w:bCs/>
          <w:color w:val="000000"/>
          <w:sz w:val="32"/>
          <w:szCs w:val="32"/>
          <w:lang w:val="en-US" w:eastAsia="zh-CN"/>
        </w:rPr>
        <w:t>支出决算为20万元，完成决算100%，决算数等于预算数。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15.</w:t>
      </w:r>
      <w:r>
        <w:rPr>
          <w:rStyle w:val="11"/>
          <w:rFonts w:hint="eastAsia" w:ascii="仿宋" w:hAnsi="仿宋" w:eastAsia="仿宋" w:cs="仿宋"/>
          <w:bCs/>
          <w:color w:val="000000"/>
          <w:sz w:val="32"/>
          <w:szCs w:val="32"/>
          <w:lang w:val="en-US" w:eastAsia="zh-CN"/>
        </w:rPr>
        <w:t>农林水支出（类）农村综合改革（款） 对村民委员会和村党支部的补助（项）</w:t>
      </w:r>
      <w:r>
        <w:rPr>
          <w:rStyle w:val="11"/>
          <w:rFonts w:hint="eastAsia" w:ascii="仿宋" w:hAnsi="仿宋" w:eastAsia="仿宋" w:cs="仿宋"/>
          <w:b w:val="0"/>
          <w:bCs/>
          <w:color w:val="000000"/>
          <w:sz w:val="32"/>
          <w:szCs w:val="32"/>
          <w:lang w:val="en-US" w:eastAsia="zh-CN"/>
        </w:rPr>
        <w:t>支出决算</w:t>
      </w:r>
      <w:r>
        <w:rPr>
          <w:rStyle w:val="11"/>
          <w:rFonts w:hint="eastAsia" w:ascii="仿宋" w:hAnsi="仿宋" w:eastAsia="仿宋" w:cs="仿宋"/>
          <w:b w:val="0"/>
          <w:bCs/>
          <w:color w:val="000000"/>
          <w:sz w:val="32"/>
          <w:szCs w:val="32"/>
          <w:highlight w:val="none"/>
          <w:lang w:val="en-US" w:eastAsia="zh-CN"/>
        </w:rPr>
        <w:t>为291.80万</w:t>
      </w:r>
      <w:r>
        <w:rPr>
          <w:rStyle w:val="11"/>
          <w:rFonts w:hint="eastAsia" w:ascii="仿宋" w:hAnsi="仿宋" w:eastAsia="仿宋" w:cs="仿宋"/>
          <w:b w:val="0"/>
          <w:bCs/>
          <w:color w:val="000000"/>
          <w:sz w:val="32"/>
          <w:szCs w:val="32"/>
          <w:lang w:val="en-US" w:eastAsia="zh-CN"/>
        </w:rPr>
        <w:t>元，完成决算100%，决算数等于预算数。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16.</w:t>
      </w:r>
      <w:r>
        <w:rPr>
          <w:rStyle w:val="11"/>
          <w:rFonts w:hint="eastAsia" w:ascii="仿宋" w:hAnsi="仿宋" w:eastAsia="仿宋" w:cs="仿宋"/>
          <w:bCs/>
          <w:color w:val="000000"/>
          <w:sz w:val="32"/>
          <w:szCs w:val="32"/>
          <w:lang w:val="en-US" w:eastAsia="zh-CN"/>
        </w:rPr>
        <w:t>交通运输支出（类）公路水路运输（款）公路和运输安全（项）</w:t>
      </w:r>
      <w:r>
        <w:rPr>
          <w:rStyle w:val="11"/>
          <w:rFonts w:hint="eastAsia" w:ascii="仿宋" w:hAnsi="仿宋" w:eastAsia="仿宋" w:cs="仿宋"/>
          <w:b w:val="0"/>
          <w:bCs/>
          <w:color w:val="000000"/>
          <w:sz w:val="32"/>
          <w:szCs w:val="32"/>
          <w:lang w:val="en-US" w:eastAsia="zh-CN"/>
        </w:rPr>
        <w:t>支出决算为5万元，完成决算100%，决算数等于预算数。</w:t>
      </w:r>
    </w:p>
    <w:p>
      <w:pPr>
        <w:spacing w:line="600" w:lineRule="exact"/>
        <w:ind w:firstLine="643" w:firstLineChars="200"/>
        <w:rPr>
          <w:rStyle w:val="11"/>
          <w:rFonts w:hint="eastAsia" w:ascii="仿宋" w:hAnsi="仿宋" w:eastAsia="仿宋" w:cs="仿宋"/>
          <w:b w:val="0"/>
          <w:bCs/>
          <w:color w:val="000000"/>
          <w:sz w:val="32"/>
          <w:szCs w:val="32"/>
          <w:lang w:val="en-US" w:eastAsia="zh-CN"/>
        </w:rPr>
      </w:pPr>
      <w:r>
        <w:rPr>
          <w:rStyle w:val="11"/>
          <w:rFonts w:hint="eastAsia" w:ascii="仿宋" w:hAnsi="仿宋" w:eastAsia="仿宋" w:cs="仿宋"/>
          <w:b/>
          <w:bCs w:val="0"/>
          <w:color w:val="000000"/>
          <w:sz w:val="32"/>
          <w:szCs w:val="32"/>
          <w:lang w:val="en-US" w:eastAsia="zh-CN"/>
        </w:rPr>
        <w:t>17.</w:t>
      </w:r>
      <w:r>
        <w:rPr>
          <w:rStyle w:val="11"/>
          <w:rFonts w:hint="eastAsia" w:ascii="仿宋" w:hAnsi="仿宋" w:eastAsia="仿宋" w:cs="仿宋"/>
          <w:bCs/>
          <w:color w:val="000000"/>
          <w:sz w:val="32"/>
          <w:szCs w:val="32"/>
          <w:lang w:val="en-US" w:eastAsia="zh-CN"/>
        </w:rPr>
        <w:t>住房保障（类）住房改革支出（款）住房公积金（项）</w:t>
      </w:r>
      <w:r>
        <w:rPr>
          <w:rStyle w:val="11"/>
          <w:rFonts w:hint="eastAsia" w:ascii="仿宋" w:hAnsi="仿宋" w:eastAsia="仿宋" w:cs="仿宋"/>
          <w:b w:val="0"/>
          <w:bCs/>
          <w:color w:val="000000"/>
          <w:sz w:val="32"/>
          <w:szCs w:val="32"/>
          <w:lang w:val="en-US" w:eastAsia="zh-CN"/>
        </w:rPr>
        <w:t>支出决算为32.49万元，完成决算100%，决算数等于预算数。</w:t>
      </w:r>
    </w:p>
    <w:p>
      <w:pPr>
        <w:pStyle w:val="2"/>
      </w:pPr>
    </w:p>
    <w:p>
      <w:pPr>
        <w:tabs>
          <w:tab w:val="right" w:pos="8306"/>
        </w:tabs>
        <w:spacing w:line="600" w:lineRule="exact"/>
        <w:ind w:firstLine="640"/>
        <w:outlineLvl w:val="1"/>
        <w:rPr>
          <w:rStyle w:val="14"/>
        </w:rPr>
      </w:pPr>
      <w:bookmarkStart w:id="39" w:name="_Toc15396608"/>
      <w:bookmarkStart w:id="40" w:name="_Toc15377214"/>
      <w:bookmarkStart w:id="41" w:name="_Toc31021"/>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14"/>
          <w:rFonts w:hint="eastAsia" w:ascii="黑体" w:hAnsi="黑体" w:eastAsia="黑体"/>
          <w:b w:val="0"/>
        </w:rPr>
        <w:t>般公共预算财政拨款基本支出决算情况说明</w:t>
      </w:r>
      <w:bookmarkEnd w:id="39"/>
      <w:bookmarkEnd w:id="40"/>
      <w:bookmarkEnd w:id="41"/>
      <w:r>
        <w:rPr>
          <w:rStyle w:val="14"/>
          <w:rFonts w:ascii="黑体" w:hAnsi="黑体" w:eastAsia="黑体"/>
          <w:b w:val="0"/>
        </w:rPr>
        <w:tab/>
      </w:r>
    </w:p>
    <w:p>
      <w:pPr>
        <w:spacing w:line="600" w:lineRule="exact"/>
        <w:ind w:firstLine="645"/>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年一般公共预算财政拨款基本支出1143.85万元，其中：</w:t>
      </w:r>
    </w:p>
    <w:p>
      <w:pPr>
        <w:spacing w:line="600" w:lineRule="exact"/>
        <w:ind w:firstLine="645"/>
        <w:rPr>
          <w:rFonts w:ascii="仿宋" w:hAnsi="仿宋" w:eastAsia="仿宋"/>
          <w:b/>
          <w:color w:val="FF0000"/>
          <w:sz w:val="32"/>
          <w:szCs w:val="32"/>
        </w:rPr>
      </w:pPr>
      <w:r>
        <w:rPr>
          <w:rFonts w:hint="eastAsia" w:ascii="仿宋" w:hAnsi="仿宋" w:eastAsia="仿宋"/>
          <w:color w:val="000000"/>
          <w:sz w:val="32"/>
          <w:szCs w:val="32"/>
          <w:highlight w:val="none"/>
        </w:rPr>
        <w:t>人员经费</w:t>
      </w:r>
      <w:r>
        <w:rPr>
          <w:rFonts w:hint="eastAsia" w:ascii="仿宋" w:hAnsi="仿宋" w:eastAsia="仿宋"/>
          <w:color w:val="000000"/>
          <w:sz w:val="32"/>
          <w:szCs w:val="32"/>
          <w:highlight w:val="none"/>
          <w:lang w:val="en-US" w:eastAsia="zh-CN"/>
        </w:rPr>
        <w:t>880.17</w:t>
      </w:r>
      <w:r>
        <w:rPr>
          <w:rFonts w:hint="eastAsia" w:ascii="仿宋" w:hAnsi="仿宋" w:eastAsia="仿宋"/>
          <w:color w:val="000000"/>
          <w:sz w:val="32"/>
          <w:szCs w:val="32"/>
          <w:highlight w:val="none"/>
        </w:rPr>
        <w:t>万元，主要包括：基本工资、津贴补贴、奖金、伙食补助费、绩效工资、机关事业单位基本养老保险缴费、职业年金缴费、</w:t>
      </w:r>
      <w:r>
        <w:rPr>
          <w:rFonts w:hint="eastAsia" w:ascii="仿宋" w:hAnsi="仿宋" w:eastAsia="仿宋"/>
          <w:color w:val="000000"/>
          <w:sz w:val="32"/>
          <w:szCs w:val="32"/>
          <w:highlight w:val="none"/>
          <w:lang w:val="en-US" w:eastAsia="zh-CN"/>
        </w:rPr>
        <w:t>职工基本医疗保险缴费、</w:t>
      </w:r>
      <w:r>
        <w:rPr>
          <w:rFonts w:hint="eastAsia" w:ascii="仿宋" w:hAnsi="仿宋" w:eastAsia="仿宋"/>
          <w:color w:val="000000"/>
          <w:sz w:val="32"/>
          <w:szCs w:val="32"/>
          <w:highlight w:val="none"/>
        </w:rPr>
        <w:t>其他社会保障缴费、其他工资福利支出、离休费、退休费、抚恤金、生活补助、医疗费补助、奖励金、住房公积金、其他对个人和家庭的补助支出等。</w:t>
      </w:r>
      <w:r>
        <w:rPr>
          <w:rFonts w:ascii="仿宋" w:hAnsi="仿宋" w:eastAsia="仿宋"/>
          <w:color w:val="000000"/>
          <w:sz w:val="32"/>
          <w:szCs w:val="32"/>
          <w:highlight w:val="none"/>
        </w:rPr>
        <w:br w:type="textWrapping"/>
      </w:r>
      <w:r>
        <w:rPr>
          <w:rFonts w:hint="eastAsia" w:ascii="仿宋" w:hAnsi="仿宋" w:eastAsia="仿宋"/>
          <w:color w:val="000000"/>
          <w:sz w:val="32"/>
          <w:szCs w:val="32"/>
          <w:highlight w:val="none"/>
        </w:rPr>
        <w:t>　　日常公用经</w:t>
      </w:r>
      <w:r>
        <w:rPr>
          <w:rFonts w:hint="eastAsia" w:ascii="仿宋" w:hAnsi="仿宋" w:eastAsia="仿宋"/>
          <w:color w:val="000000"/>
          <w:sz w:val="32"/>
          <w:szCs w:val="32"/>
          <w:highlight w:val="none"/>
          <w:lang w:val="en-US" w:eastAsia="zh-CN"/>
        </w:rPr>
        <w:t>263.68</w:t>
      </w:r>
      <w:r>
        <w:rPr>
          <w:rFonts w:hint="eastAsia" w:ascii="仿宋" w:hAnsi="仿宋" w:eastAsia="仿宋"/>
          <w:color w:val="000000"/>
          <w:sz w:val="32"/>
          <w:szCs w:val="32"/>
          <w:highlight w:val="none"/>
        </w:rPr>
        <w:t>万元，主要包括：办公费、印刷费、咨询费、手续费、水费、电费、邮电费、取暖费、物业管理</w:t>
      </w:r>
      <w:r>
        <w:rPr>
          <w:rFonts w:hint="eastAsia" w:ascii="仿宋" w:hAnsi="仿宋" w:eastAsia="仿宋"/>
          <w:color w:val="000000"/>
          <w:sz w:val="32"/>
          <w:szCs w:val="32"/>
        </w:rPr>
        <w:t>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Style w:val="14"/>
          <w:rFonts w:ascii="黑体" w:hAnsi="黑体" w:eastAsia="黑体"/>
          <w:b w:val="0"/>
        </w:rPr>
      </w:pPr>
      <w:bookmarkStart w:id="42" w:name="_Toc15396609"/>
      <w:bookmarkStart w:id="43" w:name="_Toc6926"/>
      <w:bookmarkStart w:id="44" w:name="_Toc15377215"/>
      <w:r>
        <w:rPr>
          <w:rFonts w:hint="eastAsia" w:ascii="黑体" w:eastAsia="黑体"/>
          <w:color w:val="000000"/>
          <w:sz w:val="32"/>
          <w:szCs w:val="32"/>
        </w:rPr>
        <w:t>七、</w:t>
      </w:r>
      <w:r>
        <w:rPr>
          <w:rStyle w:val="14"/>
          <w:rFonts w:hint="eastAsia" w:ascii="黑体" w:hAnsi="黑体" w:eastAsia="黑体"/>
        </w:rPr>
        <w:t>“</w:t>
      </w:r>
      <w:r>
        <w:rPr>
          <w:rStyle w:val="14"/>
          <w:rFonts w:hint="eastAsia" w:ascii="黑体" w:hAnsi="黑体" w:eastAsia="黑体"/>
          <w:b w:val="0"/>
        </w:rPr>
        <w:t>三公”经费财政拨款支出决算情况说明</w:t>
      </w:r>
      <w:bookmarkEnd w:id="42"/>
      <w:bookmarkEnd w:id="43"/>
      <w:bookmarkEnd w:id="44"/>
    </w:p>
    <w:p>
      <w:pPr>
        <w:spacing w:line="600" w:lineRule="exact"/>
        <w:ind w:firstLine="640"/>
        <w:outlineLvl w:val="2"/>
        <w:rPr>
          <w:rFonts w:ascii="仿宋" w:hAnsi="仿宋" w:eastAsia="仿宋"/>
          <w:b/>
          <w:color w:val="000000"/>
          <w:sz w:val="32"/>
          <w:szCs w:val="32"/>
        </w:rPr>
      </w:pPr>
      <w:bookmarkStart w:id="45" w:name="_Toc15377216"/>
      <w:r>
        <w:rPr>
          <w:rFonts w:hint="eastAsia" w:ascii="仿宋" w:hAnsi="仿宋" w:eastAsia="仿宋"/>
          <w:b/>
          <w:color w:val="000000"/>
          <w:sz w:val="32"/>
          <w:szCs w:val="32"/>
        </w:rPr>
        <w:t>（一）“三公”经费财政拨款支出决算总体情况说明</w:t>
      </w:r>
      <w:bookmarkEnd w:id="45"/>
    </w:p>
    <w:p>
      <w:pPr>
        <w:spacing w:line="600" w:lineRule="exact"/>
        <w:ind w:firstLine="640"/>
        <w:rPr>
          <w:rFonts w:hint="eastAsia" w:ascii="仿宋" w:hAnsi="仿宋" w:eastAsia="仿宋"/>
          <w:b/>
          <w:color w:val="FF0000"/>
          <w:sz w:val="32"/>
          <w:szCs w:val="32"/>
          <w:highlight w:val="none"/>
          <w:lang w:val="en-US" w:eastAsia="zh-CN"/>
        </w:rPr>
      </w:pP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年“三公”经费财政拨款支出决算为</w:t>
      </w:r>
      <w:r>
        <w:rPr>
          <w:rFonts w:hint="eastAsia" w:ascii="仿宋" w:hAnsi="仿宋" w:eastAsia="仿宋"/>
          <w:color w:val="000000"/>
          <w:sz w:val="32"/>
          <w:szCs w:val="32"/>
          <w:lang w:val="en-US" w:eastAsia="zh-CN"/>
        </w:rPr>
        <w:t>1.89</w:t>
      </w:r>
      <w:r>
        <w:rPr>
          <w:rFonts w:hint="eastAsia" w:ascii="仿宋" w:hAnsi="仿宋" w:eastAsia="仿宋"/>
          <w:color w:val="000000"/>
          <w:sz w:val="32"/>
          <w:szCs w:val="32"/>
        </w:rPr>
        <w:t>万元，完成预算</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，决算数与预算数持平。</w:t>
      </w:r>
      <w:bookmarkStart w:id="46" w:name="_Toc15377217"/>
    </w:p>
    <w:p>
      <w:pPr>
        <w:spacing w:line="600" w:lineRule="exact"/>
        <w:ind w:firstLine="640"/>
        <w:rPr>
          <w:rFonts w:ascii="仿宋" w:hAnsi="仿宋" w:eastAsia="仿宋"/>
          <w:b/>
          <w:color w:val="000000"/>
          <w:sz w:val="32"/>
          <w:szCs w:val="32"/>
        </w:rPr>
      </w:pPr>
      <w:r>
        <w:rPr>
          <w:rFonts w:hint="eastAsia" w:ascii="仿宋" w:hAnsi="仿宋" w:eastAsia="仿宋"/>
          <w:b/>
          <w:color w:val="000000"/>
          <w:sz w:val="32"/>
          <w:szCs w:val="32"/>
        </w:rPr>
        <w:t>（二）“三公”经费财政拨款支出决算具体情况说明</w:t>
      </w:r>
      <w:bookmarkEnd w:id="46"/>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lang w:eastAsia="zh-CN"/>
        </w:rPr>
        <w:drawing>
          <wp:anchor distT="0" distB="0" distL="114300" distR="114300" simplePos="0" relativeHeight="251661312" behindDoc="1" locked="0" layoutInCell="1" allowOverlap="1">
            <wp:simplePos x="0" y="0"/>
            <wp:positionH relativeFrom="column">
              <wp:posOffset>714375</wp:posOffset>
            </wp:positionH>
            <wp:positionV relativeFrom="paragraph">
              <wp:posOffset>1522730</wp:posOffset>
            </wp:positionV>
            <wp:extent cx="4165600" cy="1482090"/>
            <wp:effectExtent l="4445" t="4445" r="20955" b="18415"/>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年“三公”经费财政拨款支出决算中，因公出国（境）费支出决算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1.89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。具体情况如下：</w:t>
      </w:r>
    </w:p>
    <w:p>
      <w:pPr>
        <w:spacing w:line="600" w:lineRule="exact"/>
        <w:ind w:firstLine="640"/>
        <w:rPr>
          <w:rFonts w:hint="eastAsia" w:ascii="仿宋" w:hAnsi="仿宋" w:eastAsia="仿宋"/>
          <w:color w:val="000000"/>
          <w:sz w:val="32"/>
          <w:szCs w:val="32"/>
          <w:lang w:eastAsia="zh-CN"/>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lang w:val="en-US" w:eastAsia="zh-CN"/>
        </w:rPr>
      </w:pPr>
      <w:r>
        <w:rPr>
          <w:rFonts w:hint="eastAsia" w:ascii="仿宋" w:hAnsi="仿宋" w:eastAsia="仿宋"/>
          <w:color w:val="000000"/>
          <w:sz w:val="32"/>
          <w:szCs w:val="32"/>
        </w:rPr>
        <w:t>（图</w:t>
      </w:r>
      <w:r>
        <w:rPr>
          <w:rFonts w:ascii="仿宋" w:hAnsi="仿宋" w:eastAsia="仿宋"/>
          <w:color w:val="000000"/>
          <w:sz w:val="32"/>
          <w:szCs w:val="32"/>
        </w:rPr>
        <w:t>7</w:t>
      </w:r>
      <w:r>
        <w:rPr>
          <w:rFonts w:hint="eastAsia" w:ascii="仿宋" w:hAnsi="仿宋" w:eastAsia="仿宋"/>
          <w:color w:val="000000"/>
          <w:sz w:val="32"/>
          <w:szCs w:val="32"/>
        </w:rPr>
        <w:t>：“三公”经费财政拨款支出结构</w:t>
      </w:r>
      <w:r>
        <w:rPr>
          <w:rFonts w:hint="eastAsia" w:ascii="仿宋" w:hAnsi="仿宋" w:eastAsia="仿宋"/>
          <w:color w:val="000000"/>
          <w:sz w:val="32"/>
          <w:szCs w:val="32"/>
          <w:lang w:val="en-US" w:eastAsia="zh-CN"/>
        </w:rPr>
        <w:t xml:space="preserve"> 单位：万元</w:t>
      </w:r>
      <w:r>
        <w:rPr>
          <w:rFonts w:hint="eastAsia" w:ascii="仿宋" w:hAnsi="仿宋" w:eastAsia="仿宋"/>
          <w:color w:val="000000"/>
          <w:sz w:val="32"/>
          <w:szCs w:val="32"/>
        </w:rPr>
        <w:t>）</w:t>
      </w:r>
    </w:p>
    <w:p>
      <w:pPr>
        <w:spacing w:line="600" w:lineRule="exact"/>
        <w:ind w:firstLine="640"/>
        <w:rPr>
          <w:rFonts w:hint="eastAsia" w:ascii="仿宋" w:hAnsi="仿宋" w:eastAsia="仿宋" w:cs="仿宋"/>
          <w:color w:val="000000"/>
          <w:sz w:val="32"/>
          <w:szCs w:val="32"/>
          <w:lang w:val="en-US" w:eastAsia="zh-CN"/>
        </w:rPr>
      </w:pPr>
      <w:r>
        <w:rPr>
          <w:rFonts w:hint="eastAsia" w:ascii="仿宋" w:hAnsi="仿宋" w:eastAsia="仿宋" w:cs="仿宋"/>
          <w:b/>
          <w:color w:val="000000"/>
          <w:sz w:val="32"/>
          <w:szCs w:val="32"/>
        </w:rPr>
        <w:t>1.因公出国（境）经费支出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Style w:val="11"/>
          <w:rFonts w:hint="eastAsia" w:ascii="仿宋" w:hAnsi="仿宋" w:eastAsia="仿宋" w:cs="仿宋"/>
          <w:b w:val="0"/>
          <w:bCs/>
          <w:color w:val="000000"/>
          <w:sz w:val="32"/>
          <w:szCs w:val="32"/>
        </w:rPr>
        <w:t>完成预算</w:t>
      </w:r>
      <w:r>
        <w:rPr>
          <w:rStyle w:val="11"/>
          <w:rFonts w:hint="eastAsia" w:ascii="仿宋" w:hAnsi="仿宋" w:eastAsia="仿宋" w:cs="仿宋"/>
          <w:b w:val="0"/>
          <w:bCs/>
          <w:color w:val="000000"/>
          <w:sz w:val="32"/>
          <w:szCs w:val="32"/>
          <w:lang w:val="en-US" w:eastAsia="zh-CN"/>
        </w:rPr>
        <w:t>0</w:t>
      </w:r>
      <w:r>
        <w:rPr>
          <w:rStyle w:val="11"/>
          <w:rFonts w:hint="eastAsia" w:ascii="仿宋" w:hAnsi="仿宋" w:eastAsia="仿宋" w:cs="仿宋"/>
          <w:b w:val="0"/>
          <w:bCs/>
          <w:color w:val="000000"/>
          <w:sz w:val="32"/>
          <w:szCs w:val="32"/>
        </w:rPr>
        <w:t>%。</w:t>
      </w:r>
      <w:r>
        <w:rPr>
          <w:rFonts w:hint="eastAsia" w:ascii="仿宋" w:hAnsi="仿宋" w:eastAsia="仿宋" w:cs="仿宋"/>
          <w:color w:val="000000"/>
          <w:sz w:val="32"/>
          <w:szCs w:val="32"/>
        </w:rPr>
        <w:t>全年安排因公出国（境）团组</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次，出国（境）</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人。因公出国（境）支出决算比201</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rPr>
        <w:t>年增加</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万元，增长</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与2019年持平。</w:t>
      </w:r>
    </w:p>
    <w:p>
      <w:pPr>
        <w:spacing w:line="600" w:lineRule="exact"/>
        <w:ind w:firstLine="640"/>
        <w:rPr>
          <w:rFonts w:hint="eastAsia" w:ascii="仿宋" w:hAnsi="仿宋" w:eastAsia="仿宋" w:cs="仿宋"/>
          <w:color w:val="000000"/>
          <w:sz w:val="32"/>
          <w:szCs w:val="32"/>
          <w:highlight w:val="yellow"/>
          <w:lang w:eastAsia="zh-CN"/>
        </w:rPr>
      </w:pPr>
      <w:r>
        <w:rPr>
          <w:rFonts w:hint="eastAsia" w:ascii="仿宋" w:hAnsi="仿宋" w:eastAsia="仿宋" w:cs="仿宋"/>
          <w:b/>
          <w:color w:val="000000"/>
          <w:sz w:val="32"/>
          <w:szCs w:val="32"/>
        </w:rPr>
        <w:t>2.公务用车购置及运行维护费支出</w:t>
      </w:r>
      <w:r>
        <w:rPr>
          <w:rFonts w:hint="eastAsia" w:ascii="仿宋" w:hAnsi="仿宋" w:eastAsia="仿宋" w:cs="仿宋"/>
          <w:color w:val="000000"/>
          <w:sz w:val="32"/>
          <w:szCs w:val="32"/>
          <w:lang w:val="en-US" w:eastAsia="zh-CN"/>
        </w:rPr>
        <w:t>1.89</w:t>
      </w:r>
      <w:r>
        <w:rPr>
          <w:rFonts w:hint="eastAsia" w:ascii="仿宋" w:hAnsi="仿宋" w:eastAsia="仿宋" w:cs="仿宋"/>
          <w:color w:val="000000"/>
          <w:sz w:val="32"/>
          <w:szCs w:val="32"/>
        </w:rPr>
        <w:t>万元,</w:t>
      </w:r>
      <w:r>
        <w:rPr>
          <w:rStyle w:val="11"/>
          <w:rFonts w:hint="eastAsia" w:ascii="仿宋" w:hAnsi="仿宋" w:eastAsia="仿宋" w:cs="仿宋"/>
          <w:b w:val="0"/>
          <w:bCs/>
          <w:color w:val="000000"/>
          <w:sz w:val="32"/>
          <w:szCs w:val="32"/>
        </w:rPr>
        <w:t>完成预算</w:t>
      </w:r>
      <w:r>
        <w:rPr>
          <w:rStyle w:val="11"/>
          <w:rFonts w:hint="eastAsia" w:ascii="仿宋" w:hAnsi="仿宋" w:eastAsia="仿宋" w:cs="仿宋"/>
          <w:b w:val="0"/>
          <w:bCs/>
          <w:color w:val="000000"/>
          <w:sz w:val="32"/>
          <w:szCs w:val="32"/>
          <w:lang w:val="en-US" w:eastAsia="zh-CN"/>
        </w:rPr>
        <w:t>100</w:t>
      </w:r>
      <w:r>
        <w:rPr>
          <w:rStyle w:val="11"/>
          <w:rFonts w:hint="eastAsia" w:ascii="仿宋" w:hAnsi="仿宋" w:eastAsia="仿宋" w:cs="仿宋"/>
          <w:b w:val="0"/>
          <w:bCs/>
          <w:color w:val="000000"/>
          <w:sz w:val="32"/>
          <w:szCs w:val="32"/>
        </w:rPr>
        <w:t>%。</w:t>
      </w:r>
      <w:r>
        <w:rPr>
          <w:rFonts w:hint="eastAsia" w:ascii="仿宋" w:hAnsi="仿宋" w:eastAsia="仿宋" w:cs="仿宋"/>
          <w:color w:val="000000"/>
          <w:sz w:val="32"/>
          <w:szCs w:val="32"/>
        </w:rPr>
        <w:t>公务用车购置及运行维护费支出决算比</w:t>
      </w:r>
      <w:r>
        <w:rPr>
          <w:rFonts w:hint="eastAsia" w:ascii="仿宋" w:hAnsi="仿宋" w:eastAsia="仿宋" w:cs="仿宋"/>
          <w:color w:val="000000"/>
          <w:sz w:val="32"/>
          <w:szCs w:val="32"/>
          <w:lang w:val="en-US" w:eastAsia="zh-CN"/>
        </w:rPr>
        <w:t>2019</w:t>
      </w:r>
      <w:r>
        <w:rPr>
          <w:rFonts w:hint="eastAsia" w:ascii="仿宋" w:hAnsi="仿宋" w:eastAsia="仿宋" w:cs="仿宋"/>
          <w:color w:val="000000"/>
          <w:sz w:val="32"/>
          <w:szCs w:val="32"/>
        </w:rPr>
        <w:t>年减少</w:t>
      </w:r>
      <w:r>
        <w:rPr>
          <w:rFonts w:hint="eastAsia" w:ascii="仿宋" w:hAnsi="仿宋" w:eastAsia="仿宋" w:cs="仿宋"/>
          <w:color w:val="000000"/>
          <w:sz w:val="32"/>
          <w:szCs w:val="32"/>
          <w:lang w:val="en-US" w:eastAsia="zh-CN"/>
        </w:rPr>
        <w:t>0.01</w:t>
      </w:r>
      <w:r>
        <w:rPr>
          <w:rFonts w:hint="eastAsia" w:ascii="仿宋" w:hAnsi="仿宋" w:eastAsia="仿宋" w:cs="仿宋"/>
          <w:color w:val="000000"/>
          <w:sz w:val="32"/>
          <w:szCs w:val="32"/>
        </w:rPr>
        <w:t>万元，下降</w:t>
      </w:r>
      <w:r>
        <w:rPr>
          <w:rFonts w:hint="eastAsia" w:ascii="仿宋" w:hAnsi="仿宋" w:eastAsia="仿宋" w:cs="仿宋"/>
          <w:color w:val="000000"/>
          <w:sz w:val="32"/>
          <w:szCs w:val="32"/>
          <w:lang w:val="en-US" w:eastAsia="zh-CN"/>
        </w:rPr>
        <w:t>0.53</w:t>
      </w:r>
      <w:r>
        <w:rPr>
          <w:rFonts w:hint="eastAsia" w:ascii="仿宋" w:hAnsi="仿宋" w:eastAsia="仿宋" w:cs="仿宋"/>
          <w:color w:val="000000"/>
          <w:sz w:val="32"/>
          <w:szCs w:val="32"/>
        </w:rPr>
        <w:t>%。</w:t>
      </w:r>
      <w:r>
        <w:rPr>
          <w:rFonts w:hint="eastAsia" w:ascii="仿宋" w:hAnsi="仿宋" w:eastAsia="仿宋" w:cs="仿宋"/>
          <w:color w:val="000000"/>
          <w:sz w:val="32"/>
          <w:szCs w:val="32"/>
          <w:highlight w:val="none"/>
        </w:rPr>
        <w:t>主要原因是加强了公车管理</w:t>
      </w:r>
      <w:r>
        <w:rPr>
          <w:rFonts w:hint="eastAsia" w:ascii="仿宋" w:hAnsi="仿宋" w:eastAsia="仿宋" w:cs="仿宋"/>
          <w:color w:val="000000"/>
          <w:sz w:val="32"/>
          <w:szCs w:val="32"/>
          <w:highlight w:val="none"/>
          <w:lang w:eastAsia="zh-CN"/>
        </w:rPr>
        <w:t>。</w:t>
      </w:r>
    </w:p>
    <w:p>
      <w:pPr>
        <w:spacing w:line="600" w:lineRule="exact"/>
        <w:ind w:firstLine="640" w:firstLineChars="200"/>
        <w:rPr>
          <w:rFonts w:hint="default" w:ascii="仿宋" w:hAnsi="仿宋" w:eastAsia="仿宋" w:cs="仿宋"/>
          <w:b/>
          <w:color w:val="000000"/>
          <w:sz w:val="32"/>
          <w:szCs w:val="32"/>
          <w:highlight w:val="yellow"/>
          <w:lang w:val="en-US" w:eastAsia="zh-CN"/>
        </w:rPr>
      </w:pPr>
      <w:r>
        <w:rPr>
          <w:rFonts w:hint="eastAsia" w:ascii="仿宋" w:hAnsi="仿宋" w:eastAsia="仿宋" w:cs="仿宋"/>
          <w:color w:val="000000"/>
          <w:sz w:val="32"/>
          <w:szCs w:val="32"/>
        </w:rPr>
        <w:t>其中：</w:t>
      </w:r>
      <w:r>
        <w:rPr>
          <w:rFonts w:hint="eastAsia" w:ascii="仿宋" w:hAnsi="仿宋" w:eastAsia="仿宋" w:cs="仿宋"/>
          <w:b/>
          <w:color w:val="000000"/>
          <w:sz w:val="32"/>
          <w:szCs w:val="32"/>
        </w:rPr>
        <w:t>公务用车购置支出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万元。全年按规定更新购置公务用车</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辆，金额</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万元。截至2020年12月底，</w:t>
      </w:r>
      <w:r>
        <w:rPr>
          <w:rFonts w:hint="eastAsia" w:ascii="仿宋" w:hAnsi="仿宋" w:eastAsia="仿宋" w:cs="仿宋"/>
          <w:color w:val="000000"/>
          <w:sz w:val="32"/>
          <w:szCs w:val="32"/>
          <w:highlight w:val="none"/>
        </w:rPr>
        <w:t>单位共有公务用车</w:t>
      </w:r>
      <w:r>
        <w:rPr>
          <w:rFonts w:hint="eastAsia" w:ascii="仿宋" w:hAnsi="仿宋" w:eastAsia="仿宋" w:cs="仿宋"/>
          <w:color w:val="000000"/>
          <w:sz w:val="32"/>
          <w:szCs w:val="32"/>
          <w:highlight w:val="none"/>
          <w:lang w:val="en-US" w:eastAsia="zh-CN"/>
        </w:rPr>
        <w:t>2</w:t>
      </w:r>
      <w:r>
        <w:rPr>
          <w:rFonts w:hint="eastAsia" w:ascii="仿宋" w:hAnsi="仿宋" w:eastAsia="仿宋" w:cs="仿宋"/>
          <w:color w:val="000000"/>
          <w:sz w:val="32"/>
          <w:szCs w:val="32"/>
          <w:highlight w:val="none"/>
        </w:rPr>
        <w:t>辆</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其中：其他用车2辆。</w:t>
      </w:r>
    </w:p>
    <w:p>
      <w:pPr>
        <w:spacing w:line="600" w:lineRule="exact"/>
        <w:ind w:firstLine="640"/>
        <w:rPr>
          <w:rFonts w:hint="eastAsia" w:ascii="仿宋" w:hAnsi="仿宋" w:eastAsia="仿宋" w:cs="仿宋"/>
          <w:color w:val="000000"/>
          <w:sz w:val="32"/>
          <w:szCs w:val="32"/>
        </w:rPr>
      </w:pPr>
      <w:r>
        <w:rPr>
          <w:rFonts w:hint="eastAsia" w:ascii="仿宋" w:hAnsi="仿宋" w:eastAsia="仿宋" w:cs="仿宋"/>
          <w:b/>
          <w:color w:val="000000"/>
          <w:sz w:val="32"/>
          <w:szCs w:val="32"/>
        </w:rPr>
        <w:t>公务用车运行维护费支出</w:t>
      </w:r>
      <w:r>
        <w:rPr>
          <w:rFonts w:hint="eastAsia" w:ascii="仿宋" w:hAnsi="仿宋" w:eastAsia="仿宋" w:cs="仿宋"/>
          <w:color w:val="000000"/>
          <w:sz w:val="32"/>
          <w:szCs w:val="32"/>
          <w:lang w:val="en-US" w:eastAsia="zh-CN"/>
        </w:rPr>
        <w:t>1.89</w:t>
      </w:r>
      <w:r>
        <w:rPr>
          <w:rFonts w:hint="eastAsia" w:ascii="仿宋" w:hAnsi="仿宋" w:eastAsia="仿宋" w:cs="仿宋"/>
          <w:color w:val="000000"/>
          <w:sz w:val="32"/>
          <w:szCs w:val="32"/>
        </w:rPr>
        <w:t>万元。主要用于</w:t>
      </w:r>
      <w:r>
        <w:rPr>
          <w:rFonts w:hint="eastAsia" w:ascii="仿宋" w:hAnsi="仿宋" w:eastAsia="仿宋" w:cs="仿宋"/>
          <w:color w:val="000000"/>
          <w:sz w:val="32"/>
          <w:szCs w:val="32"/>
          <w:lang w:val="en-US" w:eastAsia="zh-CN"/>
        </w:rPr>
        <w:t>保障机关及下属单位开展乡村振兴、环境治理、维稳等所需的公务用车燃料费、维修费、过路过桥费、保险费等支出</w:t>
      </w:r>
      <w:r>
        <w:rPr>
          <w:rFonts w:hint="eastAsia" w:ascii="仿宋" w:hAnsi="仿宋" w:eastAsia="仿宋" w:cs="仿宋"/>
          <w:color w:val="000000"/>
          <w:sz w:val="32"/>
          <w:szCs w:val="32"/>
        </w:rPr>
        <w:t>。</w:t>
      </w:r>
    </w:p>
    <w:p>
      <w:pPr>
        <w:spacing w:line="600" w:lineRule="exact"/>
        <w:ind w:firstLine="640"/>
        <w:rPr>
          <w:rFonts w:hint="eastAsia" w:ascii="仿宋" w:hAnsi="仿宋" w:eastAsia="仿宋" w:cs="仿宋"/>
          <w:color w:val="000000"/>
          <w:sz w:val="32"/>
          <w:szCs w:val="32"/>
          <w:highlight w:val="none"/>
        </w:rPr>
      </w:pPr>
      <w:r>
        <w:rPr>
          <w:rFonts w:hint="eastAsia" w:ascii="仿宋" w:hAnsi="仿宋" w:eastAsia="仿宋" w:cs="仿宋"/>
          <w:b/>
          <w:color w:val="000000"/>
          <w:sz w:val="32"/>
          <w:szCs w:val="32"/>
        </w:rPr>
        <w:t>3.公务接待费支出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Style w:val="11"/>
          <w:rFonts w:hint="eastAsia" w:ascii="仿宋" w:hAnsi="仿宋" w:eastAsia="仿宋" w:cs="仿宋"/>
          <w:b w:val="0"/>
          <w:bCs/>
          <w:color w:val="000000"/>
          <w:sz w:val="32"/>
          <w:szCs w:val="32"/>
        </w:rPr>
        <w:t>完成预算</w:t>
      </w:r>
      <w:r>
        <w:rPr>
          <w:rStyle w:val="11"/>
          <w:rFonts w:hint="eastAsia" w:ascii="仿宋" w:hAnsi="仿宋" w:eastAsia="仿宋" w:cs="仿宋"/>
          <w:b w:val="0"/>
          <w:bCs/>
          <w:color w:val="000000"/>
          <w:sz w:val="32"/>
          <w:szCs w:val="32"/>
          <w:lang w:val="en-US" w:eastAsia="zh-CN"/>
        </w:rPr>
        <w:t>0</w:t>
      </w:r>
      <w:r>
        <w:rPr>
          <w:rStyle w:val="11"/>
          <w:rFonts w:hint="eastAsia" w:ascii="仿宋" w:hAnsi="仿宋" w:eastAsia="仿宋" w:cs="仿宋"/>
          <w:b w:val="0"/>
          <w:bCs/>
          <w:color w:val="000000"/>
          <w:sz w:val="32"/>
          <w:szCs w:val="32"/>
        </w:rPr>
        <w:t>%。</w:t>
      </w:r>
      <w:r>
        <w:rPr>
          <w:rFonts w:hint="eastAsia" w:ascii="仿宋" w:hAnsi="仿宋" w:eastAsia="仿宋" w:cs="仿宋"/>
          <w:color w:val="000000"/>
          <w:sz w:val="32"/>
          <w:szCs w:val="32"/>
        </w:rPr>
        <w:t>公务接待费支出决算比2019年</w:t>
      </w:r>
      <w:r>
        <w:rPr>
          <w:rFonts w:hint="eastAsia" w:ascii="仿宋" w:hAnsi="仿宋" w:eastAsia="仿宋" w:cs="仿宋"/>
          <w:color w:val="000000"/>
          <w:sz w:val="32"/>
          <w:szCs w:val="32"/>
          <w:highlight w:val="none"/>
        </w:rPr>
        <w:t>增加</w:t>
      </w:r>
      <w:r>
        <w:rPr>
          <w:rFonts w:hint="eastAsia" w:ascii="仿宋" w:hAnsi="仿宋" w:eastAsia="仿宋" w:cs="仿宋"/>
          <w:color w:val="000000"/>
          <w:sz w:val="32"/>
          <w:szCs w:val="32"/>
          <w:highlight w:val="none"/>
          <w:lang w:val="en-US" w:eastAsia="zh-CN"/>
        </w:rPr>
        <w:t>0</w:t>
      </w:r>
      <w:r>
        <w:rPr>
          <w:rFonts w:hint="eastAsia" w:ascii="仿宋" w:hAnsi="仿宋" w:eastAsia="仿宋" w:cs="仿宋"/>
          <w:color w:val="000000"/>
          <w:sz w:val="32"/>
          <w:szCs w:val="32"/>
          <w:highlight w:val="none"/>
        </w:rPr>
        <w:t>万元，增长</w:t>
      </w:r>
      <w:r>
        <w:rPr>
          <w:rFonts w:hint="eastAsia" w:ascii="仿宋" w:hAnsi="仿宋" w:eastAsia="仿宋" w:cs="仿宋"/>
          <w:color w:val="000000"/>
          <w:sz w:val="32"/>
          <w:szCs w:val="32"/>
          <w:highlight w:val="none"/>
          <w:lang w:val="en-US" w:eastAsia="zh-CN"/>
        </w:rPr>
        <w:t>0</w:t>
      </w:r>
      <w:r>
        <w:rPr>
          <w:rFonts w:hint="eastAsia" w:ascii="仿宋" w:hAnsi="仿宋" w:eastAsia="仿宋" w:cs="仿宋"/>
          <w:color w:val="000000"/>
          <w:sz w:val="32"/>
          <w:szCs w:val="32"/>
          <w:highlight w:val="none"/>
        </w:rPr>
        <w:t>%。其中：</w:t>
      </w:r>
    </w:p>
    <w:p>
      <w:pPr>
        <w:spacing w:line="600" w:lineRule="exact"/>
        <w:ind w:firstLine="640"/>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highlight w:val="none"/>
        </w:rPr>
        <w:t>国内公务接待支出</w:t>
      </w:r>
      <w:r>
        <w:rPr>
          <w:rFonts w:hint="eastAsia" w:ascii="仿宋" w:hAnsi="仿宋" w:eastAsia="仿宋" w:cs="仿宋"/>
          <w:color w:val="000000"/>
          <w:sz w:val="32"/>
          <w:szCs w:val="32"/>
          <w:highlight w:val="none"/>
          <w:lang w:val="en-US" w:eastAsia="zh-CN"/>
        </w:rPr>
        <w:t>0</w:t>
      </w:r>
      <w:r>
        <w:rPr>
          <w:rFonts w:hint="eastAsia" w:ascii="仿宋" w:hAnsi="仿宋" w:eastAsia="仿宋" w:cs="仿宋"/>
          <w:color w:val="000000"/>
          <w:sz w:val="32"/>
          <w:szCs w:val="32"/>
          <w:highlight w:val="none"/>
        </w:rPr>
        <w:t>万元。国内公务接</w:t>
      </w:r>
      <w:r>
        <w:rPr>
          <w:rFonts w:hint="eastAsia" w:ascii="仿宋" w:hAnsi="仿宋" w:eastAsia="仿宋" w:cs="仿宋"/>
          <w:color w:val="000000"/>
          <w:sz w:val="32"/>
          <w:szCs w:val="32"/>
        </w:rPr>
        <w:t>待</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批次，</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人次（不包括陪同人员），共计支出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w:t>
      </w:r>
    </w:p>
    <w:p>
      <w:pPr>
        <w:spacing w:line="600" w:lineRule="exact"/>
        <w:ind w:firstLine="643" w:firstLineChars="200"/>
        <w:rPr>
          <w:rFonts w:ascii="黑体" w:eastAsia="黑体"/>
          <w:color w:val="000000"/>
          <w:sz w:val="32"/>
          <w:szCs w:val="32"/>
        </w:rPr>
      </w:pPr>
      <w:r>
        <w:rPr>
          <w:rFonts w:hint="eastAsia" w:ascii="仿宋" w:hAnsi="仿宋" w:eastAsia="仿宋" w:cs="仿宋"/>
          <w:b/>
          <w:color w:val="000000"/>
          <w:sz w:val="32"/>
          <w:szCs w:val="32"/>
        </w:rPr>
        <w:t>外事接待支出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万元，外事接待</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批次，</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人，共计支出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w:t>
      </w:r>
      <w:bookmarkStart w:id="47" w:name="_Toc15396610"/>
      <w:bookmarkStart w:id="48" w:name="_Toc15377218"/>
    </w:p>
    <w:p>
      <w:pPr>
        <w:spacing w:line="600" w:lineRule="exact"/>
        <w:ind w:firstLine="640"/>
        <w:outlineLvl w:val="1"/>
        <w:rPr>
          <w:rStyle w:val="14"/>
          <w:rFonts w:ascii="黑体" w:hAnsi="黑体" w:eastAsia="黑体"/>
        </w:rPr>
      </w:pPr>
      <w:bookmarkStart w:id="49" w:name="_Toc9843"/>
      <w:r>
        <w:rPr>
          <w:rFonts w:hint="eastAsia" w:ascii="黑体" w:eastAsia="黑体"/>
          <w:color w:val="000000"/>
          <w:sz w:val="32"/>
          <w:szCs w:val="32"/>
        </w:rPr>
        <w:t>八、</w:t>
      </w:r>
      <w:r>
        <w:rPr>
          <w:rStyle w:val="14"/>
          <w:rFonts w:hint="eastAsia" w:ascii="黑体" w:hAnsi="黑体" w:eastAsia="黑体"/>
          <w:b w:val="0"/>
        </w:rPr>
        <w:t>政府性基金预算支出决算情况说明</w:t>
      </w:r>
      <w:bookmarkEnd w:id="47"/>
      <w:bookmarkEnd w:id="48"/>
      <w:bookmarkEnd w:id="49"/>
    </w:p>
    <w:p>
      <w:pPr>
        <w:spacing w:line="600" w:lineRule="exact"/>
        <w:ind w:firstLine="640"/>
        <w:rPr>
          <w:rFonts w:ascii="仿宋_GB2312" w:eastAsia="仿宋_GB2312"/>
          <w:color w:val="000000"/>
          <w:sz w:val="32"/>
          <w:szCs w:val="32"/>
        </w:rPr>
      </w:pPr>
      <w:r>
        <w:rPr>
          <w:rFonts w:hint="eastAsia" w:ascii="仿宋" w:hAnsi="仿宋" w:eastAsia="仿宋" w:cs="仿宋"/>
          <w:color w:val="000000"/>
          <w:sz w:val="32"/>
          <w:szCs w:val="32"/>
        </w:rPr>
        <w:t>2020年政府性基金预算拨款支出</w:t>
      </w:r>
      <w:r>
        <w:rPr>
          <w:rFonts w:hint="eastAsia" w:ascii="仿宋" w:hAnsi="仿宋" w:eastAsia="仿宋" w:cs="仿宋"/>
          <w:color w:val="000000"/>
          <w:sz w:val="32"/>
          <w:szCs w:val="32"/>
          <w:lang w:val="en-US" w:eastAsia="zh-CN"/>
        </w:rPr>
        <w:t>3020</w:t>
      </w:r>
      <w:r>
        <w:rPr>
          <w:rFonts w:hint="eastAsia" w:ascii="仿宋" w:hAnsi="仿宋" w:eastAsia="仿宋" w:cs="仿宋"/>
          <w:color w:val="000000"/>
          <w:sz w:val="32"/>
          <w:szCs w:val="32"/>
        </w:rPr>
        <w:t>万元。</w:t>
      </w:r>
    </w:p>
    <w:p>
      <w:pPr>
        <w:numPr>
          <w:ilvl w:val="0"/>
          <w:numId w:val="2"/>
        </w:numPr>
        <w:spacing w:line="600" w:lineRule="exact"/>
        <w:ind w:firstLine="640"/>
        <w:outlineLvl w:val="1"/>
        <w:rPr>
          <w:rStyle w:val="14"/>
          <w:rFonts w:ascii="黑体" w:hAnsi="黑体" w:eastAsia="黑体"/>
          <w:b w:val="0"/>
        </w:rPr>
      </w:pPr>
      <w:bookmarkStart w:id="50" w:name="_Toc10775"/>
      <w:bookmarkStart w:id="51" w:name="_Toc15396611"/>
      <w:bookmarkStart w:id="52" w:name="_Toc15377219"/>
      <w:r>
        <w:rPr>
          <w:rStyle w:val="14"/>
          <w:rFonts w:hint="eastAsia" w:ascii="黑体" w:hAnsi="黑体" w:eastAsia="黑体"/>
          <w:b w:val="0"/>
        </w:rPr>
        <w:t>国有资本经营预算支出决算情况说明</w:t>
      </w:r>
      <w:bookmarkEnd w:id="50"/>
      <w:bookmarkEnd w:id="51"/>
      <w:bookmarkEnd w:id="52"/>
    </w:p>
    <w:p>
      <w:pPr>
        <w:spacing w:line="600" w:lineRule="exact"/>
        <w:ind w:firstLine="640"/>
        <w:rPr>
          <w:rFonts w:ascii="方正小标宋简体" w:hAnsi="方正小标宋简体" w:eastAsia="方正小标宋简体" w:cs="方正小标宋简体"/>
          <w:sz w:val="44"/>
          <w:szCs w:val="44"/>
        </w:rPr>
      </w:pPr>
      <w:r>
        <w:rPr>
          <w:rFonts w:hint="eastAsia" w:ascii="仿宋" w:hAnsi="仿宋" w:eastAsia="仿宋" w:cs="仿宋"/>
          <w:color w:val="000000"/>
          <w:sz w:val="32"/>
          <w:szCs w:val="32"/>
        </w:rPr>
        <w:t>2020年国有资本经营预算拨款支出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p>
    <w:p>
      <w:pPr>
        <w:spacing w:line="600" w:lineRule="exact"/>
        <w:ind w:firstLine="800" w:firstLineChars="250"/>
        <w:outlineLvl w:val="1"/>
        <w:rPr>
          <w:rStyle w:val="14"/>
          <w:rFonts w:ascii="黑体" w:hAnsi="黑体" w:eastAsia="黑体"/>
        </w:rPr>
      </w:pPr>
      <w:bookmarkStart w:id="53" w:name="_Toc15396612"/>
      <w:bookmarkStart w:id="54" w:name="_Toc738"/>
      <w:bookmarkStart w:id="55" w:name="_Toc15377221"/>
      <w:r>
        <w:rPr>
          <w:rFonts w:hint="eastAsia" w:ascii="黑体" w:hAnsi="黑体" w:eastAsia="黑体"/>
          <w:color w:val="000000"/>
          <w:sz w:val="32"/>
          <w:szCs w:val="32"/>
        </w:rPr>
        <w:t>十</w:t>
      </w:r>
      <w:r>
        <w:rPr>
          <w:rStyle w:val="14"/>
          <w:rFonts w:hint="eastAsia" w:ascii="黑体" w:hAnsi="黑体" w:eastAsia="黑体"/>
        </w:rPr>
        <w:t>、</w:t>
      </w:r>
      <w:r>
        <w:rPr>
          <w:rStyle w:val="14"/>
          <w:rFonts w:hint="eastAsia" w:ascii="黑体" w:hAnsi="黑体" w:eastAsia="黑体"/>
          <w:b w:val="0"/>
        </w:rPr>
        <w:t>其他重要事项的情况说明</w:t>
      </w:r>
      <w:bookmarkEnd w:id="53"/>
      <w:bookmarkEnd w:id="54"/>
      <w:bookmarkEnd w:id="55"/>
    </w:p>
    <w:p>
      <w:pPr>
        <w:spacing w:line="600" w:lineRule="exact"/>
        <w:ind w:firstLine="643" w:firstLineChars="200"/>
        <w:outlineLvl w:val="2"/>
        <w:rPr>
          <w:rFonts w:ascii="仿宋" w:hAnsi="仿宋" w:eastAsia="仿宋"/>
          <w:color w:val="000000"/>
          <w:sz w:val="32"/>
          <w:szCs w:val="32"/>
        </w:rPr>
      </w:pPr>
      <w:bookmarkStart w:id="56" w:name="_Toc15377222"/>
      <w:r>
        <w:rPr>
          <w:rFonts w:hint="eastAsia" w:ascii="仿宋" w:hAnsi="仿宋" w:eastAsia="仿宋"/>
          <w:b/>
          <w:color w:val="000000"/>
          <w:sz w:val="32"/>
          <w:szCs w:val="32"/>
        </w:rPr>
        <w:t>（一）机关运行经费支出情况</w:t>
      </w:r>
      <w:bookmarkEnd w:id="56"/>
    </w:p>
    <w:p>
      <w:pPr>
        <w:spacing w:line="600" w:lineRule="exact"/>
        <w:ind w:firstLine="640" w:firstLineChars="200"/>
        <w:rPr>
          <w:rFonts w:hint="default" w:ascii="仿宋_GB2312" w:eastAsia="仿宋_GB2312"/>
          <w:color w:val="000000"/>
          <w:sz w:val="32"/>
          <w:szCs w:val="32"/>
          <w:highlight w:val="none"/>
          <w:lang w:val="en-US" w:eastAsia="zh-CN"/>
        </w:rPr>
      </w:pPr>
      <w:r>
        <w:rPr>
          <w:rFonts w:ascii="仿宋_GB2312" w:eastAsia="仿宋_GB2312"/>
          <w:color w:val="000000"/>
          <w:sz w:val="32"/>
          <w:szCs w:val="32"/>
          <w:highlight w:val="none"/>
        </w:rPr>
        <w:t>2020</w:t>
      </w:r>
      <w:r>
        <w:rPr>
          <w:rFonts w:hint="eastAsia" w:ascii="仿宋_GB2312" w:eastAsia="仿宋_GB2312"/>
          <w:color w:val="000000"/>
          <w:sz w:val="32"/>
          <w:szCs w:val="32"/>
          <w:highlight w:val="none"/>
        </w:rPr>
        <w:t>年，</w:t>
      </w:r>
      <w:r>
        <w:rPr>
          <w:rFonts w:hint="eastAsia" w:ascii="仿宋_GB2312"/>
          <w:color w:val="000000"/>
          <w:sz w:val="32"/>
          <w:szCs w:val="32"/>
          <w:highlight w:val="none"/>
          <w:lang w:val="en-US" w:eastAsia="zh-CN"/>
        </w:rPr>
        <w:t>舒坪街道办事处机关</w:t>
      </w:r>
      <w:r>
        <w:rPr>
          <w:rFonts w:hint="eastAsia" w:ascii="仿宋_GB2312" w:eastAsia="仿宋_GB2312"/>
          <w:color w:val="000000"/>
          <w:sz w:val="32"/>
          <w:szCs w:val="32"/>
          <w:highlight w:val="none"/>
        </w:rPr>
        <w:t>运行经费支出</w:t>
      </w:r>
      <w:r>
        <w:rPr>
          <w:rFonts w:hint="eastAsia" w:ascii="仿宋_GB2312"/>
          <w:color w:val="000000"/>
          <w:sz w:val="32"/>
          <w:szCs w:val="32"/>
          <w:highlight w:val="none"/>
          <w:lang w:val="en-US" w:eastAsia="zh-CN"/>
        </w:rPr>
        <w:t>263.68</w:t>
      </w:r>
      <w:r>
        <w:rPr>
          <w:rFonts w:hint="eastAsia" w:ascii="仿宋_GB2312" w:eastAsia="仿宋_GB2312"/>
          <w:color w:val="000000"/>
          <w:sz w:val="32"/>
          <w:szCs w:val="32"/>
          <w:highlight w:val="none"/>
        </w:rPr>
        <w:t>万元，比</w:t>
      </w:r>
      <w:r>
        <w:rPr>
          <w:rFonts w:ascii="仿宋_GB2312" w:eastAsia="仿宋_GB2312"/>
          <w:color w:val="000000"/>
          <w:sz w:val="32"/>
          <w:szCs w:val="32"/>
          <w:highlight w:val="none"/>
        </w:rPr>
        <w:t>2019</w:t>
      </w:r>
      <w:r>
        <w:rPr>
          <w:rFonts w:hint="eastAsia" w:ascii="仿宋_GB2312" w:eastAsia="仿宋_GB2312"/>
          <w:color w:val="000000"/>
          <w:sz w:val="32"/>
          <w:szCs w:val="32"/>
          <w:highlight w:val="none"/>
        </w:rPr>
        <w:t>年减少</w:t>
      </w:r>
      <w:r>
        <w:rPr>
          <w:rFonts w:hint="eastAsia" w:ascii="仿宋_GB2312"/>
          <w:color w:val="000000"/>
          <w:sz w:val="32"/>
          <w:szCs w:val="32"/>
          <w:highlight w:val="none"/>
          <w:lang w:val="en-US" w:eastAsia="zh-CN"/>
        </w:rPr>
        <w:t>136.17</w:t>
      </w:r>
      <w:r>
        <w:rPr>
          <w:rFonts w:hint="eastAsia" w:ascii="仿宋_GB2312" w:eastAsia="仿宋_GB2312"/>
          <w:color w:val="000000"/>
          <w:sz w:val="32"/>
          <w:szCs w:val="32"/>
          <w:highlight w:val="none"/>
        </w:rPr>
        <w:t>万元，下降</w:t>
      </w:r>
      <w:r>
        <w:rPr>
          <w:rFonts w:hint="eastAsia" w:ascii="仿宋_GB2312"/>
          <w:color w:val="000000"/>
          <w:sz w:val="32"/>
          <w:szCs w:val="32"/>
          <w:highlight w:val="none"/>
          <w:lang w:val="en-US" w:eastAsia="zh-CN"/>
        </w:rPr>
        <w:t>34.06</w:t>
      </w:r>
      <w:r>
        <w:rPr>
          <w:rFonts w:ascii="仿宋_GB2312" w:eastAsia="仿宋_GB2312"/>
          <w:color w:val="000000"/>
          <w:sz w:val="32"/>
          <w:szCs w:val="32"/>
          <w:highlight w:val="none"/>
        </w:rPr>
        <w:t>%</w:t>
      </w:r>
      <w:r>
        <w:rPr>
          <w:rFonts w:hint="eastAsia" w:ascii="仿宋_GB2312"/>
          <w:color w:val="000000"/>
          <w:sz w:val="32"/>
          <w:szCs w:val="32"/>
          <w:highlight w:val="none"/>
          <w:lang w:eastAsia="zh-CN"/>
        </w:rPr>
        <w:t>。</w:t>
      </w:r>
      <w:r>
        <w:rPr>
          <w:rFonts w:hint="eastAsia" w:ascii="仿宋_GB2312" w:eastAsia="仿宋_GB2312"/>
          <w:color w:val="000000"/>
          <w:sz w:val="32"/>
          <w:szCs w:val="32"/>
          <w:highlight w:val="none"/>
        </w:rPr>
        <w:t>主要原因是</w:t>
      </w:r>
      <w:r>
        <w:rPr>
          <w:rFonts w:hint="eastAsia" w:ascii="仿宋_GB2312"/>
          <w:color w:val="000000"/>
          <w:sz w:val="32"/>
          <w:szCs w:val="32"/>
          <w:highlight w:val="none"/>
          <w:lang w:val="en-US" w:eastAsia="zh-CN"/>
        </w:rPr>
        <w:t>加强了管理。</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7" w:name="_Toc15377223"/>
      <w:r>
        <w:rPr>
          <w:rFonts w:hint="eastAsia" w:ascii="仿宋" w:hAnsi="仿宋" w:eastAsia="仿宋"/>
          <w:b/>
          <w:color w:val="000000"/>
          <w:sz w:val="32"/>
          <w:szCs w:val="32"/>
        </w:rPr>
        <w:t>（二）政府采购支出情况</w:t>
      </w:r>
      <w:bookmarkEnd w:id="57"/>
    </w:p>
    <w:p>
      <w:pPr>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2020年，</w:t>
      </w:r>
      <w:r>
        <w:rPr>
          <w:rFonts w:hint="eastAsia" w:ascii="仿宋" w:hAnsi="仿宋" w:eastAsia="仿宋" w:cs="仿宋"/>
          <w:color w:val="000000"/>
          <w:sz w:val="32"/>
          <w:szCs w:val="32"/>
          <w:highlight w:val="none"/>
          <w:lang w:val="en-US" w:eastAsia="zh-CN"/>
        </w:rPr>
        <w:t>舒坪街道办事处</w:t>
      </w:r>
      <w:r>
        <w:rPr>
          <w:rFonts w:hint="eastAsia" w:ascii="仿宋" w:hAnsi="仿宋" w:eastAsia="仿宋" w:cs="仿宋"/>
          <w:color w:val="000000"/>
          <w:sz w:val="32"/>
          <w:szCs w:val="32"/>
          <w:highlight w:val="none"/>
        </w:rPr>
        <w:t>政府采购支出总额</w:t>
      </w:r>
      <w:r>
        <w:rPr>
          <w:rFonts w:hint="eastAsia" w:ascii="仿宋" w:hAnsi="仿宋" w:eastAsia="仿宋" w:cs="仿宋"/>
          <w:color w:val="000000"/>
          <w:sz w:val="32"/>
          <w:szCs w:val="32"/>
          <w:highlight w:val="none"/>
          <w:lang w:val="en-US" w:eastAsia="zh-CN"/>
        </w:rPr>
        <w:t>17.24</w:t>
      </w:r>
      <w:r>
        <w:rPr>
          <w:rFonts w:hint="eastAsia" w:ascii="仿宋" w:hAnsi="仿宋" w:eastAsia="仿宋" w:cs="仿宋"/>
          <w:color w:val="000000"/>
          <w:sz w:val="32"/>
          <w:szCs w:val="32"/>
          <w:highlight w:val="none"/>
        </w:rPr>
        <w:t>万元，其中：政府采购货物支出</w:t>
      </w:r>
      <w:r>
        <w:rPr>
          <w:rFonts w:hint="eastAsia" w:ascii="仿宋" w:hAnsi="仿宋" w:eastAsia="仿宋" w:cs="仿宋"/>
          <w:color w:val="000000"/>
          <w:sz w:val="32"/>
          <w:szCs w:val="32"/>
          <w:highlight w:val="none"/>
          <w:lang w:val="en-US" w:eastAsia="zh-CN"/>
        </w:rPr>
        <w:t>1.06</w:t>
      </w:r>
      <w:r>
        <w:rPr>
          <w:rFonts w:hint="eastAsia" w:ascii="仿宋" w:hAnsi="仿宋" w:eastAsia="仿宋" w:cs="仿宋"/>
          <w:color w:val="000000"/>
          <w:sz w:val="32"/>
          <w:szCs w:val="32"/>
          <w:highlight w:val="none"/>
        </w:rPr>
        <w:t>万元、政府采购工程支出</w:t>
      </w:r>
      <w:r>
        <w:rPr>
          <w:rFonts w:hint="eastAsia" w:ascii="仿宋" w:hAnsi="仿宋" w:eastAsia="仿宋" w:cs="仿宋"/>
          <w:color w:val="000000"/>
          <w:sz w:val="32"/>
          <w:szCs w:val="32"/>
          <w:highlight w:val="none"/>
          <w:lang w:val="en-US" w:eastAsia="zh-CN"/>
        </w:rPr>
        <w:t>16.18</w:t>
      </w:r>
      <w:r>
        <w:rPr>
          <w:rFonts w:hint="eastAsia" w:ascii="仿宋" w:hAnsi="仿宋" w:eastAsia="仿宋" w:cs="仿宋"/>
          <w:color w:val="000000"/>
          <w:sz w:val="32"/>
          <w:szCs w:val="32"/>
          <w:highlight w:val="none"/>
        </w:rPr>
        <w:t>万元、政府采购服务支出</w:t>
      </w:r>
      <w:r>
        <w:rPr>
          <w:rFonts w:hint="eastAsia" w:ascii="仿宋" w:hAnsi="仿宋" w:eastAsia="仿宋" w:cs="仿宋"/>
          <w:color w:val="000000"/>
          <w:sz w:val="32"/>
          <w:szCs w:val="32"/>
          <w:highlight w:val="none"/>
          <w:lang w:val="en-US" w:eastAsia="zh-CN"/>
        </w:rPr>
        <w:t>0</w:t>
      </w:r>
      <w:r>
        <w:rPr>
          <w:rFonts w:hint="eastAsia" w:ascii="仿宋" w:hAnsi="仿宋" w:eastAsia="仿宋" w:cs="仿宋"/>
          <w:color w:val="000000"/>
          <w:sz w:val="32"/>
          <w:szCs w:val="32"/>
          <w:highlight w:val="none"/>
        </w:rPr>
        <w:t>万元。主要用于</w:t>
      </w:r>
      <w:r>
        <w:rPr>
          <w:rFonts w:hint="eastAsia" w:ascii="仿宋" w:hAnsi="仿宋" w:eastAsia="仿宋" w:cs="仿宋"/>
          <w:color w:val="000000"/>
          <w:sz w:val="32"/>
          <w:szCs w:val="32"/>
          <w:highlight w:val="none"/>
          <w:lang w:val="en-US" w:eastAsia="zh-CN"/>
        </w:rPr>
        <w:t>日常采购办公电脑、打印机等设备、办公环境改造维护。</w:t>
      </w:r>
      <w:r>
        <w:rPr>
          <w:rFonts w:hint="eastAsia" w:ascii="仿宋" w:hAnsi="仿宋" w:eastAsia="仿宋" w:cs="仿宋"/>
          <w:color w:val="000000"/>
          <w:sz w:val="32"/>
          <w:szCs w:val="32"/>
          <w:highlight w:val="none"/>
        </w:rPr>
        <w:t>授予中小企业合同金额</w:t>
      </w:r>
      <w:r>
        <w:rPr>
          <w:rFonts w:hint="eastAsia" w:ascii="仿宋" w:hAnsi="仿宋" w:eastAsia="仿宋" w:cs="仿宋"/>
          <w:color w:val="000000"/>
          <w:sz w:val="32"/>
          <w:szCs w:val="32"/>
          <w:highlight w:val="none"/>
          <w:lang w:val="en-US" w:eastAsia="zh-CN"/>
        </w:rPr>
        <w:t>16.18</w:t>
      </w:r>
      <w:r>
        <w:rPr>
          <w:rFonts w:hint="eastAsia" w:ascii="仿宋" w:hAnsi="仿宋" w:eastAsia="仿宋" w:cs="仿宋"/>
          <w:color w:val="000000"/>
          <w:sz w:val="32"/>
          <w:szCs w:val="32"/>
          <w:highlight w:val="none"/>
        </w:rPr>
        <w:t>万元，占政府采购支出总额的</w:t>
      </w:r>
      <w:r>
        <w:rPr>
          <w:rFonts w:hint="eastAsia" w:ascii="仿宋" w:hAnsi="仿宋" w:eastAsia="仿宋" w:cs="仿宋"/>
          <w:color w:val="000000"/>
          <w:sz w:val="32"/>
          <w:szCs w:val="32"/>
          <w:highlight w:val="none"/>
          <w:lang w:val="en-US" w:eastAsia="zh-CN"/>
        </w:rPr>
        <w:t>93.85</w:t>
      </w:r>
      <w:r>
        <w:rPr>
          <w:rFonts w:hint="eastAsia" w:ascii="仿宋" w:hAnsi="仿宋" w:eastAsia="仿宋" w:cs="仿宋"/>
          <w:color w:val="000000"/>
          <w:sz w:val="32"/>
          <w:szCs w:val="32"/>
          <w:highlight w:val="none"/>
        </w:rPr>
        <w:t>%，其中：授予小微企业合同金额</w:t>
      </w:r>
      <w:r>
        <w:rPr>
          <w:rFonts w:hint="eastAsia" w:ascii="仿宋" w:hAnsi="仿宋" w:eastAsia="仿宋" w:cs="仿宋"/>
          <w:color w:val="000000"/>
          <w:sz w:val="32"/>
          <w:szCs w:val="32"/>
          <w:highlight w:val="none"/>
          <w:lang w:val="en-US" w:eastAsia="zh-CN"/>
        </w:rPr>
        <w:t>0</w:t>
      </w:r>
      <w:r>
        <w:rPr>
          <w:rFonts w:hint="eastAsia" w:ascii="仿宋" w:hAnsi="仿宋" w:eastAsia="仿宋" w:cs="仿宋"/>
          <w:color w:val="000000"/>
          <w:sz w:val="32"/>
          <w:szCs w:val="32"/>
          <w:highlight w:val="none"/>
        </w:rPr>
        <w:t>万元，占政府采购支出总额的</w:t>
      </w:r>
      <w:r>
        <w:rPr>
          <w:rFonts w:hint="eastAsia" w:ascii="仿宋" w:hAnsi="仿宋" w:eastAsia="仿宋" w:cs="仿宋"/>
          <w:color w:val="000000"/>
          <w:sz w:val="32"/>
          <w:szCs w:val="32"/>
          <w:highlight w:val="none"/>
          <w:lang w:val="en-US" w:eastAsia="zh-CN"/>
        </w:rPr>
        <w:t>0</w:t>
      </w:r>
      <w:r>
        <w:rPr>
          <w:rFonts w:hint="eastAsia" w:ascii="仿宋" w:hAnsi="仿宋" w:eastAsia="仿宋" w:cs="仿宋"/>
          <w:color w:val="000000"/>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8" w:name="_Toc15377224"/>
      <w:r>
        <w:rPr>
          <w:rFonts w:hint="eastAsia" w:ascii="仿宋" w:hAnsi="仿宋" w:eastAsia="仿宋"/>
          <w:b/>
          <w:color w:val="000000"/>
          <w:sz w:val="32"/>
          <w:szCs w:val="32"/>
        </w:rPr>
        <w:t>（三）国有资产占有使用情况</w:t>
      </w:r>
      <w:bookmarkEnd w:id="58"/>
    </w:p>
    <w:p>
      <w:pPr>
        <w:autoSpaceDE w:val="0"/>
        <w:autoSpaceDN w:val="0"/>
        <w:adjustRightInd w:val="0"/>
        <w:spacing w:line="60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截至2020年12月31日，</w:t>
      </w:r>
      <w:r>
        <w:rPr>
          <w:rFonts w:hint="eastAsia" w:ascii="仿宋" w:hAnsi="仿宋" w:eastAsia="仿宋" w:cs="仿宋"/>
          <w:color w:val="000000"/>
          <w:sz w:val="32"/>
          <w:szCs w:val="32"/>
          <w:highlight w:val="none"/>
          <w:lang w:val="en-US" w:eastAsia="zh-CN"/>
        </w:rPr>
        <w:t>舒坪街道办事处</w:t>
      </w:r>
      <w:r>
        <w:rPr>
          <w:rFonts w:hint="eastAsia" w:ascii="仿宋" w:hAnsi="仿宋" w:eastAsia="仿宋" w:cs="仿宋"/>
          <w:color w:val="000000"/>
          <w:sz w:val="32"/>
          <w:szCs w:val="32"/>
          <w:highlight w:val="none"/>
        </w:rPr>
        <w:t>共有车辆</w:t>
      </w:r>
      <w:r>
        <w:rPr>
          <w:rFonts w:hint="eastAsia" w:ascii="仿宋" w:hAnsi="仿宋" w:eastAsia="仿宋" w:cs="仿宋"/>
          <w:color w:val="000000"/>
          <w:sz w:val="32"/>
          <w:szCs w:val="32"/>
          <w:highlight w:val="none"/>
          <w:lang w:val="en-US" w:eastAsia="zh-CN"/>
        </w:rPr>
        <w:t>2</w:t>
      </w:r>
      <w:r>
        <w:rPr>
          <w:rFonts w:hint="eastAsia" w:ascii="仿宋" w:hAnsi="仿宋" w:eastAsia="仿宋" w:cs="仿宋"/>
          <w:color w:val="000000"/>
          <w:sz w:val="32"/>
          <w:szCs w:val="32"/>
          <w:highlight w:val="none"/>
        </w:rPr>
        <w:t>辆，</w:t>
      </w:r>
      <w:r>
        <w:rPr>
          <w:rFonts w:hint="eastAsia" w:ascii="仿宋" w:hAnsi="仿宋" w:eastAsia="仿宋" w:cs="仿宋"/>
          <w:color w:val="000000"/>
          <w:sz w:val="32"/>
          <w:szCs w:val="32"/>
        </w:rPr>
        <w:t>其中：主要领导干部用车</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辆、机要通信用车</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辆、应急保障用车</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辆、其他用车</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辆</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其他用车主要是用于</w:t>
      </w:r>
      <w:r>
        <w:rPr>
          <w:rFonts w:hint="eastAsia" w:ascii="仿宋" w:hAnsi="仿宋" w:eastAsia="仿宋" w:cs="仿宋"/>
          <w:color w:val="000000"/>
          <w:sz w:val="32"/>
          <w:szCs w:val="32"/>
          <w:lang w:val="en-US" w:eastAsia="zh-CN"/>
        </w:rPr>
        <w:t>一般公务用车1辆、其他用车1辆（环卫洒水车）。</w:t>
      </w:r>
      <w:r>
        <w:rPr>
          <w:rFonts w:hint="eastAsia" w:ascii="仿宋" w:hAnsi="仿宋" w:eastAsia="仿宋" w:cs="仿宋"/>
          <w:color w:val="000000"/>
          <w:sz w:val="32"/>
          <w:szCs w:val="32"/>
        </w:rPr>
        <w:t>单价50万元以上通用设备</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台（套），单价100万元以上专用设备</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台（套）。</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（四）预算绩效管理情况。</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根据预算绩效管理要求，本部门（单位）在年初预算编制阶段，组织对</w:t>
      </w:r>
      <w:r>
        <w:rPr>
          <w:rFonts w:hint="eastAsia" w:ascii="仿宋" w:hAnsi="仿宋" w:eastAsia="仿宋" w:cs="仿宋"/>
          <w:sz w:val="32"/>
          <w:szCs w:val="32"/>
          <w:lang w:val="en-US" w:eastAsia="zh-CN"/>
        </w:rPr>
        <w:t>部门整体绩效、部门整体任务</w:t>
      </w:r>
      <w:r>
        <w:rPr>
          <w:rFonts w:hint="eastAsia" w:ascii="仿宋" w:hAnsi="仿宋" w:eastAsia="仿宋" w:cs="仿宋"/>
          <w:sz w:val="32"/>
          <w:szCs w:val="32"/>
        </w:rPr>
        <w:t>开展了预算事前绩效评估，编制了绩效目标，预算执行过程中，开展绩效监控，年终执行完毕后，开展了绩效目标完成情况自评。</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本部门按要求对2020年部门整体支出开展绩效自评，从评价情况来看</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总体</w:t>
      </w:r>
      <w:r>
        <w:rPr>
          <w:rFonts w:hint="eastAsia" w:ascii="仿宋" w:hAnsi="仿宋" w:eastAsia="仿宋" w:cs="仿宋"/>
          <w:sz w:val="32"/>
          <w:szCs w:val="32"/>
        </w:rPr>
        <w:t>目标、群众满意度、时效、质量等指标完成情况为100%，极大改善群众生活环境，提升群众安全感、幸福感。本部门无</w:t>
      </w:r>
      <w:r>
        <w:rPr>
          <w:rFonts w:hint="eastAsia" w:ascii="仿宋" w:hAnsi="仿宋" w:eastAsia="仿宋" w:cs="仿宋"/>
          <w:sz w:val="32"/>
          <w:szCs w:val="32"/>
          <w:lang w:val="en-US" w:eastAsia="zh-CN"/>
        </w:rPr>
        <w:t>专项</w:t>
      </w:r>
      <w:r>
        <w:rPr>
          <w:rFonts w:hint="eastAsia" w:ascii="仿宋" w:hAnsi="仿宋" w:eastAsia="仿宋" w:cs="仿宋"/>
          <w:sz w:val="32"/>
          <w:szCs w:val="32"/>
        </w:rPr>
        <w:t>预算项目，因此未组织开展项目支出绩效评价。</w:t>
      </w:r>
    </w:p>
    <w:p>
      <w:pPr>
        <w:numPr>
          <w:ilvl w:val="0"/>
          <w:numId w:val="3"/>
        </w:numPr>
        <w:spacing w:line="58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项目绩效目标完成情况。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本部门在</w:t>
      </w:r>
      <w:r>
        <w:rPr>
          <w:rFonts w:ascii="仿宋_GB2312" w:hAnsi="仿宋_GB2312" w:eastAsia="仿宋_GB2312" w:cs="仿宋_GB2312"/>
          <w:sz w:val="32"/>
          <w:szCs w:val="32"/>
          <w:highlight w:val="none"/>
        </w:rPr>
        <w:t>2020</w:t>
      </w:r>
      <w:r>
        <w:rPr>
          <w:rFonts w:hint="eastAsia" w:ascii="仿宋_GB2312" w:hAnsi="仿宋_GB2312" w:eastAsia="仿宋_GB2312" w:cs="仿宋_GB2312"/>
          <w:sz w:val="32"/>
          <w:szCs w:val="32"/>
          <w:highlight w:val="none"/>
        </w:rPr>
        <w:t>年度部门决算中反映</w:t>
      </w:r>
      <w:r>
        <w:rPr>
          <w:rFonts w:hint="eastAsia" w:ascii="仿宋_GB2312" w:hAnsi="仿宋_GB2312" w:cs="仿宋_GB2312"/>
          <w:sz w:val="32"/>
          <w:szCs w:val="32"/>
          <w:highlight w:val="none"/>
          <w:lang w:val="en-US" w:eastAsia="zh-CN"/>
        </w:rPr>
        <w:t>“基层政权建设和社区治理”、“水体”、“对村级一事一议的补助”、“城市基础设施配套费安排的支出”、“其他政府性基金及对应专项债务收入安排的支出”等5个</w:t>
      </w:r>
      <w:r>
        <w:rPr>
          <w:rFonts w:hint="eastAsia" w:ascii="仿宋_GB2312" w:hAnsi="仿宋_GB2312" w:eastAsia="仿宋_GB2312" w:cs="仿宋_GB2312"/>
          <w:sz w:val="32"/>
          <w:szCs w:val="32"/>
          <w:highlight w:val="none"/>
        </w:rPr>
        <w:t>实际完成情况。</w:t>
      </w:r>
    </w:p>
    <w:p>
      <w:pPr>
        <w:numPr>
          <w:ilvl w:val="0"/>
          <w:numId w:val="4"/>
        </w:num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cs="仿宋_GB2312"/>
          <w:sz w:val="32"/>
          <w:szCs w:val="32"/>
          <w:highlight w:val="none"/>
          <w:lang w:val="en-US" w:eastAsia="zh-CN"/>
        </w:rPr>
        <w:t>“基层政权建设和社区治理”</w:t>
      </w:r>
      <w:r>
        <w:rPr>
          <w:rFonts w:hint="eastAsia" w:ascii="仿宋_GB2312" w:hAnsi="仿宋_GB2312" w:eastAsia="仿宋_GB2312" w:cs="仿宋_GB2312"/>
          <w:sz w:val="32"/>
          <w:szCs w:val="32"/>
          <w:highlight w:val="none"/>
        </w:rPr>
        <w:t>项目绩效目标完成情况综述。项目全年预算数</w:t>
      </w:r>
      <w:r>
        <w:rPr>
          <w:rFonts w:hint="eastAsia" w:ascii="仿宋_GB2312" w:hAnsi="仿宋_GB2312" w:cs="仿宋_GB2312"/>
          <w:sz w:val="32"/>
          <w:szCs w:val="32"/>
          <w:highlight w:val="none"/>
          <w:lang w:val="en-US" w:eastAsia="zh-CN"/>
        </w:rPr>
        <w:t>47.7</w:t>
      </w:r>
      <w:r>
        <w:rPr>
          <w:rFonts w:hint="eastAsia" w:ascii="仿宋_GB2312" w:hAnsi="仿宋_GB2312" w:eastAsia="仿宋_GB2312" w:cs="仿宋_GB2312"/>
          <w:sz w:val="32"/>
          <w:szCs w:val="32"/>
          <w:highlight w:val="none"/>
        </w:rPr>
        <w:t>万元，执行数为</w:t>
      </w:r>
      <w:r>
        <w:rPr>
          <w:rFonts w:hint="eastAsia" w:ascii="仿宋_GB2312" w:hAnsi="仿宋_GB2312" w:cs="仿宋_GB2312"/>
          <w:sz w:val="32"/>
          <w:szCs w:val="32"/>
          <w:highlight w:val="none"/>
          <w:lang w:val="en-US" w:eastAsia="zh-CN"/>
        </w:rPr>
        <w:t>47.7</w:t>
      </w:r>
      <w:r>
        <w:rPr>
          <w:rFonts w:hint="eastAsia" w:ascii="仿宋_GB2312" w:hAnsi="仿宋_GB2312" w:eastAsia="仿宋_GB2312" w:cs="仿宋_GB2312"/>
          <w:sz w:val="32"/>
          <w:szCs w:val="32"/>
          <w:highlight w:val="none"/>
        </w:rPr>
        <w:t>万元，完成预算的</w:t>
      </w:r>
      <w:r>
        <w:rPr>
          <w:rFonts w:hint="eastAsia" w:ascii="仿宋_GB2312" w:hAnsi="仿宋_GB2312" w:cs="仿宋_GB2312"/>
          <w:sz w:val="32"/>
          <w:szCs w:val="32"/>
          <w:highlight w:val="none"/>
          <w:lang w:val="en-US" w:eastAsia="zh-CN"/>
        </w:rPr>
        <w:t>100</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。通过项目实施，</w:t>
      </w:r>
      <w:r>
        <w:rPr>
          <w:rFonts w:hint="eastAsia" w:ascii="仿宋_GB2312" w:hAnsi="仿宋_GB2312" w:cs="仿宋_GB2312"/>
          <w:sz w:val="32"/>
          <w:szCs w:val="32"/>
          <w:highlight w:val="none"/>
          <w:lang w:val="en-US" w:eastAsia="zh-CN"/>
        </w:rPr>
        <w:t>顺利完成2020年基层政权建设和社区治理工作。</w:t>
      </w:r>
    </w:p>
    <w:p>
      <w:pPr>
        <w:numPr>
          <w:ilvl w:val="0"/>
          <w:numId w:val="0"/>
        </w:numPr>
        <w:spacing w:line="58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w:t>
      </w:r>
      <w:r>
        <w:rPr>
          <w:rFonts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rPr>
        <w:t>）</w:t>
      </w:r>
      <w:r>
        <w:rPr>
          <w:rFonts w:hint="eastAsia" w:ascii="仿宋_GB2312" w:hAnsi="仿宋_GB2312" w:cs="仿宋_GB2312"/>
          <w:sz w:val="32"/>
          <w:szCs w:val="32"/>
          <w:highlight w:val="none"/>
          <w:lang w:val="en-US" w:eastAsia="zh-CN"/>
        </w:rPr>
        <w:t>“水体”</w:t>
      </w:r>
      <w:r>
        <w:rPr>
          <w:rFonts w:hint="eastAsia" w:ascii="仿宋_GB2312" w:hAnsi="仿宋_GB2312" w:eastAsia="仿宋_GB2312" w:cs="仿宋_GB2312"/>
          <w:sz w:val="32"/>
          <w:szCs w:val="32"/>
          <w:highlight w:val="none"/>
        </w:rPr>
        <w:t>项目绩效目标完成情况综述。项目全年预算数</w:t>
      </w:r>
      <w:r>
        <w:rPr>
          <w:rFonts w:hint="eastAsia" w:ascii="仿宋_GB2312" w:hAnsi="仿宋_GB2312" w:cs="仿宋_GB2312"/>
          <w:sz w:val="32"/>
          <w:szCs w:val="32"/>
          <w:highlight w:val="none"/>
          <w:lang w:val="en-US" w:eastAsia="zh-CN"/>
        </w:rPr>
        <w:t>25</w:t>
      </w:r>
      <w:r>
        <w:rPr>
          <w:rFonts w:hint="eastAsia" w:ascii="仿宋_GB2312" w:hAnsi="仿宋_GB2312" w:eastAsia="仿宋_GB2312" w:cs="仿宋_GB2312"/>
          <w:sz w:val="32"/>
          <w:szCs w:val="32"/>
          <w:highlight w:val="none"/>
        </w:rPr>
        <w:t>万元，执行数为</w:t>
      </w:r>
      <w:r>
        <w:rPr>
          <w:rFonts w:hint="eastAsia" w:ascii="仿宋_GB2312" w:hAnsi="仿宋_GB2312" w:cs="仿宋_GB2312"/>
          <w:sz w:val="32"/>
          <w:szCs w:val="32"/>
          <w:highlight w:val="none"/>
          <w:lang w:val="en-US" w:eastAsia="zh-CN"/>
        </w:rPr>
        <w:t>25</w:t>
      </w:r>
      <w:r>
        <w:rPr>
          <w:rFonts w:hint="eastAsia" w:ascii="仿宋_GB2312" w:hAnsi="仿宋_GB2312" w:eastAsia="仿宋_GB2312" w:cs="仿宋_GB2312"/>
          <w:sz w:val="32"/>
          <w:szCs w:val="32"/>
          <w:highlight w:val="none"/>
        </w:rPr>
        <w:t>万元，完成预算的</w:t>
      </w:r>
      <w:r>
        <w:rPr>
          <w:rFonts w:hint="eastAsia" w:ascii="仿宋_GB2312" w:hAnsi="仿宋_GB2312" w:cs="仿宋_GB2312"/>
          <w:sz w:val="32"/>
          <w:szCs w:val="32"/>
          <w:highlight w:val="none"/>
          <w:lang w:val="en-US" w:eastAsia="zh-CN"/>
        </w:rPr>
        <w:t>100</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。通过项目实施，</w:t>
      </w:r>
      <w:r>
        <w:rPr>
          <w:rFonts w:hint="eastAsia" w:ascii="仿宋_GB2312" w:hAnsi="仿宋_GB2312" w:cs="仿宋_GB2312"/>
          <w:sz w:val="32"/>
          <w:szCs w:val="32"/>
          <w:highlight w:val="none"/>
          <w:lang w:val="en-US" w:eastAsia="zh-CN"/>
        </w:rPr>
        <w:t>保障了农村生活污水治理“千村示范”工程的实施。</w:t>
      </w:r>
    </w:p>
    <w:p>
      <w:pPr>
        <w:spacing w:line="58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w:t>
      </w:r>
      <w:r>
        <w:rPr>
          <w:rFonts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rPr>
        <w:t>）</w:t>
      </w:r>
      <w:r>
        <w:rPr>
          <w:rFonts w:hint="eastAsia" w:ascii="仿宋_GB2312" w:hAnsi="仿宋_GB2312" w:cs="仿宋_GB2312"/>
          <w:sz w:val="32"/>
          <w:szCs w:val="32"/>
          <w:highlight w:val="none"/>
          <w:lang w:val="en-US" w:eastAsia="zh-CN"/>
        </w:rPr>
        <w:t>“对村级一事一议的补助”</w:t>
      </w:r>
      <w:r>
        <w:rPr>
          <w:rFonts w:hint="eastAsia" w:ascii="仿宋_GB2312" w:hAnsi="仿宋_GB2312" w:eastAsia="仿宋_GB2312" w:cs="仿宋_GB2312"/>
          <w:sz w:val="32"/>
          <w:szCs w:val="32"/>
          <w:highlight w:val="none"/>
        </w:rPr>
        <w:t>项目绩效目标完成情况综述。项目全年预算数</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万元，执行数为</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万元，完成预算的</w:t>
      </w:r>
      <w:r>
        <w:rPr>
          <w:rFonts w:hint="eastAsia" w:ascii="仿宋_GB2312" w:hAnsi="仿宋_GB2312" w:cs="仿宋_GB2312"/>
          <w:sz w:val="32"/>
          <w:szCs w:val="32"/>
          <w:highlight w:val="none"/>
          <w:lang w:val="en-US" w:eastAsia="zh-CN"/>
        </w:rPr>
        <w:t>100</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。通过项目实施，</w:t>
      </w:r>
      <w:r>
        <w:rPr>
          <w:rFonts w:hint="eastAsia" w:ascii="仿宋_GB2312" w:hAnsi="仿宋_GB2312" w:cs="仿宋_GB2312"/>
          <w:sz w:val="32"/>
          <w:szCs w:val="32"/>
          <w:highlight w:val="none"/>
          <w:lang w:val="en-US" w:eastAsia="zh-CN"/>
        </w:rPr>
        <w:t>保障一事一议的顺利开展。</w:t>
      </w:r>
    </w:p>
    <w:p>
      <w:pPr>
        <w:spacing w:line="58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rPr>
        <w:t>）</w:t>
      </w:r>
      <w:r>
        <w:rPr>
          <w:rFonts w:hint="eastAsia" w:ascii="仿宋_GB2312" w:hAnsi="仿宋_GB2312" w:cs="仿宋_GB2312"/>
          <w:sz w:val="32"/>
          <w:szCs w:val="32"/>
          <w:highlight w:val="none"/>
          <w:lang w:val="en-US" w:eastAsia="zh-CN"/>
        </w:rPr>
        <w:t>“城市基础设施配套费安排的支出”</w:t>
      </w:r>
      <w:r>
        <w:rPr>
          <w:rFonts w:hint="eastAsia" w:ascii="仿宋_GB2312" w:hAnsi="仿宋_GB2312" w:eastAsia="仿宋_GB2312" w:cs="仿宋_GB2312"/>
          <w:sz w:val="32"/>
          <w:szCs w:val="32"/>
          <w:highlight w:val="none"/>
        </w:rPr>
        <w:t>项目绩效目标完成情况综述。项目全年预算数</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万元，执行数为</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万元，完成预算的</w:t>
      </w:r>
      <w:r>
        <w:rPr>
          <w:rFonts w:hint="eastAsia" w:ascii="仿宋_GB2312" w:hAnsi="仿宋_GB2312" w:cs="仿宋_GB2312"/>
          <w:sz w:val="32"/>
          <w:szCs w:val="32"/>
          <w:highlight w:val="none"/>
          <w:lang w:val="en-US" w:eastAsia="zh-CN"/>
        </w:rPr>
        <w:t>100</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。通过项目实施，</w:t>
      </w:r>
      <w:r>
        <w:rPr>
          <w:rFonts w:hint="eastAsia" w:ascii="仿宋_GB2312" w:hAnsi="仿宋_GB2312" w:cs="仿宋_GB2312"/>
          <w:sz w:val="32"/>
          <w:szCs w:val="32"/>
          <w:highlight w:val="none"/>
          <w:lang w:val="en-US" w:eastAsia="zh-CN"/>
        </w:rPr>
        <w:t>保障了城市基础设施配套的顺利开展。</w:t>
      </w:r>
    </w:p>
    <w:p>
      <w:pPr>
        <w:spacing w:line="580" w:lineRule="exact"/>
        <w:ind w:firstLine="640" w:firstLineChars="200"/>
        <w:rPr>
          <w:rFonts w:hint="eastAsia" w:ascii="仿宋_GB2312" w:hAnsi="仿宋_GB2312" w:cs="仿宋_GB2312"/>
          <w:sz w:val="32"/>
          <w:szCs w:val="32"/>
          <w:lang w:val="en-US" w:eastAsia="zh-CN"/>
        </w:rPr>
      </w:pPr>
      <w:r>
        <w:rPr>
          <w:rFonts w:hint="eastAsia" w:ascii="仿宋_GB2312" w:hAnsi="仿宋_GB2312" w:eastAsia="仿宋_GB2312" w:cs="仿宋_GB2312"/>
          <w:sz w:val="32"/>
          <w:szCs w:val="32"/>
          <w:highlight w:val="none"/>
        </w:rPr>
        <w:t>（</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rPr>
        <w:t>）</w:t>
      </w:r>
      <w:r>
        <w:rPr>
          <w:rFonts w:hint="eastAsia" w:ascii="仿宋_GB2312" w:hAnsi="仿宋_GB2312" w:cs="仿宋_GB2312"/>
          <w:sz w:val="32"/>
          <w:szCs w:val="32"/>
          <w:highlight w:val="none"/>
          <w:lang w:val="en-US" w:eastAsia="zh-CN"/>
        </w:rPr>
        <w:t>“其他政府性基金及对应专项债务收入安排的支出”</w:t>
      </w:r>
      <w:r>
        <w:rPr>
          <w:rFonts w:hint="eastAsia" w:ascii="仿宋_GB2312" w:hAnsi="仿宋_GB2312" w:eastAsia="仿宋_GB2312" w:cs="仿宋_GB2312"/>
          <w:sz w:val="32"/>
          <w:szCs w:val="32"/>
          <w:highlight w:val="none"/>
        </w:rPr>
        <w:t>项目绩效目标完成情况综述。项目全年预算数</w:t>
      </w:r>
      <w:r>
        <w:rPr>
          <w:rFonts w:hint="eastAsia" w:ascii="仿宋_GB2312" w:hAnsi="仿宋_GB2312" w:cs="仿宋_GB2312"/>
          <w:sz w:val="32"/>
          <w:szCs w:val="32"/>
          <w:highlight w:val="none"/>
          <w:lang w:val="en-US" w:eastAsia="zh-CN"/>
        </w:rPr>
        <w:t>3000</w:t>
      </w:r>
      <w:r>
        <w:rPr>
          <w:rFonts w:hint="eastAsia" w:ascii="仿宋_GB2312" w:hAnsi="仿宋_GB2312" w:eastAsia="仿宋_GB2312" w:cs="仿宋_GB2312"/>
          <w:sz w:val="32"/>
          <w:szCs w:val="32"/>
          <w:highlight w:val="none"/>
        </w:rPr>
        <w:t>万元，执行数为</w:t>
      </w:r>
      <w:r>
        <w:rPr>
          <w:rFonts w:hint="eastAsia" w:ascii="仿宋_GB2312" w:hAnsi="仿宋_GB2312" w:cs="仿宋_GB2312"/>
          <w:sz w:val="32"/>
          <w:szCs w:val="32"/>
          <w:highlight w:val="none"/>
          <w:lang w:val="en-US" w:eastAsia="zh-CN"/>
        </w:rPr>
        <w:t>3000</w:t>
      </w:r>
      <w:r>
        <w:rPr>
          <w:rFonts w:hint="eastAsia" w:ascii="仿宋_GB2312" w:hAnsi="仿宋_GB2312" w:eastAsia="仿宋_GB2312" w:cs="仿宋_GB2312"/>
          <w:sz w:val="32"/>
          <w:szCs w:val="32"/>
          <w:highlight w:val="none"/>
        </w:rPr>
        <w:t>万元，完成预算的</w:t>
      </w:r>
      <w:r>
        <w:rPr>
          <w:rFonts w:hint="eastAsia" w:ascii="仿宋_GB2312" w:hAnsi="仿宋_GB2312" w:cs="仿宋_GB2312"/>
          <w:sz w:val="32"/>
          <w:szCs w:val="32"/>
          <w:highlight w:val="none"/>
          <w:lang w:val="en-US" w:eastAsia="zh-CN"/>
        </w:rPr>
        <w:t>100</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。通过项目实施，</w:t>
      </w:r>
      <w:r>
        <w:rPr>
          <w:rFonts w:hint="eastAsia" w:ascii="仿宋_GB2312" w:hAnsi="仿宋_GB2312" w:cs="仿宋_GB2312"/>
          <w:sz w:val="32"/>
          <w:szCs w:val="32"/>
          <w:highlight w:val="none"/>
          <w:lang w:val="en-US" w:eastAsia="zh-CN"/>
        </w:rPr>
        <w:t xml:space="preserve">保障征地拆迁的相关工作。 </w:t>
      </w:r>
      <w:r>
        <w:rPr>
          <w:rFonts w:hint="eastAsia" w:ascii="仿宋_GB2312" w:hAnsi="仿宋_GB2312" w:cs="仿宋_GB2312"/>
          <w:sz w:val="32"/>
          <w:szCs w:val="32"/>
          <w:lang w:val="en-US" w:eastAsia="zh-CN"/>
        </w:rPr>
        <w:t xml:space="preserve">   </w:t>
      </w:r>
    </w:p>
    <w:p>
      <w:pPr>
        <w:spacing w:line="58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xml:space="preserve">              </w:t>
      </w:r>
    </w:p>
    <w:tbl>
      <w:tblPr>
        <w:tblStyle w:val="9"/>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lang w:bidi="ar"/>
              </w:rPr>
              <w:t>项目绩效目标完成情况表</w:t>
            </w:r>
            <w:r>
              <w:rPr>
                <w:rFonts w:ascii="宋体" w:cs="宋体"/>
                <w:b/>
                <w:bCs/>
                <w:color w:val="000000"/>
                <w:kern w:val="0"/>
                <w:sz w:val="36"/>
                <w:szCs w:val="36"/>
                <w:lang w:bidi="ar"/>
              </w:rPr>
              <w:br w:type="textWrapping"/>
            </w: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基层政权建设和社区治理</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47.7</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47.7</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47.7</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47.7</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保障完成基层政权建设和社区治理相关工作</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cs="宋体"/>
                <w:color w:val="000000"/>
                <w:sz w:val="24"/>
                <w:lang w:val="en-US" w:eastAsia="zh-CN"/>
              </w:rPr>
            </w:pPr>
          </w:p>
          <w:p>
            <w:pPr>
              <w:widowControl/>
              <w:jc w:val="center"/>
              <w:textAlignment w:val="center"/>
              <w:rPr>
                <w:rFonts w:hint="eastAsia" w:ascii="宋体" w:cs="宋体"/>
                <w:color w:val="000000"/>
                <w:sz w:val="24"/>
                <w:lang w:val="en-US" w:eastAsia="zh-CN"/>
              </w:rPr>
            </w:pPr>
            <w:r>
              <w:rPr>
                <w:rFonts w:hint="eastAsia" w:ascii="宋体" w:cs="宋体"/>
                <w:color w:val="000000"/>
                <w:sz w:val="24"/>
                <w:lang w:val="en-US" w:eastAsia="zh-CN"/>
              </w:rPr>
              <w:t>完成2020年基层政权建设和社区治理工作</w:t>
            </w:r>
          </w:p>
          <w:p>
            <w:pPr>
              <w:widowControl/>
              <w:jc w:val="center"/>
              <w:textAlignment w:val="center"/>
              <w:rPr>
                <w:rFonts w:asci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top w:val="single" w:color="auto"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质量指标</w:t>
            </w:r>
          </w:p>
        </w:tc>
        <w:tc>
          <w:tcPr>
            <w:tcW w:w="2392"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基层组织和公共服务运行质量</w:t>
            </w:r>
          </w:p>
        </w:tc>
        <w:tc>
          <w:tcPr>
            <w:tcW w:w="2394"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rPr>
              <w:t>符合上级部门要求</w:t>
            </w:r>
          </w:p>
        </w:tc>
        <w:tc>
          <w:tcPr>
            <w:tcW w:w="2392"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kern w:val="2"/>
                <w:sz w:val="24"/>
                <w:szCs w:val="24"/>
                <w:lang w:val="en-US" w:eastAsia="zh-CN" w:bidi="ar-SA"/>
              </w:rPr>
              <w:t>完成当年相关工作</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kern w:val="2"/>
                <w:sz w:val="24"/>
                <w:szCs w:val="24"/>
                <w:lang w:val="en-US" w:eastAsia="zh-CN" w:bidi="ar-SA"/>
              </w:rPr>
              <w:t>在规定时间完成工作</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2020年底</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kern w:val="2"/>
                <w:sz w:val="24"/>
                <w:szCs w:val="24"/>
                <w:lang w:val="en-US" w:eastAsia="zh-CN" w:bidi="ar-SA"/>
              </w:rPr>
              <w:t>规定时间完成了工作</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ab/>
            </w:r>
            <w:r>
              <w:rPr>
                <w:rFonts w:hint="eastAsia" w:ascii="宋体" w:cs="宋体"/>
                <w:color w:val="000000"/>
                <w:sz w:val="24"/>
                <w:lang w:val="en-US" w:eastAsia="zh-CN"/>
              </w:rPr>
              <w:t>保障基政权建设和社区治理知晓率</w:t>
            </w:r>
            <w:r>
              <w:rPr>
                <w:rFonts w:hint="eastAsia" w:ascii="宋体" w:cs="宋体"/>
                <w:color w:val="000000"/>
                <w:sz w:val="24"/>
                <w:lang w:val="en-US" w:eastAsia="zh-CN"/>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≥80%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≥90%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lang w:bidi="ar"/>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基层群众满意度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≥100%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社区群众满意度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≥100%</w:t>
            </w:r>
          </w:p>
        </w:tc>
      </w:tr>
    </w:tbl>
    <w:p>
      <w:pPr>
        <w:spacing w:line="580" w:lineRule="exact"/>
        <w:ind w:left="630"/>
        <w:rPr>
          <w:rFonts w:ascii="仿宋_GB2312" w:hAnsi="仿宋_GB2312" w:eastAsia="仿宋_GB2312" w:cs="仿宋_GB2312"/>
          <w:sz w:val="32"/>
          <w:szCs w:val="32"/>
        </w:rPr>
      </w:pPr>
    </w:p>
    <w:p>
      <w:pPr>
        <w:pStyle w:val="2"/>
      </w:pPr>
    </w:p>
    <w:tbl>
      <w:tblPr>
        <w:tblStyle w:val="9"/>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水体</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25</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25</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numPr>
                <w:ilvl w:val="0"/>
                <w:numId w:val="0"/>
              </w:numPr>
              <w:jc w:val="left"/>
              <w:textAlignment w:val="center"/>
              <w:rPr>
                <w:rFonts w:hint="eastAsia" w:ascii="宋体" w:eastAsia="仿宋_GB2312" w:cs="宋体"/>
                <w:color w:val="000000"/>
                <w:sz w:val="24"/>
                <w:lang w:val="en-US" w:eastAsia="zh-CN"/>
              </w:rPr>
            </w:pPr>
            <w:r>
              <w:rPr>
                <w:rFonts w:hint="eastAsia" w:ascii="宋体" w:cs="宋体"/>
                <w:color w:val="000000"/>
                <w:sz w:val="24"/>
              </w:rPr>
              <w:t>通过开展农村生活污水整治，改善农村生活污水处理情况，进一步提升水生态系统自净能力，保障水资源环境安全</w:t>
            </w:r>
            <w:r>
              <w:rPr>
                <w:rFonts w:hint="eastAsia" w:ascii="宋体" w:cs="宋体"/>
                <w:color w:val="000000"/>
                <w:sz w:val="24"/>
                <w:lang w:eastAsia="zh-CN"/>
              </w:rPr>
              <w:t>。</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宋体" w:eastAsia="仿宋_GB2312" w:cs="宋体"/>
                <w:color w:val="000000"/>
                <w:sz w:val="24"/>
                <w:lang w:val="en-US" w:eastAsia="zh-CN"/>
              </w:rPr>
            </w:pPr>
            <w:r>
              <w:rPr>
                <w:rFonts w:hint="eastAsia" w:ascii="宋体" w:cs="宋体"/>
                <w:color w:val="000000"/>
                <w:sz w:val="24"/>
              </w:rPr>
              <w:t>改善农村生活污水处理情况，进一步提升水生态系统自净能力，保障水资源环境安全</w:t>
            </w:r>
            <w:r>
              <w:rPr>
                <w:rFonts w:hint="eastAsia" w:ascii="宋体" w:cs="宋体"/>
                <w:color w:val="000000"/>
                <w:sz w:val="24"/>
                <w:lang w:eastAsia="zh-CN"/>
              </w:rPr>
              <w:t>。</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rPr>
              <w:tab/>
            </w:r>
            <w:r>
              <w:rPr>
                <w:rFonts w:hint="eastAsia" w:ascii="宋体" w:cs="宋体"/>
                <w:color w:val="000000"/>
                <w:sz w:val="24"/>
                <w:lang w:val="en-US" w:eastAsia="zh-CN"/>
              </w:rPr>
              <w:t>项目工作质量</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rPr>
              <w:t>做好</w:t>
            </w:r>
            <w:r>
              <w:rPr>
                <w:rFonts w:hint="eastAsia" w:ascii="宋体" w:cs="宋体"/>
                <w:color w:val="000000"/>
                <w:sz w:val="24"/>
                <w:lang w:val="en-US" w:eastAsia="zh-CN"/>
              </w:rPr>
              <w:t>技术指导，日常运行维护</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顺利完成相关工作，并做好了技术指导，日常运行</w:t>
            </w:r>
            <w:r>
              <w:rPr>
                <w:rFonts w:hint="eastAsia" w:ascii="宋体" w:cs="宋体"/>
                <w:color w:val="000000"/>
                <w:sz w:val="24"/>
              </w:rPr>
              <w:t>维护</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项目支出</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cs="宋体"/>
                <w:color w:val="000000"/>
                <w:sz w:val="24"/>
                <w:lang w:val="en-US"/>
              </w:rPr>
            </w:pPr>
            <w:r>
              <w:rPr>
                <w:rFonts w:hint="eastAsia" w:ascii="宋体" w:cs="宋体"/>
                <w:color w:val="000000"/>
                <w:sz w:val="24"/>
                <w:lang w:val="en-US" w:eastAsia="zh-CN"/>
              </w:rPr>
              <w:t>项目支出预算25万元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实际支付25万元</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ab/>
            </w:r>
            <w:r>
              <w:rPr>
                <w:rFonts w:hint="eastAsia" w:ascii="宋体" w:cs="宋体"/>
                <w:color w:val="000000"/>
                <w:sz w:val="24"/>
                <w:lang w:val="en-US" w:eastAsia="zh-CN"/>
              </w:rPr>
              <w:t>良好的环境效益和社会效益</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≥80%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≥90%</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经济效益指标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对扩大内需发挥积极作用</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≥100%</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0"/>
                <w:sz w:val="24"/>
                <w:szCs w:val="24"/>
                <w:lang w:val="en-US" w:eastAsia="zh-CN" w:bidi="ar"/>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农村居民满意度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≥100%</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cs="宋体"/>
                <w:b/>
                <w:bCs/>
                <w:color w:val="000000"/>
                <w:kern w:val="0"/>
                <w:sz w:val="36"/>
                <w:szCs w:val="36"/>
                <w:lang w:bidi="ar"/>
              </w:rPr>
            </w:pPr>
          </w:p>
          <w:p>
            <w:pPr>
              <w:pStyle w:val="2"/>
              <w:rPr>
                <w:rFonts w:hint="eastAsia" w:ascii="宋体" w:hAnsi="宋体" w:cs="宋体"/>
                <w:b/>
                <w:bCs/>
                <w:color w:val="000000"/>
                <w:kern w:val="0"/>
                <w:sz w:val="36"/>
                <w:szCs w:val="36"/>
                <w:lang w:bidi="ar"/>
              </w:rPr>
            </w:pPr>
          </w:p>
          <w:p>
            <w:pPr>
              <w:pStyle w:val="2"/>
              <w:rPr>
                <w:rFonts w:hint="eastAsia" w:ascii="宋体" w:hAnsi="宋体" w:cs="宋体"/>
                <w:b/>
                <w:bCs/>
                <w:color w:val="000000"/>
                <w:kern w:val="0"/>
                <w:sz w:val="36"/>
                <w:szCs w:val="36"/>
                <w:lang w:bidi="ar"/>
              </w:rPr>
            </w:pPr>
          </w:p>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对村级一事一议的补助</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w:t>
            </w:r>
          </w:p>
        </w:tc>
      </w:tr>
      <w:tr>
        <w:tblPrEx>
          <w:tblCellMar>
            <w:top w:w="0" w:type="dxa"/>
            <w:left w:w="0" w:type="dxa"/>
            <w:bottom w:w="0" w:type="dxa"/>
            <w:right w:w="0" w:type="dxa"/>
          </w:tblCellMar>
        </w:tblPrEx>
        <w:trPr>
          <w:trHeight w:val="152"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90"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numPr>
                <w:ilvl w:val="0"/>
                <w:numId w:val="0"/>
              </w:numPr>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做好村级一事一议补助的工作。</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做好村级一事一议补助的工作</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rPr>
              <w:tab/>
            </w:r>
            <w:r>
              <w:rPr>
                <w:rFonts w:hint="eastAsia" w:ascii="宋体" w:cs="宋体"/>
                <w:color w:val="000000"/>
                <w:sz w:val="24"/>
                <w:lang w:val="en-US" w:eastAsia="zh-CN"/>
              </w:rPr>
              <w:t>工作完成时间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2020年底</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2020年底</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项目支出</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cs="宋体"/>
                <w:color w:val="000000"/>
                <w:sz w:val="24"/>
                <w:lang w:val="en-US"/>
              </w:rPr>
            </w:pPr>
            <w:r>
              <w:rPr>
                <w:rFonts w:hint="eastAsia" w:ascii="宋体" w:cs="宋体"/>
                <w:color w:val="000000"/>
                <w:sz w:val="24"/>
                <w:lang w:val="en-US" w:eastAsia="zh-CN"/>
              </w:rPr>
              <w:t>项目支出不超过20万元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实际支付20万元</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服务面覆盖</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cs="宋体"/>
                <w:color w:val="000000"/>
                <w:sz w:val="24"/>
                <w:lang w:val="en-US"/>
              </w:rPr>
            </w:pPr>
            <w:r>
              <w:rPr>
                <w:rFonts w:hint="eastAsia" w:ascii="宋体" w:cs="宋体"/>
                <w:color w:val="000000"/>
                <w:sz w:val="24"/>
                <w:lang w:val="en-US" w:eastAsia="zh-CN"/>
              </w:rPr>
              <w:t>≥80%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≥90%</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0"/>
                <w:sz w:val="24"/>
                <w:szCs w:val="24"/>
                <w:lang w:val="en-US" w:eastAsia="zh-CN" w:bidi="ar"/>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辖区内群众满意度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≥100%</w:t>
            </w:r>
          </w:p>
        </w:tc>
      </w:tr>
    </w:tbl>
    <w:p>
      <w:pPr>
        <w:pStyle w:val="2"/>
        <w:rPr>
          <w:rFonts w:ascii="仿宋_GB2312" w:hAnsi="仿宋_GB2312" w:eastAsia="仿宋_GB2312" w:cs="仿宋_GB2312"/>
          <w:sz w:val="32"/>
          <w:szCs w:val="32"/>
        </w:rPr>
      </w:pPr>
    </w:p>
    <w:tbl>
      <w:tblPr>
        <w:tblStyle w:val="9"/>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其他城市基础设施配套费安排的支出</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numPr>
                <w:ilvl w:val="0"/>
                <w:numId w:val="0"/>
              </w:numPr>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做好城市基础设施配套工作</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numPr>
                <w:ilvl w:val="0"/>
                <w:numId w:val="0"/>
              </w:numPr>
              <w:jc w:val="center"/>
              <w:textAlignment w:val="center"/>
              <w:rPr>
                <w:rFonts w:hint="eastAsia" w:ascii="宋体" w:cs="宋体"/>
                <w:color w:val="000000"/>
                <w:sz w:val="24"/>
                <w:lang w:val="en-US" w:eastAsia="zh-CN"/>
              </w:rPr>
            </w:pPr>
          </w:p>
          <w:p>
            <w:pPr>
              <w:widowControl/>
              <w:numPr>
                <w:ilvl w:val="0"/>
                <w:numId w:val="0"/>
              </w:numPr>
              <w:jc w:val="center"/>
              <w:textAlignment w:val="center"/>
              <w:rPr>
                <w:rFonts w:hint="default" w:ascii="宋体" w:cs="宋体"/>
                <w:color w:val="000000"/>
                <w:sz w:val="24"/>
                <w:lang w:val="en-US" w:eastAsia="zh-CN"/>
              </w:rPr>
            </w:pPr>
            <w:r>
              <w:rPr>
                <w:rFonts w:hint="eastAsia" w:ascii="宋体" w:cs="宋体"/>
                <w:color w:val="000000"/>
                <w:sz w:val="24"/>
                <w:lang w:val="en-US" w:eastAsia="zh-CN"/>
              </w:rPr>
              <w:t>保障了城市基础设施配套的顺利开展</w:t>
            </w:r>
          </w:p>
          <w:p>
            <w:pPr>
              <w:widowControl/>
              <w:jc w:val="center"/>
              <w:textAlignment w:val="center"/>
              <w:rPr>
                <w:rFonts w:hint="default" w:ascii="宋体" w:eastAsia="仿宋_GB2312" w:cs="宋体"/>
                <w:color w:val="000000"/>
                <w:sz w:val="24"/>
                <w:lang w:val="en-US" w:eastAsia="zh-CN"/>
              </w:rPr>
            </w:pP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rPr>
              <w:tab/>
            </w:r>
            <w:r>
              <w:rPr>
                <w:rFonts w:hint="eastAsia" w:ascii="宋体" w:cs="宋体"/>
                <w:color w:val="000000"/>
                <w:sz w:val="24"/>
                <w:lang w:val="en-US" w:eastAsia="zh-CN"/>
              </w:rPr>
              <w:t>工作完成时间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2020年底</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2020年底</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项目支出</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cs="宋体"/>
                <w:color w:val="000000"/>
                <w:sz w:val="24"/>
                <w:lang w:val="en-US"/>
              </w:rPr>
            </w:pPr>
            <w:r>
              <w:rPr>
                <w:rFonts w:hint="eastAsia" w:ascii="宋体" w:cs="宋体"/>
                <w:color w:val="000000"/>
                <w:sz w:val="24"/>
                <w:lang w:val="en-US" w:eastAsia="zh-CN"/>
              </w:rPr>
              <w:t>项目支出不超过20万元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实际支付20万元</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做好城市基础设施配套设施宣传效率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cs="宋体"/>
                <w:color w:val="000000"/>
                <w:sz w:val="24"/>
                <w:lang w:val="en-US"/>
              </w:rPr>
            </w:pPr>
            <w:r>
              <w:rPr>
                <w:rFonts w:hint="eastAsia" w:ascii="宋体" w:cs="宋体"/>
                <w:color w:val="000000"/>
                <w:sz w:val="24"/>
                <w:lang w:val="en-US" w:eastAsia="zh-CN"/>
              </w:rPr>
              <w:t>≥80%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≥90%</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≥100%</w:t>
            </w:r>
          </w:p>
        </w:tc>
      </w:tr>
    </w:tbl>
    <w:p>
      <w:pPr>
        <w:pStyle w:val="2"/>
        <w:rPr>
          <w:rFonts w:ascii="仿宋_GB2312" w:hAnsi="仿宋_GB2312" w:eastAsia="仿宋_GB2312" w:cs="仿宋_GB2312"/>
          <w:sz w:val="32"/>
          <w:szCs w:val="32"/>
        </w:rPr>
      </w:pPr>
    </w:p>
    <w:tbl>
      <w:tblPr>
        <w:tblStyle w:val="9"/>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其他地方自行试点项目收益专项债券收入安排的支出</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3000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3000</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3000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3000</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numPr>
                <w:ilvl w:val="0"/>
                <w:numId w:val="0"/>
              </w:numPr>
              <w:jc w:val="center"/>
              <w:textAlignment w:val="center"/>
              <w:rPr>
                <w:rFonts w:hint="default" w:ascii="宋体" w:eastAsia="仿宋_GB2312" w:cs="宋体"/>
                <w:color w:val="000000"/>
                <w:sz w:val="24"/>
                <w:highlight w:val="yellow"/>
                <w:lang w:val="en-US" w:eastAsia="zh-CN"/>
              </w:rPr>
            </w:pPr>
            <w:r>
              <w:rPr>
                <w:rFonts w:hint="eastAsia" w:ascii="宋体" w:cs="宋体"/>
                <w:color w:val="000000"/>
                <w:sz w:val="24"/>
                <w:highlight w:val="none"/>
              </w:rPr>
              <w:t>保障</w:t>
            </w:r>
            <w:r>
              <w:rPr>
                <w:rFonts w:hint="eastAsia" w:ascii="宋体" w:cs="宋体"/>
                <w:color w:val="000000"/>
                <w:sz w:val="24"/>
                <w:highlight w:val="none"/>
                <w:lang w:val="en-US" w:eastAsia="zh-CN"/>
              </w:rPr>
              <w:t>征地拆迁相关开支</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yellow"/>
                <w:lang w:val="en-US" w:eastAsia="zh-CN"/>
              </w:rPr>
            </w:pPr>
            <w:r>
              <w:rPr>
                <w:rFonts w:hint="eastAsia" w:ascii="宋体" w:cs="宋体"/>
                <w:color w:val="000000"/>
                <w:sz w:val="24"/>
                <w:highlight w:val="none"/>
              </w:rPr>
              <w:t>保障</w:t>
            </w:r>
            <w:r>
              <w:rPr>
                <w:rFonts w:hint="eastAsia" w:ascii="宋体" w:cs="宋体"/>
                <w:color w:val="000000"/>
                <w:sz w:val="24"/>
                <w:highlight w:val="none"/>
                <w:lang w:val="en-US" w:eastAsia="zh-CN"/>
              </w:rPr>
              <w:t>征地拆迁相关开支</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highlight w:val="none"/>
              </w:rPr>
            </w:pPr>
            <w:r>
              <w:rPr>
                <w:rFonts w:hint="eastAsia" w:ascii="宋体" w:hAnsi="宋体" w:cs="宋体"/>
                <w:color w:val="000000"/>
                <w:kern w:val="0"/>
                <w:sz w:val="24"/>
                <w:highlight w:val="none"/>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none"/>
                <w:lang w:val="en-US" w:eastAsia="zh-CN"/>
              </w:rPr>
            </w:pPr>
            <w:r>
              <w:rPr>
                <w:rFonts w:hint="eastAsia" w:ascii="宋体" w:cs="宋体"/>
                <w:color w:val="000000"/>
                <w:sz w:val="24"/>
                <w:highlight w:val="none"/>
                <w:lang w:val="en-US" w:eastAsia="zh-CN"/>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highlight w:val="none"/>
              </w:rPr>
            </w:pPr>
            <w:r>
              <w:rPr>
                <w:rFonts w:hint="eastAsia" w:ascii="宋体" w:cs="宋体"/>
                <w:color w:val="000000"/>
                <w:sz w:val="24"/>
                <w:highlight w:val="none"/>
              </w:rPr>
              <w:tab/>
            </w:r>
            <w:r>
              <w:rPr>
                <w:rFonts w:hint="eastAsia" w:ascii="宋体" w:cs="宋体"/>
                <w:color w:val="000000"/>
                <w:sz w:val="24"/>
                <w:highlight w:val="none"/>
                <w:lang w:val="en-US" w:eastAsia="zh-CN"/>
              </w:rPr>
              <w:t>项目工作质量</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none"/>
                <w:lang w:val="en-US" w:eastAsia="zh-CN"/>
              </w:rPr>
            </w:pPr>
            <w:r>
              <w:rPr>
                <w:rFonts w:hint="eastAsia" w:ascii="宋体" w:cs="宋体"/>
                <w:color w:val="000000"/>
                <w:sz w:val="24"/>
                <w:highlight w:val="none"/>
                <w:lang w:val="en-US" w:eastAsia="zh-CN"/>
              </w:rPr>
              <w:t>保障征地拆迁工作</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none"/>
                <w:lang w:val="en-US" w:eastAsia="zh-CN"/>
              </w:rPr>
            </w:pPr>
            <w:r>
              <w:rPr>
                <w:rFonts w:hint="eastAsia" w:ascii="宋体" w:cs="宋体"/>
                <w:color w:val="000000"/>
                <w:sz w:val="24"/>
                <w:highlight w:val="none"/>
                <w:lang w:val="en-US" w:eastAsia="zh-CN"/>
              </w:rPr>
              <w:t>保障征地拆迁工作</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none"/>
                <w:lang w:val="en-US" w:eastAsia="zh-CN"/>
              </w:rPr>
            </w:pPr>
            <w:r>
              <w:rPr>
                <w:rFonts w:hint="eastAsia" w:ascii="宋体" w:cs="宋体"/>
                <w:color w:val="000000"/>
                <w:sz w:val="24"/>
                <w:highlight w:val="none"/>
                <w:lang w:val="en-US" w:eastAsia="zh-CN"/>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none"/>
                <w:lang w:val="en-US" w:eastAsia="zh-CN"/>
              </w:rPr>
            </w:pPr>
            <w:r>
              <w:rPr>
                <w:rFonts w:hint="eastAsia" w:ascii="宋体" w:cs="宋体"/>
                <w:color w:val="000000"/>
                <w:sz w:val="24"/>
                <w:highlight w:val="none"/>
                <w:lang w:val="en-US" w:eastAsia="zh-CN"/>
              </w:rPr>
              <w:t>经济效益指标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none"/>
                <w:lang w:val="en-US" w:eastAsia="zh-CN"/>
              </w:rPr>
            </w:pPr>
            <w:r>
              <w:rPr>
                <w:rFonts w:hint="eastAsia" w:ascii="宋体" w:cs="宋体"/>
                <w:color w:val="000000"/>
                <w:sz w:val="24"/>
                <w:highlight w:val="none"/>
                <w:lang w:val="en-US" w:eastAsia="zh-CN"/>
              </w:rPr>
              <w:t>促进社会的安定团结推动和谐社会的建设</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cs="宋体"/>
                <w:color w:val="000000"/>
                <w:sz w:val="24"/>
                <w:highlight w:val="none"/>
                <w:lang w:val="en-US"/>
              </w:rPr>
            </w:pP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cs="宋体"/>
                <w:color w:val="000000"/>
                <w:sz w:val="24"/>
                <w:highlight w:val="none"/>
                <w:lang w:val="en-US"/>
              </w:rPr>
            </w:pPr>
            <w:r>
              <w:rPr>
                <w:rFonts w:hint="eastAsia" w:ascii="宋体" w:cs="宋体"/>
                <w:color w:val="000000"/>
                <w:sz w:val="24"/>
                <w:lang w:val="en-US" w:eastAsia="zh-CN"/>
              </w:rPr>
              <w:t>≥100%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highlight w:val="none"/>
              </w:rPr>
            </w:pPr>
            <w:r>
              <w:rPr>
                <w:rFonts w:hint="eastAsia" w:ascii="宋体" w:hAnsi="宋体" w:cs="宋体"/>
                <w:color w:val="000000"/>
                <w:kern w:val="0"/>
                <w:sz w:val="24"/>
                <w:highlight w:val="none"/>
                <w:lang w:val="en-US" w:eastAsia="zh-CN" w:bidi="ar"/>
              </w:rPr>
              <w:t>效益</w:t>
            </w:r>
            <w:r>
              <w:rPr>
                <w:rFonts w:hint="eastAsia" w:ascii="宋体" w:hAnsi="宋体" w:cs="宋体"/>
                <w:color w:val="000000"/>
                <w:kern w:val="0"/>
                <w:sz w:val="24"/>
                <w:highlight w:val="none"/>
                <w:lang w:bidi="ar"/>
              </w:rPr>
              <w:t>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none"/>
                <w:lang w:val="en-US" w:eastAsia="zh-CN"/>
              </w:rPr>
            </w:pPr>
            <w:r>
              <w:rPr>
                <w:rFonts w:hint="eastAsia" w:ascii="宋体" w:cs="宋体"/>
                <w:color w:val="000000"/>
                <w:sz w:val="24"/>
                <w:highlight w:val="none"/>
                <w:lang w:val="en-US" w:eastAsia="zh-CN"/>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highlight w:val="none"/>
                <w:lang w:val="en-US" w:eastAsia="zh-CN"/>
              </w:rPr>
            </w:pPr>
            <w:r>
              <w:rPr>
                <w:rFonts w:hint="eastAsia" w:ascii="宋体" w:cs="宋体"/>
                <w:color w:val="000000"/>
                <w:sz w:val="24"/>
                <w:highlight w:val="none"/>
                <w:lang w:val="en-US" w:eastAsia="zh-CN"/>
              </w:rPr>
              <w:t>改善当地群众的居住条件和环境，提高该 片区居民生活质量</w:t>
            </w:r>
            <w:r>
              <w:rPr>
                <w:rFonts w:hint="eastAsia" w:ascii="宋体" w:cs="宋体"/>
                <w:color w:val="000000"/>
                <w:sz w:val="24"/>
                <w:highlight w:val="none"/>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highlight w:val="none"/>
              </w:rPr>
            </w:pP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highlight w:val="none"/>
              </w:rPr>
            </w:pPr>
            <w:r>
              <w:rPr>
                <w:rFonts w:hint="eastAsia" w:ascii="宋体" w:cs="宋体"/>
                <w:color w:val="000000"/>
                <w:sz w:val="24"/>
                <w:lang w:val="en-US" w:eastAsia="zh-CN"/>
              </w:rPr>
              <w:t>≥100%</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0"/>
                <w:sz w:val="24"/>
                <w:szCs w:val="24"/>
                <w:highlight w:val="none"/>
                <w:lang w:val="en-US" w:eastAsia="zh-CN" w:bidi="ar"/>
              </w:rPr>
            </w:pPr>
            <w:r>
              <w:rPr>
                <w:rFonts w:hint="eastAsia" w:ascii="宋体" w:hAnsi="宋体" w:cs="宋体"/>
                <w:color w:val="000000"/>
                <w:kern w:val="0"/>
                <w:sz w:val="24"/>
                <w:highlight w:val="none"/>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highlight w:val="none"/>
                <w:lang w:val="en-US" w:eastAsia="zh-CN" w:bidi="ar-SA"/>
              </w:rPr>
            </w:pPr>
            <w:r>
              <w:rPr>
                <w:rFonts w:hint="eastAsia" w:ascii="宋体" w:cs="宋体"/>
                <w:color w:val="000000"/>
                <w:sz w:val="24"/>
                <w:highlight w:val="none"/>
                <w:lang w:val="en-US" w:eastAsia="zh-CN"/>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highlight w:val="none"/>
                <w:lang w:val="en-US" w:eastAsia="zh-CN" w:bidi="ar-SA"/>
              </w:rPr>
            </w:pPr>
            <w:r>
              <w:rPr>
                <w:rFonts w:hint="eastAsia" w:ascii="宋体" w:cs="宋体"/>
                <w:color w:val="000000"/>
                <w:sz w:val="24"/>
                <w:highlight w:val="none"/>
                <w:lang w:val="en-US" w:eastAsia="zh-CN"/>
              </w:rPr>
              <w:t>辖区内群众满意度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highlight w:val="none"/>
                <w:lang w:val="en-US" w:eastAsia="zh-CN" w:bidi="ar-SA"/>
              </w:rPr>
            </w:pPr>
            <w:r>
              <w:rPr>
                <w:rFonts w:hint="eastAsia" w:ascii="宋体" w:cs="宋体"/>
                <w:color w:val="000000"/>
                <w:sz w:val="24"/>
                <w:highlight w:val="none"/>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highlight w:val="none"/>
                <w:lang w:val="en-US" w:eastAsia="zh-CN" w:bidi="ar-SA"/>
              </w:rPr>
            </w:pPr>
            <w:r>
              <w:rPr>
                <w:rFonts w:hint="eastAsia" w:ascii="宋体" w:cs="宋体"/>
                <w:color w:val="000000"/>
                <w:sz w:val="24"/>
                <w:highlight w:val="none"/>
                <w:lang w:val="en-US" w:eastAsia="zh-CN"/>
              </w:rPr>
              <w:t>≥100%</w:t>
            </w:r>
          </w:p>
        </w:tc>
      </w:tr>
    </w:tbl>
    <w:p>
      <w:pPr>
        <w:spacing w:line="580" w:lineRule="exact"/>
        <w:rPr>
          <w:rFonts w:ascii="仿宋_GB2312" w:hAnsi="仿宋_GB2312" w:eastAsia="仿宋_GB2312" w:cs="仿宋_GB2312"/>
          <w:sz w:val="32"/>
          <w:szCs w:val="32"/>
        </w:rPr>
      </w:pPr>
    </w:p>
    <w:p>
      <w:pPr>
        <w:spacing w:line="580" w:lineRule="exact"/>
        <w:ind w:left="630"/>
        <w:rPr>
          <w:rFonts w:ascii="仿宋_GB2312" w:hAnsi="仿宋_GB2312" w:eastAsia="仿宋_GB2312" w:cs="仿宋_GB2312"/>
          <w:sz w:val="32"/>
          <w:szCs w:val="32"/>
          <w:highlight w:val="none"/>
        </w:rPr>
      </w:pPr>
      <w:r>
        <w:rPr>
          <w:rFonts w:ascii="楷体_GB2312" w:hAnsi="楷体_GB2312" w:eastAsia="楷体_GB2312" w:cs="楷体_GB2312"/>
          <w:sz w:val="32"/>
          <w:szCs w:val="32"/>
          <w:highlight w:val="none"/>
        </w:rPr>
        <w:t>2.</w:t>
      </w:r>
      <w:r>
        <w:rPr>
          <w:rFonts w:hint="eastAsia" w:ascii="楷体_GB2312" w:hAnsi="楷体_GB2312" w:eastAsia="楷体_GB2312" w:cs="楷体_GB2312"/>
          <w:sz w:val="32"/>
          <w:szCs w:val="32"/>
          <w:highlight w:val="none"/>
        </w:rPr>
        <w:t>部门绩效评价结果。</w:t>
      </w:r>
    </w:p>
    <w:p>
      <w:pPr>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本部门按要求对2020年部门整体支出绩效评价情况开展自评，《</w:t>
      </w:r>
      <w:r>
        <w:rPr>
          <w:rFonts w:hint="eastAsia" w:ascii="仿宋" w:hAnsi="仿宋" w:eastAsia="仿宋" w:cs="仿宋"/>
          <w:sz w:val="32"/>
          <w:szCs w:val="32"/>
          <w:highlight w:val="none"/>
          <w:lang w:val="en-US" w:eastAsia="zh-CN"/>
        </w:rPr>
        <w:t>舒坪街道办事处</w:t>
      </w:r>
      <w:r>
        <w:rPr>
          <w:rFonts w:hint="eastAsia" w:ascii="仿宋" w:hAnsi="仿宋" w:eastAsia="仿宋" w:cs="仿宋"/>
          <w:sz w:val="32"/>
          <w:szCs w:val="32"/>
          <w:highlight w:val="none"/>
        </w:rPr>
        <w:t>部门2020年部门整体支出绩效评价报告》见附件（附件1）。</w:t>
      </w:r>
    </w:p>
    <w:p>
      <w:pPr>
        <w:spacing w:line="58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本部门</w:t>
      </w:r>
      <w:r>
        <w:rPr>
          <w:rFonts w:hint="eastAsia" w:ascii="仿宋" w:hAnsi="仿宋" w:eastAsia="仿宋" w:cs="仿宋"/>
          <w:sz w:val="32"/>
          <w:szCs w:val="32"/>
          <w:highlight w:val="none"/>
          <w:lang w:val="en-US" w:eastAsia="zh-CN"/>
        </w:rPr>
        <w:t>自行</w:t>
      </w:r>
      <w:r>
        <w:rPr>
          <w:rFonts w:hint="eastAsia" w:ascii="仿宋" w:hAnsi="仿宋" w:eastAsia="仿宋" w:cs="仿宋"/>
          <w:sz w:val="32"/>
          <w:szCs w:val="32"/>
          <w:highlight w:val="none"/>
        </w:rPr>
        <w:t>组织</w:t>
      </w:r>
      <w:r>
        <w:rPr>
          <w:rFonts w:hint="eastAsia" w:ascii="仿宋" w:hAnsi="仿宋" w:eastAsia="仿宋" w:cs="仿宋"/>
          <w:sz w:val="32"/>
          <w:szCs w:val="32"/>
          <w:highlight w:val="none"/>
          <w:lang w:val="en-US" w:eastAsia="zh-CN"/>
        </w:rPr>
        <w:t>对</w:t>
      </w:r>
      <w:r>
        <w:rPr>
          <w:rFonts w:hint="eastAsia" w:ascii="仿宋_GB2312" w:hAnsi="仿宋_GB2312" w:cs="仿宋_GB2312"/>
          <w:sz w:val="32"/>
          <w:szCs w:val="32"/>
          <w:highlight w:val="none"/>
          <w:lang w:val="en-US" w:eastAsia="zh-CN"/>
        </w:rPr>
        <w:t>“基层政权建设和社区治理”、“水体”、“对村级一事一议的补助”、“城市基础设施配套费安排的支出”、“其他政府性基金及对应专项债务收入安排的支出”</w:t>
      </w:r>
      <w:r>
        <w:rPr>
          <w:rFonts w:hint="eastAsia" w:ascii="仿宋" w:hAnsi="仿宋" w:eastAsia="仿宋" w:cs="仿宋"/>
          <w:sz w:val="32"/>
          <w:szCs w:val="32"/>
          <w:highlight w:val="none"/>
          <w:lang w:val="en-US" w:eastAsia="zh-CN"/>
        </w:rPr>
        <w:t>开展了项目绩效评价</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舒坪街道办事处水体-农村生活污水治理“千村师范工程”项目</w:t>
      </w:r>
      <w:r>
        <w:rPr>
          <w:rFonts w:hint="eastAsia" w:ascii="仿宋" w:hAnsi="仿宋" w:eastAsia="仿宋" w:cs="仿宋"/>
          <w:sz w:val="32"/>
          <w:szCs w:val="32"/>
          <w:highlight w:val="none"/>
        </w:rPr>
        <w:t>2020年绩效评价报告》见附件（附件2）</w:t>
      </w:r>
      <w:r>
        <w:rPr>
          <w:rFonts w:hint="eastAsia" w:ascii="仿宋" w:hAnsi="仿宋" w:eastAsia="仿宋" w:cs="仿宋"/>
          <w:sz w:val="32"/>
          <w:szCs w:val="32"/>
          <w:highlight w:val="none"/>
          <w:lang w:val="en-US" w:eastAsia="zh-CN"/>
        </w:rPr>
        <w:t>。</w:t>
      </w:r>
      <w:bookmarkStart w:id="59" w:name="_Toc15396613"/>
      <w:bookmarkStart w:id="60" w:name="_Toc3536"/>
      <w:bookmarkStart w:id="61" w:name="_Toc15377225"/>
    </w:p>
    <w:p>
      <w:pPr>
        <w:spacing w:line="580" w:lineRule="exact"/>
        <w:jc w:val="both"/>
        <w:rPr>
          <w:rFonts w:hint="eastAsia" w:ascii="黑体" w:hAnsi="黑体" w:eastAsia="黑体"/>
          <w:color w:val="000000"/>
          <w:sz w:val="44"/>
          <w:szCs w:val="44"/>
          <w:lang w:val="en-US" w:eastAsia="zh-CN"/>
        </w:rPr>
      </w:pPr>
    </w:p>
    <w:p>
      <w:pPr>
        <w:spacing w:line="580" w:lineRule="exact"/>
        <w:ind w:firstLine="880" w:firstLineChars="200"/>
        <w:jc w:val="center"/>
        <w:rPr>
          <w:rFonts w:hint="eastAsia" w:ascii="黑体" w:hAnsi="黑体" w:eastAsia="黑体"/>
          <w:color w:val="000000"/>
          <w:sz w:val="44"/>
          <w:szCs w:val="44"/>
          <w:lang w:val="en-US" w:eastAsia="zh-CN"/>
        </w:rPr>
      </w:pPr>
    </w:p>
    <w:p>
      <w:pPr>
        <w:spacing w:line="580" w:lineRule="exact"/>
        <w:ind w:firstLine="880" w:firstLineChars="200"/>
        <w:jc w:val="center"/>
        <w:rPr>
          <w:rStyle w:val="13"/>
          <w:rFonts w:ascii="黑体" w:hAnsi="黑体" w:eastAsia="黑体"/>
          <w:b w:val="0"/>
        </w:rPr>
      </w:pPr>
      <w:r>
        <w:rPr>
          <w:rFonts w:hint="eastAsia" w:ascii="黑体" w:hAnsi="黑体" w:eastAsia="黑体"/>
          <w:color w:val="000000"/>
          <w:sz w:val="44"/>
          <w:szCs w:val="44"/>
          <w:lang w:val="en-US" w:eastAsia="zh-CN"/>
        </w:rPr>
        <w:t xml:space="preserve">第三部分 </w:t>
      </w:r>
      <w:r>
        <w:rPr>
          <w:rFonts w:hint="eastAsia" w:ascii="黑体" w:hAnsi="黑体" w:eastAsia="黑体"/>
          <w:color w:val="000000"/>
          <w:sz w:val="44"/>
          <w:szCs w:val="44"/>
        </w:rPr>
        <w:t>名</w:t>
      </w:r>
      <w:r>
        <w:rPr>
          <w:rStyle w:val="13"/>
          <w:rFonts w:hint="eastAsia" w:ascii="黑体" w:hAnsi="黑体" w:eastAsia="黑体"/>
          <w:b w:val="0"/>
        </w:rPr>
        <w:t>词解释</w:t>
      </w:r>
      <w:bookmarkEnd w:id="59"/>
      <w:bookmarkEnd w:id="60"/>
      <w:bookmarkEnd w:id="61"/>
    </w:p>
    <w:p>
      <w:pPr>
        <w:spacing w:line="600" w:lineRule="exact"/>
        <w:jc w:val="left"/>
        <w:rPr>
          <w:rFonts w:ascii="宋体"/>
          <w:b/>
          <w:color w:val="000000"/>
          <w:sz w:val="44"/>
          <w:szCs w:val="44"/>
        </w:rPr>
      </w:pPr>
    </w:p>
    <w:p>
      <w:pPr>
        <w:pStyle w:val="16"/>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1.财政拨款收入：指单位从同级财政部门取得的财政预算资金。</w:t>
      </w:r>
    </w:p>
    <w:p>
      <w:pPr>
        <w:pStyle w:val="16"/>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2.事业收入：指事业单位开展专业业务活动及辅助活动取得的收入。</w:t>
      </w:r>
    </w:p>
    <w:p>
      <w:pPr>
        <w:pStyle w:val="16"/>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3.经营收入：指事业单位在专业业务活动及其辅助活动之外开展非独立核算经营活动取得的收入。</w:t>
      </w:r>
    </w:p>
    <w:p>
      <w:pPr>
        <w:pStyle w:val="16"/>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4.其他收入：指单位取得的除上述收入以外的各项收入。</w:t>
      </w:r>
    </w:p>
    <w:p>
      <w:pPr>
        <w:pStyle w:val="16"/>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5.使用非财政拨款结余：指事业单位使用以前年度积累的非财政拨款结余弥补当年收支差额的金额。 </w:t>
      </w:r>
    </w:p>
    <w:p>
      <w:pPr>
        <w:pStyle w:val="16"/>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6.年初结转和结余：指以前年度尚未完成、结转到本年按有关规定继续使用的资金。 </w:t>
      </w:r>
    </w:p>
    <w:p>
      <w:pPr>
        <w:pStyle w:val="16"/>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7.结余分配：指事业单位按照会计制度规定缴纳的所得税、提取的专用结余以及转入非财政拨款结余的金额等。</w:t>
      </w:r>
    </w:p>
    <w:p>
      <w:pPr>
        <w:pStyle w:val="16"/>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8、年末结转和结余：指单位按有关规定结转到下年或以后年度继续使用的资金。</w:t>
      </w:r>
    </w:p>
    <w:p>
      <w:pPr>
        <w:spacing w:line="600" w:lineRule="exact"/>
        <w:ind w:firstLine="640" w:firstLineChars="200"/>
        <w:outlineLvl w:val="9"/>
        <w:rPr>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9.</w:t>
      </w:r>
      <w:r>
        <w:rPr>
          <w:rStyle w:val="11"/>
          <w:rFonts w:hint="eastAsia" w:ascii="仿宋" w:hAnsi="仿宋" w:eastAsia="仿宋" w:cs="仿宋"/>
          <w:b w:val="0"/>
          <w:bCs w:val="0"/>
          <w:color w:val="000000"/>
          <w:sz w:val="32"/>
          <w:szCs w:val="32"/>
        </w:rPr>
        <w:t>一般公共服务（类）</w:t>
      </w:r>
      <w:r>
        <w:rPr>
          <w:rStyle w:val="11"/>
          <w:rFonts w:hint="eastAsia" w:ascii="仿宋" w:hAnsi="仿宋" w:eastAsia="仿宋" w:cs="仿宋"/>
          <w:b w:val="0"/>
          <w:bCs w:val="0"/>
          <w:color w:val="000000"/>
          <w:sz w:val="32"/>
          <w:szCs w:val="32"/>
          <w:lang w:val="en-US" w:eastAsia="zh-CN"/>
        </w:rPr>
        <w:t>人大事务</w:t>
      </w:r>
      <w:r>
        <w:rPr>
          <w:rStyle w:val="11"/>
          <w:rFonts w:hint="eastAsia" w:ascii="仿宋" w:hAnsi="仿宋" w:eastAsia="仿宋" w:cs="仿宋"/>
          <w:b w:val="0"/>
          <w:bCs w:val="0"/>
          <w:color w:val="000000"/>
          <w:sz w:val="32"/>
          <w:szCs w:val="32"/>
        </w:rPr>
        <w:t>（款）</w:t>
      </w:r>
      <w:r>
        <w:rPr>
          <w:rStyle w:val="11"/>
          <w:rFonts w:hint="eastAsia" w:ascii="仿宋" w:hAnsi="仿宋" w:eastAsia="仿宋" w:cs="仿宋"/>
          <w:b w:val="0"/>
          <w:bCs w:val="0"/>
          <w:color w:val="000000"/>
          <w:sz w:val="32"/>
          <w:szCs w:val="32"/>
          <w:lang w:val="en-US" w:eastAsia="zh-CN"/>
        </w:rPr>
        <w:t>人大会议</w:t>
      </w:r>
      <w:r>
        <w:rPr>
          <w:rStyle w:val="11"/>
          <w:rFonts w:hint="eastAsia" w:ascii="仿宋" w:hAnsi="仿宋" w:eastAsia="仿宋" w:cs="仿宋"/>
          <w:b w:val="0"/>
          <w:bCs w:val="0"/>
          <w:color w:val="000000"/>
          <w:sz w:val="32"/>
          <w:szCs w:val="32"/>
        </w:rPr>
        <w:t>（项）:</w:t>
      </w:r>
      <w:r>
        <w:rPr>
          <w:rStyle w:val="11"/>
          <w:rFonts w:hint="eastAsia" w:ascii="仿宋" w:hAnsi="仿宋" w:eastAsia="仿宋" w:cs="仿宋"/>
          <w:b w:val="0"/>
          <w:bCs w:val="0"/>
          <w:color w:val="000000"/>
          <w:sz w:val="32"/>
          <w:szCs w:val="32"/>
          <w:lang w:val="en-US" w:eastAsia="zh-CN"/>
        </w:rPr>
        <w:t>指用于保障机构正常举办各类会议产生的费用。</w:t>
      </w:r>
      <w:r>
        <w:rPr>
          <w:rStyle w:val="11"/>
          <w:rFonts w:hint="eastAsia" w:ascii="仿宋" w:hAnsi="仿宋" w:eastAsia="仿宋" w:cs="仿宋"/>
          <w:b w:val="0"/>
          <w:bCs w:val="0"/>
          <w:color w:val="000000"/>
          <w:sz w:val="32"/>
          <w:szCs w:val="32"/>
        </w:rPr>
        <w:t xml:space="preserve"> </w:t>
      </w:r>
    </w:p>
    <w:p>
      <w:pPr>
        <w:spacing w:line="600" w:lineRule="exact"/>
        <w:ind w:firstLine="640" w:firstLineChars="200"/>
        <w:rPr>
          <w:rStyle w:val="11"/>
          <w:rFonts w:hint="eastAsia" w:ascii="仿宋" w:hAnsi="仿宋" w:eastAsia="仿宋" w:cs="仿宋"/>
          <w:b w:val="0"/>
          <w:bCs w:val="0"/>
          <w:color w:val="000000"/>
          <w:sz w:val="32"/>
          <w:szCs w:val="32"/>
          <w:lang w:eastAsia="zh-CN"/>
        </w:rPr>
      </w:pPr>
      <w:r>
        <w:rPr>
          <w:rStyle w:val="11"/>
          <w:rFonts w:hint="eastAsia" w:ascii="仿宋" w:hAnsi="仿宋" w:eastAsia="仿宋" w:cs="仿宋"/>
          <w:b w:val="0"/>
          <w:bCs w:val="0"/>
          <w:color w:val="000000"/>
          <w:sz w:val="32"/>
          <w:szCs w:val="32"/>
          <w:lang w:val="en-US" w:eastAsia="zh-CN"/>
        </w:rPr>
        <w:t>10</w:t>
      </w:r>
      <w:r>
        <w:rPr>
          <w:rStyle w:val="11"/>
          <w:rFonts w:hint="eastAsia" w:ascii="仿宋" w:hAnsi="仿宋" w:eastAsia="仿宋" w:cs="仿宋"/>
          <w:b w:val="0"/>
          <w:bCs w:val="0"/>
          <w:color w:val="000000"/>
          <w:sz w:val="32"/>
          <w:szCs w:val="32"/>
        </w:rPr>
        <w:t>.一般公共服务（类）政府办公厅（室）及相关机构事务（款）行政运行（项）</w:t>
      </w:r>
      <w:r>
        <w:rPr>
          <w:rStyle w:val="11"/>
          <w:rFonts w:hint="eastAsia" w:ascii="仿宋" w:hAnsi="仿宋" w:eastAsia="仿宋" w:cs="仿宋"/>
          <w:b w:val="0"/>
          <w:bCs w:val="0"/>
          <w:color w:val="000000"/>
          <w:sz w:val="32"/>
          <w:szCs w:val="32"/>
          <w:lang w:eastAsia="zh-CN"/>
        </w:rPr>
        <w:t>：</w:t>
      </w:r>
      <w:r>
        <w:rPr>
          <w:rStyle w:val="11"/>
          <w:rFonts w:hint="eastAsia" w:ascii="仿宋" w:hAnsi="仿宋" w:eastAsia="仿宋" w:cs="仿宋"/>
          <w:b w:val="0"/>
          <w:bCs w:val="0"/>
          <w:color w:val="000000"/>
          <w:sz w:val="32"/>
          <w:szCs w:val="32"/>
        </w:rPr>
        <w:t>指机关及事业单位正常运转的基本支出，包括基本工资、津贴补贴等人员经费以及办公费、印刷费、水电费等日常公用经费,保障部门正常运转。</w:t>
      </w:r>
    </w:p>
    <w:p>
      <w:pPr>
        <w:spacing w:line="600" w:lineRule="exact"/>
        <w:ind w:firstLine="640" w:firstLineChars="200"/>
        <w:rPr>
          <w:rStyle w:val="11"/>
          <w:rFonts w:hint="eastAsia" w:ascii="仿宋" w:hAnsi="仿宋" w:eastAsia="仿宋" w:cs="仿宋"/>
          <w:b w:val="0"/>
          <w:bCs w:val="0"/>
          <w:color w:val="000000"/>
          <w:sz w:val="32"/>
          <w:szCs w:val="32"/>
          <w:lang w:eastAsia="zh-CN"/>
        </w:rPr>
      </w:pPr>
      <w:r>
        <w:rPr>
          <w:rStyle w:val="11"/>
          <w:rFonts w:hint="eastAsia" w:ascii="仿宋" w:hAnsi="仿宋" w:eastAsia="仿宋" w:cs="仿宋"/>
          <w:b w:val="0"/>
          <w:bCs w:val="0"/>
          <w:color w:val="000000"/>
          <w:sz w:val="32"/>
          <w:szCs w:val="32"/>
          <w:lang w:val="en-US" w:eastAsia="zh-CN"/>
        </w:rPr>
        <w:t>11.</w:t>
      </w:r>
      <w:r>
        <w:rPr>
          <w:rStyle w:val="11"/>
          <w:rFonts w:hint="eastAsia" w:ascii="仿宋" w:hAnsi="仿宋" w:eastAsia="仿宋" w:cs="仿宋"/>
          <w:b w:val="0"/>
          <w:bCs w:val="0"/>
          <w:color w:val="000000"/>
          <w:sz w:val="32"/>
          <w:szCs w:val="32"/>
        </w:rPr>
        <w:t>一般公共服务（类）政府办公厅（室）及相关机构事务（款）</w:t>
      </w:r>
      <w:r>
        <w:rPr>
          <w:rStyle w:val="11"/>
          <w:rFonts w:hint="eastAsia" w:ascii="仿宋" w:hAnsi="仿宋" w:eastAsia="仿宋" w:cs="仿宋"/>
          <w:b w:val="0"/>
          <w:bCs w:val="0"/>
          <w:color w:val="000000"/>
          <w:sz w:val="32"/>
          <w:szCs w:val="32"/>
          <w:lang w:val="en-US" w:eastAsia="zh-CN"/>
        </w:rPr>
        <w:t>事业运行（</w:t>
      </w:r>
      <w:r>
        <w:rPr>
          <w:rStyle w:val="11"/>
          <w:rFonts w:hint="eastAsia" w:ascii="仿宋" w:hAnsi="仿宋" w:eastAsia="仿宋" w:cs="仿宋"/>
          <w:b w:val="0"/>
          <w:bCs w:val="0"/>
          <w:color w:val="000000"/>
          <w:sz w:val="32"/>
          <w:szCs w:val="32"/>
        </w:rPr>
        <w:t>项）</w:t>
      </w:r>
      <w:r>
        <w:rPr>
          <w:rStyle w:val="11"/>
          <w:rFonts w:hint="eastAsia" w:ascii="仿宋" w:hAnsi="仿宋" w:eastAsia="仿宋" w:cs="仿宋"/>
          <w:b w:val="0"/>
          <w:bCs w:val="0"/>
          <w:color w:val="000000"/>
          <w:sz w:val="32"/>
          <w:szCs w:val="32"/>
          <w:lang w:eastAsia="zh-CN"/>
        </w:rPr>
        <w:t>：</w:t>
      </w:r>
      <w:r>
        <w:rPr>
          <w:rStyle w:val="11"/>
          <w:rFonts w:hint="eastAsia" w:ascii="仿宋" w:hAnsi="仿宋" w:eastAsia="仿宋" w:cs="仿宋"/>
          <w:b w:val="0"/>
          <w:bCs w:val="0"/>
          <w:color w:val="000000"/>
          <w:sz w:val="32"/>
          <w:szCs w:val="32"/>
        </w:rPr>
        <w:t>指</w:t>
      </w:r>
      <w:r>
        <w:rPr>
          <w:rStyle w:val="11"/>
          <w:rFonts w:hint="eastAsia" w:ascii="仿宋" w:hAnsi="仿宋" w:eastAsia="仿宋" w:cs="仿宋"/>
          <w:b w:val="0"/>
          <w:bCs w:val="0"/>
          <w:color w:val="000000"/>
          <w:sz w:val="32"/>
          <w:szCs w:val="32"/>
          <w:lang w:val="en-US" w:eastAsia="zh-CN"/>
        </w:rPr>
        <w:t>反映事业单位的基本支出，不包括行政单位（包括实行公务员管理的事业单位）后勤服务中心、医务室等附属事业单位</w:t>
      </w:r>
      <w:r>
        <w:rPr>
          <w:rStyle w:val="11"/>
          <w:rFonts w:hint="eastAsia" w:ascii="仿宋" w:hAnsi="仿宋" w:eastAsia="仿宋" w:cs="仿宋"/>
          <w:b w:val="0"/>
          <w:bCs w:val="0"/>
          <w:color w:val="000000"/>
          <w:sz w:val="32"/>
          <w:szCs w:val="32"/>
        </w:rPr>
        <w:t>。</w:t>
      </w:r>
    </w:p>
    <w:p>
      <w:pPr>
        <w:spacing w:line="600" w:lineRule="exact"/>
        <w:ind w:firstLine="640" w:firstLineChars="200"/>
        <w:rPr>
          <w:rStyle w:val="11"/>
          <w:rFonts w:hint="eastAsia" w:ascii="仿宋" w:hAnsi="仿宋" w:eastAsia="仿宋" w:cs="仿宋"/>
          <w:b w:val="0"/>
          <w:bCs w:val="0"/>
          <w:color w:val="000000"/>
          <w:sz w:val="32"/>
          <w:szCs w:val="32"/>
          <w:highlight w:val="none"/>
          <w:lang w:val="en-US" w:eastAsia="zh-CN"/>
        </w:rPr>
      </w:pPr>
      <w:r>
        <w:rPr>
          <w:rStyle w:val="11"/>
          <w:rFonts w:hint="eastAsia" w:ascii="仿宋" w:hAnsi="仿宋" w:eastAsia="仿宋" w:cs="仿宋"/>
          <w:b w:val="0"/>
          <w:bCs w:val="0"/>
          <w:color w:val="000000"/>
          <w:sz w:val="32"/>
          <w:szCs w:val="32"/>
          <w:highlight w:val="none"/>
          <w:lang w:val="en-US" w:eastAsia="zh-CN"/>
        </w:rPr>
        <w:t>12.</w:t>
      </w:r>
      <w:r>
        <w:rPr>
          <w:rStyle w:val="11"/>
          <w:rFonts w:hint="eastAsia" w:ascii="仿宋" w:hAnsi="仿宋" w:eastAsia="仿宋" w:cs="仿宋"/>
          <w:b w:val="0"/>
          <w:bCs w:val="0"/>
          <w:color w:val="000000"/>
          <w:sz w:val="32"/>
          <w:szCs w:val="32"/>
          <w:highlight w:val="none"/>
        </w:rPr>
        <w:t>一般公共服务（类）政府办公厅（室）及相关机构事务（款）其他政府办公厅（室）及相关机构事务支出（项）</w:t>
      </w:r>
      <w:r>
        <w:rPr>
          <w:rStyle w:val="11"/>
          <w:rFonts w:hint="eastAsia" w:ascii="仿宋" w:hAnsi="仿宋" w:eastAsia="仿宋" w:cs="仿宋"/>
          <w:b w:val="0"/>
          <w:bCs w:val="0"/>
          <w:color w:val="000000"/>
          <w:sz w:val="32"/>
          <w:szCs w:val="32"/>
          <w:highlight w:val="none"/>
          <w:lang w:val="en-US" w:eastAsia="zh-CN"/>
        </w:rPr>
        <w:t>:反映除上述项目以外的其他政府办公厅（室）及相关机构事务支出。</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13.</w:t>
      </w:r>
      <w:r>
        <w:rPr>
          <w:rStyle w:val="11"/>
          <w:rFonts w:hint="eastAsia" w:ascii="仿宋" w:hAnsi="仿宋" w:eastAsia="仿宋" w:cs="仿宋"/>
          <w:b w:val="0"/>
          <w:bCs w:val="0"/>
          <w:color w:val="000000"/>
          <w:sz w:val="32"/>
          <w:szCs w:val="32"/>
        </w:rPr>
        <w:t>社会保障和就业支出（类）民政管理事务（款）基层政权</w:t>
      </w:r>
      <w:r>
        <w:rPr>
          <w:rStyle w:val="11"/>
          <w:rFonts w:hint="eastAsia" w:ascii="仿宋" w:hAnsi="仿宋" w:eastAsia="仿宋" w:cs="仿宋"/>
          <w:b w:val="0"/>
          <w:bCs w:val="0"/>
          <w:color w:val="000000"/>
          <w:sz w:val="32"/>
          <w:szCs w:val="32"/>
          <w:lang w:val="en-US" w:eastAsia="zh-CN"/>
        </w:rPr>
        <w:t>建设</w:t>
      </w:r>
      <w:r>
        <w:rPr>
          <w:rStyle w:val="11"/>
          <w:rFonts w:hint="eastAsia" w:ascii="仿宋" w:hAnsi="仿宋" w:eastAsia="仿宋" w:cs="仿宋"/>
          <w:b w:val="0"/>
          <w:bCs w:val="0"/>
          <w:color w:val="000000"/>
          <w:sz w:val="32"/>
          <w:szCs w:val="32"/>
        </w:rPr>
        <w:t>和社区</w:t>
      </w:r>
      <w:r>
        <w:rPr>
          <w:rStyle w:val="11"/>
          <w:rFonts w:hint="eastAsia" w:ascii="仿宋" w:hAnsi="仿宋" w:eastAsia="仿宋" w:cs="仿宋"/>
          <w:b w:val="0"/>
          <w:bCs w:val="0"/>
          <w:color w:val="000000"/>
          <w:sz w:val="32"/>
          <w:szCs w:val="32"/>
          <w:lang w:val="en-US" w:eastAsia="zh-CN"/>
        </w:rPr>
        <w:t>治理</w:t>
      </w:r>
      <w:r>
        <w:rPr>
          <w:rStyle w:val="11"/>
          <w:rFonts w:hint="eastAsia" w:ascii="仿宋" w:hAnsi="仿宋" w:eastAsia="仿宋" w:cs="仿宋"/>
          <w:b w:val="0"/>
          <w:bCs w:val="0"/>
          <w:color w:val="000000"/>
          <w:sz w:val="32"/>
          <w:szCs w:val="32"/>
        </w:rPr>
        <w:t>（项）</w:t>
      </w:r>
      <w:r>
        <w:rPr>
          <w:rStyle w:val="11"/>
          <w:rFonts w:hint="eastAsia" w:ascii="仿宋" w:hAnsi="仿宋" w:eastAsia="仿宋" w:cs="仿宋"/>
          <w:b w:val="0"/>
          <w:bCs w:val="0"/>
          <w:color w:val="000000"/>
          <w:sz w:val="32"/>
          <w:szCs w:val="32"/>
          <w:lang w:val="en-US" w:eastAsia="zh-CN"/>
        </w:rPr>
        <w:t>:反映开展城乡社区治理、城乡社区服务（乡村便民服务）、村（居）民自治、村（居）务公开、乡镇（街道）服务能力建设等基层政权建设和社区治理工作的支出</w:t>
      </w:r>
      <w:r>
        <w:rPr>
          <w:rStyle w:val="11"/>
          <w:rFonts w:hint="eastAsia" w:ascii="仿宋" w:hAnsi="仿宋" w:eastAsia="仿宋" w:cs="仿宋"/>
          <w:b w:val="0"/>
          <w:bCs w:val="0"/>
          <w:color w:val="000000"/>
          <w:sz w:val="32"/>
          <w:szCs w:val="32"/>
        </w:rPr>
        <w:t>。</w:t>
      </w:r>
    </w:p>
    <w:p>
      <w:pPr>
        <w:spacing w:line="600" w:lineRule="exact"/>
        <w:ind w:firstLine="640" w:firstLineChars="200"/>
        <w:rPr>
          <w:rStyle w:val="11"/>
          <w:rFonts w:hint="eastAsia" w:ascii="仿宋" w:hAnsi="仿宋" w:eastAsia="仿宋" w:cs="仿宋"/>
          <w:b w:val="0"/>
          <w:bCs w:val="0"/>
          <w:color w:val="000000"/>
          <w:sz w:val="32"/>
          <w:szCs w:val="32"/>
          <w:highlight w:val="none"/>
          <w:lang w:val="en-US" w:eastAsia="zh-CN"/>
        </w:rPr>
      </w:pPr>
      <w:r>
        <w:rPr>
          <w:rStyle w:val="11"/>
          <w:rFonts w:hint="eastAsia" w:ascii="仿宋" w:hAnsi="仿宋" w:eastAsia="仿宋" w:cs="仿宋"/>
          <w:b w:val="0"/>
          <w:bCs w:val="0"/>
          <w:color w:val="000000"/>
          <w:sz w:val="32"/>
          <w:szCs w:val="32"/>
          <w:highlight w:val="none"/>
          <w:lang w:val="en-US" w:eastAsia="zh-CN"/>
        </w:rPr>
        <w:t>14.</w:t>
      </w:r>
      <w:r>
        <w:rPr>
          <w:rStyle w:val="11"/>
          <w:rFonts w:hint="eastAsia" w:ascii="仿宋" w:hAnsi="仿宋" w:eastAsia="仿宋" w:cs="仿宋"/>
          <w:b w:val="0"/>
          <w:bCs w:val="0"/>
          <w:color w:val="000000"/>
          <w:sz w:val="32"/>
          <w:szCs w:val="32"/>
          <w:highlight w:val="none"/>
        </w:rPr>
        <w:t>社会保障和就业支出（类）行政事业单位</w:t>
      </w:r>
      <w:r>
        <w:rPr>
          <w:rStyle w:val="11"/>
          <w:rFonts w:hint="eastAsia" w:ascii="仿宋" w:hAnsi="仿宋" w:eastAsia="仿宋" w:cs="仿宋"/>
          <w:b w:val="0"/>
          <w:bCs w:val="0"/>
          <w:color w:val="000000"/>
          <w:sz w:val="32"/>
          <w:szCs w:val="32"/>
          <w:highlight w:val="none"/>
          <w:lang w:val="en-US" w:eastAsia="zh-CN"/>
        </w:rPr>
        <w:t>养老支出</w:t>
      </w:r>
      <w:r>
        <w:rPr>
          <w:rStyle w:val="11"/>
          <w:rFonts w:hint="eastAsia" w:ascii="仿宋" w:hAnsi="仿宋" w:eastAsia="仿宋" w:cs="仿宋"/>
          <w:b w:val="0"/>
          <w:bCs w:val="0"/>
          <w:color w:val="000000"/>
          <w:sz w:val="32"/>
          <w:szCs w:val="32"/>
          <w:highlight w:val="none"/>
        </w:rPr>
        <w:t>（款）行政单位离退休（项）</w:t>
      </w:r>
      <w:r>
        <w:rPr>
          <w:rStyle w:val="11"/>
          <w:rFonts w:hint="eastAsia" w:ascii="仿宋" w:hAnsi="仿宋" w:eastAsia="仿宋" w:cs="仿宋"/>
          <w:b w:val="0"/>
          <w:bCs w:val="0"/>
          <w:color w:val="000000"/>
          <w:sz w:val="32"/>
          <w:szCs w:val="32"/>
          <w:highlight w:val="none"/>
          <w:lang w:val="en-US" w:eastAsia="zh-CN"/>
        </w:rPr>
        <w:t>:反映行政单位（包括实行公务员管理的事业单位）开支的离退休经费。</w:t>
      </w:r>
    </w:p>
    <w:p>
      <w:pPr>
        <w:spacing w:line="600" w:lineRule="exact"/>
        <w:ind w:firstLine="640" w:firstLineChars="200"/>
        <w:rPr>
          <w:rStyle w:val="11"/>
          <w:rFonts w:hint="eastAsia" w:ascii="仿宋" w:hAnsi="仿宋" w:eastAsia="仿宋" w:cs="仿宋"/>
          <w:b w:val="0"/>
          <w:bCs w:val="0"/>
          <w:color w:val="000000"/>
          <w:sz w:val="32"/>
          <w:szCs w:val="32"/>
          <w:lang w:eastAsia="zh-CN"/>
        </w:rPr>
      </w:pPr>
      <w:r>
        <w:rPr>
          <w:rStyle w:val="11"/>
          <w:rFonts w:hint="eastAsia" w:ascii="仿宋" w:hAnsi="仿宋" w:eastAsia="仿宋" w:cs="仿宋"/>
          <w:b w:val="0"/>
          <w:bCs w:val="0"/>
          <w:color w:val="000000"/>
          <w:sz w:val="32"/>
          <w:szCs w:val="32"/>
          <w:lang w:val="en-US" w:eastAsia="zh-CN"/>
        </w:rPr>
        <w:t>15.</w:t>
      </w:r>
      <w:r>
        <w:rPr>
          <w:rStyle w:val="11"/>
          <w:rFonts w:hint="eastAsia" w:ascii="仿宋" w:hAnsi="仿宋" w:eastAsia="仿宋" w:cs="仿宋"/>
          <w:b w:val="0"/>
          <w:bCs w:val="0"/>
          <w:color w:val="000000"/>
          <w:sz w:val="32"/>
          <w:szCs w:val="32"/>
        </w:rPr>
        <w:t>社会保障和就业支出（类）行政事业单位</w:t>
      </w:r>
      <w:r>
        <w:rPr>
          <w:rStyle w:val="11"/>
          <w:rFonts w:hint="eastAsia" w:ascii="仿宋" w:hAnsi="仿宋" w:eastAsia="仿宋" w:cs="仿宋"/>
          <w:b w:val="0"/>
          <w:bCs w:val="0"/>
          <w:color w:val="000000"/>
          <w:sz w:val="32"/>
          <w:szCs w:val="32"/>
          <w:lang w:val="en-US" w:eastAsia="zh-CN"/>
        </w:rPr>
        <w:t>养老支出</w:t>
      </w:r>
      <w:r>
        <w:rPr>
          <w:rStyle w:val="11"/>
          <w:rFonts w:hint="eastAsia" w:ascii="仿宋" w:hAnsi="仿宋" w:eastAsia="仿宋" w:cs="仿宋"/>
          <w:b w:val="0"/>
          <w:bCs w:val="0"/>
          <w:color w:val="000000"/>
          <w:sz w:val="32"/>
          <w:szCs w:val="32"/>
        </w:rPr>
        <w:t>（款）事业单位离退休（项）</w:t>
      </w:r>
      <w:r>
        <w:rPr>
          <w:rStyle w:val="11"/>
          <w:rFonts w:hint="eastAsia" w:ascii="仿宋" w:hAnsi="仿宋" w:eastAsia="仿宋" w:cs="仿宋"/>
          <w:b w:val="0"/>
          <w:bCs w:val="0"/>
          <w:color w:val="000000"/>
          <w:sz w:val="32"/>
          <w:szCs w:val="32"/>
          <w:lang w:eastAsia="zh-CN"/>
        </w:rPr>
        <w:t>：</w:t>
      </w:r>
      <w:r>
        <w:rPr>
          <w:rStyle w:val="11"/>
          <w:rFonts w:hint="eastAsia" w:ascii="仿宋" w:hAnsi="仿宋" w:eastAsia="仿宋" w:cs="仿宋"/>
          <w:b w:val="0"/>
          <w:bCs w:val="0"/>
          <w:color w:val="000000"/>
          <w:sz w:val="32"/>
          <w:szCs w:val="32"/>
        </w:rPr>
        <w:t>指事业退休人员慰问补助。</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16.</w:t>
      </w:r>
      <w:r>
        <w:rPr>
          <w:rStyle w:val="11"/>
          <w:rFonts w:hint="eastAsia" w:ascii="仿宋" w:hAnsi="仿宋" w:eastAsia="仿宋" w:cs="仿宋"/>
          <w:b w:val="0"/>
          <w:bCs w:val="0"/>
          <w:color w:val="000000"/>
          <w:sz w:val="32"/>
          <w:szCs w:val="32"/>
        </w:rPr>
        <w:t>社会保障和就业支出（类）行政事业单位</w:t>
      </w:r>
      <w:r>
        <w:rPr>
          <w:rStyle w:val="11"/>
          <w:rFonts w:hint="eastAsia" w:ascii="仿宋" w:hAnsi="仿宋" w:eastAsia="仿宋" w:cs="仿宋"/>
          <w:b w:val="0"/>
          <w:bCs w:val="0"/>
          <w:color w:val="000000"/>
          <w:sz w:val="32"/>
          <w:szCs w:val="32"/>
          <w:lang w:val="en-US" w:eastAsia="zh-CN"/>
        </w:rPr>
        <w:t>养老支出</w:t>
      </w:r>
      <w:r>
        <w:rPr>
          <w:rStyle w:val="11"/>
          <w:rFonts w:hint="eastAsia" w:ascii="仿宋" w:hAnsi="仿宋" w:eastAsia="仿宋" w:cs="仿宋"/>
          <w:b w:val="0"/>
          <w:bCs w:val="0"/>
          <w:color w:val="000000"/>
          <w:sz w:val="32"/>
          <w:szCs w:val="32"/>
        </w:rPr>
        <w:t>（款） 机关事业单位基本养老保险缴费支出（项）</w:t>
      </w:r>
      <w:r>
        <w:rPr>
          <w:rStyle w:val="11"/>
          <w:rFonts w:hint="eastAsia" w:ascii="仿宋" w:hAnsi="仿宋" w:eastAsia="仿宋" w:cs="仿宋"/>
          <w:b w:val="0"/>
          <w:bCs w:val="0"/>
          <w:color w:val="000000"/>
          <w:sz w:val="32"/>
          <w:szCs w:val="32"/>
          <w:lang w:val="en-US" w:eastAsia="zh-CN"/>
        </w:rPr>
        <w:t>:</w:t>
      </w:r>
      <w:r>
        <w:rPr>
          <w:rStyle w:val="11"/>
          <w:rFonts w:hint="eastAsia" w:ascii="仿宋" w:hAnsi="仿宋" w:eastAsia="仿宋" w:cs="仿宋"/>
          <w:b w:val="0"/>
          <w:bCs w:val="0"/>
          <w:color w:val="000000"/>
          <w:sz w:val="32"/>
          <w:szCs w:val="32"/>
        </w:rPr>
        <w:t>指用于保障机关事业单位养老保险缴费。</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17.</w:t>
      </w:r>
      <w:r>
        <w:rPr>
          <w:rStyle w:val="11"/>
          <w:rFonts w:hint="eastAsia" w:ascii="仿宋" w:hAnsi="仿宋" w:eastAsia="仿宋" w:cs="仿宋"/>
          <w:b w:val="0"/>
          <w:bCs w:val="0"/>
          <w:color w:val="000000"/>
          <w:sz w:val="32"/>
          <w:szCs w:val="32"/>
        </w:rPr>
        <w:t>社会保障和就业（类）其他社会保障和就业支出（款）其他社会保障和就业支出（项）</w:t>
      </w:r>
      <w:r>
        <w:rPr>
          <w:rStyle w:val="11"/>
          <w:rFonts w:hint="eastAsia" w:ascii="仿宋" w:hAnsi="仿宋" w:eastAsia="仿宋" w:cs="仿宋"/>
          <w:b w:val="0"/>
          <w:bCs w:val="0"/>
          <w:color w:val="000000"/>
          <w:sz w:val="32"/>
          <w:szCs w:val="32"/>
          <w:lang w:val="en-US" w:eastAsia="zh-CN"/>
        </w:rPr>
        <w:t>:</w:t>
      </w:r>
      <w:r>
        <w:rPr>
          <w:rStyle w:val="11"/>
          <w:rFonts w:hint="eastAsia" w:ascii="仿宋" w:hAnsi="仿宋" w:eastAsia="仿宋" w:cs="仿宋"/>
          <w:b w:val="0"/>
          <w:bCs w:val="0"/>
          <w:color w:val="000000"/>
          <w:sz w:val="32"/>
          <w:szCs w:val="32"/>
        </w:rPr>
        <w:t>指用于保障事业人员的工伤、生育等保险缴费。</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18.</w:t>
      </w:r>
      <w:r>
        <w:rPr>
          <w:rStyle w:val="11"/>
          <w:rFonts w:hint="eastAsia" w:ascii="仿宋" w:hAnsi="仿宋" w:eastAsia="仿宋" w:cs="仿宋"/>
          <w:b w:val="0"/>
          <w:bCs w:val="0"/>
          <w:color w:val="000000"/>
          <w:sz w:val="32"/>
          <w:szCs w:val="32"/>
        </w:rPr>
        <w:t>卫生健康支出（类）</w:t>
      </w:r>
      <w:r>
        <w:rPr>
          <w:rStyle w:val="11"/>
          <w:rFonts w:hint="eastAsia" w:ascii="仿宋" w:hAnsi="仿宋" w:eastAsia="仿宋" w:cs="仿宋"/>
          <w:b w:val="0"/>
          <w:bCs w:val="0"/>
          <w:color w:val="000000"/>
          <w:sz w:val="32"/>
          <w:szCs w:val="32"/>
          <w:lang w:val="en-US" w:eastAsia="zh-CN"/>
        </w:rPr>
        <w:t>行政事业单位医疗</w:t>
      </w:r>
      <w:r>
        <w:rPr>
          <w:rStyle w:val="11"/>
          <w:rFonts w:hint="eastAsia" w:ascii="仿宋" w:hAnsi="仿宋" w:eastAsia="仿宋" w:cs="仿宋"/>
          <w:b w:val="0"/>
          <w:bCs w:val="0"/>
          <w:color w:val="000000"/>
          <w:sz w:val="32"/>
          <w:szCs w:val="32"/>
        </w:rPr>
        <w:t>（款）行政单位医疗（项</w:t>
      </w:r>
      <w:r>
        <w:rPr>
          <w:rStyle w:val="11"/>
          <w:rFonts w:hint="eastAsia" w:ascii="仿宋" w:hAnsi="仿宋" w:eastAsia="仿宋" w:cs="仿宋"/>
          <w:b w:val="0"/>
          <w:bCs w:val="0"/>
          <w:i w:val="0"/>
          <w:caps w:val="0"/>
          <w:color w:val="555555"/>
          <w:spacing w:val="0"/>
          <w:sz w:val="32"/>
          <w:szCs w:val="32"/>
          <w:shd w:val="clear" w:fill="FFFFFF"/>
        </w:rPr>
        <w:t>）</w:t>
      </w:r>
      <w:r>
        <w:rPr>
          <w:rStyle w:val="11"/>
          <w:rFonts w:hint="eastAsia" w:ascii="仿宋" w:hAnsi="仿宋" w:eastAsia="仿宋" w:cs="仿宋"/>
          <w:b w:val="0"/>
          <w:bCs w:val="0"/>
          <w:color w:val="000000"/>
          <w:sz w:val="32"/>
          <w:szCs w:val="32"/>
          <w:lang w:val="en-US" w:eastAsia="zh-CN"/>
        </w:rPr>
        <w:t>:</w:t>
      </w:r>
      <w:r>
        <w:rPr>
          <w:rStyle w:val="11"/>
          <w:rFonts w:hint="eastAsia" w:ascii="仿宋" w:hAnsi="仿宋" w:eastAsia="仿宋" w:cs="仿宋"/>
          <w:b w:val="0"/>
          <w:bCs w:val="0"/>
          <w:color w:val="000000"/>
          <w:sz w:val="32"/>
          <w:szCs w:val="32"/>
        </w:rPr>
        <w:t>指用于保障机关及事业单位基本医疗保险缴费支出。</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19.节能环保支出（类）污染防治（款）水体（项）:</w:t>
      </w:r>
      <w:r>
        <w:rPr>
          <w:rStyle w:val="11"/>
          <w:rFonts w:hint="eastAsia" w:ascii="仿宋" w:hAnsi="仿宋" w:eastAsia="仿宋" w:cs="仿宋"/>
          <w:b w:val="0"/>
          <w:bCs w:val="0"/>
          <w:color w:val="000000"/>
          <w:sz w:val="32"/>
          <w:szCs w:val="32"/>
        </w:rPr>
        <w:t>指用于农村生活污水治理支出。</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20.城乡社区支出（类）城乡社区环境卫生（款）城乡社区环境卫生（项）:指用于保障环境卫生整治支出。</w:t>
      </w:r>
    </w:p>
    <w:p>
      <w:pPr>
        <w:spacing w:line="600" w:lineRule="exact"/>
        <w:ind w:firstLine="640" w:firstLineChars="200"/>
        <w:rPr>
          <w:rStyle w:val="11"/>
          <w:rFonts w:hint="eastAsia" w:ascii="仿宋" w:hAnsi="仿宋" w:eastAsia="仿宋" w:cs="仿宋"/>
          <w:b w:val="0"/>
          <w:bCs w:val="0"/>
          <w:color w:val="000000"/>
          <w:sz w:val="32"/>
          <w:szCs w:val="32"/>
          <w:highlight w:val="none"/>
          <w:lang w:val="en-US" w:eastAsia="zh-CN"/>
        </w:rPr>
      </w:pPr>
      <w:r>
        <w:rPr>
          <w:rStyle w:val="11"/>
          <w:rFonts w:hint="eastAsia" w:ascii="仿宋" w:hAnsi="仿宋" w:eastAsia="仿宋" w:cs="仿宋"/>
          <w:b w:val="0"/>
          <w:bCs w:val="0"/>
          <w:color w:val="000000"/>
          <w:sz w:val="32"/>
          <w:szCs w:val="32"/>
          <w:highlight w:val="none"/>
          <w:lang w:val="en-US" w:eastAsia="zh-CN"/>
        </w:rPr>
        <w:t>21.农林水支出（类）扶贫（款）其他扶贫支出（项）：反映除上述项目以外其他用于扶贫方面的支出。</w:t>
      </w:r>
    </w:p>
    <w:p>
      <w:pPr>
        <w:spacing w:line="600" w:lineRule="exact"/>
        <w:ind w:firstLine="640" w:firstLineChars="200"/>
        <w:rPr>
          <w:rStyle w:val="11"/>
          <w:rFonts w:hint="eastAsia" w:ascii="仿宋" w:hAnsi="仿宋" w:eastAsia="仿宋" w:cs="仿宋"/>
          <w:b w:val="0"/>
          <w:bCs w:val="0"/>
          <w:color w:val="000000"/>
          <w:sz w:val="32"/>
          <w:szCs w:val="32"/>
          <w:highlight w:val="none"/>
          <w:lang w:val="en-US" w:eastAsia="zh-CN"/>
        </w:rPr>
      </w:pPr>
      <w:r>
        <w:rPr>
          <w:rStyle w:val="11"/>
          <w:rFonts w:hint="eastAsia" w:ascii="仿宋" w:hAnsi="仿宋" w:eastAsia="仿宋" w:cs="仿宋"/>
          <w:b w:val="0"/>
          <w:bCs w:val="0"/>
          <w:color w:val="000000"/>
          <w:sz w:val="32"/>
          <w:szCs w:val="32"/>
          <w:highlight w:val="none"/>
          <w:lang w:val="en-US" w:eastAsia="zh-CN"/>
        </w:rPr>
        <w:t>22.农林水支出（类）农村综合改革（款）对村级一事一议的补助（项）:反映农村税费改革后对村级公益事业建设的补助支出。</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23.农林水支出（类）农村综合改革（款） 对村民委员会和村党支部的补助（项）:指用于保障环境卫生整治支出。</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24.交通运输支出（类）公路水路运输（款）公路和运输安全（项）:指用于保障安全工作产生的经费。</w:t>
      </w:r>
    </w:p>
    <w:p>
      <w:pPr>
        <w:spacing w:line="600" w:lineRule="exact"/>
        <w:ind w:firstLine="640" w:firstLineChars="200"/>
        <w:rPr>
          <w:rStyle w:val="11"/>
          <w:rFonts w:hint="eastAsia" w:ascii="仿宋" w:hAnsi="仿宋" w:eastAsia="仿宋" w:cs="仿宋"/>
          <w:b w:val="0"/>
          <w:bCs w:val="0"/>
          <w:color w:val="000000"/>
          <w:sz w:val="32"/>
          <w:szCs w:val="32"/>
          <w:lang w:val="en-US" w:eastAsia="zh-CN"/>
        </w:rPr>
      </w:pPr>
      <w:r>
        <w:rPr>
          <w:rStyle w:val="11"/>
          <w:rFonts w:hint="eastAsia" w:ascii="仿宋" w:hAnsi="仿宋" w:eastAsia="仿宋" w:cs="仿宋"/>
          <w:b w:val="0"/>
          <w:bCs w:val="0"/>
          <w:color w:val="000000"/>
          <w:sz w:val="32"/>
          <w:szCs w:val="32"/>
          <w:lang w:val="en-US" w:eastAsia="zh-CN"/>
        </w:rPr>
        <w:t>25.住房保障（类）住房改革支出（款）住房公积金（项）：指用于部门按人力资源和社会保障部、财政部规定的基本工资和津贴补贴以及规定比例为职工缴纳的住房公积金支出。</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27.基本支出：指为保障机构正常运转、完成日常工作任务而发生的人员支出和公用支出。</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28.项目支出：指在基本支出之外为完成特定行政任务和事业发展目标所发生的支出。 </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29.经营支出：指事业单位在专业业务活动及其辅助活动之外开展非独立核算经营活动发生的支出。</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30.</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6"/>
        <w:spacing w:line="560" w:lineRule="exact"/>
        <w:ind w:firstLine="640" w:firstLineChars="200"/>
        <w:rPr>
          <w:rFonts w:hint="eastAsia" w:ascii="仿宋_GB2312" w:eastAsia="仿宋_GB2312"/>
          <w:sz w:val="32"/>
          <w:szCs w:val="32"/>
        </w:rPr>
      </w:pPr>
      <w:r>
        <w:rPr>
          <w:rFonts w:ascii="仿宋_GB2312" w:eastAsia="仿宋_GB2312"/>
          <w:sz w:val="32"/>
          <w:szCs w:val="32"/>
        </w:rPr>
        <w:t>31.</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6"/>
        <w:spacing w:line="560" w:lineRule="exact"/>
        <w:ind w:firstLine="640" w:firstLineChars="200"/>
        <w:rPr>
          <w:rFonts w:hint="eastAsia" w:ascii="仿宋_GB2312" w:eastAsia="仿宋_GB2312"/>
          <w:sz w:val="32"/>
          <w:szCs w:val="32"/>
        </w:rPr>
      </w:pPr>
    </w:p>
    <w:p>
      <w:pPr>
        <w:pStyle w:val="16"/>
        <w:spacing w:line="560" w:lineRule="exact"/>
        <w:ind w:firstLine="640" w:firstLineChars="200"/>
        <w:rPr>
          <w:rFonts w:hint="eastAsia" w:ascii="仿宋_GB2312" w:eastAsia="仿宋_GB2312"/>
          <w:sz w:val="32"/>
          <w:szCs w:val="32"/>
        </w:rPr>
      </w:pPr>
    </w:p>
    <w:p>
      <w:pPr>
        <w:spacing w:line="600" w:lineRule="exact"/>
        <w:jc w:val="both"/>
        <w:outlineLvl w:val="0"/>
        <w:rPr>
          <w:rFonts w:hint="eastAsia" w:ascii="黑体" w:hAnsi="黑体" w:eastAsia="黑体"/>
          <w:color w:val="000000"/>
          <w:sz w:val="44"/>
          <w:szCs w:val="44"/>
        </w:rPr>
      </w:pPr>
      <w:bookmarkStart w:id="62" w:name="_Toc11207"/>
      <w:bookmarkStart w:id="63" w:name="_Toc15396614"/>
      <w:bookmarkStart w:id="64" w:name="_Toc15377226"/>
    </w:p>
    <w:p>
      <w:pPr>
        <w:pStyle w:val="2"/>
        <w:rPr>
          <w:rFonts w:hint="eastAsia"/>
        </w:rPr>
      </w:pPr>
    </w:p>
    <w:p>
      <w:pPr>
        <w:spacing w:line="600" w:lineRule="exact"/>
        <w:jc w:val="center"/>
        <w:outlineLvl w:val="0"/>
        <w:rPr>
          <w:rStyle w:val="13"/>
          <w:rFonts w:ascii="黑体" w:hAnsi="黑体" w:eastAsia="黑体"/>
          <w:b w:val="0"/>
        </w:rPr>
      </w:pPr>
      <w:r>
        <w:rPr>
          <w:rFonts w:hint="eastAsia" w:ascii="黑体" w:hAnsi="黑体" w:eastAsia="黑体"/>
          <w:color w:val="000000"/>
          <w:sz w:val="44"/>
          <w:szCs w:val="44"/>
        </w:rPr>
        <w:t>第</w:t>
      </w:r>
      <w:r>
        <w:rPr>
          <w:rStyle w:val="13"/>
          <w:rFonts w:hint="eastAsia" w:ascii="黑体" w:hAnsi="黑体" w:eastAsia="黑体"/>
          <w:b w:val="0"/>
        </w:rPr>
        <w:t>四部分</w:t>
      </w:r>
      <w:r>
        <w:rPr>
          <w:rStyle w:val="13"/>
          <w:rFonts w:ascii="黑体" w:hAnsi="黑体" w:eastAsia="黑体"/>
          <w:b w:val="0"/>
        </w:rPr>
        <w:t xml:space="preserve"> </w:t>
      </w:r>
      <w:r>
        <w:rPr>
          <w:rStyle w:val="13"/>
          <w:rFonts w:hint="eastAsia" w:ascii="黑体" w:hAnsi="黑体" w:eastAsia="黑体"/>
          <w:b w:val="0"/>
        </w:rPr>
        <w:t>附件</w:t>
      </w:r>
      <w:bookmarkEnd w:id="62"/>
      <w:bookmarkEnd w:id="63"/>
    </w:p>
    <w:p>
      <w:pPr>
        <w:spacing w:line="600" w:lineRule="exact"/>
        <w:jc w:val="left"/>
        <w:outlineLvl w:val="1"/>
        <w:rPr>
          <w:rFonts w:ascii="方正小标宋简体" w:hAnsi="方正小标宋简体" w:eastAsia="方正小标宋简体" w:cs="方正小标宋简体"/>
          <w:sz w:val="32"/>
          <w:szCs w:val="32"/>
        </w:rPr>
      </w:pPr>
      <w:bookmarkStart w:id="65" w:name="_Toc22930"/>
      <w:r>
        <w:rPr>
          <w:rFonts w:hint="eastAsia" w:ascii="黑体" w:hAnsi="黑体" w:eastAsia="黑体" w:cs="黑体"/>
          <w:sz w:val="32"/>
          <w:szCs w:val="32"/>
        </w:rPr>
        <w:t>附件</w:t>
      </w:r>
      <w:r>
        <w:rPr>
          <w:rFonts w:ascii="黑体" w:hAnsi="黑体" w:eastAsia="黑体" w:cs="黑体"/>
          <w:sz w:val="32"/>
          <w:szCs w:val="32"/>
        </w:rPr>
        <w:t>1</w:t>
      </w:r>
      <w:bookmarkEnd w:id="65"/>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hint="eastAsia" w:ascii="微软雅黑" w:hAnsi="微软雅黑" w:eastAsia="微软雅黑" w:cs="微软雅黑"/>
          <w:color w:val="000000"/>
          <w:w w:val="80"/>
          <w:kern w:val="0"/>
          <w:sz w:val="40"/>
          <w:szCs w:val="44"/>
          <w:lang w:val="zh-CN"/>
        </w:rPr>
      </w:pPr>
      <w:r>
        <w:rPr>
          <w:rFonts w:hint="eastAsia" w:ascii="微软雅黑" w:hAnsi="微软雅黑" w:eastAsia="微软雅黑" w:cs="微软雅黑"/>
          <w:color w:val="000000"/>
          <w:w w:val="80"/>
          <w:kern w:val="0"/>
          <w:sz w:val="40"/>
          <w:szCs w:val="44"/>
          <w:lang w:val="en-US" w:eastAsia="zh-CN"/>
        </w:rPr>
        <w:t>舒坪街道办事处部门</w:t>
      </w:r>
      <w:r>
        <w:rPr>
          <w:rFonts w:hint="eastAsia" w:ascii="微软雅黑" w:hAnsi="微软雅黑" w:eastAsia="微软雅黑" w:cs="微软雅黑"/>
          <w:color w:val="000000"/>
          <w:w w:val="80"/>
          <w:kern w:val="0"/>
          <w:sz w:val="40"/>
          <w:szCs w:val="44"/>
        </w:rPr>
        <w:t>2020年部门</w:t>
      </w:r>
      <w:r>
        <w:rPr>
          <w:rFonts w:hint="eastAsia" w:ascii="微软雅黑" w:hAnsi="微软雅黑" w:eastAsia="微软雅黑" w:cs="微软雅黑"/>
          <w:color w:val="000000"/>
          <w:w w:val="80"/>
          <w:kern w:val="0"/>
          <w:sz w:val="40"/>
          <w:szCs w:val="44"/>
          <w:lang w:val="zh-CN"/>
        </w:rPr>
        <w:t>整体支出绩效评价报告</w:t>
      </w:r>
    </w:p>
    <w:p>
      <w:pPr>
        <w:widowControl/>
        <w:spacing w:line="580" w:lineRule="exact"/>
        <w:ind w:firstLine="640" w:firstLineChars="200"/>
        <w:contextualSpacing/>
        <w:jc w:val="center"/>
        <w:rPr>
          <w:rFonts w:ascii="仿宋_GB2312" w:hAnsi="宋体" w:eastAsia="仿宋_GB2312"/>
          <w:sz w:val="32"/>
          <w:szCs w:val="32"/>
          <w:shd w:val="clear" w:color="auto" w:fill="FFFFFF"/>
        </w:rPr>
      </w:pPr>
      <w:r>
        <w:rPr>
          <w:rFonts w:hint="eastAsia" w:ascii="仿宋_GB2312" w:hAnsi="宋体" w:eastAsia="仿宋_GB2312"/>
          <w:sz w:val="32"/>
          <w:szCs w:val="32"/>
          <w:shd w:val="clear" w:color="auto" w:fill="FFFFFF"/>
        </w:rPr>
        <w:t>（报告范围包括机关和下属单位）</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lang w:val="zh-CN"/>
        </w:rPr>
      </w:pPr>
      <w:r>
        <w:rPr>
          <w:rFonts w:hint="eastAsia" w:ascii="黑体" w:hAnsi="宋体" w:eastAsia="黑体" w:cs="宋体"/>
          <w:color w:val="000000"/>
          <w:kern w:val="0"/>
          <w:sz w:val="32"/>
          <w:szCs w:val="32"/>
          <w:shd w:val="clear" w:color="auto" w:fill="FFFFFF"/>
        </w:rPr>
        <w:t>一、</w:t>
      </w:r>
      <w:r>
        <w:rPr>
          <w:rFonts w:hint="eastAsia" w:ascii="黑体" w:hAnsi="宋体" w:eastAsia="黑体" w:cs="宋体"/>
          <w:color w:val="000000"/>
          <w:kern w:val="0"/>
          <w:sz w:val="32"/>
          <w:szCs w:val="32"/>
          <w:shd w:val="clear" w:color="auto" w:fill="FFFFFF"/>
          <w:lang w:val="zh-CN"/>
        </w:rPr>
        <w:t>部门（单位）概况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（一）机构组成。</w:t>
      </w:r>
    </w:p>
    <w:p>
      <w:pPr>
        <w:keepNext w:val="0"/>
        <w:keepLines w:val="0"/>
        <w:pageBreakBefore w:val="0"/>
        <w:widowControl w:val="0"/>
        <w:kinsoku/>
        <w:wordWrap/>
        <w:overflowPunct/>
        <w:topLinePunct w:val="0"/>
        <w:autoSpaceDE/>
        <w:autoSpaceDN/>
        <w:bidi w:val="0"/>
        <w:ind w:firstLine="640" w:firstLineChars="200"/>
        <w:textAlignment w:val="auto"/>
        <w:rPr>
          <w:rFonts w:hint="eastAsia" w:ascii="仿宋_GB2312" w:hAnsi="宋体" w:eastAsia="仿宋_GB2312" w:cs="宋体"/>
          <w:color w:val="auto"/>
          <w:kern w:val="0"/>
          <w:sz w:val="32"/>
          <w:szCs w:val="32"/>
          <w:shd w:val="clear" w:color="auto" w:fill="FFFFFF"/>
          <w:lang w:val="zh-CN"/>
        </w:rPr>
      </w:pPr>
      <w:r>
        <w:rPr>
          <w:rFonts w:hint="eastAsia" w:ascii="仿宋" w:hAnsi="仿宋" w:eastAsia="仿宋" w:cs="仿宋"/>
          <w:i w:val="0"/>
          <w:caps w:val="0"/>
          <w:color w:val="auto"/>
          <w:spacing w:val="0"/>
          <w:sz w:val="32"/>
          <w:szCs w:val="32"/>
          <w:shd w:val="clear" w:fill="FFFFFF"/>
        </w:rPr>
        <w:t>舒坪街道办事处下属二级预算单位</w:t>
      </w:r>
      <w:r>
        <w:rPr>
          <w:rFonts w:hint="eastAsia" w:ascii="仿宋" w:hAnsi="仿宋" w:eastAsia="仿宋" w:cs="仿宋"/>
          <w:i w:val="0"/>
          <w:caps w:val="0"/>
          <w:color w:val="auto"/>
          <w:spacing w:val="0"/>
          <w:sz w:val="32"/>
          <w:szCs w:val="32"/>
          <w:shd w:val="clear" w:fill="FFFFFF"/>
          <w:lang w:val="en-US" w:eastAsia="zh-CN"/>
        </w:rPr>
        <w:t>5</w:t>
      </w:r>
      <w:r>
        <w:rPr>
          <w:rFonts w:hint="eastAsia" w:ascii="仿宋" w:hAnsi="仿宋" w:eastAsia="仿宋" w:cs="仿宋"/>
          <w:i w:val="0"/>
          <w:caps w:val="0"/>
          <w:color w:val="auto"/>
          <w:spacing w:val="0"/>
          <w:sz w:val="32"/>
          <w:szCs w:val="32"/>
          <w:shd w:val="clear" w:fill="FFFFFF"/>
        </w:rPr>
        <w:t>个</w:t>
      </w:r>
      <w:r>
        <w:rPr>
          <w:rFonts w:hint="eastAsia" w:ascii="仿宋" w:hAnsi="仿宋" w:eastAsia="仿宋" w:cs="仿宋"/>
          <w:i w:val="0"/>
          <w:caps w:val="0"/>
          <w:color w:val="auto"/>
          <w:spacing w:val="0"/>
          <w:sz w:val="32"/>
          <w:szCs w:val="32"/>
          <w:highlight w:val="none"/>
          <w:shd w:val="clear" w:fill="FFFFFF"/>
        </w:rPr>
        <w:t>，其中行政单位</w:t>
      </w:r>
      <w:r>
        <w:rPr>
          <w:rFonts w:hint="eastAsia" w:ascii="仿宋" w:hAnsi="仿宋" w:eastAsia="仿宋" w:cs="仿宋"/>
          <w:i w:val="0"/>
          <w:caps w:val="0"/>
          <w:color w:val="auto"/>
          <w:spacing w:val="0"/>
          <w:sz w:val="32"/>
          <w:szCs w:val="32"/>
          <w:highlight w:val="none"/>
          <w:shd w:val="clear" w:fill="FFFFFF"/>
          <w:lang w:val="en-US" w:eastAsia="zh-CN"/>
        </w:rPr>
        <w:t>1</w:t>
      </w:r>
      <w:r>
        <w:rPr>
          <w:rFonts w:hint="eastAsia" w:ascii="仿宋" w:hAnsi="仿宋" w:eastAsia="仿宋" w:cs="仿宋"/>
          <w:i w:val="0"/>
          <w:caps w:val="0"/>
          <w:color w:val="auto"/>
          <w:spacing w:val="0"/>
          <w:sz w:val="32"/>
          <w:szCs w:val="32"/>
          <w:highlight w:val="none"/>
          <w:shd w:val="clear" w:fill="FFFFFF"/>
        </w:rPr>
        <w:t>个，</w:t>
      </w:r>
      <w:r>
        <w:rPr>
          <w:rFonts w:hint="eastAsia" w:ascii="仿宋" w:hAnsi="仿宋" w:eastAsia="仿宋" w:cs="仿宋"/>
          <w:i w:val="0"/>
          <w:caps w:val="0"/>
          <w:color w:val="auto"/>
          <w:spacing w:val="0"/>
          <w:sz w:val="32"/>
          <w:szCs w:val="32"/>
          <w:shd w:val="clear" w:fill="FFFFFF"/>
        </w:rPr>
        <w:t>参照公务员法管理的事业单位0个，其他事业单位4个。</w:t>
      </w:r>
    </w:p>
    <w:p>
      <w:pPr>
        <w:widowControl/>
        <w:numPr>
          <w:ilvl w:val="0"/>
          <w:numId w:val="5"/>
        </w:numPr>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机构职能</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i w:val="0"/>
          <w:caps w:val="0"/>
          <w:color w:val="auto"/>
          <w:spacing w:val="0"/>
          <w:kern w:val="2"/>
          <w:sz w:val="32"/>
          <w:szCs w:val="32"/>
          <w:shd w:val="clear" w:fill="FFFFFF"/>
          <w:lang w:val="zh-CN" w:eastAsia="zh-CN" w:bidi="ar-SA"/>
        </w:rPr>
      </w:pPr>
      <w:r>
        <w:rPr>
          <w:rFonts w:hint="eastAsia" w:ascii="仿宋" w:hAnsi="仿宋" w:eastAsia="仿宋" w:cs="仿宋"/>
          <w:i w:val="0"/>
          <w:caps w:val="0"/>
          <w:color w:val="auto"/>
          <w:spacing w:val="0"/>
          <w:kern w:val="2"/>
          <w:sz w:val="32"/>
          <w:szCs w:val="32"/>
          <w:shd w:val="clear" w:fill="FFFFFF"/>
          <w:lang w:val="en-US" w:eastAsia="zh-CN" w:bidi="ar-SA"/>
        </w:rPr>
        <w:t>舒坪街道办事处是基层行政机关，宣传贯彻党的方针、政策和国家的法律、法规，执行上级党委、政府的决定和命令及本街党工委的决议，贯彻落实区委、区政府的重大决策和重要工作部署，制定和实施本街农业、经济发展规划、年度计划；谋划实施街域范围内的经济发展，制定并组织实施乡村建设规划，部署重点工程建设，负责社会主义新农村基础设施建设和生态环境的保护，抓实文教、卫生、公民素质教育等与政治、经济、社会协调发展的相关内容。</w:t>
      </w:r>
    </w:p>
    <w:p>
      <w:pPr>
        <w:widowControl/>
        <w:numPr>
          <w:ilvl w:val="0"/>
          <w:numId w:val="5"/>
        </w:numPr>
        <w:adjustRightInd w:val="0"/>
        <w:snapToGrid w:val="0"/>
        <w:spacing w:line="580" w:lineRule="exact"/>
        <w:ind w:left="0" w:leftChars="0"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人员概况。</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i w:val="0"/>
          <w:caps w:val="0"/>
          <w:color w:val="auto"/>
          <w:spacing w:val="0"/>
          <w:kern w:val="2"/>
          <w:sz w:val="32"/>
          <w:szCs w:val="32"/>
          <w:shd w:val="clear" w:fill="FFFFFF"/>
          <w:lang w:val="en-US" w:eastAsia="zh-CN" w:bidi="ar-SA"/>
        </w:rPr>
      </w:pPr>
      <w:r>
        <w:rPr>
          <w:rFonts w:hint="eastAsia" w:ascii="仿宋" w:hAnsi="仿宋" w:eastAsia="仿宋" w:cs="仿宋"/>
          <w:i w:val="0"/>
          <w:caps w:val="0"/>
          <w:color w:val="auto"/>
          <w:spacing w:val="0"/>
          <w:kern w:val="2"/>
          <w:sz w:val="32"/>
          <w:szCs w:val="32"/>
          <w:shd w:val="clear" w:fill="FFFFFF"/>
          <w:lang w:val="en-US" w:eastAsia="zh-CN" w:bidi="ar-SA"/>
        </w:rPr>
        <w:t>舒坪街道办事处行政人员22人，非参公事业人员21人。</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仿宋" w:hAnsi="仿宋" w:eastAsia="仿宋" w:cs="仿宋"/>
          <w:i w:val="0"/>
          <w:caps w:val="0"/>
          <w:color w:val="auto"/>
          <w:spacing w:val="0"/>
          <w:kern w:val="2"/>
          <w:sz w:val="32"/>
          <w:szCs w:val="32"/>
          <w:shd w:val="clear" w:fill="FFFFFF"/>
          <w:lang w:val="en-US" w:eastAsia="zh-CN" w:bidi="ar-SA"/>
        </w:rPr>
      </w:pP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（一）部门财政资金收入情况。</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i w:val="0"/>
          <w:caps w:val="0"/>
          <w:color w:val="auto"/>
          <w:spacing w:val="0"/>
          <w:kern w:val="2"/>
          <w:sz w:val="32"/>
          <w:szCs w:val="32"/>
          <w:shd w:val="clear" w:fill="FFFFFF"/>
          <w:lang w:val="zh-CN" w:eastAsia="zh-CN" w:bidi="ar-SA"/>
        </w:rPr>
      </w:pPr>
      <w:r>
        <w:rPr>
          <w:rFonts w:hint="eastAsia" w:ascii="仿宋" w:hAnsi="仿宋" w:eastAsia="仿宋" w:cs="仿宋"/>
          <w:i w:val="0"/>
          <w:caps w:val="0"/>
          <w:color w:val="auto"/>
          <w:spacing w:val="0"/>
          <w:kern w:val="2"/>
          <w:sz w:val="32"/>
          <w:szCs w:val="32"/>
          <w:shd w:val="clear" w:fill="FFFFFF"/>
          <w:lang w:val="en-US" w:eastAsia="zh-CN" w:bidi="ar-SA"/>
        </w:rPr>
        <w:t>2020年本年收入合计4256.55万元，其中：一般公共预算财政拨款收入1236.55万元，占29.05%；政府性基金预算财政拨款收入3020万元，占70.95%；上级补助收入0万元，占0%；事业收入0万元，占0%；经营收入0万元，占0%；附属单位上缴收入0万元，占0%；其他收入0万元，占0%。</w:t>
      </w:r>
    </w:p>
    <w:p>
      <w:pPr>
        <w:widowControl/>
        <w:numPr>
          <w:ilvl w:val="0"/>
          <w:numId w:val="6"/>
        </w:numPr>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部门财政资金支出情况。</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default" w:ascii="仿宋" w:hAnsi="仿宋" w:eastAsia="仿宋" w:cs="仿宋"/>
          <w:i w:val="0"/>
          <w:caps w:val="0"/>
          <w:color w:val="auto"/>
          <w:spacing w:val="0"/>
          <w:kern w:val="2"/>
          <w:sz w:val="32"/>
          <w:szCs w:val="32"/>
          <w:shd w:val="clear" w:fill="FFFFFF"/>
          <w:lang w:val="en-US" w:eastAsia="zh-CN" w:bidi="ar-SA"/>
        </w:rPr>
      </w:pPr>
      <w:r>
        <w:rPr>
          <w:rFonts w:hint="eastAsia" w:ascii="仿宋" w:hAnsi="仿宋" w:eastAsia="仿宋" w:cs="仿宋"/>
          <w:i w:val="0"/>
          <w:caps w:val="0"/>
          <w:color w:val="auto"/>
          <w:spacing w:val="0"/>
          <w:kern w:val="2"/>
          <w:sz w:val="32"/>
          <w:szCs w:val="32"/>
          <w:shd w:val="clear" w:fill="FFFFFF"/>
          <w:lang w:val="en-US" w:eastAsia="zh-CN" w:bidi="ar-SA"/>
        </w:rPr>
        <w:t>2020年本年支出合计4256.55万元，其中：一般公共服务支出582.26万元，社会保障和就业支出217.72万元，卫生健康支出22.28万元，节能环保支出25万元，城乡社区支出36.94万元，农林水支出334.86万元，交通运输支出5万元，住房保障支出32.49万元，其他支出3000万元。</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highlight w:val="none"/>
          <w:shd w:val="clear" w:color="auto" w:fill="FFFFFF"/>
          <w:lang w:val="zh-CN"/>
        </w:rPr>
      </w:pPr>
      <w:r>
        <w:rPr>
          <w:rFonts w:hint="eastAsia" w:ascii="仿宋_GB2312" w:hAnsi="宋体" w:eastAsia="仿宋_GB2312" w:cs="宋体"/>
          <w:color w:val="000000"/>
          <w:kern w:val="0"/>
          <w:sz w:val="32"/>
          <w:szCs w:val="32"/>
          <w:highlight w:val="none"/>
          <w:shd w:val="clear" w:color="auto" w:fill="FFFFFF"/>
          <w:lang w:val="zh-CN"/>
        </w:rPr>
        <w:t>（一）部门预算管理。</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i w:val="0"/>
          <w:caps w:val="0"/>
          <w:color w:val="auto"/>
          <w:spacing w:val="0"/>
          <w:kern w:val="2"/>
          <w:sz w:val="32"/>
          <w:szCs w:val="32"/>
          <w:highlight w:val="none"/>
          <w:shd w:val="clear" w:fill="FFFFFF"/>
          <w:lang w:val="en-US" w:eastAsia="zh-CN" w:bidi="ar-SA"/>
        </w:rPr>
      </w:pPr>
      <w:r>
        <w:rPr>
          <w:rFonts w:hint="eastAsia" w:ascii="仿宋" w:hAnsi="仿宋" w:eastAsia="仿宋" w:cs="仿宋"/>
          <w:i w:val="0"/>
          <w:caps w:val="0"/>
          <w:color w:val="auto"/>
          <w:spacing w:val="0"/>
          <w:kern w:val="2"/>
          <w:sz w:val="32"/>
          <w:szCs w:val="32"/>
          <w:shd w:val="clear" w:fill="FFFFFF"/>
          <w:lang w:val="en-US" w:eastAsia="zh-CN" w:bidi="ar-SA"/>
        </w:rPr>
        <w:t>1.预算编制情况。严格按照预算管理的相关规定和区级部门预算编制要求, 科学合理编制次年预算,按时完成了2020年预算编制工作。2020年舒坪街道办事处收入预算总额</w:t>
      </w:r>
      <w:r>
        <w:rPr>
          <w:rFonts w:hint="eastAsia" w:ascii="仿宋" w:hAnsi="仿宋" w:eastAsia="仿宋" w:cs="仿宋"/>
          <w:i w:val="0"/>
          <w:caps w:val="0"/>
          <w:color w:val="auto"/>
          <w:spacing w:val="0"/>
          <w:kern w:val="2"/>
          <w:sz w:val="32"/>
          <w:szCs w:val="32"/>
          <w:highlight w:val="none"/>
          <w:shd w:val="clear" w:fill="FFFFFF"/>
          <w:lang w:val="en-US" w:eastAsia="zh-CN" w:bidi="ar-SA"/>
        </w:rPr>
        <w:t>为4256.55万元，其中：当年财政拨款收入4256.55万元。相应安排支出预算4256.55万元，其中：人员支出475.85万元，日常公用支出263.68万元，对个人和家庭的补助支出404.32万元，专项支出3112.7万元。</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i w:val="0"/>
          <w:caps w:val="0"/>
          <w:color w:val="auto"/>
          <w:spacing w:val="0"/>
          <w:kern w:val="2"/>
          <w:sz w:val="32"/>
          <w:szCs w:val="32"/>
          <w:highlight w:val="none"/>
          <w:shd w:val="clear" w:fill="FFFFFF"/>
          <w:lang w:val="en-US" w:eastAsia="zh-CN" w:bidi="ar-SA"/>
        </w:rPr>
      </w:pPr>
      <w:r>
        <w:rPr>
          <w:rFonts w:hint="eastAsia" w:ascii="仿宋" w:hAnsi="仿宋" w:eastAsia="仿宋" w:cs="仿宋"/>
          <w:i w:val="0"/>
          <w:caps w:val="0"/>
          <w:color w:val="auto"/>
          <w:spacing w:val="0"/>
          <w:kern w:val="2"/>
          <w:sz w:val="32"/>
          <w:szCs w:val="32"/>
          <w:highlight w:val="none"/>
          <w:shd w:val="clear" w:fill="FFFFFF"/>
          <w:lang w:val="en-US" w:eastAsia="zh-CN" w:bidi="ar-SA"/>
        </w:rPr>
        <w:t>2.执行管理情况。</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i w:val="0"/>
          <w:caps w:val="0"/>
          <w:color w:val="auto"/>
          <w:spacing w:val="0"/>
          <w:kern w:val="2"/>
          <w:sz w:val="32"/>
          <w:szCs w:val="32"/>
          <w:shd w:val="clear" w:fill="FFFFFF"/>
          <w:lang w:val="en-US" w:eastAsia="zh-CN" w:bidi="ar-SA"/>
        </w:rPr>
      </w:pPr>
      <w:r>
        <w:rPr>
          <w:rFonts w:hint="eastAsia" w:ascii="仿宋" w:hAnsi="仿宋" w:eastAsia="仿宋" w:cs="仿宋"/>
          <w:i w:val="0"/>
          <w:caps w:val="0"/>
          <w:color w:val="auto"/>
          <w:spacing w:val="0"/>
          <w:kern w:val="2"/>
          <w:sz w:val="32"/>
          <w:szCs w:val="32"/>
          <w:highlight w:val="none"/>
          <w:shd w:val="clear" w:fill="FFFFFF"/>
          <w:lang w:val="en-US" w:eastAsia="zh-CN" w:bidi="ar-SA"/>
        </w:rPr>
        <w:t>一是行政运行保障情况。我街严格按照年</w:t>
      </w:r>
      <w:r>
        <w:rPr>
          <w:rFonts w:hint="eastAsia" w:ascii="仿宋" w:hAnsi="仿宋" w:eastAsia="仿宋" w:cs="仿宋"/>
          <w:i w:val="0"/>
          <w:caps w:val="0"/>
          <w:color w:val="auto"/>
          <w:spacing w:val="0"/>
          <w:kern w:val="2"/>
          <w:sz w:val="32"/>
          <w:szCs w:val="32"/>
          <w:shd w:val="clear" w:fill="FFFFFF"/>
          <w:lang w:val="en-US" w:eastAsia="zh-CN" w:bidi="ar-SA"/>
        </w:rPr>
        <w:t>初预算安排,严格执行中央八项规定和省、市、区各项规定,厉行节约规范使用预算资金。收入上，严格执行 "收支两条线"管理制度，按规定使用票据并缴入国库，无隐瞒收入和其他违反国家收费管理规定的行为。在支出管理中, 认真执行国库集中支付、政府采购、重点工作和大额支付上会集体决策等相关财务管理制度。认真做好每月与银行、区财政国库股的对账工作，加强动态监控，保障机关各项工作顺利开展。</w:t>
      </w:r>
      <w:r>
        <w:rPr>
          <w:rFonts w:hint="eastAsia" w:ascii="仿宋" w:hAnsi="仿宋" w:eastAsia="仿宋" w:cs="仿宋"/>
          <w:i w:val="0"/>
          <w:caps w:val="0"/>
          <w:color w:val="auto"/>
          <w:spacing w:val="0"/>
          <w:kern w:val="2"/>
          <w:sz w:val="32"/>
          <w:szCs w:val="32"/>
          <w:shd w:val="clear" w:fill="FFFFFF"/>
          <w:lang w:val="en-US" w:eastAsia="zh-CN" w:bidi="ar-SA"/>
        </w:rPr>
        <w:br w:type="textWrapping"/>
      </w:r>
      <w:r>
        <w:rPr>
          <w:rFonts w:hint="eastAsia" w:ascii="仿宋" w:hAnsi="仿宋" w:eastAsia="仿宋" w:cs="仿宋"/>
          <w:i w:val="0"/>
          <w:caps w:val="0"/>
          <w:color w:val="auto"/>
          <w:spacing w:val="0"/>
          <w:kern w:val="2"/>
          <w:sz w:val="32"/>
          <w:szCs w:val="32"/>
          <w:shd w:val="clear" w:fill="FFFFFF"/>
          <w:lang w:val="en-US" w:eastAsia="zh-CN" w:bidi="ar-SA"/>
        </w:rPr>
        <w:t xml:space="preserve">    二是“三公”经费预算执行情况。我街严格按照中央、省、市、区的相关文件要求, 严控“三公经费”支出。2020年因公出国（境）经费支出0万元，全年安排因公出国（境）团组0次，出国（境）0人。2020年公务用车购置及运行维护费支出1.89万元,完成预算100%。比2019年减少0.01万元，减少0.53%，主要原因是加强了公车管理。2020年公务接待费支出0万元，比2019年增加0万元。主要原因是贯彻执行中央八项规定，坚决杜绝奢侈浪费，有效控制公务接待费用。</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（二）结果应用情况。</w:t>
      </w:r>
    </w:p>
    <w:p>
      <w:pPr>
        <w:pStyle w:val="2"/>
        <w:keepNext w:val="0"/>
        <w:keepLines w:val="0"/>
        <w:pageBreakBefore w:val="0"/>
        <w:widowControl w:val="0"/>
        <w:kinsoku/>
        <w:wordWrap/>
        <w:overflowPunct/>
        <w:topLinePunct w:val="0"/>
        <w:autoSpaceDE/>
        <w:autoSpaceDN/>
        <w:bidi w:val="0"/>
        <w:adjustRightInd w:val="0"/>
        <w:snapToGrid w:val="0"/>
        <w:spacing w:before="93" w:line="600" w:lineRule="exact"/>
        <w:ind w:firstLine="640" w:firstLineChars="200"/>
        <w:textAlignment w:val="auto"/>
        <w:outlineLvl w:val="2"/>
        <w:rPr>
          <w:rFonts w:hint="eastAsia" w:ascii="仿宋" w:hAnsi="仿宋" w:eastAsia="仿宋" w:cs="仿宋"/>
          <w:i w:val="0"/>
          <w:caps w:val="0"/>
          <w:color w:val="auto"/>
          <w:spacing w:val="0"/>
          <w:kern w:val="2"/>
          <w:sz w:val="32"/>
          <w:szCs w:val="32"/>
          <w:highlight w:val="none"/>
          <w:shd w:val="clear" w:fill="FFFFFF"/>
          <w:lang w:val="en-US" w:eastAsia="zh-CN" w:bidi="ar-SA"/>
        </w:rPr>
      </w:pPr>
      <w:r>
        <w:rPr>
          <w:rFonts w:hint="eastAsia" w:ascii="仿宋" w:hAnsi="仿宋" w:eastAsia="仿宋" w:cs="仿宋"/>
          <w:i w:val="0"/>
          <w:caps w:val="0"/>
          <w:color w:val="auto"/>
          <w:spacing w:val="0"/>
          <w:kern w:val="2"/>
          <w:sz w:val="32"/>
          <w:szCs w:val="32"/>
          <w:highlight w:val="none"/>
          <w:shd w:val="clear" w:fill="FFFFFF"/>
          <w:lang w:val="en-US" w:eastAsia="zh-CN" w:bidi="ar-SA"/>
        </w:rPr>
        <w:t>1.严格执行财务管理制度。严格执行中央和上级有关部门出台的财经纪律相关规定，严控"三公经费"、会议费、培训费、差旅费等支出。严格报账程序，严把票据审核关，减少现金支付。认真做好会计核算，做到账账相符、账实相符。强化内控管理，防范防控岗位风险,确保各项工作有序运转，修改完善了《舒坪街道办事处差旅费管理办法》,制发了《舒坪街道办事处机关管理办法》等制度。</w:t>
      </w:r>
      <w:r>
        <w:rPr>
          <w:rFonts w:hint="eastAsia" w:ascii="仿宋" w:hAnsi="仿宋" w:eastAsia="仿宋" w:cs="仿宋"/>
          <w:i w:val="0"/>
          <w:caps w:val="0"/>
          <w:color w:val="auto"/>
          <w:spacing w:val="0"/>
          <w:kern w:val="2"/>
          <w:sz w:val="32"/>
          <w:szCs w:val="32"/>
          <w:highlight w:val="none"/>
          <w:shd w:val="clear" w:fill="FFFFFF"/>
          <w:lang w:val="en-US" w:eastAsia="zh-CN" w:bidi="ar-SA"/>
        </w:rPr>
        <w:br w:type="textWrapping"/>
      </w:r>
      <w:r>
        <w:rPr>
          <w:rFonts w:hint="eastAsia" w:ascii="仿宋" w:hAnsi="仿宋" w:eastAsia="仿宋" w:cs="仿宋"/>
          <w:i w:val="0"/>
          <w:caps w:val="0"/>
          <w:color w:val="auto"/>
          <w:spacing w:val="0"/>
          <w:kern w:val="2"/>
          <w:sz w:val="32"/>
          <w:szCs w:val="32"/>
          <w:highlight w:val="none"/>
          <w:shd w:val="clear" w:fill="FFFFFF"/>
          <w:lang w:val="en-US" w:eastAsia="zh-CN" w:bidi="ar-SA"/>
        </w:rPr>
        <w:t xml:space="preserve">   2.加强政府采购管理。严格按照《政府采购法》和《政府采购法实施条例》等相关管理规定，根据省采购目录和财政部门预算管理要求，编制政府采购计划，将采购项目全部纳入部门预算管理。采购前,各相关部门事前沟通,做好采购政策咨询，了解相关业务规范；采购中,合理选择采购方式，确保采购流程合理合规，做好采购项目信息的公开公示工作；采购后,抓好采购项目的监管工作，严把质量关力求实效。</w:t>
      </w:r>
      <w:r>
        <w:rPr>
          <w:rFonts w:hint="eastAsia" w:ascii="仿宋" w:hAnsi="仿宋" w:eastAsia="仿宋" w:cs="仿宋"/>
          <w:i w:val="0"/>
          <w:caps w:val="0"/>
          <w:color w:val="auto"/>
          <w:spacing w:val="0"/>
          <w:kern w:val="2"/>
          <w:sz w:val="32"/>
          <w:szCs w:val="32"/>
          <w:highlight w:val="none"/>
          <w:shd w:val="clear" w:fill="FFFFFF"/>
          <w:lang w:val="en-US" w:eastAsia="zh-CN" w:bidi="ar-SA"/>
        </w:rPr>
        <w:br w:type="textWrapping"/>
      </w:r>
      <w:r>
        <w:rPr>
          <w:rFonts w:hint="eastAsia" w:ascii="仿宋" w:hAnsi="仿宋" w:eastAsia="仿宋" w:cs="仿宋"/>
          <w:i w:val="0"/>
          <w:caps w:val="0"/>
          <w:color w:val="auto"/>
          <w:spacing w:val="0"/>
          <w:kern w:val="2"/>
          <w:sz w:val="32"/>
          <w:szCs w:val="32"/>
          <w:highlight w:val="none"/>
          <w:shd w:val="clear" w:fill="FFFFFF"/>
          <w:lang w:val="en-US" w:eastAsia="zh-CN" w:bidi="ar-SA"/>
        </w:rPr>
        <w:t xml:space="preserve">    3.加强固定资产管理。严格按照区机关事务管理局和区财政局资产管理家具配置标准、新增资产配置流程、处置审批制度等相关文件要求，做好固定资产采买、报废、调整等相关管理工作。部门资产录入固定资产管理系统,建资产管理卡片, 及时更新资产管理信息系统数据，做到账实相符、账卡相符。</w:t>
      </w:r>
      <w:r>
        <w:rPr>
          <w:rFonts w:hint="eastAsia" w:ascii="仿宋" w:hAnsi="仿宋" w:eastAsia="仿宋" w:cs="仿宋"/>
          <w:i w:val="0"/>
          <w:caps w:val="0"/>
          <w:color w:val="auto"/>
          <w:spacing w:val="0"/>
          <w:kern w:val="2"/>
          <w:sz w:val="32"/>
          <w:szCs w:val="32"/>
          <w:highlight w:val="none"/>
          <w:shd w:val="clear" w:fill="FFFFFF"/>
          <w:lang w:val="en-US" w:eastAsia="zh-CN" w:bidi="ar-SA"/>
        </w:rPr>
        <w:br w:type="textWrapping"/>
      </w:r>
      <w:r>
        <w:rPr>
          <w:rFonts w:hint="eastAsia" w:ascii="仿宋" w:hAnsi="仿宋" w:eastAsia="仿宋" w:cs="仿宋"/>
          <w:i w:val="0"/>
          <w:caps w:val="0"/>
          <w:color w:val="auto"/>
          <w:spacing w:val="0"/>
          <w:kern w:val="2"/>
          <w:sz w:val="32"/>
          <w:szCs w:val="32"/>
          <w:highlight w:val="none"/>
          <w:shd w:val="clear" w:fill="FFFFFF"/>
          <w:lang w:val="en-US" w:eastAsia="zh-CN" w:bidi="ar-SA"/>
        </w:rPr>
        <w:t xml:space="preserve">    4.加强政府信息公开。2020年，我街严格按照区委、区政府关于全面推进政府信息公开工作的统一安排部署，突出重点，狠抓落实，细化公开内容，拓宽公开渠道，不断提高政府信息公开的质量和实效。</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仿宋" w:hAnsi="仿宋" w:eastAsia="仿宋" w:cs="仿宋"/>
          <w:i w:val="0"/>
          <w:caps w:val="0"/>
          <w:color w:val="auto"/>
          <w:spacing w:val="0"/>
          <w:kern w:val="2"/>
          <w:sz w:val="32"/>
          <w:szCs w:val="32"/>
          <w:shd w:val="clear" w:fill="FFFFFF"/>
          <w:lang w:val="zh-CN" w:eastAsia="zh-CN" w:bidi="ar-SA"/>
        </w:rPr>
      </w:pPr>
      <w:r>
        <w:rPr>
          <w:rFonts w:hint="eastAsia" w:ascii="仿宋_GB2312" w:hAnsi="宋体" w:eastAsia="仿宋_GB2312" w:cs="宋体"/>
          <w:color w:val="000000"/>
          <w:kern w:val="0"/>
          <w:sz w:val="32"/>
          <w:szCs w:val="32"/>
          <w:shd w:val="clear" w:color="auto" w:fill="FFFFFF"/>
          <w:lang w:val="zh-CN"/>
        </w:rPr>
        <w:t>（一）评价结论。</w:t>
      </w:r>
      <w:r>
        <w:rPr>
          <w:rFonts w:hint="eastAsia" w:ascii="仿宋" w:hAnsi="仿宋" w:eastAsia="仿宋" w:cs="仿宋"/>
          <w:i w:val="0"/>
          <w:caps w:val="0"/>
          <w:color w:val="auto"/>
          <w:spacing w:val="0"/>
          <w:kern w:val="2"/>
          <w:sz w:val="32"/>
          <w:szCs w:val="32"/>
          <w:shd w:val="clear" w:fill="FFFFFF"/>
          <w:lang w:val="en-US" w:eastAsia="zh-CN" w:bidi="ar-SA"/>
        </w:rPr>
        <w:t>2020年，我街严格按照年初预算批复认真组织实施, 严格执行财经纪律相关管理规定，做到各项收支安排使用符合事业发展计划和财政政策的要求，确保了单位正常运行和重大项目的实施，较好地完成了2020年部门预算编制和决算汇总工作, 2020年目标任务基本完成，综合得分95分，部门整体支出绩效执行良好。</w:t>
      </w:r>
    </w:p>
    <w:p>
      <w:pPr>
        <w:widowControl/>
        <w:adjustRightInd w:val="0"/>
        <w:snapToGrid w:val="0"/>
        <w:spacing w:line="580" w:lineRule="exact"/>
        <w:ind w:firstLine="640" w:firstLineChars="200"/>
        <w:contextualSpacing/>
        <w:jc w:val="left"/>
        <w:rPr>
          <w:rFonts w:hint="eastAsia" w:ascii="仿宋" w:hAnsi="仿宋" w:eastAsia="仿宋" w:cs="仿宋"/>
          <w:i w:val="0"/>
          <w:caps w:val="0"/>
          <w:color w:val="auto"/>
          <w:spacing w:val="0"/>
          <w:kern w:val="2"/>
          <w:sz w:val="32"/>
          <w:szCs w:val="32"/>
          <w:shd w:val="clear" w:fill="FFFFFF"/>
          <w:lang w:val="zh-CN" w:eastAsia="zh-CN" w:bidi="ar-SA"/>
        </w:rPr>
      </w:pPr>
      <w:r>
        <w:rPr>
          <w:rFonts w:hint="eastAsia" w:ascii="仿宋" w:hAnsi="仿宋" w:eastAsia="仿宋" w:cs="仿宋"/>
          <w:color w:val="000000"/>
          <w:kern w:val="0"/>
          <w:sz w:val="32"/>
          <w:szCs w:val="32"/>
          <w:shd w:val="clear" w:color="auto" w:fill="FFFFFF"/>
          <w:lang w:val="zh-CN"/>
        </w:rPr>
        <w:t>（二）存在问题。</w:t>
      </w:r>
      <w:r>
        <w:rPr>
          <w:rFonts w:hint="eastAsia" w:ascii="仿宋" w:hAnsi="仿宋" w:eastAsia="仿宋" w:cs="仿宋"/>
          <w:i w:val="0"/>
          <w:caps w:val="0"/>
          <w:color w:val="auto"/>
          <w:spacing w:val="0"/>
          <w:kern w:val="2"/>
          <w:sz w:val="32"/>
          <w:szCs w:val="32"/>
          <w:shd w:val="clear" w:fill="FFFFFF"/>
          <w:lang w:val="en-US" w:eastAsia="zh-CN" w:bidi="ar-SA"/>
        </w:rPr>
        <w:t>存在预算编制相对不够完善,经费使用上存在挤占现象，绩效管理工作有待加强等问题。</w:t>
      </w:r>
    </w:p>
    <w:p>
      <w:pPr>
        <w:widowControl/>
        <w:adjustRightInd w:val="0"/>
        <w:snapToGrid w:val="0"/>
        <w:spacing w:line="580" w:lineRule="exact"/>
        <w:ind w:firstLine="640" w:firstLineChars="200"/>
        <w:contextualSpacing/>
        <w:jc w:val="left"/>
        <w:rPr>
          <w:rFonts w:hint="eastAsia" w:ascii="仿宋" w:hAnsi="仿宋" w:eastAsia="仿宋" w:cs="仿宋"/>
          <w:i w:val="0"/>
          <w:caps w:val="0"/>
          <w:color w:val="555555"/>
          <w:spacing w:val="0"/>
          <w:sz w:val="30"/>
          <w:szCs w:val="30"/>
          <w:highlight w:val="none"/>
          <w:shd w:val="clear" w:fill="FFFFFF"/>
          <w:lang w:val="en-US" w:eastAsia="zh-CN"/>
        </w:rPr>
      </w:pPr>
      <w:r>
        <w:rPr>
          <w:rFonts w:hint="eastAsia" w:ascii="仿宋" w:hAnsi="仿宋" w:eastAsia="仿宋" w:cs="仿宋"/>
          <w:color w:val="000000"/>
          <w:kern w:val="0"/>
          <w:sz w:val="32"/>
          <w:szCs w:val="32"/>
          <w:shd w:val="clear" w:color="auto" w:fill="FFFFFF"/>
          <w:lang w:val="zh-CN"/>
        </w:rPr>
        <w:t>（三）改进建议。</w:t>
      </w:r>
      <w:r>
        <w:rPr>
          <w:rFonts w:hint="eastAsia" w:ascii="仿宋" w:hAnsi="仿宋" w:eastAsia="仿宋" w:cs="仿宋"/>
          <w:i w:val="0"/>
          <w:caps w:val="0"/>
          <w:color w:val="auto"/>
          <w:spacing w:val="0"/>
          <w:kern w:val="2"/>
          <w:sz w:val="32"/>
          <w:szCs w:val="32"/>
          <w:shd w:val="clear" w:fill="FFFFFF"/>
          <w:lang w:val="en-US" w:eastAsia="zh-CN" w:bidi="ar-SA"/>
        </w:rPr>
        <w:t>进一步完善预算编制，加强绩效管理工</w:t>
      </w:r>
      <w:r>
        <w:rPr>
          <w:rFonts w:hint="eastAsia" w:ascii="仿宋" w:hAnsi="仿宋" w:eastAsia="仿宋" w:cs="仿宋"/>
          <w:i w:val="0"/>
          <w:caps w:val="0"/>
          <w:color w:val="555555"/>
          <w:spacing w:val="0"/>
          <w:sz w:val="30"/>
          <w:szCs w:val="30"/>
          <w:highlight w:val="none"/>
          <w:shd w:val="clear" w:fill="FFFFFF"/>
          <w:lang w:val="en-US" w:eastAsia="zh-CN"/>
        </w:rPr>
        <w:t>作。</w:t>
      </w:r>
    </w:p>
    <w:p>
      <w:pPr>
        <w:pStyle w:val="2"/>
        <w:rPr>
          <w:rFonts w:hint="eastAsia"/>
        </w:rPr>
      </w:pPr>
    </w:p>
    <w:p>
      <w:pPr>
        <w:spacing w:line="580" w:lineRule="exact"/>
        <w:ind w:firstLine="640" w:firstLineChars="200"/>
        <w:rPr>
          <w:rFonts w:ascii="仿宋_GB2312" w:hAnsi="仿宋_GB2312" w:eastAsia="仿宋_GB2312" w:cs="仿宋_GB2312"/>
          <w:sz w:val="32"/>
          <w:szCs w:val="32"/>
        </w:rPr>
      </w:pPr>
    </w:p>
    <w:p>
      <w:pPr>
        <w:spacing w:line="580" w:lineRule="exact"/>
        <w:outlineLvl w:val="1"/>
        <w:rPr>
          <w:rFonts w:ascii="仿宋_GB2312" w:hAnsi="仿宋_GB2312" w:eastAsia="仿宋_GB2312" w:cs="仿宋_GB2312"/>
          <w:sz w:val="32"/>
          <w:szCs w:val="32"/>
        </w:rPr>
      </w:pPr>
      <w:bookmarkStart w:id="66" w:name="_Toc11602"/>
      <w:r>
        <w:rPr>
          <w:rFonts w:hint="eastAsia" w:ascii="黑体" w:hAnsi="黑体" w:eastAsia="黑体" w:cs="黑体"/>
          <w:sz w:val="32"/>
          <w:szCs w:val="32"/>
        </w:rPr>
        <w:t>附件</w:t>
      </w:r>
      <w:r>
        <w:rPr>
          <w:rFonts w:ascii="黑体" w:hAnsi="黑体" w:eastAsia="黑体" w:cs="黑体"/>
          <w:sz w:val="32"/>
          <w:szCs w:val="32"/>
        </w:rPr>
        <w:t>2</w:t>
      </w:r>
      <w:bookmarkEnd w:id="66"/>
    </w:p>
    <w:p>
      <w:pPr>
        <w:spacing w:line="600" w:lineRule="exact"/>
        <w:jc w:val="both"/>
        <w:rPr>
          <w:rFonts w:hint="eastAsia" w:ascii="仿宋" w:hAnsi="仿宋" w:eastAsia="仿宋" w:cs="仿宋"/>
          <w:color w:val="000000"/>
          <w:kern w:val="0"/>
          <w:sz w:val="30"/>
          <w:szCs w:val="30"/>
          <w:lang w:val="zh-CN"/>
        </w:rPr>
      </w:pP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自流井区</w:t>
      </w:r>
      <w:r>
        <w:rPr>
          <w:rFonts w:hint="eastAsia" w:ascii="方正小标宋简体" w:hAnsi="宋体" w:eastAsia="方正小标宋简体"/>
          <w:color w:val="000000"/>
          <w:kern w:val="0"/>
          <w:sz w:val="44"/>
          <w:szCs w:val="44"/>
          <w:lang w:val="en-US" w:eastAsia="zh-CN"/>
        </w:rPr>
        <w:t>舒坪</w:t>
      </w:r>
      <w:r>
        <w:rPr>
          <w:rFonts w:hint="eastAsia" w:ascii="方正小标宋简体" w:hAnsi="宋体" w:eastAsia="方正小标宋简体"/>
          <w:color w:val="000000"/>
          <w:kern w:val="0"/>
          <w:sz w:val="44"/>
          <w:szCs w:val="44"/>
        </w:rPr>
        <w:t>街道</w:t>
      </w:r>
      <w:r>
        <w:rPr>
          <w:rFonts w:hint="eastAsia" w:ascii="方正小标宋简体" w:hAnsi="宋体" w:eastAsia="方正小标宋简体"/>
          <w:color w:val="000000"/>
          <w:kern w:val="0"/>
          <w:sz w:val="44"/>
          <w:szCs w:val="44"/>
          <w:lang w:val="en-US" w:eastAsia="zh-CN"/>
        </w:rPr>
        <w:t>办事处水体-农村生活污水治理“千村示范工程”</w:t>
      </w:r>
      <w:r>
        <w:rPr>
          <w:rFonts w:hint="eastAsia" w:ascii="方正小标宋简体" w:hAnsi="宋体" w:eastAsia="方正小标宋简体"/>
          <w:color w:val="000000"/>
          <w:kern w:val="0"/>
          <w:sz w:val="44"/>
          <w:szCs w:val="44"/>
          <w:lang w:val="zh-CN"/>
        </w:rPr>
        <w:t>项目</w:t>
      </w: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w:t>
      </w:r>
      <w:r>
        <w:rPr>
          <w:rFonts w:hint="eastAsia" w:ascii="仿宋_GB2312" w:hAnsi="宋体"/>
          <w:sz w:val="32"/>
          <w:szCs w:val="32"/>
          <w:lang w:val="en-US" w:eastAsia="zh-CN"/>
        </w:rPr>
        <w:t>水体-农村生活污水治理“千村示范工程”</w:t>
      </w:r>
      <w:r>
        <w:rPr>
          <w:rFonts w:hint="eastAsia" w:ascii="仿宋_GB2312" w:hAnsi="宋体" w:eastAsia="仿宋_GB2312"/>
          <w:sz w:val="32"/>
          <w:szCs w:val="32"/>
          <w:lang w:val="zh-CN"/>
        </w:rPr>
        <w:t>项目是</w:t>
      </w:r>
      <w:r>
        <w:rPr>
          <w:rFonts w:hint="eastAsia" w:ascii="仿宋_GB2312" w:hAnsi="宋体"/>
          <w:sz w:val="32"/>
          <w:szCs w:val="32"/>
          <w:lang w:val="en-US" w:eastAsia="zh-CN"/>
        </w:rPr>
        <w:t>舒坪街道办事处</w:t>
      </w:r>
      <w:r>
        <w:rPr>
          <w:rFonts w:hint="eastAsia" w:ascii="仿宋_GB2312" w:hAnsi="宋体" w:eastAsia="仿宋_GB2312"/>
          <w:sz w:val="32"/>
          <w:szCs w:val="32"/>
          <w:lang w:val="zh-CN"/>
        </w:rPr>
        <w:t>开展的项目之一，建立长效机制，在项目完成率较高的基础上，才能有效发挥职能效用的最大化。</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2</w:t>
      </w:r>
      <w:r>
        <w:rPr>
          <w:rFonts w:hint="eastAsia" w:ascii="仿宋_GB2312" w:hAnsi="宋体" w:eastAsia="仿宋_GB2312"/>
          <w:sz w:val="32"/>
          <w:szCs w:val="32"/>
          <w:lang w:val="zh-CN"/>
        </w:rPr>
        <w:t>．项目资金申报相符性。该项目申报内容与具体实施内容相符、申报目标是合理可行的。</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3</w:t>
      </w:r>
      <w:r>
        <w:rPr>
          <w:rFonts w:hint="eastAsia" w:ascii="仿宋_GB2312" w:hAnsi="宋体" w:eastAsia="仿宋_GB2312"/>
          <w:sz w:val="32"/>
          <w:szCs w:val="32"/>
          <w:lang w:val="zh-CN"/>
        </w:rPr>
        <w:t>．建立目标绩效</w:t>
      </w:r>
      <w:r>
        <w:rPr>
          <w:rFonts w:hint="eastAsia" w:ascii="仿宋_GB2312" w:hAnsi="宋体"/>
          <w:sz w:val="32"/>
          <w:szCs w:val="32"/>
          <w:lang w:val="en-US" w:eastAsia="zh-CN"/>
        </w:rPr>
        <w:t>监督</w:t>
      </w:r>
      <w:r>
        <w:rPr>
          <w:rFonts w:hint="eastAsia" w:ascii="仿宋_GB2312" w:hAnsi="宋体" w:eastAsia="仿宋_GB2312"/>
          <w:sz w:val="32"/>
          <w:szCs w:val="32"/>
          <w:lang w:val="zh-CN"/>
        </w:rPr>
        <w:t>机制，对</w:t>
      </w:r>
      <w:r>
        <w:rPr>
          <w:rFonts w:hint="eastAsia" w:ascii="仿宋_GB2312" w:hAnsi="宋体"/>
          <w:sz w:val="32"/>
          <w:szCs w:val="32"/>
          <w:lang w:val="en-US" w:eastAsia="zh-CN"/>
        </w:rPr>
        <w:t>水体-农村生活污水治理“千村示范工程”项目工作的完成</w:t>
      </w:r>
      <w:r>
        <w:rPr>
          <w:rFonts w:hint="eastAsia" w:ascii="仿宋_GB2312" w:hAnsi="宋体" w:eastAsia="仿宋_GB2312"/>
          <w:sz w:val="32"/>
          <w:szCs w:val="32"/>
          <w:lang w:val="zh-CN"/>
        </w:rPr>
        <w:t>情况进行定期</w:t>
      </w:r>
      <w:r>
        <w:rPr>
          <w:rFonts w:hint="eastAsia" w:ascii="仿宋_GB2312" w:hAnsi="宋体"/>
          <w:sz w:val="32"/>
          <w:szCs w:val="32"/>
          <w:lang w:val="en-US" w:eastAsia="zh-CN"/>
        </w:rPr>
        <w:t>监督</w:t>
      </w:r>
      <w:r>
        <w:rPr>
          <w:rFonts w:hint="eastAsia" w:ascii="仿宋_GB2312" w:hAnsi="宋体" w:eastAsia="仿宋_GB2312"/>
          <w:sz w:val="32"/>
          <w:szCs w:val="32"/>
          <w:lang w:val="zh-CN"/>
        </w:rPr>
        <w:t>，提高工作效率，提升项目的</w:t>
      </w:r>
      <w:r>
        <w:rPr>
          <w:rFonts w:hint="eastAsia" w:ascii="仿宋_GB2312" w:hAnsi="宋体"/>
          <w:sz w:val="32"/>
          <w:szCs w:val="32"/>
          <w:lang w:val="en-US" w:eastAsia="zh-CN"/>
        </w:rPr>
        <w:t>成本</w:t>
      </w:r>
      <w:r>
        <w:rPr>
          <w:rFonts w:hint="eastAsia" w:ascii="仿宋_GB2312" w:hAnsi="宋体" w:eastAsia="仿宋_GB2312"/>
          <w:sz w:val="32"/>
          <w:szCs w:val="32"/>
          <w:lang w:val="zh-CN"/>
        </w:rPr>
        <w:t>效益和社会效益</w:t>
      </w:r>
      <w:r>
        <w:rPr>
          <w:rFonts w:hint="eastAsia" w:ascii="仿宋_GB2312" w:hAnsi="宋体"/>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4</w:t>
      </w:r>
      <w:r>
        <w:rPr>
          <w:rFonts w:hint="eastAsia" w:ascii="仿宋_GB2312" w:hAnsi="宋体" w:eastAsia="仿宋_GB2312"/>
          <w:sz w:val="32"/>
          <w:szCs w:val="32"/>
          <w:lang w:val="zh-CN"/>
        </w:rPr>
        <w:t>．定期向</w:t>
      </w:r>
      <w:r>
        <w:rPr>
          <w:rFonts w:hint="eastAsia" w:ascii="仿宋_GB2312" w:hAnsi="宋体"/>
          <w:sz w:val="32"/>
          <w:szCs w:val="32"/>
          <w:lang w:val="en-US" w:eastAsia="zh-CN"/>
        </w:rPr>
        <w:t>上级报告该项目</w:t>
      </w:r>
      <w:r>
        <w:rPr>
          <w:rFonts w:hint="eastAsia" w:ascii="仿宋_GB2312" w:hAnsi="宋体" w:eastAsia="仿宋_GB2312"/>
          <w:sz w:val="32"/>
          <w:szCs w:val="32"/>
          <w:lang w:val="zh-CN"/>
        </w:rPr>
        <w:t>工作的开展情况，实行各项指标的有效监控，实现项目的可持续性，提高项目的可执行性。</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hint="eastAsia" w:ascii="仿宋_GB2312" w:hAnsi="宋体" w:eastAsia="仿宋_GB2312"/>
          <w:sz w:val="32"/>
          <w:szCs w:val="32"/>
          <w:lang w:val="en-US" w:eastAsia="zh-CN"/>
        </w:rPr>
      </w:pPr>
      <w:r>
        <w:rPr>
          <w:rFonts w:hint="eastAsia" w:ascii="仿宋_GB2312" w:hAnsi="宋体" w:eastAsia="仿宋_GB2312"/>
          <w:sz w:val="32"/>
          <w:szCs w:val="32"/>
          <w:lang w:val="zh-CN"/>
        </w:rPr>
        <w:t>1．项目主要内容：保障</w:t>
      </w:r>
      <w:r>
        <w:rPr>
          <w:rFonts w:hint="eastAsia" w:ascii="仿宋_GB2312" w:hAnsi="宋体"/>
          <w:sz w:val="32"/>
          <w:szCs w:val="32"/>
          <w:lang w:val="en-US" w:eastAsia="zh-CN"/>
        </w:rPr>
        <w:t>水体-农村生活污水治理“千村示范工程”项目工作</w:t>
      </w:r>
      <w:r>
        <w:rPr>
          <w:rFonts w:hint="eastAsia" w:ascii="仿宋_GB2312" w:hAnsi="宋体" w:eastAsia="仿宋_GB2312"/>
          <w:sz w:val="32"/>
          <w:szCs w:val="32"/>
          <w:lang w:val="zh-CN"/>
        </w:rPr>
        <w:t>费用支出</w:t>
      </w:r>
      <w:r>
        <w:rPr>
          <w:rFonts w:hint="eastAsia" w:ascii="仿宋_GB2312" w:hAnsi="宋体"/>
          <w:sz w:val="32"/>
          <w:szCs w:val="32"/>
          <w:lang w:val="en-US" w:eastAsia="zh-CN"/>
        </w:rPr>
        <w:t>。</w:t>
      </w:r>
    </w:p>
    <w:p>
      <w:p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2．项目目标：保障</w:t>
      </w:r>
      <w:r>
        <w:rPr>
          <w:rFonts w:hint="eastAsia" w:ascii="仿宋_GB2312" w:hAnsi="宋体"/>
          <w:sz w:val="32"/>
          <w:szCs w:val="32"/>
          <w:lang w:val="en-US" w:eastAsia="zh-CN"/>
        </w:rPr>
        <w:t>该项目</w:t>
      </w:r>
      <w:r>
        <w:rPr>
          <w:rFonts w:hint="eastAsia" w:ascii="仿宋_GB2312" w:hAnsi="宋体" w:eastAsia="仿宋_GB2312"/>
          <w:sz w:val="32"/>
          <w:szCs w:val="32"/>
          <w:lang w:val="zh-CN"/>
        </w:rPr>
        <w:t>工作的</w:t>
      </w:r>
      <w:r>
        <w:rPr>
          <w:rFonts w:hint="eastAsia" w:ascii="仿宋_GB2312" w:hAnsi="宋体"/>
          <w:sz w:val="32"/>
          <w:szCs w:val="32"/>
          <w:lang w:val="en-US" w:eastAsia="zh-CN"/>
        </w:rPr>
        <w:t>顺利</w:t>
      </w:r>
      <w:r>
        <w:rPr>
          <w:rFonts w:hint="eastAsia" w:ascii="仿宋_GB2312" w:hAnsi="宋体" w:eastAsia="仿宋_GB2312"/>
          <w:sz w:val="32"/>
          <w:szCs w:val="32"/>
          <w:lang w:val="zh-CN"/>
        </w:rPr>
        <w:t>开展，</w:t>
      </w:r>
      <w:r>
        <w:rPr>
          <w:rFonts w:hint="eastAsia" w:ascii="仿宋_GB2312" w:hAnsi="宋体"/>
          <w:sz w:val="32"/>
          <w:szCs w:val="32"/>
          <w:lang w:val="zh-CN"/>
        </w:rPr>
        <w:t>促进提高群众理解度和满意度。</w:t>
      </w:r>
    </w:p>
    <w:p>
      <w:p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3．项目申报内容与实际相符，申报目标合理可行。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720"/>
        <w:rPr>
          <w:rFonts w:hint="eastAsia" w:ascii="仿宋_GB2312" w:hAnsi="宋体"/>
          <w:sz w:val="32"/>
          <w:szCs w:val="32"/>
          <w:lang w:val="en-US" w:eastAsia="zh-CN"/>
        </w:rPr>
      </w:pPr>
      <w:r>
        <w:rPr>
          <w:rFonts w:hint="eastAsia" w:ascii="仿宋_GB2312" w:hAnsi="宋体"/>
          <w:sz w:val="32"/>
          <w:szCs w:val="32"/>
          <w:lang w:val="en-US" w:eastAsia="zh-CN"/>
        </w:rPr>
        <w:t>自流井区舒坪街道办事处</w:t>
      </w:r>
      <w:r>
        <w:rPr>
          <w:rFonts w:hint="eastAsia" w:ascii="仿宋_GB2312" w:hAnsi="宋体" w:eastAsia="仿宋_GB2312"/>
          <w:sz w:val="32"/>
          <w:szCs w:val="32"/>
          <w:lang w:val="zh-CN"/>
        </w:rPr>
        <w:t>对单位项目实施绩效评价，运用成本效益分析法、比较法、公众评判法提高绩效评估评价结果的客观性和准确性，建立分层次的核心绩效指标和标准体系，实现科学合理、细化量化、可比可测。进一步规范</w:t>
      </w:r>
      <w:r>
        <w:rPr>
          <w:rFonts w:hint="eastAsia" w:ascii="仿宋_GB2312" w:hAnsi="宋体"/>
          <w:sz w:val="32"/>
          <w:szCs w:val="32"/>
          <w:lang w:val="en-US" w:eastAsia="zh-CN"/>
        </w:rPr>
        <w:t>项目资金使用</w:t>
      </w:r>
      <w:r>
        <w:rPr>
          <w:rFonts w:hint="eastAsia" w:ascii="仿宋_GB2312" w:hAnsi="宋体" w:eastAsia="仿宋_GB2312"/>
          <w:sz w:val="32"/>
          <w:szCs w:val="32"/>
          <w:lang w:val="zh-CN"/>
        </w:rPr>
        <w:t>，有效</w:t>
      </w:r>
      <w:r>
        <w:rPr>
          <w:rFonts w:hint="eastAsia" w:ascii="仿宋_GB2312" w:hAnsi="宋体"/>
          <w:sz w:val="32"/>
          <w:szCs w:val="32"/>
          <w:lang w:val="en-US" w:eastAsia="zh-CN"/>
        </w:rPr>
        <w:t>保障该项目工作的开展。</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二、项目资金申报及使用情况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adjustRightInd w:val="0"/>
        <w:snapToGrid w:val="0"/>
        <w:spacing w:line="600" w:lineRule="exact"/>
        <w:ind w:firstLine="720"/>
        <w:rPr>
          <w:lang w:val="zh-CN"/>
        </w:rPr>
      </w:pPr>
      <w:r>
        <w:rPr>
          <w:rFonts w:hint="eastAsia" w:ascii="仿宋_GB2312" w:hAnsi="宋体" w:eastAsia="仿宋_GB2312"/>
          <w:sz w:val="32"/>
          <w:szCs w:val="32"/>
          <w:lang w:val="zh-CN"/>
        </w:rPr>
        <w:t>项目资金</w:t>
      </w:r>
      <w:r>
        <w:rPr>
          <w:rFonts w:hint="eastAsia" w:ascii="仿宋_GB2312" w:hAnsi="宋体"/>
          <w:sz w:val="32"/>
          <w:szCs w:val="32"/>
          <w:lang w:val="en-US" w:eastAsia="zh-CN"/>
        </w:rPr>
        <w:t>25</w:t>
      </w:r>
      <w:r>
        <w:rPr>
          <w:rFonts w:hint="eastAsia" w:ascii="仿宋_GB2312" w:hAnsi="宋体" w:eastAsia="仿宋_GB2312"/>
          <w:sz w:val="32"/>
          <w:szCs w:val="32"/>
          <w:lang w:val="en-US" w:eastAsia="zh-CN"/>
        </w:rPr>
        <w:t>万元，项目资金符合国家财经法规和财务管理制度及有关专项资金管理办法规定。</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（二）资金计划、到位及使用情况。</w:t>
      </w:r>
    </w:p>
    <w:p>
      <w:pPr>
        <w:adjustRightInd w:val="0"/>
        <w:snapToGrid w:val="0"/>
        <w:spacing w:line="600" w:lineRule="exact"/>
        <w:ind w:firstLine="720"/>
        <w:rPr>
          <w:rFonts w:hint="eastAsia" w:ascii="仿宋_GB2312" w:hAnsi="仿宋_GB2312" w:cs="仿宋_GB2312"/>
          <w:sz w:val="32"/>
          <w:szCs w:val="32"/>
          <w:lang w:val="zh-CN"/>
        </w:rPr>
      </w:pPr>
      <w:r>
        <w:rPr>
          <w:rFonts w:hint="eastAsia" w:ascii="仿宋_GB2312" w:hAnsi="仿宋_GB2312" w:eastAsia="仿宋_GB2312" w:cs="仿宋_GB2312"/>
          <w:sz w:val="32"/>
          <w:szCs w:val="32"/>
          <w:lang w:val="zh-CN"/>
        </w:rPr>
        <w:t>1.资金计划。</w:t>
      </w:r>
      <w:r>
        <w:rPr>
          <w:rFonts w:hint="eastAsia" w:ascii="仿宋_GB2312" w:hAnsi="仿宋_GB2312" w:cs="仿宋_GB2312"/>
          <w:sz w:val="32"/>
          <w:szCs w:val="32"/>
          <w:lang w:val="en-US" w:eastAsia="zh-CN"/>
        </w:rPr>
        <w:t>向上级申请的项目资金，</w:t>
      </w:r>
      <w:r>
        <w:rPr>
          <w:rFonts w:hint="eastAsia" w:ascii="仿宋_GB2312" w:hAnsi="仿宋_GB2312" w:eastAsia="仿宋_GB2312" w:cs="仿宋_GB2312"/>
          <w:sz w:val="32"/>
          <w:szCs w:val="32"/>
          <w:lang w:val="zh-CN"/>
        </w:rPr>
        <w:t>2020年</w:t>
      </w:r>
      <w:r>
        <w:rPr>
          <w:rFonts w:hint="eastAsia" w:ascii="仿宋_GB2312" w:hAnsi="仿宋_GB2312" w:cs="仿宋_GB2312"/>
          <w:sz w:val="32"/>
          <w:szCs w:val="32"/>
          <w:lang w:val="en-US" w:eastAsia="zh-CN"/>
        </w:rPr>
        <w:t>为25</w:t>
      </w:r>
      <w:r>
        <w:rPr>
          <w:rFonts w:hint="eastAsia" w:ascii="仿宋_GB2312" w:hAnsi="仿宋_GB2312" w:eastAsia="仿宋_GB2312" w:cs="仿宋_GB2312"/>
          <w:sz w:val="32"/>
          <w:szCs w:val="32"/>
          <w:lang w:val="zh-CN"/>
        </w:rPr>
        <w:t>万元</w:t>
      </w:r>
      <w:r>
        <w:rPr>
          <w:rFonts w:hint="eastAsia" w:ascii="仿宋_GB2312" w:hAnsi="仿宋_GB2312" w:cs="仿宋_GB2312"/>
          <w:sz w:val="32"/>
          <w:szCs w:val="32"/>
          <w:lang w:val="zh-CN"/>
        </w:rPr>
        <w:t>。</w:t>
      </w:r>
    </w:p>
    <w:p>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2.资金到位。资金到位率高、到位及时。</w:t>
      </w:r>
    </w:p>
    <w:p>
      <w:pPr>
        <w:adjustRightInd w:val="0"/>
        <w:snapToGrid w:val="0"/>
        <w:spacing w:line="600" w:lineRule="exact"/>
        <w:ind w:firstLine="720"/>
        <w:rPr>
          <w:rFonts w:hint="eastAsia" w:ascii="仿宋_GB2312" w:hAnsi="仿宋_GB2312" w:cs="仿宋_GB2312"/>
          <w:sz w:val="32"/>
          <w:szCs w:val="32"/>
          <w:lang w:val="zh-CN"/>
        </w:rPr>
      </w:pPr>
      <w:r>
        <w:rPr>
          <w:rFonts w:hint="eastAsia" w:ascii="仿宋_GB2312" w:hAnsi="仿宋_GB2312" w:eastAsia="仿宋_GB2312" w:cs="仿宋_GB2312"/>
          <w:sz w:val="32"/>
          <w:szCs w:val="32"/>
          <w:lang w:val="zh-CN"/>
        </w:rPr>
        <w:t>3.资金使用。该项目资金使用保障了安全性、规范性及有效性，资金支付范围、支付标准、支付进度、支付依据等合规合法</w:t>
      </w:r>
      <w:r>
        <w:rPr>
          <w:rFonts w:hint="eastAsia" w:ascii="仿宋_GB2312" w:hAnsi="仿宋_GB2312" w:cs="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en-US" w:eastAsia="zh-CN"/>
        </w:rPr>
        <w:t>我单位</w:t>
      </w:r>
      <w:r>
        <w:rPr>
          <w:rFonts w:hint="eastAsia" w:ascii="仿宋_GB2312" w:hAnsi="宋体" w:eastAsia="仿宋_GB2312"/>
          <w:sz w:val="32"/>
          <w:szCs w:val="32"/>
          <w:lang w:val="zh-CN"/>
        </w:rPr>
        <w:t>按照十九大关于“全面实施绩效管理”的精神，树立绩效意识，把握绩效导向的管理趋势，实施绩效评价；单位财务管理制度健全，内部控制制度健全完整并执行良好，账务处理及时，会计核算规范。</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三、项目实施及管理情况</w:t>
      </w:r>
    </w:p>
    <w:p>
      <w:pPr>
        <w:numPr>
          <w:ilvl w:val="0"/>
          <w:numId w:val="7"/>
        </w:numPr>
        <w:adjustRightInd w:val="0"/>
        <w:snapToGrid w:val="0"/>
        <w:spacing w:line="600" w:lineRule="exact"/>
        <w:ind w:firstLine="720"/>
        <w:rPr>
          <w:lang w:val="zh-CN"/>
        </w:rPr>
      </w:pPr>
      <w:r>
        <w:rPr>
          <w:rFonts w:hint="eastAsia" w:ascii="楷体_GB2312" w:hAnsi="宋体" w:eastAsia="楷体_GB2312"/>
          <w:b/>
          <w:sz w:val="32"/>
          <w:szCs w:val="32"/>
          <w:lang w:val="zh-CN"/>
        </w:rPr>
        <w:t>项目组织架构及实施流程。</w:t>
      </w:r>
      <w:r>
        <w:rPr>
          <w:rFonts w:hint="eastAsia" w:ascii="仿宋_GB2312" w:hAnsi="宋体" w:eastAsia="仿宋_GB2312" w:cs="Times New Roman"/>
          <w:sz w:val="32"/>
          <w:szCs w:val="32"/>
          <w:highlight w:val="none"/>
          <w:lang w:val="zh-CN" w:eastAsia="zh-CN"/>
        </w:rPr>
        <w:t>项目主要采取</w:t>
      </w:r>
      <w:r>
        <w:rPr>
          <w:rFonts w:hint="eastAsia" w:ascii="仿宋_GB2312" w:hAnsi="宋体" w:cs="Times New Roman"/>
          <w:sz w:val="32"/>
          <w:szCs w:val="32"/>
          <w:highlight w:val="none"/>
          <w:lang w:val="en-US" w:eastAsia="zh-CN"/>
        </w:rPr>
        <w:t>实际发生—凭票报销—领导审核</w:t>
      </w:r>
      <w:r>
        <w:rPr>
          <w:rFonts w:hint="eastAsia" w:ascii="仿宋_GB2312" w:hAnsi="宋体" w:eastAsia="仿宋_GB2312" w:cs="Times New Roman"/>
          <w:sz w:val="32"/>
          <w:szCs w:val="32"/>
          <w:highlight w:val="none"/>
          <w:lang w:val="zh-CN" w:eastAsia="zh-CN"/>
        </w:rPr>
        <w:t>方式实现支出。</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（二）项目管理情况。</w:t>
      </w:r>
      <w:r>
        <w:rPr>
          <w:rFonts w:hint="eastAsia" w:ascii="仿宋_GB2312" w:hAnsi="宋体" w:cs="Times New Roman"/>
          <w:sz w:val="32"/>
          <w:szCs w:val="32"/>
          <w:highlight w:val="none"/>
          <w:lang w:val="en-US" w:eastAsia="zh-CN"/>
        </w:rPr>
        <w:t>我</w:t>
      </w:r>
      <w:r>
        <w:rPr>
          <w:rFonts w:hint="eastAsia" w:ascii="仿宋_GB2312" w:hAnsi="宋体" w:eastAsia="仿宋_GB2312" w:cs="Times New Roman"/>
          <w:sz w:val="32"/>
          <w:szCs w:val="32"/>
          <w:highlight w:val="none"/>
          <w:lang w:val="zh-CN" w:eastAsia="zh-CN"/>
        </w:rPr>
        <w:t>单位执行严格按照相关法律法规和内控制度对项目实施管理。</w:t>
      </w:r>
    </w:p>
    <w:p>
      <w:pPr>
        <w:adjustRightInd w:val="0"/>
        <w:snapToGrid w:val="0"/>
        <w:spacing w:line="600" w:lineRule="exact"/>
        <w:ind w:firstLine="643" w:firstLineChars="200"/>
        <w:rPr>
          <w:rFonts w:hint="eastAsia" w:ascii="楷体_GB2312" w:hAnsi="宋体" w:eastAsia="楷体_GB2312"/>
          <w:b/>
          <w:sz w:val="32"/>
          <w:szCs w:val="32"/>
          <w:lang w:val="zh-CN"/>
        </w:rPr>
      </w:pPr>
      <w:r>
        <w:rPr>
          <w:rFonts w:hint="eastAsia" w:ascii="楷体_GB2312" w:hAnsi="宋体" w:eastAsia="楷体_GB2312"/>
          <w:b/>
          <w:sz w:val="32"/>
          <w:szCs w:val="32"/>
          <w:lang w:val="zh-CN"/>
        </w:rPr>
        <w:t>（三）项目监管情况。</w:t>
      </w:r>
    </w:p>
    <w:p>
      <w:p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cs="Times New Roman"/>
          <w:sz w:val="32"/>
          <w:szCs w:val="32"/>
          <w:highlight w:val="none"/>
          <w:lang w:val="en-US" w:eastAsia="zh-CN"/>
        </w:rPr>
        <w:t>舒坪街道办事处加</w:t>
      </w:r>
      <w:r>
        <w:rPr>
          <w:rFonts w:hint="eastAsia" w:ascii="仿宋_GB2312" w:hAnsi="宋体" w:eastAsia="仿宋_GB2312" w:cs="Times New Roman"/>
          <w:sz w:val="32"/>
          <w:szCs w:val="32"/>
          <w:highlight w:val="none"/>
          <w:lang w:val="zh-CN" w:eastAsia="zh-CN"/>
        </w:rPr>
        <w:t>强项目管理．</w:t>
      </w:r>
      <w:r>
        <w:rPr>
          <w:rFonts w:hint="eastAsia" w:ascii="仿宋_GB2312" w:hAnsi="宋体" w:eastAsia="仿宋_GB2312"/>
          <w:sz w:val="32"/>
          <w:szCs w:val="32"/>
          <w:lang w:val="zh-CN"/>
        </w:rPr>
        <w:t>建立目标绩效</w:t>
      </w:r>
      <w:r>
        <w:rPr>
          <w:rFonts w:hint="eastAsia" w:ascii="仿宋_GB2312" w:hAnsi="宋体"/>
          <w:sz w:val="32"/>
          <w:szCs w:val="32"/>
          <w:lang w:val="en-US" w:eastAsia="zh-CN"/>
        </w:rPr>
        <w:t>监督</w:t>
      </w:r>
      <w:r>
        <w:rPr>
          <w:rFonts w:hint="eastAsia" w:ascii="仿宋_GB2312" w:hAnsi="宋体" w:eastAsia="仿宋_GB2312"/>
          <w:sz w:val="32"/>
          <w:szCs w:val="32"/>
          <w:lang w:val="zh-CN"/>
        </w:rPr>
        <w:t>机制</w:t>
      </w:r>
      <w:r>
        <w:rPr>
          <w:rFonts w:hint="eastAsia" w:ascii="仿宋_GB2312" w:hAnsi="宋体" w:eastAsia="仿宋_GB2312" w:cs="Times New Roman"/>
          <w:sz w:val="32"/>
          <w:szCs w:val="32"/>
          <w:highlight w:val="none"/>
          <w:lang w:val="zh-CN" w:eastAsia="zh-CN"/>
        </w:rPr>
        <w:t>，对</w:t>
      </w:r>
      <w:r>
        <w:rPr>
          <w:rFonts w:hint="eastAsia" w:ascii="仿宋_GB2312" w:hAnsi="宋体" w:cs="Times New Roman"/>
          <w:sz w:val="32"/>
          <w:szCs w:val="32"/>
          <w:highlight w:val="none"/>
          <w:lang w:val="en-US" w:eastAsia="zh-CN"/>
        </w:rPr>
        <w:t>项目</w:t>
      </w:r>
      <w:r>
        <w:rPr>
          <w:rFonts w:hint="eastAsia" w:ascii="仿宋_GB2312" w:hAnsi="宋体" w:eastAsia="仿宋_GB2312" w:cs="Times New Roman"/>
          <w:sz w:val="32"/>
          <w:szCs w:val="32"/>
          <w:highlight w:val="none"/>
          <w:lang w:val="zh-CN" w:eastAsia="zh-CN"/>
        </w:rPr>
        <w:t>工作</w:t>
      </w:r>
      <w:r>
        <w:rPr>
          <w:rFonts w:hint="eastAsia" w:ascii="仿宋_GB2312" w:hAnsi="宋体" w:cs="Times New Roman"/>
          <w:sz w:val="32"/>
          <w:szCs w:val="32"/>
          <w:highlight w:val="none"/>
          <w:lang w:val="en-US" w:eastAsia="zh-CN"/>
        </w:rPr>
        <w:t>完成</w:t>
      </w:r>
      <w:r>
        <w:rPr>
          <w:rFonts w:hint="eastAsia" w:ascii="仿宋_GB2312" w:hAnsi="宋体" w:eastAsia="仿宋_GB2312" w:cs="Times New Roman"/>
          <w:sz w:val="32"/>
          <w:szCs w:val="32"/>
          <w:highlight w:val="none"/>
          <w:lang w:val="zh-CN" w:eastAsia="zh-CN"/>
        </w:rPr>
        <w:t>情况进行定期</w:t>
      </w:r>
      <w:r>
        <w:rPr>
          <w:rFonts w:hint="eastAsia" w:ascii="仿宋_GB2312" w:hAnsi="宋体" w:cs="Times New Roman"/>
          <w:sz w:val="32"/>
          <w:szCs w:val="32"/>
          <w:highlight w:val="none"/>
          <w:lang w:val="en-US" w:eastAsia="zh-CN"/>
        </w:rPr>
        <w:t>监督</w:t>
      </w:r>
      <w:r>
        <w:rPr>
          <w:rFonts w:hint="eastAsia" w:ascii="仿宋_GB2312" w:hAnsi="宋体" w:eastAsia="仿宋_GB2312" w:cs="Times New Roman"/>
          <w:sz w:val="32"/>
          <w:szCs w:val="32"/>
          <w:highlight w:val="none"/>
          <w:lang w:val="zh-CN" w:eastAsia="zh-CN"/>
        </w:rPr>
        <w:t>，提高工作效率。</w:t>
      </w:r>
    </w:p>
    <w:p>
      <w:pPr>
        <w:adjustRightInd w:val="0"/>
        <w:snapToGrid w:val="0"/>
        <w:spacing w:line="600" w:lineRule="exact"/>
        <w:ind w:firstLine="720"/>
        <w:rPr>
          <w:rFonts w:ascii="仿宋_GB2312" w:hAnsi="宋体" w:eastAsia="仿宋_GB2312"/>
          <w:sz w:val="32"/>
          <w:szCs w:val="32"/>
          <w:lang w:val="zh-CN"/>
        </w:rPr>
      </w:pPr>
      <w:r>
        <w:rPr>
          <w:rFonts w:hint="eastAsia" w:ascii="黑体" w:hAnsi="宋体" w:eastAsia="黑体"/>
          <w:sz w:val="32"/>
          <w:szCs w:val="32"/>
        </w:rPr>
        <w:t>四、项目绩效情况</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firstLine="720"/>
        <w:rPr>
          <w:rFonts w:hint="eastAsia" w:ascii="仿宋_GB2312" w:hAnsi="宋体"/>
          <w:sz w:val="32"/>
          <w:szCs w:val="32"/>
          <w:lang w:val="zh-CN"/>
        </w:rPr>
      </w:pPr>
      <w:r>
        <w:rPr>
          <w:rFonts w:hint="eastAsia" w:ascii="仿宋_GB2312" w:hAnsi="宋体"/>
          <w:sz w:val="32"/>
          <w:szCs w:val="32"/>
          <w:lang w:val="en-US" w:eastAsia="zh-CN"/>
        </w:rPr>
        <w:t>舒坪街道办事处水体-农村生活污水治理“千村示范工程”</w:t>
      </w:r>
      <w:r>
        <w:rPr>
          <w:rFonts w:hint="eastAsia" w:ascii="仿宋_GB2312" w:hAnsi="宋体" w:eastAsia="仿宋_GB2312"/>
          <w:sz w:val="32"/>
          <w:szCs w:val="32"/>
          <w:lang w:val="zh-CN"/>
        </w:rPr>
        <w:t>项目</w:t>
      </w:r>
      <w:r>
        <w:rPr>
          <w:rFonts w:hint="eastAsia" w:ascii="仿宋_GB2312" w:hAnsi="宋体"/>
          <w:sz w:val="32"/>
          <w:szCs w:val="32"/>
          <w:lang w:val="en-US" w:eastAsia="zh-CN"/>
        </w:rPr>
        <w:t>金额25</w:t>
      </w:r>
      <w:r>
        <w:rPr>
          <w:rFonts w:hint="eastAsia" w:ascii="仿宋_GB2312" w:hAnsi="宋体" w:eastAsia="仿宋_GB2312"/>
          <w:sz w:val="32"/>
          <w:szCs w:val="32"/>
          <w:lang w:val="zh-CN"/>
        </w:rPr>
        <w:t>万元，执行数为</w:t>
      </w:r>
      <w:r>
        <w:rPr>
          <w:rFonts w:hint="eastAsia" w:ascii="仿宋_GB2312" w:hAnsi="宋体"/>
          <w:sz w:val="32"/>
          <w:szCs w:val="32"/>
          <w:lang w:val="en-US" w:eastAsia="zh-CN"/>
        </w:rPr>
        <w:t>25</w:t>
      </w:r>
      <w:r>
        <w:rPr>
          <w:rFonts w:hint="eastAsia" w:ascii="仿宋_GB2312" w:hAnsi="宋体" w:eastAsia="仿宋_GB2312"/>
          <w:sz w:val="32"/>
          <w:szCs w:val="32"/>
          <w:lang w:val="zh-CN"/>
        </w:rPr>
        <w:t>万元，完成预算的100%。通过项目实施，有效保障全年</w:t>
      </w:r>
      <w:r>
        <w:rPr>
          <w:rFonts w:hint="eastAsia" w:ascii="仿宋_GB2312" w:hAnsi="宋体"/>
          <w:sz w:val="32"/>
          <w:szCs w:val="32"/>
          <w:lang w:val="en-US" w:eastAsia="zh-CN"/>
        </w:rPr>
        <w:t>该项目</w:t>
      </w:r>
      <w:r>
        <w:rPr>
          <w:rFonts w:hint="eastAsia" w:ascii="仿宋_GB2312" w:hAnsi="宋体" w:eastAsia="仿宋_GB2312"/>
          <w:sz w:val="32"/>
          <w:szCs w:val="32"/>
          <w:lang w:val="zh-CN"/>
        </w:rPr>
        <w:t>工作</w:t>
      </w:r>
      <w:r>
        <w:rPr>
          <w:rFonts w:hint="eastAsia" w:ascii="仿宋_GB2312" w:hAnsi="宋体"/>
          <w:sz w:val="32"/>
          <w:szCs w:val="32"/>
          <w:lang w:val="en-US" w:eastAsia="zh-CN"/>
        </w:rPr>
        <w:t>的</w:t>
      </w:r>
      <w:r>
        <w:rPr>
          <w:rFonts w:hint="eastAsia" w:ascii="仿宋_GB2312" w:hAnsi="宋体" w:eastAsia="仿宋_GB2312"/>
          <w:sz w:val="32"/>
          <w:szCs w:val="32"/>
          <w:lang w:val="zh-CN"/>
        </w:rPr>
        <w:t>开展</w:t>
      </w:r>
      <w:r>
        <w:rPr>
          <w:rFonts w:hint="eastAsia" w:ascii="仿宋_GB2312" w:hAnsi="宋体"/>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spacing w:line="592" w:lineRule="exact"/>
        <w:ind w:firstLine="640"/>
        <w:rPr>
          <w:rFonts w:ascii="仿宋_GB2312" w:hAnsi="宋体" w:eastAsia="仿宋_GB2312"/>
          <w:sz w:val="32"/>
          <w:szCs w:val="32"/>
          <w:lang w:val="zh-CN"/>
        </w:rPr>
      </w:pPr>
      <w:r>
        <w:rPr>
          <w:rFonts w:ascii="Times New Roman" w:hAnsi="Times New Roman" w:eastAsia="仿宋_GB2312"/>
        </w:rPr>
        <w:t>农村生活污水治理是一项保护环境、建设和谐社会、造福子孙后代的公用事业工程</w:t>
      </w:r>
      <w:r>
        <w:rPr>
          <w:rFonts w:hint="eastAsia" w:ascii="Times New Roman" w:hAnsi="Times New Roman"/>
          <w:lang w:eastAsia="zh-CN"/>
        </w:rPr>
        <w:t>。</w:t>
      </w:r>
      <w:r>
        <w:rPr>
          <w:rFonts w:hint="eastAsia" w:ascii="仿宋_GB2312" w:hAnsi="宋体"/>
          <w:sz w:val="32"/>
          <w:szCs w:val="32"/>
          <w:lang w:val="en-US" w:eastAsia="zh-CN"/>
        </w:rPr>
        <w:t>项目保障了</w:t>
      </w:r>
      <w:r>
        <w:rPr>
          <w:rFonts w:hint="eastAsia" w:ascii="仿宋_GB2312" w:hAnsi="宋体" w:eastAsia="仿宋_GB2312"/>
          <w:sz w:val="32"/>
          <w:szCs w:val="32"/>
          <w:lang w:val="zh-CN"/>
        </w:rPr>
        <w:t>工作的</w:t>
      </w:r>
      <w:r>
        <w:rPr>
          <w:rFonts w:hint="eastAsia" w:ascii="仿宋_GB2312" w:hAnsi="宋体"/>
          <w:sz w:val="32"/>
          <w:szCs w:val="32"/>
          <w:lang w:val="en-US" w:eastAsia="zh-CN"/>
        </w:rPr>
        <w:t>顺利</w:t>
      </w:r>
      <w:r>
        <w:rPr>
          <w:rFonts w:hint="eastAsia" w:ascii="仿宋_GB2312" w:hAnsi="宋体" w:eastAsia="仿宋_GB2312"/>
          <w:sz w:val="32"/>
          <w:szCs w:val="32"/>
          <w:lang w:val="zh-CN"/>
        </w:rPr>
        <w:t>开展，</w:t>
      </w:r>
      <w:r>
        <w:rPr>
          <w:rFonts w:hint="eastAsia" w:ascii="仿宋_GB2312" w:hAnsi="宋体"/>
          <w:sz w:val="32"/>
          <w:szCs w:val="32"/>
          <w:lang w:val="zh-CN"/>
        </w:rPr>
        <w:t>促进提高群众理解度和满意度，</w:t>
      </w:r>
      <w:r>
        <w:rPr>
          <w:rFonts w:ascii="Times New Roman" w:hAnsi="Times New Roman" w:eastAsia="仿宋_GB2312"/>
        </w:rPr>
        <w:t>对农村生活污水治理项目的推进起到积极的示范作用。</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五、评价结论及建议</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严格按照区级部门通知和有关要求，部门绩效目标制定完整合理，按绩效目标情况履行职责，按规定及时分配专项</w:t>
      </w:r>
      <w:r>
        <w:rPr>
          <w:rFonts w:hint="eastAsia" w:ascii="仿宋_GB2312" w:hAnsi="宋体"/>
          <w:sz w:val="32"/>
          <w:szCs w:val="32"/>
          <w:lang w:val="en-US" w:eastAsia="zh-CN"/>
        </w:rPr>
        <w:t>资金</w:t>
      </w:r>
      <w:r>
        <w:rPr>
          <w:rFonts w:hint="eastAsia" w:ascii="仿宋_GB2312" w:hAnsi="宋体" w:eastAsia="仿宋_GB2312"/>
          <w:sz w:val="32"/>
          <w:szCs w:val="32"/>
          <w:lang w:val="zh-CN"/>
        </w:rPr>
        <w:t>，按要求严格</w:t>
      </w:r>
      <w:r>
        <w:rPr>
          <w:rFonts w:hint="eastAsia" w:ascii="仿宋_GB2312" w:hAnsi="宋体"/>
          <w:sz w:val="32"/>
          <w:szCs w:val="32"/>
          <w:lang w:val="en-US" w:eastAsia="zh-CN"/>
        </w:rPr>
        <w:t>预算</w:t>
      </w:r>
      <w:r>
        <w:rPr>
          <w:rFonts w:hint="eastAsia" w:ascii="仿宋_GB2312" w:hAnsi="宋体" w:eastAsia="仿宋_GB2312"/>
          <w:sz w:val="32"/>
          <w:szCs w:val="32"/>
          <w:lang w:val="zh-CN"/>
        </w:rPr>
        <w:t>执行管理，无违规记录等情况。该项目自评得分</w:t>
      </w:r>
      <w:r>
        <w:rPr>
          <w:rFonts w:hint="eastAsia" w:ascii="仿宋_GB2312" w:hAnsi="宋体"/>
          <w:sz w:val="32"/>
          <w:szCs w:val="32"/>
          <w:lang w:val="en-US" w:eastAsia="zh-CN"/>
        </w:rPr>
        <w:t>95</w:t>
      </w:r>
      <w:r>
        <w:rPr>
          <w:rFonts w:hint="eastAsia" w:ascii="仿宋_GB2312" w:hAnsi="宋体" w:eastAsia="仿宋_GB2312"/>
          <w:sz w:val="32"/>
          <w:szCs w:val="32"/>
          <w:lang w:val="zh-CN"/>
        </w:rPr>
        <w:t>分。</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（二）存在的问题。</w:t>
      </w:r>
    </w:p>
    <w:p>
      <w:pPr>
        <w:widowControl/>
        <w:adjustRightInd w:val="0"/>
        <w:snapToGrid w:val="0"/>
        <w:spacing w:line="580" w:lineRule="exact"/>
        <w:ind w:firstLine="640" w:firstLineChars="200"/>
        <w:contextualSpacing/>
        <w:jc w:val="left"/>
        <w:rPr>
          <w:rFonts w:hint="eastAsia" w:ascii="仿宋" w:hAnsi="仿宋" w:eastAsia="仿宋" w:cs="仿宋"/>
          <w:i w:val="0"/>
          <w:caps w:val="0"/>
          <w:color w:val="auto"/>
          <w:spacing w:val="0"/>
          <w:kern w:val="2"/>
          <w:sz w:val="32"/>
          <w:szCs w:val="32"/>
          <w:shd w:val="clear" w:fill="FFFFFF"/>
          <w:lang w:val="zh-CN" w:eastAsia="zh-CN" w:bidi="ar-SA"/>
        </w:rPr>
      </w:pPr>
      <w:r>
        <w:rPr>
          <w:rFonts w:hint="eastAsia" w:ascii="仿宋" w:hAnsi="仿宋" w:eastAsia="仿宋" w:cs="仿宋"/>
          <w:i w:val="0"/>
          <w:caps w:val="0"/>
          <w:color w:val="auto"/>
          <w:spacing w:val="0"/>
          <w:kern w:val="2"/>
          <w:sz w:val="32"/>
          <w:szCs w:val="32"/>
          <w:shd w:val="clear" w:fill="FFFFFF"/>
          <w:lang w:val="en-US" w:eastAsia="zh-CN" w:bidi="ar-SA"/>
        </w:rPr>
        <w:t>预算编制相对不够完善,经费使用上存在挤占现象，绩效管理工作有待加强等问题。</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（三）相关建议。</w:t>
      </w:r>
    </w:p>
    <w:p>
      <w:pPr>
        <w:widowControl/>
        <w:adjustRightInd w:val="0"/>
        <w:snapToGrid w:val="0"/>
        <w:spacing w:line="580" w:lineRule="exact"/>
        <w:ind w:firstLine="640" w:firstLineChars="200"/>
        <w:contextualSpacing/>
        <w:jc w:val="left"/>
        <w:rPr>
          <w:rFonts w:hint="eastAsia" w:ascii="黑体" w:hAnsi="黑体" w:eastAsia="黑体"/>
          <w:color w:val="000000"/>
          <w:sz w:val="44"/>
          <w:szCs w:val="44"/>
        </w:rPr>
      </w:pPr>
      <w:r>
        <w:rPr>
          <w:rFonts w:hint="eastAsia" w:ascii="仿宋" w:hAnsi="仿宋" w:eastAsia="仿宋" w:cs="仿宋"/>
          <w:i w:val="0"/>
          <w:caps w:val="0"/>
          <w:color w:val="auto"/>
          <w:spacing w:val="0"/>
          <w:kern w:val="2"/>
          <w:sz w:val="32"/>
          <w:szCs w:val="32"/>
          <w:shd w:val="clear" w:fill="FFFFFF"/>
          <w:lang w:val="en-US" w:eastAsia="zh-CN" w:bidi="ar-SA"/>
        </w:rPr>
        <w:t>进一步完善预算编制，注重财务部门和业务部门的配合，同时加强绩效管理工作。</w:t>
      </w:r>
      <w:bookmarkStart w:id="67" w:name="_Toc15396618"/>
      <w:bookmarkStart w:id="68" w:name="_Toc32283"/>
    </w:p>
    <w:p>
      <w:pPr>
        <w:pStyle w:val="2"/>
        <w:rPr>
          <w:rFonts w:hint="eastAsia" w:ascii="黑体" w:hAnsi="黑体" w:eastAsia="黑体"/>
          <w:color w:val="000000"/>
          <w:sz w:val="44"/>
          <w:szCs w:val="44"/>
        </w:rPr>
      </w:pPr>
    </w:p>
    <w:p>
      <w:pPr>
        <w:pStyle w:val="2"/>
        <w:rPr>
          <w:rFonts w:hint="eastAsia" w:ascii="黑体" w:hAnsi="黑体" w:eastAsia="黑体"/>
          <w:color w:val="000000"/>
          <w:sz w:val="44"/>
          <w:szCs w:val="44"/>
        </w:rPr>
      </w:pPr>
    </w:p>
    <w:p>
      <w:pPr>
        <w:pStyle w:val="2"/>
        <w:rPr>
          <w:rFonts w:hint="eastAsia" w:ascii="黑体" w:hAnsi="黑体" w:eastAsia="黑体"/>
          <w:color w:val="000000"/>
          <w:sz w:val="44"/>
          <w:szCs w:val="44"/>
        </w:rPr>
      </w:pPr>
    </w:p>
    <w:bookmarkEnd w:id="64"/>
    <w:bookmarkEnd w:id="67"/>
    <w:bookmarkEnd w:id="68"/>
    <w:p>
      <w:pPr>
        <w:spacing w:line="600" w:lineRule="exact"/>
        <w:jc w:val="center"/>
        <w:outlineLvl w:val="0"/>
        <w:rPr>
          <w:rStyle w:val="13"/>
          <w:rFonts w:ascii="黑体" w:hAnsi="黑体" w:eastAsia="黑体"/>
          <w:b w:val="0"/>
        </w:rPr>
      </w:pPr>
      <w:r>
        <w:rPr>
          <w:rFonts w:hint="eastAsia" w:ascii="黑体" w:hAnsi="黑体" w:eastAsia="黑体"/>
          <w:color w:val="000000"/>
          <w:sz w:val="44"/>
          <w:szCs w:val="44"/>
        </w:rPr>
        <w:t>第</w:t>
      </w:r>
      <w:r>
        <w:rPr>
          <w:rStyle w:val="13"/>
          <w:rFonts w:hint="eastAsia" w:ascii="黑体" w:hAnsi="黑体" w:eastAsia="黑体"/>
          <w:b w:val="0"/>
        </w:rPr>
        <w:t>五部分</w:t>
      </w:r>
      <w:r>
        <w:rPr>
          <w:rStyle w:val="13"/>
          <w:rFonts w:ascii="黑体" w:hAnsi="黑体" w:eastAsia="黑体"/>
          <w:b w:val="0"/>
        </w:rPr>
        <w:t xml:space="preserve"> </w:t>
      </w:r>
      <w:r>
        <w:rPr>
          <w:rStyle w:val="13"/>
          <w:rFonts w:hint="eastAsia" w:ascii="黑体" w:hAnsi="黑体" w:eastAsia="黑体"/>
          <w:b w:val="0"/>
        </w:rPr>
        <w:t>附表</w:t>
      </w:r>
    </w:p>
    <w:p>
      <w:pPr>
        <w:pStyle w:val="4"/>
        <w:rPr>
          <w:rFonts w:ascii="仿宋" w:hAnsi="仿宋" w:eastAsia="仿宋"/>
          <w:color w:val="000000"/>
        </w:rPr>
      </w:pPr>
      <w:bookmarkStart w:id="69" w:name="_Toc15699"/>
      <w:bookmarkStart w:id="70" w:name="_Toc15396619"/>
      <w:r>
        <w:rPr>
          <w:rFonts w:hint="eastAsia" w:ascii="仿宋" w:hAnsi="仿宋" w:eastAsia="仿宋"/>
          <w:b w:val="0"/>
          <w:color w:val="000000"/>
        </w:rPr>
        <w:t>一、收</w:t>
      </w:r>
      <w:r>
        <w:rPr>
          <w:rStyle w:val="14"/>
          <w:rFonts w:hint="eastAsia" w:ascii="仿宋" w:hAnsi="仿宋" w:eastAsia="仿宋"/>
          <w:b w:val="0"/>
          <w:bCs w:val="0"/>
        </w:rPr>
        <w:t>入支出决算总表</w:t>
      </w:r>
      <w:bookmarkEnd w:id="69"/>
      <w:bookmarkEnd w:id="70"/>
    </w:p>
    <w:p>
      <w:pPr>
        <w:pStyle w:val="4"/>
        <w:rPr>
          <w:rFonts w:ascii="仿宋" w:hAnsi="仿宋" w:eastAsia="仿宋"/>
          <w:color w:val="000000"/>
        </w:rPr>
      </w:pPr>
      <w:bookmarkStart w:id="71" w:name="_Toc15396620"/>
      <w:bookmarkStart w:id="72" w:name="_Toc27106"/>
      <w:r>
        <w:rPr>
          <w:rFonts w:hint="eastAsia" w:ascii="仿宋" w:hAnsi="仿宋" w:eastAsia="仿宋"/>
          <w:b w:val="0"/>
          <w:color w:val="000000"/>
        </w:rPr>
        <w:t>二、收</w:t>
      </w:r>
      <w:r>
        <w:rPr>
          <w:rStyle w:val="14"/>
          <w:rFonts w:hint="eastAsia" w:ascii="仿宋" w:hAnsi="仿宋" w:eastAsia="仿宋"/>
          <w:b w:val="0"/>
          <w:bCs w:val="0"/>
        </w:rPr>
        <w:t>入决算表</w:t>
      </w:r>
      <w:bookmarkEnd w:id="71"/>
      <w:bookmarkEnd w:id="72"/>
    </w:p>
    <w:p>
      <w:pPr>
        <w:pStyle w:val="4"/>
        <w:rPr>
          <w:rFonts w:ascii="仿宋" w:hAnsi="仿宋" w:eastAsia="仿宋"/>
          <w:color w:val="000000"/>
        </w:rPr>
      </w:pPr>
      <w:bookmarkStart w:id="73" w:name="_Toc15396621"/>
      <w:bookmarkStart w:id="74" w:name="_Toc26817"/>
      <w:r>
        <w:rPr>
          <w:rStyle w:val="14"/>
          <w:rFonts w:hint="eastAsia" w:ascii="仿宋" w:hAnsi="仿宋" w:eastAsia="仿宋"/>
          <w:b w:val="0"/>
          <w:bCs w:val="0"/>
        </w:rPr>
        <w:t>三、</w:t>
      </w:r>
      <w:r>
        <w:rPr>
          <w:rFonts w:hint="eastAsia" w:ascii="仿宋" w:hAnsi="仿宋" w:eastAsia="仿宋"/>
          <w:b w:val="0"/>
          <w:color w:val="000000"/>
        </w:rPr>
        <w:t>支</w:t>
      </w:r>
      <w:r>
        <w:rPr>
          <w:rStyle w:val="14"/>
          <w:rFonts w:hint="eastAsia" w:ascii="仿宋" w:hAnsi="仿宋" w:eastAsia="仿宋"/>
          <w:b w:val="0"/>
          <w:bCs w:val="0"/>
        </w:rPr>
        <w:t>出决算表</w:t>
      </w:r>
      <w:bookmarkEnd w:id="73"/>
      <w:bookmarkEnd w:id="74"/>
    </w:p>
    <w:p>
      <w:pPr>
        <w:pStyle w:val="4"/>
        <w:rPr>
          <w:rFonts w:ascii="仿宋" w:hAnsi="仿宋" w:eastAsia="仿宋"/>
          <w:b w:val="0"/>
          <w:color w:val="000000"/>
        </w:rPr>
      </w:pPr>
      <w:bookmarkStart w:id="75" w:name="_Toc21747"/>
      <w:bookmarkStart w:id="76" w:name="_Toc15396622"/>
      <w:r>
        <w:rPr>
          <w:rStyle w:val="14"/>
          <w:rFonts w:hint="eastAsia" w:ascii="仿宋" w:hAnsi="仿宋" w:eastAsia="仿宋"/>
          <w:b w:val="0"/>
          <w:bCs w:val="0"/>
        </w:rPr>
        <w:t>四、</w:t>
      </w:r>
      <w:r>
        <w:rPr>
          <w:rFonts w:hint="eastAsia" w:ascii="仿宋" w:hAnsi="仿宋" w:eastAsia="仿宋"/>
          <w:b w:val="0"/>
          <w:color w:val="000000"/>
        </w:rPr>
        <w:t>财</w:t>
      </w:r>
      <w:r>
        <w:rPr>
          <w:rStyle w:val="14"/>
          <w:rFonts w:hint="eastAsia" w:ascii="仿宋" w:hAnsi="仿宋" w:eastAsia="仿宋"/>
          <w:b w:val="0"/>
          <w:bCs w:val="0"/>
        </w:rPr>
        <w:t>政拨款收入支出决算总表</w:t>
      </w:r>
      <w:bookmarkEnd w:id="75"/>
      <w:bookmarkEnd w:id="76"/>
    </w:p>
    <w:p>
      <w:pPr>
        <w:pStyle w:val="4"/>
        <w:rPr>
          <w:rStyle w:val="14"/>
          <w:rFonts w:ascii="仿宋" w:hAnsi="仿宋" w:eastAsia="仿宋"/>
          <w:b w:val="0"/>
          <w:bCs w:val="0"/>
        </w:rPr>
      </w:pPr>
      <w:bookmarkStart w:id="77" w:name="_Toc15396623"/>
      <w:bookmarkStart w:id="78" w:name="_Toc12959"/>
      <w:r>
        <w:rPr>
          <w:rStyle w:val="14"/>
          <w:rFonts w:hint="eastAsia" w:ascii="仿宋" w:hAnsi="仿宋" w:eastAsia="仿宋"/>
          <w:b w:val="0"/>
          <w:bCs w:val="0"/>
        </w:rPr>
        <w:t>五、</w:t>
      </w:r>
      <w:r>
        <w:rPr>
          <w:rFonts w:hint="eastAsia" w:ascii="仿宋" w:hAnsi="仿宋" w:eastAsia="仿宋"/>
          <w:b w:val="0"/>
          <w:color w:val="000000"/>
        </w:rPr>
        <w:t>财</w:t>
      </w:r>
      <w:r>
        <w:rPr>
          <w:rStyle w:val="14"/>
          <w:rFonts w:hint="eastAsia" w:ascii="仿宋" w:hAnsi="仿宋" w:eastAsia="仿宋"/>
          <w:b w:val="0"/>
          <w:bCs w:val="0"/>
        </w:rPr>
        <w:t>政拨款支出决算明细表</w:t>
      </w:r>
      <w:bookmarkEnd w:id="77"/>
      <w:bookmarkEnd w:id="78"/>
      <w:bookmarkStart w:id="79" w:name="_Toc15396624"/>
    </w:p>
    <w:p>
      <w:pPr>
        <w:pStyle w:val="4"/>
        <w:rPr>
          <w:rFonts w:ascii="仿宋" w:hAnsi="仿宋" w:eastAsia="仿宋"/>
          <w:color w:val="000000"/>
        </w:rPr>
      </w:pPr>
      <w:bookmarkStart w:id="80" w:name="_Toc23749"/>
      <w:r>
        <w:rPr>
          <w:rStyle w:val="14"/>
          <w:rFonts w:hint="eastAsia" w:ascii="仿宋" w:hAnsi="仿宋" w:eastAsia="仿宋"/>
          <w:b w:val="0"/>
          <w:bCs w:val="0"/>
        </w:rPr>
        <w:t>六、</w:t>
      </w:r>
      <w:r>
        <w:rPr>
          <w:rFonts w:hint="eastAsia" w:ascii="仿宋" w:hAnsi="仿宋" w:eastAsia="仿宋"/>
          <w:b w:val="0"/>
          <w:color w:val="000000"/>
        </w:rPr>
        <w:t>一</w:t>
      </w:r>
      <w:r>
        <w:rPr>
          <w:rStyle w:val="14"/>
          <w:rFonts w:hint="eastAsia" w:ascii="仿宋" w:hAnsi="仿宋" w:eastAsia="仿宋"/>
          <w:b w:val="0"/>
          <w:bCs w:val="0"/>
        </w:rPr>
        <w:t>般公共预算财政拨款支出决算表</w:t>
      </w:r>
      <w:bookmarkEnd w:id="79"/>
      <w:bookmarkEnd w:id="80"/>
    </w:p>
    <w:p>
      <w:pPr>
        <w:pStyle w:val="4"/>
        <w:rPr>
          <w:rFonts w:ascii="仿宋" w:hAnsi="仿宋" w:eastAsia="仿宋"/>
          <w:color w:val="000000"/>
        </w:rPr>
      </w:pPr>
      <w:bookmarkStart w:id="81" w:name="_Toc22275"/>
      <w:bookmarkStart w:id="82" w:name="_Toc15396625"/>
      <w:r>
        <w:rPr>
          <w:rStyle w:val="14"/>
          <w:rFonts w:hint="eastAsia" w:ascii="仿宋" w:hAnsi="仿宋" w:eastAsia="仿宋"/>
          <w:b w:val="0"/>
          <w:bCs w:val="0"/>
        </w:rPr>
        <w:t>七、</w:t>
      </w:r>
      <w:r>
        <w:rPr>
          <w:rFonts w:hint="eastAsia" w:ascii="仿宋" w:hAnsi="仿宋" w:eastAsia="仿宋"/>
          <w:b w:val="0"/>
          <w:color w:val="000000"/>
        </w:rPr>
        <w:t>一</w:t>
      </w:r>
      <w:r>
        <w:rPr>
          <w:rStyle w:val="14"/>
          <w:rFonts w:hint="eastAsia" w:ascii="仿宋" w:hAnsi="仿宋" w:eastAsia="仿宋"/>
          <w:b w:val="0"/>
          <w:bCs w:val="0"/>
        </w:rPr>
        <w:t>般公共预算财政拨款支出决算明细表</w:t>
      </w:r>
      <w:bookmarkEnd w:id="81"/>
      <w:bookmarkEnd w:id="82"/>
    </w:p>
    <w:p>
      <w:pPr>
        <w:pStyle w:val="4"/>
        <w:rPr>
          <w:rFonts w:ascii="仿宋" w:hAnsi="仿宋" w:eastAsia="仿宋"/>
          <w:color w:val="000000"/>
        </w:rPr>
      </w:pPr>
      <w:bookmarkStart w:id="83" w:name="_Toc30634"/>
      <w:bookmarkStart w:id="84" w:name="_Toc15396626"/>
      <w:r>
        <w:rPr>
          <w:rStyle w:val="14"/>
          <w:rFonts w:hint="eastAsia" w:ascii="仿宋" w:hAnsi="仿宋" w:eastAsia="仿宋"/>
          <w:b w:val="0"/>
          <w:bCs w:val="0"/>
        </w:rPr>
        <w:t>八、</w:t>
      </w:r>
      <w:r>
        <w:rPr>
          <w:rFonts w:hint="eastAsia" w:ascii="仿宋" w:hAnsi="仿宋" w:eastAsia="仿宋"/>
          <w:b w:val="0"/>
          <w:color w:val="000000"/>
        </w:rPr>
        <w:t>一</w:t>
      </w:r>
      <w:r>
        <w:rPr>
          <w:rStyle w:val="14"/>
          <w:rFonts w:hint="eastAsia" w:ascii="仿宋" w:hAnsi="仿宋" w:eastAsia="仿宋"/>
          <w:b w:val="0"/>
          <w:bCs w:val="0"/>
        </w:rPr>
        <w:t>般公共预算财政拨款基本支出决算表</w:t>
      </w:r>
      <w:bookmarkEnd w:id="83"/>
      <w:bookmarkEnd w:id="84"/>
    </w:p>
    <w:p>
      <w:pPr>
        <w:pStyle w:val="4"/>
        <w:rPr>
          <w:rFonts w:ascii="仿宋" w:hAnsi="仿宋" w:eastAsia="仿宋"/>
          <w:color w:val="000000"/>
        </w:rPr>
      </w:pPr>
      <w:bookmarkStart w:id="85" w:name="_Toc15170"/>
      <w:bookmarkStart w:id="86" w:name="_Toc15396627"/>
      <w:r>
        <w:rPr>
          <w:rStyle w:val="14"/>
          <w:rFonts w:hint="eastAsia" w:ascii="仿宋" w:hAnsi="仿宋" w:eastAsia="仿宋"/>
          <w:b w:val="0"/>
          <w:bCs w:val="0"/>
        </w:rPr>
        <w:t>九、</w:t>
      </w:r>
      <w:r>
        <w:rPr>
          <w:rFonts w:hint="eastAsia" w:ascii="仿宋" w:hAnsi="仿宋" w:eastAsia="仿宋"/>
          <w:b w:val="0"/>
          <w:color w:val="000000"/>
        </w:rPr>
        <w:t>一</w:t>
      </w:r>
      <w:r>
        <w:rPr>
          <w:rStyle w:val="14"/>
          <w:rFonts w:hint="eastAsia" w:ascii="仿宋" w:hAnsi="仿宋" w:eastAsia="仿宋"/>
          <w:b w:val="0"/>
          <w:bCs w:val="0"/>
        </w:rPr>
        <w:t>般公共预算财政拨款项目支出决算表</w:t>
      </w:r>
      <w:bookmarkEnd w:id="85"/>
      <w:bookmarkEnd w:id="86"/>
    </w:p>
    <w:p>
      <w:pPr>
        <w:pStyle w:val="4"/>
        <w:spacing w:line="360" w:lineRule="auto"/>
        <w:rPr>
          <w:rFonts w:ascii="仿宋" w:hAnsi="仿宋" w:eastAsia="仿宋"/>
          <w:color w:val="000000"/>
        </w:rPr>
      </w:pPr>
      <w:bookmarkStart w:id="87" w:name="_Toc15396628"/>
      <w:bookmarkStart w:id="88" w:name="_Toc17603"/>
      <w:r>
        <w:rPr>
          <w:rStyle w:val="14"/>
          <w:rFonts w:hint="eastAsia" w:ascii="仿宋" w:hAnsi="仿宋" w:eastAsia="仿宋"/>
          <w:b w:val="0"/>
          <w:bCs w:val="0"/>
        </w:rPr>
        <w:t>十、</w:t>
      </w:r>
      <w:r>
        <w:rPr>
          <w:rFonts w:hint="eastAsia" w:ascii="仿宋" w:hAnsi="仿宋" w:eastAsia="仿宋"/>
          <w:b w:val="0"/>
          <w:color w:val="000000"/>
        </w:rPr>
        <w:t>一</w:t>
      </w:r>
      <w:r>
        <w:rPr>
          <w:rStyle w:val="14"/>
          <w:rFonts w:hint="eastAsia" w:ascii="仿宋" w:hAnsi="仿宋" w:eastAsia="仿宋"/>
          <w:b w:val="0"/>
          <w:bCs w:val="0"/>
        </w:rPr>
        <w:t>般公共预算财政拨款“三公”经费支出决算表</w:t>
      </w:r>
      <w:bookmarkEnd w:id="87"/>
      <w:bookmarkEnd w:id="88"/>
    </w:p>
    <w:p>
      <w:pPr>
        <w:pStyle w:val="4"/>
        <w:spacing w:line="360" w:lineRule="auto"/>
        <w:rPr>
          <w:rFonts w:ascii="仿宋" w:hAnsi="仿宋" w:eastAsia="仿宋"/>
          <w:color w:val="000000"/>
        </w:rPr>
      </w:pPr>
      <w:bookmarkStart w:id="89" w:name="_Toc7313"/>
      <w:bookmarkStart w:id="90" w:name="_Toc15396629"/>
      <w:r>
        <w:rPr>
          <w:rStyle w:val="14"/>
          <w:rFonts w:hint="eastAsia" w:ascii="仿宋" w:hAnsi="仿宋" w:eastAsia="仿宋"/>
          <w:b w:val="0"/>
          <w:bCs w:val="0"/>
        </w:rPr>
        <w:t>十一、</w:t>
      </w:r>
      <w:r>
        <w:rPr>
          <w:rFonts w:hint="eastAsia" w:ascii="仿宋" w:hAnsi="仿宋" w:eastAsia="仿宋"/>
          <w:b w:val="0"/>
          <w:color w:val="000000"/>
        </w:rPr>
        <w:t>政</w:t>
      </w:r>
      <w:r>
        <w:rPr>
          <w:rStyle w:val="14"/>
          <w:rFonts w:hint="eastAsia" w:ascii="仿宋" w:hAnsi="仿宋" w:eastAsia="仿宋"/>
          <w:b w:val="0"/>
          <w:bCs w:val="0"/>
        </w:rPr>
        <w:t>府性基金预算财政拨款收入支出决算表</w:t>
      </w:r>
      <w:bookmarkEnd w:id="89"/>
      <w:bookmarkEnd w:id="90"/>
    </w:p>
    <w:p>
      <w:pPr>
        <w:pStyle w:val="4"/>
        <w:rPr>
          <w:rFonts w:hint="eastAsia" w:ascii="仿宋" w:hAnsi="仿宋" w:eastAsia="仿宋"/>
          <w:b w:val="0"/>
          <w:color w:val="000000"/>
        </w:rPr>
      </w:pPr>
      <w:bookmarkStart w:id="91" w:name="_Toc15396630"/>
      <w:bookmarkStart w:id="92" w:name="_Toc9382"/>
      <w:r>
        <w:rPr>
          <w:rFonts w:hint="eastAsia" w:ascii="仿宋" w:hAnsi="仿宋" w:eastAsia="仿宋"/>
          <w:b w:val="0"/>
          <w:color w:val="000000"/>
        </w:rPr>
        <w:t>十二、政府性基金预算财政拨款“三公”经费支出决算表</w:t>
      </w:r>
      <w:bookmarkEnd w:id="91"/>
      <w:bookmarkEnd w:id="92"/>
    </w:p>
    <w:p>
      <w:pPr>
        <w:pStyle w:val="4"/>
        <w:rPr>
          <w:rFonts w:hint="eastAsia" w:ascii="仿宋" w:hAnsi="仿宋" w:eastAsia="仿宋"/>
          <w:b w:val="0"/>
          <w:color w:val="000000"/>
        </w:rPr>
      </w:pPr>
      <w:bookmarkStart w:id="93" w:name="_Toc22683"/>
      <w:r>
        <w:rPr>
          <w:rFonts w:hint="eastAsia" w:ascii="仿宋" w:hAnsi="仿宋" w:eastAsia="仿宋"/>
          <w:b w:val="0"/>
          <w:color w:val="000000"/>
        </w:rPr>
        <w:t>十三、国有资本经营预算财政拨款收入支出决算表</w:t>
      </w:r>
      <w:bookmarkEnd w:id="93"/>
    </w:p>
    <w:p>
      <w:pPr>
        <w:pStyle w:val="4"/>
        <w:rPr>
          <w:rFonts w:hint="eastAsia" w:ascii="仿宋" w:hAnsi="仿宋" w:eastAsia="仿宋"/>
          <w:b w:val="0"/>
          <w:color w:val="000000"/>
        </w:rPr>
      </w:pPr>
      <w:bookmarkStart w:id="94" w:name="_Toc10257"/>
      <w:r>
        <w:rPr>
          <w:rFonts w:hint="eastAsia" w:ascii="仿宋" w:hAnsi="仿宋" w:eastAsia="仿宋"/>
          <w:b w:val="0"/>
          <w:color w:val="000000"/>
        </w:rPr>
        <w:t>十四、国有资本经营预算财政拨款支出决算表</w:t>
      </w:r>
      <w:bookmarkEnd w:id="94"/>
    </w:p>
    <w:p>
      <w:pPr>
        <w:pStyle w:val="4"/>
        <w:rPr>
          <w:rFonts w:hint="eastAsia" w:ascii="仿宋" w:hAnsi="仿宋" w:eastAsia="仿宋"/>
          <w:b w:val="0"/>
          <w:color w:val="000000"/>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宋体-方正超大字符集"/>
    <w:panose1 w:val="03000509000000000000"/>
    <w:charset w:val="86"/>
    <w:family w:val="script"/>
    <w:pitch w:val="default"/>
    <w:sig w:usb0="00000000" w:usb1="0000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361AA"/>
    <w:multiLevelType w:val="singleLevel"/>
    <w:tmpl w:val="8FB361AA"/>
    <w:lvl w:ilvl="0" w:tentative="0">
      <w:start w:val="1"/>
      <w:numFmt w:val="chineseCounting"/>
      <w:suff w:val="nothing"/>
      <w:lvlText w:val="（%1）"/>
      <w:lvlJc w:val="left"/>
      <w:rPr>
        <w:rFonts w:hint="eastAsia"/>
      </w:rPr>
    </w:lvl>
  </w:abstractNum>
  <w:abstractNum w:abstractNumId="1">
    <w:nsid w:val="A4097B97"/>
    <w:multiLevelType w:val="singleLevel"/>
    <w:tmpl w:val="A4097B97"/>
    <w:lvl w:ilvl="0" w:tentative="0">
      <w:start w:val="1"/>
      <w:numFmt w:val="decimal"/>
      <w:suff w:val="nothing"/>
      <w:lvlText w:val="（%1）"/>
      <w:lvlJc w:val="left"/>
    </w:lvl>
  </w:abstractNum>
  <w:abstractNum w:abstractNumId="2">
    <w:nsid w:val="A670A9C3"/>
    <w:multiLevelType w:val="singleLevel"/>
    <w:tmpl w:val="A670A9C3"/>
    <w:lvl w:ilvl="0" w:tentative="0">
      <w:start w:val="2"/>
      <w:numFmt w:val="chineseCounting"/>
      <w:suff w:val="nothing"/>
      <w:lvlText w:val="（%1）"/>
      <w:lvlJc w:val="left"/>
      <w:rPr>
        <w:rFonts w:hint="eastAsia"/>
      </w:rPr>
    </w:lvl>
  </w:abstractNum>
  <w:abstractNum w:abstractNumId="3">
    <w:nsid w:val="BDE9A6C6"/>
    <w:multiLevelType w:val="singleLevel"/>
    <w:tmpl w:val="BDE9A6C6"/>
    <w:lvl w:ilvl="0" w:tentative="0">
      <w:start w:val="1"/>
      <w:numFmt w:val="decimal"/>
      <w:lvlText w:val="%1."/>
      <w:lvlJc w:val="left"/>
      <w:pPr>
        <w:tabs>
          <w:tab w:val="left" w:pos="312"/>
        </w:tabs>
      </w:pPr>
    </w:lvl>
  </w:abstractNum>
  <w:abstractNum w:abstractNumId="4">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6">
    <w:nsid w:val="3A6E1C0F"/>
    <w:multiLevelType w:val="singleLevel"/>
    <w:tmpl w:val="3A6E1C0F"/>
    <w:lvl w:ilvl="0" w:tentative="0">
      <w:start w:val="2"/>
      <w:numFmt w:val="chineseCounting"/>
      <w:suff w:val="nothing"/>
      <w:lvlText w:val="（%1）"/>
      <w:lvlJc w:val="left"/>
      <w:rPr>
        <w:rFonts w:hint="eastAsia"/>
      </w:rPr>
    </w:lvl>
  </w:abstractNum>
  <w:num w:numId="1">
    <w:abstractNumId w:val="5"/>
  </w:num>
  <w:num w:numId="2">
    <w:abstractNumId w:val="4"/>
  </w:num>
  <w:num w:numId="3">
    <w:abstractNumId w:val="3"/>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ZjhjMDljN2ZmZDI4MDM1OTczNmZkYWIwMTM0OGUifQ=="/>
  </w:docVars>
  <w:rsids>
    <w:rsidRoot w:val="6504078C"/>
    <w:rsid w:val="00284AB7"/>
    <w:rsid w:val="01D61645"/>
    <w:rsid w:val="05D8411C"/>
    <w:rsid w:val="06424AC8"/>
    <w:rsid w:val="06D96529"/>
    <w:rsid w:val="07E4794F"/>
    <w:rsid w:val="08FF0891"/>
    <w:rsid w:val="09251B81"/>
    <w:rsid w:val="0A72550E"/>
    <w:rsid w:val="0AA73FC6"/>
    <w:rsid w:val="0B922A84"/>
    <w:rsid w:val="0BF06BC1"/>
    <w:rsid w:val="0E314050"/>
    <w:rsid w:val="11422DE9"/>
    <w:rsid w:val="118C1304"/>
    <w:rsid w:val="119514AE"/>
    <w:rsid w:val="12424E68"/>
    <w:rsid w:val="129A6D70"/>
    <w:rsid w:val="13EA6E21"/>
    <w:rsid w:val="168168C1"/>
    <w:rsid w:val="174A56EF"/>
    <w:rsid w:val="1880711D"/>
    <w:rsid w:val="193118AC"/>
    <w:rsid w:val="195C2FA9"/>
    <w:rsid w:val="19613F71"/>
    <w:rsid w:val="1B991F0B"/>
    <w:rsid w:val="1CC366C0"/>
    <w:rsid w:val="1D1F7324"/>
    <w:rsid w:val="1D2C7795"/>
    <w:rsid w:val="1F386F38"/>
    <w:rsid w:val="21575D6B"/>
    <w:rsid w:val="24AF339B"/>
    <w:rsid w:val="25C824D6"/>
    <w:rsid w:val="25F44C7C"/>
    <w:rsid w:val="272E7CF0"/>
    <w:rsid w:val="27796E5D"/>
    <w:rsid w:val="278E07C1"/>
    <w:rsid w:val="28723517"/>
    <w:rsid w:val="29EA07B3"/>
    <w:rsid w:val="2A205960"/>
    <w:rsid w:val="2AC65C17"/>
    <w:rsid w:val="2AF43EF8"/>
    <w:rsid w:val="2C846529"/>
    <w:rsid w:val="2ED53439"/>
    <w:rsid w:val="2EE968AB"/>
    <w:rsid w:val="3003724D"/>
    <w:rsid w:val="30D25D6B"/>
    <w:rsid w:val="31343EEA"/>
    <w:rsid w:val="32183CB6"/>
    <w:rsid w:val="33905624"/>
    <w:rsid w:val="345A6035"/>
    <w:rsid w:val="34EA371F"/>
    <w:rsid w:val="35BC0EB4"/>
    <w:rsid w:val="35C30A07"/>
    <w:rsid w:val="36C00B48"/>
    <w:rsid w:val="38CE5D20"/>
    <w:rsid w:val="39E11887"/>
    <w:rsid w:val="3A177EE7"/>
    <w:rsid w:val="3A26792D"/>
    <w:rsid w:val="3A740269"/>
    <w:rsid w:val="3A8532A2"/>
    <w:rsid w:val="3B624478"/>
    <w:rsid w:val="3BEC3DE0"/>
    <w:rsid w:val="3E0E3281"/>
    <w:rsid w:val="3E4169FF"/>
    <w:rsid w:val="3F203DE8"/>
    <w:rsid w:val="3FAA27A6"/>
    <w:rsid w:val="3FC27483"/>
    <w:rsid w:val="3FE348C3"/>
    <w:rsid w:val="3FE651BE"/>
    <w:rsid w:val="41E45E73"/>
    <w:rsid w:val="44930A0D"/>
    <w:rsid w:val="44EF610C"/>
    <w:rsid w:val="45387534"/>
    <w:rsid w:val="457B78A1"/>
    <w:rsid w:val="46E71A56"/>
    <w:rsid w:val="46F70545"/>
    <w:rsid w:val="48CC26F3"/>
    <w:rsid w:val="49325078"/>
    <w:rsid w:val="4B3F2E43"/>
    <w:rsid w:val="4BAA2196"/>
    <w:rsid w:val="4BB22EBF"/>
    <w:rsid w:val="4C5E7FE4"/>
    <w:rsid w:val="4D317C4F"/>
    <w:rsid w:val="4D8F0571"/>
    <w:rsid w:val="4D913AE6"/>
    <w:rsid w:val="4E3A4862"/>
    <w:rsid w:val="4E7F24BC"/>
    <w:rsid w:val="4E934B00"/>
    <w:rsid w:val="4EE6650C"/>
    <w:rsid w:val="506D3FFB"/>
    <w:rsid w:val="5108718F"/>
    <w:rsid w:val="52B05BA7"/>
    <w:rsid w:val="52B57C50"/>
    <w:rsid w:val="57E713A5"/>
    <w:rsid w:val="58011386"/>
    <w:rsid w:val="5B553D53"/>
    <w:rsid w:val="5BA42ADD"/>
    <w:rsid w:val="5BA71846"/>
    <w:rsid w:val="5BD50EB8"/>
    <w:rsid w:val="5BD520CE"/>
    <w:rsid w:val="5CB934DE"/>
    <w:rsid w:val="5D3E75DF"/>
    <w:rsid w:val="5FDD04EB"/>
    <w:rsid w:val="60341CEC"/>
    <w:rsid w:val="60BA3510"/>
    <w:rsid w:val="60F81FA5"/>
    <w:rsid w:val="61937CDF"/>
    <w:rsid w:val="626C4617"/>
    <w:rsid w:val="632515FB"/>
    <w:rsid w:val="6352450F"/>
    <w:rsid w:val="63CA2D39"/>
    <w:rsid w:val="64554376"/>
    <w:rsid w:val="6497364F"/>
    <w:rsid w:val="6504078C"/>
    <w:rsid w:val="65AE0225"/>
    <w:rsid w:val="65EA7CA4"/>
    <w:rsid w:val="6889693A"/>
    <w:rsid w:val="695535AB"/>
    <w:rsid w:val="69E30B78"/>
    <w:rsid w:val="6BAD5A5B"/>
    <w:rsid w:val="6DD66CD5"/>
    <w:rsid w:val="6E073066"/>
    <w:rsid w:val="6E1506D9"/>
    <w:rsid w:val="6E6D5234"/>
    <w:rsid w:val="6EE44A1E"/>
    <w:rsid w:val="6F650FF4"/>
    <w:rsid w:val="6FEC0E45"/>
    <w:rsid w:val="726E3979"/>
    <w:rsid w:val="73BD1C8D"/>
    <w:rsid w:val="73F41D20"/>
    <w:rsid w:val="747F40F5"/>
    <w:rsid w:val="75495801"/>
    <w:rsid w:val="767A7B29"/>
    <w:rsid w:val="773F3091"/>
    <w:rsid w:val="77D20F47"/>
    <w:rsid w:val="794320DB"/>
    <w:rsid w:val="79625477"/>
    <w:rsid w:val="7AC50346"/>
    <w:rsid w:val="7B172B89"/>
    <w:rsid w:val="7BE96601"/>
    <w:rsid w:val="7C7E3F73"/>
    <w:rsid w:val="7CE76090"/>
    <w:rsid w:val="7E627931"/>
    <w:rsid w:val="7F6A0712"/>
    <w:rsid w:val="7FD97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4"/>
    <w:unhideWhenUsed/>
    <w:qFormat/>
    <w:uiPriority w:val="9"/>
    <w:pPr>
      <w:keepNext/>
      <w:keepLines/>
      <w:spacing w:before="260" w:after="260" w:line="416" w:lineRule="auto"/>
      <w:outlineLvl w:val="1"/>
    </w:pPr>
    <w:rPr>
      <w:rFonts w:ascii="Cambria" w:hAnsi="Cambria"/>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beforeLines="30"/>
    </w:pPr>
    <w:rPr>
      <w:rFonts w:ascii="仿宋_GB2312" w:eastAsia="仿宋_GB2312"/>
      <w:kern w:val="0"/>
      <w:sz w:val="24"/>
      <w:szCs w:val="20"/>
    </w:rPr>
  </w:style>
  <w:style w:type="paragraph" w:styleId="5">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6">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7">
    <w:name w:val="toc 1"/>
    <w:basedOn w:val="1"/>
    <w:next w:val="1"/>
    <w:unhideWhenUsed/>
    <w:qFormat/>
    <w:uiPriority w:val="39"/>
    <w:pPr>
      <w:spacing w:before="120"/>
      <w:jc w:val="left"/>
    </w:pPr>
    <w:rPr>
      <w:rFonts w:ascii="等线" w:eastAsia="等线"/>
      <w:b/>
      <w:bCs/>
      <w:i/>
      <w:iCs/>
      <w:sz w:val="24"/>
    </w:rPr>
  </w:style>
  <w:style w:type="paragraph" w:styleId="8">
    <w:name w:val="toc 2"/>
    <w:basedOn w:val="1"/>
    <w:next w:val="1"/>
    <w:unhideWhenUsed/>
    <w:qFormat/>
    <w:uiPriority w:val="39"/>
    <w:pPr>
      <w:spacing w:before="120"/>
      <w:ind w:left="300"/>
      <w:jc w:val="left"/>
    </w:pPr>
    <w:rPr>
      <w:rFonts w:ascii="等线" w:eastAsia="等线"/>
      <w:b/>
      <w:bCs/>
      <w:sz w:val="22"/>
      <w:szCs w:val="22"/>
    </w:rPr>
  </w:style>
  <w:style w:type="character" w:styleId="11">
    <w:name w:val="Strong"/>
    <w:basedOn w:val="10"/>
    <w:qFormat/>
    <w:uiPriority w:val="99"/>
    <w:rPr>
      <w:rFonts w:cs="Times New Roman"/>
      <w:b/>
    </w:rPr>
  </w:style>
  <w:style w:type="character" w:styleId="12">
    <w:name w:val="Hyperlink"/>
    <w:unhideWhenUsed/>
    <w:qFormat/>
    <w:uiPriority w:val="99"/>
    <w:rPr>
      <w:color w:val="0000FF"/>
      <w:u w:val="single"/>
    </w:rPr>
  </w:style>
  <w:style w:type="character" w:customStyle="1" w:styleId="13">
    <w:name w:val=" Char Char6"/>
    <w:basedOn w:val="10"/>
    <w:link w:val="3"/>
    <w:qFormat/>
    <w:locked/>
    <w:uiPriority w:val="9"/>
    <w:rPr>
      <w:b/>
      <w:bCs/>
      <w:kern w:val="44"/>
      <w:sz w:val="44"/>
      <w:szCs w:val="44"/>
    </w:rPr>
  </w:style>
  <w:style w:type="character" w:customStyle="1" w:styleId="14">
    <w:name w:val=" Char Char5"/>
    <w:basedOn w:val="10"/>
    <w:link w:val="4"/>
    <w:qFormat/>
    <w:locked/>
    <w:uiPriority w:val="9"/>
    <w:rPr>
      <w:rFonts w:ascii="Cambria" w:hAnsi="Cambria"/>
      <w:b/>
      <w:bCs/>
      <w:sz w:val="32"/>
      <w:szCs w:val="32"/>
    </w:rPr>
  </w:style>
  <w:style w:type="paragraph" w:customStyle="1" w:styleId="15">
    <w:name w:val="List Paragraph"/>
    <w:basedOn w:val="1"/>
    <w:qFormat/>
    <w:uiPriority w:val="34"/>
    <w:pPr>
      <w:ind w:firstLine="420" w:firstLineChars="200"/>
    </w:pPr>
  </w:style>
  <w:style w:type="paragraph" w:customStyle="1" w:styleId="1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b="1"/>
              <a:t>收、支决算总计变化情况图</a:t>
            </a:r>
            <a:endParaRPr b="1"/>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2019年</c:v>
                </c:pt>
                <c:pt idx="1">
                  <c:v>2020年</c:v>
                </c:pt>
              </c:strCache>
            </c:strRef>
          </c:cat>
          <c:val>
            <c:numRef>
              <c:extLst>
                <c:ext xmlns:c15="http://schemas.microsoft.com/office/drawing/2012/chart" uri="{02D57815-91ED-43cb-92C2-25804820EDAC}">
                  <c15:fullRef>
                    <c15:sqref>Sheet1!$B$2:$B$5</c15:sqref>
                  </c15:fullRef>
                </c:ext>
              </c:extLst>
              <c:f>Sheet1!$B$2:$B$3</c:f>
              <c:numCache>
                <c:formatCode>General</c:formatCode>
                <c:ptCount val="2"/>
                <c:pt idx="0">
                  <c:v>9954.08</c:v>
                </c:pt>
                <c:pt idx="1">
                  <c:v>4256.55</c:v>
                </c:pt>
              </c:numCache>
            </c:numRef>
          </c:val>
        </c:ser>
        <c:dLbls>
          <c:showLegendKey val="0"/>
          <c:showVal val="1"/>
          <c:showCatName val="0"/>
          <c:showSerName val="0"/>
          <c:showPercent val="0"/>
          <c:showBubbleSize val="0"/>
        </c:dLbls>
        <c:gapWidth val="219"/>
        <c:overlap val="-27"/>
        <c:axId val="674012471"/>
        <c:axId val="922822224"/>
        <c:extLst>
          <c:ext xmlns:c15="http://schemas.microsoft.com/office/drawing/2012/chart" uri="{02D57815-91ED-43cb-92C2-25804820EDAC}">
            <c15:filteredBarSeries>
              <c15:ser>
                <c:idx val="1"/>
                <c:order val="1"/>
                <c:tx>
                  <c:strRef>
                    <c:extLst>
                      <c:ext uri="{02D57815-91ED-43cb-92C2-25804820EDAC}">
                        <c15:formulaRef>
                          <c15:sqref>Sheet1!$C$1</c15:sqref>
                        </c15:formulaRef>
                      </c:ext>
                    </c:extLst>
                    <c:strCache>
                      <c:ptCount val="1"/>
                      <c:pt idx="0">
                        <c:v>系列 2</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Sheet1!$A$2:$A$5</c15:sqref>
                        </c15:fullRef>
                        <c15:formulaRef>
                          <c15:sqref>Sheet1!$A$2:$A$3</c15:sqref>
                        </c15:formulaRef>
                      </c:ext>
                    </c:extLst>
                    <c:strCache>
                      <c:ptCount val="2"/>
                      <c:pt idx="0">
                        <c:v>2019年</c:v>
                      </c:pt>
                      <c:pt idx="1">
                        <c:v>2020年</c:v>
                      </c:pt>
                    </c:strCache>
                  </c:strRef>
                </c:cat>
                <c:val>
                  <c:numRef>
                    <c:extLst>
                      <c:ext uri="{02D57815-91ED-43cb-92C2-25804820EDAC}">
                        <c15:fullRef>
                          <c15:sqref>Sheet1!$C$2:$C$5</c15:sqref>
                        </c15:fullRef>
                        <c15:formulaRef>
                          <c15:sqref>Sheet1!$C$2:$C$3</c15:sqref>
                        </c15:formulaRef>
                      </c:ext>
                    </c:extLst>
                    <c:numCache>
                      <c:formatCode>General</c:formatCode>
                      <c:ptCount val="2"/>
                      <c:pt idx="0">
                        <c:v>2.4</c:v>
                      </c:pt>
                      <c:pt idx="1">
                        <c:v>4.4</c:v>
                      </c:pt>
                    </c:numCache>
                  </c:numRef>
                </c:val>
              </c15:ser>
            </c15:filteredBarSeries>
            <c15:filteredBarSeries>
              <c15:ser>
                <c:idx val="2"/>
                <c:order val="2"/>
                <c:tx>
                  <c:strRef>
                    <c:extLst>
                      <c:ext uri="{02D57815-91ED-43cb-92C2-25804820EDAC}">
                        <c15:formulaRef>
                          <c15:sqref>Sheet1!$D$1</c15:sqref>
                        </c15:formulaRef>
                      </c:ext>
                    </c:extLst>
                    <c:strCache>
                      <c:ptCount val="1"/>
                      <c:pt idx="0">
                        <c:v>系列 3</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Sheet1!$A$2:$A$5</c15:sqref>
                        </c15:fullRef>
                        <c15:formulaRef>
                          <c15:sqref>Sheet1!$A$2:$A$3</c15:sqref>
                        </c15:formulaRef>
                      </c:ext>
                    </c:extLst>
                    <c:strCache>
                      <c:ptCount val="2"/>
                      <c:pt idx="0">
                        <c:v>2019年</c:v>
                      </c:pt>
                      <c:pt idx="1">
                        <c:v>2020年</c:v>
                      </c:pt>
                    </c:strCache>
                  </c:strRef>
                </c:cat>
                <c:val>
                  <c:numRef>
                    <c:extLst>
                      <c:ext uri="{02D57815-91ED-43cb-92C2-25804820EDAC}">
                        <c15:fullRef>
                          <c15:sqref>Sheet1!$D$2:$D$5</c15:sqref>
                        </c15:fullRef>
                        <c15:formulaRef>
                          <c15:sqref>Sheet1!$D$2:$D$3</c15:sqref>
                        </c15:formulaRef>
                      </c:ext>
                    </c:extLst>
                    <c:numCache>
                      <c:formatCode>General</c:formatCode>
                      <c:ptCount val="2"/>
                      <c:pt idx="0">
                        <c:v>2</c:v>
                      </c:pt>
                      <c:pt idx="1">
                        <c:v>2</c:v>
                      </c:pt>
                    </c:numCache>
                  </c:numRef>
                </c:val>
              </c15:ser>
            </c15:filteredBarSeries>
          </c:ext>
        </c:extLst>
      </c:barChart>
      <c:catAx>
        <c:axId val="674012471"/>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22822224"/>
        <c:crosses val="autoZero"/>
        <c:auto val="1"/>
        <c:lblAlgn val="ctr"/>
        <c:lblOffset val="100"/>
        <c:noMultiLvlLbl val="0"/>
      </c:catAx>
      <c:valAx>
        <c:axId val="9228222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7401247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b="1"/>
              <a:t>收入决算结构图</a:t>
            </a:r>
            <a:endParaRPr b="1"/>
          </a:p>
        </c:rich>
      </c:tx>
      <c:layout/>
      <c:overlay val="0"/>
      <c:spPr>
        <a:noFill/>
        <a:ln>
          <a:noFill/>
        </a:ln>
        <a:effectLst/>
      </c:spPr>
    </c:title>
    <c:autoTitleDeleted val="0"/>
    <c:plotArea>
      <c:layout/>
      <c:pieChart>
        <c:varyColors val="1"/>
        <c:ser>
          <c:idx val="0"/>
          <c:order val="0"/>
          <c:tx>
            <c:strRef>
              <c:f>Sheet1!$B$1</c:f>
              <c:strCache>
                <c:ptCount val="1"/>
                <c:pt idx="0">
                  <c:v>收入决算结构图</c:v>
                </c:pt>
              </c:strCache>
            </c:strRef>
          </c:tx>
          <c:spPr/>
          <c:explosion val="0"/>
          <c:dPt>
            <c:idx val="0"/>
            <c:bubble3D val="0"/>
            <c:spPr>
              <a:solidFill>
                <a:schemeClr val="accent1"/>
              </a:solidFill>
              <a:ln w="19050">
                <a:solidFill>
                  <a:schemeClr val="lt1"/>
                </a:solidFill>
              </a:ln>
              <a:effectLst/>
            </c:spPr>
          </c:dPt>
          <c:dPt>
            <c:idx val="1"/>
            <c:bubble3D val="0"/>
            <c:explosion val="0"/>
            <c:spPr>
              <a:solidFill>
                <a:schemeClr val="accent2"/>
              </a:solidFill>
              <a:ln w="28575" cmpd="sng">
                <a:solidFill>
                  <a:schemeClr val="lt1"/>
                </a:solidFill>
                <a:prstDash val="solid"/>
              </a:ln>
              <a:effectLst/>
              <a:sp3d contourW="28575"/>
            </c:spPr>
          </c:dPt>
          <c:dPt>
            <c:idx val="2"/>
            <c:bubble3D val="0"/>
            <c:spPr>
              <a:solidFill>
                <a:schemeClr val="accent3"/>
              </a:solidFill>
              <a:ln w="19050">
                <a:solidFill>
                  <a:schemeClr val="lt1"/>
                </a:solidFill>
              </a:ln>
              <a:effectLst/>
            </c:spPr>
          </c:dPt>
          <c:dLbls>
            <c:dLbl>
              <c:idx val="0"/>
              <c:layout>
                <c:manualLayout>
                  <c:x val="-0.105416872521756"/>
                  <c:y val="0.12213380205682"/>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107625"/>
                      <c:h val="0.0906666666666667"/>
                    </c:manualLayout>
                  </c15:layout>
                </c:ext>
              </c:extLst>
            </c:dLbl>
            <c:dLbl>
              <c:idx val="1"/>
              <c:layout>
                <c:manualLayout>
                  <c:x val="0.106881734158524"/>
                  <c:y val="-0.137086526634097"/>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13325"/>
                      <c:h val="0.114833333333333"/>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Sheet1!$A$2:$A$4</c:f>
              <c:strCache>
                <c:ptCount val="3"/>
                <c:pt idx="0">
                  <c:v>一般公共预算财政拨款收入</c:v>
                </c:pt>
                <c:pt idx="1">
                  <c:v>政府性基金预算财政拨款收入</c:v>
                </c:pt>
                <c:pt idx="2">
                  <c:v>其他</c:v>
                </c:pt>
              </c:strCache>
            </c:strRef>
          </c:cat>
          <c:val>
            <c:numRef>
              <c:extLst>
                <c:ext xmlns:c15="http://schemas.microsoft.com/office/drawing/2012/chart" uri="{02D57815-91ED-43cb-92C2-25804820EDAC}">
                  <c15:fullRef>
                    <c15:sqref>Sheet1!$B$2:$B$5</c15:sqref>
                  </c15:fullRef>
                </c:ext>
              </c:extLst>
              <c:f>Sheet1!$B$2:$B$4</c:f>
              <c:numCache>
                <c:formatCode>General</c:formatCode>
                <c:ptCount val="3"/>
                <c:pt idx="0">
                  <c:v>1236.55</c:v>
                </c:pt>
                <c:pt idx="1">
                  <c:v>3020</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12700" cap="flat" cmpd="sng" algn="ctr">
      <a:solidFill>
        <a:schemeClr val="bg2"/>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dLbl>
              <c:idx val="0"/>
              <c:layout/>
              <c:dLblPos val="bestFit"/>
              <c:showLegendKey val="0"/>
              <c:showVal val="1"/>
              <c:showCatName val="0"/>
              <c:showSerName val="0"/>
              <c:showPercent val="0"/>
              <c:showBubbleSize val="0"/>
              <c:extLst>
                <c:ext xmlns:c15="http://schemas.microsoft.com/office/drawing/2012/chart" uri="{CE6537A1-D6FC-4f65-9D91-7224C49458BB}">
                  <c15:layout>
                    <c:manualLayout>
                      <c:w val="0.152875"/>
                      <c:h val="0.0896666666666667"/>
                    </c:manualLayout>
                  </c15:layout>
                </c:ext>
              </c:extLst>
            </c:dLbl>
            <c:dLbl>
              <c:idx val="1"/>
              <c:layout>
                <c:manualLayout>
                  <c:x val="0.15844151030273"/>
                  <c:y val="-0.0520618352115169"/>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14475"/>
                      <c:h val="0.1185"/>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General</c:formatCode>
                <c:ptCount val="5"/>
                <c:pt idx="0">
                  <c:v>1143.85</c:v>
                </c:pt>
                <c:pt idx="1">
                  <c:v>3112.7</c:v>
                </c:pt>
                <c:pt idx="2">
                  <c:v>0</c:v>
                </c:pt>
                <c:pt idx="3">
                  <c:v>0</c:v>
                </c:pt>
                <c:pt idx="4">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b="1"/>
              <a:t>财政拨款收、支决算总计变动情况</a:t>
            </a:r>
            <a:endParaRPr b="1"/>
          </a:p>
        </c:rich>
      </c:tx>
      <c:layout/>
      <c:overlay val="0"/>
      <c:spPr>
        <a:noFill/>
        <a:ln>
          <a:noFill/>
        </a:ln>
        <a:effectLst/>
      </c:spPr>
    </c:title>
    <c:autoTitleDeleted val="0"/>
    <c:plotArea>
      <c:layout>
        <c:manualLayout>
          <c:layoutTarget val="inner"/>
          <c:xMode val="edge"/>
          <c:yMode val="edge"/>
          <c:x val="0.046325"/>
          <c:y val="0.2345"/>
          <c:w val="0.927925"/>
          <c:h val="0.716566666666667"/>
        </c:manualLayout>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(Sheet1!$A$2,Sheet1!$A$5)</c:f>
              <c:strCache>
                <c:ptCount val="2"/>
                <c:pt idx="0">
                  <c:v>2019年</c:v>
                </c:pt>
                <c:pt idx="1">
                  <c:v>2020年</c:v>
                </c:pt>
              </c:strCache>
            </c:strRef>
          </c:cat>
          <c:val>
            <c:numRef>
              <c:extLst>
                <c:ext xmlns:c15="http://schemas.microsoft.com/office/drawing/2012/chart" uri="{02D57815-91ED-43cb-92C2-25804820EDAC}">
                  <c15:fullRef>
                    <c15:sqref>Sheet1!$B$2:$B$5</c15:sqref>
                  </c15:fullRef>
                </c:ext>
              </c:extLst>
              <c:f>(Sheet1!$B$2,Sheet1!$B$5)</c:f>
              <c:numCache>
                <c:formatCode>General</c:formatCode>
                <c:ptCount val="2"/>
                <c:pt idx="0">
                  <c:v>9954.08</c:v>
                </c:pt>
                <c:pt idx="1">
                  <c:v>4256.55</c:v>
                </c:pt>
              </c:numCache>
            </c:numRef>
          </c:val>
        </c:ser>
        <c:dLbls>
          <c:showLegendKey val="0"/>
          <c:showVal val="1"/>
          <c:showCatName val="0"/>
          <c:showSerName val="0"/>
          <c:showPercent val="0"/>
          <c:showBubbleSize val="0"/>
        </c:dLbls>
        <c:gapWidth val="219"/>
        <c:overlap val="-27"/>
        <c:axId val="38185405"/>
        <c:axId val="139237447"/>
        <c:extLst>
          <c:ext xmlns:c15="http://schemas.microsoft.com/office/drawing/2012/chart" uri="{02D57815-91ED-43cb-92C2-25804820EDAC}">
            <c15:filteredBarSeries>
              <c15:ser>
                <c:idx val="1"/>
                <c:order val="1"/>
                <c:tx>
                  <c:strRef>
                    <c:extLst>
                      <c:ext uri="{02D57815-91ED-43cb-92C2-25804820EDAC}">
                        <c15:formulaRef>
                          <c15:sqref>Sheet1!$C$1</c15:sqref>
                        </c15:formulaRef>
                      </c:ext>
                    </c:extLst>
                    <c:strCache>
                      <c:ptCount val="1"/>
                      <c:pt idx="0">
                        <c:v>系列 2</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Sheet1!$A$2:$A$5</c15:sqref>
                        </c15:fullRef>
                        <c15:formulaRef>
                          <c15:sqref>(Sheet1!$A$2,Sheet1!$A$5)</c15:sqref>
                        </c15:formulaRef>
                      </c:ext>
                    </c:extLst>
                    <c:strCache>
                      <c:ptCount val="2"/>
                      <c:pt idx="0">
                        <c:v>2019年</c:v>
                      </c:pt>
                      <c:pt idx="1">
                        <c:v>2020年</c:v>
                      </c:pt>
                    </c:strCache>
                  </c:strRef>
                </c:cat>
                <c:val>
                  <c:numRef>
                    <c:extLst>
                      <c:ext uri="{02D57815-91ED-43cb-92C2-25804820EDAC}">
                        <c15:fullRef>
                          <c15:sqref>Sheet1!$C$2:$C$5</c15:sqref>
                        </c15:fullRef>
                        <c15:formulaRef>
                          <c15:sqref>(Sheet1!$C$2,Sheet1!$C$5)</c15:sqref>
                        </c15:formulaRef>
                      </c:ext>
                    </c:extLst>
                    <c:numCache>
                      <c:formatCode>General</c:formatCode>
                      <c:ptCount val="2"/>
                      <c:pt idx="0">
                        <c:v>2.4</c:v>
                      </c:pt>
                      <c:pt idx="1">
                        <c:v>2.8</c:v>
                      </c:pt>
                    </c:numCache>
                  </c:numRef>
                </c:val>
              </c15:ser>
            </c15:filteredBarSeries>
          </c:ext>
        </c:extLst>
      </c:barChart>
      <c:catAx>
        <c:axId val="3818540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9237447"/>
        <c:crosses val="autoZero"/>
        <c:auto val="1"/>
        <c:lblAlgn val="ctr"/>
        <c:lblOffset val="100"/>
        <c:noMultiLvlLbl val="0"/>
      </c:catAx>
      <c:valAx>
        <c:axId val="1392374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818540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一般公共预算财政拨款支出决算变动情况</a:t>
            </a:r>
          </a:p>
        </c:rich>
      </c:tx>
      <c:layout>
        <c:manualLayout>
          <c:xMode val="edge"/>
          <c:yMode val="edge"/>
          <c:x val="0.2134375"/>
          <c:y val="0.07"/>
        </c:manualLayout>
      </c:layout>
      <c:overlay val="0"/>
      <c:spPr>
        <a:noFill/>
        <a:ln>
          <a:noFill/>
        </a:ln>
        <a:effectLst/>
      </c:spPr>
    </c:title>
    <c:autoTitleDeleted val="0"/>
    <c:plotArea>
      <c:layout>
        <c:manualLayout>
          <c:layoutTarget val="inner"/>
          <c:xMode val="edge"/>
          <c:yMode val="edge"/>
          <c:x val="0.0327"/>
          <c:y val="0.2345"/>
          <c:w val="0.927925"/>
          <c:h val="0.716566666666667"/>
        </c:manualLayout>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dLbl>
              <c:idx val="0"/>
              <c:layout>
                <c:manualLayout>
                  <c:x val="0.011875"/>
                  <c:y val="0.0136666666666667"/>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2019年</c:v>
                </c:pt>
                <c:pt idx="1">
                  <c:v>2020年</c:v>
                </c:pt>
              </c:strCache>
            </c:strRef>
          </c:cat>
          <c:val>
            <c:numRef>
              <c:extLst>
                <c:ext xmlns:c15="http://schemas.microsoft.com/office/drawing/2012/chart" uri="{02D57815-91ED-43cb-92C2-25804820EDAC}">
                  <c15:fullRef>
                    <c15:sqref>Sheet1!$B$2:$B$5</c15:sqref>
                  </c15:fullRef>
                </c:ext>
              </c:extLst>
              <c:f>Sheet1!$B$2:$B$3</c:f>
              <c:numCache>
                <c:formatCode>0.00_ </c:formatCode>
                <c:ptCount val="2"/>
                <c:pt idx="0">
                  <c:v>1349.3</c:v>
                </c:pt>
                <c:pt idx="1" c:formatCode="General">
                  <c:v>1236.55</c:v>
                </c:pt>
              </c:numCache>
            </c:numRef>
          </c:val>
        </c:ser>
        <c:dLbls>
          <c:showLegendKey val="0"/>
          <c:showVal val="0"/>
          <c:showCatName val="0"/>
          <c:showSerName val="0"/>
          <c:showPercent val="0"/>
          <c:showBubbleSize val="0"/>
        </c:dLbls>
        <c:gapWidth val="219"/>
        <c:overlap val="-27"/>
        <c:axId val="615603430"/>
        <c:axId val="399307077"/>
        <c:extLst>
          <c:ext xmlns:c15="http://schemas.microsoft.com/office/drawing/2012/chart" uri="{02D57815-91ED-43cb-92C2-25804820EDAC}">
            <c15:filteredBarSeries>
              <c15:ser>
                <c:idx val="1"/>
                <c:order val="1"/>
                <c:tx>
                  <c:strRef>
                    <c:extLst>
                      <c:ext uri="{02D57815-91ED-43cb-92C2-25804820EDAC}">
                        <c15:formulaRef>
                          <c15:sqref>Sheet1!$C$1</c15:sqref>
                        </c15:formulaRef>
                      </c:ext>
                    </c:extLst>
                    <c:strCache>
                      <c:ptCount val="1"/>
                      <c:pt idx="0">
                        <c:v>系列 2</c:v>
                      </c:pt>
                    </c:strCache>
                  </c:strRef>
                </c:tx>
                <c:spPr>
                  <a:solidFill>
                    <a:schemeClr val="accent2"/>
                  </a:solidFill>
                  <a:ln>
                    <a:noFill/>
                  </a:ln>
                  <a:effectLst/>
                </c:spPr>
                <c:invertIfNegative val="0"/>
                <c:dLbls>
                  <c:delete val="1"/>
                </c:dLbls>
                <c:cat>
                  <c:strRef>
                    <c:extLst>
                      <c:ext uri="{02D57815-91ED-43cb-92C2-25804820EDAC}">
                        <c15:fullRef>
                          <c15:sqref>Sheet1!$A$2:$A$5</c15:sqref>
                        </c15:fullRef>
                        <c15:formulaRef>
                          <c15:sqref>Sheet1!$A$2:$A$3</c15:sqref>
                        </c15:formulaRef>
                      </c:ext>
                    </c:extLst>
                    <c:strCache>
                      <c:ptCount val="2"/>
                      <c:pt idx="0">
                        <c:v>2019年</c:v>
                      </c:pt>
                      <c:pt idx="1">
                        <c:v>2020年</c:v>
                      </c:pt>
                    </c:strCache>
                  </c:strRef>
                </c:cat>
                <c:val>
                  <c:numRef>
                    <c:extLst>
                      <c:ext uri="{02D57815-91ED-43cb-92C2-25804820EDAC}">
                        <c15:fullRef>
                          <c15:sqref>Sheet1!$C$2:$C$5</c15:sqref>
                        </c15:fullRef>
                        <c15:formulaRef>
                          <c15:sqref>Sheet1!$C$2:$C$3</c15:sqref>
                        </c15:formulaRef>
                      </c:ext>
                    </c:extLst>
                    <c:numCache>
                      <c:formatCode>General</c:formatCode>
                      <c:ptCount val="2"/>
                      <c:pt idx="0">
                        <c:v>2.4</c:v>
                      </c:pt>
                      <c:pt idx="1">
                        <c:v>4.4</c:v>
                      </c:pt>
                    </c:numCache>
                  </c:numRef>
                </c:val>
              </c15:ser>
            </c15:filteredBarSeries>
            <c15:filteredBarSeries>
              <c15:ser>
                <c:idx val="2"/>
                <c:order val="2"/>
                <c:tx>
                  <c:strRef>
                    <c:extLst>
                      <c:ext uri="{02D57815-91ED-43cb-92C2-25804820EDAC}">
                        <c15:formulaRef>
                          <c15:sqref>Sheet1!$D$1</c15:sqref>
                        </c15:formulaRef>
                      </c:ext>
                    </c:extLst>
                    <c:strCache>
                      <c:ptCount val="1"/>
                      <c:pt idx="0">
                        <c:v>系列 3</c:v>
                      </c:pt>
                    </c:strCache>
                  </c:strRef>
                </c:tx>
                <c:spPr>
                  <a:solidFill>
                    <a:schemeClr val="accent3"/>
                  </a:solidFill>
                  <a:ln>
                    <a:noFill/>
                  </a:ln>
                  <a:effectLst/>
                </c:spPr>
                <c:invertIfNegative val="0"/>
                <c:dLbls>
                  <c:delete val="1"/>
                </c:dLbls>
                <c:cat>
                  <c:strRef>
                    <c:extLst>
                      <c:ext uri="{02D57815-91ED-43cb-92C2-25804820EDAC}">
                        <c15:fullRef>
                          <c15:sqref>Sheet1!$A$2:$A$5</c15:sqref>
                        </c15:fullRef>
                        <c15:formulaRef>
                          <c15:sqref>Sheet1!$A$2:$A$3</c15:sqref>
                        </c15:formulaRef>
                      </c:ext>
                    </c:extLst>
                    <c:strCache>
                      <c:ptCount val="2"/>
                      <c:pt idx="0">
                        <c:v>2019年</c:v>
                      </c:pt>
                      <c:pt idx="1">
                        <c:v>2020年</c:v>
                      </c:pt>
                    </c:strCache>
                  </c:strRef>
                </c:cat>
                <c:val>
                  <c:numRef>
                    <c:extLst>
                      <c:ext uri="{02D57815-91ED-43cb-92C2-25804820EDAC}">
                        <c15:fullRef>
                          <c15:sqref>Sheet1!$D$2:$D$5</c15:sqref>
                        </c15:fullRef>
                        <c15:formulaRef>
                          <c15:sqref>Sheet1!$D$2:$D$3</c15:sqref>
                        </c15:formulaRef>
                      </c:ext>
                    </c:extLst>
                    <c:numCache>
                      <c:formatCode>General</c:formatCode>
                      <c:ptCount val="2"/>
                      <c:pt idx="0">
                        <c:v>2</c:v>
                      </c:pt>
                      <c:pt idx="1">
                        <c:v>2</c:v>
                      </c:pt>
                    </c:numCache>
                  </c:numRef>
                </c:val>
              </c15:ser>
            </c15:filteredBarSeries>
          </c:ext>
        </c:extLst>
      </c:barChart>
      <c:catAx>
        <c:axId val="61560343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9307077"/>
        <c:crosses val="autoZero"/>
        <c:auto val="1"/>
        <c:lblAlgn val="ctr"/>
        <c:lblOffset val="100"/>
        <c:noMultiLvlLbl val="0"/>
      </c:catAx>
      <c:valAx>
        <c:axId val="399307077"/>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1560343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一般公共预算财政拨款支出决算结构</a:t>
            </a:r>
          </a:p>
        </c:rich>
      </c:tx>
      <c:layout>
        <c:manualLayout>
          <c:xMode val="edge"/>
          <c:yMode val="edge"/>
          <c:x val="0.21375"/>
          <c:y val="0.0268333333333333"/>
        </c:manualLayout>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explosion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Pt>
            <c:idx val="7"/>
            <c:bubble3D val="0"/>
            <c:spPr>
              <a:solidFill>
                <a:schemeClr val="accent2">
                  <a:lumMod val="60000"/>
                </a:schemeClr>
              </a:solidFill>
              <a:ln w="19050">
                <a:solidFill>
                  <a:schemeClr val="lt1"/>
                </a:solidFill>
              </a:ln>
              <a:effectLst/>
            </c:spPr>
          </c:dPt>
          <c:dLbls>
            <c:dLbl>
              <c:idx val="0"/>
              <c:layout/>
              <c:dLblPos val="outEnd"/>
              <c:showLegendKey val="0"/>
              <c:showVal val="1"/>
              <c:showCatName val="0"/>
              <c:showSerName val="0"/>
              <c:showPercent val="0"/>
              <c:showBubbleSize val="0"/>
              <c:extLst>
                <c:ext xmlns:c15="http://schemas.microsoft.com/office/drawing/2012/chart" uri="{CE6537A1-D6FC-4f65-9D91-7224C49458BB}"/>
              </c:extLst>
            </c:dLbl>
            <c:dLbl>
              <c:idx val="1"/>
              <c:delete val="1"/>
            </c:dLbl>
            <c:dLbl>
              <c:idx val="2"/>
              <c:delete val="1"/>
            </c:dLbl>
            <c:dLbl>
              <c:idx val="3"/>
              <c:delete val="1"/>
            </c:dLbl>
            <c:dLbl>
              <c:idx val="4"/>
              <c:delete val="1"/>
            </c:dLbl>
            <c:dLbl>
              <c:idx val="5"/>
              <c:delete val="1"/>
            </c:dLbl>
            <c:dLbl>
              <c:idx val="6"/>
              <c:delete val="1"/>
            </c:dLbl>
            <c:dLbl>
              <c:idx val="7"/>
              <c:delete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一般公共服务（类）支出</c:v>
                </c:pt>
                <c:pt idx="1">
                  <c:v>社会保障和就业（类）支出</c:v>
                </c:pt>
                <c:pt idx="2">
                  <c:v>卫生健康（类）支出</c:v>
                </c:pt>
                <c:pt idx="3">
                  <c:v>节能环保（类）支出</c:v>
                </c:pt>
                <c:pt idx="4">
                  <c:v>城乡社区（类）支出</c:v>
                </c:pt>
                <c:pt idx="5">
                  <c:v>农林水（类）支出</c:v>
                </c:pt>
                <c:pt idx="6">
                  <c:v>交通运输（类）支出</c:v>
                </c:pt>
                <c:pt idx="7">
                  <c:v>住房保障（类）支出</c:v>
                </c:pt>
              </c:strCache>
            </c:strRef>
          </c:cat>
          <c:val>
            <c:numRef>
              <c:f>Sheet1!$B$2:$B$9</c:f>
              <c:numCache>
                <c:formatCode>General</c:formatCode>
                <c:ptCount val="8"/>
                <c:pt idx="0">
                  <c:v>582.26</c:v>
                </c:pt>
                <c:pt idx="1">
                  <c:v>217.72</c:v>
                </c:pt>
                <c:pt idx="2">
                  <c:v>22.28</c:v>
                </c:pt>
                <c:pt idx="3">
                  <c:v>25</c:v>
                </c:pt>
                <c:pt idx="4">
                  <c:v>16.94</c:v>
                </c:pt>
                <c:pt idx="5">
                  <c:v>334.86</c:v>
                </c:pt>
                <c:pt idx="6">
                  <c:v>5</c:v>
                </c:pt>
                <c:pt idx="7">
                  <c:v>32.49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sz="1500">
                <a:latin typeface="仿宋" panose="02010609060101010101" charset="-122"/>
                <a:ea typeface="仿宋" panose="02010609060101010101" charset="-122"/>
                <a:cs typeface="仿宋" panose="02010609060101010101" charset="-122"/>
              </a:rPr>
              <a:t>“</a:t>
            </a:r>
            <a:r>
              <a:rPr altLang="en-US" sz="1500">
                <a:latin typeface="仿宋" panose="02010609060101010101" charset="-122"/>
                <a:ea typeface="仿宋" panose="02010609060101010101" charset="-122"/>
                <a:cs typeface="仿宋" panose="02010609060101010101" charset="-122"/>
              </a:rPr>
              <a:t>三公</a:t>
            </a:r>
            <a:r>
              <a:rPr lang="en-US" altLang="zh-CN" sz="1500">
                <a:latin typeface="仿宋" panose="02010609060101010101" charset="-122"/>
                <a:ea typeface="仿宋" panose="02010609060101010101" charset="-122"/>
                <a:cs typeface="仿宋" panose="02010609060101010101" charset="-122"/>
              </a:rPr>
              <a:t>”</a:t>
            </a:r>
            <a:r>
              <a:rPr altLang="en-US" sz="1500">
                <a:latin typeface="仿宋" panose="02010609060101010101" charset="-122"/>
                <a:ea typeface="仿宋" panose="02010609060101010101" charset="-122"/>
                <a:cs typeface="仿宋" panose="02010609060101010101" charset="-122"/>
              </a:rPr>
              <a:t>经费财政拨款支出结构</a:t>
            </a:r>
            <a:endParaRPr lang="en-US" altLang="zh-CN" sz="1500">
              <a:latin typeface="仿宋" panose="02010609060101010101" charset="-122"/>
              <a:ea typeface="仿宋" panose="02010609060101010101" charset="-122"/>
              <a:cs typeface="仿宋" panose="02010609060101010101" charset="-122"/>
            </a:endParaRPr>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1"/>
              <c:layout>
                <c:manualLayout>
                  <c:x val="0.00176606081620459"/>
                  <c:y val="-0.174472589296486"/>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0758255197717081"/>
                      <c:h val="0.120328425821065"/>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Sheet1!$A$2:$A$4</c:f>
              <c:strCache>
                <c:ptCount val="3"/>
                <c:pt idx="0">
                  <c:v>因公出国（境）费支出</c:v>
                </c:pt>
                <c:pt idx="1">
                  <c:v>公务用车购置及运行维护费支出</c:v>
                </c:pt>
                <c:pt idx="2">
                  <c:v>公务接待费支出</c:v>
                </c:pt>
              </c:strCache>
            </c:strRef>
          </c:cat>
          <c:val>
            <c:numRef>
              <c:extLst>
                <c:ext xmlns:c15="http://schemas.microsoft.com/office/drawing/2012/chart" uri="{02D57815-91ED-43cb-92C2-25804820EDAC}">
                  <c15:fullRef>
                    <c15:sqref>Sheet1!$B$2:$B$5</c15:sqref>
                  </c15:fullRef>
                </c:ext>
              </c:extLst>
              <c:f>Sheet1!$B$2:$B$4</c:f>
              <c:numCache>
                <c:formatCode>General</c:formatCode>
                <c:ptCount val="3"/>
                <c:pt idx="0">
                  <c:v>0</c:v>
                </c:pt>
                <c:pt idx="1">
                  <c:v>1.89</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12554</Words>
  <Characters>13521</Characters>
  <Lines>0</Lines>
  <Paragraphs>0</Paragraphs>
  <TotalTime>2</TotalTime>
  <ScaleCrop>false</ScaleCrop>
  <LinksUpToDate>false</LinksUpToDate>
  <CharactersWithSpaces>13731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cp:lastPrinted>2022-04-27T02:14:00Z</cp:lastPrinted>
  <dcterms:modified xsi:type="dcterms:W3CDTF">2022-05-31T08:56:03Z</dcterms:modified>
  <dc:title>自贡市自流井区人民政府舒坪街道办事处2020年度部门决算编制的说明</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79E43E2DF14E47E0B600FC53B00235DB</vt:lpwstr>
  </property>
</Properties>
</file>