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自贡市自流井区民政局</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2020</w:t>
      </w:r>
      <w:r>
        <w:rPr>
          <w:rFonts w:hint="eastAsia" w:ascii="方正小标宋简体" w:eastAsia="方正小标宋简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bookmarkStart w:id="94" w:name="_GoBack"/>
      <w:bookmarkEnd w:id="94"/>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7</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7</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3</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0</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_Toc22930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附件1</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3"/>
        <w:jc w:val="center"/>
        <w:rPr>
          <w:rStyle w:val="14"/>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widowControl/>
        <w:jc w:val="left"/>
        <w:rPr>
          <w:rFonts w:ascii="黑体" w:eastAsia="黑体"/>
          <w:color w:val="000000"/>
          <w:sz w:val="32"/>
          <w:szCs w:val="32"/>
        </w:rPr>
      </w:pPr>
    </w:p>
    <w:p>
      <w:pPr>
        <w:pStyle w:val="4"/>
        <w:rPr>
          <w:rStyle w:val="15"/>
          <w:rFonts w:ascii="仿宋" w:hAnsi="仿宋" w:eastAsia="仿宋"/>
          <w:b w:val="0"/>
          <w:bCs w:val="0"/>
        </w:rPr>
      </w:pPr>
      <w:bookmarkStart w:id="1" w:name="_Toc21498"/>
      <w:bookmarkStart w:id="2" w:name="_Toc15396600"/>
      <w:bookmarkStart w:id="3" w:name="_Toc15377197"/>
      <w:r>
        <w:rPr>
          <w:rFonts w:hint="eastAsia" w:ascii="黑体" w:hAnsi="黑体" w:eastAsia="黑体"/>
          <w:b w:val="0"/>
          <w:color w:val="000000"/>
        </w:rPr>
        <w:t>一、基</w:t>
      </w:r>
      <w:r>
        <w:rPr>
          <w:rStyle w:val="15"/>
          <w:rFonts w:hint="eastAsia" w:ascii="黑体" w:hAnsi="黑体" w:eastAsia="黑体"/>
          <w:b w:val="0"/>
          <w:bCs w:val="0"/>
        </w:rPr>
        <w:t>本职能及主要工作</w:t>
      </w:r>
      <w:bookmarkEnd w:id="1"/>
      <w:bookmarkEnd w:id="2"/>
      <w:bookmarkEnd w:id="3"/>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bookmarkStart w:id="4" w:name="_Toc15377198"/>
      <w:bookmarkStart w:id="5" w:name="_Toc15378445"/>
      <w:r>
        <w:rPr>
          <w:rFonts w:hint="eastAsia" w:ascii="仿宋" w:hAnsi="仿宋" w:eastAsia="仿宋"/>
          <w:bCs/>
          <w:color w:val="000000"/>
          <w:sz w:val="32"/>
          <w:szCs w:val="32"/>
        </w:rPr>
        <w:t>（一）主要职能。</w:t>
      </w:r>
      <w:bookmarkEnd w:id="4"/>
      <w:bookmarkEnd w:id="5"/>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1.贯彻落实国家、省、市有关民政工作的法律法规和方针政策，拟订全区实施意见和管理办法，编制全区民政事业发展规划、年度计划并组织实施。</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2.承担全区性社会团体、基金会、社会服务机构等社会组织的登记和监督管理责任，引导社会组织健康有序发展。</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3.组织拟订全区社会救助规划、政策和标准，健全城乡社会救助体系，负责城乡居民最低生活保障、特困人员救助供养、临时救助、生活无着流浪乞讨人员救助工作，指导城乡低收入家庭的认定工作。指导救助服务机构管理工作。</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4.拟订全区城乡基层群众自治建设和社区治理政策并指导实施，指导城乡社区治理体系、服务体系和治理能力建设，提出加强和改进城乡基层政权建设的建议，推动基层民主政治建设。</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5.贯彻执行行政区划管理政策和行政区域界线、地名管理办法，负责区内行政区域的设立、撤销、变更和政府驻地迁移的审核报批工作，组织、指导全区行政区域界线的勘定和管理工作，调处行政区域边界争议，负责地名命名、更名的审核、报批工作，发布标准地名，规范地名标志的设置和管理。</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6.拟订全区社会福利事业发展规划、政策、标准，拟订社会福利机构管理办法并指导实施，拟订残疾人权益保护政策并监督实施，负责康复辅助器具行业管理，统筹推进康复辅助器具产业发展。牵头推进精神障碍社区康复服务工作。指导、监督残疾人社会福利机构、民政精神卫生福利机构管理工作。负责福利彩票公益金监管工作。</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7.贯彻执行国家、省、市有关婚姻、殡葬政策，负责推进婚俗和殡葬改革，承担婚姻登记、殡葬管理工作。</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8.统筹推进、督促指导、监督管理城乡养老服务工作，拟订城乡养老服务体系建设规划、政策、标准并组织实施，承担老年人福利和特殊困难老年人救助工作，协调推进农村留守老年人关爱服务工作，承担城乡老年社会组织管理工作。</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9.拟订全区儿童福利、孤弃儿童保障、儿童收养、儿童救助保护政策、标准并组织实施，健全农村留守儿童关爱服务体系和困境儿童保障制度。负责全区儿童（除涉港、澳、台及华侨外）收养登记工作。指导、监督儿童福利、收养登记、流浪未成年人救助保护机构管理工作。</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10.拟订促进慈善事业发展政策，指导社会捐助工作。</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11.拟订社会工作、志愿服务政策和标准，会同有关部门推进社会工作人才队伍建设和志愿者队伍建设。</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12.指导、监督民政事业经费的使用和管理，负责民政事业规划财务和民政统计管理工作。</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13.负责康复辅助器具行业和社会福利、养老服务、殡葬服务、救助管理机构安全生产监督管理工作。负责职责范围内的安全生产和职业健康、生态环境保护、审批服务便民化等工作，制定安全生产年度监督检查计划并组织实施。</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14.完成区委、区政府交办的其他任务。</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15.职能转变。区民政局应强化基本民生保障职能，为困难群众、孤老孤残孤儿等特殊群体提供基本社会服务，促进资源向薄弱地区、领域、环节倾斜。积极培育社会组织、社会工作者等多元参与主体，推动搭建基层社会治理和社区公共服务平台。</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16.有关职责分工。</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一是与区卫生健康局的有关职责分工。区民政局负责统筹推进、督促指导、监督管理养老服务工作，拟订养老服务体系建设规划、规范性文件、政策、标准并组织实施，承担老年人福利和特殊困难老年人救助工作。区卫生健康局负责拟订应对人口老龄化、医养结合政策措施，综合协调、督促指导、组织推进老龄健康事业发展，承担老年疾病防治、老年人医疗照护、老年人心理健康与关怀服务等老年健康工作。二是与区自然资源局的有关职责分工。区民政局会同区自然资源局组织编制公布行政区划信息的自贡市自流井区行政区划图。</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17.贯彻执行党和政府关于收养“三无”人员的的方针、政策。</w:t>
      </w:r>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r>
        <w:rPr>
          <w:rFonts w:hint="eastAsia" w:ascii="仿宋" w:hAnsi="仿宋" w:eastAsia="仿宋"/>
          <w:bCs/>
          <w:color w:val="auto"/>
          <w:sz w:val="32"/>
          <w:szCs w:val="32"/>
        </w:rPr>
        <w:t>18.按政策规定接收供养“三无”人员及社会老人，并提供医疗、护理、康复等服务。</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6" w:name="_Toc15377199"/>
      <w:bookmarkStart w:id="7" w:name="_Toc15378446"/>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pageBreakBefore w:val="0"/>
        <w:widowControl w:val="0"/>
        <w:kinsoku/>
        <w:wordWrap/>
        <w:overflowPunct w:val="0"/>
        <w:topLinePunct w:val="0"/>
        <w:autoSpaceDE/>
        <w:autoSpaceDN/>
        <w:bidi w:val="0"/>
        <w:adjustRightInd w:val="0"/>
        <w:snapToGrid w:val="0"/>
        <w:spacing w:line="592" w:lineRule="exact"/>
        <w:ind w:firstLine="643" w:firstLineChars="200"/>
        <w:rPr>
          <w:rFonts w:ascii="Times New Roman" w:eastAsia="仿宋_GB2312" w:cs="Times New Roman"/>
          <w:sz w:val="32"/>
          <w:szCs w:val="32"/>
          <w:highlight w:val="none"/>
        </w:rPr>
      </w:pPr>
      <w:r>
        <w:rPr>
          <w:rFonts w:hint="eastAsia" w:ascii="仿宋_GB2312" w:hAnsi="仿宋_GB2312" w:eastAsia="仿宋_GB2312" w:cs="仿宋_GB2312"/>
          <w:b/>
          <w:bCs/>
          <w:kern w:val="2"/>
          <w:sz w:val="32"/>
          <w:szCs w:val="32"/>
          <w:highlight w:val="none"/>
          <w:lang w:val="en-US" w:eastAsia="zh-CN"/>
        </w:rPr>
        <w:t>1.</w:t>
      </w:r>
      <w:r>
        <w:rPr>
          <w:rFonts w:hint="eastAsia" w:ascii="仿宋_GB2312" w:hAnsi="仿宋_GB2312" w:eastAsia="仿宋_GB2312" w:cs="仿宋_GB2312"/>
          <w:b/>
          <w:bCs/>
          <w:kern w:val="2"/>
          <w:sz w:val="32"/>
          <w:szCs w:val="32"/>
          <w:highlight w:val="none"/>
        </w:rPr>
        <w:t>疫情防控工作。</w:t>
      </w:r>
      <w:r>
        <w:rPr>
          <w:rFonts w:ascii="Times New Roman" w:eastAsia="仿宋_GB2312" w:cs="Times New Roman"/>
          <w:b/>
          <w:kern w:val="2"/>
          <w:sz w:val="32"/>
          <w:szCs w:val="32"/>
          <w:highlight w:val="none"/>
        </w:rPr>
        <w:t>一是扎实开展养老机构疫情防控。</w:t>
      </w:r>
      <w:r>
        <w:rPr>
          <w:rFonts w:ascii="Times New Roman" w:eastAsia="仿宋_GB2312" w:cs="Times New Roman"/>
          <w:bCs/>
          <w:kern w:val="2"/>
          <w:sz w:val="32"/>
          <w:szCs w:val="32"/>
          <w:highlight w:val="none"/>
        </w:rPr>
        <w:t>疫情爆发后第一时间对全区27家养老机构实施封闭式管理，</w:t>
      </w:r>
      <w:r>
        <w:rPr>
          <w:rFonts w:ascii="Times New Roman" w:eastAsia="仿宋_GB2312" w:cs="Times New Roman"/>
          <w:sz w:val="32"/>
          <w:szCs w:val="32"/>
          <w:highlight w:val="none"/>
        </w:rPr>
        <w:t>会同区疾控中心及时组织开展了疫情防控知识培训</w:t>
      </w:r>
      <w:r>
        <w:rPr>
          <w:rFonts w:ascii="Times New Roman" w:eastAsia="仿宋_GB2312" w:cs="Times New Roman"/>
          <w:kern w:val="2"/>
          <w:sz w:val="32"/>
          <w:szCs w:val="32"/>
          <w:highlight w:val="none"/>
        </w:rPr>
        <w:t>。</w:t>
      </w:r>
      <w:r>
        <w:rPr>
          <w:rFonts w:ascii="Times New Roman" w:eastAsia="仿宋_GB2312" w:cs="Times New Roman"/>
          <w:snapToGrid w:val="0"/>
          <w:color w:val="000000"/>
          <w:sz w:val="32"/>
          <w:szCs w:val="32"/>
          <w:highlight w:val="none"/>
        </w:rPr>
        <w:t>积极为辖区养老机构协调抗疫物资，</w:t>
      </w:r>
      <w:r>
        <w:rPr>
          <w:rFonts w:ascii="Times New Roman" w:eastAsia="仿宋_GB2312" w:cs="Times New Roman"/>
          <w:kern w:val="2"/>
          <w:sz w:val="32"/>
          <w:szCs w:val="32"/>
          <w:highlight w:val="none"/>
        </w:rPr>
        <w:t>帮助采购口罩、酒精、消毒液等防疫物资，全年累计向养老机构发放防疫宣传手册85本，口袋书160本，海报420张，防护口罩8000个，消毒泡腾片490斤。为辖区内27家养老机构发放疫情期间一次性运营补贴资金18.7万元</w:t>
      </w:r>
      <w:r>
        <w:rPr>
          <w:rFonts w:ascii="Times New Roman" w:cs="Times New Roman"/>
          <w:kern w:val="2"/>
          <w:sz w:val="32"/>
          <w:szCs w:val="32"/>
          <w:highlight w:val="none"/>
        </w:rPr>
        <w:t>。</w:t>
      </w:r>
      <w:r>
        <w:rPr>
          <w:rFonts w:ascii="Times New Roman" w:eastAsia="仿宋_GB2312" w:cs="Times New Roman"/>
          <w:kern w:val="2"/>
          <w:sz w:val="32"/>
          <w:szCs w:val="32"/>
          <w:highlight w:val="none"/>
        </w:rPr>
        <w:t>组建4个督查组，由局班子成员分别牵头定期走访排查隐患，对于排查中发现的问题责令及时整改，全年累计发现问题155个，发放整改通知书53份，</w:t>
      </w:r>
      <w:r>
        <w:rPr>
          <w:rFonts w:ascii="Times New Roman" w:eastAsia="仿宋_GB2312" w:cs="Times New Roman"/>
          <w:sz w:val="32"/>
          <w:szCs w:val="32"/>
          <w:highlight w:val="none"/>
        </w:rPr>
        <w:t>约谈机构负责人5次</w:t>
      </w:r>
      <w:r>
        <w:rPr>
          <w:rFonts w:ascii="Times New Roman" w:eastAsia="仿宋_GB2312" w:cs="Times New Roman"/>
          <w:kern w:val="2"/>
          <w:sz w:val="32"/>
          <w:szCs w:val="32"/>
          <w:highlight w:val="none"/>
        </w:rPr>
        <w:t>。</w:t>
      </w:r>
      <w:r>
        <w:rPr>
          <w:rFonts w:ascii="Times New Roman" w:eastAsia="仿宋_GB2312" w:cs="Times New Roman"/>
          <w:sz w:val="32"/>
          <w:szCs w:val="32"/>
          <w:highlight w:val="none"/>
        </w:rPr>
        <w:t>主动协调疾控部门上门为养老机构工作人员和老年人开展核酸抽检达803人次。</w:t>
      </w:r>
      <w:r>
        <w:rPr>
          <w:rFonts w:ascii="Times New Roman" w:eastAsia="仿宋_GB2312" w:cs="Times New Roman"/>
          <w:b/>
          <w:kern w:val="2"/>
          <w:sz w:val="32"/>
          <w:szCs w:val="32"/>
          <w:highlight w:val="none"/>
        </w:rPr>
        <w:t>二是加强疫情期间困难群众兜底救助。</w:t>
      </w:r>
      <w:r>
        <w:rPr>
          <w:rFonts w:ascii="Times New Roman" w:eastAsia="仿宋_GB2312" w:cs="Times New Roman"/>
          <w:kern w:val="2"/>
          <w:sz w:val="32"/>
          <w:szCs w:val="32"/>
          <w:highlight w:val="none"/>
        </w:rPr>
        <w:t>全面摸排低保、特困、残疾人、孤儿等特殊困难家庭疫情期间生活情况，对生活困难的个人和家庭及时提供救助和帮助，并制发《进一步做好疫情防控期间特殊困难家庭关爱帮扶的通知》。</w:t>
      </w:r>
      <w:r>
        <w:rPr>
          <w:rFonts w:ascii="Times New Roman" w:eastAsia="仿宋_GB2312" w:cs="Times New Roman"/>
          <w:snapToGrid w:val="0"/>
          <w:sz w:val="32"/>
          <w:szCs w:val="32"/>
          <w:highlight w:val="none"/>
        </w:rPr>
        <w:t>精简社会救助流程，暂时取消低保听证环节，提高疫情期间救助效率。</w:t>
      </w:r>
      <w:r>
        <w:rPr>
          <w:rFonts w:ascii="Times New Roman" w:eastAsia="仿宋_GB2312" w:cs="Times New Roman"/>
          <w:kern w:val="2"/>
          <w:sz w:val="32"/>
          <w:szCs w:val="32"/>
          <w:highlight w:val="none"/>
        </w:rPr>
        <w:t>为确保困难群众在疫情期基本生活不因物价上涨而变化，全年累计发放临时价格补贴382.6万元，惠及困难群众6700余户。</w:t>
      </w:r>
      <w:r>
        <w:rPr>
          <w:rFonts w:ascii="Times New Roman" w:eastAsia="仿宋_GB2312" w:cs="Times New Roman"/>
          <w:sz w:val="32"/>
          <w:szCs w:val="32"/>
          <w:highlight w:val="none"/>
        </w:rPr>
        <w:t>积极开展爱心捐赠活动，募集爱心捐款64393元用于疫情防控。</w:t>
      </w:r>
      <w:r>
        <w:rPr>
          <w:rFonts w:ascii="Times New Roman" w:eastAsia="仿宋_GB2312" w:cs="Times New Roman"/>
          <w:b/>
          <w:sz w:val="32"/>
          <w:szCs w:val="32"/>
          <w:highlight w:val="none"/>
        </w:rPr>
        <w:t>三是指导城市社区（小区）织密疫情防控网。</w:t>
      </w:r>
      <w:r>
        <w:rPr>
          <w:rFonts w:ascii="Times New Roman" w:eastAsia="仿宋_GB2312" w:cs="Times New Roman"/>
          <w:sz w:val="32"/>
          <w:szCs w:val="32"/>
          <w:highlight w:val="none"/>
        </w:rPr>
        <w:t>主动指导社区（小区）抓好疫情防控网格，按照“五有一网格”要求，守好社区防线。做好每日疫情返回人员情况收集并上报，全年收集了1007名中高风险返回人员信息，其中：省外990名、港澳台地区1名、境外16名。发布《致自流井区各社会组织从业人员的一封信》，倡议社会组织积极参与，协助社区做好疫情防控宣传引导工作，全年各类社会组织累计参与疫情防控800余次, 服务居民上万人次。</w:t>
      </w:r>
    </w:p>
    <w:p>
      <w:pPr>
        <w:pageBreakBefore w:val="0"/>
        <w:widowControl w:val="0"/>
        <w:kinsoku/>
        <w:wordWrap/>
        <w:overflowPunct w:val="0"/>
        <w:topLinePunct w:val="0"/>
        <w:autoSpaceDE/>
        <w:autoSpaceDN/>
        <w:bidi w:val="0"/>
        <w:adjustRightInd w:val="0"/>
        <w:snapToGrid w:val="0"/>
        <w:spacing w:line="592" w:lineRule="exact"/>
        <w:rPr>
          <w:rFonts w:ascii="Times New Roman" w:eastAsia="仿宋_GB2312" w:cs="Times New Roman"/>
          <w:snapToGrid w:val="0"/>
          <w:sz w:val="32"/>
          <w:szCs w:val="32"/>
          <w:highlight w:val="none"/>
        </w:rPr>
      </w:pPr>
      <w:r>
        <w:rPr>
          <w:rFonts w:ascii="Times New Roman" w:eastAsia="黑体" w:cs="Times New Roman"/>
          <w:sz w:val="32"/>
          <w:szCs w:val="32"/>
          <w:highlight w:val="none"/>
        </w:rPr>
        <w:t xml:space="preserve">    </w:t>
      </w:r>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rPr>
        <w:t>两项攻坚工作。</w:t>
      </w:r>
      <w:r>
        <w:rPr>
          <w:rFonts w:ascii="Times New Roman" w:eastAsia="仿宋_GB2312" w:cs="Times New Roman"/>
          <w:b/>
          <w:snapToGrid w:val="0"/>
          <w:sz w:val="32"/>
          <w:szCs w:val="32"/>
          <w:highlight w:val="none"/>
        </w:rPr>
        <w:t>一是高质量完成脱贫攻坚兜底保障任务。</w:t>
      </w:r>
      <w:r>
        <w:rPr>
          <w:rFonts w:ascii="Times New Roman" w:eastAsia="仿宋_GB2312" w:cs="Times New Roman"/>
          <w:snapToGrid w:val="0"/>
          <w:sz w:val="32"/>
          <w:szCs w:val="32"/>
          <w:highlight w:val="none"/>
        </w:rPr>
        <w:t>为打赢好脱贫攻坚收官之战，充分发挥困难群众兜底保障职能，及时将1638名因病、因残等原因致贫的建档立卡贫困户纳入低保、特困救助保障范围，占全区建档立卡贫困人数的50.12%。开展“清零行动”，全面排查易致贫返贫边缘对象，及时将25名符合条件的对象纳入低保。同时，通过政府购买、企业捐赠的方式，为全区农村建档立卡贫困户购买高龄意外伤害保险，全面覆盖3215名高龄贫困农村老人。严格执行“四个不摘”要求，对已经脱贫的贫困户，继续落实就业成本扣减，低保渐退等帮扶措施，帮助贫困户稳定脱贫。1名同志荣获优秀村党组织第一书记称号。</w:t>
      </w:r>
      <w:r>
        <w:rPr>
          <w:rFonts w:ascii="Times New Roman" w:eastAsia="仿宋_GB2312" w:cs="Times New Roman"/>
          <w:b/>
          <w:snapToGrid w:val="0"/>
          <w:sz w:val="32"/>
          <w:szCs w:val="32"/>
          <w:highlight w:val="none"/>
        </w:rPr>
        <w:t>二是圆满完成</w:t>
      </w:r>
      <w:r>
        <w:rPr>
          <w:rFonts w:ascii="Times New Roman" w:eastAsia="仿宋_GB2312" w:cs="Times New Roman"/>
          <w:b/>
          <w:sz w:val="32"/>
          <w:szCs w:val="32"/>
          <w:highlight w:val="none"/>
        </w:rPr>
        <w:t>创文创卫攻坚任务。</w:t>
      </w:r>
      <w:r>
        <w:rPr>
          <w:rFonts w:ascii="Times New Roman" w:eastAsia="仿宋_GB2312" w:cs="Times New Roman"/>
          <w:sz w:val="32"/>
          <w:szCs w:val="32"/>
          <w:highlight w:val="none"/>
        </w:rPr>
        <w:t>认真履行社区创文创卫牵头职责，指导社区、无物管小区做好创文创卫各项工作，指导51个区级单位开展社区挂包行动。号召广大志愿者参与创文创卫志愿服务1500余场次。全局全员出动参与结对挂包社区创文创卫，组织数轮周排查、日排查行动，推动社区扎实做好实地考察点位及问卷调查等重难点工作。协助完成网报资料申报工作。1名同志被授予全市创建文明城市先进个人称号。</w:t>
      </w:r>
    </w:p>
    <w:p>
      <w:pPr>
        <w:pageBreakBefore w:val="0"/>
        <w:widowControl w:val="0"/>
        <w:kinsoku/>
        <w:wordWrap/>
        <w:overflowPunct w:val="0"/>
        <w:topLinePunct w:val="0"/>
        <w:autoSpaceDE/>
        <w:autoSpaceDN/>
        <w:bidi w:val="0"/>
        <w:adjustRightInd w:val="0"/>
        <w:snapToGrid w:val="0"/>
        <w:spacing w:line="592" w:lineRule="exact"/>
        <w:ind w:firstLine="643" w:firstLineChars="200"/>
        <w:rPr>
          <w:rFonts w:ascii="Times New Roman" w:eastAsia="仿宋_GB2312" w:cs="Times New Roman"/>
          <w:kern w:val="2"/>
          <w:sz w:val="32"/>
          <w:szCs w:val="32"/>
          <w:highlight w:val="none"/>
        </w:rPr>
      </w:pP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napToGrid w:val="0"/>
          <w:sz w:val="32"/>
          <w:szCs w:val="32"/>
          <w:highlight w:val="none"/>
        </w:rPr>
        <w:t>社会救助工作</w:t>
      </w:r>
      <w:r>
        <w:rPr>
          <w:rFonts w:hint="eastAsia" w:ascii="仿宋_GB2312" w:hAnsi="仿宋_GB2312" w:eastAsia="仿宋_GB2312" w:cs="仿宋_GB2312"/>
          <w:b/>
          <w:bCs/>
          <w:sz w:val="32"/>
          <w:szCs w:val="32"/>
          <w:highlight w:val="none"/>
        </w:rPr>
        <w:t>。</w:t>
      </w:r>
      <w:r>
        <w:rPr>
          <w:rFonts w:ascii="Times New Roman" w:eastAsia="仿宋_GB2312" w:cs="Times New Roman"/>
          <w:b/>
          <w:snapToGrid w:val="0"/>
          <w:sz w:val="32"/>
          <w:szCs w:val="32"/>
          <w:highlight w:val="none"/>
        </w:rPr>
        <w:t>一是在全市率先开展省级社会救助综合改革试点。</w:t>
      </w:r>
      <w:r>
        <w:rPr>
          <w:rFonts w:ascii="Times New Roman" w:eastAsia="仿宋_GB2312" w:cs="Times New Roman"/>
          <w:snapToGrid w:val="0"/>
          <w:sz w:val="32"/>
          <w:szCs w:val="32"/>
          <w:highlight w:val="none"/>
        </w:rPr>
        <w:t>将城乡低保、特困人员供养、临时救助等审批权限下放到各镇街，减少审批层级。通过政府购买社会救助服务方式，将困难家庭经济状况核查、复核等工作交给专业的第三方机构，让社会力量参与社会救助，确保低保审核、确认和监督“三权分立”，</w:t>
      </w:r>
      <w:r>
        <w:rPr>
          <w:rFonts w:ascii="Times New Roman" w:eastAsia="仿宋_GB2312" w:cs="Times New Roman"/>
          <w:color w:val="000000"/>
          <w:sz w:val="32"/>
          <w:szCs w:val="32"/>
          <w:highlight w:val="none"/>
        </w:rPr>
        <w:t>实现了救助更加“公平、高效、及时、有力”的预期效果。</w:t>
      </w:r>
      <w:r>
        <w:rPr>
          <w:rFonts w:ascii="Times New Roman" w:eastAsia="仿宋_GB2312" w:cs="Times New Roman"/>
          <w:b/>
          <w:bCs/>
          <w:kern w:val="2"/>
          <w:sz w:val="32"/>
          <w:szCs w:val="32"/>
          <w:highlight w:val="none"/>
        </w:rPr>
        <w:t>二是</w:t>
      </w:r>
      <w:r>
        <w:rPr>
          <w:rFonts w:ascii="Times New Roman" w:eastAsia="仿宋_GB2312" w:cs="Times New Roman"/>
          <w:b/>
          <w:kern w:val="2"/>
          <w:sz w:val="32"/>
          <w:szCs w:val="32"/>
          <w:highlight w:val="none"/>
        </w:rPr>
        <w:t>发挥社会救助民生兜底作用。</w:t>
      </w:r>
      <w:r>
        <w:rPr>
          <w:rFonts w:ascii="Times New Roman" w:eastAsia="仿宋_GB2312" w:cs="Times New Roman"/>
          <w:kern w:val="2"/>
          <w:sz w:val="32"/>
          <w:szCs w:val="32"/>
          <w:highlight w:val="none"/>
        </w:rPr>
        <w:t>城乡低保每月保障标准提高到600元</w:t>
      </w:r>
      <w:r>
        <w:rPr>
          <w:rFonts w:hint="eastAsia" w:cs="Times New Roman"/>
          <w:kern w:val="2"/>
          <w:sz w:val="32"/>
          <w:szCs w:val="32"/>
          <w:highlight w:val="none"/>
          <w:lang w:val="en-US" w:eastAsia="zh-CN"/>
        </w:rPr>
        <w:t>/</w:t>
      </w:r>
      <w:r>
        <w:rPr>
          <w:rFonts w:ascii="Times New Roman" w:eastAsia="仿宋_GB2312" w:cs="Times New Roman"/>
          <w:kern w:val="2"/>
          <w:sz w:val="32"/>
          <w:szCs w:val="32"/>
          <w:highlight w:val="none"/>
        </w:rPr>
        <w:t>人、420元人，同比提高9%、17%，1-12月新增城乡低保333户1010人，动态减少453户827人，共救助8.74万人次，发放低保金2607.39万元。全面落实残疾人“两补”政策，及时发放困难残疾人生活补贴16917人次187.39万元，重度残疾人护理补贴25698人次158.66万元。</w:t>
      </w:r>
      <w:r>
        <w:rPr>
          <w:rFonts w:ascii="Times New Roman" w:eastAsia="仿宋_GB2312" w:cs="Times New Roman"/>
          <w:b/>
          <w:bCs/>
          <w:kern w:val="2"/>
          <w:sz w:val="32"/>
          <w:szCs w:val="32"/>
          <w:highlight w:val="none"/>
        </w:rPr>
        <w:t>三是</w:t>
      </w:r>
      <w:r>
        <w:rPr>
          <w:rFonts w:ascii="Times New Roman" w:eastAsia="仿宋_GB2312" w:cs="Times New Roman"/>
          <w:b/>
          <w:kern w:val="2"/>
          <w:sz w:val="32"/>
          <w:szCs w:val="32"/>
          <w:highlight w:val="none"/>
        </w:rPr>
        <w:t>强化临时救助的救急难作用。</w:t>
      </w:r>
      <w:r>
        <w:rPr>
          <w:rFonts w:ascii="Times New Roman" w:eastAsia="仿宋_GB2312" w:cs="Times New Roman"/>
          <w:kern w:val="2"/>
          <w:sz w:val="32"/>
          <w:szCs w:val="32"/>
          <w:highlight w:val="none"/>
        </w:rPr>
        <w:t>临时救助的关键在于及时性，全区按要求实行临时救助储备金制度，截止12月底累计救助750人次，发放临时救助金46.98万元。</w:t>
      </w:r>
      <w:r>
        <w:rPr>
          <w:rFonts w:ascii="Times New Roman" w:eastAsia="仿宋_GB2312" w:cs="Times New Roman"/>
          <w:b/>
          <w:bCs/>
          <w:kern w:val="2"/>
          <w:sz w:val="32"/>
          <w:szCs w:val="32"/>
          <w:highlight w:val="none"/>
        </w:rPr>
        <w:t>四是</w:t>
      </w:r>
      <w:r>
        <w:rPr>
          <w:rFonts w:ascii="Times New Roman" w:eastAsia="仿宋_GB2312" w:cs="Times New Roman"/>
          <w:b/>
          <w:kern w:val="2"/>
          <w:sz w:val="32"/>
          <w:szCs w:val="32"/>
          <w:highlight w:val="none"/>
        </w:rPr>
        <w:t>加强特困人员救助托底供养保障。</w:t>
      </w:r>
      <w:r>
        <w:rPr>
          <w:rFonts w:ascii="Times New Roman" w:eastAsia="仿宋_GB2312" w:cs="Times New Roman"/>
          <w:kern w:val="2"/>
          <w:sz w:val="32"/>
          <w:szCs w:val="32"/>
          <w:highlight w:val="none"/>
        </w:rPr>
        <w:t>在全区开展2020年度散居特困人员照料护理“四方协议”签订和自理能力评估及失能半失能人员集中供养意愿摸底工作，为15名有集中供养意愿的生活不能自理特困人员提供集中供养服务。累计保障城乡特困人员8574人次，发放供养金568.62万元。</w:t>
      </w:r>
    </w:p>
    <w:p>
      <w:pPr>
        <w:pageBreakBefore w:val="0"/>
        <w:widowControl w:val="0"/>
        <w:kinsoku/>
        <w:wordWrap/>
        <w:overflowPunct w:val="0"/>
        <w:topLinePunct w:val="0"/>
        <w:autoSpaceDE/>
        <w:autoSpaceDN/>
        <w:bidi w:val="0"/>
        <w:adjustRightInd w:val="0"/>
        <w:snapToGrid w:val="0"/>
        <w:spacing w:line="592" w:lineRule="exact"/>
        <w:textAlignment w:val="top"/>
        <w:rPr>
          <w:rFonts w:ascii="Times New Roman" w:eastAsia="仿宋_GB2312" w:cs="Times New Roman"/>
          <w:bCs/>
          <w:snapToGrid w:val="0"/>
          <w:sz w:val="32"/>
          <w:szCs w:val="32"/>
          <w:highlight w:val="none"/>
        </w:rPr>
      </w:pPr>
      <w:r>
        <w:rPr>
          <w:rFonts w:ascii="Times New Roman" w:eastAsia="黑体" w:cs="Times New Roman"/>
          <w:sz w:val="32"/>
          <w:szCs w:val="32"/>
          <w:highlight w:val="none"/>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napToGrid w:val="0"/>
          <w:sz w:val="32"/>
          <w:szCs w:val="32"/>
          <w:highlight w:val="none"/>
        </w:rPr>
        <w:t>基层政权工作</w:t>
      </w:r>
      <w:r>
        <w:rPr>
          <w:rFonts w:hint="eastAsia" w:ascii="仿宋_GB2312" w:hAnsi="仿宋_GB2312" w:eastAsia="仿宋_GB2312" w:cs="仿宋_GB2312"/>
          <w:b/>
          <w:bCs/>
          <w:sz w:val="32"/>
          <w:szCs w:val="32"/>
          <w:highlight w:val="none"/>
        </w:rPr>
        <w:t>。</w:t>
      </w:r>
      <w:r>
        <w:rPr>
          <w:rFonts w:ascii="Times New Roman" w:eastAsia="仿宋_GB2312" w:cs="Times New Roman"/>
          <w:b/>
          <w:sz w:val="32"/>
          <w:szCs w:val="32"/>
          <w:highlight w:val="none"/>
        </w:rPr>
        <w:t>一是选优配强基层干部队伍。</w:t>
      </w:r>
      <w:r>
        <w:rPr>
          <w:rFonts w:ascii="Times New Roman" w:eastAsia="仿宋_GB2312" w:cs="Times New Roman"/>
          <w:sz w:val="32"/>
          <w:szCs w:val="32"/>
          <w:highlight w:val="none"/>
        </w:rPr>
        <w:t>配合区委组织部完成2020年非户籍常住居民和党员参与社区“两委”换届选举试点工作，毛家坝、解放桥、鸿鹤坝三个试点社区有序进行了基层“两委”换届。11月底启动了自流井区村（社区）“两委”集中换届，按照先“基层党委”后“村（居）委”的换届顺序，高质量高标准开展换届工作。</w:t>
      </w:r>
      <w:r>
        <w:rPr>
          <w:rFonts w:ascii="Times New Roman" w:eastAsia="仿宋_GB2312" w:cs="Times New Roman"/>
          <w:b/>
          <w:sz w:val="32"/>
          <w:szCs w:val="32"/>
          <w:highlight w:val="none"/>
        </w:rPr>
        <w:t>二是探索</w:t>
      </w:r>
      <w:r>
        <w:rPr>
          <w:rFonts w:ascii="Times New Roman" w:eastAsia="仿宋_GB2312" w:cs="Times New Roman"/>
          <w:b/>
          <w:snapToGrid w:val="0"/>
          <w:sz w:val="32"/>
          <w:szCs w:val="32"/>
          <w:highlight w:val="none"/>
        </w:rPr>
        <w:t>创新社区治理。</w:t>
      </w:r>
      <w:r>
        <w:rPr>
          <w:rFonts w:ascii="Times New Roman" w:eastAsia="仿宋_GB2312" w:cs="Times New Roman"/>
          <w:snapToGrid w:val="0"/>
          <w:sz w:val="32"/>
          <w:szCs w:val="32"/>
          <w:highlight w:val="none"/>
        </w:rPr>
        <w:t>印发《自流井区社区治理基金使用管理办法》，建立400万元的社</w:t>
      </w:r>
      <w:r>
        <w:rPr>
          <w:rFonts w:ascii="Times New Roman" w:eastAsia="仿宋_GB2312" w:cs="Times New Roman"/>
          <w:bCs/>
          <w:snapToGrid w:val="0"/>
          <w:sz w:val="32"/>
          <w:szCs w:val="32"/>
          <w:highlight w:val="none"/>
        </w:rPr>
        <w:t>区治理基金，用于开展社区环境综合治理、社区治理创新等项目。目前全区社区背街小巷清扫保洁均采取购买服务方式向社会组织、企业购买，每月购买服务费用24万元。积极申报省、市社区治理项目，全区共有2个街道、4个社区、4个小区成功申报为市级城乡治理示范创建单位。</w:t>
      </w:r>
      <w:r>
        <w:rPr>
          <w:rFonts w:ascii="Times New Roman" w:eastAsia="仿宋_GB2312" w:cs="Times New Roman"/>
          <w:b/>
          <w:bCs/>
          <w:snapToGrid w:val="0"/>
          <w:sz w:val="32"/>
          <w:szCs w:val="32"/>
          <w:highlight w:val="none"/>
        </w:rPr>
        <w:t>三是</w:t>
      </w:r>
      <w:r>
        <w:rPr>
          <w:rFonts w:ascii="Times New Roman" w:eastAsia="仿宋_GB2312" w:cs="Times New Roman"/>
          <w:b/>
          <w:bCs/>
          <w:sz w:val="32"/>
          <w:szCs w:val="32"/>
          <w:highlight w:val="none"/>
        </w:rPr>
        <w:t>完善基层自治制度。</w:t>
      </w:r>
      <w:r>
        <w:rPr>
          <w:rFonts w:ascii="Times New Roman" w:eastAsia="仿宋_GB2312" w:cs="Times New Roman"/>
          <w:sz w:val="32"/>
          <w:szCs w:val="32"/>
          <w:highlight w:val="none"/>
        </w:rPr>
        <w:t>印发《自贡市自流井区社区治理基金使用管理办法（试行）》，规范资金使用范围及申报流程，明确各部门职责</w:t>
      </w:r>
      <w:r>
        <w:rPr>
          <w:rFonts w:ascii="Times New Roman" w:cs="Times New Roman"/>
          <w:sz w:val="32"/>
          <w:szCs w:val="32"/>
          <w:highlight w:val="none"/>
        </w:rPr>
        <w:t>，</w:t>
      </w:r>
      <w:r>
        <w:rPr>
          <w:rFonts w:ascii="Times New Roman" w:eastAsia="仿宋_GB2312" w:cs="Times New Roman"/>
          <w:sz w:val="32"/>
          <w:szCs w:val="32"/>
          <w:highlight w:val="none"/>
        </w:rPr>
        <w:t>构建自流井区社会治理新格局；印发《自流井区村（社区）财务管理突出问题系统治理工作方案》，重点整治村（社区）干部虚报骗取补助、截留挪用集体资金等问题</w:t>
      </w:r>
      <w:r>
        <w:rPr>
          <w:rFonts w:ascii="Times New Roman" w:cs="Times New Roman"/>
          <w:sz w:val="32"/>
          <w:szCs w:val="32"/>
          <w:highlight w:val="none"/>
        </w:rPr>
        <w:t>，</w:t>
      </w:r>
      <w:r>
        <w:rPr>
          <w:rFonts w:ascii="Times New Roman" w:eastAsia="仿宋_GB2312" w:cs="Times New Roman"/>
          <w:sz w:val="32"/>
          <w:szCs w:val="32"/>
          <w:highlight w:val="none"/>
        </w:rPr>
        <w:t>累计发现并督促各镇街完成整改问题60个；草拟了《自流井区推行城乡社区工作事项准入备案制实施办法（试行）》，厘清社区职能职责，理顺各类工作事项关系，切实减轻社区负担。</w:t>
      </w:r>
      <w:r>
        <w:rPr>
          <w:rFonts w:ascii="Times New Roman" w:eastAsia="仿宋_GB2312" w:cs="Times New Roman"/>
          <w:b/>
          <w:bCs/>
          <w:snapToGrid w:val="0"/>
          <w:sz w:val="32"/>
          <w:szCs w:val="32"/>
          <w:highlight w:val="none"/>
        </w:rPr>
        <w:t>四是高质量完成“两法”执法检查</w:t>
      </w:r>
      <w:r>
        <w:rPr>
          <w:rFonts w:ascii="Times New Roman" w:eastAsia="仿宋_GB2312" w:cs="Times New Roman"/>
          <w:b/>
          <w:bCs/>
          <w:sz w:val="32"/>
          <w:szCs w:val="32"/>
          <w:highlight w:val="none"/>
        </w:rPr>
        <w:t>。</w:t>
      </w:r>
      <w:r>
        <w:rPr>
          <w:rFonts w:ascii="Times New Roman" w:eastAsia="仿宋_GB2312" w:cs="Times New Roman"/>
          <w:sz w:val="32"/>
          <w:szCs w:val="32"/>
          <w:highlight w:val="none"/>
        </w:rPr>
        <w:t>积极配合市、区人大在全区范围内开展村（社区）</w:t>
      </w:r>
      <w:r>
        <w:rPr>
          <w:rFonts w:ascii="Times New Roman" w:eastAsia="仿宋_GB2312" w:cs="Times New Roman"/>
          <w:bCs/>
          <w:snapToGrid w:val="0"/>
          <w:sz w:val="32"/>
          <w:szCs w:val="32"/>
          <w:highlight w:val="none"/>
        </w:rPr>
        <w:t>“两法”贯彻落实情况检查。通过收集汇总镇街村（居）民调查问卷、座谈走访，撰写《贯彻实施“两法”情况汇报》，高质量完成“两法”执法检查工作。</w:t>
      </w:r>
    </w:p>
    <w:p>
      <w:pPr>
        <w:pageBreakBefore w:val="0"/>
        <w:widowControl w:val="0"/>
        <w:kinsoku/>
        <w:wordWrap/>
        <w:overflowPunct w:val="0"/>
        <w:topLinePunct w:val="0"/>
        <w:autoSpaceDE/>
        <w:autoSpaceDN/>
        <w:bidi w:val="0"/>
        <w:adjustRightInd w:val="0"/>
        <w:snapToGrid w:val="0"/>
        <w:spacing w:line="592" w:lineRule="exact"/>
        <w:textAlignment w:val="top"/>
        <w:rPr>
          <w:rFonts w:ascii="Times New Roman" w:eastAsia="仿宋_GB2312" w:cs="Times New Roman"/>
          <w:sz w:val="32"/>
          <w:szCs w:val="32"/>
          <w:highlight w:val="none"/>
        </w:rPr>
      </w:pPr>
      <w:r>
        <w:rPr>
          <w:rFonts w:ascii="Times New Roman" w:eastAsia="仿宋_GB2312" w:cs="Times New Roman"/>
          <w:sz w:val="32"/>
          <w:szCs w:val="32"/>
          <w:highlight w:val="none"/>
        </w:rPr>
        <w:t xml:space="preserve">    </w:t>
      </w:r>
      <w:r>
        <w:rPr>
          <w:rFonts w:hint="eastAsia" w:ascii="仿宋_GB2312" w:hAnsi="仿宋_GB2312" w:eastAsia="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rPr>
        <w:t>区划地名工作。</w:t>
      </w:r>
      <w:r>
        <w:rPr>
          <w:rFonts w:ascii="Times New Roman" w:eastAsia="仿宋_GB2312" w:cs="Times New Roman"/>
          <w:b/>
          <w:sz w:val="32"/>
          <w:szCs w:val="32"/>
          <w:highlight w:val="none"/>
        </w:rPr>
        <w:t>一是圆满完成村级建制调整工作。</w:t>
      </w:r>
      <w:r>
        <w:rPr>
          <w:rFonts w:ascii="Times New Roman" w:eastAsia="仿宋_GB2312" w:cs="Times New Roman"/>
          <w:sz w:val="32"/>
          <w:szCs w:val="32"/>
          <w:highlight w:val="none"/>
        </w:rPr>
        <w:t>按照省、市要求，对全区村民小组暨村（社区）实施调整优化，共计调减17个社区、17个行政村、108个村民小组。调整后，全区实际管辖共有3个乡镇、5个街道；25个行政村，31个社区；村民小组319个，居民小组438个；</w:t>
      </w:r>
      <w:r>
        <w:rPr>
          <w:rFonts w:ascii="Times New Roman" w:eastAsia="仿宋_GB2312" w:cs="Times New Roman"/>
          <w:b/>
          <w:sz w:val="32"/>
          <w:szCs w:val="32"/>
          <w:highlight w:val="none"/>
        </w:rPr>
        <w:t>二是持续做好乡镇行政区划调整改革“后半篇”文章。</w:t>
      </w:r>
      <w:r>
        <w:rPr>
          <w:rFonts w:ascii="Times New Roman" w:eastAsia="仿宋_GB2312" w:cs="Times New Roman"/>
          <w:sz w:val="32"/>
          <w:szCs w:val="32"/>
          <w:highlight w:val="none"/>
        </w:rPr>
        <w:t>为保障涉改乡镇村（居）民的生产生活，避免出现“管理真空”、公共服务“断崖式”收缩，召开区划调整涉及民生服务事项专题协调会，集中研究解决“两项改革”后续工作存在的问题。持续推进区划调整后的勘界工作，及时签订勘界协议并完成上报。</w:t>
      </w:r>
      <w:r>
        <w:rPr>
          <w:rFonts w:ascii="Times New Roman" w:eastAsia="仿宋_GB2312" w:cs="Times New Roman"/>
          <w:b/>
          <w:sz w:val="32"/>
          <w:szCs w:val="32"/>
          <w:highlight w:val="none"/>
        </w:rPr>
        <w:t>三是更新完善自流井区地名信息工作。</w:t>
      </w:r>
      <w:r>
        <w:rPr>
          <w:rFonts w:ascii="Times New Roman" w:eastAsia="仿宋_GB2312" w:cs="Times New Roman"/>
          <w:sz w:val="32"/>
          <w:szCs w:val="32"/>
          <w:highlight w:val="none"/>
        </w:rPr>
        <w:t>结合自流井区第二次全国地名普查成果，更新完善《中国·国家地名信息库》系统中自流井区地名数据，共计更正地名信息170余条。</w:t>
      </w:r>
    </w:p>
    <w:p>
      <w:pPr>
        <w:pageBreakBefore w:val="0"/>
        <w:widowControl w:val="0"/>
        <w:kinsoku/>
        <w:wordWrap/>
        <w:overflowPunct w:val="0"/>
        <w:topLinePunct w:val="0"/>
        <w:autoSpaceDE/>
        <w:autoSpaceDN/>
        <w:bidi w:val="0"/>
        <w:adjustRightInd w:val="0"/>
        <w:snapToGrid w:val="0"/>
        <w:spacing w:line="592" w:lineRule="exact"/>
        <w:textAlignment w:val="top"/>
        <w:rPr>
          <w:rFonts w:ascii="Times New Roman" w:eastAsia="仿宋_GB2312" w:cs="Times New Roman"/>
          <w:sz w:val="32"/>
          <w:szCs w:val="32"/>
          <w:highlight w:val="none"/>
        </w:rPr>
      </w:pPr>
      <w:r>
        <w:rPr>
          <w:rFonts w:hint="eastAsia" w:ascii="Times New Roman" w:eastAsia="仿宋_GB2312" w:cs="Times New Roman"/>
          <w:sz w:val="32"/>
          <w:szCs w:val="32"/>
          <w:highlight w:val="none"/>
        </w:rPr>
        <w:t xml:space="preserve">    </w:t>
      </w:r>
      <w:r>
        <w:rPr>
          <w:rFonts w:hint="eastAsia" w:ascii="仿宋_GB2312" w:hAnsi="仿宋_GB2312" w:eastAsia="仿宋_GB2312" w:cs="仿宋_GB2312"/>
          <w:b/>
          <w:bCs/>
          <w:sz w:val="32"/>
          <w:szCs w:val="32"/>
          <w:highlight w:val="none"/>
          <w:lang w:val="en-US" w:eastAsia="zh-CN"/>
        </w:rPr>
        <w:t>6.</w:t>
      </w:r>
      <w:r>
        <w:rPr>
          <w:rFonts w:hint="eastAsia" w:ascii="仿宋_GB2312" w:hAnsi="仿宋_GB2312" w:eastAsia="仿宋_GB2312" w:cs="仿宋_GB2312"/>
          <w:b/>
          <w:bCs/>
          <w:sz w:val="32"/>
          <w:szCs w:val="32"/>
          <w:highlight w:val="none"/>
        </w:rPr>
        <w:t>社会福利及养老服务工作。</w:t>
      </w:r>
      <w:r>
        <w:rPr>
          <w:rFonts w:ascii="Times New Roman" w:eastAsia="仿宋_GB2312" w:cs="Times New Roman"/>
          <w:b/>
          <w:snapToGrid w:val="0"/>
          <w:color w:val="000000"/>
          <w:sz w:val="32"/>
          <w:szCs w:val="32"/>
          <w:highlight w:val="none"/>
        </w:rPr>
        <w:t>一是</w:t>
      </w:r>
      <w:r>
        <w:rPr>
          <w:rFonts w:ascii="Times New Roman" w:eastAsia="仿宋_GB2312" w:cs="Times New Roman"/>
          <w:b/>
          <w:kern w:val="2"/>
          <w:sz w:val="32"/>
          <w:szCs w:val="32"/>
          <w:highlight w:val="none"/>
        </w:rPr>
        <w:t>在全市率先开展省级贫困重度残疾人照护服务试点。</w:t>
      </w:r>
      <w:r>
        <w:rPr>
          <w:rFonts w:ascii="Times New Roman" w:eastAsia="仿宋_GB2312" w:cs="Times New Roman"/>
          <w:kern w:val="2"/>
          <w:sz w:val="32"/>
          <w:szCs w:val="32"/>
          <w:highlight w:val="none"/>
        </w:rPr>
        <w:t>通过政府购买服务方式为符合条件人员提供集中照护、社会化照护、“喘息式”照护等服务，逐步构建供给多元、政策衔接、运行规范、与经济社会发展水平相适应的照护服务制度。</w:t>
      </w:r>
      <w:r>
        <w:rPr>
          <w:rFonts w:ascii="Times New Roman" w:eastAsia="仿宋_GB2312" w:cs="Times New Roman"/>
          <w:b/>
          <w:snapToGrid w:val="0"/>
          <w:color w:val="000000"/>
          <w:sz w:val="32"/>
          <w:szCs w:val="32"/>
          <w:highlight w:val="none"/>
        </w:rPr>
        <w:t>二是落实老龄惠民政策。</w:t>
      </w:r>
      <w:r>
        <w:rPr>
          <w:rFonts w:ascii="Times New Roman" w:eastAsia="仿宋_GB2312" w:cs="Times New Roman"/>
          <w:snapToGrid w:val="0"/>
          <w:color w:val="000000"/>
          <w:sz w:val="32"/>
          <w:szCs w:val="32"/>
          <w:highlight w:val="none"/>
        </w:rPr>
        <w:t>重阳节期间组织心理健康知识讲座及新冠疫情防控应急演练活动，对城乡特困人员及部分低保、空巢等老人进行慰问，发放慰问金14.42万元。今年累计发放高龄津贴361.21万元，惠及高龄老人达104765人次。</w:t>
      </w:r>
      <w:r>
        <w:rPr>
          <w:rFonts w:ascii="Times New Roman" w:eastAsia="仿宋_GB2312" w:cs="Times New Roman"/>
          <w:b/>
          <w:snapToGrid w:val="0"/>
          <w:color w:val="000000"/>
          <w:sz w:val="32"/>
          <w:szCs w:val="32"/>
          <w:highlight w:val="none"/>
        </w:rPr>
        <w:t>三是推行开展社会福利工程。</w:t>
      </w:r>
      <w:r>
        <w:rPr>
          <w:rFonts w:ascii="Times New Roman" w:eastAsia="仿宋_GB2312" w:cs="Times New Roman"/>
          <w:snapToGrid w:val="0"/>
          <w:color w:val="000000"/>
          <w:sz w:val="32"/>
          <w:szCs w:val="32"/>
          <w:highlight w:val="none"/>
        </w:rPr>
        <w:t>配合市局开展“福康工程”，组织全区7名建档立卡、低保残疾人参加假肢、矫形器项目配型，5人配型成功。</w:t>
      </w:r>
      <w:r>
        <w:rPr>
          <w:rFonts w:ascii="Times New Roman" w:eastAsia="仿宋_GB2312" w:cs="Times New Roman"/>
          <w:b/>
          <w:snapToGrid w:val="0"/>
          <w:color w:val="000000"/>
          <w:sz w:val="32"/>
          <w:szCs w:val="32"/>
          <w:highlight w:val="none"/>
        </w:rPr>
        <w:t>四是实施养老服务项目。</w:t>
      </w:r>
      <w:r>
        <w:rPr>
          <w:rFonts w:ascii="Times New Roman" w:eastAsia="仿宋_GB2312" w:cs="Times New Roman"/>
          <w:snapToGrid w:val="0"/>
          <w:color w:val="000000"/>
          <w:sz w:val="32"/>
          <w:szCs w:val="32"/>
          <w:highlight w:val="none"/>
        </w:rPr>
        <w:t>积极落实养老服务、福彩项目资金，划拨适老化改造项目资金124万元；发放民办养老机构责任险补贴资金15.778万元；发放民办养老机构新增床位建设补贴资金75万元；继续实施政府购买居家养老服务工作，由专业社会组织为符合条件的对象提供服务，共划拨资金263.34万元。</w:t>
      </w:r>
      <w:r>
        <w:rPr>
          <w:rFonts w:ascii="Times New Roman" w:eastAsia="仿宋_GB2312" w:cs="Times New Roman"/>
          <w:b/>
          <w:kern w:val="2"/>
          <w:sz w:val="32"/>
          <w:szCs w:val="32"/>
          <w:highlight w:val="none"/>
        </w:rPr>
        <w:t>五是积极推进养老民生工程项目。</w:t>
      </w:r>
      <w:r>
        <w:rPr>
          <w:rFonts w:ascii="Times New Roman" w:eastAsia="仿宋_GB2312" w:cs="Times New Roman"/>
          <w:snapToGrid w:val="0"/>
          <w:sz w:val="32"/>
          <w:szCs w:val="32"/>
          <w:highlight w:val="none"/>
        </w:rPr>
        <w:t>自流井区社会福利院养护楼工程于12月完成建设。仲权镇敬老院建设工程于12月完成主体工程。积极推进区城镇老年综合福利中心老年养护楼项目招商工作，现已完成了回购款资金的清算工作。</w:t>
      </w:r>
    </w:p>
    <w:p>
      <w:pPr>
        <w:pageBreakBefore w:val="0"/>
        <w:widowControl w:val="0"/>
        <w:kinsoku/>
        <w:wordWrap/>
        <w:overflowPunct w:val="0"/>
        <w:topLinePunct w:val="0"/>
        <w:autoSpaceDE/>
        <w:autoSpaceDN/>
        <w:bidi w:val="0"/>
        <w:adjustRightInd w:val="0"/>
        <w:snapToGrid w:val="0"/>
        <w:spacing w:line="592" w:lineRule="exact"/>
        <w:textAlignment w:val="top"/>
        <w:rPr>
          <w:rFonts w:ascii="Times New Roman" w:eastAsia="仿宋_GB2312" w:cs="Times New Roman"/>
          <w:kern w:val="2"/>
          <w:sz w:val="32"/>
          <w:szCs w:val="32"/>
          <w:highlight w:val="none"/>
        </w:rPr>
      </w:pPr>
      <w:r>
        <w:rPr>
          <w:rFonts w:hint="eastAsia" w:ascii="Times New Roman" w:eastAsia="仿宋_GB2312" w:cs="Times New Roman"/>
          <w:sz w:val="32"/>
          <w:szCs w:val="32"/>
          <w:highlight w:val="none"/>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b/>
          <w:bCs/>
          <w:sz w:val="32"/>
          <w:szCs w:val="32"/>
          <w:highlight w:val="none"/>
          <w:lang w:val="en-US" w:eastAsia="zh-CN"/>
        </w:rPr>
        <w:t>7.</w:t>
      </w:r>
      <w:r>
        <w:rPr>
          <w:rFonts w:hint="eastAsia" w:ascii="仿宋_GB2312" w:hAnsi="仿宋_GB2312" w:eastAsia="仿宋_GB2312" w:cs="仿宋_GB2312"/>
          <w:b/>
          <w:bCs/>
          <w:snapToGrid w:val="0"/>
          <w:color w:val="000000"/>
          <w:sz w:val="32"/>
          <w:szCs w:val="32"/>
          <w:highlight w:val="none"/>
        </w:rPr>
        <w:t>社会事务工作</w:t>
      </w:r>
      <w:r>
        <w:rPr>
          <w:rFonts w:hint="eastAsia" w:ascii="仿宋_GB2312" w:hAnsi="仿宋_GB2312" w:eastAsia="仿宋_GB2312" w:cs="仿宋_GB2312"/>
          <w:b/>
          <w:bCs/>
          <w:sz w:val="32"/>
          <w:szCs w:val="32"/>
          <w:highlight w:val="none"/>
        </w:rPr>
        <w:t>。</w:t>
      </w:r>
      <w:r>
        <w:rPr>
          <w:rFonts w:ascii="Times New Roman" w:eastAsia="仿宋_GB2312" w:cs="Times New Roman"/>
          <w:b/>
          <w:sz w:val="32"/>
          <w:szCs w:val="32"/>
          <w:highlight w:val="none"/>
        </w:rPr>
        <w:t>一是</w:t>
      </w:r>
      <w:r>
        <w:rPr>
          <w:rFonts w:ascii="Times New Roman" w:eastAsia="仿宋_GB2312" w:cs="Times New Roman"/>
          <w:b/>
          <w:kern w:val="2"/>
          <w:sz w:val="32"/>
          <w:szCs w:val="32"/>
          <w:highlight w:val="none"/>
        </w:rPr>
        <w:t>依法开展婚姻登记工作。</w:t>
      </w:r>
      <w:r>
        <w:rPr>
          <w:rFonts w:ascii="Times New Roman" w:eastAsia="仿宋_GB2312" w:cs="Times New Roman"/>
          <w:kern w:val="2"/>
          <w:sz w:val="32"/>
          <w:szCs w:val="32"/>
          <w:highlight w:val="none"/>
        </w:rPr>
        <w:t>开展“婚姻登记质量年”行动，婚姻登记合格率均达100%。全年共办理婚姻登记4264对，其中办理结婚登记1903对，办理离婚登记1382对，补发结婚证743对，补发离婚证236对。</w:t>
      </w:r>
      <w:r>
        <w:rPr>
          <w:rFonts w:ascii="Times New Roman" w:eastAsia="仿宋_GB2312" w:cs="Times New Roman"/>
          <w:b/>
          <w:kern w:val="2"/>
          <w:sz w:val="32"/>
          <w:szCs w:val="32"/>
          <w:highlight w:val="none"/>
        </w:rPr>
        <w:t>二是做好殡葬事务工作。</w:t>
      </w:r>
      <w:r>
        <w:rPr>
          <w:rFonts w:ascii="Times New Roman" w:eastAsia="仿宋_GB2312" w:cs="Times New Roman"/>
          <w:kern w:val="2"/>
          <w:sz w:val="32"/>
          <w:szCs w:val="32"/>
          <w:highlight w:val="none"/>
        </w:rPr>
        <w:t>完成绿色惠民殡葬政策全覆盖</w:t>
      </w:r>
      <w:r>
        <w:rPr>
          <w:rFonts w:ascii="Times New Roman" w:eastAsia="仿宋_GB2312" w:cs="Times New Roman"/>
          <w:b/>
          <w:kern w:val="2"/>
          <w:sz w:val="32"/>
          <w:szCs w:val="32"/>
          <w:highlight w:val="none"/>
        </w:rPr>
        <w:t>，</w:t>
      </w:r>
      <w:r>
        <w:rPr>
          <w:rFonts w:ascii="Times New Roman" w:eastAsia="仿宋_GB2312" w:cs="Times New Roman"/>
          <w:kern w:val="2"/>
          <w:sz w:val="32"/>
          <w:szCs w:val="32"/>
          <w:highlight w:val="none"/>
        </w:rPr>
        <w:t>发放基本殡仪服务补贴资金46.36万元；开展安葬（放）设施违规建设经营专项摸排工作，及时将摸排结果录入民政部金民系统。</w:t>
      </w:r>
      <w:r>
        <w:rPr>
          <w:rFonts w:ascii="Times New Roman" w:eastAsia="仿宋_GB2312" w:cs="Times New Roman"/>
          <w:b/>
          <w:kern w:val="2"/>
          <w:sz w:val="32"/>
          <w:szCs w:val="32"/>
          <w:highlight w:val="none"/>
        </w:rPr>
        <w:t>三是加强儿童服务保障。</w:t>
      </w:r>
      <w:r>
        <w:rPr>
          <w:rFonts w:ascii="Times New Roman" w:eastAsia="仿宋_GB2312" w:cs="Times New Roman"/>
          <w:kern w:val="2"/>
          <w:sz w:val="32"/>
          <w:szCs w:val="32"/>
          <w:highlight w:val="none"/>
        </w:rPr>
        <w:t>办理收养登记1件，为15名孤儿发放生活费17.52万元；为8名事实无人抚养儿童发放基本生活补贴5.324万元。</w:t>
      </w:r>
    </w:p>
    <w:p>
      <w:pPr>
        <w:pageBreakBefore w:val="0"/>
        <w:widowControl w:val="0"/>
        <w:kinsoku/>
        <w:wordWrap/>
        <w:overflowPunct w:val="0"/>
        <w:topLinePunct w:val="0"/>
        <w:autoSpaceDE/>
        <w:autoSpaceDN/>
        <w:bidi w:val="0"/>
        <w:adjustRightInd w:val="0"/>
        <w:snapToGrid w:val="0"/>
        <w:spacing w:line="592" w:lineRule="exact"/>
        <w:textAlignment w:val="top"/>
        <w:rPr>
          <w:rFonts w:ascii="Times New Roman" w:eastAsia="仿宋_GB2312" w:cs="Times New Roman"/>
          <w:sz w:val="32"/>
          <w:szCs w:val="32"/>
          <w:highlight w:val="none"/>
        </w:rPr>
      </w:pPr>
      <w:r>
        <w:rPr>
          <w:rFonts w:hint="eastAsia" w:ascii="Times New Roman" w:eastAsia="仿宋_GB2312" w:cs="Times New Roman"/>
          <w:kern w:val="2"/>
          <w:sz w:val="32"/>
          <w:szCs w:val="32"/>
          <w:highlight w:val="none"/>
        </w:rPr>
        <w:t xml:space="preserve">    </w:t>
      </w:r>
      <w:r>
        <w:rPr>
          <w:rFonts w:hint="eastAsia" w:ascii="仿宋_GB2312" w:hAnsi="仿宋_GB2312" w:eastAsia="仿宋_GB2312" w:cs="仿宋_GB2312"/>
          <w:b/>
          <w:bCs/>
          <w:sz w:val="32"/>
          <w:szCs w:val="32"/>
          <w:highlight w:val="none"/>
          <w:lang w:val="en-US" w:eastAsia="zh-CN"/>
        </w:rPr>
        <w:t>8.</w:t>
      </w:r>
      <w:r>
        <w:rPr>
          <w:rFonts w:hint="eastAsia" w:ascii="仿宋_GB2312" w:hAnsi="仿宋_GB2312" w:eastAsia="仿宋_GB2312" w:cs="仿宋_GB2312"/>
          <w:b/>
          <w:bCs/>
          <w:sz w:val="32"/>
          <w:szCs w:val="32"/>
          <w:highlight w:val="none"/>
        </w:rPr>
        <w:t>社会组织工作。</w:t>
      </w:r>
      <w:r>
        <w:rPr>
          <w:rFonts w:ascii="Times New Roman" w:eastAsia="仿宋_GB2312" w:cs="Times New Roman"/>
          <w:b/>
          <w:bCs/>
          <w:snapToGrid w:val="0"/>
          <w:color w:val="000000"/>
          <w:sz w:val="32"/>
          <w:szCs w:val="32"/>
          <w:highlight w:val="none"/>
        </w:rPr>
        <w:t>一是全面加强社会组织管理工作。</w:t>
      </w:r>
      <w:r>
        <w:rPr>
          <w:rFonts w:ascii="Times New Roman" w:eastAsia="仿宋_GB2312" w:cs="Times New Roman"/>
          <w:bCs/>
          <w:snapToGrid w:val="0"/>
          <w:color w:val="000000"/>
          <w:sz w:val="32"/>
          <w:szCs w:val="32"/>
          <w:highlight w:val="none"/>
        </w:rPr>
        <w:t>截止目前，全区共有社会组织120个，其中社会团体51个，社会服务机构69个。今年新登记注册社会组织8个，变更登记6个。</w:t>
      </w:r>
      <w:r>
        <w:rPr>
          <w:rFonts w:ascii="Times New Roman" w:eastAsia="仿宋_GB2312" w:cs="Times New Roman"/>
          <w:b/>
          <w:bCs/>
          <w:snapToGrid w:val="0"/>
          <w:color w:val="000000"/>
          <w:sz w:val="32"/>
          <w:szCs w:val="32"/>
          <w:highlight w:val="none"/>
        </w:rPr>
        <w:t>二是全面开展行业协会商会与行政机关脱钩改革工作。</w:t>
      </w:r>
      <w:r>
        <w:rPr>
          <w:rFonts w:ascii="Times New Roman" w:eastAsia="仿宋_GB2312" w:cs="Times New Roman"/>
          <w:bCs/>
          <w:snapToGrid w:val="0"/>
          <w:color w:val="000000"/>
          <w:sz w:val="32"/>
          <w:szCs w:val="32"/>
          <w:highlight w:val="none"/>
        </w:rPr>
        <w:t>按照“五分离、五规范”要求，将12个全区性行业协会商会全部纳入脱钩范围。</w:t>
      </w:r>
      <w:r>
        <w:rPr>
          <w:rFonts w:ascii="Times New Roman" w:eastAsia="仿宋_GB2312" w:cs="Times New Roman"/>
          <w:b/>
          <w:bCs/>
          <w:snapToGrid w:val="0"/>
          <w:color w:val="000000"/>
          <w:sz w:val="32"/>
          <w:szCs w:val="32"/>
          <w:highlight w:val="none"/>
        </w:rPr>
        <w:t>三是持续区社会组织孵化园各项工作。</w:t>
      </w:r>
      <w:r>
        <w:rPr>
          <w:rFonts w:ascii="Times New Roman" w:eastAsia="仿宋_GB2312" w:cs="Times New Roman"/>
          <w:bCs/>
          <w:snapToGrid w:val="0"/>
          <w:color w:val="000000"/>
          <w:sz w:val="32"/>
          <w:szCs w:val="32"/>
          <w:highlight w:val="none"/>
        </w:rPr>
        <w:t>继续开展“盐都公益</w:t>
      </w:r>
      <w:r>
        <w:rPr>
          <w:rFonts w:ascii="Times New Roman" w:cs="Times New Roman"/>
          <w:bCs/>
          <w:snapToGrid w:val="0"/>
          <w:color w:val="000000"/>
          <w:sz w:val="32"/>
          <w:szCs w:val="32"/>
          <w:highlight w:val="none"/>
        </w:rPr>
        <w:t>•</w:t>
      </w:r>
      <w:r>
        <w:rPr>
          <w:rFonts w:ascii="Times New Roman" w:eastAsia="仿宋_GB2312" w:cs="Times New Roman"/>
          <w:bCs/>
          <w:snapToGrid w:val="0"/>
          <w:color w:val="000000"/>
          <w:sz w:val="32"/>
          <w:szCs w:val="32"/>
          <w:highlight w:val="none"/>
        </w:rPr>
        <w:t>富台论道”品牌活动，举办星期五下午茶136期，发布“益言益行”81期。</w:t>
      </w:r>
      <w:r>
        <w:rPr>
          <w:rFonts w:ascii="Times New Roman" w:eastAsia="仿宋_GB2312" w:cs="Times New Roman"/>
          <w:b/>
          <w:bCs/>
          <w:snapToGrid w:val="0"/>
          <w:color w:val="000000"/>
          <w:sz w:val="32"/>
          <w:szCs w:val="32"/>
          <w:highlight w:val="none"/>
        </w:rPr>
        <w:t>四是加快社工队伍及社工站建设。</w:t>
      </w:r>
      <w:r>
        <w:rPr>
          <w:rFonts w:ascii="Times New Roman" w:eastAsia="仿宋_GB2312" w:cs="Times New Roman"/>
          <w:kern w:val="2"/>
          <w:sz w:val="32"/>
          <w:szCs w:val="32"/>
          <w:highlight w:val="none"/>
        </w:rPr>
        <w:t>今年全区共有80人参加社工考试，通过考试的30人，通过率达37.5%。继续组织辖区社工考试人员免费培训，累计培训107课时、2180人次；在全区5个街道和1个镇（仲权镇）建设社会工作站；</w:t>
      </w:r>
      <w:r>
        <w:rPr>
          <w:rFonts w:ascii="Times New Roman" w:eastAsia="仿宋_GB2312" w:cs="Times New Roman"/>
          <w:bCs/>
          <w:kern w:val="2"/>
          <w:sz w:val="32"/>
          <w:szCs w:val="32"/>
          <w:highlight w:val="none"/>
        </w:rPr>
        <w:t>实施市社会工作服务项目2个。</w:t>
      </w:r>
    </w:p>
    <w:p>
      <w:pPr>
        <w:pageBreakBefore w:val="0"/>
        <w:widowControl w:val="0"/>
        <w:kinsoku/>
        <w:wordWrap/>
        <w:overflowPunct w:val="0"/>
        <w:topLinePunct w:val="0"/>
        <w:autoSpaceDE/>
        <w:autoSpaceDN/>
        <w:bidi w:val="0"/>
        <w:adjustRightInd w:val="0"/>
        <w:snapToGrid w:val="0"/>
        <w:spacing w:line="592" w:lineRule="exact"/>
        <w:textAlignment w:val="top"/>
        <w:rPr>
          <w:rFonts w:ascii="Times New Roman" w:eastAsia="仿宋_GB2312" w:cs="Times New Roman"/>
          <w:sz w:val="32"/>
          <w:szCs w:val="32"/>
          <w:highlight w:val="none"/>
        </w:rPr>
      </w:pPr>
      <w:r>
        <w:rPr>
          <w:rFonts w:hint="eastAsia" w:ascii="Times New Roman" w:eastAsia="仿宋_GB2312" w:cs="Times New Roman"/>
          <w:sz w:val="32"/>
          <w:szCs w:val="32"/>
          <w:highlight w:val="none"/>
        </w:rPr>
        <w:t xml:space="preserve">    </w:t>
      </w:r>
      <w:r>
        <w:rPr>
          <w:rFonts w:hint="eastAsia" w:ascii="仿宋_GB2312" w:hAnsi="仿宋_GB2312" w:cs="仿宋_GB2312"/>
          <w:b/>
          <w:bCs/>
          <w:sz w:val="32"/>
          <w:szCs w:val="32"/>
          <w:highlight w:val="none"/>
          <w:lang w:val="en-US" w:eastAsia="zh-CN"/>
        </w:rPr>
        <w:t>9.</w:t>
      </w:r>
      <w:r>
        <w:rPr>
          <w:rFonts w:hint="eastAsia" w:ascii="仿宋_GB2312" w:hAnsi="仿宋_GB2312" w:eastAsia="仿宋_GB2312" w:cs="仿宋_GB2312"/>
          <w:b/>
          <w:bCs/>
          <w:sz w:val="32"/>
          <w:szCs w:val="32"/>
          <w:highlight w:val="none"/>
          <w:lang w:val="en-US" w:eastAsia="zh-CN"/>
        </w:rPr>
        <w:t>党建工作。</w:t>
      </w:r>
      <w:r>
        <w:rPr>
          <w:rFonts w:ascii="Times New Roman" w:eastAsia="仿宋_GB2312" w:cs="Times New Roman"/>
          <w:b/>
          <w:kern w:val="2"/>
          <w:sz w:val="32"/>
          <w:szCs w:val="32"/>
          <w:highlight w:val="none"/>
        </w:rPr>
        <w:t>一是</w:t>
      </w:r>
      <w:r>
        <w:rPr>
          <w:rFonts w:ascii="Times New Roman" w:eastAsia="仿宋_GB2312" w:cs="Times New Roman"/>
          <w:b/>
          <w:snapToGrid w:val="0"/>
          <w:sz w:val="32"/>
          <w:szCs w:val="32"/>
          <w:highlight w:val="none"/>
        </w:rPr>
        <w:t>全面推动党建工作提质增效。</w:t>
      </w:r>
      <w:r>
        <w:rPr>
          <w:rFonts w:ascii="Times New Roman" w:eastAsia="仿宋_GB2312" w:cs="Times New Roman"/>
          <w:kern w:val="2"/>
          <w:sz w:val="32"/>
          <w:szCs w:val="32"/>
          <w:highlight w:val="none"/>
        </w:rPr>
        <w:t>发挥党组织战斗堡垒和党员先锋模范作用，在今年这场没有硝烟的战“疫”中，全局党员主动作为、冲锋在前，扎实做好养老福利机构、村（社区）疫情防控。坚持开展区民政局周学习活动，及时学习传达上级党委、政府、纪委的工作部署及文件会议精神，全年</w:t>
      </w:r>
      <w:r>
        <w:rPr>
          <w:rFonts w:ascii="Times New Roman" w:eastAsia="仿宋_GB2312" w:cs="Times New Roman"/>
          <w:sz w:val="32"/>
          <w:szCs w:val="32"/>
          <w:highlight w:val="none"/>
        </w:rPr>
        <w:t>集中学习30余次。加强意识形态领域工作队伍建设，不断增强党的战斗力，通过</w:t>
      </w:r>
      <w:r>
        <w:rPr>
          <w:rFonts w:ascii="Times New Roman" w:eastAsia="仿宋_GB2312" w:cs="Times New Roman"/>
          <w:kern w:val="2"/>
          <w:sz w:val="32"/>
          <w:szCs w:val="32"/>
          <w:highlight w:val="none"/>
        </w:rPr>
        <w:t>规范内部管理制度、</w:t>
      </w:r>
      <w:r>
        <w:rPr>
          <w:rFonts w:ascii="Times New Roman" w:eastAsia="仿宋_GB2312" w:cs="Times New Roman"/>
          <w:bCs/>
          <w:kern w:val="2"/>
          <w:sz w:val="32"/>
          <w:szCs w:val="32"/>
          <w:highlight w:val="none"/>
        </w:rPr>
        <w:t>谈心谈话等方式加强干部教育，</w:t>
      </w:r>
      <w:r>
        <w:rPr>
          <w:rFonts w:ascii="Times New Roman" w:eastAsia="仿宋_GB2312" w:cs="Times New Roman"/>
          <w:kern w:val="2"/>
          <w:sz w:val="32"/>
          <w:szCs w:val="32"/>
          <w:highlight w:val="none"/>
        </w:rPr>
        <w:t>牢牢掌控意识形态主动权。</w:t>
      </w:r>
      <w:r>
        <w:rPr>
          <w:rFonts w:ascii="Times New Roman" w:eastAsia="仿宋_GB2312" w:cs="Times New Roman"/>
          <w:b/>
          <w:kern w:val="2"/>
          <w:sz w:val="32"/>
          <w:szCs w:val="32"/>
          <w:highlight w:val="none"/>
        </w:rPr>
        <w:t>二是纵深推进全面从严治党。</w:t>
      </w:r>
      <w:r>
        <w:rPr>
          <w:rFonts w:ascii="Times New Roman" w:eastAsia="仿宋_GB2312" w:cs="Times New Roman"/>
          <w:sz w:val="32"/>
          <w:szCs w:val="32"/>
          <w:highlight w:val="none"/>
        </w:rPr>
        <w:t>加强单位干部职工监督管理，严格工作纪律，对思想有所松懈、工作积极程度不够的同志及时教育提醒，全年开展领导提醒谈话20余人次，组织观看警示教育片4次，</w:t>
      </w:r>
      <w:r>
        <w:rPr>
          <w:rFonts w:ascii="Times New Roman" w:eastAsia="仿宋_GB2312" w:cs="Times New Roman"/>
          <w:bCs/>
          <w:sz w:val="32"/>
          <w:szCs w:val="32"/>
          <w:highlight w:val="none"/>
        </w:rPr>
        <w:t>作风建设提示6次，要求各党员干部要严于律己，干净做人做事。今年以来，通过工</w:t>
      </w:r>
      <w:r>
        <w:rPr>
          <w:rFonts w:ascii="Times New Roman" w:eastAsia="仿宋_GB2312" w:cs="Times New Roman"/>
          <w:sz w:val="32"/>
          <w:szCs w:val="32"/>
          <w:highlight w:val="none"/>
        </w:rPr>
        <w:t>作群发送廉洁提醒短信10条，开展集体廉政谈话6次，上党课3次，进一步提升了干部职工思想认识，切实筑牢思想防线。</w:t>
      </w:r>
      <w:r>
        <w:rPr>
          <w:rFonts w:ascii="Times New Roman" w:eastAsia="仿宋_GB2312" w:cs="Times New Roman"/>
          <w:b/>
          <w:kern w:val="2"/>
          <w:sz w:val="32"/>
          <w:szCs w:val="32"/>
          <w:highlight w:val="none"/>
        </w:rPr>
        <w:t>三是持续加强干部队伍建设。</w:t>
      </w:r>
      <w:r>
        <w:rPr>
          <w:rFonts w:ascii="Times New Roman" w:eastAsia="仿宋_GB2312" w:cs="Times New Roman"/>
          <w:kern w:val="2"/>
          <w:sz w:val="32"/>
          <w:szCs w:val="32"/>
          <w:highlight w:val="none"/>
        </w:rPr>
        <w:t>为加强党员干部党性学习教育，组织开展了庆祝建党99周年、卢德铭故居听党课、过“政治生日”、重温入党誓词等教育活动。抓好党员队伍建设，把政治素质较高、表现突出的职工纳入入党积极分子储备库，作为重点培养对象，现有党员发展对象3人、积极分子1人，2021年计划发展积极分子4人。</w:t>
      </w:r>
    </w:p>
    <w:p>
      <w:pPr>
        <w:keepNext w:val="0"/>
        <w:keepLines w:val="0"/>
        <w:pageBreakBefore w:val="0"/>
        <w:numPr>
          <w:ilvl w:val="0"/>
          <w:numId w:val="0"/>
        </w:numPr>
        <w:kinsoku/>
        <w:wordWrap/>
        <w:overflowPunct/>
        <w:topLinePunct w:val="0"/>
        <w:bidi w:val="0"/>
        <w:spacing w:line="560" w:lineRule="exact"/>
        <w:ind w:firstLine="643"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b/>
          <w:bCs/>
          <w:sz w:val="32"/>
          <w:szCs w:val="32"/>
        </w:rPr>
        <w:t>1</w:t>
      </w:r>
      <w:r>
        <w:rPr>
          <w:rFonts w:hint="eastAsia" w:ascii="仿宋_GB2312" w:cs="Times New Roman"/>
          <w:b/>
          <w:bCs/>
          <w:sz w:val="32"/>
          <w:szCs w:val="32"/>
          <w:lang w:val="en-US" w:eastAsia="zh-CN"/>
        </w:rPr>
        <w:t>0</w:t>
      </w:r>
      <w:r>
        <w:rPr>
          <w:rFonts w:ascii="仿宋_GB2312" w:eastAsia="仿宋_GB2312"/>
          <w:b/>
          <w:bCs/>
          <w:sz w:val="32"/>
          <w:szCs w:val="32"/>
        </w:rPr>
        <w:t>.</w:t>
      </w:r>
      <w:r>
        <w:rPr>
          <w:rFonts w:hint="eastAsia" w:ascii="仿宋_GB2312" w:hAnsi="Times New Roman" w:eastAsia="仿宋_GB2312" w:cs="Times New Roman"/>
          <w:b/>
          <w:bCs/>
          <w:sz w:val="32"/>
          <w:szCs w:val="32"/>
        </w:rPr>
        <w:t>养护楼工程建设工作</w:t>
      </w:r>
      <w:r>
        <w:rPr>
          <w:rFonts w:hint="eastAsia" w:ascii="仿宋_GB2312" w:hAnsi="Times New Roman" w:cs="Times New Roman"/>
          <w:b/>
          <w:bCs/>
          <w:sz w:val="32"/>
          <w:szCs w:val="32"/>
          <w:lang w:eastAsia="zh-CN"/>
        </w:rPr>
        <w:t>。</w:t>
      </w:r>
      <w:r>
        <w:rPr>
          <w:rFonts w:hint="eastAsia" w:ascii="仿宋_GB2312" w:hAnsi="仿宋" w:eastAsia="仿宋_GB2312" w:cs="仿宋"/>
          <w:color w:val="000000"/>
          <w:sz w:val="32"/>
          <w:szCs w:val="32"/>
          <w:lang w:val="en-US" w:eastAsia="zh-CN"/>
        </w:rPr>
        <w:t>2020年福利院养护楼工程按照年初目标有序地进行建设，全年无任何安全事故发生。</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宋体" w:eastAsia="仿宋_GB2312" w:cs="仿宋_GB2312"/>
          <w:sz w:val="32"/>
          <w:szCs w:val="32"/>
        </w:rPr>
      </w:pPr>
      <w:r>
        <w:rPr>
          <w:rFonts w:hint="eastAsia" w:ascii="仿宋_GB2312" w:hAnsi="宋体" w:cs="仿宋_GB2312"/>
          <w:b/>
          <w:bCs/>
          <w:sz w:val="32"/>
          <w:szCs w:val="32"/>
          <w:lang w:val="en-US" w:eastAsia="zh-CN"/>
        </w:rPr>
        <w:t>11</w:t>
      </w:r>
      <w:r>
        <w:rPr>
          <w:rFonts w:ascii="仿宋_GB2312" w:eastAsia="仿宋_GB2312"/>
          <w:b/>
          <w:bCs/>
          <w:sz w:val="32"/>
          <w:szCs w:val="32"/>
        </w:rPr>
        <w:t>.</w:t>
      </w:r>
      <w:r>
        <w:rPr>
          <w:rFonts w:hint="eastAsia" w:ascii="仿宋_GB2312" w:hAnsi="宋体" w:eastAsia="仿宋_GB2312" w:cs="仿宋_GB2312"/>
          <w:b/>
          <w:bCs/>
          <w:sz w:val="32"/>
          <w:szCs w:val="32"/>
        </w:rPr>
        <w:t>加强学习</w:t>
      </w:r>
      <w:r>
        <w:rPr>
          <w:rFonts w:hint="eastAsia" w:ascii="仿宋_GB2312" w:hAnsi="宋体" w:cs="仿宋_GB2312"/>
          <w:b/>
          <w:bCs/>
          <w:sz w:val="32"/>
          <w:szCs w:val="32"/>
          <w:lang w:eastAsia="zh-CN"/>
        </w:rPr>
        <w:t>。</w:t>
      </w:r>
      <w:r>
        <w:rPr>
          <w:rFonts w:ascii="仿宋_GB2312" w:hAnsi="宋体" w:eastAsia="仿宋_GB2312" w:cs="仿宋_GB2312"/>
          <w:sz w:val="32"/>
          <w:szCs w:val="32"/>
        </w:rPr>
        <w:t>加强政治思想和专业技术学习，全面提高职工综合素质和业务素质。</w:t>
      </w:r>
    </w:p>
    <w:p>
      <w:pPr>
        <w:spacing w:line="560" w:lineRule="exact"/>
        <w:ind w:firstLine="643" w:firstLineChars="200"/>
        <w:rPr>
          <w:rFonts w:ascii="仿宋_GB2312" w:hAnsi="宋体" w:eastAsia="仿宋_GB2312" w:cs="仿宋_GB2312"/>
          <w:sz w:val="32"/>
          <w:szCs w:val="32"/>
        </w:rPr>
      </w:pPr>
      <w:r>
        <w:rPr>
          <w:rFonts w:hint="eastAsia" w:ascii="仿宋_GB2312" w:hAnsi="宋体" w:cs="仿宋_GB2312"/>
          <w:b/>
          <w:bCs/>
          <w:sz w:val="32"/>
          <w:szCs w:val="32"/>
          <w:lang w:val="en-US" w:eastAsia="zh-CN"/>
        </w:rPr>
        <w:t>12</w:t>
      </w:r>
      <w:r>
        <w:rPr>
          <w:rFonts w:ascii="仿宋_GB2312" w:eastAsia="仿宋_GB2312"/>
          <w:b/>
          <w:bCs/>
          <w:sz w:val="32"/>
          <w:szCs w:val="32"/>
        </w:rPr>
        <w:t>.</w:t>
      </w:r>
      <w:r>
        <w:rPr>
          <w:rFonts w:hint="eastAsia" w:ascii="仿宋_GB2312" w:hAnsi="宋体" w:eastAsia="仿宋_GB2312" w:cs="仿宋_GB2312"/>
          <w:b/>
          <w:bCs/>
          <w:sz w:val="32"/>
          <w:szCs w:val="32"/>
        </w:rPr>
        <w:t>加强管理</w:t>
      </w:r>
      <w:r>
        <w:rPr>
          <w:rFonts w:hint="eastAsia" w:ascii="仿宋_GB2312" w:hAnsi="宋体" w:cs="仿宋_GB2312"/>
          <w:b/>
          <w:bCs/>
          <w:sz w:val="32"/>
          <w:szCs w:val="32"/>
          <w:lang w:eastAsia="zh-CN"/>
        </w:rPr>
        <w:t>。</w:t>
      </w:r>
      <w:r>
        <w:rPr>
          <w:rFonts w:ascii="仿宋_GB2312" w:hAnsi="宋体" w:eastAsia="仿宋_GB2312" w:cs="仿宋_GB2312"/>
          <w:sz w:val="32"/>
          <w:szCs w:val="32"/>
        </w:rPr>
        <w:t>完善制度，严格落实年度目标责任制，切实形成年度目标任务件件有着落，事事有人管，层层抓落实的良好局面。</w:t>
      </w:r>
    </w:p>
    <w:p>
      <w:pPr>
        <w:pageBreakBefore w:val="0"/>
        <w:widowControl w:val="0"/>
        <w:kinsoku/>
        <w:wordWrap/>
        <w:overflowPunct/>
        <w:topLinePunct w:val="0"/>
        <w:autoSpaceDE/>
        <w:autoSpaceDN/>
        <w:bidi w:val="0"/>
        <w:adjustRightInd w:val="0"/>
        <w:snapToGrid w:val="0"/>
        <w:spacing w:after="157" w:afterLines="50" w:line="560" w:lineRule="exact"/>
        <w:ind w:firstLine="643" w:firstLineChars="200"/>
        <w:textAlignment w:val="auto"/>
        <w:rPr>
          <w:rFonts w:hint="eastAsia" w:ascii="仿宋" w:hAnsi="仿宋" w:eastAsia="仿宋"/>
          <w:bCs/>
          <w:color w:val="000000"/>
          <w:sz w:val="32"/>
          <w:szCs w:val="32"/>
        </w:rPr>
      </w:pPr>
      <w:r>
        <w:rPr>
          <w:rFonts w:hint="eastAsia" w:ascii="仿宋_GB2312" w:hAnsi="宋体" w:cs="仿宋_GB2312"/>
          <w:b/>
          <w:bCs/>
          <w:sz w:val="32"/>
          <w:szCs w:val="32"/>
          <w:lang w:val="en-US" w:eastAsia="zh-CN"/>
        </w:rPr>
        <w:t>13</w:t>
      </w:r>
      <w:r>
        <w:rPr>
          <w:rFonts w:ascii="仿宋_GB2312" w:eastAsia="仿宋_GB2312"/>
          <w:b/>
          <w:bCs/>
          <w:sz w:val="32"/>
          <w:szCs w:val="32"/>
        </w:rPr>
        <w:t>.</w:t>
      </w:r>
      <w:r>
        <w:rPr>
          <w:rFonts w:hint="eastAsia" w:ascii="仿宋_GB2312" w:hAnsi="宋体" w:eastAsia="仿宋_GB2312" w:cs="仿宋_GB2312"/>
          <w:b/>
          <w:bCs/>
          <w:sz w:val="32"/>
          <w:szCs w:val="32"/>
        </w:rPr>
        <w:t>提高服务质量</w:t>
      </w:r>
      <w:r>
        <w:rPr>
          <w:rFonts w:hint="eastAsia" w:ascii="仿宋_GB2312" w:hAnsi="宋体" w:cs="仿宋_GB2312"/>
          <w:b/>
          <w:bCs/>
          <w:sz w:val="32"/>
          <w:szCs w:val="32"/>
          <w:lang w:eastAsia="zh-CN"/>
        </w:rPr>
        <w:t>。</w:t>
      </w:r>
      <w:r>
        <w:rPr>
          <w:rFonts w:ascii="仿宋_GB2312" w:hAnsi="宋体" w:eastAsia="仿宋_GB2312" w:cs="仿宋_GB2312"/>
          <w:sz w:val="32"/>
          <w:szCs w:val="32"/>
        </w:rPr>
        <w:t>紧紧围绕老有所养、老有所居，老有所乐、病有所治开展工作。努力打造建设一个宜居福利院、文化福利院、绿色福利院、平安福利院，健康福利院，在全社会中树立良好的福利机构形象。共同努力把福利院建成老人得实惠、院受益、设备齐全、生活就医方便的一个让人向往的精神家园。</w:t>
      </w:r>
    </w:p>
    <w:p>
      <w:pPr>
        <w:pStyle w:val="4"/>
        <w:rPr>
          <w:rStyle w:val="15"/>
          <w:b w:val="0"/>
          <w:bCs w:val="0"/>
        </w:rPr>
      </w:pPr>
      <w:bookmarkStart w:id="8" w:name="_Toc15377200"/>
      <w:bookmarkStart w:id="9" w:name="_Toc6092"/>
      <w:bookmarkStart w:id="10" w:name="_Toc15396601"/>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ind w:firstLine="800" w:firstLineChars="250"/>
        <w:rPr>
          <w:rFonts w:ascii="仿宋" w:hAnsi="仿宋" w:eastAsia="仿宋"/>
          <w:sz w:val="32"/>
          <w:szCs w:val="32"/>
        </w:rPr>
      </w:pPr>
      <w:r>
        <w:rPr>
          <w:rFonts w:hint="eastAsia" w:ascii="仿宋" w:hAnsi="仿宋" w:eastAsia="仿宋"/>
          <w:sz w:val="32"/>
          <w:szCs w:val="32"/>
        </w:rPr>
        <w:t>自贡市自流井区民政局下属二级单位5个（含主管局本级）</w:t>
      </w:r>
      <w:r>
        <w:rPr>
          <w:rFonts w:hint="eastAsia" w:ascii="仿宋" w:hAnsi="仿宋" w:eastAsia="仿宋"/>
          <w:sz w:val="32"/>
          <w:szCs w:val="32"/>
          <w:lang w:eastAsia="zh-CN"/>
        </w:rPr>
        <w:t>，</w:t>
      </w:r>
      <w:r>
        <w:rPr>
          <w:rFonts w:hint="eastAsia" w:ascii="仿宋" w:hAnsi="仿宋" w:eastAsia="仿宋"/>
          <w:sz w:val="32"/>
          <w:szCs w:val="32"/>
        </w:rPr>
        <w:t>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4</w:t>
      </w:r>
      <w:r>
        <w:rPr>
          <w:rFonts w:hint="eastAsia" w:ascii="仿宋" w:hAnsi="仿宋" w:eastAsia="仿宋"/>
          <w:sz w:val="32"/>
          <w:szCs w:val="32"/>
        </w:rPr>
        <w:t>个。</w:t>
      </w:r>
    </w:p>
    <w:p>
      <w:pPr>
        <w:pStyle w:val="5"/>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纳入</w:t>
      </w:r>
      <w:r>
        <w:rPr>
          <w:rFonts w:hint="eastAsia" w:ascii="仿宋" w:hAnsi="仿宋" w:eastAsia="仿宋"/>
          <w:sz w:val="32"/>
          <w:szCs w:val="32"/>
        </w:rPr>
        <w:t>自贡市自流井区民政局</w:t>
      </w:r>
      <w:r>
        <w:rPr>
          <w:rFonts w:ascii="仿宋" w:hAnsi="仿宋" w:eastAsia="仿宋"/>
          <w:color w:val="000000"/>
          <w:sz w:val="32"/>
          <w:szCs w:val="32"/>
        </w:rPr>
        <w:t>2020</w:t>
      </w:r>
      <w:r>
        <w:rPr>
          <w:rFonts w:hint="eastAsia" w:ascii="仿宋" w:hAnsi="仿宋" w:eastAsia="仿宋"/>
          <w:color w:val="000000"/>
          <w:sz w:val="32"/>
          <w:szCs w:val="32"/>
        </w:rPr>
        <w:t>年度部门决算编制范围的二级预算单位包括：</w:t>
      </w:r>
    </w:p>
    <w:p>
      <w:pPr>
        <w:pStyle w:val="5"/>
        <w:numPr>
          <w:ilvl w:val="0"/>
          <w:numId w:val="1"/>
        </w:numPr>
        <w:adjustRightInd w:val="0"/>
        <w:snapToGrid w:val="0"/>
        <w:spacing w:before="93" w:line="600" w:lineRule="exact"/>
        <w:outlineLvl w:val="2"/>
        <w:rPr>
          <w:rFonts w:ascii="仿宋" w:hAnsi="仿宋" w:eastAsia="仿宋"/>
          <w:color w:val="000000"/>
          <w:sz w:val="32"/>
          <w:szCs w:val="32"/>
        </w:rPr>
      </w:pPr>
      <w:bookmarkStart w:id="11" w:name="_Toc15306276"/>
      <w:bookmarkStart w:id="12" w:name="_Toc15377202"/>
      <w:bookmarkStart w:id="13" w:name="_Toc15378449"/>
      <w:bookmarkStart w:id="14" w:name="_Toc15377433"/>
      <w:r>
        <w:rPr>
          <w:rFonts w:hint="eastAsia" w:ascii="仿宋" w:hAnsi="仿宋" w:eastAsia="仿宋"/>
          <w:color w:val="000000"/>
          <w:sz w:val="32"/>
          <w:szCs w:val="32"/>
        </w:rPr>
        <w:t>自贡市自流井区社会福利院</w:t>
      </w:r>
      <w:bookmarkEnd w:id="11"/>
      <w:bookmarkEnd w:id="12"/>
      <w:bookmarkEnd w:id="13"/>
      <w:bookmarkEnd w:id="14"/>
    </w:p>
    <w:p>
      <w:pPr>
        <w:widowControl/>
        <w:jc w:val="left"/>
        <w:rPr>
          <w:rFonts w:ascii="仿宋" w:hAnsi="仿宋" w:eastAsia="仿宋"/>
          <w:color w:val="000000"/>
          <w:kern w:val="0"/>
          <w:sz w:val="32"/>
          <w:szCs w:val="32"/>
        </w:rPr>
      </w:pPr>
      <w:r>
        <w:rPr>
          <w:rFonts w:ascii="仿宋" w:hAnsi="仿宋" w:eastAsia="仿宋"/>
          <w:color w:val="000000"/>
          <w:sz w:val="32"/>
          <w:szCs w:val="32"/>
        </w:rPr>
        <w:br w:type="page"/>
      </w:r>
    </w:p>
    <w:p>
      <w:pPr>
        <w:pStyle w:val="3"/>
        <w:ind w:right="440"/>
        <w:jc w:val="right"/>
        <w:rPr>
          <w:rStyle w:val="14"/>
          <w:rFonts w:ascii="黑体" w:hAnsi="黑体" w:eastAsia="黑体"/>
          <w:b w:val="0"/>
          <w:bCs w:val="0"/>
        </w:rPr>
      </w:pPr>
      <w:bookmarkStart w:id="15" w:name="_Toc15377204"/>
      <w:bookmarkStart w:id="16" w:name="_Toc23109"/>
      <w:bookmarkStart w:id="17" w:name="_Toc15396602"/>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5"/>
      <w:bookmarkEnd w:id="16"/>
      <w:bookmarkEnd w:id="17"/>
    </w:p>
    <w:p/>
    <w:p>
      <w:pPr>
        <w:pStyle w:val="16"/>
        <w:numPr>
          <w:ilvl w:val="0"/>
          <w:numId w:val="2"/>
        </w:numPr>
        <w:spacing w:line="600" w:lineRule="exact"/>
        <w:ind w:firstLineChars="0"/>
        <w:outlineLvl w:val="1"/>
        <w:rPr>
          <w:rStyle w:val="15"/>
          <w:rFonts w:ascii="黑体" w:hAnsi="黑体" w:eastAsia="黑体"/>
          <w:b w:val="0"/>
        </w:rPr>
      </w:pPr>
      <w:bookmarkStart w:id="18" w:name="_Toc15396603"/>
      <w:bookmarkStart w:id="19" w:name="_Toc15377205"/>
      <w:bookmarkStart w:id="20" w:name="_Toc7163"/>
      <w:r>
        <w:rPr>
          <w:rFonts w:hint="eastAsia" w:ascii="黑体" w:hAnsi="黑体" w:eastAsia="黑体"/>
          <w:color w:val="000000"/>
          <w:sz w:val="32"/>
          <w:szCs w:val="32"/>
        </w:rPr>
        <w:t>收</w:t>
      </w:r>
      <w:r>
        <w:rPr>
          <w:rStyle w:val="15"/>
          <w:rFonts w:hint="eastAsia" w:ascii="黑体" w:hAnsi="黑体" w:eastAsia="黑体"/>
          <w:b w:val="0"/>
        </w:rPr>
        <w:t>入支出决算总体情况说明</w:t>
      </w:r>
      <w:bookmarkEnd w:id="18"/>
      <w:bookmarkEnd w:id="19"/>
      <w:bookmarkEnd w:id="20"/>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年度收、支总计</w:t>
      </w:r>
      <w:r>
        <w:rPr>
          <w:rFonts w:hint="eastAsia" w:ascii="仿宋" w:hAnsi="仿宋" w:eastAsia="仿宋"/>
          <w:color w:val="000000"/>
          <w:sz w:val="32"/>
          <w:szCs w:val="32"/>
          <w:lang w:val="en-US" w:eastAsia="zh-CN"/>
        </w:rPr>
        <w:t>4880.74</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年相比，收、支总计各减少</w:t>
      </w:r>
      <w:r>
        <w:rPr>
          <w:rFonts w:hint="eastAsia" w:ascii="仿宋" w:hAnsi="仿宋" w:eastAsia="仿宋"/>
          <w:color w:val="000000"/>
          <w:sz w:val="32"/>
          <w:szCs w:val="32"/>
          <w:lang w:val="en-US" w:eastAsia="zh-CN"/>
        </w:rPr>
        <w:t>1207.06</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19.83</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2019年数据包含机改前1-5月数据。</w:t>
      </w:r>
    </w:p>
    <w:p>
      <w:pPr>
        <w:spacing w:line="600" w:lineRule="exact"/>
        <w:ind w:firstLine="640" w:firstLineChars="200"/>
        <w:rPr>
          <w:rFonts w:hint="eastAsia" w:ascii="仿宋" w:hAnsi="仿宋" w:eastAsia="仿宋"/>
          <w:color w:val="000000"/>
          <w:sz w:val="32"/>
          <w:szCs w:val="32"/>
        </w:rPr>
      </w:pPr>
      <w:r>
        <w:drawing>
          <wp:anchor distT="0" distB="0" distL="114300" distR="114300" simplePos="0" relativeHeight="251660288" behindDoc="1" locked="0" layoutInCell="1" allowOverlap="1">
            <wp:simplePos x="0" y="0"/>
            <wp:positionH relativeFrom="column">
              <wp:posOffset>361950</wp:posOffset>
            </wp:positionH>
            <wp:positionV relativeFrom="paragraph">
              <wp:posOffset>69850</wp:posOffset>
            </wp:positionV>
            <wp:extent cx="4533900" cy="2924175"/>
            <wp:effectExtent l="4445" t="4445" r="14605" b="5080"/>
            <wp:wrapNone/>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spacing w:line="600" w:lineRule="exact"/>
        <w:ind w:firstLine="640" w:firstLineChars="200"/>
        <w:jc w:val="left"/>
        <w:rPr>
          <w:rFonts w:ascii="仿宋_GB2312" w:eastAsia="仿宋_GB2312"/>
          <w:color w:val="000000"/>
          <w:sz w:val="32"/>
          <w:szCs w:val="32"/>
        </w:rPr>
      </w:pPr>
    </w:p>
    <w:p>
      <w:pPr>
        <w:pStyle w:val="16"/>
        <w:numPr>
          <w:ilvl w:val="0"/>
          <w:numId w:val="2"/>
        </w:numPr>
        <w:spacing w:line="600" w:lineRule="exact"/>
        <w:ind w:firstLineChars="0"/>
        <w:outlineLvl w:val="1"/>
        <w:rPr>
          <w:rStyle w:val="15"/>
          <w:rFonts w:ascii="黑体" w:hAnsi="黑体" w:eastAsia="黑体"/>
          <w:b w:val="0"/>
        </w:rPr>
      </w:pPr>
      <w:bookmarkStart w:id="21" w:name="_Toc15396604"/>
      <w:bookmarkStart w:id="22" w:name="_Toc25258"/>
      <w:bookmarkStart w:id="23" w:name="_Toc15377206"/>
      <w:r>
        <w:rPr>
          <w:rFonts w:hint="eastAsia" w:ascii="黑体" w:hAnsi="黑体" w:eastAsia="黑体"/>
          <w:color w:val="000000"/>
          <w:sz w:val="32"/>
          <w:szCs w:val="32"/>
        </w:rPr>
        <w:t>收</w:t>
      </w:r>
      <w:r>
        <w:rPr>
          <w:rStyle w:val="15"/>
          <w:rFonts w:hint="eastAsia" w:ascii="黑体" w:hAnsi="黑体" w:eastAsia="黑体"/>
          <w:b w:val="0"/>
        </w:rPr>
        <w:t>入决算情况说明</w:t>
      </w:r>
      <w:bookmarkEnd w:id="21"/>
      <w:bookmarkEnd w:id="22"/>
      <w:bookmarkEnd w:id="23"/>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3780.47</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3400.37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89.95</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380.1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10.05</w:t>
      </w:r>
      <w:r>
        <w:rPr>
          <w:rFonts w:ascii="仿宋" w:hAnsi="仿宋" w:eastAsia="仿宋"/>
          <w:color w:val="000000"/>
          <w:sz w:val="32"/>
          <w:szCs w:val="32"/>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outlineLvl w:val="1"/>
        <w:rPr>
          <w:rFonts w:ascii="仿宋" w:hAnsi="仿宋" w:eastAsia="仿宋"/>
          <w:color w:val="000000"/>
          <w:sz w:val="32"/>
          <w:szCs w:val="32"/>
        </w:rPr>
      </w:pPr>
      <w:r>
        <w:drawing>
          <wp:anchor distT="0" distB="0" distL="114300" distR="114300" simplePos="0" relativeHeight="251661312" behindDoc="1" locked="0" layoutInCell="1" allowOverlap="1">
            <wp:simplePos x="0" y="0"/>
            <wp:positionH relativeFrom="column">
              <wp:posOffset>371475</wp:posOffset>
            </wp:positionH>
            <wp:positionV relativeFrom="paragraph">
              <wp:posOffset>28575</wp:posOffset>
            </wp:positionV>
            <wp:extent cx="4572000" cy="2743200"/>
            <wp:effectExtent l="4445" t="4445" r="14605" b="14605"/>
            <wp:wrapNone/>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pStyle w:val="2"/>
        <w:rPr>
          <w:rFonts w:ascii="仿宋" w:hAnsi="仿宋" w:eastAsia="仿宋"/>
          <w:color w:val="000000"/>
          <w:sz w:val="32"/>
          <w:szCs w:val="32"/>
        </w:rPr>
      </w:pPr>
    </w:p>
    <w:p>
      <w:pPr>
        <w:rPr>
          <w:rFonts w:ascii="仿宋" w:hAnsi="仿宋" w:eastAsia="仿宋"/>
          <w:color w:val="000000"/>
          <w:sz w:val="32"/>
          <w:szCs w:val="32"/>
        </w:rPr>
      </w:pPr>
    </w:p>
    <w:p>
      <w:pPr>
        <w:pStyle w:val="2"/>
        <w:rPr>
          <w:rFonts w:ascii="仿宋" w:hAnsi="仿宋" w:eastAsia="仿宋"/>
          <w:color w:val="000000"/>
          <w:sz w:val="32"/>
          <w:szCs w:val="32"/>
        </w:rPr>
      </w:pPr>
    </w:p>
    <w:p>
      <w:pPr>
        <w:rPr>
          <w:rFonts w:ascii="仿宋" w:hAnsi="仿宋" w:eastAsia="仿宋"/>
          <w:color w:val="000000"/>
          <w:sz w:val="32"/>
          <w:szCs w:val="32"/>
        </w:rPr>
      </w:pPr>
    </w:p>
    <w:p>
      <w:pPr>
        <w:pStyle w:val="2"/>
        <w:rPr>
          <w:rFonts w:ascii="仿宋" w:hAnsi="仿宋" w:eastAsia="仿宋"/>
          <w:color w:val="000000"/>
          <w:sz w:val="32"/>
          <w:szCs w:val="32"/>
        </w:rPr>
      </w:pPr>
    </w:p>
    <w:p/>
    <w:p>
      <w:pPr>
        <w:spacing w:line="600" w:lineRule="exact"/>
        <w:ind w:firstLine="1600" w:firstLineChars="5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spacing w:line="600" w:lineRule="exact"/>
        <w:ind w:firstLine="640" w:firstLineChars="200"/>
        <w:rPr>
          <w:rFonts w:ascii="仿宋_GB2312" w:eastAsia="仿宋_GB2312"/>
          <w:color w:val="FF0000"/>
          <w:sz w:val="32"/>
          <w:szCs w:val="32"/>
        </w:rPr>
      </w:pPr>
    </w:p>
    <w:p>
      <w:pPr>
        <w:pStyle w:val="16"/>
        <w:numPr>
          <w:ilvl w:val="0"/>
          <w:numId w:val="2"/>
        </w:numPr>
        <w:spacing w:line="600" w:lineRule="exact"/>
        <w:ind w:firstLineChars="0"/>
        <w:outlineLvl w:val="1"/>
        <w:rPr>
          <w:rStyle w:val="15"/>
          <w:rFonts w:ascii="黑体" w:hAnsi="黑体" w:eastAsia="黑体"/>
          <w:b w:val="0"/>
        </w:rPr>
      </w:pPr>
      <w:bookmarkStart w:id="24" w:name="_Toc15396605"/>
      <w:bookmarkStart w:id="25" w:name="_Toc15377207"/>
      <w:bookmarkStart w:id="26" w:name="_Toc13725"/>
      <w:r>
        <w:rPr>
          <w:rFonts w:hint="eastAsia" w:ascii="黑体" w:hAnsi="黑体" w:eastAsia="黑体"/>
          <w:color w:val="000000"/>
          <w:sz w:val="32"/>
          <w:szCs w:val="32"/>
        </w:rPr>
        <w:t>支</w:t>
      </w:r>
      <w:r>
        <w:rPr>
          <w:rStyle w:val="15"/>
          <w:rFonts w:hint="eastAsia" w:ascii="黑体" w:hAnsi="黑体" w:eastAsia="黑体"/>
          <w:b w:val="0"/>
        </w:rPr>
        <w:t>出决算情况说明</w:t>
      </w:r>
      <w:bookmarkEnd w:id="24"/>
      <w:bookmarkEnd w:id="25"/>
      <w:bookmarkEnd w:id="26"/>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4202.95</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2824.22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67.2</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1378.73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32.8</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9"/>
        <w:rPr>
          <w:rFonts w:ascii="仿宋" w:hAnsi="仿宋" w:eastAsia="仿宋"/>
          <w:color w:val="000000"/>
          <w:sz w:val="32"/>
          <w:szCs w:val="32"/>
          <w:shd w:val="pct10" w:color="auto" w:fill="FFFFFF"/>
        </w:rPr>
      </w:pPr>
      <w:r>
        <w:drawing>
          <wp:anchor distT="0" distB="0" distL="114300" distR="114300" simplePos="0" relativeHeight="251662336" behindDoc="1" locked="0" layoutInCell="1" allowOverlap="1">
            <wp:simplePos x="0" y="0"/>
            <wp:positionH relativeFrom="column">
              <wp:posOffset>371475</wp:posOffset>
            </wp:positionH>
            <wp:positionV relativeFrom="paragraph">
              <wp:posOffset>22860</wp:posOffset>
            </wp:positionV>
            <wp:extent cx="4572000" cy="2743200"/>
            <wp:effectExtent l="4445" t="4445" r="14605" b="14605"/>
            <wp:wrapNone/>
            <wp:docPr id="1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2"/>
        <w:rPr>
          <w:rFonts w:ascii="仿宋" w:hAnsi="仿宋" w:eastAsia="仿宋"/>
          <w:color w:val="000000"/>
          <w:sz w:val="32"/>
          <w:szCs w:val="32"/>
          <w:shd w:val="pct10" w:color="auto" w:fill="FFFFFF"/>
        </w:rPr>
      </w:pPr>
    </w:p>
    <w:p>
      <w:pPr>
        <w:rPr>
          <w:rFonts w:ascii="仿宋" w:hAnsi="仿宋" w:eastAsia="仿宋"/>
          <w:color w:val="000000"/>
          <w:sz w:val="32"/>
          <w:szCs w:val="32"/>
          <w:shd w:val="pct10" w:color="auto" w:fill="FFFFFF"/>
        </w:rPr>
      </w:pPr>
    </w:p>
    <w:p>
      <w:pPr>
        <w:pStyle w:val="2"/>
        <w:rPr>
          <w:rFonts w:ascii="仿宋" w:hAnsi="仿宋" w:eastAsia="仿宋"/>
          <w:color w:val="000000"/>
          <w:sz w:val="32"/>
          <w:szCs w:val="32"/>
          <w:shd w:val="pct10" w:color="auto" w:fill="FFFFFF"/>
        </w:rPr>
      </w:pPr>
    </w:p>
    <w:p>
      <w:pPr>
        <w:rPr>
          <w:rFonts w:ascii="仿宋" w:hAnsi="仿宋" w:eastAsia="仿宋"/>
          <w:color w:val="000000"/>
          <w:sz w:val="32"/>
          <w:szCs w:val="32"/>
          <w:shd w:val="pct10" w:color="auto" w:fill="FFFFFF"/>
        </w:rPr>
      </w:pPr>
    </w:p>
    <w:p>
      <w:pPr>
        <w:pStyle w:val="2"/>
      </w:pPr>
    </w:p>
    <w:p>
      <w:pPr>
        <w:spacing w:line="600" w:lineRule="exact"/>
        <w:ind w:firstLine="1600" w:firstLineChars="500"/>
        <w:rPr>
          <w:rFonts w:hint="eastAsia" w:ascii="仿宋" w:hAnsi="仿宋" w:eastAsia="仿宋"/>
          <w:color w:val="000000"/>
          <w:sz w:val="32"/>
          <w:szCs w:val="32"/>
        </w:rPr>
      </w:pPr>
    </w:p>
    <w:p>
      <w:pPr>
        <w:spacing w:line="600" w:lineRule="exact"/>
        <w:ind w:firstLine="1600" w:firstLineChars="5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15"/>
          <w:rFonts w:ascii="黑体" w:hAnsi="黑体" w:eastAsia="黑体"/>
          <w:b w:val="0"/>
        </w:rPr>
      </w:pPr>
      <w:bookmarkStart w:id="27" w:name="_Toc10354"/>
      <w:bookmarkStart w:id="28" w:name="_Toc15377208"/>
      <w:bookmarkStart w:id="29" w:name="_Toc15396606"/>
      <w:r>
        <w:rPr>
          <w:rFonts w:hint="eastAsia" w:ascii="黑体" w:hAnsi="黑体" w:eastAsia="黑体"/>
          <w:color w:val="000000"/>
          <w:sz w:val="32"/>
          <w:szCs w:val="32"/>
        </w:rPr>
        <w:t>四、财</w:t>
      </w:r>
      <w:r>
        <w:rPr>
          <w:rStyle w:val="15"/>
          <w:rFonts w:hint="eastAsia" w:ascii="黑体" w:hAnsi="黑体" w:eastAsia="黑体"/>
          <w:b w:val="0"/>
        </w:rPr>
        <w:t>政拨款收入支出决算总体情况说明</w:t>
      </w:r>
      <w:bookmarkEnd w:id="27"/>
      <w:bookmarkEnd w:id="28"/>
      <w:bookmarkEnd w:id="29"/>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4880.74</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年相比，财政拨款收、支总计各减少</w:t>
      </w:r>
      <w:r>
        <w:rPr>
          <w:rFonts w:hint="eastAsia" w:ascii="仿宋" w:hAnsi="仿宋" w:eastAsia="仿宋"/>
          <w:color w:val="000000"/>
          <w:sz w:val="32"/>
          <w:szCs w:val="32"/>
          <w:lang w:val="en-US" w:eastAsia="zh-CN"/>
        </w:rPr>
        <w:t>1028.26</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17.4</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2019年数据包含机改前1-5月数据。</w:t>
      </w:r>
    </w:p>
    <w:p>
      <w:pPr>
        <w:spacing w:line="600" w:lineRule="exact"/>
        <w:rPr>
          <w:rFonts w:ascii="仿宋" w:hAnsi="仿宋" w:eastAsia="仿宋"/>
          <w:color w:val="000000"/>
          <w:sz w:val="32"/>
          <w:szCs w:val="32"/>
        </w:rPr>
      </w:pPr>
      <w:r>
        <w:drawing>
          <wp:anchor distT="0" distB="0" distL="114300" distR="114300" simplePos="0" relativeHeight="251663360" behindDoc="1" locked="0" layoutInCell="1" allowOverlap="1">
            <wp:simplePos x="0" y="0"/>
            <wp:positionH relativeFrom="column">
              <wp:posOffset>381000</wp:posOffset>
            </wp:positionH>
            <wp:positionV relativeFrom="paragraph">
              <wp:posOffset>247650</wp:posOffset>
            </wp:positionV>
            <wp:extent cx="4572000" cy="2743200"/>
            <wp:effectExtent l="4445" t="4445" r="14605" b="14605"/>
            <wp:wrapNone/>
            <wp:docPr id="1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
        <w:rPr>
          <w:rFonts w:ascii="仿宋" w:hAnsi="仿宋" w:eastAsia="仿宋"/>
          <w:color w:val="000000"/>
          <w:sz w:val="32"/>
          <w:szCs w:val="32"/>
        </w:rPr>
      </w:pPr>
    </w:p>
    <w:p>
      <w:pPr>
        <w:rPr>
          <w:rFonts w:ascii="仿宋" w:hAnsi="仿宋" w:eastAsia="仿宋"/>
          <w:color w:val="000000"/>
          <w:sz w:val="32"/>
          <w:szCs w:val="32"/>
        </w:rPr>
      </w:pPr>
    </w:p>
    <w:p>
      <w:pPr>
        <w:pStyle w:val="2"/>
        <w:rPr>
          <w:rFonts w:ascii="仿宋" w:hAnsi="仿宋" w:eastAsia="仿宋"/>
          <w:color w:val="000000"/>
          <w:sz w:val="32"/>
          <w:szCs w:val="32"/>
        </w:rPr>
      </w:pPr>
    </w:p>
    <w:p>
      <w:pPr>
        <w:rPr>
          <w:rFonts w:ascii="仿宋" w:hAnsi="仿宋" w:eastAsia="仿宋"/>
          <w:color w:val="000000"/>
          <w:sz w:val="32"/>
          <w:szCs w:val="32"/>
        </w:rPr>
      </w:pPr>
    </w:p>
    <w:p>
      <w:pPr>
        <w:pStyle w:val="2"/>
        <w:rPr>
          <w:rFonts w:ascii="仿宋" w:hAnsi="仿宋" w:eastAsia="仿宋"/>
          <w:color w:val="000000"/>
          <w:sz w:val="32"/>
          <w:szCs w:val="32"/>
        </w:rPr>
      </w:pPr>
    </w:p>
    <w:p/>
    <w:p>
      <w:pPr>
        <w:spacing w:line="600" w:lineRule="exact"/>
        <w:ind w:firstLine="320" w:firstLineChars="100"/>
        <w:rPr>
          <w:rFonts w:hint="eastAsia" w:ascii="仿宋" w:hAnsi="仿宋" w:eastAsia="仿宋"/>
          <w:color w:val="000000"/>
          <w:sz w:val="32"/>
          <w:szCs w:val="32"/>
        </w:rPr>
      </w:pPr>
    </w:p>
    <w:p>
      <w:pPr>
        <w:spacing w:line="600" w:lineRule="exact"/>
        <w:ind w:firstLine="320" w:firstLineChars="1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15"/>
          <w:rFonts w:ascii="黑体" w:hAnsi="黑体" w:eastAsia="黑体"/>
          <w:b w:val="0"/>
        </w:rPr>
      </w:pPr>
      <w:bookmarkStart w:id="30" w:name="_Toc15377209"/>
      <w:bookmarkStart w:id="31" w:name="_Toc10967"/>
      <w:bookmarkStart w:id="32"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5"/>
          <w:rFonts w:hint="eastAsia" w:ascii="黑体" w:hAnsi="黑体" w:eastAsia="黑体"/>
          <w:b w:val="0"/>
        </w:rPr>
        <w:t>般公共预算财政拨款支出决算情况说明</w:t>
      </w:r>
      <w:bookmarkEnd w:id="30"/>
      <w:bookmarkEnd w:id="31"/>
      <w:bookmarkEnd w:id="32"/>
    </w:p>
    <w:p>
      <w:pPr>
        <w:spacing w:line="600" w:lineRule="exact"/>
        <w:ind w:firstLine="643" w:firstLineChars="200"/>
        <w:outlineLvl w:val="2"/>
        <w:rPr>
          <w:rFonts w:ascii="仿宋" w:hAnsi="仿宋" w:eastAsia="仿宋"/>
          <w:b/>
          <w:color w:val="000000"/>
          <w:sz w:val="32"/>
          <w:szCs w:val="32"/>
        </w:rPr>
      </w:pPr>
      <w:bookmarkStart w:id="33" w:name="_Toc15377210"/>
      <w:r>
        <w:rPr>
          <w:rFonts w:hint="eastAsia" w:ascii="仿宋" w:hAnsi="仿宋" w:eastAsia="仿宋"/>
          <w:b/>
          <w:color w:val="000000"/>
          <w:sz w:val="32"/>
          <w:szCs w:val="32"/>
        </w:rPr>
        <w:t>（一）一般公共预算财政拨款支出决算总体情况</w:t>
      </w:r>
      <w:bookmarkEnd w:id="33"/>
    </w:p>
    <w:p>
      <w:pPr>
        <w:spacing w:line="600" w:lineRule="exact"/>
        <w:ind w:firstLine="640" w:firstLineChars="200"/>
        <w:rPr>
          <w:rFonts w:hint="eastAsia" w:ascii="仿宋" w:hAnsi="仿宋" w:eastAsia="仿宋"/>
          <w:color w:val="000000"/>
          <w:sz w:val="32"/>
          <w:szCs w:val="32"/>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3982.72</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94.76</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年相比，一般公共预算财政拨款增加</w:t>
      </w:r>
      <w:r>
        <w:rPr>
          <w:rFonts w:hint="eastAsia" w:ascii="仿宋" w:hAnsi="仿宋" w:eastAsia="仿宋"/>
          <w:color w:val="000000"/>
          <w:sz w:val="32"/>
          <w:szCs w:val="32"/>
          <w:lang w:val="en-US" w:eastAsia="zh-CN"/>
        </w:rPr>
        <w:t>589.86</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17.39</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2020年加大养老服务体系建设资金支付及增加了敬老院建设资金支付。</w:t>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drawing>
          <wp:anchor distT="0" distB="0" distL="114300" distR="114300" simplePos="0" relativeHeight="251664384" behindDoc="1" locked="0" layoutInCell="1" allowOverlap="1">
            <wp:simplePos x="0" y="0"/>
            <wp:positionH relativeFrom="column">
              <wp:posOffset>381000</wp:posOffset>
            </wp:positionH>
            <wp:positionV relativeFrom="paragraph">
              <wp:posOffset>381000</wp:posOffset>
            </wp:positionV>
            <wp:extent cx="4572000" cy="2752725"/>
            <wp:effectExtent l="4445" t="4445" r="14605" b="5080"/>
            <wp:wrapNone/>
            <wp:docPr id="1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：一般公共预算财政拨款支出决算变动情况）（柱状图）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4" w:name="_Toc15377211"/>
      <w:r>
        <w:rPr>
          <w:rFonts w:hint="eastAsia" w:ascii="仿宋" w:hAnsi="仿宋" w:eastAsia="仿宋"/>
          <w:b/>
          <w:color w:val="000000"/>
          <w:sz w:val="32"/>
          <w:szCs w:val="32"/>
        </w:rPr>
        <w:t>（二）一般公共预算财政拨款支出决算结构情况</w:t>
      </w:r>
      <w:bookmarkEnd w:id="34"/>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3982.72</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教育支出（类）</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文化旅游体育与传媒（类）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3464.44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86.99</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499.48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12.54</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住房保障支出</w:t>
      </w:r>
      <w:r>
        <w:rPr>
          <w:rFonts w:hint="eastAsia" w:ascii="仿宋" w:hAnsi="仿宋" w:eastAsia="仿宋"/>
          <w:color w:val="000000"/>
          <w:sz w:val="32"/>
          <w:szCs w:val="32"/>
          <w:lang w:val="en-US" w:eastAsia="zh-CN"/>
        </w:rPr>
        <w:t>18.8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0.47</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r>
        <w:drawing>
          <wp:anchor distT="0" distB="0" distL="114300" distR="114300" simplePos="0" relativeHeight="251665408" behindDoc="1" locked="0" layoutInCell="1" allowOverlap="1">
            <wp:simplePos x="0" y="0"/>
            <wp:positionH relativeFrom="column">
              <wp:posOffset>390525</wp:posOffset>
            </wp:positionH>
            <wp:positionV relativeFrom="paragraph">
              <wp:posOffset>148590</wp:posOffset>
            </wp:positionV>
            <wp:extent cx="4572000" cy="2743200"/>
            <wp:effectExtent l="4445" t="4445" r="14605" b="14605"/>
            <wp:wrapNone/>
            <wp:docPr id="1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320" w:firstLineChars="100"/>
        <w:rPr>
          <w:rFonts w:hint="eastAsia" w:ascii="仿宋" w:hAnsi="仿宋" w:eastAsia="仿宋"/>
          <w:color w:val="000000"/>
          <w:sz w:val="32"/>
          <w:szCs w:val="32"/>
        </w:rPr>
      </w:pPr>
    </w:p>
    <w:p>
      <w:pPr>
        <w:spacing w:line="600" w:lineRule="exact"/>
        <w:ind w:firstLine="320" w:firstLineChars="1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5" w:name="_Toc15377212"/>
      <w:r>
        <w:rPr>
          <w:rFonts w:hint="eastAsia" w:ascii="仿宋" w:hAnsi="仿宋" w:eastAsia="仿宋"/>
          <w:b/>
          <w:color w:val="000000"/>
          <w:sz w:val="32"/>
          <w:szCs w:val="32"/>
        </w:rPr>
        <w:t>（三）一般公共预算财政拨款支出决算具体情况</w:t>
      </w:r>
      <w:bookmarkEnd w:id="35"/>
    </w:p>
    <w:p>
      <w:pPr>
        <w:spacing w:line="600" w:lineRule="exact"/>
        <w:ind w:firstLine="643" w:firstLineChars="200"/>
        <w:outlineLvl w:val="9"/>
        <w:rPr>
          <w:rFonts w:ascii="仿宋" w:hAnsi="仿宋" w:eastAsia="仿宋"/>
          <w:color w:val="FF0000"/>
          <w:sz w:val="32"/>
          <w:szCs w:val="32"/>
        </w:rPr>
      </w:pPr>
      <w:bookmarkStart w:id="36" w:name="_Toc15377213"/>
      <w:bookmarkStart w:id="37" w:name="_Toc15378460"/>
      <w:bookmarkStart w:id="38" w:name="_Toc15377444"/>
      <w:r>
        <w:rPr>
          <w:rFonts w:ascii="仿宋" w:hAnsi="仿宋" w:eastAsia="仿宋"/>
          <w:b/>
          <w:color w:val="000000"/>
          <w:sz w:val="32"/>
          <w:szCs w:val="32"/>
        </w:rPr>
        <w:t>2020</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3982.72万元</w:t>
      </w:r>
      <w:r>
        <w:rPr>
          <w:rFonts w:hint="eastAsia" w:ascii="仿宋" w:hAnsi="仿宋" w:eastAsia="仿宋"/>
          <w:color w:val="000000"/>
          <w:sz w:val="32"/>
          <w:szCs w:val="32"/>
        </w:rPr>
        <w:t>，</w:t>
      </w:r>
      <w:r>
        <w:rPr>
          <w:rStyle w:val="12"/>
          <w:rFonts w:hint="eastAsia" w:ascii="仿宋" w:hAnsi="仿宋" w:eastAsia="仿宋"/>
          <w:bCs/>
          <w:color w:val="000000"/>
          <w:sz w:val="32"/>
          <w:szCs w:val="32"/>
        </w:rPr>
        <w:t>完成预算</w:t>
      </w:r>
      <w:r>
        <w:rPr>
          <w:rStyle w:val="12"/>
          <w:rFonts w:hint="eastAsia" w:ascii="仿宋" w:hAnsi="仿宋" w:eastAsia="仿宋"/>
          <w:bCs/>
          <w:color w:val="000000"/>
          <w:sz w:val="32"/>
          <w:szCs w:val="32"/>
          <w:lang w:val="en-US" w:eastAsia="zh-CN"/>
        </w:rPr>
        <w:t>95.11</w:t>
      </w:r>
      <w:r>
        <w:rPr>
          <w:rStyle w:val="12"/>
          <w:rFonts w:ascii="仿宋" w:hAnsi="仿宋" w:eastAsia="仿宋"/>
          <w:bCs/>
          <w:color w:val="000000"/>
          <w:sz w:val="32"/>
          <w:szCs w:val="32"/>
        </w:rPr>
        <w:t>%</w:t>
      </w:r>
      <w:r>
        <w:rPr>
          <w:rStyle w:val="12"/>
          <w:rFonts w:hint="eastAsia" w:ascii="仿宋" w:hAnsi="仿宋" w:eastAsia="仿宋"/>
          <w:bCs/>
          <w:color w:val="000000"/>
          <w:sz w:val="32"/>
          <w:szCs w:val="32"/>
        </w:rPr>
        <w:t>。其中：</w:t>
      </w:r>
      <w:bookmarkEnd w:id="36"/>
      <w:bookmarkEnd w:id="37"/>
      <w:bookmarkEnd w:id="38"/>
    </w:p>
    <w:p>
      <w:pPr>
        <w:spacing w:line="600" w:lineRule="exact"/>
        <w:ind w:firstLine="643" w:firstLineChars="200"/>
        <w:rPr>
          <w:rStyle w:val="12"/>
          <w:rFonts w:hint="eastAsia" w:ascii="仿宋_GB2312" w:hAnsi="仿宋" w:eastAsia="仿宋_GB2312"/>
          <w:b w:val="0"/>
          <w:color w:val="000000"/>
          <w:szCs w:val="32"/>
          <w:lang w:eastAsia="zh-CN"/>
        </w:rPr>
      </w:pPr>
      <w:r>
        <w:rPr>
          <w:rStyle w:val="12"/>
          <w:rFonts w:hint="eastAsia" w:ascii="仿宋_GB2312" w:hAnsi="仿宋" w:eastAsiaTheme="minorEastAsia"/>
          <w:color w:val="000000"/>
          <w:kern w:val="2"/>
          <w:sz w:val="32"/>
          <w:szCs w:val="32"/>
          <w:lang w:val="en-US" w:eastAsia="zh-CN" w:bidi="ar-SA"/>
        </w:rPr>
        <w:t>1.</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（类）民政管理事务（款）行政运行（项）: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171.63</w:t>
      </w:r>
      <w:r>
        <w:rPr>
          <w:rStyle w:val="12"/>
          <w:rFonts w:hint="eastAsia" w:ascii="仿宋_GB2312" w:hAnsi="仿宋"/>
          <w:b w:val="0"/>
          <w:color w:val="000000"/>
          <w:szCs w:val="32"/>
        </w:rPr>
        <w:t>万元，完成预算</w:t>
      </w:r>
      <w:r>
        <w:rPr>
          <w:rStyle w:val="12"/>
          <w:rFonts w:hint="eastAsia" w:ascii="仿宋_GB2312" w:hAnsi="仿宋"/>
          <w:b w:val="0"/>
          <w:color w:val="000000"/>
          <w:szCs w:val="32"/>
          <w:lang w:val="en-US" w:eastAsia="zh-CN"/>
        </w:rPr>
        <w:t>82.14</w:t>
      </w:r>
      <w:r>
        <w:rPr>
          <w:rStyle w:val="12"/>
          <w:rFonts w:hint="eastAsia" w:ascii="仿宋_GB2312" w:hAnsi="仿宋"/>
          <w:b w:val="0"/>
          <w:color w:val="000000"/>
          <w:szCs w:val="32"/>
        </w:rPr>
        <w:t>%。</w:t>
      </w:r>
      <w:r>
        <w:rPr>
          <w:rStyle w:val="12"/>
          <w:rFonts w:hint="eastAsia" w:ascii="仿宋_GB2312" w:hAnsi="仿宋"/>
          <w:b w:val="0"/>
          <w:color w:val="000000"/>
          <w:szCs w:val="32"/>
          <w:lang w:eastAsia="zh-CN"/>
        </w:rPr>
        <w:t>决算数小于预算数的主要原因是</w:t>
      </w:r>
      <w:r>
        <w:rPr>
          <w:rFonts w:hint="eastAsia" w:ascii="仿宋_GB2312" w:eastAsia="仿宋_GB2312"/>
          <w:color w:val="000000"/>
          <w:sz w:val="32"/>
          <w:szCs w:val="32"/>
        </w:rPr>
        <w:t>严格执行厉行节约相关规定，压减一般性支出</w:t>
      </w:r>
      <w:r>
        <w:rPr>
          <w:rFonts w:hint="eastAsia" w:ascii="仿宋_GB2312"/>
          <w:color w:val="000000"/>
          <w:sz w:val="32"/>
          <w:szCs w:val="32"/>
          <w:lang w:eastAsia="zh-CN"/>
        </w:rPr>
        <w:t>。</w:t>
      </w:r>
    </w:p>
    <w:p>
      <w:pPr>
        <w:spacing w:line="600" w:lineRule="exact"/>
        <w:ind w:firstLine="643" w:firstLineChars="200"/>
        <w:rPr>
          <w:rStyle w:val="12"/>
          <w:rFonts w:hint="eastAsia" w:ascii="仿宋_GB2312" w:hAnsi="仿宋"/>
          <w:b w:val="0"/>
          <w:color w:val="000000"/>
          <w:szCs w:val="32"/>
        </w:rPr>
      </w:pPr>
      <w:r>
        <w:rPr>
          <w:rStyle w:val="12"/>
          <w:rFonts w:hint="eastAsia" w:ascii="仿宋_GB2312" w:hAnsi="仿宋"/>
          <w:color w:val="000000"/>
          <w:szCs w:val="32"/>
          <w:lang w:val="en-US" w:eastAsia="zh-CN"/>
        </w:rPr>
        <w:t>2</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（类）民政管理事务（款）一般行政管理事务（项）: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26</w:t>
      </w:r>
      <w:r>
        <w:rPr>
          <w:rStyle w:val="12"/>
          <w:rFonts w:hint="eastAsia" w:ascii="仿宋_GB2312" w:hAnsi="仿宋"/>
          <w:b w:val="0"/>
          <w:color w:val="000000"/>
          <w:szCs w:val="32"/>
        </w:rPr>
        <w:t>万元，完成预算100%。</w:t>
      </w:r>
    </w:p>
    <w:p>
      <w:pPr>
        <w:spacing w:line="600" w:lineRule="exact"/>
        <w:ind w:firstLine="643" w:firstLineChars="200"/>
        <w:rPr>
          <w:rStyle w:val="12"/>
          <w:rFonts w:hint="eastAsia" w:ascii="仿宋_GB2312" w:hAnsi="仿宋"/>
          <w:b w:val="0"/>
          <w:color w:val="000000"/>
          <w:szCs w:val="32"/>
        </w:rPr>
      </w:pPr>
      <w:r>
        <w:rPr>
          <w:rStyle w:val="12"/>
          <w:rFonts w:hint="eastAsia" w:ascii="仿宋_GB2312" w:hAnsi="仿宋"/>
          <w:color w:val="000000"/>
          <w:szCs w:val="32"/>
          <w:lang w:val="en-US" w:eastAsia="zh-CN"/>
        </w:rPr>
        <w:t>3.</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（类）民政管理事务（款）</w:t>
      </w:r>
      <w:r>
        <w:rPr>
          <w:rStyle w:val="12"/>
          <w:rFonts w:hint="eastAsia" w:ascii="仿宋_GB2312" w:hAnsi="仿宋"/>
          <w:color w:val="000000"/>
          <w:szCs w:val="32"/>
          <w:lang w:eastAsia="zh-CN"/>
        </w:rPr>
        <w:t>社会组织管理</w:t>
      </w:r>
      <w:r>
        <w:rPr>
          <w:rStyle w:val="12"/>
          <w:rFonts w:hint="eastAsia" w:ascii="仿宋_GB2312" w:hAnsi="仿宋"/>
          <w:color w:val="000000"/>
          <w:szCs w:val="32"/>
        </w:rPr>
        <w:t>（项）: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20</w:t>
      </w:r>
      <w:r>
        <w:rPr>
          <w:rStyle w:val="12"/>
          <w:rFonts w:hint="eastAsia" w:ascii="仿宋_GB2312" w:hAnsi="仿宋"/>
          <w:b w:val="0"/>
          <w:color w:val="000000"/>
          <w:szCs w:val="32"/>
        </w:rPr>
        <w:t>万元，完成预算</w:t>
      </w:r>
      <w:r>
        <w:rPr>
          <w:rStyle w:val="12"/>
          <w:rFonts w:hint="eastAsia" w:ascii="仿宋_GB2312" w:hAnsi="仿宋"/>
          <w:b w:val="0"/>
          <w:color w:val="000000"/>
          <w:szCs w:val="32"/>
          <w:lang w:val="en-US" w:eastAsia="zh-CN"/>
        </w:rPr>
        <w:t>34.66</w:t>
      </w:r>
      <w:r>
        <w:rPr>
          <w:rStyle w:val="12"/>
          <w:rFonts w:hint="eastAsia" w:ascii="仿宋_GB2312" w:hAnsi="仿宋"/>
          <w:b w:val="0"/>
          <w:color w:val="000000"/>
          <w:szCs w:val="32"/>
        </w:rPr>
        <w:t>%。</w:t>
      </w:r>
      <w:r>
        <w:rPr>
          <w:rStyle w:val="12"/>
          <w:rFonts w:hint="eastAsia" w:ascii="仿宋_GB2312" w:hAnsi="仿宋"/>
          <w:b w:val="0"/>
          <w:color w:val="000000"/>
          <w:szCs w:val="32"/>
          <w:lang w:eastAsia="zh-CN"/>
        </w:rPr>
        <w:t>决算数小于预算数的主要原因是财政资金困难，资金未及时到位。</w:t>
      </w:r>
    </w:p>
    <w:p>
      <w:pPr>
        <w:spacing w:line="600" w:lineRule="exact"/>
        <w:ind w:firstLine="643" w:firstLineChars="200"/>
        <w:rPr>
          <w:rStyle w:val="12"/>
          <w:rFonts w:hint="eastAsia" w:ascii="仿宋_GB2312" w:hAnsi="仿宋"/>
          <w:b w:val="0"/>
          <w:color w:val="000000"/>
          <w:szCs w:val="32"/>
        </w:rPr>
      </w:pPr>
      <w:r>
        <w:rPr>
          <w:rStyle w:val="12"/>
          <w:rFonts w:hint="eastAsia" w:ascii="仿宋_GB2312" w:hAnsi="仿宋"/>
          <w:color w:val="000000"/>
          <w:szCs w:val="32"/>
          <w:lang w:val="en-US" w:eastAsia="zh-CN"/>
        </w:rPr>
        <w:t>4.</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（类）民政管理事务（款）</w:t>
      </w:r>
      <w:r>
        <w:rPr>
          <w:rStyle w:val="12"/>
          <w:rFonts w:hint="eastAsia" w:ascii="仿宋_GB2312" w:hAnsi="仿宋"/>
          <w:color w:val="000000"/>
          <w:szCs w:val="32"/>
          <w:lang w:eastAsia="zh-CN"/>
        </w:rPr>
        <w:t>行政区划和地名管理</w:t>
      </w:r>
      <w:r>
        <w:rPr>
          <w:rStyle w:val="12"/>
          <w:rFonts w:hint="eastAsia" w:ascii="仿宋_GB2312" w:hAnsi="仿宋"/>
          <w:color w:val="000000"/>
          <w:szCs w:val="32"/>
        </w:rPr>
        <w:t>（项）: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8.68</w:t>
      </w:r>
      <w:r>
        <w:rPr>
          <w:rStyle w:val="12"/>
          <w:rFonts w:hint="eastAsia" w:ascii="仿宋_GB2312" w:hAnsi="仿宋"/>
          <w:b w:val="0"/>
          <w:color w:val="000000"/>
          <w:szCs w:val="32"/>
        </w:rPr>
        <w:t>万元，完成预算</w:t>
      </w:r>
      <w:r>
        <w:rPr>
          <w:rStyle w:val="12"/>
          <w:rFonts w:hint="eastAsia" w:ascii="仿宋_GB2312" w:hAnsi="仿宋"/>
          <w:b w:val="0"/>
          <w:color w:val="000000"/>
          <w:szCs w:val="32"/>
          <w:lang w:val="en-US" w:eastAsia="zh-CN"/>
        </w:rPr>
        <w:t>55.36</w:t>
      </w:r>
      <w:r>
        <w:rPr>
          <w:rStyle w:val="12"/>
          <w:rFonts w:hint="eastAsia" w:ascii="仿宋_GB2312" w:hAnsi="仿宋"/>
          <w:b w:val="0"/>
          <w:color w:val="000000"/>
          <w:szCs w:val="32"/>
        </w:rPr>
        <w:t>%。</w:t>
      </w:r>
      <w:r>
        <w:rPr>
          <w:rStyle w:val="12"/>
          <w:rFonts w:hint="eastAsia" w:ascii="仿宋_GB2312" w:hAnsi="仿宋"/>
          <w:b w:val="0"/>
          <w:color w:val="000000"/>
          <w:szCs w:val="32"/>
          <w:lang w:eastAsia="zh-CN"/>
        </w:rPr>
        <w:t>决算数小于预算数的主要原因是财政资金困难，资金未及时到位。</w:t>
      </w:r>
    </w:p>
    <w:p>
      <w:pPr>
        <w:spacing w:line="600" w:lineRule="exact"/>
        <w:ind w:firstLine="643" w:firstLineChars="200"/>
        <w:rPr>
          <w:rStyle w:val="12"/>
          <w:rFonts w:hint="eastAsia" w:ascii="仿宋_GB2312" w:hAnsi="仿宋"/>
          <w:b w:val="0"/>
          <w:color w:val="000000"/>
          <w:szCs w:val="32"/>
        </w:rPr>
      </w:pPr>
      <w:r>
        <w:rPr>
          <w:rStyle w:val="12"/>
          <w:rFonts w:hint="eastAsia" w:ascii="仿宋_GB2312" w:hAnsi="仿宋"/>
          <w:color w:val="000000"/>
          <w:szCs w:val="32"/>
          <w:lang w:val="en-US" w:eastAsia="zh-CN"/>
        </w:rPr>
        <w:t>5.</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（类）民政管理事务（款）</w:t>
      </w:r>
      <w:r>
        <w:rPr>
          <w:rStyle w:val="12"/>
          <w:rFonts w:hint="eastAsia" w:ascii="仿宋_GB2312" w:hAnsi="仿宋"/>
          <w:color w:val="000000"/>
          <w:szCs w:val="32"/>
          <w:lang w:eastAsia="zh-CN"/>
        </w:rPr>
        <w:t>基层政权和社区治理</w:t>
      </w:r>
      <w:r>
        <w:rPr>
          <w:rStyle w:val="12"/>
          <w:rFonts w:hint="eastAsia" w:ascii="仿宋_GB2312" w:hAnsi="仿宋"/>
          <w:color w:val="000000"/>
          <w:szCs w:val="32"/>
        </w:rPr>
        <w:t>（项）: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348</w:t>
      </w:r>
      <w:r>
        <w:rPr>
          <w:rStyle w:val="12"/>
          <w:rFonts w:hint="eastAsia" w:ascii="仿宋_GB2312" w:hAnsi="仿宋"/>
          <w:b w:val="0"/>
          <w:color w:val="000000"/>
          <w:szCs w:val="32"/>
        </w:rPr>
        <w:t>万元，完成预算</w:t>
      </w:r>
      <w:r>
        <w:rPr>
          <w:rStyle w:val="12"/>
          <w:rFonts w:hint="eastAsia" w:ascii="仿宋_GB2312" w:hAnsi="仿宋"/>
          <w:b w:val="0"/>
          <w:color w:val="000000"/>
          <w:szCs w:val="32"/>
          <w:lang w:val="en-US" w:eastAsia="zh-CN"/>
        </w:rPr>
        <w:t>100</w:t>
      </w:r>
      <w:r>
        <w:rPr>
          <w:rStyle w:val="12"/>
          <w:rFonts w:hint="eastAsia" w:ascii="仿宋_GB2312" w:hAnsi="仿宋"/>
          <w:b w:val="0"/>
          <w:color w:val="000000"/>
          <w:szCs w:val="32"/>
        </w:rPr>
        <w:t>%。</w:t>
      </w:r>
    </w:p>
    <w:p>
      <w:pPr>
        <w:spacing w:line="600" w:lineRule="exact"/>
        <w:ind w:firstLine="643" w:firstLineChars="200"/>
        <w:rPr>
          <w:rStyle w:val="12"/>
          <w:rFonts w:hint="eastAsia" w:ascii="仿宋_GB2312" w:hAnsi="仿宋"/>
          <w:b w:val="0"/>
          <w:color w:val="000000"/>
          <w:szCs w:val="32"/>
        </w:rPr>
      </w:pPr>
      <w:r>
        <w:rPr>
          <w:rStyle w:val="12"/>
          <w:rFonts w:hint="eastAsia" w:ascii="仿宋_GB2312" w:hAnsi="仿宋"/>
          <w:color w:val="000000"/>
          <w:szCs w:val="32"/>
          <w:lang w:val="en-US" w:eastAsia="zh-CN"/>
        </w:rPr>
        <w:t>6.</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（类）民政管理事务（款）</w:t>
      </w:r>
      <w:r>
        <w:rPr>
          <w:rStyle w:val="12"/>
          <w:rFonts w:hint="eastAsia" w:ascii="仿宋_GB2312" w:hAnsi="仿宋"/>
          <w:color w:val="000000"/>
          <w:szCs w:val="32"/>
          <w:lang w:eastAsia="zh-CN"/>
        </w:rPr>
        <w:t>其他民政管理事务支出</w:t>
      </w:r>
      <w:r>
        <w:rPr>
          <w:rStyle w:val="12"/>
          <w:rFonts w:hint="eastAsia" w:ascii="仿宋_GB2312" w:hAnsi="仿宋"/>
          <w:color w:val="000000"/>
          <w:szCs w:val="32"/>
        </w:rPr>
        <w:t>（项）: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156.96</w:t>
      </w:r>
      <w:r>
        <w:rPr>
          <w:rStyle w:val="12"/>
          <w:rFonts w:hint="eastAsia" w:ascii="仿宋_GB2312" w:hAnsi="仿宋"/>
          <w:b w:val="0"/>
          <w:color w:val="000000"/>
          <w:szCs w:val="32"/>
        </w:rPr>
        <w:t>万元，完成预算</w:t>
      </w:r>
      <w:r>
        <w:rPr>
          <w:rStyle w:val="12"/>
          <w:rFonts w:hint="eastAsia" w:ascii="仿宋_GB2312" w:hAnsi="仿宋"/>
          <w:b w:val="0"/>
          <w:color w:val="000000"/>
          <w:szCs w:val="32"/>
          <w:lang w:val="en-US" w:eastAsia="zh-CN"/>
        </w:rPr>
        <w:t>95.54</w:t>
      </w:r>
      <w:r>
        <w:rPr>
          <w:rStyle w:val="12"/>
          <w:rFonts w:hint="eastAsia" w:ascii="仿宋_GB2312" w:hAnsi="仿宋"/>
          <w:b w:val="0"/>
          <w:color w:val="000000"/>
          <w:szCs w:val="32"/>
        </w:rPr>
        <w:t>%。</w:t>
      </w:r>
      <w:r>
        <w:rPr>
          <w:rStyle w:val="12"/>
          <w:rFonts w:hint="eastAsia" w:ascii="仿宋_GB2312" w:hAnsi="仿宋"/>
          <w:b w:val="0"/>
          <w:color w:val="000000"/>
          <w:szCs w:val="32"/>
          <w:lang w:eastAsia="zh-CN"/>
        </w:rPr>
        <w:t>决算数小于预算数的主要原因是财政资金困难，资金未及时到位。</w:t>
      </w:r>
    </w:p>
    <w:p>
      <w:pPr>
        <w:spacing w:line="600" w:lineRule="exact"/>
        <w:ind w:firstLine="643" w:firstLineChars="200"/>
        <w:rPr>
          <w:rStyle w:val="12"/>
          <w:rFonts w:ascii="仿宋_GB2312" w:hAnsi="仿宋"/>
          <w:b w:val="0"/>
          <w:color w:val="000000"/>
          <w:szCs w:val="32"/>
        </w:rPr>
      </w:pPr>
      <w:r>
        <w:rPr>
          <w:rStyle w:val="12"/>
          <w:rFonts w:hint="eastAsia" w:ascii="仿宋_GB2312" w:hAnsi="仿宋"/>
          <w:color w:val="000000"/>
          <w:szCs w:val="32"/>
          <w:lang w:val="en-US" w:eastAsia="zh-CN"/>
        </w:rPr>
        <w:t>7</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（类）行政事业单位</w:t>
      </w:r>
      <w:r>
        <w:rPr>
          <w:rStyle w:val="12"/>
          <w:rFonts w:hint="eastAsia" w:ascii="仿宋_GB2312" w:hAnsi="仿宋"/>
          <w:color w:val="000000"/>
          <w:szCs w:val="32"/>
          <w:lang w:eastAsia="zh-CN"/>
        </w:rPr>
        <w:t>养老支出</w:t>
      </w:r>
      <w:r>
        <w:rPr>
          <w:rStyle w:val="12"/>
          <w:rFonts w:hint="eastAsia" w:ascii="仿宋_GB2312" w:hAnsi="仿宋"/>
          <w:color w:val="000000"/>
          <w:szCs w:val="32"/>
        </w:rPr>
        <w:t>（款）行政单位离退休（项）: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43.09</w:t>
      </w:r>
      <w:r>
        <w:rPr>
          <w:rStyle w:val="12"/>
          <w:rFonts w:hint="eastAsia" w:ascii="仿宋_GB2312" w:hAnsi="仿宋"/>
          <w:b w:val="0"/>
          <w:color w:val="000000"/>
          <w:szCs w:val="32"/>
        </w:rPr>
        <w:t>万元，完成预算100%。</w:t>
      </w:r>
    </w:p>
    <w:p>
      <w:pPr>
        <w:spacing w:line="600" w:lineRule="exact"/>
        <w:ind w:firstLine="643" w:firstLineChars="200"/>
        <w:rPr>
          <w:rStyle w:val="12"/>
          <w:rFonts w:ascii="仿宋_GB2312" w:hAnsi="仿宋"/>
          <w:b w:val="0"/>
          <w:color w:val="000000"/>
          <w:szCs w:val="32"/>
        </w:rPr>
      </w:pPr>
      <w:r>
        <w:rPr>
          <w:rStyle w:val="12"/>
          <w:rFonts w:hint="eastAsia" w:ascii="仿宋_GB2312" w:hAnsi="仿宋"/>
          <w:color w:val="000000"/>
          <w:szCs w:val="32"/>
          <w:lang w:val="en-US" w:eastAsia="zh-CN"/>
        </w:rPr>
        <w:t>8.</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（类）行政事业单位</w:t>
      </w:r>
      <w:r>
        <w:rPr>
          <w:rStyle w:val="12"/>
          <w:rFonts w:hint="eastAsia" w:ascii="仿宋_GB2312" w:hAnsi="仿宋"/>
          <w:color w:val="000000"/>
          <w:szCs w:val="32"/>
          <w:lang w:eastAsia="zh-CN"/>
        </w:rPr>
        <w:t>养老支出</w:t>
      </w:r>
      <w:r>
        <w:rPr>
          <w:rStyle w:val="12"/>
          <w:rFonts w:hint="eastAsia" w:ascii="仿宋_GB2312" w:hAnsi="仿宋"/>
          <w:color w:val="000000"/>
          <w:szCs w:val="32"/>
        </w:rPr>
        <w:t>（款）</w:t>
      </w:r>
      <w:r>
        <w:rPr>
          <w:rStyle w:val="12"/>
          <w:rFonts w:hint="eastAsia" w:ascii="仿宋_GB2312" w:hAnsi="仿宋"/>
          <w:color w:val="000000"/>
          <w:szCs w:val="32"/>
          <w:lang w:eastAsia="zh-CN"/>
        </w:rPr>
        <w:t>事业</w:t>
      </w:r>
      <w:r>
        <w:rPr>
          <w:rStyle w:val="12"/>
          <w:rFonts w:hint="eastAsia" w:ascii="仿宋_GB2312" w:hAnsi="仿宋"/>
          <w:color w:val="000000"/>
          <w:szCs w:val="32"/>
        </w:rPr>
        <w:t>单位离退休（项）:</w:t>
      </w:r>
      <w:r>
        <w:rPr>
          <w:rStyle w:val="12"/>
          <w:rFonts w:hint="eastAsia" w:ascii="仿宋_GB2312" w:hAnsi="仿宋"/>
          <w:b w:val="0"/>
          <w:color w:val="000000"/>
          <w:szCs w:val="32"/>
        </w:rPr>
        <w:t xml:space="preserve"> 支出决算为</w:t>
      </w:r>
      <w:r>
        <w:rPr>
          <w:rStyle w:val="12"/>
          <w:rFonts w:hint="eastAsia" w:ascii="仿宋_GB2312" w:hAnsi="仿宋"/>
          <w:b w:val="0"/>
          <w:color w:val="000000"/>
          <w:szCs w:val="32"/>
          <w:lang w:val="en-US" w:eastAsia="zh-CN"/>
        </w:rPr>
        <w:t>13.91</w:t>
      </w:r>
      <w:r>
        <w:rPr>
          <w:rStyle w:val="12"/>
          <w:rFonts w:hint="eastAsia" w:ascii="仿宋_GB2312" w:hAnsi="仿宋"/>
          <w:b w:val="0"/>
          <w:color w:val="000000"/>
          <w:szCs w:val="32"/>
        </w:rPr>
        <w:t>万元，完成预算100%。</w:t>
      </w:r>
    </w:p>
    <w:p>
      <w:pPr>
        <w:numPr>
          <w:ilvl w:val="0"/>
          <w:numId w:val="0"/>
        </w:numPr>
        <w:spacing w:line="600" w:lineRule="exact"/>
        <w:ind w:firstLine="643" w:firstLineChars="200"/>
        <w:rPr>
          <w:rStyle w:val="12"/>
          <w:rFonts w:hint="eastAsia" w:ascii="仿宋_GB2312" w:hAnsi="仿宋"/>
          <w:b w:val="0"/>
          <w:color w:val="000000"/>
          <w:szCs w:val="32"/>
        </w:rPr>
      </w:pPr>
      <w:r>
        <w:rPr>
          <w:rStyle w:val="12"/>
          <w:rFonts w:hint="eastAsia" w:ascii="仿宋_GB2312" w:hAnsi="仿宋"/>
          <w:color w:val="000000"/>
          <w:szCs w:val="32"/>
          <w:lang w:val="en-US" w:eastAsia="zh-CN"/>
        </w:rPr>
        <w:t>9.</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（类）行政事业单位</w:t>
      </w:r>
      <w:r>
        <w:rPr>
          <w:rStyle w:val="12"/>
          <w:rFonts w:hint="eastAsia" w:ascii="仿宋_GB2312" w:hAnsi="仿宋"/>
          <w:color w:val="000000"/>
          <w:szCs w:val="32"/>
          <w:lang w:eastAsia="zh-CN"/>
        </w:rPr>
        <w:t>养老支出</w:t>
      </w:r>
      <w:r>
        <w:rPr>
          <w:rStyle w:val="12"/>
          <w:rFonts w:hint="eastAsia" w:ascii="仿宋_GB2312" w:hAnsi="仿宋"/>
          <w:color w:val="000000"/>
          <w:szCs w:val="32"/>
        </w:rPr>
        <w:t xml:space="preserve">（款）机关事业单位基本养老保险缴费支出（项）: </w:t>
      </w:r>
      <w:r>
        <w:rPr>
          <w:rStyle w:val="12"/>
          <w:rFonts w:hint="eastAsia" w:ascii="仿宋_GB2312" w:hAnsi="仿宋"/>
          <w:b w:val="0"/>
          <w:color w:val="000000"/>
          <w:szCs w:val="32"/>
        </w:rPr>
        <w:t>支出决算为</w:t>
      </w:r>
      <w:r>
        <w:rPr>
          <w:rStyle w:val="12"/>
          <w:rFonts w:hint="eastAsia" w:ascii="仿宋_GB2312" w:hAnsi="仿宋"/>
          <w:b w:val="0"/>
          <w:color w:val="000000"/>
          <w:szCs w:val="32"/>
          <w:lang w:val="en-US" w:eastAsia="zh-CN"/>
        </w:rPr>
        <w:t>27.59</w:t>
      </w:r>
      <w:r>
        <w:rPr>
          <w:rStyle w:val="12"/>
          <w:rFonts w:hint="eastAsia" w:ascii="仿宋_GB2312" w:hAnsi="仿宋"/>
          <w:b w:val="0"/>
          <w:color w:val="000000"/>
          <w:szCs w:val="32"/>
        </w:rPr>
        <w:t>万元，完成预算100%。</w:t>
      </w:r>
    </w:p>
    <w:p>
      <w:pPr>
        <w:numPr>
          <w:ilvl w:val="0"/>
          <w:numId w:val="0"/>
        </w:numPr>
        <w:spacing w:line="600" w:lineRule="exact"/>
        <w:ind w:firstLine="643" w:firstLineChars="200"/>
        <w:rPr>
          <w:rStyle w:val="12"/>
          <w:rFonts w:hint="eastAsia" w:ascii="仿宋_GB2312" w:hAnsi="仿宋"/>
          <w:b w:val="0"/>
          <w:color w:val="000000"/>
          <w:szCs w:val="32"/>
        </w:rPr>
      </w:pPr>
      <w:r>
        <w:rPr>
          <w:rStyle w:val="12"/>
          <w:rFonts w:hint="eastAsia" w:ascii="仿宋_GB2312" w:hAnsi="仿宋"/>
          <w:color w:val="000000"/>
          <w:szCs w:val="32"/>
          <w:lang w:val="en-US" w:eastAsia="zh-CN"/>
        </w:rPr>
        <w:t>10.</w:t>
      </w:r>
      <w:r>
        <w:rPr>
          <w:rStyle w:val="12"/>
          <w:rFonts w:hint="eastAsia" w:ascii="仿宋_GB2312" w:hAnsi="仿宋"/>
          <w:color w:val="000000"/>
          <w:szCs w:val="32"/>
        </w:rPr>
        <w:t>社会保障和就业</w:t>
      </w:r>
      <w:r>
        <w:rPr>
          <w:rStyle w:val="12"/>
          <w:rFonts w:hint="eastAsia" w:ascii="仿宋_GB2312" w:hAnsi="仿宋"/>
          <w:color w:val="000000"/>
          <w:szCs w:val="32"/>
          <w:lang w:eastAsia="zh-CN"/>
        </w:rPr>
        <w:t>支出</w:t>
      </w:r>
      <w:r>
        <w:rPr>
          <w:rStyle w:val="12"/>
          <w:rFonts w:hint="eastAsia" w:ascii="仿宋_GB2312" w:hAnsi="仿宋"/>
          <w:color w:val="000000"/>
          <w:szCs w:val="32"/>
        </w:rPr>
        <w:t>（类）</w:t>
      </w:r>
      <w:r>
        <w:rPr>
          <w:rStyle w:val="12"/>
          <w:rFonts w:hint="eastAsia" w:ascii="仿宋_GB2312" w:hAnsi="仿宋"/>
          <w:color w:val="000000"/>
          <w:szCs w:val="32"/>
          <w:lang w:eastAsia="zh-CN"/>
        </w:rPr>
        <w:t>社会福利</w:t>
      </w:r>
      <w:r>
        <w:rPr>
          <w:rStyle w:val="12"/>
          <w:rFonts w:hint="eastAsia" w:ascii="仿宋_GB2312" w:hAnsi="仿宋"/>
          <w:color w:val="000000"/>
          <w:szCs w:val="32"/>
        </w:rPr>
        <w:t>（款）</w:t>
      </w:r>
      <w:r>
        <w:rPr>
          <w:rStyle w:val="12"/>
          <w:rFonts w:hint="eastAsia" w:ascii="仿宋_GB2312" w:hAnsi="仿宋"/>
          <w:color w:val="000000"/>
          <w:szCs w:val="32"/>
          <w:lang w:eastAsia="zh-CN"/>
        </w:rPr>
        <w:t>儿童福利</w:t>
      </w:r>
      <w:r>
        <w:rPr>
          <w:rStyle w:val="12"/>
          <w:rFonts w:hint="eastAsia" w:ascii="仿宋_GB2312" w:hAnsi="仿宋"/>
          <w:color w:val="000000"/>
          <w:szCs w:val="32"/>
        </w:rPr>
        <w:t xml:space="preserve">（项）: </w:t>
      </w:r>
      <w:r>
        <w:rPr>
          <w:rStyle w:val="12"/>
          <w:rFonts w:hint="eastAsia" w:ascii="仿宋_GB2312" w:hAnsi="仿宋"/>
          <w:b w:val="0"/>
          <w:color w:val="000000"/>
          <w:szCs w:val="32"/>
        </w:rPr>
        <w:t>支出决算为</w:t>
      </w:r>
      <w:r>
        <w:rPr>
          <w:rStyle w:val="12"/>
          <w:rFonts w:hint="eastAsia" w:ascii="仿宋_GB2312" w:hAnsi="仿宋"/>
          <w:b w:val="0"/>
          <w:color w:val="000000"/>
          <w:szCs w:val="32"/>
          <w:lang w:val="en-US" w:eastAsia="zh-CN"/>
        </w:rPr>
        <w:t>14.14</w:t>
      </w:r>
      <w:r>
        <w:rPr>
          <w:rStyle w:val="12"/>
          <w:rFonts w:hint="eastAsia" w:ascii="仿宋_GB2312" w:hAnsi="仿宋"/>
          <w:b w:val="0"/>
          <w:color w:val="000000"/>
          <w:szCs w:val="32"/>
        </w:rPr>
        <w:t>万元，完成预算100%。</w:t>
      </w:r>
    </w:p>
    <w:p>
      <w:pPr>
        <w:spacing w:line="600" w:lineRule="exact"/>
        <w:ind w:firstLine="643" w:firstLineChars="200"/>
        <w:rPr>
          <w:rStyle w:val="12"/>
          <w:rFonts w:hint="eastAsia" w:ascii="仿宋_GB2312" w:hAnsi="仿宋"/>
          <w:b w:val="0"/>
          <w:color w:val="000000"/>
          <w:szCs w:val="32"/>
          <w:lang w:eastAsia="zh-CN"/>
        </w:rPr>
      </w:pPr>
      <w:r>
        <w:rPr>
          <w:rStyle w:val="12"/>
          <w:rFonts w:hint="eastAsia" w:ascii="仿宋_GB2312" w:hAnsi="仿宋"/>
          <w:color w:val="auto"/>
          <w:szCs w:val="32"/>
          <w:lang w:val="en-US" w:eastAsia="zh-CN"/>
        </w:rPr>
        <w:t>11.</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社会福利</w:t>
      </w:r>
      <w:r>
        <w:rPr>
          <w:rStyle w:val="12"/>
          <w:rFonts w:hint="eastAsia" w:ascii="仿宋_GB2312" w:hAnsi="仿宋"/>
          <w:color w:val="auto"/>
          <w:szCs w:val="32"/>
        </w:rPr>
        <w:t>（款）</w:t>
      </w:r>
      <w:r>
        <w:rPr>
          <w:rStyle w:val="12"/>
          <w:rFonts w:hint="eastAsia" w:ascii="仿宋_GB2312" w:hAnsi="仿宋"/>
          <w:color w:val="auto"/>
          <w:szCs w:val="32"/>
          <w:lang w:eastAsia="zh-CN"/>
        </w:rPr>
        <w:t>老年福利</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1158.5</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91.17</w:t>
      </w:r>
      <w:r>
        <w:rPr>
          <w:rStyle w:val="12"/>
          <w:rFonts w:hint="eastAsia" w:ascii="仿宋_GB2312" w:hAnsi="仿宋"/>
          <w:b w:val="0"/>
          <w:color w:val="auto"/>
          <w:szCs w:val="32"/>
        </w:rPr>
        <w:t>%。</w:t>
      </w:r>
      <w:r>
        <w:rPr>
          <w:rStyle w:val="12"/>
          <w:rFonts w:hint="eastAsia" w:ascii="仿宋_GB2312" w:hAnsi="仿宋"/>
          <w:b w:val="0"/>
          <w:color w:val="000000"/>
          <w:szCs w:val="32"/>
          <w:lang w:eastAsia="zh-CN"/>
        </w:rPr>
        <w:t>决算数小于预算数的主要原因是财政资金困难，资金未及时到位。</w:t>
      </w:r>
    </w:p>
    <w:p>
      <w:pPr>
        <w:spacing w:line="600" w:lineRule="exact"/>
        <w:ind w:firstLine="643" w:firstLineChars="200"/>
        <w:rPr>
          <w:rStyle w:val="12"/>
          <w:rFonts w:hint="eastAsia" w:ascii="仿宋_GB2312" w:hAnsi="仿宋"/>
          <w:b w:val="0"/>
          <w:bCs/>
          <w:color w:val="auto"/>
          <w:sz w:val="32"/>
          <w:szCs w:val="32"/>
          <w:lang w:val="en-US" w:eastAsia="zh-CN"/>
        </w:rPr>
      </w:pPr>
      <w:r>
        <w:rPr>
          <w:rStyle w:val="12"/>
          <w:rFonts w:hint="eastAsia" w:ascii="仿宋_GB2312" w:hAnsi="仿宋"/>
          <w:color w:val="auto"/>
          <w:sz w:val="32"/>
          <w:szCs w:val="32"/>
          <w:lang w:val="en-US" w:eastAsia="zh-CN"/>
        </w:rPr>
        <w:t>12、社会保障和就业支出（类）社会福利（款）社会福利事业单位（项）：</w:t>
      </w:r>
      <w:r>
        <w:rPr>
          <w:rStyle w:val="12"/>
          <w:rFonts w:hint="eastAsia" w:ascii="仿宋_GB2312" w:hAnsi="仿宋"/>
          <w:b w:val="0"/>
          <w:bCs/>
          <w:color w:val="auto"/>
          <w:sz w:val="32"/>
          <w:szCs w:val="32"/>
          <w:lang w:val="en-US" w:eastAsia="zh-CN"/>
        </w:rPr>
        <w:t>支出决算为101.01万元，完成预算100%。</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13.</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残疾人事业</w:t>
      </w:r>
      <w:r>
        <w:rPr>
          <w:rStyle w:val="12"/>
          <w:rFonts w:hint="eastAsia" w:ascii="仿宋_GB2312" w:hAnsi="仿宋"/>
          <w:color w:val="auto"/>
          <w:szCs w:val="32"/>
        </w:rPr>
        <w:t>（款）</w:t>
      </w:r>
      <w:r>
        <w:rPr>
          <w:rStyle w:val="12"/>
          <w:rFonts w:hint="eastAsia" w:ascii="仿宋_GB2312" w:hAnsi="仿宋"/>
          <w:color w:val="auto"/>
          <w:szCs w:val="32"/>
          <w:lang w:eastAsia="zh-CN"/>
        </w:rPr>
        <w:t>残疾人生活和护理补贴</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360.48</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14.</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临时救助</w:t>
      </w:r>
      <w:r>
        <w:rPr>
          <w:rStyle w:val="12"/>
          <w:rFonts w:hint="eastAsia" w:ascii="仿宋_GB2312" w:hAnsi="仿宋"/>
          <w:color w:val="auto"/>
          <w:szCs w:val="32"/>
        </w:rPr>
        <w:t>（款）</w:t>
      </w:r>
      <w:r>
        <w:rPr>
          <w:rStyle w:val="12"/>
          <w:rFonts w:hint="eastAsia" w:ascii="仿宋_GB2312" w:hAnsi="仿宋"/>
          <w:color w:val="auto"/>
          <w:szCs w:val="32"/>
          <w:lang w:eastAsia="zh-CN"/>
        </w:rPr>
        <w:t>临时救助支出</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210.25</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15.</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临时救助</w:t>
      </w:r>
      <w:r>
        <w:rPr>
          <w:rStyle w:val="12"/>
          <w:rFonts w:hint="eastAsia" w:ascii="仿宋_GB2312" w:hAnsi="仿宋"/>
          <w:color w:val="auto"/>
          <w:szCs w:val="32"/>
        </w:rPr>
        <w:t>（款）</w:t>
      </w:r>
      <w:r>
        <w:rPr>
          <w:rStyle w:val="12"/>
          <w:rFonts w:hint="eastAsia" w:ascii="仿宋_GB2312" w:hAnsi="仿宋"/>
          <w:color w:val="auto"/>
          <w:szCs w:val="32"/>
          <w:lang w:eastAsia="zh-CN"/>
        </w:rPr>
        <w:t>流浪乞讨人员救助支出</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25.37</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16.</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特困人员救助供养</w:t>
      </w:r>
      <w:r>
        <w:rPr>
          <w:rStyle w:val="12"/>
          <w:rFonts w:hint="eastAsia" w:ascii="仿宋_GB2312" w:hAnsi="仿宋"/>
          <w:color w:val="auto"/>
          <w:szCs w:val="32"/>
        </w:rPr>
        <w:t>（款）</w:t>
      </w:r>
      <w:r>
        <w:rPr>
          <w:rStyle w:val="12"/>
          <w:rFonts w:hint="eastAsia" w:ascii="仿宋_GB2312" w:hAnsi="仿宋"/>
          <w:color w:val="auto"/>
          <w:szCs w:val="32"/>
          <w:lang w:eastAsia="zh-CN"/>
        </w:rPr>
        <w:t>城市特困人员救助供养支出</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367.81</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17.</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特困人员救助供养</w:t>
      </w:r>
      <w:r>
        <w:rPr>
          <w:rStyle w:val="12"/>
          <w:rFonts w:hint="eastAsia" w:ascii="仿宋_GB2312" w:hAnsi="仿宋"/>
          <w:color w:val="auto"/>
          <w:szCs w:val="32"/>
        </w:rPr>
        <w:t>（款）</w:t>
      </w:r>
      <w:r>
        <w:rPr>
          <w:rStyle w:val="12"/>
          <w:rFonts w:hint="eastAsia" w:ascii="仿宋_GB2312" w:hAnsi="仿宋"/>
          <w:color w:val="auto"/>
          <w:szCs w:val="32"/>
          <w:lang w:eastAsia="zh-CN"/>
        </w:rPr>
        <w:t>农村特困人员救助供养支出</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302.99</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18.</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其他生活救助</w:t>
      </w:r>
      <w:r>
        <w:rPr>
          <w:rStyle w:val="12"/>
          <w:rFonts w:hint="eastAsia" w:ascii="仿宋_GB2312" w:hAnsi="仿宋"/>
          <w:color w:val="auto"/>
          <w:szCs w:val="32"/>
        </w:rPr>
        <w:t>（款）</w:t>
      </w:r>
      <w:r>
        <w:rPr>
          <w:rStyle w:val="12"/>
          <w:rFonts w:hint="eastAsia" w:ascii="仿宋_GB2312" w:hAnsi="仿宋"/>
          <w:color w:val="auto"/>
          <w:szCs w:val="32"/>
          <w:lang w:eastAsia="zh-CN"/>
        </w:rPr>
        <w:t>其他农村生活救助</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5.19</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19.</w:t>
      </w:r>
      <w:r>
        <w:rPr>
          <w:rStyle w:val="12"/>
          <w:rFonts w:hint="eastAsia" w:ascii="仿宋_GB2312" w:hAnsi="仿宋"/>
          <w:color w:val="auto"/>
          <w:szCs w:val="32"/>
        </w:rPr>
        <w:t>社会保障和就业</w:t>
      </w:r>
      <w:r>
        <w:rPr>
          <w:rStyle w:val="12"/>
          <w:rFonts w:hint="eastAsia" w:ascii="仿宋_GB2312" w:hAnsi="仿宋"/>
          <w:color w:val="auto"/>
          <w:szCs w:val="32"/>
          <w:lang w:eastAsia="zh-CN"/>
        </w:rPr>
        <w:t>支出</w:t>
      </w:r>
      <w:r>
        <w:rPr>
          <w:rStyle w:val="12"/>
          <w:rFonts w:hint="eastAsia" w:ascii="仿宋_GB2312" w:hAnsi="仿宋"/>
          <w:color w:val="auto"/>
          <w:szCs w:val="32"/>
        </w:rPr>
        <w:t>（类）</w:t>
      </w:r>
      <w:r>
        <w:rPr>
          <w:rStyle w:val="12"/>
          <w:rFonts w:hint="eastAsia" w:ascii="仿宋_GB2312" w:hAnsi="仿宋"/>
          <w:color w:val="auto"/>
          <w:szCs w:val="32"/>
          <w:lang w:eastAsia="zh-CN"/>
        </w:rPr>
        <w:t>其他社会保障和就业支出</w:t>
      </w:r>
      <w:r>
        <w:rPr>
          <w:rStyle w:val="12"/>
          <w:rFonts w:hint="eastAsia" w:ascii="仿宋_GB2312" w:hAnsi="仿宋"/>
          <w:color w:val="auto"/>
          <w:szCs w:val="32"/>
        </w:rPr>
        <w:t>（款）</w:t>
      </w:r>
      <w:r>
        <w:rPr>
          <w:rStyle w:val="12"/>
          <w:rFonts w:hint="eastAsia" w:ascii="仿宋_GB2312" w:hAnsi="仿宋"/>
          <w:color w:val="auto"/>
          <w:szCs w:val="32"/>
          <w:lang w:eastAsia="zh-CN"/>
        </w:rPr>
        <w:t>其他社会保障和就业支出</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102.84</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20.</w:t>
      </w:r>
      <w:r>
        <w:rPr>
          <w:rStyle w:val="12"/>
          <w:rFonts w:hint="eastAsia" w:ascii="仿宋_GB2312" w:hAnsi="仿宋"/>
          <w:color w:val="auto"/>
          <w:szCs w:val="32"/>
          <w:lang w:eastAsia="zh-CN"/>
        </w:rPr>
        <w:t>卫生健康支出</w:t>
      </w:r>
      <w:r>
        <w:rPr>
          <w:rStyle w:val="12"/>
          <w:rFonts w:hint="eastAsia" w:ascii="仿宋_GB2312" w:hAnsi="仿宋"/>
          <w:color w:val="auto"/>
          <w:szCs w:val="32"/>
        </w:rPr>
        <w:t>（类）</w:t>
      </w:r>
      <w:r>
        <w:rPr>
          <w:rStyle w:val="12"/>
          <w:rFonts w:hint="eastAsia" w:ascii="仿宋_GB2312" w:hAnsi="仿宋"/>
          <w:color w:val="auto"/>
          <w:szCs w:val="32"/>
          <w:lang w:eastAsia="zh-CN"/>
        </w:rPr>
        <w:t>公共卫生</w:t>
      </w:r>
      <w:r>
        <w:rPr>
          <w:rStyle w:val="12"/>
          <w:rFonts w:hint="eastAsia" w:ascii="仿宋_GB2312" w:hAnsi="仿宋"/>
          <w:color w:val="auto"/>
          <w:szCs w:val="32"/>
        </w:rPr>
        <w:t>（款）</w:t>
      </w:r>
      <w:r>
        <w:rPr>
          <w:rStyle w:val="12"/>
          <w:rFonts w:hint="eastAsia" w:ascii="仿宋_GB2312" w:hAnsi="仿宋"/>
          <w:color w:val="auto"/>
          <w:szCs w:val="32"/>
          <w:lang w:eastAsia="zh-CN"/>
        </w:rPr>
        <w:t>其他公共卫生</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26.86</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21.</w:t>
      </w:r>
      <w:r>
        <w:rPr>
          <w:rStyle w:val="12"/>
          <w:rFonts w:hint="eastAsia" w:ascii="仿宋_GB2312" w:hAnsi="仿宋"/>
          <w:color w:val="auto"/>
          <w:szCs w:val="32"/>
          <w:lang w:eastAsia="zh-CN"/>
        </w:rPr>
        <w:t>卫生健康支出</w:t>
      </w:r>
      <w:r>
        <w:rPr>
          <w:rStyle w:val="12"/>
          <w:rFonts w:hint="eastAsia" w:ascii="仿宋_GB2312" w:hAnsi="仿宋"/>
          <w:color w:val="auto"/>
          <w:szCs w:val="32"/>
        </w:rPr>
        <w:t>（类）</w:t>
      </w:r>
      <w:r>
        <w:rPr>
          <w:rStyle w:val="12"/>
          <w:rFonts w:hint="eastAsia" w:ascii="仿宋_GB2312" w:hAnsi="仿宋"/>
          <w:color w:val="auto"/>
          <w:szCs w:val="32"/>
          <w:lang w:eastAsia="zh-CN"/>
        </w:rPr>
        <w:t>行政事业单位医疗</w:t>
      </w:r>
      <w:r>
        <w:rPr>
          <w:rStyle w:val="12"/>
          <w:rFonts w:hint="eastAsia" w:ascii="仿宋_GB2312" w:hAnsi="仿宋"/>
          <w:color w:val="auto"/>
          <w:szCs w:val="32"/>
        </w:rPr>
        <w:t>（款）</w:t>
      </w:r>
      <w:r>
        <w:rPr>
          <w:rStyle w:val="12"/>
          <w:rFonts w:hint="eastAsia" w:ascii="仿宋_GB2312" w:hAnsi="仿宋"/>
          <w:color w:val="auto"/>
          <w:szCs w:val="32"/>
          <w:lang w:eastAsia="zh-CN"/>
        </w:rPr>
        <w:t>行政单位医疗</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6.86</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numPr>
          <w:ilvl w:val="0"/>
          <w:numId w:val="0"/>
        </w:numPr>
        <w:spacing w:line="600" w:lineRule="exact"/>
        <w:ind w:firstLine="643" w:firstLineChars="200"/>
        <w:rPr>
          <w:rStyle w:val="12"/>
          <w:rFonts w:hint="eastAsia" w:ascii="仿宋_GB2312" w:hAnsi="仿宋"/>
          <w:b w:val="0"/>
          <w:bCs/>
          <w:color w:val="auto"/>
          <w:sz w:val="32"/>
          <w:szCs w:val="32"/>
          <w:lang w:val="en-US" w:eastAsia="zh-CN"/>
        </w:rPr>
      </w:pPr>
      <w:r>
        <w:rPr>
          <w:rStyle w:val="12"/>
          <w:rFonts w:hint="eastAsia" w:ascii="仿宋_GB2312" w:hAnsi="仿宋"/>
          <w:color w:val="auto"/>
          <w:sz w:val="32"/>
          <w:szCs w:val="32"/>
          <w:lang w:val="en-US" w:eastAsia="zh-CN"/>
        </w:rPr>
        <w:t>22.卫生健康支出（类）行政事业单位医疗（款）事业单位医疗（项）：</w:t>
      </w:r>
      <w:r>
        <w:rPr>
          <w:rStyle w:val="12"/>
          <w:rFonts w:hint="eastAsia" w:ascii="仿宋_GB2312" w:hAnsi="仿宋"/>
          <w:b w:val="0"/>
          <w:bCs/>
          <w:color w:val="auto"/>
          <w:sz w:val="32"/>
          <w:szCs w:val="32"/>
          <w:lang w:val="en-US" w:eastAsia="zh-CN"/>
        </w:rPr>
        <w:t>决算支出数为5.96万元，完成预算100%。</w:t>
      </w:r>
    </w:p>
    <w:p>
      <w:pPr>
        <w:numPr>
          <w:ilvl w:val="0"/>
          <w:numId w:val="0"/>
        </w:numPr>
        <w:spacing w:line="600" w:lineRule="exact"/>
        <w:ind w:firstLine="643" w:firstLineChars="200"/>
        <w:rPr>
          <w:rStyle w:val="12"/>
          <w:rFonts w:hint="eastAsia" w:ascii="仿宋_GB2312" w:hAnsi="仿宋"/>
          <w:b w:val="0"/>
          <w:color w:val="auto"/>
          <w:szCs w:val="32"/>
        </w:rPr>
      </w:pPr>
      <w:r>
        <w:rPr>
          <w:rStyle w:val="12"/>
          <w:rFonts w:hint="eastAsia" w:ascii="仿宋_GB2312" w:hAnsi="仿宋"/>
          <w:color w:val="auto"/>
          <w:szCs w:val="32"/>
          <w:lang w:val="en-US" w:eastAsia="zh-CN"/>
        </w:rPr>
        <w:t>23.</w:t>
      </w:r>
      <w:r>
        <w:rPr>
          <w:rStyle w:val="12"/>
          <w:rFonts w:hint="eastAsia" w:ascii="仿宋_GB2312" w:hAnsi="仿宋"/>
          <w:color w:val="auto"/>
          <w:szCs w:val="32"/>
          <w:lang w:eastAsia="zh-CN"/>
        </w:rPr>
        <w:t>卫生健康支出</w:t>
      </w:r>
      <w:r>
        <w:rPr>
          <w:rStyle w:val="12"/>
          <w:rFonts w:hint="eastAsia" w:ascii="仿宋_GB2312" w:hAnsi="仿宋"/>
          <w:color w:val="auto"/>
          <w:szCs w:val="32"/>
        </w:rPr>
        <w:t>（类）</w:t>
      </w:r>
      <w:r>
        <w:rPr>
          <w:rStyle w:val="12"/>
          <w:rFonts w:hint="eastAsia" w:ascii="仿宋_GB2312" w:hAnsi="仿宋"/>
          <w:color w:val="auto"/>
          <w:szCs w:val="32"/>
          <w:lang w:eastAsia="zh-CN"/>
        </w:rPr>
        <w:t>老龄卫生健康事务</w:t>
      </w:r>
      <w:r>
        <w:rPr>
          <w:rStyle w:val="12"/>
          <w:rFonts w:hint="eastAsia" w:ascii="仿宋_GB2312" w:hAnsi="仿宋"/>
          <w:color w:val="auto"/>
          <w:szCs w:val="32"/>
        </w:rPr>
        <w:t>（款）</w:t>
      </w:r>
      <w:r>
        <w:rPr>
          <w:rStyle w:val="12"/>
          <w:rFonts w:hint="eastAsia" w:ascii="仿宋_GB2312" w:hAnsi="仿宋"/>
          <w:color w:val="auto"/>
          <w:szCs w:val="32"/>
          <w:lang w:eastAsia="zh-CN"/>
        </w:rPr>
        <w:t>老龄卫生健康事务</w:t>
      </w:r>
      <w:r>
        <w:rPr>
          <w:rStyle w:val="12"/>
          <w:rFonts w:hint="eastAsia" w:ascii="仿宋_GB2312" w:hAnsi="仿宋"/>
          <w:color w:val="auto"/>
          <w:szCs w:val="32"/>
        </w:rPr>
        <w:t xml:space="preserve">（项）: </w:t>
      </w:r>
      <w:r>
        <w:rPr>
          <w:rStyle w:val="12"/>
          <w:rFonts w:hint="eastAsia" w:ascii="仿宋_GB2312" w:hAnsi="仿宋"/>
          <w:b w:val="0"/>
          <w:color w:val="auto"/>
          <w:szCs w:val="32"/>
        </w:rPr>
        <w:t>支出决算为</w:t>
      </w:r>
      <w:r>
        <w:rPr>
          <w:rStyle w:val="12"/>
          <w:rFonts w:hint="eastAsia" w:ascii="仿宋_GB2312" w:hAnsi="仿宋"/>
          <w:b w:val="0"/>
          <w:color w:val="auto"/>
          <w:szCs w:val="32"/>
          <w:lang w:val="en-US" w:eastAsia="zh-CN"/>
        </w:rPr>
        <w:t>459.8</w:t>
      </w:r>
      <w:r>
        <w:rPr>
          <w:rStyle w:val="12"/>
          <w:rFonts w:hint="eastAsia" w:ascii="仿宋_GB2312" w:hAnsi="仿宋"/>
          <w:b w:val="0"/>
          <w:color w:val="auto"/>
          <w:szCs w:val="32"/>
        </w:rPr>
        <w:t>万元，完成预算</w:t>
      </w:r>
      <w:r>
        <w:rPr>
          <w:rStyle w:val="12"/>
          <w:rFonts w:hint="eastAsia" w:ascii="仿宋_GB2312" w:hAnsi="仿宋"/>
          <w:b w:val="0"/>
          <w:color w:val="auto"/>
          <w:szCs w:val="32"/>
          <w:lang w:val="en-US" w:eastAsia="zh-CN"/>
        </w:rPr>
        <w:t>100</w:t>
      </w:r>
      <w:r>
        <w:rPr>
          <w:rStyle w:val="12"/>
          <w:rFonts w:hint="eastAsia" w:ascii="仿宋_GB2312" w:hAnsi="仿宋"/>
          <w:b w:val="0"/>
          <w:color w:val="auto"/>
          <w:szCs w:val="32"/>
        </w:rPr>
        <w:t>%。</w:t>
      </w:r>
    </w:p>
    <w:p>
      <w:pPr>
        <w:spacing w:line="600" w:lineRule="exact"/>
        <w:ind w:firstLine="643" w:firstLineChars="200"/>
        <w:rPr>
          <w:rFonts w:ascii="仿宋" w:hAnsi="仿宋" w:eastAsia="仿宋"/>
          <w:b/>
          <w:color w:val="000000"/>
          <w:sz w:val="32"/>
          <w:szCs w:val="32"/>
        </w:rPr>
      </w:pPr>
      <w:r>
        <w:rPr>
          <w:rStyle w:val="12"/>
          <w:rFonts w:hint="eastAsia" w:ascii="仿宋_GB2312" w:hAnsi="仿宋"/>
          <w:color w:val="000000"/>
          <w:szCs w:val="32"/>
          <w:lang w:val="en-US" w:eastAsia="zh-CN"/>
        </w:rPr>
        <w:t>24</w:t>
      </w:r>
      <w:r>
        <w:rPr>
          <w:rStyle w:val="12"/>
          <w:rFonts w:hint="eastAsia" w:ascii="仿宋_GB2312" w:hAnsi="仿宋"/>
          <w:color w:val="000000"/>
          <w:szCs w:val="32"/>
        </w:rPr>
        <w:t>.住房保障支出（类）住房改革支出（款）住房公积金（项）:</w:t>
      </w:r>
      <w:r>
        <w:rPr>
          <w:rStyle w:val="12"/>
          <w:rFonts w:hint="eastAsia" w:ascii="仿宋_GB2312" w:hAnsi="仿宋"/>
          <w:b w:val="0"/>
          <w:color w:val="000000"/>
          <w:szCs w:val="32"/>
        </w:rPr>
        <w:t>支出决算为</w:t>
      </w:r>
      <w:r>
        <w:rPr>
          <w:rStyle w:val="12"/>
          <w:rFonts w:hint="eastAsia" w:ascii="仿宋_GB2312" w:hAnsi="仿宋"/>
          <w:b w:val="0"/>
          <w:color w:val="000000"/>
          <w:szCs w:val="32"/>
          <w:lang w:val="en-US" w:eastAsia="zh-CN"/>
        </w:rPr>
        <w:t>18.8万</w:t>
      </w:r>
      <w:r>
        <w:rPr>
          <w:rStyle w:val="12"/>
          <w:rFonts w:hint="eastAsia" w:ascii="仿宋_GB2312" w:hAnsi="仿宋"/>
          <w:b w:val="0"/>
          <w:color w:val="000000"/>
          <w:szCs w:val="32"/>
        </w:rPr>
        <w:t>元，完成预算100%。</w:t>
      </w:r>
    </w:p>
    <w:p>
      <w:pPr>
        <w:spacing w:line="600" w:lineRule="exact"/>
        <w:ind w:firstLine="640"/>
        <w:rPr>
          <w:rFonts w:ascii="仿宋" w:hAnsi="仿宋" w:eastAsia="仿宋"/>
          <w:b/>
          <w:color w:val="000000"/>
          <w:sz w:val="32"/>
          <w:szCs w:val="32"/>
        </w:rPr>
      </w:pPr>
    </w:p>
    <w:p>
      <w:pPr>
        <w:tabs>
          <w:tab w:val="right" w:pos="8306"/>
        </w:tabs>
        <w:spacing w:line="600" w:lineRule="exact"/>
        <w:ind w:firstLine="640"/>
        <w:outlineLvl w:val="1"/>
        <w:rPr>
          <w:rStyle w:val="15"/>
        </w:rPr>
      </w:pPr>
      <w:bookmarkStart w:id="39" w:name="_Toc31021"/>
      <w:bookmarkStart w:id="40" w:name="_Toc15377214"/>
      <w:bookmarkStart w:id="41"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5"/>
          <w:rFonts w:hint="eastAsia" w:ascii="黑体" w:hAnsi="黑体" w:eastAsia="黑体"/>
          <w:b w:val="0"/>
        </w:rPr>
        <w:t>般公共预算财政拨款基本支出决算情况说明</w:t>
      </w:r>
      <w:bookmarkEnd w:id="39"/>
      <w:bookmarkEnd w:id="40"/>
      <w:bookmarkEnd w:id="41"/>
      <w:r>
        <w:rPr>
          <w:rStyle w:val="15"/>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2824.22</w:t>
      </w:r>
      <w:r>
        <w:rPr>
          <w:rFonts w:hint="eastAsia" w:ascii="仿宋" w:hAnsi="仿宋" w:eastAsia="仿宋"/>
          <w:color w:val="000000"/>
          <w:sz w:val="32"/>
          <w:szCs w:val="32"/>
        </w:rPr>
        <w:t>万元，其中：</w:t>
      </w:r>
    </w:p>
    <w:p>
      <w:pPr>
        <w:spacing w:line="60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2355.39</w:t>
      </w:r>
      <w:r>
        <w:rPr>
          <w:rFonts w:hint="eastAsia" w:ascii="仿宋" w:hAnsi="仿宋" w:eastAsia="仿宋"/>
          <w:color w:val="000000"/>
          <w:sz w:val="32"/>
          <w:szCs w:val="32"/>
        </w:rPr>
        <w:t>万元，主要包括：基本工资、津贴补贴、奖金、绩效工资、机关事业单位基本养老保险缴费、职业年金缴费、其他社会保障缴费、其他工资福利支出、离休费、退休费、抚恤金、生活补助、医疗费补助、住房公积金、其他对个人和家庭的补助支出等。</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日常公用经费</w:t>
      </w:r>
      <w:r>
        <w:rPr>
          <w:rFonts w:hint="eastAsia" w:ascii="仿宋" w:hAnsi="仿宋" w:eastAsia="仿宋"/>
          <w:color w:val="000000"/>
          <w:sz w:val="32"/>
          <w:szCs w:val="32"/>
          <w:lang w:val="en-US" w:eastAsia="zh-CN"/>
        </w:rPr>
        <w:t>468.83</w:t>
      </w:r>
      <w:r>
        <w:rPr>
          <w:rFonts w:hint="eastAsia" w:ascii="仿宋" w:hAnsi="仿宋" w:eastAsia="仿宋"/>
          <w:color w:val="000000"/>
          <w:sz w:val="32"/>
          <w:szCs w:val="32"/>
        </w:rPr>
        <w:t>万元，主要包括：办公费、印刷费、咨询费、手续费、水费、电费、邮电费、差旅费、维修（护）费、租赁费、培训费、公务接待费、劳务费、委托业务费、工会经费、其他交通费、其他商品和服务支出、办公设备购置等。</w:t>
      </w:r>
    </w:p>
    <w:p>
      <w:pPr>
        <w:spacing w:line="600" w:lineRule="exact"/>
        <w:ind w:firstLine="640"/>
        <w:rPr>
          <w:rFonts w:ascii="仿宋" w:hAnsi="仿宋" w:eastAsia="仿宋"/>
          <w:b/>
          <w:color w:val="FF0000"/>
          <w:sz w:val="32"/>
          <w:szCs w:val="32"/>
        </w:rPr>
      </w:pPr>
    </w:p>
    <w:p>
      <w:pPr>
        <w:spacing w:line="600" w:lineRule="exact"/>
        <w:ind w:firstLine="640"/>
        <w:outlineLvl w:val="1"/>
        <w:rPr>
          <w:rStyle w:val="15"/>
          <w:rFonts w:ascii="黑体" w:hAnsi="黑体" w:eastAsia="黑体"/>
          <w:b w:val="0"/>
        </w:rPr>
      </w:pPr>
      <w:bookmarkStart w:id="42" w:name="_Toc6926"/>
      <w:bookmarkStart w:id="43" w:name="_Toc15396609"/>
      <w:bookmarkStart w:id="44" w:name="_Toc15377215"/>
      <w:r>
        <w:rPr>
          <w:rFonts w:hint="eastAsia" w:ascii="黑体" w:eastAsia="黑体"/>
          <w:color w:val="000000"/>
          <w:sz w:val="32"/>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42"/>
      <w:bookmarkEnd w:id="43"/>
      <w:bookmarkEnd w:id="44"/>
    </w:p>
    <w:p>
      <w:pPr>
        <w:spacing w:line="600" w:lineRule="exact"/>
        <w:ind w:firstLine="640"/>
        <w:outlineLvl w:val="2"/>
        <w:rPr>
          <w:rFonts w:ascii="仿宋" w:hAnsi="仿宋" w:eastAsia="仿宋"/>
          <w:b/>
          <w:color w:val="000000"/>
          <w:sz w:val="32"/>
          <w:szCs w:val="32"/>
        </w:rPr>
      </w:pPr>
      <w:bookmarkStart w:id="45" w:name="_Toc15377216"/>
      <w:r>
        <w:rPr>
          <w:rFonts w:hint="eastAsia" w:ascii="仿宋" w:hAnsi="仿宋" w:eastAsia="仿宋"/>
          <w:b/>
          <w:color w:val="000000"/>
          <w:sz w:val="32"/>
          <w:szCs w:val="32"/>
        </w:rPr>
        <w:t>（一）“三公”经费财政拨款支出决算总体情况说明</w:t>
      </w:r>
      <w:bookmarkEnd w:id="45"/>
    </w:p>
    <w:p>
      <w:pPr>
        <w:spacing w:line="600" w:lineRule="exact"/>
        <w:ind w:firstLine="640" w:firstLineChars="20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1.01</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21.49</w:t>
      </w:r>
      <w:r>
        <w:rPr>
          <w:rFonts w:ascii="仿宋" w:hAnsi="仿宋" w:eastAsia="仿宋"/>
          <w:color w:val="000000"/>
          <w:sz w:val="32"/>
          <w:szCs w:val="32"/>
        </w:rPr>
        <w:t>%</w:t>
      </w:r>
      <w:r>
        <w:rPr>
          <w:rFonts w:hint="eastAsia" w:ascii="仿宋" w:hAnsi="仿宋" w:eastAsia="仿宋"/>
          <w:color w:val="000000"/>
          <w:sz w:val="32"/>
          <w:szCs w:val="32"/>
        </w:rPr>
        <w:t>，决算数小于预算数的主要原因是严格执行厉行节约相关规定，</w:t>
      </w:r>
      <w:r>
        <w:rPr>
          <w:rFonts w:hint="eastAsia" w:ascii="仿宋" w:hAnsi="仿宋" w:eastAsia="仿宋"/>
          <w:color w:val="000000"/>
          <w:sz w:val="32"/>
          <w:szCs w:val="32"/>
          <w:lang w:eastAsia="zh-CN"/>
        </w:rPr>
        <w:t>控制支出。</w:t>
      </w:r>
    </w:p>
    <w:p>
      <w:pPr>
        <w:spacing w:line="600" w:lineRule="exact"/>
        <w:ind w:firstLine="640"/>
        <w:outlineLvl w:val="2"/>
        <w:rPr>
          <w:rFonts w:ascii="仿宋" w:hAnsi="仿宋" w:eastAsia="仿宋"/>
          <w:b/>
          <w:color w:val="000000"/>
          <w:sz w:val="32"/>
          <w:szCs w:val="32"/>
        </w:rPr>
      </w:pPr>
      <w:bookmarkStart w:id="46" w:name="_Toc15377217"/>
      <w:r>
        <w:rPr>
          <w:rFonts w:hint="eastAsia" w:ascii="仿宋" w:hAnsi="仿宋" w:eastAsia="仿宋"/>
          <w:b/>
          <w:color w:val="000000"/>
          <w:sz w:val="32"/>
          <w:szCs w:val="32"/>
        </w:rPr>
        <w:t>（二）“三公”经费财政拨款支出决算具体情况说明</w:t>
      </w:r>
      <w:bookmarkEnd w:id="46"/>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0.92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91.09</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0.09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8.91</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hint="eastAsia" w:ascii="仿宋" w:hAnsi="仿宋" w:eastAsia="仿宋"/>
          <w:color w:val="000000"/>
          <w:sz w:val="32"/>
          <w:szCs w:val="32"/>
        </w:rPr>
      </w:pPr>
      <w:r>
        <w:drawing>
          <wp:anchor distT="0" distB="0" distL="114300" distR="114300" simplePos="0" relativeHeight="251666432" behindDoc="1" locked="0" layoutInCell="1" allowOverlap="1">
            <wp:simplePos x="0" y="0"/>
            <wp:positionH relativeFrom="column">
              <wp:posOffset>371475</wp:posOffset>
            </wp:positionH>
            <wp:positionV relativeFrom="paragraph">
              <wp:posOffset>238125</wp:posOffset>
            </wp:positionV>
            <wp:extent cx="4572000" cy="2743200"/>
            <wp:effectExtent l="4445" t="4445" r="14605" b="14605"/>
            <wp:wrapNone/>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：“三公”经费财政拨款支出结构）（饼状图）</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color w:val="000000"/>
          <w:sz w:val="32"/>
          <w:szCs w:val="32"/>
          <w:lang w:val="en-US" w:eastAsia="zh-CN"/>
        </w:rPr>
        <w:t>0</w:t>
      </w:r>
      <w:r>
        <w:rPr>
          <w:rFonts w:hint="eastAsia" w:ascii="仿宋_GB2312" w:eastAsia="仿宋_GB2312"/>
          <w:color w:val="000000"/>
          <w:sz w:val="32"/>
          <w:szCs w:val="32"/>
        </w:rPr>
        <w:t>人。因公出国（境）支出决算</w:t>
      </w:r>
      <w:r>
        <w:rPr>
          <w:rFonts w:hint="eastAsia" w:ascii="仿宋_GB2312"/>
          <w:color w:val="000000"/>
          <w:sz w:val="32"/>
          <w:szCs w:val="32"/>
          <w:lang w:eastAsia="zh-CN"/>
        </w:rPr>
        <w:t>与</w:t>
      </w:r>
      <w:r>
        <w:rPr>
          <w:rFonts w:ascii="仿宋_GB2312" w:eastAsia="仿宋_GB2312"/>
          <w:color w:val="000000"/>
          <w:sz w:val="32"/>
          <w:szCs w:val="32"/>
        </w:rPr>
        <w:t>201</w:t>
      </w:r>
      <w:r>
        <w:rPr>
          <w:rFonts w:hint="eastAsia" w:ascii="仿宋_GB2312"/>
          <w:color w:val="000000"/>
          <w:sz w:val="32"/>
          <w:szCs w:val="32"/>
          <w:lang w:val="en-US" w:eastAsia="zh-CN"/>
        </w:rPr>
        <w:t>9</w:t>
      </w:r>
      <w:r>
        <w:rPr>
          <w:rFonts w:hint="eastAsia" w:ascii="仿宋_GB2312" w:eastAsia="仿宋_GB2312"/>
          <w:color w:val="000000"/>
          <w:sz w:val="32"/>
          <w:szCs w:val="32"/>
        </w:rPr>
        <w:t>年</w:t>
      </w:r>
      <w:r>
        <w:rPr>
          <w:rFonts w:hint="eastAsia" w:ascii="仿宋_GB2312"/>
          <w:color w:val="000000"/>
          <w:sz w:val="32"/>
          <w:szCs w:val="32"/>
          <w:lang w:eastAsia="zh-CN"/>
        </w:rPr>
        <w:t>持平</w:t>
      </w:r>
      <w:r>
        <w:rPr>
          <w:rFonts w:hint="eastAsia" w:ascii="仿宋_GB2312" w:eastAsia="仿宋_GB2312"/>
          <w:color w:val="000000"/>
          <w:sz w:val="32"/>
          <w:szCs w:val="32"/>
        </w:rPr>
        <w:t>。主要原因是</w:t>
      </w:r>
      <w:r>
        <w:rPr>
          <w:rFonts w:hint="eastAsia" w:ascii="仿宋_GB2312"/>
          <w:color w:val="000000"/>
          <w:sz w:val="32"/>
          <w:szCs w:val="32"/>
          <w:lang w:eastAsia="zh-CN"/>
        </w:rPr>
        <w:t>无</w:t>
      </w:r>
      <w:r>
        <w:rPr>
          <w:rFonts w:hint="eastAsia" w:ascii="仿宋_GB2312" w:eastAsia="仿宋_GB2312"/>
          <w:sz w:val="32"/>
          <w:szCs w:val="32"/>
        </w:rPr>
        <w:t>因公出国</w:t>
      </w:r>
      <w:r>
        <w:rPr>
          <w:rFonts w:hint="eastAsia" w:ascii="仿宋_GB2312"/>
          <w:sz w:val="32"/>
          <w:szCs w:val="32"/>
          <w:lang w:eastAsia="zh-CN"/>
        </w:rPr>
        <w:t>（境）</w:t>
      </w:r>
      <w:r>
        <w:rPr>
          <w:rFonts w:hint="eastAsia" w:ascii="仿宋_GB2312" w:eastAsia="仿宋_GB2312"/>
          <w:sz w:val="32"/>
          <w:szCs w:val="32"/>
        </w:rPr>
        <w:t>安排。</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lang w:val="en-US" w:eastAsia="zh-CN"/>
        </w:rPr>
        <w:t>0.92</w:t>
      </w:r>
      <w:r>
        <w:rPr>
          <w:rFonts w:hint="eastAsia" w:ascii="仿宋_GB2312" w:eastAsia="仿宋_GB2312"/>
          <w:color w:val="000000"/>
          <w:sz w:val="32"/>
          <w:szCs w:val="32"/>
        </w:rPr>
        <w:t>万元</w:t>
      </w:r>
      <w:r>
        <w:rPr>
          <w:rFonts w:ascii="仿宋_GB2312" w:eastAsia="仿宋_GB2312"/>
          <w:color w:val="000000"/>
          <w:sz w:val="32"/>
          <w:szCs w:val="32"/>
        </w:rPr>
        <w:t>,</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54.12</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color w:val="000000"/>
          <w:sz w:val="32"/>
          <w:szCs w:val="32"/>
          <w:lang w:val="en-US" w:eastAsia="zh-CN"/>
        </w:rPr>
        <w:t>2019</w:t>
      </w:r>
      <w:r>
        <w:rPr>
          <w:rFonts w:hint="eastAsia" w:ascii="仿宋_GB2312" w:eastAsia="仿宋_GB2312"/>
          <w:color w:val="000000"/>
          <w:sz w:val="32"/>
          <w:szCs w:val="32"/>
        </w:rPr>
        <w:t>年减少</w:t>
      </w:r>
      <w:r>
        <w:rPr>
          <w:rFonts w:hint="eastAsia" w:ascii="仿宋_GB2312"/>
          <w:color w:val="000000"/>
          <w:sz w:val="32"/>
          <w:szCs w:val="32"/>
          <w:lang w:val="en-US" w:eastAsia="zh-CN"/>
        </w:rPr>
        <w:t>0.29</w:t>
      </w:r>
      <w:r>
        <w:rPr>
          <w:rFonts w:hint="eastAsia" w:ascii="仿宋_GB2312" w:eastAsia="仿宋_GB2312"/>
          <w:color w:val="000000"/>
          <w:sz w:val="32"/>
          <w:szCs w:val="32"/>
        </w:rPr>
        <w:t>万元，下降</w:t>
      </w:r>
      <w:r>
        <w:rPr>
          <w:rFonts w:hint="eastAsia" w:ascii="仿宋_GB2312"/>
          <w:color w:val="000000"/>
          <w:sz w:val="32"/>
          <w:szCs w:val="32"/>
          <w:lang w:val="en-US" w:eastAsia="zh-CN"/>
        </w:rPr>
        <w:t>23.97</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color w:val="000000"/>
          <w:sz w:val="32"/>
          <w:szCs w:val="32"/>
          <w:lang w:eastAsia="zh-CN"/>
        </w:rPr>
        <w:t>厉行节约</w:t>
      </w:r>
      <w:r>
        <w:rPr>
          <w:rFonts w:hint="eastAsia" w:ascii="仿宋_GB2312" w:eastAsia="仿宋_GB2312"/>
          <w:color w:val="000000"/>
          <w:sz w:val="32"/>
          <w:szCs w:val="32"/>
        </w:rPr>
        <w:t>。</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color w:val="000000"/>
          <w:sz w:val="32"/>
          <w:szCs w:val="32"/>
          <w:lang w:val="en-US" w:eastAsia="zh-CN"/>
        </w:rPr>
        <w:t>0</w:t>
      </w:r>
      <w:r>
        <w:rPr>
          <w:rFonts w:hint="eastAsia" w:ascii="仿宋_GB2312" w:eastAsia="仿宋_GB2312"/>
          <w:color w:val="000000"/>
          <w:sz w:val="32"/>
          <w:szCs w:val="32"/>
        </w:rPr>
        <w:t>万元。全年按规定更新购置公务用车</w:t>
      </w:r>
      <w:r>
        <w:rPr>
          <w:rFonts w:hint="eastAsia" w:ascii="仿宋_GB2312"/>
          <w:color w:val="000000"/>
          <w:sz w:val="32"/>
          <w:szCs w:val="32"/>
          <w:lang w:val="en-US" w:eastAsia="zh-CN"/>
        </w:rPr>
        <w:t>0</w:t>
      </w:r>
      <w:r>
        <w:rPr>
          <w:rFonts w:hint="eastAsia" w:ascii="仿宋_GB2312" w:eastAsia="仿宋_GB2312"/>
          <w:color w:val="000000"/>
          <w:sz w:val="32"/>
          <w:szCs w:val="32"/>
        </w:rPr>
        <w:t>辆，其中：轿车</w:t>
      </w:r>
      <w:r>
        <w:rPr>
          <w:rFonts w:hint="eastAsia" w:ascii="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color w:val="000000"/>
          <w:sz w:val="32"/>
          <w:szCs w:val="32"/>
          <w:lang w:val="en-US" w:eastAsia="zh-CN"/>
        </w:rPr>
        <w:t>0</w:t>
      </w:r>
      <w:r>
        <w:rPr>
          <w:rFonts w:hint="eastAsia" w:ascii="仿宋_GB2312" w:eastAsia="仿宋_GB2312"/>
          <w:color w:val="000000"/>
          <w:sz w:val="32"/>
          <w:szCs w:val="32"/>
        </w:rPr>
        <w:t>万元，越野车</w:t>
      </w:r>
      <w:r>
        <w:rPr>
          <w:rFonts w:hint="eastAsia" w:ascii="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color w:val="000000"/>
          <w:sz w:val="32"/>
          <w:szCs w:val="32"/>
          <w:lang w:val="en-US" w:eastAsia="zh-CN"/>
        </w:rPr>
        <w:t>0</w:t>
      </w:r>
      <w:r>
        <w:rPr>
          <w:rFonts w:hint="eastAsia" w:ascii="仿宋_GB2312" w:eastAsia="仿宋_GB2312"/>
          <w:color w:val="000000"/>
          <w:sz w:val="32"/>
          <w:szCs w:val="32"/>
        </w:rPr>
        <w:t>万元，载客汽车</w:t>
      </w:r>
      <w:r>
        <w:rPr>
          <w:rFonts w:hint="eastAsia" w:ascii="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color w:val="000000"/>
          <w:sz w:val="32"/>
          <w:szCs w:val="32"/>
          <w:lang w:val="en-US" w:eastAsia="zh-CN"/>
        </w:rPr>
        <w:t>0</w:t>
      </w:r>
      <w:r>
        <w:rPr>
          <w:rFonts w:hint="eastAsia" w:ascii="仿宋_GB2312" w:eastAsia="仿宋_GB2312"/>
          <w:color w:val="000000"/>
          <w:sz w:val="32"/>
          <w:szCs w:val="32"/>
        </w:rPr>
        <w:t>万元。截至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color w:val="000000"/>
          <w:sz w:val="32"/>
          <w:szCs w:val="32"/>
          <w:lang w:val="en-US" w:eastAsia="zh-CN"/>
        </w:rPr>
        <w:t>1</w:t>
      </w:r>
      <w:r>
        <w:rPr>
          <w:rFonts w:hint="eastAsia" w:ascii="仿宋_GB2312" w:eastAsia="仿宋_GB2312"/>
          <w:color w:val="000000"/>
          <w:sz w:val="32"/>
          <w:szCs w:val="32"/>
        </w:rPr>
        <w:t>辆，其中：轿车</w:t>
      </w:r>
      <w:r>
        <w:rPr>
          <w:rFonts w:hint="eastAsia" w:ascii="仿宋_GB2312"/>
          <w:color w:val="000000"/>
          <w:sz w:val="32"/>
          <w:szCs w:val="32"/>
          <w:lang w:val="en-US" w:eastAsia="zh-CN"/>
        </w:rPr>
        <w:t>1</w:t>
      </w:r>
      <w:r>
        <w:rPr>
          <w:rFonts w:hint="eastAsia" w:ascii="仿宋_GB2312" w:eastAsia="仿宋_GB2312"/>
          <w:color w:val="000000"/>
          <w:sz w:val="32"/>
          <w:szCs w:val="32"/>
        </w:rPr>
        <w:t>辆、越野车</w:t>
      </w:r>
      <w:r>
        <w:rPr>
          <w:rFonts w:hint="eastAsia" w:ascii="仿宋_GB2312"/>
          <w:color w:val="000000"/>
          <w:sz w:val="32"/>
          <w:szCs w:val="32"/>
          <w:lang w:val="en-US" w:eastAsia="zh-CN"/>
        </w:rPr>
        <w:t>0</w:t>
      </w:r>
      <w:r>
        <w:rPr>
          <w:rFonts w:hint="eastAsia" w:ascii="仿宋_GB2312" w:eastAsia="仿宋_GB2312"/>
          <w:color w:val="000000"/>
          <w:sz w:val="32"/>
          <w:szCs w:val="32"/>
        </w:rPr>
        <w:t>辆、载客汽车</w:t>
      </w:r>
      <w:r>
        <w:rPr>
          <w:rFonts w:hint="eastAsia" w:ascii="仿宋_GB2312"/>
          <w:color w:val="000000"/>
          <w:sz w:val="32"/>
          <w:szCs w:val="32"/>
          <w:lang w:val="en-US" w:eastAsia="zh-CN"/>
        </w:rPr>
        <w:t>0</w:t>
      </w:r>
      <w:r>
        <w:rPr>
          <w:rFonts w:hint="eastAsia" w:ascii="仿宋_GB2312" w:eastAsia="仿宋_GB2312"/>
          <w:color w:val="000000"/>
          <w:sz w:val="32"/>
          <w:szCs w:val="32"/>
        </w:rPr>
        <w:t>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color w:val="000000"/>
          <w:sz w:val="32"/>
          <w:szCs w:val="32"/>
          <w:lang w:val="en-US" w:eastAsia="zh-CN"/>
        </w:rPr>
        <w:t>0.92</w:t>
      </w:r>
      <w:r>
        <w:rPr>
          <w:rFonts w:hint="eastAsia" w:ascii="仿宋_GB2312" w:eastAsia="仿宋_GB2312"/>
          <w:color w:val="000000"/>
          <w:sz w:val="32"/>
          <w:szCs w:val="32"/>
        </w:rPr>
        <w:t>万元。主要用于</w:t>
      </w:r>
      <w:r>
        <w:rPr>
          <w:rFonts w:hint="eastAsia" w:ascii="仿宋_GB2312"/>
          <w:color w:val="000000"/>
          <w:sz w:val="32"/>
          <w:szCs w:val="32"/>
          <w:lang w:eastAsia="zh-CN"/>
        </w:rPr>
        <w:t>保障集中供养特困人员日常生活</w:t>
      </w:r>
      <w:r>
        <w:rPr>
          <w:rFonts w:hint="eastAsia" w:ascii="仿宋_GB2312" w:eastAsia="仿宋_GB2312"/>
          <w:color w:val="000000"/>
          <w:sz w:val="32"/>
          <w:szCs w:val="32"/>
        </w:rPr>
        <w:t>等所需的公务用车燃料费、维修费、过路过桥费、保险费等支出。</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color w:val="000000"/>
          <w:sz w:val="32"/>
          <w:szCs w:val="32"/>
          <w:lang w:val="en-US" w:eastAsia="zh-CN"/>
        </w:rPr>
        <w:t>0.09</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3</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2019</w:t>
      </w:r>
      <w:r>
        <w:rPr>
          <w:rFonts w:hint="eastAsia" w:ascii="仿宋_GB2312" w:eastAsia="仿宋_GB2312"/>
          <w:color w:val="000000"/>
          <w:sz w:val="32"/>
          <w:szCs w:val="32"/>
        </w:rPr>
        <w:t>年减少</w:t>
      </w:r>
      <w:r>
        <w:rPr>
          <w:rFonts w:hint="eastAsia" w:ascii="仿宋_GB2312"/>
          <w:color w:val="000000"/>
          <w:sz w:val="32"/>
          <w:szCs w:val="32"/>
          <w:lang w:val="en-US" w:eastAsia="zh-CN"/>
        </w:rPr>
        <w:t>0.31</w:t>
      </w:r>
      <w:r>
        <w:rPr>
          <w:rFonts w:hint="eastAsia" w:ascii="仿宋_GB2312" w:eastAsia="仿宋_GB2312"/>
          <w:color w:val="000000"/>
          <w:sz w:val="32"/>
          <w:szCs w:val="32"/>
        </w:rPr>
        <w:t>万元，下降</w:t>
      </w:r>
      <w:r>
        <w:rPr>
          <w:rFonts w:hint="eastAsia" w:ascii="仿宋_GB2312"/>
          <w:color w:val="000000"/>
          <w:sz w:val="32"/>
          <w:szCs w:val="32"/>
          <w:lang w:val="en-US" w:eastAsia="zh-CN"/>
        </w:rPr>
        <w:t>77.5</w:t>
      </w:r>
      <w:r>
        <w:rPr>
          <w:rFonts w:ascii="仿宋_GB2312" w:eastAsia="仿宋_GB2312"/>
          <w:color w:val="000000"/>
          <w:sz w:val="32"/>
          <w:szCs w:val="32"/>
        </w:rPr>
        <w:t>%</w:t>
      </w:r>
      <w:r>
        <w:rPr>
          <w:rFonts w:hint="eastAsia" w:ascii="仿宋_GB2312" w:eastAsia="仿宋_GB2312"/>
          <w:color w:val="000000"/>
          <w:sz w:val="32"/>
          <w:szCs w:val="32"/>
        </w:rPr>
        <w:t>。主要原因是严格执行厉行节约相关规定，</w:t>
      </w:r>
      <w:r>
        <w:rPr>
          <w:rFonts w:hint="eastAsia" w:ascii="仿宋_GB2312" w:eastAsia="仿宋_GB2312"/>
          <w:color w:val="000000"/>
          <w:sz w:val="32"/>
          <w:szCs w:val="32"/>
          <w:lang w:eastAsia="zh-CN"/>
        </w:rPr>
        <w:t>控制支出</w:t>
      </w:r>
      <w:r>
        <w:rPr>
          <w:rFonts w:hint="eastAsia" w:ascii="仿宋_GB2312" w:eastAsia="仿宋_GB2312"/>
          <w:color w:val="000000"/>
          <w:sz w:val="32"/>
          <w:szCs w:val="32"/>
        </w:rPr>
        <w:t>。其中：</w:t>
      </w:r>
    </w:p>
    <w:p>
      <w:pPr>
        <w:spacing w:line="600" w:lineRule="exact"/>
        <w:ind w:firstLine="640"/>
        <w:rPr>
          <w:rFonts w:ascii="仿宋_GB2312" w:eastAsia="仿宋_GB2312"/>
          <w:color w:val="000000"/>
          <w:sz w:val="32"/>
          <w:szCs w:val="32"/>
        </w:rPr>
      </w:pPr>
      <w:r>
        <w:rPr>
          <w:rFonts w:hint="eastAsia" w:ascii="仿宋" w:hAnsi="仿宋" w:eastAsia="仿宋"/>
          <w:b/>
          <w:color w:val="000000"/>
          <w:sz w:val="32"/>
          <w:szCs w:val="32"/>
        </w:rPr>
        <w:t>国内公务接待支出</w:t>
      </w:r>
      <w:r>
        <w:rPr>
          <w:rFonts w:hint="eastAsia" w:ascii="仿宋" w:hAnsi="仿宋" w:eastAsia="仿宋"/>
          <w:color w:val="000000"/>
          <w:sz w:val="32"/>
          <w:szCs w:val="32"/>
          <w:lang w:val="en-US" w:eastAsia="zh-CN"/>
        </w:rPr>
        <w:t>0.09</w:t>
      </w:r>
      <w:r>
        <w:rPr>
          <w:rFonts w:hint="eastAsia" w:ascii="仿宋_GB2312" w:eastAsia="仿宋_GB2312"/>
          <w:color w:val="000000"/>
          <w:sz w:val="32"/>
          <w:szCs w:val="32"/>
        </w:rPr>
        <w:t>万元，主要用于</w:t>
      </w:r>
      <w:r>
        <w:rPr>
          <w:rFonts w:hint="eastAsia" w:ascii="仿宋_GB2312"/>
          <w:color w:val="000000"/>
          <w:sz w:val="32"/>
          <w:szCs w:val="32"/>
          <w:lang w:eastAsia="zh-CN"/>
        </w:rPr>
        <w:t>接待</w:t>
      </w:r>
      <w:r>
        <w:rPr>
          <w:rFonts w:hint="eastAsia" w:ascii="仿宋_GB2312" w:eastAsia="仿宋_GB2312"/>
          <w:color w:val="000000"/>
          <w:sz w:val="32"/>
          <w:szCs w:val="32"/>
        </w:rPr>
        <w:t>用餐费。国内公务接待</w:t>
      </w:r>
      <w:r>
        <w:rPr>
          <w:rFonts w:hint="eastAsia" w:ascii="仿宋_GB2312"/>
          <w:color w:val="000000"/>
          <w:sz w:val="32"/>
          <w:szCs w:val="32"/>
          <w:lang w:val="en-US" w:eastAsia="zh-CN"/>
        </w:rPr>
        <w:t>2</w:t>
      </w:r>
      <w:r>
        <w:rPr>
          <w:rFonts w:hint="eastAsia" w:ascii="仿宋_GB2312" w:eastAsia="仿宋_GB2312"/>
          <w:color w:val="000000"/>
          <w:sz w:val="32"/>
          <w:szCs w:val="32"/>
        </w:rPr>
        <w:t>批次，</w:t>
      </w:r>
      <w:r>
        <w:rPr>
          <w:rFonts w:hint="eastAsia" w:ascii="仿宋_GB2312"/>
          <w:color w:val="000000"/>
          <w:sz w:val="32"/>
          <w:szCs w:val="32"/>
          <w:lang w:val="en-US" w:eastAsia="zh-CN"/>
        </w:rPr>
        <w:t>17</w:t>
      </w:r>
      <w:r>
        <w:rPr>
          <w:rFonts w:hint="eastAsia" w:ascii="仿宋_GB2312" w:eastAsia="仿宋_GB2312"/>
          <w:color w:val="000000"/>
          <w:sz w:val="32"/>
          <w:szCs w:val="32"/>
        </w:rPr>
        <w:t>人次，共计支出</w:t>
      </w:r>
      <w:r>
        <w:rPr>
          <w:rFonts w:hint="eastAsia" w:ascii="仿宋_GB2312"/>
          <w:color w:val="000000"/>
          <w:sz w:val="32"/>
          <w:szCs w:val="32"/>
          <w:lang w:val="en-US" w:eastAsia="zh-CN"/>
        </w:rPr>
        <w:t>0.09</w:t>
      </w:r>
      <w:r>
        <w:rPr>
          <w:rFonts w:hint="eastAsia" w:ascii="仿宋_GB2312" w:eastAsia="仿宋_GB2312"/>
          <w:color w:val="000000"/>
          <w:sz w:val="32"/>
          <w:szCs w:val="32"/>
        </w:rPr>
        <w:t>万元，具体内容包括：</w:t>
      </w:r>
      <w:r>
        <w:rPr>
          <w:rFonts w:hint="eastAsia" w:ascii="仿宋_GB2312"/>
          <w:color w:val="000000"/>
          <w:sz w:val="32"/>
          <w:szCs w:val="32"/>
          <w:lang w:eastAsia="zh-CN"/>
        </w:rPr>
        <w:t>接待四川众联养老服务公司养护楼招商引资用餐</w:t>
      </w:r>
      <w:r>
        <w:rPr>
          <w:rFonts w:hint="eastAsia" w:ascii="仿宋_GB2312"/>
          <w:color w:val="000000"/>
          <w:sz w:val="32"/>
          <w:szCs w:val="32"/>
          <w:lang w:val="en-US" w:eastAsia="zh-CN"/>
        </w:rPr>
        <w:t>0.07万元，接待宜宾翠屏区签订“自翠线”备案录用餐0.02万元。</w:t>
      </w:r>
    </w:p>
    <w:p>
      <w:pPr>
        <w:spacing w:line="600" w:lineRule="exact"/>
        <w:ind w:firstLine="643" w:firstLineChars="200"/>
        <w:rPr>
          <w:rFonts w:hint="eastAsia" w:ascii="仿宋_GB2312" w:eastAsia="仿宋_GB2312"/>
          <w:color w:val="000000"/>
          <w:sz w:val="32"/>
          <w:szCs w:val="32"/>
          <w:lang w:eastAsia="zh-CN"/>
        </w:rPr>
      </w:pPr>
      <w:r>
        <w:rPr>
          <w:rFonts w:hint="eastAsia" w:ascii="仿宋" w:hAnsi="仿宋" w:eastAsia="仿宋"/>
          <w:b/>
          <w:color w:val="000000"/>
          <w:sz w:val="32"/>
          <w:szCs w:val="32"/>
        </w:rPr>
        <w:t>外事接待支出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万元，外事接待</w:t>
      </w:r>
      <w:r>
        <w:rPr>
          <w:rFonts w:hint="eastAsia" w:ascii="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color w:val="000000"/>
          <w:sz w:val="32"/>
          <w:szCs w:val="32"/>
          <w:lang w:val="en-US" w:eastAsia="zh-CN"/>
        </w:rPr>
        <w:t>0</w:t>
      </w:r>
      <w:r>
        <w:rPr>
          <w:rFonts w:hint="eastAsia" w:ascii="仿宋_GB2312" w:eastAsia="仿宋_GB2312"/>
          <w:color w:val="000000"/>
          <w:sz w:val="32"/>
          <w:szCs w:val="32"/>
        </w:rPr>
        <w:t>人，共计支出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color w:val="000000"/>
          <w:sz w:val="32"/>
          <w:szCs w:val="32"/>
          <w:lang w:eastAsia="zh-CN"/>
        </w:rPr>
        <w:t>。</w:t>
      </w:r>
    </w:p>
    <w:p>
      <w:pPr>
        <w:spacing w:line="600" w:lineRule="exact"/>
        <w:ind w:firstLine="640"/>
        <w:outlineLvl w:val="1"/>
        <w:rPr>
          <w:rFonts w:ascii="黑体" w:eastAsia="黑体"/>
          <w:color w:val="000000"/>
          <w:sz w:val="32"/>
          <w:szCs w:val="32"/>
        </w:rPr>
      </w:pPr>
      <w:bookmarkStart w:id="47" w:name="_Toc15377218"/>
      <w:bookmarkStart w:id="48" w:name="_Toc15396610"/>
    </w:p>
    <w:p>
      <w:pPr>
        <w:spacing w:line="600" w:lineRule="exact"/>
        <w:ind w:firstLine="640"/>
        <w:outlineLvl w:val="1"/>
        <w:rPr>
          <w:rStyle w:val="15"/>
          <w:rFonts w:ascii="黑体" w:hAnsi="黑体" w:eastAsia="黑体"/>
        </w:rPr>
      </w:pPr>
      <w:bookmarkStart w:id="49" w:name="_Toc9843"/>
      <w:r>
        <w:rPr>
          <w:rFonts w:hint="eastAsia" w:ascii="黑体" w:eastAsia="黑体"/>
          <w:color w:val="000000"/>
          <w:sz w:val="32"/>
          <w:szCs w:val="32"/>
        </w:rPr>
        <w:t>八、</w:t>
      </w:r>
      <w:r>
        <w:rPr>
          <w:rStyle w:val="15"/>
          <w:rFonts w:hint="eastAsia" w:ascii="黑体" w:hAnsi="黑体" w:eastAsia="黑体"/>
          <w:b w:val="0"/>
        </w:rPr>
        <w:t>政府性基金预算支出决算情况说明</w:t>
      </w:r>
      <w:bookmarkEnd w:id="47"/>
      <w:bookmarkEnd w:id="48"/>
      <w:bookmarkEnd w:id="49"/>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年政府性基金预算拨款支出</w:t>
      </w:r>
      <w:r>
        <w:rPr>
          <w:rFonts w:hint="eastAsia" w:ascii="仿宋_GB2312"/>
          <w:color w:val="000000"/>
          <w:sz w:val="32"/>
          <w:szCs w:val="32"/>
          <w:lang w:val="en-US" w:eastAsia="zh-CN"/>
        </w:rPr>
        <w:t>220.23</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3"/>
        </w:numPr>
        <w:spacing w:line="600" w:lineRule="exact"/>
        <w:ind w:firstLine="640"/>
        <w:outlineLvl w:val="1"/>
        <w:rPr>
          <w:rStyle w:val="15"/>
          <w:rFonts w:ascii="黑体" w:hAnsi="黑体" w:eastAsia="黑体"/>
          <w:b w:val="0"/>
        </w:rPr>
      </w:pPr>
      <w:bookmarkStart w:id="50" w:name="_Toc15396611"/>
      <w:bookmarkStart w:id="51" w:name="_Toc15377219"/>
      <w:bookmarkStart w:id="52" w:name="_Toc10775"/>
      <w:r>
        <w:rPr>
          <w:rStyle w:val="15"/>
          <w:rFonts w:hint="eastAsia" w:ascii="黑体" w:hAnsi="黑体" w:eastAsia="黑体"/>
          <w:b w:val="0"/>
        </w:rPr>
        <w:t>国有资本经营预算支出决算情况说明</w:t>
      </w:r>
      <w:bookmarkEnd w:id="50"/>
      <w:bookmarkEnd w:id="51"/>
      <w:bookmarkEnd w:id="52"/>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年国有资本经营预算拨款支出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5"/>
          <w:rFonts w:ascii="黑体" w:hAnsi="黑体" w:eastAsia="黑体"/>
        </w:rPr>
      </w:pPr>
      <w:bookmarkStart w:id="53" w:name="_Toc15396612"/>
      <w:bookmarkStart w:id="54" w:name="_Toc738"/>
      <w:bookmarkStart w:id="55" w:name="_Toc15377221"/>
      <w:r>
        <w:rPr>
          <w:rFonts w:hint="eastAsia" w:ascii="黑体" w:hAnsi="黑体" w:eastAsia="黑体"/>
          <w:color w:val="000000"/>
          <w:sz w:val="32"/>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53"/>
      <w:bookmarkEnd w:id="54"/>
      <w:bookmarkEnd w:id="55"/>
    </w:p>
    <w:p>
      <w:pPr>
        <w:spacing w:line="600" w:lineRule="exact"/>
        <w:ind w:firstLine="643" w:firstLineChars="200"/>
        <w:outlineLvl w:val="2"/>
        <w:rPr>
          <w:rFonts w:ascii="仿宋" w:hAnsi="仿宋" w:eastAsia="仿宋"/>
          <w:color w:val="000000"/>
          <w:sz w:val="32"/>
          <w:szCs w:val="32"/>
        </w:rPr>
      </w:pPr>
      <w:bookmarkStart w:id="56" w:name="_Toc15377222"/>
      <w:r>
        <w:rPr>
          <w:rFonts w:hint="eastAsia" w:ascii="仿宋" w:hAnsi="仿宋" w:eastAsia="仿宋"/>
          <w:b/>
          <w:color w:val="000000"/>
          <w:sz w:val="32"/>
          <w:szCs w:val="32"/>
        </w:rPr>
        <w:t>（一）机关运行经费支出情况</w:t>
      </w:r>
      <w:bookmarkEnd w:id="56"/>
    </w:p>
    <w:p>
      <w:pPr>
        <w:spacing w:line="600" w:lineRule="exact"/>
        <w:ind w:firstLine="640" w:firstLineChars="200"/>
        <w:rPr>
          <w:rFonts w:hint="default" w:ascii="仿宋_GB2312" w:eastAsia="仿宋_GB2312"/>
          <w:color w:val="000000"/>
          <w:sz w:val="32"/>
          <w:szCs w:val="32"/>
          <w:lang w:val="en-US" w:eastAsia="zh-CN"/>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自流井区民政局</w:t>
      </w:r>
      <w:r>
        <w:rPr>
          <w:rFonts w:hint="eastAsia" w:ascii="仿宋_GB2312" w:eastAsia="仿宋_GB2312"/>
          <w:color w:val="000000"/>
          <w:sz w:val="32"/>
          <w:szCs w:val="32"/>
        </w:rPr>
        <w:t>机关运行经费支出</w:t>
      </w:r>
      <w:r>
        <w:rPr>
          <w:rFonts w:hint="eastAsia" w:ascii="仿宋_GB2312"/>
          <w:color w:val="000000"/>
          <w:sz w:val="32"/>
          <w:szCs w:val="32"/>
          <w:lang w:val="en-US" w:eastAsia="zh-CN"/>
        </w:rPr>
        <w:t>458.48</w:t>
      </w:r>
      <w:r>
        <w:rPr>
          <w:rFonts w:hint="eastAsia" w:ascii="仿宋_GB2312" w:eastAsia="仿宋_GB2312"/>
          <w:color w:val="000000"/>
          <w:sz w:val="32"/>
          <w:szCs w:val="32"/>
        </w:rPr>
        <w:t>万元，比</w:t>
      </w:r>
      <w:r>
        <w:rPr>
          <w:rFonts w:ascii="仿宋_GB2312" w:eastAsia="仿宋_GB2312"/>
          <w:color w:val="000000"/>
          <w:sz w:val="32"/>
          <w:szCs w:val="32"/>
        </w:rPr>
        <w:t>2019</w:t>
      </w:r>
      <w:r>
        <w:rPr>
          <w:rFonts w:hint="eastAsia" w:ascii="仿宋_GB2312" w:eastAsia="仿宋_GB2312"/>
          <w:color w:val="000000"/>
          <w:sz w:val="32"/>
          <w:szCs w:val="32"/>
        </w:rPr>
        <w:t>年增加</w:t>
      </w:r>
      <w:r>
        <w:rPr>
          <w:rFonts w:hint="eastAsia" w:ascii="仿宋_GB2312"/>
          <w:color w:val="000000"/>
          <w:sz w:val="32"/>
          <w:szCs w:val="32"/>
          <w:lang w:val="en-US" w:eastAsia="zh-CN"/>
        </w:rPr>
        <w:t>180.65</w:t>
      </w:r>
      <w:r>
        <w:rPr>
          <w:rFonts w:hint="eastAsia" w:ascii="仿宋_GB2312" w:eastAsia="仿宋_GB2312"/>
          <w:color w:val="000000"/>
          <w:sz w:val="32"/>
          <w:szCs w:val="32"/>
        </w:rPr>
        <w:t>万元，增长</w:t>
      </w:r>
      <w:r>
        <w:rPr>
          <w:rFonts w:hint="eastAsia" w:ascii="仿宋_GB2312"/>
          <w:color w:val="000000"/>
          <w:sz w:val="32"/>
          <w:szCs w:val="32"/>
          <w:lang w:val="en-US" w:eastAsia="zh-CN"/>
        </w:rPr>
        <w:t>65.02</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color w:val="000000"/>
          <w:sz w:val="32"/>
          <w:szCs w:val="32"/>
          <w:lang w:val="en-US" w:eastAsia="zh-CN"/>
        </w:rPr>
        <w:t>2020年增加了全区清扫保洁费。</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7" w:name="_Toc15377223"/>
      <w:r>
        <w:rPr>
          <w:rFonts w:hint="eastAsia" w:ascii="仿宋" w:hAnsi="仿宋" w:eastAsia="仿宋"/>
          <w:b/>
          <w:color w:val="000000"/>
          <w:sz w:val="32"/>
          <w:szCs w:val="32"/>
        </w:rPr>
        <w:t>（二）政府采购支出情况</w:t>
      </w:r>
      <w:bookmarkEnd w:id="57"/>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自流井区民政局（汇总）</w:t>
      </w:r>
      <w:r>
        <w:rPr>
          <w:rFonts w:hint="eastAsia" w:ascii="仿宋_GB2312" w:eastAsia="仿宋_GB2312"/>
          <w:color w:val="000000"/>
          <w:sz w:val="32"/>
          <w:szCs w:val="32"/>
        </w:rPr>
        <w:t>政府采购支出总额</w:t>
      </w:r>
      <w:r>
        <w:rPr>
          <w:rFonts w:hint="eastAsia" w:ascii="仿宋_GB2312"/>
          <w:color w:val="000000"/>
          <w:sz w:val="32"/>
          <w:szCs w:val="32"/>
          <w:lang w:val="en-US" w:eastAsia="zh-CN"/>
        </w:rPr>
        <w:t>8.68</w:t>
      </w:r>
      <w:r>
        <w:rPr>
          <w:rFonts w:hint="eastAsia" w:ascii="仿宋_GB2312" w:eastAsia="仿宋_GB2312"/>
          <w:color w:val="000000"/>
          <w:sz w:val="32"/>
          <w:szCs w:val="32"/>
        </w:rPr>
        <w:t>万元，其中：政府采购货物支出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万元、政府采购工程支出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万元、政府采购服务支出</w:t>
      </w:r>
      <w:r>
        <w:rPr>
          <w:rFonts w:hint="eastAsia" w:ascii="仿宋_GB2312"/>
          <w:color w:val="000000"/>
          <w:sz w:val="32"/>
          <w:szCs w:val="32"/>
          <w:lang w:val="en-US" w:eastAsia="zh-CN"/>
        </w:rPr>
        <w:t>8.68</w:t>
      </w:r>
      <w:r>
        <w:rPr>
          <w:rFonts w:hint="eastAsia" w:ascii="仿宋_GB2312" w:eastAsia="仿宋_GB2312"/>
          <w:color w:val="000000"/>
          <w:sz w:val="32"/>
          <w:szCs w:val="32"/>
        </w:rPr>
        <w:t>万元。主要用于</w:t>
      </w:r>
      <w:r>
        <w:rPr>
          <w:rFonts w:hint="eastAsia" w:ascii="仿宋_GB2312"/>
          <w:color w:val="000000"/>
          <w:sz w:val="32"/>
          <w:szCs w:val="32"/>
          <w:lang w:eastAsia="zh-CN"/>
        </w:rPr>
        <w:t>省煤田测绘工程院乡镇边界勘定</w:t>
      </w:r>
      <w:r>
        <w:rPr>
          <w:rFonts w:hint="eastAsia" w:ascii="仿宋_GB2312" w:eastAsia="仿宋_GB2312"/>
          <w:color w:val="000000"/>
          <w:sz w:val="32"/>
          <w:szCs w:val="32"/>
        </w:rPr>
        <w:t>工作</w:t>
      </w:r>
      <w:r>
        <w:rPr>
          <w:rFonts w:hint="eastAsia" w:ascii="仿宋_GB2312"/>
          <w:color w:val="000000"/>
          <w:sz w:val="32"/>
          <w:szCs w:val="32"/>
          <w:lang w:eastAsia="zh-CN"/>
        </w:rPr>
        <w:t>支出</w:t>
      </w:r>
      <w:r>
        <w:rPr>
          <w:rFonts w:hint="eastAsia" w:ascii="仿宋_GB2312" w:eastAsia="仿宋_GB2312"/>
          <w:color w:val="000000"/>
          <w:sz w:val="32"/>
          <w:szCs w:val="32"/>
        </w:rPr>
        <w:t>。授予中小企业合同金额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万元，其中：授予小微企业合同金额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8" w:name="_Toc15377224"/>
      <w:r>
        <w:rPr>
          <w:rFonts w:hint="eastAsia" w:ascii="仿宋" w:hAnsi="仿宋" w:eastAsia="仿宋"/>
          <w:b/>
          <w:color w:val="000000"/>
          <w:sz w:val="32"/>
          <w:szCs w:val="32"/>
        </w:rPr>
        <w:t>（三）国有资产占有使用情况</w:t>
      </w:r>
      <w:bookmarkEnd w:id="58"/>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color w:val="000000"/>
          <w:sz w:val="32"/>
          <w:szCs w:val="32"/>
          <w:lang w:eastAsia="zh-CN"/>
        </w:rPr>
        <w:t>自流井区民政局（汇总）</w:t>
      </w:r>
      <w:r>
        <w:rPr>
          <w:rFonts w:hint="eastAsia" w:ascii="仿宋_GB2312" w:eastAsia="仿宋_GB2312"/>
          <w:color w:val="000000"/>
          <w:sz w:val="32"/>
          <w:szCs w:val="32"/>
        </w:rPr>
        <w:t>共有车辆</w:t>
      </w:r>
      <w:r>
        <w:rPr>
          <w:rFonts w:hint="eastAsia" w:ascii="仿宋_GB2312"/>
          <w:color w:val="000000"/>
          <w:sz w:val="32"/>
          <w:szCs w:val="32"/>
          <w:lang w:val="en-US" w:eastAsia="zh-CN"/>
        </w:rPr>
        <w:t>1</w:t>
      </w:r>
      <w:r>
        <w:rPr>
          <w:rFonts w:hint="eastAsia" w:ascii="仿宋_GB2312" w:eastAsia="仿宋_GB2312"/>
          <w:color w:val="000000"/>
          <w:sz w:val="32"/>
          <w:szCs w:val="32"/>
        </w:rPr>
        <w:t>辆，其中：主要领导干部用车</w:t>
      </w:r>
      <w:r>
        <w:rPr>
          <w:rFonts w:hint="eastAsia" w:ascii="仿宋_GB2312"/>
          <w:color w:val="000000"/>
          <w:sz w:val="32"/>
          <w:szCs w:val="32"/>
          <w:lang w:val="en-US" w:eastAsia="zh-CN"/>
        </w:rPr>
        <w:t>0</w:t>
      </w:r>
      <w:r>
        <w:rPr>
          <w:rFonts w:hint="eastAsia" w:ascii="仿宋_GB2312" w:eastAsia="仿宋_GB2312"/>
          <w:color w:val="000000"/>
          <w:sz w:val="32"/>
          <w:szCs w:val="32"/>
        </w:rPr>
        <w:t>辆、机要通信用车</w:t>
      </w:r>
      <w:r>
        <w:rPr>
          <w:rFonts w:hint="eastAsia" w:ascii="仿宋_GB2312"/>
          <w:color w:val="000000"/>
          <w:sz w:val="32"/>
          <w:szCs w:val="32"/>
          <w:lang w:val="en-US" w:eastAsia="zh-CN"/>
        </w:rPr>
        <w:t>0</w:t>
      </w:r>
      <w:r>
        <w:rPr>
          <w:rFonts w:hint="eastAsia" w:ascii="仿宋_GB2312" w:eastAsia="仿宋_GB2312"/>
          <w:color w:val="000000"/>
          <w:sz w:val="32"/>
          <w:szCs w:val="32"/>
        </w:rPr>
        <w:t>辆、应急保障用车</w:t>
      </w:r>
      <w:r>
        <w:rPr>
          <w:rFonts w:hint="eastAsia" w:ascii="仿宋_GB2312"/>
          <w:color w:val="000000"/>
          <w:sz w:val="32"/>
          <w:szCs w:val="32"/>
          <w:lang w:val="en-US" w:eastAsia="zh-CN"/>
        </w:rPr>
        <w:t>1</w:t>
      </w:r>
      <w:r>
        <w:rPr>
          <w:rFonts w:hint="eastAsia" w:ascii="仿宋_GB2312" w:eastAsia="仿宋_GB2312"/>
          <w:color w:val="000000"/>
          <w:sz w:val="32"/>
          <w:szCs w:val="32"/>
        </w:rPr>
        <w:t>辆、其他用车</w:t>
      </w:r>
      <w:r>
        <w:rPr>
          <w:rFonts w:hint="eastAsia" w:ascii="仿宋_GB2312"/>
          <w:color w:val="000000"/>
          <w:sz w:val="32"/>
          <w:szCs w:val="32"/>
          <w:lang w:val="en-US" w:eastAsia="zh-CN"/>
        </w:rPr>
        <w:t>0</w:t>
      </w:r>
      <w:r>
        <w:rPr>
          <w:rFonts w:hint="eastAsia" w:ascii="仿宋_GB2312" w:eastAsia="仿宋_GB2312"/>
          <w:color w:val="000000"/>
          <w:sz w:val="32"/>
          <w:szCs w:val="32"/>
        </w:rPr>
        <w:t>辆</w:t>
      </w:r>
      <w:r>
        <w:rPr>
          <w:rFonts w:hint="eastAsia" w:ascii="仿宋_GB2312"/>
          <w:color w:val="000000"/>
          <w:sz w:val="32"/>
          <w:szCs w:val="32"/>
          <w:lang w:eastAsia="zh-CN"/>
        </w:rPr>
        <w:t>。</w:t>
      </w:r>
      <w:r>
        <w:rPr>
          <w:rFonts w:hint="eastAsia" w:ascii="仿宋_GB2312" w:eastAsia="仿宋_GB2312"/>
          <w:color w:val="000000"/>
          <w:sz w:val="32"/>
          <w:szCs w:val="32"/>
        </w:rPr>
        <w:t>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根据预算绩效管理要求，本部门在年初预算编制阶段，组织对</w:t>
      </w:r>
      <w:r>
        <w:rPr>
          <w:rFonts w:hint="eastAsia" w:ascii="仿宋_GB2312" w:hAnsi="仿宋_GB2312" w:cs="仿宋_GB2312"/>
          <w:sz w:val="32"/>
          <w:szCs w:val="32"/>
          <w:lang w:val="en-US" w:eastAsia="zh-CN"/>
        </w:rPr>
        <w:t>0个</w:t>
      </w:r>
      <w:r>
        <w:rPr>
          <w:rFonts w:hint="eastAsia" w:ascii="仿宋_GB2312" w:hAnsi="仿宋_GB2312" w:eastAsia="仿宋_GB2312" w:cs="仿宋_GB2312"/>
          <w:sz w:val="32"/>
          <w:szCs w:val="32"/>
        </w:rPr>
        <w:t>项目开展了预算事前绩效评估，对</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个项目开展绩效监控，年终执行完毕后，对</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个项目开展了绩效目标完成情况自评。</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年部门整体支出开展绩效自评，从评价情况来看</w:t>
      </w:r>
      <w:r>
        <w:rPr>
          <w:rFonts w:hint="eastAsia" w:ascii="Times New Roman" w:hAnsi="Times New Roman" w:eastAsia="仿宋_GB2312" w:cs="Times New Roman"/>
          <w:color w:val="auto"/>
          <w:kern w:val="0"/>
          <w:sz w:val="32"/>
          <w:szCs w:val="32"/>
          <w:shd w:val="clear" w:color="auto" w:fill="FFFFFF"/>
          <w:lang w:val="zh-CN" w:eastAsia="zh-CN" w:bidi="ar-SA"/>
        </w:rPr>
        <w:t>本</w:t>
      </w:r>
      <w:r>
        <w:rPr>
          <w:rFonts w:hint="eastAsia" w:cs="Times New Roman"/>
          <w:color w:val="auto"/>
          <w:kern w:val="0"/>
          <w:sz w:val="32"/>
          <w:szCs w:val="32"/>
          <w:shd w:val="clear" w:color="auto" w:fill="FFFFFF"/>
          <w:lang w:val="zh-CN" w:eastAsia="zh-CN" w:bidi="ar-SA"/>
        </w:rPr>
        <w:t>部门</w:t>
      </w:r>
      <w:r>
        <w:rPr>
          <w:rFonts w:hint="eastAsia" w:ascii="Times New Roman" w:hAnsi="Times New Roman" w:eastAsia="仿宋_GB2312" w:cs="Times New Roman"/>
          <w:color w:val="auto"/>
          <w:kern w:val="0"/>
          <w:sz w:val="32"/>
          <w:szCs w:val="32"/>
          <w:shd w:val="clear" w:color="auto" w:fill="FFFFFF"/>
          <w:lang w:val="zh-CN" w:eastAsia="zh-CN" w:bidi="ar-SA"/>
        </w:rPr>
        <w:t>的预算执行都达到了执行进度</w:t>
      </w:r>
      <w:r>
        <w:rPr>
          <w:rFonts w:hint="eastAsia" w:cs="Times New Roman"/>
          <w:color w:val="auto"/>
          <w:kern w:val="0"/>
          <w:sz w:val="32"/>
          <w:szCs w:val="32"/>
          <w:shd w:val="clear" w:color="auto" w:fill="FFFFFF"/>
          <w:lang w:val="zh-CN" w:eastAsia="zh-CN" w:bidi="ar-SA"/>
        </w:rPr>
        <w:t>，</w:t>
      </w:r>
      <w:r>
        <w:rPr>
          <w:rFonts w:hint="eastAsia" w:ascii="仿宋_GB2312"/>
          <w:color w:val="auto"/>
          <w:sz w:val="32"/>
          <w:szCs w:val="32"/>
          <w:lang w:val="en-US" w:eastAsia="zh-CN"/>
        </w:rPr>
        <w:t>部门</w:t>
      </w:r>
      <w:r>
        <w:rPr>
          <w:rFonts w:hint="default" w:ascii="仿宋_GB2312"/>
          <w:color w:val="auto"/>
          <w:sz w:val="32"/>
          <w:szCs w:val="32"/>
          <w:lang w:val="en-US" w:eastAsia="zh-CN"/>
        </w:rPr>
        <w:t>支出效益进一步提高</w:t>
      </w:r>
      <w:r>
        <w:rPr>
          <w:rFonts w:hint="eastAsia" w:ascii="仿宋_GB2312"/>
          <w:color w:val="auto"/>
          <w:sz w:val="32"/>
          <w:szCs w:val="32"/>
          <w:lang w:val="en-US" w:eastAsia="zh-CN"/>
        </w:rPr>
        <w:t>。</w:t>
      </w:r>
      <w:r>
        <w:rPr>
          <w:rFonts w:hint="eastAsia" w:ascii="仿宋_GB2312" w:hAnsi="仿宋_GB2312" w:eastAsia="仿宋_GB2312" w:cs="仿宋_GB2312"/>
          <w:sz w:val="32"/>
          <w:szCs w:val="32"/>
        </w:rPr>
        <w:t>本部门还自行组织了</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个项目支出绩效评价，</w:t>
      </w:r>
      <w:r>
        <w:rPr>
          <w:rFonts w:hint="eastAsia" w:ascii="仿宋_GB2312" w:hAnsi="仿宋_GB2312" w:cs="仿宋_GB2312"/>
          <w:sz w:val="32"/>
          <w:szCs w:val="32"/>
          <w:lang w:eastAsia="zh-CN"/>
        </w:rPr>
        <w:t>由于</w:t>
      </w:r>
      <w:r>
        <w:rPr>
          <w:rFonts w:hint="eastAsia" w:ascii="仿宋_GB2312" w:hAnsi="仿宋_GB2312" w:eastAsia="仿宋_GB2312" w:cs="仿宋_GB2312"/>
          <w:sz w:val="32"/>
          <w:szCs w:val="32"/>
        </w:rPr>
        <w:t>本部门无专项预算项目，因此未组织开展项目支出绩效评价</w:t>
      </w:r>
      <w:r>
        <w:rPr>
          <w:rFonts w:hint="eastAsia" w:ascii="仿宋_GB2312" w:hAnsi="仿宋_GB2312" w:cs="仿宋_GB2312"/>
          <w:sz w:val="32"/>
          <w:szCs w:val="32"/>
          <w:lang w:eastAsia="zh-CN"/>
        </w:rPr>
        <w:t>。</w:t>
      </w:r>
    </w:p>
    <w:p>
      <w:pPr>
        <w:spacing w:line="580" w:lineRule="exact"/>
        <w:ind w:firstLine="640" w:firstLineChars="200"/>
        <w:rPr>
          <w:rFonts w:hint="eastAsia" w:ascii="楷体_GB2312" w:hAnsi="楷体_GB2312" w:eastAsia="楷体_GB2312" w:cs="楷体_GB2312"/>
          <w:sz w:val="32"/>
          <w:szCs w:val="32"/>
          <w:lang w:eastAsia="zh-CN"/>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年度部门决算中反映“</w:t>
      </w:r>
      <w:r>
        <w:rPr>
          <w:rFonts w:hint="eastAsia" w:ascii="仿宋_GB2312" w:hAnsi="仿宋_GB2312" w:cs="仿宋_GB2312"/>
          <w:sz w:val="32"/>
          <w:szCs w:val="32"/>
          <w:lang w:eastAsia="zh-CN"/>
        </w:rPr>
        <w:t>政府购买居家养老服务（老年福利）</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城镇老年养护楼建设（老年福利）</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个项目绩效目标实际完成情况。</w:t>
      </w:r>
    </w:p>
    <w:p>
      <w:pPr>
        <w:spacing w:line="580" w:lineRule="exact"/>
        <w:ind w:firstLine="640" w:firstLineChars="200"/>
        <w:rPr>
          <w:rFonts w:hint="eastAsia" w:ascii="仿宋_GB2312" w:hAnsi="仿宋_GB2312" w:cs="仿宋_GB2312"/>
          <w:color w:val="auto"/>
          <w:sz w:val="32"/>
          <w:szCs w:val="32"/>
          <w:lang w:val="en-US"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政府购买居家养老服务</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cs="仿宋_GB2312"/>
          <w:sz w:val="32"/>
          <w:szCs w:val="32"/>
          <w:lang w:val="en-US" w:eastAsia="zh-CN"/>
        </w:rPr>
        <w:t>105.34</w:t>
      </w:r>
      <w:r>
        <w:rPr>
          <w:rFonts w:hint="eastAsia" w:ascii="仿宋_GB2312" w:hAnsi="仿宋_GB2312" w:eastAsia="仿宋_GB2312" w:cs="仿宋_GB2312"/>
          <w:sz w:val="32"/>
          <w:szCs w:val="32"/>
        </w:rPr>
        <w:t>万元，执行数为</w:t>
      </w:r>
      <w:r>
        <w:rPr>
          <w:rFonts w:hint="eastAsia" w:ascii="仿宋_GB2312" w:hAnsi="仿宋_GB2312" w:cs="仿宋_GB2312"/>
          <w:sz w:val="32"/>
          <w:szCs w:val="32"/>
          <w:lang w:val="en-US" w:eastAsia="zh-CN"/>
        </w:rPr>
        <w:t>105.34</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eastAsia="仿宋_GB2312" w:cs="仿宋_GB2312"/>
          <w:color w:val="auto"/>
          <w:sz w:val="32"/>
          <w:szCs w:val="32"/>
        </w:rPr>
        <w:t>通过项目实施，</w:t>
      </w:r>
      <w:r>
        <w:rPr>
          <w:rFonts w:hint="eastAsia" w:ascii="仿宋_GB2312" w:hAnsi="仿宋_GB2312" w:cs="仿宋_GB2312"/>
          <w:color w:val="auto"/>
          <w:sz w:val="32"/>
          <w:szCs w:val="32"/>
          <w:lang w:eastAsia="zh-CN"/>
        </w:rPr>
        <w:t>为</w:t>
      </w:r>
      <w:r>
        <w:rPr>
          <w:rFonts w:hint="eastAsia" w:ascii="仿宋_GB2312" w:hAnsi="仿宋_GB2312" w:cs="仿宋_GB2312"/>
          <w:color w:val="auto"/>
          <w:sz w:val="32"/>
          <w:szCs w:val="32"/>
          <w:lang w:val="en-US" w:eastAsia="zh-CN"/>
        </w:rPr>
        <w:t>8778名老人提供了助餐、助浴、助洁、助行、助医、助急、助购服务，切实满足老年人群基本养老服务需求，不断提高老年人群幸福指数。</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城镇老年养护楼建设</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cs="仿宋_GB2312"/>
          <w:sz w:val="32"/>
          <w:szCs w:val="32"/>
          <w:lang w:val="en-US" w:eastAsia="zh-CN"/>
        </w:rPr>
        <w:t>300</w:t>
      </w:r>
      <w:r>
        <w:rPr>
          <w:rFonts w:hint="eastAsia" w:ascii="仿宋_GB2312" w:hAnsi="仿宋_GB2312" w:eastAsia="仿宋_GB2312" w:cs="仿宋_GB2312"/>
          <w:sz w:val="32"/>
          <w:szCs w:val="32"/>
        </w:rPr>
        <w:t>万元，执行数为</w:t>
      </w:r>
      <w:r>
        <w:rPr>
          <w:rFonts w:hint="eastAsia" w:ascii="仿宋_GB2312" w:hAnsi="仿宋_GB2312" w:cs="仿宋_GB2312"/>
          <w:sz w:val="32"/>
          <w:szCs w:val="32"/>
          <w:lang w:val="en-US" w:eastAsia="zh-CN"/>
        </w:rPr>
        <w:t>139.18</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lang w:val="en-US" w:eastAsia="zh-CN"/>
        </w:rPr>
        <w:t>46.39</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cs="仿宋_GB2312"/>
          <w:color w:val="auto"/>
          <w:sz w:val="32"/>
          <w:szCs w:val="32"/>
          <w:lang w:eastAsia="zh-CN"/>
        </w:rPr>
        <w:t>已结清了养护楼工程款。</w:t>
      </w:r>
    </w:p>
    <w:tbl>
      <w:tblPr>
        <w:tblStyle w:val="10"/>
        <w:tblpPr w:leftFromText="180" w:rightFromText="180" w:vertAnchor="text" w:horzAnchor="page" w:tblpX="1072" w:tblpY="523"/>
        <w:tblOverlap w:val="never"/>
        <w:tblW w:w="9960" w:type="dxa"/>
        <w:jc w:val="center"/>
        <w:tblLayout w:type="fixed"/>
        <w:tblCellMar>
          <w:top w:w="0" w:type="dxa"/>
          <w:left w:w="0" w:type="dxa"/>
          <w:bottom w:w="0" w:type="dxa"/>
          <w:right w:w="0" w:type="dxa"/>
        </w:tblCellMar>
      </w:tblPr>
      <w:tblGrid>
        <w:gridCol w:w="390"/>
        <w:gridCol w:w="1485"/>
        <w:gridCol w:w="1335"/>
        <w:gridCol w:w="1964"/>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321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675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eastAsia="zh-CN" w:bidi="ar"/>
              </w:rPr>
              <w:t>政府购买居家养老服务</w:t>
            </w:r>
          </w:p>
        </w:tc>
      </w:tr>
      <w:tr>
        <w:tblPrEx>
          <w:tblCellMar>
            <w:top w:w="0" w:type="dxa"/>
            <w:left w:w="0" w:type="dxa"/>
            <w:bottom w:w="0" w:type="dxa"/>
            <w:right w:w="0" w:type="dxa"/>
          </w:tblCellMar>
        </w:tblPrEx>
        <w:trPr>
          <w:trHeight w:val="276" w:hRule="atLeast"/>
          <w:jc w:val="center"/>
        </w:trPr>
        <w:tc>
          <w:tcPr>
            <w:tcW w:w="321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675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自贡市自流井区民政局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r>
      <w:tr>
        <w:tblPrEx>
          <w:tblCellMar>
            <w:top w:w="0" w:type="dxa"/>
            <w:left w:w="0" w:type="dxa"/>
            <w:bottom w:w="0" w:type="dxa"/>
            <w:right w:w="0" w:type="dxa"/>
          </w:tblCellMar>
        </w:tblPrEx>
        <w:trPr>
          <w:trHeight w:val="1347"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60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eastAsia="zh-CN"/>
              </w:rPr>
              <w:t>为</w:t>
            </w:r>
            <w:r>
              <w:rPr>
                <w:rFonts w:hint="eastAsia" w:ascii="宋体" w:cs="宋体"/>
                <w:color w:val="000000"/>
                <w:sz w:val="24"/>
                <w:lang w:val="en-US" w:eastAsia="zh-CN"/>
              </w:rPr>
              <w:t>8778名符合条件的老人提供居家服务</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全面完成</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数量指标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8778名</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8778名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8778名</w:t>
            </w:r>
          </w:p>
        </w:tc>
      </w:tr>
      <w:tr>
        <w:tblPrEx>
          <w:tblCellMar>
            <w:top w:w="0" w:type="dxa"/>
            <w:left w:w="0" w:type="dxa"/>
            <w:bottom w:w="0" w:type="dxa"/>
            <w:right w:w="0" w:type="dxa"/>
          </w:tblCellMar>
        </w:tblPrEx>
        <w:trPr>
          <w:trHeight w:val="116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时效指标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满意度指标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5</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5</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r>
    </w:tbl>
    <w:tbl>
      <w:tblPr>
        <w:tblStyle w:val="10"/>
        <w:tblpPr w:leftFromText="180" w:rightFromText="180" w:vertAnchor="text" w:horzAnchor="page" w:tblpX="967" w:tblpY="740"/>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eastAsia="zh-CN" w:bidi="ar"/>
              </w:rPr>
              <w:t>城镇老年养护楼建设</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自贡市自流井区民政局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139.18</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139.18</w:t>
            </w:r>
          </w:p>
        </w:tc>
      </w:tr>
      <w:tr>
        <w:tblPrEx>
          <w:tblCellMar>
            <w:top w:w="0" w:type="dxa"/>
            <w:left w:w="0" w:type="dxa"/>
            <w:bottom w:w="0" w:type="dxa"/>
            <w:right w:w="0" w:type="dxa"/>
          </w:tblCellMar>
        </w:tblPrEx>
        <w:trPr>
          <w:trHeight w:val="1347"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60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eastAsia="zh-CN"/>
              </w:rPr>
              <w:t>减少政府负债</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已结清项目工程款。</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满足当地群众养老需求</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r>
              <w:rPr>
                <w:rFonts w:hint="default" w:ascii="宋体" w:cs="宋体"/>
                <w:color w:val="000000"/>
                <w:sz w:val="24"/>
                <w:lang w:val="en-US" w:eastAsia="zh-CN"/>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8</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8</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r>
    </w:tbl>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年部门整体支出绩效评价情况开展自评，《</w:t>
      </w:r>
      <w:r>
        <w:rPr>
          <w:rFonts w:hint="eastAsia" w:ascii="仿宋_GB2312" w:hAnsi="仿宋_GB2312" w:cs="仿宋_GB2312"/>
          <w:sz w:val="32"/>
          <w:szCs w:val="32"/>
          <w:lang w:eastAsia="zh-CN"/>
        </w:rPr>
        <w:t>自贡市自流井区民政局（本级）</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年部门整体支出绩效评价报告》《</w:t>
      </w:r>
      <w:r>
        <w:rPr>
          <w:rFonts w:hint="eastAsia" w:ascii="仿宋_GB2312" w:hAnsi="仿宋_GB2312" w:cs="仿宋_GB2312"/>
          <w:sz w:val="32"/>
          <w:szCs w:val="32"/>
          <w:lang w:eastAsia="zh-CN"/>
        </w:rPr>
        <w:t>自贡市自流井区社会福利院</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年部门整体支出绩效评价报告》见附件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cs="仿宋_GB2312"/>
          <w:szCs w:val="32"/>
        </w:rPr>
      </w:pPr>
      <w:r>
        <w:rPr>
          <w:rFonts w:hint="eastAsia" w:ascii="仿宋_GB2312" w:hAnsi="仿宋_GB2312" w:eastAsia="仿宋_GB2312" w:cs="仿宋_GB2312"/>
          <w:sz w:val="32"/>
          <w:szCs w:val="32"/>
        </w:rPr>
        <w:t>本部门未组织项目</w:t>
      </w:r>
      <w:r>
        <w:rPr>
          <w:rFonts w:hint="eastAsia" w:ascii="仿宋_GB2312" w:hAnsi="仿宋_GB2312" w:cs="仿宋_GB2312"/>
          <w:color w:val="auto"/>
          <w:sz w:val="32"/>
          <w:szCs w:val="32"/>
          <w:lang w:eastAsia="zh-CN"/>
        </w:rPr>
        <w:t>支出</w:t>
      </w:r>
      <w:r>
        <w:rPr>
          <w:rFonts w:hint="eastAsia" w:ascii="仿宋_GB2312" w:hAnsi="仿宋_GB2312" w:eastAsia="仿宋_GB2312" w:cs="仿宋_GB2312"/>
          <w:sz w:val="32"/>
          <w:szCs w:val="32"/>
        </w:rPr>
        <w:t>绩效评价</w:t>
      </w:r>
      <w:r>
        <w:rPr>
          <w:rFonts w:hint="eastAsia" w:ascii="仿宋_GB2312" w:hAnsi="仿宋_GB2312" w:cs="仿宋_GB2312"/>
          <w:sz w:val="32"/>
          <w:szCs w:val="32"/>
          <w:lang w:eastAsia="zh-CN"/>
        </w:rPr>
        <w:t>，不涉及附件</w:t>
      </w:r>
      <w:r>
        <w:rPr>
          <w:rFonts w:hint="eastAsia" w:ascii="仿宋_GB2312" w:hAnsi="仿宋_GB2312" w:cs="仿宋_GB2312"/>
          <w:sz w:val="32"/>
          <w:szCs w:val="32"/>
          <w:lang w:val="en-US" w:eastAsia="zh-CN"/>
        </w:rPr>
        <w:t>2内容。</w:t>
      </w: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4"/>
        </w:numPr>
        <w:spacing w:line="600" w:lineRule="exact"/>
        <w:ind w:firstLine="660" w:firstLineChars="150"/>
        <w:jc w:val="center"/>
        <w:outlineLvl w:val="0"/>
        <w:rPr>
          <w:rStyle w:val="14"/>
          <w:rFonts w:ascii="黑体" w:hAnsi="黑体" w:eastAsia="黑体"/>
          <w:b w:val="0"/>
        </w:rPr>
      </w:pPr>
      <w:bookmarkStart w:id="59" w:name="_Toc15396613"/>
      <w:bookmarkStart w:id="60" w:name="_Toc3536"/>
      <w:bookmarkStart w:id="61" w:name="_Toc15377225"/>
      <w:r>
        <w:rPr>
          <w:rFonts w:hint="eastAsia" w:ascii="黑体" w:hAnsi="黑体" w:eastAsia="黑体"/>
          <w:color w:val="000000"/>
          <w:sz w:val="44"/>
          <w:szCs w:val="44"/>
        </w:rPr>
        <w:t>名</w:t>
      </w:r>
      <w:r>
        <w:rPr>
          <w:rStyle w:val="14"/>
          <w:rFonts w:hint="eastAsia" w:ascii="黑体" w:hAnsi="黑体" w:eastAsia="黑体"/>
          <w:b w:val="0"/>
        </w:rPr>
        <w:t>词解释</w:t>
      </w:r>
      <w:bookmarkEnd w:id="59"/>
      <w:bookmarkEnd w:id="60"/>
      <w:bookmarkEnd w:id="61"/>
    </w:p>
    <w:p>
      <w:pPr>
        <w:spacing w:line="600" w:lineRule="exact"/>
        <w:jc w:val="left"/>
        <w:rPr>
          <w:rFonts w:ascii="宋体"/>
          <w:b/>
          <w:color w:val="000000"/>
          <w:sz w:val="44"/>
          <w:szCs w:val="44"/>
        </w:rPr>
      </w:pPr>
    </w:p>
    <w:p>
      <w:pPr>
        <w:pStyle w:val="17"/>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7"/>
        <w:spacing w:line="560" w:lineRule="exact"/>
        <w:ind w:firstLine="640" w:firstLineChars="200"/>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line="600" w:lineRule="exact"/>
        <w:ind w:firstLine="640" w:firstLineChars="200"/>
        <w:rPr>
          <w:rStyle w:val="12"/>
          <w:rFonts w:ascii="仿宋_GB2312" w:hAnsi="仿宋"/>
          <w:b w:val="0"/>
          <w:szCs w:val="32"/>
        </w:rPr>
      </w:pPr>
      <w:r>
        <w:rPr>
          <w:rFonts w:ascii="仿宋_GB2312" w:eastAsia="仿宋_GB2312"/>
          <w:color w:val="000000"/>
          <w:sz w:val="32"/>
          <w:szCs w:val="32"/>
        </w:rPr>
        <w:t>9.</w:t>
      </w:r>
      <w:r>
        <w:rPr>
          <w:rFonts w:hint="eastAsia" w:ascii="仿宋_GB2312" w:hAnsi="Calibri" w:eastAsia="仿宋_GB2312" w:cs="仿宋"/>
          <w:color w:val="000000"/>
          <w:kern w:val="0"/>
          <w:sz w:val="32"/>
          <w:szCs w:val="32"/>
          <w:lang w:val="en-US" w:eastAsia="zh-CN" w:bidi="ar-SA"/>
        </w:rPr>
        <w:t>社会保障和就业</w:t>
      </w:r>
      <w:r>
        <w:rPr>
          <w:rFonts w:hint="eastAsia" w:ascii="仿宋_GB2312" w:hAnsi="Calibri" w:cs="仿宋"/>
          <w:color w:val="000000"/>
          <w:kern w:val="0"/>
          <w:sz w:val="32"/>
          <w:szCs w:val="32"/>
          <w:lang w:val="en-US" w:eastAsia="zh-CN" w:bidi="ar-SA"/>
        </w:rPr>
        <w:t>支出</w:t>
      </w:r>
      <w:r>
        <w:rPr>
          <w:rFonts w:hint="eastAsia" w:ascii="仿宋_GB2312" w:hAnsi="Calibri" w:eastAsia="仿宋_GB2312" w:cs="仿宋"/>
          <w:color w:val="000000"/>
          <w:kern w:val="0"/>
          <w:sz w:val="32"/>
          <w:szCs w:val="32"/>
          <w:lang w:val="en-US" w:eastAsia="zh-CN" w:bidi="ar-SA"/>
        </w:rPr>
        <w:t xml:space="preserve">（类）民政管理事务（款）行政运行（项）: </w:t>
      </w:r>
      <w:r>
        <w:rPr>
          <w:rFonts w:hint="eastAsia" w:ascii="仿宋_GB2312" w:hAnsi="宋体" w:cs="仿宋_GB2312"/>
          <w:i w:val="0"/>
          <w:caps w:val="0"/>
          <w:color w:val="000000"/>
          <w:spacing w:val="0"/>
          <w:sz w:val="32"/>
          <w:szCs w:val="32"/>
          <w:shd w:val="clear" w:color="auto" w:fill="FFFFFF"/>
          <w:lang w:eastAsia="zh-CN"/>
        </w:rPr>
        <w:t>指</w:t>
      </w:r>
      <w:r>
        <w:rPr>
          <w:rFonts w:ascii="仿宋_GB2312" w:hAnsi="宋体" w:eastAsia="仿宋_GB2312" w:cs="仿宋_GB2312"/>
          <w:i w:val="0"/>
          <w:caps w:val="0"/>
          <w:color w:val="000000"/>
          <w:spacing w:val="0"/>
          <w:sz w:val="32"/>
          <w:szCs w:val="32"/>
          <w:shd w:val="clear" w:color="auto" w:fill="FFFFFF"/>
        </w:rPr>
        <w:t>行政单位（包括实行公务员管理的事业单位）的基本支出。</w:t>
      </w:r>
    </w:p>
    <w:p>
      <w:pPr>
        <w:spacing w:line="600" w:lineRule="exact"/>
        <w:ind w:firstLine="640" w:firstLineChars="200"/>
        <w:rPr>
          <w:rFonts w:hint="eastAsia" w:ascii="仿宋_GB2312" w:hAnsi="宋体" w:eastAsia="仿宋_GB2312" w:cs="仿宋_GB2312"/>
          <w:i w:val="0"/>
          <w:caps w:val="0"/>
          <w:color w:val="000000"/>
          <w:spacing w:val="0"/>
          <w:sz w:val="32"/>
          <w:szCs w:val="32"/>
          <w:shd w:val="clear" w:color="auto" w:fill="FFFFFF"/>
        </w:rPr>
      </w:pPr>
      <w:r>
        <w:rPr>
          <w:rFonts w:hint="eastAsia" w:ascii="仿宋_GB2312"/>
          <w:color w:val="000000"/>
          <w:sz w:val="32"/>
          <w:szCs w:val="32"/>
          <w:lang w:val="en-US" w:eastAsia="zh-CN"/>
        </w:rPr>
        <w:t>10</w:t>
      </w:r>
      <w:r>
        <w:rPr>
          <w:rFonts w:hint="eastAsia" w:ascii="仿宋_GB2312" w:eastAsia="仿宋_GB2312"/>
          <w:color w:val="000000"/>
          <w:sz w:val="32"/>
          <w:szCs w:val="32"/>
        </w:rPr>
        <w:t>.社会保障和就业</w:t>
      </w:r>
      <w:r>
        <w:rPr>
          <w:rFonts w:hint="eastAsia" w:ascii="仿宋_GB2312" w:eastAsia="仿宋_GB2312"/>
          <w:color w:val="000000"/>
          <w:sz w:val="32"/>
          <w:szCs w:val="32"/>
          <w:lang w:eastAsia="zh-CN"/>
        </w:rPr>
        <w:t>支出</w:t>
      </w:r>
      <w:r>
        <w:rPr>
          <w:rFonts w:hint="eastAsia" w:ascii="仿宋_GB2312" w:eastAsia="仿宋_GB2312"/>
          <w:color w:val="000000"/>
          <w:sz w:val="32"/>
          <w:szCs w:val="32"/>
        </w:rPr>
        <w:t xml:space="preserve">（类）民政管理事务（款）一般行政管理事务（项）: </w:t>
      </w:r>
      <w:r>
        <w:rPr>
          <w:rFonts w:hint="eastAsia" w:ascii="仿宋_GB2312" w:hAnsi="宋体" w:eastAsia="仿宋_GB2312" w:cs="仿宋_GB2312"/>
          <w:i w:val="0"/>
          <w:caps w:val="0"/>
          <w:color w:val="000000"/>
          <w:spacing w:val="0"/>
          <w:sz w:val="32"/>
          <w:szCs w:val="32"/>
          <w:shd w:val="clear" w:color="auto" w:fill="FFFFFF"/>
        </w:rPr>
        <w:t>反映行政单位（包括实行公务员管理的事业单位）未单独设置项级科目的其他项目支出。</w:t>
      </w:r>
    </w:p>
    <w:p>
      <w:pPr>
        <w:spacing w:line="600" w:lineRule="exact"/>
        <w:ind w:firstLine="640" w:firstLineChars="200"/>
        <w:rPr>
          <w:rStyle w:val="12"/>
          <w:rFonts w:hint="eastAsia" w:ascii="仿宋_GB2312" w:hAnsi="仿宋" w:eastAsia="仿宋_GB2312"/>
          <w:b w:val="0"/>
          <w:color w:val="000000"/>
          <w:szCs w:val="32"/>
          <w:lang w:val="en-US" w:eastAsia="zh-CN"/>
        </w:rPr>
      </w:pPr>
      <w:r>
        <w:rPr>
          <w:rFonts w:hint="eastAsia" w:ascii="仿宋_GB2312"/>
          <w:color w:val="000000"/>
          <w:sz w:val="32"/>
          <w:szCs w:val="32"/>
          <w:lang w:val="en-US" w:eastAsia="zh-CN"/>
        </w:rPr>
        <w:t>11</w:t>
      </w:r>
      <w:r>
        <w:rPr>
          <w:rFonts w:hint="eastAsia" w:ascii="仿宋_GB2312" w:eastAsia="仿宋_GB2312"/>
          <w:color w:val="000000"/>
          <w:sz w:val="32"/>
          <w:szCs w:val="32"/>
          <w:lang w:val="en-US" w:eastAsia="zh-CN"/>
        </w:rPr>
        <w:t xml:space="preserve">.社会保障和就业支出（类）民政管理事务（款）社会组织管理（项）: </w:t>
      </w:r>
      <w:r>
        <w:rPr>
          <w:rStyle w:val="12"/>
          <w:rFonts w:hint="eastAsia" w:ascii="仿宋_GB2312" w:hAnsi="仿宋"/>
          <w:b w:val="0"/>
          <w:color w:val="000000"/>
          <w:szCs w:val="32"/>
          <w:lang w:eastAsia="zh-CN"/>
        </w:rPr>
        <w:t>反映社会组织管理、支持社会组织发展等方面的支出。</w:t>
      </w:r>
    </w:p>
    <w:p>
      <w:pPr>
        <w:spacing w:line="600" w:lineRule="exact"/>
        <w:ind w:firstLine="640" w:firstLineChars="200"/>
        <w:rPr>
          <w:rStyle w:val="12"/>
          <w:rFonts w:hint="eastAsia" w:ascii="仿宋_GB2312" w:hAnsi="仿宋" w:eastAsia="仿宋_GB2312"/>
          <w:b w:val="0"/>
          <w:color w:val="000000"/>
          <w:szCs w:val="32"/>
          <w:lang w:eastAsia="zh-CN"/>
        </w:rPr>
      </w:pPr>
      <w:r>
        <w:rPr>
          <w:rFonts w:hint="eastAsia" w:ascii="仿宋_GB2312"/>
          <w:color w:val="000000"/>
          <w:sz w:val="32"/>
          <w:szCs w:val="32"/>
          <w:lang w:val="en-US" w:eastAsia="zh-CN"/>
        </w:rPr>
        <w:t>12</w:t>
      </w:r>
      <w:r>
        <w:rPr>
          <w:rFonts w:hint="eastAsia" w:ascii="仿宋_GB2312" w:eastAsia="仿宋_GB2312"/>
          <w:color w:val="000000"/>
          <w:sz w:val="32"/>
          <w:szCs w:val="32"/>
          <w:lang w:val="en-US" w:eastAsia="zh-CN"/>
        </w:rPr>
        <w:t xml:space="preserve">.社会保障和就业支出（类）民政管理事务（款）行政区划和地名管理（项）: </w:t>
      </w:r>
      <w:r>
        <w:rPr>
          <w:rStyle w:val="12"/>
          <w:rFonts w:hint="eastAsia" w:ascii="仿宋_GB2312" w:hAnsi="仿宋"/>
          <w:b w:val="0"/>
          <w:color w:val="000000"/>
          <w:szCs w:val="32"/>
          <w:lang w:eastAsia="zh-CN"/>
        </w:rPr>
        <w:t>反映行政区划界限勘定、维护，以及行政区划和地名管理支出。</w:t>
      </w:r>
    </w:p>
    <w:p>
      <w:pPr>
        <w:spacing w:line="600" w:lineRule="exact"/>
        <w:ind w:firstLine="640" w:firstLineChars="200"/>
        <w:rPr>
          <w:rStyle w:val="12"/>
          <w:rFonts w:hint="default" w:ascii="仿宋_GB2312" w:hAnsi="仿宋" w:eastAsia="仿宋_GB2312"/>
          <w:b w:val="0"/>
          <w:color w:val="000000"/>
          <w:szCs w:val="32"/>
          <w:lang w:val="en-US" w:eastAsia="zh-CN"/>
        </w:rPr>
      </w:pPr>
      <w:r>
        <w:rPr>
          <w:rFonts w:hint="eastAsia" w:ascii="仿宋_GB2312"/>
          <w:color w:val="000000"/>
          <w:sz w:val="32"/>
          <w:szCs w:val="32"/>
          <w:lang w:val="en-US" w:eastAsia="zh-CN"/>
        </w:rPr>
        <w:t>13</w:t>
      </w:r>
      <w:r>
        <w:rPr>
          <w:rFonts w:hint="eastAsia" w:ascii="仿宋_GB2312" w:eastAsia="仿宋_GB2312"/>
          <w:color w:val="000000"/>
          <w:sz w:val="32"/>
          <w:szCs w:val="32"/>
          <w:lang w:val="en-US" w:eastAsia="zh-CN"/>
        </w:rPr>
        <w:t>.社会保障和就业支出（类）民政管理事务（款）基层政权和社区治理（项）：反映开展城乡社区治理、城乡社区服务（乡村便民服务）、村（居）</w:t>
      </w:r>
      <w:r>
        <w:rPr>
          <w:rStyle w:val="12"/>
          <w:rFonts w:hint="eastAsia" w:ascii="仿宋_GB2312" w:hAnsi="仿宋"/>
          <w:b w:val="0"/>
          <w:color w:val="000000"/>
          <w:szCs w:val="32"/>
        </w:rPr>
        <w:t xml:space="preserve"> </w:t>
      </w:r>
      <w:r>
        <w:rPr>
          <w:rStyle w:val="12"/>
          <w:rFonts w:hint="eastAsia" w:ascii="仿宋_GB2312" w:hAnsi="仿宋"/>
          <w:b w:val="0"/>
          <w:color w:val="000000"/>
          <w:szCs w:val="32"/>
          <w:lang w:eastAsia="zh-CN"/>
        </w:rPr>
        <w:t>民自治、村（居）务公开、乡镇（街道）服务能力建设等基层政权建设和社区治理工作的支出。</w:t>
      </w:r>
    </w:p>
    <w:p>
      <w:pPr>
        <w:ind w:firstLine="640" w:firstLineChars="200"/>
        <w:rPr>
          <w:rFonts w:hint="eastAsia" w:ascii="仿宋_GB2312" w:eastAsia="仿宋_GB2312"/>
          <w:color w:val="000000"/>
          <w:sz w:val="32"/>
          <w:szCs w:val="32"/>
        </w:rPr>
      </w:pPr>
      <w:r>
        <w:rPr>
          <w:rFonts w:hint="eastAsia" w:ascii="仿宋_GB2312"/>
          <w:color w:val="000000"/>
          <w:sz w:val="32"/>
          <w:szCs w:val="32"/>
          <w:lang w:val="en-US" w:eastAsia="zh-CN"/>
        </w:rPr>
        <w:t>14</w:t>
      </w:r>
      <w:r>
        <w:rPr>
          <w:rFonts w:hint="eastAsia" w:ascii="仿宋_GB2312" w:eastAsia="仿宋_GB2312"/>
          <w:color w:val="000000"/>
          <w:sz w:val="32"/>
          <w:szCs w:val="32"/>
          <w:lang w:val="en-US" w:eastAsia="zh-CN"/>
        </w:rPr>
        <w:t>.社会保障和就业支出（类）民政管理事务（款）其他民政管理事务支出（项）:反</w:t>
      </w:r>
      <w:r>
        <w:rPr>
          <w:rFonts w:hint="eastAsia" w:ascii="仿宋_GB2312"/>
          <w:color w:val="000000"/>
          <w:sz w:val="32"/>
          <w:szCs w:val="32"/>
          <w:lang w:eastAsia="zh-CN"/>
        </w:rPr>
        <w:t>映</w:t>
      </w:r>
      <w:r>
        <w:rPr>
          <w:rFonts w:hint="eastAsia" w:ascii="仿宋_GB2312" w:eastAsia="仿宋_GB2312"/>
          <w:color w:val="000000"/>
          <w:sz w:val="32"/>
          <w:szCs w:val="32"/>
        </w:rPr>
        <w:t>民政部门接待来访、法制建设、政策宣传方面的支出，以及开展社会救助、社会福利、</w:t>
      </w:r>
      <w:r>
        <w:rPr>
          <w:rFonts w:hint="eastAsia" w:ascii="仿宋_GB2312"/>
          <w:color w:val="000000"/>
          <w:sz w:val="32"/>
          <w:szCs w:val="32"/>
          <w:lang w:eastAsia="zh-CN"/>
        </w:rPr>
        <w:t>养老服务、社会事务、</w:t>
      </w:r>
      <w:r>
        <w:rPr>
          <w:rFonts w:hint="eastAsia" w:ascii="仿宋_GB2312" w:eastAsia="仿宋_GB2312"/>
          <w:color w:val="000000"/>
          <w:sz w:val="32"/>
          <w:szCs w:val="32"/>
        </w:rPr>
        <w:t>信息化建设等</w:t>
      </w:r>
      <w:r>
        <w:rPr>
          <w:rFonts w:hint="eastAsia" w:ascii="仿宋_GB2312"/>
          <w:color w:val="000000"/>
          <w:sz w:val="32"/>
          <w:szCs w:val="32"/>
          <w:lang w:eastAsia="zh-CN"/>
        </w:rPr>
        <w:t>方面的</w:t>
      </w:r>
      <w:r>
        <w:rPr>
          <w:rFonts w:hint="eastAsia" w:ascii="仿宋_GB2312" w:eastAsia="仿宋_GB2312"/>
          <w:color w:val="000000"/>
          <w:sz w:val="32"/>
          <w:szCs w:val="32"/>
        </w:rPr>
        <w:t>支出。</w:t>
      </w:r>
    </w:p>
    <w:p>
      <w:pPr>
        <w:spacing w:line="600" w:lineRule="exact"/>
        <w:ind w:firstLine="640" w:firstLineChars="200"/>
        <w:rPr>
          <w:rFonts w:ascii="仿宋_GB2312" w:hAnsi="宋体" w:eastAsia="仿宋_GB2312" w:cs="仿宋_GB2312"/>
          <w:i w:val="0"/>
          <w:caps w:val="0"/>
          <w:color w:val="000000"/>
          <w:spacing w:val="0"/>
          <w:sz w:val="32"/>
          <w:szCs w:val="32"/>
          <w:shd w:val="clear" w:color="auto" w:fill="FFFFFF"/>
        </w:rPr>
      </w:pPr>
      <w:r>
        <w:rPr>
          <w:rFonts w:hint="eastAsia" w:ascii="仿宋_GB2312" w:eastAsia="仿宋_GB2312"/>
          <w:color w:val="000000"/>
          <w:sz w:val="32"/>
          <w:szCs w:val="32"/>
          <w:lang w:val="en-US" w:eastAsia="zh-CN"/>
        </w:rPr>
        <w:t>1</w:t>
      </w:r>
      <w:r>
        <w:rPr>
          <w:rFonts w:hint="eastAsia" w:ascii="仿宋_GB2312"/>
          <w:color w:val="000000"/>
          <w:sz w:val="32"/>
          <w:szCs w:val="32"/>
          <w:lang w:val="en-US" w:eastAsia="zh-CN"/>
        </w:rPr>
        <w:t>5</w:t>
      </w:r>
      <w:r>
        <w:rPr>
          <w:rFonts w:hint="eastAsia" w:ascii="仿宋_GB2312" w:eastAsia="仿宋_GB2312"/>
          <w:color w:val="000000"/>
          <w:sz w:val="32"/>
          <w:szCs w:val="32"/>
          <w:lang w:val="en-US" w:eastAsia="zh-CN"/>
        </w:rPr>
        <w:t>.社会保障和就业支出（类）行政事业单位养老支出（款）行政单位离退休（项）:</w:t>
      </w:r>
      <w:r>
        <w:rPr>
          <w:rStyle w:val="12"/>
          <w:rFonts w:hint="eastAsia" w:ascii="仿宋_GB2312" w:hAnsi="仿宋"/>
          <w:b w:val="0"/>
          <w:color w:val="000000"/>
          <w:szCs w:val="32"/>
        </w:rPr>
        <w:t xml:space="preserve"> </w:t>
      </w:r>
      <w:r>
        <w:rPr>
          <w:rFonts w:ascii="仿宋_GB2312" w:hAnsi="宋体" w:eastAsia="仿宋_GB2312" w:cs="仿宋_GB2312"/>
          <w:i w:val="0"/>
          <w:caps w:val="0"/>
          <w:color w:val="000000"/>
          <w:spacing w:val="0"/>
          <w:sz w:val="32"/>
          <w:szCs w:val="32"/>
          <w:shd w:val="clear" w:color="auto" w:fill="FFFFFF"/>
        </w:rPr>
        <w:t>反映行政单位（包括实行公务员管理的事业单位）开支的离退休</w:t>
      </w:r>
      <w:r>
        <w:rPr>
          <w:rFonts w:hint="eastAsia" w:ascii="仿宋_GB2312" w:hAnsi="宋体" w:cs="仿宋_GB2312"/>
          <w:i w:val="0"/>
          <w:caps w:val="0"/>
          <w:color w:val="000000"/>
          <w:spacing w:val="0"/>
          <w:sz w:val="32"/>
          <w:szCs w:val="32"/>
          <w:shd w:val="clear" w:color="auto" w:fill="FFFFFF"/>
          <w:lang w:eastAsia="zh-CN"/>
        </w:rPr>
        <w:t>经费</w:t>
      </w:r>
      <w:r>
        <w:rPr>
          <w:rFonts w:ascii="仿宋_GB2312" w:hAnsi="宋体" w:eastAsia="仿宋_GB2312" w:cs="仿宋_GB2312"/>
          <w:i w:val="0"/>
          <w:caps w:val="0"/>
          <w:color w:val="000000"/>
          <w:spacing w:val="0"/>
          <w:sz w:val="32"/>
          <w:szCs w:val="32"/>
          <w:shd w:val="clear" w:color="auto" w:fill="FFFFFF"/>
        </w:rPr>
        <w:t>。</w:t>
      </w:r>
    </w:p>
    <w:p>
      <w:p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w:t>
      </w:r>
      <w:r>
        <w:rPr>
          <w:rFonts w:hint="eastAsia" w:ascii="仿宋_GB2312"/>
          <w:color w:val="000000"/>
          <w:sz w:val="32"/>
          <w:szCs w:val="32"/>
          <w:lang w:val="en-US" w:eastAsia="zh-CN"/>
        </w:rPr>
        <w:t>6</w:t>
      </w:r>
      <w:r>
        <w:rPr>
          <w:rFonts w:hint="eastAsia" w:ascii="仿宋_GB2312" w:eastAsia="仿宋_GB2312"/>
          <w:color w:val="000000"/>
          <w:sz w:val="32"/>
          <w:szCs w:val="32"/>
          <w:lang w:val="en-US" w:eastAsia="zh-CN"/>
        </w:rPr>
        <w:t>.社会保障和就业支出（类）行政事业单位养老支出（款）事业单位离退休（项）: 反映事业单位开支的离退休经费。</w:t>
      </w:r>
    </w:p>
    <w:p>
      <w:pPr>
        <w:spacing w:line="600" w:lineRule="exact"/>
        <w:ind w:firstLine="640" w:firstLineChars="200"/>
        <w:rPr>
          <w:rStyle w:val="12"/>
          <w:rFonts w:ascii="仿宋_GB2312" w:hAnsi="仿宋"/>
          <w:b w:val="0"/>
          <w:color w:val="000000"/>
          <w:szCs w:val="32"/>
        </w:rPr>
      </w:pPr>
      <w:r>
        <w:rPr>
          <w:rFonts w:hint="eastAsia" w:ascii="仿宋_GB2312" w:eastAsia="仿宋_GB2312"/>
          <w:color w:val="000000"/>
          <w:sz w:val="32"/>
          <w:szCs w:val="32"/>
          <w:lang w:val="en-US" w:eastAsia="zh-CN"/>
        </w:rPr>
        <w:t>1</w:t>
      </w:r>
      <w:r>
        <w:rPr>
          <w:rFonts w:hint="eastAsia" w:ascii="仿宋_GB2312"/>
          <w:color w:val="000000"/>
          <w:sz w:val="32"/>
          <w:szCs w:val="32"/>
          <w:lang w:val="en-US" w:eastAsia="zh-CN"/>
        </w:rPr>
        <w:t>7</w:t>
      </w:r>
      <w:r>
        <w:rPr>
          <w:rFonts w:hint="eastAsia" w:ascii="仿宋_GB2312" w:eastAsia="仿宋_GB2312"/>
          <w:color w:val="000000"/>
          <w:sz w:val="32"/>
          <w:szCs w:val="32"/>
          <w:lang w:val="en-US" w:eastAsia="zh-CN"/>
        </w:rPr>
        <w:t>.社会保障和就业支出（类）行政事业单位养老支出（款）机关事业单位基本养老保险缴费支出（项）: 反映机关事业单位实施养老保险制度由单位缴纳的基本养</w:t>
      </w:r>
      <w:r>
        <w:rPr>
          <w:rStyle w:val="12"/>
          <w:rFonts w:hint="eastAsia" w:ascii="仿宋_GB2312" w:hAnsi="仿宋"/>
          <w:b w:val="0"/>
          <w:color w:val="000000"/>
          <w:szCs w:val="32"/>
        </w:rPr>
        <w:t>老保险支出。</w:t>
      </w:r>
    </w:p>
    <w:p>
      <w:p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w:t>
      </w:r>
      <w:r>
        <w:rPr>
          <w:rFonts w:hint="eastAsia" w:ascii="仿宋_GB2312"/>
          <w:color w:val="000000"/>
          <w:sz w:val="32"/>
          <w:szCs w:val="32"/>
          <w:lang w:val="en-US" w:eastAsia="zh-CN"/>
        </w:rPr>
        <w:t>8</w:t>
      </w:r>
      <w:r>
        <w:rPr>
          <w:rFonts w:hint="eastAsia" w:ascii="仿宋_GB2312" w:eastAsia="仿宋_GB2312"/>
          <w:color w:val="000000"/>
          <w:sz w:val="32"/>
          <w:szCs w:val="32"/>
          <w:lang w:val="en-US" w:eastAsia="zh-CN"/>
        </w:rPr>
        <w:t>.社会保障和就业支出（类）社会福利（款）儿童福利（项）: 反映对儿童提供福利服务方面的支出。</w:t>
      </w:r>
    </w:p>
    <w:p>
      <w:pPr>
        <w:spacing w:line="600" w:lineRule="exact"/>
        <w:ind w:firstLine="640" w:firstLineChars="200"/>
        <w:rPr>
          <w:rFonts w:hint="eastAsia" w:ascii="仿宋_GB2312"/>
          <w:color w:val="000000"/>
          <w:sz w:val="32"/>
          <w:szCs w:val="32"/>
          <w:lang w:eastAsia="zh-CN"/>
        </w:rPr>
      </w:pPr>
      <w:r>
        <w:rPr>
          <w:rFonts w:hint="eastAsia" w:ascii="仿宋_GB2312" w:eastAsia="仿宋_GB2312"/>
          <w:color w:val="000000"/>
          <w:sz w:val="32"/>
          <w:szCs w:val="32"/>
          <w:lang w:val="en-US" w:eastAsia="zh-CN"/>
        </w:rPr>
        <w:t>1</w:t>
      </w:r>
      <w:r>
        <w:rPr>
          <w:rFonts w:hint="eastAsia" w:ascii="仿宋_GB2312"/>
          <w:color w:val="000000"/>
          <w:sz w:val="32"/>
          <w:szCs w:val="32"/>
          <w:lang w:val="en-US" w:eastAsia="zh-CN"/>
        </w:rPr>
        <w:t>9</w:t>
      </w:r>
      <w:r>
        <w:rPr>
          <w:rFonts w:hint="eastAsia" w:ascii="仿宋_GB2312" w:eastAsia="仿宋_GB2312"/>
          <w:color w:val="000000"/>
          <w:sz w:val="32"/>
          <w:szCs w:val="32"/>
          <w:lang w:val="en-US" w:eastAsia="zh-CN"/>
        </w:rPr>
        <w:t>.社会保障和就业支出（类）社会福利（款）老年福利（项）: 反映对老年人提供福利服务方面的支出，包括为经济困难</w:t>
      </w:r>
      <w:r>
        <w:rPr>
          <w:rFonts w:hint="eastAsia" w:ascii="仿宋_GB2312"/>
          <w:color w:val="000000"/>
          <w:sz w:val="32"/>
          <w:szCs w:val="32"/>
          <w:lang w:eastAsia="zh-CN"/>
        </w:rPr>
        <w:t>的高龄、失能等老年人提供基本养老服务保障的资金补助等支出。</w:t>
      </w:r>
    </w:p>
    <w:p>
      <w:pPr>
        <w:pStyle w:val="2"/>
        <w:ind w:left="0" w:leftChars="0" w:firstLine="640" w:firstLineChars="200"/>
        <w:rPr>
          <w:rFonts w:hint="eastAsia"/>
          <w:lang w:eastAsia="zh-CN"/>
        </w:rPr>
      </w:pPr>
      <w:r>
        <w:rPr>
          <w:rFonts w:hint="eastAsia" w:ascii="仿宋_GB2312" w:hAnsi="Times New Roman" w:eastAsia="仿宋_GB2312" w:cs="Times New Roman"/>
          <w:color w:val="000000"/>
          <w:kern w:val="2"/>
          <w:sz w:val="32"/>
          <w:szCs w:val="32"/>
          <w:lang w:val="en-US" w:eastAsia="zh-CN" w:bidi="ar-SA"/>
        </w:rPr>
        <w:t>20.社会保障和就业支出（类）社会福利（款）社会福利事业单位（项）：</w:t>
      </w:r>
      <w:r>
        <w:rPr>
          <w:rFonts w:hint="eastAsia" w:ascii="仿宋_GB2312" w:hAnsi="Calibri" w:cs="仿宋"/>
          <w:color w:val="000000"/>
          <w:kern w:val="0"/>
          <w:sz w:val="32"/>
          <w:szCs w:val="32"/>
          <w:lang w:val="en-US" w:eastAsia="zh-CN" w:bidi="ar-SA"/>
        </w:rPr>
        <w:t>指</w:t>
      </w:r>
      <w:r>
        <w:rPr>
          <w:rFonts w:hint="eastAsia" w:ascii="仿宋_GB2312" w:hAnsi="Calibri" w:eastAsia="仿宋_GB2312" w:cs="仿宋"/>
          <w:color w:val="000000"/>
          <w:kern w:val="0"/>
          <w:sz w:val="32"/>
          <w:szCs w:val="32"/>
          <w:lang w:val="en-US" w:eastAsia="zh-CN" w:bidi="ar-SA"/>
        </w:rPr>
        <w:t>事业单位正常运转的基本支出，包括基本工资、津贴补贴等人员经费以及办公费、印刷费、水电费等日常公用经费,保障部门正常运转。</w:t>
      </w:r>
    </w:p>
    <w:p>
      <w:pPr>
        <w:ind w:firstLine="640" w:firstLineChars="200"/>
        <w:rPr>
          <w:rFonts w:hint="default" w:ascii="仿宋_GB2312" w:eastAsia="仿宋_GB2312"/>
          <w:color w:val="000000"/>
          <w:sz w:val="32"/>
          <w:szCs w:val="32"/>
          <w:lang w:val="en-US" w:eastAsia="zh-CN"/>
        </w:rPr>
      </w:pPr>
      <w:r>
        <w:rPr>
          <w:rFonts w:hint="eastAsia" w:ascii="仿宋_GB2312"/>
          <w:color w:val="000000"/>
          <w:sz w:val="32"/>
          <w:szCs w:val="32"/>
          <w:lang w:val="en-US" w:eastAsia="zh-CN"/>
        </w:rPr>
        <w:t>21</w:t>
      </w:r>
      <w:r>
        <w:rPr>
          <w:rFonts w:hint="eastAsia" w:ascii="仿宋_GB2312" w:eastAsia="仿宋_GB2312"/>
          <w:color w:val="000000"/>
          <w:sz w:val="32"/>
          <w:szCs w:val="32"/>
          <w:lang w:val="en-US" w:eastAsia="zh-CN"/>
        </w:rPr>
        <w:t>.社会保障和就业支出（类）残疾人事业（款）残疾人生活和护理补贴（项）: 反映困难残疾人生活补贴和重度残疾人护理补贴支出。</w:t>
      </w:r>
    </w:p>
    <w:p>
      <w:pPr>
        <w:ind w:firstLine="640" w:firstLineChars="200"/>
        <w:rPr>
          <w:rFonts w:hint="eastAsia" w:ascii="仿宋_GB2312" w:eastAsia="仿宋_GB2312"/>
          <w:color w:val="000000"/>
          <w:sz w:val="32"/>
          <w:szCs w:val="32"/>
          <w:lang w:val="en-US" w:eastAsia="zh-CN"/>
        </w:rPr>
      </w:pPr>
      <w:r>
        <w:rPr>
          <w:rFonts w:hint="eastAsia" w:ascii="仿宋_GB2312"/>
          <w:color w:val="000000"/>
          <w:sz w:val="32"/>
          <w:szCs w:val="32"/>
          <w:lang w:val="en-US" w:eastAsia="zh-CN"/>
        </w:rPr>
        <w:t>22</w:t>
      </w:r>
      <w:r>
        <w:rPr>
          <w:rFonts w:hint="eastAsia" w:ascii="仿宋_GB2312" w:eastAsia="仿宋_GB2312"/>
          <w:color w:val="000000"/>
          <w:sz w:val="32"/>
          <w:szCs w:val="32"/>
          <w:lang w:val="en-US" w:eastAsia="zh-CN"/>
        </w:rPr>
        <w:t>.社会保障和就业支出（类）临时救助（款）临时救助支出（项）: 反映用于城乡生活困难居民的临时救助支出。</w:t>
      </w:r>
    </w:p>
    <w:p>
      <w:pPr>
        <w:ind w:firstLine="640" w:firstLineChars="200"/>
        <w:rPr>
          <w:rFonts w:hint="eastAsia" w:ascii="仿宋_GB2312" w:eastAsia="仿宋_GB2312"/>
          <w:color w:val="000000"/>
          <w:sz w:val="32"/>
          <w:szCs w:val="32"/>
          <w:lang w:val="en-US" w:eastAsia="zh-CN"/>
        </w:rPr>
      </w:pPr>
      <w:r>
        <w:rPr>
          <w:rFonts w:hint="eastAsia" w:ascii="仿宋_GB2312"/>
          <w:color w:val="000000"/>
          <w:sz w:val="32"/>
          <w:szCs w:val="32"/>
          <w:lang w:val="en-US" w:eastAsia="zh-CN"/>
        </w:rPr>
        <w:t>23</w:t>
      </w:r>
      <w:r>
        <w:rPr>
          <w:rFonts w:hint="eastAsia" w:ascii="仿宋_GB2312" w:eastAsia="仿宋_GB2312"/>
          <w:color w:val="000000"/>
          <w:sz w:val="32"/>
          <w:szCs w:val="32"/>
          <w:lang w:val="en-US" w:eastAsia="zh-CN"/>
        </w:rPr>
        <w:t>.社会保障和就业支出（类）临时救助（款）流浪乞讨人员救助支出（项）: 反映用于生活无着的流浪乞讨人员的救助支出和救助管理机构的运转支出。</w:t>
      </w:r>
    </w:p>
    <w:p>
      <w:pPr>
        <w:ind w:firstLine="640" w:firstLineChars="200"/>
        <w:rPr>
          <w:rFonts w:hint="eastAsia" w:ascii="仿宋_GB2312" w:eastAsia="仿宋_GB2312"/>
          <w:color w:val="000000"/>
          <w:sz w:val="32"/>
          <w:szCs w:val="32"/>
          <w:lang w:val="en-US" w:eastAsia="zh-CN"/>
        </w:rPr>
      </w:pPr>
      <w:r>
        <w:rPr>
          <w:rFonts w:hint="eastAsia" w:ascii="仿宋_GB2312"/>
          <w:color w:val="000000"/>
          <w:sz w:val="32"/>
          <w:szCs w:val="32"/>
          <w:lang w:val="en-US" w:eastAsia="zh-CN"/>
        </w:rPr>
        <w:t>24</w:t>
      </w:r>
      <w:r>
        <w:rPr>
          <w:rFonts w:hint="eastAsia" w:ascii="仿宋_GB2312" w:eastAsia="仿宋_GB2312"/>
          <w:color w:val="000000"/>
          <w:sz w:val="32"/>
          <w:szCs w:val="32"/>
          <w:lang w:val="en-US" w:eastAsia="zh-CN"/>
        </w:rPr>
        <w:t>.社会保障和就业支出（类）特困人员救助供养（款）城市特困人员救助供养支出（项）: 反映城市特困人员救助供养支出。</w:t>
      </w:r>
    </w:p>
    <w:p>
      <w:pPr>
        <w:ind w:firstLine="640" w:firstLineChars="200"/>
        <w:rPr>
          <w:rFonts w:hint="eastAsia" w:ascii="仿宋_GB2312" w:eastAsia="仿宋_GB2312"/>
          <w:color w:val="000000"/>
          <w:sz w:val="32"/>
          <w:szCs w:val="32"/>
          <w:lang w:val="en-US" w:eastAsia="zh-CN"/>
        </w:rPr>
      </w:pPr>
      <w:r>
        <w:rPr>
          <w:rFonts w:hint="eastAsia" w:ascii="仿宋_GB2312"/>
          <w:color w:val="000000"/>
          <w:sz w:val="32"/>
          <w:szCs w:val="32"/>
          <w:lang w:val="en-US" w:eastAsia="zh-CN"/>
        </w:rPr>
        <w:t>25</w:t>
      </w:r>
      <w:r>
        <w:rPr>
          <w:rFonts w:hint="eastAsia" w:ascii="仿宋_GB2312" w:eastAsia="仿宋_GB2312"/>
          <w:color w:val="000000"/>
          <w:sz w:val="32"/>
          <w:szCs w:val="32"/>
          <w:lang w:val="en-US" w:eastAsia="zh-CN"/>
        </w:rPr>
        <w:t>.社会保障和就业支出（类）特困人员救助供养（款）农村特困人员救助供养支出（项）: 反映农村特困人员救助供养支出。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w:t>
      </w:r>
      <w:r>
        <w:rPr>
          <w:rFonts w:hint="eastAsia" w:ascii="仿宋_GB2312"/>
          <w:color w:val="000000"/>
          <w:sz w:val="32"/>
          <w:szCs w:val="32"/>
          <w:lang w:val="en-US" w:eastAsia="zh-CN"/>
        </w:rPr>
        <w:t>6</w:t>
      </w:r>
      <w:r>
        <w:rPr>
          <w:rFonts w:hint="eastAsia" w:ascii="仿宋_GB2312" w:eastAsia="仿宋_GB2312"/>
          <w:color w:val="000000"/>
          <w:sz w:val="32"/>
          <w:szCs w:val="32"/>
          <w:lang w:val="en-US" w:eastAsia="zh-CN"/>
        </w:rPr>
        <w:t>.社会保障和就业支出（类）其他生活救助（款）其他农村生活救助（项）: 反映除最低生活保障、临时救助、特困人员供养、自然灾害生活救助外，用于农村生活困难居民生活救助的其他支出。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w:t>
      </w:r>
      <w:r>
        <w:rPr>
          <w:rFonts w:hint="eastAsia" w:ascii="仿宋_GB2312"/>
          <w:color w:val="000000"/>
          <w:sz w:val="32"/>
          <w:szCs w:val="32"/>
          <w:lang w:val="en-US" w:eastAsia="zh-CN"/>
        </w:rPr>
        <w:t>7</w:t>
      </w:r>
      <w:r>
        <w:rPr>
          <w:rFonts w:hint="eastAsia" w:ascii="仿宋_GB2312" w:eastAsia="仿宋_GB2312"/>
          <w:color w:val="000000"/>
          <w:sz w:val="32"/>
          <w:szCs w:val="32"/>
          <w:lang w:val="en-US" w:eastAsia="zh-CN"/>
        </w:rPr>
        <w:t>.社会保障和就业支出（类）其他社会保障和就业支出（款）其他社会保障和就业支出（项）: 反映为职工缴纳的工伤险、生育险和困难群众帮扶支出。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w:t>
      </w:r>
      <w:r>
        <w:rPr>
          <w:rFonts w:hint="eastAsia" w:ascii="仿宋_GB2312"/>
          <w:color w:val="000000"/>
          <w:sz w:val="32"/>
          <w:szCs w:val="32"/>
          <w:lang w:val="en-US" w:eastAsia="zh-CN"/>
        </w:rPr>
        <w:t>8</w:t>
      </w:r>
      <w:r>
        <w:rPr>
          <w:rFonts w:hint="eastAsia" w:ascii="仿宋_GB2312" w:eastAsia="仿宋_GB2312"/>
          <w:color w:val="000000"/>
          <w:sz w:val="32"/>
          <w:szCs w:val="32"/>
          <w:lang w:val="en-US" w:eastAsia="zh-CN"/>
        </w:rPr>
        <w:t>.卫生健康支出（类）公共卫生（款）其他公共卫生（项）: 反映重精病人以奖代补支出。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w:t>
      </w:r>
      <w:r>
        <w:rPr>
          <w:rFonts w:hint="eastAsia" w:ascii="仿宋_GB2312"/>
          <w:color w:val="000000"/>
          <w:sz w:val="32"/>
          <w:szCs w:val="32"/>
          <w:lang w:val="en-US" w:eastAsia="zh-CN"/>
        </w:rPr>
        <w:t>9</w:t>
      </w:r>
      <w:r>
        <w:rPr>
          <w:rFonts w:hint="eastAsia" w:ascii="仿宋_GB2312" w:eastAsia="仿宋_GB2312"/>
          <w:color w:val="000000"/>
          <w:sz w:val="32"/>
          <w:szCs w:val="32"/>
          <w:lang w:val="en-US" w:eastAsia="zh-CN"/>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ind w:firstLine="640" w:firstLineChars="200"/>
        <w:rPr>
          <w:rFonts w:hint="eastAsia" w:ascii="仿宋_GB2312" w:eastAsia="仿宋_GB2312"/>
          <w:color w:val="000000"/>
          <w:sz w:val="32"/>
          <w:szCs w:val="32"/>
          <w:lang w:val="en-US" w:eastAsia="zh-CN"/>
        </w:rPr>
      </w:pPr>
      <w:r>
        <w:rPr>
          <w:rFonts w:hint="eastAsia" w:ascii="仿宋_GB2312"/>
          <w:color w:val="000000"/>
          <w:sz w:val="32"/>
          <w:szCs w:val="32"/>
          <w:lang w:val="en-US" w:eastAsia="zh-CN"/>
        </w:rPr>
        <w:t>30</w:t>
      </w:r>
      <w:r>
        <w:rPr>
          <w:rFonts w:hint="eastAsia" w:ascii="仿宋_GB2312" w:eastAsia="仿宋_GB2312"/>
          <w:color w:val="000000"/>
          <w:sz w:val="32"/>
          <w:szCs w:val="32"/>
          <w:lang w:val="en-US" w:eastAsia="zh-CN"/>
        </w:rPr>
        <w:t>.卫生健康支出（类）老龄卫生健康事务（款）老龄卫生健康事务（项）: 反映老龄卫生健康事务方面的支出。</w:t>
      </w:r>
    </w:p>
    <w:p>
      <w:pPr>
        <w:ind w:firstLine="640" w:firstLineChars="200"/>
        <w:rPr>
          <w:rFonts w:ascii="仿宋_GB2312" w:hAnsi="仿宋"/>
          <w:bCs/>
          <w:color w:val="000000"/>
          <w:szCs w:val="32"/>
        </w:rPr>
      </w:pPr>
      <w:r>
        <w:rPr>
          <w:rFonts w:hint="eastAsia" w:ascii="仿宋_GB2312"/>
          <w:color w:val="000000"/>
          <w:sz w:val="32"/>
          <w:szCs w:val="32"/>
          <w:lang w:val="en-US" w:eastAsia="zh-CN"/>
        </w:rPr>
        <w:t>31</w:t>
      </w:r>
      <w:r>
        <w:rPr>
          <w:rFonts w:hint="eastAsia" w:ascii="仿宋_GB2312" w:eastAsia="仿宋_GB2312"/>
          <w:color w:val="000000"/>
          <w:sz w:val="32"/>
          <w:szCs w:val="32"/>
          <w:lang w:val="en-US" w:eastAsia="zh-CN"/>
        </w:rPr>
        <w:t>.住房保障支出（类）住房改革支出（款）住房公积金（项）:反映行政事业单位按人力资源和社会保障部、财政部规定的基本工资和津贴补贴以及规定比例为职工缴纳的住房</w:t>
      </w:r>
      <w:r>
        <w:rPr>
          <w:rStyle w:val="12"/>
          <w:rFonts w:hint="eastAsia" w:ascii="仿宋_GB2312" w:hAnsi="仿宋"/>
          <w:b w:val="0"/>
          <w:color w:val="000000"/>
          <w:szCs w:val="32"/>
        </w:rPr>
        <w:t>公积金。</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32</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33</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34</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4"/>
          <w:rFonts w:ascii="黑体" w:hAnsi="黑体" w:eastAsia="黑体"/>
          <w:b w:val="0"/>
        </w:rPr>
      </w:pPr>
      <w:bookmarkStart w:id="62" w:name="_Toc15377226"/>
      <w:r>
        <w:rPr>
          <w:rFonts w:ascii="宋体"/>
          <w:b/>
          <w:color w:val="000000"/>
          <w:sz w:val="44"/>
          <w:szCs w:val="44"/>
        </w:rPr>
        <w:br w:type="page"/>
      </w:r>
      <w:bookmarkStart w:id="63" w:name="_Toc11207"/>
      <w:bookmarkStart w:id="64" w:name="_Toc15396614"/>
      <w:r>
        <w:rPr>
          <w:rFonts w:hint="eastAsia" w:ascii="黑体" w:hAnsi="黑体" w:eastAsia="黑体"/>
          <w:color w:val="000000"/>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63"/>
      <w:bookmarkEnd w:id="64"/>
    </w:p>
    <w:p>
      <w:pPr>
        <w:spacing w:line="600" w:lineRule="exact"/>
        <w:jc w:val="left"/>
        <w:outlineLvl w:val="1"/>
        <w:rPr>
          <w:rFonts w:ascii="方正小标宋简体" w:hAnsi="方正小标宋简体" w:eastAsia="方正小标宋简体" w:cs="方正小标宋简体"/>
          <w:sz w:val="32"/>
          <w:szCs w:val="32"/>
        </w:rPr>
      </w:pPr>
      <w:bookmarkStart w:id="65" w:name="_Toc22930"/>
      <w:r>
        <w:rPr>
          <w:rFonts w:hint="eastAsia" w:ascii="黑体" w:hAnsi="黑体" w:eastAsia="黑体" w:cs="黑体"/>
          <w:sz w:val="32"/>
          <w:szCs w:val="32"/>
        </w:rPr>
        <w:t>附件</w:t>
      </w:r>
      <w:r>
        <w:rPr>
          <w:rFonts w:ascii="黑体" w:hAnsi="黑体" w:eastAsia="黑体" w:cs="黑体"/>
          <w:sz w:val="32"/>
          <w:szCs w:val="32"/>
        </w:rPr>
        <w:t>1</w:t>
      </w:r>
      <w:bookmarkEnd w:id="65"/>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hint="eastAsia" w:ascii="方正小标宋简体" w:hAnsi="宋体" w:eastAsia="方正小标宋简体"/>
          <w:color w:val="000000"/>
          <w:kern w:val="0"/>
          <w:sz w:val="40"/>
          <w:szCs w:val="44"/>
          <w:lang w:eastAsia="zh-CN"/>
        </w:rPr>
      </w:pPr>
      <w:r>
        <w:rPr>
          <w:rFonts w:hint="eastAsia" w:ascii="方正小标宋简体" w:hAnsi="宋体" w:eastAsia="方正小标宋简体"/>
          <w:color w:val="000000"/>
          <w:kern w:val="0"/>
          <w:sz w:val="40"/>
          <w:szCs w:val="44"/>
          <w:lang w:eastAsia="zh-CN"/>
        </w:rPr>
        <w:t>自贡市自流井区民政局（本级）</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（一）机构组成。</w:t>
      </w:r>
    </w:p>
    <w:p>
      <w:pPr>
        <w:pStyle w:val="5"/>
        <w:adjustRightInd w:val="0"/>
        <w:snapToGrid w:val="0"/>
        <w:spacing w:line="580" w:lineRule="exact"/>
        <w:ind w:firstLine="640" w:firstLineChars="200"/>
        <w:rPr>
          <w:lang w:val="zh-CN"/>
        </w:rPr>
      </w:pPr>
      <w:r>
        <w:rPr>
          <w:rFonts w:hint="eastAsia"/>
          <w:bCs/>
          <w:color w:val="auto"/>
          <w:sz w:val="32"/>
          <w:szCs w:val="32"/>
        </w:rPr>
        <w:t>自流井</w:t>
      </w:r>
      <w:r>
        <w:rPr>
          <w:rFonts w:hint="eastAsia"/>
          <w:color w:val="auto"/>
          <w:sz w:val="32"/>
          <w:szCs w:val="32"/>
        </w:rPr>
        <w:t>区民政局设4个内设股室</w:t>
      </w:r>
      <w:r>
        <w:rPr>
          <w:rFonts w:hint="eastAsia"/>
          <w:bCs/>
          <w:color w:val="auto"/>
          <w:sz w:val="32"/>
          <w:szCs w:val="32"/>
        </w:rPr>
        <w:t>，分别为</w:t>
      </w:r>
      <w:r>
        <w:rPr>
          <w:rFonts w:hint="eastAsia"/>
          <w:color w:val="auto"/>
          <w:sz w:val="32"/>
          <w:szCs w:val="32"/>
        </w:rPr>
        <w:t>综合股、社会救助股、</w:t>
      </w:r>
      <w:r>
        <w:rPr>
          <w:rFonts w:hint="eastAsia" w:hAnsi="Calibri"/>
          <w:color w:val="auto"/>
          <w:sz w:val="32"/>
          <w:szCs w:val="32"/>
        </w:rPr>
        <w:t>基层政权建设社区治理区划地名社会组织管理慈善社工股、社会福利养老服务</w:t>
      </w:r>
      <w:r>
        <w:rPr>
          <w:rFonts w:hint="eastAsia" w:hAnsi="仿宋_GB2312"/>
          <w:color w:val="auto"/>
          <w:sz w:val="32"/>
          <w:szCs w:val="32"/>
        </w:rPr>
        <w:t>社会事务与儿童保障股。</w:t>
      </w:r>
    </w:p>
    <w:p>
      <w:pPr>
        <w:widowControl/>
        <w:numPr>
          <w:ilvl w:val="0"/>
          <w:numId w:val="5"/>
        </w:numPr>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机构职能。</w:t>
      </w:r>
    </w:p>
    <w:p>
      <w:pPr>
        <w:numPr>
          <w:ilvl w:val="0"/>
          <w:numId w:val="0"/>
        </w:numPr>
        <w:ind w:firstLine="640" w:firstLineChars="200"/>
        <w:rPr>
          <w:rFonts w:hint="eastAsia" w:ascii="仿宋_GB2312" w:hAnsi="仿宋_GB2312" w:eastAsia="仿宋_GB2312"/>
          <w:color w:val="auto"/>
          <w:sz w:val="32"/>
          <w:szCs w:val="32"/>
        </w:rPr>
      </w:pPr>
      <w:r>
        <w:rPr>
          <w:rFonts w:hint="eastAsia" w:ascii="仿宋_GB2312" w:eastAsia="仿宋_GB2312"/>
          <w:color w:val="auto"/>
          <w:sz w:val="32"/>
          <w:szCs w:val="32"/>
        </w:rPr>
        <w:t>1.综合股。</w:t>
      </w:r>
      <w:r>
        <w:rPr>
          <w:rFonts w:hint="eastAsia" w:ascii="仿宋_GB2312" w:hAnsi="仿宋_GB2312" w:eastAsia="仿宋_GB2312"/>
          <w:color w:val="auto"/>
          <w:sz w:val="32"/>
          <w:szCs w:val="32"/>
        </w:rPr>
        <w:t>负责文电、会务、档案、保密机要等机关日常运转工作；承担信息、目标绩效管理、政务公开、新闻宣传、有关综合性文稿起草、史志编纂和机关资产管理工作；组织办理人大代表建议、政协委员提案；负责信访事项的接待、处理、分析、排查和化解，督查督办重大信访案件，协调处理有关民政的群体性突发事件，指导全区民政系统信访工作；承担民政行业标准化工作；负责本单位依法行政工作的组织协调和督促指导，承担行政执法监督、行政复议、行政应诉、行政调解等工作；负责规范性文件的合法性审核、报备和本系统权责清单制度建设、动态调整等工作；牵头协调推进本单位“放管服”改革，承担审批服务便民化有关工作，集中承担区民政局有关审批服务事项的受理、审批等工作，推进纳入一体化政务服务平台；承担民政相关行业领域安全生产监督管理综合工作。牵头实施民政项目建设。拟订全区民政事业发展规划并监督实施；组织实施民政经费投入项目的绩效评估工作；指导监督民政事业经费管理使用；负责民政统计管理工作；负责局机关及所属事业单位经费预算、决算和日常财务管理、劳动工资等工作；负责局内和所属事业单位审计工作；负责对机关及所属事业单位国有资产进行监管。承担局机关和所属事业单位的机构编制、干部人事、教育培训、科技管理及队伍建设等工作；指导行业人才队伍建设工作；负责局机关离退休人员工作，指导所属事业单位离退休人员工作。负责局机关和所属单位的党群工作。</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社会救助股。拟订全区社会救助规划、政策和标准并监督实施，健全城乡社会救助体系，负责城乡居民最低生活保障、特困人员救助供养、临时救助、生活无着流浪乞讨人员救助工作，指导城乡低收入家庭认定工作；承办中央和省、市、区级财政困难群众救助补助资金的分配和监管工作；参与拟订医疗、住房、教育、就业、司法等救助的相关办法；指导并监督生活无着流浪乞讨人员救助管理机构相关工作，协调跨市（州）、区县生活无着流浪乞讨人员救助事务，指导开展家庭暴力受害人临时庇护救助工作；承担全区社会救助信息管理和精简退职职工及起义投诚人员救助工作；承担全区生活无着流浪乞讨人员救助管理机构安全生产监督管理工作。</w:t>
      </w:r>
    </w:p>
    <w:p>
      <w:pPr>
        <w:ind w:firstLine="640" w:firstLineChars="200"/>
        <w:rPr>
          <w:rFonts w:hint="eastAsia" w:ascii="仿宋_GB2312" w:eastAsia="仿宋_GB2312"/>
          <w:color w:val="auto"/>
          <w:sz w:val="32"/>
          <w:szCs w:val="20"/>
        </w:rPr>
      </w:pPr>
      <w:r>
        <w:rPr>
          <w:rFonts w:hint="eastAsia" w:ascii="仿宋_GB2312" w:hAnsi="Calibri" w:eastAsia="仿宋_GB2312"/>
          <w:color w:val="auto"/>
          <w:sz w:val="32"/>
          <w:szCs w:val="32"/>
        </w:rPr>
        <w:t>3.基层政权建设社区治理区划地名社会组织管理慈善社工股</w:t>
      </w:r>
      <w:r>
        <w:rPr>
          <w:rFonts w:hint="eastAsia" w:ascii="仿宋_GB2312" w:eastAsia="仿宋_GB2312"/>
          <w:color w:val="auto"/>
          <w:sz w:val="32"/>
          <w:szCs w:val="32"/>
        </w:rPr>
        <w:t>。拟订全区城乡基层群众自治建设和社区治理政策并指导实施，指导城乡社区治理体系、服务体系和治理能力建设；提出加强和改进城乡基层政权建设的建议；指导村（居）民委员会的民主选举、民主决策、民主协商、民主管理和民主监督工作，指导、监督村（居）务公开，推动基层民主政治建设。</w:t>
      </w:r>
      <w:r>
        <w:rPr>
          <w:rFonts w:hint="eastAsia" w:ascii="仿宋_GB2312" w:hAnsi="仿宋_GB2312" w:eastAsia="仿宋_GB2312" w:cs="仿宋_GB2312"/>
          <w:color w:val="auto"/>
          <w:sz w:val="32"/>
          <w:szCs w:val="32"/>
        </w:rPr>
        <w:t>贯彻执行行政区划管理政策和行政区域界线、地名管理办法；</w:t>
      </w:r>
      <w:r>
        <w:rPr>
          <w:rFonts w:hint="eastAsia" w:ascii="仿宋_GB2312" w:eastAsia="仿宋_GB2312"/>
          <w:color w:val="auto"/>
          <w:sz w:val="32"/>
          <w:szCs w:val="32"/>
        </w:rPr>
        <w:t>拟定全区行政区划总体规划，办理村（居）委会的设立、撤销、调整、更名审核报批工作；政府驻地搬迁申报工作；主管地名工作，开展地名公共服务活动，做好建筑物的楼门牌编码、清理和规范工作；指导全区乡镇、街、路、巷、村等地名标志的设置和管理工作；组织开展与毗邻地区行政区域边界勘定工作；组织、指导全区乡镇、街道行政区域界线勘定工作和乡镇、街道、界线变更的审核报批工作；承办边界争议的调查、调处工作，并向区政府提出仲裁建</w:t>
      </w:r>
      <w:r>
        <w:rPr>
          <w:rFonts w:hint="eastAsia" w:ascii="仿宋_GB2312" w:eastAsia="仿宋_GB2312"/>
          <w:color w:val="auto"/>
          <w:sz w:val="32"/>
          <w:szCs w:val="20"/>
        </w:rPr>
        <w:t>议；负责勘界档案资料管理。贯彻执行社会组织管理的法律法规和政策，按照管理权限对社会组织进行登记、管理和执法监督；负责社会组织信息管理。负责指导全区社会组织党建工作，承担中共自贡市自流井区社会组织综合委员会的日常工作；负</w:t>
      </w:r>
      <w:r>
        <w:rPr>
          <w:rFonts w:hint="eastAsia" w:ascii="仿宋_GB2312" w:hAnsi="仿宋_GB2312" w:eastAsia="仿宋_GB2312"/>
          <w:color w:val="auto"/>
          <w:sz w:val="32"/>
          <w:szCs w:val="32"/>
        </w:rPr>
        <w:t>责脱钩后行业协会（商会）和区民政局作为业务主管单位的全区性社会组织党建工作。</w:t>
      </w:r>
      <w:r>
        <w:rPr>
          <w:rFonts w:hint="eastAsia" w:ascii="仿宋_GB2312" w:eastAsia="仿宋_GB2312"/>
          <w:color w:val="auto"/>
          <w:sz w:val="32"/>
          <w:szCs w:val="20"/>
        </w:rPr>
        <w:t>拟订促进慈善事业发展政策和慈善组织及其管理办法，指导社会捐助工作；对慈善组织开展慈善活动进行指导、监督；拟订社会工作、志愿服务政策和标准，推进社会工作人才队伍和志愿者队伍建设，推动社会工作和志愿服务健康发展。</w:t>
      </w:r>
    </w:p>
    <w:p>
      <w:pPr>
        <w:ind w:firstLine="640" w:firstLineChars="200"/>
        <w:rPr>
          <w:lang w:val="zh-CN"/>
        </w:rPr>
      </w:pPr>
      <w:r>
        <w:rPr>
          <w:rFonts w:hint="eastAsia" w:ascii="仿宋_GB2312" w:eastAsia="仿宋_GB2312"/>
          <w:color w:val="auto"/>
          <w:sz w:val="32"/>
          <w:szCs w:val="32"/>
        </w:rPr>
        <w:t>4.</w:t>
      </w:r>
      <w:r>
        <w:rPr>
          <w:rFonts w:hint="eastAsia" w:ascii="仿宋_GB2312" w:hAnsi="Calibri" w:eastAsia="仿宋_GB2312"/>
          <w:color w:val="auto"/>
          <w:sz w:val="32"/>
          <w:szCs w:val="32"/>
        </w:rPr>
        <w:t>社会福利养老服务</w:t>
      </w:r>
      <w:r>
        <w:rPr>
          <w:rFonts w:hint="eastAsia" w:ascii="仿宋_GB2312" w:hAnsi="仿宋_GB2312" w:eastAsia="仿宋_GB2312"/>
          <w:color w:val="auto"/>
          <w:sz w:val="32"/>
          <w:szCs w:val="32"/>
        </w:rPr>
        <w:t>社会事务与儿童保障股</w:t>
      </w:r>
      <w:r>
        <w:rPr>
          <w:rFonts w:hint="eastAsia" w:ascii="仿宋_GB2312" w:eastAsia="仿宋_GB2312"/>
          <w:color w:val="auto"/>
          <w:sz w:val="32"/>
          <w:szCs w:val="32"/>
        </w:rPr>
        <w:t>。拟订残疾人等特殊群体福利事业发展规划、政策和标准并组织实施，拟订社会福利机构管理办法。拟订残疾人权益保护政策并监督实施，参与拟订残疾人集中就业扶持政策。牵头推进精神障碍社区康复服务工作。指导、监督残疾人社会福利机构、民政精神卫生福利机构管理工作。拟订康复辅助器具行业发展规划、政策并组织实施。负责福利彩票资金监管。承担康复辅助器具行业和残疾人社会福利机构、民政精神卫生福利机构安全生产监督管理工作。拟订全区城乡养老服务体系建设规划、政策、标准并监督实施，拟订老年人福利补贴制度和老年人权益保障政策并监督实施，健全为老志愿服务基本制度；承担老年人福利和特殊困难老年人救助、帮扶和关爱工作，协调推进农村留守老年人关爱服务工作；指导、监督养老服务、老年人福利、特困人员救助供养机构管理工作；承担城乡老年社会组织管理工作，组织开展老年人教育和敬老、孝老、爱老宣传工作。承担养老服务机构安全生产监督管理工作。</w:t>
      </w:r>
      <w:r>
        <w:rPr>
          <w:rFonts w:hint="eastAsia" w:ascii="仿宋_GB2312" w:hAnsi="仿宋_GB2312" w:eastAsia="仿宋_GB2312"/>
          <w:color w:val="auto"/>
          <w:sz w:val="32"/>
          <w:szCs w:val="32"/>
        </w:rPr>
        <w:t>贯彻执行有关婚姻、殡葬的法律法规和政策，推进婚俗和殡葬改革。负责殡葬管理工作，组织实施殡葬服务规范。指导并监督婚姻登记机关和殡葬服务机构管理工作，承担全区婚姻登记信息管理工作。拟订儿童福利、孤弃儿童保障、儿童收养、儿童救助保护政策和标准并组织实施，健全农村留守儿童关爱服务体系和困境儿童保障制度，指导并监督儿童福利、收养登记、流浪未成年人救助保护机构管理工作。负责全区儿童（除涉港、澳、台及华侨外）收养登记工作。承担殡葬服务、儿童福利、流浪未成年人救助保护机构安全生产监督管理工作。</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（三）人员概况。</w:t>
      </w:r>
    </w:p>
    <w:p>
      <w:pPr>
        <w:widowControl/>
        <w:numPr>
          <w:ilvl w:val="0"/>
          <w:numId w:val="0"/>
        </w:numPr>
        <w:adjustRightInd w:val="0"/>
        <w:snapToGrid w:val="0"/>
        <w:spacing w:line="580" w:lineRule="exact"/>
        <w:ind w:firstLine="640" w:firstLineChars="200"/>
        <w:contextualSpacing/>
        <w:jc w:val="left"/>
        <w:rPr>
          <w:lang w:val="zh-CN"/>
        </w:rPr>
      </w:pPr>
      <w:r>
        <w:rPr>
          <w:rFonts w:hint="eastAsia" w:ascii="仿宋_GB2312" w:hAnsi="宋体" w:cs="宋体"/>
          <w:color w:val="000000"/>
          <w:kern w:val="0"/>
          <w:sz w:val="32"/>
          <w:szCs w:val="32"/>
          <w:shd w:val="clear" w:color="auto" w:fill="FFFFFF"/>
          <w:lang w:val="zh-CN"/>
        </w:rPr>
        <w:t>行政编制</w:t>
      </w:r>
      <w:r>
        <w:rPr>
          <w:rFonts w:hint="eastAsia" w:ascii="仿宋_GB2312" w:hAnsi="宋体" w:cs="宋体"/>
          <w:color w:val="000000"/>
          <w:kern w:val="0"/>
          <w:sz w:val="32"/>
          <w:szCs w:val="32"/>
          <w:shd w:val="clear" w:color="auto" w:fill="FFFFFF"/>
          <w:lang w:val="en-US" w:eastAsia="zh-CN"/>
        </w:rPr>
        <w:t>8名、机关工勤1名、事业编制12名。年末实有人员：行政人员6名、机关工勤1名、事业人员8名。</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lang w:val="zh-CN"/>
        </w:rPr>
      </w:pPr>
      <w:r>
        <w:rPr>
          <w:rFonts w:hint="eastAsia" w:ascii="仿宋_GB2312" w:hAnsi="宋体" w:eastAsia="仿宋_GB2312" w:cs="宋体"/>
          <w:color w:val="000000"/>
          <w:kern w:val="0"/>
          <w:sz w:val="32"/>
          <w:szCs w:val="32"/>
          <w:shd w:val="clear" w:color="auto" w:fill="FFFFFF"/>
          <w:lang w:val="zh-CN"/>
        </w:rPr>
        <w:t>2020年</w:t>
      </w:r>
      <w:r>
        <w:rPr>
          <w:rFonts w:hint="eastAsia" w:ascii="仿宋_GB2312" w:hAnsi="宋体" w:eastAsia="仿宋_GB2312" w:cs="宋体"/>
          <w:color w:val="000000"/>
          <w:kern w:val="0"/>
          <w:sz w:val="32"/>
          <w:szCs w:val="32"/>
          <w:shd w:val="clear" w:color="auto" w:fill="FFFFFF"/>
          <w:lang w:val="zh-CN" w:eastAsia="zh-CN"/>
        </w:rPr>
        <w:t>财政拨款</w:t>
      </w:r>
      <w:r>
        <w:rPr>
          <w:rFonts w:hint="eastAsia" w:ascii="仿宋_GB2312" w:hAnsi="宋体" w:eastAsia="仿宋_GB2312" w:cs="宋体"/>
          <w:color w:val="000000"/>
          <w:kern w:val="0"/>
          <w:sz w:val="32"/>
          <w:szCs w:val="32"/>
          <w:shd w:val="clear" w:color="auto" w:fill="FFFFFF"/>
          <w:lang w:val="zh-CN"/>
        </w:rPr>
        <w:t>收入</w:t>
      </w:r>
      <w:r>
        <w:rPr>
          <w:rFonts w:hint="eastAsia" w:ascii="仿宋_GB2312" w:hAnsi="宋体" w:eastAsia="仿宋_GB2312" w:cs="宋体"/>
          <w:color w:val="000000"/>
          <w:kern w:val="0"/>
          <w:sz w:val="32"/>
          <w:szCs w:val="32"/>
          <w:shd w:val="clear" w:color="auto" w:fill="FFFFFF"/>
          <w:lang w:val="en-US" w:eastAsia="zh-CN"/>
        </w:rPr>
        <w:t>3540.46</w:t>
      </w:r>
      <w:r>
        <w:rPr>
          <w:rFonts w:hint="eastAsia" w:ascii="仿宋_GB2312" w:hAnsi="宋体" w:eastAsia="仿宋_GB2312" w:cs="宋体"/>
          <w:color w:val="000000"/>
          <w:kern w:val="0"/>
          <w:sz w:val="32"/>
          <w:szCs w:val="32"/>
          <w:shd w:val="clear" w:color="auto" w:fill="FFFFFF"/>
          <w:lang w:val="zh-CN"/>
        </w:rPr>
        <w:t>万元，其中：一般公共预算财政拨款收入</w:t>
      </w:r>
      <w:r>
        <w:rPr>
          <w:rFonts w:hint="eastAsia" w:ascii="仿宋_GB2312" w:hAnsi="宋体" w:eastAsia="仿宋_GB2312" w:cs="宋体"/>
          <w:color w:val="000000"/>
          <w:kern w:val="0"/>
          <w:sz w:val="32"/>
          <w:szCs w:val="32"/>
          <w:shd w:val="clear" w:color="auto" w:fill="FFFFFF"/>
          <w:lang w:val="en-US" w:eastAsia="zh-CN"/>
        </w:rPr>
        <w:t>3210.36</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90.68</w:t>
      </w:r>
      <w:r>
        <w:rPr>
          <w:rFonts w:hint="eastAsia" w:ascii="仿宋_GB2312" w:hAnsi="宋体" w:eastAsia="仿宋_GB2312" w:cs="宋体"/>
          <w:color w:val="000000"/>
          <w:kern w:val="0"/>
          <w:sz w:val="32"/>
          <w:szCs w:val="32"/>
          <w:shd w:val="clear" w:color="auto" w:fill="FFFFFF"/>
          <w:lang w:val="zh-CN"/>
        </w:rPr>
        <w:t>%；政府性基金预算财政拨款收入</w:t>
      </w:r>
      <w:r>
        <w:rPr>
          <w:rFonts w:hint="eastAsia" w:ascii="仿宋_GB2312" w:hAnsi="宋体" w:eastAsia="仿宋_GB2312" w:cs="宋体"/>
          <w:color w:val="000000"/>
          <w:kern w:val="0"/>
          <w:sz w:val="32"/>
          <w:szCs w:val="32"/>
          <w:shd w:val="clear" w:color="auto" w:fill="FFFFFF"/>
          <w:lang w:val="en-US" w:eastAsia="zh-CN"/>
        </w:rPr>
        <w:t>330.10</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9.32</w:t>
      </w:r>
      <w:r>
        <w:rPr>
          <w:rFonts w:hint="eastAsia" w:ascii="仿宋_GB2312" w:hAnsi="宋体" w:eastAsia="仿宋_GB2312" w:cs="宋体"/>
          <w:color w:val="000000"/>
          <w:kern w:val="0"/>
          <w:sz w:val="32"/>
          <w:szCs w:val="32"/>
          <w:shd w:val="clear" w:color="auto" w:fill="FFFFFF"/>
          <w:lang w:val="zh-CN"/>
        </w:rPr>
        <w:t>%</w:t>
      </w:r>
      <w:r>
        <w:rPr>
          <w:rFonts w:hint="eastAsia" w:ascii="仿宋_GB2312" w:hAnsi="宋体" w:eastAsia="仿宋_GB2312" w:cs="宋体"/>
          <w:color w:val="000000"/>
          <w:kern w:val="0"/>
          <w:sz w:val="32"/>
          <w:szCs w:val="32"/>
          <w:shd w:val="clear" w:color="auto" w:fill="FFFFFF"/>
          <w:lang w:val="zh-CN" w:eastAsia="zh-CN"/>
        </w:rPr>
        <w:t>。</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lang w:val="zh-CN"/>
        </w:rPr>
      </w:pPr>
      <w:r>
        <w:rPr>
          <w:rFonts w:hint="eastAsia" w:ascii="仿宋_GB2312" w:hAnsi="宋体" w:eastAsia="仿宋_GB2312" w:cs="宋体"/>
          <w:color w:val="000000"/>
          <w:kern w:val="0"/>
          <w:sz w:val="32"/>
          <w:szCs w:val="32"/>
          <w:shd w:val="clear" w:color="auto" w:fill="FFFFFF"/>
          <w:lang w:val="zh-CN"/>
        </w:rPr>
        <w:t>2020年</w:t>
      </w:r>
      <w:r>
        <w:rPr>
          <w:rFonts w:hint="eastAsia" w:ascii="仿宋_GB2312" w:hAnsi="宋体" w:eastAsia="仿宋_GB2312" w:cs="宋体"/>
          <w:color w:val="000000"/>
          <w:kern w:val="0"/>
          <w:sz w:val="32"/>
          <w:szCs w:val="32"/>
          <w:shd w:val="clear" w:color="auto" w:fill="FFFFFF"/>
          <w:lang w:val="zh-CN" w:eastAsia="zh-CN"/>
        </w:rPr>
        <w:t>财政拨款</w:t>
      </w:r>
      <w:r>
        <w:rPr>
          <w:rFonts w:hint="eastAsia" w:ascii="仿宋_GB2312" w:hAnsi="宋体" w:eastAsia="仿宋_GB2312" w:cs="宋体"/>
          <w:color w:val="000000"/>
          <w:kern w:val="0"/>
          <w:sz w:val="32"/>
          <w:szCs w:val="32"/>
          <w:shd w:val="clear" w:color="auto" w:fill="FFFFFF"/>
          <w:lang w:val="zh-CN"/>
        </w:rPr>
        <w:t>支出合计</w:t>
      </w:r>
      <w:r>
        <w:rPr>
          <w:rFonts w:hint="eastAsia" w:ascii="仿宋_GB2312" w:hAnsi="宋体" w:eastAsia="仿宋_GB2312" w:cs="宋体"/>
          <w:color w:val="000000"/>
          <w:kern w:val="0"/>
          <w:sz w:val="32"/>
          <w:szCs w:val="32"/>
          <w:shd w:val="clear" w:color="auto" w:fill="FFFFFF"/>
          <w:lang w:val="en-US" w:eastAsia="zh-CN"/>
        </w:rPr>
        <w:t>4010.63</w:t>
      </w:r>
      <w:r>
        <w:rPr>
          <w:rFonts w:hint="eastAsia" w:ascii="仿宋_GB2312" w:hAnsi="宋体" w:eastAsia="仿宋_GB2312" w:cs="宋体"/>
          <w:color w:val="000000"/>
          <w:kern w:val="0"/>
          <w:sz w:val="32"/>
          <w:szCs w:val="32"/>
          <w:shd w:val="clear" w:color="auto" w:fill="FFFFFF"/>
          <w:lang w:val="zh-CN"/>
        </w:rPr>
        <w:t>万元，其中：基本支出</w:t>
      </w:r>
      <w:r>
        <w:rPr>
          <w:rFonts w:hint="eastAsia" w:ascii="仿宋_GB2312" w:hAnsi="宋体" w:eastAsia="仿宋_GB2312" w:cs="宋体"/>
          <w:color w:val="000000"/>
          <w:kern w:val="0"/>
          <w:sz w:val="32"/>
          <w:szCs w:val="32"/>
          <w:shd w:val="clear" w:color="auto" w:fill="FFFFFF"/>
          <w:lang w:val="en-US" w:eastAsia="zh-CN"/>
        </w:rPr>
        <w:t>2681.18</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66.85</w:t>
      </w:r>
      <w:r>
        <w:rPr>
          <w:rFonts w:hint="eastAsia" w:ascii="仿宋_GB2312" w:hAnsi="宋体" w:eastAsia="仿宋_GB2312" w:cs="宋体"/>
          <w:color w:val="000000"/>
          <w:kern w:val="0"/>
          <w:sz w:val="32"/>
          <w:szCs w:val="32"/>
          <w:shd w:val="clear" w:color="auto" w:fill="FFFFFF"/>
          <w:lang w:val="zh-CN"/>
        </w:rPr>
        <w:t>%；项目支出</w:t>
      </w:r>
      <w:r>
        <w:rPr>
          <w:rFonts w:hint="eastAsia" w:ascii="仿宋_GB2312" w:hAnsi="宋体" w:eastAsia="仿宋_GB2312" w:cs="宋体"/>
          <w:color w:val="000000"/>
          <w:kern w:val="0"/>
          <w:sz w:val="32"/>
          <w:szCs w:val="32"/>
          <w:shd w:val="clear" w:color="auto" w:fill="FFFFFF"/>
          <w:lang w:val="en-US" w:eastAsia="zh-CN"/>
        </w:rPr>
        <w:t>1329.45</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33.15</w:t>
      </w:r>
      <w:r>
        <w:rPr>
          <w:rFonts w:hint="eastAsia" w:ascii="仿宋_GB2312" w:hAnsi="宋体" w:eastAsia="仿宋_GB2312" w:cs="宋体"/>
          <w:color w:val="000000"/>
          <w:kern w:val="0"/>
          <w:sz w:val="32"/>
          <w:szCs w:val="32"/>
          <w:shd w:val="clear" w:color="auto" w:fill="FFFFFF"/>
          <w:lang w:val="zh-CN"/>
        </w:rPr>
        <w:t>%</w:t>
      </w:r>
      <w:r>
        <w:rPr>
          <w:rFonts w:hint="eastAsia" w:ascii="仿宋_GB2312" w:hAnsi="宋体" w:eastAsia="仿宋_GB2312" w:cs="宋体"/>
          <w:color w:val="000000"/>
          <w:kern w:val="0"/>
          <w:sz w:val="32"/>
          <w:szCs w:val="32"/>
          <w:shd w:val="clear" w:color="auto" w:fill="FFFFFF"/>
          <w:lang w:val="zh-CN" w:eastAsia="zh-CN"/>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（一）部门预算管理。</w:t>
      </w:r>
    </w:p>
    <w:p>
      <w:pPr>
        <w:pStyle w:val="17"/>
        <w:ind w:firstLine="640" w:firstLineChars="200"/>
        <w:rPr>
          <w:rFonts w:hint="eastAsia" w:ascii="仿宋_GB2312" w:hAnsi="宋体" w:eastAsia="仿宋_GB2312" w:cs="宋体"/>
          <w:color w:val="000000" w:themeColor="text1"/>
          <w:kern w:val="0"/>
          <w:sz w:val="32"/>
          <w:szCs w:val="32"/>
          <w:shd w:val="clear" w:color="auto" w:fill="FFFFFF"/>
          <w:lang w:val="zh-CN"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2020</w:t>
      </w:r>
      <w:r>
        <w:rPr>
          <w:rFonts w:hint="eastAsia" w:eastAsia="仿宋_GB2312"/>
          <w:color w:val="000000" w:themeColor="text1"/>
          <w:sz w:val="32"/>
          <w:szCs w:val="32"/>
          <w:lang w:val="en-US" w:eastAsia="zh-CN"/>
          <w14:textFill>
            <w14:solidFill>
              <w14:schemeClr w14:val="tx1"/>
            </w14:solidFill>
          </w14:textFill>
        </w:rPr>
        <w:t>年自流井区民政局（本级）收入预算总额为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1549.3</w:t>
      </w:r>
      <w:r>
        <w:rPr>
          <w:rFonts w:hint="eastAsia" w:eastAsia="仿宋_GB2312"/>
          <w:color w:val="000000" w:themeColor="text1"/>
          <w:sz w:val="32"/>
          <w:szCs w:val="32"/>
          <w:lang w:val="en-US" w:eastAsia="zh-CN"/>
          <w14:textFill>
            <w14:solidFill>
              <w14:schemeClr w14:val="tx1"/>
            </w14:solidFill>
          </w14:textFill>
        </w:rPr>
        <w:t>万元，支出预算总额为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1549.3万元，追加1991.16</w:t>
      </w:r>
      <w:r>
        <w:rPr>
          <w:rFonts w:hint="eastAsia" w:eastAsia="仿宋_GB2312"/>
          <w:color w:val="000000" w:themeColor="text1"/>
          <w:sz w:val="32"/>
          <w:szCs w:val="32"/>
          <w:lang w:val="en-US" w:eastAsia="zh-CN"/>
          <w14:textFill>
            <w14:solidFill>
              <w14:schemeClr w14:val="tx1"/>
            </w14:solidFill>
          </w14:textFill>
        </w:rPr>
        <w:t>万元。预算安排财政拨款支出主要用于保障该部门机构正常运转、完成日常工作任务相关工作，包括人员支出和公用支出。人员支出，包括基本工资、津贴补贴、养老保险、医疗保险、住房公积金等工资及福利支出，公用支出，包括办公费、工会经费、差旅费、委托业务费等商品服务支出。</w:t>
      </w:r>
      <w:r>
        <w:rPr>
          <w:rFonts w:hint="eastAsia" w:ascii="仿宋" w:hAnsi="Calibri" w:eastAsia="仿宋_GB2312" w:cs="仿宋"/>
          <w:color w:val="000000" w:themeColor="text1"/>
          <w:kern w:val="0"/>
          <w:sz w:val="32"/>
          <w:szCs w:val="32"/>
          <w:lang w:val="zh-CN" w:eastAsia="zh-CN" w:bidi="ar-SA"/>
          <w14:textFill>
            <w14:solidFill>
              <w14:schemeClr w14:val="tx1"/>
            </w14:solidFill>
          </w14:textFill>
        </w:rPr>
        <w:t>全年执行进度合理，能保证单位各项工作的正常运转。</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2020年结余结转627.07万元，2021年</w:t>
      </w:r>
      <w:r>
        <w:rPr>
          <w:rFonts w:hint="eastAsia" w:ascii="仿宋" w:hAnsi="Calibri" w:eastAsia="仿宋_GB2312" w:cs="仿宋"/>
          <w:b w:val="0"/>
          <w:bCs w:val="0"/>
          <w:color w:val="000000" w:themeColor="text1"/>
          <w:kern w:val="0"/>
          <w:sz w:val="32"/>
          <w:szCs w:val="32"/>
          <w:lang w:val="en-US" w:eastAsia="zh-CN" w:bidi="ar-SA"/>
          <w14:textFill>
            <w14:solidFill>
              <w14:schemeClr w14:val="tx1"/>
            </w14:solidFill>
          </w14:textFill>
        </w:rPr>
        <w:t>按规定继续使用。</w:t>
      </w:r>
      <w:r>
        <w:rPr>
          <w:rFonts w:hint="eastAsia" w:ascii="仿宋_GB2312" w:hAnsi="宋体" w:eastAsia="仿宋_GB2312" w:cs="宋体"/>
          <w:color w:val="000000" w:themeColor="text1"/>
          <w:kern w:val="0"/>
          <w:sz w:val="32"/>
          <w:szCs w:val="32"/>
          <w:shd w:val="clear" w:color="auto" w:fill="FFFFFF"/>
          <w:lang w:val="zh-CN" w:eastAsia="zh-CN" w:bidi="ar-SA"/>
          <w14:textFill>
            <w14:solidFill>
              <w14:schemeClr w14:val="tx1"/>
            </w14:solidFill>
          </w14:textFill>
        </w:rPr>
        <w:t>无违规执行预算的情况。</w:t>
      </w:r>
    </w:p>
    <w:p>
      <w:pPr>
        <w:pStyle w:val="17"/>
        <w:ind w:firstLine="640" w:firstLineChars="200"/>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spacing w:line="600" w:lineRule="exact"/>
        <w:ind w:firstLine="640" w:firstLineChars="200"/>
        <w:rPr>
          <w:rFonts w:hint="eastAsia" w:ascii="仿宋_GB2312" w:eastAsia="仿宋_GB2312"/>
          <w:color w:val="auto"/>
          <w:sz w:val="32"/>
          <w:szCs w:val="32"/>
          <w:lang w:val="zh-CN"/>
        </w:rPr>
      </w:pPr>
      <w:r>
        <w:rPr>
          <w:rFonts w:hint="eastAsia" w:ascii="仿宋_GB2312" w:eastAsia="仿宋_GB2312"/>
          <w:color w:val="auto"/>
          <w:sz w:val="32"/>
          <w:szCs w:val="32"/>
          <w:lang w:val="zh-CN"/>
        </w:rPr>
        <w:t>1</w:t>
      </w:r>
      <w:r>
        <w:rPr>
          <w:rFonts w:hint="eastAsia" w:ascii="仿宋_GB2312"/>
          <w:color w:val="auto"/>
          <w:sz w:val="32"/>
          <w:szCs w:val="32"/>
          <w:lang w:val="en-US" w:eastAsia="zh-CN"/>
        </w:rPr>
        <w:t>.</w:t>
      </w:r>
      <w:r>
        <w:rPr>
          <w:rFonts w:hint="eastAsia" w:ascii="仿宋_GB2312" w:eastAsia="仿宋_GB2312"/>
          <w:color w:val="auto"/>
          <w:sz w:val="32"/>
          <w:szCs w:val="32"/>
          <w:lang w:val="zh-CN"/>
        </w:rPr>
        <w:t>行政运转保障。</w:t>
      </w:r>
    </w:p>
    <w:p>
      <w:pPr>
        <w:spacing w:line="600" w:lineRule="exact"/>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20</w:t>
      </w:r>
      <w:r>
        <w:rPr>
          <w:rFonts w:hint="eastAsia" w:ascii="仿宋_GB2312"/>
          <w:color w:val="auto"/>
          <w:sz w:val="32"/>
          <w:szCs w:val="32"/>
          <w:lang w:val="en-US" w:eastAsia="zh-CN"/>
        </w:rPr>
        <w:t>20</w:t>
      </w:r>
      <w:r>
        <w:rPr>
          <w:rFonts w:hint="eastAsia" w:ascii="仿宋_GB2312" w:eastAsia="仿宋_GB2312"/>
          <w:color w:val="auto"/>
          <w:sz w:val="32"/>
          <w:szCs w:val="32"/>
        </w:rPr>
        <w:t>年，</w:t>
      </w:r>
      <w:r>
        <w:rPr>
          <w:rFonts w:hint="eastAsia" w:ascii="仿宋_GB2312" w:eastAsia="仿宋_GB2312"/>
          <w:color w:val="auto"/>
          <w:sz w:val="32"/>
          <w:szCs w:val="32"/>
          <w:lang w:eastAsia="zh-CN"/>
        </w:rPr>
        <w:t>自流井区民政局</w:t>
      </w:r>
      <w:r>
        <w:rPr>
          <w:rFonts w:hint="eastAsia" w:ascii="仿宋_GB2312"/>
          <w:color w:val="auto"/>
          <w:sz w:val="32"/>
          <w:szCs w:val="32"/>
          <w:lang w:eastAsia="zh-CN"/>
        </w:rPr>
        <w:t>（本级）</w:t>
      </w:r>
      <w:r>
        <w:rPr>
          <w:rFonts w:hint="eastAsia" w:ascii="仿宋_GB2312" w:eastAsia="仿宋_GB2312"/>
          <w:color w:val="auto"/>
          <w:sz w:val="32"/>
          <w:szCs w:val="32"/>
        </w:rPr>
        <w:t>机关运行经费支出</w:t>
      </w:r>
      <w:r>
        <w:rPr>
          <w:rFonts w:hint="eastAsia" w:ascii="仿宋_GB2312"/>
          <w:color w:val="auto"/>
          <w:sz w:val="32"/>
          <w:szCs w:val="32"/>
          <w:lang w:val="en-US" w:eastAsia="zh-CN"/>
        </w:rPr>
        <w:t>458.48</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zh-CN" w:eastAsia="zh-CN"/>
        </w:rPr>
        <w:t>预算安排的基本支出能保障我局的正常运转、能有效履行各股室职能职责：</w:t>
      </w:r>
      <w:r>
        <w:rPr>
          <w:rFonts w:ascii="仿宋_GB2312" w:eastAsia="仿宋_GB2312"/>
          <w:color w:val="auto"/>
          <w:sz w:val="32"/>
          <w:szCs w:val="32"/>
        </w:rPr>
        <w:t>社会救助保障有力</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救灾救济及时高效</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基层治理探索创新</w:t>
      </w:r>
      <w:r>
        <w:rPr>
          <w:rFonts w:hint="eastAsia" w:ascii="仿宋_GB2312"/>
          <w:color w:val="auto"/>
          <w:sz w:val="32"/>
          <w:szCs w:val="32"/>
          <w:lang w:eastAsia="zh-CN"/>
        </w:rPr>
        <w:t>、</w:t>
      </w:r>
      <w:r>
        <w:rPr>
          <w:rFonts w:ascii="仿宋_GB2312" w:eastAsia="仿宋_GB2312"/>
          <w:color w:val="auto"/>
          <w:sz w:val="32"/>
          <w:szCs w:val="32"/>
        </w:rPr>
        <w:t>区划地名管理成效明显</w:t>
      </w:r>
      <w:r>
        <w:rPr>
          <w:rFonts w:hint="eastAsia" w:ascii="仿宋_GB2312"/>
          <w:color w:val="auto"/>
          <w:sz w:val="32"/>
          <w:szCs w:val="32"/>
          <w:lang w:eastAsia="zh-CN"/>
        </w:rPr>
        <w:t>、</w:t>
      </w:r>
      <w:r>
        <w:rPr>
          <w:rFonts w:ascii="仿宋_GB2312" w:eastAsia="仿宋_GB2312"/>
          <w:color w:val="auto"/>
          <w:sz w:val="32"/>
          <w:szCs w:val="32"/>
        </w:rPr>
        <w:t>社会福利和慈善工作不断完善</w:t>
      </w:r>
      <w:r>
        <w:rPr>
          <w:rFonts w:hint="eastAsia" w:ascii="仿宋_GB2312"/>
          <w:color w:val="auto"/>
          <w:sz w:val="32"/>
          <w:szCs w:val="32"/>
          <w:lang w:eastAsia="zh-CN"/>
        </w:rPr>
        <w:t>、</w:t>
      </w:r>
      <w:r>
        <w:rPr>
          <w:rFonts w:ascii="仿宋_GB2312" w:eastAsia="仿宋_GB2312"/>
          <w:color w:val="auto"/>
          <w:sz w:val="32"/>
          <w:szCs w:val="32"/>
        </w:rPr>
        <w:t>社会事务管理不断规范</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社会组织创新发展</w:t>
      </w:r>
      <w:r>
        <w:rPr>
          <w:rFonts w:hint="eastAsia" w:ascii="仿宋_GB2312"/>
          <w:color w:val="auto"/>
          <w:sz w:val="32"/>
          <w:szCs w:val="32"/>
          <w:lang w:eastAsia="zh-CN"/>
        </w:rPr>
        <w:t>、</w:t>
      </w:r>
      <w:r>
        <w:rPr>
          <w:rFonts w:ascii="仿宋_GB2312" w:eastAsia="仿宋_GB2312"/>
          <w:color w:val="auto"/>
          <w:sz w:val="32"/>
          <w:szCs w:val="32"/>
        </w:rPr>
        <w:t>敬老爱老助老氛围浓厚</w:t>
      </w:r>
      <w:r>
        <w:rPr>
          <w:rFonts w:hint="eastAsia" w:ascii="仿宋_GB2312"/>
          <w:color w:val="auto"/>
          <w:sz w:val="32"/>
          <w:szCs w:val="32"/>
          <w:lang w:eastAsia="zh-CN"/>
        </w:rPr>
        <w:t>、</w:t>
      </w:r>
      <w:r>
        <w:rPr>
          <w:rFonts w:ascii="仿宋_GB2312" w:eastAsia="仿宋_GB2312"/>
          <w:color w:val="auto"/>
          <w:sz w:val="32"/>
          <w:szCs w:val="32"/>
        </w:rPr>
        <w:t>安全管理措施到位</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项目建设有序推进</w:t>
      </w:r>
      <w:r>
        <w:rPr>
          <w:rFonts w:hint="eastAsia" w:ascii="仿宋_GB2312"/>
          <w:color w:val="auto"/>
          <w:sz w:val="32"/>
          <w:szCs w:val="32"/>
          <w:lang w:eastAsia="zh-CN"/>
        </w:rPr>
        <w:t>。</w:t>
      </w:r>
    </w:p>
    <w:p>
      <w:pPr>
        <w:spacing w:line="600" w:lineRule="exact"/>
        <w:ind w:firstLine="640" w:firstLineChars="200"/>
        <w:rPr>
          <w:rFonts w:hint="eastAsia" w:ascii="仿宋_GB2312" w:eastAsia="仿宋_GB2312"/>
          <w:color w:val="auto"/>
          <w:sz w:val="32"/>
          <w:szCs w:val="32"/>
          <w:lang w:val="zh-CN"/>
        </w:rPr>
      </w:pPr>
      <w:r>
        <w:rPr>
          <w:rFonts w:hint="eastAsia" w:ascii="仿宋_GB2312"/>
          <w:color w:val="auto"/>
          <w:sz w:val="32"/>
          <w:szCs w:val="32"/>
          <w:lang w:val="en-US" w:eastAsia="zh-CN"/>
        </w:rPr>
        <w:t>2.</w:t>
      </w:r>
      <w:r>
        <w:rPr>
          <w:rFonts w:hint="eastAsia" w:ascii="仿宋_GB2312" w:eastAsia="仿宋_GB2312"/>
          <w:color w:val="auto"/>
          <w:sz w:val="32"/>
          <w:szCs w:val="32"/>
          <w:lang w:val="zh-CN"/>
        </w:rPr>
        <w:t>机关厉行节约。</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 xml:space="preserve"> </w:t>
      </w:r>
      <w:r>
        <w:rPr>
          <w:rFonts w:ascii="仿宋_GB2312" w:eastAsia="仿宋_GB2312"/>
          <w:color w:val="auto"/>
          <w:sz w:val="32"/>
          <w:szCs w:val="32"/>
        </w:rPr>
        <w:t>20</w:t>
      </w:r>
      <w:r>
        <w:rPr>
          <w:rFonts w:hint="eastAsia" w:ascii="仿宋_GB2312"/>
          <w:color w:val="auto"/>
          <w:sz w:val="32"/>
          <w:szCs w:val="32"/>
          <w:lang w:val="en-US" w:eastAsia="zh-CN"/>
        </w:rPr>
        <w:t>20</w:t>
      </w:r>
      <w:r>
        <w:rPr>
          <w:rFonts w:ascii="仿宋_GB2312" w:eastAsia="仿宋_GB2312"/>
          <w:color w:val="auto"/>
          <w:sz w:val="32"/>
          <w:szCs w:val="32"/>
        </w:rPr>
        <w:t>年“三公”经费财政拨款预算数</w:t>
      </w:r>
      <w:r>
        <w:rPr>
          <w:rFonts w:hint="eastAsia" w:ascii="仿宋_GB2312"/>
          <w:color w:val="auto"/>
          <w:sz w:val="32"/>
          <w:szCs w:val="32"/>
          <w:lang w:val="en-US" w:eastAsia="zh-CN"/>
        </w:rPr>
        <w:t>3</w:t>
      </w:r>
      <w:r>
        <w:rPr>
          <w:rFonts w:ascii="仿宋_GB2312" w:eastAsia="仿宋_GB2312"/>
          <w:color w:val="auto"/>
          <w:sz w:val="32"/>
          <w:szCs w:val="32"/>
        </w:rPr>
        <w:t>万元，</w:t>
      </w:r>
      <w:r>
        <w:rPr>
          <w:rFonts w:hint="eastAsia" w:ascii="仿宋_GB2312" w:eastAsia="仿宋_GB2312"/>
          <w:color w:val="auto"/>
          <w:sz w:val="32"/>
          <w:szCs w:val="32"/>
        </w:rPr>
        <w:t>支出决算为</w:t>
      </w:r>
      <w:r>
        <w:rPr>
          <w:rFonts w:hint="eastAsia" w:ascii="仿宋_GB2312"/>
          <w:color w:val="auto"/>
          <w:sz w:val="32"/>
          <w:szCs w:val="32"/>
          <w:lang w:val="en-US" w:eastAsia="zh-CN"/>
        </w:rPr>
        <w:t>0.09</w:t>
      </w:r>
      <w:r>
        <w:rPr>
          <w:rFonts w:hint="eastAsia" w:ascii="仿宋_GB2312" w:eastAsia="仿宋_GB2312"/>
          <w:color w:val="auto"/>
          <w:sz w:val="32"/>
          <w:szCs w:val="32"/>
        </w:rPr>
        <w:t>万元，完成预算</w:t>
      </w:r>
      <w:r>
        <w:rPr>
          <w:rFonts w:hint="eastAsia" w:ascii="仿宋_GB2312"/>
          <w:color w:val="auto"/>
          <w:sz w:val="32"/>
          <w:szCs w:val="32"/>
          <w:lang w:val="en-US" w:eastAsia="zh-CN"/>
        </w:rPr>
        <w:t>3</w:t>
      </w:r>
      <w:r>
        <w:rPr>
          <w:rFonts w:hint="eastAsia" w:ascii="仿宋_GB2312" w:eastAsia="仿宋_GB2312"/>
          <w:color w:val="auto"/>
          <w:sz w:val="32"/>
          <w:szCs w:val="32"/>
        </w:rPr>
        <w:t>%，决算数小于预算数</w:t>
      </w:r>
      <w:r>
        <w:rPr>
          <w:rFonts w:hint="eastAsia" w:ascii="仿宋_GB2312" w:eastAsia="仿宋_GB2312"/>
          <w:color w:val="auto"/>
          <w:sz w:val="32"/>
          <w:szCs w:val="32"/>
          <w:lang w:eastAsia="zh-CN"/>
        </w:rPr>
        <w:t>，</w:t>
      </w:r>
      <w:r>
        <w:rPr>
          <w:rFonts w:hint="eastAsia" w:ascii="仿宋_GB2312" w:eastAsia="仿宋_GB2312"/>
          <w:color w:val="auto"/>
          <w:sz w:val="32"/>
          <w:szCs w:val="32"/>
        </w:rPr>
        <w:t>主要原因是</w:t>
      </w:r>
      <w:r>
        <w:rPr>
          <w:rFonts w:hint="eastAsia" w:ascii="仿宋_GB2312" w:eastAsia="仿宋_GB2312"/>
          <w:color w:val="000000"/>
          <w:sz w:val="32"/>
          <w:szCs w:val="32"/>
        </w:rPr>
        <w:t>严格执行厉行节约相关规定，</w:t>
      </w:r>
      <w:r>
        <w:rPr>
          <w:rFonts w:hint="eastAsia" w:ascii="仿宋_GB2312" w:eastAsia="仿宋_GB2312"/>
          <w:color w:val="000000"/>
          <w:sz w:val="32"/>
          <w:szCs w:val="32"/>
          <w:lang w:eastAsia="zh-CN"/>
        </w:rPr>
        <w:t>控制支出</w:t>
      </w:r>
      <w:r>
        <w:rPr>
          <w:rFonts w:hint="eastAsia" w:ascii="仿宋_GB2312" w:eastAsia="仿宋_GB2312"/>
          <w:color w:val="000000"/>
          <w:sz w:val="32"/>
          <w:szCs w:val="32"/>
        </w:rPr>
        <w:t>。</w:t>
      </w:r>
      <w:r>
        <w:rPr>
          <w:rFonts w:hint="eastAsia" w:ascii="仿宋_GB2312" w:eastAsia="仿宋_GB2312"/>
          <w:color w:val="auto"/>
          <w:sz w:val="32"/>
          <w:szCs w:val="32"/>
        </w:rPr>
        <w:t>。</w:t>
      </w:r>
    </w:p>
    <w:p>
      <w:pPr>
        <w:spacing w:line="600" w:lineRule="exact"/>
        <w:ind w:firstLine="640"/>
        <w:rPr>
          <w:rFonts w:hint="eastAsia" w:ascii="仿宋_GB2312" w:eastAsia="仿宋_GB2312"/>
          <w:color w:val="auto"/>
          <w:sz w:val="32"/>
          <w:szCs w:val="32"/>
          <w:lang w:val="zh-CN"/>
        </w:rPr>
      </w:pPr>
      <w:r>
        <w:rPr>
          <w:rFonts w:hint="eastAsia" w:ascii="仿宋_GB2312"/>
          <w:color w:val="auto"/>
          <w:sz w:val="32"/>
          <w:szCs w:val="32"/>
          <w:lang w:val="en-US" w:eastAsia="zh-CN"/>
        </w:rPr>
        <w:t>3.</w:t>
      </w:r>
      <w:r>
        <w:rPr>
          <w:rFonts w:hint="eastAsia" w:ascii="仿宋_GB2312" w:eastAsia="仿宋_GB2312"/>
          <w:color w:val="auto"/>
          <w:sz w:val="32"/>
          <w:szCs w:val="32"/>
          <w:lang w:val="zh-CN"/>
        </w:rPr>
        <w:t>机关节能降耗。</w:t>
      </w:r>
    </w:p>
    <w:p>
      <w:pPr>
        <w:spacing w:line="600" w:lineRule="exact"/>
        <w:ind w:firstLine="640"/>
        <w:rPr>
          <w:rFonts w:hint="eastAsia" w:ascii="黑体" w:hAnsi="宋体" w:eastAsia="黑体" w:cs="宋体"/>
          <w:color w:val="000000"/>
          <w:kern w:val="0"/>
          <w:sz w:val="32"/>
          <w:szCs w:val="32"/>
          <w:shd w:val="clear" w:color="auto" w:fill="FFFFFF"/>
        </w:rPr>
      </w:pPr>
      <w:r>
        <w:rPr>
          <w:rFonts w:hint="eastAsia" w:ascii="仿宋_GB2312" w:eastAsia="仿宋_GB2312"/>
          <w:color w:val="auto"/>
          <w:sz w:val="32"/>
          <w:szCs w:val="32"/>
          <w:lang w:val="zh-CN"/>
        </w:rPr>
        <w:t>严格执行区政府的节能相关制度，厉行节约，不铺张浪费。</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（一）评价结论。</w:t>
      </w:r>
    </w:p>
    <w:p>
      <w:pPr>
        <w:pStyle w:val="5"/>
        <w:spacing w:before="93"/>
        <w:ind w:firstLine="640" w:firstLineChars="200"/>
        <w:jc w:val="left"/>
        <w:rPr>
          <w:lang w:val="zh-CN"/>
        </w:rPr>
      </w:pPr>
      <w:r>
        <w:rPr>
          <w:rFonts w:hint="eastAsia" w:ascii="Times New Roman" w:hAnsi="Times New Roman" w:eastAsia="仿宋_GB2312" w:cs="Times New Roman"/>
          <w:color w:val="auto"/>
          <w:kern w:val="0"/>
          <w:sz w:val="32"/>
          <w:szCs w:val="32"/>
          <w:shd w:val="clear" w:color="auto" w:fill="FFFFFF"/>
          <w:lang w:val="zh-CN" w:eastAsia="zh-CN" w:bidi="ar-SA"/>
        </w:rPr>
        <w:t>按照区级部门预</w:t>
      </w:r>
      <w:r>
        <w:rPr>
          <w:rFonts w:hint="eastAsia" w:eastAsia="仿宋_GB2312" w:cs="Times New Roman"/>
          <w:color w:val="auto"/>
          <w:kern w:val="0"/>
          <w:sz w:val="32"/>
          <w:szCs w:val="32"/>
          <w:shd w:val="clear" w:color="auto" w:fill="FFFFFF"/>
          <w:lang w:val="zh-CN" w:eastAsia="zh-CN" w:bidi="ar-SA"/>
        </w:rPr>
        <w:t>决</w:t>
      </w:r>
      <w:r>
        <w:rPr>
          <w:rFonts w:hint="eastAsia" w:ascii="Times New Roman" w:hAnsi="Times New Roman" w:eastAsia="仿宋_GB2312" w:cs="Times New Roman"/>
          <w:color w:val="auto"/>
          <w:kern w:val="0"/>
          <w:sz w:val="32"/>
          <w:szCs w:val="32"/>
          <w:shd w:val="clear" w:color="auto" w:fill="FFFFFF"/>
          <w:lang w:val="zh-CN" w:eastAsia="zh-CN" w:bidi="ar-SA"/>
        </w:rPr>
        <w:t>编制通知和有关要求，按时完成基础工作</w:t>
      </w:r>
      <w:r>
        <w:rPr>
          <w:rFonts w:hint="eastAsia" w:eastAsia="仿宋_GB2312" w:cs="Times New Roman"/>
          <w:color w:val="auto"/>
          <w:kern w:val="0"/>
          <w:sz w:val="32"/>
          <w:szCs w:val="32"/>
          <w:shd w:val="clear" w:color="auto" w:fill="FFFFFF"/>
          <w:lang w:val="zh-CN" w:eastAsia="zh-CN" w:bidi="ar-SA"/>
        </w:rPr>
        <w:t>并按</w:t>
      </w:r>
      <w:r>
        <w:rPr>
          <w:rFonts w:hint="eastAsia" w:cs="Times New Roman"/>
          <w:color w:val="auto"/>
          <w:kern w:val="0"/>
          <w:sz w:val="32"/>
          <w:szCs w:val="32"/>
          <w:shd w:val="clear" w:color="auto" w:fill="FFFFFF"/>
          <w:lang w:val="zh-CN" w:eastAsia="zh-CN" w:bidi="ar-SA"/>
        </w:rPr>
        <w:t>时</w:t>
      </w:r>
      <w:r>
        <w:rPr>
          <w:rFonts w:hint="eastAsia" w:eastAsia="仿宋_GB2312" w:cs="Times New Roman"/>
          <w:color w:val="auto"/>
          <w:kern w:val="0"/>
          <w:sz w:val="32"/>
          <w:szCs w:val="32"/>
          <w:shd w:val="clear" w:color="auto" w:fill="FFFFFF"/>
          <w:lang w:val="zh-CN" w:eastAsia="zh-CN" w:bidi="ar-SA"/>
        </w:rPr>
        <w:t>在规定时间内公开</w:t>
      </w:r>
      <w:r>
        <w:rPr>
          <w:rFonts w:hint="eastAsia" w:ascii="Times New Roman" w:hAnsi="Times New Roman" w:eastAsia="仿宋_GB2312" w:cs="Times New Roman"/>
          <w:color w:val="auto"/>
          <w:kern w:val="0"/>
          <w:sz w:val="32"/>
          <w:szCs w:val="32"/>
          <w:shd w:val="clear" w:color="auto" w:fill="FFFFFF"/>
          <w:lang w:val="zh-CN" w:eastAsia="zh-CN" w:bidi="ar-SA"/>
        </w:rPr>
        <w:t>，本单位的预算执行都达到了执行进度；本单位的财务制度健全，制度执行严格，会计核算符合财政局的相关规定，资金达到了专款专用，开支标准合理、合法。</w:t>
      </w:r>
      <w:r>
        <w:rPr>
          <w:rFonts w:hint="eastAsia" w:ascii="仿宋_GB2312" w:hAnsi="宋体" w:eastAsia="仿宋_GB2312" w:cs="宋体"/>
          <w:color w:val="auto"/>
          <w:kern w:val="0"/>
          <w:sz w:val="32"/>
          <w:szCs w:val="32"/>
          <w:shd w:val="clear" w:color="auto" w:fill="FFFFFF"/>
          <w:lang w:val="zh-CN"/>
        </w:rPr>
        <w:t>达到了预期的社会效益、质量效益、经济效益等，完成预算的</w:t>
      </w:r>
      <w:r>
        <w:rPr>
          <w:rFonts w:hint="eastAsia" w:ascii="仿宋_GB2312" w:hAnsi="宋体" w:cs="宋体"/>
          <w:color w:val="auto"/>
          <w:kern w:val="0"/>
          <w:sz w:val="32"/>
          <w:szCs w:val="32"/>
          <w:shd w:val="clear" w:color="auto" w:fill="FFFFFF"/>
          <w:lang w:val="en-US" w:eastAsia="zh-CN"/>
        </w:rPr>
        <w:t>96.09</w:t>
      </w:r>
      <w:r>
        <w:rPr>
          <w:rFonts w:hint="eastAsia" w:ascii="仿宋_GB2312" w:hAnsi="宋体" w:eastAsia="仿宋_GB2312" w:cs="宋体"/>
          <w:color w:val="auto"/>
          <w:kern w:val="0"/>
          <w:sz w:val="32"/>
          <w:szCs w:val="32"/>
          <w:shd w:val="clear" w:color="auto" w:fill="FFFFFF"/>
          <w:lang w:val="en-US" w:eastAsia="zh-CN"/>
        </w:rPr>
        <w:t>%。</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（二）存在问题。</w:t>
      </w:r>
    </w:p>
    <w:p>
      <w:pPr>
        <w:pStyle w:val="5"/>
        <w:spacing w:before="93"/>
        <w:ind w:firstLine="640" w:firstLineChars="200"/>
        <w:jc w:val="left"/>
        <w:rPr>
          <w:lang w:val="zh-CN"/>
        </w:rPr>
      </w:pPr>
      <w:r>
        <w:rPr>
          <w:rFonts w:hint="eastAsia" w:ascii="Times New Roman" w:hAnsi="Times New Roman" w:cs="Times New Roman"/>
          <w:color w:val="auto"/>
          <w:kern w:val="0"/>
          <w:sz w:val="32"/>
          <w:szCs w:val="32"/>
          <w:shd w:val="clear" w:color="auto" w:fill="FFFFFF"/>
          <w:lang w:val="zh-CN" w:eastAsia="zh-CN" w:bidi="ar-SA"/>
        </w:rPr>
        <w:t>区政府资源有限，区财政支撑发展保障</w:t>
      </w:r>
      <w:r>
        <w:rPr>
          <w:rFonts w:hint="eastAsia" w:ascii="Times New Roman" w:cs="Times New Roman"/>
          <w:color w:val="auto"/>
          <w:kern w:val="0"/>
          <w:sz w:val="32"/>
          <w:szCs w:val="32"/>
          <w:shd w:val="clear" w:color="auto" w:fill="FFFFFF"/>
          <w:lang w:val="zh-CN" w:eastAsia="zh-CN" w:bidi="ar-SA"/>
        </w:rPr>
        <w:t>不足</w:t>
      </w:r>
      <w:r>
        <w:rPr>
          <w:rFonts w:hint="eastAsia" w:ascii="Times New Roman" w:hAnsi="Times New Roman" w:cs="Times New Roman"/>
          <w:color w:val="auto"/>
          <w:kern w:val="0"/>
          <w:sz w:val="32"/>
          <w:szCs w:val="32"/>
          <w:shd w:val="clear" w:color="auto" w:fill="FFFFFF"/>
          <w:lang w:val="zh-CN" w:eastAsia="zh-CN" w:bidi="ar-SA"/>
        </w:rPr>
        <w:t>，导致</w:t>
      </w:r>
      <w:r>
        <w:rPr>
          <w:rFonts w:hint="eastAsia" w:ascii="Times New Roman" w:hAnsi="Times New Roman" w:eastAsia="仿宋_GB2312" w:cs="Times New Roman"/>
          <w:color w:val="auto"/>
          <w:kern w:val="0"/>
          <w:sz w:val="32"/>
          <w:szCs w:val="32"/>
          <w:shd w:val="clear" w:color="auto" w:fill="FFFFFF"/>
          <w:lang w:val="zh-CN" w:eastAsia="zh-CN" w:bidi="ar-SA"/>
        </w:rPr>
        <w:t>财政预算资金到位迟缓，各项目经费支付不能及时到位</w:t>
      </w:r>
      <w:r>
        <w:rPr>
          <w:rFonts w:hint="eastAsia" w:eastAsia="仿宋_GB2312" w:cs="Times New Roman"/>
          <w:color w:val="auto"/>
          <w:kern w:val="0"/>
          <w:sz w:val="32"/>
          <w:szCs w:val="32"/>
          <w:shd w:val="clear" w:color="auto" w:fill="FFFFFF"/>
          <w:lang w:val="zh-CN" w:eastAsia="zh-CN" w:bidi="ar-SA"/>
        </w:rPr>
        <w:t>。</w:t>
      </w:r>
    </w:p>
    <w:p>
      <w:pPr>
        <w:widowControl/>
        <w:numPr>
          <w:ilvl w:val="0"/>
          <w:numId w:val="5"/>
        </w:numPr>
        <w:adjustRightInd w:val="0"/>
        <w:snapToGrid w:val="0"/>
        <w:spacing w:line="580" w:lineRule="exact"/>
        <w:ind w:left="0" w:leftChars="0"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改进建议。</w:t>
      </w:r>
    </w:p>
    <w:p>
      <w:pPr>
        <w:widowControl/>
        <w:adjustRightInd w:val="0"/>
        <w:snapToGrid w:val="0"/>
        <w:spacing w:line="580" w:lineRule="exact"/>
        <w:ind w:firstLine="640" w:firstLineChars="200"/>
        <w:contextualSpacing/>
        <w:jc w:val="left"/>
        <w:rPr>
          <w:lang w:val="zh-CN"/>
        </w:rPr>
      </w:pPr>
      <w:r>
        <w:rPr>
          <w:rFonts w:hint="eastAsia" w:ascii="仿宋_GB2312" w:hAnsi="宋体" w:cs="宋体"/>
          <w:color w:val="auto"/>
          <w:kern w:val="0"/>
          <w:sz w:val="32"/>
          <w:szCs w:val="32"/>
          <w:shd w:val="clear" w:color="auto" w:fill="FFFFFF"/>
          <w:lang w:val="zh-CN"/>
        </w:rPr>
        <w:t>加大财政资金拨付力度，提高预算执行保障。</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600" w:lineRule="exact"/>
        <w:jc w:val="center"/>
        <w:outlineLvl w:val="0"/>
        <w:rPr>
          <w:rFonts w:hint="eastAsia" w:ascii="黑体" w:hAnsi="黑体" w:eastAsia="黑体"/>
          <w:color w:val="000000"/>
          <w:sz w:val="44"/>
          <w:szCs w:val="44"/>
        </w:rPr>
      </w:pPr>
      <w:bookmarkStart w:id="66" w:name="_Toc32283"/>
      <w:bookmarkStart w:id="67" w:name="_Toc15396618"/>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sectPr>
          <w:footerReference r:id="rId3" w:type="default"/>
          <w:pgSz w:w="11906" w:h="16838"/>
          <w:pgMar w:top="1440" w:right="1800" w:bottom="1440" w:left="1800" w:header="851" w:footer="992" w:gutter="0"/>
          <w:pgNumType w:fmt="decimal"/>
          <w:cols w:space="425" w:num="1"/>
          <w:docGrid w:type="lines" w:linePitch="312" w:charSpace="0"/>
        </w:sectPr>
      </w:pPr>
    </w:p>
    <w:p>
      <w:pPr>
        <w:spacing w:line="580" w:lineRule="exact"/>
        <w:outlineLvl w:val="1"/>
        <w:rPr>
          <w:rFonts w:hint="eastAsia" w:ascii="黑体" w:hAnsi="黑体" w:eastAsia="黑体" w:cs="黑体"/>
          <w:sz w:val="32"/>
          <w:szCs w:val="32"/>
        </w:rPr>
      </w:pPr>
    </w:p>
    <w:p>
      <w:pPr>
        <w:spacing w:line="600" w:lineRule="exact"/>
        <w:jc w:val="center"/>
        <w:outlineLvl w:val="0"/>
        <w:rPr>
          <w:rStyle w:val="14"/>
          <w:rFonts w:ascii="黑体" w:hAnsi="黑体" w:eastAsia="黑体"/>
          <w:b w:val="0"/>
        </w:rPr>
      </w:pPr>
      <w:r>
        <w:rPr>
          <w:rFonts w:hint="eastAsia" w:ascii="黑体" w:hAnsi="黑体" w:eastAsia="黑体"/>
          <w:color w:val="000000"/>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p>
    <w:p>
      <w:pPr>
        <w:spacing w:line="600" w:lineRule="exact"/>
        <w:jc w:val="left"/>
        <w:outlineLvl w:val="1"/>
        <w:rPr>
          <w:rFonts w:ascii="方正小标宋简体" w:hAnsi="方正小标宋简体" w:eastAsia="方正小标宋简体" w:cs="方正小标宋简体"/>
          <w:sz w:val="32"/>
          <w:szCs w:val="32"/>
        </w:rPr>
      </w:pPr>
      <w:r>
        <w:rPr>
          <w:rFonts w:hint="eastAsia" w:ascii="黑体" w:hAnsi="黑体" w:eastAsia="黑体" w:cs="黑体"/>
          <w:sz w:val="32"/>
          <w:szCs w:val="32"/>
        </w:rPr>
        <w:t>附件</w:t>
      </w:r>
      <w:r>
        <w:rPr>
          <w:rFonts w:ascii="黑体" w:hAnsi="黑体" w:eastAsia="黑体" w:cs="黑体"/>
          <w:sz w:val="32"/>
          <w:szCs w:val="32"/>
        </w:rPr>
        <w:t>1</w:t>
      </w:r>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hint="eastAsia" w:ascii="方正小标宋简体" w:hAnsi="宋体" w:eastAsia="方正小标宋简体"/>
          <w:color w:val="000000"/>
          <w:kern w:val="0"/>
          <w:sz w:val="40"/>
          <w:szCs w:val="44"/>
          <w:lang w:val="zh-CN" w:eastAsia="zh-CN"/>
        </w:rPr>
      </w:pPr>
      <w:r>
        <w:rPr>
          <w:rFonts w:hint="eastAsia" w:ascii="方正小标宋简体" w:hAnsi="宋体" w:eastAsia="方正小标宋简体"/>
          <w:color w:val="000000"/>
          <w:kern w:val="0"/>
          <w:sz w:val="40"/>
          <w:szCs w:val="44"/>
          <w:lang w:eastAsia="zh-CN"/>
        </w:rPr>
        <w:t>自贡市自流井区社会福利院</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（一）机构组成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cs="宋体"/>
          <w:color w:val="000000"/>
          <w:kern w:val="0"/>
          <w:sz w:val="32"/>
          <w:szCs w:val="32"/>
          <w:shd w:val="clear" w:color="auto" w:fill="FFFFFF"/>
          <w:lang w:val="zh-CN"/>
        </w:rPr>
        <w:t>自贡市自流井区社会福利院为全额拨款事业单位，属于自流井区民政局二级单位，设置办公室、财务室、医疗护理部、后勤保障部。</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（二）机构职能</w:t>
      </w:r>
    </w:p>
    <w:p>
      <w:pPr>
        <w:spacing w:line="560" w:lineRule="exact"/>
        <w:ind w:firstLine="640" w:firstLineChars="200"/>
        <w:rPr>
          <w:rFonts w:hint="eastAsia" w:ascii="仿宋_GB2312" w:eastAsia="仿宋_GB2312"/>
          <w:sz w:val="32"/>
          <w:szCs w:val="32"/>
        </w:rPr>
      </w:pPr>
      <w:r>
        <w:rPr>
          <w:rFonts w:hint="eastAsia" w:ascii="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贯彻执行党和政府关于收养“三无”人员的的方针、政策。</w:t>
      </w:r>
    </w:p>
    <w:p>
      <w:pPr>
        <w:spacing w:line="560" w:lineRule="exact"/>
        <w:ind w:firstLine="640" w:firstLineChars="200"/>
        <w:rPr>
          <w:rFonts w:hint="eastAsia" w:ascii="仿宋_GB2312" w:hAnsi="宋体" w:eastAsia="仿宋_GB2312" w:cs="宋体"/>
          <w:color w:val="000000"/>
          <w:kern w:val="0"/>
          <w:sz w:val="32"/>
          <w:szCs w:val="32"/>
          <w:shd w:val="clear" w:color="auto" w:fill="FFFFFF"/>
          <w:lang w:val="zh-CN"/>
        </w:rPr>
      </w:pPr>
      <w:r>
        <w:rPr>
          <w:rFonts w:hint="eastAsia" w:ascii="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按政策规定接收供养“三无”人员及社会老人，并提供医疗、护理、康复等服务。</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（三）人员概况</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单位编制数13人，实有编制人员1</w:t>
      </w:r>
      <w:r>
        <w:rPr>
          <w:rFonts w:hint="eastAsia" w:ascii="仿宋_GB2312" w:hAnsi="仿宋" w:cs="仿宋"/>
          <w:color w:val="000000"/>
          <w:sz w:val="32"/>
          <w:szCs w:val="32"/>
          <w:lang w:val="en-US" w:eastAsia="zh-CN"/>
        </w:rPr>
        <w:t>0</w:t>
      </w:r>
      <w:r>
        <w:rPr>
          <w:rFonts w:hint="eastAsia" w:ascii="仿宋_GB2312" w:hAnsi="仿宋" w:eastAsia="仿宋_GB2312" w:cs="仿宋"/>
          <w:color w:val="000000"/>
          <w:sz w:val="32"/>
          <w:szCs w:val="32"/>
          <w:lang w:val="en-US" w:eastAsia="zh-CN"/>
        </w:rPr>
        <w:t>人，临聘人员实有16人</w:t>
      </w:r>
      <w:r>
        <w:rPr>
          <w:rFonts w:hint="eastAsia" w:ascii="仿宋_GB2312" w:hAnsi="仿宋" w:cs="仿宋"/>
          <w:color w:val="000000"/>
          <w:sz w:val="32"/>
          <w:szCs w:val="32"/>
          <w:lang w:val="en-US" w:eastAsia="zh-CN"/>
        </w:rPr>
        <w:t>,其中：</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cs="仿宋"/>
          <w:color w:val="000000"/>
          <w:sz w:val="32"/>
          <w:szCs w:val="32"/>
          <w:lang w:val="en-US" w:eastAsia="zh-CN"/>
        </w:rPr>
        <w:t>1</w:t>
      </w:r>
      <w:r>
        <w:rPr>
          <w:rFonts w:ascii="仿宋_GB2312" w:eastAsia="仿宋_GB2312"/>
          <w:sz w:val="32"/>
          <w:szCs w:val="32"/>
        </w:rPr>
        <w:t>.</w:t>
      </w:r>
      <w:r>
        <w:rPr>
          <w:rFonts w:hint="eastAsia" w:ascii="仿宋_GB2312" w:hAnsi="仿宋" w:eastAsia="仿宋_GB2312" w:cs="仿宋"/>
          <w:color w:val="000000"/>
          <w:sz w:val="32"/>
          <w:szCs w:val="32"/>
          <w:lang w:val="en-US" w:eastAsia="zh-CN"/>
        </w:rPr>
        <w:t>管理九级3人；</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cs="仿宋"/>
          <w:color w:val="000000"/>
          <w:sz w:val="32"/>
          <w:szCs w:val="32"/>
          <w:lang w:val="en-US" w:eastAsia="zh-CN"/>
        </w:rPr>
        <w:t>2</w:t>
      </w:r>
      <w:r>
        <w:rPr>
          <w:rFonts w:ascii="仿宋_GB2312" w:eastAsia="仿宋_GB2312"/>
          <w:sz w:val="32"/>
          <w:szCs w:val="32"/>
        </w:rPr>
        <w:t>.</w:t>
      </w:r>
      <w:r>
        <w:rPr>
          <w:rFonts w:hint="eastAsia" w:ascii="仿宋_GB2312" w:hAnsi="仿宋" w:eastAsia="仿宋_GB2312" w:cs="仿宋"/>
          <w:color w:val="000000"/>
          <w:sz w:val="32"/>
          <w:szCs w:val="32"/>
          <w:lang w:val="en-US" w:eastAsia="zh-CN"/>
        </w:rPr>
        <w:t>专业技术十一级2人，十二级1人，十三级1人；</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3</w:t>
      </w:r>
      <w:r>
        <w:rPr>
          <w:rFonts w:ascii="仿宋_GB2312" w:eastAsia="仿宋_GB2312"/>
          <w:sz w:val="32"/>
          <w:szCs w:val="32"/>
        </w:rPr>
        <w:t>.</w:t>
      </w:r>
      <w:r>
        <w:rPr>
          <w:rFonts w:hint="eastAsia" w:ascii="仿宋_GB2312" w:hAnsi="仿宋" w:eastAsia="仿宋_GB2312" w:cs="仿宋"/>
          <w:color w:val="000000"/>
          <w:sz w:val="32"/>
          <w:szCs w:val="32"/>
          <w:lang w:val="en-US" w:eastAsia="zh-CN"/>
        </w:rPr>
        <w:t>工勤人员二级2人；</w:t>
      </w:r>
    </w:p>
    <w:p>
      <w:pPr>
        <w:keepNext w:val="0"/>
        <w:keepLines w:val="0"/>
        <w:pageBreakBefore w:val="0"/>
        <w:numPr>
          <w:ilvl w:val="0"/>
          <w:numId w:val="0"/>
        </w:numPr>
        <w:kinsoku/>
        <w:wordWrap/>
        <w:overflowPunct/>
        <w:topLinePunct w:val="0"/>
        <w:bidi w:val="0"/>
        <w:spacing w:line="560" w:lineRule="exact"/>
        <w:ind w:firstLine="640" w:firstLineChars="200"/>
        <w:rPr>
          <w:rFonts w:hint="default"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4</w:t>
      </w:r>
      <w:r>
        <w:rPr>
          <w:rFonts w:ascii="仿宋_GB2312" w:eastAsia="仿宋_GB2312"/>
          <w:sz w:val="32"/>
          <w:szCs w:val="32"/>
        </w:rPr>
        <w:t>.</w:t>
      </w:r>
      <w:r>
        <w:rPr>
          <w:rFonts w:hint="eastAsia" w:ascii="仿宋_GB2312" w:hAnsi="仿宋" w:eastAsia="仿宋_GB2312" w:cs="仿宋"/>
          <w:color w:val="000000"/>
          <w:sz w:val="32"/>
          <w:szCs w:val="32"/>
          <w:lang w:val="en-US" w:eastAsia="zh-CN"/>
        </w:rPr>
        <w:t>试用期人员1名；</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cs="仿宋"/>
          <w:color w:val="000000"/>
          <w:sz w:val="32"/>
          <w:szCs w:val="32"/>
          <w:lang w:val="en-US" w:eastAsia="zh-CN"/>
        </w:rPr>
        <w:t>5</w:t>
      </w:r>
      <w:r>
        <w:rPr>
          <w:rFonts w:ascii="仿宋_GB2312" w:eastAsia="仿宋_GB2312"/>
          <w:sz w:val="32"/>
          <w:szCs w:val="32"/>
        </w:rPr>
        <w:t>.</w:t>
      </w:r>
      <w:r>
        <w:rPr>
          <w:rFonts w:hint="eastAsia" w:ascii="仿宋_GB2312" w:hAnsi="仿宋" w:eastAsia="仿宋_GB2312" w:cs="仿宋"/>
          <w:color w:val="000000"/>
          <w:sz w:val="32"/>
          <w:szCs w:val="32"/>
          <w:lang w:val="en-US" w:eastAsia="zh-CN"/>
        </w:rPr>
        <w:t>临聘人员16人。</w:t>
      </w:r>
    </w:p>
    <w:p>
      <w:pPr>
        <w:widowControl/>
        <w:numPr>
          <w:ilvl w:val="0"/>
          <w:numId w:val="0"/>
        </w:numPr>
        <w:adjustRightInd w:val="0"/>
        <w:snapToGrid w:val="0"/>
        <w:spacing w:line="580" w:lineRule="exact"/>
        <w:ind w:left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（一）部门财政资金收入情况</w:t>
      </w:r>
    </w:p>
    <w:p>
      <w:pPr>
        <w:widowControl/>
        <w:adjustRightInd w:val="0"/>
        <w:snapToGrid w:val="0"/>
        <w:spacing w:line="580" w:lineRule="exact"/>
        <w:ind w:firstLine="640" w:firstLineChars="200"/>
        <w:contextualSpacing/>
        <w:jc w:val="left"/>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240.01</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190.01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79.17</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50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20.83</w:t>
      </w:r>
      <w:r>
        <w:rPr>
          <w:rFonts w:ascii="仿宋" w:hAnsi="仿宋" w:eastAsia="仿宋"/>
          <w:color w:val="000000"/>
          <w:sz w:val="32"/>
          <w:szCs w:val="32"/>
        </w:rPr>
        <w:t>%</w:t>
      </w:r>
      <w:r>
        <w:rPr>
          <w:rFonts w:hint="eastAsia" w:ascii="仿宋" w:hAnsi="仿宋" w:eastAsia="仿宋"/>
          <w:color w:val="000000"/>
          <w:sz w:val="32"/>
          <w:szCs w:val="32"/>
          <w:lang w:eastAsia="zh-CN"/>
        </w:rPr>
        <w:t>。</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（二）部门财政资金支出情况</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eastAsia="仿宋" w:cs="宋体"/>
          <w:color w:val="000000"/>
          <w:kern w:val="0"/>
          <w:sz w:val="32"/>
          <w:szCs w:val="32"/>
          <w:shd w:val="clear" w:color="auto" w:fill="FFFFFF"/>
          <w:lang w:val="zh-CN" w:eastAsia="zh-CN"/>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192.32</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143.04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74.38</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49.28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25.62</w:t>
      </w:r>
      <w:r>
        <w:rPr>
          <w:rFonts w:ascii="仿宋" w:hAnsi="仿宋" w:eastAsia="仿宋"/>
          <w:color w:val="000000"/>
          <w:sz w:val="32"/>
          <w:szCs w:val="32"/>
        </w:rPr>
        <w:t>%</w:t>
      </w:r>
      <w:r>
        <w:rPr>
          <w:rFonts w:hint="eastAsia" w:ascii="仿宋" w:hAnsi="仿宋" w:eastAsia="仿宋"/>
          <w:color w:val="000000"/>
          <w:sz w:val="32"/>
          <w:szCs w:val="32"/>
          <w:lang w:eastAsia="zh-CN"/>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（一）部门预算管理</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cs="宋体"/>
          <w:color w:val="000000"/>
          <w:kern w:val="0"/>
          <w:sz w:val="32"/>
          <w:szCs w:val="32"/>
          <w:shd w:val="clear" w:color="auto" w:fill="FFFFFF"/>
          <w:lang w:val="en-US" w:eastAsia="zh-CN"/>
        </w:rPr>
        <w:t>1</w:t>
      </w:r>
      <w:r>
        <w:rPr>
          <w:rFonts w:ascii="仿宋_GB2312" w:eastAsia="仿宋_GB2312"/>
          <w:sz w:val="32"/>
          <w:szCs w:val="32"/>
        </w:rPr>
        <w:t>.</w:t>
      </w:r>
      <w:r>
        <w:rPr>
          <w:rFonts w:hint="eastAsia" w:ascii="仿宋_GB2312" w:hAnsi="宋体" w:cs="宋体"/>
          <w:color w:val="000000"/>
          <w:kern w:val="0"/>
          <w:sz w:val="32"/>
          <w:szCs w:val="32"/>
          <w:shd w:val="clear" w:color="auto" w:fill="FFFFFF"/>
          <w:lang w:val="zh-CN"/>
        </w:rPr>
        <w:t>绩效目标是预算编制的前提和保障，</w:t>
      </w:r>
      <w:r>
        <w:rPr>
          <w:rFonts w:hint="eastAsia" w:ascii="仿宋_GB2312" w:hAnsi="宋体" w:eastAsia="仿宋_GB2312" w:cs="仿宋_GB2312"/>
          <w:color w:val="000000"/>
          <w:kern w:val="0"/>
          <w:sz w:val="31"/>
          <w:szCs w:val="31"/>
          <w:lang w:val="en-US" w:eastAsia="zh-CN" w:bidi="ar"/>
        </w:rPr>
        <w:t xml:space="preserve">按要求对 </w:t>
      </w:r>
      <w:r>
        <w:rPr>
          <w:rFonts w:hint="eastAsia" w:ascii="仿宋_GB2312" w:hAnsi="宋体" w:cs="仿宋_GB2312"/>
          <w:color w:val="000000"/>
          <w:kern w:val="0"/>
          <w:sz w:val="31"/>
          <w:szCs w:val="31"/>
          <w:lang w:val="en-US" w:eastAsia="zh-CN" w:bidi="ar"/>
        </w:rPr>
        <w:t>2020</w:t>
      </w:r>
      <w:r>
        <w:rPr>
          <w:rFonts w:hint="eastAsia" w:ascii="仿宋_GB2312" w:hAnsi="宋体" w:eastAsia="仿宋_GB2312" w:cs="仿宋_GB2312"/>
          <w:color w:val="000000"/>
          <w:kern w:val="0"/>
          <w:sz w:val="31"/>
          <w:szCs w:val="31"/>
          <w:lang w:val="en-US" w:eastAsia="zh-CN" w:bidi="ar"/>
        </w:rPr>
        <w:t>年部门整体支出开展绩效自评，从评价情况来看，部门支出 整体绩效良好，预算编制较为精确、合理，为认真落实</w:t>
      </w:r>
      <w:r>
        <w:rPr>
          <w:rFonts w:hint="eastAsia" w:ascii="仿宋_GB2312" w:hAnsi="宋体" w:cs="仿宋_GB2312"/>
          <w:color w:val="000000"/>
          <w:kern w:val="0"/>
          <w:sz w:val="31"/>
          <w:szCs w:val="31"/>
          <w:lang w:val="en-US" w:eastAsia="zh-CN" w:bidi="ar"/>
        </w:rPr>
        <w:t>各项法律、法规</w:t>
      </w:r>
      <w:r>
        <w:rPr>
          <w:rFonts w:hint="eastAsia" w:ascii="仿宋_GB2312" w:hAnsi="宋体" w:eastAsia="仿宋_GB2312" w:cs="仿宋_GB2312"/>
          <w:color w:val="000000"/>
          <w:kern w:val="0"/>
          <w:sz w:val="31"/>
          <w:szCs w:val="31"/>
          <w:lang w:val="en-US" w:eastAsia="zh-CN" w:bidi="ar"/>
        </w:rPr>
        <w:t>，切实做到厉行节约，压缩了“三公”经费支出及一般性支出，优化了年初预算安排，保障了</w:t>
      </w:r>
      <w:r>
        <w:rPr>
          <w:rFonts w:hint="eastAsia" w:ascii="仿宋_GB2312" w:hAnsi="宋体" w:cs="仿宋_GB2312"/>
          <w:color w:val="000000"/>
          <w:kern w:val="0"/>
          <w:sz w:val="31"/>
          <w:szCs w:val="31"/>
          <w:lang w:val="en-US" w:eastAsia="zh-CN" w:bidi="ar"/>
        </w:rPr>
        <w:t>单位</w:t>
      </w:r>
      <w:r>
        <w:rPr>
          <w:rFonts w:hint="eastAsia" w:ascii="仿宋_GB2312" w:hAnsi="宋体" w:eastAsia="仿宋_GB2312" w:cs="仿宋_GB2312"/>
          <w:color w:val="000000"/>
          <w:kern w:val="0"/>
          <w:sz w:val="31"/>
          <w:szCs w:val="31"/>
          <w:lang w:val="en-US" w:eastAsia="zh-CN" w:bidi="ar"/>
        </w:rPr>
        <w:t>在经费压缩情况下的高效运转。</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宋体" w:eastAsia="仿宋_GB2312" w:cs="宋体"/>
          <w:color w:val="000000"/>
          <w:kern w:val="0"/>
          <w:sz w:val="32"/>
          <w:szCs w:val="32"/>
          <w:shd w:val="clear" w:color="auto" w:fill="FFFFFF"/>
          <w:lang w:val="zh-CN"/>
        </w:rPr>
      </w:pPr>
      <w:r>
        <w:rPr>
          <w:rFonts w:hint="eastAsia" w:ascii="仿宋_GB2312" w:hAnsi="宋体" w:cs="仿宋_GB2312"/>
          <w:color w:val="000000"/>
          <w:kern w:val="0"/>
          <w:sz w:val="31"/>
          <w:szCs w:val="31"/>
          <w:lang w:val="en-US" w:eastAsia="zh-CN" w:bidi="ar"/>
        </w:rPr>
        <w:t>2</w:t>
      </w:r>
      <w:r>
        <w:rPr>
          <w:rFonts w:ascii="仿宋_GB2312" w:eastAsia="仿宋_GB2312"/>
          <w:sz w:val="32"/>
          <w:szCs w:val="32"/>
        </w:rPr>
        <w:t>.</w:t>
      </w:r>
      <w:r>
        <w:rPr>
          <w:rFonts w:hint="eastAsia" w:ascii="仿宋_GB2312" w:hAnsi="宋体" w:cs="仿宋_GB2312"/>
          <w:color w:val="000000"/>
          <w:kern w:val="0"/>
          <w:sz w:val="31"/>
          <w:szCs w:val="31"/>
          <w:lang w:val="en-US" w:eastAsia="zh-CN" w:bidi="ar"/>
        </w:rPr>
        <w:t>2020年</w:t>
      </w:r>
      <w:r>
        <w:rPr>
          <w:rFonts w:hint="eastAsia" w:ascii="仿宋_GB2312" w:hAnsi="宋体" w:cs="宋体"/>
          <w:color w:val="000000"/>
          <w:kern w:val="0"/>
          <w:sz w:val="32"/>
          <w:szCs w:val="32"/>
          <w:shd w:val="clear" w:color="auto" w:fill="FFFFFF"/>
          <w:lang w:val="zh-CN"/>
        </w:rPr>
        <w:t>无违规执行预算的情况。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包括绩效自评公开、评价结果整改和应用结果反馈等情况。</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（一）评价结论</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cs="宋体"/>
          <w:color w:val="000000"/>
          <w:kern w:val="0"/>
          <w:sz w:val="32"/>
          <w:szCs w:val="32"/>
          <w:shd w:val="clear" w:color="auto" w:fill="FFFFFF"/>
          <w:lang w:val="zh-CN"/>
        </w:rPr>
        <w:t>全年按照规定执行预算管理，保证单位各项工作的正常运转，无违规现象。</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（二）存在问题</w:t>
      </w:r>
    </w:p>
    <w:p>
      <w:pPr>
        <w:keepNext w:val="0"/>
        <w:keepLines w:val="0"/>
        <w:widowControl/>
        <w:numPr>
          <w:ilvl w:val="0"/>
          <w:numId w:val="0"/>
        </w:numPr>
        <w:suppressLineNumbers w:val="0"/>
        <w:ind w:leftChars="200"/>
        <w:jc w:val="left"/>
        <w:rPr>
          <w:rFonts w:ascii="仿宋_GB2312" w:hAnsi="宋体" w:eastAsia="仿宋_GB2312" w:cs="宋体"/>
          <w:color w:val="000000"/>
          <w:kern w:val="0"/>
          <w:sz w:val="32"/>
          <w:szCs w:val="32"/>
          <w:shd w:val="clear" w:color="auto" w:fill="FFFFFF"/>
          <w:lang w:val="zh-CN"/>
        </w:rPr>
      </w:pPr>
      <w:r>
        <w:rPr>
          <w:rFonts w:ascii="仿宋_GB2312" w:hAnsi="宋体" w:eastAsia="仿宋_GB2312" w:cs="仿宋_GB2312"/>
          <w:color w:val="000000"/>
          <w:kern w:val="0"/>
          <w:sz w:val="31"/>
          <w:szCs w:val="31"/>
          <w:lang w:val="en-US" w:eastAsia="zh-CN" w:bidi="ar"/>
        </w:rPr>
        <w:t>内部控制制度还需要进一步完善。</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（三）改进建议</w:t>
      </w:r>
    </w:p>
    <w:p>
      <w:pPr>
        <w:keepNext w:val="0"/>
        <w:keepLines w:val="0"/>
        <w:pageBreakBefore w:val="0"/>
        <w:kinsoku/>
        <w:wordWrap/>
        <w:overflowPunct/>
        <w:topLinePunct w:val="0"/>
        <w:bidi w:val="0"/>
        <w:snapToGrid w:val="0"/>
        <w:spacing w:line="560" w:lineRule="exact"/>
        <w:ind w:firstLine="620" w:firstLineChars="200"/>
        <w:rPr>
          <w:rFonts w:hint="eastAsia" w:ascii="仿宋_GB2312" w:hAnsi="宋体" w:cs="仿宋_GB2312"/>
          <w:color w:val="000000"/>
          <w:kern w:val="0"/>
          <w:sz w:val="31"/>
          <w:szCs w:val="31"/>
          <w:lang w:val="en-US" w:eastAsia="zh-CN" w:bidi="ar"/>
        </w:rPr>
      </w:pPr>
      <w:r>
        <w:rPr>
          <w:rFonts w:hint="eastAsia" w:ascii="仿宋_GB2312" w:hAnsi="宋体" w:cs="仿宋_GB2312"/>
          <w:color w:val="000000"/>
          <w:kern w:val="0"/>
          <w:sz w:val="31"/>
          <w:szCs w:val="31"/>
          <w:lang w:val="en-US" w:eastAsia="zh-CN" w:bidi="ar"/>
        </w:rPr>
        <w:t>1</w:t>
      </w:r>
      <w:r>
        <w:rPr>
          <w:rFonts w:ascii="仿宋_GB2312" w:eastAsia="仿宋_GB2312"/>
          <w:sz w:val="32"/>
          <w:szCs w:val="32"/>
        </w:rPr>
        <w:t>.</w:t>
      </w:r>
      <w:r>
        <w:rPr>
          <w:rFonts w:hint="eastAsia" w:ascii="仿宋_GB2312" w:hAnsi="仿宋" w:eastAsia="仿宋_GB2312"/>
          <w:sz w:val="32"/>
          <w:szCs w:val="32"/>
        </w:rPr>
        <w:t>完善相关制度，推进制度落实。依据相关法律、法规及管理办法，建立分级分类、使用高效、便于操作的实施细则及业务规范，制定绩效问责制度、公开制度等，加快形成“用钱必问效、无效必问责”的机制。</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宋体" w:cs="仿宋_GB2312"/>
          <w:color w:val="000000"/>
          <w:kern w:val="0"/>
          <w:sz w:val="31"/>
          <w:szCs w:val="31"/>
          <w:lang w:val="en-US" w:eastAsia="zh-CN" w:bidi="ar"/>
        </w:rPr>
        <w:t>2</w:t>
      </w:r>
      <w:r>
        <w:rPr>
          <w:rFonts w:ascii="仿宋_GB2312" w:eastAsia="仿宋_GB2312"/>
          <w:sz w:val="32"/>
          <w:szCs w:val="32"/>
        </w:rPr>
        <w:t>.</w:t>
      </w:r>
      <w:r>
        <w:rPr>
          <w:rFonts w:ascii="仿宋_GB2312" w:hAnsi="宋体" w:eastAsia="仿宋_GB2312" w:cs="仿宋_GB2312"/>
          <w:color w:val="000000"/>
          <w:kern w:val="0"/>
          <w:sz w:val="31"/>
          <w:szCs w:val="31"/>
          <w:lang w:val="en-US" w:eastAsia="zh-CN" w:bidi="ar"/>
        </w:rPr>
        <w:t>提高预算编制精确度，提高财务人员</w:t>
      </w:r>
      <w:r>
        <w:rPr>
          <w:rFonts w:hint="eastAsia" w:ascii="仿宋_GB2312" w:hAnsi="宋体" w:eastAsia="仿宋_GB2312" w:cs="仿宋_GB2312"/>
          <w:color w:val="000000"/>
          <w:kern w:val="0"/>
          <w:sz w:val="31"/>
          <w:szCs w:val="31"/>
          <w:lang w:val="en-US" w:eastAsia="zh-CN" w:bidi="ar"/>
        </w:rPr>
        <w:t>专业知识，加强内部控制建设。</w:t>
      </w:r>
    </w:p>
    <w:p>
      <w:pPr>
        <w:pStyle w:val="2"/>
        <w:rPr>
          <w:rFonts w:hint="eastAsia"/>
        </w:rPr>
        <w:sectPr>
          <w:pgSz w:w="11906" w:h="16838"/>
          <w:pgMar w:top="1440" w:right="1800" w:bottom="1440" w:left="1800" w:header="851" w:footer="992" w:gutter="0"/>
          <w:pgNumType w:fmt="decimal"/>
          <w:cols w:space="425" w:num="1"/>
          <w:docGrid w:type="lines" w:linePitch="312" w:charSpace="0"/>
        </w:sectPr>
      </w:pPr>
    </w:p>
    <w:p>
      <w:pPr>
        <w:rPr>
          <w:rFonts w:hint="eastAsia"/>
        </w:rPr>
      </w:pPr>
    </w:p>
    <w:p>
      <w:pPr>
        <w:spacing w:line="600" w:lineRule="exact"/>
        <w:jc w:val="center"/>
        <w:outlineLvl w:val="0"/>
        <w:rPr>
          <w:rStyle w:val="14"/>
          <w:rFonts w:ascii="黑体" w:hAnsi="黑体" w:eastAsia="黑体"/>
          <w:b w:val="0"/>
        </w:rPr>
      </w:pPr>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62"/>
      <w:bookmarkEnd w:id="66"/>
      <w:bookmarkEnd w:id="67"/>
    </w:p>
    <w:p>
      <w:pPr>
        <w:pStyle w:val="4"/>
        <w:rPr>
          <w:rFonts w:ascii="仿宋" w:hAnsi="仿宋" w:eastAsia="仿宋"/>
          <w:color w:val="000000"/>
        </w:rPr>
      </w:pPr>
      <w:bookmarkStart w:id="68" w:name="_Toc15699"/>
      <w:bookmarkStart w:id="69" w:name="_Toc15396619"/>
      <w:r>
        <w:rPr>
          <w:rFonts w:hint="eastAsia" w:ascii="仿宋" w:hAnsi="仿宋" w:eastAsia="仿宋"/>
          <w:b w:val="0"/>
          <w:color w:val="000000"/>
        </w:rPr>
        <w:t>一、收</w:t>
      </w:r>
      <w:r>
        <w:rPr>
          <w:rStyle w:val="15"/>
          <w:rFonts w:hint="eastAsia" w:ascii="仿宋" w:hAnsi="仿宋" w:eastAsia="仿宋"/>
          <w:b w:val="0"/>
          <w:bCs w:val="0"/>
        </w:rPr>
        <w:t>入支出决算总表</w:t>
      </w:r>
      <w:bookmarkEnd w:id="68"/>
      <w:bookmarkEnd w:id="69"/>
    </w:p>
    <w:p>
      <w:pPr>
        <w:pStyle w:val="4"/>
        <w:rPr>
          <w:rFonts w:ascii="仿宋" w:hAnsi="仿宋" w:eastAsia="仿宋"/>
          <w:color w:val="000000"/>
        </w:rPr>
      </w:pPr>
      <w:bookmarkStart w:id="70" w:name="_Toc27106"/>
      <w:bookmarkStart w:id="71" w:name="_Toc15396620"/>
      <w:r>
        <w:rPr>
          <w:rFonts w:hint="eastAsia" w:ascii="仿宋" w:hAnsi="仿宋" w:eastAsia="仿宋"/>
          <w:b w:val="0"/>
          <w:color w:val="000000"/>
        </w:rPr>
        <w:t>二、收</w:t>
      </w:r>
      <w:r>
        <w:rPr>
          <w:rStyle w:val="15"/>
          <w:rFonts w:hint="eastAsia" w:ascii="仿宋" w:hAnsi="仿宋" w:eastAsia="仿宋"/>
          <w:b w:val="0"/>
          <w:bCs w:val="0"/>
        </w:rPr>
        <w:t>入决算表</w:t>
      </w:r>
      <w:bookmarkEnd w:id="70"/>
      <w:bookmarkEnd w:id="71"/>
    </w:p>
    <w:p>
      <w:pPr>
        <w:pStyle w:val="4"/>
        <w:rPr>
          <w:rFonts w:ascii="仿宋" w:hAnsi="仿宋" w:eastAsia="仿宋"/>
          <w:color w:val="000000"/>
        </w:rPr>
      </w:pPr>
      <w:bookmarkStart w:id="72" w:name="_Toc15396621"/>
      <w:bookmarkStart w:id="73" w:name="_Toc26817"/>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72"/>
      <w:bookmarkEnd w:id="73"/>
    </w:p>
    <w:p>
      <w:pPr>
        <w:pStyle w:val="4"/>
        <w:rPr>
          <w:rFonts w:ascii="仿宋" w:hAnsi="仿宋" w:eastAsia="仿宋"/>
          <w:b w:val="0"/>
          <w:color w:val="000000"/>
        </w:rPr>
      </w:pPr>
      <w:bookmarkStart w:id="74" w:name="_Toc21747"/>
      <w:bookmarkStart w:id="75"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74"/>
      <w:bookmarkEnd w:id="75"/>
    </w:p>
    <w:p>
      <w:pPr>
        <w:pStyle w:val="4"/>
        <w:rPr>
          <w:rStyle w:val="15"/>
          <w:rFonts w:ascii="仿宋" w:hAnsi="仿宋" w:eastAsia="仿宋"/>
          <w:b w:val="0"/>
          <w:bCs w:val="0"/>
        </w:rPr>
      </w:pPr>
      <w:bookmarkStart w:id="76" w:name="_Toc15396623"/>
      <w:bookmarkStart w:id="77" w:name="_Toc12959"/>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6"/>
      <w:bookmarkEnd w:id="77"/>
      <w:bookmarkStart w:id="78" w:name="_Toc15396624"/>
    </w:p>
    <w:p>
      <w:pPr>
        <w:pStyle w:val="4"/>
        <w:rPr>
          <w:rFonts w:ascii="仿宋" w:hAnsi="仿宋" w:eastAsia="仿宋"/>
          <w:color w:val="000000"/>
        </w:rPr>
      </w:pPr>
      <w:bookmarkStart w:id="79"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8"/>
      <w:bookmarkEnd w:id="79"/>
    </w:p>
    <w:p>
      <w:pPr>
        <w:pStyle w:val="4"/>
        <w:rPr>
          <w:rFonts w:ascii="仿宋" w:hAnsi="仿宋" w:eastAsia="仿宋"/>
          <w:color w:val="000000"/>
        </w:rPr>
      </w:pPr>
      <w:bookmarkStart w:id="80" w:name="_Toc22275"/>
      <w:bookmarkStart w:id="81" w:name="_Toc1539662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80"/>
      <w:bookmarkEnd w:id="81"/>
    </w:p>
    <w:p>
      <w:pPr>
        <w:pStyle w:val="4"/>
        <w:rPr>
          <w:rFonts w:ascii="仿宋" w:hAnsi="仿宋" w:eastAsia="仿宋"/>
          <w:color w:val="000000"/>
        </w:rPr>
      </w:pPr>
      <w:bookmarkStart w:id="82" w:name="_Toc15396626"/>
      <w:bookmarkStart w:id="83" w:name="_Toc30634"/>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82"/>
      <w:bookmarkEnd w:id="83"/>
    </w:p>
    <w:p>
      <w:pPr>
        <w:pStyle w:val="4"/>
        <w:rPr>
          <w:rFonts w:ascii="仿宋" w:hAnsi="仿宋" w:eastAsia="仿宋"/>
          <w:color w:val="000000"/>
        </w:rPr>
      </w:pPr>
      <w:bookmarkStart w:id="84" w:name="_Toc15170"/>
      <w:bookmarkStart w:id="85" w:name="_Toc15396627"/>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84"/>
      <w:bookmarkEnd w:id="85"/>
    </w:p>
    <w:p>
      <w:pPr>
        <w:pStyle w:val="4"/>
        <w:spacing w:line="360" w:lineRule="auto"/>
        <w:rPr>
          <w:rFonts w:ascii="仿宋" w:hAnsi="仿宋" w:eastAsia="仿宋"/>
          <w:color w:val="000000"/>
        </w:rPr>
      </w:pPr>
      <w:bookmarkStart w:id="86" w:name="_Toc15396628"/>
      <w:bookmarkStart w:id="87" w:name="_Toc17603"/>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6"/>
      <w:bookmarkEnd w:id="87"/>
    </w:p>
    <w:p>
      <w:pPr>
        <w:pStyle w:val="4"/>
        <w:spacing w:line="360" w:lineRule="auto"/>
        <w:rPr>
          <w:rFonts w:ascii="仿宋" w:hAnsi="仿宋" w:eastAsia="仿宋"/>
          <w:color w:val="000000"/>
        </w:rPr>
      </w:pPr>
      <w:bookmarkStart w:id="88" w:name="_Toc15396629"/>
      <w:bookmarkStart w:id="89" w:name="_Toc7313"/>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8"/>
      <w:bookmarkEnd w:id="89"/>
    </w:p>
    <w:p>
      <w:pPr>
        <w:pStyle w:val="4"/>
        <w:rPr>
          <w:rFonts w:hint="eastAsia" w:ascii="仿宋" w:hAnsi="仿宋" w:eastAsia="仿宋"/>
          <w:b w:val="0"/>
          <w:color w:val="000000"/>
        </w:rPr>
      </w:pPr>
      <w:bookmarkStart w:id="90" w:name="_Toc15396630"/>
      <w:bookmarkStart w:id="91" w:name="_Toc9382"/>
      <w:r>
        <w:rPr>
          <w:rFonts w:hint="eastAsia" w:ascii="仿宋" w:hAnsi="仿宋" w:eastAsia="仿宋"/>
          <w:b w:val="0"/>
          <w:color w:val="000000"/>
        </w:rPr>
        <w:t>十二、政府性基金预算财政拨款“三公”经费支出决算表</w:t>
      </w:r>
      <w:bookmarkEnd w:id="90"/>
      <w:bookmarkEnd w:id="91"/>
    </w:p>
    <w:p>
      <w:pPr>
        <w:pStyle w:val="4"/>
        <w:rPr>
          <w:rFonts w:hint="eastAsia" w:ascii="仿宋" w:hAnsi="仿宋" w:eastAsia="仿宋"/>
          <w:b w:val="0"/>
          <w:color w:val="000000"/>
        </w:rPr>
      </w:pPr>
      <w:bookmarkStart w:id="92" w:name="_Toc22683"/>
      <w:r>
        <w:rPr>
          <w:rFonts w:hint="eastAsia" w:ascii="仿宋" w:hAnsi="仿宋" w:eastAsia="仿宋"/>
          <w:b w:val="0"/>
          <w:color w:val="000000"/>
        </w:rPr>
        <w:t>十三、国有资本经营预算财政拨款收入支出决算表</w:t>
      </w:r>
      <w:bookmarkEnd w:id="92"/>
    </w:p>
    <w:p>
      <w:pPr>
        <w:pStyle w:val="4"/>
        <w:rPr>
          <w:rFonts w:hint="eastAsia" w:ascii="仿宋" w:hAnsi="仿宋" w:eastAsia="仿宋"/>
          <w:b w:val="0"/>
          <w:color w:val="000000"/>
        </w:rPr>
      </w:pPr>
      <w:bookmarkStart w:id="93" w:name="_Toc10257"/>
      <w:r>
        <w:rPr>
          <w:rFonts w:hint="eastAsia" w:ascii="仿宋" w:hAnsi="仿宋" w:eastAsia="仿宋"/>
          <w:b w:val="0"/>
          <w:color w:val="000000"/>
        </w:rPr>
        <w:t>十四、国有资本经营预算财政拨款支出决算表</w:t>
      </w:r>
      <w:bookmarkEnd w:id="93"/>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30"/>
                              <w:szCs w:val="30"/>
                            </w:rPr>
                          </w:pPr>
                          <w:r>
                            <w:rPr>
                              <w:sz w:val="30"/>
                              <w:szCs w:val="30"/>
                            </w:rPr>
                            <w:t xml:space="preserve">— </w:t>
                          </w: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r>
                            <w:rPr>
                              <w:sz w:val="30"/>
                              <w:szCs w:val="3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sz w:val="30"/>
                        <w:szCs w:val="30"/>
                      </w:rPr>
                    </w:pPr>
                    <w:r>
                      <w:rPr>
                        <w:sz w:val="30"/>
                        <w:szCs w:val="30"/>
                      </w:rPr>
                      <w:t xml:space="preserve">— </w:t>
                    </w: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r>
                      <w:rPr>
                        <w:sz w:val="30"/>
                        <w:szCs w:val="30"/>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150EF362"/>
    <w:multiLevelType w:val="singleLevel"/>
    <w:tmpl w:val="150EF362"/>
    <w:lvl w:ilvl="0" w:tentative="0">
      <w:start w:val="2"/>
      <w:numFmt w:val="chineseCounting"/>
      <w:suff w:val="nothing"/>
      <w:lvlText w:val="（%1）"/>
      <w:lvlJc w:val="left"/>
      <w:rPr>
        <w:rFonts w:hint="eastAsia"/>
      </w:rPr>
    </w:lvl>
  </w:abstractNum>
  <w:abstractNum w:abstractNumId="4">
    <w:nsid w:val="62621CDC"/>
    <w:multiLevelType w:val="multilevel"/>
    <w:tmpl w:val="62621CDC"/>
    <w:lvl w:ilvl="0" w:tentative="0">
      <w:start w:val="1"/>
      <w:numFmt w:val="decimal"/>
      <w:lvlText w:val="%1."/>
      <w:lvlJc w:val="left"/>
      <w:pPr>
        <w:ind w:left="1152" w:hanging="480"/>
      </w:pPr>
      <w:rPr>
        <w:rFonts w:hint="default" w:cs="Times New Roman"/>
      </w:rPr>
    </w:lvl>
    <w:lvl w:ilvl="1" w:tentative="0">
      <w:start w:val="1"/>
      <w:numFmt w:val="lowerLetter"/>
      <w:lvlText w:val="%2)"/>
      <w:lvlJc w:val="left"/>
      <w:pPr>
        <w:ind w:left="1512" w:hanging="420"/>
      </w:pPr>
      <w:rPr>
        <w:rFonts w:cs="Times New Roman"/>
      </w:rPr>
    </w:lvl>
    <w:lvl w:ilvl="2" w:tentative="0">
      <w:start w:val="1"/>
      <w:numFmt w:val="lowerRoman"/>
      <w:lvlText w:val="%3."/>
      <w:lvlJc w:val="right"/>
      <w:pPr>
        <w:ind w:left="1932" w:hanging="420"/>
      </w:pPr>
      <w:rPr>
        <w:rFonts w:cs="Times New Roman"/>
      </w:rPr>
    </w:lvl>
    <w:lvl w:ilvl="3" w:tentative="0">
      <w:start w:val="1"/>
      <w:numFmt w:val="decimal"/>
      <w:lvlText w:val="%4."/>
      <w:lvlJc w:val="left"/>
      <w:pPr>
        <w:ind w:left="2352" w:hanging="420"/>
      </w:pPr>
      <w:rPr>
        <w:rFonts w:cs="Times New Roman"/>
      </w:rPr>
    </w:lvl>
    <w:lvl w:ilvl="4" w:tentative="0">
      <w:start w:val="1"/>
      <w:numFmt w:val="lowerLetter"/>
      <w:lvlText w:val="%5)"/>
      <w:lvlJc w:val="left"/>
      <w:pPr>
        <w:ind w:left="2772" w:hanging="420"/>
      </w:pPr>
      <w:rPr>
        <w:rFonts w:cs="Times New Roman"/>
      </w:rPr>
    </w:lvl>
    <w:lvl w:ilvl="5" w:tentative="0">
      <w:start w:val="1"/>
      <w:numFmt w:val="lowerRoman"/>
      <w:lvlText w:val="%6."/>
      <w:lvlJc w:val="right"/>
      <w:pPr>
        <w:ind w:left="3192" w:hanging="420"/>
      </w:pPr>
      <w:rPr>
        <w:rFonts w:cs="Times New Roman"/>
      </w:rPr>
    </w:lvl>
    <w:lvl w:ilvl="6" w:tentative="0">
      <w:start w:val="1"/>
      <w:numFmt w:val="decimal"/>
      <w:lvlText w:val="%7."/>
      <w:lvlJc w:val="left"/>
      <w:pPr>
        <w:ind w:left="3612" w:hanging="420"/>
      </w:pPr>
      <w:rPr>
        <w:rFonts w:cs="Times New Roman"/>
      </w:rPr>
    </w:lvl>
    <w:lvl w:ilvl="7" w:tentative="0">
      <w:start w:val="1"/>
      <w:numFmt w:val="lowerLetter"/>
      <w:lvlText w:val="%8)"/>
      <w:lvlJc w:val="left"/>
      <w:pPr>
        <w:ind w:left="4032" w:hanging="420"/>
      </w:pPr>
      <w:rPr>
        <w:rFonts w:cs="Times New Roman"/>
      </w:rPr>
    </w:lvl>
    <w:lvl w:ilvl="8" w:tentative="0">
      <w:start w:val="1"/>
      <w:numFmt w:val="lowerRoman"/>
      <w:lvlText w:val="%9."/>
      <w:lvlJc w:val="right"/>
      <w:pPr>
        <w:ind w:left="4452" w:hanging="420"/>
      </w:pPr>
      <w:rPr>
        <w:rFonts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6D96529"/>
    <w:rsid w:val="085F41C3"/>
    <w:rsid w:val="29191CA2"/>
    <w:rsid w:val="32452192"/>
    <w:rsid w:val="372D7FE7"/>
    <w:rsid w:val="3E4169FF"/>
    <w:rsid w:val="57A65601"/>
    <w:rsid w:val="5D3E75DF"/>
    <w:rsid w:val="6504078C"/>
    <w:rsid w:val="726E3979"/>
    <w:rsid w:val="74CB01E8"/>
    <w:rsid w:val="751A5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c 5"/>
    <w:basedOn w:val="1"/>
    <w:next w:val="1"/>
    <w:qFormat/>
    <w:uiPriority w:val="0"/>
    <w:pPr>
      <w:ind w:left="1680" w:leftChars="800"/>
    </w:pPr>
  </w:style>
  <w:style w:type="paragraph" w:styleId="5">
    <w:name w:val="Body Text"/>
    <w:basedOn w:val="1"/>
    <w:qFormat/>
    <w:uiPriority w:val="99"/>
    <w:pPr>
      <w:spacing w:beforeLines="30"/>
    </w:pPr>
    <w:rPr>
      <w:rFonts w:ascii="仿宋_GB2312" w:eastAsia="仿宋_GB2312"/>
      <w:kern w:val="0"/>
      <w:sz w:val="24"/>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 Char Char6"/>
    <w:basedOn w:val="11"/>
    <w:link w:val="3"/>
    <w:qFormat/>
    <w:locked/>
    <w:uiPriority w:val="9"/>
    <w:rPr>
      <w:b/>
      <w:bCs/>
      <w:kern w:val="44"/>
      <w:sz w:val="44"/>
      <w:szCs w:val="44"/>
    </w:rPr>
  </w:style>
  <w:style w:type="character" w:customStyle="1" w:styleId="15">
    <w:name w:val=" Char Char5"/>
    <w:basedOn w:val="11"/>
    <w:link w:val="4"/>
    <w:qFormat/>
    <w:locked/>
    <w:uiPriority w:val="9"/>
    <w:rPr>
      <w:rFonts w:ascii="Cambria" w:hAnsi="Cambria"/>
      <w:b/>
      <w:bCs/>
      <w:sz w:val="32"/>
      <w:szCs w:val="32"/>
    </w:rPr>
  </w:style>
  <w:style w:type="paragraph" w:customStyle="1"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31995;&#32479;&#20915;&#31639;&#20844;&#24320;\&#25554;&#22270;\&#65288;&#22270;1&#65289;%20&#20915;&#31639;&#35828;&#26126;&#20869;&#22270;&#34920;&#27169;&#2925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31995;&#32479;&#20915;&#31639;&#20844;&#24320;\&#25554;&#22270;\&#65288;&#22270;2&#65289;&#20915;&#31639;&#35828;&#26126;&#20869;&#22270;&#34920;&#27169;&#29256;%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31995;&#32479;&#20915;&#31639;&#20844;&#24320;\&#25554;&#22270;\&#65288;&#22270;3&#65289;&#20915;&#31639;&#35828;&#26126;&#20869;&#22270;&#34920;&#27169;&#29256;%20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31995;&#32479;&#20915;&#31639;&#20844;&#24320;\&#25554;&#22270;\&#65288;&#22270;4&#65289;%20&#20915;&#31639;&#35828;&#26126;&#20869;&#22270;&#34920;&#27169;&#2925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31995;&#32479;&#20915;&#31639;&#20844;&#24320;\&#25554;&#22270;\&#65288;&#22270;5&#65289;%20&#20915;&#31639;&#35828;&#26126;&#20869;&#22270;&#34920;&#27169;&#2925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31995;&#32479;&#20915;&#31639;&#20844;&#24320;\&#25554;&#22270;\&#65288;&#22270;6&#65289;&#20915;&#31639;&#35828;&#26126;&#20869;&#22270;&#34920;&#27169;&#2925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31995;&#32479;&#20915;&#31639;&#20844;&#24320;\&#25554;&#22270;\&#65288;&#22270;7&#65289;&#20915;&#31639;&#35828;&#26126;&#20869;&#22270;&#34920;&#27169;&#2925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solidFill>
                <a:latin typeface="+mn-lt"/>
                <a:ea typeface="+mn-ea"/>
                <a:cs typeface="+mn-cs"/>
              </a:defRPr>
            </a:pPr>
            <a:r>
              <a:rPr altLang="en-US"/>
              <a:t>收、支决算总计变动情况图</a:t>
            </a:r>
            <a:endParaRPr altLang="en-US"/>
          </a:p>
        </c:rich>
      </c:tx>
      <c:layout/>
      <c:overlay val="0"/>
    </c:title>
    <c:autoTitleDeleted val="0"/>
    <c:plotArea>
      <c:layout/>
      <c:barChart>
        <c:barDir val="col"/>
        <c:grouping val="clustered"/>
        <c:varyColors val="0"/>
        <c:ser>
          <c:idx val="0"/>
          <c:order val="0"/>
          <c:tx>
            <c:strRef>
              <c:f>'[（图1） 决算说明内图表模版.xlsx]Sheet1'!$A$2</c:f>
              <c:strCache>
                <c:ptCount val="1"/>
                <c:pt idx="0">
                  <c:v>收、支决算总计变动情况图   单位：万元</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'[（图1） 决算说明内图表模版.xlsx]Sheet1'!$B$1:$C$1</c:f>
              <c:strCache>
                <c:ptCount val="2"/>
                <c:pt idx="0">
                  <c:v>2019年</c:v>
                </c:pt>
                <c:pt idx="1">
                  <c:v>2020年</c:v>
                </c:pt>
              </c:strCache>
            </c:strRef>
          </c:cat>
          <c:val>
            <c:numRef>
              <c:f>'[（图1） 决算说明内图表模版.xlsx]Sheet1'!$B$2:$C$2</c:f>
              <c:numCache>
                <c:formatCode>General</c:formatCode>
                <c:ptCount val="2"/>
                <c:pt idx="0">
                  <c:v>6087.8</c:v>
                </c:pt>
                <c:pt idx="1">
                  <c:v>4880.74</c:v>
                </c:pt>
              </c:numCache>
            </c:numRef>
          </c:val>
        </c:ser>
        <c:dLbls>
          <c:showLegendKey val="0"/>
          <c:showVal val="1"/>
          <c:showCatName val="0"/>
          <c:showSerName val="0"/>
          <c:showPercent val="0"/>
          <c:showBubbleSize val="0"/>
        </c:dLbls>
        <c:gapWidth val="150"/>
        <c:axId val="67870720"/>
        <c:axId val="67872256"/>
      </c:barChart>
      <c:catAx>
        <c:axId val="678707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7872256"/>
        <c:crosses val="autoZero"/>
        <c:auto val="1"/>
        <c:lblAlgn val="ctr"/>
        <c:lblOffset val="100"/>
        <c:noMultiLvlLbl val="0"/>
      </c:catAx>
      <c:valAx>
        <c:axId val="6787225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787072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'[（图2）决算说明内图表模版 .xlsx]Sheet1'!$A$2</c:f>
              <c:strCache>
                <c:ptCount val="1"/>
                <c:pt idx="0">
                  <c:v>收入决算结构图     单位：万元</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'[（图2）决算说明内图表模版 .xlsx]Sheet1'!$B$1:$C$1</c:f>
              <c:strCache>
                <c:ptCount val="2"/>
                <c:pt idx="0">
                  <c:v>一般公共预算财政拨款收入</c:v>
                </c:pt>
                <c:pt idx="1">
                  <c:v>政府性基金预算财政拨款收入</c:v>
                </c:pt>
              </c:strCache>
            </c:strRef>
          </c:cat>
          <c:val>
            <c:numRef>
              <c:f>'[（图2）决算说明内图表模版 .xlsx]Sheet1'!$B$2:$C$2</c:f>
              <c:numCache>
                <c:formatCode>General</c:formatCode>
                <c:ptCount val="2"/>
                <c:pt idx="0">
                  <c:v>3400.37</c:v>
                </c:pt>
                <c:pt idx="1">
                  <c:v>380.1</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'[（图3）决算说明内图表模版 3.xlsx]Sheet1'!$A$2</c:f>
              <c:strCache>
                <c:ptCount val="1"/>
                <c:pt idx="0">
                  <c:v>支出决算结构图   单位：万元</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'[（图3）决算说明内图表模版 3.xlsx]Sheet1'!$B$1:$C$1</c:f>
              <c:strCache>
                <c:ptCount val="2"/>
                <c:pt idx="0">
                  <c:v>基本支出</c:v>
                </c:pt>
                <c:pt idx="1">
                  <c:v>项目支出</c:v>
                </c:pt>
              </c:strCache>
            </c:strRef>
          </c:cat>
          <c:val>
            <c:numRef>
              <c:f>'[（图3）决算说明内图表模版 3.xlsx]Sheet1'!$B$2:$C$2</c:f>
              <c:numCache>
                <c:formatCode>General</c:formatCode>
                <c:ptCount val="2"/>
                <c:pt idx="0">
                  <c:v>2824.22</c:v>
                </c:pt>
                <c:pt idx="1">
                  <c:v>1378.73</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solidFill>
                <a:latin typeface="+mn-lt"/>
                <a:ea typeface="+mn-ea"/>
                <a:cs typeface="+mn-cs"/>
              </a:defRPr>
            </a:pPr>
            <a:r>
              <a:rPr altLang="en-US"/>
              <a:t>收、支决算总计变动情况图</a:t>
            </a:r>
            <a:endParaRPr altLang="en-US"/>
          </a:p>
        </c:rich>
      </c:tx>
      <c:layout/>
      <c:overlay val="0"/>
    </c:title>
    <c:autoTitleDeleted val="0"/>
    <c:plotArea>
      <c:layout/>
      <c:barChart>
        <c:barDir val="col"/>
        <c:grouping val="clustered"/>
        <c:varyColors val="0"/>
        <c:ser>
          <c:idx val="0"/>
          <c:order val="0"/>
          <c:tx>
            <c:strRef>
              <c:f>'[（图4） 决算说明内图表模版.xlsx]Sheet1'!$A$2</c:f>
              <c:strCache>
                <c:ptCount val="1"/>
                <c:pt idx="0">
                  <c:v>财政拨款收、支决算总计变动情况    单位：万元</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'[（图4） 决算说明内图表模版.xlsx]Sheet1'!$B$1:$C$1</c:f>
              <c:strCache>
                <c:ptCount val="2"/>
                <c:pt idx="0">
                  <c:v>2019年</c:v>
                </c:pt>
                <c:pt idx="1">
                  <c:v>2020年</c:v>
                </c:pt>
              </c:strCache>
            </c:strRef>
          </c:cat>
          <c:val>
            <c:numRef>
              <c:f>'[（图4） 决算说明内图表模版.xlsx]Sheet1'!$B$2:$C$2</c:f>
              <c:numCache>
                <c:formatCode>General</c:formatCode>
                <c:ptCount val="2"/>
                <c:pt idx="0">
                  <c:v>5909</c:v>
                </c:pt>
                <c:pt idx="1">
                  <c:v>4880.74</c:v>
                </c:pt>
              </c:numCache>
            </c:numRef>
          </c:val>
        </c:ser>
        <c:dLbls>
          <c:showLegendKey val="0"/>
          <c:showVal val="1"/>
          <c:showCatName val="0"/>
          <c:showSerName val="0"/>
          <c:showPercent val="0"/>
          <c:showBubbleSize val="0"/>
        </c:dLbls>
        <c:gapWidth val="150"/>
        <c:axId val="63006592"/>
        <c:axId val="67854720"/>
      </c:barChart>
      <c:catAx>
        <c:axId val="6300659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7854720"/>
        <c:crosses val="autoZero"/>
        <c:auto val="1"/>
        <c:lblAlgn val="ctr"/>
        <c:lblOffset val="100"/>
        <c:noMultiLvlLbl val="0"/>
      </c:catAx>
      <c:valAx>
        <c:axId val="6785472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3006592"/>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solidFill>
                <a:latin typeface="+mn-lt"/>
                <a:ea typeface="+mn-ea"/>
                <a:cs typeface="+mn-cs"/>
              </a:defRPr>
            </a:pPr>
            <a:r>
              <a:rPr altLang="en-US"/>
              <a:t>一般公共预算财政拨款支出决算变动图</a:t>
            </a:r>
            <a:endParaRPr altLang="en-US"/>
          </a:p>
        </c:rich>
      </c:tx>
      <c:layout/>
      <c:overlay val="0"/>
    </c:title>
    <c:autoTitleDeleted val="0"/>
    <c:plotArea>
      <c:layout/>
      <c:barChart>
        <c:barDir val="col"/>
        <c:grouping val="clustered"/>
        <c:varyColors val="0"/>
        <c:ser>
          <c:idx val="0"/>
          <c:order val="0"/>
          <c:tx>
            <c:strRef>
              <c:f>'[（图5） 决算说明内图表模版.xlsx]Sheet1'!$A$2</c:f>
              <c:strCache>
                <c:ptCount val="1"/>
                <c:pt idx="0">
                  <c:v>一般公共预算财政拨款支出决算变动图   单位：万元</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'[（图5） 决算说明内图表模版.xlsx]Sheet1'!$B$1:$C$1</c:f>
              <c:strCache>
                <c:ptCount val="2"/>
                <c:pt idx="0">
                  <c:v>2019年</c:v>
                </c:pt>
                <c:pt idx="1">
                  <c:v>2020年</c:v>
                </c:pt>
              </c:strCache>
            </c:strRef>
          </c:cat>
          <c:val>
            <c:numRef>
              <c:f>'[（图5） 决算说明内图表模版.xlsx]Sheet1'!$B$2:$C$2</c:f>
              <c:numCache>
                <c:formatCode>General</c:formatCode>
                <c:ptCount val="2"/>
                <c:pt idx="0">
                  <c:v>3392.86</c:v>
                </c:pt>
                <c:pt idx="1">
                  <c:v>3982.72</c:v>
                </c:pt>
              </c:numCache>
            </c:numRef>
          </c:val>
        </c:ser>
        <c:dLbls>
          <c:showLegendKey val="0"/>
          <c:showVal val="1"/>
          <c:showCatName val="0"/>
          <c:showSerName val="0"/>
          <c:showPercent val="0"/>
          <c:showBubbleSize val="0"/>
        </c:dLbls>
        <c:gapWidth val="150"/>
        <c:axId val="70646016"/>
        <c:axId val="70516736"/>
      </c:barChart>
      <c:catAx>
        <c:axId val="7064601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70516736"/>
        <c:crosses val="autoZero"/>
        <c:auto val="1"/>
        <c:lblAlgn val="ctr"/>
        <c:lblOffset val="100"/>
        <c:noMultiLvlLbl val="0"/>
      </c:catAx>
      <c:valAx>
        <c:axId val="7051673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7064601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solidFill>
                <a:latin typeface="+mn-lt"/>
                <a:ea typeface="+mn-ea"/>
                <a:cs typeface="+mn-cs"/>
              </a:defRPr>
            </a:pPr>
            <a:r>
              <a:t>一般公共预算财政拨款支出决算结构</a:t>
            </a:r>
            <a:r>
              <a:rPr lang="en-US" altLang="zh-CN"/>
              <a:t>     </a:t>
            </a:r>
            <a:r>
              <a:t>单位</a:t>
            </a:r>
            <a:r>
              <a:rPr lang="en-US" altLang="zh-CN"/>
              <a:t>:</a:t>
            </a:r>
            <a:r>
              <a:t>万元</a:t>
            </a:r>
          </a:p>
        </c:rich>
      </c:tx>
      <c:layout>
        <c:manualLayout>
          <c:xMode val="edge"/>
          <c:yMode val="edge"/>
          <c:x val="0.0479166666666667"/>
          <c:y val="0.0391203703703704"/>
        </c:manualLayout>
      </c:layout>
      <c:overlay val="0"/>
    </c:title>
    <c:autoTitleDeleted val="0"/>
    <c:plotArea>
      <c:layout/>
      <c:pieChart>
        <c:varyColors val="1"/>
        <c:ser>
          <c:idx val="0"/>
          <c:order val="0"/>
          <c:tx>
            <c:strRef>
              <c:f>'[（图6）决算说明内图表模版.xlsx]Sheet1'!$A$2</c:f>
              <c:strCache>
                <c:ptCount val="1"/>
                <c:pt idx="0">
                  <c:v>一般公共预算财政拨款支出决算结构     单位：万元</c:v>
                </c:pt>
              </c:strCache>
            </c:strRef>
          </c:tx>
          <c:explosion val="0"/>
          <c:dPt>
            <c:idx val="0"/>
            <c:bubble3D val="0"/>
          </c:dPt>
          <c:dPt>
            <c:idx val="1"/>
            <c:bubble3D val="0"/>
          </c:dPt>
          <c:dPt>
            <c:idx val="2"/>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'[（图6）决算说明内图表模版.xlsx]Sheet1'!$B$1:$D$1</c:f>
              <c:strCache>
                <c:ptCount val="3"/>
                <c:pt idx="0">
                  <c:v>社会保障和就业支出</c:v>
                </c:pt>
                <c:pt idx="1">
                  <c:v>卫生健康支出</c:v>
                </c:pt>
                <c:pt idx="2">
                  <c:v>住房保障支出</c:v>
                </c:pt>
              </c:strCache>
            </c:strRef>
          </c:cat>
          <c:val>
            <c:numRef>
              <c:f>'[（图6）决算说明内图表模版.xlsx]Sheet1'!$B$2:$D$2</c:f>
              <c:numCache>
                <c:formatCode>General</c:formatCode>
                <c:ptCount val="3"/>
                <c:pt idx="0">
                  <c:v>3464.44</c:v>
                </c:pt>
                <c:pt idx="1">
                  <c:v>499.48</c:v>
                </c:pt>
                <c:pt idx="2">
                  <c:v>18.8</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'[（图7）决算说明内图表模版.xlsx]Sheet1'!$A$2</c:f>
              <c:strCache>
                <c:ptCount val="1"/>
                <c:pt idx="0">
                  <c:v>“三公”经费财政拨款支出结构图  单位：万元</c:v>
                </c:pt>
              </c:strCache>
            </c:strRef>
          </c:tx>
          <c:explosion val="0"/>
          <c:dPt>
            <c:idx val="0"/>
            <c:bubble3D val="0"/>
          </c:dPt>
          <c:dPt>
            <c:idx val="1"/>
            <c:bubble3D val="0"/>
          </c:dPt>
          <c:dPt>
            <c:idx val="2"/>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'[（图7）决算说明内图表模版.xlsx]Sheet1'!$B$1:$D$1</c:f>
              <c:strCache>
                <c:ptCount val="3"/>
                <c:pt idx="0">
                  <c:v>因公出国（境）费用</c:v>
                </c:pt>
                <c:pt idx="1">
                  <c:v>公务接待费</c:v>
                </c:pt>
                <c:pt idx="2">
                  <c:v>公务用车运行及购置费</c:v>
                </c:pt>
              </c:strCache>
            </c:strRef>
          </c:cat>
          <c:val>
            <c:numRef>
              <c:f>'[（图7）决算说明内图表模版.xlsx]Sheet1'!$B$2:$D$2</c:f>
              <c:numCache>
                <c:formatCode>General</c:formatCode>
                <c:ptCount val="3"/>
                <c:pt idx="0">
                  <c:v>0</c:v>
                </c:pt>
                <c:pt idx="1">
                  <c:v>0.09</c:v>
                </c:pt>
                <c:pt idx="2">
                  <c:v>0.92</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17976</Words>
  <Characters>19274</Characters>
  <Lines>0</Lines>
  <Paragraphs>0</Paragraphs>
  <TotalTime>76</TotalTime>
  <ScaleCrop>false</ScaleCrop>
  <LinksUpToDate>false</LinksUpToDate>
  <CharactersWithSpaces>19401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2022-05-30T06:35:19Z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F7F9E57678544BF5A4874FF65CECE0CB</vt:lpwstr>
  </property>
</Properties>
</file>