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自贡市自流井区社会福利院</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2020</w:t>
      </w:r>
      <w:r>
        <w:rPr>
          <w:rFonts w:hint="eastAsia" w:ascii="方正小标宋简体" w:eastAsia="方正小标宋简体"/>
          <w:sz w:val="44"/>
          <w:szCs w:val="44"/>
        </w:rPr>
        <w:t>年度部门决算编制的说明</w:t>
      </w:r>
    </w:p>
    <w:p>
      <w:pPr>
        <w:widowControl/>
        <w:jc w:val="center"/>
        <w:rPr>
          <w:rFonts w:ascii="仿宋_GB2312"/>
          <w:sz w:val="28"/>
          <w:szCs w:val="28"/>
        </w:rPr>
      </w:pPr>
    </w:p>
    <w:p>
      <w:pPr>
        <w:widowControl/>
        <w:jc w:val="center"/>
        <w:rPr>
          <w:rFonts w:hint="eastAsia"/>
        </w:rPr>
      </w:pPr>
      <w:r>
        <w:rPr>
          <w:rFonts w:hint="eastAsia" w:ascii="黑体" w:hAnsi="黑体" w:eastAsia="黑体"/>
          <w:color w:val="000000"/>
          <w:sz w:val="44"/>
          <w:szCs w:val="44"/>
        </w:rPr>
        <w:t>目</w:t>
      </w:r>
      <w:r>
        <w:rPr>
          <w:rFonts w:hint="eastAsia" w:ascii="黑体" w:hAnsi="黑体" w:eastAsia="黑体"/>
          <w:color w:val="000000"/>
          <w:sz w:val="44"/>
          <w:szCs w:val="44"/>
          <w:lang w:val="en-US" w:eastAsia="zh-CN"/>
        </w:rPr>
        <w:t xml:space="preserve"> </w:t>
      </w:r>
      <w:r>
        <w:rPr>
          <w:rFonts w:hint="eastAsia" w:ascii="黑体" w:hAnsi="黑体" w:eastAsia="黑体"/>
          <w:color w:val="000000"/>
          <w:sz w:val="44"/>
          <w:szCs w:val="44"/>
        </w:rPr>
        <w:t>录</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_Toc10567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_Toc21498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一、基本职能及主要工作</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3</w:t>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_Toc6092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二、机构设置</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4</w:t>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_Toc23109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5</w:t>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_Toc7163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 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5</w:t>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_Toc25258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 收入决算情况说明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5</w:t>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_Toc13725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 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6</w:t>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_Toc10354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6</w:t>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_Toc10967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五、一般公共预算财政拨款支出决算情况说明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7</w:t>
      </w:r>
      <w:r>
        <w:rPr>
          <w:rFonts w:hint="eastAsia" w:ascii="仿宋_GB2312" w:hAnsi="仿宋_GB2312" w:eastAsia="仿宋_GB2312" w:cs="仿宋_GB2312"/>
          <w:b w:val="0"/>
          <w:bCs w:val="0"/>
          <w:i w:val="0"/>
          <w:iCs w:val="0"/>
          <w:caps/>
          <w:sz w:val="28"/>
          <w:szCs w:val="2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_Toc31021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六、一般公共预算财政拨款基本支出决算情况说明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0</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_Toc6926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七、“三公”经费财政拨款支出决算情况说明</w:t>
      </w:r>
      <w:r>
        <w:rPr>
          <w:rFonts w:hint="eastAsia" w:ascii="仿宋_GB2312" w:hAnsi="仿宋_GB2312" w:eastAsia="仿宋_GB2312" w:cs="仿宋_GB2312"/>
          <w:b w:val="0"/>
          <w:bCs w:val="0"/>
          <w:i w:val="0"/>
          <w:iCs w:val="0"/>
          <w:sz w:val="28"/>
          <w:szCs w:val="28"/>
        </w:rPr>
        <w:tab/>
      </w:r>
      <w:bookmarkStart w:id="90" w:name="_GoBack"/>
      <w:bookmarkEnd w:id="90"/>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0</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_Toc9843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八、政府性基金预算支出决算情况说明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_Toc10775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九、国有资本经营预算支出决算情况说明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十、其他重要事项的情况说明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_Toc3536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6</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caps/>
          <w:sz w:val="28"/>
          <w:szCs w:val="28"/>
        </w:rPr>
        <w:sectPr>
          <w:footerReference r:id="rId3" w:type="default"/>
          <w:pgSz w:w="11906" w:h="16838"/>
          <w:pgMar w:top="1440" w:right="1800" w:bottom="1440" w:left="1800" w:header="851" w:footer="992" w:gutter="0"/>
          <w:pgNumType w:fmt="numberInDash" w:start="1"/>
          <w:cols w:space="425" w:num="1"/>
          <w:docGrid w:type="lines" w:linePitch="312" w:charSpace="0"/>
        </w:sectPr>
      </w:pP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_Toc11207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9</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_Toc22930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附件1</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9</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_Toc32283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_Toc15699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_Toc27106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二、收入决算表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_Toc21747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_Toc12959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_Toc23749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_Toc22275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七、一般公共预算财政拨款支出决算明细表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_Toc30634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八、一般公共预算财政拨款基本支出决算表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_Toc15170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九、一般公共预算财政拨款项目支出决算表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_Toc17603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十、一般公共预算财政拨款“三公”经费支出决算表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_Toc7313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十一、政府性基金预算财政拨款收入支出决算表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_Toc9382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十二、政府性基金预算财政拨款“三公”经费支出决算表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_Toc22683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十三、国有资本经营预算财政拨款收入支出决算表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_Toc10257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十四、国有资本经营预算财政拨款支出决算表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2</w:t>
      </w:r>
    </w:p>
    <w:p>
      <w:pPr>
        <w:keepNext w:val="0"/>
        <w:keepLines w:val="0"/>
        <w:pageBreakBefore w:val="0"/>
        <w:widowControl w:val="0"/>
        <w:kinsoku/>
        <w:wordWrap/>
        <w:overflowPunct/>
        <w:topLinePunct w:val="0"/>
        <w:autoSpaceDE/>
        <w:autoSpaceDN/>
        <w:bidi w:val="0"/>
        <w:adjustRightInd/>
        <w:snapToGrid/>
        <w:spacing w:line="560" w:lineRule="exact"/>
        <w:ind w:firstLine="2100" w:firstLineChars="750"/>
        <w:textAlignment w:val="auto"/>
        <w:rPr>
          <w:rFonts w:hint="eastAsia" w:ascii="仿宋_GB2312" w:hAnsi="仿宋"/>
          <w:color w:val="FF0000"/>
          <w:szCs w:val="32"/>
        </w:rPr>
      </w:pPr>
      <w:r>
        <w:rPr>
          <w:rFonts w:hint="eastAsia" w:ascii="仿宋_GB2312" w:hAnsi="仿宋_GB2312" w:eastAsia="仿宋_GB2312" w:cs="仿宋_GB2312"/>
          <w:b w:val="0"/>
          <w:bCs w:val="0"/>
          <w:i w:val="0"/>
          <w:iCs w:val="0"/>
          <w:caps/>
          <w:sz w:val="28"/>
          <w:szCs w:val="28"/>
        </w:rPr>
        <w:fldChar w:fldCharType="end"/>
      </w:r>
    </w:p>
    <w:p>
      <w:r>
        <w:br w:type="page"/>
      </w:r>
    </w:p>
    <w:p>
      <w:pPr>
        <w:pStyle w:val="2"/>
        <w:jc w:val="center"/>
        <w:rPr>
          <w:rStyle w:val="14"/>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4"/>
          <w:rFonts w:hint="eastAsia" w:ascii="黑体" w:hAnsi="黑体" w:eastAsia="黑体"/>
          <w:b w:val="0"/>
          <w:bCs w:val="0"/>
        </w:rPr>
        <w:t>部门概况</w:t>
      </w:r>
      <w:bookmarkEnd w:id="0"/>
    </w:p>
    <w:p>
      <w:pPr>
        <w:widowControl/>
        <w:jc w:val="left"/>
        <w:rPr>
          <w:rFonts w:ascii="黑体" w:eastAsia="黑体"/>
          <w:color w:val="000000"/>
          <w:sz w:val="32"/>
          <w:szCs w:val="32"/>
        </w:rPr>
      </w:pPr>
    </w:p>
    <w:p>
      <w:pPr>
        <w:pStyle w:val="3"/>
        <w:pageBreakBefore w:val="0"/>
        <w:widowControl w:val="0"/>
        <w:kinsoku/>
        <w:wordWrap/>
        <w:overflowPunct/>
        <w:topLinePunct w:val="0"/>
        <w:autoSpaceDE/>
        <w:autoSpaceDN/>
        <w:bidi w:val="0"/>
        <w:adjustRightInd w:val="0"/>
        <w:snapToGrid w:val="0"/>
        <w:spacing w:before="0" w:after="157" w:afterLines="50" w:line="560" w:lineRule="exact"/>
        <w:ind w:firstLine="640" w:firstLineChars="200"/>
        <w:textAlignment w:val="auto"/>
        <w:rPr>
          <w:rFonts w:hint="eastAsia" w:ascii="黑体" w:eastAsia="黑体"/>
          <w:b w:val="0"/>
          <w:color w:val="000000"/>
          <w:lang w:val="en-US" w:eastAsia="zh-CN"/>
        </w:rPr>
      </w:pPr>
      <w:bookmarkStart w:id="1" w:name="_Toc15377197"/>
      <w:bookmarkStart w:id="2" w:name="_Toc21498"/>
      <w:bookmarkStart w:id="3" w:name="_Toc15396600"/>
      <w:r>
        <w:rPr>
          <w:rFonts w:hint="eastAsia" w:ascii="黑体" w:eastAsia="黑体"/>
          <w:b w:val="0"/>
          <w:color w:val="000000"/>
          <w:lang w:val="en-US" w:eastAsia="zh-CN"/>
        </w:rPr>
        <w:t>一、基本职能及主要工作</w:t>
      </w:r>
      <w:bookmarkEnd w:id="1"/>
      <w:bookmarkEnd w:id="2"/>
      <w:bookmarkEnd w:id="3"/>
    </w:p>
    <w:p>
      <w:pPr>
        <w:spacing w:line="572" w:lineRule="exact"/>
        <w:ind w:firstLine="643" w:firstLineChars="200"/>
        <w:rPr>
          <w:rFonts w:hint="eastAsia" w:ascii="楷体" w:hAnsi="楷体" w:eastAsia="楷体" w:cs="仿宋"/>
          <w:b/>
          <w:bCs/>
          <w:sz w:val="32"/>
          <w:szCs w:val="32"/>
        </w:rPr>
      </w:pPr>
      <w:bookmarkStart w:id="4" w:name="_Toc15378445"/>
      <w:bookmarkStart w:id="5" w:name="_Toc15377198"/>
      <w:r>
        <w:rPr>
          <w:rFonts w:hint="eastAsia" w:ascii="楷体" w:hAnsi="楷体" w:eastAsia="楷体" w:cs="仿宋"/>
          <w:b/>
          <w:bCs/>
          <w:sz w:val="32"/>
          <w:szCs w:val="32"/>
        </w:rPr>
        <w:t>（一）主要职能</w:t>
      </w:r>
    </w:p>
    <w:bookmarkEnd w:id="4"/>
    <w:bookmarkEnd w:id="5"/>
    <w:p>
      <w:pPr>
        <w:spacing w:line="560" w:lineRule="exact"/>
        <w:ind w:firstLine="640" w:firstLineChars="200"/>
        <w:rPr>
          <w:rFonts w:hint="eastAsia" w:ascii="仿宋_GB2312" w:eastAsia="仿宋_GB2312"/>
          <w:sz w:val="32"/>
          <w:szCs w:val="32"/>
        </w:rPr>
      </w:pPr>
      <w:bookmarkStart w:id="6" w:name="_Toc15377199"/>
      <w:bookmarkStart w:id="7" w:name="_Toc15378446"/>
      <w:r>
        <w:rPr>
          <w:rFonts w:hint="eastAsia" w:ascii="仿宋_GB2312"/>
          <w:sz w:val="32"/>
          <w:szCs w:val="32"/>
          <w:lang w:val="en-US" w:eastAsia="zh-CN"/>
        </w:rPr>
        <w:t>1</w:t>
      </w:r>
      <w:r>
        <w:rPr>
          <w:rFonts w:ascii="仿宋_GB2312" w:eastAsia="仿宋_GB2312"/>
          <w:sz w:val="32"/>
          <w:szCs w:val="32"/>
        </w:rPr>
        <w:t>.</w:t>
      </w:r>
      <w:r>
        <w:rPr>
          <w:rFonts w:hint="eastAsia" w:ascii="仿宋_GB2312" w:eastAsia="仿宋_GB2312"/>
          <w:sz w:val="32"/>
          <w:szCs w:val="32"/>
        </w:rPr>
        <w:t>贯彻执行党和政府关于收养“三无”人员的方针、政策。</w:t>
      </w:r>
    </w:p>
    <w:p>
      <w:pPr>
        <w:spacing w:line="560" w:lineRule="exact"/>
        <w:ind w:firstLine="640" w:firstLineChars="200"/>
        <w:rPr>
          <w:rFonts w:hint="eastAsia" w:ascii="仿宋_GB2312" w:eastAsia="仿宋_GB2312"/>
          <w:sz w:val="32"/>
          <w:szCs w:val="32"/>
        </w:rPr>
      </w:pPr>
      <w:r>
        <w:rPr>
          <w:rFonts w:hint="eastAsia" w:ascii="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按政策规定接收供养“三无”人员及社会老人，并提供医疗、护理、康复等服务。</w:t>
      </w:r>
    </w:p>
    <w:p>
      <w:pPr>
        <w:spacing w:line="572" w:lineRule="exact"/>
        <w:ind w:firstLine="643" w:firstLineChars="200"/>
        <w:rPr>
          <w:rFonts w:hint="eastAsia" w:ascii="楷体" w:hAnsi="楷体" w:eastAsia="楷体" w:cs="仿宋"/>
          <w:b/>
          <w:bCs/>
          <w:sz w:val="32"/>
          <w:szCs w:val="32"/>
        </w:rPr>
      </w:pPr>
      <w:r>
        <w:rPr>
          <w:rFonts w:hint="eastAsia" w:ascii="楷体" w:hAnsi="楷体" w:eastAsia="楷体" w:cs="仿宋"/>
          <w:b/>
          <w:bCs/>
          <w:sz w:val="32"/>
          <w:szCs w:val="32"/>
        </w:rPr>
        <w:t>（二）2020年重点工作完成情况</w:t>
      </w:r>
      <w:bookmarkEnd w:id="6"/>
      <w:bookmarkEnd w:id="7"/>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w:t>
      </w:r>
      <w:r>
        <w:rPr>
          <w:rFonts w:hint="eastAsia" w:ascii="仿宋_GB2312" w:hAnsi="Times New Roman" w:eastAsia="仿宋_GB2312" w:cs="Times New Roman"/>
          <w:sz w:val="32"/>
          <w:szCs w:val="32"/>
          <w:lang w:val="en-US" w:eastAsia="zh-CN"/>
        </w:rPr>
        <w:t>20</w:t>
      </w:r>
      <w:r>
        <w:rPr>
          <w:rFonts w:hint="eastAsia" w:ascii="仿宋_GB2312" w:hAnsi="Times New Roman" w:eastAsia="仿宋_GB2312" w:cs="Times New Roman"/>
          <w:sz w:val="32"/>
          <w:szCs w:val="32"/>
        </w:rPr>
        <w:t>年，我院以“科学化、人性化、精益化”为工作导向，以“促进老龄事业健康发展，提高老年人生活质量”为工作重点，以加强安全建设为工作核心，坚持解放思想，创新工作思路，紧紧把握新阶段发展机遇，全体干部职工齐心协力完成</w:t>
      </w:r>
      <w:r>
        <w:rPr>
          <w:rFonts w:hint="eastAsia" w:ascii="仿宋_GB2312" w:cs="Times New Roman"/>
          <w:sz w:val="32"/>
          <w:szCs w:val="32"/>
          <w:lang w:eastAsia="zh-CN"/>
        </w:rPr>
        <w:t>了</w:t>
      </w:r>
      <w:r>
        <w:rPr>
          <w:rFonts w:hint="eastAsia" w:ascii="仿宋_GB2312" w:hAnsi="Times New Roman" w:eastAsia="仿宋_GB2312" w:cs="Times New Roman"/>
          <w:sz w:val="32"/>
          <w:szCs w:val="32"/>
        </w:rPr>
        <w:t>院内各项工作。</w:t>
      </w:r>
    </w:p>
    <w:p>
      <w:pPr>
        <w:keepNext w:val="0"/>
        <w:keepLines w:val="0"/>
        <w:pageBreakBefore w:val="0"/>
        <w:numPr>
          <w:ilvl w:val="0"/>
          <w:numId w:val="0"/>
        </w:numPr>
        <w:kinsoku/>
        <w:wordWrap/>
        <w:overflowPunct/>
        <w:topLinePunct w:val="0"/>
        <w:bidi w:val="0"/>
        <w:spacing w:line="560" w:lineRule="exact"/>
        <w:ind w:firstLine="643"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b/>
          <w:bCs/>
          <w:sz w:val="32"/>
          <w:szCs w:val="32"/>
        </w:rPr>
        <w:t>1</w:t>
      </w:r>
      <w:r>
        <w:rPr>
          <w:rFonts w:ascii="仿宋_GB2312" w:eastAsia="仿宋_GB2312"/>
          <w:b/>
          <w:bCs/>
          <w:sz w:val="32"/>
          <w:szCs w:val="32"/>
        </w:rPr>
        <w:t>.</w:t>
      </w:r>
      <w:r>
        <w:rPr>
          <w:rFonts w:hint="eastAsia" w:ascii="仿宋_GB2312" w:hAnsi="Times New Roman" w:eastAsia="仿宋_GB2312" w:cs="Times New Roman"/>
          <w:b/>
          <w:bCs/>
          <w:sz w:val="32"/>
          <w:szCs w:val="32"/>
        </w:rPr>
        <w:t>养护楼工程建设工作</w:t>
      </w:r>
      <w:r>
        <w:rPr>
          <w:rFonts w:hint="eastAsia" w:ascii="仿宋_GB2312" w:hAnsi="Times New Roman" w:cs="Times New Roman"/>
          <w:b/>
          <w:bCs/>
          <w:sz w:val="32"/>
          <w:szCs w:val="32"/>
          <w:lang w:eastAsia="zh-CN"/>
        </w:rPr>
        <w:t>。</w:t>
      </w:r>
      <w:r>
        <w:rPr>
          <w:rFonts w:hint="eastAsia" w:ascii="仿宋_GB2312" w:hAnsi="仿宋" w:eastAsia="仿宋_GB2312" w:cs="仿宋"/>
          <w:color w:val="000000"/>
          <w:sz w:val="32"/>
          <w:szCs w:val="32"/>
          <w:lang w:val="en-US" w:eastAsia="zh-CN"/>
        </w:rPr>
        <w:t>2020年福利院养护楼工程按照年初目标有序地进行建设，全年无任何安全事故发生。</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b/>
          <w:bCs/>
          <w:sz w:val="32"/>
          <w:szCs w:val="32"/>
        </w:rPr>
        <w:t>2</w:t>
      </w:r>
      <w:r>
        <w:rPr>
          <w:rFonts w:ascii="仿宋_GB2312" w:eastAsia="仿宋_GB2312"/>
          <w:b/>
          <w:bCs/>
          <w:sz w:val="32"/>
          <w:szCs w:val="32"/>
        </w:rPr>
        <w:t>.</w:t>
      </w:r>
      <w:r>
        <w:rPr>
          <w:rFonts w:hint="eastAsia" w:ascii="仿宋_GB2312" w:hAnsi="宋体" w:eastAsia="仿宋_GB2312" w:cs="仿宋_GB2312"/>
          <w:b/>
          <w:bCs/>
          <w:sz w:val="32"/>
          <w:szCs w:val="32"/>
        </w:rPr>
        <w:t>加强学习</w:t>
      </w:r>
      <w:r>
        <w:rPr>
          <w:rFonts w:hint="eastAsia" w:ascii="仿宋_GB2312" w:hAnsi="宋体" w:cs="仿宋_GB2312"/>
          <w:b/>
          <w:bCs/>
          <w:sz w:val="32"/>
          <w:szCs w:val="32"/>
          <w:lang w:eastAsia="zh-CN"/>
        </w:rPr>
        <w:t>。</w:t>
      </w:r>
      <w:r>
        <w:rPr>
          <w:rFonts w:ascii="仿宋_GB2312" w:hAnsi="宋体" w:eastAsia="仿宋_GB2312" w:cs="仿宋_GB2312"/>
          <w:sz w:val="32"/>
          <w:szCs w:val="32"/>
        </w:rPr>
        <w:t>加强政治思想和专业技术学习，全面提高职工综合素质和业务素质。</w:t>
      </w:r>
    </w:p>
    <w:p>
      <w:pPr>
        <w:spacing w:line="560" w:lineRule="exact"/>
        <w:ind w:firstLine="643" w:firstLineChars="200"/>
        <w:rPr>
          <w:rFonts w:ascii="仿宋_GB2312" w:hAnsi="宋体" w:eastAsia="仿宋_GB2312" w:cs="仿宋_GB2312"/>
          <w:sz w:val="32"/>
          <w:szCs w:val="32"/>
        </w:rPr>
      </w:pPr>
      <w:r>
        <w:rPr>
          <w:rFonts w:hint="eastAsia" w:ascii="仿宋_GB2312" w:hAnsi="宋体" w:eastAsia="仿宋_GB2312" w:cs="仿宋_GB2312"/>
          <w:b/>
          <w:bCs/>
          <w:sz w:val="32"/>
          <w:szCs w:val="32"/>
        </w:rPr>
        <w:t>3</w:t>
      </w:r>
      <w:r>
        <w:rPr>
          <w:rFonts w:ascii="仿宋_GB2312" w:eastAsia="仿宋_GB2312"/>
          <w:b/>
          <w:bCs/>
          <w:sz w:val="32"/>
          <w:szCs w:val="32"/>
        </w:rPr>
        <w:t>.</w:t>
      </w:r>
      <w:r>
        <w:rPr>
          <w:rFonts w:hint="eastAsia" w:ascii="仿宋_GB2312" w:hAnsi="宋体" w:eastAsia="仿宋_GB2312" w:cs="仿宋_GB2312"/>
          <w:b/>
          <w:bCs/>
          <w:sz w:val="32"/>
          <w:szCs w:val="32"/>
        </w:rPr>
        <w:t>加强管理</w:t>
      </w:r>
      <w:r>
        <w:rPr>
          <w:rFonts w:hint="eastAsia" w:ascii="仿宋_GB2312" w:hAnsi="宋体" w:cs="仿宋_GB2312"/>
          <w:b/>
          <w:bCs/>
          <w:sz w:val="32"/>
          <w:szCs w:val="32"/>
          <w:lang w:eastAsia="zh-CN"/>
        </w:rPr>
        <w:t>。</w:t>
      </w:r>
      <w:r>
        <w:rPr>
          <w:rFonts w:ascii="仿宋_GB2312" w:hAnsi="宋体" w:eastAsia="仿宋_GB2312" w:cs="仿宋_GB2312"/>
          <w:sz w:val="32"/>
          <w:szCs w:val="32"/>
        </w:rPr>
        <w:t>完善制度，严格落实年度目标责任制，切实形成年度目标任务件件有着落，事事有人管，层层抓落实的良好局面。</w:t>
      </w:r>
    </w:p>
    <w:p>
      <w:pPr>
        <w:pageBreakBefore w:val="0"/>
        <w:widowControl w:val="0"/>
        <w:kinsoku/>
        <w:wordWrap/>
        <w:overflowPunct/>
        <w:topLinePunct w:val="0"/>
        <w:autoSpaceDE/>
        <w:autoSpaceDN/>
        <w:bidi w:val="0"/>
        <w:adjustRightInd w:val="0"/>
        <w:snapToGrid w:val="0"/>
        <w:spacing w:after="157" w:afterLines="50" w:line="560" w:lineRule="exact"/>
        <w:ind w:firstLine="643" w:firstLineChars="200"/>
        <w:textAlignment w:val="auto"/>
        <w:rPr>
          <w:rFonts w:hint="eastAsia" w:ascii="仿宋" w:hAnsi="仿宋" w:eastAsia="仿宋"/>
          <w:bCs/>
          <w:color w:val="000000"/>
          <w:sz w:val="32"/>
          <w:szCs w:val="32"/>
        </w:rPr>
      </w:pPr>
      <w:r>
        <w:rPr>
          <w:rFonts w:hint="eastAsia" w:ascii="仿宋_GB2312" w:hAnsi="宋体" w:eastAsia="仿宋_GB2312" w:cs="仿宋_GB2312"/>
          <w:b/>
          <w:bCs/>
          <w:sz w:val="32"/>
          <w:szCs w:val="32"/>
        </w:rPr>
        <w:t>4</w:t>
      </w:r>
      <w:r>
        <w:rPr>
          <w:rFonts w:ascii="仿宋_GB2312" w:eastAsia="仿宋_GB2312"/>
          <w:b/>
          <w:bCs/>
          <w:sz w:val="32"/>
          <w:szCs w:val="32"/>
        </w:rPr>
        <w:t>.</w:t>
      </w:r>
      <w:r>
        <w:rPr>
          <w:rFonts w:hint="eastAsia" w:ascii="仿宋_GB2312" w:hAnsi="宋体" w:eastAsia="仿宋_GB2312" w:cs="仿宋_GB2312"/>
          <w:b/>
          <w:bCs/>
          <w:sz w:val="32"/>
          <w:szCs w:val="32"/>
        </w:rPr>
        <w:t>提高服务质量</w:t>
      </w:r>
      <w:r>
        <w:rPr>
          <w:rFonts w:hint="eastAsia" w:ascii="仿宋_GB2312" w:hAnsi="宋体" w:cs="仿宋_GB2312"/>
          <w:b/>
          <w:bCs/>
          <w:sz w:val="32"/>
          <w:szCs w:val="32"/>
          <w:lang w:eastAsia="zh-CN"/>
        </w:rPr>
        <w:t>。</w:t>
      </w:r>
      <w:r>
        <w:rPr>
          <w:rFonts w:ascii="仿宋_GB2312" w:hAnsi="宋体" w:eastAsia="仿宋_GB2312" w:cs="仿宋_GB2312"/>
          <w:sz w:val="32"/>
          <w:szCs w:val="32"/>
        </w:rPr>
        <w:t>紧紧围绕老有所养、老有所居</w:t>
      </w:r>
      <w:r>
        <w:rPr>
          <w:rFonts w:hint="eastAsia" w:ascii="仿宋_GB2312" w:hAnsi="宋体" w:cs="仿宋_GB2312"/>
          <w:sz w:val="32"/>
          <w:szCs w:val="32"/>
          <w:lang w:eastAsia="zh-CN"/>
        </w:rPr>
        <w:t>、</w:t>
      </w:r>
      <w:r>
        <w:rPr>
          <w:rFonts w:ascii="仿宋_GB2312" w:hAnsi="宋体" w:eastAsia="仿宋_GB2312" w:cs="仿宋_GB2312"/>
          <w:sz w:val="32"/>
          <w:szCs w:val="32"/>
        </w:rPr>
        <w:t>老有所乐、病有所治开展工作。努力打造建设一个宜居福利院、文化福利院、绿色福利院、平安福利院</w:t>
      </w:r>
      <w:r>
        <w:rPr>
          <w:rFonts w:hint="eastAsia" w:ascii="仿宋_GB2312" w:hAnsi="宋体" w:cs="仿宋_GB2312"/>
          <w:sz w:val="32"/>
          <w:szCs w:val="32"/>
          <w:lang w:eastAsia="zh-CN"/>
        </w:rPr>
        <w:t>、</w:t>
      </w:r>
      <w:r>
        <w:rPr>
          <w:rFonts w:ascii="仿宋_GB2312" w:hAnsi="宋体" w:eastAsia="仿宋_GB2312" w:cs="仿宋_GB2312"/>
          <w:sz w:val="32"/>
          <w:szCs w:val="32"/>
        </w:rPr>
        <w:t>健康福利院，在全社会中树立良好的福利机构形象。共同努力把福利院建成老人得实惠、院受益、设备齐全、生活就医方便的一个让人向往的精神家园。</w:t>
      </w:r>
    </w:p>
    <w:p>
      <w:pPr>
        <w:pStyle w:val="3"/>
        <w:pageBreakBefore w:val="0"/>
        <w:widowControl w:val="0"/>
        <w:kinsoku/>
        <w:wordWrap/>
        <w:overflowPunct/>
        <w:topLinePunct w:val="0"/>
        <w:autoSpaceDE/>
        <w:autoSpaceDN/>
        <w:bidi w:val="0"/>
        <w:adjustRightInd w:val="0"/>
        <w:snapToGrid w:val="0"/>
        <w:spacing w:before="0" w:after="157" w:afterLines="50" w:line="560" w:lineRule="exact"/>
        <w:ind w:firstLine="640" w:firstLineChars="200"/>
        <w:textAlignment w:val="auto"/>
        <w:rPr>
          <w:rStyle w:val="15"/>
          <w:rFonts w:hint="eastAsia" w:ascii="黑体" w:hAnsi="黑体" w:eastAsia="黑体"/>
          <w:b w:val="0"/>
          <w:bCs w:val="0"/>
        </w:rPr>
      </w:pPr>
      <w:bookmarkStart w:id="8" w:name="_Toc15377200"/>
      <w:bookmarkStart w:id="9" w:name="_Toc6092"/>
      <w:bookmarkStart w:id="10" w:name="_Toc15396601"/>
      <w:r>
        <w:rPr>
          <w:rFonts w:hint="eastAsia" w:ascii="黑体" w:eastAsia="黑体"/>
          <w:b w:val="0"/>
          <w:color w:val="000000"/>
        </w:rPr>
        <w:t>二、</w:t>
      </w:r>
      <w:r>
        <w:rPr>
          <w:rFonts w:hint="eastAsia" w:ascii="黑体" w:hAnsi="黑体" w:eastAsia="黑体"/>
          <w:b w:val="0"/>
          <w:color w:val="000000"/>
        </w:rPr>
        <w:t>机</w:t>
      </w:r>
      <w:r>
        <w:rPr>
          <w:rStyle w:val="15"/>
          <w:rFonts w:hint="eastAsia" w:ascii="黑体" w:hAnsi="黑体" w:eastAsia="黑体"/>
          <w:b w:val="0"/>
          <w:bCs w:val="0"/>
        </w:rPr>
        <w:t>构设置</w:t>
      </w:r>
      <w:bookmarkEnd w:id="8"/>
      <w:bookmarkEnd w:id="9"/>
      <w:bookmarkEnd w:id="10"/>
    </w:p>
    <w:p>
      <w:pPr>
        <w:pStyle w:val="3"/>
        <w:pageBreakBefore w:val="0"/>
        <w:widowControl w:val="0"/>
        <w:kinsoku/>
        <w:wordWrap/>
        <w:overflowPunct/>
        <w:topLinePunct w:val="0"/>
        <w:autoSpaceDE/>
        <w:autoSpaceDN/>
        <w:bidi w:val="0"/>
        <w:adjustRightInd w:val="0"/>
        <w:snapToGrid w:val="0"/>
        <w:spacing w:before="0" w:after="157" w:afterLines="50" w:line="560" w:lineRule="exact"/>
        <w:ind w:firstLine="640" w:firstLineChars="200"/>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自贡市自流井区社会福利院下属二级单位0个（含主管局本级），其中行政单位0个，参照公务员法管理的事业单位0个，其他事业单位0个。是自流井区民政局下属二级单位。</w:t>
      </w:r>
    </w:p>
    <w:p>
      <w:pPr>
        <w:widowControl/>
        <w:jc w:val="left"/>
        <w:rPr>
          <w:rFonts w:ascii="仿宋" w:hAnsi="仿宋" w:eastAsia="仿宋"/>
          <w:color w:val="000000"/>
          <w:kern w:val="0"/>
          <w:sz w:val="32"/>
          <w:szCs w:val="32"/>
        </w:rPr>
      </w:pPr>
      <w:r>
        <w:rPr>
          <w:rFonts w:ascii="仿宋" w:hAnsi="仿宋" w:eastAsia="仿宋"/>
          <w:color w:val="000000"/>
          <w:sz w:val="32"/>
          <w:szCs w:val="32"/>
        </w:rPr>
        <w:br w:type="page"/>
      </w:r>
    </w:p>
    <w:p>
      <w:pPr>
        <w:pStyle w:val="2"/>
        <w:ind w:right="440"/>
        <w:jc w:val="right"/>
      </w:pPr>
      <w:bookmarkStart w:id="11" w:name="_Toc15396602"/>
      <w:bookmarkStart w:id="12" w:name="_Toc15377204"/>
      <w:bookmarkStart w:id="13" w:name="_Toc23109"/>
      <w:r>
        <w:rPr>
          <w:rFonts w:hint="eastAsia" w:ascii="黑体" w:hAnsi="黑体" w:eastAsia="黑体"/>
          <w:b w:val="0"/>
          <w:color w:val="000000"/>
        </w:rPr>
        <w:t>第二部分</w:t>
      </w:r>
      <w:r>
        <w:rPr>
          <w:rFonts w:ascii="黑体" w:hAnsi="黑体" w:eastAsia="黑体"/>
          <w:color w:val="000000"/>
        </w:rPr>
        <w:t xml:space="preserve"> </w:t>
      </w:r>
      <w:r>
        <w:rPr>
          <w:rStyle w:val="14"/>
          <w:rFonts w:ascii="黑体" w:hAnsi="黑体" w:eastAsia="黑体"/>
          <w:b w:val="0"/>
          <w:bCs w:val="0"/>
        </w:rPr>
        <w:t>2020</w:t>
      </w:r>
      <w:r>
        <w:rPr>
          <w:rStyle w:val="14"/>
          <w:rFonts w:hint="eastAsia" w:ascii="黑体" w:hAnsi="黑体" w:eastAsia="黑体"/>
          <w:b w:val="0"/>
          <w:bCs w:val="0"/>
        </w:rPr>
        <w:t>年度部门决算情况说明</w:t>
      </w:r>
      <w:bookmarkEnd w:id="11"/>
      <w:bookmarkEnd w:id="12"/>
      <w:bookmarkEnd w:id="13"/>
    </w:p>
    <w:p>
      <w:pPr>
        <w:pStyle w:val="16"/>
        <w:numPr>
          <w:ilvl w:val="0"/>
          <w:numId w:val="1"/>
        </w:numPr>
        <w:spacing w:line="600" w:lineRule="exact"/>
        <w:ind w:firstLineChars="0"/>
        <w:outlineLvl w:val="1"/>
        <w:rPr>
          <w:rStyle w:val="15"/>
          <w:rFonts w:ascii="黑体" w:hAnsi="黑体" w:eastAsia="黑体"/>
          <w:b w:val="0"/>
        </w:rPr>
      </w:pPr>
      <w:bookmarkStart w:id="14" w:name="_Toc7163"/>
      <w:bookmarkStart w:id="15" w:name="_Toc15377205"/>
      <w:bookmarkStart w:id="16" w:name="_Toc15396603"/>
      <w:r>
        <w:rPr>
          <w:rFonts w:hint="eastAsia" w:ascii="黑体" w:hAnsi="黑体" w:eastAsia="黑体"/>
          <w:color w:val="000000"/>
          <w:sz w:val="32"/>
          <w:szCs w:val="32"/>
        </w:rPr>
        <w:t>收</w:t>
      </w:r>
      <w:r>
        <w:rPr>
          <w:rStyle w:val="15"/>
          <w:rFonts w:hint="eastAsia" w:ascii="黑体" w:hAnsi="黑体" w:eastAsia="黑体"/>
          <w:b w:val="0"/>
        </w:rPr>
        <w:t>入支出决算总体情况说明</w:t>
      </w:r>
      <w:bookmarkEnd w:id="14"/>
      <w:bookmarkEnd w:id="15"/>
      <w:bookmarkEnd w:id="16"/>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 w:hAnsi="仿宋" w:eastAsia="仿宋" w:cs="Times New Roman"/>
          <w:color w:val="000000"/>
          <w:kern w:val="2"/>
          <w:sz w:val="32"/>
          <w:szCs w:val="32"/>
          <w:lang w:val="en-US" w:eastAsia="zh-CN" w:bidi="ar-SA"/>
        </w:rPr>
        <w:t>2020年度收、支总计243.04万元。与2019年相比，收、支总计各增加103.82万元，增长74.57</w:t>
      </w:r>
      <w:r>
        <w:rPr>
          <w:rFonts w:ascii="仿宋" w:hAnsi="仿宋" w:eastAsia="仿宋"/>
          <w:color w:val="000000"/>
          <w:sz w:val="32"/>
          <w:szCs w:val="32"/>
        </w:rPr>
        <w:t>%</w:t>
      </w:r>
      <w:r>
        <w:rPr>
          <w:rFonts w:hint="eastAsia" w:ascii="仿宋" w:hAnsi="仿宋" w:eastAsia="仿宋"/>
          <w:color w:val="000000"/>
          <w:sz w:val="32"/>
          <w:szCs w:val="32"/>
          <w:lang w:eastAsia="zh-CN"/>
        </w:rPr>
        <w:t>。主要变动原因是</w:t>
      </w:r>
      <w:r>
        <w:rPr>
          <w:rFonts w:hint="eastAsia" w:ascii="仿宋_GB2312" w:hAnsi="仿宋" w:eastAsia="仿宋_GB2312" w:cs="仿宋"/>
          <w:color w:val="000000"/>
          <w:sz w:val="32"/>
          <w:szCs w:val="32"/>
          <w:lang w:val="en-US" w:eastAsia="zh-CN"/>
        </w:rPr>
        <w:t>2020年</w:t>
      </w:r>
      <w:r>
        <w:rPr>
          <w:rFonts w:hint="eastAsia" w:ascii="仿宋_GB2312" w:hAnsi="仿宋" w:cs="仿宋"/>
          <w:color w:val="000000"/>
          <w:sz w:val="32"/>
          <w:szCs w:val="32"/>
          <w:lang w:val="en-US" w:eastAsia="zh-CN"/>
        </w:rPr>
        <w:t>增加</w:t>
      </w:r>
      <w:r>
        <w:rPr>
          <w:rFonts w:hint="eastAsia" w:ascii="仿宋_GB2312" w:hAnsi="仿宋" w:eastAsia="仿宋_GB2312" w:cs="仿宋"/>
          <w:color w:val="000000"/>
          <w:sz w:val="32"/>
          <w:szCs w:val="32"/>
          <w:lang w:val="en-US" w:eastAsia="zh-CN"/>
        </w:rPr>
        <w:t>“自贡市自流井区社会福利院养护楼工程”项目。</w:t>
      </w:r>
    </w:p>
    <w:p>
      <w:pPr>
        <w:spacing w:line="600" w:lineRule="exact"/>
        <w:rPr>
          <w:rFonts w:hint="eastAsia"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1312" behindDoc="1" locked="0" layoutInCell="1" allowOverlap="1">
            <wp:simplePos x="0" y="0"/>
            <wp:positionH relativeFrom="page">
              <wp:posOffset>1867535</wp:posOffset>
            </wp:positionH>
            <wp:positionV relativeFrom="page">
              <wp:posOffset>3326765</wp:posOffset>
            </wp:positionV>
            <wp:extent cx="4156710" cy="3354070"/>
            <wp:effectExtent l="4445" t="4445" r="10795" b="13335"/>
            <wp:wrapTight wrapText="bothSides">
              <wp:wrapPolygon>
                <wp:start x="-23" y="-29"/>
                <wp:lineTo x="-23" y="21563"/>
                <wp:lineTo x="21557" y="21563"/>
                <wp:lineTo x="21557" y="-29"/>
                <wp:lineTo x="-23" y="-29"/>
              </wp:wrapPolygon>
            </wp:wrapTight>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960" w:firstLineChars="300"/>
        <w:rPr>
          <w:rFonts w:ascii="仿宋_GB2312" w:eastAsia="仿宋_GB2312"/>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w:t>
      </w:r>
      <w:r>
        <w:rPr>
          <w:rFonts w:hint="eastAsia" w:ascii="仿宋" w:hAnsi="仿宋" w:eastAsia="仿宋"/>
          <w:color w:val="000000"/>
          <w:sz w:val="32"/>
          <w:szCs w:val="32"/>
          <w:lang w:eastAsia="zh-CN"/>
        </w:rPr>
        <w:t>单位：万元</w:t>
      </w:r>
      <w:r>
        <w:rPr>
          <w:rFonts w:hint="eastAsia" w:ascii="仿宋" w:hAnsi="仿宋" w:eastAsia="仿宋"/>
          <w:color w:val="000000"/>
          <w:sz w:val="32"/>
          <w:szCs w:val="32"/>
        </w:rPr>
        <w:t>）</w:t>
      </w:r>
    </w:p>
    <w:p>
      <w:pPr>
        <w:pStyle w:val="16"/>
        <w:numPr>
          <w:ilvl w:val="0"/>
          <w:numId w:val="1"/>
        </w:numPr>
        <w:spacing w:line="600" w:lineRule="exact"/>
        <w:ind w:firstLineChars="0"/>
        <w:outlineLvl w:val="1"/>
        <w:rPr>
          <w:rStyle w:val="15"/>
          <w:rFonts w:ascii="黑体" w:hAnsi="黑体" w:eastAsia="黑体"/>
          <w:b w:val="0"/>
        </w:rPr>
      </w:pPr>
      <w:bookmarkStart w:id="17" w:name="_Toc15396604"/>
      <w:bookmarkStart w:id="18" w:name="_Toc25258"/>
      <w:bookmarkStart w:id="19" w:name="_Toc15377206"/>
      <w:r>
        <w:rPr>
          <w:rFonts w:hint="eastAsia" w:ascii="黑体" w:hAnsi="黑体" w:eastAsia="黑体"/>
          <w:color w:val="000000"/>
          <w:sz w:val="32"/>
          <w:szCs w:val="32"/>
        </w:rPr>
        <w:t>收</w:t>
      </w:r>
      <w:r>
        <w:rPr>
          <w:rStyle w:val="15"/>
          <w:rFonts w:hint="eastAsia" w:ascii="黑体" w:hAnsi="黑体" w:eastAsia="黑体"/>
          <w:b w:val="0"/>
        </w:rPr>
        <w:t>入决算情况说明</w:t>
      </w:r>
      <w:bookmarkEnd w:id="17"/>
      <w:bookmarkEnd w:id="18"/>
      <w:bookmarkEnd w:id="19"/>
    </w:p>
    <w:p>
      <w:pPr>
        <w:spacing w:line="600" w:lineRule="exact"/>
        <w:ind w:firstLine="640" w:firstLineChars="200"/>
        <w:outlineLvl w:val="9"/>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240.01</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190.01</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79.17</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50.00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20.83</w:t>
      </w:r>
      <w:r>
        <w:rPr>
          <w:rFonts w:ascii="仿宋" w:hAnsi="仿宋" w:eastAsia="仿宋"/>
          <w:color w:val="000000"/>
          <w:sz w:val="32"/>
          <w:szCs w:val="32"/>
        </w:rPr>
        <w:t>%</w:t>
      </w:r>
      <w:r>
        <w:rPr>
          <w:rFonts w:hint="eastAsia" w:ascii="仿宋" w:hAnsi="仿宋" w:eastAsia="仿宋"/>
          <w:color w:val="000000"/>
          <w:sz w:val="32"/>
          <w:szCs w:val="32"/>
        </w:rPr>
        <w:t>；上级补助收入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outlineLvl w:val="1"/>
        <w:rPr>
          <w:rFonts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2336" behindDoc="1" locked="0" layoutInCell="1" allowOverlap="1">
            <wp:simplePos x="0" y="0"/>
            <wp:positionH relativeFrom="column">
              <wp:posOffset>857885</wp:posOffset>
            </wp:positionH>
            <wp:positionV relativeFrom="paragraph">
              <wp:posOffset>70485</wp:posOffset>
            </wp:positionV>
            <wp:extent cx="3575685" cy="2820035"/>
            <wp:effectExtent l="4445" t="4445" r="20320" b="13970"/>
            <wp:wrapTight wrapText="bothSides">
              <wp:wrapPolygon>
                <wp:start x="-27" y="-34"/>
                <wp:lineTo x="-27" y="21561"/>
                <wp:lineTo x="21493" y="21561"/>
                <wp:lineTo x="21493" y="-34"/>
                <wp:lineTo x="-27" y="-34"/>
              </wp:wrapPolygon>
            </wp:wrapTight>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firstLineChars="200"/>
        <w:outlineLvl w:val="1"/>
        <w:rPr>
          <w:rFonts w:hint="eastAsia" w:ascii="仿宋" w:hAnsi="仿宋" w:eastAsia="仿宋"/>
          <w:color w:val="000000"/>
          <w:sz w:val="32"/>
          <w:szCs w:val="32"/>
          <w:lang w:eastAsia="zh-CN"/>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1600" w:firstLineChars="500"/>
        <w:rPr>
          <w:rFonts w:ascii="仿宋_GB2312" w:eastAsia="仿宋_GB2312"/>
          <w:color w:val="FF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w:t>
      </w:r>
      <w:r>
        <w:rPr>
          <w:rFonts w:hint="eastAsia" w:ascii="仿宋" w:hAnsi="仿宋" w:eastAsia="仿宋"/>
          <w:color w:val="000000"/>
          <w:sz w:val="32"/>
          <w:szCs w:val="32"/>
          <w:lang w:eastAsia="zh-CN"/>
        </w:rPr>
        <w:t>单位：万元</w:t>
      </w:r>
      <w:r>
        <w:rPr>
          <w:rFonts w:hint="eastAsia" w:ascii="仿宋" w:hAnsi="仿宋" w:eastAsia="仿宋"/>
          <w:color w:val="000000"/>
          <w:sz w:val="32"/>
          <w:szCs w:val="32"/>
        </w:rPr>
        <w:t>）</w:t>
      </w:r>
    </w:p>
    <w:p>
      <w:pPr>
        <w:pStyle w:val="16"/>
        <w:numPr>
          <w:ilvl w:val="0"/>
          <w:numId w:val="1"/>
        </w:numPr>
        <w:spacing w:line="600" w:lineRule="exact"/>
        <w:ind w:firstLineChars="0"/>
        <w:outlineLvl w:val="1"/>
        <w:rPr>
          <w:rStyle w:val="15"/>
          <w:rFonts w:ascii="黑体" w:hAnsi="黑体" w:eastAsia="黑体"/>
          <w:b w:val="0"/>
        </w:rPr>
      </w:pPr>
      <w:bookmarkStart w:id="20" w:name="_Toc13725"/>
      <w:bookmarkStart w:id="21" w:name="_Toc15377207"/>
      <w:bookmarkStart w:id="22" w:name="_Toc15396605"/>
      <w:r>
        <w:rPr>
          <w:rFonts w:hint="eastAsia" w:ascii="黑体" w:hAnsi="黑体" w:eastAsia="黑体"/>
          <w:color w:val="000000"/>
          <w:sz w:val="32"/>
          <w:szCs w:val="32"/>
        </w:rPr>
        <w:t>支</w:t>
      </w:r>
      <w:r>
        <w:rPr>
          <w:rStyle w:val="15"/>
          <w:rFonts w:hint="eastAsia" w:ascii="黑体" w:hAnsi="黑体" w:eastAsia="黑体"/>
          <w:b w:val="0"/>
        </w:rPr>
        <w:t>出决算情况说明</w:t>
      </w:r>
      <w:bookmarkEnd w:id="20"/>
      <w:bookmarkEnd w:id="21"/>
      <w:bookmarkEnd w:id="22"/>
    </w:p>
    <w:p>
      <w:pPr>
        <w:spacing w:line="600" w:lineRule="exact"/>
        <w:ind w:firstLine="640" w:firstLineChars="200"/>
        <w:outlineLvl w:val="9"/>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192.32</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143.04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74.38</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49.28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25.62</w:t>
      </w:r>
      <w:r>
        <w:rPr>
          <w:rFonts w:ascii="仿宋" w:hAnsi="仿宋" w:eastAsia="仿宋"/>
          <w:color w:val="000000"/>
          <w:sz w:val="32"/>
          <w:szCs w:val="32"/>
        </w:rPr>
        <w:t>%</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outlineLvl w:val="9"/>
        <w:rPr>
          <w:rFonts w:ascii="仿宋" w:hAnsi="仿宋" w:eastAsia="仿宋"/>
          <w:color w:val="000000"/>
          <w:sz w:val="32"/>
          <w:szCs w:val="32"/>
          <w:shd w:val="pct10" w:color="auto" w:fill="FFFFFF"/>
        </w:rPr>
      </w:pPr>
      <w:r>
        <w:rPr>
          <w:rFonts w:hint="eastAsia" w:ascii="仿宋" w:hAnsi="仿宋" w:eastAsia="仿宋"/>
          <w:color w:val="000000"/>
          <w:sz w:val="32"/>
          <w:szCs w:val="32"/>
          <w:shd w:val="pct10" w:color="auto" w:fill="FFFFFF"/>
          <w:lang w:eastAsia="zh-CN"/>
        </w:rPr>
        <w:drawing>
          <wp:anchor distT="0" distB="0" distL="114300" distR="114300" simplePos="0" relativeHeight="251663360" behindDoc="1" locked="0" layoutInCell="1" allowOverlap="1">
            <wp:simplePos x="0" y="0"/>
            <wp:positionH relativeFrom="column">
              <wp:posOffset>772160</wp:posOffset>
            </wp:positionH>
            <wp:positionV relativeFrom="paragraph">
              <wp:posOffset>66675</wp:posOffset>
            </wp:positionV>
            <wp:extent cx="3985260" cy="2685415"/>
            <wp:effectExtent l="4445" t="4445" r="10795" b="53340"/>
            <wp:wrapTight wrapText="bothSides">
              <wp:wrapPolygon>
                <wp:start x="-24" y="-36"/>
                <wp:lineTo x="-24" y="21416"/>
                <wp:lineTo x="21555" y="21416"/>
                <wp:lineTo x="21555" y="-36"/>
                <wp:lineTo x="-24" y="-36"/>
              </wp:wrapPolygon>
            </wp:wrapTight>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outlineLvl w:val="9"/>
        <w:rPr>
          <w:rFonts w:ascii="仿宋" w:hAnsi="仿宋" w:eastAsia="仿宋"/>
          <w:color w:val="000000"/>
          <w:sz w:val="32"/>
          <w:szCs w:val="32"/>
          <w:shd w:val="pct10" w:color="auto" w:fill="FFFFFF"/>
        </w:rPr>
      </w:pPr>
    </w:p>
    <w:p>
      <w:pPr>
        <w:spacing w:line="600" w:lineRule="exact"/>
        <w:ind w:firstLine="640"/>
        <w:outlineLvl w:val="9"/>
        <w:rPr>
          <w:rFonts w:ascii="仿宋" w:hAnsi="仿宋" w:eastAsia="仿宋"/>
          <w:color w:val="000000"/>
          <w:sz w:val="32"/>
          <w:szCs w:val="32"/>
          <w:shd w:val="pct10" w:color="auto" w:fill="FFFFFF"/>
        </w:rPr>
      </w:pPr>
    </w:p>
    <w:p>
      <w:pPr>
        <w:spacing w:line="600" w:lineRule="exact"/>
        <w:ind w:firstLine="640"/>
        <w:outlineLvl w:val="9"/>
        <w:rPr>
          <w:rFonts w:ascii="仿宋" w:hAnsi="仿宋" w:eastAsia="仿宋"/>
          <w:color w:val="000000"/>
          <w:sz w:val="32"/>
          <w:szCs w:val="32"/>
          <w:shd w:val="pct10" w:color="auto" w:fill="FFFFFF"/>
        </w:rPr>
      </w:pPr>
    </w:p>
    <w:p>
      <w:pPr>
        <w:spacing w:line="600" w:lineRule="exact"/>
        <w:ind w:firstLine="640"/>
        <w:outlineLvl w:val="9"/>
        <w:rPr>
          <w:rFonts w:ascii="仿宋" w:hAnsi="仿宋" w:eastAsia="仿宋"/>
          <w:color w:val="000000"/>
          <w:sz w:val="32"/>
          <w:szCs w:val="32"/>
          <w:shd w:val="pct10" w:color="auto" w:fill="FFFFFF"/>
        </w:rPr>
      </w:pPr>
    </w:p>
    <w:p>
      <w:pPr>
        <w:spacing w:line="600" w:lineRule="exact"/>
        <w:ind w:firstLine="640"/>
        <w:outlineLvl w:val="9"/>
        <w:rPr>
          <w:rFonts w:hint="eastAsia" w:ascii="仿宋" w:hAnsi="仿宋" w:eastAsia="仿宋"/>
          <w:color w:val="000000"/>
          <w:sz w:val="32"/>
          <w:szCs w:val="32"/>
          <w:shd w:val="pct10" w:color="auto" w:fill="FFFFFF"/>
          <w:lang w:eastAsia="zh-CN"/>
        </w:rPr>
      </w:pPr>
    </w:p>
    <w:p>
      <w:pPr>
        <w:spacing w:line="600" w:lineRule="exact"/>
        <w:ind w:firstLine="1600" w:firstLineChars="500"/>
        <w:rPr>
          <w:rFonts w:hint="eastAsia" w:ascii="仿宋" w:hAnsi="仿宋" w:eastAsia="仿宋"/>
          <w:color w:val="000000"/>
          <w:sz w:val="32"/>
          <w:szCs w:val="32"/>
        </w:rPr>
      </w:pPr>
    </w:p>
    <w:p>
      <w:pPr>
        <w:spacing w:line="600" w:lineRule="exact"/>
        <w:ind w:firstLine="1280" w:firstLineChars="400"/>
        <w:rPr>
          <w:rFonts w:ascii="仿宋_GB2312" w:eastAsia="仿宋_GB2312"/>
          <w:color w:val="FF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w:t>
      </w:r>
      <w:r>
        <w:rPr>
          <w:rFonts w:hint="eastAsia" w:ascii="仿宋" w:hAnsi="仿宋" w:eastAsia="仿宋"/>
          <w:color w:val="000000"/>
          <w:sz w:val="32"/>
          <w:szCs w:val="32"/>
          <w:lang w:eastAsia="zh-CN"/>
        </w:rPr>
        <w:t>单位：万元</w:t>
      </w:r>
      <w:r>
        <w:rPr>
          <w:rFonts w:hint="eastAsia" w:ascii="仿宋" w:hAnsi="仿宋" w:eastAsia="仿宋"/>
          <w:color w:val="000000"/>
          <w:sz w:val="32"/>
          <w:szCs w:val="32"/>
        </w:rPr>
        <w:t>）</w:t>
      </w:r>
    </w:p>
    <w:p>
      <w:pPr>
        <w:spacing w:line="600" w:lineRule="exact"/>
        <w:ind w:firstLine="640" w:firstLineChars="200"/>
        <w:outlineLvl w:val="1"/>
        <w:rPr>
          <w:rStyle w:val="15"/>
          <w:rFonts w:ascii="黑体" w:hAnsi="黑体" w:eastAsia="黑体"/>
          <w:b w:val="0"/>
        </w:rPr>
      </w:pPr>
      <w:bookmarkStart w:id="23" w:name="_Toc10354"/>
      <w:bookmarkStart w:id="24" w:name="_Toc15377208"/>
      <w:bookmarkStart w:id="25" w:name="_Toc15396606"/>
      <w:r>
        <w:rPr>
          <w:rFonts w:hint="eastAsia" w:ascii="黑体" w:hAnsi="黑体" w:eastAsia="黑体"/>
          <w:color w:val="000000"/>
          <w:sz w:val="32"/>
          <w:szCs w:val="32"/>
        </w:rPr>
        <w:t>四、财</w:t>
      </w:r>
      <w:r>
        <w:rPr>
          <w:rStyle w:val="15"/>
          <w:rFonts w:hint="eastAsia" w:ascii="黑体" w:hAnsi="黑体" w:eastAsia="黑体"/>
          <w:b w:val="0"/>
        </w:rPr>
        <w:t>政拨款收入支出决算总体情况说明</w:t>
      </w:r>
      <w:bookmarkEnd w:id="23"/>
      <w:bookmarkEnd w:id="24"/>
      <w:bookmarkEnd w:id="25"/>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ascii="仿宋" w:hAnsi="仿宋" w:eastAsia="仿宋"/>
          <w:color w:val="000000"/>
          <w:sz w:val="32"/>
          <w:szCs w:val="32"/>
        </w:rPr>
        <w:t>2020</w:t>
      </w:r>
      <w:r>
        <w:rPr>
          <w:rFonts w:hint="eastAsia" w:ascii="仿宋" w:hAnsi="仿宋" w:eastAsia="仿宋"/>
          <w:color w:val="000000"/>
          <w:sz w:val="32"/>
          <w:szCs w:val="32"/>
        </w:rPr>
        <w:t>年财政拨款收、支总计</w:t>
      </w:r>
      <w:r>
        <w:rPr>
          <w:rFonts w:hint="eastAsia" w:ascii="仿宋" w:hAnsi="仿宋" w:eastAsia="仿宋"/>
          <w:color w:val="000000"/>
          <w:sz w:val="32"/>
          <w:szCs w:val="32"/>
          <w:lang w:val="en-US" w:eastAsia="zh-CN"/>
        </w:rPr>
        <w:t>243.04</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年相比，财政拨款收、支总计各增加</w:t>
      </w:r>
      <w:r>
        <w:rPr>
          <w:rFonts w:hint="eastAsia" w:ascii="仿宋" w:hAnsi="仿宋" w:eastAsia="仿宋"/>
          <w:color w:val="000000"/>
          <w:sz w:val="32"/>
          <w:szCs w:val="32"/>
          <w:lang w:val="en-US" w:eastAsia="zh-CN"/>
        </w:rPr>
        <w:t>103.82</w:t>
      </w:r>
      <w:r>
        <w:rPr>
          <w:rFonts w:hint="eastAsia" w:ascii="仿宋" w:hAnsi="仿宋" w:eastAsia="仿宋"/>
          <w:color w:val="000000"/>
          <w:sz w:val="32"/>
          <w:szCs w:val="32"/>
        </w:rPr>
        <w:t>万元，</w:t>
      </w:r>
      <w:r>
        <w:rPr>
          <w:rFonts w:hint="eastAsia" w:ascii="仿宋" w:hAnsi="仿宋" w:eastAsia="仿宋" w:cs="Times New Roman"/>
          <w:color w:val="000000"/>
          <w:kern w:val="2"/>
          <w:sz w:val="32"/>
          <w:szCs w:val="32"/>
          <w:lang w:val="en-US" w:eastAsia="zh-CN" w:bidi="ar-SA"/>
        </w:rPr>
        <w:t>增长74.57</w:t>
      </w:r>
      <w:r>
        <w:rPr>
          <w:rFonts w:ascii="仿宋" w:hAnsi="仿宋" w:eastAsia="仿宋"/>
          <w:color w:val="000000"/>
          <w:sz w:val="32"/>
          <w:szCs w:val="32"/>
        </w:rPr>
        <w:t>%</w:t>
      </w:r>
      <w:r>
        <w:rPr>
          <w:rFonts w:hint="eastAsia" w:ascii="仿宋" w:hAnsi="仿宋" w:eastAsia="仿宋"/>
          <w:color w:val="000000"/>
          <w:sz w:val="32"/>
          <w:szCs w:val="32"/>
          <w:lang w:eastAsia="zh-CN"/>
        </w:rPr>
        <w:t>。主要变动原因是</w:t>
      </w:r>
      <w:r>
        <w:rPr>
          <w:rFonts w:hint="eastAsia" w:ascii="仿宋_GB2312" w:hAnsi="仿宋" w:eastAsia="仿宋_GB2312" w:cs="仿宋"/>
          <w:color w:val="000000"/>
          <w:sz w:val="32"/>
          <w:szCs w:val="32"/>
          <w:lang w:val="en-US" w:eastAsia="zh-CN"/>
        </w:rPr>
        <w:t>2020年</w:t>
      </w:r>
      <w:r>
        <w:rPr>
          <w:rFonts w:hint="eastAsia" w:ascii="仿宋_GB2312" w:hAnsi="仿宋" w:cs="仿宋"/>
          <w:color w:val="000000"/>
          <w:sz w:val="32"/>
          <w:szCs w:val="32"/>
          <w:lang w:val="en-US" w:eastAsia="zh-CN"/>
        </w:rPr>
        <w:t>增加</w:t>
      </w:r>
      <w:r>
        <w:rPr>
          <w:rFonts w:hint="eastAsia" w:ascii="仿宋_GB2312" w:hAnsi="仿宋" w:eastAsia="仿宋_GB2312" w:cs="仿宋"/>
          <w:color w:val="000000"/>
          <w:sz w:val="32"/>
          <w:szCs w:val="32"/>
          <w:lang w:val="en-US" w:eastAsia="zh-CN"/>
        </w:rPr>
        <w:t>“自贡市自流井区社会福利院养护楼工程”项目。</w:t>
      </w:r>
    </w:p>
    <w:p>
      <w:pPr>
        <w:spacing w:line="600" w:lineRule="exact"/>
        <w:rPr>
          <w:rFonts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4384" behindDoc="1" locked="0" layoutInCell="1" allowOverlap="1">
            <wp:simplePos x="0" y="0"/>
            <wp:positionH relativeFrom="column">
              <wp:posOffset>823595</wp:posOffset>
            </wp:positionH>
            <wp:positionV relativeFrom="paragraph">
              <wp:posOffset>185420</wp:posOffset>
            </wp:positionV>
            <wp:extent cx="3841750" cy="3400425"/>
            <wp:effectExtent l="4445" t="5080" r="20955" b="4445"/>
            <wp:wrapTight wrapText="bothSides">
              <wp:wrapPolygon>
                <wp:start x="-25" y="-32"/>
                <wp:lineTo x="-25" y="21507"/>
                <wp:lineTo x="21504" y="21507"/>
                <wp:lineTo x="21504" y="-32"/>
                <wp:lineTo x="-25" y="-32"/>
              </wp:wrapPolygon>
            </wp:wrapTight>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hint="eastAsia" w:ascii="仿宋" w:hAnsi="仿宋" w:eastAsia="仿宋"/>
          <w:color w:val="000000"/>
          <w:sz w:val="32"/>
          <w:szCs w:val="32"/>
          <w:lang w:eastAsia="zh-CN"/>
        </w:rPr>
      </w:pPr>
    </w:p>
    <w:p>
      <w:pPr>
        <w:spacing w:line="600" w:lineRule="exact"/>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 xml:space="preserve">   </w:t>
      </w:r>
    </w:p>
    <w:p>
      <w:pPr>
        <w:spacing w:line="600" w:lineRule="exact"/>
        <w:ind w:firstLine="960" w:firstLineChars="300"/>
        <w:rPr>
          <w:rFonts w:hint="eastAsia" w:ascii="仿宋" w:hAnsi="仿宋" w:eastAsia="仿宋"/>
          <w:color w:val="000000"/>
          <w:sz w:val="32"/>
          <w:szCs w:val="32"/>
        </w:rPr>
      </w:pPr>
    </w:p>
    <w:p>
      <w:pPr>
        <w:spacing w:line="600" w:lineRule="exact"/>
        <w:ind w:firstLine="960" w:firstLineChars="300"/>
        <w:rPr>
          <w:rFonts w:hint="eastAsia" w:ascii="仿宋" w:hAnsi="仿宋" w:eastAsia="仿宋"/>
          <w:color w:val="000000"/>
          <w:sz w:val="32"/>
          <w:szCs w:val="32"/>
        </w:rPr>
      </w:pPr>
    </w:p>
    <w:p>
      <w:pPr>
        <w:spacing w:line="600" w:lineRule="exact"/>
        <w:ind w:firstLine="960" w:firstLineChars="300"/>
        <w:rPr>
          <w:rFonts w:hint="eastAsia" w:ascii="仿宋" w:hAnsi="仿宋" w:eastAsia="仿宋"/>
          <w:color w:val="000000"/>
          <w:sz w:val="32"/>
          <w:szCs w:val="32"/>
        </w:rPr>
      </w:pPr>
    </w:p>
    <w:p>
      <w:pPr>
        <w:spacing w:line="600" w:lineRule="exact"/>
        <w:ind w:firstLine="640" w:firstLineChars="200"/>
        <w:rPr>
          <w:rFonts w:ascii="仿宋" w:hAnsi="仿宋" w:eastAsia="仿宋"/>
          <w:b/>
          <w:color w:val="00B050"/>
          <w:sz w:val="32"/>
          <w:szCs w:val="32"/>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w:t>
      </w:r>
      <w:r>
        <w:rPr>
          <w:rFonts w:hint="eastAsia" w:ascii="仿宋" w:hAnsi="仿宋" w:eastAsia="仿宋"/>
          <w:color w:val="000000"/>
          <w:sz w:val="32"/>
          <w:szCs w:val="32"/>
          <w:lang w:eastAsia="zh-CN"/>
        </w:rPr>
        <w:t>单位：万元</w:t>
      </w:r>
      <w:r>
        <w:rPr>
          <w:rFonts w:hint="eastAsia" w:ascii="仿宋" w:hAnsi="仿宋" w:eastAsia="仿宋"/>
          <w:color w:val="000000"/>
          <w:sz w:val="32"/>
          <w:szCs w:val="32"/>
        </w:rPr>
        <w:t>）</w:t>
      </w:r>
    </w:p>
    <w:p>
      <w:pPr>
        <w:spacing w:line="600" w:lineRule="exact"/>
        <w:ind w:firstLine="640" w:firstLineChars="200"/>
        <w:outlineLvl w:val="1"/>
        <w:rPr>
          <w:rStyle w:val="15"/>
          <w:rFonts w:ascii="黑体" w:hAnsi="黑体" w:eastAsia="黑体"/>
          <w:b w:val="0"/>
        </w:rPr>
      </w:pPr>
      <w:bookmarkStart w:id="26" w:name="_Toc15377209"/>
      <w:bookmarkStart w:id="27" w:name="_Toc10967"/>
      <w:bookmarkStart w:id="28" w:name="_Toc1539660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5"/>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 w:val="32"/>
          <w:szCs w:val="32"/>
        </w:rPr>
      </w:pPr>
      <w:bookmarkStart w:id="29" w:name="_Toc15377210"/>
      <w:r>
        <w:rPr>
          <w:rFonts w:hint="eastAsia" w:ascii="仿宋" w:hAnsi="仿宋" w:eastAsia="仿宋"/>
          <w:b/>
          <w:color w:val="000000"/>
          <w:sz w:val="32"/>
          <w:szCs w:val="32"/>
        </w:rPr>
        <w:t>（一）一般公共预算财政拨款支出决算总体情况</w:t>
      </w:r>
      <w:bookmarkEnd w:id="29"/>
    </w:p>
    <w:p>
      <w:pPr>
        <w:spacing w:line="600" w:lineRule="exact"/>
        <w:ind w:firstLine="640" w:firstLineChars="200"/>
        <w:rPr>
          <w:rFonts w:hint="eastAsia" w:ascii="仿宋" w:hAnsi="仿宋" w:eastAsia="仿宋"/>
          <w:color w:val="000000"/>
          <w:sz w:val="32"/>
          <w:szCs w:val="32"/>
          <w:lang w:val="en-US" w:eastAsia="zh-CN"/>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144.38</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75.07</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年相比，一般公共预算财政拨款增加</w:t>
      </w:r>
      <w:r>
        <w:rPr>
          <w:rFonts w:hint="eastAsia" w:ascii="仿宋" w:hAnsi="仿宋" w:eastAsia="仿宋"/>
          <w:color w:val="000000"/>
          <w:sz w:val="32"/>
          <w:szCs w:val="32"/>
          <w:lang w:val="en-US" w:eastAsia="zh-CN"/>
        </w:rPr>
        <w:t>8.19</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6.01</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2020年公招职工一名。</w:t>
      </w:r>
    </w:p>
    <w:p>
      <w:pPr>
        <w:spacing w:line="600" w:lineRule="exact"/>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r>
        <w:rPr>
          <w:rFonts w:hint="default" w:ascii="仿宋" w:hAnsi="仿宋" w:eastAsia="仿宋"/>
          <w:color w:val="000000"/>
          <w:sz w:val="32"/>
          <w:szCs w:val="32"/>
          <w:lang w:val="en-US" w:eastAsia="zh-CN"/>
        </w:rPr>
        <w:drawing>
          <wp:anchor distT="0" distB="0" distL="114300" distR="114300" simplePos="0" relativeHeight="251665408" behindDoc="1" locked="0" layoutInCell="1" allowOverlap="1">
            <wp:simplePos x="0" y="0"/>
            <wp:positionH relativeFrom="column">
              <wp:posOffset>705485</wp:posOffset>
            </wp:positionH>
            <wp:positionV relativeFrom="paragraph">
              <wp:posOffset>42545</wp:posOffset>
            </wp:positionV>
            <wp:extent cx="3985260" cy="3228975"/>
            <wp:effectExtent l="4445" t="4445" r="10795" b="5080"/>
            <wp:wrapTight wrapText="bothSides">
              <wp:wrapPolygon>
                <wp:start x="-24" y="-30"/>
                <wp:lineTo x="-24" y="21507"/>
                <wp:lineTo x="21555" y="21507"/>
                <wp:lineTo x="21555" y="-30"/>
                <wp:lineTo x="-24" y="-30"/>
              </wp:wrapPolygon>
            </wp:wrapTight>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eastAsia" w:ascii="仿宋" w:hAnsi="仿宋" w:eastAsia="仿宋"/>
          <w:color w:val="000000"/>
          <w:sz w:val="32"/>
          <w:szCs w:val="32"/>
          <w:lang w:val="en-US" w:eastAsia="zh-CN"/>
        </w:rPr>
      </w:pPr>
    </w:p>
    <w:p>
      <w:pPr>
        <w:spacing w:line="600" w:lineRule="exact"/>
        <w:ind w:firstLine="640" w:firstLineChars="200"/>
        <w:rPr>
          <w:rFonts w:hint="default" w:ascii="仿宋" w:hAnsi="仿宋" w:eastAsia="仿宋"/>
          <w:color w:val="000000"/>
          <w:sz w:val="32"/>
          <w:szCs w:val="32"/>
          <w:lang w:val="en-US" w:eastAsia="zh-CN"/>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5</w:t>
      </w:r>
      <w:r>
        <w:rPr>
          <w:rFonts w:hint="eastAsia" w:ascii="仿宋" w:hAnsi="仿宋" w:eastAsia="仿宋"/>
          <w:color w:val="000000"/>
          <w:sz w:val="32"/>
          <w:szCs w:val="32"/>
        </w:rPr>
        <w:t>：一般公共预算财政拨款支出决算变动情况）（</w:t>
      </w:r>
      <w:r>
        <w:rPr>
          <w:rFonts w:hint="eastAsia" w:ascii="仿宋" w:hAnsi="仿宋" w:eastAsia="仿宋"/>
          <w:color w:val="000000"/>
          <w:sz w:val="32"/>
          <w:szCs w:val="32"/>
          <w:lang w:eastAsia="zh-CN"/>
        </w:rPr>
        <w:t>单位：万元</w:t>
      </w:r>
      <w:r>
        <w:rPr>
          <w:rFonts w:hint="eastAsia" w:ascii="仿宋" w:hAnsi="仿宋" w:eastAsia="仿宋"/>
          <w:color w:val="000000"/>
          <w:sz w:val="32"/>
          <w:szCs w:val="32"/>
        </w:rPr>
        <w:t>）</w:t>
      </w:r>
    </w:p>
    <w:p>
      <w:pPr>
        <w:spacing w:line="600" w:lineRule="exact"/>
        <w:ind w:firstLine="643" w:firstLineChars="200"/>
        <w:outlineLvl w:val="2"/>
        <w:rPr>
          <w:rFonts w:ascii="仿宋" w:hAnsi="仿宋" w:eastAsia="仿宋"/>
          <w:b/>
          <w:color w:val="000000"/>
          <w:sz w:val="32"/>
          <w:szCs w:val="32"/>
        </w:rPr>
      </w:pPr>
      <w:bookmarkStart w:id="30" w:name="_Toc15377211"/>
      <w:r>
        <w:rPr>
          <w:rFonts w:hint="eastAsia" w:ascii="仿宋" w:hAnsi="仿宋" w:eastAsia="仿宋"/>
          <w:b/>
          <w:color w:val="000000"/>
          <w:sz w:val="32"/>
          <w:szCs w:val="32"/>
        </w:rPr>
        <w:t>（二）一般公共预算财政拨款支出决算结构情况</w:t>
      </w:r>
      <w:bookmarkEnd w:id="30"/>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144.38</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color w:val="000000"/>
          <w:sz w:val="32"/>
          <w:szCs w:val="32"/>
        </w:rPr>
        <w:t>社会保障和就业支出（</w:t>
      </w:r>
      <w:r>
        <w:rPr>
          <w:rFonts w:hint="eastAsia" w:ascii="仿宋" w:hAnsi="仿宋" w:eastAsia="仿宋"/>
          <w:b/>
          <w:color w:val="000000"/>
          <w:sz w:val="32"/>
          <w:szCs w:val="32"/>
        </w:rPr>
        <w:t>类</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130.07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90.09</w:t>
      </w:r>
      <w:r>
        <w:rPr>
          <w:rFonts w:hint="eastAsia" w:ascii="仿宋" w:hAnsi="仿宋" w:eastAsia="仿宋"/>
          <w:color w:val="000000"/>
          <w:sz w:val="32"/>
          <w:szCs w:val="32"/>
        </w:rPr>
        <w:t>%；卫生健康支出</w:t>
      </w:r>
      <w:r>
        <w:rPr>
          <w:rFonts w:hint="eastAsia" w:ascii="仿宋" w:hAnsi="仿宋" w:eastAsia="仿宋"/>
          <w:color w:val="000000"/>
          <w:sz w:val="32"/>
          <w:szCs w:val="32"/>
          <w:lang w:eastAsia="zh-CN"/>
        </w:rPr>
        <w:t>（</w:t>
      </w:r>
      <w:r>
        <w:rPr>
          <w:rFonts w:hint="eastAsia" w:ascii="仿宋" w:hAnsi="仿宋" w:eastAsia="仿宋"/>
          <w:b/>
          <w:color w:val="000000"/>
          <w:sz w:val="32"/>
          <w:szCs w:val="32"/>
        </w:rPr>
        <w:t>类</w:t>
      </w:r>
      <w:r>
        <w:rPr>
          <w:rFonts w:hint="eastAsia" w:ascii="仿宋" w:hAnsi="仿宋" w:eastAsia="仿宋"/>
          <w:color w:val="000000"/>
          <w:sz w:val="32"/>
          <w:szCs w:val="32"/>
          <w:lang w:eastAsia="zh-CN"/>
        </w:rPr>
        <w:t>）</w:t>
      </w:r>
      <w:r>
        <w:rPr>
          <w:rFonts w:hint="eastAsia" w:ascii="仿宋" w:hAnsi="仿宋" w:eastAsia="仿宋"/>
          <w:color w:val="000000"/>
          <w:sz w:val="32"/>
          <w:szCs w:val="32"/>
        </w:rPr>
        <w:t>5.96万元，占</w:t>
      </w:r>
      <w:r>
        <w:rPr>
          <w:rFonts w:hint="eastAsia" w:ascii="仿宋" w:hAnsi="仿宋" w:eastAsia="仿宋"/>
          <w:color w:val="000000"/>
          <w:sz w:val="32"/>
          <w:szCs w:val="32"/>
          <w:lang w:val="en-US" w:eastAsia="zh-CN"/>
        </w:rPr>
        <w:t>4.13</w:t>
      </w:r>
      <w:r>
        <w:rPr>
          <w:rFonts w:ascii="仿宋" w:hAnsi="仿宋" w:eastAsia="仿宋"/>
          <w:color w:val="000000"/>
          <w:sz w:val="32"/>
          <w:szCs w:val="32"/>
        </w:rPr>
        <w:t>%</w:t>
      </w:r>
      <w:r>
        <w:rPr>
          <w:rFonts w:hint="eastAsia" w:ascii="仿宋" w:hAnsi="仿宋" w:eastAsia="仿宋"/>
          <w:color w:val="000000"/>
          <w:sz w:val="32"/>
          <w:szCs w:val="32"/>
        </w:rPr>
        <w:t>；住房保障支出</w:t>
      </w:r>
      <w:r>
        <w:rPr>
          <w:rFonts w:hint="eastAsia" w:ascii="仿宋" w:hAnsi="仿宋" w:eastAsia="仿宋"/>
          <w:color w:val="000000"/>
          <w:sz w:val="32"/>
          <w:szCs w:val="32"/>
          <w:lang w:eastAsia="zh-CN"/>
        </w:rPr>
        <w:t>（</w:t>
      </w:r>
      <w:r>
        <w:rPr>
          <w:rFonts w:hint="eastAsia" w:ascii="仿宋" w:hAnsi="仿宋" w:eastAsia="仿宋"/>
          <w:b/>
          <w:color w:val="000000"/>
          <w:sz w:val="32"/>
          <w:szCs w:val="32"/>
        </w:rPr>
        <w:t>类</w:t>
      </w:r>
      <w:r>
        <w:rPr>
          <w:rFonts w:hint="eastAsia" w:ascii="仿宋" w:hAnsi="仿宋" w:eastAsia="仿宋"/>
          <w:color w:val="000000"/>
          <w:sz w:val="32"/>
          <w:szCs w:val="32"/>
          <w:lang w:eastAsia="zh-CN"/>
        </w:rPr>
        <w:t>）</w:t>
      </w:r>
      <w:r>
        <w:rPr>
          <w:rFonts w:hint="eastAsia" w:ascii="仿宋" w:hAnsi="仿宋" w:eastAsia="仿宋"/>
          <w:color w:val="000000"/>
          <w:sz w:val="32"/>
          <w:szCs w:val="32"/>
        </w:rPr>
        <w:t>8.35万元，占</w:t>
      </w:r>
      <w:r>
        <w:rPr>
          <w:rFonts w:hint="eastAsia" w:ascii="仿宋" w:hAnsi="仿宋" w:eastAsia="仿宋"/>
          <w:color w:val="000000"/>
          <w:sz w:val="32"/>
          <w:szCs w:val="32"/>
          <w:lang w:val="en-US" w:eastAsia="zh-CN"/>
        </w:rPr>
        <w:t>5.78</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rPr>
          <w:rFonts w:hint="eastAsia"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6432" behindDoc="1" locked="0" layoutInCell="1" allowOverlap="1">
            <wp:simplePos x="0" y="0"/>
            <wp:positionH relativeFrom="column">
              <wp:posOffset>1068070</wp:posOffset>
            </wp:positionH>
            <wp:positionV relativeFrom="paragraph">
              <wp:posOffset>91440</wp:posOffset>
            </wp:positionV>
            <wp:extent cx="3584575" cy="2647950"/>
            <wp:effectExtent l="4445" t="4445" r="11430" b="1460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rPr>
          <w:rFonts w:hint="eastAsia" w:ascii="仿宋" w:hAnsi="仿宋" w:eastAsia="仿宋"/>
          <w:color w:val="000000"/>
          <w:sz w:val="32"/>
          <w:szCs w:val="32"/>
          <w:lang w:eastAsia="zh-CN"/>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6</w:t>
      </w:r>
      <w:r>
        <w:rPr>
          <w:rFonts w:hint="eastAsia" w:ascii="仿宋" w:hAnsi="仿宋" w:eastAsia="仿宋"/>
          <w:color w:val="000000"/>
          <w:sz w:val="32"/>
          <w:szCs w:val="32"/>
        </w:rPr>
        <w:t>：一般公共预算财政拨款支出决算结构）（</w:t>
      </w:r>
      <w:r>
        <w:rPr>
          <w:rFonts w:hint="eastAsia" w:ascii="仿宋" w:hAnsi="仿宋" w:eastAsia="仿宋"/>
          <w:color w:val="000000"/>
          <w:sz w:val="32"/>
          <w:szCs w:val="32"/>
          <w:lang w:eastAsia="zh-CN"/>
        </w:rPr>
        <w:t>单位：万元</w:t>
      </w:r>
      <w:r>
        <w:rPr>
          <w:rFonts w:hint="eastAsia" w:ascii="仿宋" w:hAnsi="仿宋" w:eastAsia="仿宋"/>
          <w:color w:val="000000"/>
          <w:sz w:val="32"/>
          <w:szCs w:val="32"/>
        </w:rPr>
        <w:t>）</w:t>
      </w:r>
    </w:p>
    <w:p>
      <w:pPr>
        <w:spacing w:line="600" w:lineRule="exact"/>
        <w:ind w:firstLine="643" w:firstLineChars="200"/>
        <w:outlineLvl w:val="2"/>
        <w:rPr>
          <w:rFonts w:ascii="仿宋" w:hAnsi="仿宋" w:eastAsia="仿宋"/>
          <w:b/>
          <w:color w:val="000000"/>
          <w:sz w:val="32"/>
          <w:szCs w:val="32"/>
        </w:rPr>
      </w:pPr>
      <w:bookmarkStart w:id="31" w:name="_Toc15377212"/>
      <w:r>
        <w:rPr>
          <w:rFonts w:hint="eastAsia" w:ascii="仿宋" w:hAnsi="仿宋" w:eastAsia="仿宋"/>
          <w:b/>
          <w:color w:val="000000"/>
          <w:sz w:val="32"/>
          <w:szCs w:val="32"/>
        </w:rPr>
        <w:t>（三）一般公共预算财政拨款支出决算具体情况</w:t>
      </w:r>
      <w:bookmarkEnd w:id="31"/>
    </w:p>
    <w:p>
      <w:pPr>
        <w:spacing w:line="600" w:lineRule="exact"/>
        <w:ind w:firstLine="643" w:firstLineChars="200"/>
        <w:outlineLvl w:val="9"/>
        <w:rPr>
          <w:rStyle w:val="12"/>
          <w:rFonts w:hint="eastAsia" w:ascii="仿宋" w:hAnsi="仿宋" w:eastAsia="仿宋"/>
          <w:bCs/>
          <w:color w:val="000000"/>
          <w:sz w:val="32"/>
          <w:szCs w:val="32"/>
        </w:rPr>
      </w:pPr>
      <w:bookmarkStart w:id="32" w:name="_Toc15378460"/>
      <w:bookmarkStart w:id="33" w:name="_Toc15377444"/>
      <w:bookmarkStart w:id="34" w:name="_Toc15377213"/>
      <w:r>
        <w:rPr>
          <w:rFonts w:ascii="仿宋" w:hAnsi="仿宋" w:eastAsia="仿宋"/>
          <w:b/>
          <w:color w:val="000000"/>
          <w:sz w:val="32"/>
          <w:szCs w:val="32"/>
        </w:rPr>
        <w:t>2020</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144.38万元</w:t>
      </w:r>
      <w:r>
        <w:rPr>
          <w:rFonts w:hint="eastAsia" w:ascii="仿宋" w:hAnsi="仿宋" w:eastAsia="仿宋"/>
          <w:color w:val="000000"/>
          <w:sz w:val="32"/>
          <w:szCs w:val="32"/>
        </w:rPr>
        <w:t>，</w:t>
      </w:r>
      <w:r>
        <w:rPr>
          <w:rStyle w:val="12"/>
          <w:rFonts w:hint="eastAsia" w:ascii="仿宋" w:hAnsi="仿宋" w:eastAsia="仿宋"/>
          <w:bCs/>
          <w:color w:val="000000"/>
          <w:sz w:val="32"/>
          <w:szCs w:val="32"/>
        </w:rPr>
        <w:t>完成预算</w:t>
      </w:r>
      <w:r>
        <w:rPr>
          <w:rStyle w:val="12"/>
          <w:rFonts w:hint="eastAsia" w:ascii="仿宋" w:hAnsi="仿宋" w:eastAsia="仿宋"/>
          <w:bCs/>
          <w:color w:val="000000"/>
          <w:sz w:val="32"/>
          <w:szCs w:val="32"/>
          <w:lang w:val="en-US" w:eastAsia="zh-CN"/>
        </w:rPr>
        <w:t>74.79</w:t>
      </w:r>
      <w:r>
        <w:rPr>
          <w:rStyle w:val="12"/>
          <w:rFonts w:ascii="仿宋" w:hAnsi="仿宋" w:eastAsia="仿宋"/>
          <w:bCs/>
          <w:color w:val="000000"/>
          <w:sz w:val="32"/>
          <w:szCs w:val="32"/>
        </w:rPr>
        <w:t>%</w:t>
      </w:r>
      <w:r>
        <w:rPr>
          <w:rStyle w:val="12"/>
          <w:rFonts w:hint="eastAsia" w:ascii="仿宋" w:hAnsi="仿宋" w:eastAsia="仿宋"/>
          <w:bCs/>
          <w:color w:val="000000"/>
          <w:sz w:val="32"/>
          <w:szCs w:val="32"/>
        </w:rPr>
        <w:t>。其中：</w:t>
      </w:r>
      <w:bookmarkEnd w:id="32"/>
      <w:bookmarkEnd w:id="33"/>
      <w:bookmarkEnd w:id="34"/>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eastAsia="zh-CN"/>
        </w:rPr>
      </w:pPr>
      <w:r>
        <w:rPr>
          <w:rStyle w:val="12"/>
          <w:rFonts w:hint="eastAsia" w:ascii="仿宋" w:hAnsi="仿宋" w:eastAsia="仿宋"/>
          <w:b w:val="0"/>
          <w:bCs/>
          <w:color w:val="000000"/>
          <w:sz w:val="32"/>
          <w:szCs w:val="32"/>
          <w:lang w:val="en-US" w:eastAsia="zh-CN"/>
        </w:rPr>
        <w:t>1、</w:t>
      </w:r>
      <w:r>
        <w:rPr>
          <w:rStyle w:val="12"/>
          <w:rFonts w:hint="eastAsia" w:ascii="仿宋" w:hAnsi="仿宋" w:eastAsia="仿宋"/>
          <w:b w:val="0"/>
          <w:bCs/>
          <w:color w:val="000000"/>
          <w:sz w:val="32"/>
          <w:szCs w:val="32"/>
        </w:rPr>
        <w:t>社会保障和就业</w:t>
      </w:r>
      <w:r>
        <w:rPr>
          <w:rStyle w:val="12"/>
          <w:rFonts w:hint="eastAsia" w:ascii="仿宋" w:hAnsi="仿宋" w:eastAsia="仿宋"/>
          <w:b w:val="0"/>
          <w:bCs/>
          <w:color w:val="000000"/>
          <w:sz w:val="32"/>
          <w:szCs w:val="32"/>
          <w:lang w:eastAsia="zh-CN"/>
        </w:rPr>
        <w:t>支出</w:t>
      </w:r>
      <w:r>
        <w:rPr>
          <w:rStyle w:val="12"/>
          <w:rFonts w:hint="eastAsia" w:ascii="仿宋" w:hAnsi="仿宋" w:eastAsia="仿宋"/>
          <w:b w:val="0"/>
          <w:bCs/>
          <w:color w:val="000000"/>
          <w:sz w:val="32"/>
          <w:szCs w:val="32"/>
        </w:rPr>
        <w:t>（类）社会福利（款）社会福利事业单位（项）</w:t>
      </w:r>
      <w:r>
        <w:rPr>
          <w:rStyle w:val="12"/>
          <w:rFonts w:hint="eastAsia" w:ascii="仿宋" w:hAnsi="仿宋" w:eastAsia="仿宋"/>
          <w:b w:val="0"/>
          <w:bCs/>
          <w:color w:val="000000"/>
          <w:sz w:val="32"/>
          <w:szCs w:val="32"/>
          <w:lang w:eastAsia="zh-CN"/>
        </w:rPr>
        <w:t>：支出决算</w:t>
      </w:r>
      <w:r>
        <w:rPr>
          <w:rStyle w:val="12"/>
          <w:rFonts w:hint="eastAsia" w:ascii="仿宋" w:hAnsi="仿宋" w:eastAsia="仿宋"/>
          <w:b w:val="0"/>
          <w:bCs/>
          <w:color w:val="000000"/>
          <w:sz w:val="32"/>
          <w:szCs w:val="32"/>
        </w:rPr>
        <w:t>为101.01万元，完成预算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lang w:eastAsia="zh-CN"/>
        </w:rPr>
        <w:t>。</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eastAsia="zh-CN"/>
        </w:rPr>
      </w:pPr>
      <w:r>
        <w:rPr>
          <w:rStyle w:val="12"/>
          <w:rFonts w:hint="eastAsia" w:ascii="仿宋" w:hAnsi="仿宋" w:eastAsia="仿宋"/>
          <w:b w:val="0"/>
          <w:bCs/>
          <w:color w:val="000000"/>
          <w:sz w:val="32"/>
          <w:szCs w:val="32"/>
          <w:lang w:val="en-US" w:eastAsia="zh-CN"/>
        </w:rPr>
        <w:t>2、</w:t>
      </w:r>
      <w:r>
        <w:rPr>
          <w:rStyle w:val="12"/>
          <w:rFonts w:hint="eastAsia" w:ascii="仿宋" w:hAnsi="仿宋" w:eastAsia="仿宋"/>
          <w:b w:val="0"/>
          <w:bCs/>
          <w:color w:val="000000"/>
          <w:sz w:val="32"/>
          <w:szCs w:val="32"/>
        </w:rPr>
        <w:t>社会保障和就业</w:t>
      </w:r>
      <w:r>
        <w:rPr>
          <w:rStyle w:val="12"/>
          <w:rFonts w:hint="eastAsia" w:ascii="仿宋" w:hAnsi="仿宋" w:eastAsia="仿宋"/>
          <w:b w:val="0"/>
          <w:bCs/>
          <w:color w:val="000000"/>
          <w:sz w:val="32"/>
          <w:szCs w:val="32"/>
          <w:lang w:eastAsia="zh-CN"/>
        </w:rPr>
        <w:t>支出</w:t>
      </w:r>
      <w:r>
        <w:rPr>
          <w:rStyle w:val="12"/>
          <w:rFonts w:hint="eastAsia" w:ascii="仿宋" w:hAnsi="仿宋" w:eastAsia="仿宋"/>
          <w:b w:val="0"/>
          <w:bCs/>
          <w:color w:val="000000"/>
          <w:sz w:val="32"/>
          <w:szCs w:val="32"/>
        </w:rPr>
        <w:t>（类）行政事业单位养老支出（款）事业单位离退休（项）</w:t>
      </w:r>
      <w:r>
        <w:rPr>
          <w:rStyle w:val="12"/>
          <w:rFonts w:hint="eastAsia" w:ascii="仿宋" w:hAnsi="仿宋" w:eastAsia="仿宋"/>
          <w:b w:val="0"/>
          <w:bCs/>
          <w:color w:val="000000"/>
          <w:sz w:val="32"/>
          <w:szCs w:val="32"/>
          <w:lang w:eastAsia="zh-CN"/>
        </w:rPr>
        <w:t>：支出决算为11.91万元，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lang w:eastAsia="zh-CN"/>
        </w:rPr>
        <w:t>。</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val="en-US" w:eastAsia="zh-CN"/>
        </w:rPr>
      </w:pPr>
      <w:r>
        <w:rPr>
          <w:rStyle w:val="12"/>
          <w:rFonts w:hint="eastAsia" w:ascii="仿宋" w:hAnsi="仿宋" w:eastAsia="仿宋"/>
          <w:b w:val="0"/>
          <w:bCs/>
          <w:color w:val="000000"/>
          <w:sz w:val="32"/>
          <w:szCs w:val="32"/>
          <w:lang w:val="en-US" w:eastAsia="zh-CN"/>
        </w:rPr>
        <w:t>3、</w:t>
      </w:r>
      <w:r>
        <w:rPr>
          <w:rStyle w:val="12"/>
          <w:rFonts w:hint="eastAsia" w:ascii="仿宋" w:hAnsi="仿宋" w:eastAsia="仿宋"/>
          <w:b w:val="0"/>
          <w:bCs/>
          <w:color w:val="000000"/>
          <w:sz w:val="32"/>
          <w:szCs w:val="32"/>
        </w:rPr>
        <w:t>社会保障和就业</w:t>
      </w:r>
      <w:r>
        <w:rPr>
          <w:rStyle w:val="12"/>
          <w:rFonts w:hint="eastAsia" w:ascii="仿宋" w:hAnsi="仿宋" w:eastAsia="仿宋"/>
          <w:b w:val="0"/>
          <w:bCs/>
          <w:color w:val="000000"/>
          <w:sz w:val="32"/>
          <w:szCs w:val="32"/>
          <w:lang w:eastAsia="zh-CN"/>
        </w:rPr>
        <w:t>支出</w:t>
      </w:r>
      <w:r>
        <w:rPr>
          <w:rStyle w:val="12"/>
          <w:rFonts w:hint="eastAsia" w:ascii="仿宋" w:hAnsi="仿宋" w:eastAsia="仿宋"/>
          <w:b w:val="0"/>
          <w:bCs/>
          <w:color w:val="000000"/>
          <w:sz w:val="32"/>
          <w:szCs w:val="32"/>
        </w:rPr>
        <w:t>（类）行政事业单位养老支出（款）机关事业单位基本养老保险缴费支出（项）</w:t>
      </w:r>
      <w:r>
        <w:rPr>
          <w:rStyle w:val="12"/>
          <w:rFonts w:hint="eastAsia" w:ascii="仿宋" w:hAnsi="仿宋" w:eastAsia="仿宋"/>
          <w:b w:val="0"/>
          <w:bCs/>
          <w:color w:val="000000"/>
          <w:sz w:val="32"/>
          <w:szCs w:val="32"/>
          <w:lang w:eastAsia="zh-CN"/>
        </w:rPr>
        <w:t>：</w:t>
      </w:r>
      <w:r>
        <w:rPr>
          <w:rStyle w:val="12"/>
          <w:rFonts w:hint="eastAsia" w:ascii="仿宋" w:hAnsi="仿宋" w:eastAsia="仿宋"/>
          <w:b w:val="0"/>
          <w:bCs/>
          <w:color w:val="000000"/>
          <w:sz w:val="32"/>
          <w:szCs w:val="32"/>
        </w:rPr>
        <w:t>支出决算为</w:t>
      </w:r>
      <w:r>
        <w:rPr>
          <w:rStyle w:val="12"/>
          <w:rFonts w:hint="eastAsia" w:ascii="仿宋" w:hAnsi="仿宋" w:eastAsia="仿宋"/>
          <w:b w:val="0"/>
          <w:bCs/>
          <w:color w:val="000000"/>
          <w:sz w:val="32"/>
          <w:szCs w:val="32"/>
          <w:lang w:eastAsia="zh-CN"/>
        </w:rPr>
        <w:t>13.88万元，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hint="eastAsia" w:ascii="仿宋" w:hAnsi="仿宋" w:eastAsia="仿宋"/>
          <w:b w:val="0"/>
          <w:bCs/>
          <w:color w:val="000000"/>
          <w:sz w:val="32"/>
          <w:szCs w:val="32"/>
        </w:rPr>
        <w:t>%</w:t>
      </w:r>
      <w:r>
        <w:rPr>
          <w:rStyle w:val="12"/>
          <w:rFonts w:hint="eastAsia" w:ascii="仿宋" w:hAnsi="仿宋" w:eastAsia="仿宋"/>
          <w:b w:val="0"/>
          <w:bCs/>
          <w:color w:val="000000"/>
          <w:sz w:val="32"/>
          <w:szCs w:val="32"/>
          <w:lang w:eastAsia="zh-CN"/>
        </w:rPr>
        <w:t>。</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val="en-US" w:eastAsia="zh-CN"/>
        </w:rPr>
      </w:pPr>
      <w:r>
        <w:rPr>
          <w:rStyle w:val="12"/>
          <w:rFonts w:hint="eastAsia" w:ascii="仿宋" w:hAnsi="仿宋" w:eastAsia="仿宋"/>
          <w:b w:val="0"/>
          <w:bCs/>
          <w:color w:val="000000"/>
          <w:sz w:val="32"/>
          <w:szCs w:val="32"/>
          <w:lang w:val="en-US" w:eastAsia="zh-CN"/>
        </w:rPr>
        <w:t>4、</w:t>
      </w:r>
      <w:r>
        <w:rPr>
          <w:rStyle w:val="12"/>
          <w:rFonts w:hint="eastAsia" w:ascii="仿宋" w:hAnsi="仿宋" w:eastAsia="仿宋"/>
          <w:b w:val="0"/>
          <w:bCs/>
          <w:color w:val="000000"/>
          <w:sz w:val="32"/>
          <w:szCs w:val="32"/>
        </w:rPr>
        <w:t>社会保障和就业</w:t>
      </w:r>
      <w:r>
        <w:rPr>
          <w:rStyle w:val="12"/>
          <w:rFonts w:hint="eastAsia" w:ascii="仿宋" w:hAnsi="仿宋" w:eastAsia="仿宋"/>
          <w:b w:val="0"/>
          <w:bCs/>
          <w:color w:val="000000"/>
          <w:sz w:val="32"/>
          <w:szCs w:val="32"/>
          <w:lang w:eastAsia="zh-CN"/>
        </w:rPr>
        <w:t>支出</w:t>
      </w:r>
      <w:r>
        <w:rPr>
          <w:rStyle w:val="12"/>
          <w:rFonts w:hint="eastAsia" w:ascii="仿宋" w:hAnsi="仿宋" w:eastAsia="仿宋"/>
          <w:b w:val="0"/>
          <w:bCs/>
          <w:color w:val="000000"/>
          <w:sz w:val="32"/>
          <w:szCs w:val="32"/>
        </w:rPr>
        <w:t>（类）社会福利</w:t>
      </w:r>
      <w:r>
        <w:rPr>
          <w:rStyle w:val="12"/>
          <w:rFonts w:hint="eastAsia" w:ascii="仿宋" w:hAnsi="仿宋" w:eastAsia="仿宋"/>
          <w:b w:val="0"/>
          <w:bCs/>
          <w:color w:val="000000"/>
          <w:sz w:val="32"/>
          <w:szCs w:val="32"/>
          <w:lang w:eastAsia="zh-CN"/>
        </w:rPr>
        <w:t>（款）老年福利</w:t>
      </w:r>
      <w:r>
        <w:rPr>
          <w:rStyle w:val="12"/>
          <w:rFonts w:hint="eastAsia" w:ascii="仿宋" w:hAnsi="仿宋" w:eastAsia="仿宋"/>
          <w:b w:val="0"/>
          <w:bCs/>
          <w:color w:val="000000"/>
          <w:sz w:val="32"/>
          <w:szCs w:val="32"/>
          <w:lang w:val="en-US" w:eastAsia="zh-CN"/>
        </w:rPr>
        <w:t>(项）:</w:t>
      </w:r>
      <w:r>
        <w:rPr>
          <w:rStyle w:val="12"/>
          <w:rFonts w:hint="eastAsia" w:ascii="仿宋" w:hAnsi="仿宋" w:eastAsia="仿宋"/>
          <w:b w:val="0"/>
          <w:bCs/>
          <w:color w:val="000000"/>
          <w:sz w:val="32"/>
          <w:szCs w:val="32"/>
        </w:rPr>
        <w:t>支出决算为</w:t>
      </w:r>
      <w:r>
        <w:rPr>
          <w:rStyle w:val="12"/>
          <w:rFonts w:hint="eastAsia" w:ascii="仿宋" w:hAnsi="仿宋" w:eastAsia="仿宋"/>
          <w:b w:val="0"/>
          <w:bCs/>
          <w:color w:val="000000"/>
          <w:sz w:val="32"/>
          <w:szCs w:val="32"/>
          <w:lang w:eastAsia="zh-CN"/>
        </w:rPr>
        <w:t>1.34万元，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2.68</w:t>
      </w:r>
      <w:r>
        <w:rPr>
          <w:rStyle w:val="12"/>
          <w:rFonts w:hint="eastAsia" w:ascii="仿宋" w:hAnsi="仿宋" w:eastAsia="仿宋"/>
          <w:b w:val="0"/>
          <w:bCs/>
          <w:color w:val="000000"/>
          <w:sz w:val="32"/>
          <w:szCs w:val="32"/>
        </w:rPr>
        <w:t>%</w:t>
      </w:r>
      <w:r>
        <w:rPr>
          <w:rStyle w:val="12"/>
          <w:rFonts w:hint="eastAsia" w:ascii="仿宋" w:hAnsi="仿宋" w:eastAsia="仿宋"/>
          <w:b w:val="0"/>
          <w:bCs/>
          <w:color w:val="000000"/>
          <w:sz w:val="32"/>
          <w:szCs w:val="32"/>
          <w:lang w:val="en-US" w:eastAsia="zh-CN"/>
        </w:rPr>
        <w:t>,</w:t>
      </w:r>
      <w:r>
        <w:rPr>
          <w:rStyle w:val="12"/>
          <w:rFonts w:hint="eastAsia" w:ascii="仿宋" w:hAnsi="仿宋" w:eastAsia="仿宋"/>
          <w:b w:val="0"/>
          <w:bCs/>
          <w:color w:val="000000"/>
          <w:sz w:val="32"/>
          <w:szCs w:val="32"/>
          <w:lang w:eastAsia="zh-CN"/>
        </w:rPr>
        <w:t>决算数小于预算数的主要原因是养护楼工程正在施工中，部分款项未支付。</w:t>
      </w:r>
      <w:r>
        <w:rPr>
          <w:rStyle w:val="12"/>
          <w:rFonts w:hint="eastAsia" w:ascii="仿宋" w:hAnsi="仿宋" w:eastAsia="仿宋"/>
          <w:b w:val="0"/>
          <w:bCs/>
          <w:color w:val="000000"/>
          <w:sz w:val="32"/>
          <w:szCs w:val="32"/>
          <w:lang w:val="en-US" w:eastAsia="zh-CN"/>
        </w:rPr>
        <w:t xml:space="preserve">    </w:t>
      </w:r>
    </w:p>
    <w:p>
      <w:pPr>
        <w:numPr>
          <w:ilvl w:val="0"/>
          <w:numId w:val="0"/>
        </w:numPr>
        <w:spacing w:line="600" w:lineRule="exact"/>
        <w:ind w:firstLine="640" w:firstLineChars="200"/>
        <w:outlineLvl w:val="9"/>
        <w:rPr>
          <w:rFonts w:hint="eastAsia" w:ascii="仿宋" w:hAnsi="仿宋" w:eastAsia="仿宋"/>
          <w:b/>
          <w:color w:val="000000"/>
          <w:sz w:val="32"/>
          <w:szCs w:val="32"/>
          <w:lang w:val="en-US" w:eastAsia="zh-CN"/>
        </w:rPr>
      </w:pPr>
      <w:r>
        <w:rPr>
          <w:rStyle w:val="12"/>
          <w:rFonts w:hint="eastAsia" w:ascii="仿宋" w:hAnsi="仿宋" w:eastAsia="仿宋"/>
          <w:b w:val="0"/>
          <w:bCs/>
          <w:color w:val="000000"/>
          <w:sz w:val="32"/>
          <w:szCs w:val="32"/>
          <w:lang w:val="en-US" w:eastAsia="zh-CN"/>
        </w:rPr>
        <w:t>5.社</w:t>
      </w:r>
      <w:r>
        <w:rPr>
          <w:rStyle w:val="12"/>
          <w:rFonts w:hint="eastAsia" w:ascii="仿宋" w:hAnsi="仿宋" w:eastAsia="仿宋"/>
          <w:b w:val="0"/>
          <w:bCs/>
          <w:color w:val="000000"/>
          <w:sz w:val="32"/>
          <w:szCs w:val="32"/>
        </w:rPr>
        <w:t>会保障和就业</w:t>
      </w:r>
      <w:r>
        <w:rPr>
          <w:rStyle w:val="12"/>
          <w:rFonts w:hint="eastAsia" w:ascii="仿宋" w:hAnsi="仿宋" w:eastAsia="仿宋"/>
          <w:b w:val="0"/>
          <w:bCs/>
          <w:color w:val="000000"/>
          <w:sz w:val="32"/>
          <w:szCs w:val="32"/>
          <w:lang w:eastAsia="zh-CN"/>
        </w:rPr>
        <w:t>支出</w:t>
      </w:r>
      <w:r>
        <w:rPr>
          <w:rStyle w:val="12"/>
          <w:rFonts w:hint="eastAsia" w:ascii="仿宋" w:hAnsi="仿宋" w:eastAsia="仿宋"/>
          <w:b w:val="0"/>
          <w:bCs/>
          <w:color w:val="000000"/>
          <w:sz w:val="32"/>
          <w:szCs w:val="32"/>
        </w:rPr>
        <w:t>（类）其他社会保障和就业支出</w:t>
      </w:r>
      <w:r>
        <w:rPr>
          <w:rStyle w:val="12"/>
          <w:rFonts w:hint="eastAsia" w:ascii="仿宋" w:hAnsi="仿宋" w:eastAsia="仿宋"/>
          <w:b w:val="0"/>
          <w:bCs/>
          <w:color w:val="000000"/>
          <w:sz w:val="32"/>
          <w:szCs w:val="32"/>
          <w:lang w:eastAsia="zh-CN"/>
        </w:rPr>
        <w:t>（款）其他社会保障和就业支出（项）：</w:t>
      </w:r>
      <w:r>
        <w:rPr>
          <w:rStyle w:val="12"/>
          <w:rFonts w:hint="eastAsia" w:ascii="仿宋" w:hAnsi="仿宋" w:eastAsia="仿宋"/>
          <w:b w:val="0"/>
          <w:bCs/>
          <w:color w:val="000000"/>
          <w:sz w:val="32"/>
          <w:szCs w:val="32"/>
        </w:rPr>
        <w:t>支出决算为</w:t>
      </w:r>
      <w:r>
        <w:rPr>
          <w:rStyle w:val="12"/>
          <w:rFonts w:hint="eastAsia" w:ascii="仿宋" w:hAnsi="仿宋" w:eastAsia="仿宋"/>
          <w:b w:val="0"/>
          <w:bCs/>
          <w:color w:val="000000"/>
          <w:sz w:val="32"/>
          <w:szCs w:val="32"/>
          <w:lang w:eastAsia="zh-CN"/>
        </w:rPr>
        <w:t>1.93万元，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lang w:eastAsia="zh-CN"/>
        </w:rPr>
        <w:t>。</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val="en-US" w:eastAsia="zh-CN"/>
        </w:rPr>
      </w:pPr>
      <w:r>
        <w:rPr>
          <w:rStyle w:val="12"/>
          <w:rFonts w:hint="eastAsia" w:ascii="仿宋" w:hAnsi="仿宋" w:eastAsia="仿宋"/>
          <w:b w:val="0"/>
          <w:bCs/>
          <w:color w:val="000000"/>
          <w:sz w:val="32"/>
          <w:szCs w:val="32"/>
          <w:lang w:val="en-US" w:eastAsia="zh-CN"/>
        </w:rPr>
        <w:t>6</w:t>
      </w:r>
      <w:r>
        <w:rPr>
          <w:rStyle w:val="12"/>
          <w:rFonts w:hint="eastAsia" w:ascii="仿宋" w:hAnsi="仿宋" w:eastAsia="仿宋"/>
          <w:b w:val="0"/>
          <w:bCs/>
          <w:color w:val="000000"/>
          <w:sz w:val="32"/>
          <w:szCs w:val="32"/>
        </w:rPr>
        <w:t>. 卫生健康支出（类）行政事业单位医疗（款）事业单位医疗（项）</w:t>
      </w:r>
      <w:r>
        <w:rPr>
          <w:rStyle w:val="12"/>
          <w:rFonts w:hint="eastAsia" w:ascii="仿宋" w:hAnsi="仿宋" w:eastAsia="仿宋"/>
          <w:b w:val="0"/>
          <w:bCs/>
          <w:color w:val="000000"/>
          <w:sz w:val="32"/>
          <w:szCs w:val="32"/>
          <w:lang w:eastAsia="zh-CN"/>
        </w:rPr>
        <w:t>：</w:t>
      </w:r>
      <w:r>
        <w:rPr>
          <w:rStyle w:val="12"/>
          <w:rFonts w:hint="eastAsia" w:ascii="仿宋" w:hAnsi="仿宋" w:eastAsia="仿宋"/>
          <w:b w:val="0"/>
          <w:bCs/>
          <w:color w:val="000000"/>
          <w:sz w:val="32"/>
          <w:szCs w:val="32"/>
        </w:rPr>
        <w:t>支出决算为5.96万元，完成预算</w:t>
      </w:r>
      <w:r>
        <w:rPr>
          <w:rStyle w:val="12"/>
          <w:rFonts w:hint="eastAsia" w:ascii="仿宋" w:hAnsi="仿宋" w:eastAsia="仿宋"/>
          <w:b w:val="0"/>
          <w:bCs/>
          <w:color w:val="000000"/>
          <w:sz w:val="32"/>
          <w:szCs w:val="32"/>
          <w:lang w:val="en-US" w:eastAsia="zh-CN"/>
        </w:rPr>
        <w:t>100</w:t>
      </w:r>
      <w:r>
        <w:rPr>
          <w:rStyle w:val="12"/>
          <w:rFonts w:hint="eastAsia" w:ascii="仿宋" w:hAnsi="仿宋" w:eastAsia="仿宋"/>
          <w:b w:val="0"/>
          <w:bCs/>
          <w:color w:val="000000"/>
          <w:sz w:val="32"/>
          <w:szCs w:val="32"/>
        </w:rPr>
        <w:t>%</w:t>
      </w:r>
      <w:r>
        <w:rPr>
          <w:rStyle w:val="12"/>
          <w:rFonts w:hint="eastAsia" w:ascii="仿宋" w:hAnsi="仿宋" w:eastAsia="仿宋"/>
          <w:b w:val="0"/>
          <w:bCs/>
          <w:color w:val="000000"/>
          <w:sz w:val="32"/>
          <w:szCs w:val="32"/>
          <w:lang w:eastAsia="zh-CN"/>
        </w:rPr>
        <w:t>。</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val="en-US" w:eastAsia="zh-CN"/>
        </w:rPr>
      </w:pPr>
      <w:r>
        <w:rPr>
          <w:rStyle w:val="12"/>
          <w:rFonts w:hint="eastAsia" w:ascii="仿宋" w:hAnsi="仿宋" w:eastAsia="仿宋"/>
          <w:b w:val="0"/>
          <w:bCs/>
          <w:color w:val="000000"/>
          <w:sz w:val="32"/>
          <w:szCs w:val="32"/>
          <w:lang w:val="en-US" w:eastAsia="zh-CN"/>
        </w:rPr>
        <w:t>7</w:t>
      </w:r>
      <w:r>
        <w:rPr>
          <w:rStyle w:val="12"/>
          <w:rFonts w:hint="eastAsia" w:ascii="仿宋" w:hAnsi="仿宋" w:eastAsia="仿宋"/>
          <w:b w:val="0"/>
          <w:bCs/>
          <w:color w:val="000000"/>
          <w:sz w:val="32"/>
          <w:szCs w:val="32"/>
          <w:lang w:eastAsia="zh-CN"/>
        </w:rPr>
        <w:t>.住房保障支出（类）住房改革支出（款）住房公积金（项）：</w:t>
      </w:r>
      <w:r>
        <w:rPr>
          <w:rStyle w:val="12"/>
          <w:rFonts w:hint="eastAsia" w:ascii="仿宋" w:hAnsi="仿宋" w:eastAsia="仿宋"/>
          <w:b w:val="0"/>
          <w:bCs/>
          <w:color w:val="000000"/>
          <w:sz w:val="32"/>
          <w:szCs w:val="32"/>
        </w:rPr>
        <w:t>支出决算为</w:t>
      </w:r>
      <w:r>
        <w:rPr>
          <w:rStyle w:val="12"/>
          <w:rFonts w:hint="eastAsia" w:ascii="仿宋" w:hAnsi="仿宋" w:eastAsia="仿宋"/>
          <w:b w:val="0"/>
          <w:bCs/>
          <w:color w:val="000000"/>
          <w:sz w:val="32"/>
          <w:szCs w:val="32"/>
          <w:lang w:eastAsia="zh-CN"/>
        </w:rPr>
        <w:t>8.35万元，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lang w:eastAsia="zh-CN"/>
        </w:rPr>
        <w:t>。</w:t>
      </w:r>
    </w:p>
    <w:p>
      <w:pPr>
        <w:tabs>
          <w:tab w:val="right" w:pos="8306"/>
        </w:tabs>
        <w:spacing w:line="600" w:lineRule="exact"/>
        <w:ind w:firstLine="640"/>
        <w:outlineLvl w:val="1"/>
        <w:rPr>
          <w:rStyle w:val="15"/>
        </w:rPr>
      </w:pPr>
      <w:bookmarkStart w:id="35" w:name="_Toc15396608"/>
      <w:bookmarkStart w:id="36" w:name="_Toc15377214"/>
      <w:bookmarkStart w:id="37" w:name="_Toc31021"/>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5"/>
          <w:rFonts w:hint="eastAsia" w:ascii="黑体" w:hAnsi="黑体" w:eastAsia="黑体"/>
          <w:b w:val="0"/>
        </w:rPr>
        <w:t>般公共预算财政拨款基本支出决算情况说明</w:t>
      </w:r>
      <w:bookmarkEnd w:id="35"/>
      <w:bookmarkEnd w:id="36"/>
      <w:bookmarkEnd w:id="37"/>
      <w:r>
        <w:rPr>
          <w:rStyle w:val="15"/>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143.04</w:t>
      </w:r>
      <w:r>
        <w:rPr>
          <w:rFonts w:hint="eastAsia" w:ascii="仿宋" w:hAnsi="仿宋" w:eastAsia="仿宋"/>
          <w:color w:val="000000"/>
          <w:sz w:val="32"/>
          <w:szCs w:val="32"/>
        </w:rPr>
        <w:t>万元，其中：</w:t>
      </w:r>
    </w:p>
    <w:p>
      <w:pPr>
        <w:spacing w:line="600" w:lineRule="exact"/>
        <w:ind w:firstLine="645"/>
        <w:rPr>
          <w:rFonts w:ascii="仿宋" w:hAnsi="仿宋" w:eastAsia="仿宋"/>
          <w:b/>
          <w:color w:val="FF0000"/>
          <w:sz w:val="32"/>
          <w:szCs w:val="32"/>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132.69</w:t>
      </w:r>
      <w:r>
        <w:rPr>
          <w:rFonts w:hint="eastAsia" w:ascii="仿宋" w:hAnsi="仿宋" w:eastAsia="仿宋"/>
          <w:color w:val="000000"/>
          <w:sz w:val="32"/>
          <w:szCs w:val="32"/>
        </w:rPr>
        <w:t>万元，主要包括：基本工资、津贴补贴、绩效工资、机关事业单位基本养老保险缴费、职业年金缴费、其他社会保障缴费、其他工资福利支出、退休费、生活补助、奖励金、住房公积金、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rPr>
        <w:t>日常公用经费</w:t>
      </w:r>
      <w:r>
        <w:rPr>
          <w:rFonts w:hint="eastAsia" w:ascii="仿宋" w:hAnsi="仿宋" w:eastAsia="仿宋"/>
          <w:color w:val="000000"/>
          <w:sz w:val="32"/>
          <w:szCs w:val="32"/>
          <w:lang w:val="en-US" w:eastAsia="zh-CN"/>
        </w:rPr>
        <w:t>10.35</w:t>
      </w:r>
      <w:r>
        <w:rPr>
          <w:rFonts w:hint="eastAsia" w:ascii="仿宋" w:hAnsi="仿宋" w:eastAsia="仿宋"/>
          <w:color w:val="000000"/>
          <w:sz w:val="32"/>
          <w:szCs w:val="32"/>
        </w:rPr>
        <w:t>万元，主要包括：办公费、印刷费、咨询费、手续费、水费、电费、邮电费、差旅费、维修（护）费、租赁费、会议费、培训费、工会经费、公务用车运行维护费、其他商品和服务支出、办公设备购置、其他资本性支出等。</w:t>
      </w:r>
    </w:p>
    <w:p>
      <w:pPr>
        <w:spacing w:line="600" w:lineRule="exact"/>
        <w:ind w:firstLine="640"/>
        <w:outlineLvl w:val="1"/>
        <w:rPr>
          <w:rStyle w:val="15"/>
          <w:rFonts w:ascii="黑体" w:hAnsi="黑体" w:eastAsia="黑体"/>
          <w:b w:val="0"/>
        </w:rPr>
      </w:pPr>
      <w:bookmarkStart w:id="38" w:name="_Toc6926"/>
      <w:bookmarkStart w:id="39" w:name="_Toc15377215"/>
      <w:bookmarkStart w:id="40" w:name="_Toc15396609"/>
      <w:r>
        <w:rPr>
          <w:rFonts w:hint="eastAsia" w:ascii="黑体" w:eastAsia="黑体"/>
          <w:color w:val="000000"/>
          <w:sz w:val="32"/>
          <w:szCs w:val="32"/>
        </w:rPr>
        <w:t>七、</w:t>
      </w:r>
      <w:r>
        <w:rPr>
          <w:rStyle w:val="15"/>
          <w:rFonts w:hint="eastAsia" w:ascii="黑体" w:hAnsi="黑体" w:eastAsia="黑体"/>
        </w:rPr>
        <w:t>“</w:t>
      </w:r>
      <w:r>
        <w:rPr>
          <w:rStyle w:val="15"/>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 w:val="32"/>
          <w:szCs w:val="32"/>
        </w:rPr>
      </w:pPr>
      <w:bookmarkStart w:id="41" w:name="_Toc15377216"/>
      <w:r>
        <w:rPr>
          <w:rFonts w:hint="eastAsia" w:ascii="仿宋" w:hAnsi="仿宋" w:eastAsia="仿宋"/>
          <w:b/>
          <w:color w:val="000000"/>
          <w:sz w:val="32"/>
          <w:szCs w:val="32"/>
        </w:rPr>
        <w:t>（一）“三公”经费财政拨款支出决算总体情况说明</w:t>
      </w:r>
      <w:bookmarkEnd w:id="41"/>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年“三公”经费财政拨款支出决算为0.92万元，完成预算</w:t>
      </w:r>
      <w:r>
        <w:rPr>
          <w:rFonts w:hint="eastAsia" w:ascii="仿宋" w:hAnsi="仿宋" w:eastAsia="仿宋"/>
          <w:color w:val="000000"/>
          <w:sz w:val="32"/>
          <w:szCs w:val="32"/>
          <w:lang w:val="en-US" w:eastAsia="zh-CN"/>
        </w:rPr>
        <w:t>54.12</w:t>
      </w:r>
      <w:r>
        <w:rPr>
          <w:rFonts w:ascii="仿宋" w:hAnsi="仿宋" w:eastAsia="仿宋"/>
          <w:color w:val="000000"/>
          <w:sz w:val="32"/>
          <w:szCs w:val="32"/>
        </w:rPr>
        <w:t>%</w:t>
      </w:r>
      <w:r>
        <w:rPr>
          <w:rFonts w:hint="eastAsia" w:ascii="仿宋" w:hAnsi="仿宋" w:eastAsia="仿宋"/>
          <w:color w:val="000000"/>
          <w:sz w:val="32"/>
          <w:szCs w:val="32"/>
        </w:rPr>
        <w:t>，决算数小于预算数的主要原因是</w:t>
      </w:r>
      <w:r>
        <w:rPr>
          <w:rFonts w:hint="eastAsia" w:ascii="仿宋" w:hAnsi="仿宋" w:eastAsia="仿宋"/>
          <w:color w:val="000000"/>
          <w:sz w:val="32"/>
          <w:szCs w:val="32"/>
          <w:lang w:eastAsia="zh-CN"/>
        </w:rPr>
        <w:t>厉行节约</w:t>
      </w:r>
      <w:r>
        <w:rPr>
          <w:rFonts w:hint="eastAsia" w:ascii="仿宋" w:hAnsi="仿宋" w:eastAsia="仿宋"/>
          <w:color w:val="000000"/>
          <w:sz w:val="32"/>
          <w:szCs w:val="32"/>
        </w:rPr>
        <w:t>。</w:t>
      </w:r>
    </w:p>
    <w:p>
      <w:pPr>
        <w:spacing w:line="600" w:lineRule="exact"/>
        <w:ind w:firstLine="640"/>
        <w:outlineLvl w:val="2"/>
        <w:rPr>
          <w:rFonts w:ascii="仿宋" w:hAnsi="仿宋" w:eastAsia="仿宋"/>
          <w:b/>
          <w:color w:val="000000"/>
          <w:sz w:val="32"/>
          <w:szCs w:val="32"/>
        </w:rPr>
      </w:pPr>
      <w:bookmarkStart w:id="42" w:name="_Toc15377217"/>
      <w:r>
        <w:rPr>
          <w:rFonts w:hint="eastAsia" w:ascii="仿宋" w:hAnsi="仿宋" w:eastAsia="仿宋"/>
          <w:b/>
          <w:color w:val="000000"/>
          <w:sz w:val="32"/>
          <w:szCs w:val="32"/>
        </w:rPr>
        <w:t>（二）“三公”经费财政拨款支出决算具体情况说明</w:t>
      </w:r>
      <w:bookmarkEnd w:id="42"/>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0.92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hint="eastAsia"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7456" behindDoc="1" locked="0" layoutInCell="1" allowOverlap="1">
            <wp:simplePos x="0" y="0"/>
            <wp:positionH relativeFrom="column">
              <wp:posOffset>1047750</wp:posOffset>
            </wp:positionH>
            <wp:positionV relativeFrom="paragraph">
              <wp:posOffset>40005</wp:posOffset>
            </wp:positionV>
            <wp:extent cx="3366770" cy="2793365"/>
            <wp:effectExtent l="4445" t="4445" r="19685" b="21590"/>
            <wp:wrapTight wrapText="bothSides">
              <wp:wrapPolygon>
                <wp:start x="-29" y="-34"/>
                <wp:lineTo x="-29" y="21472"/>
                <wp:lineTo x="21482" y="21472"/>
                <wp:lineTo x="21482" y="-34"/>
                <wp:lineTo x="-29" y="-34"/>
              </wp:wrapPolygon>
            </wp:wrapTight>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rPr>
      </w:pPr>
    </w:p>
    <w:p>
      <w:pPr>
        <w:spacing w:line="600" w:lineRule="exact"/>
        <w:ind w:firstLine="640"/>
        <w:rPr>
          <w:rFonts w:hint="eastAsia" w:ascii="仿宋" w:hAnsi="仿宋" w:eastAsia="仿宋"/>
          <w:color w:val="000000"/>
          <w:sz w:val="32"/>
          <w:szCs w:val="32"/>
          <w:lang w:eastAsia="zh-CN"/>
        </w:rPr>
      </w:pPr>
    </w:p>
    <w:p>
      <w:pPr>
        <w:spacing w:line="600" w:lineRule="exact"/>
        <w:ind w:firstLine="960" w:firstLineChars="3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w:t>
      </w:r>
      <w:r>
        <w:rPr>
          <w:rFonts w:hint="eastAsia" w:ascii="仿宋" w:hAnsi="仿宋" w:eastAsia="仿宋"/>
          <w:color w:val="000000"/>
          <w:sz w:val="32"/>
          <w:szCs w:val="32"/>
          <w:lang w:eastAsia="zh-CN"/>
        </w:rPr>
        <w:t>单位：万元</w:t>
      </w:r>
      <w:r>
        <w:rPr>
          <w:rFonts w:hint="eastAsia" w:ascii="仿宋" w:hAnsi="仿宋" w:eastAsia="仿宋"/>
          <w:color w:val="000000"/>
          <w:sz w:val="32"/>
          <w:szCs w:val="32"/>
        </w:rPr>
        <w:t>）</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hint="eastAsia" w:ascii="仿宋_GB2312"/>
          <w:color w:val="000000"/>
          <w:sz w:val="32"/>
          <w:szCs w:val="32"/>
          <w:lang w:val="en-US" w:eastAsia="zh-CN"/>
        </w:rPr>
        <w:t>0</w:t>
      </w:r>
      <w:r>
        <w:rPr>
          <w:rFonts w:hint="eastAsia" w:ascii="仿宋_GB2312" w:eastAsia="仿宋_GB2312"/>
          <w:color w:val="000000"/>
          <w:sz w:val="32"/>
          <w:szCs w:val="32"/>
        </w:rPr>
        <w:t>次，出国（境）</w:t>
      </w:r>
      <w:r>
        <w:rPr>
          <w:rFonts w:hint="eastAsia" w:ascii="仿宋_GB2312"/>
          <w:color w:val="000000"/>
          <w:sz w:val="32"/>
          <w:szCs w:val="32"/>
          <w:lang w:val="en-US" w:eastAsia="zh-CN"/>
        </w:rPr>
        <w:t>0</w:t>
      </w:r>
      <w:r>
        <w:rPr>
          <w:rFonts w:hint="eastAsia" w:ascii="仿宋_GB2312" w:eastAsia="仿宋_GB2312"/>
          <w:color w:val="000000"/>
          <w:sz w:val="32"/>
          <w:szCs w:val="32"/>
        </w:rPr>
        <w:t>人。因公出国（境）支出决算</w:t>
      </w:r>
      <w:r>
        <w:rPr>
          <w:rFonts w:hint="eastAsia" w:ascii="仿宋_GB2312"/>
          <w:color w:val="000000"/>
          <w:sz w:val="32"/>
          <w:szCs w:val="32"/>
          <w:lang w:eastAsia="zh-CN"/>
        </w:rPr>
        <w:t>与</w:t>
      </w:r>
      <w:r>
        <w:rPr>
          <w:rFonts w:ascii="仿宋_GB2312" w:eastAsia="仿宋_GB2312"/>
          <w:color w:val="000000"/>
          <w:sz w:val="32"/>
          <w:szCs w:val="32"/>
        </w:rPr>
        <w:t>201</w:t>
      </w:r>
      <w:r>
        <w:rPr>
          <w:rFonts w:hint="eastAsia" w:ascii="仿宋_GB2312"/>
          <w:color w:val="000000"/>
          <w:sz w:val="32"/>
          <w:szCs w:val="32"/>
          <w:lang w:val="en-US" w:eastAsia="zh-CN"/>
        </w:rPr>
        <w:t>9</w:t>
      </w:r>
      <w:r>
        <w:rPr>
          <w:rFonts w:hint="eastAsia" w:ascii="仿宋_GB2312" w:eastAsia="仿宋_GB2312"/>
          <w:color w:val="000000"/>
          <w:sz w:val="32"/>
          <w:szCs w:val="32"/>
        </w:rPr>
        <w:t>年</w:t>
      </w:r>
      <w:r>
        <w:rPr>
          <w:rFonts w:hint="eastAsia" w:ascii="仿宋_GB2312"/>
          <w:color w:val="000000"/>
          <w:sz w:val="32"/>
          <w:szCs w:val="32"/>
          <w:lang w:eastAsia="zh-CN"/>
        </w:rPr>
        <w:t>持平</w:t>
      </w:r>
      <w:r>
        <w:rPr>
          <w:rFonts w:hint="eastAsia" w:ascii="仿宋_GB2312" w:eastAsia="仿宋_GB2312"/>
          <w:color w:val="000000"/>
          <w:sz w:val="32"/>
          <w:szCs w:val="32"/>
        </w:rPr>
        <w:t>。主要原因是</w:t>
      </w:r>
      <w:r>
        <w:rPr>
          <w:rFonts w:hint="eastAsia" w:ascii="仿宋_GB2312"/>
          <w:color w:val="000000"/>
          <w:sz w:val="32"/>
          <w:szCs w:val="32"/>
          <w:lang w:eastAsia="zh-CN"/>
        </w:rPr>
        <w:t>无</w:t>
      </w:r>
      <w:r>
        <w:rPr>
          <w:rFonts w:hint="eastAsia" w:ascii="仿宋_GB2312" w:eastAsia="仿宋_GB2312"/>
          <w:sz w:val="32"/>
          <w:szCs w:val="32"/>
        </w:rPr>
        <w:t>因公出国</w:t>
      </w:r>
      <w:r>
        <w:rPr>
          <w:rFonts w:hint="eastAsia" w:ascii="仿宋_GB2312"/>
          <w:sz w:val="32"/>
          <w:szCs w:val="32"/>
          <w:lang w:eastAsia="zh-CN"/>
        </w:rPr>
        <w:t>（境）</w:t>
      </w:r>
      <w:r>
        <w:rPr>
          <w:rFonts w:hint="eastAsia" w:ascii="仿宋_GB2312" w:eastAsia="仿宋_GB2312"/>
          <w:sz w:val="32"/>
          <w:szCs w:val="32"/>
        </w:rPr>
        <w:t>安排。</w:t>
      </w:r>
    </w:p>
    <w:p>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color w:val="000000"/>
          <w:sz w:val="32"/>
          <w:szCs w:val="32"/>
          <w:lang w:val="en-US" w:eastAsia="zh-CN"/>
        </w:rPr>
        <w:t>0.92</w:t>
      </w:r>
      <w:r>
        <w:rPr>
          <w:rFonts w:hint="eastAsia" w:ascii="仿宋_GB2312" w:eastAsia="仿宋_GB2312"/>
          <w:color w:val="000000"/>
          <w:sz w:val="32"/>
          <w:szCs w:val="32"/>
        </w:rPr>
        <w:t>万元</w:t>
      </w:r>
      <w:r>
        <w:rPr>
          <w:rFonts w:ascii="仿宋_GB2312" w:eastAsia="仿宋_GB2312"/>
          <w:color w:val="000000"/>
          <w:sz w:val="32"/>
          <w:szCs w:val="32"/>
        </w:rPr>
        <w:t>,</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54.12</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hint="eastAsia" w:ascii="仿宋_GB2312"/>
          <w:color w:val="000000"/>
          <w:sz w:val="32"/>
          <w:szCs w:val="32"/>
          <w:lang w:val="en-US" w:eastAsia="zh-CN"/>
        </w:rPr>
        <w:t>2019</w:t>
      </w:r>
      <w:r>
        <w:rPr>
          <w:rFonts w:hint="eastAsia" w:ascii="仿宋_GB2312" w:eastAsia="仿宋_GB2312"/>
          <w:color w:val="000000"/>
          <w:sz w:val="32"/>
          <w:szCs w:val="32"/>
        </w:rPr>
        <w:t>年减少</w:t>
      </w:r>
      <w:r>
        <w:rPr>
          <w:rFonts w:hint="eastAsia" w:ascii="仿宋_GB2312"/>
          <w:color w:val="000000"/>
          <w:sz w:val="32"/>
          <w:szCs w:val="32"/>
          <w:lang w:val="en-US" w:eastAsia="zh-CN"/>
        </w:rPr>
        <w:t>0.29</w:t>
      </w:r>
      <w:r>
        <w:rPr>
          <w:rFonts w:hint="eastAsia" w:ascii="仿宋_GB2312" w:eastAsia="仿宋_GB2312"/>
          <w:color w:val="000000"/>
          <w:sz w:val="32"/>
          <w:szCs w:val="32"/>
        </w:rPr>
        <w:t>万元，下降</w:t>
      </w:r>
      <w:r>
        <w:rPr>
          <w:rFonts w:hint="eastAsia" w:ascii="仿宋_GB2312"/>
          <w:color w:val="000000"/>
          <w:sz w:val="32"/>
          <w:szCs w:val="32"/>
          <w:lang w:val="en-US" w:eastAsia="zh-CN"/>
        </w:rPr>
        <w:t>23.97</w:t>
      </w:r>
      <w:r>
        <w:rPr>
          <w:rFonts w:ascii="仿宋_GB2312" w:eastAsia="仿宋_GB2312"/>
          <w:color w:val="000000"/>
          <w:sz w:val="32"/>
          <w:szCs w:val="32"/>
        </w:rPr>
        <w:t>%</w:t>
      </w:r>
      <w:r>
        <w:rPr>
          <w:rFonts w:hint="eastAsia" w:ascii="仿宋_GB2312" w:eastAsia="仿宋_GB2312"/>
          <w:color w:val="000000"/>
          <w:sz w:val="32"/>
          <w:szCs w:val="32"/>
        </w:rPr>
        <w:t>。主要原因是</w:t>
      </w:r>
      <w:r>
        <w:rPr>
          <w:rFonts w:hint="eastAsia" w:ascii="仿宋_GB2312"/>
          <w:color w:val="000000"/>
          <w:sz w:val="32"/>
          <w:szCs w:val="32"/>
          <w:lang w:eastAsia="zh-CN"/>
        </w:rPr>
        <w:t>厉行节约</w:t>
      </w:r>
      <w:r>
        <w:rPr>
          <w:rFonts w:hint="eastAsia" w:ascii="仿宋_GB2312" w:eastAsia="仿宋_GB2312"/>
          <w:color w:val="000000"/>
          <w:sz w:val="32"/>
          <w:szCs w:val="32"/>
        </w:rPr>
        <w:t>。</w:t>
      </w:r>
    </w:p>
    <w:p>
      <w:pPr>
        <w:spacing w:line="60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color w:val="000000"/>
          <w:sz w:val="32"/>
          <w:szCs w:val="32"/>
          <w:lang w:val="en-US" w:eastAsia="zh-CN"/>
        </w:rPr>
        <w:t>0</w:t>
      </w:r>
      <w:r>
        <w:rPr>
          <w:rFonts w:hint="eastAsia" w:ascii="仿宋_GB2312" w:eastAsia="仿宋_GB2312"/>
          <w:color w:val="000000"/>
          <w:sz w:val="32"/>
          <w:szCs w:val="32"/>
        </w:rPr>
        <w:t>万元。全年按规定更新购置公务用车</w:t>
      </w:r>
      <w:r>
        <w:rPr>
          <w:rFonts w:hint="eastAsia" w:ascii="仿宋_GB2312"/>
          <w:color w:val="000000"/>
          <w:sz w:val="32"/>
          <w:szCs w:val="32"/>
          <w:lang w:val="en-US" w:eastAsia="zh-CN"/>
        </w:rPr>
        <w:t>0</w:t>
      </w:r>
      <w:r>
        <w:rPr>
          <w:rFonts w:hint="eastAsia" w:ascii="仿宋_GB2312" w:eastAsia="仿宋_GB2312"/>
          <w:color w:val="000000"/>
          <w:sz w:val="32"/>
          <w:szCs w:val="32"/>
        </w:rPr>
        <w:t>辆，截至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color w:val="000000"/>
          <w:sz w:val="32"/>
          <w:szCs w:val="32"/>
          <w:lang w:val="en-US" w:eastAsia="zh-CN"/>
        </w:rPr>
        <w:t>1</w:t>
      </w:r>
      <w:r>
        <w:rPr>
          <w:rFonts w:hint="eastAsia" w:ascii="仿宋_GB2312" w:eastAsia="仿宋_GB2312"/>
          <w:color w:val="000000"/>
          <w:sz w:val="32"/>
          <w:szCs w:val="32"/>
        </w:rPr>
        <w:t>辆，其中：轿车</w:t>
      </w:r>
      <w:r>
        <w:rPr>
          <w:rFonts w:hint="eastAsia" w:ascii="仿宋_GB2312"/>
          <w:color w:val="000000"/>
          <w:sz w:val="32"/>
          <w:szCs w:val="32"/>
          <w:lang w:val="en-US" w:eastAsia="zh-CN"/>
        </w:rPr>
        <w:t>1</w:t>
      </w:r>
      <w:r>
        <w:rPr>
          <w:rFonts w:hint="eastAsia" w:ascii="仿宋_GB2312" w:eastAsia="仿宋_GB2312"/>
          <w:color w:val="000000"/>
          <w:sz w:val="32"/>
          <w:szCs w:val="32"/>
        </w:rPr>
        <w:t>辆、越野车</w:t>
      </w:r>
      <w:r>
        <w:rPr>
          <w:rFonts w:hint="eastAsia" w:ascii="仿宋_GB2312"/>
          <w:color w:val="000000"/>
          <w:sz w:val="32"/>
          <w:szCs w:val="32"/>
          <w:lang w:val="en-US" w:eastAsia="zh-CN"/>
        </w:rPr>
        <w:t>0</w:t>
      </w:r>
      <w:r>
        <w:rPr>
          <w:rFonts w:hint="eastAsia" w:ascii="仿宋_GB2312" w:eastAsia="仿宋_GB2312"/>
          <w:color w:val="000000"/>
          <w:sz w:val="32"/>
          <w:szCs w:val="32"/>
        </w:rPr>
        <w:t>辆、载客汽车</w:t>
      </w:r>
      <w:r>
        <w:rPr>
          <w:rFonts w:hint="eastAsia" w:ascii="仿宋_GB2312"/>
          <w:color w:val="000000"/>
          <w:sz w:val="32"/>
          <w:szCs w:val="32"/>
          <w:lang w:val="en-US" w:eastAsia="zh-CN"/>
        </w:rPr>
        <w:t>0</w:t>
      </w:r>
      <w:r>
        <w:rPr>
          <w:rFonts w:hint="eastAsia" w:ascii="仿宋_GB2312" w:eastAsia="仿宋_GB2312"/>
          <w:color w:val="000000"/>
          <w:sz w:val="32"/>
          <w:szCs w:val="32"/>
        </w:rPr>
        <w:t>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color w:val="000000"/>
          <w:sz w:val="32"/>
          <w:szCs w:val="32"/>
          <w:lang w:val="en-US" w:eastAsia="zh-CN"/>
        </w:rPr>
        <w:t>0.92</w:t>
      </w:r>
      <w:r>
        <w:rPr>
          <w:rFonts w:hint="eastAsia" w:ascii="仿宋_GB2312" w:eastAsia="仿宋_GB2312"/>
          <w:color w:val="000000"/>
          <w:sz w:val="32"/>
          <w:szCs w:val="32"/>
        </w:rPr>
        <w:t>万元。主要用于</w:t>
      </w:r>
      <w:r>
        <w:rPr>
          <w:rFonts w:hint="eastAsia" w:ascii="仿宋_GB2312"/>
          <w:color w:val="000000"/>
          <w:sz w:val="32"/>
          <w:szCs w:val="32"/>
          <w:lang w:eastAsia="zh-CN"/>
        </w:rPr>
        <w:t>保障集中供养特困人员日常生活</w:t>
      </w:r>
      <w:r>
        <w:rPr>
          <w:rFonts w:hint="eastAsia" w:ascii="仿宋_GB2312" w:eastAsia="仿宋_GB2312"/>
          <w:color w:val="000000"/>
          <w:sz w:val="32"/>
          <w:szCs w:val="32"/>
        </w:rPr>
        <w:t>等所需的公务用车燃料费、维修费、过路过桥费、保险费等支出。</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w:t>
      </w:r>
      <w:r>
        <w:rPr>
          <w:rFonts w:hint="eastAsia" w:ascii="仿宋_GB2312"/>
          <w:color w:val="000000"/>
          <w:sz w:val="32"/>
          <w:szCs w:val="32"/>
          <w:lang w:eastAsia="zh-CN"/>
        </w:rPr>
        <w:t>与</w:t>
      </w:r>
      <w:r>
        <w:rPr>
          <w:rFonts w:ascii="仿宋_GB2312" w:eastAsia="仿宋_GB2312"/>
          <w:color w:val="000000"/>
          <w:sz w:val="32"/>
          <w:szCs w:val="32"/>
        </w:rPr>
        <w:t>2019</w:t>
      </w:r>
      <w:r>
        <w:rPr>
          <w:rFonts w:hint="eastAsia" w:ascii="仿宋_GB2312" w:eastAsia="仿宋_GB2312"/>
          <w:color w:val="000000"/>
          <w:sz w:val="32"/>
          <w:szCs w:val="32"/>
        </w:rPr>
        <w:t>年</w:t>
      </w:r>
      <w:r>
        <w:rPr>
          <w:rFonts w:hint="eastAsia" w:ascii="仿宋_GB2312"/>
          <w:color w:val="000000"/>
          <w:sz w:val="32"/>
          <w:szCs w:val="32"/>
          <w:lang w:eastAsia="zh-CN"/>
        </w:rPr>
        <w:t>持平。</w:t>
      </w:r>
      <w:r>
        <w:rPr>
          <w:rFonts w:hint="eastAsia" w:ascii="仿宋_GB2312" w:eastAsia="仿宋_GB2312"/>
          <w:color w:val="000000"/>
          <w:sz w:val="32"/>
          <w:szCs w:val="32"/>
        </w:rPr>
        <w:t>主要原因是</w:t>
      </w:r>
      <w:r>
        <w:rPr>
          <w:rFonts w:hint="eastAsia" w:ascii="仿宋_GB2312"/>
          <w:color w:val="000000"/>
          <w:sz w:val="32"/>
          <w:szCs w:val="32"/>
          <w:lang w:eastAsia="zh-CN"/>
        </w:rPr>
        <w:t>无</w:t>
      </w:r>
      <w:r>
        <w:rPr>
          <w:rFonts w:hint="eastAsia" w:ascii="仿宋_GB2312"/>
          <w:sz w:val="32"/>
          <w:szCs w:val="32"/>
          <w:lang w:eastAsia="zh-CN"/>
        </w:rPr>
        <w:t>公务接待</w:t>
      </w:r>
      <w:r>
        <w:rPr>
          <w:rFonts w:hint="eastAsia" w:ascii="仿宋_GB2312" w:eastAsia="仿宋_GB2312"/>
          <w:sz w:val="32"/>
          <w:szCs w:val="32"/>
        </w:rPr>
        <w:t>安排。</w:t>
      </w:r>
      <w:r>
        <w:rPr>
          <w:rFonts w:hint="eastAsia" w:ascii="仿宋_GB2312" w:eastAsia="仿宋_GB2312"/>
          <w:color w:val="000000"/>
          <w:sz w:val="32"/>
          <w:szCs w:val="32"/>
        </w:rPr>
        <w:t>其中：</w:t>
      </w:r>
    </w:p>
    <w:p>
      <w:pPr>
        <w:spacing w:line="600" w:lineRule="exact"/>
        <w:ind w:firstLine="640"/>
        <w:rPr>
          <w:rFonts w:ascii="仿宋_GB2312" w:eastAsia="仿宋_GB2312"/>
          <w:color w:val="000000"/>
          <w:sz w:val="32"/>
          <w:szCs w:val="32"/>
        </w:rPr>
      </w:pPr>
      <w:r>
        <w:rPr>
          <w:rFonts w:hint="eastAsia" w:ascii="仿宋" w:hAnsi="仿宋" w:eastAsia="仿宋"/>
          <w:b/>
          <w:color w:val="000000"/>
          <w:sz w:val="32"/>
          <w:szCs w:val="32"/>
        </w:rPr>
        <w:t>国内公务接待支出</w:t>
      </w:r>
      <w:r>
        <w:rPr>
          <w:rFonts w:hint="eastAsia" w:ascii="仿宋" w:hAnsi="仿宋" w:eastAsia="仿宋"/>
          <w:color w:val="000000"/>
          <w:sz w:val="32"/>
          <w:szCs w:val="32"/>
          <w:lang w:val="en-US" w:eastAsia="zh-CN"/>
        </w:rPr>
        <w:t>0</w:t>
      </w:r>
      <w:r>
        <w:rPr>
          <w:rFonts w:hint="eastAsia" w:ascii="仿宋_GB2312" w:eastAsia="仿宋_GB2312"/>
          <w:color w:val="000000"/>
          <w:sz w:val="32"/>
          <w:szCs w:val="32"/>
        </w:rPr>
        <w:t>万元。国内公务接待</w:t>
      </w:r>
      <w:r>
        <w:rPr>
          <w:rFonts w:hint="eastAsia" w:ascii="仿宋_GB2312"/>
          <w:color w:val="000000"/>
          <w:sz w:val="32"/>
          <w:szCs w:val="32"/>
          <w:lang w:val="en-US" w:eastAsia="zh-CN"/>
        </w:rPr>
        <w:t>0</w:t>
      </w:r>
      <w:r>
        <w:rPr>
          <w:rFonts w:hint="eastAsia" w:ascii="仿宋_GB2312" w:eastAsia="仿宋_GB2312"/>
          <w:color w:val="000000"/>
          <w:sz w:val="32"/>
          <w:szCs w:val="32"/>
        </w:rPr>
        <w:t>批次，</w:t>
      </w:r>
      <w:r>
        <w:rPr>
          <w:rFonts w:hint="eastAsia" w:ascii="仿宋_GB2312"/>
          <w:color w:val="000000"/>
          <w:sz w:val="32"/>
          <w:szCs w:val="32"/>
          <w:lang w:val="en-US" w:eastAsia="zh-CN"/>
        </w:rPr>
        <w:t>0</w:t>
      </w:r>
      <w:r>
        <w:rPr>
          <w:rFonts w:hint="eastAsia" w:ascii="仿宋_GB2312" w:eastAsia="仿宋_GB2312"/>
          <w:color w:val="000000"/>
          <w:sz w:val="32"/>
          <w:szCs w:val="32"/>
        </w:rPr>
        <w:t>人次（不包括陪同人员），共计支出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3" w:firstLineChars="200"/>
        <w:rPr>
          <w:rFonts w:hint="default" w:ascii="黑体" w:eastAsia="仿宋_GB2312"/>
          <w:color w:val="000000"/>
          <w:sz w:val="32"/>
          <w:szCs w:val="32"/>
          <w:lang w:val="en-US" w:eastAsia="zh-CN"/>
        </w:rPr>
      </w:pPr>
      <w:r>
        <w:rPr>
          <w:rFonts w:hint="eastAsia" w:ascii="仿宋" w:hAnsi="仿宋" w:eastAsia="仿宋"/>
          <w:b/>
          <w:color w:val="000000"/>
          <w:sz w:val="32"/>
          <w:szCs w:val="32"/>
        </w:rPr>
        <w:t>外事接待支出</w:t>
      </w:r>
      <w:r>
        <w:rPr>
          <w:rFonts w:hint="eastAsia" w:ascii="仿宋" w:hAnsi="仿宋" w:eastAsia="仿宋"/>
          <w:color w:val="000000"/>
          <w:sz w:val="32"/>
          <w:szCs w:val="32"/>
          <w:lang w:val="en-US" w:eastAsia="zh-CN"/>
        </w:rPr>
        <w:t>0</w:t>
      </w:r>
      <w:r>
        <w:rPr>
          <w:rFonts w:hint="eastAsia" w:ascii="仿宋_GB2312" w:eastAsia="仿宋_GB2312"/>
          <w:color w:val="000000"/>
          <w:sz w:val="32"/>
          <w:szCs w:val="32"/>
        </w:rPr>
        <w:t>万元，外事接待</w:t>
      </w:r>
      <w:r>
        <w:rPr>
          <w:rFonts w:hint="eastAsia" w:ascii="仿宋_GB2312"/>
          <w:color w:val="000000"/>
          <w:sz w:val="32"/>
          <w:szCs w:val="32"/>
          <w:lang w:val="en-US" w:eastAsia="zh-CN"/>
        </w:rPr>
        <w:t>0</w:t>
      </w:r>
      <w:r>
        <w:rPr>
          <w:rFonts w:hint="eastAsia" w:ascii="仿宋_GB2312" w:eastAsia="仿宋_GB2312"/>
          <w:color w:val="000000"/>
          <w:sz w:val="32"/>
          <w:szCs w:val="32"/>
        </w:rPr>
        <w:t>批次，</w:t>
      </w:r>
      <w:r>
        <w:rPr>
          <w:rFonts w:hint="eastAsia" w:ascii="仿宋_GB2312"/>
          <w:color w:val="000000"/>
          <w:sz w:val="32"/>
          <w:szCs w:val="32"/>
          <w:lang w:val="en-US" w:eastAsia="zh-CN"/>
        </w:rPr>
        <w:t>0</w:t>
      </w:r>
      <w:r>
        <w:rPr>
          <w:rFonts w:hint="eastAsia" w:ascii="仿宋_GB2312" w:eastAsia="仿宋_GB2312"/>
          <w:color w:val="000000"/>
          <w:sz w:val="32"/>
          <w:szCs w:val="32"/>
        </w:rPr>
        <w:t>人</w:t>
      </w:r>
      <w:bookmarkStart w:id="43" w:name="_Toc15396610"/>
      <w:bookmarkStart w:id="44" w:name="_Toc15377218"/>
      <w:r>
        <w:rPr>
          <w:rFonts w:hint="eastAsia" w:ascii="仿宋_GB2312"/>
          <w:color w:val="000000"/>
          <w:sz w:val="32"/>
          <w:szCs w:val="32"/>
          <w:lang w:eastAsia="zh-CN"/>
        </w:rPr>
        <w:t>，共计支出</w:t>
      </w:r>
      <w:r>
        <w:rPr>
          <w:rFonts w:hint="eastAsia" w:ascii="仿宋_GB2312"/>
          <w:color w:val="000000"/>
          <w:sz w:val="32"/>
          <w:szCs w:val="32"/>
          <w:lang w:val="en-US" w:eastAsia="zh-CN"/>
        </w:rPr>
        <w:t>0万元。</w:t>
      </w:r>
    </w:p>
    <w:p>
      <w:pPr>
        <w:spacing w:line="600" w:lineRule="exact"/>
        <w:ind w:firstLine="640"/>
        <w:outlineLvl w:val="1"/>
        <w:rPr>
          <w:rStyle w:val="15"/>
          <w:rFonts w:ascii="黑体" w:hAnsi="黑体" w:eastAsia="黑体"/>
        </w:rPr>
      </w:pPr>
      <w:bookmarkStart w:id="45" w:name="_Toc9843"/>
      <w:r>
        <w:rPr>
          <w:rFonts w:hint="eastAsia" w:ascii="黑体" w:eastAsia="黑体"/>
          <w:color w:val="000000"/>
          <w:sz w:val="32"/>
          <w:szCs w:val="32"/>
        </w:rPr>
        <w:t>八、</w:t>
      </w:r>
      <w:r>
        <w:rPr>
          <w:rStyle w:val="15"/>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年政府性基金预算拨款支出</w:t>
      </w:r>
      <w:r>
        <w:rPr>
          <w:rFonts w:hint="eastAsia" w:ascii="仿宋_GB2312"/>
          <w:color w:val="000000"/>
          <w:sz w:val="32"/>
          <w:szCs w:val="32"/>
          <w:lang w:val="en-US" w:eastAsia="zh-CN"/>
        </w:rPr>
        <w:t>47.94</w:t>
      </w:r>
      <w:r>
        <w:rPr>
          <w:rFonts w:hint="eastAsia" w:ascii="仿宋_GB2312" w:eastAsia="仿宋_GB2312"/>
          <w:color w:val="000000"/>
          <w:sz w:val="32"/>
          <w:szCs w:val="32"/>
        </w:rPr>
        <w:t>万元。</w:t>
      </w:r>
    </w:p>
    <w:p>
      <w:pPr>
        <w:numPr>
          <w:ilvl w:val="0"/>
          <w:numId w:val="2"/>
        </w:numPr>
        <w:spacing w:line="600" w:lineRule="exact"/>
        <w:ind w:firstLine="640"/>
        <w:outlineLvl w:val="1"/>
        <w:rPr>
          <w:rStyle w:val="15"/>
          <w:rFonts w:ascii="黑体" w:hAnsi="黑体" w:eastAsia="黑体"/>
          <w:b w:val="0"/>
        </w:rPr>
      </w:pPr>
      <w:bookmarkStart w:id="46" w:name="_Toc15396611"/>
      <w:bookmarkStart w:id="47" w:name="_Toc15377219"/>
      <w:bookmarkStart w:id="48" w:name="_Toc10775"/>
      <w:r>
        <w:rPr>
          <w:rStyle w:val="15"/>
          <w:rFonts w:hint="eastAsia" w:ascii="黑体" w:hAnsi="黑体" w:eastAsia="黑体"/>
          <w:b w:val="0"/>
        </w:rPr>
        <w:t>国有资本经营预算支出决算情况说明</w:t>
      </w:r>
      <w:bookmarkEnd w:id="46"/>
      <w:bookmarkEnd w:id="47"/>
      <w:bookmarkEnd w:id="48"/>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color w:val="000000"/>
          <w:sz w:val="32"/>
          <w:szCs w:val="32"/>
        </w:rPr>
        <w:t>2020</w:t>
      </w:r>
      <w:r>
        <w:rPr>
          <w:rFonts w:hint="eastAsia" w:ascii="仿宋_GB2312" w:eastAsia="仿宋_GB2312"/>
          <w:color w:val="000000"/>
          <w:sz w:val="32"/>
          <w:szCs w:val="32"/>
        </w:rPr>
        <w:t>年国有资本经营预算拨款支出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800" w:firstLineChars="250"/>
        <w:outlineLvl w:val="1"/>
        <w:rPr>
          <w:rStyle w:val="15"/>
          <w:rFonts w:ascii="黑体" w:hAnsi="黑体" w:eastAsia="黑体"/>
        </w:rPr>
      </w:pPr>
      <w:bookmarkStart w:id="49" w:name="_Toc738"/>
      <w:bookmarkStart w:id="50" w:name="_Toc15396612"/>
      <w:bookmarkStart w:id="51" w:name="_Toc15377221"/>
      <w:r>
        <w:rPr>
          <w:rFonts w:hint="eastAsia" w:ascii="黑体" w:hAnsi="黑体" w:eastAsia="黑体"/>
          <w:color w:val="000000"/>
          <w:sz w:val="32"/>
          <w:szCs w:val="32"/>
        </w:rPr>
        <w:t>十</w:t>
      </w:r>
      <w:r>
        <w:rPr>
          <w:rStyle w:val="15"/>
          <w:rFonts w:hint="eastAsia" w:ascii="黑体" w:hAnsi="黑体" w:eastAsia="黑体"/>
        </w:rPr>
        <w:t>、</w:t>
      </w:r>
      <w:r>
        <w:rPr>
          <w:rStyle w:val="15"/>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0" w:firstLineChars="200"/>
        <w:rPr>
          <w:rFonts w:hint="eastAsia" w:ascii="仿宋_GB2312" w:eastAsia="仿宋_GB2312"/>
          <w:color w:val="000000"/>
          <w:sz w:val="32"/>
          <w:szCs w:val="32"/>
          <w:lang w:eastAsia="zh-CN"/>
        </w:rPr>
      </w:pPr>
      <w:r>
        <w:rPr>
          <w:rFonts w:hint="eastAsia" w:ascii="仿宋_GB2312"/>
          <w:color w:val="000000"/>
          <w:sz w:val="32"/>
          <w:szCs w:val="32"/>
          <w:lang w:eastAsia="zh-CN"/>
        </w:rPr>
        <w:t>自贡市自流井区社会福利院20</w:t>
      </w:r>
      <w:r>
        <w:rPr>
          <w:rFonts w:hint="eastAsia" w:ascii="仿宋_GB2312"/>
          <w:color w:val="000000"/>
          <w:sz w:val="32"/>
          <w:szCs w:val="32"/>
          <w:lang w:val="en-US" w:eastAsia="zh-CN"/>
        </w:rPr>
        <w:t>20</w:t>
      </w:r>
      <w:r>
        <w:rPr>
          <w:rFonts w:hint="eastAsia" w:ascii="仿宋_GB2312"/>
          <w:color w:val="000000"/>
          <w:sz w:val="32"/>
          <w:szCs w:val="32"/>
          <w:lang w:eastAsia="zh-CN"/>
        </w:rPr>
        <w:t>年无机关运行经费。</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3" w:name="_Toc15377223"/>
      <w:r>
        <w:rPr>
          <w:rFonts w:hint="eastAsia" w:ascii="仿宋" w:hAnsi="仿宋" w:eastAsia="仿宋"/>
          <w:b/>
          <w:color w:val="000000"/>
          <w:sz w:val="32"/>
          <w:szCs w:val="32"/>
        </w:rPr>
        <w:t>（二）政府采购支出情况</w:t>
      </w:r>
      <w:bookmarkEnd w:id="53"/>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自贡市自流井区社会福利院</w:t>
      </w:r>
      <w:r>
        <w:rPr>
          <w:rFonts w:hint="eastAsia" w:ascii="仿宋_GB2312" w:eastAsia="仿宋_GB2312"/>
          <w:color w:val="000000"/>
          <w:sz w:val="32"/>
          <w:szCs w:val="32"/>
        </w:rPr>
        <w:t>政府采购支出总额</w:t>
      </w:r>
      <w:r>
        <w:rPr>
          <w:rFonts w:hint="eastAsia" w:ascii="仿宋_GB2312"/>
          <w:color w:val="000000"/>
          <w:sz w:val="32"/>
          <w:szCs w:val="32"/>
          <w:lang w:val="en-US" w:eastAsia="zh-CN"/>
        </w:rPr>
        <w:t>0</w:t>
      </w:r>
      <w:r>
        <w:rPr>
          <w:rFonts w:hint="eastAsia" w:ascii="仿宋_GB2312" w:eastAsia="仿宋_GB2312"/>
          <w:color w:val="000000"/>
          <w:sz w:val="32"/>
          <w:szCs w:val="32"/>
        </w:rPr>
        <w:t>万元，其中：政府采购货物支出</w:t>
      </w:r>
      <w:r>
        <w:rPr>
          <w:rFonts w:hint="eastAsia" w:ascii="仿宋_GB2312"/>
          <w:color w:val="000000"/>
          <w:sz w:val="32"/>
          <w:szCs w:val="32"/>
          <w:lang w:val="en-US" w:eastAsia="zh-CN"/>
        </w:rPr>
        <w:t>0</w:t>
      </w:r>
      <w:r>
        <w:rPr>
          <w:rFonts w:hint="eastAsia" w:ascii="仿宋_GB2312" w:eastAsia="仿宋_GB2312"/>
          <w:color w:val="000000"/>
          <w:sz w:val="32"/>
          <w:szCs w:val="32"/>
        </w:rPr>
        <w:t>万元、政府采购工程支出</w:t>
      </w:r>
      <w:r>
        <w:rPr>
          <w:rFonts w:hint="eastAsia" w:ascii="仿宋_GB2312"/>
          <w:color w:val="000000"/>
          <w:sz w:val="32"/>
          <w:szCs w:val="32"/>
          <w:lang w:val="en-US" w:eastAsia="zh-CN"/>
        </w:rPr>
        <w:t>0</w:t>
      </w:r>
      <w:r>
        <w:rPr>
          <w:rFonts w:hint="eastAsia" w:ascii="仿宋_GB2312" w:eastAsia="仿宋_GB2312"/>
          <w:color w:val="000000"/>
          <w:sz w:val="32"/>
          <w:szCs w:val="32"/>
        </w:rPr>
        <w:t>万元、政府采购服务支出</w:t>
      </w:r>
      <w:r>
        <w:rPr>
          <w:rFonts w:hint="eastAsia" w:ascii="仿宋_GB2312"/>
          <w:color w:val="000000"/>
          <w:sz w:val="32"/>
          <w:szCs w:val="32"/>
          <w:lang w:val="en-US" w:eastAsia="zh-CN"/>
        </w:rPr>
        <w:t>0</w:t>
      </w:r>
      <w:r>
        <w:rPr>
          <w:rFonts w:hint="eastAsia" w:ascii="仿宋_GB2312" w:eastAsia="仿宋_GB2312"/>
          <w:color w:val="000000"/>
          <w:sz w:val="32"/>
          <w:szCs w:val="32"/>
        </w:rPr>
        <w:t>万元。授予中小企业合同金额</w:t>
      </w:r>
      <w:r>
        <w:rPr>
          <w:rFonts w:hint="eastAsia" w:ascii="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，其中：授予小微企业合同金额</w:t>
      </w:r>
      <w:r>
        <w:rPr>
          <w:rFonts w:hint="eastAsia" w:ascii="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4" w:name="_Toc15377224"/>
      <w:r>
        <w:rPr>
          <w:rFonts w:hint="eastAsia" w:ascii="仿宋" w:hAnsi="仿宋" w:eastAsia="仿宋"/>
          <w:b/>
          <w:color w:val="000000"/>
          <w:sz w:val="32"/>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color w:val="000000"/>
          <w:sz w:val="32"/>
          <w:szCs w:val="32"/>
          <w:lang w:eastAsia="zh-CN"/>
        </w:rPr>
        <w:t>自贡市自流井区社会福利院</w:t>
      </w:r>
      <w:r>
        <w:rPr>
          <w:rFonts w:hint="eastAsia" w:ascii="仿宋_GB2312" w:eastAsia="仿宋_GB2312"/>
          <w:color w:val="000000"/>
          <w:sz w:val="32"/>
          <w:szCs w:val="32"/>
        </w:rPr>
        <w:t>共有车辆</w:t>
      </w:r>
      <w:r>
        <w:rPr>
          <w:rFonts w:hint="eastAsia" w:ascii="仿宋_GB2312"/>
          <w:color w:val="000000"/>
          <w:sz w:val="32"/>
          <w:szCs w:val="32"/>
          <w:lang w:val="en-US" w:eastAsia="zh-CN"/>
        </w:rPr>
        <w:t>1</w:t>
      </w:r>
      <w:r>
        <w:rPr>
          <w:rFonts w:hint="eastAsia" w:ascii="仿宋_GB2312" w:eastAsia="仿宋_GB2312"/>
          <w:color w:val="000000"/>
          <w:sz w:val="32"/>
          <w:szCs w:val="32"/>
        </w:rPr>
        <w:t>辆，其中：主要领导干部用车</w:t>
      </w:r>
      <w:r>
        <w:rPr>
          <w:rFonts w:hint="eastAsia" w:ascii="仿宋_GB2312"/>
          <w:color w:val="000000"/>
          <w:sz w:val="32"/>
          <w:szCs w:val="32"/>
          <w:lang w:val="en-US" w:eastAsia="zh-CN"/>
        </w:rPr>
        <w:t>0</w:t>
      </w:r>
      <w:r>
        <w:rPr>
          <w:rFonts w:hint="eastAsia" w:ascii="仿宋_GB2312" w:eastAsia="仿宋_GB2312"/>
          <w:color w:val="000000"/>
          <w:sz w:val="32"/>
          <w:szCs w:val="32"/>
        </w:rPr>
        <w:t>辆、机要通信用车</w:t>
      </w:r>
      <w:r>
        <w:rPr>
          <w:rFonts w:hint="eastAsia" w:ascii="仿宋_GB2312"/>
          <w:color w:val="000000"/>
          <w:sz w:val="32"/>
          <w:szCs w:val="32"/>
          <w:lang w:val="en-US" w:eastAsia="zh-CN"/>
        </w:rPr>
        <w:t>0</w:t>
      </w:r>
      <w:r>
        <w:rPr>
          <w:rFonts w:hint="eastAsia" w:ascii="仿宋_GB2312" w:eastAsia="仿宋_GB2312"/>
          <w:color w:val="000000"/>
          <w:sz w:val="32"/>
          <w:szCs w:val="32"/>
        </w:rPr>
        <w:t>辆、应急保障用车</w:t>
      </w:r>
      <w:r>
        <w:rPr>
          <w:rFonts w:hint="eastAsia" w:ascii="仿宋_GB2312"/>
          <w:color w:val="000000"/>
          <w:sz w:val="32"/>
          <w:szCs w:val="32"/>
          <w:lang w:val="en-US" w:eastAsia="zh-CN"/>
        </w:rPr>
        <w:t>1</w:t>
      </w:r>
      <w:r>
        <w:rPr>
          <w:rFonts w:hint="eastAsia" w:ascii="仿宋_GB2312" w:eastAsia="仿宋_GB2312"/>
          <w:color w:val="000000"/>
          <w:sz w:val="32"/>
          <w:szCs w:val="32"/>
        </w:rPr>
        <w:t>辆、其他用车</w:t>
      </w:r>
      <w:r>
        <w:rPr>
          <w:rFonts w:hint="eastAsia" w:ascii="仿宋_GB2312"/>
          <w:color w:val="000000"/>
          <w:sz w:val="32"/>
          <w:szCs w:val="32"/>
          <w:lang w:val="en-US" w:eastAsia="zh-CN"/>
        </w:rPr>
        <w:t>0</w:t>
      </w:r>
      <w:r>
        <w:rPr>
          <w:rFonts w:hint="eastAsia" w:ascii="仿宋_GB2312" w:eastAsia="仿宋_GB2312"/>
          <w:color w:val="000000"/>
          <w:sz w:val="32"/>
          <w:szCs w:val="32"/>
        </w:rPr>
        <w:t>辆</w:t>
      </w:r>
      <w:r>
        <w:rPr>
          <w:rFonts w:hint="eastAsia" w:ascii="仿宋_GB2312"/>
          <w:color w:val="000000"/>
          <w:sz w:val="32"/>
          <w:szCs w:val="32"/>
          <w:lang w:eastAsia="zh-CN"/>
        </w:rPr>
        <w:t>，</w:t>
      </w:r>
      <w:r>
        <w:rPr>
          <w:rFonts w:hint="eastAsia" w:ascii="仿宋_GB2312" w:eastAsia="仿宋_GB2312"/>
          <w:color w:val="000000"/>
          <w:sz w:val="32"/>
          <w:szCs w:val="32"/>
        </w:rPr>
        <w:t>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color w:val="000000"/>
          <w:sz w:val="32"/>
          <w:szCs w:val="32"/>
          <w:lang w:val="en-US"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w:t>
      </w:r>
      <w:r>
        <w:rPr>
          <w:rFonts w:hint="eastAsia" w:ascii="仿宋_GB2312" w:hAnsi="仿宋_GB2312" w:cs="仿宋_GB2312"/>
          <w:sz w:val="32"/>
          <w:szCs w:val="32"/>
          <w:lang w:eastAsia="zh-CN"/>
        </w:rPr>
        <w:t>自贡市自流井区社会福利院</w:t>
      </w:r>
      <w:r>
        <w:rPr>
          <w:rFonts w:hint="eastAsia" w:ascii="仿宋_GB2312" w:hAnsi="仿宋_GB2312" w:eastAsia="仿宋_GB2312" w:cs="仿宋_GB2312"/>
          <w:sz w:val="32"/>
          <w:szCs w:val="32"/>
        </w:rPr>
        <w:t>在年初预算编制阶段，组织对</w:t>
      </w:r>
      <w:r>
        <w:rPr>
          <w:rFonts w:hint="eastAsia" w:ascii="仿宋_GB2312" w:hAnsi="仿宋_GB2312" w:cs="仿宋_GB2312"/>
          <w:sz w:val="32"/>
          <w:szCs w:val="32"/>
          <w:lang w:val="en-US" w:eastAsia="zh-CN"/>
        </w:rPr>
        <w:t>0个</w:t>
      </w:r>
      <w:r>
        <w:rPr>
          <w:rFonts w:hint="eastAsia" w:ascii="仿宋_GB2312" w:hAnsi="仿宋_GB2312" w:eastAsia="仿宋_GB2312" w:cs="仿宋_GB2312"/>
          <w:sz w:val="32"/>
          <w:szCs w:val="32"/>
        </w:rPr>
        <w:t>项目开展了预算事前绩效评估，对</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个项目开展绩效监控，年终执行完毕后，对</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个项目开展了绩效目标完成情况自评。</w:t>
      </w:r>
    </w:p>
    <w:p>
      <w:pPr>
        <w:spacing w:line="580" w:lineRule="exact"/>
        <w:ind w:firstLine="640" w:firstLineChars="200"/>
        <w:rPr>
          <w:rFonts w:hint="eastAsia" w:ascii="仿宋_GB2312" w:hAnsi="仿宋_GB2312" w:cs="仿宋_GB2312"/>
          <w:sz w:val="32"/>
          <w:szCs w:val="32"/>
          <w:lang w:eastAsia="zh-CN"/>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年部门整体支出开展绩效自评，从评价情况来看</w:t>
      </w:r>
      <w:r>
        <w:rPr>
          <w:rFonts w:hint="eastAsia" w:ascii="仿宋_GB2312" w:hAnsi="仿宋_GB2312" w:cs="仿宋_GB2312"/>
          <w:sz w:val="32"/>
          <w:szCs w:val="32"/>
          <w:lang w:eastAsia="zh-CN"/>
        </w:rPr>
        <w:t>全面完成了当年的目标任务</w:t>
      </w:r>
      <w:r>
        <w:rPr>
          <w:rFonts w:hint="eastAsia" w:ascii="仿宋_GB2312" w:hAnsi="仿宋_GB2312" w:eastAsia="仿宋_GB2312" w:cs="仿宋_GB2312"/>
          <w:sz w:val="32"/>
          <w:szCs w:val="32"/>
        </w:rPr>
        <w:t>。本部门还自行组织了</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个项目支出绩效评价，</w:t>
      </w:r>
      <w:r>
        <w:rPr>
          <w:rFonts w:hint="eastAsia" w:ascii="仿宋_GB2312" w:hAnsi="仿宋_GB2312" w:cs="仿宋_GB2312"/>
          <w:sz w:val="32"/>
          <w:szCs w:val="32"/>
          <w:lang w:eastAsia="zh-CN"/>
        </w:rPr>
        <w:t>由于</w:t>
      </w:r>
      <w:r>
        <w:rPr>
          <w:rFonts w:hint="eastAsia" w:ascii="仿宋_GB2312" w:hAnsi="仿宋_GB2312" w:eastAsia="仿宋_GB2312" w:cs="仿宋_GB2312"/>
          <w:sz w:val="32"/>
          <w:szCs w:val="32"/>
        </w:rPr>
        <w:t>本部门无专项预算项目，因此未组织开展项目支出绩效评价</w:t>
      </w:r>
      <w:r>
        <w:rPr>
          <w:rFonts w:hint="eastAsia" w:ascii="仿宋_GB2312" w:hAnsi="仿宋_GB2312" w:cs="仿宋_GB2312"/>
          <w:sz w:val="32"/>
          <w:szCs w:val="32"/>
          <w:lang w:eastAsia="zh-CN"/>
        </w:rPr>
        <w:t>。</w:t>
      </w:r>
    </w:p>
    <w:p>
      <w:pPr>
        <w:spacing w:line="580" w:lineRule="exact"/>
        <w:ind w:firstLine="640" w:firstLineChars="200"/>
        <w:rPr>
          <w:rFonts w:hint="eastAsia" w:ascii="仿宋_GB2312" w:hAnsi="仿宋_GB2312" w:cs="仿宋_GB2312"/>
          <w:sz w:val="32"/>
          <w:szCs w:val="32"/>
          <w:lang w:eastAsia="zh-CN"/>
        </w:rPr>
      </w:pPr>
      <w:r>
        <w:rPr>
          <w:rFonts w:ascii="楷体_GB2312" w:hAnsi="楷体_GB2312" w:eastAsia="楷体_GB2312" w:cs="楷体_GB2312"/>
          <w:sz w:val="32"/>
          <w:szCs w:val="32"/>
        </w:rPr>
        <w:t>1.</w:t>
      </w:r>
      <w:r>
        <w:rPr>
          <w:rFonts w:hint="eastAsia" w:ascii="楷体_GB2312" w:hAnsi="楷体_GB2312" w:eastAsia="楷体_GB2312" w:cs="楷体_GB2312"/>
          <w:sz w:val="32"/>
          <w:szCs w:val="32"/>
        </w:rPr>
        <w:t>项目绩效目标完成情况</w:t>
      </w:r>
    </w:p>
    <w:p>
      <w:pPr>
        <w:spacing w:line="580" w:lineRule="exact"/>
        <w:ind w:firstLine="640" w:firstLineChars="200"/>
        <w:rPr>
          <w:rFonts w:hint="eastAsia" w:ascii="仿宋_GB2312" w:hAnsi="仿宋_GB2312" w:eastAsia="仿宋_GB2312" w:cs="仿宋_GB2312"/>
          <w:sz w:val="32"/>
          <w:szCs w:val="32"/>
          <w:lang w:eastAsia="zh-CN"/>
        </w:rPr>
      </w:pPr>
      <w:r>
        <w:rPr>
          <w:rFonts w:ascii="仿宋_GB2312" w:hAnsi="仿宋_GB2312" w:eastAsia="仿宋_GB2312" w:cs="仿宋_GB2312"/>
          <w:sz w:val="32"/>
          <w:szCs w:val="32"/>
        </w:rPr>
        <w:t xml:space="preserve"> </w:t>
      </w:r>
      <w:r>
        <w:rPr>
          <w:rFonts w:hint="eastAsia" w:ascii="仿宋_GB2312" w:hAnsi="仿宋_GB2312" w:cs="仿宋_GB2312"/>
          <w:sz w:val="32"/>
          <w:szCs w:val="32"/>
          <w:lang w:eastAsia="zh-CN"/>
        </w:rPr>
        <w:t>自贡市自流井区社会福利院</w:t>
      </w:r>
      <w:r>
        <w:rPr>
          <w:rFonts w:hint="eastAsia" w:ascii="仿宋_GB2312" w:hAnsi="仿宋_GB2312" w:eastAsia="仿宋_GB2312" w:cs="仿宋_GB2312"/>
          <w:sz w:val="32"/>
          <w:szCs w:val="32"/>
        </w:rPr>
        <w:t>在</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年度部门决算中反映“自贡市自流井区社会福利院养护楼工程</w:t>
      </w:r>
      <w:r>
        <w:rPr>
          <w:rFonts w:hint="eastAsia" w:ascii="仿宋_GB2312" w:hAnsi="仿宋_GB2312" w:cs="仿宋_GB2312"/>
          <w:sz w:val="32"/>
          <w:szCs w:val="32"/>
          <w:lang w:eastAsia="zh-CN"/>
        </w:rPr>
        <w:t>（老年福利）</w:t>
      </w:r>
      <w:r>
        <w:rPr>
          <w:rFonts w:hint="eastAsia" w:ascii="仿宋_GB2312" w:hAnsi="仿宋_GB2312" w:eastAsia="仿宋_GB2312" w:cs="仿宋_GB2312"/>
          <w:sz w:val="32"/>
          <w:szCs w:val="32"/>
        </w:rPr>
        <w:t>”</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个项目绩效目标实际完成情况。</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）自贡市自流井区社会福利院养护楼工程项目绩效目标完成情况综述。项目全年预算数</w:t>
      </w:r>
      <w:r>
        <w:rPr>
          <w:rFonts w:hint="eastAsia" w:ascii="仿宋_GB2312" w:hAnsi="仿宋_GB2312" w:cs="仿宋_GB2312"/>
          <w:sz w:val="32"/>
          <w:szCs w:val="32"/>
          <w:lang w:val="en-US" w:eastAsia="zh-CN"/>
        </w:rPr>
        <w:t>50</w:t>
      </w:r>
      <w:r>
        <w:rPr>
          <w:rFonts w:hint="eastAsia" w:ascii="仿宋_GB2312" w:hAnsi="仿宋_GB2312" w:eastAsia="仿宋_GB2312" w:cs="仿宋_GB2312"/>
          <w:sz w:val="32"/>
          <w:szCs w:val="32"/>
        </w:rPr>
        <w:t>万元，执行数为</w:t>
      </w:r>
      <w:r>
        <w:rPr>
          <w:rFonts w:hint="eastAsia" w:ascii="仿宋_GB2312" w:hAnsi="仿宋_GB2312" w:cs="仿宋_GB2312"/>
          <w:sz w:val="32"/>
          <w:szCs w:val="32"/>
          <w:lang w:val="en-US" w:eastAsia="zh-CN"/>
        </w:rPr>
        <w:t>1.34</w:t>
      </w:r>
      <w:r>
        <w:rPr>
          <w:rFonts w:hint="eastAsia" w:ascii="仿宋_GB2312" w:hAnsi="仿宋_GB2312" w:eastAsia="仿宋_GB2312" w:cs="仿宋_GB2312"/>
          <w:sz w:val="32"/>
          <w:szCs w:val="32"/>
        </w:rPr>
        <w:t>万元，完成预算的</w:t>
      </w:r>
      <w:r>
        <w:rPr>
          <w:rFonts w:hint="eastAsia" w:ascii="仿宋_GB2312" w:hAnsi="仿宋_GB2312" w:cs="仿宋_GB2312"/>
          <w:sz w:val="32"/>
          <w:szCs w:val="32"/>
          <w:lang w:val="en-US" w:eastAsia="zh-CN"/>
        </w:rPr>
        <w:t>2.68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w:t>
      </w:r>
      <w:r>
        <w:rPr>
          <w:rFonts w:hint="eastAsia" w:ascii="Times New Roman" w:hAnsi="Times New Roman"/>
          <w:color w:val="auto"/>
          <w:sz w:val="32"/>
          <w:szCs w:val="32"/>
          <w:lang w:eastAsia="zh-CN"/>
        </w:rPr>
        <w:t>保障了</w:t>
      </w:r>
      <w:r>
        <w:rPr>
          <w:rFonts w:hint="eastAsia" w:ascii="仿宋_GB2312" w:hAnsi="仿宋_GB2312" w:eastAsia="仿宋_GB2312" w:cs="仿宋_GB2312"/>
          <w:sz w:val="32"/>
          <w:szCs w:val="32"/>
        </w:rPr>
        <w:t>自贡市自流井区社会福利院养护楼工程</w:t>
      </w:r>
      <w:r>
        <w:rPr>
          <w:rFonts w:hint="eastAsia" w:ascii="仿宋_GB2312" w:hAnsi="仿宋_GB2312" w:cs="仿宋_GB2312"/>
          <w:sz w:val="32"/>
          <w:szCs w:val="32"/>
          <w:lang w:eastAsia="zh-CN"/>
        </w:rPr>
        <w:t>项目正常施工。</w:t>
      </w: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rPr>
          <w:rFonts w:hint="eastAsia" w:ascii="仿宋_GB2312" w:hAnsi="仿宋_GB2312" w:cs="仿宋_GB2312"/>
          <w:sz w:val="32"/>
          <w:szCs w:val="32"/>
          <w:lang w:eastAsia="zh-CN"/>
        </w:rPr>
      </w:pPr>
    </w:p>
    <w:tbl>
      <w:tblPr>
        <w:tblStyle w:val="10"/>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lang w:bidi="ar"/>
              </w:rPr>
              <w:t>项目绩效目标完成情况表</w:t>
            </w:r>
            <w:r>
              <w:rPr>
                <w:rFonts w:ascii="宋体" w:cs="宋体"/>
                <w:b/>
                <w:bCs/>
                <w:color w:val="000000"/>
                <w:kern w:val="0"/>
                <w:sz w:val="36"/>
                <w:szCs w:val="36"/>
                <w:lang w:bidi="ar"/>
              </w:rPr>
              <w:br w:type="textWrapping"/>
            </w: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eastAsia="zh-CN" w:bidi="ar"/>
              </w:rPr>
              <w:t>自贡市自流井区社会福利院养护楼工程</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eastAsia="zh-CN"/>
              </w:rPr>
            </w:pPr>
            <w:r>
              <w:rPr>
                <w:rFonts w:hint="eastAsia" w:ascii="宋体" w:cs="宋体"/>
                <w:color w:val="000000"/>
                <w:sz w:val="24"/>
                <w:lang w:eastAsia="zh-CN"/>
              </w:rPr>
              <w:t>自贡市自流井区社会福利院</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50万元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1.34万元</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50万元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1.34万元</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eastAsia="仿宋_GB2312"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eastAsia="zh-CN" w:bidi="ar"/>
              </w:rPr>
              <w:t>支付部分新建养老服务综合用房3300平方米，新增床位66张，配套实施附属设施建设款。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eastAsia="zh-CN"/>
              </w:rPr>
              <w:t>已完成支付</w:t>
            </w:r>
            <w:r>
              <w:rPr>
                <w:rFonts w:hint="eastAsia" w:ascii="宋体" w:cs="宋体"/>
                <w:color w:val="000000"/>
                <w:sz w:val="24"/>
                <w:lang w:val="en-US" w:eastAsia="zh-CN"/>
              </w:rPr>
              <w:t>1.34万元</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eastAsia="zh-CN"/>
              </w:rPr>
              <w:t>社会指标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eastAsia="zh-CN"/>
              </w:rPr>
              <w:t>社会指标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新建养老服务综合用房，满足群众养老需求</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=100</w:t>
            </w:r>
            <w:r>
              <w:rPr>
                <w:rFonts w:hint="default" w:ascii="宋体" w:cs="宋体"/>
                <w:color w:val="000000"/>
                <w:sz w:val="24"/>
                <w:lang w:val="en-US" w:eastAsia="zh-CN"/>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=100</w:t>
            </w:r>
            <w:r>
              <w:rPr>
                <w:rFonts w:hint="default" w:ascii="宋体" w:cs="宋体"/>
                <w:color w:val="000000"/>
                <w:sz w:val="24"/>
                <w:lang w:val="en-US" w:eastAsia="zh-CN"/>
              </w:rPr>
              <w:t>%</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themeColor="text1"/>
                <w:sz w:val="24"/>
                <w:lang w:eastAsia="zh-CN"/>
                <w14:textFill>
                  <w14:solidFill>
                    <w14:schemeClr w14:val="tx1"/>
                  </w14:solidFill>
                </w14:textFill>
              </w:rPr>
              <w:t>时效指标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themeColor="text1"/>
                <w:sz w:val="24"/>
                <w:lang w:eastAsia="zh-CN"/>
                <w14:textFill>
                  <w14:solidFill>
                    <w14:schemeClr w14:val="tx1"/>
                  </w14:solidFill>
                </w14:textFill>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themeColor="text1"/>
                <w:sz w:val="24"/>
                <w:lang w:eastAsia="zh-CN"/>
                <w14:textFill>
                  <w14:solidFill>
                    <w14:schemeClr w14:val="tx1"/>
                  </w14:solidFill>
                </w14:textFill>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2020年12月</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2020年12月</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eastAsia="zh-CN"/>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eastAsia="zh-CN"/>
              </w:rPr>
              <w:t>修建养老服务综合用房</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3300平方米</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3300平方米</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lang w:bidi="ar"/>
              </w:rPr>
            </w:pP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r>
    </w:tbl>
    <w:p>
      <w:pPr>
        <w:spacing w:line="580" w:lineRule="exact"/>
        <w:ind w:firstLine="640" w:firstLineChars="200"/>
        <w:rPr>
          <w:rFonts w:hint="eastAsia" w:ascii="仿宋_GB2312" w:hAnsi="仿宋_GB2312" w:cs="仿宋_GB2312"/>
          <w:sz w:val="32"/>
          <w:szCs w:val="32"/>
          <w:lang w:eastAsia="zh-CN"/>
        </w:rPr>
      </w:pPr>
    </w:p>
    <w:p>
      <w:pPr>
        <w:spacing w:line="580" w:lineRule="exact"/>
        <w:ind w:left="630"/>
        <w:rPr>
          <w:rFonts w:ascii="仿宋_GB2312" w:hAnsi="仿宋_GB2312" w:eastAsia="仿宋_GB2312" w:cs="仿宋_GB2312"/>
          <w:sz w:val="32"/>
          <w:szCs w:val="32"/>
        </w:rPr>
      </w:pPr>
      <w:r>
        <w:rPr>
          <w:rFonts w:ascii="楷体_GB2312" w:hAnsi="楷体_GB2312" w:eastAsia="楷体_GB2312" w:cs="楷体_GB2312"/>
          <w:sz w:val="32"/>
          <w:szCs w:val="32"/>
        </w:rPr>
        <w:t>2.</w:t>
      </w:r>
      <w:r>
        <w:rPr>
          <w:rFonts w:hint="eastAsia" w:ascii="楷体_GB2312" w:hAnsi="楷体_GB2312" w:eastAsia="楷体_GB2312" w:cs="楷体_GB2312"/>
          <w:sz w:val="32"/>
          <w:szCs w:val="32"/>
        </w:rPr>
        <w:t>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年部门整体支出绩效评价情况开展自评，《</w:t>
      </w:r>
      <w:r>
        <w:rPr>
          <w:rFonts w:hint="eastAsia" w:ascii="仿宋_GB2312" w:hAnsi="仿宋_GB2312" w:cs="仿宋_GB2312"/>
          <w:sz w:val="32"/>
          <w:szCs w:val="32"/>
          <w:lang w:eastAsia="zh-CN"/>
        </w:rPr>
        <w:t>自贡市自流井区社会福利院</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年部门整体支出绩效评价报告》见附件（附件</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p>
    <w:p>
      <w:pPr>
        <w:spacing w:line="580" w:lineRule="exact"/>
        <w:ind w:firstLine="640" w:firstLineChars="200"/>
        <w:rPr>
          <w:rFonts w:hint="eastAsia" w:ascii="仿宋_GB2312" w:hAnsi="仿宋_GB2312" w:cs="仿宋_GB2312"/>
          <w:sz w:val="32"/>
          <w:szCs w:val="32"/>
          <w:lang w:eastAsia="zh-CN"/>
        </w:rPr>
      </w:pPr>
      <w:r>
        <w:rPr>
          <w:rFonts w:hint="eastAsia" w:ascii="仿宋_GB2312" w:hAnsi="仿宋_GB2312" w:cs="仿宋_GB2312"/>
          <w:sz w:val="32"/>
          <w:szCs w:val="32"/>
          <w:lang w:eastAsia="zh-CN"/>
        </w:rPr>
        <w:t>自贡市自流井区社会福利院</w:t>
      </w:r>
      <w:r>
        <w:rPr>
          <w:rFonts w:hint="eastAsia" w:ascii="仿宋_GB2312" w:hAnsi="仿宋_GB2312" w:eastAsia="仿宋_GB2312" w:cs="仿宋_GB2312"/>
          <w:sz w:val="32"/>
          <w:szCs w:val="32"/>
        </w:rPr>
        <w:t>无专项预算项目</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因此未组织开展项目支出绩效评价</w:t>
      </w:r>
      <w:r>
        <w:rPr>
          <w:rFonts w:hint="eastAsia" w:ascii="仿宋_GB2312" w:hAnsi="仿宋_GB2312" w:cs="仿宋_GB2312"/>
          <w:sz w:val="32"/>
          <w:szCs w:val="32"/>
          <w:lang w:eastAsia="zh-CN"/>
        </w:rPr>
        <w:t>。</w:t>
      </w: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ind w:firstLine="640" w:firstLineChars="200"/>
        <w:rPr>
          <w:rFonts w:hint="eastAsia" w:ascii="仿宋_GB2312" w:hAnsi="仿宋_GB2312" w:cs="仿宋_GB2312"/>
          <w:sz w:val="32"/>
          <w:szCs w:val="32"/>
          <w:lang w:eastAsia="zh-CN"/>
        </w:rPr>
      </w:pPr>
    </w:p>
    <w:p>
      <w:pPr>
        <w:spacing w:line="580" w:lineRule="exact"/>
        <w:rPr>
          <w:rFonts w:hint="eastAsia" w:ascii="仿宋_GB2312" w:hAnsi="仿宋_GB2312" w:cs="仿宋_GB2312"/>
          <w:sz w:val="32"/>
          <w:szCs w:val="32"/>
          <w:lang w:eastAsia="zh-CN"/>
        </w:rPr>
      </w:pPr>
    </w:p>
    <w:p>
      <w:pPr>
        <w:numPr>
          <w:ilvl w:val="0"/>
          <w:numId w:val="3"/>
        </w:numPr>
        <w:spacing w:line="600" w:lineRule="exact"/>
        <w:ind w:firstLine="660" w:firstLineChars="150"/>
        <w:jc w:val="center"/>
        <w:outlineLvl w:val="0"/>
        <w:rPr>
          <w:rStyle w:val="14"/>
          <w:rFonts w:ascii="黑体" w:hAnsi="黑体" w:eastAsia="黑体"/>
          <w:b w:val="0"/>
        </w:rPr>
      </w:pPr>
      <w:bookmarkStart w:id="55" w:name="_Toc3536"/>
      <w:bookmarkStart w:id="56" w:name="_Toc15396613"/>
      <w:bookmarkStart w:id="57" w:name="_Toc15377225"/>
      <w:r>
        <w:rPr>
          <w:rFonts w:hint="eastAsia" w:ascii="黑体" w:hAnsi="黑体" w:eastAsia="黑体"/>
          <w:color w:val="000000"/>
          <w:sz w:val="44"/>
          <w:szCs w:val="44"/>
        </w:rPr>
        <w:t>名</w:t>
      </w:r>
      <w:r>
        <w:rPr>
          <w:rStyle w:val="14"/>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7"/>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7"/>
        <w:spacing w:line="560" w:lineRule="exact"/>
        <w:ind w:firstLine="640" w:firstLineChars="200"/>
        <w:rPr>
          <w:rFonts w:hint="eastAsia"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r>
        <w:rPr>
          <w:rFonts w:ascii="仿宋_GB2312" w:eastAsia="仿宋_GB2312"/>
          <w:sz w:val="32"/>
          <w:szCs w:val="32"/>
        </w:rPr>
        <w:t xml:space="preserve"> </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numPr>
          <w:ilvl w:val="0"/>
          <w:numId w:val="0"/>
        </w:numPr>
        <w:spacing w:line="600" w:lineRule="exact"/>
        <w:ind w:firstLine="640" w:firstLineChars="200"/>
        <w:outlineLvl w:val="9"/>
        <w:rPr>
          <w:rFonts w:hint="eastAsia" w:ascii="仿宋_GB2312" w:hAnsi="Calibri" w:eastAsia="仿宋_GB2312" w:cs="仿宋"/>
          <w:color w:val="000000"/>
          <w:kern w:val="0"/>
          <w:sz w:val="32"/>
          <w:szCs w:val="32"/>
          <w:lang w:val="en-US" w:eastAsia="zh-CN" w:bidi="ar-SA"/>
        </w:rPr>
      </w:pPr>
      <w:r>
        <w:rPr>
          <w:rStyle w:val="12"/>
          <w:rFonts w:hint="eastAsia" w:ascii="仿宋" w:hAnsi="仿宋" w:eastAsia="仿宋"/>
          <w:b w:val="0"/>
          <w:bCs/>
          <w:color w:val="000000"/>
          <w:sz w:val="32"/>
          <w:szCs w:val="32"/>
          <w:lang w:val="en-US" w:eastAsia="zh-CN"/>
        </w:rPr>
        <w:t>9</w:t>
      </w:r>
      <w:r>
        <w:rPr>
          <w:rFonts w:ascii="仿宋_GB2312" w:eastAsia="仿宋_GB2312"/>
          <w:sz w:val="32"/>
          <w:szCs w:val="32"/>
        </w:rPr>
        <w:t>.</w:t>
      </w:r>
      <w:r>
        <w:rPr>
          <w:rStyle w:val="12"/>
          <w:rFonts w:hint="eastAsia" w:ascii="仿宋" w:hAnsi="仿宋" w:eastAsia="仿宋"/>
          <w:b w:val="0"/>
          <w:bCs/>
          <w:color w:val="000000"/>
          <w:sz w:val="32"/>
          <w:szCs w:val="32"/>
        </w:rPr>
        <w:t>社会保障和就业</w:t>
      </w:r>
      <w:r>
        <w:rPr>
          <w:rStyle w:val="12"/>
          <w:rFonts w:hint="eastAsia" w:ascii="仿宋" w:hAnsi="仿宋" w:eastAsia="仿宋"/>
          <w:b w:val="0"/>
          <w:bCs/>
          <w:color w:val="000000"/>
          <w:sz w:val="32"/>
          <w:szCs w:val="32"/>
          <w:lang w:eastAsia="zh-CN"/>
        </w:rPr>
        <w:t>支出</w:t>
      </w:r>
      <w:r>
        <w:rPr>
          <w:rStyle w:val="12"/>
          <w:rFonts w:hint="eastAsia" w:ascii="仿宋" w:hAnsi="仿宋" w:eastAsia="仿宋"/>
          <w:b w:val="0"/>
          <w:bCs/>
          <w:color w:val="000000"/>
          <w:sz w:val="32"/>
          <w:szCs w:val="32"/>
        </w:rPr>
        <w:t>（类）社会福利（款）社会福利事业单位（项）</w:t>
      </w:r>
      <w:r>
        <w:rPr>
          <w:rFonts w:hint="eastAsia" w:ascii="仿宋_GB2312" w:hAnsi="Calibri" w:eastAsia="仿宋_GB2312" w:cs="仿宋"/>
          <w:color w:val="000000"/>
          <w:kern w:val="0"/>
          <w:sz w:val="32"/>
          <w:szCs w:val="32"/>
          <w:lang w:val="en-US" w:eastAsia="zh-CN" w:bidi="ar-SA"/>
        </w:rPr>
        <w:t>：</w:t>
      </w:r>
      <w:r>
        <w:rPr>
          <w:rFonts w:hint="eastAsia" w:ascii="仿宋_GB2312" w:hAnsi="Calibri" w:cs="仿宋"/>
          <w:color w:val="000000"/>
          <w:kern w:val="0"/>
          <w:sz w:val="32"/>
          <w:szCs w:val="32"/>
          <w:lang w:val="en-US" w:eastAsia="zh-CN" w:bidi="ar-SA"/>
        </w:rPr>
        <w:t>指</w:t>
      </w:r>
      <w:r>
        <w:rPr>
          <w:rFonts w:hint="eastAsia" w:ascii="仿宋_GB2312" w:hAnsi="Calibri" w:eastAsia="仿宋_GB2312" w:cs="仿宋"/>
          <w:color w:val="000000"/>
          <w:kern w:val="0"/>
          <w:sz w:val="32"/>
          <w:szCs w:val="32"/>
          <w:lang w:val="en-US" w:eastAsia="zh-CN" w:bidi="ar-SA"/>
        </w:rPr>
        <w:t>事业单位正常运转的基本支出，包括基本工资、津贴补贴等人员经费以及办公费、印刷费、水电费等日常公用经费,保障部门正常运转。</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eastAsia="zh-CN"/>
        </w:rPr>
      </w:pPr>
      <w:r>
        <w:rPr>
          <w:rStyle w:val="12"/>
          <w:rFonts w:hint="eastAsia" w:ascii="仿宋" w:hAnsi="仿宋" w:eastAsia="仿宋"/>
          <w:b w:val="0"/>
          <w:bCs/>
          <w:color w:val="000000"/>
          <w:sz w:val="32"/>
          <w:szCs w:val="32"/>
          <w:lang w:val="en-US" w:eastAsia="zh-CN"/>
        </w:rPr>
        <w:t>10</w:t>
      </w:r>
      <w:r>
        <w:rPr>
          <w:rFonts w:ascii="仿宋_GB2312" w:eastAsia="仿宋_GB2312"/>
          <w:sz w:val="32"/>
          <w:szCs w:val="32"/>
        </w:rPr>
        <w:t>.</w:t>
      </w:r>
      <w:r>
        <w:rPr>
          <w:rStyle w:val="12"/>
          <w:rFonts w:hint="eastAsia" w:ascii="仿宋" w:hAnsi="仿宋" w:eastAsia="仿宋"/>
          <w:b w:val="0"/>
          <w:bCs/>
          <w:color w:val="000000"/>
          <w:sz w:val="32"/>
          <w:szCs w:val="32"/>
        </w:rPr>
        <w:t>社会保障和就业</w:t>
      </w:r>
      <w:r>
        <w:rPr>
          <w:rStyle w:val="12"/>
          <w:rFonts w:hint="eastAsia" w:ascii="仿宋" w:hAnsi="仿宋" w:eastAsia="仿宋"/>
          <w:b w:val="0"/>
          <w:bCs/>
          <w:color w:val="000000"/>
          <w:sz w:val="32"/>
          <w:szCs w:val="32"/>
          <w:lang w:eastAsia="zh-CN"/>
        </w:rPr>
        <w:t>支出</w:t>
      </w:r>
      <w:r>
        <w:rPr>
          <w:rStyle w:val="12"/>
          <w:rFonts w:hint="eastAsia" w:ascii="仿宋" w:hAnsi="仿宋" w:eastAsia="仿宋"/>
          <w:b w:val="0"/>
          <w:bCs/>
          <w:color w:val="000000"/>
          <w:sz w:val="32"/>
          <w:szCs w:val="32"/>
        </w:rPr>
        <w:t>（类）行政事业单位养老支出（款）事业单位</w:t>
      </w:r>
      <w:r>
        <w:rPr>
          <w:rStyle w:val="12"/>
          <w:rFonts w:hint="eastAsia" w:ascii="仿宋" w:hAnsi="仿宋" w:eastAsia="仿宋"/>
          <w:b w:val="0"/>
          <w:bCs/>
          <w:color w:val="000000"/>
          <w:sz w:val="32"/>
          <w:szCs w:val="32"/>
          <w:lang w:eastAsia="zh-CN"/>
        </w:rPr>
        <w:t>离退休（项）：指本单位离退休人员的支出。</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eastAsia="zh-CN"/>
        </w:rPr>
      </w:pPr>
    </w:p>
    <w:p>
      <w:pPr>
        <w:ind w:firstLine="640" w:firstLineChars="200"/>
        <w:rPr>
          <w:rStyle w:val="12"/>
          <w:rFonts w:hint="eastAsia" w:ascii="仿宋" w:hAnsi="仿宋" w:eastAsia="仿宋"/>
          <w:b w:val="0"/>
          <w:bCs/>
          <w:color w:val="000000"/>
          <w:sz w:val="32"/>
          <w:szCs w:val="32"/>
          <w:lang w:eastAsia="zh-CN"/>
        </w:rPr>
      </w:pPr>
      <w:r>
        <w:rPr>
          <w:rStyle w:val="12"/>
          <w:rFonts w:hint="eastAsia" w:ascii="仿宋" w:hAnsi="仿宋" w:eastAsia="仿宋"/>
          <w:b w:val="0"/>
          <w:bCs/>
          <w:color w:val="000000"/>
          <w:sz w:val="32"/>
          <w:szCs w:val="32"/>
          <w:lang w:val="en-US" w:eastAsia="zh-CN"/>
        </w:rPr>
        <w:t>11</w:t>
      </w:r>
      <w:r>
        <w:rPr>
          <w:rFonts w:ascii="仿宋_GB2312" w:eastAsia="仿宋_GB2312"/>
          <w:sz w:val="32"/>
          <w:szCs w:val="32"/>
        </w:rPr>
        <w:t>.</w:t>
      </w:r>
      <w:r>
        <w:rPr>
          <w:rStyle w:val="12"/>
          <w:rFonts w:hint="eastAsia" w:ascii="仿宋" w:hAnsi="仿宋" w:eastAsia="仿宋"/>
          <w:b w:val="0"/>
          <w:bCs/>
          <w:color w:val="000000"/>
          <w:sz w:val="32"/>
          <w:szCs w:val="32"/>
        </w:rPr>
        <w:t>社会保障和就业</w:t>
      </w:r>
      <w:r>
        <w:rPr>
          <w:rStyle w:val="12"/>
          <w:rFonts w:hint="eastAsia" w:ascii="仿宋" w:hAnsi="仿宋" w:eastAsia="仿宋"/>
          <w:b w:val="0"/>
          <w:bCs/>
          <w:color w:val="000000"/>
          <w:sz w:val="32"/>
          <w:szCs w:val="32"/>
          <w:lang w:eastAsia="zh-CN"/>
        </w:rPr>
        <w:t>支出</w:t>
      </w:r>
      <w:r>
        <w:rPr>
          <w:rStyle w:val="12"/>
          <w:rFonts w:hint="eastAsia" w:ascii="仿宋" w:hAnsi="仿宋" w:eastAsia="仿宋"/>
          <w:b w:val="0"/>
          <w:bCs/>
          <w:color w:val="000000"/>
          <w:sz w:val="32"/>
          <w:szCs w:val="32"/>
        </w:rPr>
        <w:t>（类）行政事业单位养老支出（款）机关事业单位基本养老保险缴费支出（</w:t>
      </w:r>
      <w:r>
        <w:rPr>
          <w:rStyle w:val="12"/>
          <w:rFonts w:hint="eastAsia" w:ascii="仿宋" w:hAnsi="仿宋" w:eastAsia="仿宋"/>
          <w:b w:val="0"/>
          <w:bCs/>
          <w:color w:val="000000"/>
          <w:sz w:val="32"/>
          <w:szCs w:val="32"/>
          <w:lang w:eastAsia="zh-CN"/>
        </w:rPr>
        <w:t>项）：指部门实施养老保险制度由单位缴纳的养老保险费的支出。</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val="en-US" w:eastAsia="zh-CN"/>
        </w:rPr>
      </w:pPr>
      <w:r>
        <w:rPr>
          <w:rStyle w:val="12"/>
          <w:rFonts w:hint="eastAsia" w:ascii="仿宋" w:hAnsi="仿宋" w:eastAsia="仿宋"/>
          <w:b w:val="0"/>
          <w:bCs/>
          <w:color w:val="000000"/>
          <w:sz w:val="32"/>
          <w:szCs w:val="32"/>
          <w:lang w:val="en-US" w:eastAsia="zh-CN"/>
        </w:rPr>
        <w:t>12</w:t>
      </w:r>
      <w:r>
        <w:rPr>
          <w:rFonts w:ascii="仿宋_GB2312" w:eastAsia="仿宋_GB2312"/>
          <w:sz w:val="32"/>
          <w:szCs w:val="32"/>
        </w:rPr>
        <w:t>.</w:t>
      </w:r>
      <w:r>
        <w:rPr>
          <w:rStyle w:val="12"/>
          <w:rFonts w:hint="eastAsia" w:ascii="仿宋" w:hAnsi="仿宋" w:eastAsia="仿宋"/>
          <w:b w:val="0"/>
          <w:bCs/>
          <w:color w:val="000000"/>
          <w:sz w:val="32"/>
          <w:szCs w:val="32"/>
        </w:rPr>
        <w:t>社会保障和就业</w:t>
      </w:r>
      <w:r>
        <w:rPr>
          <w:rStyle w:val="12"/>
          <w:rFonts w:hint="eastAsia" w:ascii="仿宋" w:hAnsi="仿宋" w:eastAsia="仿宋"/>
          <w:b w:val="0"/>
          <w:bCs/>
          <w:color w:val="000000"/>
          <w:sz w:val="32"/>
          <w:szCs w:val="32"/>
          <w:lang w:eastAsia="zh-CN"/>
        </w:rPr>
        <w:t>支出</w:t>
      </w:r>
      <w:r>
        <w:rPr>
          <w:rStyle w:val="12"/>
          <w:rFonts w:hint="eastAsia" w:ascii="仿宋" w:hAnsi="仿宋" w:eastAsia="仿宋"/>
          <w:b w:val="0"/>
          <w:bCs/>
          <w:color w:val="000000"/>
          <w:sz w:val="32"/>
          <w:szCs w:val="32"/>
        </w:rPr>
        <w:t>（类）社会福利</w:t>
      </w:r>
      <w:r>
        <w:rPr>
          <w:rStyle w:val="12"/>
          <w:rFonts w:hint="eastAsia" w:ascii="仿宋" w:hAnsi="仿宋" w:eastAsia="仿宋"/>
          <w:b w:val="0"/>
          <w:bCs/>
          <w:color w:val="000000"/>
          <w:sz w:val="32"/>
          <w:szCs w:val="32"/>
          <w:lang w:eastAsia="zh-CN"/>
        </w:rPr>
        <w:t>（款）老年福利</w:t>
      </w:r>
      <w:r>
        <w:rPr>
          <w:rStyle w:val="12"/>
          <w:rFonts w:hint="eastAsia" w:ascii="仿宋" w:hAnsi="仿宋" w:eastAsia="仿宋"/>
          <w:b w:val="0"/>
          <w:bCs/>
          <w:color w:val="000000"/>
          <w:sz w:val="32"/>
          <w:szCs w:val="32"/>
          <w:lang w:val="en-US" w:eastAsia="zh-CN"/>
        </w:rPr>
        <w:t>(项）:指对老年人提供福利服务方面的支出。</w:t>
      </w:r>
    </w:p>
    <w:p>
      <w:pPr>
        <w:ind w:firstLine="640" w:firstLineChars="200"/>
        <w:rPr>
          <w:rStyle w:val="12"/>
          <w:rFonts w:hint="eastAsia" w:ascii="仿宋" w:hAnsi="仿宋" w:eastAsia="仿宋"/>
          <w:b w:val="0"/>
          <w:bCs/>
          <w:color w:val="000000"/>
          <w:sz w:val="32"/>
          <w:szCs w:val="32"/>
          <w:lang w:eastAsia="zh-CN"/>
        </w:rPr>
      </w:pPr>
      <w:r>
        <w:rPr>
          <w:rStyle w:val="12"/>
          <w:rFonts w:hint="eastAsia" w:ascii="仿宋" w:hAnsi="仿宋" w:eastAsia="仿宋"/>
          <w:b w:val="0"/>
          <w:bCs/>
          <w:color w:val="000000"/>
          <w:sz w:val="32"/>
          <w:szCs w:val="32"/>
          <w:lang w:val="en-US" w:eastAsia="zh-CN"/>
        </w:rPr>
        <w:t>13</w:t>
      </w:r>
      <w:r>
        <w:rPr>
          <w:rFonts w:ascii="仿宋_GB2312" w:eastAsia="仿宋_GB2312"/>
          <w:sz w:val="32"/>
          <w:szCs w:val="32"/>
        </w:rPr>
        <w:t>.</w:t>
      </w:r>
      <w:r>
        <w:rPr>
          <w:rStyle w:val="12"/>
          <w:rFonts w:hint="eastAsia" w:ascii="仿宋" w:hAnsi="仿宋" w:eastAsia="仿宋"/>
          <w:b w:val="0"/>
          <w:bCs/>
          <w:color w:val="000000"/>
          <w:sz w:val="32"/>
          <w:szCs w:val="32"/>
          <w:lang w:val="en-US" w:eastAsia="zh-CN"/>
        </w:rPr>
        <w:t>社</w:t>
      </w:r>
      <w:r>
        <w:rPr>
          <w:rStyle w:val="12"/>
          <w:rFonts w:hint="eastAsia" w:ascii="仿宋" w:hAnsi="仿宋" w:eastAsia="仿宋"/>
          <w:b w:val="0"/>
          <w:bCs/>
          <w:color w:val="000000"/>
          <w:sz w:val="32"/>
          <w:szCs w:val="32"/>
          <w:lang w:eastAsia="zh-CN"/>
        </w:rPr>
        <w:t>会保障和就业支出（类）其他社会保障和就业支出（款）其他社会保障和就业支出（项）：指除上述项目外，其他用于行政事业单位离退休方面的支出。</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val="en-US" w:eastAsia="zh-CN"/>
        </w:rPr>
      </w:pPr>
      <w:r>
        <w:rPr>
          <w:rStyle w:val="12"/>
          <w:rFonts w:hint="eastAsia" w:ascii="仿宋" w:hAnsi="仿宋" w:eastAsia="仿宋"/>
          <w:b w:val="0"/>
          <w:bCs/>
          <w:color w:val="000000"/>
          <w:sz w:val="32"/>
          <w:szCs w:val="32"/>
          <w:lang w:val="en-US" w:eastAsia="zh-CN"/>
        </w:rPr>
        <w:t>14</w:t>
      </w:r>
      <w:r>
        <w:rPr>
          <w:rFonts w:ascii="仿宋_GB2312" w:eastAsia="仿宋_GB2312"/>
          <w:sz w:val="32"/>
          <w:szCs w:val="32"/>
        </w:rPr>
        <w:t>.</w:t>
      </w:r>
      <w:r>
        <w:rPr>
          <w:rStyle w:val="12"/>
          <w:rFonts w:hint="eastAsia" w:ascii="仿宋" w:hAnsi="仿宋" w:eastAsia="仿宋"/>
          <w:b w:val="0"/>
          <w:bCs/>
          <w:color w:val="000000"/>
          <w:sz w:val="32"/>
          <w:szCs w:val="32"/>
        </w:rPr>
        <w:t>卫生健康支出（类）行政事业单位医疗（款）事业单位医</w:t>
      </w:r>
      <w:r>
        <w:rPr>
          <w:rStyle w:val="12"/>
          <w:rFonts w:hint="eastAsia" w:ascii="仿宋" w:hAnsi="仿宋" w:eastAsia="仿宋"/>
          <w:b w:val="0"/>
          <w:bCs/>
          <w:color w:val="000000"/>
          <w:sz w:val="32"/>
          <w:szCs w:val="32"/>
          <w:lang w:eastAsia="zh-CN"/>
        </w:rPr>
        <w:t>疗（项）：单位基本医疗保险缴费支出。</w:t>
      </w:r>
    </w:p>
    <w:p>
      <w:pPr>
        <w:numPr>
          <w:ilvl w:val="0"/>
          <w:numId w:val="0"/>
        </w:numPr>
        <w:spacing w:line="600" w:lineRule="exact"/>
        <w:ind w:firstLine="640" w:firstLineChars="200"/>
        <w:outlineLvl w:val="9"/>
        <w:rPr>
          <w:rStyle w:val="12"/>
          <w:rFonts w:hint="eastAsia" w:ascii="仿宋" w:hAnsi="仿宋" w:eastAsia="仿宋"/>
          <w:b w:val="0"/>
          <w:bCs/>
          <w:color w:val="000000"/>
          <w:sz w:val="32"/>
          <w:szCs w:val="32"/>
          <w:lang w:eastAsia="zh-CN"/>
        </w:rPr>
      </w:pPr>
      <w:r>
        <w:rPr>
          <w:rStyle w:val="12"/>
          <w:rFonts w:hint="eastAsia" w:ascii="仿宋" w:hAnsi="仿宋" w:eastAsia="仿宋"/>
          <w:b w:val="0"/>
          <w:bCs/>
          <w:color w:val="000000"/>
          <w:sz w:val="32"/>
          <w:szCs w:val="32"/>
          <w:lang w:val="en-US" w:eastAsia="zh-CN"/>
        </w:rPr>
        <w:t>15</w:t>
      </w:r>
      <w:r>
        <w:rPr>
          <w:rFonts w:ascii="仿宋_GB2312" w:eastAsia="仿宋_GB2312"/>
          <w:sz w:val="32"/>
          <w:szCs w:val="32"/>
        </w:rPr>
        <w:t>.</w:t>
      </w:r>
      <w:r>
        <w:rPr>
          <w:rStyle w:val="12"/>
          <w:rFonts w:hint="eastAsia" w:ascii="仿宋" w:hAnsi="仿宋" w:eastAsia="仿宋"/>
          <w:b w:val="0"/>
          <w:bCs/>
          <w:color w:val="000000"/>
          <w:sz w:val="32"/>
          <w:szCs w:val="32"/>
          <w:lang w:eastAsia="zh-CN"/>
        </w:rPr>
        <w:t>住房保障支出（类）住房改革支出（款）住房公积金（项）：</w:t>
      </w:r>
      <w:r>
        <w:rPr>
          <w:rStyle w:val="12"/>
          <w:rFonts w:hint="eastAsia" w:ascii="仿宋" w:hAnsi="仿宋" w:eastAsia="仿宋"/>
          <w:b w:val="0"/>
          <w:bCs/>
          <w:color w:val="000000"/>
          <w:sz w:val="32"/>
          <w:szCs w:val="32"/>
        </w:rPr>
        <w:t>部门按人力资源和社会保障部、财政部规定的基本工资和津贴补贴以及规定比例为职工缴纳的住房公积金支出。</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16</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17</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18</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19</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14"/>
          <w:rFonts w:ascii="黑体" w:hAnsi="黑体" w:eastAsia="黑体"/>
          <w:b w:val="0"/>
        </w:rPr>
      </w:pPr>
      <w:bookmarkStart w:id="58" w:name="_Toc15377226"/>
      <w:r>
        <w:rPr>
          <w:rFonts w:ascii="宋体"/>
          <w:b/>
          <w:color w:val="000000"/>
          <w:sz w:val="44"/>
          <w:szCs w:val="44"/>
        </w:rPr>
        <w:br w:type="page"/>
      </w:r>
      <w:bookmarkStart w:id="59" w:name="_Toc15396614"/>
      <w:bookmarkStart w:id="60" w:name="_Toc11207"/>
      <w:r>
        <w:rPr>
          <w:rFonts w:hint="eastAsia" w:ascii="黑体" w:hAnsi="黑体" w:eastAsia="黑体"/>
          <w:color w:val="000000"/>
          <w:sz w:val="44"/>
          <w:szCs w:val="44"/>
        </w:rPr>
        <w:t>第</w:t>
      </w:r>
      <w:r>
        <w:rPr>
          <w:rStyle w:val="14"/>
          <w:rFonts w:hint="eastAsia" w:ascii="黑体" w:hAnsi="黑体" w:eastAsia="黑体"/>
          <w:b w:val="0"/>
        </w:rPr>
        <w:t>四部分</w:t>
      </w:r>
      <w:r>
        <w:rPr>
          <w:rStyle w:val="14"/>
          <w:rFonts w:ascii="黑体" w:hAnsi="黑体" w:eastAsia="黑体"/>
          <w:b w:val="0"/>
        </w:rPr>
        <w:t xml:space="preserve"> </w:t>
      </w:r>
      <w:r>
        <w:rPr>
          <w:rStyle w:val="14"/>
          <w:rFonts w:hint="eastAsia" w:ascii="黑体" w:hAnsi="黑体" w:eastAsia="黑体"/>
          <w:b w:val="0"/>
        </w:rPr>
        <w:t>附件</w:t>
      </w:r>
      <w:bookmarkEnd w:id="59"/>
      <w:bookmarkEnd w:id="60"/>
    </w:p>
    <w:p>
      <w:pPr>
        <w:spacing w:line="600" w:lineRule="exact"/>
        <w:jc w:val="left"/>
        <w:outlineLvl w:val="1"/>
        <w:rPr>
          <w:rFonts w:ascii="方正小标宋简体" w:hAnsi="方正小标宋简体" w:eastAsia="方正小标宋简体" w:cs="方正小标宋简体"/>
          <w:sz w:val="32"/>
          <w:szCs w:val="32"/>
        </w:rPr>
      </w:pPr>
      <w:bookmarkStart w:id="61" w:name="_Toc22930"/>
      <w:r>
        <w:rPr>
          <w:rFonts w:hint="eastAsia" w:ascii="黑体" w:hAnsi="黑体" w:eastAsia="黑体" w:cs="黑体"/>
          <w:sz w:val="32"/>
          <w:szCs w:val="32"/>
        </w:rPr>
        <w:t>附件</w:t>
      </w:r>
      <w:r>
        <w:rPr>
          <w:rFonts w:ascii="黑体" w:hAnsi="黑体" w:eastAsia="黑体" w:cs="黑体"/>
          <w:sz w:val="32"/>
          <w:szCs w:val="32"/>
        </w:rPr>
        <w:t>1</w:t>
      </w:r>
      <w:bookmarkEnd w:id="61"/>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hint="eastAsia" w:ascii="方正小标宋简体" w:hAnsi="宋体" w:eastAsia="方正小标宋简体"/>
          <w:color w:val="000000"/>
          <w:kern w:val="0"/>
          <w:sz w:val="40"/>
          <w:szCs w:val="44"/>
          <w:lang w:val="zh-CN" w:eastAsia="zh-CN"/>
        </w:rPr>
      </w:pPr>
      <w:r>
        <w:rPr>
          <w:rFonts w:hint="eastAsia" w:ascii="方正小标宋简体" w:hAnsi="宋体" w:eastAsia="方正小标宋简体"/>
          <w:color w:val="000000"/>
          <w:kern w:val="0"/>
          <w:sz w:val="40"/>
          <w:szCs w:val="44"/>
          <w:lang w:eastAsia="zh-CN"/>
        </w:rPr>
        <w:t>自贡市自流井区社会福利院</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w:t>
      </w:r>
      <w:r>
        <w:rPr>
          <w:rFonts w:hint="eastAsia" w:ascii="黑体" w:hAnsi="宋体" w:eastAsia="黑体" w:cs="宋体"/>
          <w:color w:val="000000"/>
          <w:kern w:val="0"/>
          <w:sz w:val="32"/>
          <w:szCs w:val="32"/>
          <w:shd w:val="clear" w:color="auto" w:fill="FFFFFF"/>
          <w:lang w:val="zh-CN"/>
        </w:rPr>
        <w:t>部门（单位）概况</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（一）机构组成</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cs="宋体"/>
          <w:color w:val="000000"/>
          <w:kern w:val="0"/>
          <w:sz w:val="32"/>
          <w:szCs w:val="32"/>
          <w:shd w:val="clear" w:color="auto" w:fill="FFFFFF"/>
          <w:lang w:val="zh-CN"/>
        </w:rPr>
        <w:t>自贡市自流井区社会福利院为全额拨款事业单位，属于自流井区民政局二级单位，设置办公室、财务室、医疗护理部、后勤保障部。</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（二）机构职能</w:t>
      </w:r>
    </w:p>
    <w:p>
      <w:pPr>
        <w:spacing w:line="560" w:lineRule="exact"/>
        <w:ind w:firstLine="640" w:firstLineChars="200"/>
        <w:rPr>
          <w:rFonts w:hint="eastAsia" w:ascii="仿宋_GB2312" w:eastAsia="仿宋_GB2312"/>
          <w:sz w:val="32"/>
          <w:szCs w:val="32"/>
        </w:rPr>
      </w:pPr>
      <w:r>
        <w:rPr>
          <w:rFonts w:hint="eastAsia" w:ascii="仿宋_GB2312"/>
          <w:sz w:val="32"/>
          <w:szCs w:val="32"/>
          <w:lang w:val="en-US" w:eastAsia="zh-CN"/>
        </w:rPr>
        <w:t>1</w:t>
      </w:r>
      <w:r>
        <w:rPr>
          <w:rFonts w:ascii="仿宋_GB2312" w:eastAsia="仿宋_GB2312"/>
          <w:sz w:val="32"/>
          <w:szCs w:val="32"/>
        </w:rPr>
        <w:t>.</w:t>
      </w:r>
      <w:r>
        <w:rPr>
          <w:rFonts w:hint="eastAsia" w:ascii="仿宋_GB2312" w:eastAsia="仿宋_GB2312"/>
          <w:sz w:val="32"/>
          <w:szCs w:val="32"/>
        </w:rPr>
        <w:t>贯彻执行党和政府关于收养“三无”人员的方针、政策。</w:t>
      </w:r>
    </w:p>
    <w:p>
      <w:pPr>
        <w:spacing w:line="560" w:lineRule="exact"/>
        <w:ind w:firstLine="640" w:firstLineChars="200"/>
        <w:rPr>
          <w:rFonts w:hint="eastAsia" w:ascii="仿宋_GB2312" w:hAnsi="宋体" w:eastAsia="仿宋_GB2312" w:cs="宋体"/>
          <w:color w:val="000000"/>
          <w:kern w:val="0"/>
          <w:sz w:val="32"/>
          <w:szCs w:val="32"/>
          <w:shd w:val="clear" w:color="auto" w:fill="FFFFFF"/>
          <w:lang w:val="zh-CN"/>
        </w:rPr>
      </w:pPr>
      <w:r>
        <w:rPr>
          <w:rFonts w:hint="eastAsia" w:ascii="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按政策规定接收供养“三无”人员及社会老人，并提供医疗、护理、康复等服务。</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（三）人员概况</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eastAsia="仿宋_GB2312" w:cs="仿宋"/>
          <w:color w:val="000000"/>
          <w:sz w:val="32"/>
          <w:szCs w:val="32"/>
          <w:lang w:val="en-US" w:eastAsia="zh-CN"/>
        </w:rPr>
        <w:t>单位编制数13人，实有编制人员1</w:t>
      </w:r>
      <w:r>
        <w:rPr>
          <w:rFonts w:hint="eastAsia" w:ascii="仿宋_GB2312" w:hAnsi="仿宋" w:cs="仿宋"/>
          <w:color w:val="000000"/>
          <w:sz w:val="32"/>
          <w:szCs w:val="32"/>
          <w:lang w:val="en-US" w:eastAsia="zh-CN"/>
        </w:rPr>
        <w:t>0</w:t>
      </w:r>
      <w:r>
        <w:rPr>
          <w:rFonts w:hint="eastAsia" w:ascii="仿宋_GB2312" w:hAnsi="仿宋" w:eastAsia="仿宋_GB2312" w:cs="仿宋"/>
          <w:color w:val="000000"/>
          <w:sz w:val="32"/>
          <w:szCs w:val="32"/>
          <w:lang w:val="en-US" w:eastAsia="zh-CN"/>
        </w:rPr>
        <w:t>人，临聘人员实有16人</w:t>
      </w:r>
      <w:r>
        <w:rPr>
          <w:rFonts w:hint="eastAsia" w:ascii="仿宋_GB2312" w:hAnsi="仿宋" w:cs="仿宋"/>
          <w:color w:val="000000"/>
          <w:sz w:val="32"/>
          <w:szCs w:val="32"/>
          <w:lang w:val="en-US" w:eastAsia="zh-CN"/>
        </w:rPr>
        <w:t>,其中：</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cs="仿宋"/>
          <w:color w:val="000000"/>
          <w:sz w:val="32"/>
          <w:szCs w:val="32"/>
          <w:lang w:val="en-US" w:eastAsia="zh-CN"/>
        </w:rPr>
        <w:t>1</w:t>
      </w:r>
      <w:r>
        <w:rPr>
          <w:rFonts w:ascii="仿宋_GB2312" w:eastAsia="仿宋_GB2312"/>
          <w:sz w:val="32"/>
          <w:szCs w:val="32"/>
        </w:rPr>
        <w:t>.</w:t>
      </w:r>
      <w:r>
        <w:rPr>
          <w:rFonts w:hint="eastAsia" w:ascii="仿宋_GB2312" w:hAnsi="仿宋" w:eastAsia="仿宋_GB2312" w:cs="仿宋"/>
          <w:color w:val="000000"/>
          <w:sz w:val="32"/>
          <w:szCs w:val="32"/>
          <w:lang w:val="en-US" w:eastAsia="zh-CN"/>
        </w:rPr>
        <w:t>管理九级3人；</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cs="仿宋"/>
          <w:color w:val="000000"/>
          <w:sz w:val="32"/>
          <w:szCs w:val="32"/>
          <w:lang w:val="en-US" w:eastAsia="zh-CN"/>
        </w:rPr>
        <w:t>2</w:t>
      </w:r>
      <w:r>
        <w:rPr>
          <w:rFonts w:ascii="仿宋_GB2312" w:eastAsia="仿宋_GB2312"/>
          <w:sz w:val="32"/>
          <w:szCs w:val="32"/>
        </w:rPr>
        <w:t>.</w:t>
      </w:r>
      <w:r>
        <w:rPr>
          <w:rFonts w:hint="eastAsia" w:ascii="仿宋_GB2312" w:hAnsi="仿宋" w:eastAsia="仿宋_GB2312" w:cs="仿宋"/>
          <w:color w:val="000000"/>
          <w:sz w:val="32"/>
          <w:szCs w:val="32"/>
          <w:lang w:val="en-US" w:eastAsia="zh-CN"/>
        </w:rPr>
        <w:t>专业技术十一级2人，十二级1人，十三级1人；</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eastAsia="仿宋_GB2312" w:cs="仿宋"/>
          <w:color w:val="000000"/>
          <w:sz w:val="32"/>
          <w:szCs w:val="32"/>
          <w:lang w:val="en-US" w:eastAsia="zh-CN"/>
        </w:rPr>
        <w:t>3</w:t>
      </w:r>
      <w:r>
        <w:rPr>
          <w:rFonts w:ascii="仿宋_GB2312" w:eastAsia="仿宋_GB2312"/>
          <w:sz w:val="32"/>
          <w:szCs w:val="32"/>
        </w:rPr>
        <w:t>.</w:t>
      </w:r>
      <w:r>
        <w:rPr>
          <w:rFonts w:hint="eastAsia" w:ascii="仿宋_GB2312" w:hAnsi="仿宋" w:eastAsia="仿宋_GB2312" w:cs="仿宋"/>
          <w:color w:val="000000"/>
          <w:sz w:val="32"/>
          <w:szCs w:val="32"/>
          <w:lang w:val="en-US" w:eastAsia="zh-CN"/>
        </w:rPr>
        <w:t>工勤人员二级2人；</w:t>
      </w:r>
    </w:p>
    <w:p>
      <w:pPr>
        <w:keepNext w:val="0"/>
        <w:keepLines w:val="0"/>
        <w:pageBreakBefore w:val="0"/>
        <w:numPr>
          <w:ilvl w:val="0"/>
          <w:numId w:val="0"/>
        </w:numPr>
        <w:kinsoku/>
        <w:wordWrap/>
        <w:overflowPunct/>
        <w:topLinePunct w:val="0"/>
        <w:bidi w:val="0"/>
        <w:spacing w:line="560" w:lineRule="exact"/>
        <w:ind w:firstLine="640" w:firstLineChars="200"/>
        <w:rPr>
          <w:rFonts w:hint="default" w:ascii="仿宋_GB2312" w:hAnsi="仿宋" w:eastAsia="仿宋_GB2312" w:cs="仿宋"/>
          <w:color w:val="000000"/>
          <w:sz w:val="32"/>
          <w:szCs w:val="32"/>
          <w:lang w:val="en-US" w:eastAsia="zh-CN"/>
        </w:rPr>
      </w:pPr>
      <w:r>
        <w:rPr>
          <w:rFonts w:hint="eastAsia" w:ascii="仿宋_GB2312" w:hAnsi="仿宋" w:eastAsia="仿宋_GB2312" w:cs="仿宋"/>
          <w:color w:val="000000"/>
          <w:sz w:val="32"/>
          <w:szCs w:val="32"/>
          <w:lang w:val="en-US" w:eastAsia="zh-CN"/>
        </w:rPr>
        <w:t>4</w:t>
      </w:r>
      <w:r>
        <w:rPr>
          <w:rFonts w:ascii="仿宋_GB2312" w:eastAsia="仿宋_GB2312"/>
          <w:sz w:val="32"/>
          <w:szCs w:val="32"/>
        </w:rPr>
        <w:t>.</w:t>
      </w:r>
      <w:r>
        <w:rPr>
          <w:rFonts w:hint="eastAsia" w:ascii="仿宋_GB2312" w:hAnsi="仿宋" w:eastAsia="仿宋_GB2312" w:cs="仿宋"/>
          <w:color w:val="000000"/>
          <w:sz w:val="32"/>
          <w:szCs w:val="32"/>
          <w:lang w:val="en-US" w:eastAsia="zh-CN"/>
        </w:rPr>
        <w:t>试用期人员1名；</w:t>
      </w:r>
    </w:p>
    <w:p>
      <w:pPr>
        <w:keepNext w:val="0"/>
        <w:keepLines w:val="0"/>
        <w:pageBreakBefore w:val="0"/>
        <w:numPr>
          <w:ilvl w:val="0"/>
          <w:numId w:val="0"/>
        </w:numPr>
        <w:kinsoku/>
        <w:wordWrap/>
        <w:overflowPunct/>
        <w:topLinePunct w:val="0"/>
        <w:bidi w:val="0"/>
        <w:spacing w:line="560" w:lineRule="exact"/>
        <w:ind w:firstLine="640" w:firstLineChars="200"/>
        <w:rPr>
          <w:rFonts w:hint="eastAsia" w:ascii="仿宋_GB2312" w:hAnsi="仿宋" w:eastAsia="仿宋_GB2312" w:cs="仿宋"/>
          <w:color w:val="000000"/>
          <w:sz w:val="32"/>
          <w:szCs w:val="32"/>
          <w:lang w:val="en-US" w:eastAsia="zh-CN"/>
        </w:rPr>
      </w:pPr>
      <w:r>
        <w:rPr>
          <w:rFonts w:hint="eastAsia" w:ascii="仿宋_GB2312" w:hAnsi="仿宋" w:cs="仿宋"/>
          <w:color w:val="000000"/>
          <w:sz w:val="32"/>
          <w:szCs w:val="32"/>
          <w:lang w:val="en-US" w:eastAsia="zh-CN"/>
        </w:rPr>
        <w:t>5</w:t>
      </w:r>
      <w:r>
        <w:rPr>
          <w:rFonts w:ascii="仿宋_GB2312" w:eastAsia="仿宋_GB2312"/>
          <w:sz w:val="32"/>
          <w:szCs w:val="32"/>
        </w:rPr>
        <w:t>.</w:t>
      </w:r>
      <w:r>
        <w:rPr>
          <w:rFonts w:hint="eastAsia" w:ascii="仿宋_GB2312" w:hAnsi="仿宋" w:eastAsia="仿宋_GB2312" w:cs="仿宋"/>
          <w:color w:val="000000"/>
          <w:sz w:val="32"/>
          <w:szCs w:val="32"/>
          <w:lang w:val="en-US" w:eastAsia="zh-CN"/>
        </w:rPr>
        <w:t>临聘人员16人。</w:t>
      </w:r>
    </w:p>
    <w:p>
      <w:pPr>
        <w:widowControl/>
        <w:numPr>
          <w:ilvl w:val="0"/>
          <w:numId w:val="0"/>
        </w:numPr>
        <w:adjustRightInd w:val="0"/>
        <w:snapToGrid w:val="0"/>
        <w:spacing w:line="580" w:lineRule="exact"/>
        <w:ind w:left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（一）部门财政资金收入情况</w:t>
      </w:r>
    </w:p>
    <w:p>
      <w:pPr>
        <w:widowControl/>
        <w:adjustRightInd w:val="0"/>
        <w:snapToGrid w:val="0"/>
        <w:spacing w:line="580" w:lineRule="exact"/>
        <w:ind w:firstLine="640" w:firstLineChars="200"/>
        <w:contextualSpacing/>
        <w:jc w:val="left"/>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240.01</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190.01</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79.17</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50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20.83</w:t>
      </w:r>
      <w:r>
        <w:rPr>
          <w:rFonts w:ascii="仿宋" w:hAnsi="仿宋" w:eastAsia="仿宋"/>
          <w:color w:val="000000"/>
          <w:sz w:val="32"/>
          <w:szCs w:val="32"/>
        </w:rPr>
        <w:t>%</w:t>
      </w:r>
      <w:r>
        <w:rPr>
          <w:rFonts w:hint="eastAsia" w:ascii="仿宋" w:hAnsi="仿宋" w:eastAsia="仿宋"/>
          <w:color w:val="000000"/>
          <w:sz w:val="32"/>
          <w:szCs w:val="32"/>
          <w:lang w:eastAsia="zh-CN"/>
        </w:rPr>
        <w:t>。</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（二）部门财政资金支出情况</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eastAsia="仿宋" w:cs="宋体"/>
          <w:color w:val="000000"/>
          <w:kern w:val="0"/>
          <w:sz w:val="32"/>
          <w:szCs w:val="32"/>
          <w:shd w:val="clear" w:color="auto" w:fill="FFFFFF"/>
          <w:lang w:val="zh-CN" w:eastAsia="zh-CN"/>
        </w:rPr>
      </w:pPr>
      <w:r>
        <w:rPr>
          <w:rFonts w:ascii="仿宋" w:hAnsi="仿宋" w:eastAsia="仿宋"/>
          <w:color w:val="000000"/>
          <w:sz w:val="32"/>
          <w:szCs w:val="32"/>
        </w:rPr>
        <w:t>2020</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192.32</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143.04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74.38</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49.28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25.62</w:t>
      </w:r>
      <w:r>
        <w:rPr>
          <w:rFonts w:ascii="仿宋" w:hAnsi="仿宋" w:eastAsia="仿宋"/>
          <w:color w:val="000000"/>
          <w:sz w:val="32"/>
          <w:szCs w:val="32"/>
        </w:rPr>
        <w:t>%</w:t>
      </w:r>
      <w:r>
        <w:rPr>
          <w:rFonts w:hint="eastAsia" w:ascii="仿宋" w:hAnsi="仿宋" w:eastAsia="仿宋"/>
          <w:color w:val="000000"/>
          <w:sz w:val="32"/>
          <w:szCs w:val="32"/>
          <w:lang w:eastAsia="zh-CN"/>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（一）部门预算管理</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cs="宋体"/>
          <w:color w:val="000000"/>
          <w:kern w:val="0"/>
          <w:sz w:val="32"/>
          <w:szCs w:val="32"/>
          <w:shd w:val="clear" w:color="auto" w:fill="FFFFFF"/>
          <w:lang w:val="en-US" w:eastAsia="zh-CN"/>
        </w:rPr>
        <w:t>1</w:t>
      </w:r>
      <w:r>
        <w:rPr>
          <w:rFonts w:ascii="仿宋_GB2312" w:eastAsia="仿宋_GB2312"/>
          <w:sz w:val="32"/>
          <w:szCs w:val="32"/>
        </w:rPr>
        <w:t>.</w:t>
      </w:r>
      <w:r>
        <w:rPr>
          <w:rFonts w:hint="eastAsia" w:ascii="仿宋_GB2312" w:hAnsi="宋体" w:cs="宋体"/>
          <w:color w:val="000000"/>
          <w:kern w:val="0"/>
          <w:sz w:val="32"/>
          <w:szCs w:val="32"/>
          <w:shd w:val="clear" w:color="auto" w:fill="FFFFFF"/>
          <w:lang w:val="zh-CN"/>
        </w:rPr>
        <w:t>绩效目标是预算编制的前提和保障，</w:t>
      </w:r>
      <w:r>
        <w:rPr>
          <w:rFonts w:hint="eastAsia" w:ascii="仿宋_GB2312" w:hAnsi="宋体" w:eastAsia="仿宋_GB2312" w:cs="仿宋_GB2312"/>
          <w:color w:val="000000"/>
          <w:kern w:val="0"/>
          <w:sz w:val="31"/>
          <w:szCs w:val="31"/>
          <w:lang w:val="en-US" w:eastAsia="zh-CN" w:bidi="ar"/>
        </w:rPr>
        <w:t>按要求对</w:t>
      </w:r>
      <w:r>
        <w:rPr>
          <w:rFonts w:hint="eastAsia" w:ascii="仿宋_GB2312" w:hAnsi="宋体" w:cs="仿宋_GB2312"/>
          <w:color w:val="000000"/>
          <w:kern w:val="0"/>
          <w:sz w:val="31"/>
          <w:szCs w:val="31"/>
          <w:lang w:val="en-US" w:eastAsia="zh-CN" w:bidi="ar"/>
        </w:rPr>
        <w:t>2020</w:t>
      </w:r>
      <w:r>
        <w:rPr>
          <w:rFonts w:hint="eastAsia" w:ascii="仿宋_GB2312" w:hAnsi="宋体" w:eastAsia="仿宋_GB2312" w:cs="仿宋_GB2312"/>
          <w:color w:val="000000"/>
          <w:kern w:val="0"/>
          <w:sz w:val="31"/>
          <w:szCs w:val="31"/>
          <w:lang w:val="en-US" w:eastAsia="zh-CN" w:bidi="ar"/>
        </w:rPr>
        <w:t>年部门整体支出开展绩效自评，从评价情况来看，部门支出整体绩效良好，预算编制较为精确、合理，认真落实</w:t>
      </w:r>
      <w:r>
        <w:rPr>
          <w:rFonts w:hint="eastAsia" w:ascii="仿宋_GB2312" w:hAnsi="宋体" w:cs="仿宋_GB2312"/>
          <w:color w:val="000000"/>
          <w:kern w:val="0"/>
          <w:sz w:val="31"/>
          <w:szCs w:val="31"/>
          <w:lang w:val="en-US" w:eastAsia="zh-CN" w:bidi="ar"/>
        </w:rPr>
        <w:t>了各项法律、法规</w:t>
      </w:r>
      <w:r>
        <w:rPr>
          <w:rFonts w:hint="eastAsia" w:ascii="仿宋_GB2312" w:hAnsi="宋体" w:eastAsia="仿宋_GB2312" w:cs="仿宋_GB2312"/>
          <w:color w:val="000000"/>
          <w:kern w:val="0"/>
          <w:sz w:val="31"/>
          <w:szCs w:val="31"/>
          <w:lang w:val="en-US" w:eastAsia="zh-CN" w:bidi="ar"/>
        </w:rPr>
        <w:t>，切实做到</w:t>
      </w:r>
      <w:r>
        <w:rPr>
          <w:rFonts w:hint="eastAsia" w:ascii="仿宋_GB2312" w:hAnsi="宋体" w:cs="仿宋_GB2312"/>
          <w:color w:val="000000"/>
          <w:kern w:val="0"/>
          <w:sz w:val="31"/>
          <w:szCs w:val="31"/>
          <w:lang w:val="en-US" w:eastAsia="zh-CN" w:bidi="ar"/>
        </w:rPr>
        <w:t>了</w:t>
      </w:r>
      <w:r>
        <w:rPr>
          <w:rFonts w:hint="eastAsia" w:ascii="仿宋_GB2312" w:hAnsi="宋体" w:eastAsia="仿宋_GB2312" w:cs="仿宋_GB2312"/>
          <w:color w:val="000000"/>
          <w:kern w:val="0"/>
          <w:sz w:val="31"/>
          <w:szCs w:val="31"/>
          <w:lang w:val="en-US" w:eastAsia="zh-CN" w:bidi="ar"/>
        </w:rPr>
        <w:t>厉行节约，压缩了“三公”经费支出及一般性支出，优化了年初预算安排，保障了</w:t>
      </w:r>
      <w:r>
        <w:rPr>
          <w:rFonts w:hint="eastAsia" w:ascii="仿宋_GB2312" w:hAnsi="宋体" w:cs="仿宋_GB2312"/>
          <w:color w:val="000000"/>
          <w:kern w:val="0"/>
          <w:sz w:val="31"/>
          <w:szCs w:val="31"/>
          <w:lang w:val="en-US" w:eastAsia="zh-CN" w:bidi="ar"/>
        </w:rPr>
        <w:t>单位</w:t>
      </w:r>
      <w:r>
        <w:rPr>
          <w:rFonts w:hint="eastAsia" w:ascii="仿宋_GB2312" w:hAnsi="宋体" w:eastAsia="仿宋_GB2312" w:cs="仿宋_GB2312"/>
          <w:color w:val="000000"/>
          <w:kern w:val="0"/>
          <w:sz w:val="31"/>
          <w:szCs w:val="31"/>
          <w:lang w:val="en-US" w:eastAsia="zh-CN" w:bidi="ar"/>
        </w:rPr>
        <w:t>在经费压缩情况下的高效运转。</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宋体" w:eastAsia="仿宋_GB2312" w:cs="宋体"/>
          <w:color w:val="000000"/>
          <w:kern w:val="0"/>
          <w:sz w:val="32"/>
          <w:szCs w:val="32"/>
          <w:shd w:val="clear" w:color="auto" w:fill="FFFFFF"/>
          <w:lang w:val="zh-CN"/>
        </w:rPr>
      </w:pPr>
      <w:r>
        <w:rPr>
          <w:rFonts w:hint="eastAsia" w:ascii="仿宋_GB2312" w:hAnsi="宋体" w:cs="仿宋_GB2312"/>
          <w:color w:val="000000"/>
          <w:kern w:val="0"/>
          <w:sz w:val="31"/>
          <w:szCs w:val="31"/>
          <w:lang w:val="en-US" w:eastAsia="zh-CN" w:bidi="ar"/>
        </w:rPr>
        <w:t>2</w:t>
      </w:r>
      <w:r>
        <w:rPr>
          <w:rFonts w:ascii="仿宋_GB2312" w:eastAsia="仿宋_GB2312"/>
          <w:sz w:val="32"/>
          <w:szCs w:val="32"/>
        </w:rPr>
        <w:t>.</w:t>
      </w:r>
      <w:r>
        <w:rPr>
          <w:rFonts w:hint="eastAsia" w:ascii="仿宋_GB2312" w:hAnsi="宋体" w:cs="仿宋_GB2312"/>
          <w:color w:val="000000"/>
          <w:kern w:val="0"/>
          <w:sz w:val="31"/>
          <w:szCs w:val="31"/>
          <w:lang w:val="en-US" w:eastAsia="zh-CN" w:bidi="ar"/>
        </w:rPr>
        <w:t>2020年</w:t>
      </w:r>
      <w:r>
        <w:rPr>
          <w:rFonts w:hint="eastAsia" w:ascii="仿宋_GB2312" w:hAnsi="宋体" w:cs="宋体"/>
          <w:color w:val="000000"/>
          <w:kern w:val="0"/>
          <w:sz w:val="32"/>
          <w:szCs w:val="32"/>
          <w:shd w:val="clear" w:color="auto" w:fill="FFFFFF"/>
          <w:lang w:val="zh-CN"/>
        </w:rPr>
        <w:t>无违规执行预算的情况。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_GB2312" w:hAnsi="宋体" w:eastAsia="仿宋_GB2312" w:cs="仿宋_GB2312"/>
          <w:color w:val="000000"/>
          <w:kern w:val="0"/>
          <w:sz w:val="31"/>
          <w:szCs w:val="31"/>
          <w:lang w:val="zh-CN" w:eastAsia="zh-CN" w:bidi="ar"/>
        </w:rPr>
      </w:pPr>
      <w:r>
        <w:rPr>
          <w:rFonts w:hint="eastAsia" w:ascii="仿宋_GB2312" w:hAnsi="宋体" w:eastAsia="仿宋_GB2312" w:cs="仿宋_GB2312"/>
          <w:color w:val="000000"/>
          <w:kern w:val="0"/>
          <w:sz w:val="31"/>
          <w:szCs w:val="31"/>
          <w:lang w:val="en-US" w:eastAsia="zh-CN" w:bidi="ar"/>
        </w:rPr>
        <w:t>本单位按照</w:t>
      </w:r>
      <w:r>
        <w:rPr>
          <w:rFonts w:hint="eastAsia" w:ascii="仿宋_GB2312" w:hAnsi="宋体" w:cs="仿宋_GB2312"/>
          <w:color w:val="000000"/>
          <w:kern w:val="0"/>
          <w:sz w:val="31"/>
          <w:szCs w:val="31"/>
          <w:lang w:val="en-US" w:eastAsia="zh-CN" w:bidi="ar"/>
        </w:rPr>
        <w:t>年初</w:t>
      </w:r>
      <w:r>
        <w:rPr>
          <w:rFonts w:hint="eastAsia" w:ascii="仿宋_GB2312" w:hAnsi="宋体" w:eastAsia="仿宋_GB2312" w:cs="仿宋_GB2312"/>
          <w:color w:val="000000"/>
          <w:kern w:val="0"/>
          <w:sz w:val="31"/>
          <w:szCs w:val="31"/>
          <w:lang w:val="en-US" w:eastAsia="zh-CN" w:bidi="ar"/>
        </w:rPr>
        <w:t>下达的预算指标，严格执行预算内开支，保障了单位正常运转。</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（一）评价结论</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cs="宋体"/>
          <w:color w:val="000000"/>
          <w:kern w:val="0"/>
          <w:sz w:val="32"/>
          <w:szCs w:val="32"/>
          <w:shd w:val="clear" w:color="auto" w:fill="FFFFFF"/>
          <w:lang w:val="zh-CN"/>
        </w:rPr>
        <w:t>全年按照规定执行预算管理，保证单位各项工作的正常运转，无违规现象。</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（二）存在问题</w:t>
      </w:r>
    </w:p>
    <w:p>
      <w:pPr>
        <w:keepNext w:val="0"/>
        <w:keepLines w:val="0"/>
        <w:widowControl/>
        <w:numPr>
          <w:ilvl w:val="0"/>
          <w:numId w:val="0"/>
        </w:numPr>
        <w:suppressLineNumbers w:val="0"/>
        <w:ind w:leftChars="200"/>
        <w:jc w:val="left"/>
        <w:rPr>
          <w:rFonts w:ascii="仿宋_GB2312" w:hAnsi="宋体" w:eastAsia="仿宋_GB2312" w:cs="宋体"/>
          <w:color w:val="000000"/>
          <w:kern w:val="0"/>
          <w:sz w:val="32"/>
          <w:szCs w:val="32"/>
          <w:shd w:val="clear" w:color="auto" w:fill="FFFFFF"/>
          <w:lang w:val="zh-CN"/>
        </w:rPr>
      </w:pPr>
      <w:r>
        <w:rPr>
          <w:rFonts w:ascii="仿宋_GB2312" w:hAnsi="宋体" w:eastAsia="仿宋_GB2312" w:cs="仿宋_GB2312"/>
          <w:color w:val="000000"/>
          <w:kern w:val="0"/>
          <w:sz w:val="31"/>
          <w:szCs w:val="31"/>
          <w:lang w:val="en-US" w:eastAsia="zh-CN" w:bidi="ar"/>
        </w:rPr>
        <w:t>内部控制制度还需要进一步完善。</w:t>
      </w:r>
    </w:p>
    <w:p>
      <w:pPr>
        <w:spacing w:line="600" w:lineRule="exact"/>
        <w:ind w:firstLine="643" w:firstLineChars="200"/>
        <w:outlineLvl w:val="2"/>
        <w:rPr>
          <w:rFonts w:hint="eastAsia" w:ascii="仿宋" w:hAnsi="仿宋" w:eastAsia="仿宋"/>
          <w:b/>
          <w:color w:val="000000"/>
          <w:sz w:val="32"/>
          <w:szCs w:val="32"/>
          <w:lang w:val="zh-CN"/>
        </w:rPr>
      </w:pPr>
      <w:r>
        <w:rPr>
          <w:rFonts w:hint="eastAsia" w:ascii="仿宋" w:hAnsi="仿宋" w:eastAsia="仿宋"/>
          <w:b/>
          <w:color w:val="000000"/>
          <w:sz w:val="32"/>
          <w:szCs w:val="32"/>
          <w:lang w:val="zh-CN"/>
        </w:rPr>
        <w:t>（三）改进建议</w:t>
      </w:r>
    </w:p>
    <w:p>
      <w:pPr>
        <w:keepNext w:val="0"/>
        <w:keepLines w:val="0"/>
        <w:pageBreakBefore w:val="0"/>
        <w:kinsoku/>
        <w:wordWrap/>
        <w:overflowPunct/>
        <w:topLinePunct w:val="0"/>
        <w:bidi w:val="0"/>
        <w:snapToGrid w:val="0"/>
        <w:spacing w:line="560" w:lineRule="exact"/>
        <w:ind w:firstLine="620" w:firstLineChars="200"/>
        <w:rPr>
          <w:rFonts w:hint="eastAsia" w:ascii="仿宋_GB2312" w:hAnsi="仿宋" w:eastAsia="仿宋_GB2312"/>
          <w:sz w:val="32"/>
          <w:szCs w:val="32"/>
          <w:lang w:val="en-US" w:eastAsia="zh-CN"/>
        </w:rPr>
      </w:pPr>
      <w:r>
        <w:rPr>
          <w:rFonts w:hint="eastAsia" w:ascii="仿宋_GB2312" w:hAnsi="宋体" w:cs="仿宋_GB2312"/>
          <w:color w:val="000000"/>
          <w:kern w:val="0"/>
          <w:sz w:val="31"/>
          <w:szCs w:val="31"/>
          <w:lang w:val="en-US" w:eastAsia="zh-CN" w:bidi="ar"/>
        </w:rPr>
        <w:t>1</w:t>
      </w:r>
      <w:r>
        <w:rPr>
          <w:rFonts w:ascii="仿宋_GB2312" w:eastAsia="仿宋_GB2312"/>
          <w:sz w:val="32"/>
          <w:szCs w:val="32"/>
        </w:rPr>
        <w:t>.</w:t>
      </w:r>
      <w:r>
        <w:rPr>
          <w:rFonts w:hint="eastAsia" w:ascii="仿宋_GB2312" w:hAnsi="仿宋" w:eastAsia="仿宋_GB2312"/>
          <w:sz w:val="32"/>
          <w:szCs w:val="32"/>
        </w:rPr>
        <w:t>完善相关制度，推进制度落实。依据相关法律、法规及管理办法，建立分级分类、使用高效、便于操作的实施细则及业务规范，制定绩效问责制度、公开制度等，加快形成“用钱必问效、无效必问责”的机制。</w:t>
      </w:r>
    </w:p>
    <w:p>
      <w:pPr>
        <w:keepNext w:val="0"/>
        <w:keepLines w:val="0"/>
        <w:pageBreakBefore w:val="0"/>
        <w:kinsoku/>
        <w:wordWrap/>
        <w:overflowPunct/>
        <w:topLinePunct w:val="0"/>
        <w:bidi w:val="0"/>
        <w:snapToGri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w:t>
      </w:r>
      <w:r>
        <w:rPr>
          <w:rFonts w:hint="eastAsia" w:ascii="仿宋_GB2312" w:hAnsi="仿宋" w:eastAsia="仿宋_GB2312"/>
          <w:sz w:val="32"/>
          <w:szCs w:val="32"/>
          <w:lang w:val="en-US" w:eastAsia="zh-CN"/>
        </w:rPr>
        <w:t>提高预算编制精确度，提高财务人员专业知识，加强内部控制建设。</w:t>
      </w:r>
    </w:p>
    <w:p>
      <w:pPr>
        <w:keepNext w:val="0"/>
        <w:keepLines w:val="0"/>
        <w:pageBreakBefore w:val="0"/>
        <w:kinsoku/>
        <w:wordWrap/>
        <w:overflowPunct/>
        <w:topLinePunct w:val="0"/>
        <w:bidi w:val="0"/>
        <w:snapToGrid w:val="0"/>
        <w:spacing w:line="560" w:lineRule="exact"/>
        <w:ind w:firstLine="640" w:firstLineChars="200"/>
        <w:rPr>
          <w:rFonts w:hint="eastAsia" w:ascii="仿宋_GB2312" w:hAnsi="仿宋" w:eastAsia="仿宋_GB2312"/>
          <w:sz w:val="32"/>
          <w:szCs w:val="32"/>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p>
    <w:p>
      <w:pPr>
        <w:widowControl/>
        <w:adjustRightInd w:val="0"/>
        <w:snapToGrid w:val="0"/>
        <w:spacing w:line="580" w:lineRule="exact"/>
        <w:contextualSpacing/>
        <w:jc w:val="left"/>
        <w:rPr>
          <w:rFonts w:hint="eastAsia" w:ascii="仿宋_GB2312" w:hAnsi="宋体" w:eastAsia="仿宋_GB2312" w:cs="宋体"/>
          <w:color w:val="000000"/>
          <w:kern w:val="0"/>
          <w:sz w:val="32"/>
          <w:szCs w:val="32"/>
          <w:shd w:val="clear" w:color="auto" w:fill="FFFFFF"/>
          <w:lang w:val="zh-CN"/>
        </w:rPr>
      </w:pPr>
    </w:p>
    <w:p>
      <w:pPr>
        <w:bidi w:val="0"/>
        <w:rPr>
          <w:rFonts w:hint="eastAsia"/>
          <w:lang w:val="zh-CN"/>
        </w:rPr>
      </w:pPr>
    </w:p>
    <w:p>
      <w:pPr>
        <w:widowControl/>
        <w:jc w:val="center"/>
        <w:rPr>
          <w:rStyle w:val="14"/>
          <w:rFonts w:ascii="黑体" w:hAnsi="黑体" w:eastAsia="黑体"/>
          <w:b w:val="0"/>
        </w:rPr>
      </w:pPr>
      <w:bookmarkStart w:id="62" w:name="_Toc15396618"/>
      <w:bookmarkStart w:id="63" w:name="_Toc32283"/>
      <w:r>
        <w:rPr>
          <w:rFonts w:hint="eastAsia" w:ascii="黑体" w:hAnsi="黑体" w:eastAsia="黑体"/>
          <w:color w:val="000000"/>
          <w:sz w:val="44"/>
          <w:szCs w:val="44"/>
        </w:rPr>
        <w:t>第</w:t>
      </w:r>
      <w:r>
        <w:rPr>
          <w:rStyle w:val="14"/>
          <w:rFonts w:hint="eastAsia" w:ascii="黑体" w:hAnsi="黑体" w:eastAsia="黑体"/>
          <w:b w:val="0"/>
        </w:rPr>
        <w:t>五部分</w:t>
      </w:r>
      <w:r>
        <w:rPr>
          <w:rStyle w:val="14"/>
          <w:rFonts w:ascii="黑体" w:hAnsi="黑体" w:eastAsia="黑体"/>
          <w:b w:val="0"/>
        </w:rPr>
        <w:t xml:space="preserve"> </w:t>
      </w:r>
      <w:r>
        <w:rPr>
          <w:rStyle w:val="14"/>
          <w:rFonts w:hint="eastAsia" w:ascii="黑体" w:hAnsi="黑体" w:eastAsia="黑体"/>
          <w:b w:val="0"/>
        </w:rPr>
        <w:t>附表</w:t>
      </w:r>
      <w:bookmarkEnd w:id="58"/>
      <w:bookmarkEnd w:id="62"/>
      <w:bookmarkEnd w:id="63"/>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4" w:name="_Toc15699"/>
      <w:bookmarkStart w:id="65" w:name="_Toc15396619"/>
      <w:r>
        <w:rPr>
          <w:rFonts w:hint="eastAsia" w:ascii="仿宋" w:hAnsi="仿宋" w:eastAsia="仿宋"/>
          <w:b w:val="0"/>
          <w:color w:val="000000"/>
        </w:rPr>
        <w:t>一、收</w:t>
      </w:r>
      <w:r>
        <w:rPr>
          <w:rStyle w:val="15"/>
          <w:rFonts w:hint="eastAsia" w:ascii="仿宋" w:hAnsi="仿宋" w:eastAsia="仿宋"/>
          <w:b w:val="0"/>
          <w:bCs w:val="0"/>
        </w:rPr>
        <w:t>入支出决算总表</w:t>
      </w:r>
      <w:bookmarkEnd w:id="64"/>
      <w:bookmarkEnd w:id="65"/>
    </w:p>
    <w:p>
      <w:pPr>
        <w:pStyle w:val="3"/>
        <w:rPr>
          <w:rFonts w:ascii="仿宋" w:hAnsi="仿宋" w:eastAsia="仿宋"/>
          <w:color w:val="000000"/>
        </w:rPr>
      </w:pPr>
      <w:bookmarkStart w:id="66" w:name="_Toc15396620"/>
      <w:bookmarkStart w:id="67" w:name="_Toc27106"/>
      <w:r>
        <w:rPr>
          <w:rFonts w:hint="eastAsia" w:ascii="仿宋" w:hAnsi="仿宋" w:eastAsia="仿宋"/>
          <w:b w:val="0"/>
          <w:color w:val="000000"/>
        </w:rPr>
        <w:t>二、收</w:t>
      </w:r>
      <w:r>
        <w:rPr>
          <w:rStyle w:val="15"/>
          <w:rFonts w:hint="eastAsia" w:ascii="仿宋" w:hAnsi="仿宋" w:eastAsia="仿宋"/>
          <w:b w:val="0"/>
          <w:bCs w:val="0"/>
        </w:rPr>
        <w:t>入决算表</w:t>
      </w:r>
      <w:bookmarkEnd w:id="66"/>
      <w:bookmarkEnd w:id="67"/>
    </w:p>
    <w:p>
      <w:pPr>
        <w:pStyle w:val="3"/>
        <w:rPr>
          <w:rFonts w:ascii="仿宋" w:hAnsi="仿宋" w:eastAsia="仿宋"/>
          <w:color w:val="000000"/>
        </w:rPr>
      </w:pPr>
      <w:bookmarkStart w:id="68" w:name="_Toc26817"/>
      <w:bookmarkStart w:id="69" w:name="_Toc15396621"/>
      <w:r>
        <w:rPr>
          <w:rStyle w:val="15"/>
          <w:rFonts w:hint="eastAsia" w:ascii="仿宋" w:hAnsi="仿宋" w:eastAsia="仿宋"/>
          <w:b w:val="0"/>
          <w:bCs w:val="0"/>
        </w:rPr>
        <w:t>三、</w:t>
      </w:r>
      <w:r>
        <w:rPr>
          <w:rFonts w:hint="eastAsia" w:ascii="仿宋" w:hAnsi="仿宋" w:eastAsia="仿宋"/>
          <w:b w:val="0"/>
          <w:color w:val="000000"/>
        </w:rPr>
        <w:t>支</w:t>
      </w:r>
      <w:r>
        <w:rPr>
          <w:rStyle w:val="15"/>
          <w:rFonts w:hint="eastAsia" w:ascii="仿宋" w:hAnsi="仿宋" w:eastAsia="仿宋"/>
          <w:b w:val="0"/>
          <w:bCs w:val="0"/>
        </w:rPr>
        <w:t>出决算表</w:t>
      </w:r>
      <w:bookmarkEnd w:id="68"/>
      <w:bookmarkEnd w:id="69"/>
    </w:p>
    <w:p>
      <w:pPr>
        <w:pStyle w:val="3"/>
        <w:rPr>
          <w:rFonts w:ascii="仿宋" w:hAnsi="仿宋" w:eastAsia="仿宋"/>
          <w:b w:val="0"/>
          <w:color w:val="000000"/>
        </w:rPr>
      </w:pPr>
      <w:bookmarkStart w:id="70" w:name="_Toc21747"/>
      <w:bookmarkStart w:id="71" w:name="_Toc15396622"/>
      <w:r>
        <w:rPr>
          <w:rStyle w:val="15"/>
          <w:rFonts w:hint="eastAsia" w:ascii="仿宋" w:hAnsi="仿宋" w:eastAsia="仿宋"/>
          <w:b w:val="0"/>
          <w:bCs w:val="0"/>
        </w:rPr>
        <w:t>四、</w:t>
      </w:r>
      <w:r>
        <w:rPr>
          <w:rFonts w:hint="eastAsia" w:ascii="仿宋" w:hAnsi="仿宋" w:eastAsia="仿宋"/>
          <w:b w:val="0"/>
          <w:color w:val="000000"/>
        </w:rPr>
        <w:t>财</w:t>
      </w:r>
      <w:r>
        <w:rPr>
          <w:rStyle w:val="15"/>
          <w:rFonts w:hint="eastAsia" w:ascii="仿宋" w:hAnsi="仿宋" w:eastAsia="仿宋"/>
          <w:b w:val="0"/>
          <w:bCs w:val="0"/>
        </w:rPr>
        <w:t>政拨款收入支出决算总表</w:t>
      </w:r>
      <w:bookmarkEnd w:id="70"/>
      <w:bookmarkEnd w:id="71"/>
    </w:p>
    <w:p>
      <w:pPr>
        <w:pStyle w:val="3"/>
        <w:rPr>
          <w:rStyle w:val="15"/>
          <w:rFonts w:ascii="仿宋" w:hAnsi="仿宋" w:eastAsia="仿宋"/>
          <w:b w:val="0"/>
          <w:bCs w:val="0"/>
        </w:rPr>
      </w:pPr>
      <w:bookmarkStart w:id="72" w:name="_Toc15396623"/>
      <w:bookmarkStart w:id="73" w:name="_Toc12959"/>
      <w:r>
        <w:rPr>
          <w:rStyle w:val="15"/>
          <w:rFonts w:hint="eastAsia" w:ascii="仿宋" w:hAnsi="仿宋" w:eastAsia="仿宋"/>
          <w:b w:val="0"/>
          <w:bCs w:val="0"/>
        </w:rPr>
        <w:t>五、</w:t>
      </w:r>
      <w:r>
        <w:rPr>
          <w:rFonts w:hint="eastAsia" w:ascii="仿宋" w:hAnsi="仿宋" w:eastAsia="仿宋"/>
          <w:b w:val="0"/>
          <w:color w:val="000000"/>
        </w:rPr>
        <w:t>财</w:t>
      </w:r>
      <w:r>
        <w:rPr>
          <w:rStyle w:val="15"/>
          <w:rFonts w:hint="eastAsia" w:ascii="仿宋" w:hAnsi="仿宋" w:eastAsia="仿宋"/>
          <w:b w:val="0"/>
          <w:bCs w:val="0"/>
        </w:rPr>
        <w:t>政拨款支出决算明细表</w:t>
      </w:r>
      <w:bookmarkEnd w:id="72"/>
      <w:bookmarkEnd w:id="73"/>
      <w:bookmarkStart w:id="74" w:name="_Toc15396624"/>
    </w:p>
    <w:p>
      <w:pPr>
        <w:pStyle w:val="3"/>
        <w:rPr>
          <w:rFonts w:ascii="仿宋" w:hAnsi="仿宋" w:eastAsia="仿宋"/>
          <w:color w:val="000000"/>
        </w:rPr>
      </w:pPr>
      <w:bookmarkStart w:id="75" w:name="_Toc23749"/>
      <w:r>
        <w:rPr>
          <w:rStyle w:val="15"/>
          <w:rFonts w:hint="eastAsia" w:ascii="仿宋" w:hAnsi="仿宋" w:eastAsia="仿宋"/>
          <w:b w:val="0"/>
          <w:bCs w:val="0"/>
        </w:rPr>
        <w:t>六、</w:t>
      </w:r>
      <w:r>
        <w:rPr>
          <w:rFonts w:hint="eastAsia" w:ascii="仿宋" w:hAnsi="仿宋" w:eastAsia="仿宋"/>
          <w:b w:val="0"/>
          <w:color w:val="000000"/>
        </w:rPr>
        <w:t>一</w:t>
      </w:r>
      <w:r>
        <w:rPr>
          <w:rStyle w:val="15"/>
          <w:rFonts w:hint="eastAsia" w:ascii="仿宋" w:hAnsi="仿宋" w:eastAsia="仿宋"/>
          <w:b w:val="0"/>
          <w:bCs w:val="0"/>
        </w:rPr>
        <w:t>般公共预算财政拨款支出决算表</w:t>
      </w:r>
      <w:bookmarkEnd w:id="74"/>
      <w:bookmarkEnd w:id="75"/>
    </w:p>
    <w:p>
      <w:pPr>
        <w:pStyle w:val="3"/>
        <w:rPr>
          <w:rFonts w:ascii="仿宋" w:hAnsi="仿宋" w:eastAsia="仿宋"/>
          <w:color w:val="000000"/>
        </w:rPr>
      </w:pPr>
      <w:bookmarkStart w:id="76" w:name="_Toc15396625"/>
      <w:bookmarkStart w:id="77" w:name="_Toc22275"/>
      <w:r>
        <w:rPr>
          <w:rStyle w:val="15"/>
          <w:rFonts w:hint="eastAsia" w:ascii="仿宋" w:hAnsi="仿宋" w:eastAsia="仿宋"/>
          <w:b w:val="0"/>
          <w:bCs w:val="0"/>
        </w:rPr>
        <w:t>七、</w:t>
      </w:r>
      <w:r>
        <w:rPr>
          <w:rFonts w:hint="eastAsia" w:ascii="仿宋" w:hAnsi="仿宋" w:eastAsia="仿宋"/>
          <w:b w:val="0"/>
          <w:color w:val="000000"/>
        </w:rPr>
        <w:t>一</w:t>
      </w:r>
      <w:r>
        <w:rPr>
          <w:rStyle w:val="15"/>
          <w:rFonts w:hint="eastAsia" w:ascii="仿宋" w:hAnsi="仿宋" w:eastAsia="仿宋"/>
          <w:b w:val="0"/>
          <w:bCs w:val="0"/>
        </w:rPr>
        <w:t>般公共预算财政拨款支出决算明细表</w:t>
      </w:r>
      <w:bookmarkEnd w:id="76"/>
      <w:bookmarkEnd w:id="77"/>
    </w:p>
    <w:p>
      <w:pPr>
        <w:pStyle w:val="3"/>
        <w:rPr>
          <w:rFonts w:ascii="仿宋" w:hAnsi="仿宋" w:eastAsia="仿宋"/>
          <w:color w:val="000000"/>
        </w:rPr>
      </w:pPr>
      <w:bookmarkStart w:id="78" w:name="_Toc15396626"/>
      <w:bookmarkStart w:id="79" w:name="_Toc30634"/>
      <w:r>
        <w:rPr>
          <w:rStyle w:val="15"/>
          <w:rFonts w:hint="eastAsia" w:ascii="仿宋" w:hAnsi="仿宋" w:eastAsia="仿宋"/>
          <w:b w:val="0"/>
          <w:bCs w:val="0"/>
        </w:rPr>
        <w:t>八、</w:t>
      </w:r>
      <w:r>
        <w:rPr>
          <w:rFonts w:hint="eastAsia" w:ascii="仿宋" w:hAnsi="仿宋" w:eastAsia="仿宋"/>
          <w:b w:val="0"/>
          <w:color w:val="000000"/>
        </w:rPr>
        <w:t>一</w:t>
      </w:r>
      <w:r>
        <w:rPr>
          <w:rStyle w:val="15"/>
          <w:rFonts w:hint="eastAsia" w:ascii="仿宋" w:hAnsi="仿宋" w:eastAsia="仿宋"/>
          <w:b w:val="0"/>
          <w:bCs w:val="0"/>
        </w:rPr>
        <w:t>般公共预算财政拨款基本支出决算表</w:t>
      </w:r>
      <w:bookmarkEnd w:id="78"/>
      <w:bookmarkEnd w:id="79"/>
    </w:p>
    <w:p>
      <w:pPr>
        <w:pStyle w:val="3"/>
        <w:rPr>
          <w:rFonts w:ascii="仿宋" w:hAnsi="仿宋" w:eastAsia="仿宋"/>
          <w:color w:val="000000"/>
        </w:rPr>
      </w:pPr>
      <w:bookmarkStart w:id="80" w:name="_Toc15396627"/>
      <w:bookmarkStart w:id="81" w:name="_Toc15170"/>
      <w:r>
        <w:rPr>
          <w:rStyle w:val="15"/>
          <w:rFonts w:hint="eastAsia" w:ascii="仿宋" w:hAnsi="仿宋" w:eastAsia="仿宋"/>
          <w:b w:val="0"/>
          <w:bCs w:val="0"/>
        </w:rPr>
        <w:t>九、</w:t>
      </w:r>
      <w:r>
        <w:rPr>
          <w:rFonts w:hint="eastAsia" w:ascii="仿宋" w:hAnsi="仿宋" w:eastAsia="仿宋"/>
          <w:b w:val="0"/>
          <w:color w:val="000000"/>
        </w:rPr>
        <w:t>一</w:t>
      </w:r>
      <w:r>
        <w:rPr>
          <w:rStyle w:val="15"/>
          <w:rFonts w:hint="eastAsia" w:ascii="仿宋" w:hAnsi="仿宋" w:eastAsia="仿宋"/>
          <w:b w:val="0"/>
          <w:bCs w:val="0"/>
        </w:rPr>
        <w:t>般公共预算财政拨款项目支出决算表</w:t>
      </w:r>
      <w:bookmarkEnd w:id="80"/>
      <w:bookmarkEnd w:id="81"/>
    </w:p>
    <w:p>
      <w:pPr>
        <w:pStyle w:val="3"/>
        <w:spacing w:line="360" w:lineRule="auto"/>
        <w:rPr>
          <w:rFonts w:ascii="仿宋" w:hAnsi="仿宋" w:eastAsia="仿宋"/>
          <w:color w:val="000000"/>
        </w:rPr>
      </w:pPr>
      <w:bookmarkStart w:id="82" w:name="_Toc15396628"/>
      <w:bookmarkStart w:id="83" w:name="_Toc17603"/>
      <w:r>
        <w:rPr>
          <w:rStyle w:val="15"/>
          <w:rFonts w:hint="eastAsia" w:ascii="仿宋" w:hAnsi="仿宋" w:eastAsia="仿宋"/>
          <w:b w:val="0"/>
          <w:bCs w:val="0"/>
        </w:rPr>
        <w:t>十、</w:t>
      </w:r>
      <w:r>
        <w:rPr>
          <w:rFonts w:hint="eastAsia" w:ascii="仿宋" w:hAnsi="仿宋" w:eastAsia="仿宋"/>
          <w:b w:val="0"/>
          <w:color w:val="000000"/>
        </w:rPr>
        <w:t>一</w:t>
      </w:r>
      <w:r>
        <w:rPr>
          <w:rStyle w:val="15"/>
          <w:rFonts w:hint="eastAsia" w:ascii="仿宋" w:hAnsi="仿宋" w:eastAsia="仿宋"/>
          <w:b w:val="0"/>
          <w:bCs w:val="0"/>
        </w:rPr>
        <w:t>般公共预算财政拨款“三公”经费支出决算表</w:t>
      </w:r>
      <w:bookmarkEnd w:id="82"/>
      <w:bookmarkEnd w:id="83"/>
    </w:p>
    <w:p>
      <w:pPr>
        <w:pStyle w:val="3"/>
        <w:spacing w:line="360" w:lineRule="auto"/>
        <w:rPr>
          <w:rFonts w:ascii="仿宋" w:hAnsi="仿宋" w:eastAsia="仿宋"/>
          <w:color w:val="000000"/>
        </w:rPr>
      </w:pPr>
      <w:bookmarkStart w:id="84" w:name="_Toc15396629"/>
      <w:bookmarkStart w:id="85" w:name="_Toc7313"/>
      <w:r>
        <w:rPr>
          <w:rStyle w:val="15"/>
          <w:rFonts w:hint="eastAsia" w:ascii="仿宋" w:hAnsi="仿宋" w:eastAsia="仿宋"/>
          <w:b w:val="0"/>
          <w:bCs w:val="0"/>
        </w:rPr>
        <w:t>十一、</w:t>
      </w:r>
      <w:r>
        <w:rPr>
          <w:rFonts w:hint="eastAsia" w:ascii="仿宋" w:hAnsi="仿宋" w:eastAsia="仿宋"/>
          <w:b w:val="0"/>
          <w:color w:val="000000"/>
        </w:rPr>
        <w:t>政</w:t>
      </w:r>
      <w:r>
        <w:rPr>
          <w:rStyle w:val="15"/>
          <w:rFonts w:hint="eastAsia" w:ascii="仿宋" w:hAnsi="仿宋" w:eastAsia="仿宋"/>
          <w:b w:val="0"/>
          <w:bCs w:val="0"/>
        </w:rPr>
        <w:t>府性基金预算财政拨款收入支出决算表</w:t>
      </w:r>
      <w:bookmarkEnd w:id="84"/>
      <w:bookmarkEnd w:id="85"/>
    </w:p>
    <w:p>
      <w:pPr>
        <w:pStyle w:val="3"/>
        <w:rPr>
          <w:rFonts w:hint="eastAsia" w:ascii="仿宋" w:hAnsi="仿宋" w:eastAsia="仿宋"/>
          <w:b w:val="0"/>
          <w:color w:val="000000"/>
        </w:rPr>
      </w:pPr>
      <w:bookmarkStart w:id="86" w:name="_Toc15396630"/>
      <w:bookmarkStart w:id="87" w:name="_Toc9382"/>
      <w:r>
        <w:rPr>
          <w:rFonts w:hint="eastAsia" w:ascii="仿宋" w:hAnsi="仿宋" w:eastAsia="仿宋"/>
          <w:b w:val="0"/>
          <w:color w:val="000000"/>
        </w:rPr>
        <w:t>十二、政府性基金预算财政拨款“三公”经费支出决算表</w:t>
      </w:r>
      <w:bookmarkEnd w:id="86"/>
      <w:bookmarkEnd w:id="87"/>
    </w:p>
    <w:p>
      <w:pPr>
        <w:pStyle w:val="3"/>
        <w:rPr>
          <w:rFonts w:hint="eastAsia" w:ascii="仿宋" w:hAnsi="仿宋" w:eastAsia="仿宋"/>
          <w:b w:val="0"/>
          <w:color w:val="000000"/>
        </w:rPr>
      </w:pPr>
      <w:bookmarkStart w:id="88" w:name="_Toc22683"/>
      <w:r>
        <w:rPr>
          <w:rFonts w:hint="eastAsia" w:ascii="仿宋" w:hAnsi="仿宋" w:eastAsia="仿宋"/>
          <w:b w:val="0"/>
          <w:color w:val="000000"/>
        </w:rPr>
        <w:t>十三、国有资本经营预算财政拨款收入支出决算表</w:t>
      </w:r>
      <w:bookmarkEnd w:id="88"/>
    </w:p>
    <w:p>
      <w:pPr>
        <w:pStyle w:val="3"/>
        <w:rPr>
          <w:rFonts w:hint="eastAsia" w:ascii="仿宋" w:hAnsi="仿宋" w:eastAsia="仿宋"/>
          <w:b w:val="0"/>
          <w:color w:val="000000"/>
        </w:rPr>
      </w:pPr>
      <w:bookmarkStart w:id="89" w:name="_Toc10257"/>
      <w:r>
        <w:rPr>
          <w:rFonts w:hint="eastAsia" w:ascii="仿宋" w:hAnsi="仿宋" w:eastAsia="仿宋"/>
          <w:b w:val="0"/>
          <w:color w:val="000000"/>
        </w:rPr>
        <w:t>十四、国有资本经营预算财政拨款支出决算表</w:t>
      </w:r>
      <w:bookmarkEnd w:id="89"/>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方正小标宋简体">
    <w:altName w:val="宋体-方正超大字符集"/>
    <w:panose1 w:val="02010601030101010101"/>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1EE6B03"/>
    <w:rsid w:val="02ED111C"/>
    <w:rsid w:val="046067A0"/>
    <w:rsid w:val="059375C1"/>
    <w:rsid w:val="05E14C0D"/>
    <w:rsid w:val="05EA1400"/>
    <w:rsid w:val="06D96529"/>
    <w:rsid w:val="07F15ECF"/>
    <w:rsid w:val="096D796C"/>
    <w:rsid w:val="0A312017"/>
    <w:rsid w:val="0A726570"/>
    <w:rsid w:val="0D5C2416"/>
    <w:rsid w:val="13327BCF"/>
    <w:rsid w:val="16846935"/>
    <w:rsid w:val="19523C41"/>
    <w:rsid w:val="19667895"/>
    <w:rsid w:val="1CDE4129"/>
    <w:rsid w:val="1EFD68B6"/>
    <w:rsid w:val="228710B7"/>
    <w:rsid w:val="241E0485"/>
    <w:rsid w:val="264A6B35"/>
    <w:rsid w:val="26E2373B"/>
    <w:rsid w:val="280807E1"/>
    <w:rsid w:val="2AC65C17"/>
    <w:rsid w:val="2B804307"/>
    <w:rsid w:val="300029C0"/>
    <w:rsid w:val="310E3BC9"/>
    <w:rsid w:val="31B375E2"/>
    <w:rsid w:val="34C442BA"/>
    <w:rsid w:val="3718290D"/>
    <w:rsid w:val="38854459"/>
    <w:rsid w:val="3AB32113"/>
    <w:rsid w:val="3BF23889"/>
    <w:rsid w:val="3C3A02E2"/>
    <w:rsid w:val="3E0865D2"/>
    <w:rsid w:val="3E4169FF"/>
    <w:rsid w:val="3EB979BE"/>
    <w:rsid w:val="3FA500F4"/>
    <w:rsid w:val="405D2ACA"/>
    <w:rsid w:val="41E009A7"/>
    <w:rsid w:val="446403F1"/>
    <w:rsid w:val="44CE150C"/>
    <w:rsid w:val="47E371CE"/>
    <w:rsid w:val="4A3C66CF"/>
    <w:rsid w:val="4E3A4862"/>
    <w:rsid w:val="4EC7601B"/>
    <w:rsid w:val="4F1E08AB"/>
    <w:rsid w:val="50697AEE"/>
    <w:rsid w:val="524111E0"/>
    <w:rsid w:val="52C55120"/>
    <w:rsid w:val="52F16733"/>
    <w:rsid w:val="53ED3ED5"/>
    <w:rsid w:val="55B6047A"/>
    <w:rsid w:val="56CE04AB"/>
    <w:rsid w:val="57846FFD"/>
    <w:rsid w:val="5889190C"/>
    <w:rsid w:val="58DB0B5B"/>
    <w:rsid w:val="5A6F45F3"/>
    <w:rsid w:val="5BD80950"/>
    <w:rsid w:val="5C980A1D"/>
    <w:rsid w:val="5D3E75DF"/>
    <w:rsid w:val="5E466370"/>
    <w:rsid w:val="61FB1B5A"/>
    <w:rsid w:val="64432632"/>
    <w:rsid w:val="64A16CED"/>
    <w:rsid w:val="6504078C"/>
    <w:rsid w:val="695535AB"/>
    <w:rsid w:val="69BA0A9F"/>
    <w:rsid w:val="6BB41616"/>
    <w:rsid w:val="6C942C6C"/>
    <w:rsid w:val="707B7C83"/>
    <w:rsid w:val="71932396"/>
    <w:rsid w:val="726E3979"/>
    <w:rsid w:val="746771AC"/>
    <w:rsid w:val="7BDE0809"/>
    <w:rsid w:val="7F08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Cambria" w:hAnsi="Cambria"/>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24"/>
      <w:szCs w:val="20"/>
    </w:rPr>
  </w:style>
  <w:style w:type="paragraph" w:styleId="5">
    <w:name w:val="toc 5"/>
    <w:basedOn w:val="1"/>
    <w:next w:val="1"/>
    <w:qFormat/>
    <w:uiPriority w:val="0"/>
    <w:pPr>
      <w:ind w:left="1680" w:leftChars="800"/>
    </w:p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character" w:customStyle="1" w:styleId="14">
    <w:name w:val=" Char Char6"/>
    <w:basedOn w:val="11"/>
    <w:link w:val="2"/>
    <w:qFormat/>
    <w:locked/>
    <w:uiPriority w:val="9"/>
    <w:rPr>
      <w:b/>
      <w:bCs/>
      <w:kern w:val="44"/>
      <w:sz w:val="44"/>
      <w:szCs w:val="44"/>
    </w:rPr>
  </w:style>
  <w:style w:type="character" w:customStyle="1" w:styleId="15">
    <w:name w:val=" Char Char5"/>
    <w:basedOn w:val="11"/>
    <w:link w:val="3"/>
    <w:qFormat/>
    <w:locked/>
    <w:uiPriority w:val="9"/>
    <w:rPr>
      <w:rFonts w:ascii="Cambria" w:hAnsi="Cambria"/>
      <w:b/>
      <w:bCs/>
      <w:sz w:val="32"/>
      <w:szCs w:val="32"/>
    </w:rPr>
  </w:style>
  <w:style w:type="paragraph" w:customStyle="1"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overlay val="0"/>
      <c:spPr>
        <a:noFill/>
        <a:ln>
          <a:noFill/>
        </a:ln>
        <a:effectLst/>
      </c:spPr>
    </c:title>
    <c:autoTitleDeleted val="0"/>
    <c:plotArea>
      <c:layout>
        <c:manualLayout>
          <c:layoutTarget val="inner"/>
          <c:xMode val="edge"/>
          <c:yMode val="edge"/>
          <c:x val="0.0715857011915674"/>
          <c:y val="0.173229837182885"/>
          <c:w val="0.880140543843569"/>
          <c:h val="0.684096932979932"/>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Sheet1!$B$1:$C$1</c:f>
              <c:strCache>
                <c:ptCount val="2"/>
                <c:pt idx="0">
                  <c:v>2020年</c:v>
                </c:pt>
                <c:pt idx="1">
                  <c:v>2019年</c:v>
                </c:pt>
              </c:strCache>
            </c:strRef>
          </c:cat>
          <c:val>
            <c:numRef>
              <c:f>Sheet1!$B$2:$C$2</c:f>
              <c:numCache>
                <c:formatCode>General</c:formatCode>
                <c:ptCount val="2"/>
                <c:pt idx="0">
                  <c:v>243.04</c:v>
                </c:pt>
                <c:pt idx="1">
                  <c:v>139.22</c:v>
                </c:pt>
              </c:numCache>
            </c:numRef>
          </c:val>
        </c:ser>
        <c:dLbls>
          <c:showLegendKey val="0"/>
          <c:showVal val="1"/>
          <c:showCatName val="0"/>
          <c:showSerName val="0"/>
          <c:showPercent val="0"/>
          <c:showBubbleSize val="0"/>
        </c:dLbls>
        <c:gapWidth val="219"/>
        <c:overlap val="-27"/>
        <c:axId val="81581792"/>
        <c:axId val="172868471"/>
      </c:barChart>
      <c:catAx>
        <c:axId val="8158179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868471"/>
        <c:crosses val="autoZero"/>
        <c:auto val="1"/>
        <c:lblAlgn val="ctr"/>
        <c:lblOffset val="100"/>
        <c:noMultiLvlLbl val="0"/>
      </c:catAx>
      <c:valAx>
        <c:axId val="1728684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5817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279346474871248"/>
          <c:y val="0.191173159198379"/>
          <c:w val="0.484638607707334"/>
          <c:h val="0.614501238459806"/>
        </c:manualLayout>
      </c:layout>
      <c:pieChart>
        <c:varyColors val="1"/>
        <c:ser>
          <c:idx val="0"/>
          <c:order val="0"/>
          <c:tx>
            <c:strRef>
              <c:f>Sheet1!$B$1</c:f>
              <c:strCache>
                <c:ptCount val="1"/>
                <c:pt idx="0">
                  <c:v>收入决算结构图</c:v>
                </c:pt>
              </c:strCache>
            </c:strRef>
          </c:tx>
          <c:spPr/>
          <c:explosion val="0"/>
          <c:dPt>
            <c:idx val="0"/>
            <c:bubble3D val="0"/>
            <c:explosion val="2"/>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General</c:formatCode>
                <c:ptCount val="2"/>
                <c:pt idx="0">
                  <c:v>190.01</c:v>
                </c:pt>
                <c:pt idx="1">
                  <c:v>50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101580536316818"/>
          <c:y val="0.89499738219895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278022257838191"/>
          <c:y val="0.173090565145424"/>
          <c:w val="0.436785312239489"/>
          <c:h val="0.648206341833775"/>
        </c:manualLayout>
      </c:layout>
      <c:pieChart>
        <c:varyColors val="1"/>
        <c:ser>
          <c:idx val="0"/>
          <c:order val="0"/>
          <c:tx>
            <c:strRef>
              <c:f>Sheet1!$B$1</c:f>
              <c:strCache>
                <c:ptCount val="1"/>
                <c:pt idx="0">
                  <c:v>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143.04</c:v>
                </c:pt>
                <c:pt idx="1">
                  <c:v>49.28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355082855321861"/>
          <c:y val="0.87710900835508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manualLayout>
          <c:xMode val="edge"/>
          <c:yMode val="edge"/>
          <c:x val="0.16099173553719"/>
          <c:y val="0.030812324929972"/>
        </c:manualLayout>
      </c:layout>
      <c:overlay val="0"/>
      <c:spPr>
        <a:noFill/>
        <a:ln>
          <a:noFill/>
        </a:ln>
        <a:effectLst/>
      </c:spPr>
    </c:title>
    <c:autoTitleDeleted val="0"/>
    <c:plotArea>
      <c:layout>
        <c:manualLayout>
          <c:layoutTarget val="inner"/>
          <c:xMode val="edge"/>
          <c:yMode val="edge"/>
          <c:x val="0.0901628664495114"/>
          <c:y val="0.148704200178731"/>
          <c:w val="0.876449511400651"/>
          <c:h val="0.777372654155496"/>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2020年</c:v>
                </c:pt>
                <c:pt idx="1">
                  <c:v>2019年</c:v>
                </c:pt>
              </c:strCache>
            </c:strRef>
          </c:cat>
          <c:val>
            <c:numRef>
              <c:f>Sheet1!$B$2:$B$3</c:f>
              <c:numCache>
                <c:formatCode>General</c:formatCode>
                <c:ptCount val="2"/>
                <c:pt idx="0">
                  <c:v>243.04</c:v>
                </c:pt>
                <c:pt idx="1">
                  <c:v>139.22</c:v>
                </c:pt>
              </c:numCache>
            </c:numRef>
          </c:val>
        </c:ser>
        <c:dLbls>
          <c:showLegendKey val="0"/>
          <c:showVal val="1"/>
          <c:showCatName val="0"/>
          <c:showSerName val="0"/>
          <c:showPercent val="0"/>
          <c:showBubbleSize val="0"/>
        </c:dLbls>
        <c:gapWidth val="219"/>
        <c:overlap val="-27"/>
        <c:axId val="850896560"/>
        <c:axId val="600305017"/>
      </c:barChart>
      <c:catAx>
        <c:axId val="85089656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0305017"/>
        <c:crosses val="autoZero"/>
        <c:auto val="1"/>
        <c:lblAlgn val="ctr"/>
        <c:lblOffset val="100"/>
        <c:noMultiLvlLbl val="0"/>
      </c:catAx>
      <c:valAx>
        <c:axId val="60030501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08965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200">
                <a:solidFill>
                  <a:schemeClr val="tx1">
                    <a:lumMod val="65000"/>
                    <a:lumOff val="35000"/>
                  </a:schemeClr>
                </a:solidFill>
                <a:uFillTx/>
              </a:rPr>
              <a:t>一般公共预算财政拨款支出决算变动情况</a:t>
            </a:r>
            <a:endParaRPr sz="1200">
              <a:solidFill>
                <a:schemeClr val="tx1">
                  <a:lumMod val="65000"/>
                  <a:lumOff val="35000"/>
                </a:schemeClr>
              </a:solidFill>
              <a:uFillTx/>
            </a:endParaRPr>
          </a:p>
        </c:rich>
      </c:tx>
      <c:layout>
        <c:manualLayout>
          <c:xMode val="edge"/>
          <c:yMode val="edge"/>
          <c:x val="0.171606118546845"/>
          <c:y val="0.0265486725663717"/>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2020年</c:v>
                </c:pt>
                <c:pt idx="1">
                  <c:v>2019年</c:v>
                </c:pt>
              </c:strCache>
            </c:strRef>
          </c:cat>
          <c:val>
            <c:numRef>
              <c:f>Sheet1!$B$2:$B$3</c:f>
              <c:numCache>
                <c:formatCode>General</c:formatCode>
                <c:ptCount val="2"/>
                <c:pt idx="0">
                  <c:v>144.38</c:v>
                </c:pt>
                <c:pt idx="1">
                  <c:v>136.19</c:v>
                </c:pt>
              </c:numCache>
            </c:numRef>
          </c:val>
        </c:ser>
        <c:dLbls>
          <c:showLegendKey val="0"/>
          <c:showVal val="1"/>
          <c:showCatName val="0"/>
          <c:showSerName val="0"/>
          <c:showPercent val="0"/>
          <c:showBubbleSize val="0"/>
        </c:dLbls>
        <c:gapWidth val="219"/>
        <c:overlap val="-27"/>
        <c:axId val="103693539"/>
        <c:axId val="731034688"/>
      </c:barChart>
      <c:catAx>
        <c:axId val="1036935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1034688"/>
        <c:crosses val="autoZero"/>
        <c:auto val="1"/>
        <c:lblAlgn val="ctr"/>
        <c:lblOffset val="100"/>
        <c:noMultiLvlLbl val="0"/>
      </c:catAx>
      <c:valAx>
        <c:axId val="731034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369353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200">
                <a:solidFill>
                  <a:schemeClr val="tx1">
                    <a:lumMod val="65000"/>
                    <a:lumOff val="35000"/>
                  </a:schemeClr>
                </a:solidFill>
                <a:uFillTx/>
              </a:rPr>
              <a:t>一般公共预算财政拨款支出决算结构</a:t>
            </a:r>
            <a:endParaRPr sz="1200">
              <a:solidFill>
                <a:schemeClr val="tx1">
                  <a:lumMod val="65000"/>
                  <a:lumOff val="35000"/>
                </a:schemeClr>
              </a:solidFill>
              <a:uFillTx/>
            </a:endParaRPr>
          </a:p>
        </c:rich>
      </c:tx>
      <c:layout>
        <c:manualLayout>
          <c:xMode val="edge"/>
          <c:yMode val="edge"/>
          <c:x val="0.179185119574845"/>
          <c:y val="0.0287769784172662"/>
        </c:manualLayout>
      </c:layout>
      <c:overlay val="0"/>
      <c:spPr>
        <a:noFill/>
        <a:ln>
          <a:noFill/>
        </a:ln>
        <a:effectLst/>
      </c:sp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社会保障和就业支出</c:v>
                </c:pt>
                <c:pt idx="1">
                  <c:v>卫生健康支出</c:v>
                </c:pt>
                <c:pt idx="2">
                  <c:v>住房保障支出</c:v>
                </c:pt>
              </c:strCache>
            </c:strRef>
          </c:cat>
          <c:val>
            <c:numRef>
              <c:f>Sheet1!$B$2:$B$4</c:f>
              <c:numCache>
                <c:formatCode>General</c:formatCode>
                <c:ptCount val="3"/>
                <c:pt idx="0">
                  <c:v>130.07</c:v>
                </c:pt>
                <c:pt idx="1">
                  <c:v>5.96</c:v>
                </c:pt>
                <c:pt idx="2">
                  <c:v>8.35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43603133159269"/>
          <c:y val="0.0435851586946804"/>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0.92</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6431</Words>
  <Characters>6985</Characters>
  <Lines>0</Lines>
  <Paragraphs>0</Paragraphs>
  <TotalTime>0</TotalTime>
  <ScaleCrop>false</ScaleCrop>
  <LinksUpToDate>false</LinksUpToDate>
  <CharactersWithSpaces>7062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2022-05-31T09:56:38Z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5A1248511B874B36AEC1D3A503E483A7</vt:lpwstr>
  </property>
</Properties>
</file>