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rPr>
        <w:t>自贡市自流井区统计局</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rPr>
        <w:t>2020年度部门决算编制的说明</w:t>
      </w:r>
    </w:p>
    <w:p>
      <w:pPr>
        <w:widowControl/>
        <w:jc w:val="center"/>
        <w:rPr>
          <w:rFonts w:ascii="仿宋_GB2312"/>
          <w:sz w:val="28"/>
          <w:szCs w:val="28"/>
        </w:rPr>
      </w:pPr>
    </w:p>
    <w:p>
      <w:pPr>
        <w:widowControl/>
        <w:jc w:val="center"/>
        <w:rPr>
          <w:rFonts w:ascii="黑体" w:hAnsi="黑体" w:eastAsia="黑体"/>
          <w:sz w:val="44"/>
          <w:szCs w:val="44"/>
        </w:rPr>
      </w:pPr>
      <w:r>
        <w:rPr>
          <w:rFonts w:hint="eastAsia" w:ascii="黑体" w:hAnsi="黑体" w:eastAsia="黑体"/>
          <w:sz w:val="44"/>
          <w:szCs w:val="44"/>
        </w:rPr>
        <w:t>目 录</w:t>
      </w:r>
    </w:p>
    <w:p>
      <w:pPr>
        <w:pStyle w:val="7"/>
        <w:tabs>
          <w:tab w:val="right" w:leader="dot" w:pos="8306"/>
        </w:tabs>
        <w:spacing w:line="560" w:lineRule="exact"/>
        <w:rPr>
          <w:rFonts w:ascii="仿宋_GB2312" w:hAnsi="仿宋_GB2312" w:eastAsia="仿宋_GB2312" w:cs="仿宋_GB2312"/>
          <w:b w:val="0"/>
          <w:bCs w:val="0"/>
          <w:i w:val="0"/>
          <w:iCs w:val="0"/>
          <w:caps/>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fldChar w:fldCharType="begin"/>
      </w:r>
      <w:r>
        <w:instrText xml:space="preserve"> HYPERLINK \l "_Toc10567" </w:instrText>
      </w:r>
      <w:r>
        <w:fldChar w:fldCharType="separate"/>
      </w:r>
      <w:r>
        <w:rPr>
          <w:rFonts w:hint="eastAsia" w:ascii="仿宋_GB2312" w:hAnsi="仿宋_GB2312" w:eastAsia="仿宋_GB2312" w:cs="仿宋_GB2312"/>
          <w:b w:val="0"/>
          <w:bCs w:val="0"/>
          <w:i w:val="0"/>
          <w:iCs w:val="0"/>
          <w:caps/>
          <w:sz w:val="28"/>
          <w:szCs w:val="28"/>
        </w:rPr>
        <w:t>第一部分 部门概况</w:t>
      </w:r>
      <w:r>
        <w:rPr>
          <w:rFonts w:hint="eastAsia" w:ascii="仿宋_GB2312" w:hAnsi="仿宋_GB2312" w:eastAsia="仿宋_GB2312" w:cs="仿宋_GB2312"/>
          <w:b w:val="0"/>
          <w:bCs w:val="0"/>
          <w:i w:val="0"/>
          <w:iCs w:val="0"/>
          <w:caps/>
          <w:sz w:val="28"/>
          <w:szCs w:val="28"/>
        </w:rPr>
        <w:tab/>
      </w:r>
      <w:r>
        <w:rPr>
          <w:rFonts w:hint="eastAsia" w:ascii="仿宋_GB2312" w:hAnsi="仿宋_GB2312" w:eastAsia="仿宋_GB2312" w:cs="仿宋_GB2312"/>
          <w:b w:val="0"/>
          <w:bCs w:val="0"/>
          <w:i w:val="0"/>
          <w:iCs w:val="0"/>
          <w:caps/>
          <w:sz w:val="28"/>
          <w:szCs w:val="28"/>
        </w:rPr>
        <w:t>3</w:t>
      </w:r>
      <w:r>
        <w:rPr>
          <w:rFonts w:hint="eastAsia" w:ascii="仿宋_GB2312" w:hAnsi="仿宋_GB2312" w:eastAsia="仿宋_GB2312" w:cs="仿宋_GB2312"/>
          <w:b w:val="0"/>
          <w:bCs w:val="0"/>
          <w:i w:val="0"/>
          <w:iCs w:val="0"/>
          <w:caps/>
          <w:sz w:val="28"/>
          <w:szCs w:val="28"/>
        </w:rPr>
        <w:fldChar w:fldCharType="end"/>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"_Toc21498" </w:instrText>
      </w:r>
      <w:r>
        <w:fldChar w:fldCharType="separate"/>
      </w:r>
      <w:r>
        <w:rPr>
          <w:rFonts w:hint="eastAsia" w:ascii="仿宋_GB2312" w:hAnsi="仿宋_GB2312" w:eastAsia="仿宋_GB2312" w:cs="仿宋_GB2312"/>
          <w:b w:val="0"/>
          <w:bCs w:val="0"/>
          <w:sz w:val="28"/>
          <w:szCs w:val="28"/>
        </w:rPr>
        <w:t>一、基本职能及主要工作</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_Toc21498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"_Toc6092" </w:instrText>
      </w:r>
      <w:r>
        <w:fldChar w:fldCharType="separate"/>
      </w:r>
      <w:r>
        <w:rPr>
          <w:rFonts w:hint="eastAsia" w:ascii="仿宋_GB2312" w:hAnsi="仿宋_GB2312" w:eastAsia="仿宋_GB2312" w:cs="仿宋_GB2312"/>
          <w:b w:val="0"/>
          <w:bCs w:val="0"/>
          <w:sz w:val="28"/>
          <w:szCs w:val="28"/>
        </w:rPr>
        <w:t>二、机构设置</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6</w:t>
      </w:r>
      <w:r>
        <w:rPr>
          <w:rFonts w:hint="eastAsia" w:ascii="仿宋_GB2312" w:hAnsi="仿宋_GB2312" w:eastAsia="仿宋_GB2312" w:cs="仿宋_GB2312"/>
          <w:b w:val="0"/>
          <w:bCs w:val="0"/>
          <w:sz w:val="28"/>
          <w:szCs w:val="28"/>
        </w:rPr>
        <w:fldChar w:fldCharType="end"/>
      </w:r>
    </w:p>
    <w:p>
      <w:pPr>
        <w:pStyle w:val="7"/>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"_Toc23109" </w:instrText>
      </w:r>
      <w:r>
        <w:fldChar w:fldCharType="separate"/>
      </w:r>
      <w:r>
        <w:rPr>
          <w:rFonts w:hint="eastAsia" w:ascii="仿宋_GB2312" w:hAnsi="仿宋_GB2312" w:eastAsia="仿宋_GB2312" w:cs="仿宋_GB2312"/>
          <w:b w:val="0"/>
          <w:bCs w:val="0"/>
          <w:i w:val="0"/>
          <w:iCs w:val="0"/>
          <w:sz w:val="28"/>
          <w:szCs w:val="28"/>
        </w:rPr>
        <w:t>第二部分 2020年度部门决算情况说明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t>6</w:t>
      </w:r>
      <w:r>
        <w:rPr>
          <w:rFonts w:hint="eastAsia" w:ascii="仿宋_GB2312" w:hAnsi="仿宋_GB2312" w:eastAsia="仿宋_GB2312" w:cs="仿宋_GB2312"/>
          <w:b w:val="0"/>
          <w:bCs w:val="0"/>
          <w:i w:val="0"/>
          <w:i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"_Toc7163" </w:instrText>
      </w:r>
      <w:r>
        <w:fldChar w:fldCharType="separate"/>
      </w:r>
      <w:r>
        <w:rPr>
          <w:rFonts w:hint="eastAsia" w:ascii="仿宋_GB2312" w:hAnsi="仿宋_GB2312" w:eastAsia="仿宋_GB2312" w:cs="仿宋_GB2312"/>
          <w:b w:val="0"/>
          <w:bCs w:val="0"/>
          <w:sz w:val="28"/>
          <w:szCs w:val="28"/>
        </w:rPr>
        <w:t>一、 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6</w:t>
      </w:r>
      <w:r>
        <w:rPr>
          <w:rFonts w:hint="eastAsia" w:ascii="仿宋_GB2312" w:hAnsi="仿宋_GB2312" w:eastAsia="仿宋_GB2312" w:cs="仿宋_GB2312"/>
          <w:b w:val="0"/>
          <w:b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"_Toc25258" </w:instrText>
      </w:r>
      <w:r>
        <w:fldChar w:fldCharType="separate"/>
      </w:r>
      <w:r>
        <w:rPr>
          <w:rFonts w:hint="eastAsia" w:ascii="仿宋_GB2312" w:hAnsi="仿宋_GB2312" w:eastAsia="仿宋_GB2312" w:cs="仿宋_GB2312"/>
          <w:b w:val="0"/>
          <w:bCs w:val="0"/>
          <w:sz w:val="28"/>
          <w:szCs w:val="28"/>
        </w:rPr>
        <w:t>二、 收入决算情况说明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6</w:t>
      </w:r>
      <w:r>
        <w:rPr>
          <w:rFonts w:hint="eastAsia" w:ascii="仿宋_GB2312" w:hAnsi="仿宋_GB2312" w:eastAsia="仿宋_GB2312" w:cs="仿宋_GB2312"/>
          <w:b w:val="0"/>
          <w:b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"_Toc13725" </w:instrText>
      </w:r>
      <w:r>
        <w:fldChar w:fldCharType="separate"/>
      </w:r>
      <w:r>
        <w:rPr>
          <w:rFonts w:hint="eastAsia" w:ascii="仿宋_GB2312" w:hAnsi="仿宋_GB2312" w:eastAsia="仿宋_GB2312" w:cs="仿宋_GB2312"/>
          <w:b w:val="0"/>
          <w:bCs w:val="0"/>
          <w:sz w:val="28"/>
          <w:szCs w:val="28"/>
        </w:rPr>
        <w:t>三、 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"_Toc10354" </w:instrText>
      </w:r>
      <w:r>
        <w:fldChar w:fldCharType="separate"/>
      </w:r>
      <w:r>
        <w:rPr>
          <w:rFonts w:hint="eastAsia" w:ascii="仿宋_GB2312" w:hAnsi="仿宋_GB2312" w:eastAsia="仿宋_GB2312" w:cs="仿宋_GB2312"/>
          <w:b w:val="0"/>
          <w:bCs w:val="0"/>
          <w:sz w:val="28"/>
          <w:szCs w:val="28"/>
        </w:rPr>
        <w:t>四、财政拨款收入支出决算总体情况说明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"_Toc10967" </w:instrText>
      </w:r>
      <w:r>
        <w:fldChar w:fldCharType="separate"/>
      </w:r>
      <w:r>
        <w:rPr>
          <w:rFonts w:hint="eastAsia" w:ascii="仿宋_GB2312" w:hAnsi="仿宋_GB2312" w:eastAsia="仿宋_GB2312" w:cs="仿宋_GB2312"/>
          <w:b w:val="0"/>
          <w:bCs w:val="0"/>
          <w:sz w:val="28"/>
          <w:szCs w:val="28"/>
        </w:rPr>
        <w:t>五、一般公共预算财政拨款支出决算情况说明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8</w:t>
      </w:r>
      <w:r>
        <w:rPr>
          <w:rFonts w:hint="eastAsia" w:ascii="仿宋_GB2312" w:hAnsi="仿宋_GB2312" w:eastAsia="仿宋_GB2312" w:cs="仿宋_GB2312"/>
          <w:b w:val="0"/>
          <w:b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"_Toc31021" </w:instrText>
      </w:r>
      <w:r>
        <w:fldChar w:fldCharType="separate"/>
      </w:r>
      <w:r>
        <w:rPr>
          <w:rFonts w:hint="eastAsia" w:ascii="仿宋_GB2312" w:hAnsi="仿宋_GB2312" w:eastAsia="仿宋_GB2312" w:cs="仿宋_GB2312"/>
          <w:b w:val="0"/>
          <w:bCs w:val="0"/>
          <w:sz w:val="28"/>
          <w:szCs w:val="28"/>
        </w:rPr>
        <w:t>六、一般公共预算财政拨款基本支出决算情况说明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rPr>
        <w:t>1</w:t>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"_Toc6926" </w:instrText>
      </w:r>
      <w:r>
        <w:fldChar w:fldCharType="separate"/>
      </w:r>
      <w:r>
        <w:rPr>
          <w:rFonts w:hint="eastAsia" w:ascii="仿宋_GB2312" w:hAnsi="仿宋_GB2312" w:eastAsia="仿宋_GB2312" w:cs="仿宋_GB2312"/>
          <w:b w:val="0"/>
          <w:bCs w:val="0"/>
          <w:sz w:val="28"/>
          <w:szCs w:val="28"/>
        </w:rPr>
        <w:t>七、“三公”经费财政拨款支出决算情况说明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rPr>
        <w:t>2</w:t>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"_Toc9843" </w:instrText>
      </w:r>
      <w:r>
        <w:fldChar w:fldCharType="separate"/>
      </w:r>
      <w:r>
        <w:rPr>
          <w:rFonts w:hint="eastAsia" w:ascii="仿宋_GB2312" w:hAnsi="仿宋_GB2312" w:eastAsia="仿宋_GB2312" w:cs="仿宋_GB2312"/>
          <w:b w:val="0"/>
          <w:bCs w:val="0"/>
          <w:sz w:val="28"/>
          <w:szCs w:val="28"/>
        </w:rPr>
        <w:t>八、政府性基金预算支出决算情况说明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rPr>
        <w:t>4</w:t>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"_Toc10775" </w:instrText>
      </w:r>
      <w:r>
        <w:fldChar w:fldCharType="separate"/>
      </w:r>
      <w:r>
        <w:rPr>
          <w:rFonts w:hint="eastAsia" w:ascii="仿宋_GB2312" w:hAnsi="仿宋_GB2312" w:eastAsia="仿宋_GB2312" w:cs="仿宋_GB2312"/>
          <w:b w:val="0"/>
          <w:bCs w:val="0"/>
          <w:sz w:val="28"/>
          <w:szCs w:val="28"/>
        </w:rPr>
        <w:t>九、 国有资本经营预算支出决算情况说明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rPr>
        <w:t>4</w:t>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"_Toc738" </w:instrText>
      </w:r>
      <w:r>
        <w:fldChar w:fldCharType="separate"/>
      </w:r>
      <w:r>
        <w:rPr>
          <w:rFonts w:hint="eastAsia" w:ascii="仿宋_GB2312" w:hAnsi="仿宋_GB2312" w:eastAsia="仿宋_GB2312" w:cs="仿宋_GB2312"/>
          <w:b w:val="0"/>
          <w:bCs w:val="0"/>
          <w:sz w:val="28"/>
          <w:szCs w:val="28"/>
        </w:rPr>
        <w:t>十、其他重要事项的情况说明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rPr>
        <w:t>4</w:t>
      </w:r>
    </w:p>
    <w:p>
      <w:pPr>
        <w:pStyle w:val="7"/>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"_Toc3536" </w:instrText>
      </w:r>
      <w: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t>8</w:t>
      </w:r>
    </w:p>
    <w:p>
      <w:pPr>
        <w:pStyle w:val="7"/>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"_Toc11207" </w:instrText>
      </w:r>
      <w: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t>1</w:t>
      </w:r>
    </w:p>
    <w:p>
      <w:pPr>
        <w:pStyle w:val="8"/>
        <w:tabs>
          <w:tab w:val="right" w:leader="dot" w:pos="8306"/>
        </w:tabs>
        <w:spacing w:line="560" w:lineRule="exact"/>
        <w:rPr>
          <w:rFonts w:ascii="仿宋_GB2312" w:hAnsi="仿宋_GB2312" w:eastAsia="仿宋_GB2312" w:cs="仿宋_GB2312"/>
          <w:b w:val="0"/>
          <w:bCs w:val="0"/>
          <w:caps/>
          <w:sz w:val="28"/>
          <w:szCs w:val="28"/>
        </w:rPr>
      </w:pPr>
      <w:r>
        <w:fldChar w:fldCharType="begin"/>
      </w:r>
      <w:r>
        <w:instrText xml:space="preserve"> HYPERLINK \l "_Toc11602" </w:instrText>
      </w:r>
      <w:r>
        <w:fldChar w:fldCharType="separate"/>
      </w:r>
      <w:r>
        <w:rPr>
          <w:rFonts w:hint="eastAsia" w:ascii="仿宋_GB2312" w:hAnsi="仿宋_GB2312" w:eastAsia="仿宋_GB2312" w:cs="仿宋_GB2312"/>
          <w:b w:val="0"/>
          <w:bCs w:val="0"/>
          <w:sz w:val="28"/>
          <w:szCs w:val="28"/>
        </w:rPr>
        <w:t>附件1</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rPr>
        <w:t>1</w:t>
      </w:r>
    </w:p>
    <w:p>
      <w:pPr>
        <w:pStyle w:val="8"/>
        <w:tabs>
          <w:tab w:val="right" w:leader="dot" w:pos="8306"/>
        </w:tabs>
        <w:spacing w:line="560" w:lineRule="exact"/>
        <w:rPr>
          <w:rFonts w:ascii="仿宋_GB2312" w:hAnsi="仿宋_GB2312" w:eastAsia="仿宋_GB2312" w:cs="仿宋_GB2312"/>
          <w:b w:val="0"/>
          <w:bCs w:val="0"/>
          <w:caps/>
          <w:sz w:val="28"/>
          <w:szCs w:val="28"/>
        </w:rPr>
      </w:pPr>
      <w:r>
        <w:fldChar w:fldCharType="begin"/>
      </w:r>
      <w:r>
        <w:instrText xml:space="preserve"> HYPERLINK \l "_Toc11602" </w:instrText>
      </w:r>
      <w:r>
        <w:fldChar w:fldCharType="separate"/>
      </w:r>
      <w:r>
        <w:rPr>
          <w:rFonts w:hint="eastAsia" w:ascii="仿宋_GB2312" w:hAnsi="仿宋_GB2312" w:eastAsia="仿宋_GB2312" w:cs="仿宋_GB2312"/>
          <w:b w:val="0"/>
          <w:bCs w:val="0"/>
          <w:sz w:val="28"/>
          <w:szCs w:val="28"/>
        </w:rPr>
        <w:t>附件2</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rPr>
        <w:t>7</w:t>
      </w:r>
    </w:p>
    <w:p>
      <w:pPr>
        <w:pStyle w:val="7"/>
        <w:tabs>
          <w:tab w:val="right" w:leader="dot" w:pos="8306"/>
        </w:tabs>
        <w:spacing w:line="560" w:lineRule="exact"/>
        <w:rPr>
          <w:rFonts w:hint="eastAsia" w:ascii="仿宋_GB2312" w:hAnsi="仿宋_GB2312" w:eastAsia="仿宋_GB2312" w:cs="仿宋_GB2312"/>
          <w:b w:val="0"/>
          <w:bCs w:val="0"/>
          <w:i w:val="0"/>
          <w:iCs w:val="0"/>
          <w:sz w:val="28"/>
          <w:szCs w:val="28"/>
          <w:lang w:eastAsia="zh-CN"/>
        </w:rPr>
      </w:pPr>
      <w:r>
        <w:fldChar w:fldCharType="begin"/>
      </w:r>
      <w:r>
        <w:instrText xml:space="preserve"> HYPERLINK \l "_Toc32283" </w:instrText>
      </w:r>
      <w: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val="en-US" w:eastAsia="zh-CN"/>
        </w:rPr>
      </w:pPr>
      <w:r>
        <w:fldChar w:fldCharType="begin"/>
      </w:r>
      <w:r>
        <w:instrText xml:space="preserve"> HYPERLINK \l "_Toc15699" </w:instrText>
      </w:r>
      <w:r>
        <w:fldChar w:fldCharType="separate"/>
      </w:r>
      <w:r>
        <w:rPr>
          <w:rFonts w:hint="eastAsia" w:ascii="仿宋_GB2312" w:hAnsi="仿宋_GB2312" w:eastAsia="仿宋_GB2312" w:cs="仿宋_GB2312"/>
          <w:b w:val="0"/>
          <w:bCs w:val="0"/>
          <w:sz w:val="28"/>
          <w:szCs w:val="28"/>
        </w:rPr>
        <w:t>一、收入支出决算总表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lang w:val="en-US" w:eastAsia="zh-CN"/>
        </w:rPr>
        <w:t>29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"_Toc27106" </w:instrText>
      </w:r>
      <w:r>
        <w:fldChar w:fldCharType="separate"/>
      </w:r>
      <w:r>
        <w:rPr>
          <w:rFonts w:hint="eastAsia" w:ascii="仿宋_GB2312" w:hAnsi="仿宋_GB2312" w:eastAsia="仿宋_GB2312" w:cs="仿宋_GB2312"/>
          <w:b w:val="0"/>
          <w:bCs w:val="0"/>
          <w:sz w:val="28"/>
          <w:szCs w:val="28"/>
        </w:rPr>
        <w:t>二、收入决算表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"_Toc26817" </w:instrText>
      </w:r>
      <w:r>
        <w:fldChar w:fldCharType="separate"/>
      </w:r>
      <w:r>
        <w:rPr>
          <w:rFonts w:hint="eastAsia" w:ascii="仿宋_GB2312" w:hAnsi="仿宋_GB2312" w:eastAsia="仿宋_GB2312" w:cs="仿宋_GB2312"/>
          <w:b w:val="0"/>
          <w:bCs w:val="0"/>
          <w:sz w:val="28"/>
          <w:szCs w:val="28"/>
        </w:rPr>
        <w:t>三、支出决算表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"_Toc21747" </w:instrText>
      </w:r>
      <w:r>
        <w:fldChar w:fldCharType="separate"/>
      </w:r>
      <w:r>
        <w:rPr>
          <w:rFonts w:hint="eastAsia" w:ascii="仿宋_GB2312" w:hAnsi="仿宋_GB2312" w:eastAsia="仿宋_GB2312" w:cs="仿宋_GB2312"/>
          <w:b w:val="0"/>
          <w:bCs w:val="0"/>
          <w:sz w:val="28"/>
          <w:szCs w:val="28"/>
        </w:rPr>
        <w:t>四、财政拨款收入支出决算总表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"_Toc12959" </w:instrText>
      </w:r>
      <w:r>
        <w:fldChar w:fldCharType="separate"/>
      </w:r>
      <w:r>
        <w:rPr>
          <w:rFonts w:hint="eastAsia" w:ascii="仿宋_GB2312" w:hAnsi="仿宋_GB2312" w:eastAsia="仿宋_GB2312" w:cs="仿宋_GB2312"/>
          <w:b w:val="0"/>
          <w:bCs w:val="0"/>
          <w:sz w:val="28"/>
          <w:szCs w:val="28"/>
        </w:rPr>
        <w:t>五、财政拨款支出决算明细表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"_Toc23749" </w:instrText>
      </w:r>
      <w:r>
        <w:fldChar w:fldCharType="separate"/>
      </w:r>
      <w:r>
        <w:rPr>
          <w:rFonts w:hint="eastAsia" w:ascii="仿宋_GB2312" w:hAnsi="仿宋_GB2312" w:eastAsia="仿宋_GB2312" w:cs="仿宋_GB2312"/>
          <w:b w:val="0"/>
          <w:bCs w:val="0"/>
          <w:sz w:val="28"/>
          <w:szCs w:val="28"/>
        </w:rPr>
        <w:t>六、一般公共预算财政拨款支出决算表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"_Toc22275" </w:instrText>
      </w:r>
      <w:r>
        <w:fldChar w:fldCharType="separate"/>
      </w:r>
      <w:r>
        <w:rPr>
          <w:rFonts w:hint="eastAsia" w:ascii="仿宋_GB2312" w:hAnsi="仿宋_GB2312" w:eastAsia="仿宋_GB2312" w:cs="仿宋_GB2312"/>
          <w:b w:val="0"/>
          <w:bCs w:val="0"/>
          <w:sz w:val="28"/>
          <w:szCs w:val="28"/>
        </w:rPr>
        <w:t>七、一般公共预算财政拨款支出决算明细表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"_Toc30634" </w:instrText>
      </w:r>
      <w:r>
        <w:fldChar w:fldCharType="separate"/>
      </w:r>
      <w:r>
        <w:rPr>
          <w:rFonts w:hint="eastAsia" w:ascii="仿宋_GB2312" w:hAnsi="仿宋_GB2312" w:eastAsia="仿宋_GB2312" w:cs="仿宋_GB2312"/>
          <w:b w:val="0"/>
          <w:bCs w:val="0"/>
          <w:sz w:val="28"/>
          <w:szCs w:val="28"/>
        </w:rPr>
        <w:t>八、一般公共预算财政拨款基本支出决算表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"_Toc15170" </w:instrText>
      </w:r>
      <w:r>
        <w:fldChar w:fldCharType="separate"/>
      </w:r>
      <w:r>
        <w:rPr>
          <w:rFonts w:hint="eastAsia" w:ascii="仿宋_GB2312" w:hAnsi="仿宋_GB2312" w:eastAsia="仿宋_GB2312" w:cs="仿宋_GB2312"/>
          <w:b w:val="0"/>
          <w:bCs w:val="0"/>
          <w:sz w:val="28"/>
          <w:szCs w:val="28"/>
        </w:rPr>
        <w:t>九、一般公共预算财政拨款项目支出决算表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"_Toc17603" </w:instrText>
      </w:r>
      <w:r>
        <w:fldChar w:fldCharType="separate"/>
      </w:r>
      <w:r>
        <w:rPr>
          <w:rFonts w:hint="eastAsia" w:ascii="仿宋_GB2312" w:hAnsi="仿宋_GB2312" w:eastAsia="仿宋_GB2312" w:cs="仿宋_GB2312"/>
          <w:b w:val="0"/>
          <w:bCs w:val="0"/>
          <w:sz w:val="28"/>
          <w:szCs w:val="28"/>
        </w:rPr>
        <w:t>十、一般公共预算财政拨款“三公”经费支出决算表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"_Toc7313" </w:instrText>
      </w:r>
      <w:r>
        <w:fldChar w:fldCharType="separate"/>
      </w:r>
      <w:r>
        <w:rPr>
          <w:rFonts w:hint="eastAsia" w:ascii="仿宋_GB2312" w:hAnsi="仿宋_GB2312" w:eastAsia="仿宋_GB2312" w:cs="仿宋_GB2312"/>
          <w:b w:val="0"/>
          <w:bCs w:val="0"/>
          <w:sz w:val="28"/>
          <w:szCs w:val="28"/>
        </w:rPr>
        <w:t>十一、政府性基金预算财政拨款收入支出决算表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"_Toc9382" </w:instrText>
      </w:r>
      <w:r>
        <w:fldChar w:fldCharType="separate"/>
      </w:r>
      <w:r>
        <w:rPr>
          <w:rFonts w:hint="eastAsia" w:ascii="仿宋_GB2312" w:hAnsi="仿宋_GB2312" w:eastAsia="仿宋_GB2312" w:cs="仿宋_GB2312"/>
          <w:b w:val="0"/>
          <w:bCs w:val="0"/>
          <w:sz w:val="28"/>
          <w:szCs w:val="28"/>
        </w:rPr>
        <w:t>十二、政府性基金预算财政拨款“三公”经费支出决算表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"_Toc22683" </w:instrText>
      </w:r>
      <w:r>
        <w:fldChar w:fldCharType="separate"/>
      </w:r>
      <w:r>
        <w:rPr>
          <w:rFonts w:hint="eastAsia" w:ascii="仿宋_GB2312" w:hAnsi="仿宋_GB2312" w:eastAsia="仿宋_GB2312" w:cs="仿宋_GB2312"/>
          <w:b w:val="0"/>
          <w:bCs w:val="0"/>
          <w:sz w:val="28"/>
          <w:szCs w:val="28"/>
        </w:rPr>
        <w:t>十三、国有资本经营预算财政拨款收入支出决算表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"_Toc10257" </w:instrText>
      </w:r>
      <w:r>
        <w:fldChar w:fldCharType="separate"/>
      </w:r>
      <w:r>
        <w:rPr>
          <w:rFonts w:hint="eastAsia" w:ascii="仿宋_GB2312" w:hAnsi="仿宋_GB2312" w:eastAsia="仿宋_GB2312" w:cs="仿宋_GB2312"/>
          <w:b w:val="0"/>
          <w:bCs w:val="0"/>
          <w:sz w:val="28"/>
          <w:szCs w:val="28"/>
        </w:rPr>
        <w:t>十四、国有资本经营预算财政拨款支出决算表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bookmarkStart w:id="91" w:name="_GoBack"/>
      <w:bookmarkEnd w:id="91"/>
    </w:p>
    <w:p>
      <w:pPr>
        <w:spacing w:line="560" w:lineRule="exact"/>
        <w:ind w:firstLine="2100" w:firstLineChars="750"/>
        <w:rPr>
          <w:rFonts w:ascii="仿宋_GB2312" w:hAnsi="仿宋"/>
          <w:szCs w:val="32"/>
        </w:rPr>
      </w:pPr>
      <w:r>
        <w:rPr>
          <w:rFonts w:hint="eastAsia" w:ascii="仿宋_GB2312" w:hAnsi="仿宋_GB2312" w:cs="仿宋_GB2312"/>
          <w:caps/>
          <w:sz w:val="28"/>
          <w:szCs w:val="28"/>
        </w:rPr>
        <w:fldChar w:fldCharType="end"/>
      </w:r>
    </w:p>
    <w:p>
      <w:pPr>
        <w:tabs>
          <w:tab w:val="left" w:pos="6634"/>
        </w:tabs>
      </w:pPr>
    </w:p>
    <w:p>
      <w:pPr>
        <w:jc w:val="left"/>
      </w:pPr>
      <w:r>
        <w:br w:type="page"/>
      </w:r>
    </w:p>
    <w:p>
      <w:pPr>
        <w:pStyle w:val="2"/>
        <w:jc w:val="center"/>
        <w:rPr>
          <w:rFonts w:ascii="黑体" w:hAnsi="黑体" w:eastAsia="黑体"/>
          <w:b w:val="0"/>
        </w:rPr>
      </w:pPr>
      <w:bookmarkStart w:id="0" w:name="_Toc10567"/>
      <w:bookmarkStart w:id="1" w:name="_Toc21498"/>
      <w:bookmarkStart w:id="2" w:name="_Toc15377197"/>
      <w:bookmarkStart w:id="3" w:name="_Toc15396600"/>
      <w:r>
        <w:rPr>
          <w:rFonts w:hint="eastAsia" w:ascii="黑体" w:hAnsi="黑体" w:eastAsia="黑体"/>
          <w:b w:val="0"/>
        </w:rPr>
        <w:t>第一部分</w:t>
      </w:r>
      <w:r>
        <w:rPr>
          <w:rFonts w:ascii="黑体" w:hAnsi="黑体" w:eastAsia="黑体"/>
          <w:b w:val="0"/>
        </w:rPr>
        <w:t xml:space="preserve"> </w:t>
      </w:r>
      <w:r>
        <w:rPr>
          <w:rStyle w:val="13"/>
          <w:rFonts w:hint="eastAsia" w:ascii="黑体" w:hAnsi="黑体" w:eastAsia="黑体"/>
          <w:b w:val="0"/>
          <w:bCs w:val="0"/>
        </w:rPr>
        <w:t>部门概况</w:t>
      </w:r>
      <w:bookmarkEnd w:id="0"/>
    </w:p>
    <w:p>
      <w:pPr>
        <w:pStyle w:val="3"/>
        <w:spacing w:before="0" w:line="420" w:lineRule="exact"/>
        <w:ind w:firstLine="960" w:firstLineChars="300"/>
        <w:rPr>
          <w:rStyle w:val="14"/>
          <w:rFonts w:ascii="仿宋" w:hAnsi="仿宋" w:eastAsia="仿宋"/>
          <w:b w:val="0"/>
          <w:bCs w:val="0"/>
        </w:rPr>
      </w:pPr>
      <w:r>
        <w:rPr>
          <w:rFonts w:hint="eastAsia" w:ascii="黑体" w:hAnsi="黑体" w:eastAsia="黑体"/>
          <w:b w:val="0"/>
        </w:rPr>
        <w:t>一、基</w:t>
      </w:r>
      <w:r>
        <w:rPr>
          <w:rStyle w:val="14"/>
          <w:rFonts w:hint="eastAsia" w:ascii="黑体" w:hAnsi="黑体" w:eastAsia="黑体"/>
          <w:b w:val="0"/>
          <w:bCs w:val="0"/>
        </w:rPr>
        <w:t>本职能及主要工作</w:t>
      </w:r>
      <w:bookmarkEnd w:id="1"/>
      <w:bookmarkEnd w:id="2"/>
      <w:bookmarkEnd w:id="3"/>
    </w:p>
    <w:p>
      <w:pPr>
        <w:pStyle w:val="4"/>
        <w:adjustRightInd w:val="0"/>
        <w:snapToGrid w:val="0"/>
        <w:spacing w:beforeLines="0" w:line="420" w:lineRule="exact"/>
        <w:ind w:firstLine="672" w:firstLineChars="210"/>
        <w:outlineLvl w:val="2"/>
        <w:rPr>
          <w:rFonts w:hAnsi="仿宋_GB2312" w:cs="仿宋_GB2312"/>
          <w:bCs/>
          <w:sz w:val="32"/>
          <w:szCs w:val="32"/>
        </w:rPr>
      </w:pPr>
      <w:bookmarkStart w:id="4" w:name="_Toc15378445"/>
      <w:bookmarkStart w:id="5" w:name="_Toc15377198"/>
      <w:r>
        <w:rPr>
          <w:rFonts w:hint="eastAsia" w:hAnsi="仿宋_GB2312" w:cs="仿宋_GB2312"/>
          <w:bCs/>
          <w:sz w:val="32"/>
          <w:szCs w:val="32"/>
        </w:rPr>
        <w:t>（一）主要职能</w:t>
      </w:r>
      <w:bookmarkEnd w:id="4"/>
      <w:bookmarkEnd w:id="5"/>
    </w:p>
    <w:p>
      <w:pPr>
        <w:adjustRightInd w:val="0"/>
        <w:spacing w:line="560" w:lineRule="exact"/>
        <w:ind w:firstLine="640" w:firstLineChars="200"/>
        <w:rPr>
          <w:rFonts w:ascii="仿宋_GB2312" w:hAnsi="仿宋_GB2312" w:cs="仿宋_GB2312"/>
          <w:szCs w:val="32"/>
        </w:rPr>
      </w:pPr>
      <w:r>
        <w:rPr>
          <w:rFonts w:hint="eastAsia" w:ascii="仿宋_GB2312" w:hAnsi="仿宋_GB2312" w:cs="仿宋_GB2312"/>
          <w:szCs w:val="32"/>
        </w:rPr>
        <w:t>自流井区统计局贯彻执行国家有关统计法律、法规、规章和方针政策，按照国家统计制度制定全区统计工作规划、规章和统计调查计划，并组织实施；组织实施全区重大的国情国力普查和专项统计调查，组织实施全区投入产出调查；承担组织、领导、协调全区统计工作，对全区统计资料实行统一管理。</w:t>
      </w:r>
    </w:p>
    <w:p>
      <w:pPr>
        <w:pStyle w:val="4"/>
        <w:adjustRightInd w:val="0"/>
        <w:snapToGrid w:val="0"/>
        <w:spacing w:before="93" w:line="600" w:lineRule="exact"/>
        <w:ind w:firstLine="672" w:firstLineChars="210"/>
        <w:outlineLvl w:val="2"/>
        <w:rPr>
          <w:rFonts w:hAnsi="仿宋_GB2312" w:cs="仿宋_GB2312"/>
          <w:bCs/>
          <w:sz w:val="32"/>
          <w:szCs w:val="32"/>
        </w:rPr>
      </w:pPr>
      <w:bookmarkStart w:id="6" w:name="_Toc15378446"/>
      <w:bookmarkStart w:id="7" w:name="_Toc15377199"/>
      <w:r>
        <w:rPr>
          <w:rFonts w:hint="eastAsia" w:hAnsi="仿宋_GB2312" w:cs="仿宋_GB2312"/>
          <w:bCs/>
          <w:sz w:val="32"/>
          <w:szCs w:val="32"/>
        </w:rPr>
        <w:t>（二）2020年重点工作完成情况</w:t>
      </w:r>
      <w:bookmarkEnd w:id="6"/>
      <w:bookmarkEnd w:id="7"/>
    </w:p>
    <w:p>
      <w:pPr>
        <w:spacing w:line="592" w:lineRule="exact"/>
        <w:ind w:firstLine="643" w:firstLineChars="200"/>
        <w:rPr>
          <w:rFonts w:ascii="仿宋_GB2312" w:hAnsi="仿宋" w:cs="仿宋_GB2312"/>
          <w:szCs w:val="32"/>
        </w:rPr>
      </w:pPr>
      <w:r>
        <w:rPr>
          <w:rFonts w:hint="eastAsia" w:ascii="楷体_GB2312" w:hAnsi="黑体" w:eastAsia="楷体_GB2312"/>
          <w:b/>
          <w:szCs w:val="32"/>
        </w:rPr>
        <w:t>（一）</w:t>
      </w:r>
      <w:r>
        <w:rPr>
          <w:rFonts w:hint="eastAsia" w:ascii="楷体" w:hAnsi="楷体" w:eastAsia="楷体"/>
          <w:b/>
          <w:bCs/>
          <w:szCs w:val="32"/>
        </w:rPr>
        <w:t>精准高效，</w:t>
      </w:r>
      <w:r>
        <w:rPr>
          <w:rFonts w:hint="eastAsia" w:ascii="楷体_GB2312" w:hAnsi="楷体" w:eastAsia="楷体_GB2312"/>
          <w:b/>
          <w:szCs w:val="32"/>
        </w:rPr>
        <w:t>统计服务决策作用彰显</w:t>
      </w:r>
      <w:r>
        <w:rPr>
          <w:rFonts w:hint="eastAsia" w:ascii="楷体_GB2312" w:hAnsi="黑体" w:eastAsia="楷体_GB2312"/>
          <w:b/>
          <w:szCs w:val="32"/>
        </w:rPr>
        <w:t>。一是强化监测，及时跟进企业复工复产。</w:t>
      </w:r>
      <w:r>
        <w:rPr>
          <w:rFonts w:hint="eastAsia" w:ascii="仿宋_GB2312"/>
          <w:szCs w:val="32"/>
        </w:rPr>
        <w:t>疫情期间，不间断开展企业复工复产调查，及时收集企业未复工的原因，复工复产是否达到正常水平，准确反映全区企业复工复产状况。</w:t>
      </w:r>
      <w:r>
        <w:rPr>
          <w:rFonts w:hint="eastAsia" w:ascii="楷体_GB2312" w:eastAsia="楷体_GB2312"/>
          <w:b/>
          <w:szCs w:val="32"/>
        </w:rPr>
        <w:t>二是强化分析，把脉经济运行态势。</w:t>
      </w:r>
      <w:r>
        <w:rPr>
          <w:rFonts w:hint="eastAsia" w:ascii="仿宋_GB2312"/>
          <w:szCs w:val="32"/>
        </w:rPr>
        <w:t>充分发挥职能作用，围绕全年目标撰写《自流井区经济指标考核情况》，围绕月度、季度指标完成情撰写《经济运行情况分析》，围绕经济运行短板撰写《预警预测分析》，围绕疫情经济撰写《疫情对我区经济运行的影响》等。我局撰写统计分析7篇，统计预警预测4篇，专题分析7篇。</w:t>
      </w:r>
      <w:r>
        <w:rPr>
          <w:rFonts w:hint="eastAsia" w:ascii="楷体_GB2312" w:eastAsia="楷体_GB2312"/>
          <w:b/>
          <w:szCs w:val="32"/>
        </w:rPr>
        <w:t>三是部门指导，实现主要经济指标科学统计。</w:t>
      </w:r>
      <w:r>
        <w:rPr>
          <w:rFonts w:hint="eastAsia" w:ascii="仿宋_GB2312"/>
          <w:szCs w:val="32"/>
        </w:rPr>
        <w:t>抓好工业、建筑业、商贸业、服务业等重点行业，东锅公司、大西洋公司、中石油等企业监控，做到主要经济指标月月测算，查找经济运行中的短板，及时通报区领导及有关部门。入统指导服务到位，做好全区四上企业和投资项目入统工作。</w:t>
      </w:r>
      <w:r>
        <w:rPr>
          <w:rFonts w:hint="eastAsia" w:ascii="楷体_GB2312" w:hAnsi="??" w:eastAsia="楷体_GB2312" w:cs="仿宋_GB2312"/>
          <w:b/>
          <w:bCs/>
          <w:szCs w:val="32"/>
        </w:rPr>
        <w:t>四是主动汇集民情民意。</w:t>
      </w:r>
      <w:r>
        <w:rPr>
          <w:rFonts w:hint="eastAsia" w:ascii="仿宋_GB2312" w:hAnsi="??" w:cs="仿宋_GB2312"/>
          <w:bCs/>
          <w:szCs w:val="32"/>
        </w:rPr>
        <w:t>大力推进社情民意调查，开展党风廉政建设、</w:t>
      </w:r>
      <w:r>
        <w:rPr>
          <w:rFonts w:hint="eastAsia" w:ascii="仿宋_GB2312" w:hAnsi="宋体" w:cs="仿宋_GB2312"/>
          <w:szCs w:val="32"/>
        </w:rPr>
        <w:t>区级部门政风行风“差评”社会评价调查，查找指导、服务基层工作情况，对症下药，改进工作作风。</w:t>
      </w:r>
      <w:r>
        <w:rPr>
          <w:rFonts w:hint="eastAsia" w:ascii="仿宋_GB2312" w:hAnsi="仿宋" w:cs="仿宋_GB2312"/>
          <w:szCs w:val="32"/>
        </w:rPr>
        <w:t>开展市区综合目标绩效群众满意度评价，查找工作质量、工作效率、服务态度、廉洁自律四个方面差距。</w:t>
      </w:r>
    </w:p>
    <w:p>
      <w:pPr>
        <w:spacing w:line="592" w:lineRule="exact"/>
        <w:rPr>
          <w:rFonts w:ascii="仿宋_GB2312"/>
          <w:szCs w:val="32"/>
        </w:rPr>
      </w:pPr>
      <w:r>
        <w:rPr>
          <w:rFonts w:hint="eastAsia" w:ascii="仿宋_GB2312"/>
          <w:szCs w:val="32"/>
        </w:rPr>
        <w:t xml:space="preserve">   </w:t>
      </w:r>
      <w:r>
        <w:rPr>
          <w:rFonts w:hint="eastAsia" w:ascii="楷体_GB2312" w:hAnsi="黑体" w:eastAsia="楷体_GB2312"/>
          <w:b/>
          <w:szCs w:val="32"/>
        </w:rPr>
        <w:t>（二）组织有序，大型普查推进有力。</w:t>
      </w:r>
      <w:r>
        <w:rPr>
          <w:rFonts w:hint="eastAsia" w:ascii="仿宋_GB2312" w:hAnsi="黑体"/>
          <w:szCs w:val="32"/>
        </w:rPr>
        <w:t>今年恰逢十年一次的人口普查，也是首次脱贫攻坚普查，两项普查各阶段工作走在区县前列，普查质量收到市上好评。</w:t>
      </w:r>
      <w:r>
        <w:rPr>
          <w:rFonts w:hint="eastAsia" w:ascii="楷体_GB2312" w:hAnsi="楷体" w:eastAsia="楷体_GB2312" w:cs="楷体"/>
          <w:b/>
          <w:bCs/>
          <w:szCs w:val="32"/>
        </w:rPr>
        <w:t>一是</w:t>
      </w:r>
      <w:r>
        <w:rPr>
          <w:rFonts w:hint="eastAsia" w:ascii="仿宋_GB2312" w:hAnsi="楷体" w:cs="楷体"/>
          <w:bCs/>
          <w:szCs w:val="32"/>
        </w:rPr>
        <w:t>高质量完成脱贫攻坚普查，用普查数据展示我区精准扶贫成效。</w:t>
      </w:r>
      <w:r>
        <w:rPr>
          <w:rFonts w:hint="eastAsia" w:ascii="楷体_GB2312" w:hAnsi="楷体" w:eastAsia="楷体_GB2312" w:cs="楷体"/>
          <w:b/>
          <w:bCs/>
          <w:szCs w:val="32"/>
        </w:rPr>
        <w:t>二是</w:t>
      </w:r>
      <w:r>
        <w:rPr>
          <w:rFonts w:hint="eastAsia" w:ascii="仿宋_GB2312" w:hAnsi="楷体" w:cs="楷体"/>
          <w:bCs/>
          <w:szCs w:val="32"/>
        </w:rPr>
        <w:t>精心组织全国第七次人口普查。</w:t>
      </w:r>
      <w:r>
        <w:rPr>
          <w:rFonts w:hint="eastAsia" w:eastAsia="楷体_GB2312"/>
          <w:b/>
          <w:bCs/>
          <w:szCs w:val="32"/>
        </w:rPr>
        <w:t>前期准备</w:t>
      </w:r>
      <w:r>
        <w:rPr>
          <w:rFonts w:eastAsia="楷体_GB2312"/>
          <w:b/>
          <w:bCs/>
          <w:szCs w:val="32"/>
        </w:rPr>
        <w:t>上精准用力</w:t>
      </w:r>
      <w:r>
        <w:rPr>
          <w:rFonts w:hint="eastAsia" w:eastAsia="楷体_GB2312"/>
          <w:b/>
          <w:bCs/>
          <w:szCs w:val="32"/>
        </w:rPr>
        <w:t>。</w:t>
      </w:r>
      <w:r>
        <w:rPr>
          <w:rFonts w:hint="eastAsia"/>
          <w:bCs/>
          <w:szCs w:val="32"/>
        </w:rPr>
        <w:t>全区各级人普</w:t>
      </w:r>
      <w:r>
        <w:rPr>
          <w:bCs/>
          <w:szCs w:val="32"/>
        </w:rPr>
        <w:t>领导小组成员单位分工明确，各司其职</w:t>
      </w:r>
      <w:r>
        <w:rPr>
          <w:rFonts w:hint="eastAsia"/>
          <w:bCs/>
          <w:szCs w:val="32"/>
        </w:rPr>
        <w:t>，相互配合，有条不紊</w:t>
      </w:r>
      <w:r>
        <w:rPr>
          <w:bCs/>
          <w:szCs w:val="32"/>
        </w:rPr>
        <w:t>开展</w:t>
      </w:r>
      <w:r>
        <w:rPr>
          <w:rFonts w:hint="eastAsia"/>
          <w:bCs/>
          <w:szCs w:val="32"/>
        </w:rPr>
        <w:t>各项</w:t>
      </w:r>
      <w:r>
        <w:rPr>
          <w:bCs/>
          <w:szCs w:val="32"/>
        </w:rPr>
        <w:t>工作</w:t>
      </w:r>
      <w:r>
        <w:rPr>
          <w:rFonts w:hint="eastAsia"/>
          <w:bCs/>
          <w:szCs w:val="32"/>
        </w:rPr>
        <w:t>。</w:t>
      </w:r>
      <w:r>
        <w:rPr>
          <w:rFonts w:hint="eastAsia" w:ascii="仿宋_GB2312"/>
          <w:bCs/>
          <w:szCs w:val="32"/>
        </w:rPr>
        <w:t>两员选聘务求实效，全区选聘普查员560人，普查指导员232人。</w:t>
      </w:r>
      <w:r>
        <w:rPr>
          <w:rFonts w:hint="eastAsia"/>
          <w:kern w:val="0"/>
          <w:szCs w:val="32"/>
          <w:lang w:val="zh-TW"/>
        </w:rPr>
        <w:t>科学组织普查区划分和绘图工作，确保普查登记全域覆盖，全区划分普查区61个，普查小区1257个。</w:t>
      </w:r>
      <w:r>
        <w:rPr>
          <w:bCs/>
          <w:szCs w:val="32"/>
        </w:rPr>
        <w:t>人口普查“两员”培训</w:t>
      </w:r>
      <w:r>
        <w:rPr>
          <w:rFonts w:hint="eastAsia"/>
          <w:bCs/>
          <w:szCs w:val="32"/>
        </w:rPr>
        <w:t>采用“</w:t>
      </w:r>
      <w:r>
        <w:rPr>
          <w:bCs/>
          <w:szCs w:val="32"/>
        </w:rPr>
        <w:t>集中+分片”方式，业务培训</w:t>
      </w:r>
      <w:r>
        <w:rPr>
          <w:rFonts w:hint="eastAsia"/>
          <w:bCs/>
          <w:szCs w:val="32"/>
        </w:rPr>
        <w:t>不留死角</w:t>
      </w:r>
      <w:r>
        <w:rPr>
          <w:bCs/>
          <w:szCs w:val="32"/>
        </w:rPr>
        <w:t>，</w:t>
      </w:r>
      <w:r>
        <w:rPr>
          <w:kern w:val="0"/>
          <w:szCs w:val="32"/>
          <w:lang w:val="zh-TW"/>
        </w:rPr>
        <w:t>在国普办组织的考试中，我区参考率和通过率达100%，平均成绩全市最高。</w:t>
      </w:r>
      <w:r>
        <w:rPr>
          <w:rFonts w:hint="eastAsia" w:ascii="楷体_GB2312" w:eastAsia="楷体_GB2312"/>
          <w:b/>
          <w:kern w:val="0"/>
          <w:szCs w:val="32"/>
          <w:lang w:val="zh-TW"/>
        </w:rPr>
        <w:t>抓住入户登记重点阶段。</w:t>
      </w:r>
      <w:r>
        <w:rPr>
          <w:kern w:val="0"/>
          <w:szCs w:val="32"/>
        </w:rPr>
        <w:t>坚持每天调度，</w:t>
      </w:r>
      <w:r>
        <w:rPr>
          <w:rFonts w:ascii="仿宋" w:hAnsi="仿宋" w:eastAsia="仿宋" w:cs="仿宋_GB2312"/>
          <w:szCs w:val="32"/>
          <w:lang w:val="zh-TW"/>
        </w:rPr>
        <w:t>研判普查推进情况，协调解决普查推进中的问题</w:t>
      </w:r>
      <w:r>
        <w:rPr>
          <w:rFonts w:hint="eastAsia" w:ascii="仿宋" w:hAnsi="仿宋" w:eastAsia="仿宋" w:cs="仿宋_GB2312"/>
          <w:szCs w:val="32"/>
          <w:lang w:val="zh-TW"/>
        </w:rPr>
        <w:t>；落实包片责任，做好登记问题解答、数据质量及登记进度监控；作好四川轻化工大学、蜀光中学、四医院、一医院、自贡监狱等特殊区域登记。</w:t>
      </w:r>
      <w:r>
        <w:rPr>
          <w:rFonts w:hint="eastAsia"/>
          <w:kern w:val="0"/>
          <w:szCs w:val="32"/>
          <w:lang w:val="zh-TW"/>
        </w:rPr>
        <w:t>完成普查登记工作。</w:t>
      </w:r>
    </w:p>
    <w:p>
      <w:pPr>
        <w:spacing w:line="592" w:lineRule="exact"/>
        <w:rPr>
          <w:rFonts w:ascii="楷体_GB2312" w:hAnsi="黑体" w:eastAsia="楷体_GB2312"/>
          <w:b/>
          <w:szCs w:val="32"/>
        </w:rPr>
      </w:pPr>
      <w:r>
        <w:rPr>
          <w:rFonts w:hint="eastAsia" w:ascii="楷体_GB2312" w:hAnsi="黑体" w:eastAsia="楷体_GB2312"/>
          <w:b/>
          <w:szCs w:val="32"/>
        </w:rPr>
        <w:t xml:space="preserve">   （三）</w:t>
      </w:r>
      <w:r>
        <w:rPr>
          <w:rFonts w:hint="eastAsia" w:ascii="楷体_GB2312" w:eastAsia="楷体_GB2312"/>
          <w:b/>
          <w:szCs w:val="32"/>
        </w:rPr>
        <w:t>依法统计，统计数据质量不断提高。</w:t>
      </w:r>
      <w:r>
        <w:rPr>
          <w:rFonts w:hint="eastAsia" w:ascii="楷体_GB2312" w:hAnsi="仿宋" w:eastAsia="楷体_GB2312" w:cs="宋体"/>
          <w:b/>
          <w:szCs w:val="32"/>
        </w:rPr>
        <w:t>一是深入开展法治宣传。</w:t>
      </w:r>
      <w:r>
        <w:rPr>
          <w:rFonts w:hint="eastAsia" w:ascii="仿宋_GB2312" w:hAnsi="宋体" w:cs="宋体"/>
          <w:bCs/>
          <w:kern w:val="0"/>
          <w:szCs w:val="32"/>
        </w:rPr>
        <w:t>大力开展《统计法》《四川省统计管理条例》等学习宣传，分类开展《意见》《办法》《规定》学习，区委常委会、区政府常务会领学、部门集中学、企业分专业学，</w:t>
      </w:r>
      <w:r>
        <w:rPr>
          <w:rFonts w:hint="eastAsia" w:ascii="仿宋_GB2312" w:hAnsi="仿宋" w:cs="宋体"/>
          <w:szCs w:val="32"/>
        </w:rPr>
        <w:t>向各级领导和相关部门宣传“依法治统，从严管数”的新要求、新形势。</w:t>
      </w:r>
      <w:r>
        <w:rPr>
          <w:rFonts w:hint="eastAsia" w:ascii="楷体_GB2312" w:hAnsi="宋体" w:eastAsia="楷体_GB2312" w:cs="宋体"/>
          <w:b/>
          <w:bCs/>
          <w:kern w:val="0"/>
          <w:szCs w:val="32"/>
        </w:rPr>
        <w:t>二</w:t>
      </w:r>
      <w:r>
        <w:rPr>
          <w:rFonts w:hint="eastAsia" w:ascii="楷体_GB2312" w:hAnsi="仿宋" w:eastAsia="楷体_GB2312" w:cs="宋体"/>
          <w:b/>
          <w:szCs w:val="32"/>
        </w:rPr>
        <w:t>是数据质量管控科学严谨。</w:t>
      </w:r>
      <w:r>
        <w:rPr>
          <w:rFonts w:hint="eastAsia" w:ascii="仿宋_GB2312" w:hAnsi="仿宋" w:cs="宋体"/>
          <w:szCs w:val="32"/>
        </w:rPr>
        <w:t>坚持随报随审实时查询，</w:t>
      </w:r>
      <w:r>
        <w:rPr>
          <w:rFonts w:hint="eastAsia" w:ascii="仿宋_GB2312" w:hAnsi="仿宋" w:cs="宋体"/>
          <w:kern w:val="0"/>
          <w:szCs w:val="32"/>
        </w:rPr>
        <w:t>实施全流程监控，</w:t>
      </w:r>
      <w:r>
        <w:rPr>
          <w:rFonts w:hint="eastAsia" w:ascii="仿宋_GB2312" w:hAnsi="仿宋" w:cs="宋体"/>
          <w:szCs w:val="32"/>
        </w:rPr>
        <w:t>不定期开展统计基础建设、数据质量情况督查，扎实开展联网直报“双随机”抽查，及时发现问题，限期抓好问题整改落实。</w:t>
      </w:r>
      <w:r>
        <w:rPr>
          <w:rFonts w:hint="eastAsia" w:ascii="仿宋_GB2312"/>
          <w:szCs w:val="32"/>
        </w:rPr>
        <w:t>我区上半年接受了国家统计局委托四川省统计局对我区开展的统计执法检查，尽管检查覆盖面广、检查严厉，但我区上半年相关指标数据没有出现大幅回落</w:t>
      </w:r>
      <w:r>
        <w:rPr>
          <w:rFonts w:hint="eastAsia" w:ascii="仿宋_GB2312" w:cs="宋体"/>
          <w:szCs w:val="32"/>
        </w:rPr>
        <w:t>。</w:t>
      </w:r>
      <w:r>
        <w:rPr>
          <w:rFonts w:hint="eastAsia" w:ascii="楷体_GB2312" w:eastAsia="楷体_GB2312" w:cs="宋体"/>
          <w:b/>
          <w:szCs w:val="32"/>
        </w:rPr>
        <w:t>三是加强统计执法能力建设。</w:t>
      </w:r>
      <w:r>
        <w:rPr>
          <w:rFonts w:hint="eastAsia" w:ascii="仿宋_GB2312"/>
          <w:szCs w:val="32"/>
        </w:rPr>
        <w:t>积极组织本单位在从事行政执法人员参加省局举办统计执法人员资格考试。</w:t>
      </w:r>
    </w:p>
    <w:p>
      <w:pPr>
        <w:spacing w:line="592" w:lineRule="exact"/>
        <w:rPr>
          <w:rFonts w:ascii="仿宋_GB2312" w:hAnsi="仿宋_GB2312" w:cs="仿宋_GB2312"/>
          <w:szCs w:val="32"/>
        </w:rPr>
      </w:pPr>
      <w:r>
        <w:rPr>
          <w:rFonts w:hint="eastAsia" w:ascii="仿宋_GB2312"/>
          <w:szCs w:val="32"/>
        </w:rPr>
        <w:t xml:space="preserve">    </w:t>
      </w:r>
      <w:r>
        <w:rPr>
          <w:rFonts w:hint="eastAsia" w:ascii="楷体_GB2312" w:hAnsi="黑体" w:eastAsia="楷体_GB2312"/>
          <w:b/>
          <w:szCs w:val="32"/>
        </w:rPr>
        <w:t>（四）夯实基础，狠抓统计业务培训。一是开展全区统一核算改革业务培训</w:t>
      </w:r>
      <w:r>
        <w:rPr>
          <w:rFonts w:hint="eastAsia" w:ascii="仿宋" w:hAnsi="仿宋" w:eastAsia="仿宋"/>
          <w:szCs w:val="32"/>
        </w:rPr>
        <w:t>。</w:t>
      </w:r>
      <w:r>
        <w:rPr>
          <w:rFonts w:hint="eastAsia" w:ascii="仿宋_GB2312"/>
          <w:szCs w:val="32"/>
        </w:rPr>
        <w:t>为增强全区各部门对统一核算改革的认识，区统计局组织开展统一核算改革业务培训，讲解了GDP，分析核算改革</w:t>
      </w:r>
      <w:r>
        <w:rPr>
          <w:rFonts w:hint="eastAsia" w:ascii="仿宋_GB2312" w:hAnsi="仿宋_GB2312" w:cs="仿宋_GB2312"/>
          <w:szCs w:val="32"/>
        </w:rPr>
        <w:t>带来的变化，核算指标的含义，为搞好我区GDP核算工作打下基础。今年，前三季度全区地区生产总值逆势升位，摆脱自2014年以来GDP长期垫底的状况。</w:t>
      </w:r>
      <w:r>
        <w:rPr>
          <w:rFonts w:hint="eastAsia" w:ascii="仿宋_GB2312" w:hAnsi="仿宋_GB2312" w:cs="仿宋_GB2312"/>
          <w:b/>
          <w:szCs w:val="32"/>
        </w:rPr>
        <w:t>二是开展统计专业培训。</w:t>
      </w:r>
      <w:r>
        <w:rPr>
          <w:rFonts w:hint="eastAsia" w:ascii="仿宋_GB2312" w:hAnsi="仿宋_GB2312" w:cs="仿宋_GB2312"/>
          <w:szCs w:val="32"/>
        </w:rPr>
        <w:t>开展乡村振兴统计监测、固定资产投资项目报送及申报、服务业新增入统业务培训、住户调查业务培训，</w:t>
      </w:r>
      <w:r>
        <w:rPr>
          <w:rFonts w:hint="eastAsia" w:ascii="仿宋_GB2312" w:hAnsi="仿宋_GB2312" w:cs="仿宋_GB2312"/>
          <w:kern w:val="0"/>
          <w:szCs w:val="32"/>
        </w:rPr>
        <w:t>不断提升基层统计人员的业务水平和综合素质，全面提高统计工作的准确性、及时性和全面性。</w:t>
      </w:r>
    </w:p>
    <w:p>
      <w:pPr>
        <w:pStyle w:val="3"/>
        <w:spacing w:before="0" w:after="0"/>
        <w:ind w:firstLine="640" w:firstLineChars="200"/>
        <w:rPr>
          <w:rStyle w:val="14"/>
          <w:b w:val="0"/>
          <w:bCs w:val="0"/>
        </w:rPr>
      </w:pPr>
      <w:bookmarkStart w:id="8" w:name="_Toc15377200"/>
      <w:bookmarkStart w:id="9" w:name="_Toc15396601"/>
      <w:bookmarkStart w:id="10" w:name="_Toc6092"/>
      <w:r>
        <w:rPr>
          <w:rFonts w:hint="eastAsia" w:ascii="黑体" w:eastAsia="黑体"/>
          <w:b w:val="0"/>
        </w:rPr>
        <w:t>二、</w:t>
      </w:r>
      <w:r>
        <w:rPr>
          <w:rFonts w:hint="eastAsia" w:ascii="黑体" w:hAnsi="黑体" w:eastAsia="黑体"/>
          <w:b w:val="0"/>
        </w:rPr>
        <w:t>机</w:t>
      </w:r>
      <w:r>
        <w:rPr>
          <w:rStyle w:val="14"/>
          <w:rFonts w:hint="eastAsia" w:ascii="黑体" w:hAnsi="黑体" w:eastAsia="黑体"/>
          <w:b w:val="0"/>
          <w:bCs w:val="0"/>
        </w:rPr>
        <w:t>构设置</w:t>
      </w:r>
      <w:bookmarkEnd w:id="8"/>
      <w:bookmarkEnd w:id="9"/>
      <w:bookmarkEnd w:id="10"/>
    </w:p>
    <w:p>
      <w:pPr>
        <w:pStyle w:val="4"/>
        <w:adjustRightInd w:val="0"/>
        <w:snapToGrid w:val="0"/>
        <w:spacing w:beforeLines="0" w:line="600" w:lineRule="exact"/>
        <w:ind w:firstLine="640" w:firstLineChars="200"/>
        <w:rPr>
          <w:sz w:val="32"/>
          <w:szCs w:val="32"/>
        </w:rPr>
      </w:pPr>
      <w:r>
        <w:rPr>
          <w:rFonts w:hint="eastAsia"/>
          <w:sz w:val="32"/>
          <w:szCs w:val="32"/>
        </w:rPr>
        <w:t>自流井区统计局下属二级预算单位1个，其中非独立核算参照公务员法管理的事业单位1个。</w:t>
      </w:r>
    </w:p>
    <w:p>
      <w:pPr>
        <w:pStyle w:val="4"/>
        <w:adjustRightInd w:val="0"/>
        <w:snapToGrid w:val="0"/>
        <w:spacing w:beforeLines="0" w:line="600" w:lineRule="exact"/>
        <w:ind w:firstLine="640" w:firstLineChars="200"/>
        <w:rPr>
          <w:sz w:val="32"/>
          <w:szCs w:val="32"/>
        </w:rPr>
      </w:pPr>
    </w:p>
    <w:p>
      <w:pPr>
        <w:jc w:val="center"/>
        <w:rPr>
          <w:sz w:val="44"/>
          <w:szCs w:val="44"/>
        </w:rPr>
      </w:pPr>
      <w:bookmarkStart w:id="11" w:name="_Toc23109"/>
      <w:bookmarkStart w:id="12" w:name="_Toc15396602"/>
      <w:bookmarkStart w:id="13" w:name="_Toc15377204"/>
      <w:r>
        <w:rPr>
          <w:rFonts w:hint="eastAsia" w:ascii="黑体" w:hAnsi="黑体" w:eastAsia="黑体"/>
          <w:sz w:val="44"/>
          <w:szCs w:val="44"/>
        </w:rPr>
        <w:t>第二部分</w:t>
      </w:r>
      <w:r>
        <w:rPr>
          <w:rFonts w:ascii="黑体" w:hAnsi="黑体" w:eastAsia="黑体"/>
          <w:sz w:val="44"/>
          <w:szCs w:val="44"/>
        </w:rPr>
        <w:t xml:space="preserve"> </w:t>
      </w:r>
      <w:r>
        <w:rPr>
          <w:rStyle w:val="13"/>
          <w:rFonts w:ascii="黑体" w:hAnsi="黑体" w:eastAsia="黑体"/>
          <w:b w:val="0"/>
          <w:bCs w:val="0"/>
        </w:rPr>
        <w:t>2020</w:t>
      </w:r>
      <w:r>
        <w:rPr>
          <w:rStyle w:val="13"/>
          <w:rFonts w:hint="eastAsia" w:ascii="黑体" w:hAnsi="黑体" w:eastAsia="黑体"/>
          <w:b w:val="0"/>
          <w:bCs w:val="0"/>
        </w:rPr>
        <w:t>年度部门决算情况说明</w:t>
      </w:r>
      <w:bookmarkEnd w:id="11"/>
      <w:bookmarkEnd w:id="12"/>
      <w:bookmarkEnd w:id="13"/>
    </w:p>
    <w:p>
      <w:pPr>
        <w:pStyle w:val="15"/>
        <w:spacing w:line="600" w:lineRule="exact"/>
        <w:ind w:left="640" w:firstLine="0" w:firstLineChars="0"/>
        <w:outlineLvl w:val="1"/>
        <w:rPr>
          <w:rStyle w:val="14"/>
          <w:rFonts w:ascii="黑体" w:hAnsi="黑体" w:eastAsia="黑体"/>
          <w:b w:val="0"/>
        </w:rPr>
      </w:pPr>
      <w:bookmarkStart w:id="14" w:name="_Toc15377205"/>
      <w:bookmarkStart w:id="15" w:name="_Toc7163"/>
      <w:bookmarkStart w:id="16" w:name="_Toc15396603"/>
      <w:r>
        <w:rPr>
          <w:rFonts w:hint="eastAsia" w:ascii="黑体" w:hAnsi="黑体" w:eastAsia="黑体"/>
          <w:szCs w:val="32"/>
        </w:rPr>
        <w:t>一、收</w:t>
      </w:r>
      <w:r>
        <w:rPr>
          <w:rStyle w:val="14"/>
          <w:rFonts w:hint="eastAsia" w:ascii="黑体" w:hAnsi="黑体" w:eastAsia="黑体"/>
          <w:b w:val="0"/>
        </w:rPr>
        <w:t>入支出决算总体情况说明</w:t>
      </w:r>
      <w:bookmarkEnd w:id="14"/>
      <w:bookmarkEnd w:id="15"/>
      <w:bookmarkEnd w:id="16"/>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2020年度收、支总计426.19万元。与2019年相比，收、支总计各增加109.36万元，增长34.5%。主要变动原因是2020年开展第七次全国人口普查，需要支出普查人员的补助、资料印刷、购买物资等费用</w:t>
      </w:r>
    </w:p>
    <w:p>
      <w:pPr>
        <w:spacing w:line="600" w:lineRule="exact"/>
        <w:ind w:firstLine="640" w:firstLineChars="200"/>
        <w:rPr>
          <w:rFonts w:ascii="仿宋" w:hAnsi="仿宋" w:eastAsia="仿宋"/>
          <w:szCs w:val="32"/>
        </w:rPr>
      </w:pPr>
      <w:r>
        <w:rPr>
          <w:rFonts w:hint="eastAsia" w:ascii="仿宋_GB2312" w:hAnsi="仿宋_GB2312" w:cs="仿宋_GB2312"/>
          <w:szCs w:val="32"/>
        </w:rPr>
        <w:t>（图1：收、支决算总计变动情况图）（柱状图）</w:t>
      </w:r>
    </w:p>
    <w:p>
      <w:pPr>
        <w:ind w:firstLine="640" w:firstLineChars="200"/>
        <w:jc w:val="left"/>
        <w:rPr>
          <w:rFonts w:ascii="仿宋_GB2312"/>
          <w:szCs w:val="32"/>
        </w:rPr>
      </w:pPr>
      <w:r>
        <w:rPr>
          <w:rFonts w:hint="eastAsia" w:ascii="仿宋_GB2312"/>
          <w:szCs w:val="32"/>
        </w:rPr>
        <w:drawing>
          <wp:inline distT="0" distB="0" distL="114300" distR="114300">
            <wp:extent cx="4419600" cy="3200400"/>
            <wp:effectExtent l="0" t="0" r="0" b="0"/>
            <wp:docPr id="2" name="图片 2" descr="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1"/>
                    <pic:cNvPicPr>
                      <a:picLocks noChangeAspect="1"/>
                    </pic:cNvPicPr>
                  </pic:nvPicPr>
                  <pic:blipFill>
                    <a:blip r:embed="rId5"/>
                    <a:stretch>
                      <a:fillRect/>
                    </a:stretch>
                  </pic:blipFill>
                  <pic:spPr>
                    <a:xfrm>
                      <a:off x="0" y="0"/>
                      <a:ext cx="4419600" cy="3200400"/>
                    </a:xfrm>
                    <a:prstGeom prst="rect">
                      <a:avLst/>
                    </a:prstGeom>
                  </pic:spPr>
                </pic:pic>
              </a:graphicData>
            </a:graphic>
          </wp:inline>
        </w:drawing>
      </w:r>
    </w:p>
    <w:p>
      <w:pPr>
        <w:pStyle w:val="15"/>
        <w:spacing w:line="600" w:lineRule="exact"/>
        <w:ind w:left="640" w:firstLine="0" w:firstLineChars="0"/>
        <w:outlineLvl w:val="1"/>
        <w:rPr>
          <w:rStyle w:val="14"/>
          <w:rFonts w:ascii="黑体" w:hAnsi="黑体" w:eastAsia="黑体"/>
          <w:b w:val="0"/>
        </w:rPr>
      </w:pPr>
      <w:bookmarkStart w:id="17" w:name="_Toc15396604"/>
      <w:bookmarkStart w:id="18" w:name="_Toc15377206"/>
      <w:bookmarkStart w:id="19" w:name="_Toc25258"/>
      <w:r>
        <w:rPr>
          <w:rFonts w:hint="eastAsia" w:ascii="黑体" w:hAnsi="黑体" w:eastAsia="黑体"/>
          <w:szCs w:val="32"/>
        </w:rPr>
        <w:t>二、收</w:t>
      </w:r>
      <w:r>
        <w:rPr>
          <w:rStyle w:val="14"/>
          <w:rFonts w:hint="eastAsia" w:ascii="黑体" w:hAnsi="黑体" w:eastAsia="黑体"/>
          <w:b w:val="0"/>
        </w:rPr>
        <w:t>入决算情况说明</w:t>
      </w:r>
      <w:bookmarkEnd w:id="17"/>
      <w:bookmarkEnd w:id="18"/>
      <w:bookmarkEnd w:id="19"/>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2020年本年收入合计426.19万元，其中：一般公共预算财政拨款收入426.19万元，占100%；政府性基金预算财政拨款收入0万元，占0%；上级补助收入0万元，占0%；事业收入0万元，占0%；经营收入0万元，占0%；附属单位上缴收入0万元，占0%；其他收入0万元，占0%。</w:t>
      </w:r>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（图2：收入决算结构图）（饼状图）</w:t>
      </w:r>
    </w:p>
    <w:p>
      <w:pPr>
        <w:ind w:firstLine="640" w:firstLineChars="200"/>
        <w:rPr>
          <w:rFonts w:ascii="仿宋_GB2312"/>
          <w:szCs w:val="32"/>
        </w:rPr>
      </w:pPr>
      <w:r>
        <w:rPr>
          <w:rFonts w:hint="eastAsia" w:ascii="仿宋_GB2312"/>
          <w:szCs w:val="32"/>
        </w:rPr>
        <w:drawing>
          <wp:inline distT="0" distB="0" distL="114300" distR="114300">
            <wp:extent cx="4486275" cy="2257425"/>
            <wp:effectExtent l="0" t="0" r="9525" b="9525"/>
            <wp:docPr id="3" name="图片 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
                    <pic:cNvPicPr>
                      <a:picLocks noChangeAspect="1"/>
                    </pic:cNvPicPr>
                  </pic:nvPicPr>
                  <pic:blipFill>
                    <a:blip r:embed="rId6"/>
                    <a:stretch>
                      <a:fillRect/>
                    </a:stretch>
                  </pic:blipFill>
                  <pic:spPr>
                    <a:xfrm>
                      <a:off x="0" y="0"/>
                      <a:ext cx="4486275" cy="2257425"/>
                    </a:xfrm>
                    <a:prstGeom prst="rect">
                      <a:avLst/>
                    </a:prstGeom>
                  </pic:spPr>
                </pic:pic>
              </a:graphicData>
            </a:graphic>
          </wp:inline>
        </w:drawing>
      </w:r>
    </w:p>
    <w:p>
      <w:pPr>
        <w:pStyle w:val="15"/>
        <w:spacing w:line="600" w:lineRule="exact"/>
        <w:ind w:left="640" w:firstLine="0" w:firstLineChars="0"/>
        <w:outlineLvl w:val="1"/>
        <w:rPr>
          <w:rStyle w:val="14"/>
          <w:rFonts w:ascii="黑体" w:hAnsi="黑体" w:eastAsia="黑体"/>
          <w:b w:val="0"/>
        </w:rPr>
      </w:pPr>
      <w:bookmarkStart w:id="20" w:name="_Toc13725"/>
      <w:bookmarkStart w:id="21" w:name="_Toc15377207"/>
      <w:bookmarkStart w:id="22" w:name="_Toc15396605"/>
      <w:r>
        <w:rPr>
          <w:rFonts w:hint="eastAsia" w:ascii="黑体" w:hAnsi="黑体" w:eastAsia="黑体"/>
          <w:szCs w:val="32"/>
        </w:rPr>
        <w:t>三、支</w:t>
      </w:r>
      <w:r>
        <w:rPr>
          <w:rStyle w:val="14"/>
          <w:rFonts w:hint="eastAsia" w:ascii="黑体" w:hAnsi="黑体" w:eastAsia="黑体"/>
          <w:b w:val="0"/>
        </w:rPr>
        <w:t>出决算情况说明</w:t>
      </w:r>
      <w:bookmarkEnd w:id="20"/>
      <w:bookmarkEnd w:id="21"/>
      <w:bookmarkEnd w:id="22"/>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2020年本年支出合计426.19万元，其中：基本支出193.67万元，占45.4%；项目支出232.52万元，占54.6%；上缴上级支出0万元，占0%；经营支出0万元，占0%；对附属单位补助支出0万元，占0%。</w:t>
      </w:r>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（图3：支出决算结构图）（饼状图）</w:t>
      </w:r>
    </w:p>
    <w:p>
      <w:pPr>
        <w:ind w:firstLine="640" w:firstLineChars="200"/>
        <w:rPr>
          <w:rFonts w:ascii="仿宋_GB2312"/>
          <w:szCs w:val="32"/>
        </w:rPr>
      </w:pPr>
      <w:r>
        <w:rPr>
          <w:rFonts w:hint="eastAsia" w:ascii="仿宋_GB2312"/>
          <w:szCs w:val="32"/>
        </w:rPr>
        <w:drawing>
          <wp:inline distT="0" distB="0" distL="114300" distR="114300">
            <wp:extent cx="4133850" cy="2457450"/>
            <wp:effectExtent l="0" t="0" r="0" b="0"/>
            <wp:docPr id="4" name="图片 4" descr="图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3"/>
                    <pic:cNvPicPr>
                      <a:picLocks noChangeAspect="1"/>
                    </pic:cNvPicPr>
                  </pic:nvPicPr>
                  <pic:blipFill>
                    <a:blip r:embed="rId7"/>
                    <a:stretch>
                      <a:fillRect/>
                    </a:stretch>
                  </pic:blipFill>
                  <pic:spPr>
                    <a:xfrm>
                      <a:off x="0" y="0"/>
                      <a:ext cx="4133850" cy="2457450"/>
                    </a:xfrm>
                    <a:prstGeom prst="rect">
                      <a:avLst/>
                    </a:prstGeom>
                  </pic:spPr>
                </pic:pic>
              </a:graphicData>
            </a:graphic>
          </wp:inline>
        </w:drawing>
      </w:r>
    </w:p>
    <w:p>
      <w:pPr>
        <w:spacing w:line="600" w:lineRule="exact"/>
        <w:ind w:firstLine="640" w:firstLineChars="200"/>
        <w:outlineLvl w:val="1"/>
        <w:rPr>
          <w:rStyle w:val="14"/>
          <w:rFonts w:ascii="黑体" w:hAnsi="黑体" w:eastAsia="黑体"/>
          <w:b w:val="0"/>
        </w:rPr>
      </w:pPr>
      <w:bookmarkStart w:id="23" w:name="_Toc15377208"/>
      <w:bookmarkStart w:id="24" w:name="_Toc15396606"/>
      <w:bookmarkStart w:id="25" w:name="_Toc10354"/>
      <w:r>
        <w:rPr>
          <w:rFonts w:hint="eastAsia" w:ascii="黑体" w:hAnsi="黑体" w:eastAsia="黑体"/>
          <w:szCs w:val="32"/>
        </w:rPr>
        <w:t>四、财</w:t>
      </w:r>
      <w:r>
        <w:rPr>
          <w:rStyle w:val="14"/>
          <w:rFonts w:hint="eastAsia" w:ascii="黑体" w:hAnsi="黑体" w:eastAsia="黑体"/>
          <w:b w:val="0"/>
        </w:rPr>
        <w:t>政拨款收入支出决算总体情况说明</w:t>
      </w:r>
      <w:bookmarkEnd w:id="23"/>
      <w:bookmarkEnd w:id="24"/>
      <w:bookmarkEnd w:id="25"/>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2020年财政拨款收、支总计426.19万元。与2019年相比，财政拨款收、支总计各增加109.36万元，增长34.5%。主要变动原因是2020年开展第七次全国人口普查，需要支出普查人员的补助、资料印刷、购买物资等费用</w:t>
      </w:r>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（图4：财政拨款收、支决算总计变动情况）（柱状图）</w:t>
      </w:r>
    </w:p>
    <w:p>
      <w:pPr>
        <w:ind w:firstLine="640" w:firstLineChars="200"/>
        <w:rPr>
          <w:rFonts w:ascii="仿宋" w:hAnsi="仿宋" w:eastAsia="仿宋"/>
          <w:szCs w:val="32"/>
        </w:rPr>
      </w:pPr>
      <w:r>
        <w:rPr>
          <w:rFonts w:hint="eastAsia" w:ascii="仿宋" w:hAnsi="仿宋" w:eastAsia="仿宋"/>
          <w:szCs w:val="32"/>
        </w:rPr>
        <w:drawing>
          <wp:inline distT="0" distB="0" distL="114300" distR="114300">
            <wp:extent cx="3952875" cy="2862580"/>
            <wp:effectExtent l="0" t="0" r="9525" b="13970"/>
            <wp:docPr id="6" name="图片 6" descr="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1"/>
                    <pic:cNvPicPr>
                      <a:picLocks noChangeAspect="1"/>
                    </pic:cNvPicPr>
                  </pic:nvPicPr>
                  <pic:blipFill>
                    <a:blip r:embed="rId5"/>
                    <a:stretch>
                      <a:fillRect/>
                    </a:stretch>
                  </pic:blipFill>
                  <pic:spPr>
                    <a:xfrm>
                      <a:off x="0" y="0"/>
                      <a:ext cx="3952875" cy="2862580"/>
                    </a:xfrm>
                    <a:prstGeom prst="rect">
                      <a:avLst/>
                    </a:prstGeom>
                  </pic:spPr>
                </pic:pic>
              </a:graphicData>
            </a:graphic>
          </wp:inline>
        </w:drawing>
      </w:r>
    </w:p>
    <w:p>
      <w:pPr>
        <w:spacing w:line="600" w:lineRule="exact"/>
        <w:ind w:firstLine="643" w:firstLineChars="200"/>
        <w:rPr>
          <w:rFonts w:ascii="仿宋" w:hAnsi="仿宋" w:eastAsia="仿宋"/>
          <w:b/>
          <w:szCs w:val="32"/>
        </w:rPr>
      </w:pPr>
    </w:p>
    <w:p>
      <w:pPr>
        <w:spacing w:line="600" w:lineRule="exact"/>
        <w:ind w:firstLine="640" w:firstLineChars="200"/>
        <w:outlineLvl w:val="1"/>
        <w:rPr>
          <w:rStyle w:val="14"/>
          <w:rFonts w:ascii="黑体" w:hAnsi="黑体" w:eastAsia="黑体"/>
          <w:b w:val="0"/>
        </w:rPr>
      </w:pPr>
      <w:bookmarkStart w:id="26" w:name="_Toc15377209"/>
      <w:bookmarkStart w:id="27" w:name="_Toc15396607"/>
      <w:bookmarkStart w:id="28" w:name="_Toc10967"/>
      <w:r>
        <w:rPr>
          <w:rFonts w:hint="eastAsia" w:ascii="黑体" w:hAnsi="黑体" w:eastAsia="黑体"/>
          <w:szCs w:val="32"/>
        </w:rPr>
        <w:t>五、</w:t>
      </w:r>
      <w:r>
        <w:rPr>
          <w:rFonts w:hint="eastAsia" w:ascii="黑体" w:hAnsi="黑体" w:eastAsia="黑体"/>
          <w:b/>
          <w:szCs w:val="32"/>
        </w:rPr>
        <w:t>一</w:t>
      </w:r>
      <w:r>
        <w:rPr>
          <w:rStyle w:val="14"/>
          <w:rFonts w:hint="eastAsia" w:ascii="黑体" w:hAnsi="黑体" w:eastAsia="黑体"/>
          <w:b w:val="0"/>
        </w:rPr>
        <w:t>般公共预算财政拨款支出决算情况说明</w:t>
      </w:r>
      <w:bookmarkEnd w:id="26"/>
      <w:bookmarkEnd w:id="27"/>
      <w:bookmarkEnd w:id="28"/>
    </w:p>
    <w:p>
      <w:pPr>
        <w:spacing w:line="600" w:lineRule="exact"/>
        <w:ind w:firstLine="643" w:firstLineChars="200"/>
        <w:outlineLvl w:val="2"/>
        <w:rPr>
          <w:rFonts w:ascii="仿宋_GB2312" w:hAnsi="仿宋_GB2312" w:cs="仿宋_GB2312"/>
          <w:b/>
          <w:szCs w:val="32"/>
        </w:rPr>
      </w:pPr>
      <w:bookmarkStart w:id="29" w:name="_Toc15377210"/>
      <w:r>
        <w:rPr>
          <w:rFonts w:hint="eastAsia" w:ascii="仿宋_GB2312" w:hAnsi="仿宋_GB2312" w:cs="仿宋_GB2312"/>
          <w:b/>
          <w:szCs w:val="32"/>
        </w:rPr>
        <w:t>（一）一般公共预算财政拨款支出决算总体情况</w:t>
      </w:r>
      <w:bookmarkEnd w:id="29"/>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2020年一般公共预算财政拨款支出426.19万元，占本年支出合计的100.0%。与2019年相比，一般公共预算财政拨款增加116.31万元，增长37.5%。2020年开展第七次全国人口普查，需要支出普查人员的补助、资料印刷、购买物资等费用</w:t>
      </w:r>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（图5：一般公共预算财政拨款支出决算变动情况）（柱状图）</w:t>
      </w:r>
    </w:p>
    <w:p>
      <w:pPr>
        <w:ind w:firstLine="640" w:firstLineChars="200"/>
        <w:rPr>
          <w:rFonts w:ascii="仿宋" w:hAnsi="仿宋" w:eastAsia="仿宋"/>
          <w:szCs w:val="32"/>
        </w:rPr>
      </w:pPr>
      <w:r>
        <w:rPr>
          <w:rFonts w:hint="eastAsia" w:ascii="仿宋" w:hAnsi="仿宋" w:eastAsia="仿宋"/>
          <w:szCs w:val="32"/>
        </w:rPr>
        <w:drawing>
          <wp:inline distT="0" distB="0" distL="114300" distR="114300">
            <wp:extent cx="4486275" cy="3629025"/>
            <wp:effectExtent l="0" t="0" r="9525" b="9525"/>
            <wp:docPr id="7" name="图片 7" descr="图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5"/>
                    <pic:cNvPicPr>
                      <a:picLocks noChangeAspect="1"/>
                    </pic:cNvPicPr>
                  </pic:nvPicPr>
                  <pic:blipFill>
                    <a:blip r:embed="rId8"/>
                    <a:stretch>
                      <a:fillRect/>
                    </a:stretch>
                  </pic:blipFill>
                  <pic:spPr>
                    <a:xfrm>
                      <a:off x="0" y="0"/>
                      <a:ext cx="4486275" cy="3629025"/>
                    </a:xfrm>
                    <a:prstGeom prst="rect">
                      <a:avLst/>
                    </a:prstGeom>
                  </pic:spPr>
                </pic:pic>
              </a:graphicData>
            </a:graphic>
          </wp:inline>
        </w:drawing>
      </w:r>
    </w:p>
    <w:p>
      <w:pPr>
        <w:spacing w:line="600" w:lineRule="exact"/>
        <w:ind w:firstLine="643" w:firstLineChars="200"/>
        <w:outlineLvl w:val="2"/>
        <w:rPr>
          <w:rFonts w:ascii="仿宋_GB2312" w:hAnsi="仿宋_GB2312" w:cs="仿宋_GB2312"/>
          <w:b/>
          <w:szCs w:val="32"/>
        </w:rPr>
      </w:pPr>
      <w:bookmarkStart w:id="30" w:name="_Toc15377211"/>
      <w:r>
        <w:rPr>
          <w:rFonts w:hint="eastAsia" w:ascii="仿宋_GB2312" w:hAnsi="仿宋_GB2312" w:cs="仿宋_GB2312"/>
          <w:b/>
          <w:szCs w:val="32"/>
        </w:rPr>
        <w:t>（二）一般公共预算财政拨款支出决算结构情况</w:t>
      </w:r>
      <w:bookmarkEnd w:id="30"/>
    </w:p>
    <w:p>
      <w:pPr>
        <w:spacing w:line="600" w:lineRule="exact"/>
        <w:ind w:firstLine="640"/>
        <w:rPr>
          <w:rFonts w:ascii="仿宋_GB2312" w:hAnsi="仿宋_GB2312" w:cs="仿宋_GB2312"/>
          <w:szCs w:val="32"/>
        </w:rPr>
      </w:pPr>
      <w:r>
        <w:rPr>
          <w:rFonts w:hint="eastAsia" w:ascii="仿宋_GB2312" w:hAnsi="仿宋_GB2312" w:cs="仿宋_GB2312"/>
          <w:szCs w:val="32"/>
        </w:rPr>
        <w:t>2020年一般公共预算财政拨款支出426.19万元，主要用于以下方面:</w:t>
      </w:r>
      <w:r>
        <w:rPr>
          <w:rFonts w:hint="eastAsia" w:ascii="仿宋_GB2312" w:hAnsi="仿宋_GB2312" w:cs="仿宋_GB2312"/>
          <w:b/>
          <w:szCs w:val="32"/>
        </w:rPr>
        <w:t>一般公共服务（类）</w:t>
      </w:r>
      <w:r>
        <w:rPr>
          <w:rFonts w:hint="eastAsia" w:ascii="仿宋_GB2312" w:hAnsi="仿宋_GB2312" w:cs="仿宋_GB2312"/>
          <w:szCs w:val="32"/>
        </w:rPr>
        <w:t>支出392.64万元，占92.1%；</w:t>
      </w:r>
      <w:r>
        <w:rPr>
          <w:rFonts w:hint="eastAsia" w:ascii="仿宋_GB2312" w:hAnsi="仿宋_GB2312" w:cs="仿宋_GB2312"/>
          <w:b/>
          <w:szCs w:val="32"/>
        </w:rPr>
        <w:t>教育支出（类）</w:t>
      </w:r>
      <w:r>
        <w:rPr>
          <w:rFonts w:hint="eastAsia" w:ascii="仿宋_GB2312" w:hAnsi="仿宋_GB2312" w:cs="仿宋_GB2312"/>
          <w:szCs w:val="32"/>
        </w:rPr>
        <w:t>0万元，占0%；</w:t>
      </w:r>
      <w:r>
        <w:rPr>
          <w:rFonts w:hint="eastAsia" w:ascii="仿宋_GB2312" w:hAnsi="仿宋_GB2312" w:cs="仿宋_GB2312"/>
          <w:b/>
          <w:szCs w:val="32"/>
        </w:rPr>
        <w:t>科学技术（类）</w:t>
      </w:r>
      <w:r>
        <w:rPr>
          <w:rFonts w:hint="eastAsia" w:ascii="仿宋_GB2312" w:hAnsi="仿宋_GB2312" w:cs="仿宋_GB2312"/>
          <w:szCs w:val="32"/>
        </w:rPr>
        <w:t>支出0万元，占0%；</w:t>
      </w:r>
      <w:r>
        <w:rPr>
          <w:rFonts w:hint="eastAsia" w:ascii="仿宋_GB2312" w:hAnsi="仿宋_GB2312" w:cs="仿宋_GB2312"/>
          <w:b/>
          <w:bCs/>
          <w:szCs w:val="32"/>
        </w:rPr>
        <w:t>文化旅游体育与传媒（类）支出0万元，占0%</w:t>
      </w:r>
      <w:r>
        <w:rPr>
          <w:rFonts w:hint="eastAsia" w:ascii="仿宋_GB2312" w:hAnsi="仿宋_GB2312" w:cs="仿宋_GB2312"/>
          <w:szCs w:val="32"/>
        </w:rPr>
        <w:t>；</w:t>
      </w:r>
      <w:r>
        <w:rPr>
          <w:rFonts w:hint="eastAsia" w:ascii="仿宋_GB2312" w:hAnsi="仿宋_GB2312" w:cs="仿宋_GB2312"/>
          <w:b/>
          <w:szCs w:val="32"/>
        </w:rPr>
        <w:t>社会保障和就业（类）</w:t>
      </w:r>
      <w:r>
        <w:rPr>
          <w:rFonts w:hint="eastAsia" w:ascii="仿宋_GB2312" w:hAnsi="仿宋_GB2312" w:cs="仿宋_GB2312"/>
          <w:szCs w:val="32"/>
        </w:rPr>
        <w:t>支出12.78万元，占3.0%；</w:t>
      </w:r>
      <w:r>
        <w:rPr>
          <w:rFonts w:hint="eastAsia" w:ascii="仿宋_GB2312" w:hAnsi="仿宋_GB2312" w:cs="仿宋_GB2312"/>
          <w:b/>
          <w:bCs/>
          <w:szCs w:val="32"/>
        </w:rPr>
        <w:t>卫生健康支出</w:t>
      </w:r>
      <w:r>
        <w:rPr>
          <w:rFonts w:hint="eastAsia" w:ascii="仿宋_GB2312" w:hAnsi="仿宋_GB2312" w:cs="仿宋_GB2312"/>
          <w:szCs w:val="32"/>
        </w:rPr>
        <w:t>5.81万元，占1.4%；</w:t>
      </w:r>
      <w:r>
        <w:rPr>
          <w:rFonts w:hint="eastAsia" w:ascii="仿宋_GB2312" w:hAnsi="仿宋_GB2312" w:cs="仿宋_GB2312"/>
          <w:b/>
          <w:bCs/>
          <w:szCs w:val="32"/>
        </w:rPr>
        <w:t>农林水支出</w:t>
      </w:r>
      <w:r>
        <w:rPr>
          <w:rFonts w:hint="eastAsia" w:ascii="仿宋_GB2312" w:hAnsi="仿宋_GB2312" w:cs="仿宋_GB2312"/>
          <w:szCs w:val="32"/>
        </w:rPr>
        <w:t>6.12万元，占1.4%，住房保障支出8.84万元，占2.1%。</w:t>
      </w:r>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（图6：一般公共预算财政拨款支出决算结构）（饼状图）</w:t>
      </w:r>
    </w:p>
    <w:p>
      <w:pPr>
        <w:ind w:firstLine="640" w:firstLineChars="200"/>
        <w:rPr>
          <w:rFonts w:ascii="仿宋" w:hAnsi="仿宋" w:eastAsia="仿宋"/>
          <w:szCs w:val="32"/>
        </w:rPr>
      </w:pPr>
      <w:r>
        <w:rPr>
          <w:rFonts w:hint="eastAsia" w:ascii="仿宋" w:hAnsi="仿宋" w:eastAsia="仿宋"/>
          <w:szCs w:val="32"/>
        </w:rPr>
        <w:drawing>
          <wp:inline distT="0" distB="0" distL="114300" distR="114300">
            <wp:extent cx="4191000" cy="3352800"/>
            <wp:effectExtent l="0" t="0" r="0" b="0"/>
            <wp:docPr id="8" name="图片 8" descr="图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6"/>
                    <pic:cNvPicPr>
                      <a:picLocks noChangeAspect="1"/>
                    </pic:cNvPicPr>
                  </pic:nvPicPr>
                  <pic:blipFill>
                    <a:blip r:embed="rId9"/>
                    <a:stretch>
                      <a:fillRect/>
                    </a:stretch>
                  </pic:blipFill>
                  <pic:spPr>
                    <a:xfrm>
                      <a:off x="0" y="0"/>
                      <a:ext cx="4191000" cy="3352800"/>
                    </a:xfrm>
                    <a:prstGeom prst="rect">
                      <a:avLst/>
                    </a:prstGeom>
                  </pic:spPr>
                </pic:pic>
              </a:graphicData>
            </a:graphic>
          </wp:inline>
        </w:drawing>
      </w:r>
    </w:p>
    <w:p>
      <w:pPr>
        <w:spacing w:line="600" w:lineRule="exact"/>
        <w:ind w:firstLine="643" w:firstLineChars="200"/>
        <w:outlineLvl w:val="2"/>
        <w:rPr>
          <w:rFonts w:ascii="仿宋_GB2312" w:hAnsi="仿宋_GB2312" w:cs="仿宋_GB2312"/>
          <w:b/>
          <w:szCs w:val="32"/>
        </w:rPr>
      </w:pPr>
      <w:bookmarkStart w:id="31" w:name="_Toc15377212"/>
      <w:r>
        <w:rPr>
          <w:rFonts w:hint="eastAsia" w:ascii="仿宋_GB2312" w:hAnsi="仿宋_GB2312" w:cs="仿宋_GB2312"/>
          <w:b/>
          <w:szCs w:val="32"/>
        </w:rPr>
        <w:t>（三）一般公共预算财政拨款支出决算具体情况</w:t>
      </w:r>
      <w:bookmarkEnd w:id="31"/>
    </w:p>
    <w:p>
      <w:pPr>
        <w:spacing w:line="600" w:lineRule="exact"/>
        <w:ind w:firstLine="643" w:firstLineChars="200"/>
        <w:rPr>
          <w:rFonts w:ascii="仿宋_GB2312" w:hAnsi="仿宋_GB2312" w:cs="仿宋_GB2312"/>
          <w:szCs w:val="32"/>
        </w:rPr>
      </w:pPr>
      <w:bookmarkStart w:id="32" w:name="_Toc15378460"/>
      <w:bookmarkStart w:id="33" w:name="_Toc15377444"/>
      <w:bookmarkStart w:id="34" w:name="_Toc15377213"/>
      <w:r>
        <w:rPr>
          <w:rFonts w:hint="eastAsia" w:ascii="仿宋_GB2312" w:hAnsi="仿宋_GB2312" w:cs="仿宋_GB2312"/>
          <w:b/>
          <w:szCs w:val="32"/>
        </w:rPr>
        <w:t>2020年一般公共预算支出决算数为392.64万元</w:t>
      </w:r>
      <w:r>
        <w:rPr>
          <w:rFonts w:hint="eastAsia" w:ascii="仿宋_GB2312" w:hAnsi="仿宋_GB2312" w:cs="仿宋_GB2312"/>
          <w:szCs w:val="32"/>
        </w:rPr>
        <w:t>，</w:t>
      </w:r>
      <w:r>
        <w:rPr>
          <w:rStyle w:val="11"/>
          <w:rFonts w:hint="eastAsia" w:ascii="仿宋_GB2312" w:hAnsi="仿宋_GB2312" w:cs="仿宋_GB2312"/>
          <w:bCs/>
          <w:szCs w:val="32"/>
        </w:rPr>
        <w:t>完成预算100.0%。其中：</w:t>
      </w:r>
      <w:bookmarkEnd w:id="32"/>
      <w:bookmarkEnd w:id="33"/>
      <w:bookmarkEnd w:id="34"/>
    </w:p>
    <w:p>
      <w:pPr>
        <w:spacing w:line="600" w:lineRule="exact"/>
        <w:ind w:firstLine="643" w:firstLineChars="200"/>
        <w:rPr>
          <w:rFonts w:ascii="仿宋_GB2312" w:hAnsi="仿宋_GB2312" w:cs="仿宋_GB2312"/>
          <w:b/>
          <w:szCs w:val="32"/>
        </w:rPr>
      </w:pPr>
      <w:r>
        <w:rPr>
          <w:rStyle w:val="11"/>
          <w:rFonts w:hint="eastAsia" w:ascii="仿宋_GB2312" w:hAnsi="仿宋_GB2312" w:cs="仿宋_GB2312"/>
          <w:bCs/>
          <w:szCs w:val="32"/>
        </w:rPr>
        <w:t>1.一般公共服务支出-统计信息事务-行政运行:</w:t>
      </w:r>
      <w:r>
        <w:rPr>
          <w:rStyle w:val="11"/>
          <w:rFonts w:hint="eastAsia" w:ascii="仿宋_GB2312" w:hAnsi="仿宋_GB2312" w:cs="仿宋_GB2312"/>
          <w:b w:val="0"/>
          <w:bCs/>
          <w:szCs w:val="32"/>
        </w:rPr>
        <w:t xml:space="preserve"> 支出决算为100.82万元，完成预算100%，决算数等于预算数；</w:t>
      </w:r>
      <w:r>
        <w:rPr>
          <w:rStyle w:val="11"/>
          <w:rFonts w:hint="eastAsia" w:ascii="仿宋_GB2312" w:hAnsi="仿宋_GB2312" w:cs="仿宋_GB2312"/>
          <w:bCs/>
          <w:szCs w:val="32"/>
        </w:rPr>
        <w:t>一般公共服务支出-统计信息事务-专项普查活动：</w:t>
      </w:r>
      <w:r>
        <w:rPr>
          <w:rStyle w:val="11"/>
          <w:rFonts w:hint="eastAsia" w:ascii="仿宋_GB2312" w:hAnsi="仿宋_GB2312" w:cs="仿宋_GB2312"/>
          <w:b w:val="0"/>
          <w:bCs/>
          <w:szCs w:val="32"/>
        </w:rPr>
        <w:t>支出决算为171.40万元，完成预算100%，决算数等于预算数；</w:t>
      </w:r>
      <w:r>
        <w:rPr>
          <w:rStyle w:val="11"/>
          <w:rFonts w:hint="eastAsia" w:ascii="仿宋_GB2312" w:hAnsi="仿宋_GB2312" w:cs="仿宋_GB2312"/>
          <w:bCs/>
          <w:szCs w:val="32"/>
        </w:rPr>
        <w:t>一般公共服务支出-统计信息事务-统计抽样调查：</w:t>
      </w:r>
      <w:r>
        <w:rPr>
          <w:rStyle w:val="11"/>
          <w:rFonts w:hint="eastAsia" w:ascii="仿宋_GB2312" w:hAnsi="仿宋_GB2312" w:cs="仿宋_GB2312"/>
          <w:b w:val="0"/>
          <w:bCs/>
          <w:szCs w:val="32"/>
        </w:rPr>
        <w:t>支出决算为55.00万元，完成预算100%，决算数等于预算数；</w:t>
      </w:r>
      <w:r>
        <w:rPr>
          <w:rStyle w:val="11"/>
          <w:rFonts w:hint="eastAsia" w:ascii="仿宋_GB2312" w:hAnsi="仿宋_GB2312" w:cs="仿宋_GB2312"/>
          <w:bCs/>
          <w:szCs w:val="32"/>
        </w:rPr>
        <w:t>一般公共服务支出-统计信息事务-其他统计信息事务支出：</w:t>
      </w:r>
      <w:r>
        <w:rPr>
          <w:rStyle w:val="11"/>
          <w:rFonts w:hint="eastAsia" w:ascii="仿宋_GB2312" w:hAnsi="仿宋_GB2312" w:cs="仿宋_GB2312"/>
          <w:b w:val="0"/>
          <w:bCs/>
          <w:szCs w:val="32"/>
        </w:rPr>
        <w:t>支出决算为63.22万元，完成预算100%，决算数等于预算数；</w:t>
      </w:r>
      <w:r>
        <w:rPr>
          <w:rStyle w:val="11"/>
          <w:rFonts w:hint="eastAsia" w:ascii="仿宋_GB2312" w:hAnsi="仿宋_GB2312" w:cs="仿宋_GB2312"/>
          <w:bCs/>
          <w:szCs w:val="32"/>
        </w:rPr>
        <w:t>一般公共服务支出-纪检监察事务-其他纪检监察事务支出：</w:t>
      </w:r>
      <w:r>
        <w:rPr>
          <w:rStyle w:val="11"/>
          <w:rFonts w:hint="eastAsia" w:ascii="仿宋_GB2312" w:hAnsi="仿宋_GB2312" w:cs="仿宋_GB2312"/>
          <w:b w:val="0"/>
          <w:bCs/>
          <w:szCs w:val="32"/>
        </w:rPr>
        <w:t>支出决算为2.20万元，完成预算100%，决算数等于预算数。</w:t>
      </w:r>
    </w:p>
    <w:p>
      <w:pPr>
        <w:spacing w:line="600" w:lineRule="exact"/>
        <w:ind w:firstLine="643" w:firstLineChars="200"/>
        <w:rPr>
          <w:rFonts w:ascii="仿宋_GB2312" w:hAnsi="仿宋_GB2312" w:cs="仿宋_GB2312"/>
          <w:b/>
          <w:szCs w:val="32"/>
        </w:rPr>
      </w:pPr>
      <w:r>
        <w:rPr>
          <w:rStyle w:val="11"/>
          <w:rFonts w:hint="eastAsia" w:ascii="仿宋_GB2312" w:hAnsi="仿宋_GB2312" w:cs="仿宋_GB2312"/>
          <w:bCs/>
          <w:szCs w:val="32"/>
        </w:rPr>
        <w:t>2.社会保障和就业支出-行政事业单位养老支出-行政单位离退休</w:t>
      </w:r>
      <w:r>
        <w:rPr>
          <w:rStyle w:val="11"/>
          <w:rFonts w:hint="eastAsia" w:ascii="仿宋_GB2312" w:hAnsi="仿宋_GB2312" w:cs="仿宋_GB2312"/>
          <w:b w:val="0"/>
          <w:szCs w:val="32"/>
        </w:rPr>
        <w:t>:</w:t>
      </w:r>
      <w:r>
        <w:rPr>
          <w:rStyle w:val="11"/>
          <w:rFonts w:hint="eastAsia" w:ascii="仿宋_GB2312" w:hAnsi="仿宋_GB2312" w:cs="仿宋_GB2312"/>
          <w:b w:val="0"/>
          <w:bCs/>
          <w:szCs w:val="32"/>
        </w:rPr>
        <w:t xml:space="preserve"> 支出决算为1.00万元，完成预算100.0%，决算数等于预算数；</w:t>
      </w:r>
      <w:r>
        <w:rPr>
          <w:rStyle w:val="11"/>
          <w:rFonts w:hint="eastAsia" w:ascii="仿宋_GB2312" w:hAnsi="仿宋_GB2312" w:cs="仿宋_GB2312"/>
          <w:bCs/>
          <w:szCs w:val="32"/>
        </w:rPr>
        <w:t>社会保障和就业支出-行政事业单位养老支出-机关事业单位基本养老保险缴费支出：</w:t>
      </w:r>
      <w:r>
        <w:rPr>
          <w:rStyle w:val="11"/>
          <w:rFonts w:hint="eastAsia" w:ascii="仿宋_GB2312" w:hAnsi="仿宋_GB2312" w:cs="仿宋_GB2312"/>
          <w:b w:val="0"/>
          <w:bCs/>
          <w:szCs w:val="32"/>
        </w:rPr>
        <w:t>支出决算为11.78万元，完成预算100.0%，决算数等于预算数.</w:t>
      </w:r>
    </w:p>
    <w:p>
      <w:pPr>
        <w:spacing w:line="600" w:lineRule="exact"/>
        <w:ind w:firstLine="643" w:firstLineChars="200"/>
        <w:rPr>
          <w:rStyle w:val="11"/>
          <w:rFonts w:ascii="仿宋_GB2312" w:hAnsi="仿宋_GB2312" w:cs="仿宋_GB2312"/>
          <w:b w:val="0"/>
          <w:bCs/>
          <w:szCs w:val="32"/>
        </w:rPr>
      </w:pPr>
      <w:r>
        <w:rPr>
          <w:rStyle w:val="11"/>
          <w:rFonts w:hint="eastAsia" w:ascii="仿宋_GB2312" w:hAnsi="仿宋_GB2312" w:cs="仿宋_GB2312"/>
          <w:bCs/>
          <w:szCs w:val="32"/>
        </w:rPr>
        <w:t>3.卫生健康支出-行政事业单位医疗-行政单位医疗：</w:t>
      </w:r>
      <w:r>
        <w:rPr>
          <w:rStyle w:val="11"/>
          <w:rFonts w:hint="eastAsia" w:ascii="仿宋_GB2312" w:hAnsi="仿宋_GB2312" w:cs="仿宋_GB2312"/>
          <w:b w:val="0"/>
          <w:bCs/>
          <w:szCs w:val="32"/>
        </w:rPr>
        <w:t>支出决算为5.81万元，完成预算100.0%，决算数等于预算数。</w:t>
      </w:r>
    </w:p>
    <w:p>
      <w:pPr>
        <w:spacing w:line="600" w:lineRule="exact"/>
        <w:ind w:firstLine="643" w:firstLineChars="200"/>
        <w:rPr>
          <w:rStyle w:val="11"/>
          <w:rFonts w:ascii="仿宋_GB2312" w:hAnsi="仿宋_GB2312" w:cs="仿宋_GB2312"/>
          <w:b w:val="0"/>
          <w:bCs/>
          <w:szCs w:val="32"/>
        </w:rPr>
      </w:pPr>
      <w:r>
        <w:rPr>
          <w:rStyle w:val="11"/>
          <w:rFonts w:hint="eastAsia" w:ascii="仿宋_GB2312" w:hAnsi="仿宋_GB2312" w:cs="仿宋_GB2312"/>
          <w:bCs/>
          <w:szCs w:val="32"/>
        </w:rPr>
        <w:t>4.农林水支出-农业农村-其他农业农村支出：</w:t>
      </w:r>
      <w:r>
        <w:rPr>
          <w:rStyle w:val="11"/>
          <w:rFonts w:hint="eastAsia" w:ascii="仿宋_GB2312" w:hAnsi="仿宋_GB2312" w:cs="仿宋_GB2312"/>
          <w:b w:val="0"/>
          <w:bCs/>
          <w:szCs w:val="32"/>
        </w:rPr>
        <w:t>支出决算为6.12万元，完成预算100.0%，决算数等于预算数。</w:t>
      </w:r>
    </w:p>
    <w:p>
      <w:pPr>
        <w:spacing w:line="600" w:lineRule="exact"/>
        <w:ind w:firstLine="643" w:firstLineChars="200"/>
        <w:rPr>
          <w:rFonts w:ascii="仿宋_GB2312" w:hAnsi="仿宋_GB2312" w:cs="仿宋_GB2312"/>
          <w:b/>
          <w:szCs w:val="32"/>
        </w:rPr>
      </w:pPr>
      <w:r>
        <w:rPr>
          <w:rStyle w:val="11"/>
          <w:rFonts w:hint="eastAsia" w:ascii="仿宋_GB2312" w:hAnsi="仿宋_GB2312" w:cs="仿宋_GB2312"/>
          <w:bCs/>
          <w:szCs w:val="32"/>
        </w:rPr>
        <w:t>5.住房保障支出-住房改革支出-住房公积金：</w:t>
      </w:r>
      <w:r>
        <w:rPr>
          <w:rFonts w:hint="eastAsia" w:ascii="仿宋_GB2312" w:hAnsi="仿宋_GB2312" w:cs="仿宋_GB2312"/>
          <w:szCs w:val="32"/>
        </w:rPr>
        <w:t>支出决算为8.84万元，完成预算100.0%。</w:t>
      </w:r>
      <w:r>
        <w:rPr>
          <w:rStyle w:val="11"/>
          <w:rFonts w:hint="eastAsia" w:ascii="仿宋_GB2312" w:hAnsi="仿宋_GB2312" w:cs="仿宋_GB2312"/>
          <w:b w:val="0"/>
          <w:bCs/>
          <w:szCs w:val="32"/>
        </w:rPr>
        <w:t>决算数与预算数据持平。</w:t>
      </w:r>
    </w:p>
    <w:p>
      <w:pPr>
        <w:tabs>
          <w:tab w:val="right" w:pos="8306"/>
        </w:tabs>
        <w:spacing w:line="600" w:lineRule="exact"/>
        <w:ind w:firstLine="640"/>
        <w:outlineLvl w:val="1"/>
        <w:rPr>
          <w:rStyle w:val="14"/>
          <w:rFonts w:ascii="仿宋_GB2312" w:hAnsi="仿宋_GB2312" w:cs="仿宋_GB2312"/>
        </w:rPr>
      </w:pPr>
      <w:bookmarkStart w:id="35" w:name="_Toc31021"/>
      <w:bookmarkStart w:id="36" w:name="_Toc15377214"/>
      <w:bookmarkStart w:id="37" w:name="_Toc15396608"/>
      <w:r>
        <w:rPr>
          <w:rFonts w:hint="eastAsia" w:ascii="黑体" w:hAnsi="黑体" w:eastAsia="黑体" w:cs="黑体"/>
          <w:szCs w:val="32"/>
        </w:rPr>
        <w:t>六</w:t>
      </w:r>
      <w:r>
        <w:rPr>
          <w:rFonts w:hint="eastAsia" w:ascii="黑体" w:hAnsi="黑体" w:eastAsia="黑体" w:cs="黑体"/>
          <w:b/>
          <w:szCs w:val="32"/>
        </w:rPr>
        <w:t>、一</w:t>
      </w:r>
      <w:r>
        <w:rPr>
          <w:rStyle w:val="14"/>
          <w:rFonts w:hint="eastAsia" w:ascii="黑体" w:hAnsi="黑体" w:eastAsia="黑体" w:cs="黑体"/>
          <w:b w:val="0"/>
        </w:rPr>
        <w:t>般公共预算财政拨款基本支出决算情况说明</w:t>
      </w:r>
      <w:bookmarkEnd w:id="35"/>
      <w:bookmarkEnd w:id="36"/>
      <w:bookmarkEnd w:id="37"/>
      <w:r>
        <w:rPr>
          <w:rStyle w:val="14"/>
          <w:rFonts w:hint="eastAsia" w:ascii="黑体" w:hAnsi="黑体" w:eastAsia="黑体" w:cs="黑体"/>
          <w:b w:val="0"/>
        </w:rPr>
        <w:tab/>
      </w:r>
    </w:p>
    <w:p>
      <w:pPr>
        <w:spacing w:line="600" w:lineRule="exact"/>
        <w:ind w:firstLine="645"/>
        <w:rPr>
          <w:rFonts w:ascii="仿宋_GB2312" w:hAnsi="仿宋_GB2312" w:cs="仿宋_GB2312"/>
          <w:szCs w:val="32"/>
        </w:rPr>
      </w:pPr>
      <w:r>
        <w:rPr>
          <w:rFonts w:hint="eastAsia" w:ascii="仿宋_GB2312" w:hAnsi="仿宋_GB2312" w:cs="仿宋_GB2312"/>
          <w:szCs w:val="32"/>
        </w:rPr>
        <w:t>2020年一般公共预算财政拨款基本支出193.67万元，其中：</w:t>
      </w:r>
    </w:p>
    <w:p>
      <w:pPr>
        <w:spacing w:line="600" w:lineRule="exact"/>
        <w:ind w:firstLine="645"/>
        <w:rPr>
          <w:rFonts w:ascii="仿宋_GB2312" w:hAnsi="仿宋_GB2312" w:cs="仿宋_GB2312"/>
          <w:szCs w:val="32"/>
        </w:rPr>
      </w:pPr>
      <w:r>
        <w:rPr>
          <w:rFonts w:hint="eastAsia" w:ascii="仿宋_GB2312" w:hAnsi="仿宋_GB2312" w:cs="仿宋_GB2312"/>
          <w:szCs w:val="32"/>
        </w:rPr>
        <w:t>人员经费166.93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hint="eastAsia" w:ascii="仿宋_GB2312" w:hAnsi="仿宋_GB2312" w:cs="仿宋_GB2312"/>
          <w:szCs w:val="32"/>
        </w:rPr>
        <w:br w:type="textWrapping"/>
      </w:r>
      <w:r>
        <w:rPr>
          <w:rFonts w:hint="eastAsia" w:ascii="仿宋_GB2312" w:hAnsi="仿宋_GB2312" w:cs="仿宋_GB2312"/>
          <w:szCs w:val="32"/>
        </w:rPr>
        <w:t>　　日常公用经费26.74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14"/>
          <w:rFonts w:ascii="黑体" w:hAnsi="黑体" w:eastAsia="黑体" w:cs="黑体"/>
          <w:b w:val="0"/>
        </w:rPr>
      </w:pPr>
      <w:bookmarkStart w:id="38" w:name="_Toc15396609"/>
      <w:bookmarkStart w:id="39" w:name="_Toc15377215"/>
      <w:bookmarkStart w:id="40" w:name="_Toc6926"/>
      <w:r>
        <w:rPr>
          <w:rFonts w:hint="eastAsia" w:ascii="黑体" w:hAnsi="黑体" w:eastAsia="黑体" w:cs="黑体"/>
          <w:szCs w:val="32"/>
        </w:rPr>
        <w:t>七、</w:t>
      </w:r>
      <w:r>
        <w:rPr>
          <w:rStyle w:val="14"/>
          <w:rFonts w:hint="eastAsia" w:ascii="黑体" w:hAnsi="黑体" w:eastAsia="黑体" w:cs="黑体"/>
        </w:rPr>
        <w:t>“</w:t>
      </w:r>
      <w:r>
        <w:rPr>
          <w:rStyle w:val="14"/>
          <w:rFonts w:hint="eastAsia" w:ascii="黑体" w:hAnsi="黑体" w:eastAsia="黑体" w:cs="黑体"/>
          <w:b w:val="0"/>
        </w:rPr>
        <w:t>三公”经费财政拨款支出决算情况说明</w:t>
      </w:r>
      <w:bookmarkEnd w:id="38"/>
      <w:bookmarkEnd w:id="39"/>
      <w:bookmarkEnd w:id="40"/>
    </w:p>
    <w:p>
      <w:pPr>
        <w:spacing w:line="600" w:lineRule="exact"/>
        <w:ind w:firstLine="640"/>
        <w:outlineLvl w:val="2"/>
        <w:rPr>
          <w:rFonts w:ascii="仿宋_GB2312" w:hAnsi="仿宋_GB2312" w:cs="仿宋_GB2312"/>
          <w:b/>
          <w:szCs w:val="32"/>
        </w:rPr>
      </w:pPr>
      <w:bookmarkStart w:id="41" w:name="_Toc15377216"/>
      <w:r>
        <w:rPr>
          <w:rFonts w:hint="eastAsia" w:ascii="仿宋_GB2312" w:hAnsi="仿宋_GB2312" w:cs="仿宋_GB2312"/>
          <w:b/>
          <w:szCs w:val="32"/>
        </w:rPr>
        <w:t>（一）“三公”经费财政拨款支出决算总体情况说明</w:t>
      </w:r>
      <w:bookmarkEnd w:id="41"/>
    </w:p>
    <w:p>
      <w:pPr>
        <w:spacing w:line="600" w:lineRule="exact"/>
        <w:ind w:firstLine="640"/>
        <w:rPr>
          <w:rFonts w:ascii="仿宋_GB2312" w:hAnsi="仿宋_GB2312" w:cs="仿宋_GB2312"/>
          <w:szCs w:val="32"/>
        </w:rPr>
      </w:pPr>
      <w:r>
        <w:rPr>
          <w:rFonts w:hint="eastAsia" w:ascii="仿宋_GB2312" w:hAnsi="仿宋_GB2312" w:cs="仿宋_GB2312"/>
          <w:szCs w:val="32"/>
        </w:rPr>
        <w:t>2020年“三公”经费财政拨款支出决算为1.87万元，完成预算93.5%，决算数小于预算数的主要原因是厉行节约，压缩三公经费的开支。</w:t>
      </w:r>
    </w:p>
    <w:p>
      <w:pPr>
        <w:spacing w:line="600" w:lineRule="exact"/>
        <w:ind w:firstLine="640"/>
        <w:outlineLvl w:val="2"/>
        <w:rPr>
          <w:rFonts w:ascii="仿宋_GB2312" w:hAnsi="仿宋_GB2312" w:cs="仿宋_GB2312"/>
          <w:b/>
          <w:szCs w:val="32"/>
        </w:rPr>
      </w:pPr>
      <w:bookmarkStart w:id="42" w:name="_Toc15377217"/>
      <w:r>
        <w:rPr>
          <w:rFonts w:hint="eastAsia" w:ascii="仿宋_GB2312" w:hAnsi="仿宋_GB2312" w:cs="仿宋_GB2312"/>
          <w:b/>
          <w:szCs w:val="32"/>
        </w:rPr>
        <w:t>（二）“三公”经费财政拨款支出决算具体情况说明</w:t>
      </w:r>
      <w:bookmarkEnd w:id="42"/>
    </w:p>
    <w:p>
      <w:pPr>
        <w:spacing w:line="600" w:lineRule="exact"/>
        <w:ind w:firstLine="640"/>
        <w:rPr>
          <w:rFonts w:ascii="仿宋_GB2312" w:hAnsi="仿宋_GB2312" w:cs="仿宋_GB2312"/>
          <w:szCs w:val="32"/>
        </w:rPr>
      </w:pPr>
      <w:r>
        <w:rPr>
          <w:rFonts w:hint="eastAsia" w:ascii="仿宋_GB2312" w:hAnsi="仿宋_GB2312" w:cs="仿宋_GB2312"/>
          <w:szCs w:val="32"/>
        </w:rPr>
        <w:t>2020年“三公”经费财政拨款支出决算中，因公出国（境）费支出决算0万元，占0%；公务用车购置及运行维护费支出决算0万元，占0%；公务接待费支出决算1.87万元，占100%。具体情况如下：</w:t>
      </w:r>
    </w:p>
    <w:p>
      <w:pPr>
        <w:spacing w:line="600" w:lineRule="exact"/>
        <w:ind w:firstLine="640"/>
        <w:rPr>
          <w:rFonts w:ascii="仿宋_GB2312" w:hAnsi="仿宋_GB2312" w:cs="仿宋_GB2312"/>
          <w:szCs w:val="32"/>
        </w:rPr>
      </w:pPr>
      <w:r>
        <w:rPr>
          <w:rFonts w:hint="eastAsia" w:ascii="仿宋_GB2312" w:hAnsi="仿宋_GB2312" w:cs="仿宋_GB2312"/>
          <w:szCs w:val="32"/>
        </w:rPr>
        <w:t>（图7：“三公”经费财政拨款支出结构）（饼状图）</w:t>
      </w:r>
    </w:p>
    <w:p>
      <w:pPr>
        <w:ind w:firstLine="640"/>
        <w:jc w:val="center"/>
        <w:rPr>
          <w:rFonts w:ascii="仿宋" w:hAnsi="仿宋" w:eastAsia="仿宋"/>
          <w:szCs w:val="32"/>
        </w:rPr>
      </w:pPr>
      <w:r>
        <w:rPr>
          <w:rFonts w:hint="eastAsia" w:ascii="仿宋" w:hAnsi="仿宋" w:eastAsia="仿宋"/>
          <w:szCs w:val="32"/>
        </w:rPr>
        <w:drawing>
          <wp:inline distT="0" distB="0" distL="114300" distR="114300">
            <wp:extent cx="3238500" cy="2409825"/>
            <wp:effectExtent l="0" t="0" r="0" b="9525"/>
            <wp:docPr id="5" name="图片 5" descr="图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7"/>
                    <pic:cNvPicPr>
                      <a:picLocks noChangeAspect="1"/>
                    </pic:cNvPicPr>
                  </pic:nvPicPr>
                  <pic:blipFill>
                    <a:blip r:embed="rId10"/>
                    <a:stretch>
                      <a:fillRect/>
                    </a:stretch>
                  </pic:blipFill>
                  <pic:spPr>
                    <a:xfrm>
                      <a:off x="0" y="0"/>
                      <a:ext cx="3238500" cy="2409825"/>
                    </a:xfrm>
                    <a:prstGeom prst="rect">
                      <a:avLst/>
                    </a:prstGeom>
                  </pic:spPr>
                </pic:pic>
              </a:graphicData>
            </a:graphic>
          </wp:inline>
        </w:drawing>
      </w:r>
    </w:p>
    <w:p>
      <w:pPr>
        <w:spacing w:line="600" w:lineRule="exact"/>
        <w:ind w:firstLine="640"/>
        <w:rPr>
          <w:rFonts w:ascii="仿宋_GB2312" w:hAnsi="仿宋_GB2312" w:cs="仿宋_GB2312"/>
          <w:b/>
          <w:szCs w:val="32"/>
        </w:rPr>
      </w:pPr>
      <w:r>
        <w:rPr>
          <w:rFonts w:hint="eastAsia" w:ascii="仿宋_GB2312" w:hAnsi="仿宋_GB2312" w:cs="仿宋_GB2312"/>
          <w:b/>
          <w:szCs w:val="32"/>
        </w:rPr>
        <w:t>1.因公出国（境）经费支出</w:t>
      </w:r>
      <w:r>
        <w:rPr>
          <w:rFonts w:hint="eastAsia" w:ascii="仿宋_GB2312" w:hAnsi="仿宋_GB2312" w:cs="仿宋_GB2312"/>
          <w:szCs w:val="32"/>
        </w:rPr>
        <w:t>0万元，</w:t>
      </w:r>
      <w:r>
        <w:rPr>
          <w:rStyle w:val="11"/>
          <w:rFonts w:hint="eastAsia" w:ascii="仿宋_GB2312" w:hAnsi="仿宋_GB2312" w:cs="仿宋_GB2312"/>
          <w:b w:val="0"/>
          <w:bCs/>
          <w:szCs w:val="32"/>
        </w:rPr>
        <w:t>完成预算0%。</w:t>
      </w:r>
      <w:r>
        <w:rPr>
          <w:rFonts w:hint="eastAsia" w:ascii="仿宋_GB2312" w:hAnsi="仿宋_GB2312" w:cs="仿宋_GB2312"/>
          <w:szCs w:val="32"/>
        </w:rPr>
        <w:t>全年安排因公出国（境）团组0次，出国（境）0人。因公出国（境）支出决算比2019年增加/减少0万元，增长/下降0%。。</w:t>
      </w:r>
    </w:p>
    <w:p>
      <w:pPr>
        <w:spacing w:line="600" w:lineRule="exact"/>
        <w:ind w:firstLine="640"/>
        <w:rPr>
          <w:rFonts w:ascii="仿宋_GB2312" w:hAnsi="仿宋_GB2312" w:cs="仿宋_GB2312"/>
          <w:b/>
          <w:szCs w:val="32"/>
        </w:rPr>
      </w:pPr>
      <w:r>
        <w:rPr>
          <w:rFonts w:hint="eastAsia" w:ascii="仿宋_GB2312" w:hAnsi="仿宋_GB2312" w:cs="仿宋_GB2312"/>
          <w:b/>
          <w:szCs w:val="32"/>
        </w:rPr>
        <w:t>2.公务用车购置及运行维护费支出</w:t>
      </w:r>
      <w:r>
        <w:rPr>
          <w:rFonts w:hint="eastAsia" w:ascii="仿宋_GB2312" w:hAnsi="仿宋_GB2312" w:cs="仿宋_GB2312"/>
          <w:szCs w:val="32"/>
        </w:rPr>
        <w:t>0万元,</w:t>
      </w:r>
      <w:r>
        <w:rPr>
          <w:rStyle w:val="11"/>
          <w:rFonts w:hint="eastAsia" w:ascii="仿宋_GB2312" w:hAnsi="仿宋_GB2312" w:cs="仿宋_GB2312"/>
          <w:b w:val="0"/>
          <w:bCs/>
          <w:szCs w:val="32"/>
        </w:rPr>
        <w:t>完成预算0%。</w:t>
      </w:r>
    </w:p>
    <w:p>
      <w:pPr>
        <w:spacing w:line="600" w:lineRule="exact"/>
        <w:ind w:firstLine="640" w:firstLineChars="200"/>
        <w:rPr>
          <w:rFonts w:ascii="仿宋_GB2312" w:hAnsi="仿宋_GB2312" w:cs="仿宋_GB2312"/>
          <w:b/>
          <w:szCs w:val="32"/>
        </w:rPr>
      </w:pPr>
      <w:r>
        <w:rPr>
          <w:rFonts w:hint="eastAsia" w:ascii="仿宋_GB2312" w:hAnsi="仿宋_GB2312" w:cs="仿宋_GB2312"/>
          <w:szCs w:val="32"/>
        </w:rPr>
        <w:t>其中：</w:t>
      </w:r>
      <w:r>
        <w:rPr>
          <w:rFonts w:hint="eastAsia" w:ascii="仿宋_GB2312" w:hAnsi="仿宋_GB2312" w:cs="仿宋_GB2312"/>
          <w:b/>
          <w:szCs w:val="32"/>
        </w:rPr>
        <w:t>公务用车购置支出</w:t>
      </w:r>
      <w:r>
        <w:rPr>
          <w:rFonts w:hint="eastAsia" w:ascii="仿宋_GB2312" w:hAnsi="仿宋_GB2312" w:cs="仿宋_GB2312"/>
          <w:szCs w:val="32"/>
        </w:rPr>
        <w:t>0万元。全年按规定更新购置公务用车0辆，其中：轿车0辆、金额0万元，越野车0辆、金额0万元，载客汽车0辆、金额0万元。截至2020年12月底，单位共有公务用车0辆，其中：轿车0辆、越野车0辆、载客汽车0辆。</w:t>
      </w:r>
    </w:p>
    <w:p>
      <w:pPr>
        <w:spacing w:line="600" w:lineRule="exact"/>
        <w:ind w:firstLine="640"/>
        <w:rPr>
          <w:rFonts w:ascii="仿宋_GB2312" w:hAnsi="仿宋_GB2312" w:cs="仿宋_GB2312"/>
          <w:szCs w:val="32"/>
        </w:rPr>
      </w:pPr>
      <w:r>
        <w:rPr>
          <w:rFonts w:hint="eastAsia" w:ascii="仿宋_GB2312" w:hAnsi="仿宋_GB2312" w:cs="仿宋_GB2312"/>
          <w:b/>
          <w:szCs w:val="32"/>
        </w:rPr>
        <w:t>公务用车运行维护费支出</w:t>
      </w:r>
      <w:r>
        <w:rPr>
          <w:rFonts w:hint="eastAsia" w:ascii="仿宋_GB2312" w:hAnsi="仿宋_GB2312" w:cs="仿宋_GB2312"/>
          <w:szCs w:val="32"/>
        </w:rPr>
        <w:t>0万元。</w:t>
      </w:r>
    </w:p>
    <w:p>
      <w:pPr>
        <w:spacing w:line="600" w:lineRule="exact"/>
        <w:ind w:firstLine="640"/>
        <w:rPr>
          <w:rFonts w:ascii="仿宋_GB2312" w:hAnsi="仿宋_GB2312" w:cs="仿宋_GB2312"/>
          <w:szCs w:val="32"/>
        </w:rPr>
      </w:pPr>
      <w:r>
        <w:rPr>
          <w:rFonts w:hint="eastAsia" w:ascii="仿宋_GB2312" w:hAnsi="仿宋_GB2312" w:cs="仿宋_GB2312"/>
          <w:b/>
          <w:szCs w:val="32"/>
        </w:rPr>
        <w:t>3.公务接待费支出</w:t>
      </w:r>
      <w:r>
        <w:rPr>
          <w:rFonts w:hint="eastAsia" w:ascii="仿宋_GB2312" w:hAnsi="仿宋_GB2312" w:cs="仿宋_GB2312"/>
          <w:szCs w:val="32"/>
        </w:rPr>
        <w:t>1.87万元，</w:t>
      </w:r>
      <w:r>
        <w:rPr>
          <w:rStyle w:val="11"/>
          <w:rFonts w:hint="eastAsia" w:ascii="仿宋_GB2312" w:hAnsi="仿宋_GB2312" w:cs="仿宋_GB2312"/>
          <w:b w:val="0"/>
          <w:bCs/>
          <w:szCs w:val="32"/>
        </w:rPr>
        <w:t>完成预算93.5%。</w:t>
      </w:r>
      <w:r>
        <w:rPr>
          <w:rFonts w:hint="eastAsia" w:ascii="仿宋_GB2312" w:hAnsi="仿宋_GB2312" w:cs="仿宋_GB2312"/>
          <w:szCs w:val="32"/>
        </w:rPr>
        <w:t>公务接待费支出决算比2019年减少0.18万元，下降8.9%。厉行节约，压缩三公经费的开支。</w:t>
      </w:r>
    </w:p>
    <w:p>
      <w:pPr>
        <w:spacing w:line="600" w:lineRule="exact"/>
        <w:ind w:firstLine="640"/>
        <w:rPr>
          <w:rFonts w:ascii="仿宋_GB2312" w:hAnsi="仿宋_GB2312" w:cs="仿宋_GB2312"/>
          <w:szCs w:val="32"/>
        </w:rPr>
      </w:pPr>
      <w:r>
        <w:rPr>
          <w:rFonts w:hint="eastAsia" w:ascii="仿宋_GB2312" w:hAnsi="仿宋_GB2312" w:cs="仿宋_GB2312"/>
          <w:szCs w:val="32"/>
        </w:rPr>
        <w:t>其中：</w:t>
      </w:r>
    </w:p>
    <w:p>
      <w:pPr>
        <w:spacing w:line="600" w:lineRule="exact"/>
        <w:ind w:firstLine="640"/>
        <w:rPr>
          <w:rFonts w:ascii="仿宋_GB2312" w:hAnsi="仿宋_GB2312" w:cs="仿宋_GB2312"/>
          <w:szCs w:val="32"/>
        </w:rPr>
      </w:pPr>
      <w:r>
        <w:rPr>
          <w:rFonts w:hint="eastAsia" w:ascii="仿宋_GB2312" w:hAnsi="仿宋_GB2312" w:cs="仿宋_GB2312"/>
          <w:szCs w:val="32"/>
        </w:rPr>
        <w:t>国内公务接待支出1.87万元，主要用于执行公务用餐费等。国内公务接待5批次，180人次（含检查工作餐、不包括陪同人员），共计支出1.87万元，具体内容包括：人口普查、工业经济调研等。</w:t>
      </w:r>
    </w:p>
    <w:p>
      <w:pPr>
        <w:spacing w:line="600" w:lineRule="exact"/>
        <w:ind w:firstLine="643" w:firstLineChars="200"/>
        <w:rPr>
          <w:rFonts w:ascii="仿宋_GB2312" w:hAnsi="仿宋_GB2312" w:cs="仿宋_GB2312"/>
          <w:szCs w:val="32"/>
        </w:rPr>
      </w:pPr>
      <w:r>
        <w:rPr>
          <w:rFonts w:hint="eastAsia" w:ascii="仿宋_GB2312" w:hAnsi="仿宋_GB2312" w:cs="仿宋_GB2312"/>
          <w:b/>
          <w:szCs w:val="32"/>
        </w:rPr>
        <w:t>外事接待支出</w:t>
      </w:r>
      <w:r>
        <w:rPr>
          <w:rFonts w:hint="eastAsia" w:ascii="仿宋_GB2312" w:hAnsi="仿宋_GB2312" w:cs="仿宋_GB2312"/>
          <w:szCs w:val="32"/>
        </w:rPr>
        <w:t>0万元，外事接待0批次，0人，共计支出0万元。</w:t>
      </w:r>
      <w:bookmarkStart w:id="43" w:name="_Toc15396610"/>
      <w:bookmarkStart w:id="44" w:name="_Toc15377218"/>
    </w:p>
    <w:p>
      <w:pPr>
        <w:spacing w:line="600" w:lineRule="exact"/>
        <w:ind w:firstLine="640" w:firstLineChars="200"/>
        <w:outlineLvl w:val="1"/>
        <w:rPr>
          <w:rStyle w:val="14"/>
          <w:rFonts w:ascii="黑体" w:hAnsi="黑体" w:eastAsia="黑体"/>
        </w:rPr>
      </w:pPr>
      <w:bookmarkStart w:id="45" w:name="_Toc9843"/>
      <w:r>
        <w:rPr>
          <w:rFonts w:hint="eastAsia" w:ascii="黑体" w:eastAsia="黑体"/>
          <w:szCs w:val="32"/>
        </w:rPr>
        <w:t>八、</w:t>
      </w:r>
      <w:r>
        <w:rPr>
          <w:rStyle w:val="14"/>
          <w:rFonts w:hint="eastAsia" w:ascii="黑体" w:hAnsi="黑体" w:eastAsia="黑体"/>
          <w:b w:val="0"/>
        </w:rPr>
        <w:t>政府性基金预算支出决算情况说明</w:t>
      </w:r>
      <w:bookmarkEnd w:id="43"/>
      <w:bookmarkEnd w:id="44"/>
      <w:bookmarkEnd w:id="45"/>
    </w:p>
    <w:p>
      <w:pPr>
        <w:spacing w:line="600" w:lineRule="exact"/>
        <w:ind w:firstLine="640" w:firstLineChars="200"/>
        <w:rPr>
          <w:rFonts w:ascii="仿宋_GB2312"/>
          <w:szCs w:val="32"/>
        </w:rPr>
      </w:pPr>
      <w:r>
        <w:rPr>
          <w:rFonts w:ascii="仿宋_GB2312"/>
          <w:szCs w:val="32"/>
        </w:rPr>
        <w:t>2020</w:t>
      </w:r>
      <w:r>
        <w:rPr>
          <w:rFonts w:hint="eastAsia" w:ascii="仿宋_GB2312"/>
          <w:szCs w:val="32"/>
        </w:rPr>
        <w:t>年政府性基金预算拨款支出0万元。</w:t>
      </w:r>
    </w:p>
    <w:p>
      <w:pPr>
        <w:spacing w:line="600" w:lineRule="exact"/>
        <w:ind w:firstLine="640" w:firstLineChars="200"/>
        <w:outlineLvl w:val="1"/>
        <w:rPr>
          <w:rStyle w:val="14"/>
          <w:rFonts w:ascii="黑体" w:hAnsi="黑体" w:eastAsia="黑体"/>
          <w:b w:val="0"/>
        </w:rPr>
      </w:pPr>
      <w:bookmarkStart w:id="46" w:name="_Toc15396611"/>
      <w:bookmarkStart w:id="47" w:name="_Toc15377219"/>
      <w:bookmarkStart w:id="48" w:name="_Toc10775"/>
      <w:r>
        <w:rPr>
          <w:rStyle w:val="14"/>
          <w:rFonts w:hint="eastAsia" w:ascii="黑体" w:hAnsi="黑体" w:eastAsia="黑体"/>
          <w:b w:val="0"/>
        </w:rPr>
        <w:t>九、国有资本经营预算支出决算情况说明</w:t>
      </w:r>
      <w:bookmarkEnd w:id="46"/>
      <w:bookmarkEnd w:id="47"/>
      <w:bookmarkEnd w:id="48"/>
    </w:p>
    <w:p>
      <w:pPr>
        <w:spacing w:line="600" w:lineRule="exact"/>
        <w:ind w:firstLine="640"/>
        <w:rPr>
          <w:rFonts w:ascii="方正小标宋简体" w:hAnsi="方正小标宋简体" w:eastAsia="方正小标宋简体" w:cs="方正小标宋简体"/>
          <w:sz w:val="44"/>
          <w:szCs w:val="44"/>
        </w:rPr>
      </w:pPr>
      <w:r>
        <w:rPr>
          <w:rFonts w:ascii="仿宋_GB2312"/>
          <w:szCs w:val="32"/>
        </w:rPr>
        <w:t>2020</w:t>
      </w:r>
      <w:r>
        <w:rPr>
          <w:rFonts w:hint="eastAsia" w:ascii="仿宋_GB2312"/>
          <w:szCs w:val="32"/>
        </w:rPr>
        <w:t>年国有资本经营预算拨款支出0万元。</w:t>
      </w:r>
    </w:p>
    <w:p>
      <w:pPr>
        <w:spacing w:line="600" w:lineRule="exact"/>
        <w:ind w:firstLine="800" w:firstLineChars="250"/>
        <w:outlineLvl w:val="1"/>
        <w:rPr>
          <w:rStyle w:val="14"/>
          <w:rFonts w:ascii="黑体" w:hAnsi="黑体" w:eastAsia="黑体"/>
        </w:rPr>
      </w:pPr>
      <w:bookmarkStart w:id="49" w:name="_Toc15396612"/>
      <w:bookmarkStart w:id="50" w:name="_Toc15377221"/>
      <w:bookmarkStart w:id="51" w:name="_Toc738"/>
      <w:r>
        <w:rPr>
          <w:rFonts w:hint="eastAsia" w:ascii="黑体" w:hAnsi="黑体" w:eastAsia="黑体"/>
          <w:szCs w:val="32"/>
        </w:rPr>
        <w:t>十</w:t>
      </w:r>
      <w:r>
        <w:rPr>
          <w:rStyle w:val="14"/>
          <w:rFonts w:hint="eastAsia" w:ascii="黑体" w:hAnsi="黑体" w:eastAsia="黑体"/>
        </w:rPr>
        <w:t>、</w:t>
      </w:r>
      <w:r>
        <w:rPr>
          <w:rStyle w:val="14"/>
          <w:rFonts w:hint="eastAsia" w:ascii="黑体" w:hAnsi="黑体" w:eastAsia="黑体"/>
          <w:b w:val="0"/>
        </w:rPr>
        <w:t>其他重要事项的情况说明</w:t>
      </w:r>
      <w:bookmarkEnd w:id="49"/>
      <w:bookmarkEnd w:id="50"/>
      <w:bookmarkEnd w:id="51"/>
    </w:p>
    <w:p>
      <w:pPr>
        <w:spacing w:line="600" w:lineRule="exact"/>
        <w:ind w:firstLine="643" w:firstLineChars="200"/>
        <w:outlineLvl w:val="2"/>
        <w:rPr>
          <w:rFonts w:ascii="仿宋_GB2312" w:hAnsi="仿宋_GB2312" w:cs="仿宋_GB2312"/>
          <w:szCs w:val="32"/>
        </w:rPr>
      </w:pPr>
      <w:bookmarkStart w:id="52" w:name="_Toc15377222"/>
      <w:r>
        <w:rPr>
          <w:rFonts w:hint="eastAsia" w:ascii="仿宋_GB2312" w:hAnsi="仿宋_GB2312" w:cs="仿宋_GB2312"/>
          <w:b/>
          <w:szCs w:val="32"/>
        </w:rPr>
        <w:t>（一）机关运行经费支出情况</w:t>
      </w:r>
      <w:bookmarkEnd w:id="52"/>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2020年，自流井区统计局机关运行经费支出26.74万元，比2019年增加17.82万元，增长99.8%。主要原因是2020年购买了50台PAD等设备用于开展第七次全国人口普查。</w:t>
      </w:r>
    </w:p>
    <w:p>
      <w:pPr>
        <w:autoSpaceDE w:val="0"/>
        <w:autoSpaceDN w:val="0"/>
        <w:adjustRightInd w:val="0"/>
        <w:spacing w:line="600" w:lineRule="exact"/>
        <w:ind w:firstLine="643" w:firstLineChars="200"/>
        <w:jc w:val="left"/>
        <w:outlineLvl w:val="2"/>
        <w:rPr>
          <w:rFonts w:ascii="仿宋_GB2312" w:hAnsi="仿宋_GB2312" w:cs="仿宋_GB2312"/>
          <w:b/>
          <w:szCs w:val="32"/>
        </w:rPr>
      </w:pPr>
      <w:bookmarkStart w:id="53" w:name="_Toc15377223"/>
      <w:r>
        <w:rPr>
          <w:rFonts w:hint="eastAsia" w:ascii="仿宋_GB2312" w:hAnsi="仿宋_GB2312" w:cs="仿宋_GB2312"/>
          <w:b/>
          <w:szCs w:val="32"/>
        </w:rPr>
        <w:t>（二）政府采购支出情况</w:t>
      </w:r>
      <w:bookmarkEnd w:id="53"/>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2020年，自流井区统计局政府采购支出总额11.26万元，其中：政府采购货物支出11.26万元、政府采购工程支出0万元、政府采购服务支出0万元。主要用于开展第七次全国人口普查。授予中小企业合同金额11.26万元，占政府采购支出总额的100%，其中：授予小微企业合同金额11.26万元，占政府采购支出总额的100%。</w:t>
      </w:r>
    </w:p>
    <w:p>
      <w:pPr>
        <w:autoSpaceDE w:val="0"/>
        <w:autoSpaceDN w:val="0"/>
        <w:adjustRightInd w:val="0"/>
        <w:spacing w:line="600" w:lineRule="exact"/>
        <w:ind w:firstLine="643" w:firstLineChars="200"/>
        <w:jc w:val="left"/>
        <w:outlineLvl w:val="2"/>
        <w:rPr>
          <w:rFonts w:ascii="仿宋_GB2312" w:hAnsi="仿宋_GB2312" w:cs="仿宋_GB2312"/>
          <w:b/>
          <w:szCs w:val="32"/>
        </w:rPr>
      </w:pPr>
      <w:bookmarkStart w:id="54" w:name="_Toc15377224"/>
      <w:r>
        <w:rPr>
          <w:rFonts w:hint="eastAsia" w:ascii="仿宋_GB2312" w:hAnsi="仿宋_GB2312" w:cs="仿宋_GB2312"/>
          <w:b/>
          <w:szCs w:val="32"/>
        </w:rPr>
        <w:t>（三）国有资产占有使用情况</w:t>
      </w:r>
      <w:bookmarkEnd w:id="54"/>
    </w:p>
    <w:p>
      <w:pPr>
        <w:autoSpaceDE w:val="0"/>
        <w:autoSpaceDN w:val="0"/>
        <w:adjustRightInd w:val="0"/>
        <w:spacing w:line="600" w:lineRule="exact"/>
        <w:ind w:firstLine="640" w:firstLineChars="200"/>
        <w:jc w:val="left"/>
        <w:rPr>
          <w:rFonts w:ascii="仿宋_GB2312" w:hAnsi="仿宋_GB2312" w:cs="仿宋_GB2312"/>
          <w:b/>
          <w:szCs w:val="32"/>
        </w:rPr>
      </w:pPr>
      <w:r>
        <w:rPr>
          <w:rFonts w:hint="eastAsia" w:ascii="仿宋_GB2312" w:hAnsi="仿宋_GB2312" w:cs="仿宋_GB2312"/>
          <w:szCs w:val="32"/>
        </w:rPr>
        <w:t>截至2020年12月31日，自流井区统计局共有车辆0辆。</w:t>
      </w:r>
    </w:p>
    <w:p>
      <w:pPr>
        <w:autoSpaceDE w:val="0"/>
        <w:autoSpaceDN w:val="0"/>
        <w:adjustRightInd w:val="0"/>
        <w:spacing w:line="600" w:lineRule="exact"/>
        <w:ind w:firstLine="643" w:firstLineChars="200"/>
        <w:jc w:val="left"/>
        <w:outlineLvl w:val="2"/>
        <w:rPr>
          <w:rFonts w:ascii="仿宋_GB2312" w:hAnsi="仿宋_GB2312" w:cs="仿宋_GB2312"/>
          <w:b/>
          <w:szCs w:val="32"/>
        </w:rPr>
      </w:pPr>
      <w:r>
        <w:rPr>
          <w:rFonts w:hint="eastAsia" w:ascii="仿宋_GB2312" w:hAnsi="仿宋_GB2312" w:cs="仿宋_GB2312"/>
          <w:b/>
          <w:szCs w:val="32"/>
        </w:rPr>
        <w:t>（四）预算绩效管理情况。</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根据预算绩效管理要求，本部门（单位）在年初预算编制阶段，组织对第四次全国人口普查、第七次全国人口普查、城乡居民收入调查、名录库维护及限下单位抽样调查、人口抽样调查项目、企业用工调查、人口普查设备采购开展了预算事前绩效评估，对8个项目编制了绩效目标，预算执行过程中，选取8个项目开展绩效监控，年终执行完毕后，对1个项目开展了绩效目标完成情况自评。</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 xml:space="preserve">本部门按要求对2020年部门整体支出开展绩效自评，从评价情况来看，2020 年我局部门整体支出绩效自查自评结 果良好，全年基本支出保证了部门的正常运转，项目支出保障了重点工作的开展。本单位还自行组织了 1 个项目支出绩效 评价，从评价情况来看总体评价良好，保障了项目工作的顺 利开展。 </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1.项目绩效目标完成情况。</w:t>
      </w:r>
      <w:r>
        <w:rPr>
          <w:rFonts w:hint="eastAsia" w:ascii="仿宋_GB2312" w:hAnsi="仿宋_GB2312" w:cs="仿宋_GB2312"/>
          <w:szCs w:val="32"/>
        </w:rPr>
        <w:br w:type="textWrapping"/>
      </w:r>
      <w:r>
        <w:rPr>
          <w:rFonts w:hint="eastAsia" w:ascii="仿宋_GB2312" w:hAnsi="仿宋_GB2312" w:cs="仿宋_GB2312"/>
          <w:szCs w:val="32"/>
        </w:rPr>
        <w:t xml:space="preserve">   本部门在 2020 年度部门决算中反映“第四次全国经济普查”等 1 个项目绩效目标实际完成情况。 </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（1）第四次全国经济普查项目绩效目标完成情况综述。 项目全年预算数22万元，执行数为 22 万元，完成预算的 100%。 通过项目实施，保障提高了效率，加快了资金支付。</w:t>
      </w:r>
    </w:p>
    <w:tbl>
      <w:tblPr>
        <w:tblStyle w:val="9"/>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998"/>
        <w:gridCol w:w="759"/>
        <w:gridCol w:w="1971"/>
        <w:gridCol w:w="1860"/>
        <w:gridCol w:w="2655"/>
        <w:gridCol w:w="1717"/>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single" w:color="000000" w:sz="4" w:space="0"/>
              <w:right w:val="nil"/>
            </w:tcBorders>
            <w:tcMar>
              <w:top w:w="15" w:type="dxa"/>
              <w:left w:w="15" w:type="dxa"/>
              <w:right w:w="15" w:type="dxa"/>
            </w:tcMar>
            <w:vAlign w:val="center"/>
          </w:tcPr>
          <w:p>
            <w:pPr>
              <w:widowControl/>
              <w:jc w:val="center"/>
              <w:textAlignment w:val="center"/>
              <w:rPr>
                <w:rFonts w:ascii="宋体" w:cs="宋体"/>
                <w:sz w:val="36"/>
                <w:szCs w:val="36"/>
              </w:rPr>
            </w:pPr>
            <w:r>
              <w:rPr>
                <w:rFonts w:hint="eastAsia" w:ascii="宋体" w:hAnsi="宋体" w:cs="宋体"/>
                <w:b/>
                <w:bCs/>
                <w:kern w:val="0"/>
                <w:sz w:val="36"/>
                <w:szCs w:val="36"/>
                <w:lang w:bidi="ar"/>
              </w:rPr>
              <w:t>项目绩效目标完成情况表</w:t>
            </w:r>
            <w:r>
              <w:rPr>
                <w:rFonts w:ascii="宋体" w:cs="宋体"/>
                <w:b/>
                <w:bCs/>
                <w:kern w:val="0"/>
                <w:sz w:val="36"/>
                <w:szCs w:val="36"/>
                <w:lang w:bidi="ar"/>
              </w:rPr>
              <w:br w:type="textWrapping"/>
            </w:r>
            <w:r>
              <w:rPr>
                <w:rFonts w:ascii="宋体" w:hAnsi="宋体" w:cs="宋体"/>
                <w:kern w:val="0"/>
                <w:sz w:val="36"/>
                <w:szCs w:val="36"/>
                <w:lang w:bidi="ar"/>
              </w:rPr>
              <w:t>(2020</w:t>
            </w:r>
            <w:r>
              <w:rPr>
                <w:rFonts w:hint="eastAsia" w:ascii="宋体" w:hAnsi="宋体" w:cs="宋体"/>
                <w:kern w:val="0"/>
                <w:sz w:val="36"/>
                <w:szCs w:val="36"/>
                <w:lang w:bidi="ar"/>
              </w:rPr>
              <w:t>年度</w:t>
            </w:r>
            <w:r>
              <w:rPr>
                <w:rFonts w:ascii="宋体" w:hAnsi="宋体" w:cs="宋体"/>
                <w:kern w:val="0"/>
                <w:sz w:val="36"/>
                <w:szCs w:val="36"/>
                <w:lang w:bidi="ar"/>
              </w:rPr>
              <w:t>)</w:t>
            </w:r>
          </w:p>
        </w:tc>
      </w:tr>
      <w:tr>
        <w:tblPrEx>
          <w:tblCellMar>
            <w:top w:w="0" w:type="dxa"/>
            <w:left w:w="0" w:type="dxa"/>
            <w:bottom w:w="0" w:type="dxa"/>
            <w:right w:w="0" w:type="dxa"/>
          </w:tblCellMar>
        </w:tblPrEx>
        <w:trPr>
          <w:trHeight w:val="276" w:hRule="atLeast"/>
          <w:jc w:val="center"/>
        </w:trPr>
        <w:tc>
          <w:tcPr>
            <w:tcW w:w="372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项目名称</w:t>
            </w:r>
          </w:p>
        </w:tc>
        <w:tc>
          <w:tcPr>
            <w:tcW w:w="623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第四次全国经济普查</w:t>
            </w:r>
          </w:p>
        </w:tc>
      </w:tr>
      <w:tr>
        <w:tblPrEx>
          <w:tblCellMar>
            <w:top w:w="0" w:type="dxa"/>
            <w:left w:w="0" w:type="dxa"/>
            <w:bottom w:w="0" w:type="dxa"/>
            <w:right w:w="0" w:type="dxa"/>
          </w:tblCellMar>
        </w:tblPrEx>
        <w:trPr>
          <w:trHeight w:val="276" w:hRule="atLeast"/>
          <w:jc w:val="center"/>
        </w:trPr>
        <w:tc>
          <w:tcPr>
            <w:tcW w:w="372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预算单位</w:t>
            </w:r>
          </w:p>
        </w:tc>
        <w:tc>
          <w:tcPr>
            <w:tcW w:w="623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自贡市自流井区统计局</w:t>
            </w:r>
          </w:p>
        </w:tc>
      </w:tr>
      <w:tr>
        <w:tblPrEx>
          <w:tblCellMar>
            <w:top w:w="0" w:type="dxa"/>
            <w:left w:w="0" w:type="dxa"/>
            <w:bottom w:w="0" w:type="dxa"/>
            <w:right w:w="0" w:type="dxa"/>
          </w:tblCellMar>
        </w:tblPrEx>
        <w:trPr>
          <w:trHeight w:val="276" w:hRule="atLeast"/>
          <w:jc w:val="center"/>
        </w:trPr>
        <w:tc>
          <w:tcPr>
            <w:tcW w:w="99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预算执行情况</w:t>
            </w:r>
            <w:r>
              <w:rPr>
                <w:rFonts w:ascii="宋体" w:hAnsi="宋体" w:cs="宋体"/>
                <w:kern w:val="0"/>
                <w:sz w:val="24"/>
                <w:lang w:bidi="ar"/>
              </w:rPr>
              <w:t>(</w:t>
            </w:r>
            <w:r>
              <w:rPr>
                <w:rFonts w:hint="eastAsia" w:ascii="宋体" w:hAnsi="宋体" w:cs="宋体"/>
                <w:kern w:val="0"/>
                <w:sz w:val="24"/>
                <w:lang w:bidi="ar"/>
              </w:rPr>
              <w:t>万元</w:t>
            </w:r>
            <w:r>
              <w:rPr>
                <w:rFonts w:ascii="宋体" w:hAnsi="宋体" w:cs="宋体"/>
                <w:kern w:val="0"/>
                <w:sz w:val="24"/>
                <w:lang w:bidi="ar"/>
              </w:rPr>
              <w:t>)</w:t>
            </w:r>
          </w:p>
        </w:tc>
        <w:tc>
          <w:tcPr>
            <w:tcW w:w="273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预算数</w:t>
            </w:r>
            <w:r>
              <w:rPr>
                <w:rFonts w:ascii="宋体" w:hAnsi="宋体" w:cs="宋体"/>
                <w:kern w:val="0"/>
                <w:sz w:val="24"/>
                <w:lang w:bidi="ar"/>
              </w:rPr>
              <w:t>:</w:t>
            </w:r>
          </w:p>
        </w:tc>
        <w:tc>
          <w:tcPr>
            <w:tcW w:w="18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22</w:t>
            </w:r>
          </w:p>
        </w:tc>
        <w:tc>
          <w:tcPr>
            <w:tcW w:w="2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执行数</w:t>
            </w:r>
            <w:r>
              <w:rPr>
                <w:rFonts w:ascii="宋体" w:hAnsi="宋体" w:cs="宋体"/>
                <w:kern w:val="0"/>
                <w:sz w:val="24"/>
                <w:lang w:bidi="ar"/>
              </w:rPr>
              <w:t>:</w:t>
            </w:r>
          </w:p>
        </w:tc>
        <w:tc>
          <w:tcPr>
            <w:tcW w:w="17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22</w:t>
            </w:r>
          </w:p>
        </w:tc>
      </w:tr>
      <w:tr>
        <w:tblPrEx>
          <w:tblCellMar>
            <w:top w:w="0" w:type="dxa"/>
            <w:left w:w="0" w:type="dxa"/>
            <w:bottom w:w="0" w:type="dxa"/>
            <w:right w:w="0" w:type="dxa"/>
          </w:tblCellMar>
        </w:tblPrEx>
        <w:trPr>
          <w:trHeight w:val="276" w:hRule="atLeast"/>
          <w:jc w:val="center"/>
        </w:trPr>
        <w:tc>
          <w:tcPr>
            <w:tcW w:w="99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sz w:val="24"/>
              </w:rPr>
            </w:pPr>
          </w:p>
        </w:tc>
        <w:tc>
          <w:tcPr>
            <w:tcW w:w="273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其中</w:t>
            </w:r>
            <w:r>
              <w:rPr>
                <w:rFonts w:ascii="宋体" w:cs="宋体"/>
                <w:kern w:val="0"/>
                <w:sz w:val="24"/>
                <w:lang w:bidi="ar"/>
              </w:rPr>
              <w:t>-</w:t>
            </w:r>
            <w:r>
              <w:rPr>
                <w:rFonts w:hint="eastAsia" w:ascii="宋体" w:hAnsi="宋体" w:cs="宋体"/>
                <w:kern w:val="0"/>
                <w:sz w:val="24"/>
                <w:lang w:bidi="ar"/>
              </w:rPr>
              <w:t>财政拨款</w:t>
            </w:r>
            <w:r>
              <w:rPr>
                <w:rFonts w:ascii="宋体" w:hAnsi="宋体" w:cs="宋体"/>
                <w:kern w:val="0"/>
                <w:sz w:val="24"/>
                <w:lang w:bidi="ar"/>
              </w:rPr>
              <w:t>:</w:t>
            </w:r>
          </w:p>
        </w:tc>
        <w:tc>
          <w:tcPr>
            <w:tcW w:w="18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22</w:t>
            </w:r>
          </w:p>
        </w:tc>
        <w:tc>
          <w:tcPr>
            <w:tcW w:w="2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其中</w:t>
            </w:r>
            <w:r>
              <w:rPr>
                <w:rFonts w:ascii="宋体" w:cs="宋体"/>
                <w:kern w:val="0"/>
                <w:sz w:val="24"/>
                <w:lang w:bidi="ar"/>
              </w:rPr>
              <w:t>-</w:t>
            </w:r>
            <w:r>
              <w:rPr>
                <w:rFonts w:hint="eastAsia" w:ascii="宋体" w:hAnsi="宋体" w:cs="宋体"/>
                <w:kern w:val="0"/>
                <w:sz w:val="24"/>
                <w:lang w:bidi="ar"/>
              </w:rPr>
              <w:t>财政拨款</w:t>
            </w:r>
            <w:r>
              <w:rPr>
                <w:rFonts w:ascii="宋体" w:hAnsi="宋体" w:cs="宋体"/>
                <w:kern w:val="0"/>
                <w:sz w:val="24"/>
                <w:lang w:bidi="ar"/>
              </w:rPr>
              <w:t>:</w:t>
            </w:r>
          </w:p>
        </w:tc>
        <w:tc>
          <w:tcPr>
            <w:tcW w:w="17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22</w:t>
            </w:r>
          </w:p>
        </w:tc>
      </w:tr>
      <w:tr>
        <w:tblPrEx>
          <w:tblCellMar>
            <w:top w:w="0" w:type="dxa"/>
            <w:left w:w="0" w:type="dxa"/>
            <w:bottom w:w="0" w:type="dxa"/>
            <w:right w:w="0" w:type="dxa"/>
          </w:tblCellMar>
        </w:tblPrEx>
        <w:trPr>
          <w:trHeight w:val="1036" w:hRule="atLeast"/>
          <w:jc w:val="center"/>
        </w:trPr>
        <w:tc>
          <w:tcPr>
            <w:tcW w:w="99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sz w:val="24"/>
              </w:rPr>
            </w:pPr>
          </w:p>
        </w:tc>
        <w:tc>
          <w:tcPr>
            <w:tcW w:w="273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其它资金</w:t>
            </w:r>
            <w:r>
              <w:rPr>
                <w:rFonts w:ascii="宋体" w:hAnsi="宋体" w:cs="宋体"/>
                <w:kern w:val="0"/>
                <w:sz w:val="24"/>
                <w:lang w:bidi="ar"/>
              </w:rPr>
              <w:t>:</w:t>
            </w:r>
          </w:p>
        </w:tc>
        <w:tc>
          <w:tcPr>
            <w:tcW w:w="18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0</w:t>
            </w:r>
          </w:p>
        </w:tc>
        <w:tc>
          <w:tcPr>
            <w:tcW w:w="2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其它资金</w:t>
            </w:r>
            <w:r>
              <w:rPr>
                <w:rFonts w:ascii="宋体" w:hAnsi="宋体" w:cs="宋体"/>
                <w:kern w:val="0"/>
                <w:sz w:val="24"/>
                <w:lang w:bidi="ar"/>
              </w:rPr>
              <w:t>:</w:t>
            </w:r>
          </w:p>
        </w:tc>
        <w:tc>
          <w:tcPr>
            <w:tcW w:w="17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sz w:val="24"/>
              </w:rPr>
            </w:pPr>
            <w:r>
              <w:rPr>
                <w:rFonts w:hint="eastAsia" w:ascii="宋体" w:cs="宋体"/>
                <w:sz w:val="24"/>
              </w:rPr>
              <w:t>0</w:t>
            </w:r>
          </w:p>
        </w:tc>
      </w:tr>
      <w:tr>
        <w:tblPrEx>
          <w:tblCellMar>
            <w:top w:w="0" w:type="dxa"/>
            <w:left w:w="0" w:type="dxa"/>
            <w:bottom w:w="0" w:type="dxa"/>
            <w:right w:w="0" w:type="dxa"/>
          </w:tblCellMar>
        </w:tblPrEx>
        <w:trPr>
          <w:trHeight w:val="276" w:hRule="atLeast"/>
          <w:jc w:val="center"/>
        </w:trPr>
        <w:tc>
          <w:tcPr>
            <w:tcW w:w="99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年度目标完成情况</w:t>
            </w:r>
          </w:p>
        </w:tc>
        <w:tc>
          <w:tcPr>
            <w:tcW w:w="459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预期目标</w:t>
            </w:r>
          </w:p>
        </w:tc>
        <w:tc>
          <w:tcPr>
            <w:tcW w:w="437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99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sz w:val="24"/>
              </w:rPr>
            </w:pPr>
          </w:p>
        </w:tc>
        <w:tc>
          <w:tcPr>
            <w:tcW w:w="459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exact"/>
              <w:jc w:val="center"/>
              <w:rPr>
                <w:rFonts w:ascii="宋体" w:hAnsi="宋体" w:eastAsia="宋体" w:cs="宋体"/>
                <w:kern w:val="0"/>
                <w:sz w:val="15"/>
                <w:szCs w:val="15"/>
              </w:rPr>
            </w:pPr>
            <w:r>
              <w:rPr>
                <w:rFonts w:ascii="宋体" w:hAnsi="宋体" w:eastAsia="宋体" w:cs="宋体"/>
                <w:kern w:val="0"/>
                <w:sz w:val="15"/>
                <w:szCs w:val="15"/>
              </w:rPr>
              <w:t>全面摸清第二产业和第三产业的发展情况</w:t>
            </w:r>
          </w:p>
        </w:tc>
        <w:tc>
          <w:tcPr>
            <w:tcW w:w="437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exact"/>
              <w:jc w:val="center"/>
              <w:rPr>
                <w:rFonts w:ascii="宋体" w:hAnsi="宋体" w:eastAsia="宋体" w:cs="宋体"/>
                <w:kern w:val="0"/>
                <w:sz w:val="15"/>
                <w:szCs w:val="15"/>
              </w:rPr>
            </w:pPr>
            <w:r>
              <w:rPr>
                <w:rFonts w:ascii="宋体" w:hAnsi="宋体" w:eastAsia="宋体" w:cs="宋体"/>
                <w:kern w:val="0"/>
                <w:sz w:val="15"/>
                <w:szCs w:val="15"/>
              </w:rPr>
              <w:t>全面准确的摸清第二产业和第三产业的发展规模、布局和效益等方面情况</w:t>
            </w:r>
          </w:p>
        </w:tc>
      </w:tr>
      <w:tr>
        <w:tblPrEx>
          <w:tblCellMar>
            <w:top w:w="0" w:type="dxa"/>
            <w:left w:w="0" w:type="dxa"/>
            <w:bottom w:w="0" w:type="dxa"/>
            <w:right w:w="0" w:type="dxa"/>
          </w:tblCellMar>
        </w:tblPrEx>
        <w:trPr>
          <w:trHeight w:val="1042" w:hRule="atLeast"/>
          <w:jc w:val="center"/>
        </w:trPr>
        <w:tc>
          <w:tcPr>
            <w:tcW w:w="99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sz w:val="24"/>
              </w:rPr>
              <w:t>绩效指标完成情况</w:t>
            </w:r>
          </w:p>
        </w:tc>
        <w:tc>
          <w:tcPr>
            <w:tcW w:w="7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一级指标</w:t>
            </w:r>
          </w:p>
        </w:tc>
        <w:tc>
          <w:tcPr>
            <w:tcW w:w="19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二级指标</w:t>
            </w:r>
          </w:p>
        </w:tc>
        <w:tc>
          <w:tcPr>
            <w:tcW w:w="18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三级指标</w:t>
            </w:r>
          </w:p>
        </w:tc>
        <w:tc>
          <w:tcPr>
            <w:tcW w:w="2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预期指标值</w:t>
            </w:r>
            <w:r>
              <w:rPr>
                <w:rFonts w:ascii="宋体" w:hAnsi="宋体" w:cs="宋体"/>
                <w:kern w:val="0"/>
                <w:sz w:val="24"/>
                <w:lang w:bidi="ar"/>
              </w:rPr>
              <w:t>(</w:t>
            </w:r>
            <w:r>
              <w:rPr>
                <w:rFonts w:hint="eastAsia" w:ascii="宋体" w:hAnsi="宋体" w:cs="宋体"/>
                <w:kern w:val="0"/>
                <w:sz w:val="24"/>
                <w:lang w:bidi="ar"/>
              </w:rPr>
              <w:t>包含数字及文字描述</w:t>
            </w:r>
            <w:r>
              <w:rPr>
                <w:rFonts w:ascii="宋体" w:hAnsi="宋体" w:cs="宋体"/>
                <w:kern w:val="0"/>
                <w:sz w:val="24"/>
                <w:lang w:bidi="ar"/>
              </w:rPr>
              <w:t>)</w:t>
            </w:r>
          </w:p>
        </w:tc>
        <w:tc>
          <w:tcPr>
            <w:tcW w:w="17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实际完成指标值</w:t>
            </w:r>
            <w:r>
              <w:rPr>
                <w:rFonts w:ascii="宋体" w:hAnsi="宋体" w:cs="宋体"/>
                <w:kern w:val="0"/>
                <w:sz w:val="24"/>
                <w:lang w:bidi="ar"/>
              </w:rPr>
              <w:t>(</w:t>
            </w:r>
            <w:r>
              <w:rPr>
                <w:rFonts w:hint="eastAsia" w:ascii="宋体" w:hAnsi="宋体" w:cs="宋体"/>
                <w:kern w:val="0"/>
                <w:sz w:val="24"/>
                <w:lang w:bidi="ar"/>
              </w:rPr>
              <w:t>包含数字及文字描述</w:t>
            </w:r>
            <w:r>
              <w:rPr>
                <w:rFonts w:ascii="宋体" w:hAnsi="宋体" w:cs="宋体"/>
                <w:kern w:val="0"/>
                <w:sz w:val="24"/>
                <w:lang w:bidi="ar"/>
              </w:rPr>
              <w:t>)</w:t>
            </w:r>
          </w:p>
        </w:tc>
      </w:tr>
      <w:tr>
        <w:tblPrEx>
          <w:tblCellMar>
            <w:top w:w="0" w:type="dxa"/>
            <w:left w:w="0" w:type="dxa"/>
            <w:bottom w:w="0" w:type="dxa"/>
            <w:right w:w="0" w:type="dxa"/>
          </w:tblCellMar>
        </w:tblPrEx>
        <w:trPr>
          <w:trHeight w:val="953" w:hRule="atLeast"/>
          <w:jc w:val="center"/>
        </w:trPr>
        <w:tc>
          <w:tcPr>
            <w:tcW w:w="99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p>
        </w:tc>
        <w:tc>
          <w:tcPr>
            <w:tcW w:w="7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项目完成指标</w:t>
            </w:r>
          </w:p>
        </w:tc>
        <w:tc>
          <w:tcPr>
            <w:tcW w:w="19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eastAsia="宋体" w:cs="宋体"/>
                <w:kern w:val="0"/>
                <w:sz w:val="15"/>
                <w:szCs w:val="15"/>
              </w:rPr>
              <w:t>数量指标</w:t>
            </w:r>
          </w:p>
        </w:tc>
        <w:tc>
          <w:tcPr>
            <w:tcW w:w="18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eastAsia="宋体" w:cs="宋体"/>
                <w:kern w:val="0"/>
                <w:sz w:val="15"/>
                <w:szCs w:val="15"/>
              </w:rPr>
              <w:t>进行普查资料的开发利用、编印经济普查资料</w:t>
            </w:r>
          </w:p>
        </w:tc>
        <w:tc>
          <w:tcPr>
            <w:tcW w:w="2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ascii="宋体" w:hAnsi="宋体" w:eastAsia="宋体" w:cs="宋体"/>
                <w:kern w:val="0"/>
                <w:sz w:val="15"/>
                <w:szCs w:val="15"/>
              </w:rPr>
              <w:t>建立和完善经济普查相关数据库</w:t>
            </w:r>
          </w:p>
        </w:tc>
        <w:tc>
          <w:tcPr>
            <w:tcW w:w="17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ascii="宋体" w:hAnsi="宋体" w:eastAsia="宋体" w:cs="宋体"/>
                <w:kern w:val="0"/>
                <w:sz w:val="15"/>
                <w:szCs w:val="15"/>
              </w:rPr>
              <w:t>建立和完善经济普查相关数据库</w:t>
            </w:r>
          </w:p>
        </w:tc>
      </w:tr>
      <w:tr>
        <w:tblPrEx>
          <w:tblCellMar>
            <w:top w:w="0" w:type="dxa"/>
            <w:left w:w="0" w:type="dxa"/>
            <w:bottom w:w="0" w:type="dxa"/>
            <w:right w:w="0" w:type="dxa"/>
          </w:tblCellMar>
        </w:tblPrEx>
        <w:trPr>
          <w:trHeight w:val="1042" w:hRule="atLeast"/>
          <w:jc w:val="center"/>
        </w:trPr>
        <w:tc>
          <w:tcPr>
            <w:tcW w:w="998"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p>
        </w:tc>
        <w:tc>
          <w:tcPr>
            <w:tcW w:w="7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效益指标</w:t>
            </w:r>
          </w:p>
        </w:tc>
        <w:tc>
          <w:tcPr>
            <w:tcW w:w="19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00" w:lineRule="exact"/>
              <w:jc w:val="center"/>
              <w:rPr>
                <w:rFonts w:ascii="宋体" w:hAnsi="宋体" w:eastAsia="宋体" w:cs="宋体"/>
                <w:kern w:val="0"/>
                <w:sz w:val="15"/>
                <w:szCs w:val="15"/>
              </w:rPr>
            </w:pPr>
            <w:r>
              <w:rPr>
                <w:rFonts w:hint="eastAsia" w:ascii="宋体" w:hAnsi="宋体" w:eastAsia="宋体" w:cs="宋体"/>
                <w:kern w:val="0"/>
                <w:sz w:val="15"/>
                <w:szCs w:val="15"/>
              </w:rPr>
              <w:t>社会效益</w:t>
            </w:r>
          </w:p>
          <w:p>
            <w:pPr>
              <w:widowControl/>
              <w:jc w:val="center"/>
              <w:textAlignment w:val="center"/>
              <w:rPr>
                <w:rFonts w:ascii="宋体" w:cs="宋体"/>
                <w:sz w:val="24"/>
              </w:rPr>
            </w:pPr>
            <w:r>
              <w:rPr>
                <w:rFonts w:hint="eastAsia" w:ascii="宋体" w:hAnsi="宋体" w:eastAsia="宋体" w:cs="宋体"/>
                <w:kern w:val="0"/>
                <w:sz w:val="15"/>
                <w:szCs w:val="15"/>
              </w:rPr>
              <w:t>指标</w:t>
            </w:r>
          </w:p>
        </w:tc>
        <w:tc>
          <w:tcPr>
            <w:tcW w:w="18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eastAsia="宋体" w:cs="宋体"/>
                <w:kern w:val="0"/>
                <w:sz w:val="15"/>
                <w:szCs w:val="15"/>
              </w:rPr>
              <w:t>开展研究分析、开展普查总结等工作</w:t>
            </w:r>
          </w:p>
        </w:tc>
        <w:tc>
          <w:tcPr>
            <w:tcW w:w="2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ascii="宋体" w:hAnsi="宋体" w:eastAsia="宋体" w:cs="宋体"/>
                <w:kern w:val="0"/>
                <w:sz w:val="15"/>
                <w:szCs w:val="15"/>
              </w:rPr>
              <w:t>利用经普资料进行宏观分析和专题分析研究等工作</w:t>
            </w:r>
          </w:p>
        </w:tc>
        <w:tc>
          <w:tcPr>
            <w:tcW w:w="17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ascii="宋体" w:hAnsi="宋体" w:eastAsia="宋体" w:cs="宋体"/>
                <w:kern w:val="0"/>
                <w:sz w:val="15"/>
                <w:szCs w:val="15"/>
              </w:rPr>
              <w:t>利用经普资料进行宏观分析和专题分析研究等工作</w:t>
            </w:r>
          </w:p>
        </w:tc>
      </w:tr>
      <w:tr>
        <w:tblPrEx>
          <w:tblCellMar>
            <w:top w:w="0" w:type="dxa"/>
            <w:left w:w="0" w:type="dxa"/>
            <w:bottom w:w="0" w:type="dxa"/>
            <w:right w:w="0" w:type="dxa"/>
          </w:tblCellMar>
        </w:tblPrEx>
        <w:trPr>
          <w:trHeight w:val="1050" w:hRule="atLeast"/>
          <w:jc w:val="center"/>
        </w:trPr>
        <w:tc>
          <w:tcPr>
            <w:tcW w:w="998"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p>
        </w:tc>
        <w:tc>
          <w:tcPr>
            <w:tcW w:w="7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满意度指标</w:t>
            </w:r>
          </w:p>
        </w:tc>
        <w:tc>
          <w:tcPr>
            <w:tcW w:w="19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eastAsia="宋体" w:cs="宋体"/>
                <w:kern w:val="0"/>
                <w:sz w:val="15"/>
                <w:szCs w:val="15"/>
              </w:rPr>
              <w:t>服务对象满意度指标</w:t>
            </w:r>
          </w:p>
        </w:tc>
        <w:tc>
          <w:tcPr>
            <w:tcW w:w="18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eastAsia="宋体" w:cs="宋体"/>
                <w:kern w:val="0"/>
                <w:sz w:val="15"/>
                <w:szCs w:val="15"/>
              </w:rPr>
              <w:t>党委政府和社会各界</w:t>
            </w:r>
          </w:p>
        </w:tc>
        <w:tc>
          <w:tcPr>
            <w:tcW w:w="2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eastAsia="宋体" w:cs="宋体"/>
                <w:kern w:val="0"/>
                <w:sz w:val="15"/>
                <w:szCs w:val="15"/>
              </w:rPr>
              <w:t>100%</w:t>
            </w:r>
          </w:p>
        </w:tc>
        <w:tc>
          <w:tcPr>
            <w:tcW w:w="17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eastAsia="宋体" w:cs="宋体"/>
                <w:kern w:val="0"/>
                <w:sz w:val="15"/>
                <w:szCs w:val="15"/>
              </w:rPr>
              <w:t>100%</w:t>
            </w:r>
          </w:p>
        </w:tc>
      </w:tr>
    </w:tbl>
    <w:p>
      <w:pPr>
        <w:spacing w:line="580" w:lineRule="exact"/>
        <w:rPr>
          <w:rFonts w:ascii="仿宋_GB2312" w:hAnsi="仿宋_GB2312" w:cs="仿宋_GB2312"/>
          <w:szCs w:val="32"/>
        </w:rPr>
      </w:pPr>
    </w:p>
    <w:p>
      <w:pPr>
        <w:spacing w:line="580" w:lineRule="exact"/>
        <w:ind w:left="630"/>
        <w:rPr>
          <w:rFonts w:ascii="仿宋_GB2312" w:hAnsi="仿宋_GB2312" w:cs="仿宋_GB2312"/>
          <w:szCs w:val="32"/>
        </w:rPr>
      </w:pPr>
      <w:r>
        <w:rPr>
          <w:rFonts w:hint="eastAsia" w:ascii="仿宋_GB2312" w:hAnsi="仿宋_GB2312" w:cs="仿宋_GB2312"/>
          <w:szCs w:val="32"/>
        </w:rPr>
        <w:t>2.部门绩效评价结果。</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本部门按要求对2020年部门整体支出绩效评价情况开展自评，《自贡市自流井区统计局部门2020年部门整体支出绩效评价报告》见附件（附件1）。</w:t>
      </w:r>
    </w:p>
    <w:p>
      <w:pPr>
        <w:spacing w:line="580" w:lineRule="exact"/>
        <w:ind w:firstLine="640" w:firstLineChars="200"/>
        <w:rPr>
          <w:rFonts w:ascii="仿宋_GB2312" w:hAnsi="仿宋_GB2312" w:cs="仿宋_GB2312"/>
          <w:b/>
          <w:szCs w:val="32"/>
        </w:rPr>
      </w:pPr>
      <w:r>
        <w:rPr>
          <w:rFonts w:hint="eastAsia" w:ascii="仿宋_GB2312" w:hAnsi="仿宋_GB2312" w:cs="仿宋_GB2312"/>
          <w:szCs w:val="32"/>
        </w:rPr>
        <w:t>本部门自行组织对第四次全国经济普查项目开展了绩效评价，《第四次全国经济普查项目2020年绩效评价报告》见附件（附件2）。（非涉密部门均需公开部门整体支出评价报告，部门自行组织的绩效评价情况根据部门实际公开，若未组织项目绩效评价，则只需说明部门整体支出绩效评价情况）</w:t>
      </w:r>
    </w:p>
    <w:p>
      <w:pPr>
        <w:widowControl/>
        <w:jc w:val="left"/>
        <w:rPr>
          <w:rFonts w:ascii="仿宋_GB2312"/>
          <w:b/>
          <w:szCs w:val="32"/>
        </w:rPr>
      </w:pPr>
      <w:r>
        <w:rPr>
          <w:rFonts w:ascii="仿宋_GB2312"/>
          <w:b/>
          <w:szCs w:val="32"/>
        </w:rPr>
        <w:br w:type="page"/>
      </w:r>
    </w:p>
    <w:p>
      <w:pPr>
        <w:spacing w:line="600" w:lineRule="exact"/>
        <w:ind w:left="960"/>
        <w:jc w:val="center"/>
        <w:outlineLvl w:val="0"/>
        <w:rPr>
          <w:rStyle w:val="13"/>
          <w:rFonts w:ascii="黑体" w:hAnsi="黑体" w:eastAsia="黑体"/>
          <w:b w:val="0"/>
        </w:rPr>
      </w:pPr>
      <w:bookmarkStart w:id="55" w:name="_Toc15396613"/>
      <w:bookmarkStart w:id="56" w:name="_Toc15377225"/>
      <w:bookmarkStart w:id="57" w:name="_Toc3536"/>
      <w:r>
        <w:rPr>
          <w:rFonts w:hint="eastAsia" w:ascii="黑体" w:hAnsi="黑体" w:eastAsia="黑体"/>
          <w:sz w:val="44"/>
          <w:szCs w:val="44"/>
        </w:rPr>
        <w:t>第三部分  名</w:t>
      </w:r>
      <w:r>
        <w:rPr>
          <w:rStyle w:val="13"/>
          <w:rFonts w:hint="eastAsia" w:ascii="黑体" w:hAnsi="黑体" w:eastAsia="黑体"/>
          <w:b w:val="0"/>
        </w:rPr>
        <w:t>词解释</w:t>
      </w:r>
      <w:bookmarkEnd w:id="55"/>
      <w:bookmarkEnd w:id="56"/>
      <w:bookmarkEnd w:id="57"/>
    </w:p>
    <w:p>
      <w:pPr>
        <w:spacing w:line="600" w:lineRule="exact"/>
        <w:jc w:val="left"/>
        <w:rPr>
          <w:rFonts w:ascii="宋体"/>
          <w:b/>
          <w:sz w:val="44"/>
          <w:szCs w:val="44"/>
        </w:rPr>
      </w:pPr>
    </w:p>
    <w:p>
      <w:pPr>
        <w:pStyle w:val="16"/>
        <w:spacing w:line="560" w:lineRule="exact"/>
        <w:ind w:firstLine="640" w:firstLineChars="200"/>
        <w:rPr>
          <w:rFonts w:ascii="仿宋_GB2312" w:hAnsi="仿宋_GB2312" w:eastAsia="仿宋_GB2312" w:cs="仿宋_GB2312"/>
          <w:color w:val="auto"/>
          <w:sz w:val="32"/>
          <w:szCs w:val="32"/>
        </w:rPr>
      </w:pPr>
      <w:bookmarkStart w:id="58" w:name="_Toc15377226"/>
      <w:r>
        <w:rPr>
          <w:rFonts w:hint="eastAsia" w:ascii="仿宋_GB2312" w:hAnsi="仿宋_GB2312" w:eastAsia="仿宋_GB2312" w:cs="仿宋_GB2312"/>
          <w:color w:val="auto"/>
          <w:sz w:val="32"/>
          <w:szCs w:val="32"/>
        </w:rPr>
        <w:t>1.财政拨款收入：指单位从同级财政部门取得的财政预算资金。</w:t>
      </w:r>
    </w:p>
    <w:p>
      <w:pPr>
        <w:pStyle w:val="16"/>
        <w:spacing w:line="560" w:lineRule="exact"/>
        <w:ind w:left="640" w:left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2.其他收入：指单位取得的除上述收入以外的各项收。</w:t>
      </w:r>
    </w:p>
    <w:p>
      <w:pPr>
        <w:pStyle w:val="16"/>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3.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pStyle w:val="16"/>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4.年初结转和结余：指以前年度尚未完成、结转到本年按有关规定继续使用的资金。 </w:t>
      </w:r>
    </w:p>
    <w:p>
      <w:pPr>
        <w:pStyle w:val="16"/>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5.结余分配：指事业单位按照事业单位会计制度的规定从非财政补助结余中分配的事业基金和职工福利基金等。</w:t>
      </w:r>
    </w:p>
    <w:p>
      <w:pPr>
        <w:pStyle w:val="16"/>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6、年末结转和结余：指单位按有关规定结转到下年或以后年度继续使用的资金。</w:t>
      </w:r>
    </w:p>
    <w:p>
      <w:pPr>
        <w:spacing w:line="600" w:lineRule="exact"/>
        <w:ind w:firstLine="640" w:firstLineChars="200"/>
        <w:rPr>
          <w:rFonts w:ascii="仿宋_GB2312" w:hAnsi="仿宋_GB2312" w:cs="仿宋_GB2312"/>
          <w:kern w:val="0"/>
          <w:szCs w:val="32"/>
        </w:rPr>
      </w:pPr>
      <w:r>
        <w:rPr>
          <w:rFonts w:hint="eastAsia" w:ascii="仿宋_GB2312" w:hAnsi="仿宋_GB2312" w:cs="仿宋_GB2312"/>
          <w:kern w:val="0"/>
          <w:szCs w:val="32"/>
        </w:rPr>
        <w:t>7.一般公共服务支出-统计信息事务-行政运行:指行政单</w:t>
      </w:r>
      <w:r>
        <w:rPr>
          <w:rFonts w:hint="eastAsia" w:ascii="仿宋_GB2312" w:hAnsi="仿宋_GB2312" w:cs="仿宋_GB2312"/>
          <w:szCs w:val="32"/>
        </w:rPr>
        <w:t>位的基本支出</w:t>
      </w:r>
      <w:r>
        <w:rPr>
          <w:rFonts w:hint="eastAsia" w:ascii="仿宋_GB2312" w:hAnsi="仿宋_GB2312" w:cs="仿宋_GB2312"/>
          <w:kern w:val="0"/>
          <w:szCs w:val="32"/>
        </w:rPr>
        <w:t>；一般公共服务支出-统计信息事务-专项普查活动：指专项普查活动支出，反映统计部门开展周期性普查工作的支出；一般公共服务支出-统计信息事务-统计抽样调查：指统计抽样调查支出，反映开展各类统计调查工作的支出。一般公共服务支出-统计信息事务-其他统计信息事务支出：其他统计信息事务的支出；一般公共服务支出-纪检监察事务-其他纪检监察事务支出：纪检、</w:t>
      </w:r>
      <w:r>
        <w:rPr>
          <w:rFonts w:hint="eastAsia"/>
          <w:kern w:val="0"/>
        </w:rPr>
        <w:t>监察方面的支出。</w:t>
      </w:r>
    </w:p>
    <w:p>
      <w:pPr>
        <w:spacing w:line="600" w:lineRule="exact"/>
        <w:ind w:firstLine="640" w:firstLineChars="200"/>
        <w:rPr>
          <w:rFonts w:ascii="仿宋_GB2312" w:hAnsi="仿宋_GB2312" w:cs="仿宋_GB2312"/>
          <w:kern w:val="0"/>
          <w:szCs w:val="32"/>
        </w:rPr>
      </w:pPr>
      <w:r>
        <w:rPr>
          <w:rFonts w:hint="eastAsia" w:ascii="仿宋_GB2312" w:hAnsi="仿宋_GB2312" w:cs="仿宋_GB2312"/>
          <w:kern w:val="0"/>
          <w:szCs w:val="32"/>
        </w:rPr>
        <w:t>8.社会保障和就业支出-行政事业单位养老支出-机关事业单位基本养老保险缴费支出：指由单位缴纳的基本养老保险支出。</w:t>
      </w:r>
    </w:p>
    <w:p>
      <w:pPr>
        <w:spacing w:line="600" w:lineRule="exact"/>
        <w:ind w:firstLine="640" w:firstLineChars="200"/>
        <w:rPr>
          <w:kern w:val="0"/>
        </w:rPr>
      </w:pPr>
      <w:r>
        <w:rPr>
          <w:rFonts w:hint="eastAsia" w:ascii="仿宋_GB2312" w:hAnsi="仿宋_GB2312" w:cs="仿宋_GB2312"/>
          <w:kern w:val="0"/>
          <w:szCs w:val="32"/>
        </w:rPr>
        <w:t>9.卫生健康支出-行政事业单位医疗-行政单位医疗：指</w:t>
      </w:r>
      <w:r>
        <w:rPr>
          <w:rFonts w:hint="eastAsia"/>
          <w:kern w:val="0"/>
        </w:rPr>
        <w:t>行政单位基本医疗保险缴费支出。</w:t>
      </w:r>
    </w:p>
    <w:p>
      <w:pPr>
        <w:spacing w:line="600" w:lineRule="exact"/>
        <w:ind w:firstLine="640" w:firstLineChars="200"/>
        <w:rPr>
          <w:kern w:val="0"/>
        </w:rPr>
      </w:pPr>
      <w:r>
        <w:rPr>
          <w:rFonts w:hint="eastAsia" w:ascii="仿宋_GB2312" w:hAnsi="仿宋_GB2312" w:cs="仿宋_GB2312"/>
          <w:kern w:val="0"/>
          <w:szCs w:val="32"/>
        </w:rPr>
        <w:t>10.农林水支出-农业农村-其他农业农村支出：</w:t>
      </w:r>
      <w:r>
        <w:rPr>
          <w:rFonts w:hint="eastAsia"/>
          <w:kern w:val="0"/>
        </w:rPr>
        <w:t>其他用户农林水方面的支出。</w:t>
      </w:r>
    </w:p>
    <w:p>
      <w:pPr>
        <w:spacing w:line="600" w:lineRule="exact"/>
        <w:ind w:firstLine="640" w:firstLineChars="200"/>
        <w:rPr>
          <w:rFonts w:ascii="仿宋_GB2312" w:hAnsi="仿宋_GB2312" w:cs="仿宋_GB2312"/>
          <w:szCs w:val="32"/>
        </w:rPr>
      </w:pPr>
      <w:r>
        <w:rPr>
          <w:rFonts w:hint="eastAsia" w:ascii="仿宋_GB2312" w:hAnsi="仿宋_GB2312" w:cs="仿宋_GB2312"/>
          <w:kern w:val="0"/>
          <w:szCs w:val="32"/>
        </w:rPr>
        <w:t>11.住房保障支出-住房改革支出-住房公积金：</w:t>
      </w:r>
      <w:r>
        <w:rPr>
          <w:rFonts w:hint="eastAsia"/>
          <w:kern w:val="0"/>
        </w:rPr>
        <w:t>指</w:t>
      </w:r>
      <w:r>
        <w:rPr>
          <w:rFonts w:hint="eastAsia" w:ascii="仿宋_GB2312" w:hAnsi="仿宋_GB2312" w:cs="仿宋_GB2312"/>
          <w:kern w:val="0"/>
          <w:szCs w:val="32"/>
        </w:rPr>
        <w:t>行政</w:t>
      </w:r>
      <w:r>
        <w:rPr>
          <w:rFonts w:hint="eastAsia" w:ascii="仿宋_GB2312" w:hAnsi="仿宋_GB2312" w:cs="仿宋_GB2312"/>
          <w:szCs w:val="32"/>
        </w:rPr>
        <w:t>事业单位按人力资源和社会保障部、财政部规定的基本工资和津贴补贴以及规定比例为职工缴纳的住房公积金支出</w:t>
      </w:r>
      <w:r>
        <w:rPr>
          <w:rStyle w:val="11"/>
          <w:rFonts w:hint="eastAsia" w:ascii="仿宋_GB2312" w:hAnsi="仿宋_GB2312" w:cs="仿宋_GB2312"/>
          <w:b w:val="0"/>
          <w:bCs/>
          <w:szCs w:val="32"/>
        </w:rPr>
        <w:t>。</w:t>
      </w:r>
    </w:p>
    <w:p>
      <w:pPr>
        <w:ind w:firstLine="640" w:firstLineChars="200"/>
        <w:rPr>
          <w:rFonts w:ascii="仿宋_GB2312" w:hAnsi="仿宋_GB2312" w:cs="仿宋_GB2312"/>
          <w:szCs w:val="32"/>
        </w:rPr>
      </w:pPr>
      <w:r>
        <w:rPr>
          <w:rFonts w:hint="eastAsia" w:ascii="仿宋_GB2312" w:hAnsi="仿宋_GB2312" w:cs="仿宋_GB2312"/>
          <w:szCs w:val="32"/>
        </w:rPr>
        <w:t>12.基本支出：指为保障机构正常运转、完成日常工作任务而发生的人员支出和公用支出。</w:t>
      </w:r>
    </w:p>
    <w:p>
      <w:pPr>
        <w:ind w:firstLine="640" w:firstLineChars="200"/>
        <w:rPr>
          <w:rFonts w:ascii="仿宋_GB2312" w:hAnsi="仿宋_GB2312" w:cs="仿宋_GB2312"/>
          <w:szCs w:val="32"/>
        </w:rPr>
      </w:pPr>
      <w:r>
        <w:rPr>
          <w:rFonts w:hint="eastAsia" w:ascii="仿宋_GB2312" w:hAnsi="仿宋_GB2312" w:cs="仿宋_GB2312"/>
          <w:szCs w:val="32"/>
        </w:rPr>
        <w:t xml:space="preserve">13.项目支出：指在基本支出之外为完成特定行政任务和事业发展目标所发生的支出。 </w:t>
      </w:r>
    </w:p>
    <w:p>
      <w:pPr>
        <w:pStyle w:val="16"/>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14.“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6"/>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15.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Style w:val="13"/>
          <w:rFonts w:ascii="黑体" w:hAnsi="黑体" w:eastAsia="黑体"/>
          <w:b w:val="0"/>
        </w:rPr>
      </w:pPr>
      <w:r>
        <w:rPr>
          <w:rFonts w:ascii="宋体"/>
          <w:b/>
          <w:sz w:val="44"/>
          <w:szCs w:val="44"/>
        </w:rPr>
        <w:br w:type="page"/>
      </w:r>
      <w:bookmarkStart w:id="59" w:name="_Toc11207"/>
      <w:bookmarkStart w:id="60" w:name="_Toc15396614"/>
      <w:r>
        <w:rPr>
          <w:rFonts w:hint="eastAsia" w:ascii="黑体" w:hAnsi="黑体" w:eastAsia="黑体"/>
          <w:sz w:val="44"/>
          <w:szCs w:val="44"/>
        </w:rPr>
        <w:t>第</w:t>
      </w:r>
      <w:r>
        <w:rPr>
          <w:rStyle w:val="13"/>
          <w:rFonts w:hint="eastAsia" w:ascii="黑体" w:hAnsi="黑体" w:eastAsia="黑体"/>
          <w:b w:val="0"/>
        </w:rPr>
        <w:t>四部分</w:t>
      </w:r>
      <w:r>
        <w:rPr>
          <w:rStyle w:val="13"/>
          <w:rFonts w:ascii="黑体" w:hAnsi="黑体" w:eastAsia="黑体"/>
          <w:b w:val="0"/>
        </w:rPr>
        <w:t xml:space="preserve"> </w:t>
      </w:r>
      <w:r>
        <w:rPr>
          <w:rStyle w:val="13"/>
          <w:rFonts w:hint="eastAsia" w:ascii="黑体" w:hAnsi="黑体" w:eastAsia="黑体"/>
          <w:b w:val="0"/>
        </w:rPr>
        <w:t>附件</w:t>
      </w:r>
      <w:bookmarkEnd w:id="59"/>
      <w:bookmarkEnd w:id="60"/>
    </w:p>
    <w:p>
      <w:pPr>
        <w:spacing w:line="600" w:lineRule="exact"/>
        <w:jc w:val="left"/>
        <w:outlineLvl w:val="1"/>
        <w:rPr>
          <w:rFonts w:ascii="方正小标宋简体" w:hAnsi="方正小标宋简体" w:eastAsia="方正小标宋简体" w:cs="方正小标宋简体"/>
          <w:szCs w:val="32"/>
        </w:rPr>
      </w:pPr>
      <w:bookmarkStart w:id="61" w:name="_Toc22930"/>
      <w:r>
        <w:rPr>
          <w:rFonts w:hint="eastAsia" w:ascii="黑体" w:hAnsi="黑体" w:eastAsia="黑体" w:cs="黑体"/>
          <w:szCs w:val="32"/>
        </w:rPr>
        <w:t>附件</w:t>
      </w:r>
      <w:r>
        <w:rPr>
          <w:rFonts w:ascii="黑体" w:hAnsi="黑体" w:eastAsia="黑体" w:cs="黑体"/>
          <w:szCs w:val="32"/>
        </w:rPr>
        <w:t>1</w:t>
      </w:r>
      <w:bookmarkEnd w:id="61"/>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kern w:val="0"/>
          <w:sz w:val="44"/>
          <w:szCs w:val="44"/>
          <w:lang w:val="zh-CN"/>
        </w:rPr>
      </w:pPr>
      <w:r>
        <w:rPr>
          <w:rFonts w:hint="eastAsia" w:ascii="方正小标宋简体" w:hAnsi="宋体" w:eastAsia="方正小标宋简体"/>
          <w:kern w:val="0"/>
          <w:sz w:val="44"/>
          <w:szCs w:val="44"/>
        </w:rPr>
        <w:t>自贡市自流井区统计局</w:t>
      </w:r>
      <w:r>
        <w:rPr>
          <w:rFonts w:ascii="方正小标宋简体" w:hAnsi="宋体" w:eastAsia="方正小标宋简体"/>
          <w:kern w:val="0"/>
          <w:sz w:val="44"/>
          <w:szCs w:val="44"/>
        </w:rPr>
        <w:t>2020</w:t>
      </w:r>
      <w:r>
        <w:rPr>
          <w:rFonts w:hint="eastAsia" w:ascii="方正小标宋简体" w:hAnsi="宋体" w:eastAsia="方正小标宋简体"/>
          <w:kern w:val="0"/>
          <w:sz w:val="44"/>
          <w:szCs w:val="44"/>
        </w:rPr>
        <w:t>年部门</w:t>
      </w:r>
      <w:r>
        <w:rPr>
          <w:rFonts w:hint="eastAsia" w:ascii="方正小标宋简体" w:hAnsi="宋体" w:eastAsia="方正小标宋简体"/>
          <w:kern w:val="0"/>
          <w:sz w:val="44"/>
          <w:szCs w:val="44"/>
          <w:lang w:val="zh-CN"/>
        </w:rPr>
        <w:t>整体支出绩效评价报告</w:t>
      </w:r>
    </w:p>
    <w:p>
      <w:pPr>
        <w:widowControl/>
        <w:adjustRightInd w:val="0"/>
        <w:snapToGrid w:val="0"/>
        <w:spacing w:line="580" w:lineRule="exact"/>
        <w:ind w:firstLine="480" w:firstLineChars="200"/>
        <w:contextualSpacing/>
        <w:jc w:val="left"/>
        <w:rPr>
          <w:rFonts w:ascii="黑体" w:hAnsi="宋体" w:eastAsia="黑体" w:cs="宋体"/>
          <w:kern w:val="0"/>
          <w:sz w:val="24"/>
          <w:szCs w:val="32"/>
          <w:shd w:val="clear" w:color="auto" w:fill="FFFFFF"/>
        </w:rPr>
      </w:pPr>
    </w:p>
    <w:p>
      <w:pPr>
        <w:adjustRightInd w:val="0"/>
        <w:snapToGrid w:val="0"/>
        <w:spacing w:line="540" w:lineRule="exact"/>
        <w:ind w:firstLine="640" w:firstLineChars="200"/>
        <w:rPr>
          <w:rFonts w:eastAsia="黑体"/>
          <w:bCs/>
          <w:kern w:val="0"/>
          <w:shd w:val="clear" w:color="auto" w:fill="FFFFFF"/>
          <w:lang w:val="zh-CN"/>
        </w:rPr>
      </w:pPr>
      <w:r>
        <w:rPr>
          <w:rFonts w:hint="eastAsia" w:eastAsia="黑体" w:cs="黑体"/>
          <w:bCs/>
          <w:kern w:val="0"/>
          <w:shd w:val="clear" w:color="auto" w:fill="FFFFFF"/>
          <w:lang w:bidi="ar"/>
        </w:rPr>
        <w:t>一、</w:t>
      </w:r>
      <w:r>
        <w:rPr>
          <w:rFonts w:hint="eastAsia" w:eastAsia="黑体" w:cs="黑体"/>
          <w:bCs/>
          <w:kern w:val="0"/>
          <w:shd w:val="clear" w:color="auto" w:fill="FFFFFF"/>
          <w:lang w:val="zh-CN" w:bidi="ar"/>
        </w:rPr>
        <w:t>部门（单位）概况</w:t>
      </w:r>
    </w:p>
    <w:p>
      <w:pPr>
        <w:spacing w:line="592" w:lineRule="exact"/>
        <w:ind w:firstLine="321" w:firstLineChars="100"/>
        <w:rPr>
          <w:szCs w:val="32"/>
        </w:rPr>
      </w:pPr>
      <w:r>
        <w:rPr>
          <w:rStyle w:val="11"/>
          <w:rFonts w:hint="eastAsia" w:ascii="楷体_GB2312" w:hAnsi="楷体_GB2312" w:eastAsia="楷体_GB2312" w:cs="楷体_GB2312"/>
          <w:szCs w:val="32"/>
          <w:shd w:val="clear" w:color="auto" w:fill="FFFFFF"/>
        </w:rPr>
        <w:t>（一）机构组成</w:t>
      </w:r>
      <w:r>
        <w:rPr>
          <w:rFonts w:ascii="仿宋" w:hAnsi="仿宋" w:eastAsia="仿宋" w:cs="仿宋"/>
          <w:sz w:val="27"/>
          <w:szCs w:val="27"/>
          <w:shd w:val="clear" w:color="auto" w:fill="FFFFFF"/>
        </w:rPr>
        <w:br w:type="textWrapping"/>
      </w:r>
      <w:r>
        <w:rPr>
          <w:rFonts w:hint="eastAsia" w:ascii="仿宋_GB2312" w:hAnsi="仿宋_GB2312" w:cs="仿宋_GB2312"/>
          <w:kern w:val="0"/>
          <w:szCs w:val="32"/>
        </w:rPr>
        <w:t>    自流井区统计局是区政府工作部门，属区财政一级预算单位。内设办公室、综合核算法规股、业务股3个职能股室，下属全额拨款参照公务员法管理的事业单位1个（未独立核算）。</w:t>
      </w:r>
      <w:r>
        <w:rPr>
          <w:rFonts w:hint="eastAsia" w:ascii="仿宋_GB2312" w:hAnsi="仿宋_GB2312" w:cs="仿宋_GB2312"/>
          <w:szCs w:val="32"/>
          <w:shd w:val="clear" w:color="auto" w:fill="FFFFFF"/>
        </w:rPr>
        <w:br w:type="textWrapping"/>
      </w:r>
      <w:r>
        <w:rPr>
          <w:rStyle w:val="11"/>
          <w:rFonts w:ascii="楷体_GB2312" w:hAnsi="楷体_GB2312" w:eastAsia="楷体_GB2312" w:cs="楷体_GB2312"/>
          <w:szCs w:val="32"/>
          <w:shd w:val="clear" w:color="auto" w:fill="FFFFFF"/>
        </w:rPr>
        <w:t>    （二）机构职能</w:t>
      </w:r>
      <w:r>
        <w:rPr>
          <w:rFonts w:ascii="仿宋" w:hAnsi="仿宋" w:eastAsia="仿宋" w:cs="仿宋"/>
          <w:sz w:val="27"/>
          <w:szCs w:val="27"/>
          <w:shd w:val="clear" w:color="auto" w:fill="FFFFFF"/>
        </w:rPr>
        <w:br w:type="textWrapping"/>
      </w:r>
      <w:r>
        <w:rPr>
          <w:rFonts w:ascii="仿宋" w:hAnsi="仿宋" w:eastAsia="仿宋" w:cs="仿宋"/>
          <w:sz w:val="27"/>
          <w:szCs w:val="27"/>
          <w:shd w:val="clear" w:color="auto" w:fill="FFFFFF"/>
        </w:rPr>
        <w:t xml:space="preserve">     </w:t>
      </w:r>
      <w:r>
        <w:rPr>
          <w:rFonts w:hint="eastAsia"/>
          <w:szCs w:val="32"/>
        </w:rPr>
        <w:t>（一）贯彻执行国家统计工作的方针、政策和法律、法规以及统计制度、统计标准；制定全区统计政策、规划以及地方统计制度、统计标准；审批和管理统计调查项目以及涉外统计调查机构和项目，承担组织领导和协调全区统计工作的责任，确保统计数据真实、准确、及时。</w:t>
      </w:r>
    </w:p>
    <w:p>
      <w:pPr>
        <w:spacing w:line="592" w:lineRule="exact"/>
        <w:ind w:firstLine="640" w:firstLineChars="200"/>
        <w:rPr>
          <w:szCs w:val="32"/>
        </w:rPr>
      </w:pPr>
      <w:r>
        <w:rPr>
          <w:rFonts w:hint="eastAsia"/>
          <w:szCs w:val="32"/>
        </w:rPr>
        <w:t>（二）建立健全全区国民经济核算体系，实施全区国民经济核算制度，核算全区生产总值，整理、提供全区国民经济核算资料，并开展分析研究。</w:t>
      </w:r>
    </w:p>
    <w:p>
      <w:pPr>
        <w:spacing w:line="592" w:lineRule="exact"/>
        <w:ind w:firstLine="645"/>
        <w:rPr>
          <w:szCs w:val="32"/>
        </w:rPr>
      </w:pPr>
      <w:r>
        <w:rPr>
          <w:rFonts w:hint="eastAsia"/>
          <w:szCs w:val="32"/>
        </w:rPr>
        <w:t>（三）组织实施农林牧渔业、工业、建筑业、服务业、批发和零售业、住宿和餐饮业、房地产业等国民经济行业以及能源、投资、人口、收入、科技、社会发展基本情况、环境基本状况等领域的统计工作，开展对战略性新兴产业、服务业等领域的统计调查和分析，建立全区经济社会发展监测评价制度及指标体系，对重点区域和重要领域实施监测评价，牵头综合、整理和提供资源、房屋、旅游、教育、卫生、邮电、交通运输、社会保障、公用事业、对外贸易、对外经济等全区基本统计资料。</w:t>
      </w:r>
    </w:p>
    <w:p>
      <w:pPr>
        <w:spacing w:line="592" w:lineRule="exact"/>
        <w:ind w:firstLine="645"/>
        <w:rPr>
          <w:szCs w:val="32"/>
        </w:rPr>
      </w:pPr>
      <w:r>
        <w:rPr>
          <w:rFonts w:hint="eastAsia"/>
          <w:szCs w:val="32"/>
        </w:rPr>
        <w:t>（四）组织实施全区重大的国情国力普查和专项统计调查，组织实施全区投入产出调查。</w:t>
      </w:r>
    </w:p>
    <w:p>
      <w:pPr>
        <w:spacing w:line="592" w:lineRule="exact"/>
        <w:ind w:firstLine="645"/>
        <w:rPr>
          <w:szCs w:val="32"/>
        </w:rPr>
      </w:pPr>
      <w:r>
        <w:rPr>
          <w:rFonts w:hint="eastAsia"/>
          <w:szCs w:val="32"/>
        </w:rPr>
        <w:t>（五）建立健全全区统计数据质量审核、监控和评估制度，依法对乡镇、区级部门、街道重要统计数据进行审核、监控和评估，组织指导统计基层基础建设。</w:t>
      </w:r>
    </w:p>
    <w:p>
      <w:pPr>
        <w:spacing w:line="592" w:lineRule="exact"/>
        <w:ind w:firstLine="645"/>
        <w:rPr>
          <w:szCs w:val="32"/>
        </w:rPr>
      </w:pPr>
      <w:r>
        <w:rPr>
          <w:rFonts w:hint="eastAsia"/>
          <w:szCs w:val="32"/>
        </w:rPr>
        <w:t>（六）对国民经济、社会发展、科技进步和资源环境等情况进行统计分析和预测，定期发布全区经济社会发展情况的统计信息，向区委、区政府及有关部门提供统计咨询建议，向社会公众提供统计信息服务。</w:t>
      </w:r>
    </w:p>
    <w:p>
      <w:pPr>
        <w:spacing w:line="592" w:lineRule="exact"/>
        <w:ind w:firstLine="645"/>
        <w:rPr>
          <w:szCs w:val="32"/>
        </w:rPr>
      </w:pPr>
      <w:r>
        <w:rPr>
          <w:rFonts w:hint="eastAsia"/>
          <w:szCs w:val="32"/>
        </w:rPr>
        <w:t>（七）制订全区统计信息化建设规划，建立健全全区统计数据库系统和统计信息自动化系统，制订统计数据库和网络的基本标准和运行规则，建立健全区级部门统计信息共享制度，指导乡、镇政府统计信息化建设。</w:t>
      </w:r>
    </w:p>
    <w:p>
      <w:pPr>
        <w:spacing w:line="592" w:lineRule="exact"/>
        <w:ind w:firstLine="640" w:firstLineChars="200"/>
        <w:rPr>
          <w:szCs w:val="32"/>
        </w:rPr>
      </w:pPr>
      <w:r>
        <w:rPr>
          <w:rFonts w:hint="eastAsia"/>
          <w:szCs w:val="32"/>
        </w:rPr>
        <w:t>（八）监督管理上级统计部门下拨的统计事业费；组织开展全区统计人员上岗培训、继续教育和从业资格认定工作；协助有关部门开展统计专业资格考试和职称评聘工作。</w:t>
      </w:r>
    </w:p>
    <w:p>
      <w:pPr>
        <w:spacing w:line="592" w:lineRule="exact"/>
        <w:ind w:firstLine="640" w:firstLineChars="200"/>
        <w:rPr>
          <w:szCs w:val="32"/>
        </w:rPr>
      </w:pPr>
      <w:r>
        <w:rPr>
          <w:rFonts w:hint="eastAsia"/>
          <w:szCs w:val="32"/>
        </w:rPr>
        <w:t>（九）承担区政府公布的有关行政审批事项。</w:t>
      </w:r>
    </w:p>
    <w:p>
      <w:pPr>
        <w:spacing w:line="592" w:lineRule="exact"/>
        <w:ind w:firstLine="640" w:firstLineChars="200"/>
        <w:rPr>
          <w:szCs w:val="32"/>
        </w:rPr>
      </w:pPr>
      <w:r>
        <w:rPr>
          <w:rFonts w:hint="eastAsia"/>
          <w:szCs w:val="32"/>
        </w:rPr>
        <w:t>（十）承办区政府交办的其他事项。</w:t>
      </w:r>
    </w:p>
    <w:p>
      <w:pPr>
        <w:widowControl/>
        <w:shd w:val="clear" w:color="auto" w:fill="FFFFFF"/>
        <w:adjustRightInd w:val="0"/>
        <w:snapToGrid w:val="0"/>
        <w:spacing w:line="592" w:lineRule="exact"/>
        <w:ind w:firstLine="542" w:firstLineChars="200"/>
        <w:jc w:val="left"/>
        <w:rPr>
          <w:rFonts w:ascii="黑体" w:hAnsi="宋体" w:eastAsia="黑体" w:cs="宋体"/>
          <w:b/>
          <w:kern w:val="0"/>
          <w:szCs w:val="32"/>
          <w:shd w:val="clear" w:color="auto" w:fill="FFFFFF"/>
          <w:lang w:val="zh-CN"/>
        </w:rPr>
      </w:pPr>
      <w:r>
        <w:rPr>
          <w:rStyle w:val="11"/>
          <w:rFonts w:ascii="仿宋" w:hAnsi="仿宋" w:eastAsia="仿宋" w:cs="仿宋"/>
          <w:sz w:val="27"/>
          <w:szCs w:val="27"/>
          <w:shd w:val="clear" w:color="auto" w:fill="FFFFFF"/>
        </w:rPr>
        <w:t xml:space="preserve">    </w:t>
      </w:r>
      <w:r>
        <w:rPr>
          <w:rStyle w:val="11"/>
          <w:rFonts w:hint="eastAsia" w:ascii="楷体_GB2312" w:hAnsi="楷体_GB2312" w:eastAsia="楷体_GB2312" w:cs="楷体_GB2312"/>
          <w:szCs w:val="32"/>
          <w:shd w:val="clear" w:color="auto" w:fill="FFFFFF"/>
        </w:rPr>
        <w:t>（三）人员概况</w:t>
      </w:r>
    </w:p>
    <w:p>
      <w:pPr>
        <w:widowControl/>
        <w:shd w:val="clear" w:color="auto" w:fill="FFFFFF"/>
        <w:adjustRightInd w:val="0"/>
        <w:snapToGrid w:val="0"/>
        <w:spacing w:line="592" w:lineRule="exact"/>
        <w:ind w:firstLine="720"/>
        <w:jc w:val="left"/>
        <w:rPr>
          <w:rFonts w:ascii="仿宋_GB2312" w:hAnsi="仿宋_GB2312" w:cs="仿宋_GB2312"/>
          <w:kern w:val="0"/>
          <w:szCs w:val="32"/>
        </w:rPr>
      </w:pPr>
      <w:r>
        <w:rPr>
          <w:rFonts w:hint="eastAsia" w:ascii="仿宋_GB2312" w:hAnsi="仿宋_GB2312" w:cs="仿宋_GB2312"/>
          <w:kern w:val="0"/>
          <w:szCs w:val="32"/>
        </w:rPr>
        <w:t>现有行政编制6个，参公编制7个，机关工人编制1个，2020年末实有行政人员5人，参公管理事业人员6人，公益性岗位3人。</w:t>
      </w:r>
    </w:p>
    <w:p>
      <w:pPr>
        <w:adjustRightInd w:val="0"/>
        <w:snapToGrid w:val="0"/>
        <w:spacing w:line="540" w:lineRule="exact"/>
        <w:ind w:firstLine="720"/>
        <w:rPr>
          <w:rFonts w:eastAsia="黑体"/>
          <w:bCs/>
          <w:kern w:val="0"/>
          <w:shd w:val="clear" w:color="auto" w:fill="FFFFFF"/>
        </w:rPr>
      </w:pPr>
      <w:r>
        <w:rPr>
          <w:rFonts w:hint="eastAsia" w:eastAsia="黑体" w:cs="黑体"/>
          <w:bCs/>
          <w:kern w:val="0"/>
          <w:shd w:val="clear" w:color="auto" w:fill="FFFFFF"/>
          <w:lang w:bidi="ar"/>
        </w:rPr>
        <w:t>二、部门财政资金收支情况</w:t>
      </w:r>
    </w:p>
    <w:p>
      <w:pPr>
        <w:adjustRightInd w:val="0"/>
        <w:snapToGrid w:val="0"/>
        <w:spacing w:line="540" w:lineRule="exact"/>
        <w:ind w:firstLine="720"/>
        <w:rPr>
          <w:rFonts w:eastAsia="楷体_GB2312" w:cs="楷体_GB2312"/>
          <w:b/>
          <w:kern w:val="0"/>
          <w:shd w:val="clear" w:color="auto" w:fill="FFFFFF"/>
          <w:lang w:val="zh-CN" w:bidi="ar"/>
        </w:rPr>
      </w:pPr>
      <w:r>
        <w:rPr>
          <w:rFonts w:hint="eastAsia" w:eastAsia="楷体_GB2312" w:cs="楷体_GB2312"/>
          <w:b/>
          <w:kern w:val="0"/>
          <w:shd w:val="clear" w:color="auto" w:fill="FFFFFF"/>
          <w:lang w:val="zh-CN" w:bidi="ar"/>
        </w:rPr>
        <w:t>（一）部门财政资金收入情况</w:t>
      </w:r>
    </w:p>
    <w:p>
      <w:pPr>
        <w:spacing w:line="600" w:lineRule="exact"/>
        <w:ind w:firstLine="640" w:firstLineChars="200"/>
        <w:rPr>
          <w:rFonts w:ascii="仿宋_GB2312" w:hAnsi="仿宋_GB2312" w:cs="仿宋_GB2312"/>
          <w:b/>
          <w:kern w:val="0"/>
          <w:shd w:val="clear" w:color="auto" w:fill="FFFFFF"/>
          <w:lang w:val="zh-CN" w:bidi="ar"/>
        </w:rPr>
      </w:pPr>
      <w:r>
        <w:rPr>
          <w:rFonts w:hint="eastAsia" w:ascii="仿宋_GB2312" w:hAnsi="仿宋_GB2312" w:cs="仿宋_GB2312"/>
          <w:szCs w:val="32"/>
        </w:rPr>
        <w:t>2020年本年收入合计426.19万元，其中：一般公共预算财政拨款收入426.19万元，占100%；政府性基金预算财政拨款收入0万元，占0%；上级补助收入0万元，占0%；事业收入0万元，占0%；经营收入0万元，占0%；附属单位上缴收入0万元，占0%；其他收入0万元，占0%。</w:t>
      </w:r>
    </w:p>
    <w:p>
      <w:pPr>
        <w:adjustRightInd w:val="0"/>
        <w:snapToGrid w:val="0"/>
        <w:spacing w:line="540" w:lineRule="exact"/>
        <w:ind w:firstLine="720"/>
        <w:rPr>
          <w:rFonts w:eastAsia="楷体_GB2312" w:cs="楷体_GB2312"/>
          <w:b/>
          <w:kern w:val="0"/>
          <w:shd w:val="clear" w:color="auto" w:fill="FFFFFF"/>
          <w:lang w:val="zh-CN" w:bidi="ar"/>
        </w:rPr>
      </w:pPr>
      <w:r>
        <w:rPr>
          <w:rFonts w:hint="eastAsia" w:eastAsia="楷体_GB2312" w:cs="楷体_GB2312"/>
          <w:b/>
          <w:kern w:val="0"/>
          <w:shd w:val="clear" w:color="auto" w:fill="FFFFFF"/>
          <w:lang w:val="zh-CN" w:bidi="ar"/>
        </w:rPr>
        <w:t>（二）部门财政资金支出情况</w:t>
      </w:r>
    </w:p>
    <w:p>
      <w:pPr>
        <w:spacing w:line="600" w:lineRule="exact"/>
        <w:ind w:firstLine="640" w:firstLineChars="200"/>
        <w:rPr>
          <w:rFonts w:ascii="仿宋_GB2312" w:hAnsi="仿宋_GB2312" w:cs="仿宋_GB2312"/>
          <w:b/>
          <w:kern w:val="0"/>
          <w:shd w:val="clear" w:color="auto" w:fill="FFFFFF"/>
          <w:lang w:val="zh-CN" w:bidi="ar"/>
        </w:rPr>
      </w:pPr>
      <w:r>
        <w:rPr>
          <w:rFonts w:hint="eastAsia" w:ascii="仿宋_GB2312" w:hAnsi="仿宋_GB2312" w:cs="仿宋_GB2312"/>
          <w:szCs w:val="32"/>
        </w:rPr>
        <w:t>2020年本年支出合计426.19万元，其中：基本支出193.67万元，占45.4%；项目支出232.52万元，占54.6%；上缴上级支出0万元，占0%；经营支出0万元，占0%；对附属单位补助支出0万元，占0%。</w:t>
      </w:r>
    </w:p>
    <w:p>
      <w:pPr>
        <w:adjustRightInd w:val="0"/>
        <w:snapToGrid w:val="0"/>
        <w:spacing w:line="540" w:lineRule="exact"/>
        <w:ind w:firstLine="720"/>
        <w:rPr>
          <w:rFonts w:eastAsia="黑体"/>
          <w:kern w:val="0"/>
          <w:shd w:val="clear" w:color="auto" w:fill="FFFFFF"/>
        </w:rPr>
      </w:pPr>
      <w:r>
        <w:rPr>
          <w:rFonts w:hint="eastAsia" w:eastAsia="黑体" w:cs="黑体"/>
          <w:kern w:val="0"/>
          <w:shd w:val="clear" w:color="auto" w:fill="FFFFFF"/>
          <w:lang w:bidi="ar"/>
        </w:rPr>
        <w:t>三、部门财政支出管理情况</w:t>
      </w:r>
    </w:p>
    <w:p>
      <w:pPr>
        <w:adjustRightInd w:val="0"/>
        <w:snapToGrid w:val="0"/>
        <w:spacing w:line="540" w:lineRule="exact"/>
        <w:ind w:firstLine="720"/>
        <w:rPr>
          <w:rFonts w:eastAsia="楷体_GB2312"/>
          <w:b/>
          <w:kern w:val="0"/>
          <w:shd w:val="clear" w:color="auto" w:fill="FFFFFF"/>
          <w:lang w:val="zh-CN"/>
        </w:rPr>
      </w:pPr>
      <w:r>
        <w:rPr>
          <w:rFonts w:hint="eastAsia" w:eastAsia="楷体_GB2312" w:cs="楷体_GB2312"/>
          <w:b/>
          <w:kern w:val="0"/>
          <w:shd w:val="clear" w:color="auto" w:fill="FFFFFF"/>
          <w:lang w:val="zh-CN" w:bidi="ar"/>
        </w:rPr>
        <w:t>（一）预决算编制情况</w:t>
      </w:r>
    </w:p>
    <w:p>
      <w:pPr>
        <w:adjustRightInd w:val="0"/>
        <w:snapToGrid w:val="0"/>
        <w:spacing w:line="592" w:lineRule="exact"/>
        <w:ind w:firstLine="720"/>
        <w:rPr>
          <w:kern w:val="0"/>
          <w:shd w:val="clear" w:color="auto" w:fill="FFFFFF"/>
          <w:lang w:val="zh-CN"/>
        </w:rPr>
      </w:pPr>
      <w:r>
        <w:rPr>
          <w:rFonts w:hint="eastAsia" w:ascii="仿宋_GB2312" w:hAnsi="仿宋_GB2312" w:cs="仿宋_GB2312"/>
          <w:bCs/>
          <w:kern w:val="0"/>
          <w:shd w:val="clear" w:color="auto" w:fill="FFFFFF"/>
          <w:lang w:val="zh-CN"/>
        </w:rPr>
        <w:t>我局年初结合本单位实际</w:t>
      </w:r>
      <w:r>
        <w:rPr>
          <w:rFonts w:hint="eastAsia" w:ascii="仿宋_GB2312" w:hAnsi="仿宋_GB2312" w:cs="仿宋_GB2312"/>
          <w:bCs/>
          <w:lang w:val="zh-CN"/>
        </w:rPr>
        <w:t>，全面科学编制基本支出和项目支出，对项目进行绩效编制，</w:t>
      </w:r>
      <w:r>
        <w:rPr>
          <w:rFonts w:hint="eastAsia" w:ascii="仿宋_GB2312" w:hAnsi="仿宋_GB2312" w:cs="仿宋_GB2312"/>
          <w:szCs w:val="32"/>
        </w:rPr>
        <w:t>严格按照预算执行。</w:t>
      </w:r>
    </w:p>
    <w:p>
      <w:pPr>
        <w:adjustRightInd w:val="0"/>
        <w:snapToGrid w:val="0"/>
        <w:spacing w:line="592" w:lineRule="exact"/>
        <w:ind w:firstLine="720"/>
        <w:rPr>
          <w:rFonts w:eastAsia="楷体_GB2312"/>
          <w:b/>
          <w:kern w:val="0"/>
          <w:shd w:val="clear" w:color="auto" w:fill="FFFFFF"/>
          <w:lang w:val="zh-CN"/>
        </w:rPr>
      </w:pPr>
      <w:r>
        <w:rPr>
          <w:rFonts w:eastAsia="楷体_GB2312"/>
          <w:b/>
          <w:kern w:val="0"/>
          <w:shd w:val="clear" w:color="auto" w:fill="FFFFFF"/>
          <w:lang w:val="zh-CN"/>
        </w:rPr>
        <w:t>（二）执行管理情况</w:t>
      </w:r>
    </w:p>
    <w:p>
      <w:pPr>
        <w:adjustRightInd w:val="0"/>
        <w:snapToGrid w:val="0"/>
        <w:spacing w:line="592" w:lineRule="exact"/>
        <w:ind w:firstLine="720"/>
        <w:rPr>
          <w:rFonts w:ascii="仿宋_GB2312" w:hAnsi="仿宋_GB2312" w:cs="仿宋_GB2312"/>
          <w:b/>
          <w:kern w:val="0"/>
          <w:shd w:val="clear" w:color="auto" w:fill="FFFFFF"/>
          <w:lang w:val="zh-CN"/>
        </w:rPr>
      </w:pPr>
      <w:r>
        <w:rPr>
          <w:rFonts w:hint="eastAsia" w:ascii="仿宋_GB2312" w:hAnsi="仿宋_GB2312" w:cs="仿宋_GB2312"/>
          <w:sz w:val="31"/>
          <w:szCs w:val="31"/>
          <w:shd w:val="clear" w:color="auto" w:fill="FFFFFF"/>
        </w:rPr>
        <w:t>我局严格按照财务管理制度规定以及有关专项资金管理办法的规定收支，资金拨付有完整的审批程序和手续，按照财经制度的有关要求，有计划地安排、使用资金，严格财务审批制度，重大开支党组会集体研究，保证资金使用合法合规，同时资金使用无截留、挤占、挪用、虚列支出等情况。2020年，经费基本支出、专项经费支出、“三公”经费等支出均控制在预算内。</w:t>
      </w:r>
    </w:p>
    <w:p>
      <w:pPr>
        <w:adjustRightInd w:val="0"/>
        <w:snapToGrid w:val="0"/>
        <w:spacing w:line="540" w:lineRule="exact"/>
        <w:ind w:firstLine="720"/>
        <w:rPr>
          <w:rFonts w:eastAsia="楷体_GB2312"/>
          <w:b/>
          <w:kern w:val="0"/>
          <w:shd w:val="clear" w:color="auto" w:fill="FFFFFF"/>
          <w:lang w:val="zh-CN"/>
        </w:rPr>
      </w:pPr>
      <w:r>
        <w:rPr>
          <w:rFonts w:hint="eastAsia" w:eastAsia="楷体_GB2312" w:cs="楷体_GB2312"/>
          <w:b/>
          <w:kern w:val="0"/>
          <w:shd w:val="clear" w:color="auto" w:fill="FFFFFF"/>
          <w:lang w:val="zh-CN" w:bidi="ar"/>
        </w:rPr>
        <w:t>（三）支出绩效情况。</w:t>
      </w:r>
    </w:p>
    <w:p>
      <w:pPr>
        <w:adjustRightInd w:val="0"/>
        <w:snapToGrid w:val="0"/>
        <w:spacing w:line="540" w:lineRule="exact"/>
        <w:ind w:firstLine="720"/>
        <w:rPr>
          <w:rFonts w:ascii="仿宋_GB2312" w:hAnsi="仿宋_GB2312" w:cs="仿宋_GB2312"/>
          <w:b/>
          <w:bCs/>
          <w:kern w:val="0"/>
          <w:shd w:val="clear" w:color="auto" w:fill="FFFFFF"/>
          <w:lang w:val="zh-CN"/>
        </w:rPr>
      </w:pPr>
      <w:r>
        <w:rPr>
          <w:rFonts w:hint="eastAsia" w:ascii="仿宋_GB2312" w:hAnsi="仿宋_GB2312" w:cs="仿宋_GB2312"/>
          <w:b/>
          <w:bCs/>
          <w:kern w:val="0"/>
          <w:shd w:val="clear" w:color="auto" w:fill="FFFFFF"/>
          <w:lang w:val="zh-CN" w:bidi="ar"/>
        </w:rPr>
        <w:t>1.部门支出绩效。</w:t>
      </w:r>
    </w:p>
    <w:p>
      <w:pPr>
        <w:adjustRightInd w:val="0"/>
        <w:snapToGrid w:val="0"/>
        <w:spacing w:line="540" w:lineRule="exact"/>
        <w:ind w:firstLine="720"/>
        <w:rPr>
          <w:rFonts w:ascii="仿宋_GB2312" w:hAnsi="仿宋_GB2312" w:cs="仿宋_GB2312"/>
          <w:kern w:val="0"/>
          <w:shd w:val="clear" w:color="auto" w:fill="FFFFFF"/>
          <w:lang w:val="zh-CN"/>
        </w:rPr>
      </w:pPr>
      <w:r>
        <w:rPr>
          <w:rFonts w:hint="eastAsia" w:ascii="仿宋_GB2312" w:hAnsi="仿宋_GB2312" w:cs="仿宋_GB2312"/>
          <w:kern w:val="0"/>
          <w:shd w:val="clear" w:color="auto" w:fill="FFFFFF"/>
          <w:lang w:val="zh-CN" w:bidi="ar"/>
        </w:rPr>
        <w:t>（1）行政运转保障。</w:t>
      </w:r>
    </w:p>
    <w:p>
      <w:pPr>
        <w:spacing w:line="600" w:lineRule="exact"/>
        <w:ind w:firstLine="645"/>
        <w:rPr>
          <w:rFonts w:ascii="仿宋_GB2312" w:hAnsi="仿宋_GB2312" w:cs="仿宋_GB2312"/>
          <w:szCs w:val="32"/>
        </w:rPr>
      </w:pPr>
      <w:r>
        <w:rPr>
          <w:rFonts w:hint="eastAsia" w:ascii="仿宋_GB2312" w:hAnsi="仿宋_GB2312" w:cs="仿宋_GB2312"/>
          <w:szCs w:val="32"/>
        </w:rPr>
        <w:t>2020年一般公共预算财政拨款基本支出193.67万元，其中：</w:t>
      </w:r>
    </w:p>
    <w:p>
      <w:pPr>
        <w:spacing w:line="600" w:lineRule="exact"/>
        <w:ind w:firstLine="645"/>
        <w:rPr>
          <w:rFonts w:ascii="仿宋_GB2312" w:hAnsi="仿宋_GB2312" w:cs="仿宋_GB2312"/>
          <w:kern w:val="0"/>
          <w:shd w:val="clear" w:color="auto" w:fill="FFFFFF"/>
          <w:lang w:val="zh-CN"/>
        </w:rPr>
      </w:pPr>
      <w:r>
        <w:rPr>
          <w:rFonts w:hint="eastAsia" w:ascii="仿宋_GB2312" w:hAnsi="仿宋_GB2312" w:cs="仿宋_GB2312"/>
          <w:szCs w:val="32"/>
        </w:rPr>
        <w:t>人员经费166.93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hint="eastAsia" w:ascii="仿宋_GB2312" w:hAnsi="仿宋_GB2312" w:cs="仿宋_GB2312"/>
          <w:szCs w:val="32"/>
        </w:rPr>
        <w:br w:type="textWrapping"/>
      </w:r>
      <w:r>
        <w:rPr>
          <w:rFonts w:hint="eastAsia" w:ascii="仿宋_GB2312" w:hAnsi="仿宋_GB2312" w:cs="仿宋_GB2312"/>
          <w:szCs w:val="32"/>
        </w:rPr>
        <w:t>　　日常公用经费26.74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adjustRightInd w:val="0"/>
        <w:snapToGrid w:val="0"/>
        <w:spacing w:line="540" w:lineRule="exact"/>
        <w:ind w:firstLine="720"/>
        <w:rPr>
          <w:rFonts w:ascii="仿宋_GB2312" w:hAnsi="仿宋_GB2312" w:cs="仿宋_GB2312"/>
          <w:kern w:val="0"/>
          <w:shd w:val="clear" w:color="auto" w:fill="FFFFFF"/>
          <w:lang w:val="zh-CN"/>
        </w:rPr>
      </w:pPr>
      <w:r>
        <w:rPr>
          <w:rFonts w:hint="eastAsia" w:ascii="仿宋_GB2312" w:hAnsi="仿宋_GB2312" w:cs="仿宋_GB2312"/>
          <w:kern w:val="0"/>
          <w:shd w:val="clear" w:color="auto" w:fill="FFFFFF"/>
          <w:lang w:val="zh-CN" w:bidi="ar"/>
        </w:rPr>
        <w:t>（2）机关厉行节约。</w:t>
      </w:r>
    </w:p>
    <w:p>
      <w:pPr>
        <w:spacing w:line="600" w:lineRule="exact"/>
        <w:ind w:firstLine="640"/>
        <w:rPr>
          <w:rFonts w:ascii="仿宋_GB2312" w:hAnsi="仿宋_GB2312" w:cs="仿宋_GB2312"/>
          <w:szCs w:val="32"/>
        </w:rPr>
      </w:pPr>
      <w:r>
        <w:rPr>
          <w:rFonts w:hint="eastAsia" w:ascii="仿宋_GB2312" w:hAnsi="仿宋_GB2312" w:cs="仿宋_GB2312"/>
          <w:szCs w:val="32"/>
        </w:rPr>
        <w:t>2020年“三公”经费财政拨款支出决算为1.87万元，完成预算93.5%，决算数小于预算数的主要原因是厉行节约，压缩三公经费的开支。</w:t>
      </w:r>
    </w:p>
    <w:p>
      <w:pPr>
        <w:adjustRightInd w:val="0"/>
        <w:snapToGrid w:val="0"/>
        <w:spacing w:line="592" w:lineRule="exact"/>
        <w:ind w:firstLine="720"/>
        <w:rPr>
          <w:rFonts w:ascii="仿宋_GB2312" w:hAnsi="仿宋_GB2312" w:cs="仿宋_GB2312"/>
          <w:b/>
          <w:bCs/>
          <w:kern w:val="0"/>
          <w:shd w:val="clear" w:color="auto" w:fill="FFFFFF"/>
          <w:lang w:val="zh-CN"/>
        </w:rPr>
      </w:pPr>
      <w:r>
        <w:rPr>
          <w:rFonts w:hint="eastAsia" w:ascii="仿宋_GB2312" w:hAnsi="仿宋_GB2312" w:cs="仿宋_GB2312"/>
          <w:b/>
          <w:bCs/>
          <w:kern w:val="0"/>
          <w:shd w:val="clear" w:color="auto" w:fill="FFFFFF"/>
          <w:lang w:val="zh-CN"/>
        </w:rPr>
        <w:t>2.专项预算项目（待批复项目）支出绩效。</w:t>
      </w:r>
    </w:p>
    <w:p>
      <w:pPr>
        <w:adjustRightInd w:val="0"/>
        <w:snapToGrid w:val="0"/>
        <w:spacing w:line="592" w:lineRule="exact"/>
        <w:ind w:firstLine="720"/>
        <w:rPr>
          <w:rFonts w:ascii="仿宋_GB2312" w:hAnsi="仿宋_GB2312" w:cs="仿宋_GB2312"/>
          <w:kern w:val="0"/>
          <w:shd w:val="clear" w:color="auto" w:fill="FFFFFF"/>
          <w:lang w:val="zh-CN"/>
        </w:rPr>
      </w:pPr>
      <w:r>
        <w:rPr>
          <w:rFonts w:hint="eastAsia" w:ascii="仿宋_GB2312" w:hAnsi="仿宋_GB2312" w:cs="仿宋_GB2312"/>
          <w:kern w:val="0"/>
          <w:shd w:val="clear" w:color="auto" w:fill="FFFFFF"/>
          <w:lang w:val="zh-CN"/>
        </w:rPr>
        <w:t>（1）资金绩效分配情况。</w:t>
      </w:r>
    </w:p>
    <w:p>
      <w:pPr>
        <w:adjustRightInd w:val="0"/>
        <w:snapToGrid w:val="0"/>
        <w:spacing w:line="592" w:lineRule="exact"/>
        <w:ind w:firstLine="720"/>
        <w:rPr>
          <w:rFonts w:ascii="仿宋_GB2312" w:hAnsi="仿宋_GB2312" w:cs="仿宋_GB2312"/>
          <w:kern w:val="0"/>
          <w:shd w:val="clear" w:color="auto" w:fill="FFFFFF"/>
          <w:lang w:val="zh-CN"/>
        </w:rPr>
      </w:pPr>
      <w:r>
        <w:rPr>
          <w:rFonts w:hint="eastAsia" w:ascii="仿宋_GB2312" w:hAnsi="仿宋_GB2312" w:cs="仿宋_GB2312"/>
          <w:szCs w:val="32"/>
        </w:rPr>
        <w:t>2020年，项目支出232.52万元。</w:t>
      </w:r>
    </w:p>
    <w:p>
      <w:pPr>
        <w:adjustRightInd w:val="0"/>
        <w:snapToGrid w:val="0"/>
        <w:spacing w:line="592" w:lineRule="exact"/>
        <w:ind w:firstLine="720"/>
        <w:rPr>
          <w:rFonts w:ascii="仿宋_GB2312" w:hAnsi="仿宋_GB2312" w:cs="仿宋_GB2312"/>
          <w:szCs w:val="32"/>
        </w:rPr>
      </w:pPr>
      <w:r>
        <w:rPr>
          <w:rFonts w:hint="eastAsia" w:ascii="仿宋_GB2312" w:hAnsi="仿宋_GB2312" w:cs="仿宋_GB2312"/>
          <w:kern w:val="0"/>
          <w:shd w:val="clear" w:color="auto" w:fill="FFFFFF"/>
          <w:lang w:val="zh-CN"/>
        </w:rPr>
        <w:t>（2）项目资金管理情况。</w:t>
      </w:r>
    </w:p>
    <w:p>
      <w:pPr>
        <w:adjustRightInd w:val="0"/>
        <w:snapToGrid w:val="0"/>
        <w:spacing w:line="592" w:lineRule="exact"/>
        <w:ind w:firstLine="640" w:firstLineChars="200"/>
        <w:rPr>
          <w:rFonts w:ascii="仿宋_GB2312" w:hAnsi="仿宋_GB2312" w:cs="仿宋_GB2312"/>
          <w:kern w:val="0"/>
          <w:szCs w:val="32"/>
          <w:shd w:val="clear" w:color="auto" w:fill="FFFFFF"/>
          <w:lang w:val="zh-CN"/>
        </w:rPr>
      </w:pPr>
      <w:r>
        <w:rPr>
          <w:rFonts w:hint="eastAsia" w:ascii="仿宋_GB2312" w:hAnsi="仿宋_GB2312" w:cs="仿宋_GB2312"/>
          <w:szCs w:val="32"/>
          <w:shd w:val="clear" w:color="auto" w:fill="FFFFFF"/>
        </w:rPr>
        <w:t>在使用专项资金时，严格执行专项资使用制度和财务制度，同时对各项专项资金的使用流程进行监督，检查专项资金使用情况。2020年项目支出</w:t>
      </w:r>
      <w:r>
        <w:rPr>
          <w:rFonts w:hint="eastAsia" w:ascii="仿宋_GB2312" w:hAnsi="仿宋_GB2312" w:cs="仿宋_GB2312"/>
          <w:szCs w:val="32"/>
        </w:rPr>
        <w:t>主要是用于第四次全国人口普查、第七次全国人口普查、城乡居民收入调查、名录库维护、限下单位抽样调查、人口抽样调查等。</w:t>
      </w:r>
    </w:p>
    <w:p>
      <w:pPr>
        <w:adjustRightInd w:val="0"/>
        <w:snapToGrid w:val="0"/>
        <w:spacing w:line="592" w:lineRule="exact"/>
        <w:ind w:firstLine="720"/>
        <w:rPr>
          <w:rFonts w:ascii="仿宋_GB2312" w:hAnsi="仿宋_GB2312" w:cs="仿宋_GB2312"/>
          <w:kern w:val="0"/>
          <w:shd w:val="clear" w:color="auto" w:fill="FFFFFF"/>
          <w:lang w:val="zh-CN"/>
        </w:rPr>
      </w:pPr>
      <w:r>
        <w:rPr>
          <w:rFonts w:hint="eastAsia" w:ascii="仿宋_GB2312" w:hAnsi="仿宋_GB2312" w:cs="仿宋_GB2312"/>
          <w:kern w:val="0"/>
          <w:shd w:val="clear" w:color="auto" w:fill="FFFFFF"/>
          <w:lang w:val="zh-CN"/>
        </w:rPr>
        <w:t>（3）绩效目标完成情况。</w:t>
      </w:r>
    </w:p>
    <w:p>
      <w:pPr>
        <w:adjustRightInd w:val="0"/>
        <w:snapToGrid w:val="0"/>
        <w:spacing w:line="592" w:lineRule="exact"/>
        <w:ind w:firstLine="720"/>
        <w:rPr>
          <w:rFonts w:ascii="仿宋_GB2312" w:hAnsi="仿宋_GB2312" w:cs="仿宋_GB2312"/>
          <w:kern w:val="0"/>
          <w:shd w:val="clear" w:color="auto" w:fill="FFFFFF"/>
          <w:lang w:val="zh-CN"/>
        </w:rPr>
      </w:pPr>
      <w:r>
        <w:rPr>
          <w:rFonts w:hint="eastAsia" w:ascii="仿宋_GB2312" w:hAnsi="仿宋_GB2312" w:cs="仿宋_GB2312"/>
          <w:kern w:val="0"/>
          <w:shd w:val="clear" w:color="auto" w:fill="FFFFFF"/>
          <w:lang w:val="zh-CN"/>
        </w:rPr>
        <w:t>专项资金的使用，全面查清我国人口数量、结构、分布、城乡住房等方面情况；抽样调查城镇和农村居民收入、支出情况；全面准确的摸清第二产业和第三产业的发展规模、布局和效益；对政府准确判断就业形式，正确制定和调整就业政策；了解全区单位真实性和产业结构布局，掌握规下单位分行业经济运行情以及掌握全区常住人口结构、城镇化率，掌握新型城镇化的进程。</w:t>
      </w:r>
    </w:p>
    <w:p>
      <w:pPr>
        <w:adjustRightInd w:val="0"/>
        <w:snapToGrid w:val="0"/>
        <w:spacing w:line="592" w:lineRule="exact"/>
        <w:ind w:firstLine="720"/>
        <w:rPr>
          <w:rFonts w:eastAsia="楷体_GB2312"/>
          <w:b/>
          <w:kern w:val="0"/>
          <w:shd w:val="clear" w:color="auto" w:fill="FFFFFF"/>
          <w:lang w:val="zh-CN"/>
        </w:rPr>
      </w:pPr>
      <w:r>
        <w:rPr>
          <w:rFonts w:eastAsia="楷体_GB2312"/>
          <w:b/>
          <w:kern w:val="0"/>
          <w:shd w:val="clear" w:color="auto" w:fill="FFFFFF"/>
          <w:lang w:val="zh-CN"/>
        </w:rPr>
        <w:t>（四）财务管理情况</w:t>
      </w:r>
    </w:p>
    <w:p>
      <w:pPr>
        <w:adjustRightInd w:val="0"/>
        <w:snapToGrid w:val="0"/>
        <w:spacing w:line="592" w:lineRule="exact"/>
        <w:ind w:firstLine="720"/>
        <w:rPr>
          <w:rFonts w:ascii="仿宋_GB2312" w:hAnsi="仿宋_GB2312" w:cs="仿宋_GB2312"/>
          <w:lang w:val="zh-CN"/>
        </w:rPr>
      </w:pPr>
      <w:r>
        <w:rPr>
          <w:rFonts w:hint="eastAsia" w:ascii="仿宋_GB2312" w:hAnsi="仿宋_GB2312" w:cs="仿宋_GB2312"/>
        </w:rPr>
        <w:t>我局建立了内控制度，政府采购制度，认真执行“三重一大”制度、重大事项集体决策（党组会研究通过）。</w:t>
      </w:r>
      <w:r>
        <w:rPr>
          <w:rFonts w:hint="eastAsia" w:ascii="仿宋_GB2312" w:hAnsi="仿宋_GB2312" w:cs="仿宋_GB2312"/>
          <w:lang w:val="zh-CN"/>
        </w:rPr>
        <w:t>对照项目资金管理办法，严格执行财务管理制度、财务处理及时、会计核算规范等。</w:t>
      </w:r>
    </w:p>
    <w:p>
      <w:pPr>
        <w:adjustRightInd w:val="0"/>
        <w:snapToGrid w:val="0"/>
        <w:spacing w:line="592" w:lineRule="exact"/>
        <w:ind w:firstLine="720"/>
        <w:rPr>
          <w:rFonts w:eastAsia="楷体_GB2312"/>
          <w:b/>
          <w:kern w:val="0"/>
          <w:shd w:val="clear" w:color="auto" w:fill="FFFFFF"/>
          <w:lang w:val="zh-CN"/>
        </w:rPr>
      </w:pPr>
      <w:r>
        <w:rPr>
          <w:rFonts w:eastAsia="楷体_GB2312"/>
          <w:b/>
          <w:kern w:val="0"/>
          <w:shd w:val="clear" w:color="auto" w:fill="FFFFFF"/>
          <w:lang w:val="zh-CN"/>
        </w:rPr>
        <w:t>（五）绩效管理工作开展情况</w:t>
      </w:r>
    </w:p>
    <w:p>
      <w:pPr>
        <w:spacing w:line="592" w:lineRule="exact"/>
        <w:ind w:firstLine="640" w:firstLineChars="200"/>
        <w:rPr>
          <w:rFonts w:ascii="仿宋_GB2312" w:hAnsi="仿宋_GB2312" w:cs="仿宋_GB2312"/>
          <w:b/>
          <w:szCs w:val="32"/>
        </w:rPr>
      </w:pPr>
      <w:r>
        <w:rPr>
          <w:rFonts w:hint="eastAsia" w:ascii="仿宋_GB2312" w:hAnsi="仿宋_GB2312" w:cs="仿宋_GB2312"/>
          <w:szCs w:val="32"/>
        </w:rPr>
        <w:t>本部门按要求对2020年部门整体支出绩效评价情况开展自评，</w:t>
      </w:r>
      <w:r>
        <w:rPr>
          <w:rFonts w:hint="eastAsia" w:ascii="仿宋_GB2312" w:hAnsi="仿宋_GB2312" w:cs="仿宋_GB2312"/>
          <w:szCs w:val="32"/>
          <w:shd w:val="clear" w:color="auto" w:fill="FFFFFF"/>
        </w:rPr>
        <w:t>在人员经费支出、公共支出严格执行区委区政府的各项制度；在项目经费的使用上，在保证各项任务顺利完成的同时，严格落实厉行节约的原则。</w:t>
      </w:r>
    </w:p>
    <w:p>
      <w:pPr>
        <w:adjustRightInd w:val="0"/>
        <w:snapToGrid w:val="0"/>
        <w:spacing w:line="592" w:lineRule="exact"/>
        <w:ind w:firstLine="720"/>
        <w:rPr>
          <w:rFonts w:eastAsia="黑体"/>
          <w:bCs/>
          <w:kern w:val="0"/>
          <w:shd w:val="clear" w:color="auto" w:fill="FFFFFF"/>
        </w:rPr>
      </w:pPr>
      <w:r>
        <w:rPr>
          <w:rFonts w:eastAsia="黑体"/>
          <w:bCs/>
          <w:kern w:val="0"/>
          <w:shd w:val="clear" w:color="auto" w:fill="FFFFFF"/>
        </w:rPr>
        <w:t>四、评价结论及建议</w:t>
      </w:r>
    </w:p>
    <w:p>
      <w:pPr>
        <w:shd w:val="clear" w:color="auto" w:fill="FFFFFF"/>
        <w:adjustRightInd w:val="0"/>
        <w:spacing w:line="592" w:lineRule="exact"/>
        <w:ind w:firstLine="643" w:firstLineChars="200"/>
        <w:rPr>
          <w:rFonts w:ascii="楷体_GB2312" w:hAnsi="楷体" w:eastAsia="楷体_GB2312"/>
          <w:b/>
          <w:szCs w:val="32"/>
        </w:rPr>
      </w:pPr>
      <w:r>
        <w:rPr>
          <w:rFonts w:hint="eastAsia" w:ascii="楷体_GB2312" w:hAnsi="楷体" w:eastAsia="楷体_GB2312"/>
          <w:b/>
          <w:szCs w:val="32"/>
        </w:rPr>
        <w:t>（一）评价结论</w:t>
      </w:r>
    </w:p>
    <w:p>
      <w:pPr>
        <w:shd w:val="clear" w:color="auto" w:fill="FFFFFF"/>
        <w:adjustRightInd w:val="0"/>
        <w:spacing w:line="592" w:lineRule="exact"/>
        <w:ind w:firstLine="640" w:firstLineChars="200"/>
        <w:rPr>
          <w:rFonts w:ascii="仿宋_GB2312" w:hAnsi="仿宋_GB2312" w:cs="仿宋_GB2312"/>
          <w:bCs/>
          <w:szCs w:val="32"/>
        </w:rPr>
      </w:pPr>
      <w:r>
        <w:rPr>
          <w:rFonts w:hint="eastAsia" w:ascii="仿宋_GB2312" w:hAnsi="仿宋_GB2312" w:cs="仿宋_GB2312"/>
          <w:bCs/>
          <w:szCs w:val="32"/>
        </w:rPr>
        <w:t>2020年部门整体支出绩效自评得分98分。</w:t>
      </w:r>
    </w:p>
    <w:p>
      <w:pPr>
        <w:shd w:val="clear" w:color="auto" w:fill="FFFFFF"/>
        <w:adjustRightInd w:val="0"/>
        <w:spacing w:line="592" w:lineRule="exact"/>
        <w:ind w:firstLine="643" w:firstLineChars="200"/>
        <w:rPr>
          <w:rFonts w:ascii="楷体_GB2312" w:hAnsi="楷体" w:eastAsia="楷体_GB2312"/>
          <w:b/>
          <w:szCs w:val="32"/>
        </w:rPr>
      </w:pPr>
      <w:r>
        <w:rPr>
          <w:rFonts w:hint="eastAsia" w:ascii="楷体_GB2312" w:hAnsi="楷体" w:eastAsia="楷体_GB2312"/>
          <w:b/>
          <w:szCs w:val="32"/>
        </w:rPr>
        <w:t>（二）存在问题</w:t>
      </w:r>
    </w:p>
    <w:p>
      <w:pPr>
        <w:shd w:val="clear" w:color="auto" w:fill="FFFFFF"/>
        <w:adjustRightInd w:val="0"/>
        <w:spacing w:line="592" w:lineRule="exact"/>
        <w:ind w:firstLine="640" w:firstLineChars="200"/>
        <w:rPr>
          <w:rFonts w:ascii="仿宋_GB2312" w:hAnsi="仿宋_GB2312" w:cs="仿宋_GB2312"/>
          <w:bCs/>
          <w:szCs w:val="32"/>
        </w:rPr>
      </w:pPr>
      <w:r>
        <w:rPr>
          <w:rFonts w:hint="eastAsia" w:ascii="仿宋_GB2312" w:hAnsi="仿宋_GB2312" w:cs="仿宋_GB2312"/>
          <w:bCs/>
          <w:szCs w:val="32"/>
        </w:rPr>
        <w:t>由于绩效管理经验不足，管理过程需要需要更加的规范。</w:t>
      </w:r>
    </w:p>
    <w:p>
      <w:pPr>
        <w:shd w:val="clear" w:color="auto" w:fill="FFFFFF"/>
        <w:adjustRightInd w:val="0"/>
        <w:spacing w:line="592" w:lineRule="exact"/>
        <w:ind w:firstLine="643" w:firstLineChars="200"/>
        <w:rPr>
          <w:rFonts w:ascii="楷体_GB2312" w:hAnsi="楷体" w:eastAsia="楷体_GB2312"/>
          <w:b/>
          <w:szCs w:val="32"/>
        </w:rPr>
      </w:pPr>
      <w:r>
        <w:rPr>
          <w:rFonts w:hint="eastAsia" w:ascii="楷体_GB2312" w:hAnsi="楷体" w:eastAsia="楷体_GB2312"/>
          <w:b/>
          <w:szCs w:val="32"/>
        </w:rPr>
        <w:t>（三）改进建议</w:t>
      </w:r>
    </w:p>
    <w:p>
      <w:pPr>
        <w:shd w:val="clear" w:color="auto" w:fill="FFFFFF"/>
        <w:adjustRightInd w:val="0"/>
        <w:spacing w:line="592" w:lineRule="exact"/>
        <w:ind w:firstLine="640" w:firstLineChars="200"/>
        <w:rPr>
          <w:rFonts w:ascii="仿宋_GB2312" w:hAnsi="仿宋_GB2312" w:cs="仿宋_GB2312"/>
          <w:bCs/>
          <w:szCs w:val="32"/>
        </w:rPr>
      </w:pPr>
      <w:r>
        <w:rPr>
          <w:rFonts w:hint="eastAsia" w:ascii="仿宋_GB2312" w:hAnsi="仿宋_GB2312" w:cs="仿宋_GB2312"/>
          <w:bCs/>
          <w:szCs w:val="32"/>
        </w:rPr>
        <w:t>进一步完善绩效评价体系，加强对绩效管理工作的跟踪督查，做到绩效管理有依据、按程序、有奖惩，实现绩效管理的规范化、常态化。</w:t>
      </w: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outlineLvl w:val="1"/>
        <w:rPr>
          <w:rFonts w:ascii="仿宋_GB2312" w:hAnsi="仿宋_GB2312" w:cs="仿宋_GB2312"/>
          <w:szCs w:val="32"/>
        </w:rPr>
      </w:pPr>
      <w:bookmarkStart w:id="62" w:name="_Toc11602"/>
      <w:r>
        <w:rPr>
          <w:rFonts w:hint="eastAsia" w:ascii="黑体" w:hAnsi="黑体" w:eastAsia="黑体" w:cs="黑体"/>
          <w:szCs w:val="32"/>
        </w:rPr>
        <w:t>附件</w:t>
      </w:r>
      <w:r>
        <w:rPr>
          <w:rFonts w:ascii="黑体" w:hAnsi="黑体" w:eastAsia="黑体" w:cs="黑体"/>
          <w:szCs w:val="32"/>
        </w:rPr>
        <w:t>2</w:t>
      </w:r>
      <w:bookmarkEnd w:id="62"/>
    </w:p>
    <w:p>
      <w:pPr>
        <w:spacing w:line="580" w:lineRule="exact"/>
        <w:ind w:firstLine="640" w:firstLineChars="200"/>
        <w:rPr>
          <w:rFonts w:ascii="仿宋_GB2312" w:hAnsi="仿宋_GB2312" w:cs="仿宋_GB2312"/>
          <w:szCs w:val="32"/>
        </w:rPr>
      </w:pPr>
    </w:p>
    <w:p>
      <w:pPr>
        <w:spacing w:line="600" w:lineRule="exact"/>
        <w:jc w:val="center"/>
        <w:rPr>
          <w:rFonts w:ascii="方正小标宋简体" w:hAnsi="宋体" w:eastAsia="方正小标宋简体"/>
          <w:kern w:val="0"/>
          <w:sz w:val="44"/>
          <w:szCs w:val="44"/>
          <w:lang w:val="zh-CN"/>
        </w:rPr>
      </w:pPr>
      <w:r>
        <w:rPr>
          <w:rFonts w:hint="eastAsia" w:ascii="方正小标宋简体" w:hAnsi="宋体" w:eastAsia="方正小标宋简体"/>
          <w:kern w:val="0"/>
          <w:sz w:val="44"/>
          <w:szCs w:val="44"/>
          <w:lang w:val="zh-CN"/>
        </w:rPr>
        <w:t>第四次全国经济普查项目</w:t>
      </w:r>
      <w:r>
        <w:rPr>
          <w:rFonts w:ascii="方正小标宋简体" w:hAnsi="宋体" w:eastAsia="方正小标宋简体"/>
          <w:kern w:val="0"/>
          <w:sz w:val="44"/>
          <w:szCs w:val="44"/>
        </w:rPr>
        <w:t>2020</w:t>
      </w:r>
      <w:r>
        <w:rPr>
          <w:rFonts w:hint="eastAsia" w:ascii="方正小标宋简体" w:hAnsi="宋体" w:eastAsia="方正小标宋简体"/>
          <w:kern w:val="0"/>
          <w:sz w:val="44"/>
          <w:szCs w:val="44"/>
        </w:rPr>
        <w:t>年</w:t>
      </w:r>
      <w:r>
        <w:rPr>
          <w:rFonts w:hint="eastAsia" w:ascii="方正小标宋简体" w:hAnsi="宋体" w:eastAsia="方正小标宋简体"/>
          <w:kern w:val="0"/>
          <w:sz w:val="44"/>
          <w:szCs w:val="44"/>
          <w:lang w:val="zh-CN"/>
        </w:rPr>
        <w:t>绩效评价报告</w:t>
      </w:r>
    </w:p>
    <w:p>
      <w:pPr>
        <w:spacing w:line="600" w:lineRule="exact"/>
        <w:rPr>
          <w:rFonts w:ascii="宋体"/>
          <w:szCs w:val="32"/>
          <w:lang w:val="zh-CN"/>
        </w:rPr>
      </w:pPr>
    </w:p>
    <w:p>
      <w:pPr>
        <w:adjustRightInd w:val="0"/>
        <w:snapToGrid w:val="0"/>
        <w:spacing w:line="580" w:lineRule="exact"/>
        <w:ind w:firstLine="720"/>
        <w:rPr>
          <w:rFonts w:eastAsia="黑体"/>
          <w:lang w:val="zh-CN"/>
        </w:rPr>
      </w:pPr>
      <w:r>
        <w:rPr>
          <w:rFonts w:eastAsia="黑体"/>
        </w:rPr>
        <w:t>一、</w:t>
      </w:r>
      <w:r>
        <w:rPr>
          <w:rFonts w:eastAsia="黑体"/>
          <w:lang w:val="zh-CN"/>
        </w:rPr>
        <w:t>项目概况</w:t>
      </w:r>
    </w:p>
    <w:p>
      <w:pPr>
        <w:adjustRightInd w:val="0"/>
        <w:snapToGrid w:val="0"/>
        <w:spacing w:line="580" w:lineRule="exact"/>
        <w:ind w:firstLine="720"/>
        <w:rPr>
          <w:rFonts w:ascii="仿宋_GB2312" w:hAnsi="仿宋_GB2312" w:cs="仿宋_GB2312"/>
          <w:szCs w:val="32"/>
        </w:rPr>
      </w:pPr>
      <w:r>
        <w:rPr>
          <w:rFonts w:hint="eastAsia" w:ascii="仿宋_GB2312" w:hAnsi="仿宋_GB2312" w:cs="仿宋_GB2312"/>
          <w:szCs w:val="32"/>
        </w:rPr>
        <w:t>第四次全国经济普查项目资金主要是用于全面准确的摸清第二产业和第三产业的发展规模、布局和效益。</w:t>
      </w:r>
    </w:p>
    <w:p>
      <w:pPr>
        <w:adjustRightInd w:val="0"/>
        <w:snapToGrid w:val="0"/>
        <w:spacing w:line="580" w:lineRule="exact"/>
        <w:ind w:firstLine="321" w:firstLineChars="100"/>
        <w:rPr>
          <w:rFonts w:ascii="仿宋_GB2312" w:hAnsi="仿宋_GB2312" w:cs="仿宋_GB2312"/>
          <w:szCs w:val="32"/>
        </w:rPr>
      </w:pPr>
      <w:r>
        <w:rPr>
          <w:rFonts w:hint="eastAsia" w:eastAsia="楷体_GB2312"/>
          <w:b/>
          <w:lang w:val="zh-CN"/>
        </w:rPr>
        <w:t>（一）</w:t>
      </w:r>
      <w:r>
        <w:rPr>
          <w:rFonts w:eastAsia="楷体_GB2312"/>
          <w:b/>
          <w:lang w:val="zh-CN"/>
        </w:rPr>
        <w:t>项目资金申报及批复情况。</w:t>
      </w:r>
      <w:r>
        <w:rPr>
          <w:rFonts w:hint="eastAsia" w:ascii="仿宋_GB2312" w:hAnsi="仿宋_GB2312" w:cs="仿宋_GB2312"/>
          <w:bCs/>
          <w:lang w:val="zh-CN"/>
        </w:rPr>
        <w:t>我局对第四次全国经济普查项目资金的申报，严格进行项目测算，</w:t>
      </w:r>
      <w:r>
        <w:rPr>
          <w:rFonts w:hint="eastAsia" w:ascii="仿宋_GB2312" w:hAnsi="仿宋_GB2312" w:cs="仿宋_GB2312"/>
          <w:szCs w:val="32"/>
        </w:rPr>
        <w:t>严格按照项目申报时批准的预算执行。</w:t>
      </w:r>
    </w:p>
    <w:p>
      <w:pPr>
        <w:adjustRightInd w:val="0"/>
        <w:snapToGrid w:val="0"/>
        <w:spacing w:line="580" w:lineRule="exact"/>
        <w:ind w:firstLine="321" w:firstLineChars="100"/>
        <w:rPr>
          <w:rFonts w:ascii="仿宋_GB2312" w:hAnsi="仿宋_GB2312" w:cs="仿宋_GB2312"/>
          <w:bCs/>
          <w:lang w:val="zh-CN"/>
        </w:rPr>
      </w:pPr>
      <w:r>
        <w:rPr>
          <w:rFonts w:hint="eastAsia" w:eastAsia="楷体_GB2312"/>
          <w:b/>
          <w:lang w:val="zh-CN"/>
        </w:rPr>
        <w:t>（二）</w:t>
      </w:r>
      <w:r>
        <w:rPr>
          <w:rFonts w:eastAsia="楷体_GB2312"/>
          <w:b/>
          <w:lang w:val="zh-CN"/>
        </w:rPr>
        <w:t>项目绩效目标。</w:t>
      </w:r>
      <w:r>
        <w:rPr>
          <w:rFonts w:hint="eastAsia" w:ascii="仿宋_GB2312" w:hAnsi="仿宋_GB2312" w:cs="仿宋_GB2312"/>
          <w:bCs/>
        </w:rPr>
        <w:t>2020年第四次全国经济普查的工作主要是</w:t>
      </w:r>
      <w:r>
        <w:rPr>
          <w:rFonts w:hint="eastAsia" w:ascii="仿宋_GB2312" w:hAnsi="仿宋_GB2312" w:cs="仿宋_GB2312"/>
          <w:bCs/>
          <w:lang w:val="zh-CN"/>
        </w:rPr>
        <w:t>全面准确的摸清第二产业和第三产业的发展规模、布局和效益，建立和完善经济普查相关数据库，利用经普资料进行宏观分析和专题分析研究、开展普查表彰等工作。</w:t>
      </w:r>
    </w:p>
    <w:p>
      <w:pPr>
        <w:adjustRightInd w:val="0"/>
        <w:snapToGrid w:val="0"/>
        <w:spacing w:line="580" w:lineRule="exact"/>
        <w:ind w:firstLine="720"/>
        <w:rPr>
          <w:lang w:val="zh-CN"/>
        </w:rPr>
      </w:pPr>
      <w:r>
        <w:rPr>
          <w:rFonts w:eastAsia="楷体_GB2312"/>
          <w:b/>
          <w:lang w:val="zh-CN"/>
        </w:rPr>
        <w:t>（三）项目资金申报相符性。</w:t>
      </w:r>
      <w:r>
        <w:rPr>
          <w:rFonts w:hint="eastAsia"/>
          <w:lang w:val="zh-CN"/>
        </w:rPr>
        <w:t>第四次全国经济普查项目资金</w:t>
      </w:r>
      <w:r>
        <w:rPr>
          <w:lang w:val="zh-CN"/>
        </w:rPr>
        <w:t>申报内容与具体实施内容相符、申报目标合理可行。</w:t>
      </w:r>
    </w:p>
    <w:p>
      <w:pPr>
        <w:adjustRightInd w:val="0"/>
        <w:snapToGrid w:val="0"/>
        <w:spacing w:line="580" w:lineRule="exact"/>
        <w:ind w:firstLine="720"/>
        <w:rPr>
          <w:rFonts w:eastAsia="黑体"/>
        </w:rPr>
      </w:pPr>
      <w:r>
        <w:rPr>
          <w:rFonts w:eastAsia="黑体"/>
        </w:rPr>
        <w:t>二、项目实施及管理情况</w:t>
      </w:r>
    </w:p>
    <w:p>
      <w:pPr>
        <w:adjustRightInd w:val="0"/>
        <w:snapToGrid w:val="0"/>
        <w:spacing w:line="580" w:lineRule="exact"/>
        <w:ind w:firstLine="720"/>
        <w:rPr>
          <w:rFonts w:eastAsia="楷体_GB2312"/>
          <w:b/>
          <w:lang w:val="zh-CN"/>
        </w:rPr>
      </w:pPr>
      <w:r>
        <w:rPr>
          <w:lang w:val="zh-CN"/>
        </w:rPr>
        <w:tab/>
      </w:r>
      <w:r>
        <w:rPr>
          <w:rFonts w:eastAsia="楷体_GB2312"/>
          <w:b/>
          <w:lang w:val="zh-CN"/>
        </w:rPr>
        <w:t>（一）资金计划、到位及使用情况。</w:t>
      </w:r>
    </w:p>
    <w:p>
      <w:pPr>
        <w:adjustRightInd w:val="0"/>
        <w:snapToGrid w:val="0"/>
        <w:spacing w:line="580" w:lineRule="exact"/>
        <w:ind w:firstLine="720"/>
        <w:rPr>
          <w:rFonts w:ascii="仿宋_GB2312" w:hAnsi="仿宋_GB2312" w:cs="仿宋_GB2312"/>
          <w:szCs w:val="32"/>
          <w:lang w:val="zh-CN"/>
        </w:rPr>
      </w:pPr>
      <w:r>
        <w:rPr>
          <w:rFonts w:hint="eastAsia" w:ascii="仿宋_GB2312" w:hAnsi="仿宋_GB2312" w:cs="仿宋_GB2312"/>
          <w:b/>
          <w:bCs/>
          <w:szCs w:val="32"/>
          <w:lang w:val="zh-CN"/>
        </w:rPr>
        <w:t>1．资金计划及到位。</w:t>
      </w:r>
      <w:r>
        <w:rPr>
          <w:rFonts w:hint="eastAsia" w:ascii="仿宋_GB2312" w:hAnsi="仿宋_GB2312" w:cs="仿宋_GB2312"/>
          <w:szCs w:val="32"/>
        </w:rPr>
        <w:t>2020年资金计划22万元，到位22万元，到位率100%。</w:t>
      </w:r>
      <w:r>
        <w:rPr>
          <w:rFonts w:hint="eastAsia" w:ascii="仿宋_GB2312" w:hAnsi="仿宋_GB2312" w:cs="仿宋_GB2312"/>
          <w:szCs w:val="32"/>
          <w:lang w:val="zh-CN"/>
        </w:rPr>
        <w:t xml:space="preserve">  </w:t>
      </w:r>
    </w:p>
    <w:p>
      <w:pPr>
        <w:adjustRightInd w:val="0"/>
        <w:snapToGrid w:val="0"/>
        <w:spacing w:line="580" w:lineRule="exact"/>
        <w:ind w:firstLine="720"/>
        <w:rPr>
          <w:lang w:val="zh-CN"/>
        </w:rPr>
      </w:pPr>
      <w:r>
        <w:rPr>
          <w:rFonts w:hint="eastAsia" w:ascii="仿宋_GB2312" w:hAnsi="仿宋_GB2312" w:cs="仿宋_GB2312"/>
          <w:b/>
          <w:bCs/>
          <w:szCs w:val="32"/>
          <w:lang w:val="zh-CN"/>
        </w:rPr>
        <w:t>2．资金使用。</w:t>
      </w:r>
      <w:r>
        <w:rPr>
          <w:rFonts w:hint="eastAsia" w:ascii="仿宋_GB2312" w:hAnsi="仿宋_GB2312" w:cs="仿宋_GB2312"/>
          <w:szCs w:val="32"/>
        </w:rPr>
        <w:t>自流井区统计局按照年初下达的目标任务，做到早安排、早部署、早落实，各项工作指标年有计划、层层落实责任。截止目前，项目资金22万已全部使用完，</w:t>
      </w:r>
      <w:r>
        <w:rPr>
          <w:lang w:val="zh-CN"/>
        </w:rPr>
        <w:t>支付依据合规合法，资金支付预算相符，并对相关问题进行说明。</w:t>
      </w:r>
    </w:p>
    <w:p>
      <w:pPr>
        <w:adjustRightInd w:val="0"/>
        <w:snapToGrid w:val="0"/>
        <w:spacing w:line="580" w:lineRule="exact"/>
        <w:ind w:firstLine="720"/>
        <w:rPr>
          <w:rFonts w:eastAsia="楷体_GB2312"/>
          <w:b/>
          <w:lang w:val="zh-CN"/>
        </w:rPr>
      </w:pPr>
      <w:r>
        <w:rPr>
          <w:rFonts w:eastAsia="楷体_GB2312"/>
          <w:b/>
          <w:lang w:val="zh-CN"/>
        </w:rPr>
        <w:t>（二）项目财务管理情况。</w:t>
      </w:r>
    </w:p>
    <w:p>
      <w:pPr>
        <w:adjustRightInd w:val="0"/>
        <w:snapToGrid w:val="0"/>
        <w:spacing w:line="580" w:lineRule="exact"/>
        <w:ind w:firstLine="720"/>
        <w:rPr>
          <w:lang w:val="zh-CN"/>
        </w:rPr>
      </w:pPr>
      <w:r>
        <w:rPr>
          <w:rFonts w:hint="eastAsia" w:ascii="仿宋_GB2312" w:hAnsi="黑体"/>
        </w:rPr>
        <w:t>我局建立了内控制度，政府采购制度，认真执行“三重一大”制度、重大事项集体决策（党组会研究通过）。</w:t>
      </w:r>
      <w:r>
        <w:rPr>
          <w:lang w:val="zh-CN"/>
        </w:rPr>
        <w:t>对照项目资金管理办法，严格执行财务管理制度、财务处理及时、会计核算规范等。</w:t>
      </w:r>
    </w:p>
    <w:p>
      <w:pPr>
        <w:adjustRightInd w:val="0"/>
        <w:snapToGrid w:val="0"/>
        <w:spacing w:line="580" w:lineRule="exact"/>
        <w:ind w:firstLine="720"/>
        <w:rPr>
          <w:rFonts w:eastAsia="楷体_GB2312"/>
          <w:b/>
          <w:lang w:val="zh-CN"/>
        </w:rPr>
      </w:pPr>
      <w:r>
        <w:rPr>
          <w:rFonts w:eastAsia="楷体_GB2312"/>
          <w:b/>
          <w:lang w:val="zh-CN"/>
        </w:rPr>
        <w:t>（三）项目组织实施情况。</w:t>
      </w:r>
    </w:p>
    <w:p>
      <w:pPr>
        <w:shd w:val="solid" w:color="FFFFFF" w:fill="auto"/>
        <w:autoSpaceDN w:val="0"/>
        <w:spacing w:line="592" w:lineRule="exact"/>
        <w:ind w:firstLine="660"/>
        <w:rPr>
          <w:rFonts w:ascii="仿宋_GB2312" w:hAnsi="仿宋_GB2312" w:cs="仿宋_GB2312"/>
          <w:b/>
          <w:szCs w:val="32"/>
        </w:rPr>
      </w:pPr>
      <w:r>
        <w:rPr>
          <w:rFonts w:hint="eastAsia" w:ascii="仿宋_GB2312" w:hAnsi="仿宋_GB2312" w:cs="仿宋_GB2312"/>
          <w:szCs w:val="32"/>
        </w:rPr>
        <w:t>我局领导高度重视，认真履行对内部控制制度的建立健全和有效实施责任，切实开展内部控制风险评估、党风廉政建设风险防控工作。</w:t>
      </w:r>
      <w:r>
        <w:rPr>
          <w:rFonts w:hint="eastAsia" w:ascii="仿宋_GB2312" w:hAnsi="仿宋_GB2312" w:cs="仿宋_GB2312"/>
          <w:szCs w:val="32"/>
          <w:shd w:val="clear" w:color="auto" w:fill="FFFFFF"/>
        </w:rPr>
        <w:t>专项资金使用符合规定，支出合理， 做到专项资金专款专用。</w:t>
      </w:r>
    </w:p>
    <w:p>
      <w:pPr>
        <w:adjustRightInd w:val="0"/>
        <w:snapToGrid w:val="0"/>
        <w:spacing w:line="580" w:lineRule="exact"/>
        <w:ind w:firstLine="720"/>
        <w:rPr>
          <w:lang w:val="zh-CN"/>
        </w:rPr>
      </w:pPr>
      <w:r>
        <w:rPr>
          <w:rFonts w:eastAsia="黑体"/>
        </w:rPr>
        <w:t>三、项目绩效情况</w:t>
      </w:r>
      <w:r>
        <w:rPr>
          <w:lang w:val="zh-CN"/>
        </w:rPr>
        <w:tab/>
      </w:r>
    </w:p>
    <w:p>
      <w:pPr>
        <w:adjustRightInd w:val="0"/>
        <w:snapToGrid w:val="0"/>
        <w:spacing w:line="580" w:lineRule="exact"/>
        <w:ind w:firstLine="720"/>
        <w:rPr>
          <w:rFonts w:eastAsia="楷体_GB2312"/>
          <w:b/>
          <w:lang w:val="zh-CN"/>
        </w:rPr>
      </w:pPr>
      <w:r>
        <w:rPr>
          <w:rFonts w:eastAsia="楷体_GB2312"/>
          <w:b/>
          <w:lang w:val="zh-CN"/>
        </w:rPr>
        <w:t>（一）项目完成情况。</w:t>
      </w:r>
    </w:p>
    <w:p>
      <w:pPr>
        <w:adjustRightInd w:val="0"/>
        <w:snapToGrid w:val="0"/>
        <w:spacing w:line="580" w:lineRule="exact"/>
        <w:ind w:firstLine="720"/>
        <w:rPr>
          <w:rFonts w:eastAsia="楷体_GB2312"/>
          <w:b/>
          <w:lang w:val="zh-CN"/>
        </w:rPr>
      </w:pPr>
      <w:r>
        <w:rPr>
          <w:rFonts w:hint="eastAsia" w:ascii="仿宋_GB2312" w:hAnsi="仿宋_GB2312" w:cs="仿宋_GB2312"/>
          <w:bCs/>
        </w:rPr>
        <w:t>2020年第四次全国经济普查的工作主要是</w:t>
      </w:r>
      <w:r>
        <w:rPr>
          <w:rFonts w:hint="eastAsia" w:ascii="仿宋_GB2312" w:hAnsi="仿宋_GB2312" w:cs="仿宋_GB2312"/>
          <w:bCs/>
          <w:lang w:val="zh-CN"/>
        </w:rPr>
        <w:t>全面准确的摸清第二产业和第三产业的发展规模、布局和效益，进行普查资料的开发利用、编印经济普查资料，建立和完善经济普查相关数据库，利用经普资料进行宏观分析和专题分析研究工作。</w:t>
      </w:r>
    </w:p>
    <w:p>
      <w:pPr>
        <w:adjustRightInd w:val="0"/>
        <w:snapToGrid w:val="0"/>
        <w:spacing w:line="580" w:lineRule="exact"/>
        <w:ind w:firstLine="720"/>
        <w:rPr>
          <w:rFonts w:eastAsia="楷体_GB2312"/>
          <w:b/>
          <w:lang w:val="zh-CN"/>
        </w:rPr>
      </w:pPr>
      <w:r>
        <w:rPr>
          <w:rFonts w:eastAsia="楷体_GB2312"/>
          <w:b/>
          <w:lang w:val="zh-CN"/>
        </w:rPr>
        <w:t>（二）项目效益情况。</w:t>
      </w:r>
      <w:r>
        <w:rPr>
          <w:rFonts w:hint="eastAsia"/>
          <w:lang w:val="zh-CN"/>
        </w:rPr>
        <w:t>党委政府和社会各界</w:t>
      </w:r>
      <w:r>
        <w:rPr>
          <w:lang w:val="zh-CN"/>
        </w:rPr>
        <w:t>等方面对</w:t>
      </w:r>
      <w:r>
        <w:rPr>
          <w:rFonts w:hint="eastAsia"/>
          <w:lang w:val="zh-CN"/>
        </w:rPr>
        <w:t>第四次全国经济普查满意度为</w:t>
      </w:r>
      <w:r>
        <w:rPr>
          <w:rFonts w:hint="eastAsia"/>
        </w:rPr>
        <w:t>100%</w:t>
      </w:r>
      <w:r>
        <w:rPr>
          <w:lang w:val="zh-CN"/>
        </w:rPr>
        <w:t>。</w:t>
      </w:r>
    </w:p>
    <w:p>
      <w:pPr>
        <w:adjustRightInd w:val="0"/>
        <w:snapToGrid w:val="0"/>
        <w:spacing w:line="580" w:lineRule="exact"/>
        <w:ind w:firstLine="720"/>
        <w:rPr>
          <w:rFonts w:eastAsia="黑体"/>
        </w:rPr>
      </w:pPr>
      <w:r>
        <w:rPr>
          <w:rFonts w:eastAsia="黑体"/>
        </w:rPr>
        <w:t>四、问题及建议</w:t>
      </w:r>
    </w:p>
    <w:p>
      <w:pPr>
        <w:shd w:val="clear" w:color="auto" w:fill="FFFFFF"/>
        <w:adjustRightInd w:val="0"/>
        <w:spacing w:line="592" w:lineRule="exact"/>
        <w:ind w:firstLine="643" w:firstLineChars="200"/>
        <w:rPr>
          <w:rFonts w:ascii="楷体_GB2312" w:hAnsi="楷体" w:eastAsia="楷体_GB2312"/>
          <w:b/>
          <w:szCs w:val="32"/>
        </w:rPr>
      </w:pPr>
      <w:r>
        <w:rPr>
          <w:rFonts w:hint="eastAsia" w:ascii="楷体_GB2312" w:hAnsi="楷体" w:eastAsia="楷体_GB2312"/>
          <w:b/>
          <w:szCs w:val="32"/>
        </w:rPr>
        <w:t>（一）存在问题</w:t>
      </w:r>
    </w:p>
    <w:p>
      <w:pPr>
        <w:shd w:val="clear" w:color="auto" w:fill="FFFFFF"/>
        <w:adjustRightInd w:val="0"/>
        <w:spacing w:line="592" w:lineRule="exact"/>
        <w:ind w:firstLine="640" w:firstLineChars="200"/>
        <w:rPr>
          <w:rFonts w:ascii="仿宋_GB2312" w:hAnsi="仿宋_GB2312" w:cs="仿宋_GB2312"/>
          <w:bCs/>
          <w:szCs w:val="32"/>
        </w:rPr>
      </w:pPr>
      <w:r>
        <w:rPr>
          <w:rFonts w:hint="eastAsia" w:ascii="仿宋_GB2312" w:hAnsi="仿宋_GB2312" w:cs="仿宋_GB2312"/>
          <w:bCs/>
          <w:szCs w:val="32"/>
        </w:rPr>
        <w:t>由于绩效管理经验不足，管理过程需要需要更加的规范。</w:t>
      </w:r>
    </w:p>
    <w:p>
      <w:pPr>
        <w:shd w:val="clear" w:color="auto" w:fill="FFFFFF"/>
        <w:adjustRightInd w:val="0"/>
        <w:spacing w:line="592" w:lineRule="exact"/>
        <w:ind w:firstLine="643" w:firstLineChars="200"/>
        <w:rPr>
          <w:rFonts w:ascii="楷体_GB2312" w:hAnsi="楷体" w:eastAsia="楷体_GB2312"/>
          <w:b/>
          <w:szCs w:val="32"/>
        </w:rPr>
      </w:pPr>
      <w:r>
        <w:rPr>
          <w:rFonts w:hint="eastAsia" w:ascii="楷体_GB2312" w:hAnsi="楷体" w:eastAsia="楷体_GB2312"/>
          <w:b/>
          <w:szCs w:val="32"/>
        </w:rPr>
        <w:t>（二）相关建议</w:t>
      </w:r>
    </w:p>
    <w:p>
      <w:pPr>
        <w:spacing w:line="580" w:lineRule="exact"/>
        <w:ind w:firstLine="960" w:firstLineChars="300"/>
      </w:pPr>
      <w:r>
        <w:rPr>
          <w:rFonts w:hint="eastAsia" w:ascii="仿宋_GB2312" w:hAnsi="宋体" w:cs="仿宋_GB2312"/>
          <w:szCs w:val="32"/>
        </w:rPr>
        <w:t>建议相关部门加强业务指导，</w:t>
      </w:r>
      <w:r>
        <w:rPr>
          <w:rFonts w:ascii="仿宋_GB2312" w:hAnsi="宋体" w:cs="仿宋_GB2312"/>
          <w:szCs w:val="32"/>
        </w:rPr>
        <w:t>完善绩效评价体系，</w:t>
      </w:r>
      <w:r>
        <w:rPr>
          <w:rFonts w:hint="eastAsia" w:ascii="仿宋_GB2312" w:hAnsi="宋体" w:cs="仿宋_GB2312"/>
          <w:szCs w:val="32"/>
        </w:rPr>
        <w:t>做到绩效管理有依据、按程序，实现绩效管理的规范化、常态化。</w:t>
      </w:r>
    </w:p>
    <w:p>
      <w:pPr>
        <w:spacing w:line="580" w:lineRule="exact"/>
        <w:ind w:firstLine="640"/>
        <w:rPr>
          <w:rFonts w:ascii="仿宋_GB2312" w:hAnsi="仿宋_GB2312" w:cs="仿宋_GB2312"/>
          <w:szCs w:val="32"/>
        </w:rPr>
      </w:pPr>
    </w:p>
    <w:p>
      <w:pPr>
        <w:widowControl/>
        <w:jc w:val="left"/>
        <w:rPr>
          <w:rStyle w:val="13"/>
          <w:rFonts w:ascii="黑体" w:hAnsi="黑体" w:eastAsia="黑体"/>
          <w:b w:val="0"/>
        </w:rPr>
      </w:pPr>
    </w:p>
    <w:p>
      <w:pPr>
        <w:widowControl/>
        <w:jc w:val="left"/>
        <w:rPr>
          <w:rStyle w:val="13"/>
          <w:rFonts w:ascii="黑体" w:hAnsi="黑体" w:eastAsia="黑体"/>
          <w:b w:val="0"/>
        </w:rPr>
      </w:pPr>
      <w:r>
        <w:rPr>
          <w:rStyle w:val="13"/>
          <w:rFonts w:ascii="黑体" w:hAnsi="黑体" w:eastAsia="黑体"/>
          <w:b w:val="0"/>
        </w:rPr>
        <w:br w:type="page"/>
      </w:r>
    </w:p>
    <w:p>
      <w:pPr>
        <w:spacing w:line="600" w:lineRule="exact"/>
        <w:jc w:val="center"/>
        <w:outlineLvl w:val="0"/>
        <w:rPr>
          <w:rStyle w:val="13"/>
          <w:rFonts w:ascii="黑体" w:hAnsi="黑体" w:eastAsia="黑体"/>
          <w:b w:val="0"/>
        </w:rPr>
      </w:pPr>
      <w:bookmarkStart w:id="63" w:name="_Toc15396618"/>
      <w:bookmarkStart w:id="64" w:name="_Toc32283"/>
      <w:r>
        <w:rPr>
          <w:rFonts w:hint="eastAsia" w:ascii="黑体" w:hAnsi="黑体" w:eastAsia="黑体"/>
          <w:sz w:val="44"/>
          <w:szCs w:val="44"/>
        </w:rPr>
        <w:t>第</w:t>
      </w:r>
      <w:r>
        <w:rPr>
          <w:rStyle w:val="13"/>
          <w:rFonts w:hint="eastAsia" w:ascii="黑体" w:hAnsi="黑体" w:eastAsia="黑体"/>
          <w:b w:val="0"/>
        </w:rPr>
        <w:t>五部分</w:t>
      </w:r>
      <w:r>
        <w:rPr>
          <w:rStyle w:val="13"/>
          <w:rFonts w:ascii="黑体" w:hAnsi="黑体" w:eastAsia="黑体"/>
          <w:b w:val="0"/>
        </w:rPr>
        <w:t xml:space="preserve"> </w:t>
      </w:r>
      <w:r>
        <w:rPr>
          <w:rStyle w:val="13"/>
          <w:rFonts w:hint="eastAsia" w:ascii="黑体" w:hAnsi="黑体" w:eastAsia="黑体"/>
          <w:b w:val="0"/>
        </w:rPr>
        <w:t>附表</w:t>
      </w:r>
      <w:bookmarkEnd w:id="58"/>
      <w:bookmarkEnd w:id="63"/>
      <w:bookmarkEnd w:id="64"/>
    </w:p>
    <w:p>
      <w:pPr>
        <w:spacing w:line="600" w:lineRule="exact"/>
        <w:jc w:val="center"/>
        <w:outlineLvl w:val="0"/>
        <w:rPr>
          <w:rFonts w:ascii="仿宋" w:hAnsi="仿宋" w:eastAsia="仿宋"/>
          <w:b/>
          <w:sz w:val="44"/>
          <w:szCs w:val="44"/>
        </w:rPr>
      </w:pPr>
    </w:p>
    <w:p>
      <w:pPr>
        <w:pStyle w:val="3"/>
        <w:outlineLvl w:val="1"/>
        <w:rPr>
          <w:rFonts w:ascii="仿宋_GB2312" w:hAnsi="仿宋_GB2312" w:cs="仿宋_GB2312"/>
        </w:rPr>
      </w:pPr>
      <w:bookmarkStart w:id="65" w:name="_Toc15396619"/>
      <w:bookmarkStart w:id="66" w:name="_Toc15699"/>
      <w:r>
        <w:rPr>
          <w:rFonts w:hint="eastAsia" w:ascii="仿宋_GB2312" w:hAnsi="仿宋_GB2312" w:cs="仿宋_GB2312"/>
          <w:b w:val="0"/>
        </w:rPr>
        <w:t>一、收</w:t>
      </w:r>
      <w:r>
        <w:rPr>
          <w:rStyle w:val="14"/>
          <w:rFonts w:hint="eastAsia" w:ascii="仿宋_GB2312" w:hAnsi="仿宋_GB2312" w:cs="仿宋_GB2312"/>
          <w:b w:val="0"/>
          <w:bCs w:val="0"/>
        </w:rPr>
        <w:t>入支出决算总表</w:t>
      </w:r>
      <w:bookmarkEnd w:id="65"/>
      <w:bookmarkEnd w:id="66"/>
    </w:p>
    <w:p>
      <w:pPr>
        <w:pStyle w:val="3"/>
        <w:outlineLvl w:val="1"/>
        <w:rPr>
          <w:rFonts w:ascii="仿宋_GB2312" w:hAnsi="仿宋_GB2312" w:cs="仿宋_GB2312"/>
        </w:rPr>
      </w:pPr>
      <w:bookmarkStart w:id="67" w:name="_Toc15396620"/>
      <w:bookmarkStart w:id="68" w:name="_Toc27106"/>
      <w:r>
        <w:rPr>
          <w:rFonts w:hint="eastAsia" w:ascii="仿宋_GB2312" w:hAnsi="仿宋_GB2312" w:cs="仿宋_GB2312"/>
          <w:b w:val="0"/>
        </w:rPr>
        <w:t>二、收</w:t>
      </w:r>
      <w:r>
        <w:rPr>
          <w:rStyle w:val="14"/>
          <w:rFonts w:hint="eastAsia" w:ascii="仿宋_GB2312" w:hAnsi="仿宋_GB2312" w:cs="仿宋_GB2312"/>
          <w:b w:val="0"/>
          <w:bCs w:val="0"/>
        </w:rPr>
        <w:t>入决算表</w:t>
      </w:r>
      <w:bookmarkEnd w:id="67"/>
      <w:bookmarkEnd w:id="68"/>
    </w:p>
    <w:p>
      <w:pPr>
        <w:pStyle w:val="3"/>
        <w:outlineLvl w:val="1"/>
        <w:rPr>
          <w:rFonts w:ascii="仿宋_GB2312" w:hAnsi="仿宋_GB2312" w:cs="仿宋_GB2312"/>
        </w:rPr>
      </w:pPr>
      <w:bookmarkStart w:id="69" w:name="_Toc26817"/>
      <w:bookmarkStart w:id="70" w:name="_Toc15396621"/>
      <w:r>
        <w:rPr>
          <w:rStyle w:val="14"/>
          <w:rFonts w:hint="eastAsia" w:ascii="仿宋_GB2312" w:hAnsi="仿宋_GB2312" w:cs="仿宋_GB2312"/>
          <w:b w:val="0"/>
          <w:bCs w:val="0"/>
        </w:rPr>
        <w:t>三、</w:t>
      </w:r>
      <w:r>
        <w:rPr>
          <w:rFonts w:hint="eastAsia" w:ascii="仿宋_GB2312" w:hAnsi="仿宋_GB2312" w:cs="仿宋_GB2312"/>
          <w:b w:val="0"/>
        </w:rPr>
        <w:t>支</w:t>
      </w:r>
      <w:r>
        <w:rPr>
          <w:rStyle w:val="14"/>
          <w:rFonts w:hint="eastAsia" w:ascii="仿宋_GB2312" w:hAnsi="仿宋_GB2312" w:cs="仿宋_GB2312"/>
          <w:b w:val="0"/>
          <w:bCs w:val="0"/>
        </w:rPr>
        <w:t>出决算表</w:t>
      </w:r>
      <w:bookmarkEnd w:id="69"/>
      <w:bookmarkEnd w:id="70"/>
    </w:p>
    <w:p>
      <w:pPr>
        <w:pStyle w:val="3"/>
        <w:outlineLvl w:val="1"/>
        <w:rPr>
          <w:rFonts w:ascii="仿宋_GB2312" w:hAnsi="仿宋_GB2312" w:cs="仿宋_GB2312"/>
          <w:b w:val="0"/>
        </w:rPr>
      </w:pPr>
      <w:bookmarkStart w:id="71" w:name="_Toc21747"/>
      <w:bookmarkStart w:id="72" w:name="_Toc15396622"/>
      <w:r>
        <w:rPr>
          <w:rStyle w:val="14"/>
          <w:rFonts w:hint="eastAsia" w:ascii="仿宋_GB2312" w:hAnsi="仿宋_GB2312" w:cs="仿宋_GB2312"/>
          <w:b w:val="0"/>
          <w:bCs w:val="0"/>
        </w:rPr>
        <w:t>四、</w:t>
      </w:r>
      <w:r>
        <w:rPr>
          <w:rFonts w:hint="eastAsia" w:ascii="仿宋_GB2312" w:hAnsi="仿宋_GB2312" w:cs="仿宋_GB2312"/>
          <w:b w:val="0"/>
        </w:rPr>
        <w:t>财</w:t>
      </w:r>
      <w:r>
        <w:rPr>
          <w:rStyle w:val="14"/>
          <w:rFonts w:hint="eastAsia" w:ascii="仿宋_GB2312" w:hAnsi="仿宋_GB2312" w:cs="仿宋_GB2312"/>
          <w:b w:val="0"/>
          <w:bCs w:val="0"/>
        </w:rPr>
        <w:t>政拨款收入支出决算总表</w:t>
      </w:r>
      <w:bookmarkEnd w:id="71"/>
      <w:bookmarkEnd w:id="72"/>
    </w:p>
    <w:p>
      <w:pPr>
        <w:pStyle w:val="3"/>
        <w:outlineLvl w:val="1"/>
        <w:rPr>
          <w:rStyle w:val="14"/>
          <w:rFonts w:ascii="仿宋_GB2312" w:hAnsi="仿宋_GB2312" w:cs="仿宋_GB2312"/>
          <w:b w:val="0"/>
          <w:bCs w:val="0"/>
        </w:rPr>
      </w:pPr>
      <w:bookmarkStart w:id="73" w:name="_Toc15396623"/>
      <w:bookmarkStart w:id="74" w:name="_Toc12959"/>
      <w:r>
        <w:rPr>
          <w:rStyle w:val="14"/>
          <w:rFonts w:hint="eastAsia" w:ascii="仿宋_GB2312" w:hAnsi="仿宋_GB2312" w:cs="仿宋_GB2312"/>
          <w:b w:val="0"/>
          <w:bCs w:val="0"/>
        </w:rPr>
        <w:t>五、</w:t>
      </w:r>
      <w:r>
        <w:rPr>
          <w:rFonts w:hint="eastAsia" w:ascii="仿宋_GB2312" w:hAnsi="仿宋_GB2312" w:cs="仿宋_GB2312"/>
          <w:b w:val="0"/>
        </w:rPr>
        <w:t>财</w:t>
      </w:r>
      <w:r>
        <w:rPr>
          <w:rStyle w:val="14"/>
          <w:rFonts w:hint="eastAsia" w:ascii="仿宋_GB2312" w:hAnsi="仿宋_GB2312" w:cs="仿宋_GB2312"/>
          <w:b w:val="0"/>
          <w:bCs w:val="0"/>
        </w:rPr>
        <w:t>政拨款支出决算明细表</w:t>
      </w:r>
      <w:bookmarkEnd w:id="73"/>
      <w:bookmarkEnd w:id="74"/>
      <w:bookmarkStart w:id="75" w:name="_Toc15396624"/>
    </w:p>
    <w:p>
      <w:pPr>
        <w:pStyle w:val="3"/>
        <w:outlineLvl w:val="1"/>
        <w:rPr>
          <w:rFonts w:ascii="仿宋_GB2312" w:hAnsi="仿宋_GB2312" w:cs="仿宋_GB2312"/>
        </w:rPr>
      </w:pPr>
      <w:bookmarkStart w:id="76" w:name="_Toc23749"/>
      <w:r>
        <w:rPr>
          <w:rStyle w:val="14"/>
          <w:rFonts w:hint="eastAsia" w:ascii="仿宋_GB2312" w:hAnsi="仿宋_GB2312" w:cs="仿宋_GB2312"/>
          <w:b w:val="0"/>
          <w:bCs w:val="0"/>
        </w:rPr>
        <w:t>六、</w:t>
      </w:r>
      <w:r>
        <w:rPr>
          <w:rFonts w:hint="eastAsia" w:ascii="仿宋_GB2312" w:hAnsi="仿宋_GB2312" w:cs="仿宋_GB2312"/>
          <w:b w:val="0"/>
        </w:rPr>
        <w:t>一</w:t>
      </w:r>
      <w:r>
        <w:rPr>
          <w:rStyle w:val="14"/>
          <w:rFonts w:hint="eastAsia" w:ascii="仿宋_GB2312" w:hAnsi="仿宋_GB2312" w:cs="仿宋_GB2312"/>
          <w:b w:val="0"/>
          <w:bCs w:val="0"/>
        </w:rPr>
        <w:t>般公共预算财政拨款支出决算表</w:t>
      </w:r>
      <w:bookmarkEnd w:id="75"/>
      <w:bookmarkEnd w:id="76"/>
    </w:p>
    <w:p>
      <w:pPr>
        <w:pStyle w:val="3"/>
        <w:outlineLvl w:val="1"/>
        <w:rPr>
          <w:rFonts w:ascii="仿宋_GB2312" w:hAnsi="仿宋_GB2312" w:cs="仿宋_GB2312"/>
        </w:rPr>
      </w:pPr>
      <w:bookmarkStart w:id="77" w:name="_Toc22275"/>
      <w:bookmarkStart w:id="78" w:name="_Toc15396625"/>
      <w:r>
        <w:rPr>
          <w:rStyle w:val="14"/>
          <w:rFonts w:hint="eastAsia" w:ascii="仿宋_GB2312" w:hAnsi="仿宋_GB2312" w:cs="仿宋_GB2312"/>
          <w:b w:val="0"/>
          <w:bCs w:val="0"/>
        </w:rPr>
        <w:t>七、</w:t>
      </w:r>
      <w:r>
        <w:rPr>
          <w:rFonts w:hint="eastAsia" w:ascii="仿宋_GB2312" w:hAnsi="仿宋_GB2312" w:cs="仿宋_GB2312"/>
          <w:b w:val="0"/>
        </w:rPr>
        <w:t>一</w:t>
      </w:r>
      <w:r>
        <w:rPr>
          <w:rStyle w:val="14"/>
          <w:rFonts w:hint="eastAsia" w:ascii="仿宋_GB2312" w:hAnsi="仿宋_GB2312" w:cs="仿宋_GB2312"/>
          <w:b w:val="0"/>
          <w:bCs w:val="0"/>
        </w:rPr>
        <w:t>般公共预算财政拨款支出决算明细表</w:t>
      </w:r>
      <w:bookmarkEnd w:id="77"/>
      <w:bookmarkEnd w:id="78"/>
    </w:p>
    <w:p>
      <w:pPr>
        <w:pStyle w:val="3"/>
        <w:outlineLvl w:val="1"/>
        <w:rPr>
          <w:rFonts w:ascii="仿宋_GB2312" w:hAnsi="仿宋_GB2312" w:cs="仿宋_GB2312"/>
        </w:rPr>
      </w:pPr>
      <w:bookmarkStart w:id="79" w:name="_Toc15396626"/>
      <w:bookmarkStart w:id="80" w:name="_Toc30634"/>
      <w:r>
        <w:rPr>
          <w:rStyle w:val="14"/>
          <w:rFonts w:hint="eastAsia" w:ascii="仿宋_GB2312" w:hAnsi="仿宋_GB2312" w:cs="仿宋_GB2312"/>
          <w:b w:val="0"/>
          <w:bCs w:val="0"/>
        </w:rPr>
        <w:t>八、</w:t>
      </w:r>
      <w:r>
        <w:rPr>
          <w:rFonts w:hint="eastAsia" w:ascii="仿宋_GB2312" w:hAnsi="仿宋_GB2312" w:cs="仿宋_GB2312"/>
          <w:b w:val="0"/>
        </w:rPr>
        <w:t>一</w:t>
      </w:r>
      <w:r>
        <w:rPr>
          <w:rStyle w:val="14"/>
          <w:rFonts w:hint="eastAsia" w:ascii="仿宋_GB2312" w:hAnsi="仿宋_GB2312" w:cs="仿宋_GB2312"/>
          <w:b w:val="0"/>
          <w:bCs w:val="0"/>
        </w:rPr>
        <w:t>般公共预算财政拨款基本支出决算表</w:t>
      </w:r>
      <w:bookmarkEnd w:id="79"/>
      <w:bookmarkEnd w:id="80"/>
    </w:p>
    <w:p>
      <w:pPr>
        <w:pStyle w:val="3"/>
        <w:outlineLvl w:val="1"/>
        <w:rPr>
          <w:rFonts w:ascii="仿宋_GB2312" w:hAnsi="仿宋_GB2312" w:cs="仿宋_GB2312"/>
        </w:rPr>
      </w:pPr>
      <w:bookmarkStart w:id="81" w:name="_Toc15396627"/>
      <w:bookmarkStart w:id="82" w:name="_Toc15170"/>
      <w:r>
        <w:rPr>
          <w:rStyle w:val="14"/>
          <w:rFonts w:hint="eastAsia" w:ascii="仿宋_GB2312" w:hAnsi="仿宋_GB2312" w:cs="仿宋_GB2312"/>
          <w:b w:val="0"/>
          <w:bCs w:val="0"/>
        </w:rPr>
        <w:t>九、</w:t>
      </w:r>
      <w:r>
        <w:rPr>
          <w:rFonts w:hint="eastAsia" w:ascii="仿宋_GB2312" w:hAnsi="仿宋_GB2312" w:cs="仿宋_GB2312"/>
          <w:b w:val="0"/>
        </w:rPr>
        <w:t>一</w:t>
      </w:r>
      <w:r>
        <w:rPr>
          <w:rStyle w:val="14"/>
          <w:rFonts w:hint="eastAsia" w:ascii="仿宋_GB2312" w:hAnsi="仿宋_GB2312" w:cs="仿宋_GB2312"/>
          <w:b w:val="0"/>
          <w:bCs w:val="0"/>
        </w:rPr>
        <w:t>般公共预算财政拨款项目支出决算表</w:t>
      </w:r>
      <w:bookmarkEnd w:id="81"/>
      <w:bookmarkEnd w:id="82"/>
    </w:p>
    <w:p>
      <w:pPr>
        <w:pStyle w:val="3"/>
        <w:spacing w:line="360" w:lineRule="auto"/>
        <w:outlineLvl w:val="1"/>
        <w:rPr>
          <w:rFonts w:ascii="仿宋_GB2312" w:hAnsi="仿宋_GB2312" w:cs="仿宋_GB2312"/>
        </w:rPr>
      </w:pPr>
      <w:bookmarkStart w:id="83" w:name="_Toc15396628"/>
      <w:bookmarkStart w:id="84" w:name="_Toc17603"/>
      <w:r>
        <w:rPr>
          <w:rStyle w:val="14"/>
          <w:rFonts w:hint="eastAsia" w:ascii="仿宋_GB2312" w:hAnsi="仿宋_GB2312" w:cs="仿宋_GB2312"/>
          <w:b w:val="0"/>
          <w:bCs w:val="0"/>
        </w:rPr>
        <w:t>十、</w:t>
      </w:r>
      <w:r>
        <w:rPr>
          <w:rFonts w:hint="eastAsia" w:ascii="仿宋_GB2312" w:hAnsi="仿宋_GB2312" w:cs="仿宋_GB2312"/>
          <w:b w:val="0"/>
        </w:rPr>
        <w:t>一</w:t>
      </w:r>
      <w:r>
        <w:rPr>
          <w:rStyle w:val="14"/>
          <w:rFonts w:hint="eastAsia" w:ascii="仿宋_GB2312" w:hAnsi="仿宋_GB2312" w:cs="仿宋_GB2312"/>
          <w:b w:val="0"/>
          <w:bCs w:val="0"/>
        </w:rPr>
        <w:t>般公共预算财政拨款“三公”经费支出决算表</w:t>
      </w:r>
      <w:bookmarkEnd w:id="83"/>
      <w:bookmarkEnd w:id="84"/>
    </w:p>
    <w:p>
      <w:pPr>
        <w:pStyle w:val="3"/>
        <w:spacing w:line="360" w:lineRule="auto"/>
        <w:outlineLvl w:val="1"/>
        <w:rPr>
          <w:rFonts w:ascii="仿宋_GB2312" w:hAnsi="仿宋_GB2312" w:cs="仿宋_GB2312"/>
        </w:rPr>
      </w:pPr>
      <w:bookmarkStart w:id="85" w:name="_Toc15396629"/>
      <w:bookmarkStart w:id="86" w:name="_Toc7313"/>
      <w:r>
        <w:rPr>
          <w:rStyle w:val="14"/>
          <w:rFonts w:hint="eastAsia" w:ascii="仿宋_GB2312" w:hAnsi="仿宋_GB2312" w:cs="仿宋_GB2312"/>
          <w:b w:val="0"/>
          <w:bCs w:val="0"/>
        </w:rPr>
        <w:t>十一、</w:t>
      </w:r>
      <w:r>
        <w:rPr>
          <w:rFonts w:hint="eastAsia" w:ascii="仿宋_GB2312" w:hAnsi="仿宋_GB2312" w:cs="仿宋_GB2312"/>
          <w:b w:val="0"/>
        </w:rPr>
        <w:t>政</w:t>
      </w:r>
      <w:r>
        <w:rPr>
          <w:rStyle w:val="14"/>
          <w:rFonts w:hint="eastAsia" w:ascii="仿宋_GB2312" w:hAnsi="仿宋_GB2312" w:cs="仿宋_GB2312"/>
          <w:b w:val="0"/>
          <w:bCs w:val="0"/>
        </w:rPr>
        <w:t>府性基金预算财政拨款收入支出决算表</w:t>
      </w:r>
      <w:bookmarkEnd w:id="85"/>
      <w:bookmarkEnd w:id="86"/>
    </w:p>
    <w:p>
      <w:pPr>
        <w:pStyle w:val="3"/>
        <w:outlineLvl w:val="1"/>
        <w:rPr>
          <w:rFonts w:ascii="仿宋_GB2312" w:hAnsi="仿宋_GB2312" w:cs="仿宋_GB2312"/>
          <w:b w:val="0"/>
        </w:rPr>
      </w:pPr>
      <w:bookmarkStart w:id="87" w:name="_Toc15396630"/>
      <w:bookmarkStart w:id="88" w:name="_Toc9382"/>
      <w:r>
        <w:rPr>
          <w:rFonts w:hint="eastAsia" w:ascii="仿宋_GB2312" w:hAnsi="仿宋_GB2312" w:cs="仿宋_GB2312"/>
          <w:b w:val="0"/>
        </w:rPr>
        <w:t>十二、政府性基金预算财政拨款“三公”经费支出决算表</w:t>
      </w:r>
      <w:bookmarkEnd w:id="87"/>
      <w:bookmarkEnd w:id="88"/>
    </w:p>
    <w:p>
      <w:pPr>
        <w:pStyle w:val="3"/>
        <w:outlineLvl w:val="1"/>
        <w:rPr>
          <w:rFonts w:ascii="仿宋_GB2312" w:hAnsi="仿宋_GB2312" w:cs="仿宋_GB2312"/>
          <w:b w:val="0"/>
        </w:rPr>
      </w:pPr>
      <w:bookmarkStart w:id="89" w:name="_Toc22683"/>
      <w:r>
        <w:rPr>
          <w:rFonts w:hint="eastAsia" w:ascii="仿宋_GB2312" w:hAnsi="仿宋_GB2312" w:cs="仿宋_GB2312"/>
          <w:b w:val="0"/>
        </w:rPr>
        <w:t>十三、国有资本经营预算财政拨款收入支出决算表</w:t>
      </w:r>
      <w:bookmarkEnd w:id="89"/>
    </w:p>
    <w:p>
      <w:pPr>
        <w:pStyle w:val="3"/>
        <w:outlineLvl w:val="1"/>
        <w:rPr>
          <w:rFonts w:ascii="仿宋_GB2312" w:hAnsi="仿宋_GB2312" w:cs="仿宋_GB2312"/>
          <w:b w:val="0"/>
        </w:rPr>
      </w:pPr>
      <w:bookmarkStart w:id="90" w:name="_Toc10257"/>
      <w:r>
        <w:rPr>
          <w:rFonts w:hint="eastAsia" w:ascii="仿宋_GB2312" w:hAnsi="仿宋_GB2312" w:cs="仿宋_GB2312"/>
          <w:b w:val="0"/>
        </w:rPr>
        <w:t>十四、国有资本经营预算财政拨款支出决算表</w:t>
      </w:r>
      <w:bookmarkEnd w:id="90"/>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微软雅黑"/>
    <w:panose1 w:val="00000000000000000000"/>
    <w:charset w:val="86"/>
    <w:family w:val="script"/>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ZjhjMDljN2ZmZDI4MDM1OTczNmZkYWIwMTM0OGUifQ=="/>
  </w:docVars>
  <w:rsids>
    <w:rsidRoot w:val="6504078C"/>
    <w:rsid w:val="00587F27"/>
    <w:rsid w:val="006160D5"/>
    <w:rsid w:val="00636434"/>
    <w:rsid w:val="00BF02BD"/>
    <w:rsid w:val="00EA775F"/>
    <w:rsid w:val="00F60260"/>
    <w:rsid w:val="06D96529"/>
    <w:rsid w:val="09AD272B"/>
    <w:rsid w:val="128E19CF"/>
    <w:rsid w:val="182D5F7F"/>
    <w:rsid w:val="18AC7EB6"/>
    <w:rsid w:val="1AC078A8"/>
    <w:rsid w:val="1DB0404F"/>
    <w:rsid w:val="252337FC"/>
    <w:rsid w:val="264E69AD"/>
    <w:rsid w:val="26A77E22"/>
    <w:rsid w:val="2792029F"/>
    <w:rsid w:val="2AC65C17"/>
    <w:rsid w:val="2D1C27BE"/>
    <w:rsid w:val="353B7F74"/>
    <w:rsid w:val="3AAF1163"/>
    <w:rsid w:val="3D803C8E"/>
    <w:rsid w:val="3E4169FF"/>
    <w:rsid w:val="438E0DFE"/>
    <w:rsid w:val="43FF665E"/>
    <w:rsid w:val="457C24A6"/>
    <w:rsid w:val="4B4303AD"/>
    <w:rsid w:val="4BDF66AC"/>
    <w:rsid w:val="4C72681D"/>
    <w:rsid w:val="4E3A4862"/>
    <w:rsid w:val="50EC1216"/>
    <w:rsid w:val="55F71479"/>
    <w:rsid w:val="5C3B46E6"/>
    <w:rsid w:val="5D3E75DF"/>
    <w:rsid w:val="5EE31FDA"/>
    <w:rsid w:val="60813DFB"/>
    <w:rsid w:val="6081558C"/>
    <w:rsid w:val="62E46047"/>
    <w:rsid w:val="633A4638"/>
    <w:rsid w:val="6504078C"/>
    <w:rsid w:val="661B4194"/>
    <w:rsid w:val="666A1193"/>
    <w:rsid w:val="695535AB"/>
    <w:rsid w:val="6A3043E5"/>
    <w:rsid w:val="6A8716BC"/>
    <w:rsid w:val="6D9237E7"/>
    <w:rsid w:val="6DB3433B"/>
    <w:rsid w:val="726E3979"/>
    <w:rsid w:val="732C5E6E"/>
    <w:rsid w:val="78902102"/>
    <w:rsid w:val="7E173624"/>
    <w:rsid w:val="7EDE00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4"/>
    <w:unhideWhenUsed/>
    <w:qFormat/>
    <w:uiPriority w:val="9"/>
    <w:pPr>
      <w:keepNext/>
      <w:keepLines/>
      <w:spacing w:before="260" w:after="260" w:line="416" w:lineRule="auto"/>
      <w:outlineLvl w:val="1"/>
    </w:pPr>
    <w:rPr>
      <w:rFonts w:ascii="Cambria" w:hAnsi="Cambria"/>
      <w:b/>
      <w:bCs/>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Body Text"/>
    <w:basedOn w:val="1"/>
    <w:qFormat/>
    <w:uiPriority w:val="99"/>
    <w:pPr>
      <w:spacing w:beforeLines="30"/>
    </w:pPr>
    <w:rPr>
      <w:rFonts w:ascii="仿宋_GB2312"/>
      <w:kern w:val="0"/>
      <w:sz w:val="24"/>
      <w:szCs w:val="20"/>
    </w:rPr>
  </w:style>
  <w:style w:type="paragraph" w:styleId="5">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6">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7">
    <w:name w:val="toc 1"/>
    <w:basedOn w:val="1"/>
    <w:next w:val="1"/>
    <w:unhideWhenUsed/>
    <w:qFormat/>
    <w:uiPriority w:val="39"/>
    <w:pPr>
      <w:spacing w:before="120"/>
      <w:jc w:val="left"/>
    </w:pPr>
    <w:rPr>
      <w:rFonts w:ascii="等线" w:eastAsia="等线"/>
      <w:b/>
      <w:bCs/>
      <w:i/>
      <w:iCs/>
      <w:sz w:val="24"/>
    </w:rPr>
  </w:style>
  <w:style w:type="paragraph" w:styleId="8">
    <w:name w:val="toc 2"/>
    <w:basedOn w:val="1"/>
    <w:next w:val="1"/>
    <w:unhideWhenUsed/>
    <w:qFormat/>
    <w:uiPriority w:val="39"/>
    <w:pPr>
      <w:spacing w:before="120"/>
      <w:ind w:left="300"/>
      <w:jc w:val="left"/>
    </w:pPr>
    <w:rPr>
      <w:rFonts w:ascii="等线" w:eastAsia="等线"/>
      <w:b/>
      <w:bCs/>
      <w:sz w:val="22"/>
      <w:szCs w:val="22"/>
    </w:rPr>
  </w:style>
  <w:style w:type="character" w:styleId="11">
    <w:name w:val="Strong"/>
    <w:basedOn w:val="10"/>
    <w:qFormat/>
    <w:uiPriority w:val="99"/>
    <w:rPr>
      <w:rFonts w:cs="Times New Roman"/>
      <w:b/>
    </w:rPr>
  </w:style>
  <w:style w:type="character" w:styleId="12">
    <w:name w:val="Hyperlink"/>
    <w:unhideWhenUsed/>
    <w:qFormat/>
    <w:uiPriority w:val="99"/>
    <w:rPr>
      <w:color w:val="0000FF"/>
      <w:u w:val="single"/>
    </w:rPr>
  </w:style>
  <w:style w:type="character" w:customStyle="1" w:styleId="13">
    <w:name w:val="标题 1 字符"/>
    <w:basedOn w:val="10"/>
    <w:link w:val="2"/>
    <w:qFormat/>
    <w:locked/>
    <w:uiPriority w:val="9"/>
    <w:rPr>
      <w:b/>
      <w:bCs/>
      <w:kern w:val="44"/>
      <w:sz w:val="44"/>
      <w:szCs w:val="44"/>
    </w:rPr>
  </w:style>
  <w:style w:type="character" w:customStyle="1" w:styleId="14">
    <w:name w:val="标题 2 字符"/>
    <w:basedOn w:val="10"/>
    <w:link w:val="3"/>
    <w:qFormat/>
    <w:locked/>
    <w:uiPriority w:val="9"/>
    <w:rPr>
      <w:rFonts w:ascii="Cambria" w:hAnsi="Cambria"/>
      <w:b/>
      <w:bCs/>
      <w:sz w:val="32"/>
      <w:szCs w:val="32"/>
    </w:rPr>
  </w:style>
  <w:style w:type="paragraph" w:customStyle="1" w:styleId="15">
    <w:name w:val="列表段落1"/>
    <w:basedOn w:val="1"/>
    <w:qFormat/>
    <w:uiPriority w:val="34"/>
    <w:pPr>
      <w:ind w:firstLine="420" w:firstLineChars="200"/>
    </w:pPr>
  </w:style>
  <w:style w:type="paragraph" w:customStyle="1" w:styleId="16">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10801</Words>
  <Characters>11448</Characters>
  <Lines>90</Lines>
  <Paragraphs>25</Paragraphs>
  <TotalTime>5</TotalTime>
  <ScaleCrop>false</ScaleCrop>
  <LinksUpToDate>false</LinksUpToDate>
  <CharactersWithSpaces>11559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cp:lastPrinted>2022-05-06T09:49:00Z</cp:lastPrinted>
  <dcterms:modified xsi:type="dcterms:W3CDTF">2022-05-31T09:51:33Z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5BCD926DDD6544B39B2C4FCA31CF896D</vt:lpwstr>
  </property>
</Properties>
</file>