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方正小标宋简体" w:eastAsia="方正小标宋简体"/>
          <w:sz w:val="44"/>
          <w:szCs w:val="44"/>
        </w:rPr>
      </w:pPr>
      <w:bookmarkStart w:id="88" w:name="_GoBack"/>
      <w:bookmarkEnd w:id="88"/>
      <w:r>
        <w:rPr>
          <w:rFonts w:hint="eastAsia" w:ascii="方正小标宋简体" w:eastAsia="方正小标宋简体"/>
          <w:sz w:val="44"/>
          <w:szCs w:val="44"/>
          <w:lang w:val="en-US" w:eastAsia="zh-CN"/>
        </w:rPr>
        <w:t>自贡市自流井区仲权镇中心小学校2020</w:t>
      </w:r>
      <w:r>
        <w:rPr>
          <w:rFonts w:hint="eastAsia" w:ascii="方正小标宋简体" w:eastAsia="方正小标宋简体"/>
          <w:sz w:val="44"/>
          <w:szCs w:val="44"/>
        </w:rPr>
        <w:t>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w:t>
      </w:r>
      <w:r>
        <w:rPr>
          <w:rFonts w:hint="eastAsia" w:ascii="黑体" w:hAnsi="黑体" w:eastAsia="黑体"/>
          <w:color w:val="000000"/>
          <w:sz w:val="44"/>
          <w:szCs w:val="44"/>
          <w:lang w:val="en-US" w:eastAsia="zh-CN"/>
        </w:rPr>
        <w:t xml:space="preserve"> </w:t>
      </w:r>
      <w:r>
        <w:rPr>
          <w:rFonts w:hint="eastAsia" w:ascii="黑体" w:hAnsi="黑体" w:eastAsia="黑体"/>
          <w:color w:val="000000"/>
          <w:sz w:val="44"/>
          <w:szCs w:val="44"/>
        </w:rPr>
        <w:t>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_Toc10567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_Toc21498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一、基本职能及主要工作</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_Toc21498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_Toc6092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二、机构设置</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_Toc6092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_Toc23109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_Toc7163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 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_Toc7163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_Toc25258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 收入决算情况说明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_Toc25258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7</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_Toc13725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 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_Toc13725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8</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_Toc10354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_Toc10354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8</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_Toc10967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五、一般公共预算财政拨款支出决算情况说明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_Toc10967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_Toc31021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六、一般公共预算财政拨款基本支出决算情况说明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_Toc31021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_Toc6926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七、“三公”经费财政拨款支出决算情况说明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_Toc6926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_Toc9843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八、政府性基金预算支出决算情况说明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_Toc9843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12</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_Toc10775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 国有资本经营预算支出决算情况说明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_Toc10775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十、其他重要事项的情况说明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_Toc738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_Toc3536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7</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_Toc11207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w:t>
      </w:r>
      <w:r>
        <w:rPr>
          <w:rFonts w:hint="eastAsia" w:ascii="仿宋_GB2312" w:hAnsi="仿宋_GB2312" w:eastAsia="仿宋_GB2312" w:cs="仿宋_GB2312"/>
          <w:b w:val="0"/>
          <w:bCs w:val="0"/>
          <w:i w:val="0"/>
          <w:iCs w:val="0"/>
          <w:sz w:val="28"/>
          <w:szCs w:val="28"/>
          <w:lang w:val="en-US" w:eastAsia="zh-CN"/>
        </w:rPr>
        <w:t>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_Toc22930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附件1</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_Toc22930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_Toc11602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附件2</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1</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_Toc32283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caps/>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_Toc15699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_Toc26817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lang w:val="en-US" w:eastAsia="zh-CN"/>
        </w:rPr>
        <w:t>二</w:t>
      </w:r>
      <w:r>
        <w:rPr>
          <w:rFonts w:hint="eastAsia" w:ascii="仿宋_GB2312" w:hAnsi="仿宋_GB2312" w:eastAsia="仿宋_GB2312" w:cs="仿宋_GB2312"/>
          <w:b w:val="0"/>
          <w:bCs w:val="0"/>
          <w:i w:val="0"/>
          <w:iCs w:val="0"/>
          <w:sz w:val="28"/>
          <w:szCs w:val="28"/>
        </w:rPr>
        <w:t>、</w:t>
      </w:r>
      <w:r>
        <w:rPr>
          <w:rFonts w:hint="eastAsia" w:ascii="仿宋_GB2312" w:hAnsi="仿宋_GB2312" w:eastAsia="仿宋_GB2312" w:cs="仿宋_GB2312"/>
          <w:b w:val="0"/>
          <w:bCs w:val="0"/>
          <w:i w:val="0"/>
          <w:iCs w:val="0"/>
          <w:sz w:val="28"/>
          <w:szCs w:val="28"/>
          <w:lang w:val="en-US" w:eastAsia="zh-CN"/>
        </w:rPr>
        <w:t>收入</w:t>
      </w:r>
      <w:r>
        <w:rPr>
          <w:rFonts w:hint="eastAsia" w:ascii="仿宋_GB2312" w:hAnsi="仿宋_GB2312" w:eastAsia="仿宋_GB2312" w:cs="仿宋_GB2312"/>
          <w:b w:val="0"/>
          <w:bCs w:val="0"/>
          <w:i w:val="0"/>
          <w:iCs w:val="0"/>
          <w:sz w:val="28"/>
          <w:szCs w:val="28"/>
        </w:rPr>
        <w:t>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_Toc26817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_Toc21747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_Toc12959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_Toc23749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_Toc22275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七、一般公共预算财政拨款支出决算明细表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_Toc30634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八、一般公共预算财政拨款基本支出决算表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_Toc15170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九、一般公共预算财政拨款项目支出决算表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_Toc17603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十、一般公共预算财政拨款“三公”经费支出决算表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_Toc7313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十一、政府性基金预算财政拨款收入支出决算表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_Toc9382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十二、政府性基金预算财政拨款“三公”经费支出决算表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_Toc22683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十三、国有资本经营预算财政拨款收入支出决算表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_Toc10257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十四、国有资本经营预算财政拨款支出决算表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2</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5</w:t>
      </w:r>
    </w:p>
    <w:p>
      <w:pPr>
        <w:keepNext w:val="0"/>
        <w:keepLines w:val="0"/>
        <w:pageBreakBefore w:val="0"/>
        <w:widowControl w:val="0"/>
        <w:kinsoku/>
        <w:wordWrap/>
        <w:overflowPunct/>
        <w:topLinePunct w:val="0"/>
        <w:autoSpaceDE/>
        <w:autoSpaceDN/>
        <w:bidi w:val="0"/>
        <w:adjustRightInd/>
        <w:snapToGrid/>
        <w:spacing w:line="560" w:lineRule="exact"/>
        <w:ind w:firstLine="2100" w:firstLineChars="750"/>
        <w:textAlignment w:val="auto"/>
        <w:rPr>
          <w:rFonts w:hint="eastAsia" w:ascii="仿宋_GB2312" w:hAnsi="仿宋"/>
          <w:color w:val="FF0000"/>
          <w:szCs w:val="32"/>
        </w:rPr>
      </w:pPr>
      <w:r>
        <w:rPr>
          <w:rFonts w:hint="eastAsia" w:ascii="仿宋_GB2312" w:hAnsi="仿宋_GB2312" w:eastAsia="仿宋_GB2312" w:cs="仿宋_GB2312"/>
          <w:b w:val="0"/>
          <w:bCs w:val="0"/>
          <w:i w:val="0"/>
          <w:iCs w:val="0"/>
          <w:caps/>
          <w:sz w:val="28"/>
          <w:szCs w:val="28"/>
        </w:rPr>
        <w:fldChar w:fldCharType="end"/>
      </w:r>
    </w:p>
    <w:p>
      <w:r>
        <w:br w:type="page"/>
      </w:r>
    </w:p>
    <w:p>
      <w:pPr>
        <w:pStyle w:val="2"/>
        <w:jc w:val="center"/>
        <w:rPr>
          <w:rStyle w:val="14"/>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4"/>
          <w:rFonts w:hint="eastAsia" w:ascii="黑体" w:hAnsi="黑体" w:eastAsia="黑体"/>
          <w:b w:val="0"/>
          <w:bCs w:val="0"/>
        </w:rPr>
        <w:t>部门概况</w:t>
      </w:r>
      <w:bookmarkEnd w:id="0"/>
    </w:p>
    <w:p>
      <w:pPr>
        <w:widowControl/>
        <w:jc w:val="left"/>
        <w:rPr>
          <w:rFonts w:ascii="黑体" w:eastAsia="黑体"/>
          <w:color w:val="000000"/>
          <w:sz w:val="32"/>
          <w:szCs w:val="32"/>
        </w:rPr>
      </w:pPr>
    </w:p>
    <w:p>
      <w:pPr>
        <w:pStyle w:val="3"/>
        <w:rPr>
          <w:rStyle w:val="15"/>
          <w:rFonts w:ascii="仿宋" w:hAnsi="仿宋" w:eastAsia="仿宋"/>
          <w:b w:val="0"/>
          <w:bCs w:val="0"/>
        </w:rPr>
      </w:pPr>
      <w:bookmarkStart w:id="1" w:name="_Toc15396600"/>
      <w:bookmarkStart w:id="2" w:name="_Toc15377197"/>
      <w:bookmarkStart w:id="3" w:name="_Toc21498"/>
      <w:r>
        <w:rPr>
          <w:rFonts w:hint="eastAsia" w:ascii="黑体" w:hAnsi="黑体" w:eastAsia="黑体"/>
          <w:b w:val="0"/>
          <w:color w:val="000000"/>
        </w:rPr>
        <w:t>一、基</w:t>
      </w:r>
      <w:r>
        <w:rPr>
          <w:rStyle w:val="15"/>
          <w:rFonts w:hint="eastAsia" w:ascii="黑体" w:hAnsi="黑体" w:eastAsia="黑体"/>
          <w:b w:val="0"/>
          <w:bCs w:val="0"/>
        </w:rPr>
        <w:t>本职能及主要工作</w:t>
      </w:r>
      <w:bookmarkEnd w:id="1"/>
      <w:bookmarkEnd w:id="2"/>
      <w:bookmarkEnd w:id="3"/>
    </w:p>
    <w:p>
      <w:pPr>
        <w:pStyle w:val="4"/>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4" w:name="_Toc15377198"/>
      <w:bookmarkStart w:id="5" w:name="_Toc15378445"/>
      <w:r>
        <w:rPr>
          <w:rFonts w:hint="eastAsia" w:ascii="仿宋" w:hAnsi="仿宋" w:eastAsia="仿宋"/>
          <w:bCs/>
          <w:color w:val="000000"/>
          <w:sz w:val="32"/>
          <w:szCs w:val="32"/>
        </w:rPr>
        <w:t>（一）主要职能。</w:t>
      </w:r>
      <w:bookmarkEnd w:id="4"/>
      <w:bookmarkEnd w:id="5"/>
      <w:bookmarkStart w:id="6" w:name="_Toc15377199"/>
      <w:bookmarkStart w:id="7" w:name="_Toc15378446"/>
    </w:p>
    <w:p>
      <w:pPr>
        <w:pStyle w:val="16"/>
        <w:numPr>
          <w:ilvl w:val="0"/>
          <w:numId w:val="1"/>
        </w:numPr>
        <w:ind w:firstLineChars="0"/>
        <w:rPr>
          <w:rFonts w:hint="eastAsia" w:ascii="宋体" w:hAnsi="宋体"/>
          <w:sz w:val="32"/>
          <w:szCs w:val="32"/>
        </w:rPr>
      </w:pPr>
      <w:r>
        <w:rPr>
          <w:rFonts w:ascii="宋体" w:hAnsi="宋体"/>
          <w:sz w:val="32"/>
          <w:szCs w:val="32"/>
        </w:rPr>
        <w:t>正确贯彻执行党和国家的教育方针、政策、法规。</w:t>
      </w:r>
    </w:p>
    <w:p>
      <w:pPr>
        <w:pStyle w:val="16"/>
        <w:numPr>
          <w:ilvl w:val="0"/>
          <w:numId w:val="1"/>
        </w:numPr>
        <w:ind w:firstLineChars="0"/>
        <w:rPr>
          <w:rFonts w:hint="eastAsia" w:ascii="宋体" w:hAnsi="宋体"/>
          <w:sz w:val="32"/>
          <w:szCs w:val="32"/>
        </w:rPr>
      </w:pPr>
      <w:r>
        <w:rPr>
          <w:rFonts w:ascii="宋体" w:hAnsi="宋体"/>
          <w:sz w:val="32"/>
          <w:szCs w:val="32"/>
        </w:rPr>
        <w:t>维护学校的教学秩序，为学生创造良好的学习环境；</w:t>
      </w:r>
    </w:p>
    <w:p>
      <w:pPr>
        <w:pStyle w:val="16"/>
        <w:numPr>
          <w:ilvl w:val="0"/>
          <w:numId w:val="1"/>
        </w:numPr>
        <w:ind w:firstLineChars="0"/>
        <w:rPr>
          <w:rFonts w:hint="eastAsia" w:ascii="宋体" w:hAnsi="宋体"/>
          <w:sz w:val="32"/>
          <w:szCs w:val="32"/>
        </w:rPr>
      </w:pPr>
      <w:r>
        <w:rPr>
          <w:rFonts w:ascii="宋体" w:hAnsi="宋体"/>
          <w:sz w:val="32"/>
          <w:szCs w:val="32"/>
        </w:rPr>
        <w:t>积极稳妥地推进教育改革，按教育规律办事，不断提高教育质量；</w:t>
      </w:r>
    </w:p>
    <w:p>
      <w:pPr>
        <w:pStyle w:val="16"/>
        <w:numPr>
          <w:ilvl w:val="0"/>
          <w:numId w:val="1"/>
        </w:numPr>
        <w:ind w:firstLineChars="0"/>
        <w:rPr>
          <w:rFonts w:hint="eastAsia" w:ascii="宋体" w:hAnsi="宋体"/>
          <w:sz w:val="32"/>
          <w:szCs w:val="32"/>
        </w:rPr>
      </w:pPr>
      <w:r>
        <w:rPr>
          <w:rFonts w:ascii="宋体" w:hAnsi="宋体"/>
          <w:sz w:val="32"/>
          <w:szCs w:val="32"/>
        </w:rPr>
        <w:t>根据学校规模，设置学校管理机构，建立健全各项规章制度和岗位责任制。</w:t>
      </w:r>
    </w:p>
    <w:p>
      <w:pPr>
        <w:pStyle w:val="16"/>
        <w:numPr>
          <w:ilvl w:val="0"/>
          <w:numId w:val="1"/>
        </w:numPr>
        <w:ind w:firstLineChars="0"/>
        <w:rPr>
          <w:rFonts w:hint="eastAsia" w:ascii="宋体" w:hAnsi="宋体"/>
          <w:sz w:val="32"/>
          <w:szCs w:val="32"/>
        </w:rPr>
      </w:pPr>
      <w:r>
        <w:rPr>
          <w:rFonts w:ascii="宋体" w:hAnsi="宋体"/>
          <w:sz w:val="32"/>
          <w:szCs w:val="32"/>
        </w:rPr>
        <w:t>坚持教书育人，服务育人，环境育人方针，加强对学生的思想品德教育，使学生的德智体全面发展。</w:t>
      </w:r>
    </w:p>
    <w:p>
      <w:pPr>
        <w:pStyle w:val="16"/>
        <w:numPr>
          <w:ilvl w:val="0"/>
          <w:numId w:val="1"/>
        </w:numPr>
        <w:ind w:firstLineChars="0"/>
        <w:rPr>
          <w:rFonts w:hint="eastAsia" w:ascii="宋体" w:hAnsi="宋体"/>
          <w:sz w:val="32"/>
          <w:szCs w:val="32"/>
        </w:rPr>
      </w:pPr>
      <w:r>
        <w:rPr>
          <w:rFonts w:ascii="宋体" w:hAnsi="宋体"/>
          <w:sz w:val="32"/>
          <w:szCs w:val="32"/>
        </w:rPr>
        <w:t>抓好教师队伍建设，使每个教师都热心于教育事业；</w:t>
      </w:r>
    </w:p>
    <w:p>
      <w:pPr>
        <w:pStyle w:val="16"/>
        <w:numPr>
          <w:ilvl w:val="0"/>
          <w:numId w:val="1"/>
        </w:numPr>
        <w:ind w:firstLineChars="0"/>
        <w:rPr>
          <w:rFonts w:hint="eastAsia" w:ascii="仿宋" w:hAnsi="仿宋" w:eastAsia="仿宋"/>
          <w:bCs/>
          <w:color w:val="000000"/>
          <w:sz w:val="32"/>
          <w:szCs w:val="32"/>
        </w:rPr>
      </w:pPr>
      <w:r>
        <w:rPr>
          <w:rFonts w:ascii="宋体" w:hAnsi="宋体"/>
          <w:sz w:val="32"/>
          <w:szCs w:val="32"/>
        </w:rPr>
        <w:t>做好安全防范，保证学生的人生安全。</w:t>
      </w:r>
    </w:p>
    <w:p>
      <w:pPr>
        <w:pStyle w:val="4"/>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ind w:firstLine="570"/>
        <w:rPr>
          <w:rFonts w:hint="eastAsia" w:ascii="仿宋" w:hAnsi="仿宋" w:eastAsia="仿宋"/>
          <w:color w:val="auto"/>
          <w:szCs w:val="32"/>
        </w:rPr>
      </w:pPr>
      <w:r>
        <w:rPr>
          <w:rFonts w:hint="eastAsia" w:ascii="仿宋" w:hAnsi="仿宋" w:eastAsia="仿宋"/>
          <w:color w:val="auto"/>
          <w:szCs w:val="32"/>
        </w:rPr>
        <w:t>2020 年，坚持以习近平新时代中国特色社会主义思想为指引，全面落实上级决策部署，围绕办人民满意的教育和实施全民健身国家战略，持续推进教育教学改革创新，不断提升学校办学水平。</w:t>
      </w:r>
    </w:p>
    <w:p>
      <w:pPr>
        <w:ind w:firstLine="570"/>
        <w:rPr>
          <w:rFonts w:hint="eastAsia" w:ascii="仿宋" w:hAnsi="仿宋" w:eastAsia="仿宋"/>
          <w:color w:val="auto"/>
          <w:szCs w:val="32"/>
        </w:rPr>
      </w:pPr>
      <w:r>
        <w:rPr>
          <w:rFonts w:hint="eastAsia" w:ascii="仿宋" w:hAnsi="仿宋" w:eastAsia="仿宋"/>
          <w:color w:val="auto"/>
          <w:szCs w:val="32"/>
        </w:rPr>
        <w:t>1、突出党建主题，推进“四有”党建</w:t>
      </w:r>
    </w:p>
    <w:p>
      <w:pPr>
        <w:ind w:firstLine="570"/>
        <w:rPr>
          <w:rFonts w:hint="eastAsia" w:ascii="仿宋" w:hAnsi="仿宋" w:eastAsia="仿宋"/>
          <w:color w:val="auto"/>
          <w:szCs w:val="32"/>
        </w:rPr>
      </w:pPr>
      <w:r>
        <w:rPr>
          <w:rFonts w:hint="eastAsia" w:ascii="仿宋" w:hAnsi="仿宋" w:eastAsia="仿宋"/>
          <w:color w:val="auto"/>
          <w:szCs w:val="32"/>
        </w:rPr>
        <w:t>1）通过“强化理想信念”“履行一岗双责”“严肃政治生活”等，落实全面从严治党主体责任；</w:t>
      </w:r>
    </w:p>
    <w:p>
      <w:pPr>
        <w:ind w:firstLine="570"/>
        <w:rPr>
          <w:rFonts w:hint="eastAsia" w:ascii="仿宋" w:hAnsi="仿宋" w:eastAsia="仿宋"/>
          <w:color w:val="auto"/>
          <w:szCs w:val="32"/>
        </w:rPr>
      </w:pPr>
      <w:r>
        <w:rPr>
          <w:rFonts w:hint="eastAsia" w:ascii="仿宋" w:hAnsi="仿宋" w:eastAsia="仿宋"/>
          <w:color w:val="auto"/>
          <w:szCs w:val="32"/>
        </w:rPr>
        <w:t>2）通过通过“广泛开展法纪教育”“定期开展学习教育”“ 扎实开展警示教育”等，强化意识形态思想建设 ；</w:t>
      </w:r>
    </w:p>
    <w:p>
      <w:pPr>
        <w:ind w:firstLine="570"/>
        <w:rPr>
          <w:rFonts w:hint="eastAsia" w:ascii="仿宋" w:hAnsi="仿宋" w:eastAsia="仿宋"/>
          <w:color w:val="auto"/>
          <w:szCs w:val="32"/>
        </w:rPr>
      </w:pPr>
      <w:r>
        <w:rPr>
          <w:rFonts w:hint="eastAsia" w:ascii="仿宋" w:hAnsi="仿宋" w:eastAsia="仿宋"/>
          <w:color w:val="auto"/>
          <w:szCs w:val="32"/>
        </w:rPr>
        <w:t>3）严格“三会一课”、民主生活会、组织生活会、民主评议党员、组织发展、党建工作经费保障等制度，规范运行基层党建；</w:t>
      </w:r>
    </w:p>
    <w:p>
      <w:pPr>
        <w:ind w:firstLine="570"/>
        <w:rPr>
          <w:rFonts w:hint="eastAsia" w:ascii="仿宋" w:hAnsi="仿宋" w:eastAsia="仿宋"/>
          <w:color w:val="auto"/>
          <w:szCs w:val="32"/>
        </w:rPr>
      </w:pPr>
      <w:r>
        <w:rPr>
          <w:rFonts w:hint="eastAsia" w:ascii="仿宋" w:hAnsi="仿宋" w:eastAsia="仿宋"/>
          <w:color w:val="auto"/>
          <w:szCs w:val="32"/>
        </w:rPr>
        <w:t>4）扎实开展专项主题活动。一是疫情防控有条不紊；二是“创文创卫”凸显成效；三是“光盘行动”深入人心</w:t>
      </w:r>
    </w:p>
    <w:p>
      <w:pPr>
        <w:ind w:firstLine="570"/>
        <w:rPr>
          <w:rFonts w:hint="eastAsia" w:ascii="仿宋" w:hAnsi="仿宋" w:eastAsia="仿宋"/>
          <w:color w:val="auto"/>
          <w:szCs w:val="32"/>
        </w:rPr>
      </w:pPr>
      <w:r>
        <w:rPr>
          <w:rFonts w:hint="eastAsia" w:ascii="仿宋" w:hAnsi="仿宋" w:eastAsia="仿宋"/>
          <w:color w:val="auto"/>
          <w:szCs w:val="32"/>
        </w:rPr>
        <w:t>2、突出办学理念，务实精细管理</w:t>
      </w:r>
    </w:p>
    <w:p>
      <w:pPr>
        <w:ind w:firstLine="570"/>
        <w:rPr>
          <w:rFonts w:hint="eastAsia" w:ascii="仿宋" w:hAnsi="仿宋" w:eastAsia="仿宋"/>
          <w:color w:val="auto"/>
          <w:szCs w:val="32"/>
        </w:rPr>
      </w:pPr>
      <w:r>
        <w:rPr>
          <w:rFonts w:hint="eastAsia" w:ascii="仿宋" w:hAnsi="仿宋" w:eastAsia="仿宋"/>
          <w:color w:val="auto"/>
          <w:szCs w:val="32"/>
        </w:rPr>
        <w:t>1）着力强化队伍建设。一是通过开展师德宣讲、大家访、师德测评等活动，加强师德师风建设。要求每年到贫困儿童、留守儿童、随班就读儿童家中访问一次，与所有家长当面沟通一次。二是充分创造条件，采取走出去、请进来、师徒结对等方式积极培养，不断转变教师观念、增强课改意识、提高业务素质。三是搭建平台，坚持每学期开展“合格课、研讨课、示范课”三级公开课，50岁以下老师全员参与赛课。积极组织老师们参加区级市级优质课竞赛，获得区一等奖1个，区二等奖3个，黄书慧老师通过选拔参加市级优质课比赛获得一等奖，刘丽老师被推荐到全市阅读专题研讨活动上示范课。一年来，组织开展校本培训60余次，参训教师1000余人次；全年共外派教师学习200余人次，涉及各个学科、各个教育教学领域；新增区级名班主任1人、骨干教师3人、教坛新秀2人、乡村全科教师1人。</w:t>
      </w:r>
    </w:p>
    <w:p>
      <w:pPr>
        <w:ind w:firstLine="570"/>
        <w:rPr>
          <w:rFonts w:hint="eastAsia" w:ascii="仿宋" w:hAnsi="仿宋" w:eastAsia="仿宋"/>
          <w:color w:val="auto"/>
          <w:szCs w:val="32"/>
        </w:rPr>
      </w:pPr>
      <w:r>
        <w:rPr>
          <w:rFonts w:hint="eastAsia" w:ascii="仿宋" w:hAnsi="仿宋" w:eastAsia="仿宋"/>
          <w:color w:val="auto"/>
          <w:szCs w:val="32"/>
        </w:rPr>
        <w:t>2）强化学校保障工作。一是安全教育保平安：落实安全责任清单制管理；认真组织开展安全疏散演练；强化禁毒、防艾、扫黑除恶工作，加强“警校共育”和校园及周边环境治理，构建和谐校园，确保校园平安，全年无安全责任事故发生。二是后勤保障助发展：优化支出结构，重点解决了教师培训、教育装备和校园文化建设经费。从严格收费、规范使用民生资金、规避校园风险等方面做好了后勤保障工作。</w:t>
      </w:r>
    </w:p>
    <w:p>
      <w:pPr>
        <w:ind w:firstLine="570"/>
        <w:rPr>
          <w:rFonts w:hint="eastAsia" w:ascii="仿宋" w:hAnsi="仿宋" w:eastAsia="仿宋"/>
          <w:color w:val="auto"/>
          <w:szCs w:val="32"/>
        </w:rPr>
      </w:pPr>
      <w:r>
        <w:rPr>
          <w:rFonts w:hint="eastAsia" w:ascii="仿宋" w:hAnsi="仿宋" w:eastAsia="仿宋"/>
          <w:color w:val="auto"/>
          <w:szCs w:val="32"/>
        </w:rPr>
        <w:t>3、突出特色发展，提升育人品质</w:t>
      </w:r>
    </w:p>
    <w:p>
      <w:pPr>
        <w:ind w:firstLine="570"/>
        <w:rPr>
          <w:rFonts w:hint="eastAsia" w:ascii="仿宋" w:hAnsi="仿宋" w:eastAsia="仿宋"/>
          <w:color w:val="auto"/>
          <w:szCs w:val="32"/>
        </w:rPr>
      </w:pPr>
      <w:r>
        <w:rPr>
          <w:rFonts w:hint="eastAsia" w:ascii="仿宋" w:hAnsi="仿宋" w:eastAsia="仿宋"/>
          <w:color w:val="auto"/>
          <w:szCs w:val="32"/>
        </w:rPr>
        <w:t>1）德育课程展特色。坚持以立德树人为根本目的，实现德育活动课程化。仪式感十足的新生入学礼、毕业礼、颁奖典礼、升旗典礼，春季研学节、夏季艺术节、秋季体育节、冬季科技节，激发孩子兴趣，培养孩子爱国爱家情怀、热爱生活情趣；坚持以美育为中心，其他学科相辅助开展艺体活动，让每一个孩子都有机会彰显艺体特长；特色课程《手绘彩灯》进入课表，啦啦操、棋操进入每日大课间；组队参加区编程比赛获得一等奖，参加航模比赛获得一等奖；乡村少年宫在市级考核中获一等奖；学校合唱和舞蹈社团被命名为“自贡市优秀学生艺术团”，学校被评为全国象棋冬夏令营优秀单位、四川省象棋特色学校。</w:t>
      </w:r>
    </w:p>
    <w:p>
      <w:pPr>
        <w:ind w:firstLine="570"/>
        <w:rPr>
          <w:rFonts w:hint="eastAsia" w:ascii="仿宋" w:hAnsi="仿宋" w:eastAsia="仿宋"/>
          <w:color w:val="auto"/>
          <w:szCs w:val="32"/>
        </w:rPr>
      </w:pPr>
      <w:r>
        <w:rPr>
          <w:rFonts w:hint="eastAsia" w:ascii="仿宋" w:hAnsi="仿宋" w:eastAsia="仿宋"/>
          <w:color w:val="auto"/>
          <w:szCs w:val="32"/>
        </w:rPr>
        <w:t>2）课改科研助提高。持续推进 “163自主互助式”课堂教学改革，实现学科、教师全覆盖。形成了五级工作体系，符合学校实际的自主互助式课堂模式逐渐成熟。邀请了市教科所和区基础教育中心专家到校对教师进行专题讲座或教学指导，开展了以“共同体”为主要形式的校际交流活动和以“课改论坛”为主要形式的校内理论学习培训、集体备课、同课异构等活动，助推了教学改革深化。从教育身边的问题出发，积极深入开展教育科研，锻造队伍、推动变革、助力提高。第四届微型课题市区共立项20项，科研成果获市级奖4项、区级奖14项；市级普教科研课题成功结题；成功申报群文阅读省级课题；学校被获区“微型课题优秀组织奖”； 学校连续第三年获区教学质量综合考核质量奖。</w:t>
      </w:r>
    </w:p>
    <w:p>
      <w:pPr>
        <w:ind w:firstLine="570"/>
        <w:rPr>
          <w:rFonts w:hint="eastAsia" w:ascii="仿宋" w:hAnsi="仿宋" w:eastAsia="仿宋"/>
          <w:color w:val="auto"/>
          <w:szCs w:val="32"/>
        </w:rPr>
      </w:pPr>
      <w:r>
        <w:rPr>
          <w:rFonts w:hint="eastAsia" w:ascii="仿宋" w:hAnsi="仿宋" w:eastAsia="仿宋"/>
          <w:color w:val="auto"/>
          <w:szCs w:val="32"/>
        </w:rPr>
        <w:t>3）环境改造促发展。一年来，新建了运动场，新建了100平米的梦想中心一个，心理咨询室一个，快检室一个，禁毒微基地1个；对厕所进行了整治、新添了教室窗帘、翻新了部分教室和楼道墙面、更新了楼道文化，让校园文化氛围变得更加浓厚。</w:t>
      </w:r>
    </w:p>
    <w:p>
      <w:pPr>
        <w:ind w:firstLine="570"/>
        <w:rPr>
          <w:rFonts w:hint="eastAsia" w:ascii="仿宋" w:hAnsi="仿宋" w:eastAsia="仿宋"/>
          <w:color w:val="auto"/>
          <w:szCs w:val="32"/>
        </w:rPr>
      </w:pPr>
    </w:p>
    <w:p>
      <w:pPr>
        <w:pStyle w:val="3"/>
        <w:rPr>
          <w:rStyle w:val="15"/>
          <w:b w:val="0"/>
          <w:bCs w:val="0"/>
        </w:rPr>
      </w:pPr>
      <w:bookmarkStart w:id="8" w:name="_Toc15396601"/>
      <w:bookmarkStart w:id="9" w:name="_Toc15377200"/>
      <w:bookmarkStart w:id="10" w:name="_Toc6092"/>
      <w:r>
        <w:rPr>
          <w:rFonts w:hint="eastAsia" w:ascii="黑体" w:eastAsia="黑体"/>
          <w:b w:val="0"/>
          <w:color w:val="000000"/>
        </w:rPr>
        <w:t>二、</w:t>
      </w:r>
      <w:r>
        <w:rPr>
          <w:rFonts w:hint="eastAsia" w:ascii="黑体" w:hAnsi="黑体" w:eastAsia="黑体"/>
          <w:b w:val="0"/>
          <w:color w:val="000000"/>
        </w:rPr>
        <w:t>机</w:t>
      </w:r>
      <w:r>
        <w:rPr>
          <w:rStyle w:val="15"/>
          <w:rFonts w:hint="eastAsia" w:ascii="黑体" w:hAnsi="黑体" w:eastAsia="黑体"/>
          <w:b w:val="0"/>
          <w:bCs w:val="0"/>
        </w:rPr>
        <w:t>构设置</w:t>
      </w:r>
      <w:bookmarkEnd w:id="8"/>
      <w:bookmarkEnd w:id="9"/>
      <w:bookmarkEnd w:id="10"/>
    </w:p>
    <w:p>
      <w:pPr>
        <w:ind w:firstLine="800" w:firstLineChars="250"/>
        <w:rPr>
          <w:rFonts w:ascii="仿宋" w:hAnsi="仿宋" w:eastAsia="仿宋"/>
          <w:color w:val="000000"/>
          <w:kern w:val="0"/>
          <w:sz w:val="32"/>
          <w:szCs w:val="32"/>
        </w:rPr>
      </w:pPr>
      <w:r>
        <w:rPr>
          <w:rFonts w:hint="eastAsia" w:ascii="仿宋" w:hAnsi="仿宋" w:eastAsia="仿宋"/>
          <w:szCs w:val="32"/>
        </w:rPr>
        <w:t>我校含一个中心校、一个教学点和一个附属幼儿园。</w:t>
      </w:r>
    </w:p>
    <w:p>
      <w:pPr>
        <w:pStyle w:val="2"/>
        <w:ind w:right="440"/>
        <w:jc w:val="right"/>
        <w:rPr>
          <w:rStyle w:val="14"/>
          <w:rFonts w:ascii="黑体" w:hAnsi="黑体" w:eastAsia="黑体"/>
          <w:b w:val="0"/>
          <w:bCs w:val="0"/>
        </w:rPr>
      </w:pPr>
      <w:bookmarkStart w:id="11" w:name="_Toc15377204"/>
      <w:bookmarkStart w:id="12" w:name="_Toc15396602"/>
      <w:bookmarkStart w:id="13" w:name="_Toc23109"/>
      <w:r>
        <w:rPr>
          <w:rFonts w:hint="eastAsia" w:ascii="黑体" w:hAnsi="黑体" w:eastAsia="黑体"/>
          <w:b w:val="0"/>
          <w:color w:val="000000"/>
        </w:rPr>
        <w:t>第二部分</w:t>
      </w:r>
      <w:r>
        <w:rPr>
          <w:rFonts w:ascii="黑体" w:hAnsi="黑体" w:eastAsia="黑体"/>
          <w:color w:val="000000"/>
        </w:rPr>
        <w:t xml:space="preserve"> </w:t>
      </w:r>
      <w:r>
        <w:rPr>
          <w:rStyle w:val="14"/>
          <w:rFonts w:ascii="黑体" w:hAnsi="黑体" w:eastAsia="黑体"/>
          <w:b w:val="0"/>
          <w:bCs w:val="0"/>
        </w:rPr>
        <w:t>2020</w:t>
      </w:r>
      <w:r>
        <w:rPr>
          <w:rStyle w:val="14"/>
          <w:rFonts w:hint="eastAsia" w:ascii="黑体" w:hAnsi="黑体" w:eastAsia="黑体"/>
          <w:b w:val="0"/>
          <w:bCs w:val="0"/>
        </w:rPr>
        <w:t>年度部门决算情况说明</w:t>
      </w:r>
      <w:bookmarkEnd w:id="11"/>
      <w:bookmarkEnd w:id="12"/>
      <w:bookmarkEnd w:id="13"/>
    </w:p>
    <w:p/>
    <w:p>
      <w:pPr>
        <w:pStyle w:val="16"/>
        <w:numPr>
          <w:ilvl w:val="0"/>
          <w:numId w:val="2"/>
        </w:numPr>
        <w:spacing w:line="600" w:lineRule="exact"/>
        <w:ind w:firstLineChars="0"/>
        <w:outlineLvl w:val="1"/>
        <w:rPr>
          <w:rStyle w:val="15"/>
          <w:rFonts w:ascii="黑体" w:hAnsi="黑体" w:eastAsia="黑体"/>
          <w:b w:val="0"/>
        </w:rPr>
      </w:pPr>
      <w:bookmarkStart w:id="14" w:name="_Toc7163"/>
      <w:bookmarkStart w:id="15" w:name="_Toc15396603"/>
      <w:bookmarkStart w:id="16" w:name="_Toc15377205"/>
      <w:r>
        <w:rPr>
          <w:rFonts w:hint="eastAsia" w:ascii="黑体" w:hAnsi="黑体" w:eastAsia="黑体"/>
          <w:color w:val="000000"/>
          <w:sz w:val="32"/>
          <w:szCs w:val="32"/>
        </w:rPr>
        <w:t>收</w:t>
      </w:r>
      <w:r>
        <w:rPr>
          <w:rStyle w:val="15"/>
          <w:rFonts w:hint="eastAsia" w:ascii="黑体" w:hAnsi="黑体" w:eastAsia="黑体"/>
          <w:b w:val="0"/>
        </w:rPr>
        <w:t>入支出决算总体情况说明</w:t>
      </w:r>
      <w:bookmarkEnd w:id="14"/>
      <w:bookmarkEnd w:id="15"/>
      <w:bookmarkEnd w:id="16"/>
    </w:p>
    <w:p>
      <w:pPr>
        <w:ind w:firstLine="570"/>
        <w:rPr>
          <w:rFonts w:ascii="仿宋" w:hAnsi="仿宋" w:eastAsia="仿宋"/>
          <w:color w:val="auto"/>
          <w:szCs w:val="32"/>
        </w:rPr>
      </w:pPr>
      <w:r>
        <w:rPr>
          <w:rFonts w:ascii="仿宋" w:hAnsi="仿宋" w:eastAsia="仿宋"/>
          <w:color w:val="auto"/>
          <w:szCs w:val="32"/>
        </w:rPr>
        <w:t>2020</w:t>
      </w:r>
      <w:r>
        <w:rPr>
          <w:rFonts w:hint="eastAsia" w:ascii="仿宋" w:hAnsi="仿宋" w:eastAsia="仿宋"/>
          <w:color w:val="auto"/>
          <w:szCs w:val="32"/>
        </w:rPr>
        <w:t>年度收入总计1145.3万元，与</w:t>
      </w:r>
      <w:r>
        <w:rPr>
          <w:rFonts w:ascii="仿宋" w:hAnsi="仿宋" w:eastAsia="仿宋"/>
          <w:color w:val="auto"/>
          <w:szCs w:val="32"/>
        </w:rPr>
        <w:t>2019</w:t>
      </w:r>
      <w:r>
        <w:rPr>
          <w:rFonts w:hint="eastAsia" w:ascii="仿宋" w:hAnsi="仿宋" w:eastAsia="仿宋"/>
          <w:color w:val="auto"/>
          <w:szCs w:val="32"/>
        </w:rPr>
        <w:t>年收入总计1416.86万元相比，收入减少271.56万元，下降19.17</w:t>
      </w:r>
      <w:r>
        <w:rPr>
          <w:rFonts w:ascii="仿宋" w:hAnsi="仿宋" w:eastAsia="仿宋"/>
          <w:color w:val="auto"/>
          <w:szCs w:val="32"/>
        </w:rPr>
        <w:t>%</w:t>
      </w:r>
      <w:r>
        <w:rPr>
          <w:rFonts w:hint="eastAsia" w:ascii="仿宋" w:hAnsi="仿宋" w:eastAsia="仿宋"/>
          <w:color w:val="auto"/>
          <w:szCs w:val="32"/>
        </w:rPr>
        <w:t>；2020年度支出总计1145.3万元，与</w:t>
      </w:r>
      <w:r>
        <w:rPr>
          <w:rFonts w:ascii="仿宋" w:hAnsi="仿宋" w:eastAsia="仿宋"/>
          <w:color w:val="auto"/>
          <w:szCs w:val="32"/>
        </w:rPr>
        <w:t>2019</w:t>
      </w:r>
      <w:r>
        <w:rPr>
          <w:rFonts w:hint="eastAsia" w:ascii="仿宋" w:hAnsi="仿宋" w:eastAsia="仿宋"/>
          <w:color w:val="auto"/>
          <w:szCs w:val="32"/>
        </w:rPr>
        <w:t>年支出1416.86万元相比，支出减少271.56万元，下降19.17</w:t>
      </w:r>
      <w:r>
        <w:rPr>
          <w:rFonts w:ascii="仿宋" w:hAnsi="仿宋" w:eastAsia="仿宋"/>
          <w:color w:val="auto"/>
          <w:szCs w:val="32"/>
        </w:rPr>
        <w:t>%</w:t>
      </w:r>
      <w:r>
        <w:rPr>
          <w:rFonts w:hint="eastAsia" w:ascii="仿宋" w:hAnsi="仿宋" w:eastAsia="仿宋"/>
          <w:color w:val="auto"/>
          <w:szCs w:val="32"/>
        </w:rPr>
        <w:t>。主要变动原因是一是由于人员减少7人，人员支出减少；二是当年年初结转结余比上年年初结转结余减少。</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Cs w:val="32"/>
        </w:rPr>
        <w:drawing>
          <wp:anchor distT="0" distB="0" distL="114300" distR="114300" simplePos="0" relativeHeight="251660288" behindDoc="0" locked="0" layoutInCell="1" allowOverlap="1">
            <wp:simplePos x="0" y="0"/>
            <wp:positionH relativeFrom="column">
              <wp:posOffset>116205</wp:posOffset>
            </wp:positionH>
            <wp:positionV relativeFrom="paragraph">
              <wp:posOffset>111760</wp:posOffset>
            </wp:positionV>
            <wp:extent cx="4838700" cy="1619250"/>
            <wp:effectExtent l="4445" t="4445" r="14605" b="14605"/>
            <wp:wrapNone/>
            <wp:docPr id="1"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ascii="仿宋_GB2312" w:eastAsia="仿宋_GB2312"/>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：收、支决算总计变动情况图）（柱状图）</w:t>
      </w:r>
    </w:p>
    <w:p>
      <w:pPr>
        <w:pStyle w:val="16"/>
        <w:numPr>
          <w:ilvl w:val="0"/>
          <w:numId w:val="2"/>
        </w:numPr>
        <w:spacing w:line="600" w:lineRule="exact"/>
        <w:ind w:firstLineChars="0"/>
        <w:outlineLvl w:val="1"/>
        <w:rPr>
          <w:rStyle w:val="15"/>
          <w:rFonts w:ascii="黑体" w:hAnsi="黑体" w:eastAsia="黑体"/>
          <w:b w:val="0"/>
        </w:rPr>
      </w:pPr>
      <w:bookmarkStart w:id="17" w:name="_Toc25258"/>
      <w:bookmarkStart w:id="18" w:name="_Toc15377206"/>
      <w:bookmarkStart w:id="19" w:name="_Toc15396604"/>
      <w:r>
        <w:rPr>
          <w:rFonts w:hint="eastAsia" w:ascii="黑体" w:hAnsi="黑体" w:eastAsia="黑体"/>
          <w:color w:val="000000"/>
          <w:sz w:val="32"/>
          <w:szCs w:val="32"/>
        </w:rPr>
        <w:t>收</w:t>
      </w:r>
      <w:r>
        <w:rPr>
          <w:rStyle w:val="15"/>
          <w:rFonts w:hint="eastAsia" w:ascii="黑体" w:hAnsi="黑体" w:eastAsia="黑体"/>
          <w:b w:val="0"/>
        </w:rPr>
        <w:t>入决算情况说明</w:t>
      </w:r>
      <w:bookmarkEnd w:id="17"/>
      <w:bookmarkEnd w:id="18"/>
      <w:bookmarkEnd w:id="1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年本年收入合计1072.11万元，其中：一般公共预算财政拨款收入1061.8万元，占99.04</w:t>
      </w:r>
      <w:r>
        <w:rPr>
          <w:rFonts w:ascii="仿宋" w:hAnsi="仿宋" w:eastAsia="仿宋"/>
          <w:color w:val="000000"/>
          <w:szCs w:val="32"/>
        </w:rPr>
        <w:t>%</w:t>
      </w:r>
      <w:r>
        <w:rPr>
          <w:rFonts w:hint="eastAsia" w:ascii="仿宋" w:hAnsi="仿宋" w:eastAsia="仿宋"/>
          <w:color w:val="000000"/>
          <w:szCs w:val="32"/>
        </w:rPr>
        <w:t>；政府性基金预算财政拨款收入2.7万元，占0.25</w:t>
      </w:r>
      <w:r>
        <w:rPr>
          <w:rFonts w:ascii="仿宋" w:hAnsi="仿宋" w:eastAsia="仿宋"/>
          <w:color w:val="000000"/>
          <w:szCs w:val="32"/>
        </w:rPr>
        <w:t>%</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；事业收入7.61万元，占0.71</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firstLineChars="200"/>
        <w:outlineLvl w:val="1"/>
        <w:rPr>
          <w:rFonts w:ascii="仿宋" w:hAnsi="仿宋" w:eastAsia="仿宋"/>
          <w:color w:val="000000"/>
          <w:sz w:val="32"/>
          <w:szCs w:val="32"/>
        </w:rPr>
      </w:pPr>
      <w:r>
        <w:rPr>
          <w:rFonts w:hint="eastAsia" w:ascii="仿宋" w:hAnsi="仿宋" w:eastAsia="仿宋"/>
          <w:color w:val="000000"/>
          <w:szCs w:val="32"/>
        </w:rPr>
        <w:drawing>
          <wp:anchor distT="0" distB="0" distL="114300" distR="114300" simplePos="0" relativeHeight="251661312" behindDoc="0" locked="0" layoutInCell="1" allowOverlap="1">
            <wp:simplePos x="0" y="0"/>
            <wp:positionH relativeFrom="column">
              <wp:posOffset>162560</wp:posOffset>
            </wp:positionH>
            <wp:positionV relativeFrom="paragraph">
              <wp:posOffset>266700</wp:posOffset>
            </wp:positionV>
            <wp:extent cx="4876800" cy="1447800"/>
            <wp:effectExtent l="4445" t="4445" r="14605" b="14605"/>
            <wp:wrapNone/>
            <wp:docPr id="3" name="图表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outlineLvl w:val="1"/>
        <w:rPr>
          <w:rFonts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：收入决算结构图）（饼状图）</w:t>
      </w:r>
    </w:p>
    <w:p>
      <w:pPr>
        <w:spacing w:line="600" w:lineRule="exact"/>
        <w:ind w:firstLine="640" w:firstLineChars="200"/>
        <w:rPr>
          <w:rFonts w:ascii="仿宋_GB2312" w:eastAsia="仿宋_GB2312"/>
          <w:color w:val="FF0000"/>
          <w:sz w:val="32"/>
          <w:szCs w:val="32"/>
        </w:rPr>
      </w:pPr>
    </w:p>
    <w:p>
      <w:pPr>
        <w:pStyle w:val="16"/>
        <w:numPr>
          <w:ilvl w:val="0"/>
          <w:numId w:val="2"/>
        </w:numPr>
        <w:spacing w:line="600" w:lineRule="exact"/>
        <w:ind w:firstLineChars="0"/>
        <w:outlineLvl w:val="1"/>
        <w:rPr>
          <w:rStyle w:val="15"/>
          <w:rFonts w:ascii="黑体" w:hAnsi="黑体" w:eastAsia="黑体"/>
          <w:b w:val="0"/>
        </w:rPr>
      </w:pPr>
      <w:bookmarkStart w:id="20" w:name="_Toc15396605"/>
      <w:bookmarkStart w:id="21" w:name="_Toc15377207"/>
      <w:bookmarkStart w:id="22" w:name="_Toc13725"/>
      <w:r>
        <w:rPr>
          <w:rFonts w:hint="eastAsia" w:ascii="黑体" w:hAnsi="黑体" w:eastAsia="黑体"/>
          <w:color w:val="000000"/>
          <w:sz w:val="32"/>
          <w:szCs w:val="32"/>
        </w:rPr>
        <w:t>支</w:t>
      </w:r>
      <w:r>
        <w:rPr>
          <w:rStyle w:val="15"/>
          <w:rFonts w:hint="eastAsia" w:ascii="黑体" w:hAnsi="黑体" w:eastAsia="黑体"/>
          <w:b w:val="0"/>
        </w:rPr>
        <w:t>出决算情况说明</w:t>
      </w:r>
      <w:bookmarkEnd w:id="20"/>
      <w:bookmarkEnd w:id="21"/>
      <w:bookmarkEnd w:id="22"/>
    </w:p>
    <w:p>
      <w:pPr>
        <w:spacing w:line="600" w:lineRule="exact"/>
        <w:ind w:firstLine="640" w:firstLineChars="200"/>
        <w:outlineLvl w:val="1"/>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年本年支出合计1141.55万元，其中：基本支出1023.72万元，占89.68</w:t>
      </w:r>
      <w:r>
        <w:rPr>
          <w:rFonts w:ascii="仿宋" w:hAnsi="仿宋" w:eastAsia="仿宋"/>
          <w:color w:val="000000"/>
          <w:szCs w:val="32"/>
        </w:rPr>
        <w:t>%</w:t>
      </w:r>
      <w:r>
        <w:rPr>
          <w:rFonts w:hint="eastAsia" w:ascii="仿宋" w:hAnsi="仿宋" w:eastAsia="仿宋"/>
          <w:color w:val="000000"/>
          <w:szCs w:val="32"/>
        </w:rPr>
        <w:t>；项目支出117.83万元，占10.32</w:t>
      </w:r>
      <w:r>
        <w:rPr>
          <w:rFonts w:ascii="仿宋" w:hAnsi="仿宋" w:eastAsia="仿宋"/>
          <w:color w:val="000000"/>
          <w:szCs w:val="32"/>
        </w:rPr>
        <w:t>%</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firstLineChars="200"/>
        <w:outlineLvl w:val="9"/>
        <w:rPr>
          <w:rFonts w:ascii="仿宋" w:hAnsi="仿宋" w:eastAsia="仿宋"/>
          <w:b/>
          <w:color w:val="FF0000"/>
          <w:sz w:val="32"/>
          <w:szCs w:val="32"/>
        </w:rPr>
      </w:pPr>
      <w:r>
        <w:rPr>
          <w:rFonts w:hint="eastAsia" w:ascii="仿宋" w:hAnsi="仿宋" w:eastAsia="仿宋"/>
          <w:color w:val="000000"/>
          <w:szCs w:val="32"/>
        </w:rPr>
        <w:drawing>
          <wp:anchor distT="0" distB="0" distL="114300" distR="114300" simplePos="0" relativeHeight="251662336" behindDoc="0" locked="0" layoutInCell="1" allowOverlap="1">
            <wp:simplePos x="0" y="0"/>
            <wp:positionH relativeFrom="column">
              <wp:posOffset>133350</wp:posOffset>
            </wp:positionH>
            <wp:positionV relativeFrom="paragraph">
              <wp:posOffset>190500</wp:posOffset>
            </wp:positionV>
            <wp:extent cx="4762500" cy="1485900"/>
            <wp:effectExtent l="4445" t="4445" r="14605" b="14605"/>
            <wp:wrapNone/>
            <wp:docPr id="5"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640"/>
        <w:outlineLvl w:val="9"/>
        <w:rPr>
          <w:rFonts w:ascii="仿宋" w:hAnsi="仿宋" w:eastAsia="仿宋"/>
          <w:color w:val="000000"/>
          <w:sz w:val="32"/>
          <w:szCs w:val="32"/>
          <w:shd w:val="pct10" w:color="auto" w:fill="FFFFFF"/>
        </w:rPr>
      </w:pPr>
    </w:p>
    <w:p>
      <w:pPr>
        <w:spacing w:line="600" w:lineRule="exact"/>
        <w:ind w:firstLine="640"/>
        <w:outlineLvl w:val="9"/>
        <w:rPr>
          <w:rFonts w:ascii="仿宋" w:hAnsi="仿宋" w:eastAsia="仿宋"/>
          <w:color w:val="000000"/>
          <w:sz w:val="32"/>
          <w:szCs w:val="32"/>
          <w:shd w:val="pct10" w:color="auto" w:fill="FFFFFF"/>
        </w:rPr>
      </w:pPr>
    </w:p>
    <w:p>
      <w:pPr>
        <w:spacing w:line="600" w:lineRule="exact"/>
        <w:ind w:firstLine="640"/>
        <w:outlineLvl w:val="9"/>
        <w:rPr>
          <w:rFonts w:ascii="仿宋" w:hAnsi="仿宋" w:eastAsia="仿宋"/>
          <w:color w:val="000000"/>
          <w:sz w:val="32"/>
          <w:szCs w:val="32"/>
          <w:shd w:val="pct10" w:color="auto" w:fill="FFFFFF"/>
        </w:rPr>
      </w:pPr>
    </w:p>
    <w:p>
      <w:pPr>
        <w:spacing w:line="600" w:lineRule="exact"/>
        <w:ind w:firstLine="640"/>
        <w:outlineLvl w:val="9"/>
        <w:rPr>
          <w:rFonts w:ascii="仿宋" w:hAnsi="仿宋" w:eastAsia="仿宋"/>
          <w:color w:val="000000"/>
          <w:sz w:val="32"/>
          <w:szCs w:val="32"/>
          <w:shd w:val="pct10" w:color="auto" w:fill="FFFFFF"/>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：支出决算结构图）（饼状图）</w:t>
      </w:r>
    </w:p>
    <w:p>
      <w:pPr>
        <w:spacing w:line="600" w:lineRule="exact"/>
        <w:ind w:firstLine="640" w:firstLineChars="200"/>
        <w:rPr>
          <w:rFonts w:ascii="仿宋_GB2312" w:eastAsia="仿宋_GB2312"/>
          <w:color w:val="FF0000"/>
          <w:sz w:val="32"/>
          <w:szCs w:val="32"/>
        </w:rPr>
      </w:pPr>
    </w:p>
    <w:p>
      <w:pPr>
        <w:spacing w:line="600" w:lineRule="exact"/>
        <w:ind w:firstLine="640" w:firstLineChars="200"/>
        <w:outlineLvl w:val="1"/>
        <w:rPr>
          <w:rStyle w:val="15"/>
          <w:rFonts w:ascii="黑体" w:hAnsi="黑体" w:eastAsia="黑体"/>
          <w:b w:val="0"/>
        </w:rPr>
      </w:pPr>
      <w:bookmarkStart w:id="23" w:name="_Toc15377208"/>
      <w:bookmarkStart w:id="24" w:name="_Toc15396606"/>
      <w:bookmarkStart w:id="25" w:name="_Toc10354"/>
      <w:r>
        <w:rPr>
          <w:rFonts w:hint="eastAsia" w:ascii="黑体" w:hAnsi="黑体" w:eastAsia="黑体"/>
          <w:color w:val="000000"/>
          <w:sz w:val="32"/>
          <w:szCs w:val="32"/>
        </w:rPr>
        <w:t>四、财</w:t>
      </w:r>
      <w:r>
        <w:rPr>
          <w:rStyle w:val="15"/>
          <w:rFonts w:hint="eastAsia" w:ascii="黑体" w:hAnsi="黑体" w:eastAsia="黑体"/>
          <w:b w:val="0"/>
        </w:rPr>
        <w:t>政拨款收入支出决算总体情况说明</w:t>
      </w:r>
      <w:bookmarkEnd w:id="23"/>
      <w:bookmarkEnd w:id="24"/>
      <w:bookmarkEnd w:id="25"/>
    </w:p>
    <w:p>
      <w:pPr>
        <w:ind w:firstLine="57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年度财政拨款收入总计1137.68万元，与</w:t>
      </w:r>
      <w:r>
        <w:rPr>
          <w:rFonts w:ascii="仿宋" w:hAnsi="仿宋" w:eastAsia="仿宋"/>
          <w:color w:val="000000"/>
          <w:szCs w:val="32"/>
        </w:rPr>
        <w:t>2019</w:t>
      </w:r>
      <w:r>
        <w:rPr>
          <w:rFonts w:hint="eastAsia" w:ascii="仿宋" w:hAnsi="仿宋" w:eastAsia="仿宋"/>
          <w:color w:val="000000"/>
          <w:szCs w:val="32"/>
        </w:rPr>
        <w:t>年财政拨款收入总计1385.54万元相比，收入减少247.86万元，下降17.89</w:t>
      </w:r>
      <w:r>
        <w:rPr>
          <w:rFonts w:ascii="仿宋" w:hAnsi="仿宋" w:eastAsia="仿宋"/>
          <w:color w:val="000000"/>
          <w:szCs w:val="32"/>
        </w:rPr>
        <w:t>%</w:t>
      </w:r>
      <w:r>
        <w:rPr>
          <w:rFonts w:hint="eastAsia" w:ascii="仿宋" w:hAnsi="仿宋" w:eastAsia="仿宋"/>
          <w:color w:val="000000"/>
          <w:szCs w:val="32"/>
        </w:rPr>
        <w:t>；2020年度财政拨款支出总计1137.68万元，与</w:t>
      </w:r>
      <w:r>
        <w:rPr>
          <w:rFonts w:ascii="仿宋" w:hAnsi="仿宋" w:eastAsia="仿宋"/>
          <w:color w:val="000000"/>
          <w:szCs w:val="32"/>
        </w:rPr>
        <w:t>2019</w:t>
      </w:r>
      <w:r>
        <w:rPr>
          <w:rFonts w:hint="eastAsia" w:ascii="仿宋" w:hAnsi="仿宋" w:eastAsia="仿宋"/>
          <w:color w:val="000000"/>
          <w:szCs w:val="32"/>
        </w:rPr>
        <w:t>年财政拨款支出总计1385.54万元相比，支出减少247.86万元，下降17.89</w:t>
      </w:r>
      <w:r>
        <w:rPr>
          <w:rFonts w:ascii="仿宋" w:hAnsi="仿宋" w:eastAsia="仿宋"/>
          <w:color w:val="000000"/>
          <w:szCs w:val="32"/>
        </w:rPr>
        <w:t>%</w:t>
      </w:r>
      <w:r>
        <w:rPr>
          <w:rFonts w:hint="eastAsia" w:ascii="仿宋" w:hAnsi="仿宋" w:eastAsia="仿宋"/>
          <w:color w:val="000000"/>
          <w:szCs w:val="32"/>
        </w:rPr>
        <w:t>。主要变动原因是一是由于人员减少7人，人员支出减少；二是当年年初结转结余比上年年初结转结余减少。</w:t>
      </w:r>
    </w:p>
    <w:p>
      <w:pPr>
        <w:spacing w:line="600" w:lineRule="exact"/>
        <w:rPr>
          <w:rFonts w:ascii="仿宋" w:hAnsi="仿宋" w:eastAsia="仿宋"/>
          <w:color w:val="000000"/>
          <w:sz w:val="32"/>
          <w:szCs w:val="32"/>
        </w:rPr>
      </w:pPr>
      <w:r>
        <w:rPr>
          <w:rFonts w:ascii="仿宋" w:hAnsi="仿宋" w:eastAsia="仿宋"/>
          <w:color w:val="000000"/>
          <w:szCs w:val="32"/>
        </w:rPr>
        <w:drawing>
          <wp:anchor distT="0" distB="0" distL="114300" distR="114300" simplePos="0" relativeHeight="251663360" behindDoc="0" locked="0" layoutInCell="1" allowOverlap="1">
            <wp:simplePos x="0" y="0"/>
            <wp:positionH relativeFrom="column">
              <wp:posOffset>276225</wp:posOffset>
            </wp:positionH>
            <wp:positionV relativeFrom="paragraph">
              <wp:posOffset>7620</wp:posOffset>
            </wp:positionV>
            <wp:extent cx="4838700" cy="1733550"/>
            <wp:effectExtent l="5080" t="4445" r="13970" b="14605"/>
            <wp:wrapNone/>
            <wp:docPr id="6" name="图表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：财政拨款收、支决算总计变动情况）（柱状图）</w:t>
      </w:r>
    </w:p>
    <w:p>
      <w:pPr>
        <w:spacing w:line="600" w:lineRule="exact"/>
        <w:ind w:firstLine="640"/>
        <w:rPr>
          <w:rFonts w:ascii="仿宋" w:hAnsi="仿宋" w:eastAsia="仿宋"/>
          <w:b/>
          <w:color w:val="00B050"/>
          <w:sz w:val="32"/>
          <w:szCs w:val="32"/>
        </w:rPr>
      </w:pPr>
    </w:p>
    <w:p>
      <w:pPr>
        <w:spacing w:line="600" w:lineRule="exact"/>
        <w:ind w:firstLine="640" w:firstLineChars="200"/>
        <w:outlineLvl w:val="1"/>
        <w:rPr>
          <w:rStyle w:val="15"/>
          <w:rFonts w:ascii="黑体" w:hAnsi="黑体" w:eastAsia="黑体"/>
          <w:b w:val="0"/>
        </w:rPr>
      </w:pPr>
      <w:bookmarkStart w:id="26" w:name="_Toc15377209"/>
      <w:bookmarkStart w:id="27" w:name="_Toc15396607"/>
      <w:bookmarkStart w:id="28" w:name="_Toc1096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5"/>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 w:val="32"/>
          <w:szCs w:val="32"/>
        </w:rPr>
      </w:pPr>
      <w:bookmarkStart w:id="29" w:name="_Toc15377210"/>
      <w:r>
        <w:rPr>
          <w:rFonts w:hint="eastAsia" w:ascii="仿宋" w:hAnsi="仿宋" w:eastAsia="仿宋"/>
          <w:b/>
          <w:color w:val="000000"/>
          <w:sz w:val="32"/>
          <w:szCs w:val="32"/>
        </w:rPr>
        <w:t>（一）一般公共预算财政拨款支出决算总体情况</w:t>
      </w:r>
      <w:bookmarkEnd w:id="29"/>
    </w:p>
    <w:p>
      <w:pPr>
        <w:spacing w:line="600" w:lineRule="exact"/>
        <w:ind w:firstLine="640" w:firstLineChars="200"/>
        <w:outlineLvl w:val="2"/>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年一般公共预算财政拨款支出1129.11万元，占本年支出合计的98.91</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年一般公共预算财政拨款支出1195.53万元相比，一般公共预算财政拨款支出减少66.42万元，下降5.56</w:t>
      </w:r>
      <w:r>
        <w:rPr>
          <w:rFonts w:ascii="仿宋" w:hAnsi="仿宋" w:eastAsia="仿宋"/>
          <w:color w:val="000000"/>
          <w:szCs w:val="32"/>
        </w:rPr>
        <w:t>%</w:t>
      </w:r>
      <w:r>
        <w:rPr>
          <w:rFonts w:hint="eastAsia" w:ascii="仿宋" w:hAnsi="仿宋" w:eastAsia="仿宋"/>
          <w:color w:val="000000"/>
          <w:szCs w:val="32"/>
        </w:rPr>
        <w:t>。主要变动原因是由于人员减少7人，人员支出减少。</w:t>
      </w:r>
    </w:p>
    <w:p>
      <w:pPr>
        <w:spacing w:line="600" w:lineRule="exact"/>
        <w:ind w:firstLine="640" w:firstLineChars="200"/>
        <w:rPr>
          <w:rFonts w:ascii="仿宋" w:hAnsi="仿宋" w:eastAsia="仿宋"/>
          <w:color w:val="000000"/>
          <w:sz w:val="32"/>
          <w:szCs w:val="32"/>
        </w:rPr>
      </w:pPr>
      <w:r>
        <w:rPr>
          <w:rFonts w:ascii="仿宋" w:hAnsi="仿宋" w:eastAsia="仿宋"/>
          <w:color w:val="000000"/>
          <w:szCs w:val="32"/>
        </w:rPr>
        <w:drawing>
          <wp:anchor distT="0" distB="0" distL="114300" distR="114300" simplePos="0" relativeHeight="251664384" behindDoc="0" locked="0" layoutInCell="1" allowOverlap="1">
            <wp:simplePos x="0" y="0"/>
            <wp:positionH relativeFrom="column">
              <wp:posOffset>352425</wp:posOffset>
            </wp:positionH>
            <wp:positionV relativeFrom="paragraph">
              <wp:posOffset>85725</wp:posOffset>
            </wp:positionV>
            <wp:extent cx="4838700" cy="1733550"/>
            <wp:effectExtent l="5080" t="4445" r="13970" b="14605"/>
            <wp:wrapNone/>
            <wp:docPr id="7" name="图表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5</w:t>
      </w:r>
      <w:r>
        <w:rPr>
          <w:rFonts w:hint="eastAsia" w:ascii="仿宋" w:hAnsi="仿宋" w:eastAsia="仿宋"/>
          <w:color w:val="000000"/>
          <w:sz w:val="32"/>
          <w:szCs w:val="32"/>
        </w:rPr>
        <w:t>：一般公共预算财政拨款支出决算变动情况）（柱状图）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0" w:name="_Toc15377211"/>
      <w:r>
        <w:rPr>
          <w:rFonts w:hint="eastAsia" w:ascii="仿宋" w:hAnsi="仿宋" w:eastAsia="仿宋"/>
          <w:b/>
          <w:color w:val="000000"/>
          <w:sz w:val="32"/>
          <w:szCs w:val="32"/>
        </w:rPr>
        <w:t>（二）一般公共预算财政拨款支出决算结构情况</w:t>
      </w:r>
      <w:bookmarkEnd w:id="30"/>
    </w:p>
    <w:p>
      <w:pPr>
        <w:spacing w:line="600" w:lineRule="exact"/>
        <w:ind w:firstLine="640"/>
        <w:rPr>
          <w:rFonts w:hint="eastAsia"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年一般公共预算财政拨款支出1129.11万元，主要用于以下方面</w:t>
      </w:r>
      <w:r>
        <w:rPr>
          <w:rFonts w:ascii="仿宋" w:hAnsi="仿宋" w:eastAsia="仿宋"/>
          <w:color w:val="000000"/>
          <w:szCs w:val="32"/>
        </w:rPr>
        <w:t>:</w:t>
      </w:r>
      <w:r>
        <w:rPr>
          <w:rFonts w:hint="eastAsia" w:ascii="仿宋" w:hAnsi="仿宋" w:eastAsia="仿宋"/>
          <w:color w:val="000000"/>
          <w:szCs w:val="32"/>
        </w:rPr>
        <w:t>教育支出1129.11万元，占100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rPr>
          <w:rFonts w:hint="eastAsia" w:ascii="仿宋" w:hAnsi="仿宋" w:eastAsia="仿宋"/>
          <w:color w:val="000000"/>
          <w:szCs w:val="32"/>
        </w:rPr>
      </w:pPr>
      <w:r>
        <w:rPr>
          <w:rFonts w:ascii="仿宋" w:hAnsi="仿宋" w:eastAsia="仿宋"/>
          <w:color w:val="000000"/>
          <w:szCs w:val="32"/>
        </w:rPr>
        <w:drawing>
          <wp:anchor distT="0" distB="0" distL="114300" distR="114300" simplePos="0" relativeHeight="251665408" behindDoc="0" locked="0" layoutInCell="1" allowOverlap="1">
            <wp:simplePos x="0" y="0"/>
            <wp:positionH relativeFrom="column">
              <wp:posOffset>342900</wp:posOffset>
            </wp:positionH>
            <wp:positionV relativeFrom="paragraph">
              <wp:posOffset>28575</wp:posOffset>
            </wp:positionV>
            <wp:extent cx="4762500" cy="1485900"/>
            <wp:effectExtent l="4445" t="4445" r="14605" b="14605"/>
            <wp:wrapNone/>
            <wp:docPr id="8"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rPr>
          <w:rFonts w:hint="eastAsia" w:ascii="仿宋" w:hAnsi="仿宋" w:eastAsia="仿宋"/>
          <w:color w:val="000000"/>
          <w:szCs w:val="32"/>
        </w:rPr>
      </w:pPr>
    </w:p>
    <w:p>
      <w:pPr>
        <w:spacing w:line="600" w:lineRule="exact"/>
        <w:ind w:firstLine="640"/>
        <w:rPr>
          <w:rFonts w:hint="eastAsia" w:ascii="仿宋" w:hAnsi="仿宋" w:eastAsia="仿宋"/>
          <w:color w:val="000000"/>
          <w:szCs w:val="32"/>
        </w:rPr>
      </w:pPr>
    </w:p>
    <w:p>
      <w:pPr>
        <w:spacing w:line="600" w:lineRule="exact"/>
        <w:ind w:firstLine="640"/>
        <w:rPr>
          <w:rFonts w:hint="eastAsia" w:ascii="仿宋" w:hAnsi="仿宋" w:eastAsia="仿宋"/>
          <w:color w:val="000000"/>
          <w:szCs w:val="32"/>
        </w:rPr>
      </w:pP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6</w:t>
      </w:r>
      <w:r>
        <w:rPr>
          <w:rFonts w:hint="eastAsia" w:ascii="仿宋" w:hAnsi="仿宋" w:eastAsia="仿宋"/>
          <w:color w:val="000000"/>
          <w:sz w:val="32"/>
          <w:szCs w:val="32"/>
        </w:rPr>
        <w:t>：一般公共预算财政拨款支出决算结构）（饼状图）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1" w:name="_Toc15377212"/>
      <w:r>
        <w:rPr>
          <w:rFonts w:hint="eastAsia" w:ascii="仿宋" w:hAnsi="仿宋" w:eastAsia="仿宋"/>
          <w:b/>
          <w:color w:val="000000"/>
          <w:sz w:val="32"/>
          <w:szCs w:val="32"/>
        </w:rPr>
        <w:t>（三）一般公共预算财政拨款支出决算具体情况</w:t>
      </w:r>
      <w:bookmarkEnd w:id="31"/>
    </w:p>
    <w:p>
      <w:pPr>
        <w:spacing w:line="600" w:lineRule="exact"/>
        <w:ind w:firstLine="640" w:firstLineChars="200"/>
        <w:rPr>
          <w:rFonts w:ascii="仿宋" w:hAnsi="仿宋" w:eastAsia="仿宋"/>
          <w:b/>
          <w:color w:val="FF0000"/>
          <w:szCs w:val="32"/>
        </w:rPr>
      </w:pPr>
      <w:r>
        <w:rPr>
          <w:rFonts w:ascii="仿宋" w:hAnsi="仿宋" w:eastAsia="仿宋"/>
          <w:color w:val="000000"/>
          <w:szCs w:val="32"/>
        </w:rPr>
        <w:t>2020</w:t>
      </w:r>
      <w:r>
        <w:rPr>
          <w:rFonts w:hint="eastAsia" w:ascii="仿宋" w:hAnsi="仿宋" w:eastAsia="仿宋"/>
          <w:color w:val="000000"/>
          <w:szCs w:val="32"/>
        </w:rPr>
        <w:t>年一般公共预算支出决算数为1129.11万元，</w:t>
      </w:r>
      <w:r>
        <w:rPr>
          <w:rStyle w:val="12"/>
          <w:rFonts w:hint="eastAsia" w:ascii="仿宋" w:hAnsi="仿宋" w:eastAsia="仿宋"/>
          <w:b w:val="0"/>
          <w:bCs/>
          <w:color w:val="000000"/>
          <w:szCs w:val="32"/>
        </w:rPr>
        <w:t>完成预算99.67</w:t>
      </w:r>
      <w:r>
        <w:rPr>
          <w:rStyle w:val="12"/>
          <w:rFonts w:ascii="仿宋" w:hAnsi="仿宋" w:eastAsia="仿宋"/>
          <w:b w:val="0"/>
          <w:bCs/>
          <w:color w:val="000000"/>
          <w:szCs w:val="32"/>
        </w:rPr>
        <w:t>%</w:t>
      </w:r>
      <w:r>
        <w:rPr>
          <w:rStyle w:val="12"/>
          <w:rFonts w:hint="eastAsia" w:ascii="仿宋" w:hAnsi="仿宋" w:eastAsia="仿宋"/>
          <w:b w:val="0"/>
          <w:bCs/>
          <w:color w:val="000000"/>
          <w:szCs w:val="32"/>
        </w:rPr>
        <w:t>。其中：</w:t>
      </w:r>
    </w:p>
    <w:p>
      <w:pPr>
        <w:spacing w:line="600" w:lineRule="exact"/>
        <w:ind w:firstLine="643" w:firstLineChars="200"/>
        <w:rPr>
          <w:rStyle w:val="12"/>
          <w:rFonts w:ascii="仿宋" w:hAnsi="仿宋" w:eastAsia="仿宋"/>
          <w:b w:val="0"/>
          <w:color w:val="000000"/>
          <w:szCs w:val="32"/>
        </w:rPr>
      </w:pPr>
      <w:r>
        <w:rPr>
          <w:rStyle w:val="12"/>
          <w:rFonts w:ascii="仿宋" w:hAnsi="仿宋" w:eastAsia="仿宋"/>
          <w:bCs/>
          <w:szCs w:val="32"/>
        </w:rPr>
        <w:t>1.</w:t>
      </w:r>
      <w:r>
        <w:rPr>
          <w:rStyle w:val="12"/>
          <w:rFonts w:hint="eastAsia" w:ascii="仿宋" w:hAnsi="仿宋" w:eastAsia="仿宋"/>
          <w:b w:val="0"/>
          <w:szCs w:val="32"/>
        </w:rPr>
        <w:t>教育支出（类）普通教育（款）学前教育（项）</w:t>
      </w:r>
      <w:r>
        <w:rPr>
          <w:rStyle w:val="12"/>
          <w:rFonts w:ascii="仿宋" w:hAnsi="仿宋" w:eastAsia="仿宋"/>
          <w:bCs/>
          <w:szCs w:val="32"/>
        </w:rPr>
        <w:t>:</w:t>
      </w:r>
      <w:r>
        <w:rPr>
          <w:rStyle w:val="12"/>
          <w:rFonts w:hint="eastAsia" w:ascii="仿宋" w:hAnsi="仿宋" w:eastAsia="仿宋"/>
          <w:b w:val="0"/>
          <w:bCs/>
          <w:szCs w:val="32"/>
        </w:rPr>
        <w:t>支出决算为1.1万元，完成预算100</w:t>
      </w:r>
      <w:r>
        <w:rPr>
          <w:rStyle w:val="12"/>
          <w:rFonts w:ascii="仿宋" w:hAnsi="仿宋" w:eastAsia="仿宋"/>
          <w:b w:val="0"/>
          <w:bCs/>
          <w:szCs w:val="32"/>
        </w:rPr>
        <w:t>%</w:t>
      </w:r>
      <w:r>
        <w:rPr>
          <w:rFonts w:hint="eastAsia" w:ascii="仿宋" w:hAnsi="仿宋" w:eastAsia="仿宋"/>
          <w:szCs w:val="32"/>
        </w:rPr>
        <w:t>。</w:t>
      </w:r>
    </w:p>
    <w:p>
      <w:pPr>
        <w:spacing w:line="600" w:lineRule="exact"/>
        <w:ind w:firstLine="643" w:firstLineChars="200"/>
        <w:rPr>
          <w:rFonts w:ascii="仿宋" w:hAnsi="仿宋" w:eastAsia="仿宋"/>
          <w:bCs/>
          <w:color w:val="000000"/>
          <w:szCs w:val="32"/>
        </w:rPr>
      </w:pPr>
      <w:r>
        <w:rPr>
          <w:rStyle w:val="12"/>
          <w:rFonts w:hint="eastAsia" w:ascii="仿宋" w:hAnsi="仿宋" w:eastAsia="仿宋"/>
          <w:szCs w:val="32"/>
        </w:rPr>
        <w:t>2.</w:t>
      </w:r>
      <w:r>
        <w:rPr>
          <w:rStyle w:val="12"/>
          <w:rFonts w:hint="eastAsia" w:ascii="仿宋" w:hAnsi="仿宋" w:eastAsia="仿宋"/>
          <w:b w:val="0"/>
          <w:szCs w:val="32"/>
        </w:rPr>
        <w:t>教育支出（类）普通教育（款）小学教育（项）</w:t>
      </w:r>
      <w:r>
        <w:rPr>
          <w:rStyle w:val="12"/>
          <w:rFonts w:ascii="仿宋" w:hAnsi="仿宋" w:eastAsia="仿宋"/>
          <w:bCs/>
          <w:szCs w:val="32"/>
        </w:rPr>
        <w:t>:</w:t>
      </w:r>
      <w:r>
        <w:rPr>
          <w:rStyle w:val="12"/>
          <w:rFonts w:hint="eastAsia" w:ascii="仿宋" w:hAnsi="仿宋" w:eastAsia="仿宋"/>
          <w:b w:val="0"/>
          <w:bCs/>
          <w:szCs w:val="32"/>
        </w:rPr>
        <w:t>支出决算为1128.01万元，完成预算99.67</w:t>
      </w:r>
      <w:r>
        <w:rPr>
          <w:rStyle w:val="12"/>
          <w:rFonts w:ascii="仿宋" w:hAnsi="仿宋" w:eastAsia="仿宋"/>
          <w:b w:val="0"/>
          <w:bCs/>
          <w:szCs w:val="32"/>
        </w:rPr>
        <w:t>%</w:t>
      </w:r>
      <w:r>
        <w:rPr>
          <w:rFonts w:hint="eastAsia" w:ascii="仿宋" w:hAnsi="仿宋" w:eastAsia="仿宋"/>
          <w:szCs w:val="32"/>
        </w:rPr>
        <w:t>。</w:t>
      </w:r>
      <w:r>
        <w:rPr>
          <w:rStyle w:val="12"/>
          <w:rFonts w:hint="eastAsia" w:ascii="仿宋" w:hAnsi="仿宋" w:eastAsia="仿宋"/>
          <w:b w:val="0"/>
          <w:color w:val="000000"/>
          <w:szCs w:val="32"/>
        </w:rPr>
        <w:t>决算数小于预算数的主要原因是节约了公用经费支出。</w:t>
      </w:r>
    </w:p>
    <w:p>
      <w:pPr>
        <w:spacing w:line="600" w:lineRule="exact"/>
        <w:ind w:firstLine="640"/>
        <w:rPr>
          <w:rFonts w:ascii="仿宋" w:hAnsi="仿宋" w:eastAsia="仿宋"/>
          <w:b/>
          <w:color w:val="000000"/>
          <w:sz w:val="32"/>
          <w:szCs w:val="32"/>
        </w:rPr>
      </w:pPr>
    </w:p>
    <w:p>
      <w:pPr>
        <w:tabs>
          <w:tab w:val="right" w:pos="8306"/>
        </w:tabs>
        <w:spacing w:line="600" w:lineRule="exact"/>
        <w:ind w:firstLine="640"/>
        <w:outlineLvl w:val="1"/>
        <w:rPr>
          <w:rStyle w:val="15"/>
        </w:rPr>
      </w:pPr>
      <w:bookmarkStart w:id="32" w:name="_Toc15396608"/>
      <w:bookmarkStart w:id="33" w:name="_Toc31021"/>
      <w:bookmarkStart w:id="34" w:name="_Toc15377214"/>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15"/>
          <w:rFonts w:hint="eastAsia" w:ascii="黑体" w:hAnsi="黑体" w:eastAsia="黑体"/>
          <w:b w:val="0"/>
        </w:rPr>
        <w:t>般公共预算财政拨款基本支出决算情况说明</w:t>
      </w:r>
      <w:bookmarkEnd w:id="32"/>
      <w:bookmarkEnd w:id="33"/>
      <w:bookmarkEnd w:id="34"/>
      <w:r>
        <w:rPr>
          <w:rStyle w:val="15"/>
          <w:rFonts w:ascii="黑体" w:hAnsi="黑体" w:eastAsia="黑体"/>
          <w:b w:val="0"/>
        </w:rPr>
        <w:tab/>
      </w:r>
    </w:p>
    <w:p>
      <w:pPr>
        <w:spacing w:line="600" w:lineRule="exact"/>
        <w:ind w:firstLine="645"/>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年一般公共预算财政拨款基本支出1016.11万元，其中：</w:t>
      </w:r>
    </w:p>
    <w:p>
      <w:pPr>
        <w:spacing w:line="600" w:lineRule="exact"/>
        <w:ind w:firstLine="645"/>
        <w:rPr>
          <w:rFonts w:ascii="仿宋" w:hAnsi="仿宋" w:eastAsia="仿宋"/>
          <w:color w:val="000000"/>
          <w:szCs w:val="32"/>
        </w:rPr>
      </w:pPr>
      <w:r>
        <w:rPr>
          <w:rFonts w:hint="eastAsia" w:ascii="仿宋" w:hAnsi="仿宋" w:eastAsia="仿宋"/>
          <w:color w:val="000000"/>
          <w:szCs w:val="32"/>
        </w:rPr>
        <w:t>人员经费936.88万元，主要包括：基本工资、津贴补贴、绩效工资、机关事业单位基本养老保险缴费、职业年金缴费、职工基本医疗保险缴费、其他社会保障缴费、住房公积金、其他工资福利支出、退休费、生活补助、助学金、其他对个人和家庭的补助等。</w:t>
      </w:r>
    </w:p>
    <w:p>
      <w:pPr>
        <w:spacing w:line="600" w:lineRule="exact"/>
        <w:ind w:firstLine="645"/>
        <w:rPr>
          <w:rFonts w:ascii="仿宋" w:hAnsi="仿宋" w:eastAsia="仿宋"/>
          <w:b/>
          <w:color w:val="FF0000"/>
          <w:sz w:val="32"/>
          <w:szCs w:val="32"/>
        </w:rPr>
      </w:pPr>
      <w:r>
        <w:rPr>
          <w:rFonts w:hint="eastAsia" w:ascii="仿宋" w:hAnsi="仿宋" w:eastAsia="仿宋"/>
          <w:szCs w:val="32"/>
        </w:rPr>
        <w:t>日常公用经费79.23万元，主要包括：办公费、</w:t>
      </w:r>
      <w:r>
        <w:rPr>
          <w:rFonts w:hint="eastAsia" w:ascii="仿宋" w:hAnsi="仿宋" w:eastAsia="仿宋"/>
          <w:color w:val="000000"/>
          <w:szCs w:val="32"/>
        </w:rPr>
        <w:t>水费、电费、邮电费、物业管理费、差旅费、培训费、劳务费、工会经费、其他商品和服务支出等。</w:t>
      </w:r>
    </w:p>
    <w:p>
      <w:pPr>
        <w:spacing w:line="600" w:lineRule="exact"/>
        <w:ind w:firstLine="640"/>
        <w:rPr>
          <w:rFonts w:ascii="仿宋" w:hAnsi="仿宋" w:eastAsia="仿宋"/>
          <w:b/>
          <w:color w:val="FF0000"/>
          <w:sz w:val="32"/>
          <w:szCs w:val="32"/>
        </w:rPr>
      </w:pPr>
    </w:p>
    <w:p>
      <w:pPr>
        <w:spacing w:line="600" w:lineRule="exact"/>
        <w:ind w:firstLine="640"/>
        <w:outlineLvl w:val="1"/>
        <w:rPr>
          <w:rStyle w:val="15"/>
          <w:rFonts w:ascii="黑体" w:hAnsi="黑体" w:eastAsia="黑体"/>
          <w:b w:val="0"/>
        </w:rPr>
      </w:pPr>
      <w:bookmarkStart w:id="35" w:name="_Toc6926"/>
      <w:bookmarkStart w:id="36" w:name="_Toc15396609"/>
      <w:bookmarkStart w:id="37" w:name="_Toc15377215"/>
      <w:r>
        <w:rPr>
          <w:rFonts w:hint="eastAsia" w:ascii="黑体" w:eastAsia="黑体"/>
          <w:color w:val="000000"/>
          <w:sz w:val="32"/>
          <w:szCs w:val="32"/>
        </w:rPr>
        <w:t>七、</w:t>
      </w:r>
      <w:r>
        <w:rPr>
          <w:rStyle w:val="15"/>
          <w:rFonts w:hint="eastAsia" w:ascii="黑体" w:hAnsi="黑体" w:eastAsia="黑体"/>
        </w:rPr>
        <w:t>“</w:t>
      </w:r>
      <w:r>
        <w:rPr>
          <w:rStyle w:val="15"/>
          <w:rFonts w:hint="eastAsia" w:ascii="黑体" w:hAnsi="黑体" w:eastAsia="黑体"/>
          <w:b w:val="0"/>
        </w:rPr>
        <w:t>三公”经费财政拨款支出决算情况说明</w:t>
      </w:r>
      <w:bookmarkEnd w:id="35"/>
      <w:bookmarkEnd w:id="36"/>
      <w:bookmarkEnd w:id="37"/>
    </w:p>
    <w:p>
      <w:pPr>
        <w:spacing w:line="600" w:lineRule="exact"/>
        <w:ind w:firstLine="640"/>
        <w:outlineLvl w:val="2"/>
        <w:rPr>
          <w:rFonts w:ascii="仿宋" w:hAnsi="仿宋" w:eastAsia="仿宋"/>
          <w:b/>
          <w:color w:val="000000"/>
          <w:szCs w:val="32"/>
        </w:rPr>
      </w:pPr>
      <w:bookmarkStart w:id="38" w:name="_Toc15377216"/>
      <w:r>
        <w:rPr>
          <w:rFonts w:hint="eastAsia" w:ascii="仿宋" w:hAnsi="仿宋" w:eastAsia="仿宋"/>
          <w:b/>
          <w:color w:val="000000"/>
          <w:szCs w:val="32"/>
        </w:rPr>
        <w:t>（一）“三公”经费财政拨款支出决算总体情况说明</w:t>
      </w:r>
      <w:bookmarkEnd w:id="38"/>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年“三公”经费财政拨款支出决算为0万元，完成预算0</w:t>
      </w:r>
      <w:r>
        <w:rPr>
          <w:rFonts w:ascii="仿宋" w:hAnsi="仿宋" w:eastAsia="仿宋"/>
          <w:color w:val="000000"/>
          <w:szCs w:val="32"/>
        </w:rPr>
        <w:t>%</w:t>
      </w:r>
      <w:r>
        <w:rPr>
          <w:rFonts w:hint="eastAsia" w:ascii="仿宋" w:hAnsi="仿宋" w:eastAsia="仿宋"/>
          <w:color w:val="000000"/>
          <w:szCs w:val="32"/>
        </w:rPr>
        <w:t>，决算数</w:t>
      </w:r>
      <w:bookmarkStart w:id="39" w:name="_Toc15377217"/>
      <w:r>
        <w:rPr>
          <w:rFonts w:hint="eastAsia" w:ascii="仿宋" w:hAnsi="仿宋" w:eastAsia="仿宋"/>
          <w:color w:val="000000"/>
          <w:szCs w:val="32"/>
        </w:rPr>
        <w:t>与预算数持平。</w:t>
      </w:r>
    </w:p>
    <w:p>
      <w:pPr>
        <w:spacing w:line="600" w:lineRule="exact"/>
        <w:ind w:firstLine="640"/>
        <w:rPr>
          <w:rFonts w:ascii="仿宋" w:hAnsi="仿宋" w:eastAsia="仿宋"/>
          <w:b/>
          <w:color w:val="000000"/>
          <w:szCs w:val="32"/>
        </w:rPr>
      </w:pPr>
      <w:r>
        <w:rPr>
          <w:rFonts w:hint="eastAsia" w:ascii="仿宋" w:hAnsi="仿宋" w:eastAsia="仿宋"/>
          <w:b/>
          <w:color w:val="000000"/>
          <w:szCs w:val="32"/>
        </w:rPr>
        <w:t>（二）“三公”经费财政拨款支出决算具体情况说明</w:t>
      </w:r>
      <w:bookmarkEnd w:id="39"/>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；公务接待费支出决算0万元，占0</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7</w:t>
      </w:r>
      <w:r>
        <w:rPr>
          <w:rFonts w:hint="eastAsia" w:ascii="仿宋" w:hAnsi="仿宋" w:eastAsia="仿宋"/>
          <w:color w:val="000000"/>
          <w:sz w:val="32"/>
          <w:szCs w:val="32"/>
        </w:rPr>
        <w:t>：“三公”经费财政拨款支出结构）（饼状图）</w:t>
      </w:r>
    </w:p>
    <w:p>
      <w:pPr>
        <w:spacing w:line="600" w:lineRule="exact"/>
        <w:ind w:firstLine="640"/>
        <w:rPr>
          <w:rFonts w:ascii="仿宋_GB2312" w:eastAsia="仿宋_GB2312"/>
          <w:b/>
          <w:color w:val="000000"/>
          <w:sz w:val="32"/>
          <w:szCs w:val="32"/>
        </w:rPr>
      </w:pPr>
      <w:r>
        <w:rPr>
          <w:rFonts w:hint="eastAsia" w:ascii="仿宋" w:hAnsi="仿宋" w:eastAsia="仿宋"/>
          <w:color w:val="000000"/>
          <w:szCs w:val="32"/>
        </w:rPr>
        <w:drawing>
          <wp:anchor distT="0" distB="0" distL="114300" distR="114300" simplePos="0" relativeHeight="251666432" behindDoc="0" locked="0" layoutInCell="1" allowOverlap="1">
            <wp:simplePos x="0" y="0"/>
            <wp:positionH relativeFrom="column">
              <wp:posOffset>514350</wp:posOffset>
            </wp:positionH>
            <wp:positionV relativeFrom="paragraph">
              <wp:posOffset>15240</wp:posOffset>
            </wp:positionV>
            <wp:extent cx="4144010" cy="1304290"/>
            <wp:effectExtent l="4445" t="4445" r="23495" b="5715"/>
            <wp:wrapNone/>
            <wp:docPr id="9" name="图表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rPr>
          <w:rFonts w:ascii="仿宋_GB2312" w:eastAsia="仿宋_GB2312"/>
          <w:b/>
          <w:color w:val="000000"/>
          <w:sz w:val="32"/>
          <w:szCs w:val="32"/>
        </w:rPr>
      </w:pPr>
    </w:p>
    <w:p>
      <w:pPr>
        <w:spacing w:line="600" w:lineRule="exact"/>
        <w:ind w:firstLine="640"/>
        <w:rPr>
          <w:rFonts w:ascii="仿宋_GB2312" w:eastAsia="仿宋_GB2312"/>
          <w:b/>
          <w:color w:val="000000"/>
          <w:sz w:val="32"/>
          <w:szCs w:val="32"/>
        </w:rPr>
      </w:pPr>
    </w:p>
    <w:p>
      <w:pPr>
        <w:spacing w:line="600" w:lineRule="exact"/>
        <w:rPr>
          <w:rFonts w:ascii="仿宋_GB2312" w:eastAsia="仿宋_GB2312"/>
          <w:b/>
          <w:color w:val="000000"/>
          <w:sz w:val="32"/>
          <w:szCs w:val="32"/>
        </w:rPr>
      </w:pPr>
    </w:p>
    <w:p>
      <w:pPr>
        <w:spacing w:line="600" w:lineRule="exact"/>
        <w:ind w:firstLine="640"/>
        <w:rPr>
          <w:rFonts w:ascii="仿宋_GB2312" w:eastAsia="仿宋_GB2312"/>
          <w:b/>
          <w:color w:val="000000"/>
          <w:sz w:val="32"/>
          <w:szCs w:val="32"/>
        </w:rPr>
      </w:pPr>
    </w:p>
    <w:p>
      <w:pPr>
        <w:spacing w:line="600" w:lineRule="exact"/>
        <w:ind w:firstLine="640"/>
        <w:rPr>
          <w:rFonts w:ascii="仿宋_GB2312"/>
          <w:b/>
          <w:color w:val="000000"/>
          <w:szCs w:val="32"/>
        </w:rPr>
      </w:pPr>
      <w:bookmarkStart w:id="40" w:name="_Toc15396610"/>
      <w:bookmarkStart w:id="41" w:name="_Toc15377218"/>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2"/>
          <w:rFonts w:hint="eastAsia" w:ascii="仿宋" w:hAnsi="仿宋" w:eastAsia="仿宋"/>
          <w:b w:val="0"/>
          <w:bCs/>
          <w:color w:val="000000"/>
          <w:szCs w:val="32"/>
        </w:rPr>
        <w:t>完成预算0</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全年安排因公出国（境）团组0次，出国（境）0人。因公出国（境）支出决算与</w:t>
      </w:r>
      <w:r>
        <w:rPr>
          <w:rFonts w:ascii="仿宋_GB2312"/>
          <w:color w:val="000000"/>
          <w:szCs w:val="32"/>
        </w:rPr>
        <w:t>201</w:t>
      </w:r>
      <w:r>
        <w:rPr>
          <w:rFonts w:hint="eastAsia" w:ascii="仿宋_GB2312"/>
          <w:color w:val="000000"/>
          <w:szCs w:val="32"/>
        </w:rPr>
        <w:t>9年持平。</w:t>
      </w:r>
    </w:p>
    <w:p>
      <w:pPr>
        <w:spacing w:line="600" w:lineRule="exact"/>
        <w:ind w:firstLine="640"/>
        <w:rPr>
          <w:rFonts w:ascii="仿宋_GB2312"/>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2"/>
          <w:rFonts w:hint="eastAsia" w:ascii="仿宋" w:hAnsi="仿宋" w:eastAsia="仿宋"/>
          <w:b w:val="0"/>
          <w:bCs/>
          <w:color w:val="000000"/>
          <w:szCs w:val="32"/>
        </w:rPr>
        <w:t>完成预算0</w:t>
      </w:r>
      <w:r>
        <w:rPr>
          <w:rStyle w:val="12"/>
          <w:rFonts w:ascii="仿宋" w:hAnsi="仿宋" w:eastAsia="仿宋"/>
          <w:b w:val="0"/>
          <w:bCs/>
          <w:color w:val="000000"/>
          <w:szCs w:val="32"/>
        </w:rPr>
        <w:t>%</w:t>
      </w:r>
      <w:r>
        <w:rPr>
          <w:rStyle w:val="12"/>
          <w:rFonts w:hint="eastAsia" w:ascii="仿宋" w:hAnsi="仿宋" w:eastAsia="仿宋"/>
          <w:b w:val="0"/>
          <w:bCs/>
          <w:szCs w:val="32"/>
        </w:rPr>
        <w:t>。</w:t>
      </w:r>
      <w:r>
        <w:rPr>
          <w:rFonts w:hint="eastAsia" w:ascii="仿宋_GB2312"/>
          <w:color w:val="000000"/>
          <w:szCs w:val="32"/>
        </w:rPr>
        <w:t>公务用车购置及运行维护费支出决算与2019年</w:t>
      </w:r>
      <w:r>
        <w:rPr>
          <w:rFonts w:hint="eastAsia" w:ascii="仿宋_GB2312"/>
          <w:szCs w:val="32"/>
        </w:rPr>
        <w:t>持平</w:t>
      </w:r>
      <w:r>
        <w:rPr>
          <w:rFonts w:hint="eastAsia" w:ascii="仿宋_GB2312"/>
          <w:color w:val="000000"/>
          <w:szCs w:val="32"/>
        </w:rPr>
        <w:t>。</w:t>
      </w:r>
    </w:p>
    <w:p>
      <w:pPr>
        <w:spacing w:line="600" w:lineRule="exact"/>
        <w:ind w:firstLine="640"/>
        <w:rPr>
          <w:rFonts w:ascii="仿宋_GB2312"/>
          <w:color w:val="000000"/>
          <w:szCs w:val="32"/>
        </w:rPr>
      </w:pPr>
      <w:r>
        <w:rPr>
          <w:rFonts w:hint="eastAsia" w:ascii="仿宋_GB2312"/>
          <w:color w:val="000000"/>
          <w:szCs w:val="32"/>
        </w:rPr>
        <w:t>其中：公务用车购置支出0万元。全年按规定更新购置公务用车0辆，金额0</w:t>
      </w:r>
      <w:r>
        <w:rPr>
          <w:rFonts w:ascii="仿宋_GB2312"/>
          <w:color w:val="000000"/>
          <w:szCs w:val="32"/>
        </w:rPr>
        <w:t>元。</w:t>
      </w:r>
      <w:r>
        <w:rPr>
          <w:rFonts w:hint="eastAsia" w:ascii="仿宋_GB2312"/>
          <w:color w:val="000000"/>
          <w:szCs w:val="32"/>
        </w:rPr>
        <w:t>截至</w:t>
      </w:r>
      <w:r>
        <w:rPr>
          <w:rFonts w:ascii="仿宋_GB2312"/>
          <w:color w:val="000000"/>
          <w:szCs w:val="32"/>
        </w:rPr>
        <w:t>201</w:t>
      </w:r>
      <w:r>
        <w:rPr>
          <w:rFonts w:hint="eastAsia" w:ascii="仿宋_GB2312"/>
          <w:color w:val="000000"/>
          <w:szCs w:val="32"/>
        </w:rPr>
        <w:t>9年</w:t>
      </w:r>
      <w:r>
        <w:rPr>
          <w:rFonts w:ascii="仿宋_GB2312"/>
          <w:color w:val="000000"/>
          <w:szCs w:val="32"/>
        </w:rPr>
        <w:t>12</w:t>
      </w:r>
      <w:r>
        <w:rPr>
          <w:rFonts w:hint="eastAsia" w:ascii="仿宋_GB2312"/>
          <w:color w:val="000000"/>
          <w:szCs w:val="32"/>
        </w:rPr>
        <w:t>月底，单位共有公务用车0辆，其中：主要领导干部用车0辆、机要通信用车0辆、应急保障用车0辆、 执法执勤用车0辆。</w:t>
      </w:r>
    </w:p>
    <w:p>
      <w:pPr>
        <w:spacing w:line="600" w:lineRule="exact"/>
        <w:ind w:firstLine="640"/>
        <w:rPr>
          <w:rFonts w:ascii="仿宋_GB2312"/>
          <w:color w:val="000000"/>
          <w:szCs w:val="32"/>
        </w:rPr>
      </w:pPr>
      <w:r>
        <w:rPr>
          <w:rFonts w:hint="eastAsia" w:ascii="仿宋_GB2312"/>
          <w:color w:val="000000"/>
          <w:szCs w:val="32"/>
        </w:rPr>
        <w:t>公务用车运行维护费支出0元。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0万元，</w:t>
      </w:r>
      <w:r>
        <w:rPr>
          <w:rStyle w:val="12"/>
          <w:rFonts w:hint="eastAsia" w:ascii="仿宋" w:hAnsi="仿宋" w:eastAsia="仿宋"/>
          <w:b w:val="0"/>
          <w:bCs/>
          <w:color w:val="000000"/>
          <w:szCs w:val="32"/>
        </w:rPr>
        <w:t>完成预算0</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公务接待费支出决算与2019年</w:t>
      </w:r>
      <w:r>
        <w:rPr>
          <w:rFonts w:hint="eastAsia" w:ascii="仿宋_GB2312"/>
          <w:szCs w:val="32"/>
        </w:rPr>
        <w:t>持平。</w:t>
      </w:r>
      <w:r>
        <w:rPr>
          <w:rFonts w:hint="eastAsia" w:ascii="仿宋_GB2312"/>
          <w:color w:val="000000"/>
          <w:szCs w:val="32"/>
        </w:rPr>
        <w:t>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_GB2312"/>
          <w:color w:val="000000"/>
          <w:szCs w:val="32"/>
        </w:rPr>
        <w:t>0万元，国内公务接待0批次，0人次（不包括陪同人员），共计支出0万元。</w:t>
      </w:r>
    </w:p>
    <w:p>
      <w:pPr>
        <w:spacing w:line="600" w:lineRule="exact"/>
        <w:ind w:firstLine="643" w:firstLineChars="200"/>
        <w:rPr>
          <w:rFonts w:ascii="仿宋_GB2312"/>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p>
    <w:p>
      <w:pPr>
        <w:spacing w:line="600" w:lineRule="exact"/>
        <w:ind w:firstLine="640"/>
        <w:outlineLvl w:val="1"/>
        <w:rPr>
          <w:rFonts w:ascii="黑体" w:eastAsia="黑体"/>
          <w:color w:val="000000"/>
          <w:sz w:val="32"/>
          <w:szCs w:val="32"/>
        </w:rPr>
      </w:pPr>
    </w:p>
    <w:p>
      <w:pPr>
        <w:spacing w:line="600" w:lineRule="exact"/>
        <w:ind w:firstLine="640"/>
        <w:outlineLvl w:val="1"/>
        <w:rPr>
          <w:rStyle w:val="15"/>
          <w:rFonts w:ascii="黑体" w:hAnsi="黑体" w:eastAsia="黑体"/>
        </w:rPr>
      </w:pPr>
      <w:bookmarkStart w:id="42" w:name="_Toc9843"/>
      <w:r>
        <w:rPr>
          <w:rFonts w:hint="eastAsia" w:ascii="黑体" w:eastAsia="黑体"/>
          <w:color w:val="000000"/>
          <w:sz w:val="32"/>
          <w:szCs w:val="32"/>
        </w:rPr>
        <w:t>八、</w:t>
      </w:r>
      <w:r>
        <w:rPr>
          <w:rStyle w:val="15"/>
          <w:rFonts w:hint="eastAsia" w:ascii="黑体" w:hAnsi="黑体" w:eastAsia="黑体"/>
          <w:b w:val="0"/>
        </w:rPr>
        <w:t>政府性基金预算支出决算情况说明</w:t>
      </w:r>
      <w:bookmarkEnd w:id="40"/>
      <w:bookmarkEnd w:id="41"/>
      <w:bookmarkEnd w:id="42"/>
    </w:p>
    <w:p>
      <w:pPr>
        <w:spacing w:line="600" w:lineRule="exact"/>
        <w:ind w:firstLine="640"/>
        <w:rPr>
          <w:rFonts w:hint="eastAsia" w:ascii="仿宋_GB2312"/>
          <w:color w:val="000000"/>
          <w:szCs w:val="32"/>
        </w:rPr>
      </w:pPr>
      <w:r>
        <w:rPr>
          <w:rFonts w:ascii="仿宋_GB2312"/>
          <w:color w:val="000000"/>
          <w:szCs w:val="32"/>
        </w:rPr>
        <w:t>2020</w:t>
      </w:r>
      <w:r>
        <w:rPr>
          <w:rFonts w:hint="eastAsia" w:ascii="仿宋_GB2312"/>
          <w:color w:val="000000"/>
          <w:szCs w:val="32"/>
        </w:rPr>
        <w:t>年政府性基金预算拨款支出4.83万元。</w:t>
      </w:r>
    </w:p>
    <w:p>
      <w:pPr>
        <w:spacing w:line="600" w:lineRule="exact"/>
        <w:ind w:firstLine="640"/>
        <w:rPr>
          <w:rFonts w:hint="eastAsia" w:ascii="仿宋_GB2312"/>
          <w:color w:val="000000"/>
          <w:szCs w:val="32"/>
        </w:rPr>
      </w:pPr>
    </w:p>
    <w:p>
      <w:pPr>
        <w:spacing w:line="600" w:lineRule="exact"/>
        <w:ind w:firstLine="640"/>
        <w:rPr>
          <w:rFonts w:hint="eastAsia" w:ascii="仿宋_GB2312"/>
          <w:color w:val="000000"/>
          <w:szCs w:val="32"/>
        </w:rPr>
      </w:pPr>
    </w:p>
    <w:p>
      <w:pPr>
        <w:numPr>
          <w:ilvl w:val="0"/>
          <w:numId w:val="3"/>
        </w:numPr>
        <w:spacing w:line="600" w:lineRule="exact"/>
        <w:ind w:firstLine="640"/>
        <w:outlineLvl w:val="1"/>
        <w:rPr>
          <w:rStyle w:val="15"/>
          <w:rFonts w:ascii="黑体" w:hAnsi="黑体" w:eastAsia="黑体"/>
          <w:b w:val="0"/>
        </w:rPr>
      </w:pPr>
      <w:bookmarkStart w:id="43" w:name="_Toc15377219"/>
      <w:bookmarkStart w:id="44" w:name="_Toc15396611"/>
      <w:bookmarkStart w:id="45" w:name="_Toc10775"/>
      <w:r>
        <w:rPr>
          <w:rStyle w:val="15"/>
          <w:rFonts w:hint="eastAsia" w:ascii="黑体" w:hAnsi="黑体" w:eastAsia="黑体"/>
          <w:b w:val="0"/>
        </w:rPr>
        <w:t>国有资本经营预算支出决算情况说明</w:t>
      </w:r>
      <w:bookmarkEnd w:id="43"/>
      <w:bookmarkEnd w:id="44"/>
      <w:bookmarkEnd w:id="45"/>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年国有资本经营预算拨款支出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5"/>
          <w:rFonts w:ascii="黑体" w:hAnsi="黑体" w:eastAsia="黑体"/>
        </w:rPr>
      </w:pPr>
      <w:bookmarkStart w:id="46" w:name="_Toc15396612"/>
      <w:bookmarkStart w:id="47" w:name="_Toc15377221"/>
      <w:bookmarkStart w:id="48" w:name="_Toc738"/>
      <w:r>
        <w:rPr>
          <w:rFonts w:hint="eastAsia" w:ascii="黑体" w:hAnsi="黑体" w:eastAsia="黑体"/>
          <w:color w:val="000000"/>
          <w:sz w:val="32"/>
          <w:szCs w:val="32"/>
        </w:rPr>
        <w:t>十</w:t>
      </w:r>
      <w:r>
        <w:rPr>
          <w:rStyle w:val="15"/>
          <w:rFonts w:hint="eastAsia" w:ascii="黑体" w:hAnsi="黑体" w:eastAsia="黑体"/>
        </w:rPr>
        <w:t>、</w:t>
      </w:r>
      <w:r>
        <w:rPr>
          <w:rStyle w:val="15"/>
          <w:rFonts w:hint="eastAsia" w:ascii="黑体" w:hAnsi="黑体" w:eastAsia="黑体"/>
          <w:b w:val="0"/>
        </w:rPr>
        <w:t>其他重要事项的情况说明</w:t>
      </w:r>
      <w:bookmarkEnd w:id="46"/>
      <w:bookmarkEnd w:id="47"/>
      <w:bookmarkEnd w:id="48"/>
    </w:p>
    <w:p>
      <w:pPr>
        <w:spacing w:line="600" w:lineRule="exact"/>
        <w:ind w:firstLine="643" w:firstLineChars="200"/>
        <w:outlineLvl w:val="2"/>
        <w:rPr>
          <w:rFonts w:ascii="仿宋" w:hAnsi="仿宋" w:eastAsia="仿宋"/>
          <w:color w:val="000000"/>
          <w:sz w:val="32"/>
          <w:szCs w:val="32"/>
        </w:rPr>
      </w:pPr>
      <w:bookmarkStart w:id="49" w:name="_Toc15377222"/>
      <w:r>
        <w:rPr>
          <w:rFonts w:hint="eastAsia" w:ascii="仿宋" w:hAnsi="仿宋" w:eastAsia="仿宋"/>
          <w:b/>
          <w:color w:val="000000"/>
          <w:sz w:val="32"/>
          <w:szCs w:val="32"/>
        </w:rPr>
        <w:t>（一）机关运行经费支出情况</w:t>
      </w:r>
      <w:bookmarkEnd w:id="49"/>
    </w:p>
    <w:p>
      <w:pPr>
        <w:spacing w:line="600" w:lineRule="exact"/>
        <w:ind w:firstLine="640" w:firstLineChars="200"/>
        <w:rPr>
          <w:rFonts w:ascii="仿宋" w:hAnsi="仿宋" w:eastAsia="仿宋"/>
          <w:b/>
          <w:color w:val="FF0000"/>
          <w:sz w:val="32"/>
          <w:szCs w:val="32"/>
        </w:rPr>
      </w:pPr>
      <w:r>
        <w:rPr>
          <w:rFonts w:hint="eastAsia" w:ascii="仿宋_GB2312"/>
          <w:color w:val="000000"/>
          <w:sz w:val="32"/>
          <w:szCs w:val="32"/>
          <w:lang w:val="en-US" w:eastAsia="zh-CN"/>
        </w:rPr>
        <w:t>自贡市自流井区仲权镇中心小学校2020年无机关运行经费。</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0" w:name="_Toc15377223"/>
      <w:r>
        <w:rPr>
          <w:rFonts w:hint="eastAsia" w:ascii="仿宋" w:hAnsi="仿宋" w:eastAsia="仿宋"/>
          <w:b/>
          <w:color w:val="000000"/>
          <w:sz w:val="32"/>
          <w:szCs w:val="32"/>
        </w:rPr>
        <w:t>（二）政府采购支出情况</w:t>
      </w:r>
      <w:bookmarkEnd w:id="50"/>
    </w:p>
    <w:p>
      <w:pPr>
        <w:spacing w:line="600" w:lineRule="exact"/>
        <w:ind w:firstLine="640" w:firstLineChars="200"/>
        <w:rPr>
          <w:rFonts w:ascii="仿宋" w:hAnsi="仿宋" w:eastAsia="仿宋"/>
          <w:b/>
          <w:color w:val="FF0000"/>
          <w:sz w:val="32"/>
          <w:szCs w:val="32"/>
        </w:rPr>
      </w:pPr>
      <w:r>
        <w:rPr>
          <w:rFonts w:ascii="仿宋_GB2312"/>
          <w:color w:val="000000"/>
          <w:szCs w:val="32"/>
        </w:rPr>
        <w:t>2020</w:t>
      </w:r>
      <w:r>
        <w:rPr>
          <w:rFonts w:hint="eastAsia" w:ascii="仿宋_GB2312"/>
          <w:color w:val="000000"/>
          <w:szCs w:val="32"/>
        </w:rPr>
        <w:t>年，我校政府采购支出总额0.45万元，其中：政府采购货物支出0.45万元、政府采购工程支出0万元、政府采购服务支出0万元。授予中小企业合同金额0万元，占政府采购支出总额的0</w:t>
      </w:r>
      <w:r>
        <w:rPr>
          <w:rFonts w:ascii="仿宋_GB2312"/>
          <w:color w:val="000000"/>
          <w:szCs w:val="32"/>
        </w:rPr>
        <w:t>%</w:t>
      </w:r>
      <w:r>
        <w:rPr>
          <w:rFonts w:hint="eastAsia" w:ascii="仿宋_GB2312"/>
          <w:color w:val="000000"/>
          <w:szCs w:val="32"/>
        </w:rPr>
        <w:t>，其中：授予小微企业合同金额0万元，占政府采购支出总额的0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1" w:name="_Toc15377224"/>
      <w:r>
        <w:rPr>
          <w:rFonts w:hint="eastAsia" w:ascii="仿宋" w:hAnsi="仿宋" w:eastAsia="仿宋"/>
          <w:b/>
          <w:color w:val="000000"/>
          <w:sz w:val="32"/>
          <w:szCs w:val="32"/>
        </w:rPr>
        <w:t>（三）国有资产占有使用情况</w:t>
      </w:r>
      <w:bookmarkEnd w:id="51"/>
    </w:p>
    <w:p>
      <w:pPr>
        <w:autoSpaceDE w:val="0"/>
        <w:autoSpaceDN w:val="0"/>
        <w:adjustRightInd w:val="0"/>
        <w:spacing w:line="600" w:lineRule="exact"/>
        <w:ind w:firstLine="640" w:firstLineChars="200"/>
        <w:jc w:val="left"/>
        <w:outlineLvl w:val="2"/>
        <w:rPr>
          <w:rFonts w:hint="eastAsia" w:ascii="仿宋_GB2312"/>
          <w:color w:val="00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日，我部门共有车辆0辆，其中：主要领导干部用车0辆、机要通信用车0辆、应急保障用车0辆、其他用车0辆。单价</w:t>
      </w:r>
      <w:r>
        <w:rPr>
          <w:rFonts w:ascii="仿宋_GB2312"/>
          <w:color w:val="000000"/>
          <w:szCs w:val="32"/>
        </w:rPr>
        <w:t>50</w:t>
      </w:r>
      <w:r>
        <w:rPr>
          <w:rFonts w:hint="eastAsia" w:ascii="仿宋_GB2312"/>
          <w:color w:val="000000"/>
          <w:szCs w:val="32"/>
        </w:rPr>
        <w:t>万元以上通用设备0台（套），单价</w:t>
      </w:r>
      <w:r>
        <w:rPr>
          <w:rFonts w:ascii="仿宋_GB2312"/>
          <w:color w:val="000000"/>
          <w:szCs w:val="32"/>
        </w:rPr>
        <w:t>100</w:t>
      </w:r>
      <w:r>
        <w:rPr>
          <w:rFonts w:hint="eastAsia" w:ascii="仿宋_GB2312"/>
          <w:color w:val="000000"/>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autoSpaceDE w:val="0"/>
        <w:autoSpaceDN w:val="0"/>
        <w:adjustRightInd w:val="0"/>
        <w:spacing w:line="580" w:lineRule="atLeast"/>
        <w:ind w:firstLine="640"/>
        <w:rPr>
          <w:rFonts w:ascii="??_GB2312" w:hAnsi="??_GB2312" w:cs="??_GB2312"/>
          <w:kern w:val="0"/>
          <w:szCs w:val="32"/>
        </w:rPr>
      </w:pPr>
      <w:r>
        <w:rPr>
          <w:rFonts w:hint="eastAsia" w:ascii="仿宋_GB2312" w:hAnsi="仿宋_GB2312" w:cs="仿宋_GB2312"/>
          <w:szCs w:val="32"/>
        </w:rPr>
        <w:t>根据预算绩效管理要求，本部门（单位）在年初预算编制阶段，</w:t>
      </w:r>
      <w:r>
        <w:rPr>
          <w:rFonts w:hint="eastAsia" w:ascii="宋体" w:hAnsi="??_GB2312" w:cs="宋体"/>
          <w:kern w:val="0"/>
          <w:szCs w:val="32"/>
          <w:lang w:val="zh-CN"/>
        </w:rPr>
        <w:t>对</w:t>
      </w:r>
      <w:r>
        <w:rPr>
          <w:rFonts w:hint="eastAsia" w:ascii="??_GB2312" w:hAnsi="??_GB2312" w:cs="??_GB2312"/>
          <w:kern w:val="0"/>
          <w:szCs w:val="32"/>
        </w:rPr>
        <w:t>1</w:t>
      </w:r>
      <w:r>
        <w:rPr>
          <w:rFonts w:hint="eastAsia" w:ascii="宋体" w:hAnsi="??_GB2312" w:cs="宋体"/>
          <w:kern w:val="0"/>
          <w:szCs w:val="32"/>
          <w:lang w:val="zh-CN"/>
        </w:rPr>
        <w:t>个项目编制了绩效目标，预算执行过程中，选取</w:t>
      </w:r>
      <w:r>
        <w:rPr>
          <w:rFonts w:hint="eastAsia" w:ascii="??_GB2312" w:hAnsi="??_GB2312" w:cs="??_GB2312"/>
          <w:kern w:val="0"/>
          <w:szCs w:val="32"/>
        </w:rPr>
        <w:t>1</w:t>
      </w:r>
      <w:r>
        <w:rPr>
          <w:rFonts w:hint="eastAsia" w:ascii="宋体" w:hAnsi="??_GB2312" w:cs="宋体"/>
          <w:kern w:val="0"/>
          <w:szCs w:val="32"/>
          <w:lang w:val="zh-CN"/>
        </w:rPr>
        <w:t>个项目开展绩效监控，年终执行完毕后，对</w:t>
      </w:r>
      <w:r>
        <w:rPr>
          <w:rFonts w:hint="eastAsia" w:ascii="??_GB2312" w:hAnsi="??_GB2312" w:cs="??_GB2312"/>
          <w:kern w:val="0"/>
          <w:szCs w:val="32"/>
        </w:rPr>
        <w:t>1</w:t>
      </w:r>
      <w:r>
        <w:rPr>
          <w:rFonts w:hint="eastAsia" w:ascii="宋体" w:hAnsi="??_GB2312" w:cs="宋体"/>
          <w:kern w:val="0"/>
          <w:szCs w:val="32"/>
          <w:lang w:val="zh-CN"/>
        </w:rPr>
        <w:t>个项目开展了绩效目标完成情况自评。</w:t>
      </w:r>
    </w:p>
    <w:p>
      <w:pPr>
        <w:autoSpaceDE w:val="0"/>
        <w:autoSpaceDN w:val="0"/>
        <w:adjustRightInd w:val="0"/>
        <w:spacing w:line="580" w:lineRule="atLeast"/>
        <w:ind w:firstLine="640"/>
        <w:rPr>
          <w:rFonts w:ascii="宋体" w:hAnsi="??_GB2312" w:cs="宋体"/>
          <w:kern w:val="0"/>
          <w:szCs w:val="32"/>
          <w:lang w:val="zh-CN"/>
        </w:rPr>
      </w:pPr>
      <w:r>
        <w:rPr>
          <w:rFonts w:hint="eastAsia" w:ascii="宋体" w:hAnsi="??_GB2312" w:cs="宋体"/>
          <w:kern w:val="0"/>
          <w:szCs w:val="32"/>
          <w:lang w:val="zh-CN"/>
        </w:rPr>
        <w:t>本部门按要求对</w:t>
      </w:r>
      <w:r>
        <w:rPr>
          <w:rFonts w:ascii="??_GB2312" w:hAnsi="??_GB2312" w:cs="??_GB2312"/>
          <w:kern w:val="0"/>
          <w:szCs w:val="32"/>
        </w:rPr>
        <w:t>2020</w:t>
      </w:r>
      <w:r>
        <w:rPr>
          <w:rFonts w:hint="eastAsia" w:ascii="宋体" w:hAnsi="??_GB2312" w:cs="宋体"/>
          <w:kern w:val="0"/>
          <w:szCs w:val="32"/>
          <w:lang w:val="zh-CN"/>
        </w:rPr>
        <w:t>年部门整体支出开展绩效自评，从评价情况来看全面完成了当年目标任务。总体来看给项目为我校学生的成长提供了更好的环境。本部门还自行组织了</w:t>
      </w:r>
      <w:r>
        <w:rPr>
          <w:rFonts w:hint="eastAsia" w:ascii="??_GB2312" w:hAnsi="??_GB2312" w:cs="??_GB2312"/>
          <w:kern w:val="0"/>
          <w:szCs w:val="32"/>
        </w:rPr>
        <w:t>1</w:t>
      </w:r>
      <w:r>
        <w:rPr>
          <w:rFonts w:hint="eastAsia" w:ascii="宋体" w:hAnsi="??_GB2312" w:cs="宋体"/>
          <w:kern w:val="0"/>
          <w:szCs w:val="32"/>
          <w:lang w:val="zh-CN"/>
        </w:rPr>
        <w:t>个项目支出绩效评价，从评价情况来看，截止12月，相应经费已全部投入到该项目中，学生受益率100%</w:t>
      </w:r>
    </w:p>
    <w:p>
      <w:pPr>
        <w:autoSpaceDE w:val="0"/>
        <w:autoSpaceDN w:val="0"/>
        <w:adjustRightInd w:val="0"/>
        <w:spacing w:line="580" w:lineRule="atLeast"/>
        <w:ind w:firstLine="640"/>
        <w:rPr>
          <w:rFonts w:hint="eastAsia" w:ascii="宋体" w:hAnsi="??_GB2312" w:eastAsia="仿宋_GB2312" w:cs="宋体"/>
          <w:kern w:val="0"/>
          <w:szCs w:val="32"/>
          <w:lang w:val="zh-CN" w:eastAsia="zh-CN"/>
        </w:rPr>
      </w:pPr>
      <w:r>
        <w:rPr>
          <w:rFonts w:ascii="??_GB2312" w:hAnsi="??_GB2312" w:cs="??_GB2312"/>
          <w:kern w:val="0"/>
          <w:szCs w:val="32"/>
        </w:rPr>
        <w:t>1.</w:t>
      </w:r>
      <w:r>
        <w:rPr>
          <w:rFonts w:hint="eastAsia" w:ascii="宋体" w:hAnsi="??_GB2312" w:cs="宋体"/>
          <w:kern w:val="0"/>
          <w:szCs w:val="32"/>
          <w:lang w:val="zh-CN"/>
        </w:rPr>
        <w:t>项目绩效目标完成情况。</w:t>
      </w:r>
    </w:p>
    <w:p>
      <w:pPr>
        <w:autoSpaceDE w:val="0"/>
        <w:autoSpaceDN w:val="0"/>
        <w:adjustRightInd w:val="0"/>
        <w:spacing w:line="580" w:lineRule="atLeast"/>
        <w:ind w:firstLine="640"/>
        <w:rPr>
          <w:rFonts w:ascii="宋体" w:hAnsi="??_GB2312" w:cs="宋体"/>
          <w:kern w:val="0"/>
          <w:szCs w:val="32"/>
          <w:lang w:val="zh-CN"/>
        </w:rPr>
      </w:pPr>
      <w:r>
        <w:rPr>
          <w:rFonts w:ascii="??_GB2312" w:hAnsi="??_GB2312" w:cs="??_GB2312"/>
          <w:kern w:val="0"/>
          <w:szCs w:val="32"/>
        </w:rPr>
        <w:t xml:space="preserve">    </w:t>
      </w:r>
      <w:r>
        <w:rPr>
          <w:rFonts w:hint="eastAsia" w:ascii="宋体" w:hAnsi="??_GB2312" w:cs="宋体"/>
          <w:kern w:val="0"/>
          <w:szCs w:val="32"/>
          <w:lang w:val="zh-CN"/>
        </w:rPr>
        <w:t>本部门在</w:t>
      </w:r>
      <w:r>
        <w:rPr>
          <w:rFonts w:ascii="??_GB2312" w:hAnsi="??_GB2312" w:cs="??_GB2312"/>
          <w:kern w:val="0"/>
          <w:szCs w:val="32"/>
        </w:rPr>
        <w:t>2020</w:t>
      </w:r>
      <w:r>
        <w:rPr>
          <w:rFonts w:hint="eastAsia" w:ascii="宋体" w:hAnsi="??_GB2312" w:cs="宋体"/>
          <w:kern w:val="0"/>
          <w:szCs w:val="32"/>
          <w:lang w:val="zh-CN"/>
        </w:rPr>
        <w:t>年度部门决算中反映少年宫等</w:t>
      </w:r>
      <w:r>
        <w:rPr>
          <w:rFonts w:hint="eastAsia" w:ascii="??_GB2312" w:hAnsi="??_GB2312" w:cs="??_GB2312"/>
          <w:kern w:val="0"/>
          <w:szCs w:val="32"/>
        </w:rPr>
        <w:t>1</w:t>
      </w:r>
      <w:r>
        <w:rPr>
          <w:rFonts w:hint="eastAsia" w:ascii="宋体" w:hAnsi="??_GB2312" w:cs="宋体"/>
          <w:kern w:val="0"/>
          <w:szCs w:val="32"/>
          <w:lang w:val="zh-CN"/>
        </w:rPr>
        <w:t>个项目绩效目标实际完成情况。</w:t>
      </w:r>
    </w:p>
    <w:p>
      <w:pPr>
        <w:autoSpaceDE w:val="0"/>
        <w:autoSpaceDN w:val="0"/>
        <w:adjustRightInd w:val="0"/>
        <w:spacing w:line="580" w:lineRule="atLeast"/>
        <w:ind w:firstLine="640"/>
        <w:rPr>
          <w:rFonts w:ascii="??_GB2312" w:hAnsi="??_GB2312" w:cs="??_GB2312"/>
          <w:kern w:val="0"/>
          <w:szCs w:val="32"/>
        </w:rPr>
      </w:pPr>
      <w:r>
        <w:rPr>
          <w:rFonts w:hint="eastAsia" w:ascii="宋体" w:hAnsi="??_GB2312" w:cs="宋体"/>
          <w:kern w:val="0"/>
          <w:szCs w:val="32"/>
          <w:lang w:val="zh-CN"/>
        </w:rPr>
        <w:t>（</w:t>
      </w:r>
      <w:r>
        <w:rPr>
          <w:rFonts w:ascii="??_GB2312" w:hAnsi="??_GB2312" w:cs="??_GB2312"/>
          <w:kern w:val="0"/>
          <w:szCs w:val="32"/>
        </w:rPr>
        <w:t>1</w:t>
      </w:r>
      <w:r>
        <w:rPr>
          <w:rFonts w:hint="eastAsia" w:ascii="宋体" w:hAnsi="??_GB2312" w:cs="宋体"/>
          <w:kern w:val="0"/>
          <w:szCs w:val="32"/>
          <w:lang w:val="zh-CN"/>
        </w:rPr>
        <w:t>）</w:t>
      </w:r>
      <w:r>
        <w:rPr>
          <w:rFonts w:hint="eastAsia" w:ascii="??_GB2312" w:hAnsi="??_GB2312" w:cs="??_GB2312"/>
          <w:kern w:val="0"/>
          <w:szCs w:val="32"/>
        </w:rPr>
        <w:t>乡村学校</w:t>
      </w:r>
      <w:r>
        <w:rPr>
          <w:rFonts w:ascii="??_GB2312" w:hAnsi="??_GB2312" w:cs="??_GB2312"/>
          <w:kern w:val="0"/>
          <w:szCs w:val="32"/>
        </w:rPr>
        <w:t>少年宫专项经费</w:t>
      </w:r>
      <w:r>
        <w:rPr>
          <w:rFonts w:hint="eastAsia" w:ascii="宋体" w:hAnsi="??_GB2312" w:cs="宋体"/>
          <w:kern w:val="0"/>
          <w:szCs w:val="32"/>
          <w:lang w:val="zh-CN"/>
        </w:rPr>
        <w:t>项目绩效目标完成情况综述。项目全年预算数</w:t>
      </w:r>
      <w:r>
        <w:rPr>
          <w:rFonts w:hint="eastAsia" w:ascii="??_GB2312" w:hAnsi="??_GB2312" w:cs="??_GB2312"/>
          <w:kern w:val="0"/>
          <w:szCs w:val="32"/>
        </w:rPr>
        <w:t>2</w:t>
      </w:r>
      <w:r>
        <w:rPr>
          <w:rFonts w:hint="eastAsia" w:ascii="宋体" w:hAnsi="??_GB2312" w:cs="宋体"/>
          <w:kern w:val="0"/>
          <w:szCs w:val="32"/>
          <w:lang w:val="zh-CN"/>
        </w:rPr>
        <w:t>万元，执行数为</w:t>
      </w:r>
      <w:r>
        <w:rPr>
          <w:rFonts w:hint="eastAsia" w:ascii="??_GB2312" w:hAnsi="??_GB2312" w:cs="??_GB2312"/>
          <w:kern w:val="0"/>
          <w:szCs w:val="32"/>
        </w:rPr>
        <w:t>2</w:t>
      </w:r>
      <w:r>
        <w:rPr>
          <w:rFonts w:hint="eastAsia" w:ascii="宋体" w:hAnsi="??_GB2312" w:cs="宋体"/>
          <w:kern w:val="0"/>
          <w:szCs w:val="32"/>
          <w:lang w:val="zh-CN"/>
        </w:rPr>
        <w:t>万元，完成预算的</w:t>
      </w:r>
      <w:r>
        <w:rPr>
          <w:rFonts w:hint="eastAsia" w:ascii="??_GB2312" w:hAnsi="??_GB2312" w:cs="??_GB2312"/>
          <w:kern w:val="0"/>
          <w:szCs w:val="32"/>
        </w:rPr>
        <w:t>100</w:t>
      </w:r>
      <w:r>
        <w:rPr>
          <w:rFonts w:ascii="??_GB2312" w:hAnsi="??_GB2312" w:cs="??_GB2312"/>
          <w:kern w:val="0"/>
          <w:szCs w:val="32"/>
        </w:rPr>
        <w:t>%</w:t>
      </w:r>
      <w:r>
        <w:rPr>
          <w:rFonts w:hint="eastAsia" w:ascii="宋体" w:hAnsi="??_GB2312" w:cs="宋体"/>
          <w:kern w:val="0"/>
          <w:szCs w:val="32"/>
          <w:lang w:val="zh-CN"/>
        </w:rPr>
        <w:t>。通过项目实施，为乡村青少年提供了更好的成长环境。</w:t>
      </w:r>
    </w:p>
    <w:p>
      <w:pPr>
        <w:spacing w:line="580" w:lineRule="exact"/>
        <w:rPr>
          <w:rFonts w:hint="eastAsia" w:ascii="仿宋_GB2312" w:hAnsi="仿宋_GB2312" w:eastAsia="仿宋_GB2312" w:cs="仿宋_GB2312"/>
          <w:sz w:val="32"/>
          <w:szCs w:val="32"/>
          <w:lang w:eastAsia="zh-CN"/>
        </w:rPr>
      </w:pPr>
    </w:p>
    <w:p>
      <w:pPr>
        <w:spacing w:line="580" w:lineRule="exact"/>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tbl>
      <w:tblPr>
        <w:tblStyle w:val="10"/>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noWrap w:val="0"/>
            <w:tcMar>
              <w:top w:w="15" w:type="dxa"/>
              <w:left w:w="15" w:type="dxa"/>
              <w:right w:w="15" w:type="dxa"/>
            </w:tcMar>
            <w:vAlign w:val="center"/>
          </w:tcPr>
          <w:p>
            <w:pPr>
              <w:widowControl/>
              <w:jc w:val="center"/>
              <w:textAlignment w:val="center"/>
              <w:rPr>
                <w:rFonts w:hint="eastAsia" w:ascii="宋体" w:hAnsi="宋体" w:eastAsia="仿宋_GB2312" w:cs="宋体"/>
                <w:b/>
                <w:bCs/>
                <w:kern w:val="0"/>
                <w:sz w:val="36"/>
                <w:szCs w:val="36"/>
                <w:lang w:eastAsia="zh-CN"/>
              </w:rPr>
            </w:pPr>
            <w:r>
              <w:rPr>
                <w:rFonts w:hint="eastAsia" w:ascii="宋体" w:hAnsi="宋体" w:cs="宋体"/>
                <w:b/>
                <w:bCs/>
                <w:kern w:val="0"/>
                <w:sz w:val="36"/>
                <w:szCs w:val="36"/>
              </w:rPr>
              <w:t>项目绩效目标完成情况表</w:t>
            </w:r>
          </w:p>
          <w:p>
            <w:pPr>
              <w:widowControl/>
              <w:jc w:val="center"/>
              <w:textAlignment w:val="center"/>
              <w:rPr>
                <w:rFonts w:ascii="宋体" w:cs="宋体"/>
                <w:sz w:val="36"/>
                <w:szCs w:val="36"/>
              </w:rPr>
            </w:pPr>
            <w:r>
              <w:rPr>
                <w:rFonts w:ascii="宋体" w:hAnsi="宋体" w:cs="宋体"/>
                <w:kern w:val="0"/>
                <w:sz w:val="36"/>
                <w:szCs w:val="36"/>
              </w:rPr>
              <w:t>(2020</w:t>
            </w:r>
            <w:r>
              <w:rPr>
                <w:rFonts w:hint="eastAsia" w:ascii="宋体" w:hAnsi="宋体" w:cs="宋体"/>
                <w:kern w:val="0"/>
                <w:sz w:val="36"/>
                <w:szCs w:val="36"/>
              </w:rPr>
              <w:t>年度</w:t>
            </w:r>
            <w:r>
              <w:rPr>
                <w:rFonts w:ascii="宋体" w:hAnsi="宋体" w:cs="宋体"/>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utoSpaceDE w:val="0"/>
              <w:autoSpaceDN w:val="0"/>
              <w:adjustRightInd w:val="0"/>
              <w:jc w:val="center"/>
              <w:rPr>
                <w:rFonts w:ascii="宋体" w:hAnsi="??_GB2312" w:cs="宋体"/>
                <w:kern w:val="0"/>
                <w:sz w:val="22"/>
                <w:lang w:val="zh-CN"/>
              </w:rPr>
            </w:pPr>
            <w:r>
              <w:rPr>
                <w:rFonts w:hint="eastAsia" w:ascii="??_GB2312" w:hAnsi="??_GB2312" w:cs="??_GB2312"/>
                <w:kern w:val="0"/>
                <w:szCs w:val="32"/>
              </w:rPr>
              <w:t>乡村学校</w:t>
            </w:r>
            <w:r>
              <w:rPr>
                <w:rFonts w:ascii="??_GB2312" w:hAnsi="??_GB2312" w:cs="??_GB2312"/>
                <w:kern w:val="0"/>
                <w:szCs w:val="32"/>
              </w:rPr>
              <w:t>少年宫专项经费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utoSpaceDE w:val="0"/>
              <w:autoSpaceDN w:val="0"/>
              <w:adjustRightInd w:val="0"/>
              <w:jc w:val="center"/>
              <w:rPr>
                <w:rFonts w:ascii="宋体" w:hAnsi="??_GB2312" w:cs="宋体"/>
                <w:kern w:val="0"/>
                <w:sz w:val="22"/>
                <w:lang w:val="zh-CN"/>
              </w:rPr>
            </w:pPr>
            <w:r>
              <w:rPr>
                <w:rFonts w:ascii="宋体" w:hAnsi="??_GB2312" w:cs="宋体"/>
                <w:kern w:val="0"/>
                <w:sz w:val="22"/>
                <w:lang w:val="zh-CN"/>
              </w:rPr>
              <w:t>自贡市自流井区仲权镇中心小学校</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utoSpaceDE w:val="0"/>
              <w:autoSpaceDN w:val="0"/>
              <w:adjustRightInd w:val="0"/>
              <w:jc w:val="center"/>
              <w:rPr>
                <w:rFonts w:ascii="宋体" w:hAnsi="??_GB2312" w:cs="宋体"/>
                <w:kern w:val="0"/>
                <w:sz w:val="22"/>
                <w:lang w:val="zh-CN"/>
              </w:rPr>
            </w:pPr>
            <w:r>
              <w:rPr>
                <w:rFonts w:hint="eastAsia" w:ascii="宋体" w:hAnsi="??_GB2312" w:cs="宋体"/>
                <w:kern w:val="0"/>
                <w:sz w:val="22"/>
                <w:lang w:val="zh-CN"/>
              </w:rPr>
              <w:t>2</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utoSpaceDE w:val="0"/>
              <w:autoSpaceDN w:val="0"/>
              <w:adjustRightInd w:val="0"/>
              <w:jc w:val="center"/>
              <w:rPr>
                <w:rFonts w:ascii="宋体" w:hAnsi="??_GB2312" w:cs="宋体"/>
                <w:kern w:val="0"/>
                <w:sz w:val="22"/>
                <w:lang w:val="zh-CN"/>
              </w:rPr>
            </w:pPr>
            <w:r>
              <w:rPr>
                <w:rFonts w:hint="eastAsia" w:ascii="宋体" w:hAnsi="??_GB2312" w:cs="宋体"/>
                <w:kern w:val="0"/>
                <w:sz w:val="22"/>
                <w:lang w:val="zh-CN"/>
              </w:rPr>
              <w:t>2</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utoSpaceDE w:val="0"/>
              <w:autoSpaceDN w:val="0"/>
              <w:adjustRightInd w:val="0"/>
              <w:jc w:val="center"/>
              <w:rPr>
                <w:rFonts w:ascii="宋体" w:hAnsi="??_GB2312" w:cs="宋体"/>
                <w:kern w:val="0"/>
                <w:sz w:val="22"/>
                <w:lang w:val="zh-CN"/>
              </w:rPr>
            </w:pPr>
            <w:r>
              <w:rPr>
                <w:rFonts w:hint="eastAsia" w:ascii="宋体" w:hAnsi="??_GB2312" w:cs="宋体"/>
                <w:kern w:val="0"/>
                <w:sz w:val="22"/>
                <w:lang w:val="zh-CN"/>
              </w:rPr>
              <w:t>2</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utoSpaceDE w:val="0"/>
              <w:autoSpaceDN w:val="0"/>
              <w:adjustRightInd w:val="0"/>
              <w:jc w:val="center"/>
              <w:rPr>
                <w:rFonts w:ascii="宋体" w:hAnsi="??_GB2312" w:cs="宋体"/>
                <w:kern w:val="0"/>
                <w:sz w:val="22"/>
                <w:lang w:val="zh-CN"/>
              </w:rPr>
            </w:pPr>
            <w:r>
              <w:rPr>
                <w:rFonts w:hint="eastAsia" w:ascii="宋体" w:hAnsi="??_GB2312" w:cs="宋体"/>
                <w:kern w:val="0"/>
                <w:sz w:val="22"/>
                <w:lang w:val="zh-CN"/>
              </w:rPr>
              <w:t>2</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utoSpaceDE w:val="0"/>
              <w:autoSpaceDN w:val="0"/>
              <w:adjustRightInd w:val="0"/>
              <w:jc w:val="center"/>
              <w:rPr>
                <w:rFonts w:ascii="宋体" w:hAnsi="??_GB2312" w:cs="宋体"/>
                <w:kern w:val="0"/>
                <w:sz w:val="22"/>
                <w:lang w:val="zh-CN"/>
              </w:rPr>
            </w:pPr>
            <w:r>
              <w:rPr>
                <w:rFonts w:hint="eastAsia" w:ascii="宋体" w:hAnsi="??_GB2312" w:cs="宋体"/>
                <w:kern w:val="0"/>
                <w:sz w:val="22"/>
                <w:lang w:val="zh-CN"/>
              </w:rPr>
              <w:t>2</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utoSpaceDE w:val="0"/>
              <w:autoSpaceDN w:val="0"/>
              <w:adjustRightInd w:val="0"/>
              <w:jc w:val="center"/>
              <w:rPr>
                <w:rFonts w:ascii="宋体" w:hAnsi="??_GB2312" w:cs="宋体"/>
                <w:kern w:val="0"/>
                <w:sz w:val="22"/>
                <w:lang w:val="zh-CN"/>
              </w:rPr>
            </w:pPr>
            <w:r>
              <w:rPr>
                <w:rFonts w:hint="eastAsia" w:ascii="宋体" w:hAnsi="??_GB2312" w:cs="宋体"/>
                <w:kern w:val="0"/>
                <w:sz w:val="22"/>
                <w:lang w:val="zh-CN"/>
              </w:rPr>
              <w:t>2</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utoSpaceDE w:val="0"/>
              <w:autoSpaceDN w:val="0"/>
              <w:adjustRightInd w:val="0"/>
              <w:jc w:val="left"/>
              <w:rPr>
                <w:rFonts w:ascii="宋体" w:hAnsi="??_GB2312" w:cs="宋体"/>
                <w:kern w:val="0"/>
                <w:sz w:val="22"/>
                <w:lang w:val="zh-CN"/>
              </w:rPr>
            </w:pPr>
            <w:r>
              <w:rPr>
                <w:rFonts w:hint="eastAsia" w:ascii="宋体" w:hAnsi="??_GB2312" w:cs="宋体"/>
                <w:kern w:val="0"/>
                <w:sz w:val="22"/>
                <w:lang w:val="zh-CN"/>
              </w:rPr>
              <w:t>1.加强乡村学校少年宫运转，为乡村青少年提供更好的成长环境；</w:t>
            </w:r>
          </w:p>
          <w:p>
            <w:pPr>
              <w:autoSpaceDE w:val="0"/>
              <w:autoSpaceDN w:val="0"/>
              <w:adjustRightInd w:val="0"/>
              <w:jc w:val="left"/>
              <w:rPr>
                <w:rFonts w:ascii="宋体" w:hAnsi="??_GB2312" w:cs="宋体"/>
                <w:kern w:val="0"/>
                <w:sz w:val="22"/>
                <w:lang w:val="zh-CN"/>
              </w:rPr>
            </w:pPr>
            <w:r>
              <w:rPr>
                <w:rFonts w:hint="eastAsia" w:ascii="宋体" w:hAnsi="??_GB2312" w:cs="宋体"/>
                <w:kern w:val="0"/>
                <w:sz w:val="22"/>
                <w:lang w:val="zh-CN"/>
              </w:rPr>
              <w:t>2.提升乡村青少年科学文化素质和身体健康素质；</w:t>
            </w:r>
          </w:p>
          <w:p>
            <w:pPr>
              <w:autoSpaceDE w:val="0"/>
              <w:autoSpaceDN w:val="0"/>
              <w:adjustRightInd w:val="0"/>
              <w:jc w:val="left"/>
              <w:rPr>
                <w:rFonts w:ascii="宋体" w:hAnsi="??_GB2312" w:cs="宋体"/>
                <w:kern w:val="0"/>
                <w:sz w:val="22"/>
                <w:lang w:val="zh-CN"/>
              </w:rPr>
            </w:pPr>
            <w:r>
              <w:rPr>
                <w:rFonts w:hint="eastAsia" w:ascii="宋体" w:hAnsi="??_GB2312" w:cs="宋体"/>
                <w:kern w:val="0"/>
                <w:sz w:val="22"/>
                <w:lang w:val="zh-CN"/>
              </w:rPr>
              <w:t>3.服务满意度90%；</w:t>
            </w:r>
          </w:p>
          <w:p>
            <w:pPr>
              <w:autoSpaceDE w:val="0"/>
              <w:autoSpaceDN w:val="0"/>
              <w:adjustRightInd w:val="0"/>
              <w:jc w:val="left"/>
              <w:rPr>
                <w:rFonts w:ascii="宋体" w:hAnsi="??_GB2312" w:cs="宋体"/>
                <w:kern w:val="0"/>
                <w:sz w:val="22"/>
                <w:lang w:val="zh-CN"/>
              </w:rPr>
            </w:pPr>
            <w:r>
              <w:rPr>
                <w:rFonts w:hint="eastAsia" w:ascii="宋体" w:hAnsi="??_GB2312" w:cs="宋体"/>
                <w:kern w:val="0"/>
                <w:sz w:val="22"/>
                <w:lang w:val="zh-CN"/>
              </w:rPr>
              <w:t>4.完成时间2020年12月</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utoSpaceDE w:val="0"/>
              <w:autoSpaceDN w:val="0"/>
              <w:adjustRightInd w:val="0"/>
              <w:jc w:val="left"/>
              <w:rPr>
                <w:rFonts w:ascii="宋体" w:hAnsi="??_GB2312" w:cs="宋体"/>
                <w:kern w:val="0"/>
                <w:sz w:val="22"/>
                <w:lang w:val="zh-CN"/>
              </w:rPr>
            </w:pPr>
            <w:r>
              <w:rPr>
                <w:rFonts w:hint="eastAsia" w:ascii="宋体" w:hAnsi="??_GB2312" w:cs="宋体"/>
                <w:kern w:val="0"/>
                <w:sz w:val="22"/>
                <w:lang w:val="zh-CN"/>
              </w:rPr>
              <w:t>1.加强乡村学校少年宫运转，为乡村青少年提供更好的成长环境；</w:t>
            </w:r>
          </w:p>
          <w:p>
            <w:pPr>
              <w:autoSpaceDE w:val="0"/>
              <w:autoSpaceDN w:val="0"/>
              <w:adjustRightInd w:val="0"/>
              <w:jc w:val="left"/>
              <w:rPr>
                <w:rFonts w:ascii="宋体" w:hAnsi="??_GB2312" w:cs="宋体"/>
                <w:kern w:val="0"/>
                <w:sz w:val="22"/>
                <w:lang w:val="zh-CN"/>
              </w:rPr>
            </w:pPr>
            <w:r>
              <w:rPr>
                <w:rFonts w:hint="eastAsia" w:ascii="宋体" w:hAnsi="??_GB2312" w:cs="宋体"/>
                <w:kern w:val="0"/>
                <w:sz w:val="22"/>
                <w:lang w:val="zh-CN"/>
              </w:rPr>
              <w:t>2.提升乡村青少年科学文化素质和身体健康素质；</w:t>
            </w:r>
          </w:p>
          <w:p>
            <w:pPr>
              <w:autoSpaceDE w:val="0"/>
              <w:autoSpaceDN w:val="0"/>
              <w:adjustRightInd w:val="0"/>
              <w:jc w:val="left"/>
              <w:rPr>
                <w:rFonts w:ascii="宋体" w:hAnsi="??_GB2312" w:cs="宋体"/>
                <w:kern w:val="0"/>
                <w:sz w:val="22"/>
                <w:lang w:val="zh-CN"/>
              </w:rPr>
            </w:pPr>
            <w:r>
              <w:rPr>
                <w:rFonts w:hint="eastAsia" w:ascii="宋体" w:hAnsi="??_GB2312" w:cs="宋体"/>
                <w:kern w:val="0"/>
                <w:sz w:val="22"/>
                <w:lang w:val="zh-CN"/>
              </w:rPr>
              <w:t>3.服务满意度90%；</w:t>
            </w:r>
          </w:p>
          <w:p>
            <w:pPr>
              <w:autoSpaceDE w:val="0"/>
              <w:autoSpaceDN w:val="0"/>
              <w:adjustRightInd w:val="0"/>
              <w:jc w:val="left"/>
              <w:rPr>
                <w:rFonts w:ascii="宋体" w:hAnsi="??_GB2312" w:cs="宋体"/>
                <w:kern w:val="0"/>
                <w:sz w:val="22"/>
                <w:lang w:val="zh-CN"/>
              </w:rPr>
            </w:pPr>
            <w:r>
              <w:rPr>
                <w:rFonts w:hint="eastAsia" w:ascii="宋体" w:hAnsi="??_GB2312" w:cs="宋体"/>
                <w:kern w:val="0"/>
                <w:sz w:val="22"/>
                <w:lang w:val="zh-CN"/>
              </w:rPr>
              <w:t>4.完成时间2020年12月</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少年宫参与学生人数</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sz w:val="24"/>
              </w:rPr>
            </w:pPr>
            <w:r>
              <w:rPr>
                <w:rFonts w:hint="eastAsia" w:ascii="宋体" w:cs="宋体"/>
                <w:sz w:val="24"/>
              </w:rPr>
              <w:t>参与学生人数约855</w:t>
            </w:r>
            <w:r>
              <w:rPr>
                <w:rFonts w:hint="eastAsia" w:ascii="仿宋_GB2312" w:cs="宋体"/>
                <w:sz w:val="24"/>
              </w:rPr>
              <w:t>人</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sz w:val="24"/>
              </w:rPr>
            </w:pPr>
            <w:r>
              <w:rPr>
                <w:rFonts w:hint="eastAsia" w:ascii="宋体" w:cs="宋体"/>
                <w:sz w:val="24"/>
              </w:rPr>
              <w:t>学生参与人数855</w:t>
            </w:r>
            <w:r>
              <w:rPr>
                <w:rFonts w:hint="eastAsia" w:ascii="仿宋_GB2312" w:cs="宋体"/>
                <w:sz w:val="24"/>
              </w:rPr>
              <w:t>人</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时效指标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完成时间</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2020年12月</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sz w:val="24"/>
              </w:rPr>
            </w:pPr>
            <w:r>
              <w:rPr>
                <w:rFonts w:hint="eastAsia" w:ascii="宋体" w:cs="宋体"/>
                <w:sz w:val="24"/>
              </w:rPr>
              <w:t>2020年12月</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质量指标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考评合格</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内查良好</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内查良好</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社会指标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提高学校声誉</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社会对学校工作由认同感</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sz w:val="24"/>
              </w:rPr>
            </w:pPr>
            <w:r>
              <w:rPr>
                <w:rFonts w:hint="eastAsia" w:ascii="宋体" w:cs="宋体"/>
                <w:sz w:val="24"/>
              </w:rPr>
              <w:t>社会对学校工作由认同感</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师生满意度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sz w:val="24"/>
              </w:rPr>
            </w:pPr>
            <w:r>
              <w:rPr>
                <w:rFonts w:hint="eastAsia" w:ascii="宋体" w:cs="宋体"/>
                <w:sz w:val="24"/>
              </w:rPr>
              <w:t>满意度达90%</w:t>
            </w:r>
            <w:r>
              <w:rPr>
                <w:rFonts w:hint="eastAsia" w:ascii="仿宋_GB2312" w:cs="宋体"/>
                <w:sz w:val="24"/>
              </w:rPr>
              <w:t>以上</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sz w:val="24"/>
              </w:rPr>
            </w:pPr>
            <w:r>
              <w:rPr>
                <w:rFonts w:hint="eastAsia" w:ascii="宋体" w:cs="宋体"/>
                <w:sz w:val="24"/>
              </w:rPr>
              <w:t>满意度95%</w:t>
            </w:r>
            <w:r>
              <w:rPr>
                <w:rFonts w:hint="eastAsia" w:ascii="仿宋_GB2312" w:cs="宋体"/>
                <w:sz w:val="24"/>
              </w:rPr>
              <w:t>以上</w:t>
            </w:r>
          </w:p>
        </w:tc>
      </w:tr>
    </w:tbl>
    <w:p>
      <w:pPr>
        <w:spacing w:line="580" w:lineRule="exact"/>
        <w:ind w:left="630"/>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r>
        <w:rPr>
          <w:rFonts w:ascii="楷体_GB2312" w:hAnsi="楷体_GB2312" w:eastAsia="楷体_GB2312" w:cs="楷体_GB2312"/>
          <w:sz w:val="32"/>
          <w:szCs w:val="32"/>
        </w:rPr>
        <w:t>2.</w:t>
      </w:r>
      <w:r>
        <w:rPr>
          <w:rFonts w:hint="eastAsia" w:ascii="楷体_GB2312" w:hAnsi="楷体_GB2312" w:eastAsia="楷体_GB2312" w:cs="楷体_GB2312"/>
          <w:sz w:val="32"/>
          <w:szCs w:val="32"/>
        </w:rPr>
        <w:t>部门绩效评价结果。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本部门按要求对</w:t>
      </w:r>
      <w:r>
        <w:rPr>
          <w:rFonts w:ascii="仿宋_GB2312" w:hAnsi="仿宋_GB2312" w:cs="仿宋_GB2312"/>
          <w:szCs w:val="32"/>
        </w:rPr>
        <w:t>2020</w:t>
      </w:r>
      <w:r>
        <w:rPr>
          <w:rFonts w:hint="eastAsia" w:ascii="仿宋_GB2312" w:hAnsi="仿宋_GB2312" w:cs="仿宋_GB2312"/>
          <w:szCs w:val="32"/>
        </w:rPr>
        <w:t>年部门整体支出绩效评价情况开展自评，从评价情况来看全面完成了当年目标任务。《自贡市自流井区仲权镇中心小学校</w:t>
      </w:r>
      <w:r>
        <w:rPr>
          <w:rFonts w:ascii="仿宋_GB2312" w:hAnsi="仿宋_GB2312" w:cs="仿宋_GB2312"/>
          <w:szCs w:val="32"/>
        </w:rPr>
        <w:t>2020</w:t>
      </w:r>
      <w:r>
        <w:rPr>
          <w:rFonts w:hint="eastAsia" w:ascii="仿宋_GB2312" w:hAnsi="仿宋_GB2312" w:cs="仿宋_GB2312"/>
          <w:szCs w:val="32"/>
        </w:rPr>
        <w:t>年部门整体支出绩效评价报告》见附件（附件</w:t>
      </w:r>
      <w:r>
        <w:rPr>
          <w:rFonts w:ascii="仿宋_GB2312" w:hAnsi="仿宋_GB2312" w:cs="仿宋_GB2312"/>
          <w:szCs w:val="32"/>
        </w:rPr>
        <w:t>1</w:t>
      </w:r>
      <w:r>
        <w:rPr>
          <w:rFonts w:hint="eastAsia" w:ascii="仿宋_GB2312" w:hAnsi="仿宋_GB2312" w:cs="仿宋_GB2312"/>
          <w:szCs w:val="32"/>
        </w:rPr>
        <w:t>）。</w:t>
      </w:r>
    </w:p>
    <w:p>
      <w:pPr>
        <w:spacing w:line="580" w:lineRule="exact"/>
        <w:ind w:firstLine="640" w:firstLineChars="200"/>
        <w:rPr>
          <w:rFonts w:ascii="仿宋_GB2312" w:eastAsia="仿宋_GB2312"/>
          <w:b/>
          <w:color w:val="000000"/>
          <w:sz w:val="32"/>
          <w:szCs w:val="32"/>
        </w:rPr>
      </w:pPr>
      <w:r>
        <w:rPr>
          <w:rFonts w:hint="eastAsia" w:ascii="仿宋_GB2312" w:hAnsi="仿宋_GB2312" w:cs="仿宋_GB2312"/>
          <w:szCs w:val="32"/>
        </w:rPr>
        <w:t>本部门自行组织对</w:t>
      </w:r>
      <w:r>
        <w:rPr>
          <w:rFonts w:hint="eastAsia" w:ascii="??_GB2312" w:hAnsi="??_GB2312" w:cs="??_GB2312"/>
          <w:kern w:val="0"/>
          <w:szCs w:val="32"/>
        </w:rPr>
        <w:t>乡村学校</w:t>
      </w:r>
      <w:r>
        <w:rPr>
          <w:rFonts w:ascii="??_GB2312" w:hAnsi="??_GB2312" w:cs="??_GB2312"/>
          <w:kern w:val="0"/>
          <w:szCs w:val="32"/>
        </w:rPr>
        <w:t>少年宫专项经费</w:t>
      </w:r>
      <w:r>
        <w:rPr>
          <w:rFonts w:hint="eastAsia" w:ascii="仿宋_GB2312" w:hAnsi="仿宋_GB2312" w:cs="仿宋_GB2312"/>
          <w:szCs w:val="32"/>
        </w:rPr>
        <w:t>项目开展了绩效评价，《</w:t>
      </w:r>
      <w:r>
        <w:rPr>
          <w:rFonts w:hint="eastAsia" w:ascii="??_GB2312" w:hAnsi="??_GB2312" w:cs="??_GB2312"/>
          <w:kern w:val="0"/>
          <w:szCs w:val="32"/>
        </w:rPr>
        <w:t>乡村学校</w:t>
      </w:r>
      <w:r>
        <w:rPr>
          <w:rFonts w:ascii="??_GB2312" w:hAnsi="??_GB2312" w:cs="??_GB2312"/>
          <w:kern w:val="0"/>
          <w:szCs w:val="32"/>
        </w:rPr>
        <w:t>少年宫专项经费</w:t>
      </w:r>
      <w:r>
        <w:rPr>
          <w:rFonts w:hint="eastAsia" w:ascii="仿宋_GB2312" w:hAnsi="仿宋_GB2312" w:cs="仿宋_GB2312"/>
          <w:szCs w:val="32"/>
        </w:rPr>
        <w:t>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4"/>
        </w:numPr>
        <w:spacing w:line="600" w:lineRule="exact"/>
        <w:ind w:firstLine="660" w:firstLineChars="150"/>
        <w:jc w:val="center"/>
        <w:outlineLvl w:val="0"/>
        <w:rPr>
          <w:rStyle w:val="14"/>
          <w:rFonts w:ascii="黑体" w:hAnsi="黑体" w:eastAsia="黑体"/>
          <w:b w:val="0"/>
        </w:rPr>
      </w:pPr>
      <w:bookmarkStart w:id="52" w:name="_Toc15396613"/>
      <w:bookmarkStart w:id="53" w:name="_Toc15377225"/>
      <w:bookmarkStart w:id="54" w:name="_Toc3536"/>
      <w:r>
        <w:rPr>
          <w:rFonts w:hint="eastAsia" w:ascii="黑体" w:hAnsi="黑体" w:eastAsia="黑体"/>
          <w:color w:val="000000"/>
          <w:sz w:val="44"/>
          <w:szCs w:val="44"/>
        </w:rPr>
        <w:t>名</w:t>
      </w:r>
      <w:r>
        <w:rPr>
          <w:rStyle w:val="14"/>
          <w:rFonts w:hint="eastAsia" w:ascii="黑体" w:hAnsi="黑体" w:eastAsia="黑体"/>
          <w:b w:val="0"/>
        </w:rPr>
        <w:t>词解释</w:t>
      </w:r>
      <w:bookmarkEnd w:id="52"/>
      <w:bookmarkEnd w:id="53"/>
      <w:bookmarkEnd w:id="54"/>
    </w:p>
    <w:p>
      <w:pPr>
        <w:spacing w:line="600" w:lineRule="exact"/>
        <w:jc w:val="left"/>
        <w:rPr>
          <w:rFonts w:ascii="宋体"/>
          <w:b/>
          <w:color w:val="000000"/>
          <w:sz w:val="44"/>
          <w:szCs w:val="44"/>
        </w:rPr>
      </w:pPr>
    </w:p>
    <w:p>
      <w:pPr>
        <w:pStyle w:val="17"/>
        <w:spacing w:line="560" w:lineRule="exact"/>
        <w:ind w:firstLine="640" w:firstLineChars="200"/>
        <w:rPr>
          <w:rFonts w:ascii="仿宋_GB2312" w:eastAsia="仿宋_GB2312"/>
          <w:sz w:val="32"/>
          <w:szCs w:val="32"/>
        </w:rPr>
      </w:pPr>
      <w:bookmarkStart w:id="55" w:name="_Toc15396614"/>
      <w:bookmarkStart w:id="56" w:name="_Toc11207"/>
      <w:bookmarkStart w:id="57" w:name="_Toc15377226"/>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pPr>
        <w:pStyle w:val="17"/>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ind w:firstLine="640" w:firstLineChars="200"/>
        <w:rPr>
          <w:rFonts w:ascii="仿宋_GB2312"/>
          <w:szCs w:val="32"/>
        </w:rPr>
      </w:pPr>
      <w:r>
        <w:rPr>
          <w:rFonts w:ascii="仿宋_GB2312"/>
          <w:szCs w:val="32"/>
        </w:rPr>
        <w:t>8</w:t>
      </w:r>
      <w:r>
        <w:rPr>
          <w:rFonts w:hint="eastAsia" w:ascii="仿宋_GB231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hint="eastAsia" w:ascii="仿宋_GB2312"/>
          <w:szCs w:val="32"/>
        </w:rPr>
        <w:t>9.</w:t>
      </w:r>
      <w:r>
        <w:rPr>
          <w:rStyle w:val="12"/>
          <w:rFonts w:hint="eastAsia" w:ascii="仿宋" w:hAnsi="仿宋" w:eastAsia="仿宋"/>
          <w:b w:val="0"/>
          <w:szCs w:val="32"/>
        </w:rPr>
        <w:t>教育支出（类）普通教育（款）学前教育（项）</w:t>
      </w:r>
      <w:r>
        <w:rPr>
          <w:rStyle w:val="12"/>
          <w:rFonts w:hint="eastAsia" w:ascii="仿宋" w:hAnsi="仿宋" w:eastAsia="仿宋"/>
          <w:b w:val="0"/>
          <w:color w:val="000000"/>
          <w:szCs w:val="32"/>
        </w:rPr>
        <w:t>：指反映各部门举办的学前教育支出。政府各部门对社会组织等举办的幼儿园的资助，如捐赠、补贴等，也在本科目中反映。</w:t>
      </w:r>
    </w:p>
    <w:p>
      <w:pPr>
        <w:numPr>
          <w:ilvl w:val="0"/>
          <w:numId w:val="5"/>
        </w:numPr>
        <w:ind w:firstLine="640" w:firstLineChars="200"/>
        <w:rPr>
          <w:rStyle w:val="12"/>
          <w:rFonts w:hint="eastAsia" w:ascii="仿宋" w:hAnsi="仿宋" w:eastAsia="仿宋"/>
          <w:b w:val="0"/>
          <w:color w:val="000000"/>
          <w:szCs w:val="32"/>
        </w:rPr>
      </w:pPr>
      <w:r>
        <w:rPr>
          <w:rStyle w:val="12"/>
          <w:rFonts w:hint="eastAsia" w:ascii="仿宋" w:hAnsi="仿宋" w:eastAsia="仿宋"/>
          <w:b w:val="0"/>
          <w:szCs w:val="32"/>
        </w:rPr>
        <w:t>教育支出（类）普通教育（款）小学教育（项）</w:t>
      </w:r>
      <w:r>
        <w:rPr>
          <w:rStyle w:val="12"/>
          <w:rFonts w:hint="eastAsia" w:ascii="仿宋" w:hAnsi="仿宋" w:eastAsia="仿宋"/>
          <w:b w:val="0"/>
          <w:color w:val="000000"/>
          <w:szCs w:val="32"/>
        </w:rPr>
        <w:t>：指反映各部门举办的小学教育支出。政府各部门对社会组织等举办的小学的资助，如捐赠、补贴等，也在本科目中反映。</w:t>
      </w:r>
    </w:p>
    <w:p>
      <w:pPr>
        <w:ind w:firstLine="640" w:firstLineChars="200"/>
        <w:rPr>
          <w:rFonts w:ascii="仿宋_GB2312"/>
          <w:color w:val="000000"/>
          <w:szCs w:val="32"/>
        </w:rPr>
      </w:pPr>
      <w:r>
        <w:rPr>
          <w:rFonts w:hint="eastAsia" w:ascii="仿宋_GB2312"/>
          <w:color w:val="000000"/>
          <w:szCs w:val="32"/>
        </w:rPr>
        <w:t>11</w:t>
      </w:r>
      <w:r>
        <w:rPr>
          <w:rFonts w:ascii="仿宋_GB2312"/>
          <w:color w:val="000000"/>
          <w:szCs w:val="32"/>
        </w:rPr>
        <w:t>.</w:t>
      </w:r>
      <w:r>
        <w:rPr>
          <w:rFonts w:hint="eastAsia" w:ascii="仿宋_GB2312"/>
          <w:color w:val="000000"/>
          <w:szCs w:val="32"/>
        </w:rPr>
        <w:t>基本支出：指为保障机构正常运转、完成日常工作任务而发生的人员支出和公用支出。</w:t>
      </w:r>
    </w:p>
    <w:p>
      <w:pPr>
        <w:ind w:firstLine="640" w:firstLineChars="200"/>
        <w:rPr>
          <w:rFonts w:ascii="仿宋_GB2312"/>
          <w:color w:val="000000"/>
          <w:szCs w:val="32"/>
        </w:rPr>
      </w:pPr>
      <w:r>
        <w:rPr>
          <w:rFonts w:hint="eastAsia" w:ascii="仿宋_GB2312"/>
          <w:color w:val="000000"/>
          <w:szCs w:val="32"/>
        </w:rPr>
        <w:t>12</w:t>
      </w:r>
      <w:r>
        <w:rPr>
          <w:rFonts w:ascii="仿宋_GB2312"/>
          <w:color w:val="000000"/>
          <w:szCs w:val="32"/>
        </w:rPr>
        <w:t>.</w:t>
      </w:r>
      <w:r>
        <w:rPr>
          <w:rFonts w:hint="eastAsia" w:ascii="仿宋_GB2312"/>
          <w:color w:val="000000"/>
          <w:szCs w:val="32"/>
        </w:rPr>
        <w:t>项目支出：指在基本支出之外为完成特定行政任务和事业发展目标所发生的支出。</w:t>
      </w:r>
    </w:p>
    <w:p>
      <w:pPr>
        <w:ind w:firstLine="640" w:firstLineChars="200"/>
        <w:rPr>
          <w:rFonts w:ascii="仿宋_GB2312"/>
          <w:color w:val="000000"/>
          <w:szCs w:val="32"/>
        </w:rPr>
      </w:pPr>
      <w:r>
        <w:rPr>
          <w:rFonts w:hint="eastAsia" w:ascii="仿宋_GB2312"/>
          <w:color w:val="000000"/>
          <w:szCs w:val="32"/>
        </w:rPr>
        <w:t>13</w:t>
      </w:r>
      <w:r>
        <w:rPr>
          <w:rFonts w:ascii="仿宋_GB2312"/>
          <w:color w:val="000000"/>
          <w:szCs w:val="32"/>
        </w:rPr>
        <w:t>.</w:t>
      </w:r>
      <w:r>
        <w:rPr>
          <w:rFonts w:hint="eastAsia" w:ascii="仿宋_GB2312"/>
          <w:color w:val="000000"/>
          <w:szCs w:val="32"/>
        </w:rPr>
        <w:t>经营支出：指事业单位在专业业务活动及其辅助活动之外开展非独立核算经营活动发生的支出。</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14</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7"/>
        <w:spacing w:line="560" w:lineRule="exact"/>
        <w:ind w:firstLine="640" w:firstLineChars="200"/>
        <w:rPr>
          <w:rFonts w:ascii="仿宋_GB2312" w:eastAsia="仿宋_GB2312"/>
          <w:sz w:val="32"/>
          <w:szCs w:val="32"/>
        </w:rPr>
      </w:pPr>
      <w:r>
        <w:rPr>
          <w:rFonts w:hint="eastAsia" w:ascii="仿宋_GB2312" w:eastAsia="仿宋_GB2312"/>
          <w:sz w:val="32"/>
          <w:szCs w:val="32"/>
        </w:rPr>
        <w:t>15</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numPr>
          <w:ilvl w:val="0"/>
          <w:numId w:val="0"/>
        </w:numPr>
        <w:rPr>
          <w:rStyle w:val="12"/>
          <w:rFonts w:hint="eastAsia" w:ascii="仿宋" w:hAnsi="仿宋" w:eastAsia="仿宋"/>
          <w:b w:val="0"/>
          <w:color w:val="000000"/>
          <w:szCs w:val="32"/>
        </w:rPr>
      </w:pPr>
    </w:p>
    <w:p>
      <w:pPr>
        <w:numPr>
          <w:ilvl w:val="0"/>
          <w:numId w:val="0"/>
        </w:numPr>
        <w:rPr>
          <w:rStyle w:val="12"/>
          <w:rFonts w:hint="eastAsia" w:ascii="仿宋" w:hAnsi="仿宋" w:eastAsia="仿宋"/>
          <w:b w:val="0"/>
          <w:color w:val="000000"/>
          <w:szCs w:val="32"/>
        </w:rPr>
      </w:pPr>
    </w:p>
    <w:p>
      <w:pPr>
        <w:numPr>
          <w:ilvl w:val="0"/>
          <w:numId w:val="0"/>
        </w:numPr>
        <w:rPr>
          <w:rStyle w:val="12"/>
          <w:rFonts w:hint="eastAsia" w:ascii="仿宋" w:hAnsi="仿宋" w:eastAsia="仿宋"/>
          <w:b w:val="0"/>
          <w:color w:val="000000"/>
          <w:szCs w:val="32"/>
        </w:rPr>
      </w:pPr>
    </w:p>
    <w:p>
      <w:pPr>
        <w:spacing w:line="600" w:lineRule="exact"/>
        <w:jc w:val="center"/>
        <w:outlineLvl w:val="0"/>
        <w:rPr>
          <w:rStyle w:val="14"/>
          <w:rFonts w:ascii="黑体" w:hAnsi="黑体" w:eastAsia="黑体"/>
          <w:b w:val="0"/>
        </w:rPr>
      </w:pPr>
      <w:r>
        <w:rPr>
          <w:rFonts w:hint="eastAsia" w:ascii="黑体" w:hAnsi="黑体" w:eastAsia="黑体"/>
          <w:color w:val="000000"/>
          <w:sz w:val="44"/>
          <w:szCs w:val="44"/>
        </w:rPr>
        <w:t>第</w:t>
      </w:r>
      <w:r>
        <w:rPr>
          <w:rStyle w:val="14"/>
          <w:rFonts w:hint="eastAsia" w:ascii="黑体" w:hAnsi="黑体" w:eastAsia="黑体"/>
          <w:b w:val="0"/>
        </w:rPr>
        <w:t>四部分</w:t>
      </w:r>
      <w:r>
        <w:rPr>
          <w:rStyle w:val="14"/>
          <w:rFonts w:ascii="黑体" w:hAnsi="黑体" w:eastAsia="黑体"/>
          <w:b w:val="0"/>
        </w:rPr>
        <w:t xml:space="preserve"> </w:t>
      </w:r>
      <w:r>
        <w:rPr>
          <w:rStyle w:val="14"/>
          <w:rFonts w:hint="eastAsia" w:ascii="黑体" w:hAnsi="黑体" w:eastAsia="黑体"/>
          <w:b w:val="0"/>
        </w:rPr>
        <w:t>附件</w:t>
      </w:r>
      <w:bookmarkEnd w:id="55"/>
      <w:bookmarkEnd w:id="56"/>
    </w:p>
    <w:p>
      <w:pPr>
        <w:spacing w:line="600" w:lineRule="exact"/>
        <w:jc w:val="left"/>
        <w:outlineLvl w:val="1"/>
        <w:rPr>
          <w:rFonts w:ascii="方正小标宋简体" w:hAnsi="方正小标宋简体" w:eastAsia="方正小标宋简体" w:cs="方正小标宋简体"/>
          <w:sz w:val="32"/>
          <w:szCs w:val="32"/>
        </w:rPr>
      </w:pPr>
      <w:bookmarkStart w:id="58" w:name="_Toc22930"/>
      <w:r>
        <w:rPr>
          <w:rFonts w:hint="eastAsia" w:ascii="黑体" w:hAnsi="黑体" w:eastAsia="黑体" w:cs="黑体"/>
          <w:sz w:val="32"/>
          <w:szCs w:val="32"/>
        </w:rPr>
        <w:t>附件</w:t>
      </w:r>
      <w:r>
        <w:rPr>
          <w:rFonts w:ascii="黑体" w:hAnsi="黑体" w:eastAsia="黑体" w:cs="黑体"/>
          <w:sz w:val="32"/>
          <w:szCs w:val="32"/>
        </w:rPr>
        <w:t>1</w:t>
      </w:r>
      <w:bookmarkEnd w:id="58"/>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rPr>
      </w:pPr>
      <w:r>
        <w:rPr>
          <w:rFonts w:hint="eastAsia" w:ascii="方正小标宋简体" w:hAnsi="宋体" w:eastAsia="方正小标宋简体"/>
          <w:color w:val="000000"/>
          <w:kern w:val="0"/>
          <w:sz w:val="40"/>
          <w:szCs w:val="44"/>
        </w:rPr>
        <w:t>自贡市自流井区仲权镇中心小学校</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autoSpaceDE w:val="0"/>
        <w:autoSpaceDN w:val="0"/>
        <w:adjustRightInd w:val="0"/>
        <w:spacing w:line="580" w:lineRule="atLeast"/>
        <w:ind w:firstLine="640"/>
        <w:jc w:val="left"/>
        <w:rPr>
          <w:rFonts w:hint="eastAsia" w:ascii="黑体" w:hAnsi="???????" w:eastAsia="黑体" w:cs="黑体"/>
          <w:kern w:val="0"/>
          <w:szCs w:val="32"/>
          <w:highlight w:val="white"/>
          <w:lang w:val="zh-CN"/>
        </w:rPr>
      </w:pPr>
    </w:p>
    <w:p>
      <w:pPr>
        <w:autoSpaceDE w:val="0"/>
        <w:autoSpaceDN w:val="0"/>
        <w:adjustRightInd w:val="0"/>
        <w:spacing w:line="580" w:lineRule="atLeast"/>
        <w:ind w:firstLine="640"/>
        <w:jc w:val="left"/>
        <w:rPr>
          <w:rFonts w:ascii="黑体" w:hAnsi="???????" w:eastAsia="黑体" w:cs="黑体"/>
          <w:kern w:val="0"/>
          <w:szCs w:val="32"/>
          <w:highlight w:val="white"/>
          <w:lang w:val="zh-CN"/>
        </w:rPr>
      </w:pPr>
      <w:r>
        <w:rPr>
          <w:rFonts w:hint="eastAsia" w:ascii="黑体" w:hAnsi="???????" w:eastAsia="黑体" w:cs="黑体"/>
          <w:kern w:val="0"/>
          <w:szCs w:val="32"/>
          <w:highlight w:val="white"/>
          <w:lang w:val="zh-CN"/>
        </w:rPr>
        <w:t>一、部门（单位）概况</w:t>
      </w:r>
    </w:p>
    <w:p>
      <w:pPr>
        <w:autoSpaceDE w:val="0"/>
        <w:autoSpaceDN w:val="0"/>
        <w:adjustRightInd w:val="0"/>
        <w:spacing w:line="580" w:lineRule="atLeast"/>
        <w:ind w:firstLine="640"/>
        <w:jc w:val="left"/>
        <w:rPr>
          <w:rFonts w:ascii="??_GB2312" w:hAnsi="??_GB2312" w:cs="??_GB2312"/>
          <w:kern w:val="0"/>
          <w:szCs w:val="32"/>
          <w:highlight w:val="white"/>
        </w:rPr>
      </w:pPr>
      <w:r>
        <w:rPr>
          <w:rFonts w:hint="eastAsia" w:ascii="宋体" w:hAnsi="???????" w:cs="宋体"/>
          <w:kern w:val="0"/>
          <w:szCs w:val="32"/>
          <w:highlight w:val="white"/>
          <w:lang w:val="zh-CN"/>
        </w:rPr>
        <w:t>（一）机构组成。</w:t>
      </w:r>
      <w:r>
        <w:rPr>
          <w:rFonts w:hint="eastAsia" w:ascii="宋体" w:cs="宋体"/>
          <w:kern w:val="0"/>
          <w:szCs w:val="32"/>
          <w:highlight w:val="white"/>
          <w:lang w:val="zh-CN"/>
        </w:rPr>
        <w:t>本单位包括仲权镇中心小学校、仲权镇建设村小学校和附属仲权中心幼儿园三个教学点。</w:t>
      </w:r>
    </w:p>
    <w:p>
      <w:pPr>
        <w:pStyle w:val="16"/>
        <w:ind w:firstLine="736" w:firstLineChars="230"/>
      </w:pPr>
      <w:r>
        <w:rPr>
          <w:rFonts w:hint="eastAsia" w:ascii="宋体" w:hAnsi="??_GB2312" w:cs="宋体"/>
          <w:kern w:val="0"/>
          <w:sz w:val="32"/>
          <w:szCs w:val="32"/>
          <w:highlight w:val="white"/>
          <w:lang w:val="zh-CN"/>
        </w:rPr>
        <w:t>（二）机构职能。</w:t>
      </w:r>
    </w:p>
    <w:p>
      <w:pPr>
        <w:autoSpaceDE w:val="0"/>
        <w:autoSpaceDN w:val="0"/>
        <w:adjustRightInd w:val="0"/>
        <w:spacing w:line="580" w:lineRule="atLeast"/>
        <w:ind w:firstLine="640"/>
        <w:jc w:val="left"/>
        <w:rPr>
          <w:rFonts w:ascii="宋体" w:cs="宋体"/>
          <w:kern w:val="0"/>
          <w:szCs w:val="32"/>
          <w:highlight w:val="white"/>
          <w:lang w:val="zh-CN"/>
        </w:rPr>
      </w:pPr>
      <w:r>
        <w:rPr>
          <w:rFonts w:hint="eastAsia" w:ascii="宋体" w:cs="宋体"/>
          <w:kern w:val="0"/>
          <w:szCs w:val="32"/>
          <w:highlight w:val="white"/>
          <w:lang w:val="zh-CN"/>
        </w:rPr>
        <w:t>1.</w:t>
      </w:r>
      <w:r>
        <w:rPr>
          <w:rFonts w:ascii="宋体" w:cs="宋体"/>
          <w:kern w:val="0"/>
          <w:szCs w:val="32"/>
          <w:highlight w:val="white"/>
          <w:lang w:val="zh-CN"/>
        </w:rPr>
        <w:t>正确贯彻执行党和国家的教育方针、政策、法规。</w:t>
      </w:r>
    </w:p>
    <w:p>
      <w:pPr>
        <w:autoSpaceDE w:val="0"/>
        <w:autoSpaceDN w:val="0"/>
        <w:adjustRightInd w:val="0"/>
        <w:spacing w:line="580" w:lineRule="atLeast"/>
        <w:ind w:firstLine="640"/>
        <w:jc w:val="left"/>
        <w:rPr>
          <w:rFonts w:ascii="宋体" w:cs="宋体"/>
          <w:kern w:val="0"/>
          <w:szCs w:val="32"/>
          <w:highlight w:val="white"/>
          <w:lang w:val="zh-CN"/>
        </w:rPr>
      </w:pPr>
      <w:r>
        <w:rPr>
          <w:rFonts w:hint="eastAsia" w:ascii="宋体" w:cs="宋体"/>
          <w:kern w:val="0"/>
          <w:szCs w:val="32"/>
          <w:highlight w:val="white"/>
          <w:lang w:val="zh-CN"/>
        </w:rPr>
        <w:t>2.</w:t>
      </w:r>
      <w:r>
        <w:rPr>
          <w:rFonts w:ascii="宋体" w:cs="宋体"/>
          <w:kern w:val="0"/>
          <w:szCs w:val="32"/>
          <w:highlight w:val="white"/>
          <w:lang w:val="zh-CN"/>
        </w:rPr>
        <w:t>维护学校的教学秩序，为学生创造良好的学习环境；</w:t>
      </w:r>
    </w:p>
    <w:p>
      <w:pPr>
        <w:autoSpaceDE w:val="0"/>
        <w:autoSpaceDN w:val="0"/>
        <w:adjustRightInd w:val="0"/>
        <w:spacing w:line="580" w:lineRule="atLeast"/>
        <w:ind w:firstLine="640"/>
        <w:jc w:val="left"/>
        <w:rPr>
          <w:rFonts w:ascii="宋体" w:cs="宋体"/>
          <w:kern w:val="0"/>
          <w:szCs w:val="32"/>
          <w:highlight w:val="white"/>
          <w:lang w:val="zh-CN"/>
        </w:rPr>
      </w:pPr>
      <w:r>
        <w:rPr>
          <w:rFonts w:hint="eastAsia" w:ascii="宋体" w:cs="宋体"/>
          <w:kern w:val="0"/>
          <w:szCs w:val="32"/>
          <w:highlight w:val="white"/>
          <w:lang w:val="zh-CN"/>
        </w:rPr>
        <w:t>3.</w:t>
      </w:r>
      <w:r>
        <w:rPr>
          <w:rFonts w:ascii="宋体" w:cs="宋体"/>
          <w:kern w:val="0"/>
          <w:szCs w:val="32"/>
          <w:highlight w:val="white"/>
          <w:lang w:val="zh-CN"/>
        </w:rPr>
        <w:t>积极稳妥地推进教育改革，按教育规律办事，不断提高教育质量；</w:t>
      </w:r>
    </w:p>
    <w:p>
      <w:pPr>
        <w:autoSpaceDE w:val="0"/>
        <w:autoSpaceDN w:val="0"/>
        <w:adjustRightInd w:val="0"/>
        <w:spacing w:line="580" w:lineRule="atLeast"/>
        <w:ind w:firstLine="640"/>
        <w:jc w:val="left"/>
        <w:rPr>
          <w:rFonts w:ascii="宋体" w:cs="宋体"/>
          <w:kern w:val="0"/>
          <w:szCs w:val="32"/>
          <w:highlight w:val="white"/>
          <w:lang w:val="zh-CN"/>
        </w:rPr>
      </w:pPr>
      <w:r>
        <w:rPr>
          <w:rFonts w:hint="eastAsia" w:ascii="宋体" w:cs="宋体"/>
          <w:kern w:val="0"/>
          <w:szCs w:val="32"/>
          <w:highlight w:val="white"/>
          <w:lang w:val="zh-CN"/>
        </w:rPr>
        <w:t>4.</w:t>
      </w:r>
      <w:r>
        <w:rPr>
          <w:rFonts w:ascii="宋体" w:cs="宋体"/>
          <w:kern w:val="0"/>
          <w:szCs w:val="32"/>
          <w:highlight w:val="white"/>
          <w:lang w:val="zh-CN"/>
        </w:rPr>
        <w:t>根据学校规模，设置学校管理机构，建立健全各项规章制度和岗位责任制。</w:t>
      </w:r>
    </w:p>
    <w:p>
      <w:pPr>
        <w:autoSpaceDE w:val="0"/>
        <w:autoSpaceDN w:val="0"/>
        <w:adjustRightInd w:val="0"/>
        <w:spacing w:line="580" w:lineRule="atLeast"/>
        <w:ind w:firstLine="640"/>
        <w:jc w:val="left"/>
        <w:rPr>
          <w:rFonts w:ascii="宋体" w:cs="宋体"/>
          <w:kern w:val="0"/>
          <w:szCs w:val="32"/>
          <w:highlight w:val="white"/>
          <w:lang w:val="zh-CN"/>
        </w:rPr>
      </w:pPr>
      <w:r>
        <w:rPr>
          <w:rFonts w:hint="eastAsia" w:ascii="宋体" w:cs="宋体"/>
          <w:kern w:val="0"/>
          <w:szCs w:val="32"/>
          <w:highlight w:val="white"/>
          <w:lang w:val="zh-CN"/>
        </w:rPr>
        <w:t>5.</w:t>
      </w:r>
      <w:r>
        <w:rPr>
          <w:rFonts w:ascii="宋体" w:cs="宋体"/>
          <w:kern w:val="0"/>
          <w:szCs w:val="32"/>
          <w:highlight w:val="white"/>
          <w:lang w:val="zh-CN"/>
        </w:rPr>
        <w:t>坚持教书育人，服务育人，环境育人方针，加强对学生的思想品德教育，使学生的德智体全面发展。</w:t>
      </w:r>
    </w:p>
    <w:p>
      <w:pPr>
        <w:autoSpaceDE w:val="0"/>
        <w:autoSpaceDN w:val="0"/>
        <w:adjustRightInd w:val="0"/>
        <w:spacing w:line="580" w:lineRule="atLeast"/>
        <w:ind w:firstLine="640"/>
        <w:jc w:val="left"/>
        <w:rPr>
          <w:rFonts w:ascii="宋体" w:cs="宋体"/>
          <w:kern w:val="0"/>
          <w:szCs w:val="32"/>
          <w:highlight w:val="white"/>
          <w:lang w:val="zh-CN"/>
        </w:rPr>
      </w:pPr>
      <w:r>
        <w:rPr>
          <w:rFonts w:hint="eastAsia" w:ascii="宋体" w:cs="宋体"/>
          <w:kern w:val="0"/>
          <w:szCs w:val="32"/>
          <w:highlight w:val="white"/>
          <w:lang w:val="zh-CN"/>
        </w:rPr>
        <w:t>6.</w:t>
      </w:r>
      <w:r>
        <w:rPr>
          <w:rFonts w:ascii="宋体" w:cs="宋体"/>
          <w:kern w:val="0"/>
          <w:szCs w:val="32"/>
          <w:highlight w:val="white"/>
          <w:lang w:val="zh-CN"/>
        </w:rPr>
        <w:t>抓好教师队伍建设，使每个教师都热心于教育事业；</w:t>
      </w:r>
    </w:p>
    <w:p>
      <w:pPr>
        <w:autoSpaceDE w:val="0"/>
        <w:autoSpaceDN w:val="0"/>
        <w:adjustRightInd w:val="0"/>
        <w:spacing w:line="580" w:lineRule="atLeast"/>
        <w:ind w:firstLine="640"/>
        <w:jc w:val="left"/>
        <w:rPr>
          <w:rFonts w:ascii="宋体" w:cs="宋体"/>
          <w:kern w:val="0"/>
          <w:szCs w:val="32"/>
          <w:highlight w:val="white"/>
          <w:lang w:val="zh-CN"/>
        </w:rPr>
      </w:pPr>
      <w:r>
        <w:rPr>
          <w:rFonts w:hint="eastAsia" w:ascii="宋体" w:cs="宋体"/>
          <w:kern w:val="0"/>
          <w:szCs w:val="32"/>
          <w:highlight w:val="white"/>
          <w:lang w:val="zh-CN"/>
        </w:rPr>
        <w:t>7.</w:t>
      </w:r>
      <w:r>
        <w:rPr>
          <w:rFonts w:ascii="宋体" w:cs="宋体"/>
          <w:kern w:val="0"/>
          <w:szCs w:val="32"/>
          <w:highlight w:val="white"/>
          <w:lang w:val="zh-CN"/>
        </w:rPr>
        <w:t>做好安全防范，保证学生的人生安全。</w:t>
      </w:r>
    </w:p>
    <w:p>
      <w:pPr>
        <w:autoSpaceDE w:val="0"/>
        <w:autoSpaceDN w:val="0"/>
        <w:adjustRightInd w:val="0"/>
        <w:spacing w:line="580" w:lineRule="atLeast"/>
        <w:ind w:firstLine="640"/>
        <w:jc w:val="left"/>
        <w:rPr>
          <w:rFonts w:ascii="??_GB2312" w:hAnsi="??_GB2312" w:cs="??_GB2312"/>
          <w:kern w:val="0"/>
          <w:szCs w:val="32"/>
          <w:highlight w:val="white"/>
        </w:rPr>
      </w:pPr>
      <w:r>
        <w:rPr>
          <w:rFonts w:hint="eastAsia" w:ascii="宋体" w:hAnsi="??_GB2312" w:cs="宋体"/>
          <w:kern w:val="0"/>
          <w:szCs w:val="32"/>
          <w:highlight w:val="white"/>
          <w:lang w:val="zh-CN"/>
        </w:rPr>
        <w:t>（三）人员概况。本单位有在编在职职工66人，临聘人员6名，退休教职工65人。</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ascii="仿宋" w:hAnsi="仿宋" w:eastAsia="仿宋"/>
          <w:color w:val="000000"/>
          <w:szCs w:val="32"/>
        </w:rPr>
        <w:t>20</w:t>
      </w:r>
      <w:r>
        <w:rPr>
          <w:rFonts w:hint="eastAsia" w:ascii="仿宋" w:hAnsi="仿宋" w:eastAsia="仿宋"/>
          <w:color w:val="000000"/>
          <w:szCs w:val="32"/>
        </w:rPr>
        <w:t>20年财政拨款收入1064.5万元，其中：一般公共预算财政拨款收入1061.8万元，占财政拨款收入合计的99.75</w:t>
      </w:r>
      <w:r>
        <w:rPr>
          <w:rFonts w:ascii="仿宋" w:hAnsi="仿宋" w:eastAsia="仿宋"/>
          <w:color w:val="000000"/>
          <w:szCs w:val="32"/>
        </w:rPr>
        <w:t>%</w:t>
      </w:r>
      <w:r>
        <w:rPr>
          <w:rFonts w:hint="eastAsia" w:ascii="仿宋" w:hAnsi="仿宋" w:eastAsia="仿宋"/>
          <w:color w:val="000000"/>
          <w:szCs w:val="32"/>
        </w:rPr>
        <w:t>；政府性基金预算财政拨款收入2.7万元，占财政拨款收入合计的0.25%。</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（二）部门财政资金支出情况。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ascii="仿宋" w:hAnsi="仿宋" w:eastAsia="仿宋"/>
          <w:color w:val="000000"/>
          <w:szCs w:val="32"/>
        </w:rPr>
        <w:t>20</w:t>
      </w:r>
      <w:r>
        <w:rPr>
          <w:rFonts w:hint="eastAsia" w:ascii="仿宋" w:hAnsi="仿宋" w:eastAsia="仿宋"/>
          <w:color w:val="000000"/>
          <w:szCs w:val="32"/>
        </w:rPr>
        <w:t>20年财政拨款支出1133.94万元，其中：一般公共预算财政拨款支出1129.11万元，占财政拨款支出合计的99.57</w:t>
      </w:r>
      <w:r>
        <w:rPr>
          <w:rFonts w:ascii="仿宋" w:hAnsi="仿宋" w:eastAsia="仿宋"/>
          <w:color w:val="000000"/>
          <w:szCs w:val="32"/>
        </w:rPr>
        <w:t>%</w:t>
      </w:r>
      <w:r>
        <w:rPr>
          <w:rFonts w:hint="eastAsia" w:ascii="仿宋" w:hAnsi="仿宋" w:eastAsia="仿宋"/>
          <w:color w:val="000000"/>
          <w:szCs w:val="32"/>
        </w:rPr>
        <w:t>；政府性基金预算财政拨款支出4.83万元，占财政拨款支出合计的0.43%。</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（一）部门预算管理。</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仿宋_GB2312"/>
          <w:szCs w:val="32"/>
        </w:rPr>
        <w:t>绩效目标是预算编制的前提和基础，按照“费随事定”的原则。整体绩效目标涉及总金额1145.3万元，从完成的数量、成本、时效、质量等方面进行绩效评价，无违规执行预算的情况。</w:t>
      </w:r>
    </w:p>
    <w:p>
      <w:pPr>
        <w:widowControl/>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宋体"/>
          <w:kern w:val="0"/>
          <w:szCs w:val="32"/>
          <w:shd w:val="clear" w:color="auto" w:fill="FFFFFF"/>
          <w:lang w:val="zh-CN"/>
        </w:rPr>
        <w:t>（二）结果应用情况。</w:t>
      </w:r>
    </w:p>
    <w:p>
      <w:pPr>
        <w:widowControl/>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宋体"/>
          <w:kern w:val="0"/>
          <w:szCs w:val="32"/>
          <w:shd w:val="clear" w:color="auto" w:fill="FFFFFF"/>
          <w:lang w:val="zh-CN"/>
        </w:rPr>
        <w:t>无</w:t>
      </w:r>
    </w:p>
    <w:p>
      <w:pPr>
        <w:widowControl/>
        <w:adjustRightInd w:val="0"/>
        <w:snapToGrid w:val="0"/>
        <w:spacing w:line="580" w:lineRule="exact"/>
        <w:ind w:firstLine="640" w:firstLineChars="200"/>
        <w:contextualSpacing/>
        <w:jc w:val="left"/>
        <w:rPr>
          <w:rFonts w:ascii="黑体" w:hAnsi="宋体" w:eastAsia="黑体" w:cs="宋体"/>
          <w:kern w:val="0"/>
          <w:szCs w:val="32"/>
          <w:shd w:val="clear" w:color="auto" w:fill="FFFFFF"/>
        </w:rPr>
      </w:pPr>
      <w:r>
        <w:rPr>
          <w:rFonts w:hint="eastAsia" w:ascii="黑体" w:hAnsi="宋体" w:eastAsia="黑体" w:cs="宋体"/>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宋体"/>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仿宋_GB2312"/>
          <w:szCs w:val="32"/>
        </w:rPr>
        <w:t>达到了预期的社会效益、经济效益，完成预算的99.94%。</w:t>
      </w:r>
    </w:p>
    <w:p>
      <w:pPr>
        <w:widowControl/>
        <w:adjustRightInd w:val="0"/>
        <w:snapToGrid w:val="0"/>
        <w:spacing w:line="580" w:lineRule="exact"/>
        <w:ind w:firstLine="640" w:firstLineChars="200"/>
        <w:contextualSpacing/>
        <w:jc w:val="left"/>
        <w:rPr>
          <w:rFonts w:ascii="仿宋_GB2312" w:hAnsi="宋体" w:cs="宋体"/>
          <w:kern w:val="0"/>
          <w:szCs w:val="32"/>
          <w:shd w:val="clear" w:color="auto" w:fill="FFFFFF"/>
          <w:lang w:val="zh-CN"/>
        </w:rPr>
      </w:pPr>
      <w:r>
        <w:rPr>
          <w:rFonts w:hint="eastAsia" w:ascii="仿宋_GB2312" w:hAnsi="宋体" w:cs="宋体"/>
          <w:kern w:val="0"/>
          <w:szCs w:val="32"/>
          <w:shd w:val="clear" w:color="auto" w:fill="FFFFFF"/>
          <w:lang w:val="zh-CN"/>
        </w:rPr>
        <w:t>（二）存在问题。无</w:t>
      </w:r>
    </w:p>
    <w:p>
      <w:pPr>
        <w:widowControl/>
        <w:adjustRightInd w:val="0"/>
        <w:snapToGrid w:val="0"/>
        <w:spacing w:line="580" w:lineRule="exact"/>
        <w:ind w:firstLine="640" w:firstLineChars="200"/>
        <w:contextualSpacing/>
        <w:jc w:val="left"/>
        <w:rPr>
          <w:rFonts w:ascii="仿宋_GB2312" w:hAnsi="仿宋_GB2312" w:eastAsia="仿宋_GB2312" w:cs="仿宋_GB2312"/>
          <w:sz w:val="32"/>
          <w:szCs w:val="32"/>
        </w:rPr>
      </w:pPr>
      <w:r>
        <w:rPr>
          <w:rFonts w:hint="eastAsia" w:ascii="仿宋_GB2312" w:hAnsi="宋体" w:cs="宋体"/>
          <w:kern w:val="0"/>
          <w:szCs w:val="32"/>
          <w:shd w:val="clear" w:color="auto" w:fill="FFFFFF"/>
          <w:lang w:val="zh-CN"/>
        </w:rPr>
        <w:t>（三）改进建议。无</w:t>
      </w:r>
    </w:p>
    <w:p>
      <w:pPr>
        <w:spacing w:line="580" w:lineRule="exact"/>
        <w:ind w:firstLine="640" w:firstLineChars="200"/>
        <w:rPr>
          <w:rFonts w:ascii="仿宋_GB2312" w:hAnsi="仿宋_GB2312" w:eastAsia="仿宋_GB2312" w:cs="仿宋_GB2312"/>
          <w:sz w:val="32"/>
          <w:szCs w:val="32"/>
        </w:rPr>
      </w:pPr>
    </w:p>
    <w:p>
      <w:pPr>
        <w:spacing w:line="580" w:lineRule="exact"/>
        <w:outlineLvl w:val="1"/>
        <w:rPr>
          <w:rFonts w:ascii="仿宋_GB2312" w:hAnsi="仿宋_GB2312" w:eastAsia="仿宋_GB2312" w:cs="仿宋_GB2312"/>
          <w:sz w:val="32"/>
          <w:szCs w:val="32"/>
        </w:rPr>
      </w:pPr>
      <w:bookmarkStart w:id="59" w:name="_Toc11602"/>
      <w:r>
        <w:rPr>
          <w:rFonts w:hint="eastAsia" w:ascii="黑体" w:hAnsi="黑体" w:eastAsia="黑体" w:cs="黑体"/>
          <w:sz w:val="32"/>
          <w:szCs w:val="32"/>
        </w:rPr>
        <w:t>附件</w:t>
      </w:r>
      <w:r>
        <w:rPr>
          <w:rFonts w:ascii="黑体" w:hAnsi="黑体" w:eastAsia="黑体" w:cs="黑体"/>
          <w:sz w:val="32"/>
          <w:szCs w:val="32"/>
        </w:rPr>
        <w:t>2</w:t>
      </w:r>
      <w:bookmarkEnd w:id="59"/>
    </w:p>
    <w:p>
      <w:pPr>
        <w:spacing w:line="580" w:lineRule="exact"/>
        <w:ind w:firstLine="640" w:firstLineChars="200"/>
        <w:rPr>
          <w:rFonts w:ascii="仿宋_GB2312" w:hAnsi="仿宋_GB2312" w:eastAsia="仿宋_GB2312" w:cs="仿宋_GB2312"/>
          <w:sz w:val="3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lang w:val="en-US" w:eastAsia="zh-CN"/>
        </w:rPr>
        <w:t>乡村少年宫</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autoSpaceDE w:val="0"/>
        <w:autoSpaceDN w:val="0"/>
        <w:adjustRightInd w:val="0"/>
        <w:spacing w:line="580" w:lineRule="atLeast"/>
        <w:ind w:firstLine="640"/>
        <w:jc w:val="left"/>
        <w:rPr>
          <w:rFonts w:hint="eastAsia" w:ascii="宋体" w:cs="宋体"/>
          <w:kern w:val="0"/>
          <w:szCs w:val="32"/>
          <w:highlight w:val="white"/>
          <w:lang w:val="zh-CN"/>
        </w:rPr>
      </w:pPr>
      <w:r>
        <w:rPr>
          <w:rFonts w:hint="eastAsia" w:ascii="宋体" w:hAnsi="???????" w:cs="宋体"/>
          <w:b/>
          <w:bCs/>
          <w:kern w:val="0"/>
          <w:szCs w:val="32"/>
          <w:lang w:val="zh-CN"/>
        </w:rPr>
        <w:t>（一）项目基本情况。</w:t>
      </w:r>
    </w:p>
    <w:p>
      <w:pPr>
        <w:autoSpaceDE w:val="0"/>
        <w:autoSpaceDN w:val="0"/>
        <w:adjustRightInd w:val="0"/>
        <w:spacing w:line="580" w:lineRule="atLeast"/>
        <w:ind w:firstLine="640"/>
        <w:jc w:val="left"/>
        <w:rPr>
          <w:rFonts w:ascii="宋体" w:cs="宋体"/>
          <w:kern w:val="0"/>
          <w:szCs w:val="32"/>
          <w:highlight w:val="white"/>
          <w:lang w:val="zh-CN"/>
        </w:rPr>
      </w:pPr>
      <w:r>
        <w:rPr>
          <w:rFonts w:hint="eastAsia" w:ascii="宋体" w:cs="宋体"/>
          <w:kern w:val="0"/>
          <w:szCs w:val="32"/>
          <w:highlight w:val="white"/>
          <w:lang w:val="zh-CN"/>
        </w:rPr>
        <w:t>1.机构职能：</w:t>
      </w:r>
      <w:r>
        <w:rPr>
          <w:rFonts w:ascii="宋体" w:cs="宋体"/>
          <w:kern w:val="0"/>
          <w:szCs w:val="32"/>
          <w:highlight w:val="white"/>
          <w:lang w:val="zh-CN"/>
        </w:rPr>
        <w:t>正确贯彻执行党和国家的教育方针、政策、法规。维护学校的教学秩序，为学生创造良好的学习环境；积极稳妥地推进教育改革，按教育规律办事，不断提高教育质量；</w:t>
      </w:r>
    </w:p>
    <w:p>
      <w:pPr>
        <w:autoSpaceDE w:val="0"/>
        <w:autoSpaceDN w:val="0"/>
        <w:adjustRightInd w:val="0"/>
        <w:spacing w:line="580" w:lineRule="atLeast"/>
        <w:jc w:val="left"/>
        <w:rPr>
          <w:rFonts w:ascii="宋体" w:cs="宋体"/>
          <w:kern w:val="0"/>
          <w:szCs w:val="32"/>
          <w:highlight w:val="white"/>
          <w:lang w:val="zh-CN"/>
        </w:rPr>
      </w:pPr>
      <w:r>
        <w:rPr>
          <w:rFonts w:ascii="宋体" w:cs="宋体"/>
          <w:kern w:val="0"/>
          <w:szCs w:val="32"/>
          <w:highlight w:val="white"/>
          <w:lang w:val="zh-CN"/>
        </w:rPr>
        <w:t>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生安全。</w:t>
      </w:r>
    </w:p>
    <w:p>
      <w:pPr>
        <w:autoSpaceDE w:val="0"/>
        <w:autoSpaceDN w:val="0"/>
        <w:adjustRightInd w:val="0"/>
        <w:spacing w:line="600" w:lineRule="atLeast"/>
        <w:ind w:firstLine="720"/>
        <w:rPr>
          <w:rFonts w:ascii="宋体" w:hAnsi="宋体" w:eastAsia="宋体"/>
          <w:szCs w:val="32"/>
        </w:rPr>
      </w:pPr>
      <w:r>
        <w:rPr>
          <w:rFonts w:hint="eastAsia" w:ascii="宋体" w:hAnsi="宋体" w:eastAsia="宋体"/>
          <w:szCs w:val="32"/>
        </w:rPr>
        <w:t>2.</w:t>
      </w:r>
      <w:r>
        <w:rPr>
          <w:rFonts w:ascii="宋体" w:hAnsi="宋体" w:eastAsia="宋体"/>
          <w:szCs w:val="32"/>
        </w:rPr>
        <w:t xml:space="preserve">项目立项、资金申报以改善办学条件，达到义务教 育学校办学标准为依据。 </w:t>
      </w:r>
    </w:p>
    <w:p>
      <w:pPr>
        <w:autoSpaceDE w:val="0"/>
        <w:autoSpaceDN w:val="0"/>
        <w:adjustRightInd w:val="0"/>
        <w:spacing w:line="600" w:lineRule="atLeast"/>
        <w:ind w:firstLine="720"/>
        <w:rPr>
          <w:rFonts w:hint="eastAsia" w:ascii="宋体" w:hAnsi="宋体" w:eastAsia="宋体"/>
          <w:szCs w:val="32"/>
        </w:rPr>
      </w:pPr>
      <w:r>
        <w:rPr>
          <w:rFonts w:hint="eastAsia" w:ascii="宋体" w:hAnsi="宋体" w:eastAsia="宋体"/>
          <w:szCs w:val="32"/>
        </w:rPr>
        <w:t>3.</w:t>
      </w:r>
      <w:r>
        <w:rPr>
          <w:rFonts w:ascii="宋体" w:hAnsi="宋体" w:eastAsia="宋体"/>
          <w:szCs w:val="32"/>
        </w:rPr>
        <w:t>学校对专项资金实行专项管理。</w:t>
      </w:r>
    </w:p>
    <w:p>
      <w:pPr>
        <w:autoSpaceDE w:val="0"/>
        <w:autoSpaceDN w:val="0"/>
        <w:adjustRightInd w:val="0"/>
        <w:spacing w:line="600" w:lineRule="atLeast"/>
        <w:ind w:firstLine="720"/>
        <w:rPr>
          <w:rFonts w:ascii="??_GB2312" w:hAnsi="??_GB2312" w:cs="??_GB2312"/>
          <w:b/>
          <w:bCs/>
          <w:kern w:val="0"/>
          <w:szCs w:val="32"/>
        </w:rPr>
      </w:pPr>
      <w:r>
        <w:rPr>
          <w:rFonts w:hint="eastAsia" w:ascii="宋体" w:hAnsi="??_GB2312" w:cs="宋体"/>
          <w:b/>
          <w:bCs/>
          <w:kern w:val="0"/>
          <w:szCs w:val="32"/>
          <w:lang w:val="zh-CN"/>
        </w:rPr>
        <w:t>（二）项目绩效目标。</w:t>
      </w:r>
    </w:p>
    <w:p>
      <w:pPr>
        <w:autoSpaceDE w:val="0"/>
        <w:autoSpaceDN w:val="0"/>
        <w:adjustRightInd w:val="0"/>
        <w:spacing w:line="600" w:lineRule="atLeast"/>
        <w:ind w:firstLine="720"/>
        <w:rPr>
          <w:rFonts w:ascii="宋体" w:hAnsi="??_GB2312" w:cs="宋体"/>
          <w:kern w:val="0"/>
          <w:szCs w:val="32"/>
          <w:lang w:val="zh-CN"/>
        </w:rPr>
      </w:pPr>
      <w:r>
        <w:rPr>
          <w:rFonts w:ascii="??_GB2312" w:hAnsi="??_GB2312" w:cs="??_GB2312"/>
          <w:kern w:val="0"/>
          <w:szCs w:val="32"/>
        </w:rPr>
        <w:t>1</w:t>
      </w:r>
      <w:r>
        <w:rPr>
          <w:rFonts w:hint="eastAsia" w:ascii="宋体" w:hAnsi="??_GB2312" w:cs="宋体"/>
          <w:kern w:val="0"/>
          <w:szCs w:val="32"/>
          <w:lang w:val="zh-CN"/>
        </w:rPr>
        <w:t>．项目主要内容：</w:t>
      </w:r>
    </w:p>
    <w:p>
      <w:pPr>
        <w:autoSpaceDE w:val="0"/>
        <w:autoSpaceDN w:val="0"/>
        <w:adjustRightInd w:val="0"/>
        <w:spacing w:line="600" w:lineRule="atLeast"/>
        <w:ind w:firstLine="720"/>
        <w:rPr>
          <w:rFonts w:ascii="??_GB2312" w:hAnsi="??_GB2312" w:cs="??_GB2312"/>
          <w:kern w:val="0"/>
          <w:szCs w:val="32"/>
        </w:rPr>
      </w:pPr>
      <w:r>
        <w:rPr>
          <w:rFonts w:hint="eastAsia" w:ascii="宋体" w:hAnsi="??_GB2312" w:cs="宋体"/>
          <w:kern w:val="0"/>
          <w:szCs w:val="32"/>
          <w:lang w:val="zh-CN"/>
        </w:rPr>
        <w:t>新建棋文化墙、购少年宫教学用品。</w:t>
      </w:r>
    </w:p>
    <w:p>
      <w:pPr>
        <w:autoSpaceDE w:val="0"/>
        <w:autoSpaceDN w:val="0"/>
        <w:adjustRightInd w:val="0"/>
        <w:spacing w:line="580" w:lineRule="atLeast"/>
        <w:ind w:firstLine="640"/>
        <w:rPr>
          <w:rFonts w:ascii="??_GB2312" w:hAnsi="??_GB2312" w:cs="??_GB2312"/>
          <w:kern w:val="0"/>
          <w:szCs w:val="32"/>
        </w:rPr>
      </w:pPr>
      <w:r>
        <w:rPr>
          <w:rFonts w:ascii="??_GB2312" w:hAnsi="??_GB2312" w:cs="??_GB2312"/>
          <w:kern w:val="0"/>
          <w:szCs w:val="32"/>
        </w:rPr>
        <w:t>2</w:t>
      </w:r>
      <w:r>
        <w:rPr>
          <w:rFonts w:hint="eastAsia" w:ascii="宋体" w:hAnsi="??_GB2312" w:cs="宋体"/>
          <w:kern w:val="0"/>
          <w:szCs w:val="32"/>
          <w:lang w:val="zh-CN"/>
        </w:rPr>
        <w:t>．项目应实现的具体绩效目标，项目全年预算数</w:t>
      </w:r>
      <w:r>
        <w:rPr>
          <w:rFonts w:hint="eastAsia" w:ascii="??_GB2312" w:hAnsi="??_GB2312" w:cs="??_GB2312"/>
          <w:kern w:val="0"/>
          <w:szCs w:val="32"/>
        </w:rPr>
        <w:t>2</w:t>
      </w:r>
      <w:r>
        <w:rPr>
          <w:rFonts w:hint="eastAsia" w:ascii="宋体" w:hAnsi="??_GB2312" w:cs="宋体"/>
          <w:kern w:val="0"/>
          <w:szCs w:val="32"/>
          <w:lang w:val="zh-CN"/>
        </w:rPr>
        <w:t>万元，执行数为</w:t>
      </w:r>
      <w:r>
        <w:rPr>
          <w:rFonts w:hint="eastAsia" w:ascii="??_GB2312" w:hAnsi="??_GB2312" w:cs="??_GB2312"/>
          <w:kern w:val="0"/>
          <w:szCs w:val="32"/>
        </w:rPr>
        <w:t>2</w:t>
      </w:r>
      <w:r>
        <w:rPr>
          <w:rFonts w:hint="eastAsia" w:ascii="宋体" w:hAnsi="??_GB2312" w:cs="宋体"/>
          <w:kern w:val="0"/>
          <w:szCs w:val="32"/>
          <w:lang w:val="zh-CN"/>
        </w:rPr>
        <w:t>万元，完成预算的</w:t>
      </w:r>
      <w:r>
        <w:rPr>
          <w:rFonts w:hint="eastAsia" w:ascii="??_GB2312" w:hAnsi="??_GB2312" w:cs="??_GB2312"/>
          <w:kern w:val="0"/>
          <w:szCs w:val="32"/>
        </w:rPr>
        <w:t>100</w:t>
      </w:r>
      <w:r>
        <w:rPr>
          <w:rFonts w:ascii="??_GB2312" w:hAnsi="??_GB2312" w:cs="??_GB2312"/>
          <w:kern w:val="0"/>
          <w:szCs w:val="32"/>
        </w:rPr>
        <w:t>%</w:t>
      </w:r>
      <w:r>
        <w:rPr>
          <w:rFonts w:hint="eastAsia" w:ascii="宋体" w:hAnsi="??_GB2312" w:cs="宋体"/>
          <w:kern w:val="0"/>
          <w:szCs w:val="32"/>
          <w:lang w:val="zh-CN"/>
        </w:rPr>
        <w:t>。通过项目实施，为乡村青少年提供了更好的成长环境。</w:t>
      </w:r>
    </w:p>
    <w:p>
      <w:pPr>
        <w:autoSpaceDE w:val="0"/>
        <w:autoSpaceDN w:val="0"/>
        <w:adjustRightInd w:val="0"/>
        <w:spacing w:line="600" w:lineRule="atLeast"/>
        <w:ind w:firstLine="720"/>
        <w:rPr>
          <w:rFonts w:ascii="??_GB2312" w:hAnsi="??_GB2312" w:cs="??_GB2312"/>
          <w:kern w:val="0"/>
          <w:szCs w:val="32"/>
        </w:rPr>
      </w:pPr>
      <w:r>
        <w:rPr>
          <w:rFonts w:ascii="??_GB2312" w:hAnsi="??_GB2312" w:cs="??_GB2312"/>
          <w:kern w:val="0"/>
          <w:szCs w:val="32"/>
        </w:rPr>
        <w:t>3</w:t>
      </w:r>
      <w:r>
        <w:rPr>
          <w:rFonts w:hint="eastAsia" w:ascii="宋体" w:hAnsi="??_GB2312" w:cs="宋体"/>
          <w:kern w:val="0"/>
          <w:szCs w:val="32"/>
          <w:lang w:val="zh-CN"/>
        </w:rPr>
        <w:t>．申报内容与实际相符，申报目标合理可行。</w:t>
      </w:r>
    </w:p>
    <w:p>
      <w:pPr>
        <w:autoSpaceDE w:val="0"/>
        <w:autoSpaceDN w:val="0"/>
        <w:adjustRightInd w:val="0"/>
        <w:spacing w:line="600" w:lineRule="atLeast"/>
        <w:ind w:firstLine="720"/>
        <w:rPr>
          <w:rFonts w:ascii="??_GB2312" w:hAnsi="??_GB2312" w:cs="??_GB2312"/>
          <w:b/>
          <w:bCs/>
          <w:kern w:val="0"/>
          <w:szCs w:val="32"/>
        </w:rPr>
      </w:pPr>
      <w:r>
        <w:rPr>
          <w:rFonts w:hint="eastAsia" w:ascii="宋体" w:hAnsi="??_GB2312" w:cs="宋体"/>
          <w:b/>
          <w:bCs/>
          <w:kern w:val="0"/>
          <w:szCs w:val="32"/>
          <w:lang w:val="zh-CN"/>
        </w:rPr>
        <w:t>（三）项目自评步骤及方法。</w:t>
      </w:r>
    </w:p>
    <w:p>
      <w:pPr>
        <w:autoSpaceDE w:val="0"/>
        <w:autoSpaceDN w:val="0"/>
        <w:adjustRightInd w:val="0"/>
        <w:spacing w:line="600" w:lineRule="atLeast"/>
        <w:ind w:firstLine="720"/>
        <w:rPr>
          <w:rFonts w:ascii="宋体" w:hAnsi="??_GB2312" w:cs="宋体"/>
          <w:kern w:val="0"/>
          <w:szCs w:val="32"/>
          <w:lang w:val="zh-CN"/>
        </w:rPr>
      </w:pPr>
      <w:r>
        <w:rPr>
          <w:rFonts w:hint="eastAsia" w:ascii="宋体" w:hAnsi="??_GB2312" w:cs="宋体"/>
          <w:kern w:val="0"/>
          <w:szCs w:val="32"/>
          <w:lang w:val="zh-CN"/>
        </w:rPr>
        <w:t>1.政教自评</w:t>
      </w:r>
    </w:p>
    <w:p>
      <w:pPr>
        <w:autoSpaceDE w:val="0"/>
        <w:autoSpaceDN w:val="0"/>
        <w:adjustRightInd w:val="0"/>
        <w:spacing w:line="600" w:lineRule="atLeast"/>
        <w:ind w:firstLine="720"/>
        <w:rPr>
          <w:rFonts w:ascii="宋体" w:hAnsi="宋体" w:eastAsia="宋体"/>
          <w:szCs w:val="32"/>
        </w:rPr>
      </w:pPr>
      <w:r>
        <w:rPr>
          <w:rFonts w:hint="eastAsia" w:ascii="宋体" w:hAnsi="??_GB2312" w:cs="宋体"/>
          <w:kern w:val="0"/>
          <w:szCs w:val="32"/>
          <w:lang w:val="zh-CN"/>
        </w:rPr>
        <w:t>2.政教向内控小组提交评价结果并由内控小组做出评价。</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二、项目资金申报及使用情况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（一）项目资金申报及批复情况。</w:t>
      </w:r>
    </w:p>
    <w:p>
      <w:pPr>
        <w:autoSpaceDE w:val="0"/>
        <w:autoSpaceDN w:val="0"/>
        <w:adjustRightInd w:val="0"/>
        <w:spacing w:line="600" w:lineRule="atLeast"/>
        <w:ind w:firstLine="720"/>
        <w:rPr>
          <w:rFonts w:ascii="??_GB2312" w:hAnsi="??_GB2312" w:cs="??_GB2312"/>
          <w:kern w:val="0"/>
          <w:szCs w:val="32"/>
        </w:rPr>
      </w:pPr>
      <w:r>
        <w:rPr>
          <w:szCs w:val="32"/>
        </w:rPr>
        <w:t>学校编制项目预算，经部门审核同意后由市财政下达项目资金</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（二）资金计划、到位及使用情况（可用表格形式反映）。</w:t>
      </w:r>
    </w:p>
    <w:p>
      <w:pPr>
        <w:adjustRightInd w:val="0"/>
        <w:snapToGrid w:val="0"/>
        <w:spacing w:line="600" w:lineRule="exact"/>
        <w:ind w:firstLine="720"/>
        <w:rPr>
          <w:rFonts w:hint="eastAsia"/>
        </w:rPr>
      </w:pPr>
      <w:r>
        <w:rPr>
          <w:rFonts w:hint="eastAsia"/>
        </w:rPr>
        <w:t>1.</w:t>
      </w:r>
      <w:r>
        <w:t xml:space="preserve">资金计划。均为财政拨款专项资金。 </w:t>
      </w:r>
    </w:p>
    <w:p>
      <w:pPr>
        <w:adjustRightInd w:val="0"/>
        <w:snapToGrid w:val="0"/>
        <w:spacing w:line="600" w:lineRule="exact"/>
        <w:ind w:firstLine="720"/>
        <w:rPr>
          <w:rFonts w:hint="eastAsia"/>
        </w:rPr>
      </w:pPr>
      <w:r>
        <w:t xml:space="preserve">2.资金到位 </w:t>
      </w:r>
      <w:r>
        <w:rPr>
          <w:rFonts w:hint="eastAsia"/>
        </w:rPr>
        <w:t>2</w:t>
      </w:r>
      <w:r>
        <w:t xml:space="preserve">万元。 </w:t>
      </w:r>
    </w:p>
    <w:p>
      <w:pPr>
        <w:adjustRightInd w:val="0"/>
        <w:snapToGrid w:val="0"/>
        <w:spacing w:line="600" w:lineRule="exact"/>
        <w:ind w:firstLine="720"/>
        <w:rPr>
          <w:rFonts w:ascii="仿宋_GB2312" w:hAnsi="宋体"/>
          <w:szCs w:val="32"/>
          <w:lang w:val="zh-CN"/>
        </w:rPr>
      </w:pPr>
      <w:r>
        <w:t>3.资金使用。该项目资金全部用于乡村学校少年宫经费</w:t>
      </w:r>
      <w:r>
        <w:rPr>
          <w:rFonts w:hint="eastAsia"/>
        </w:rPr>
        <w:t>。</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（三）项目财务管理情况。</w:t>
      </w:r>
    </w:p>
    <w:p>
      <w:pPr>
        <w:adjustRightInd w:val="0"/>
        <w:snapToGrid w:val="0"/>
        <w:spacing w:line="600" w:lineRule="exact"/>
        <w:ind w:firstLine="720"/>
        <w:rPr>
          <w:rFonts w:hint="eastAsia"/>
        </w:rPr>
      </w:pPr>
      <w:r>
        <w:t>学校严格执行财务规章制度, 注重用好管好专项资金， 重视会计监督及资金的使用效益，规范执行项目资金，没有 改变资金用途及挪用截留资金的现象，资金支付手续齐全， 无虚假凭证的情况，确保了资金的安全性</w:t>
      </w:r>
      <w:r>
        <w:rPr>
          <w:rFonts w:hint="eastAsia"/>
        </w:rPr>
        <w:t>。</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三、项目实施及管理情况</w:t>
      </w:r>
    </w:p>
    <w:p>
      <w:pPr>
        <w:adjustRightInd w:val="0"/>
        <w:snapToGrid w:val="0"/>
        <w:spacing w:line="600" w:lineRule="exact"/>
        <w:ind w:firstLine="720"/>
        <w:rPr>
          <w:rFonts w:ascii="仿宋_GB2312" w:hAnsi="宋体"/>
          <w:szCs w:val="32"/>
          <w:lang w:val="zh-CN"/>
        </w:rPr>
      </w:pPr>
      <w:r>
        <w:rPr>
          <w:rFonts w:hint="eastAsia" w:ascii="仿宋_GB2312" w:hAnsi="宋体"/>
          <w:szCs w:val="32"/>
          <w:lang w:val="zh-CN"/>
        </w:rPr>
        <w:t>结合项目组织实施管理办法，重点围绕以下内容进行分析评价，并对自评中发现的问题分析说明。</w:t>
      </w:r>
    </w:p>
    <w:p>
      <w:pPr>
        <w:adjustRightInd w:val="0"/>
        <w:snapToGrid w:val="0"/>
        <w:spacing w:line="600" w:lineRule="exact"/>
        <w:ind w:firstLine="720"/>
        <w:rPr>
          <w:rFonts w:hint="eastAsia" w:ascii="楷体_GB2312" w:hAnsi="宋体" w:eastAsia="楷体_GB2312"/>
          <w:b/>
          <w:szCs w:val="32"/>
          <w:lang w:val="zh-CN"/>
        </w:rPr>
      </w:pPr>
      <w:r>
        <w:rPr>
          <w:rFonts w:hint="eastAsia" w:ascii="楷体_GB2312" w:hAnsi="宋体" w:eastAsia="楷体_GB2312"/>
          <w:b/>
          <w:szCs w:val="32"/>
          <w:lang w:val="zh-CN"/>
        </w:rPr>
        <w:t>（一）项目组织架构及实施流程。</w:t>
      </w:r>
    </w:p>
    <w:p>
      <w:pPr>
        <w:adjustRightInd w:val="0"/>
        <w:snapToGrid w:val="0"/>
        <w:spacing w:line="600" w:lineRule="exact"/>
        <w:ind w:firstLine="720"/>
        <w:rPr>
          <w:rFonts w:ascii="楷体_GB2312" w:hAnsi="宋体" w:eastAsia="楷体_GB2312"/>
          <w:szCs w:val="32"/>
          <w:lang w:val="zh-CN"/>
        </w:rPr>
      </w:pPr>
      <w:r>
        <w:rPr>
          <w:rFonts w:hint="eastAsia" w:ascii="楷体_GB2312" w:hAnsi="宋体" w:eastAsia="楷体_GB2312"/>
          <w:szCs w:val="32"/>
          <w:lang w:val="zh-CN"/>
        </w:rPr>
        <w:t>在项目实施过程中，由政教提起申请，后勤及分管校长、校长审批后实施。</w:t>
      </w:r>
    </w:p>
    <w:p>
      <w:pPr>
        <w:adjustRightInd w:val="0"/>
        <w:snapToGrid w:val="0"/>
        <w:spacing w:line="600" w:lineRule="exact"/>
        <w:ind w:firstLine="720"/>
        <w:rPr>
          <w:rFonts w:hint="eastAsia" w:ascii="楷体_GB2312" w:hAnsi="宋体" w:eastAsia="楷体_GB2312"/>
          <w:b/>
          <w:szCs w:val="32"/>
          <w:lang w:val="zh-CN"/>
        </w:rPr>
      </w:pPr>
      <w:r>
        <w:rPr>
          <w:rFonts w:hint="eastAsia" w:ascii="楷体_GB2312" w:hAnsi="宋体" w:eastAsia="楷体_GB2312"/>
          <w:b/>
          <w:szCs w:val="32"/>
          <w:lang w:val="zh-CN"/>
        </w:rPr>
        <w:t>（二）项目管理情况。</w:t>
      </w:r>
    </w:p>
    <w:p>
      <w:pPr>
        <w:adjustRightInd w:val="0"/>
        <w:snapToGrid w:val="0"/>
        <w:spacing w:line="600" w:lineRule="exact"/>
        <w:ind w:firstLine="720"/>
        <w:rPr>
          <w:rFonts w:ascii="仿宋_GB2312" w:hAnsi="宋体"/>
        </w:rPr>
      </w:pPr>
      <w:r>
        <w:rPr>
          <w:rFonts w:hint="eastAsia" w:ascii="仿宋_GB2312" w:hAnsi="宋体"/>
        </w:rPr>
        <w:t>少年宫有相应的规章制度，分工明确，责任到人。均按规范程序实施。</w:t>
      </w:r>
    </w:p>
    <w:p>
      <w:pPr>
        <w:adjustRightInd w:val="0"/>
        <w:snapToGrid w:val="0"/>
        <w:spacing w:line="600" w:lineRule="exact"/>
        <w:ind w:firstLine="720"/>
        <w:rPr>
          <w:rFonts w:hint="eastAsia" w:ascii="楷体_GB2312" w:hAnsi="宋体" w:eastAsia="楷体_GB2312"/>
          <w:b/>
          <w:szCs w:val="32"/>
          <w:lang w:val="zh-CN"/>
        </w:rPr>
      </w:pPr>
      <w:r>
        <w:rPr>
          <w:rFonts w:hint="eastAsia" w:ascii="楷体_GB2312" w:hAnsi="宋体" w:eastAsia="楷体_GB2312"/>
          <w:b/>
          <w:szCs w:val="32"/>
          <w:lang w:val="zh-CN"/>
        </w:rPr>
        <w:t>（三）项目监管情况。</w:t>
      </w:r>
    </w:p>
    <w:p>
      <w:pPr>
        <w:adjustRightInd w:val="0"/>
        <w:snapToGrid w:val="0"/>
        <w:spacing w:line="600" w:lineRule="exact"/>
        <w:ind w:firstLine="720"/>
        <w:rPr>
          <w:rFonts w:ascii="仿宋_GB2312" w:hAnsi="宋体"/>
        </w:rPr>
      </w:pPr>
      <w:r>
        <w:rPr>
          <w:rFonts w:hint="eastAsia" w:ascii="仿宋_GB2312" w:hAnsi="宋体"/>
        </w:rPr>
        <w:t>单位资金使用方式内审部门进行监督使用。</w:t>
      </w:r>
    </w:p>
    <w:p>
      <w:pPr>
        <w:adjustRightInd w:val="0"/>
        <w:snapToGrid w:val="0"/>
        <w:spacing w:line="600" w:lineRule="exact"/>
        <w:ind w:firstLine="720"/>
        <w:rPr>
          <w:rFonts w:ascii="仿宋_GB2312" w:hAnsi="宋体"/>
          <w:szCs w:val="32"/>
          <w:lang w:val="zh-CN"/>
        </w:rPr>
      </w:pPr>
      <w:r>
        <w:rPr>
          <w:rFonts w:hint="eastAsia" w:ascii="黑体" w:hAnsi="宋体" w:eastAsia="黑体"/>
          <w:szCs w:val="32"/>
        </w:rPr>
        <w:t>四、项目绩效情况</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（一）项目完成情况。</w:t>
      </w:r>
    </w:p>
    <w:p>
      <w:pPr>
        <w:adjustRightInd w:val="0"/>
        <w:snapToGrid w:val="0"/>
        <w:spacing w:line="600" w:lineRule="exact"/>
        <w:ind w:firstLine="720"/>
        <w:rPr>
          <w:rFonts w:ascii="仿宋_GB2312" w:hAnsi="宋体"/>
        </w:rPr>
      </w:pPr>
      <w:r>
        <w:rPr>
          <w:rFonts w:hint="eastAsia" w:ascii="仿宋_GB2312" w:hAnsi="宋体"/>
        </w:rPr>
        <w:t>学校少年宫参与人数覆盖率达到100%，开展了远足、棋王争霸赛等多项活动，组织学生参加上级活动有40余人获奖，年度考核得到上级表扬，并给与了7000元的奖励金，师生满意度达95%以上。</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（二）项目效益情况。</w:t>
      </w:r>
    </w:p>
    <w:p>
      <w:pPr>
        <w:adjustRightInd w:val="0"/>
        <w:snapToGrid w:val="0"/>
        <w:spacing w:line="600" w:lineRule="exact"/>
        <w:ind w:firstLine="720"/>
        <w:rPr>
          <w:rFonts w:hint="eastAsia" w:ascii="仿宋_GB2312" w:hAnsi="宋体"/>
          <w:szCs w:val="32"/>
          <w:lang w:val="zh-CN"/>
        </w:rPr>
      </w:pPr>
      <w:r>
        <w:rPr>
          <w:rFonts w:hint="eastAsia" w:ascii="仿宋_GB2312" w:hAnsi="宋体"/>
          <w:szCs w:val="32"/>
          <w:lang w:val="zh-CN"/>
        </w:rPr>
        <w:t>改善了学校办学条件，学生综合素质得以提高，家长、社会对学校的认可度有所提高、为学校的可持续发展奠定了基础。</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五、评价结论及建议</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（一）评价结论。</w:t>
      </w:r>
    </w:p>
    <w:p>
      <w:pPr>
        <w:adjustRightInd w:val="0"/>
        <w:snapToGrid w:val="0"/>
        <w:spacing w:line="600" w:lineRule="exact"/>
        <w:ind w:firstLine="720"/>
        <w:rPr>
          <w:rFonts w:hint="eastAsia"/>
        </w:rPr>
      </w:pPr>
      <w:r>
        <w:t>该项目符合义务教育办学方针政策，管理符合国家相关 制度，实施达到了预期的社会效益，保障了学校有效运行， 学生、家长及教师满意度较高。</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（二）存在的问题。</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经费偏少。</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（三）相关建议。</w:t>
      </w:r>
    </w:p>
    <w:p>
      <w:pPr>
        <w:adjustRightInd w:val="0"/>
        <w:snapToGrid w:val="0"/>
        <w:spacing w:line="600" w:lineRule="exact"/>
        <w:ind w:firstLine="640" w:firstLineChars="200"/>
        <w:rPr>
          <w:rFonts w:ascii="仿宋_GB2312" w:hAnsi="宋体"/>
          <w:szCs w:val="32"/>
          <w:lang w:val="zh-CN"/>
        </w:rPr>
      </w:pPr>
      <w:r>
        <w:rPr>
          <w:rFonts w:hint="eastAsia" w:ascii="仿宋_GB2312" w:hAnsi="宋体"/>
          <w:szCs w:val="32"/>
          <w:lang w:val="zh-CN"/>
        </w:rPr>
        <w:t>加大预算</w:t>
      </w:r>
    </w:p>
    <w:p>
      <w:pPr>
        <w:spacing w:line="580" w:lineRule="exact"/>
        <w:ind w:firstLine="640"/>
        <w:rPr>
          <w:rFonts w:ascii="仿宋_GB2312" w:hAnsi="仿宋_GB2312" w:eastAsia="仿宋_GB2312" w:cs="仿宋_GB2312"/>
          <w:sz w:val="32"/>
          <w:szCs w:val="32"/>
        </w:rPr>
      </w:pPr>
    </w:p>
    <w:p>
      <w:pPr>
        <w:spacing w:line="580" w:lineRule="exact"/>
        <w:ind w:firstLine="640"/>
        <w:rPr>
          <w:rFonts w:ascii="仿宋_GB2312" w:hAnsi="仿宋_GB2312" w:eastAsia="仿宋_GB2312" w:cs="仿宋_GB2312"/>
          <w:sz w:val="32"/>
          <w:szCs w:val="32"/>
        </w:rPr>
      </w:pPr>
    </w:p>
    <w:p>
      <w:pPr>
        <w:widowControl/>
        <w:jc w:val="left"/>
        <w:rPr>
          <w:rStyle w:val="14"/>
          <w:rFonts w:ascii="黑体" w:hAnsi="黑体" w:eastAsia="黑体"/>
          <w:b w:val="0"/>
        </w:rPr>
      </w:pPr>
    </w:p>
    <w:p>
      <w:pPr>
        <w:widowControl/>
        <w:jc w:val="left"/>
        <w:rPr>
          <w:rStyle w:val="14"/>
          <w:rFonts w:ascii="黑体" w:hAnsi="黑体" w:eastAsia="黑体"/>
          <w:b w:val="0"/>
        </w:rPr>
      </w:pPr>
      <w:r>
        <w:rPr>
          <w:rStyle w:val="14"/>
          <w:rFonts w:ascii="黑体" w:hAnsi="黑体" w:eastAsia="黑体"/>
          <w:b w:val="0"/>
        </w:rPr>
        <w:br w:type="page"/>
      </w:r>
    </w:p>
    <w:p>
      <w:pPr>
        <w:spacing w:line="600" w:lineRule="exact"/>
        <w:jc w:val="center"/>
        <w:outlineLvl w:val="0"/>
        <w:rPr>
          <w:rStyle w:val="14"/>
          <w:rFonts w:ascii="黑体" w:hAnsi="黑体" w:eastAsia="黑体"/>
          <w:b w:val="0"/>
        </w:rPr>
      </w:pPr>
      <w:bookmarkStart w:id="60" w:name="_Toc32283"/>
      <w:bookmarkStart w:id="61" w:name="_Toc15396618"/>
      <w:r>
        <w:rPr>
          <w:rFonts w:hint="eastAsia" w:ascii="黑体" w:hAnsi="黑体" w:eastAsia="黑体"/>
          <w:color w:val="000000"/>
          <w:sz w:val="44"/>
          <w:szCs w:val="44"/>
        </w:rPr>
        <w:t>第</w:t>
      </w:r>
      <w:r>
        <w:rPr>
          <w:rStyle w:val="14"/>
          <w:rFonts w:hint="eastAsia" w:ascii="黑体" w:hAnsi="黑体" w:eastAsia="黑体"/>
          <w:b w:val="0"/>
        </w:rPr>
        <w:t>五部分</w:t>
      </w:r>
      <w:r>
        <w:rPr>
          <w:rStyle w:val="14"/>
          <w:rFonts w:ascii="黑体" w:hAnsi="黑体" w:eastAsia="黑体"/>
          <w:b w:val="0"/>
        </w:rPr>
        <w:t xml:space="preserve"> </w:t>
      </w:r>
      <w:r>
        <w:rPr>
          <w:rStyle w:val="14"/>
          <w:rFonts w:hint="eastAsia" w:ascii="黑体" w:hAnsi="黑体" w:eastAsia="黑体"/>
          <w:b w:val="0"/>
        </w:rPr>
        <w:t>附表</w:t>
      </w:r>
      <w:bookmarkEnd w:id="57"/>
      <w:bookmarkEnd w:id="60"/>
      <w:bookmarkEnd w:id="61"/>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2" w:name="_Toc15699"/>
      <w:bookmarkStart w:id="63" w:name="_Toc15396619"/>
      <w:r>
        <w:rPr>
          <w:rFonts w:hint="eastAsia" w:ascii="仿宋" w:hAnsi="仿宋" w:eastAsia="仿宋"/>
          <w:b w:val="0"/>
          <w:color w:val="000000"/>
        </w:rPr>
        <w:t>一、收</w:t>
      </w:r>
      <w:r>
        <w:rPr>
          <w:rStyle w:val="15"/>
          <w:rFonts w:hint="eastAsia" w:ascii="仿宋" w:hAnsi="仿宋" w:eastAsia="仿宋"/>
          <w:b w:val="0"/>
          <w:bCs w:val="0"/>
        </w:rPr>
        <w:t>入支出决算总表</w:t>
      </w:r>
      <w:bookmarkEnd w:id="62"/>
      <w:bookmarkEnd w:id="63"/>
    </w:p>
    <w:p>
      <w:pPr>
        <w:pStyle w:val="3"/>
        <w:rPr>
          <w:rFonts w:ascii="仿宋" w:hAnsi="仿宋" w:eastAsia="仿宋"/>
          <w:color w:val="000000"/>
        </w:rPr>
      </w:pPr>
      <w:bookmarkStart w:id="64" w:name="_Toc15396620"/>
      <w:bookmarkStart w:id="65" w:name="_Toc27106"/>
      <w:r>
        <w:rPr>
          <w:rFonts w:hint="eastAsia" w:ascii="仿宋" w:hAnsi="仿宋" w:eastAsia="仿宋"/>
          <w:b w:val="0"/>
          <w:color w:val="000000"/>
        </w:rPr>
        <w:t>二、收</w:t>
      </w:r>
      <w:r>
        <w:rPr>
          <w:rStyle w:val="15"/>
          <w:rFonts w:hint="eastAsia" w:ascii="仿宋" w:hAnsi="仿宋" w:eastAsia="仿宋"/>
          <w:b w:val="0"/>
          <w:bCs w:val="0"/>
        </w:rPr>
        <w:t>入决算表</w:t>
      </w:r>
      <w:bookmarkEnd w:id="64"/>
      <w:bookmarkEnd w:id="65"/>
    </w:p>
    <w:p>
      <w:pPr>
        <w:pStyle w:val="3"/>
        <w:rPr>
          <w:rFonts w:ascii="仿宋" w:hAnsi="仿宋" w:eastAsia="仿宋"/>
          <w:color w:val="000000"/>
        </w:rPr>
      </w:pPr>
      <w:bookmarkStart w:id="66" w:name="_Toc26817"/>
      <w:bookmarkStart w:id="67" w:name="_Toc15396621"/>
      <w:r>
        <w:rPr>
          <w:rStyle w:val="15"/>
          <w:rFonts w:hint="eastAsia" w:ascii="仿宋" w:hAnsi="仿宋" w:eastAsia="仿宋"/>
          <w:b w:val="0"/>
          <w:bCs w:val="0"/>
        </w:rPr>
        <w:t>三、</w:t>
      </w:r>
      <w:r>
        <w:rPr>
          <w:rFonts w:hint="eastAsia" w:ascii="仿宋" w:hAnsi="仿宋" w:eastAsia="仿宋"/>
          <w:b w:val="0"/>
          <w:color w:val="000000"/>
        </w:rPr>
        <w:t>支</w:t>
      </w:r>
      <w:r>
        <w:rPr>
          <w:rStyle w:val="15"/>
          <w:rFonts w:hint="eastAsia" w:ascii="仿宋" w:hAnsi="仿宋" w:eastAsia="仿宋"/>
          <w:b w:val="0"/>
          <w:bCs w:val="0"/>
        </w:rPr>
        <w:t>出决算表</w:t>
      </w:r>
      <w:bookmarkEnd w:id="66"/>
      <w:bookmarkEnd w:id="67"/>
    </w:p>
    <w:p>
      <w:pPr>
        <w:pStyle w:val="3"/>
        <w:rPr>
          <w:rFonts w:ascii="仿宋" w:hAnsi="仿宋" w:eastAsia="仿宋"/>
          <w:b w:val="0"/>
          <w:color w:val="000000"/>
        </w:rPr>
      </w:pPr>
      <w:bookmarkStart w:id="68" w:name="_Toc21747"/>
      <w:bookmarkStart w:id="69" w:name="_Toc15396622"/>
      <w:r>
        <w:rPr>
          <w:rStyle w:val="15"/>
          <w:rFonts w:hint="eastAsia" w:ascii="仿宋" w:hAnsi="仿宋" w:eastAsia="仿宋"/>
          <w:b w:val="0"/>
          <w:bCs w:val="0"/>
        </w:rPr>
        <w:t>四、</w:t>
      </w:r>
      <w:r>
        <w:rPr>
          <w:rFonts w:hint="eastAsia" w:ascii="仿宋" w:hAnsi="仿宋" w:eastAsia="仿宋"/>
          <w:b w:val="0"/>
          <w:color w:val="000000"/>
        </w:rPr>
        <w:t>财</w:t>
      </w:r>
      <w:r>
        <w:rPr>
          <w:rStyle w:val="15"/>
          <w:rFonts w:hint="eastAsia" w:ascii="仿宋" w:hAnsi="仿宋" w:eastAsia="仿宋"/>
          <w:b w:val="0"/>
          <w:bCs w:val="0"/>
        </w:rPr>
        <w:t>政拨款收入支出决算总表</w:t>
      </w:r>
      <w:bookmarkEnd w:id="68"/>
      <w:bookmarkEnd w:id="69"/>
    </w:p>
    <w:p>
      <w:pPr>
        <w:pStyle w:val="3"/>
        <w:rPr>
          <w:rStyle w:val="15"/>
          <w:rFonts w:ascii="仿宋" w:hAnsi="仿宋" w:eastAsia="仿宋"/>
          <w:b w:val="0"/>
          <w:bCs w:val="0"/>
        </w:rPr>
      </w:pPr>
      <w:bookmarkStart w:id="70" w:name="_Toc12959"/>
      <w:bookmarkStart w:id="71" w:name="_Toc15396623"/>
      <w:r>
        <w:rPr>
          <w:rStyle w:val="15"/>
          <w:rFonts w:hint="eastAsia" w:ascii="仿宋" w:hAnsi="仿宋" w:eastAsia="仿宋"/>
          <w:b w:val="0"/>
          <w:bCs w:val="0"/>
        </w:rPr>
        <w:t>五、</w:t>
      </w:r>
      <w:r>
        <w:rPr>
          <w:rFonts w:hint="eastAsia" w:ascii="仿宋" w:hAnsi="仿宋" w:eastAsia="仿宋"/>
          <w:b w:val="0"/>
          <w:color w:val="000000"/>
        </w:rPr>
        <w:t>财</w:t>
      </w:r>
      <w:r>
        <w:rPr>
          <w:rStyle w:val="15"/>
          <w:rFonts w:hint="eastAsia" w:ascii="仿宋" w:hAnsi="仿宋" w:eastAsia="仿宋"/>
          <w:b w:val="0"/>
          <w:bCs w:val="0"/>
        </w:rPr>
        <w:t>政拨款支出决算明细表</w:t>
      </w:r>
      <w:bookmarkEnd w:id="70"/>
      <w:bookmarkEnd w:id="71"/>
      <w:bookmarkStart w:id="72" w:name="_Toc15396624"/>
    </w:p>
    <w:p>
      <w:pPr>
        <w:pStyle w:val="3"/>
        <w:rPr>
          <w:rFonts w:ascii="仿宋" w:hAnsi="仿宋" w:eastAsia="仿宋"/>
          <w:color w:val="000000"/>
        </w:rPr>
      </w:pPr>
      <w:bookmarkStart w:id="73" w:name="_Toc23749"/>
      <w:r>
        <w:rPr>
          <w:rStyle w:val="15"/>
          <w:rFonts w:hint="eastAsia" w:ascii="仿宋" w:hAnsi="仿宋" w:eastAsia="仿宋"/>
          <w:b w:val="0"/>
          <w:bCs w:val="0"/>
        </w:rPr>
        <w:t>六、</w:t>
      </w:r>
      <w:r>
        <w:rPr>
          <w:rFonts w:hint="eastAsia" w:ascii="仿宋" w:hAnsi="仿宋" w:eastAsia="仿宋"/>
          <w:b w:val="0"/>
          <w:color w:val="000000"/>
        </w:rPr>
        <w:t>一</w:t>
      </w:r>
      <w:r>
        <w:rPr>
          <w:rStyle w:val="15"/>
          <w:rFonts w:hint="eastAsia" w:ascii="仿宋" w:hAnsi="仿宋" w:eastAsia="仿宋"/>
          <w:b w:val="0"/>
          <w:bCs w:val="0"/>
        </w:rPr>
        <w:t>般公共预算财政拨款支出决算表</w:t>
      </w:r>
      <w:bookmarkEnd w:id="72"/>
      <w:bookmarkEnd w:id="73"/>
    </w:p>
    <w:p>
      <w:pPr>
        <w:pStyle w:val="3"/>
        <w:rPr>
          <w:rFonts w:ascii="仿宋" w:hAnsi="仿宋" w:eastAsia="仿宋"/>
          <w:color w:val="000000"/>
        </w:rPr>
      </w:pPr>
      <w:bookmarkStart w:id="74" w:name="_Toc22275"/>
      <w:bookmarkStart w:id="75" w:name="_Toc15396625"/>
      <w:r>
        <w:rPr>
          <w:rStyle w:val="15"/>
          <w:rFonts w:hint="eastAsia" w:ascii="仿宋" w:hAnsi="仿宋" w:eastAsia="仿宋"/>
          <w:b w:val="0"/>
          <w:bCs w:val="0"/>
        </w:rPr>
        <w:t>七、</w:t>
      </w:r>
      <w:r>
        <w:rPr>
          <w:rFonts w:hint="eastAsia" w:ascii="仿宋" w:hAnsi="仿宋" w:eastAsia="仿宋"/>
          <w:b w:val="0"/>
          <w:color w:val="000000"/>
        </w:rPr>
        <w:t>一</w:t>
      </w:r>
      <w:r>
        <w:rPr>
          <w:rStyle w:val="15"/>
          <w:rFonts w:hint="eastAsia" w:ascii="仿宋" w:hAnsi="仿宋" w:eastAsia="仿宋"/>
          <w:b w:val="0"/>
          <w:bCs w:val="0"/>
        </w:rPr>
        <w:t>般公共预算财政拨款支出决算明细表</w:t>
      </w:r>
      <w:bookmarkEnd w:id="74"/>
      <w:bookmarkEnd w:id="75"/>
    </w:p>
    <w:p>
      <w:pPr>
        <w:pStyle w:val="3"/>
        <w:rPr>
          <w:rFonts w:ascii="仿宋" w:hAnsi="仿宋" w:eastAsia="仿宋"/>
          <w:color w:val="000000"/>
        </w:rPr>
      </w:pPr>
      <w:bookmarkStart w:id="76" w:name="_Toc30634"/>
      <w:bookmarkStart w:id="77" w:name="_Toc15396626"/>
      <w:r>
        <w:rPr>
          <w:rStyle w:val="15"/>
          <w:rFonts w:hint="eastAsia" w:ascii="仿宋" w:hAnsi="仿宋" w:eastAsia="仿宋"/>
          <w:b w:val="0"/>
          <w:bCs w:val="0"/>
        </w:rPr>
        <w:t>八、</w:t>
      </w:r>
      <w:r>
        <w:rPr>
          <w:rFonts w:hint="eastAsia" w:ascii="仿宋" w:hAnsi="仿宋" w:eastAsia="仿宋"/>
          <w:b w:val="0"/>
          <w:color w:val="000000"/>
        </w:rPr>
        <w:t>一</w:t>
      </w:r>
      <w:r>
        <w:rPr>
          <w:rStyle w:val="15"/>
          <w:rFonts w:hint="eastAsia" w:ascii="仿宋" w:hAnsi="仿宋" w:eastAsia="仿宋"/>
          <w:b w:val="0"/>
          <w:bCs w:val="0"/>
        </w:rPr>
        <w:t>般公共预算财政拨款基本支出决算表</w:t>
      </w:r>
      <w:bookmarkEnd w:id="76"/>
      <w:bookmarkEnd w:id="77"/>
    </w:p>
    <w:p>
      <w:pPr>
        <w:pStyle w:val="3"/>
        <w:rPr>
          <w:rFonts w:ascii="仿宋" w:hAnsi="仿宋" w:eastAsia="仿宋"/>
          <w:color w:val="000000"/>
        </w:rPr>
      </w:pPr>
      <w:bookmarkStart w:id="78" w:name="_Toc15170"/>
      <w:bookmarkStart w:id="79" w:name="_Toc15396627"/>
      <w:r>
        <w:rPr>
          <w:rStyle w:val="15"/>
          <w:rFonts w:hint="eastAsia" w:ascii="仿宋" w:hAnsi="仿宋" w:eastAsia="仿宋"/>
          <w:b w:val="0"/>
          <w:bCs w:val="0"/>
        </w:rPr>
        <w:t>九、</w:t>
      </w:r>
      <w:r>
        <w:rPr>
          <w:rFonts w:hint="eastAsia" w:ascii="仿宋" w:hAnsi="仿宋" w:eastAsia="仿宋"/>
          <w:b w:val="0"/>
          <w:color w:val="000000"/>
        </w:rPr>
        <w:t>一</w:t>
      </w:r>
      <w:r>
        <w:rPr>
          <w:rStyle w:val="15"/>
          <w:rFonts w:hint="eastAsia" w:ascii="仿宋" w:hAnsi="仿宋" w:eastAsia="仿宋"/>
          <w:b w:val="0"/>
          <w:bCs w:val="0"/>
        </w:rPr>
        <w:t>般公共预算财政拨款项目支出决算表</w:t>
      </w:r>
      <w:bookmarkEnd w:id="78"/>
      <w:bookmarkEnd w:id="79"/>
    </w:p>
    <w:p>
      <w:pPr>
        <w:pStyle w:val="3"/>
        <w:spacing w:line="360" w:lineRule="auto"/>
        <w:rPr>
          <w:rFonts w:ascii="仿宋" w:hAnsi="仿宋" w:eastAsia="仿宋"/>
          <w:color w:val="000000"/>
        </w:rPr>
      </w:pPr>
      <w:bookmarkStart w:id="80" w:name="_Toc17603"/>
      <w:bookmarkStart w:id="81" w:name="_Toc15396628"/>
      <w:r>
        <w:rPr>
          <w:rStyle w:val="15"/>
          <w:rFonts w:hint="eastAsia" w:ascii="仿宋" w:hAnsi="仿宋" w:eastAsia="仿宋"/>
          <w:b w:val="0"/>
          <w:bCs w:val="0"/>
        </w:rPr>
        <w:t>十、</w:t>
      </w:r>
      <w:r>
        <w:rPr>
          <w:rFonts w:hint="eastAsia" w:ascii="仿宋" w:hAnsi="仿宋" w:eastAsia="仿宋"/>
          <w:b w:val="0"/>
          <w:color w:val="000000"/>
        </w:rPr>
        <w:t>一</w:t>
      </w:r>
      <w:r>
        <w:rPr>
          <w:rStyle w:val="15"/>
          <w:rFonts w:hint="eastAsia" w:ascii="仿宋" w:hAnsi="仿宋" w:eastAsia="仿宋"/>
          <w:b w:val="0"/>
          <w:bCs w:val="0"/>
        </w:rPr>
        <w:t>般公共预算财政拨款“三公”经费支出决算表</w:t>
      </w:r>
      <w:bookmarkEnd w:id="80"/>
      <w:bookmarkEnd w:id="81"/>
    </w:p>
    <w:p>
      <w:pPr>
        <w:pStyle w:val="3"/>
        <w:spacing w:line="360" w:lineRule="auto"/>
        <w:rPr>
          <w:rFonts w:ascii="仿宋" w:hAnsi="仿宋" w:eastAsia="仿宋"/>
          <w:color w:val="000000"/>
        </w:rPr>
      </w:pPr>
      <w:bookmarkStart w:id="82" w:name="_Toc7313"/>
      <w:bookmarkStart w:id="83" w:name="_Toc15396629"/>
      <w:r>
        <w:rPr>
          <w:rStyle w:val="15"/>
          <w:rFonts w:hint="eastAsia" w:ascii="仿宋" w:hAnsi="仿宋" w:eastAsia="仿宋"/>
          <w:b w:val="0"/>
          <w:bCs w:val="0"/>
        </w:rPr>
        <w:t>十一、</w:t>
      </w:r>
      <w:r>
        <w:rPr>
          <w:rFonts w:hint="eastAsia" w:ascii="仿宋" w:hAnsi="仿宋" w:eastAsia="仿宋"/>
          <w:b w:val="0"/>
          <w:color w:val="000000"/>
        </w:rPr>
        <w:t>政</w:t>
      </w:r>
      <w:r>
        <w:rPr>
          <w:rStyle w:val="15"/>
          <w:rFonts w:hint="eastAsia" w:ascii="仿宋" w:hAnsi="仿宋" w:eastAsia="仿宋"/>
          <w:b w:val="0"/>
          <w:bCs w:val="0"/>
        </w:rPr>
        <w:t>府性基金预算财政拨款收入支出决算表</w:t>
      </w:r>
      <w:bookmarkEnd w:id="82"/>
      <w:bookmarkEnd w:id="83"/>
    </w:p>
    <w:p>
      <w:pPr>
        <w:pStyle w:val="3"/>
        <w:rPr>
          <w:rFonts w:hint="eastAsia" w:ascii="仿宋" w:hAnsi="仿宋" w:eastAsia="仿宋"/>
          <w:b w:val="0"/>
          <w:color w:val="000000"/>
        </w:rPr>
      </w:pPr>
      <w:bookmarkStart w:id="84" w:name="_Toc15396630"/>
      <w:bookmarkStart w:id="85" w:name="_Toc9382"/>
      <w:r>
        <w:rPr>
          <w:rFonts w:hint="eastAsia" w:ascii="仿宋" w:hAnsi="仿宋" w:eastAsia="仿宋"/>
          <w:b w:val="0"/>
          <w:color w:val="000000"/>
        </w:rPr>
        <w:t>十二、政府性基金预算财政拨款“三公”经费支出决算表</w:t>
      </w:r>
      <w:bookmarkEnd w:id="84"/>
      <w:bookmarkEnd w:id="85"/>
    </w:p>
    <w:p>
      <w:pPr>
        <w:pStyle w:val="3"/>
        <w:rPr>
          <w:rFonts w:hint="eastAsia" w:ascii="仿宋" w:hAnsi="仿宋" w:eastAsia="仿宋"/>
          <w:b w:val="0"/>
          <w:color w:val="000000"/>
        </w:rPr>
      </w:pPr>
      <w:bookmarkStart w:id="86" w:name="_Toc22683"/>
      <w:r>
        <w:rPr>
          <w:rFonts w:hint="eastAsia" w:ascii="仿宋" w:hAnsi="仿宋" w:eastAsia="仿宋"/>
          <w:b w:val="0"/>
          <w:color w:val="000000"/>
        </w:rPr>
        <w:t>十三、国有资本经营预算财政拨款收入支出决算表</w:t>
      </w:r>
      <w:bookmarkEnd w:id="86"/>
    </w:p>
    <w:p>
      <w:pPr>
        <w:pStyle w:val="3"/>
        <w:rPr>
          <w:rFonts w:hint="eastAsia" w:ascii="仿宋" w:hAnsi="仿宋" w:eastAsia="仿宋"/>
          <w:b w:val="0"/>
          <w:color w:val="000000"/>
        </w:rPr>
      </w:pPr>
      <w:bookmarkStart w:id="87" w:name="_Toc10257"/>
      <w:r>
        <w:rPr>
          <w:rFonts w:hint="eastAsia" w:ascii="仿宋" w:hAnsi="仿宋" w:eastAsia="仿宋"/>
          <w:b w:val="0"/>
          <w:color w:val="000000"/>
        </w:rPr>
        <w:t>十四、国有资本经营预算财政拨款支出决算表</w:t>
      </w:r>
      <w:bookmarkEnd w:id="87"/>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18DD61"/>
    <w:multiLevelType w:val="singleLevel"/>
    <w:tmpl w:val="CE18DD61"/>
    <w:lvl w:ilvl="0" w:tentative="0">
      <w:start w:val="10"/>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2">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4">
    <w:nsid w:val="525B2160"/>
    <w:multiLevelType w:val="multilevel"/>
    <w:tmpl w:val="525B216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6D96529"/>
    <w:rsid w:val="1B373098"/>
    <w:rsid w:val="1CA212DC"/>
    <w:rsid w:val="206B60AE"/>
    <w:rsid w:val="2AEB0FC5"/>
    <w:rsid w:val="2DF80F6D"/>
    <w:rsid w:val="37755CB2"/>
    <w:rsid w:val="3B284480"/>
    <w:rsid w:val="3E4169FF"/>
    <w:rsid w:val="44995108"/>
    <w:rsid w:val="45C7604B"/>
    <w:rsid w:val="47444B86"/>
    <w:rsid w:val="4A634D60"/>
    <w:rsid w:val="4F794C9C"/>
    <w:rsid w:val="51EE5C1A"/>
    <w:rsid w:val="5527753F"/>
    <w:rsid w:val="5D3E75DF"/>
    <w:rsid w:val="6504078C"/>
    <w:rsid w:val="726E3979"/>
    <w:rsid w:val="77922EA9"/>
    <w:rsid w:val="79246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Cambria" w:hAnsi="Cambria"/>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eastAsia="仿宋_GB2312"/>
      <w:kern w:val="0"/>
      <w:sz w:val="24"/>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paragraph" w:styleId="9">
    <w:name w:val="Normal (Web)"/>
    <w:basedOn w:val="1"/>
    <w:qFormat/>
    <w:uiPriority w:val="99"/>
    <w:pPr>
      <w:spacing w:before="100" w:beforeAutospacing="1" w:after="100" w:afterAutospacing="1"/>
    </w:pPr>
    <w:rPr>
      <w:rFonts w:ascii="宋体" w:hAnsi="宋体" w:eastAsia="宋体" w:cs="宋体"/>
      <w:color w:val="000000"/>
      <w:kern w:val="1"/>
      <w:sz w:val="24"/>
      <w:szCs w:val="28"/>
    </w:rPr>
  </w:style>
  <w:style w:type="character" w:styleId="12">
    <w:name w:val="Strong"/>
    <w:basedOn w:val="11"/>
    <w:qFormat/>
    <w:uiPriority w:val="99"/>
    <w:rPr>
      <w:rFonts w:cs="Times New Roman"/>
      <w:b/>
    </w:rPr>
  </w:style>
  <w:style w:type="character" w:styleId="13">
    <w:name w:val="Hyperlink"/>
    <w:unhideWhenUsed/>
    <w:qFormat/>
    <w:uiPriority w:val="99"/>
    <w:rPr>
      <w:color w:val="0000FF"/>
      <w:u w:val="single"/>
    </w:rPr>
  </w:style>
  <w:style w:type="character" w:customStyle="1" w:styleId="14">
    <w:name w:val=" Char Char6"/>
    <w:basedOn w:val="11"/>
    <w:link w:val="2"/>
    <w:qFormat/>
    <w:locked/>
    <w:uiPriority w:val="9"/>
    <w:rPr>
      <w:b/>
      <w:bCs/>
      <w:kern w:val="44"/>
      <w:sz w:val="44"/>
      <w:szCs w:val="44"/>
    </w:rPr>
  </w:style>
  <w:style w:type="character" w:customStyle="1" w:styleId="15">
    <w:name w:val=" Char Char5"/>
    <w:basedOn w:val="11"/>
    <w:link w:val="3"/>
    <w:qFormat/>
    <w:locked/>
    <w:uiPriority w:val="9"/>
    <w:rPr>
      <w:rFonts w:ascii="Cambria" w:hAnsi="Cambria"/>
      <w:b/>
      <w:bCs/>
      <w:sz w:val="32"/>
      <w:szCs w:val="32"/>
    </w:rPr>
  </w:style>
  <w:style w:type="paragraph" w:customStyle="1"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2.bin"/></Relationships>
</file>

<file path=word/charts/_rels/chart4.xml.rels><?xml version="1.0" encoding="UTF-8" standalone="yes"?>
<Relationships xmlns="http://schemas.openxmlformats.org/package/2006/relationships"><Relationship Id="rId1" Type="http://schemas.openxmlformats.org/officeDocument/2006/relationships/oleObject" Target="../embeddings/oleObject3.bin"/></Relationships>
</file>

<file path=word/charts/_rels/chart5.xml.rels><?xml version="1.0" encoding="UTF-8" standalone="yes"?>
<Relationships xmlns="http://schemas.openxmlformats.org/package/2006/relationships"><Relationship Id="rId1" Type="http://schemas.openxmlformats.org/officeDocument/2006/relationships/oleObject" Target="../embeddings/oleObject4.bin"/></Relationships>
</file>

<file path=word/charts/_rels/chart6.xml.rels><?xml version="1.0" encoding="UTF-8" standalone="yes"?>
<Relationships xmlns="http://schemas.openxmlformats.org/package/2006/relationships"><Relationship Id="rId1" Type="http://schemas.openxmlformats.org/officeDocument/2006/relationships/oleObject" Target="../embeddings/oleObject5.bin"/></Relationships>
</file>

<file path=word/charts/_rels/chart7.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14559063397833"/>
          <c:y val="0.0517487773044763"/>
          <c:w val="0.724052799788039"/>
          <c:h val="0.730789552945226"/>
        </c:manualLayout>
      </c:layout>
      <c:barChart>
        <c:barDir val="col"/>
        <c:grouping val="clustered"/>
        <c:varyColors val="0"/>
        <c:ser>
          <c:idx val="0"/>
          <c:order val="0"/>
          <c:tx>
            <c:strRef>
              <c:f>Sheet1!$B$1</c:f>
              <c:strCache>
                <c:ptCount val="1"/>
                <c:pt idx="0">
                  <c:v>收入总计</c:v>
                </c:pt>
              </c:strCache>
            </c:strRef>
          </c:tx>
          <c:invertIfNegative val="0"/>
          <c:dLbls>
            <c:delete val="1"/>
          </c:dLbls>
          <c:cat>
            <c:strRef>
              <c:f>Sheet1!$A$2:$A$3</c:f>
              <c:strCache>
                <c:ptCount val="2"/>
                <c:pt idx="0">
                  <c:v>2019年</c:v>
                </c:pt>
                <c:pt idx="1">
                  <c:v>2020年</c:v>
                </c:pt>
              </c:strCache>
            </c:strRef>
          </c:cat>
          <c:val>
            <c:numRef>
              <c:f>Sheet1!$B$2:$B$3</c:f>
              <c:numCache>
                <c:formatCode>General</c:formatCode>
                <c:ptCount val="2"/>
                <c:pt idx="0">
                  <c:v>1416.86</c:v>
                </c:pt>
                <c:pt idx="1">
                  <c:v>1145.3</c:v>
                </c:pt>
              </c:numCache>
            </c:numRef>
          </c:val>
        </c:ser>
        <c:ser>
          <c:idx val="1"/>
          <c:order val="1"/>
          <c:tx>
            <c:strRef>
              <c:f>Sheet1!$C$1</c:f>
              <c:strCache>
                <c:ptCount val="1"/>
                <c:pt idx="0">
                  <c:v>支出总计</c:v>
                </c:pt>
              </c:strCache>
            </c:strRef>
          </c:tx>
          <c:invertIfNegative val="0"/>
          <c:dLbls>
            <c:delete val="1"/>
          </c:dLbls>
          <c:cat>
            <c:strRef>
              <c:f>Sheet1!$A$2:$A$3</c:f>
              <c:strCache>
                <c:ptCount val="2"/>
                <c:pt idx="0">
                  <c:v>2019年</c:v>
                </c:pt>
                <c:pt idx="1">
                  <c:v>2020年</c:v>
                </c:pt>
              </c:strCache>
            </c:strRef>
          </c:cat>
          <c:val>
            <c:numRef>
              <c:f>Sheet1!$C$2:$C$3</c:f>
              <c:numCache>
                <c:formatCode>General</c:formatCode>
                <c:ptCount val="2"/>
                <c:pt idx="0">
                  <c:v>1416.86</c:v>
                </c:pt>
                <c:pt idx="1">
                  <c:v>1145.3</c:v>
                </c:pt>
              </c:numCache>
            </c:numRef>
          </c:val>
        </c:ser>
        <c:dLbls>
          <c:showLegendKey val="0"/>
          <c:showVal val="0"/>
          <c:showCatName val="0"/>
          <c:showSerName val="0"/>
          <c:showPercent val="0"/>
          <c:showBubbleSize val="0"/>
        </c:dLbls>
        <c:gapWidth val="150"/>
        <c:axId val="864635584"/>
        <c:axId val="864636128"/>
      </c:barChart>
      <c:catAx>
        <c:axId val="86463558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864636128"/>
        <c:crosses val="autoZero"/>
        <c:auto val="1"/>
        <c:lblAlgn val="ctr"/>
        <c:lblOffset val="100"/>
        <c:noMultiLvlLbl val="0"/>
      </c:catAx>
      <c:valAx>
        <c:axId val="86463612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864635584"/>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p>
      </c:txPr>
    </c:title>
    <c:autoTitleDeleted val="0"/>
    <c:plotArea>
      <c:layout/>
      <c:pieChart>
        <c:varyColors val="1"/>
        <c:ser>
          <c:idx val="0"/>
          <c:order val="0"/>
          <c:tx>
            <c:strRef>
              <c:f>Sheet1!$B$1</c:f>
              <c:strCache>
                <c:ptCount val="1"/>
                <c:pt idx="0">
                  <c:v>本年收入</c:v>
                </c:pt>
              </c:strCache>
            </c:strRef>
          </c:tx>
          <c:explosion val="0"/>
          <c:dPt>
            <c:idx val="0"/>
            <c:bubble3D val="0"/>
          </c:dPt>
          <c:dPt>
            <c:idx val="1"/>
            <c:bubble3D val="0"/>
          </c:dPt>
          <c:dPt>
            <c:idx val="2"/>
            <c:bubble3D val="0"/>
          </c:dPt>
          <c:dPt>
            <c:idx val="3"/>
            <c:bubble3D val="0"/>
          </c:dPt>
          <c:dPt>
            <c:idx val="4"/>
            <c:bubble3D val="0"/>
          </c:dPt>
          <c:dPt>
            <c:idx val="5"/>
            <c:bubble3D val="0"/>
          </c:dPt>
          <c:dPt>
            <c:idx val="6"/>
            <c:bubble3D val="0"/>
          </c:dPt>
          <c:dLbls>
            <c:dLbl>
              <c:idx val="1"/>
              <c:layout>
                <c:manualLayout>
                  <c:x val="-0.382304207279258"/>
                  <c:y val="0.445832604257803"/>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260953589721473"/>
                  <c:y val="0.243218225172835"/>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4"/>
              <c:layout>
                <c:manualLayout>
                  <c:x val="-0.395345212130174"/>
                  <c:y val="0.0406038460878665"/>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5"/>
              <c:layout>
                <c:manualLayout>
                  <c:x val="-0.142997794289799"/>
                  <c:y val="-0.0530780711234625"/>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6"/>
              <c:layout>
                <c:manualLayout>
                  <c:x val="0.259323438443434"/>
                  <c:y val="-0.077043212735662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Sheet1!$A$2:$A$8</c:f>
              <c:strCache>
                <c:ptCount val="7"/>
                <c:pt idx="0">
                  <c:v>一般公共预算财政收入</c:v>
                </c:pt>
                <c:pt idx="1">
                  <c:v>政府性基金预算财政拨款收入</c:v>
                </c:pt>
                <c:pt idx="2">
                  <c:v>上级补助收入</c:v>
                </c:pt>
                <c:pt idx="3">
                  <c:v>事业收入</c:v>
                </c:pt>
                <c:pt idx="4">
                  <c:v>经营收入</c:v>
                </c:pt>
                <c:pt idx="5">
                  <c:v>附属单位上缴收入</c:v>
                </c:pt>
                <c:pt idx="6">
                  <c:v>其他收入</c:v>
                </c:pt>
              </c:strCache>
            </c:strRef>
          </c:cat>
          <c:val>
            <c:numRef>
              <c:f>Sheet1!$B$2:$B$8</c:f>
              <c:numCache>
                <c:formatCode>General</c:formatCode>
                <c:ptCount val="7"/>
                <c:pt idx="0">
                  <c:v>1061.8</c:v>
                </c:pt>
                <c:pt idx="1">
                  <c:v>2.7</c:v>
                </c:pt>
                <c:pt idx="2">
                  <c:v>0</c:v>
                </c:pt>
                <c:pt idx="3">
                  <c:v>7.6</c:v>
                </c:pt>
                <c:pt idx="4">
                  <c:v>0</c:v>
                </c:pt>
                <c:pt idx="5">
                  <c:v>0</c:v>
                </c:pt>
                <c:pt idx="6">
                  <c:v>0</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379674691803071"/>
          <c:y val="0"/>
        </c:manualLayout>
      </c:layout>
      <c:overlay val="0"/>
      <c:txPr>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p>
      </c:txPr>
    </c:title>
    <c:autoTitleDeleted val="0"/>
    <c:plotArea>
      <c:layout/>
      <c:pieChart>
        <c:varyColors val="1"/>
        <c:ser>
          <c:idx val="0"/>
          <c:order val="0"/>
          <c:tx>
            <c:strRef>
              <c:f>Sheet1!$B$1</c:f>
              <c:strCache>
                <c:ptCount val="1"/>
                <c:pt idx="0">
                  <c:v>本年支出</c:v>
                </c:pt>
              </c:strCache>
            </c:strRef>
          </c:tx>
          <c:explosion val="0"/>
          <c:dPt>
            <c:idx val="0"/>
            <c:bubble3D val="0"/>
          </c:dPt>
          <c:dPt>
            <c:idx val="1"/>
            <c:bubble3D val="0"/>
          </c:dPt>
          <c:dPt>
            <c:idx val="2"/>
            <c:bubble3D val="0"/>
          </c:dPt>
          <c:dPt>
            <c:idx val="3"/>
            <c:bubble3D val="0"/>
          </c:dPt>
          <c:dPt>
            <c:idx val="4"/>
            <c:bubble3D val="0"/>
          </c:dPt>
          <c:dLbls>
            <c:dLbl>
              <c:idx val="0"/>
              <c:layout>
                <c:manualLayout>
                  <c:x val="0.130247638477418"/>
                  <c:y val="0.143062117235346"/>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121852571307435"/>
                  <c:y val="0.522650245642372"/>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304079313156628"/>
                  <c:y val="-0.00164075644390606"/>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30774451374306"/>
                  <c:y val="0.32314556834242"/>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4"/>
              <c:layout>
                <c:manualLayout>
                  <c:x val="0.279687180246012"/>
                  <c:y val="0.0090430042398547"/>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1023.72</c:v>
                </c:pt>
                <c:pt idx="1">
                  <c:v>117.83</c:v>
                </c:pt>
                <c:pt idx="2">
                  <c:v>0</c:v>
                </c:pt>
                <c:pt idx="3">
                  <c:v>0</c:v>
                </c:pt>
                <c:pt idx="4">
                  <c:v>0</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财政拨款收入总计</c:v>
                </c:pt>
              </c:strCache>
            </c:strRef>
          </c:tx>
          <c:invertIfNegative val="0"/>
          <c:dLbls>
            <c:delete val="1"/>
          </c:dLbls>
          <c:cat>
            <c:strRef>
              <c:f>Sheet1!$A$2:$A$3</c:f>
              <c:strCache>
                <c:ptCount val="2"/>
                <c:pt idx="0">
                  <c:v>2019年</c:v>
                </c:pt>
                <c:pt idx="1">
                  <c:v>2020年</c:v>
                </c:pt>
              </c:strCache>
            </c:strRef>
          </c:cat>
          <c:val>
            <c:numRef>
              <c:f>Sheet1!$B$2:$B$3</c:f>
              <c:numCache>
                <c:formatCode>General</c:formatCode>
                <c:ptCount val="2"/>
                <c:pt idx="0">
                  <c:v>1385.54</c:v>
                </c:pt>
                <c:pt idx="1">
                  <c:v>1137.68</c:v>
                </c:pt>
              </c:numCache>
            </c:numRef>
          </c:val>
        </c:ser>
        <c:ser>
          <c:idx val="1"/>
          <c:order val="1"/>
          <c:tx>
            <c:strRef>
              <c:f>Sheet1!$C$1</c:f>
              <c:strCache>
                <c:ptCount val="1"/>
                <c:pt idx="0">
                  <c:v>财政拨款支出总计</c:v>
                </c:pt>
              </c:strCache>
            </c:strRef>
          </c:tx>
          <c:invertIfNegative val="0"/>
          <c:dLbls>
            <c:delete val="1"/>
          </c:dLbls>
          <c:cat>
            <c:strRef>
              <c:f>Sheet1!$A$2:$A$3</c:f>
              <c:strCache>
                <c:ptCount val="2"/>
                <c:pt idx="0">
                  <c:v>2019年</c:v>
                </c:pt>
                <c:pt idx="1">
                  <c:v>2020年</c:v>
                </c:pt>
              </c:strCache>
            </c:strRef>
          </c:cat>
          <c:val>
            <c:numRef>
              <c:f>Sheet1!$C$2:$C$3</c:f>
              <c:numCache>
                <c:formatCode>General</c:formatCode>
                <c:ptCount val="2"/>
                <c:pt idx="0">
                  <c:v>1385.54</c:v>
                </c:pt>
                <c:pt idx="1">
                  <c:v>1137.68</c:v>
                </c:pt>
              </c:numCache>
            </c:numRef>
          </c:val>
        </c:ser>
        <c:dLbls>
          <c:showLegendKey val="0"/>
          <c:showVal val="0"/>
          <c:showCatName val="0"/>
          <c:showSerName val="0"/>
          <c:showPercent val="0"/>
          <c:showBubbleSize val="0"/>
        </c:dLbls>
        <c:gapWidth val="150"/>
        <c:axId val="864623072"/>
        <c:axId val="864630144"/>
      </c:barChart>
      <c:catAx>
        <c:axId val="864623072"/>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864630144"/>
        <c:crosses val="autoZero"/>
        <c:auto val="1"/>
        <c:lblAlgn val="ctr"/>
        <c:lblOffset val="100"/>
        <c:noMultiLvlLbl val="0"/>
      </c:catAx>
      <c:valAx>
        <c:axId val="86463014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864623072"/>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一般公共预算财政拨款支出</c:v>
                </c:pt>
              </c:strCache>
            </c:strRef>
          </c:tx>
          <c:invertIfNegative val="0"/>
          <c:dLbls>
            <c:delete val="1"/>
          </c:dLbls>
          <c:cat>
            <c:strRef>
              <c:f>Sheet1!$A$2:$A$3</c:f>
              <c:strCache>
                <c:ptCount val="2"/>
                <c:pt idx="0">
                  <c:v>2019年</c:v>
                </c:pt>
                <c:pt idx="1">
                  <c:v>2020年</c:v>
                </c:pt>
              </c:strCache>
            </c:strRef>
          </c:cat>
          <c:val>
            <c:numRef>
              <c:f>Sheet1!$B$2:$B$3</c:f>
              <c:numCache>
                <c:formatCode>General</c:formatCode>
                <c:ptCount val="2"/>
                <c:pt idx="0">
                  <c:v>1195.53</c:v>
                </c:pt>
                <c:pt idx="1">
                  <c:v>1129.11</c:v>
                </c:pt>
              </c:numCache>
            </c:numRef>
          </c:val>
        </c:ser>
        <c:dLbls>
          <c:showLegendKey val="0"/>
          <c:showVal val="0"/>
          <c:showCatName val="0"/>
          <c:showSerName val="0"/>
          <c:showPercent val="0"/>
          <c:showBubbleSize val="0"/>
        </c:dLbls>
        <c:gapWidth val="150"/>
        <c:axId val="864636672"/>
        <c:axId val="864633408"/>
      </c:barChart>
      <c:catAx>
        <c:axId val="864636672"/>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864633408"/>
        <c:crosses val="autoZero"/>
        <c:auto val="1"/>
        <c:lblAlgn val="ctr"/>
        <c:lblOffset val="100"/>
        <c:noMultiLvlLbl val="0"/>
      </c:catAx>
      <c:valAx>
        <c:axId val="86463340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864636672"/>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31773852138934"/>
          <c:y val="0"/>
        </c:manualLayout>
      </c:layout>
      <c:overlay val="0"/>
      <c:txPr>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explosion val="0"/>
          <c:dPt>
            <c:idx val="0"/>
            <c:bubble3D val="0"/>
          </c:dPt>
          <c:dLbls>
            <c:dLbl>
              <c:idx val="0"/>
              <c:layout>
                <c:manualLayout>
                  <c:x val="0.130247638477418"/>
                  <c:y val="0.143062117235346"/>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教育支出</c:v>
                </c:pt>
              </c:strCache>
            </c:strRef>
          </c:cat>
          <c:val>
            <c:numRef>
              <c:f>Sheet1!$B$2</c:f>
              <c:numCache>
                <c:formatCode>General</c:formatCode>
                <c:ptCount val="1"/>
                <c:pt idx="0">
                  <c:v>1129.11</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solidFill>
                <a:latin typeface="+mn-lt"/>
                <a:ea typeface="+mn-ea"/>
                <a:cs typeface="+mn-cs"/>
              </a:defRPr>
            </a:pPr>
            <a:r>
              <a:rPr lang="zh-CN" altLang="en-US"/>
              <a:t>“三公”经费财政拨款支出</a:t>
            </a:r>
            <a:endParaRPr lang="zh-CN" altLang="en-US"/>
          </a:p>
        </c:rich>
      </c:tx>
      <c:layout>
        <c:manualLayout>
          <c:xMode val="edge"/>
          <c:yMode val="edge"/>
          <c:x val="0.214077025232404"/>
          <c:y val="0.0569620253164557"/>
        </c:manualLayout>
      </c:layout>
      <c:overlay val="0"/>
    </c:title>
    <c:autoTitleDeleted val="0"/>
    <c:plotArea>
      <c:layout/>
      <c:pieChart>
        <c:varyColors val="1"/>
        <c:ser>
          <c:idx val="0"/>
          <c:order val="0"/>
          <c:tx>
            <c:strRef>
              <c:f>Sheet1!$B$1</c:f>
              <c:strCache>
                <c:ptCount val="1"/>
                <c:pt idx="0">
                  <c:v>财政拨款支出</c:v>
                </c:pt>
              </c:strCache>
            </c:strRef>
          </c:tx>
          <c:explosion val="0"/>
          <c:dPt>
            <c:idx val="0"/>
            <c:bubble3D val="0"/>
          </c:dPt>
          <c:dPt>
            <c:idx val="1"/>
            <c:bubble3D val="0"/>
          </c:dPt>
          <c:dPt>
            <c:idx val="2"/>
            <c:bubble3D val="0"/>
          </c:dPt>
          <c:dLbls>
            <c:dLbl>
              <c:idx val="0"/>
              <c:layout>
                <c:manualLayout>
                  <c:x val="-0.00153233220962305"/>
                  <c:y val="0.192307692307693"/>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17085504137297"/>
                  <c:y val="0.470301850048685"/>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214832975789151"/>
                      <c:h val="0.458130477117819"/>
                    </c:manualLayout>
                  </c15:layout>
                </c:ext>
              </c:extLst>
            </c:dLbl>
            <c:dLbl>
              <c:idx val="2"/>
              <c:layout>
                <c:manualLayout>
                  <c:x val="0.13760343242415"/>
                  <c:y val="0.42989289191820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Sheet1!$A$2:$A$4</c:f>
              <c:strCache>
                <c:ptCount val="3"/>
                <c:pt idx="0">
                  <c:v>因公出国（境）</c:v>
                </c:pt>
                <c:pt idx="1">
                  <c:v>公务用车购置及运行维护费</c:v>
                </c:pt>
                <c:pt idx="2">
                  <c:v>公务接待费</c:v>
                </c:pt>
              </c:strCache>
            </c:strRef>
          </c:cat>
          <c:val>
            <c:numRef>
              <c:f>Sheet1!$B$2:$B$4</c:f>
              <c:numCache>
                <c:formatCode>General</c:formatCode>
                <c:ptCount val="3"/>
                <c:pt idx="0">
                  <c:v>0</c:v>
                </c:pt>
                <c:pt idx="1">
                  <c:v>0</c:v>
                </c:pt>
                <c:pt idx="2">
                  <c:v>0</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8313</Words>
  <Characters>8887</Characters>
  <Lines>0</Lines>
  <Paragraphs>0</Paragraphs>
  <TotalTime>14</TotalTime>
  <ScaleCrop>false</ScaleCrop>
  <LinksUpToDate>false</LinksUpToDate>
  <CharactersWithSpaces>8958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cp:lastPrinted>2022-05-05T02:14:00Z</cp:lastPrinted>
  <dcterms:modified xsi:type="dcterms:W3CDTF">2022-05-30T09:33:54Z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C24952AF496A4839931A6BD237660321</vt:lpwstr>
  </property>
</Properties>
</file>