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640" w:firstLineChars="200"/>
        <w:rPr>
          <w:rFonts w:ascii="仿宋_GB2312" w:hAnsi="仿宋_GB2312" w:cs="仿宋_GB2312"/>
          <w:szCs w:val="32"/>
        </w:rPr>
      </w:pPr>
    </w:p>
    <w:p>
      <w:pPr>
        <w:widowControl/>
        <w:spacing w:line="360" w:lineRule="auto"/>
        <w:jc w:val="center"/>
        <w:rPr>
          <w:rFonts w:ascii="方正小标宋简体" w:eastAsia="方正小标宋简体"/>
          <w:sz w:val="44"/>
          <w:szCs w:val="44"/>
        </w:rPr>
      </w:pPr>
      <w:r>
        <w:rPr>
          <w:rFonts w:hint="eastAsia" w:ascii="方正小标宋简体" w:eastAsia="方正小标宋简体"/>
          <w:sz w:val="44"/>
          <w:szCs w:val="44"/>
        </w:rPr>
        <w:t>自贡市自流井区光大街小学校</w:t>
      </w:r>
    </w:p>
    <w:p>
      <w:pPr>
        <w:widowControl/>
        <w:spacing w:line="360" w:lineRule="auto"/>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spacing w:line="360" w:lineRule="auto"/>
        <w:ind w:firstLine="560" w:firstLineChars="200"/>
        <w:rPr>
          <w:rFonts w:ascii="仿宋_GB2312"/>
          <w:sz w:val="28"/>
          <w:szCs w:val="28"/>
        </w:rPr>
      </w:pPr>
    </w:p>
    <w:p>
      <w:pPr>
        <w:widowControl/>
        <w:spacing w:line="360" w:lineRule="auto"/>
        <w:ind w:firstLine="880" w:firstLineChars="200"/>
        <w:jc w:val="center"/>
        <w:rPr>
          <w:rFonts w:ascii="黑体" w:hAnsi="黑体" w:eastAsia="黑体"/>
          <w:color w:val="000000"/>
          <w:sz w:val="48"/>
          <w:szCs w:val="48"/>
        </w:rPr>
      </w:pPr>
      <w:r>
        <w:rPr>
          <w:rFonts w:hint="eastAsia" w:ascii="黑体" w:hAnsi="黑体" w:eastAsia="黑体"/>
          <w:color w:val="000000"/>
          <w:sz w:val="44"/>
          <w:szCs w:val="44"/>
        </w:rPr>
        <w:t>目 录</w:t>
      </w:r>
    </w:p>
    <w:p>
      <w:pPr>
        <w:pStyle w:val="8"/>
        <w:tabs>
          <w:tab w:val="right" w:leader="dot" w:pos="8306"/>
        </w:tabs>
        <w:spacing w:before="0" w:line="360" w:lineRule="auto"/>
        <w:jc w:val="both"/>
        <w:rPr>
          <w:rFonts w:ascii="仿宋_GB2312" w:eastAsia="仿宋_GB2312"/>
          <w:i w:val="0"/>
          <w:color w:val="auto"/>
          <w:sz w:val="32"/>
        </w:rPr>
      </w:pP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第一部分 部门概况</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3</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3</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5</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第二部分 2020年度部门决算情况说明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5</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5</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6</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6</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7</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8</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9</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10</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11</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11</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11</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第三部分 名词解释</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t>5</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第四部分 附件</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18</w:t>
      </w:r>
    </w:p>
    <w:p>
      <w:pPr>
        <w:pStyle w:val="9"/>
        <w:tabs>
          <w:tab w:val="right" w:leader="dot" w:pos="8306"/>
        </w:tabs>
        <w:spacing w:before="0" w:line="360" w:lineRule="auto"/>
        <w:ind w:left="0" w:firstLine="560" w:firstLineChars="200"/>
        <w:jc w:val="both"/>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18</w:t>
      </w:r>
    </w:p>
    <w:p>
      <w:r>
        <w:rPr>
          <w:rFonts w:hint="eastAsia" w:ascii="仿宋_GB2312" w:hAnsi="仿宋_GB2312" w:cs="仿宋_GB2312"/>
          <w:sz w:val="28"/>
          <w:szCs w:val="28"/>
        </w:rPr>
        <w:t xml:space="preserve">   </w:t>
      </w:r>
      <w:r>
        <w:rPr>
          <w:rFonts w:hint="eastAsia" w:ascii="仿宋_GB2312" w:hAnsi="仿宋_GB2312" w:cs="仿宋_GB2312"/>
          <w:sz w:val="28"/>
          <w:szCs w:val="28"/>
          <w:lang w:val="en-US" w:eastAsia="zh-CN"/>
        </w:rPr>
        <w:t xml:space="preserve"> </w:t>
      </w:r>
      <w:bookmarkStart w:id="91" w:name="_GoBack"/>
      <w:bookmarkEnd w:id="91"/>
      <w:r>
        <w:rPr>
          <w:rFonts w:hint="eastAsia" w:ascii="仿宋_GB2312" w:hAnsi="仿宋_GB2312" w:cs="仿宋_GB2312"/>
          <w:sz w:val="28"/>
          <w:szCs w:val="28"/>
        </w:rPr>
        <w:t>附件2………………………………………………………………21</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第五部分 附表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24</w:t>
      </w:r>
    </w:p>
    <w:p>
      <w:pPr>
        <w:pStyle w:val="9"/>
        <w:tabs>
          <w:tab w:val="right" w:leader="dot" w:pos="8306"/>
        </w:tabs>
        <w:spacing w:before="0" w:line="360" w:lineRule="auto"/>
        <w:ind w:left="0" w:firstLine="560" w:firstLineChars="200"/>
        <w:jc w:val="both"/>
        <w:rPr>
          <w:rFonts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br w:type="page"/>
      </w:r>
    </w:p>
    <w:p>
      <w:pPr>
        <w:pStyle w:val="9"/>
        <w:tabs>
          <w:tab w:val="right" w:leader="dot" w:pos="8306"/>
        </w:tabs>
        <w:spacing w:before="0" w:line="360" w:lineRule="auto"/>
        <w:ind w:left="0" w:firstLine="883" w:firstLineChars="200"/>
        <w:jc w:val="center"/>
        <w:rPr>
          <w:rFonts w:ascii="宋体" w:hAnsi="宋体" w:eastAsia="宋体" w:cs="宋体"/>
          <w:b w:val="0"/>
          <w:sz w:val="44"/>
          <w:szCs w:val="44"/>
        </w:rPr>
      </w:pPr>
      <w:bookmarkStart w:id="0" w:name="_Toc10567"/>
      <w:r>
        <w:rPr>
          <w:rFonts w:hint="eastAsia" w:ascii="宋体" w:hAnsi="宋体" w:eastAsia="宋体" w:cs="宋体"/>
          <w:bCs w:val="0"/>
          <w:sz w:val="44"/>
          <w:szCs w:val="44"/>
        </w:rPr>
        <w:t>第一部分 部门概况</w:t>
      </w:r>
      <w:bookmarkEnd w:id="0"/>
    </w:p>
    <w:p>
      <w:pPr>
        <w:pStyle w:val="3"/>
        <w:spacing w:before="0" w:line="360" w:lineRule="auto"/>
        <w:ind w:firstLine="640" w:firstLineChars="200"/>
        <w:rPr>
          <w:rFonts w:hint="eastAsia" w:ascii="黑体" w:eastAsia="黑体"/>
          <w:b w:val="0"/>
          <w:color w:val="000000"/>
        </w:rPr>
      </w:pPr>
      <w:bookmarkStart w:id="1" w:name="_Toc15396600"/>
      <w:bookmarkStart w:id="2" w:name="_Toc15377197"/>
      <w:bookmarkStart w:id="3" w:name="_Toc21498"/>
      <w:r>
        <w:rPr>
          <w:rFonts w:hint="eastAsia" w:ascii="黑体" w:eastAsia="黑体"/>
          <w:b w:val="0"/>
          <w:color w:val="000000"/>
        </w:rPr>
        <w:t>一、基本职能及主要工作</w:t>
      </w:r>
      <w:bookmarkEnd w:id="1"/>
      <w:bookmarkEnd w:id="2"/>
      <w:bookmarkEnd w:id="3"/>
    </w:p>
    <w:p>
      <w:pPr>
        <w:spacing w:line="360" w:lineRule="auto"/>
        <w:ind w:firstLine="560" w:firstLineChars="200"/>
        <w:rPr>
          <w:rFonts w:ascii="宋体" w:hAnsi="宋体" w:eastAsia="宋体" w:cs="宋体"/>
          <w:bCs/>
          <w:sz w:val="28"/>
          <w:szCs w:val="28"/>
        </w:rPr>
      </w:pPr>
      <w:bookmarkStart w:id="4" w:name="_Toc15377198"/>
      <w:bookmarkStart w:id="5" w:name="_Toc15378445"/>
      <w:r>
        <w:rPr>
          <w:rFonts w:hint="eastAsia" w:ascii="宋体" w:hAnsi="宋体" w:eastAsia="宋体" w:cs="宋体"/>
          <w:bCs/>
          <w:sz w:val="28"/>
          <w:szCs w:val="28"/>
        </w:rPr>
        <w:t>（一）主要职能。</w:t>
      </w:r>
      <w:bookmarkEnd w:id="4"/>
      <w:bookmarkEnd w:id="5"/>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1、贯彻执行党和国家教育工作的方针、政策和法律、法规。</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2、负责拟定学校发展的远景规划、近期目标、学年和学期各项工作计划，并组织实施。</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3、负责实施招生范围内小学义务教育，负责依据国家的招生政策，结合学校实际情况，制定具体的招生方案并组织实施，促进基础教育发展。</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4、负责教育教学管理及教研教改工作，遵循教学规律，深化课堂教学改革，减轻学生课业负担，全面提高教育教学质量，促进学生全面发展。</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5、负责教师队伍建设工作，不断提高队伍素质。</w:t>
      </w:r>
    </w:p>
    <w:p>
      <w:pPr>
        <w:snapToGrid w:val="0"/>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6、负责做好学生思想政治、德育、体育卫生与艺术教育、环保教育、法治教育、国防教育工作；遵循学生身心发展规律和社会发展要求，培养学生良好的行为习惯，引导学生从小逐步树立正确的世界观、人生观和价值观。</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7、组织和协调家庭教育、社会教育，积极配合有关部门，促进形成良好的育人环境。</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8、负责做好行政后勤和安全管理工作，开展师生安全教育；组织制定和实施校舍建设和</w:t>
      </w:r>
      <w:r>
        <w:fldChar w:fldCharType="begin"/>
      </w:r>
      <w:r>
        <w:instrText xml:space="preserve"> HYPERLINK "http://www.oh100.com/zuowen/xiaoyuan/" \t "_blank" </w:instrText>
      </w:r>
      <w:r>
        <w:fldChar w:fldCharType="separate"/>
      </w:r>
      <w:r>
        <w:rPr>
          <w:rFonts w:hint="eastAsia" w:ascii="宋体" w:hAnsi="宋体" w:eastAsia="宋体" w:cs="宋体"/>
          <w:bCs/>
          <w:sz w:val="28"/>
          <w:szCs w:val="28"/>
        </w:rPr>
        <w:t>校园</w:t>
      </w:r>
      <w:r>
        <w:rPr>
          <w:rFonts w:hint="eastAsia" w:ascii="宋体" w:hAnsi="宋体" w:eastAsia="宋体" w:cs="宋体"/>
          <w:bCs/>
          <w:sz w:val="28"/>
          <w:szCs w:val="28"/>
        </w:rPr>
        <w:fldChar w:fldCharType="end"/>
      </w:r>
      <w:r>
        <w:rPr>
          <w:rFonts w:hint="eastAsia" w:ascii="宋体" w:hAnsi="宋体" w:eastAsia="宋体" w:cs="宋体"/>
          <w:bCs/>
          <w:sz w:val="28"/>
          <w:szCs w:val="28"/>
        </w:rPr>
        <w:t>建设规划，不断改善办学条件；维护校园秩序，确保师生在校期间的安全，保证教学工作顺利进行。</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9、负责学校经费管理，严格执行财务制度。</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10、负责学校党建工作。</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11、承办上级主管部门交办的其他事项。</w:t>
      </w:r>
    </w:p>
    <w:p>
      <w:pPr>
        <w:pStyle w:val="4"/>
        <w:adjustRightInd w:val="0"/>
        <w:snapToGrid w:val="0"/>
        <w:spacing w:beforeLines="0" w:line="360" w:lineRule="auto"/>
        <w:ind w:firstLine="560" w:firstLineChars="200"/>
        <w:outlineLvl w:val="2"/>
        <w:rPr>
          <w:rFonts w:ascii="宋体" w:hAnsi="宋体" w:eastAsia="宋体" w:cs="宋体"/>
          <w:bCs/>
          <w:kern w:val="2"/>
          <w:sz w:val="28"/>
          <w:szCs w:val="28"/>
        </w:rPr>
      </w:pPr>
      <w:bookmarkStart w:id="6" w:name="_Toc15377199"/>
      <w:bookmarkStart w:id="7" w:name="_Toc15378446"/>
      <w:r>
        <w:rPr>
          <w:rFonts w:hint="eastAsia" w:ascii="宋体" w:hAnsi="宋体" w:eastAsia="宋体" w:cs="宋体"/>
          <w:bCs/>
          <w:kern w:val="2"/>
          <w:sz w:val="28"/>
          <w:szCs w:val="28"/>
        </w:rPr>
        <w:t>（二）2020年重点工作完成情况。</w:t>
      </w:r>
      <w:bookmarkEnd w:id="6"/>
      <w:bookmarkEnd w:id="7"/>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1、“一体两翼”党建特色，全面引领学校发展。抓实思想教育，夯实党建基础；抓细党建工作，夯实常规管理；重视支部党风廉政建设和群团工作。</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 xml:space="preserve">2、立德修为育人才，特色教育结硕果。品格教育促养成教育，落实“立德修为、正品正格”德育理念；务实开展系列少先队特色活动，学校德育特色进一步彰显；五育并举显特色，艺术教育有实效；法治建设添举措 校园平安有保障。 </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3、夯实教学常规管理，助力教学质量提升。“以管理为核心”，提升教学质量；抓实两条线，助力教育教学质量提升；线上教学，共克时艰；以赛促学，提升学生核心素养；课堂教学 教育科研齐并进；</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4、后勤管理建章立制，服务保障有条不紊。（一）加强校产管理 明确使用责任；（二）抓好工程建设  改善办学环境；严格财经制度 规范经费使用；厉行粮食节约 反对食物浪费。</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5、光大街小学2020年主要承担的工作任务及取得的主要成绩</w:t>
      </w:r>
    </w:p>
    <w:p>
      <w:pPr>
        <w:spacing w:line="360" w:lineRule="auto"/>
        <w:ind w:firstLine="560" w:firstLineChars="200"/>
        <w:rPr>
          <w:rFonts w:ascii="仿宋" w:hAnsi="仿宋" w:eastAsia="仿宋"/>
          <w:bCs/>
          <w:color w:val="000000"/>
          <w:szCs w:val="32"/>
        </w:rPr>
      </w:pPr>
      <w:r>
        <w:rPr>
          <w:rFonts w:hint="eastAsia" w:ascii="宋体" w:hAnsi="宋体" w:eastAsia="宋体" w:cs="宋体"/>
          <w:sz w:val="28"/>
          <w:szCs w:val="28"/>
        </w:rPr>
        <w:t>主要成绩如下：学校被命名为“自贡市文明校园”；学校被命名为“自贡市棋类示范学校”；学校被命名为“自贡市美育实践基地”；微型课题《小学数学后进生“三步五环”小组合作学习模式的实践探究》获市三等奖；区级微型课题《小学生低段学生注意力集中的方法与策略研究》区三等奖；学校代表队获自流井区航模团体一等奖；学校代表队获自流井区经典诵读比赛二等奖；学校代表队获自流井区乒乓球二等奖；学校代表队获自流井区足球比赛（男、女）均为二等奖。本学年教师获奖共计45人次，学生获各级奖励达456人次。</w:t>
      </w:r>
    </w:p>
    <w:p>
      <w:pPr>
        <w:pStyle w:val="3"/>
        <w:spacing w:before="0" w:line="360" w:lineRule="auto"/>
        <w:ind w:firstLine="640" w:firstLineChars="200"/>
        <w:rPr>
          <w:rStyle w:val="16"/>
          <w:b w:val="0"/>
          <w:bCs w:val="0"/>
        </w:rPr>
      </w:pPr>
      <w:bookmarkStart w:id="8" w:name="_Toc6092"/>
      <w:bookmarkStart w:id="9" w:name="_Toc15396601"/>
      <w:bookmarkStart w:id="10" w:name="_Toc15377200"/>
      <w:r>
        <w:rPr>
          <w:rFonts w:hint="eastAsia" w:ascii="黑体" w:eastAsia="黑体"/>
          <w:b w:val="0"/>
          <w:color w:val="000000"/>
        </w:rPr>
        <w:t>二、</w:t>
      </w:r>
      <w:r>
        <w:rPr>
          <w:rFonts w:hint="eastAsia" w:ascii="黑体" w:hAnsi="黑体" w:eastAsia="黑体"/>
          <w:b w:val="0"/>
          <w:color w:val="000000"/>
        </w:rPr>
        <w:t>机</w:t>
      </w:r>
      <w:r>
        <w:rPr>
          <w:rStyle w:val="16"/>
          <w:rFonts w:hint="eastAsia" w:ascii="黑体" w:hAnsi="黑体" w:eastAsia="黑体"/>
          <w:b w:val="0"/>
          <w:bCs w:val="0"/>
        </w:rPr>
        <w:t>构设置</w:t>
      </w:r>
      <w:bookmarkEnd w:id="8"/>
      <w:bookmarkEnd w:id="9"/>
      <w:bookmarkEnd w:id="10"/>
    </w:p>
    <w:p>
      <w:pPr>
        <w:spacing w:line="360" w:lineRule="auto"/>
        <w:ind w:firstLine="640" w:firstLineChars="200"/>
        <w:rPr>
          <w:rFonts w:ascii="仿宋" w:hAnsi="仿宋" w:eastAsia="仿宋"/>
          <w:szCs w:val="32"/>
        </w:rPr>
      </w:pPr>
      <w:r>
        <w:rPr>
          <w:rFonts w:hint="eastAsia" w:ascii="仿宋" w:hAnsi="仿宋" w:eastAsia="仿宋"/>
          <w:szCs w:val="32"/>
        </w:rPr>
        <w:t>自贡市自流井区光大街小学校没有下属二级单位，</w:t>
      </w:r>
    </w:p>
    <w:p>
      <w:pPr>
        <w:pStyle w:val="4"/>
        <w:adjustRightInd w:val="0"/>
        <w:snapToGrid w:val="0"/>
        <w:spacing w:beforeLines="0"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纳入自贡市自流井区光大街小学校</w:t>
      </w:r>
      <w:r>
        <w:rPr>
          <w:rFonts w:ascii="仿宋" w:hAnsi="仿宋" w:eastAsia="仿宋"/>
          <w:color w:val="000000"/>
          <w:sz w:val="32"/>
          <w:szCs w:val="32"/>
        </w:rPr>
        <w:t>2020</w:t>
      </w:r>
      <w:r>
        <w:rPr>
          <w:rFonts w:hint="eastAsia" w:ascii="仿宋" w:hAnsi="仿宋" w:eastAsia="仿宋"/>
          <w:color w:val="000000"/>
          <w:sz w:val="32"/>
          <w:szCs w:val="32"/>
        </w:rPr>
        <w:t>年度部门决算编制范围的二级预算单位包括：</w:t>
      </w:r>
    </w:p>
    <w:p>
      <w:pPr>
        <w:pStyle w:val="4"/>
        <w:numPr>
          <w:ilvl w:val="0"/>
          <w:numId w:val="1"/>
        </w:numPr>
        <w:adjustRightInd w:val="0"/>
        <w:snapToGrid w:val="0"/>
        <w:spacing w:beforeLines="0" w:line="360" w:lineRule="auto"/>
        <w:ind w:left="0" w:firstLine="640" w:firstLineChars="200"/>
        <w:outlineLvl w:val="2"/>
        <w:rPr>
          <w:rFonts w:ascii="仿宋" w:hAnsi="仿宋" w:eastAsia="仿宋"/>
          <w:color w:val="000000"/>
          <w:sz w:val="32"/>
          <w:szCs w:val="32"/>
        </w:rPr>
      </w:pPr>
      <w:r>
        <w:rPr>
          <w:rFonts w:hint="eastAsia" w:ascii="仿宋" w:hAnsi="仿宋" w:eastAsia="仿宋"/>
          <w:color w:val="000000"/>
          <w:sz w:val="32"/>
          <w:szCs w:val="32"/>
        </w:rPr>
        <w:t>自贡市自流井区光大街小学校</w:t>
      </w:r>
    </w:p>
    <w:p>
      <w:pPr>
        <w:pStyle w:val="2"/>
        <w:spacing w:before="0" w:line="400" w:lineRule="exact"/>
        <w:ind w:firstLine="880" w:firstLineChars="200"/>
        <w:jc w:val="center"/>
        <w:rPr>
          <w:rStyle w:val="17"/>
          <w:rFonts w:ascii="黑体" w:hAnsi="黑体" w:eastAsia="黑体"/>
          <w:b w:val="0"/>
          <w:bCs w:val="0"/>
        </w:rPr>
      </w:pPr>
      <w:bookmarkStart w:id="11" w:name="_Toc15377204"/>
      <w:bookmarkStart w:id="12" w:name="_Toc15396602"/>
      <w:bookmarkStart w:id="13" w:name="_Toc23109"/>
      <w:r>
        <w:rPr>
          <w:rFonts w:hint="eastAsia" w:ascii="黑体" w:hAnsi="黑体" w:eastAsia="黑体"/>
          <w:b w:val="0"/>
          <w:color w:val="000000"/>
        </w:rPr>
        <w:t>第二部分</w:t>
      </w:r>
      <w:r>
        <w:rPr>
          <w:rFonts w:ascii="黑体" w:hAnsi="黑体" w:eastAsia="黑体"/>
          <w:color w:val="000000"/>
        </w:rPr>
        <w:t xml:space="preserve"> </w:t>
      </w:r>
      <w:r>
        <w:rPr>
          <w:rStyle w:val="17"/>
          <w:rFonts w:ascii="黑体" w:hAnsi="黑体" w:eastAsia="黑体"/>
          <w:b w:val="0"/>
          <w:bCs w:val="0"/>
        </w:rPr>
        <w:t>2020</w:t>
      </w:r>
      <w:r>
        <w:rPr>
          <w:rStyle w:val="17"/>
          <w:rFonts w:hint="eastAsia" w:ascii="黑体" w:hAnsi="黑体" w:eastAsia="黑体"/>
          <w:b w:val="0"/>
          <w:bCs w:val="0"/>
        </w:rPr>
        <w:t>年度部门决算情况说明</w:t>
      </w:r>
      <w:bookmarkEnd w:id="11"/>
      <w:bookmarkEnd w:id="12"/>
      <w:bookmarkEnd w:id="13"/>
      <w:bookmarkStart w:id="14" w:name="_Toc7163"/>
      <w:bookmarkStart w:id="15" w:name="_Toc15377205"/>
      <w:bookmarkStart w:id="16" w:name="_Toc15396603"/>
    </w:p>
    <w:p>
      <w:pPr>
        <w:pStyle w:val="2"/>
        <w:spacing w:before="0" w:line="400" w:lineRule="exact"/>
        <w:ind w:firstLine="640" w:firstLineChars="200"/>
        <w:rPr>
          <w:rStyle w:val="16"/>
          <w:rFonts w:ascii="仿宋" w:hAnsi="仿宋" w:eastAsia="仿宋"/>
          <w:b w:val="0"/>
          <w:bCs w:val="0"/>
          <w:color w:val="000000"/>
        </w:rPr>
      </w:pPr>
      <w:r>
        <w:rPr>
          <w:rStyle w:val="17"/>
          <w:rFonts w:hint="eastAsia" w:ascii="黑体" w:hAnsi="黑体" w:eastAsia="黑体"/>
          <w:b w:val="0"/>
          <w:bCs w:val="0"/>
          <w:sz w:val="32"/>
          <w:szCs w:val="32"/>
        </w:rPr>
        <w:t>一、</w:t>
      </w:r>
      <w:r>
        <w:rPr>
          <w:rFonts w:hint="eastAsia" w:ascii="黑体" w:hAnsi="黑体" w:eastAsia="黑体"/>
          <w:color w:val="000000"/>
          <w:sz w:val="32"/>
          <w:szCs w:val="32"/>
        </w:rPr>
        <w:t>收</w:t>
      </w:r>
      <w:r>
        <w:rPr>
          <w:rStyle w:val="16"/>
          <w:rFonts w:hint="eastAsia" w:ascii="黑体" w:hAnsi="黑体" w:eastAsia="黑体"/>
          <w:b w:val="0"/>
          <w:bCs w:val="0"/>
        </w:rPr>
        <w:t>入支出决算总体情况说明</w:t>
      </w:r>
      <w:bookmarkEnd w:id="14"/>
      <w:bookmarkEnd w:id="15"/>
      <w:bookmarkEnd w:id="16"/>
    </w:p>
    <w:p>
      <w:pPr>
        <w:spacing w:line="600" w:lineRule="exact"/>
        <w:ind w:firstLine="640" w:firstLineChars="200"/>
        <w:rPr>
          <w:rFonts w:ascii="仿宋" w:hAnsi="仿宋" w:eastAsia="仿宋"/>
          <w:szCs w:val="32"/>
        </w:rPr>
      </w:pPr>
      <w:r>
        <w:rPr>
          <w:rFonts w:ascii="仿宋" w:hAnsi="仿宋" w:eastAsia="仿宋"/>
          <w:szCs w:val="32"/>
        </w:rPr>
        <w:t>2020</w:t>
      </w:r>
      <w:r>
        <w:rPr>
          <w:rFonts w:hint="eastAsia" w:ascii="仿宋" w:hAnsi="仿宋" w:eastAsia="仿宋"/>
          <w:szCs w:val="32"/>
        </w:rPr>
        <w:t>年度收入总计1842.96万元、支总计1842.96万元。与</w:t>
      </w:r>
      <w:r>
        <w:rPr>
          <w:rFonts w:ascii="仿宋" w:hAnsi="仿宋" w:eastAsia="仿宋"/>
          <w:szCs w:val="32"/>
        </w:rPr>
        <w:t>2019</w:t>
      </w:r>
      <w:r>
        <w:rPr>
          <w:rFonts w:hint="eastAsia" w:ascii="仿宋" w:hAnsi="仿宋" w:eastAsia="仿宋"/>
          <w:szCs w:val="32"/>
        </w:rPr>
        <w:t>年相比，收、支总计各减少252.78万元，减少12.06</w:t>
      </w:r>
      <w:r>
        <w:rPr>
          <w:rFonts w:ascii="仿宋" w:hAnsi="仿宋" w:eastAsia="仿宋"/>
          <w:szCs w:val="32"/>
        </w:rPr>
        <w:t>%</w:t>
      </w:r>
      <w:r>
        <w:rPr>
          <w:rFonts w:hint="eastAsia" w:ascii="仿宋" w:hAnsi="仿宋" w:eastAsia="仿宋"/>
          <w:szCs w:val="32"/>
        </w:rPr>
        <w:t>。主要变动原因是年初结转和结余增加，调整预算收入、支出总计1842.96万元，比上年下降12.06%，主要原因是本年无综合楼工程项目预算。（注：数据来源于财决</w:t>
      </w:r>
      <w:r>
        <w:rPr>
          <w:rFonts w:ascii="仿宋" w:hAnsi="仿宋" w:eastAsia="仿宋"/>
          <w:szCs w:val="32"/>
        </w:rPr>
        <w:t>01</w:t>
      </w:r>
      <w:r>
        <w:rPr>
          <w:rFonts w:hint="eastAsia" w:ascii="仿宋" w:hAnsi="仿宋" w:eastAsia="仿宋"/>
          <w:szCs w:val="32"/>
        </w:rPr>
        <w:t>表，收入总计为31行3列的“总计”决算数，支出总计为88行9列的“总计”决算数）</w:t>
      </w:r>
    </w:p>
    <w:p>
      <w:pPr>
        <w:spacing w:line="360" w:lineRule="auto"/>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：收、支决算总计变动情况图）（柱状图）</w:t>
      </w:r>
    </w:p>
    <w:p>
      <w:pPr>
        <w:spacing w:line="360" w:lineRule="auto"/>
        <w:ind w:firstLine="640" w:firstLineChars="200"/>
        <w:rPr>
          <w:rFonts w:ascii="仿宋" w:hAnsi="仿宋" w:eastAsia="仿宋"/>
          <w:color w:val="000000"/>
          <w:szCs w:val="32"/>
        </w:rPr>
      </w:pPr>
      <w:r>
        <w:rPr>
          <w:rFonts w:hint="eastAsia" w:ascii="仿宋" w:hAnsi="仿宋" w:eastAsia="仿宋"/>
          <w:color w:val="000000"/>
          <w:szCs w:val="32"/>
        </w:rPr>
        <w:drawing>
          <wp:inline distT="0" distB="0" distL="0" distR="0">
            <wp:extent cx="5229225" cy="1333500"/>
            <wp:effectExtent l="19050" t="0" r="9525" b="0"/>
            <wp:docPr id="1" name="图表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表 1"/>
                    <pic:cNvPicPr>
                      <a:picLocks noChangeAspect="1" noChangeArrowheads="1"/>
                    </pic:cNvPicPr>
                  </pic:nvPicPr>
                  <pic:blipFill>
                    <a:blip r:embed="rId5" cstate="print"/>
                    <a:srcRect/>
                    <a:stretch>
                      <a:fillRect/>
                    </a:stretch>
                  </pic:blipFill>
                  <pic:spPr>
                    <a:xfrm>
                      <a:off x="0" y="0"/>
                      <a:ext cx="5229225" cy="1333500"/>
                    </a:xfrm>
                    <a:prstGeom prst="rect">
                      <a:avLst/>
                    </a:prstGeom>
                    <a:noFill/>
                    <a:ln w="9525">
                      <a:noFill/>
                      <a:miter lim="800000"/>
                      <a:headEnd/>
                      <a:tailEnd/>
                    </a:ln>
                  </pic:spPr>
                </pic:pic>
              </a:graphicData>
            </a:graphic>
          </wp:inline>
        </w:drawing>
      </w:r>
    </w:p>
    <w:p>
      <w:pPr>
        <w:pStyle w:val="18"/>
        <w:spacing w:line="360" w:lineRule="auto"/>
        <w:ind w:left="640" w:leftChars="200" w:firstLine="0" w:firstLineChars="0"/>
        <w:outlineLvl w:val="1"/>
        <w:rPr>
          <w:rStyle w:val="16"/>
          <w:rFonts w:ascii="黑体" w:hAnsi="黑体" w:eastAsia="黑体"/>
          <w:b w:val="0"/>
        </w:rPr>
      </w:pPr>
      <w:bookmarkStart w:id="17" w:name="_Toc25258"/>
      <w:bookmarkStart w:id="18" w:name="_Toc15377206"/>
      <w:bookmarkStart w:id="19" w:name="_Toc15396604"/>
      <w:r>
        <w:rPr>
          <w:rFonts w:hint="eastAsia" w:ascii="黑体" w:hAnsi="黑体" w:eastAsia="黑体"/>
          <w:color w:val="000000"/>
          <w:szCs w:val="32"/>
        </w:rPr>
        <w:t>二、收</w:t>
      </w:r>
      <w:r>
        <w:rPr>
          <w:rStyle w:val="16"/>
          <w:rFonts w:hint="eastAsia" w:ascii="黑体" w:hAnsi="黑体" w:eastAsia="黑体"/>
          <w:b w:val="0"/>
        </w:rPr>
        <w:t>入决算情况说明</w:t>
      </w:r>
      <w:bookmarkEnd w:id="17"/>
      <w:bookmarkEnd w:id="18"/>
      <w:bookmarkEnd w:id="19"/>
    </w:p>
    <w:p>
      <w:pPr>
        <w:spacing w:line="600" w:lineRule="exact"/>
        <w:ind w:firstLine="640" w:firstLineChars="200"/>
        <w:rPr>
          <w:rFonts w:ascii="仿宋" w:hAnsi="仿宋" w:eastAsia="仿宋"/>
          <w:b/>
          <w:color w:val="FF0000"/>
          <w:szCs w:val="32"/>
        </w:rPr>
      </w:pPr>
      <w:r>
        <w:rPr>
          <w:rFonts w:ascii="仿宋" w:hAnsi="仿宋" w:eastAsia="仿宋"/>
          <w:color w:val="000000"/>
          <w:szCs w:val="32"/>
        </w:rPr>
        <w:t>2020</w:t>
      </w:r>
      <w:r>
        <w:rPr>
          <w:rFonts w:hint="eastAsia" w:ascii="仿宋" w:hAnsi="仿宋" w:eastAsia="仿宋"/>
          <w:color w:val="000000"/>
          <w:szCs w:val="32"/>
        </w:rPr>
        <w:t>年本年收入合计</w:t>
      </w:r>
      <w:r>
        <w:rPr>
          <w:rFonts w:hint="eastAsia" w:ascii="仿宋" w:hAnsi="仿宋" w:eastAsia="仿宋"/>
          <w:szCs w:val="32"/>
        </w:rPr>
        <w:t>1384.3</w:t>
      </w:r>
      <w:r>
        <w:rPr>
          <w:rFonts w:hint="eastAsia" w:ascii="仿宋" w:hAnsi="仿宋" w:eastAsia="仿宋"/>
          <w:color w:val="000000"/>
          <w:szCs w:val="32"/>
        </w:rPr>
        <w:t>万元，其中：一般公共预算财政拨款收入1344.56万元，占97.13</w:t>
      </w:r>
      <w:r>
        <w:rPr>
          <w:rFonts w:ascii="仿宋" w:hAnsi="仿宋" w:eastAsia="仿宋"/>
          <w:color w:val="000000"/>
          <w:szCs w:val="32"/>
        </w:rPr>
        <w:t>%</w:t>
      </w:r>
      <w:r>
        <w:rPr>
          <w:rFonts w:hint="eastAsia" w:ascii="仿宋" w:hAnsi="仿宋" w:eastAsia="仿宋"/>
          <w:color w:val="000000"/>
          <w:szCs w:val="32"/>
        </w:rPr>
        <w:t>；政府性基金预算财政拨款收入0万元，占0</w:t>
      </w:r>
      <w:r>
        <w:rPr>
          <w:rFonts w:ascii="仿宋" w:hAnsi="仿宋" w:eastAsia="仿宋"/>
          <w:color w:val="000000"/>
          <w:szCs w:val="32"/>
        </w:rPr>
        <w:t>%</w:t>
      </w:r>
      <w:r>
        <w:rPr>
          <w:rFonts w:hint="eastAsia" w:ascii="仿宋" w:hAnsi="仿宋" w:eastAsia="仿宋"/>
          <w:color w:val="000000"/>
          <w:szCs w:val="32"/>
        </w:rPr>
        <w:t>；上级补助收入0万元，占0</w:t>
      </w:r>
      <w:r>
        <w:rPr>
          <w:rFonts w:ascii="仿宋" w:hAnsi="仿宋" w:eastAsia="仿宋"/>
          <w:color w:val="000000"/>
          <w:szCs w:val="32"/>
        </w:rPr>
        <w:t>%</w:t>
      </w:r>
      <w:r>
        <w:rPr>
          <w:rFonts w:hint="eastAsia" w:ascii="仿宋" w:hAnsi="仿宋" w:eastAsia="仿宋"/>
          <w:color w:val="000000"/>
          <w:szCs w:val="32"/>
        </w:rPr>
        <w:t>；事业收入32.84万元，占2.37</w:t>
      </w:r>
      <w:r>
        <w:rPr>
          <w:rFonts w:ascii="仿宋" w:hAnsi="仿宋" w:eastAsia="仿宋"/>
          <w:color w:val="000000"/>
          <w:szCs w:val="32"/>
        </w:rPr>
        <w:t>%</w:t>
      </w:r>
      <w:r>
        <w:rPr>
          <w:rFonts w:hint="eastAsia" w:ascii="仿宋" w:hAnsi="仿宋" w:eastAsia="仿宋"/>
          <w:color w:val="000000"/>
          <w:szCs w:val="32"/>
        </w:rPr>
        <w:t>；经营收入0万元，占0</w:t>
      </w:r>
      <w:r>
        <w:rPr>
          <w:rFonts w:ascii="仿宋" w:hAnsi="仿宋" w:eastAsia="仿宋"/>
          <w:color w:val="000000"/>
          <w:szCs w:val="32"/>
        </w:rPr>
        <w:t>%</w:t>
      </w:r>
      <w:r>
        <w:rPr>
          <w:rFonts w:hint="eastAsia" w:ascii="仿宋" w:hAnsi="仿宋" w:eastAsia="仿宋"/>
          <w:color w:val="000000"/>
          <w:szCs w:val="32"/>
        </w:rPr>
        <w:t>；附属单位上缴收入0万元，占0</w:t>
      </w:r>
      <w:r>
        <w:rPr>
          <w:rFonts w:ascii="仿宋" w:hAnsi="仿宋" w:eastAsia="仿宋"/>
          <w:color w:val="000000"/>
          <w:szCs w:val="32"/>
        </w:rPr>
        <w:t>%</w:t>
      </w:r>
      <w:r>
        <w:rPr>
          <w:rFonts w:hint="eastAsia" w:ascii="仿宋" w:hAnsi="仿宋" w:eastAsia="仿宋"/>
          <w:color w:val="000000"/>
          <w:szCs w:val="32"/>
        </w:rPr>
        <w:t>；其他收入6.9万元，占0.5</w:t>
      </w:r>
      <w:r>
        <w:rPr>
          <w:rFonts w:ascii="仿宋" w:hAnsi="仿宋" w:eastAsia="仿宋"/>
          <w:color w:val="000000"/>
          <w:szCs w:val="32"/>
        </w:rPr>
        <w:t>%</w:t>
      </w:r>
      <w:r>
        <w:rPr>
          <w:rFonts w:hint="eastAsia" w:ascii="仿宋" w:hAnsi="仿宋" w:eastAsia="仿宋"/>
          <w:color w:val="000000"/>
          <w:szCs w:val="32"/>
        </w:rPr>
        <w:t>。</w:t>
      </w:r>
    </w:p>
    <w:p>
      <w:pPr>
        <w:spacing w:line="360" w:lineRule="auto"/>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：收入决算结构图）（饼状图）</w:t>
      </w:r>
    </w:p>
    <w:p>
      <w:pPr>
        <w:spacing w:line="360" w:lineRule="auto"/>
        <w:ind w:firstLine="640" w:firstLineChars="200"/>
        <w:rPr>
          <w:rStyle w:val="16"/>
          <w:rFonts w:ascii="黑体" w:hAnsi="黑体" w:eastAsia="黑体"/>
          <w:b w:val="0"/>
        </w:rPr>
      </w:pPr>
      <w:r>
        <w:pict>
          <v:shape id="_x0000_s2050" o:spid="_x0000_s2050" o:spt="202" type="#_x0000_t202" style="position:absolute;left:0pt;margin-left:306.65pt;margin-top:71.5pt;height:59.15pt;width:84.85pt;z-index:251659264;mso-width-relative:page;mso-height-relative:page;" coordsize="21600,21600">
            <v:path/>
            <v:fill focussize="0,0"/>
            <v:stroke joinstyle="miter"/>
            <v:imagedata o:title=""/>
            <o:lock v:ext="edit"/>
            <v:textbox>
              <w:txbxContent>
                <w:p>
                  <w:pPr>
                    <w:rPr>
                      <w:sz w:val="21"/>
                      <w:szCs w:val="21"/>
                    </w:rPr>
                  </w:pPr>
                  <w:r>
                    <w:rPr>
                      <w:rFonts w:hint="eastAsia"/>
                      <w:sz w:val="21"/>
                      <w:szCs w:val="21"/>
                    </w:rPr>
                    <w:t>1344.56万元</w:t>
                  </w:r>
                </w:p>
                <w:p>
                  <w:pPr>
                    <w:rPr>
                      <w:sz w:val="21"/>
                      <w:szCs w:val="21"/>
                    </w:rPr>
                  </w:pPr>
                  <w:r>
                    <w:rPr>
                      <w:rFonts w:hint="eastAsia"/>
                      <w:sz w:val="21"/>
                      <w:szCs w:val="21"/>
                    </w:rPr>
                    <w:t>97.13%</w:t>
                  </w:r>
                </w:p>
              </w:txbxContent>
            </v:textbox>
          </v:shape>
        </w:pict>
      </w:r>
      <w:bookmarkStart w:id="20" w:name="_Toc15377207"/>
      <w:bookmarkStart w:id="21" w:name="_Toc15396605"/>
      <w:bookmarkStart w:id="22" w:name="_Toc13725"/>
      <w:r>
        <w:object>
          <v:shape id="_x0000_i1025" o:spt="75" type="#_x0000_t75" style="height:194pt;width:388.05pt;" o:ole="t" fillcolor="#F6FC14" filled="t" o:preferrelative="t" stroked="f" coordsize="21600,21600">
            <v:path/>
            <v:fill on="t" opacity="0f" focussize="0,0"/>
            <v:stroke on="f" joinstyle="miter"/>
            <v:imagedata r:id="rId7" o:title=""/>
            <o:lock v:ext="edit" aspectratio="t"/>
            <w10:wrap type="none"/>
            <w10:anchorlock/>
          </v:shape>
          <o:OLEObject Type="Embed" ProgID="Excel.Chart.8" ShapeID="_x0000_i1025" DrawAspect="Content" ObjectID="_1468075725" r:id="rId6">
            <o:LockedField>false</o:LockedField>
          </o:OLEObject>
        </w:object>
      </w:r>
      <w:r>
        <w:rPr>
          <w:rFonts w:hint="eastAsia" w:ascii="黑体" w:hAnsi="黑体" w:eastAsia="黑体"/>
          <w:color w:val="000000"/>
          <w:szCs w:val="32"/>
        </w:rPr>
        <w:t>三、支</w:t>
      </w:r>
      <w:r>
        <w:rPr>
          <w:rStyle w:val="16"/>
          <w:rFonts w:hint="eastAsia" w:ascii="黑体" w:hAnsi="黑体" w:eastAsia="黑体"/>
          <w:b w:val="0"/>
        </w:rPr>
        <w:t>出决算情况说明</w:t>
      </w:r>
      <w:bookmarkEnd w:id="20"/>
      <w:bookmarkEnd w:id="21"/>
      <w:bookmarkEnd w:id="22"/>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年本年支出合计1819.96万元，其中：基本支出1362.60万元，占74.87</w:t>
      </w:r>
      <w:r>
        <w:rPr>
          <w:rFonts w:ascii="仿宋" w:hAnsi="仿宋" w:eastAsia="仿宋"/>
          <w:color w:val="000000"/>
          <w:szCs w:val="32"/>
        </w:rPr>
        <w:t>%</w:t>
      </w:r>
      <w:r>
        <w:rPr>
          <w:rFonts w:hint="eastAsia" w:ascii="仿宋" w:hAnsi="仿宋" w:eastAsia="仿宋"/>
          <w:color w:val="000000"/>
          <w:szCs w:val="32"/>
        </w:rPr>
        <w:t>；项目支出457.36万元，占25.13</w:t>
      </w:r>
      <w:r>
        <w:rPr>
          <w:rFonts w:ascii="仿宋" w:hAnsi="仿宋" w:eastAsia="仿宋"/>
          <w:color w:val="000000"/>
          <w:szCs w:val="32"/>
        </w:rPr>
        <w:t>%</w:t>
      </w:r>
      <w:r>
        <w:rPr>
          <w:rFonts w:hint="eastAsia" w:ascii="仿宋" w:hAnsi="仿宋" w:eastAsia="仿宋"/>
          <w:color w:val="000000"/>
          <w:szCs w:val="32"/>
        </w:rPr>
        <w:t>；上缴上级支出0万元，占0</w:t>
      </w:r>
      <w:r>
        <w:rPr>
          <w:rFonts w:ascii="仿宋" w:hAnsi="仿宋" w:eastAsia="仿宋"/>
          <w:color w:val="000000"/>
          <w:szCs w:val="32"/>
        </w:rPr>
        <w:t>%</w:t>
      </w:r>
      <w:r>
        <w:rPr>
          <w:rFonts w:hint="eastAsia" w:ascii="仿宋" w:hAnsi="仿宋" w:eastAsia="仿宋"/>
          <w:color w:val="000000"/>
          <w:szCs w:val="32"/>
        </w:rPr>
        <w:t>；经营支出0万元，占0</w:t>
      </w:r>
      <w:r>
        <w:rPr>
          <w:rFonts w:ascii="仿宋" w:hAnsi="仿宋" w:eastAsia="仿宋"/>
          <w:color w:val="000000"/>
          <w:szCs w:val="32"/>
        </w:rPr>
        <w:t>%</w:t>
      </w:r>
      <w:r>
        <w:rPr>
          <w:rFonts w:hint="eastAsia" w:ascii="仿宋" w:hAnsi="仿宋" w:eastAsia="仿宋"/>
          <w:color w:val="000000"/>
          <w:szCs w:val="32"/>
        </w:rPr>
        <w:t>；对附属单位补助支出0万元，占0</w:t>
      </w:r>
      <w:r>
        <w:rPr>
          <w:rFonts w:ascii="仿宋" w:hAnsi="仿宋" w:eastAsia="仿宋"/>
          <w:color w:val="000000"/>
          <w:szCs w:val="32"/>
        </w:rPr>
        <w:t>%</w:t>
      </w:r>
      <w:r>
        <w:rPr>
          <w:rFonts w:hint="eastAsia" w:ascii="仿宋" w:hAnsi="仿宋" w:eastAsia="仿宋"/>
          <w:color w:val="000000"/>
          <w:szCs w:val="32"/>
        </w:rPr>
        <w:t>。</w:t>
      </w:r>
    </w:p>
    <w:p>
      <w:pPr>
        <w:spacing w:line="360" w:lineRule="auto"/>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：支出决算结构图）（饼状图）</w:t>
      </w:r>
    </w:p>
    <w:p>
      <w:pPr>
        <w:spacing w:line="360" w:lineRule="auto"/>
        <w:ind w:firstLine="640" w:firstLineChars="200"/>
        <w:rPr>
          <w:rFonts w:ascii="仿宋" w:hAnsi="仿宋" w:eastAsia="仿宋"/>
          <w:color w:val="000000"/>
          <w:szCs w:val="32"/>
        </w:rPr>
      </w:pPr>
      <w:r>
        <w:rPr>
          <w:rFonts w:ascii="仿宋" w:hAnsi="仿宋" w:eastAsia="仿宋"/>
          <w:color w:val="000000"/>
          <w:szCs w:val="32"/>
        </w:rPr>
        <w:drawing>
          <wp:inline distT="0" distB="0" distL="0" distR="0">
            <wp:extent cx="5372100" cy="326707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srcRect/>
                    <a:stretch>
                      <a:fillRect/>
                    </a:stretch>
                  </pic:blipFill>
                  <pic:spPr>
                    <a:xfrm>
                      <a:off x="0" y="0"/>
                      <a:ext cx="5372100" cy="3267075"/>
                    </a:xfrm>
                    <a:prstGeom prst="rect">
                      <a:avLst/>
                    </a:prstGeom>
                    <a:noFill/>
                    <a:ln w="9525">
                      <a:noFill/>
                      <a:miter lim="800000"/>
                      <a:headEnd/>
                      <a:tailEnd/>
                    </a:ln>
                  </pic:spPr>
                </pic:pic>
              </a:graphicData>
            </a:graphic>
          </wp:inline>
        </w:drawing>
      </w:r>
    </w:p>
    <w:p>
      <w:pPr>
        <w:spacing w:line="360" w:lineRule="auto"/>
        <w:ind w:firstLine="640" w:firstLineChars="200"/>
        <w:outlineLvl w:val="1"/>
        <w:rPr>
          <w:rStyle w:val="16"/>
          <w:rFonts w:ascii="黑体" w:hAnsi="黑体" w:eastAsia="黑体"/>
          <w:b w:val="0"/>
        </w:rPr>
      </w:pPr>
      <w:bookmarkStart w:id="23" w:name="_Toc10354"/>
      <w:bookmarkStart w:id="24" w:name="_Toc15377208"/>
      <w:bookmarkStart w:id="25" w:name="_Toc15396606"/>
      <w:r>
        <w:rPr>
          <w:rFonts w:hint="eastAsia" w:ascii="黑体" w:hAnsi="黑体" w:eastAsia="黑体"/>
          <w:color w:val="000000"/>
          <w:szCs w:val="32"/>
        </w:rPr>
        <w:t>四、财</w:t>
      </w:r>
      <w:r>
        <w:rPr>
          <w:rStyle w:val="16"/>
          <w:rFonts w:hint="eastAsia" w:ascii="黑体" w:hAnsi="黑体" w:eastAsia="黑体"/>
          <w:b w:val="0"/>
        </w:rPr>
        <w:t>政拨款收入支出决算总体情况说明</w:t>
      </w:r>
      <w:bookmarkEnd w:id="23"/>
      <w:bookmarkEnd w:id="24"/>
      <w:bookmarkEnd w:id="25"/>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年财政拨款收入总计1803.22万元；支出总计1803.22万元。与</w:t>
      </w:r>
      <w:r>
        <w:rPr>
          <w:rFonts w:ascii="仿宋" w:hAnsi="仿宋" w:eastAsia="仿宋"/>
          <w:color w:val="000000"/>
          <w:szCs w:val="32"/>
        </w:rPr>
        <w:t>2019</w:t>
      </w:r>
      <w:r>
        <w:rPr>
          <w:rFonts w:hint="eastAsia" w:ascii="仿宋" w:hAnsi="仿宋" w:eastAsia="仿宋"/>
          <w:color w:val="000000"/>
          <w:szCs w:val="32"/>
        </w:rPr>
        <w:t>年相比，财政拨款收入总计减少245.64万元，下降12.43</w:t>
      </w:r>
      <w:r>
        <w:rPr>
          <w:rFonts w:ascii="仿宋" w:hAnsi="仿宋" w:eastAsia="仿宋"/>
          <w:color w:val="000000"/>
          <w:szCs w:val="32"/>
        </w:rPr>
        <w:t>%</w:t>
      </w:r>
      <w:r>
        <w:rPr>
          <w:rFonts w:hint="eastAsia" w:ascii="仿宋" w:hAnsi="仿宋" w:eastAsia="仿宋"/>
          <w:color w:val="000000"/>
          <w:szCs w:val="32"/>
        </w:rPr>
        <w:t>，支出总计减少245.64万元，减少12.43</w:t>
      </w:r>
      <w:r>
        <w:rPr>
          <w:rFonts w:ascii="仿宋" w:hAnsi="仿宋" w:eastAsia="仿宋"/>
          <w:color w:val="000000"/>
          <w:szCs w:val="32"/>
        </w:rPr>
        <w:t>%</w:t>
      </w:r>
      <w:r>
        <w:rPr>
          <w:rFonts w:hint="eastAsia" w:ascii="仿宋" w:hAnsi="仿宋" w:eastAsia="仿宋"/>
          <w:color w:val="000000"/>
          <w:szCs w:val="32"/>
        </w:rPr>
        <w:t>。主要变动原因是主要原因是本年无综合楼工程项目预算。</w:t>
      </w:r>
    </w:p>
    <w:p>
      <w:pPr>
        <w:spacing w:line="360" w:lineRule="auto"/>
        <w:ind w:firstLine="640" w:firstLineChars="200"/>
        <w:rPr>
          <w:rFonts w:ascii="黑体" w:hAnsi="黑体" w:eastAsia="黑体"/>
          <w:color w:val="000000"/>
          <w:szCs w:val="32"/>
        </w:rPr>
      </w:pPr>
      <w:r>
        <w:pict>
          <v:shape id="_x0000_s2055" o:spid="_x0000_s2055" o:spt="202" type="#_x0000_t202" style="position:absolute;left:0pt;margin-left:332.25pt;margin-top:71.25pt;height:21pt;width:51pt;z-index:251662336;mso-width-relative:page;mso-height-relative:page;" coordsize="21600,21600">
            <v:path/>
            <v:fill focussize="0,0"/>
            <v:stroke joinstyle="miter"/>
            <v:imagedata o:title=""/>
            <o:lock v:ext="edit"/>
            <v:textbox>
              <w:txbxContent>
                <w:p>
                  <w:r>
                    <w:rPr>
                      <w:rFonts w:hint="eastAsia"/>
                      <w:sz w:val="21"/>
                      <w:szCs w:val="21"/>
                    </w:rPr>
                    <w:t>1803.22</w:t>
                  </w:r>
                  <w:r>
                    <w:rPr>
                      <w:rFonts w:hint="eastAsia"/>
                    </w:rPr>
                    <w:t>86</w:t>
                  </w:r>
                </w:p>
              </w:txbxContent>
            </v:textbox>
          </v:shape>
        </w:pict>
      </w:r>
      <w:r>
        <w:pict>
          <v:shape id="_x0000_s2054" o:spid="_x0000_s2054" o:spt="202" type="#_x0000_t202" style="position:absolute;left:0pt;margin-left:113.55pt;margin-top:63.65pt;height:21pt;width:51pt;z-index:251661312;mso-width-relative:page;mso-height-relative:page;" coordsize="21600,21600">
            <v:path/>
            <v:fill focussize="0,0"/>
            <v:stroke joinstyle="miter"/>
            <v:imagedata o:title=""/>
            <o:lock v:ext="edit"/>
            <v:textbox>
              <w:txbxContent>
                <w:p>
                  <w:r>
                    <w:rPr>
                      <w:rFonts w:hint="eastAsia"/>
                      <w:sz w:val="21"/>
                      <w:szCs w:val="21"/>
                    </w:rPr>
                    <w:t>1803.22</w:t>
                  </w:r>
                  <w:r>
                    <w:rPr>
                      <w:rFonts w:hint="eastAsia"/>
                    </w:rPr>
                    <w:t>86</w:t>
                  </w:r>
                </w:p>
              </w:txbxContent>
            </v:textbox>
          </v:shape>
        </w:pict>
      </w:r>
      <w:r>
        <w:pict>
          <v:shape id="_x0000_s2056" o:spid="_x0000_s2056" o:spt="202" type="#_x0000_t202" style="position:absolute;left:0pt;margin-left:205.05pt;margin-top:72pt;height:20.25pt;width:51pt;z-index:251663360;mso-width-relative:page;mso-height-relative:page;" coordsize="21600,21600">
            <v:path/>
            <v:fill focussize="0,0"/>
            <v:stroke joinstyle="miter"/>
            <v:imagedata o:title=""/>
            <o:lock v:ext="edit"/>
            <v:textbox>
              <w:txbxContent>
                <w:p>
                  <w:r>
                    <w:rPr>
                      <w:rFonts w:hint="eastAsia"/>
                      <w:sz w:val="21"/>
                      <w:szCs w:val="21"/>
                    </w:rPr>
                    <w:t>2048.86</w:t>
                  </w:r>
                  <w:r>
                    <w:rPr>
                      <w:rFonts w:hint="eastAsia"/>
                    </w:rPr>
                    <w:t>86</w:t>
                  </w:r>
                </w:p>
              </w:txbxContent>
            </v:textbox>
          </v:shape>
        </w:pict>
      </w:r>
      <w:r>
        <w:pict>
          <v:shape id="_x0000_s2053" o:spid="_x0000_s2053" o:spt="202" type="#_x0000_t202" style="position:absolute;left:0pt;margin-left:66.3pt;margin-top:42.65pt;height:21pt;width:51pt;z-index:251660288;mso-width-relative:page;mso-height-relative:page;" coordsize="21600,21600">
            <v:path/>
            <v:fill focussize="0,0"/>
            <v:stroke joinstyle="miter"/>
            <v:imagedata o:title=""/>
            <o:lock v:ext="edit"/>
            <v:textbox>
              <w:txbxContent>
                <w:p>
                  <w:r>
                    <w:rPr>
                      <w:rFonts w:hint="eastAsia"/>
                      <w:sz w:val="21"/>
                      <w:szCs w:val="21"/>
                    </w:rPr>
                    <w:t>2048.86</w:t>
                  </w:r>
                  <w:r>
                    <w:rPr>
                      <w:rFonts w:hint="eastAsia"/>
                    </w:rPr>
                    <w:t>86</w:t>
                  </w:r>
                </w:p>
              </w:txbxContent>
            </v:textbox>
          </v:shape>
        </w:pict>
      </w:r>
      <w:r>
        <w:pict>
          <v:shape id="_x0000_s2057" o:spid="_x0000_s2057" o:spt="202" type="#_x0000_t202" style="position:absolute;left:0pt;margin-left:-16.2pt;margin-top:28.35pt;height:35.3pt;width:76.3pt;z-index:251664384;mso-width-relative:page;mso-height-relative:page;" coordsize="21600,21600">
            <v:path/>
            <v:fill focussize="0,0"/>
            <v:stroke joinstyle="miter"/>
            <v:imagedata o:title=""/>
            <o:lock v:ext="edit"/>
            <v:textbox>
              <w:txbxContent>
                <w:p>
                  <w:r>
                    <w:rPr>
                      <w:rFonts w:hint="eastAsia"/>
                      <w:sz w:val="21"/>
                      <w:szCs w:val="21"/>
                    </w:rPr>
                    <w:t>金额：万元</w:t>
                  </w:r>
                </w:p>
              </w:txbxContent>
            </v:textbox>
          </v:shape>
        </w:pict>
      </w: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：财政拨款收、支决算总计变动情况）（柱状图）</w:t>
      </w:r>
      <w:bookmarkStart w:id="26" w:name="_Toc10967"/>
      <w:bookmarkStart w:id="27" w:name="_Toc15377209"/>
      <w:bookmarkStart w:id="28" w:name="_Toc15396607"/>
      <w:r>
        <w:rPr>
          <w:rFonts w:hint="eastAsia" w:ascii="黑体" w:hAnsi="黑体" w:eastAsia="黑体"/>
          <w:color w:val="000000"/>
          <w:szCs w:val="32"/>
        </w:rPr>
        <w:drawing>
          <wp:inline distT="0" distB="0" distL="0" distR="0">
            <wp:extent cx="5295900" cy="2733675"/>
            <wp:effectExtent l="19050" t="0" r="19050" b="0"/>
            <wp:docPr id="4" name="图表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360" w:lineRule="auto"/>
        <w:ind w:firstLine="640" w:firstLineChars="200"/>
        <w:outlineLvl w:val="1"/>
        <w:rPr>
          <w:rStyle w:val="16"/>
          <w:rFonts w:ascii="黑体" w:hAnsi="黑体" w:eastAsia="黑体"/>
          <w:b w:val="0"/>
        </w:rPr>
      </w:pPr>
      <w:r>
        <w:rPr>
          <w:rFonts w:hint="eastAsia" w:ascii="黑体" w:hAnsi="黑体" w:eastAsia="黑体"/>
          <w:color w:val="000000"/>
          <w:szCs w:val="32"/>
        </w:rPr>
        <w:t>五、</w:t>
      </w:r>
      <w:r>
        <w:rPr>
          <w:rFonts w:hint="eastAsia" w:ascii="黑体" w:hAnsi="黑体" w:eastAsia="黑体"/>
          <w:b/>
          <w:color w:val="000000"/>
          <w:szCs w:val="32"/>
        </w:rPr>
        <w:t>一</w:t>
      </w:r>
      <w:r>
        <w:rPr>
          <w:rStyle w:val="16"/>
          <w:rFonts w:hint="eastAsia" w:ascii="黑体" w:hAnsi="黑体" w:eastAsia="黑体"/>
          <w:b w:val="0"/>
        </w:rPr>
        <w:t>般公共预算财政拨款支出决算情况说明</w:t>
      </w:r>
      <w:bookmarkEnd w:id="26"/>
      <w:bookmarkEnd w:id="27"/>
      <w:bookmarkEnd w:id="28"/>
    </w:p>
    <w:p>
      <w:pPr>
        <w:spacing w:line="360" w:lineRule="auto"/>
        <w:ind w:firstLine="643" w:firstLineChars="200"/>
        <w:outlineLvl w:val="2"/>
        <w:rPr>
          <w:rFonts w:ascii="仿宋" w:hAnsi="仿宋" w:eastAsia="仿宋"/>
          <w:b/>
          <w:color w:val="000000"/>
          <w:szCs w:val="32"/>
        </w:rPr>
      </w:pPr>
      <w:bookmarkStart w:id="29" w:name="_Toc15377210"/>
      <w:r>
        <w:rPr>
          <w:rFonts w:hint="eastAsia" w:ascii="仿宋" w:hAnsi="仿宋" w:eastAsia="仿宋"/>
          <w:b/>
          <w:color w:val="000000"/>
          <w:szCs w:val="32"/>
        </w:rPr>
        <w:t>（一）一般公共预算财政拨款支出决算总体情况</w:t>
      </w:r>
      <w:bookmarkEnd w:id="29"/>
    </w:p>
    <w:p>
      <w:pPr>
        <w:spacing w:line="360" w:lineRule="auto"/>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年一般公共预算财政拨款支出1787.12万元，占本年支出合计的</w:t>
      </w:r>
      <w:r>
        <w:rPr>
          <w:rFonts w:hint="eastAsia" w:ascii="仿宋" w:hAnsi="仿宋" w:eastAsia="仿宋"/>
          <w:szCs w:val="32"/>
        </w:rPr>
        <w:t>98.2</w:t>
      </w:r>
      <w:r>
        <w:rPr>
          <w:rFonts w:ascii="仿宋" w:hAnsi="仿宋" w:eastAsia="仿宋"/>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年相比，一般公共预算财政拨款增加210.79万元，增长13.37</w:t>
      </w:r>
      <w:r>
        <w:rPr>
          <w:rFonts w:ascii="仿宋" w:hAnsi="仿宋" w:eastAsia="仿宋"/>
          <w:color w:val="000000"/>
          <w:szCs w:val="32"/>
        </w:rPr>
        <w:t>%</w:t>
      </w:r>
      <w:r>
        <w:rPr>
          <w:rFonts w:hint="eastAsia" w:ascii="仿宋" w:hAnsi="仿宋" w:eastAsia="仿宋"/>
          <w:color w:val="000000"/>
          <w:szCs w:val="32"/>
        </w:rPr>
        <w:t>。主要变动原因是教师工资增加和综合楼工程支付工程款。</w:t>
      </w:r>
    </w:p>
    <w:p>
      <w:pPr>
        <w:spacing w:line="360" w:lineRule="auto"/>
        <w:rPr>
          <w:rFonts w:ascii="仿宋" w:hAnsi="仿宋" w:eastAsia="仿宋"/>
          <w:color w:val="000000"/>
          <w:szCs w:val="32"/>
        </w:rPr>
      </w:pPr>
      <w:r>
        <w:pict>
          <v:shape id="_x0000_s2059" o:spid="_x0000_s2059" o:spt="202" type="#_x0000_t202" style="position:absolute;left:0pt;margin-left:51.3pt;margin-top:59.55pt;height:21pt;width:48.75pt;z-index:251666432;mso-width-relative:page;mso-height-relative:page;" coordsize="21600,21600">
            <v:path/>
            <v:fill focussize="0,0"/>
            <v:stroke joinstyle="miter"/>
            <v:imagedata o:title=""/>
            <o:lock v:ext="edit"/>
            <v:textbox>
              <w:txbxContent>
                <w:p>
                  <w:pPr>
                    <w:rPr>
                      <w:sz w:val="21"/>
                      <w:szCs w:val="21"/>
                    </w:rPr>
                  </w:pPr>
                  <w:r>
                    <w:rPr>
                      <w:rFonts w:hint="eastAsia"/>
                      <w:sz w:val="21"/>
                      <w:szCs w:val="21"/>
                    </w:rPr>
                    <w:t>1576.33</w:t>
                  </w:r>
                </w:p>
              </w:txbxContent>
            </v:textbox>
          </v:shape>
        </w:pict>
      </w:r>
      <w:r>
        <w:pict>
          <v:shape id="_x0000_s2058" o:spid="_x0000_s2058" o:spt="202" type="#_x0000_t202" style="position:absolute;left:0pt;margin-left:4.5pt;margin-top:23.55pt;height:36pt;width:66.75pt;z-index:251665408;mso-width-relative:page;mso-height-relative:page;" coordsize="21600,21600">
            <v:path/>
            <v:fill focussize="0,0"/>
            <v:stroke joinstyle="miter"/>
            <v:imagedata o:title=""/>
            <o:lock v:ext="edit"/>
            <v:textbox>
              <w:txbxContent>
                <w:p>
                  <w:pPr>
                    <w:rPr>
                      <w:sz w:val="21"/>
                      <w:szCs w:val="21"/>
                    </w:rPr>
                  </w:pPr>
                  <w:r>
                    <w:rPr>
                      <w:rFonts w:hint="eastAsia"/>
                      <w:sz w:val="21"/>
                      <w:szCs w:val="21"/>
                    </w:rPr>
                    <w:t>单位：万元</w:t>
                  </w:r>
                </w:p>
              </w:txbxContent>
            </v:textbox>
          </v:shape>
        </w:pict>
      </w:r>
      <w:r>
        <w:pict>
          <v:shape id="_x0000_s2060" o:spid="_x0000_s2060" o:spt="202" type="#_x0000_t202" style="position:absolute;left:0pt;margin-left:108.3pt;margin-top:36.3pt;height:23.25pt;width:51.75pt;z-index:251667456;mso-width-relative:page;mso-height-relative:page;" coordsize="21600,21600">
            <v:path/>
            <v:fill focussize="0,0"/>
            <v:stroke joinstyle="miter"/>
            <v:imagedata o:title=""/>
            <o:lock v:ext="edit"/>
            <v:textbox>
              <w:txbxContent>
                <w:p>
                  <w:pPr>
                    <w:rPr>
                      <w:sz w:val="21"/>
                      <w:szCs w:val="21"/>
                    </w:rPr>
                  </w:pPr>
                  <w:r>
                    <w:rPr>
                      <w:rFonts w:hint="eastAsia"/>
                      <w:sz w:val="21"/>
                      <w:szCs w:val="21"/>
                    </w:rPr>
                    <w:t>1787.12</w:t>
                  </w:r>
                </w:p>
              </w:txbxContent>
            </v:textbox>
          </v:shape>
        </w:pict>
      </w: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：一般公共预算财政拨款支出决算变动情况）（柱状图）</w:t>
      </w:r>
      <w:r>
        <w:rPr>
          <w:rFonts w:hint="eastAsia" w:ascii="仿宋" w:hAnsi="仿宋" w:eastAsia="仿宋"/>
          <w:color w:val="000000"/>
          <w:szCs w:val="32"/>
        </w:rPr>
        <w:drawing>
          <wp:inline distT="0" distB="0" distL="0" distR="0">
            <wp:extent cx="5684520" cy="2636520"/>
            <wp:effectExtent l="4777" t="4769" r="15697" b="15668"/>
            <wp:docPr id="5"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360" w:lineRule="auto"/>
        <w:ind w:firstLine="643" w:firstLineChars="200"/>
        <w:outlineLvl w:val="2"/>
        <w:rPr>
          <w:rFonts w:ascii="仿宋" w:hAnsi="仿宋" w:eastAsia="仿宋"/>
          <w:b/>
          <w:color w:val="000000"/>
          <w:szCs w:val="32"/>
        </w:rPr>
      </w:pPr>
      <w:bookmarkStart w:id="30" w:name="_Toc15377211"/>
      <w:r>
        <w:rPr>
          <w:rFonts w:hint="eastAsia" w:ascii="仿宋" w:hAnsi="仿宋" w:eastAsia="仿宋"/>
          <w:b/>
          <w:color w:val="000000"/>
          <w:szCs w:val="32"/>
        </w:rPr>
        <w:t>（二）一般公共预算财政拨款支出决算结构情况</w:t>
      </w:r>
      <w:bookmarkEnd w:id="30"/>
    </w:p>
    <w:p>
      <w:pPr>
        <w:spacing w:line="600" w:lineRule="exact"/>
        <w:ind w:firstLine="640"/>
        <w:rPr>
          <w:rFonts w:ascii="仿宋" w:hAnsi="仿宋" w:eastAsia="仿宋"/>
          <w:b/>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年一般公共预算财政拨款支出1787.12万元，主要用于以下方面</w:t>
      </w:r>
      <w:r>
        <w:rPr>
          <w:rFonts w:ascii="仿宋" w:hAnsi="仿宋" w:eastAsia="仿宋"/>
          <w:color w:val="000000"/>
          <w:szCs w:val="32"/>
        </w:rPr>
        <w:t>:</w:t>
      </w:r>
      <w:r>
        <w:rPr>
          <w:rFonts w:hint="eastAsia" w:ascii="仿宋" w:hAnsi="仿宋" w:eastAsia="仿宋"/>
          <w:b/>
          <w:color w:val="000000"/>
          <w:szCs w:val="32"/>
        </w:rPr>
        <w:t xml:space="preserve"> 一般公共服务（类）</w:t>
      </w:r>
      <w:r>
        <w:rPr>
          <w:rFonts w:hint="eastAsia" w:ascii="仿宋" w:hAnsi="仿宋" w:eastAsia="仿宋"/>
          <w:color w:val="000000"/>
          <w:szCs w:val="32"/>
        </w:rPr>
        <w:t>支出0万元，占0</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教育支出（类）</w:t>
      </w:r>
      <w:r>
        <w:rPr>
          <w:rFonts w:hint="eastAsia" w:ascii="仿宋" w:hAnsi="仿宋" w:eastAsia="仿宋"/>
          <w:color w:val="000000"/>
          <w:szCs w:val="32"/>
        </w:rPr>
        <w:t>1787.12万元，占100</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科学技术（类）</w:t>
      </w:r>
      <w:r>
        <w:rPr>
          <w:rFonts w:hint="eastAsia" w:ascii="仿宋" w:hAnsi="仿宋" w:eastAsia="仿宋"/>
          <w:color w:val="000000"/>
          <w:szCs w:val="32"/>
        </w:rPr>
        <w:t>支出0万元，占0</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文化旅游体育与传媒（类）支出0万元，占0</w:t>
      </w:r>
      <w:r>
        <w:rPr>
          <w:rFonts w:ascii="仿宋" w:hAnsi="仿宋" w:eastAsia="仿宋"/>
          <w:b/>
          <w:bCs/>
          <w:color w:val="000000"/>
          <w:szCs w:val="32"/>
        </w:rPr>
        <w:t>%</w:t>
      </w:r>
      <w:r>
        <w:rPr>
          <w:rFonts w:hint="eastAsia" w:ascii="仿宋" w:hAnsi="仿宋" w:eastAsia="仿宋"/>
          <w:color w:val="000000"/>
          <w:szCs w:val="32"/>
        </w:rPr>
        <w:t>；</w:t>
      </w:r>
      <w:r>
        <w:rPr>
          <w:rFonts w:hint="eastAsia" w:ascii="仿宋" w:hAnsi="仿宋" w:eastAsia="仿宋"/>
          <w:b/>
          <w:color w:val="000000"/>
          <w:szCs w:val="32"/>
        </w:rPr>
        <w:t>社会保障和就业（类）</w:t>
      </w:r>
      <w:r>
        <w:rPr>
          <w:rFonts w:hint="eastAsia" w:ascii="仿宋" w:hAnsi="仿宋" w:eastAsia="仿宋"/>
          <w:color w:val="000000"/>
          <w:szCs w:val="32"/>
        </w:rPr>
        <w:t>支出0万元，占0</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卫生健康支出</w:t>
      </w:r>
      <w:r>
        <w:rPr>
          <w:rFonts w:hint="eastAsia" w:ascii="仿宋" w:hAnsi="仿宋" w:eastAsia="仿宋"/>
          <w:color w:val="000000"/>
          <w:szCs w:val="32"/>
        </w:rPr>
        <w:t>0万元，占0</w:t>
      </w:r>
      <w:r>
        <w:rPr>
          <w:rFonts w:ascii="仿宋" w:hAnsi="仿宋" w:eastAsia="仿宋"/>
          <w:color w:val="000000"/>
          <w:szCs w:val="32"/>
        </w:rPr>
        <w:t>%</w:t>
      </w:r>
      <w:r>
        <w:rPr>
          <w:rFonts w:hint="eastAsia" w:ascii="仿宋" w:hAnsi="仿宋" w:eastAsia="仿宋"/>
          <w:color w:val="000000"/>
          <w:szCs w:val="32"/>
        </w:rPr>
        <w:t>；住房保障支出0万元，占0</w:t>
      </w:r>
      <w:r>
        <w:rPr>
          <w:rFonts w:ascii="仿宋" w:hAnsi="仿宋" w:eastAsia="仿宋"/>
          <w:color w:val="000000"/>
          <w:szCs w:val="32"/>
        </w:rPr>
        <w:t>%</w:t>
      </w:r>
      <w:r>
        <w:rPr>
          <w:rFonts w:hint="eastAsia" w:ascii="仿宋" w:hAnsi="仿宋" w:eastAsia="仿宋"/>
          <w:color w:val="000000"/>
          <w:szCs w:val="32"/>
        </w:rPr>
        <w:t>；</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（罗列全部功能分类科目，至类级。）</w:t>
      </w:r>
    </w:p>
    <w:p>
      <w:pPr>
        <w:spacing w:line="360" w:lineRule="auto"/>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：一般公共预算财政拨款支出决算结构）（饼状图）</w:t>
      </w:r>
    </w:p>
    <w:p>
      <w:pPr>
        <w:spacing w:line="360" w:lineRule="auto"/>
        <w:ind w:firstLine="640" w:firstLineChars="200"/>
        <w:rPr>
          <w:rFonts w:ascii="仿宋" w:hAnsi="仿宋" w:eastAsia="仿宋"/>
          <w:color w:val="000000"/>
          <w:szCs w:val="32"/>
        </w:rPr>
      </w:pPr>
      <w:r>
        <w:pict>
          <v:shape id="_x0000_s2061" o:spid="_x0000_s2061" o:spt="202" type="#_x0000_t202" style="position:absolute;left:0pt;margin-left:217.05pt;margin-top:58.9pt;height:26.3pt;width:43.5pt;z-index:251668480;mso-width-relative:page;mso-height-relative:page;" coordsize="21600,21600">
            <v:path/>
            <v:fill focussize="0,0"/>
            <v:stroke joinstyle="miter"/>
            <v:imagedata o:title=""/>
            <o:lock v:ext="edit"/>
            <v:textbox>
              <w:txbxContent>
                <w:p>
                  <w:pPr>
                    <w:rPr>
                      <w:sz w:val="21"/>
                      <w:szCs w:val="21"/>
                    </w:rPr>
                  </w:pPr>
                  <w:r>
                    <w:rPr>
                      <w:rFonts w:hint="eastAsia"/>
                      <w:sz w:val="21"/>
                      <w:szCs w:val="21"/>
                    </w:rPr>
                    <w:t>100%</w:t>
                  </w:r>
                </w:p>
              </w:txbxContent>
            </v:textbox>
          </v:shape>
        </w:pict>
      </w:r>
      <w:r>
        <w:rPr>
          <w:rFonts w:hint="eastAsia" w:ascii="仿宋" w:hAnsi="仿宋" w:eastAsia="仿宋"/>
          <w:color w:val="000000"/>
          <w:szCs w:val="32"/>
        </w:rPr>
        <w:drawing>
          <wp:inline distT="0" distB="0" distL="0" distR="0">
            <wp:extent cx="4857750" cy="1676400"/>
            <wp:effectExtent l="19050" t="0" r="19050" b="0"/>
            <wp:docPr id="6" name="图表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360" w:lineRule="auto"/>
        <w:ind w:firstLine="643" w:firstLineChars="200"/>
        <w:outlineLvl w:val="2"/>
        <w:rPr>
          <w:rFonts w:ascii="仿宋" w:hAnsi="仿宋" w:eastAsia="仿宋"/>
          <w:b/>
          <w:color w:val="000000"/>
          <w:szCs w:val="32"/>
        </w:rPr>
      </w:pPr>
      <w:bookmarkStart w:id="31" w:name="_Toc15377212"/>
      <w:r>
        <w:rPr>
          <w:rFonts w:hint="eastAsia" w:ascii="仿宋" w:hAnsi="仿宋" w:eastAsia="仿宋"/>
          <w:b/>
          <w:color w:val="000000"/>
          <w:szCs w:val="32"/>
        </w:rPr>
        <w:t>（三）一般公共预算财政拨款支出决算具体情况</w:t>
      </w:r>
      <w:bookmarkEnd w:id="31"/>
    </w:p>
    <w:p>
      <w:pPr>
        <w:spacing w:line="360" w:lineRule="auto"/>
        <w:ind w:firstLine="643" w:firstLineChars="200"/>
        <w:rPr>
          <w:rFonts w:ascii="仿宋" w:hAnsi="仿宋" w:eastAsia="仿宋"/>
          <w:szCs w:val="32"/>
        </w:rPr>
      </w:pPr>
      <w:bookmarkStart w:id="32" w:name="_Toc15377213"/>
      <w:bookmarkStart w:id="33" w:name="_Toc15378460"/>
      <w:bookmarkStart w:id="34" w:name="_Toc15377444"/>
      <w:r>
        <w:rPr>
          <w:rFonts w:ascii="仿宋" w:hAnsi="仿宋" w:eastAsia="仿宋"/>
          <w:b/>
          <w:szCs w:val="32"/>
        </w:rPr>
        <w:t>2020</w:t>
      </w:r>
      <w:r>
        <w:rPr>
          <w:rFonts w:hint="eastAsia" w:ascii="仿宋" w:hAnsi="仿宋" w:eastAsia="仿宋"/>
          <w:b/>
          <w:szCs w:val="32"/>
        </w:rPr>
        <w:t>年一般公共预算支出决算数为1787.12万元</w:t>
      </w:r>
      <w:r>
        <w:rPr>
          <w:rFonts w:hint="eastAsia" w:ascii="仿宋" w:hAnsi="仿宋" w:eastAsia="仿宋"/>
          <w:szCs w:val="32"/>
        </w:rPr>
        <w:t>，</w:t>
      </w:r>
      <w:r>
        <w:rPr>
          <w:rStyle w:val="13"/>
          <w:rFonts w:hint="eastAsia" w:ascii="仿宋" w:hAnsi="仿宋" w:eastAsia="仿宋"/>
          <w:bCs/>
          <w:szCs w:val="32"/>
        </w:rPr>
        <w:t>完成预算99.11</w:t>
      </w:r>
      <w:r>
        <w:rPr>
          <w:rStyle w:val="13"/>
          <w:rFonts w:ascii="仿宋" w:hAnsi="仿宋" w:eastAsia="仿宋"/>
          <w:bCs/>
          <w:szCs w:val="32"/>
        </w:rPr>
        <w:t>%</w:t>
      </w:r>
      <w:r>
        <w:rPr>
          <w:rStyle w:val="13"/>
          <w:rFonts w:hint="eastAsia" w:ascii="仿宋" w:hAnsi="仿宋" w:eastAsia="仿宋"/>
          <w:bCs/>
          <w:szCs w:val="32"/>
        </w:rPr>
        <w:t>。其中：</w:t>
      </w:r>
      <w:bookmarkEnd w:id="32"/>
      <w:bookmarkEnd w:id="33"/>
      <w:bookmarkEnd w:id="34"/>
    </w:p>
    <w:p>
      <w:pPr>
        <w:spacing w:line="360" w:lineRule="auto"/>
        <w:ind w:firstLine="643" w:firstLineChars="200"/>
        <w:rPr>
          <w:rFonts w:ascii="仿宋" w:hAnsi="仿宋" w:eastAsia="仿宋"/>
          <w:b/>
          <w:szCs w:val="32"/>
        </w:rPr>
      </w:pPr>
      <w:r>
        <w:rPr>
          <w:rStyle w:val="13"/>
          <w:rFonts w:ascii="仿宋" w:hAnsi="仿宋" w:eastAsia="仿宋"/>
          <w:bCs/>
          <w:szCs w:val="32"/>
        </w:rPr>
        <w:t>1.</w:t>
      </w:r>
      <w:r>
        <w:rPr>
          <w:rStyle w:val="13"/>
          <w:rFonts w:hint="eastAsia" w:ascii="仿宋" w:hAnsi="仿宋" w:eastAsia="仿宋"/>
          <w:bCs/>
          <w:szCs w:val="32"/>
        </w:rPr>
        <w:t xml:space="preserve"> 教育支出（类）普通教育（款）学前教育（项）</w:t>
      </w:r>
      <w:r>
        <w:rPr>
          <w:rStyle w:val="13"/>
          <w:rFonts w:ascii="仿宋" w:hAnsi="仿宋" w:eastAsia="仿宋"/>
          <w:bCs/>
          <w:szCs w:val="32"/>
        </w:rPr>
        <w:t>:</w:t>
      </w:r>
      <w:r>
        <w:rPr>
          <w:rStyle w:val="13"/>
          <w:rFonts w:ascii="仿宋" w:hAnsi="仿宋" w:eastAsia="仿宋"/>
          <w:b w:val="0"/>
          <w:bCs/>
          <w:szCs w:val="32"/>
        </w:rPr>
        <w:t xml:space="preserve"> </w:t>
      </w:r>
      <w:r>
        <w:rPr>
          <w:rStyle w:val="13"/>
          <w:rFonts w:hint="eastAsia" w:ascii="仿宋" w:hAnsi="仿宋" w:eastAsia="仿宋"/>
          <w:b w:val="0"/>
          <w:bCs/>
          <w:szCs w:val="32"/>
        </w:rPr>
        <w:t>支出决算为2.14万元，完成预算100</w:t>
      </w:r>
      <w:r>
        <w:rPr>
          <w:rStyle w:val="13"/>
          <w:rFonts w:ascii="仿宋" w:hAnsi="仿宋" w:eastAsia="仿宋"/>
          <w:b w:val="0"/>
          <w:bCs/>
          <w:szCs w:val="32"/>
        </w:rPr>
        <w:t>%</w:t>
      </w:r>
      <w:r>
        <w:rPr>
          <w:rStyle w:val="13"/>
          <w:rFonts w:hint="eastAsia" w:ascii="仿宋" w:hAnsi="仿宋" w:eastAsia="仿宋"/>
          <w:b w:val="0"/>
          <w:bCs/>
          <w:szCs w:val="32"/>
        </w:rPr>
        <w:t>。</w:t>
      </w:r>
    </w:p>
    <w:p>
      <w:pPr>
        <w:spacing w:line="360" w:lineRule="auto"/>
        <w:ind w:firstLine="643" w:firstLineChars="200"/>
        <w:rPr>
          <w:rStyle w:val="13"/>
          <w:rFonts w:ascii="仿宋" w:hAnsi="仿宋" w:eastAsia="仿宋"/>
          <w:b w:val="0"/>
          <w:bCs/>
          <w:szCs w:val="32"/>
        </w:rPr>
      </w:pPr>
      <w:r>
        <w:rPr>
          <w:rStyle w:val="13"/>
          <w:rFonts w:ascii="仿宋" w:hAnsi="仿宋" w:eastAsia="仿宋"/>
          <w:bCs/>
          <w:szCs w:val="32"/>
        </w:rPr>
        <w:t>2.</w:t>
      </w:r>
      <w:r>
        <w:rPr>
          <w:rStyle w:val="13"/>
          <w:rFonts w:hint="eastAsia" w:ascii="仿宋" w:hAnsi="仿宋" w:eastAsia="仿宋"/>
          <w:bCs/>
          <w:szCs w:val="32"/>
        </w:rPr>
        <w:t>教育支出（类）普通教育（款）小学教育（项）</w:t>
      </w:r>
      <w:r>
        <w:rPr>
          <w:rStyle w:val="13"/>
          <w:rFonts w:ascii="仿宋" w:hAnsi="仿宋" w:eastAsia="仿宋"/>
          <w:bCs/>
          <w:szCs w:val="32"/>
        </w:rPr>
        <w:t>:</w:t>
      </w:r>
      <w:r>
        <w:rPr>
          <w:rStyle w:val="13"/>
          <w:rFonts w:ascii="仿宋" w:hAnsi="仿宋" w:eastAsia="仿宋"/>
          <w:b w:val="0"/>
          <w:bCs/>
          <w:szCs w:val="32"/>
        </w:rPr>
        <w:t xml:space="preserve"> </w:t>
      </w:r>
      <w:r>
        <w:rPr>
          <w:rStyle w:val="13"/>
          <w:rFonts w:hint="eastAsia" w:ascii="仿宋" w:hAnsi="仿宋" w:eastAsia="仿宋"/>
          <w:b w:val="0"/>
          <w:bCs/>
          <w:szCs w:val="32"/>
        </w:rPr>
        <w:t>支出决算为1784.98万元，完成预算99.11</w:t>
      </w:r>
      <w:r>
        <w:rPr>
          <w:rStyle w:val="13"/>
          <w:rFonts w:ascii="仿宋" w:hAnsi="仿宋" w:eastAsia="仿宋"/>
          <w:b w:val="0"/>
          <w:bCs/>
          <w:szCs w:val="32"/>
        </w:rPr>
        <w:t>%</w:t>
      </w:r>
      <w:r>
        <w:rPr>
          <w:rStyle w:val="13"/>
          <w:rFonts w:hint="eastAsia" w:ascii="仿宋" w:hAnsi="仿宋" w:eastAsia="仿宋"/>
          <w:b w:val="0"/>
          <w:bCs/>
          <w:szCs w:val="32"/>
        </w:rPr>
        <w:t>，决算数小于预算数的主要原因是厉行节约，减少公用支出。</w:t>
      </w:r>
    </w:p>
    <w:p>
      <w:pPr>
        <w:spacing w:line="600" w:lineRule="exact"/>
        <w:ind w:firstLine="643" w:firstLineChars="200"/>
        <w:rPr>
          <w:rFonts w:ascii="仿宋" w:hAnsi="仿宋" w:eastAsia="仿宋"/>
          <w:b/>
          <w:color w:val="000000"/>
          <w:szCs w:val="32"/>
        </w:rPr>
      </w:pPr>
      <w:r>
        <w:rPr>
          <w:rStyle w:val="13"/>
          <w:rFonts w:ascii="仿宋" w:hAnsi="仿宋" w:eastAsia="仿宋"/>
          <w:bCs/>
          <w:color w:val="000000"/>
          <w:szCs w:val="32"/>
        </w:rPr>
        <w:t>3.</w:t>
      </w:r>
      <w:r>
        <w:rPr>
          <w:rStyle w:val="13"/>
          <w:rFonts w:hint="eastAsia" w:ascii="仿宋" w:hAnsi="仿宋" w:eastAsia="仿宋"/>
          <w:bCs/>
          <w:color w:val="000000"/>
          <w:szCs w:val="32"/>
        </w:rPr>
        <w:t>科学技术（类）</w:t>
      </w:r>
      <w:r>
        <w:rPr>
          <w:rStyle w:val="13"/>
          <w:rFonts w:ascii="仿宋" w:hAnsi="仿宋" w:eastAsia="仿宋"/>
          <w:bCs/>
          <w:color w:val="000000"/>
          <w:szCs w:val="32"/>
        </w:rPr>
        <w:t xml:space="preserve">: </w:t>
      </w:r>
      <w:r>
        <w:rPr>
          <w:rStyle w:val="13"/>
          <w:rFonts w:hint="eastAsia" w:ascii="仿宋" w:hAnsi="仿宋" w:eastAsia="仿宋"/>
          <w:bCs/>
          <w:color w:val="000000"/>
          <w:szCs w:val="32"/>
        </w:rPr>
        <w:t>我单位无此类支出。</w:t>
      </w:r>
    </w:p>
    <w:p>
      <w:pPr>
        <w:spacing w:line="600" w:lineRule="exact"/>
        <w:ind w:firstLine="643" w:firstLineChars="200"/>
        <w:rPr>
          <w:rStyle w:val="13"/>
          <w:rFonts w:ascii="仿宋" w:hAnsi="仿宋" w:eastAsia="仿宋"/>
          <w:bCs/>
          <w:color w:val="000000"/>
          <w:szCs w:val="32"/>
        </w:rPr>
      </w:pPr>
      <w:r>
        <w:rPr>
          <w:rStyle w:val="13"/>
          <w:rFonts w:ascii="仿宋" w:hAnsi="仿宋" w:eastAsia="仿宋"/>
          <w:bCs/>
          <w:color w:val="000000"/>
          <w:szCs w:val="32"/>
        </w:rPr>
        <w:t>4.</w:t>
      </w:r>
      <w:r>
        <w:rPr>
          <w:rStyle w:val="13"/>
          <w:rFonts w:hint="eastAsia" w:ascii="仿宋" w:hAnsi="仿宋" w:eastAsia="仿宋"/>
          <w:bCs/>
          <w:color w:val="000000"/>
          <w:szCs w:val="32"/>
        </w:rPr>
        <w:t>文化旅游体育与传媒（类）：我单位无此类支出。</w:t>
      </w:r>
    </w:p>
    <w:p>
      <w:pPr>
        <w:spacing w:line="600" w:lineRule="exact"/>
        <w:ind w:firstLine="643" w:firstLineChars="200"/>
        <w:rPr>
          <w:rStyle w:val="13"/>
          <w:rFonts w:ascii="仿宋" w:hAnsi="仿宋" w:eastAsia="仿宋"/>
          <w:bCs/>
          <w:color w:val="000000"/>
          <w:szCs w:val="32"/>
        </w:rPr>
      </w:pPr>
      <w:r>
        <w:rPr>
          <w:rStyle w:val="13"/>
          <w:rFonts w:ascii="仿宋" w:hAnsi="仿宋" w:eastAsia="仿宋"/>
          <w:bCs/>
          <w:color w:val="000000"/>
          <w:szCs w:val="32"/>
        </w:rPr>
        <w:t>5.</w:t>
      </w:r>
      <w:r>
        <w:rPr>
          <w:rStyle w:val="13"/>
          <w:rFonts w:hint="eastAsia" w:ascii="仿宋" w:hAnsi="仿宋" w:eastAsia="仿宋"/>
          <w:bCs/>
          <w:color w:val="000000"/>
          <w:szCs w:val="32"/>
        </w:rPr>
        <w:t>社会保障和就业（类）：我单位无此类支出。</w:t>
      </w:r>
    </w:p>
    <w:p>
      <w:pPr>
        <w:spacing w:line="600" w:lineRule="exact"/>
        <w:ind w:firstLine="643" w:firstLineChars="200"/>
        <w:rPr>
          <w:rStyle w:val="13"/>
          <w:rFonts w:ascii="仿宋" w:hAnsi="仿宋" w:eastAsia="仿宋"/>
          <w:bCs/>
          <w:color w:val="000000"/>
          <w:szCs w:val="32"/>
        </w:rPr>
      </w:pPr>
      <w:r>
        <w:rPr>
          <w:rStyle w:val="13"/>
          <w:rFonts w:ascii="仿宋" w:hAnsi="仿宋" w:eastAsia="仿宋"/>
          <w:bCs/>
          <w:color w:val="000000"/>
          <w:szCs w:val="32"/>
        </w:rPr>
        <w:t>6.</w:t>
      </w:r>
      <w:r>
        <w:rPr>
          <w:rFonts w:hint="eastAsia" w:ascii="仿宋" w:hAnsi="仿宋" w:eastAsia="仿宋"/>
          <w:b/>
          <w:bCs/>
          <w:color w:val="000000"/>
          <w:szCs w:val="32"/>
        </w:rPr>
        <w:t>卫生健康</w:t>
      </w:r>
      <w:r>
        <w:rPr>
          <w:rStyle w:val="13"/>
          <w:rFonts w:hint="eastAsia" w:ascii="仿宋" w:hAnsi="仿宋" w:eastAsia="仿宋"/>
          <w:bCs/>
          <w:color w:val="000000"/>
          <w:szCs w:val="32"/>
        </w:rPr>
        <w:t>（类）</w:t>
      </w:r>
      <w:r>
        <w:rPr>
          <w:rStyle w:val="13"/>
          <w:rFonts w:ascii="仿宋" w:hAnsi="仿宋" w:eastAsia="仿宋"/>
          <w:bCs/>
          <w:color w:val="000000"/>
          <w:szCs w:val="32"/>
        </w:rPr>
        <w:t>:</w:t>
      </w:r>
      <w:r>
        <w:rPr>
          <w:rStyle w:val="13"/>
          <w:rFonts w:hint="eastAsia" w:ascii="仿宋" w:hAnsi="仿宋" w:eastAsia="仿宋"/>
          <w:bCs/>
          <w:color w:val="000000"/>
          <w:szCs w:val="32"/>
        </w:rPr>
        <w:t xml:space="preserve"> 我单位无此类支出。</w:t>
      </w:r>
    </w:p>
    <w:p>
      <w:pPr>
        <w:tabs>
          <w:tab w:val="right" w:pos="8306"/>
        </w:tabs>
        <w:spacing w:line="360" w:lineRule="auto"/>
        <w:ind w:firstLine="640" w:firstLineChars="200"/>
        <w:outlineLvl w:val="1"/>
        <w:rPr>
          <w:rStyle w:val="16"/>
        </w:rPr>
      </w:pPr>
      <w:bookmarkStart w:id="35" w:name="_Toc31021"/>
      <w:bookmarkStart w:id="36" w:name="_Toc15377214"/>
      <w:bookmarkStart w:id="37" w:name="_Toc15396608"/>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6"/>
          <w:rFonts w:hint="eastAsia" w:ascii="黑体" w:hAnsi="黑体" w:eastAsia="黑体"/>
          <w:b w:val="0"/>
        </w:rPr>
        <w:t>般公共预算财政拨款基本支出决算情况说明</w:t>
      </w:r>
      <w:bookmarkEnd w:id="35"/>
      <w:bookmarkEnd w:id="36"/>
      <w:bookmarkEnd w:id="37"/>
      <w:r>
        <w:rPr>
          <w:rStyle w:val="16"/>
          <w:rFonts w:ascii="黑体" w:hAnsi="黑体" w:eastAsia="黑体"/>
          <w:b w:val="0"/>
        </w:rPr>
        <w:tab/>
      </w:r>
    </w:p>
    <w:p>
      <w:pPr>
        <w:spacing w:line="360" w:lineRule="auto"/>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年一般公共预算财政拨款基本支出</w:t>
      </w:r>
      <w:r>
        <w:rPr>
          <w:rFonts w:hint="eastAsia" w:ascii="仿宋" w:hAnsi="仿宋" w:eastAsia="仿宋"/>
          <w:szCs w:val="32"/>
        </w:rPr>
        <w:t>1329.75</w:t>
      </w:r>
      <w:r>
        <w:rPr>
          <w:rFonts w:hint="eastAsia" w:ascii="仿宋" w:hAnsi="仿宋" w:eastAsia="仿宋"/>
          <w:color w:val="000000"/>
          <w:szCs w:val="32"/>
        </w:rPr>
        <w:t>万元，其中：</w:t>
      </w:r>
    </w:p>
    <w:p>
      <w:pPr>
        <w:spacing w:line="360" w:lineRule="auto"/>
        <w:ind w:firstLine="640" w:firstLineChars="200"/>
        <w:rPr>
          <w:rFonts w:ascii="仿宋" w:hAnsi="仿宋" w:eastAsia="仿宋"/>
          <w:color w:val="000000"/>
          <w:szCs w:val="32"/>
        </w:rPr>
      </w:pPr>
      <w:r>
        <w:rPr>
          <w:rFonts w:hint="eastAsia" w:ascii="仿宋" w:hAnsi="仿宋" w:eastAsia="仿宋"/>
          <w:color w:val="000000"/>
          <w:szCs w:val="32"/>
        </w:rPr>
        <w:t>人员经费1255.91万元，主要包括：基本工资、津贴补贴、绩效工资、机关事业单位基本养老保险缴费、职业年金缴费、其他社会保障缴费、住房公积金、其他工资福利支出、退休费、生活补助、助学金、其他对个人和家庭的补助支出等。</w:t>
      </w:r>
      <w:r>
        <w:rPr>
          <w:rFonts w:ascii="仿宋" w:hAnsi="仿宋" w:eastAsia="仿宋"/>
          <w:color w:val="000000"/>
          <w:szCs w:val="32"/>
        </w:rPr>
        <w:br w:type="textWrapping"/>
      </w:r>
      <w:r>
        <w:rPr>
          <w:rFonts w:hint="eastAsia" w:ascii="仿宋" w:hAnsi="仿宋" w:eastAsia="仿宋"/>
          <w:color w:val="000000"/>
          <w:szCs w:val="32"/>
        </w:rPr>
        <w:t>　　日常公用经费</w:t>
      </w:r>
      <w:r>
        <w:rPr>
          <w:rFonts w:hint="eastAsia" w:ascii="仿宋" w:hAnsi="仿宋" w:eastAsia="仿宋"/>
          <w:szCs w:val="32"/>
        </w:rPr>
        <w:t>73.84</w:t>
      </w:r>
      <w:r>
        <w:rPr>
          <w:rFonts w:hint="eastAsia" w:ascii="仿宋" w:hAnsi="仿宋" w:eastAsia="仿宋"/>
          <w:color w:val="000000"/>
          <w:szCs w:val="32"/>
        </w:rPr>
        <w:t>万元，主要包括：办公费、印刷费、水费、电费、邮电费、物业管理费、差旅费、维修（护）费、租赁费、租赁费、培训费、劳务费、工会经费、其他交通费、税金及附加费用、其他商品和服务支出、办公设备购置等。</w:t>
      </w:r>
    </w:p>
    <w:p>
      <w:pPr>
        <w:spacing w:line="360" w:lineRule="auto"/>
        <w:ind w:firstLine="640" w:firstLineChars="200"/>
        <w:outlineLvl w:val="1"/>
        <w:rPr>
          <w:rStyle w:val="16"/>
          <w:rFonts w:ascii="黑体" w:hAnsi="黑体" w:eastAsia="黑体"/>
          <w:b w:val="0"/>
        </w:rPr>
      </w:pPr>
      <w:bookmarkStart w:id="38" w:name="_Toc15377215"/>
      <w:bookmarkStart w:id="39" w:name="_Toc15396609"/>
      <w:bookmarkStart w:id="40" w:name="_Toc6926"/>
      <w:r>
        <w:rPr>
          <w:rFonts w:hint="eastAsia" w:ascii="黑体" w:eastAsia="黑体"/>
          <w:color w:val="000000"/>
          <w:szCs w:val="32"/>
        </w:rPr>
        <w:t>七、</w:t>
      </w:r>
      <w:r>
        <w:rPr>
          <w:rStyle w:val="16"/>
          <w:rFonts w:hint="eastAsia" w:ascii="黑体" w:hAnsi="黑体" w:eastAsia="黑体"/>
        </w:rPr>
        <w:t>“</w:t>
      </w:r>
      <w:r>
        <w:rPr>
          <w:rStyle w:val="16"/>
          <w:rFonts w:hint="eastAsia" w:ascii="黑体" w:hAnsi="黑体" w:eastAsia="黑体"/>
          <w:b w:val="0"/>
        </w:rPr>
        <w:t>三公”经费财政拨款支出决算情况说明</w:t>
      </w:r>
      <w:bookmarkEnd w:id="38"/>
      <w:bookmarkEnd w:id="39"/>
      <w:bookmarkEnd w:id="40"/>
    </w:p>
    <w:p>
      <w:pPr>
        <w:spacing w:line="360" w:lineRule="auto"/>
        <w:ind w:firstLine="643" w:firstLineChars="200"/>
        <w:outlineLvl w:val="2"/>
        <w:rPr>
          <w:rFonts w:ascii="仿宋" w:hAnsi="仿宋" w:eastAsia="仿宋"/>
          <w:b/>
          <w:color w:val="000000"/>
          <w:szCs w:val="32"/>
        </w:rPr>
      </w:pPr>
      <w:bookmarkStart w:id="41" w:name="_Toc15377216"/>
      <w:r>
        <w:rPr>
          <w:rFonts w:hint="eastAsia" w:ascii="仿宋" w:hAnsi="仿宋" w:eastAsia="仿宋"/>
          <w:b/>
          <w:color w:val="000000"/>
          <w:szCs w:val="32"/>
        </w:rPr>
        <w:t>（一）“三公”经费财政拨款支出决算总体情况说明</w:t>
      </w:r>
      <w:bookmarkEnd w:id="41"/>
    </w:p>
    <w:p>
      <w:pPr>
        <w:spacing w:line="360" w:lineRule="auto"/>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年“三公”经费财政拨款支出决算为0万元，完成预算0</w:t>
      </w:r>
      <w:r>
        <w:rPr>
          <w:rFonts w:ascii="仿宋" w:hAnsi="仿宋" w:eastAsia="仿宋"/>
          <w:color w:val="000000"/>
          <w:szCs w:val="32"/>
        </w:rPr>
        <w:t>%</w:t>
      </w:r>
      <w:r>
        <w:rPr>
          <w:rFonts w:hint="eastAsia" w:ascii="仿宋" w:hAnsi="仿宋" w:eastAsia="仿宋"/>
          <w:color w:val="000000"/>
          <w:szCs w:val="32"/>
        </w:rPr>
        <w:t>，决算数与预算数持平。</w:t>
      </w:r>
    </w:p>
    <w:p>
      <w:pPr>
        <w:spacing w:line="360" w:lineRule="auto"/>
        <w:ind w:firstLine="643" w:firstLineChars="200"/>
        <w:outlineLvl w:val="2"/>
        <w:rPr>
          <w:rFonts w:ascii="仿宋" w:hAnsi="仿宋" w:eastAsia="仿宋"/>
          <w:b/>
          <w:color w:val="000000"/>
          <w:szCs w:val="32"/>
        </w:rPr>
      </w:pPr>
      <w:bookmarkStart w:id="42" w:name="_Toc15377217"/>
      <w:r>
        <w:rPr>
          <w:rFonts w:hint="eastAsia" w:ascii="仿宋" w:hAnsi="仿宋" w:eastAsia="仿宋"/>
          <w:b/>
          <w:color w:val="000000"/>
          <w:szCs w:val="32"/>
        </w:rPr>
        <w:t>（二）“三公”经费财政拨款支出决算具体情况说明</w:t>
      </w:r>
      <w:bookmarkEnd w:id="42"/>
    </w:p>
    <w:p>
      <w:pPr>
        <w:spacing w:line="360" w:lineRule="auto"/>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；公务用车购置及运行维护费支出决算0万元，占0</w:t>
      </w:r>
      <w:r>
        <w:rPr>
          <w:rFonts w:ascii="仿宋" w:hAnsi="仿宋" w:eastAsia="仿宋"/>
          <w:color w:val="000000"/>
          <w:szCs w:val="32"/>
        </w:rPr>
        <w:t>%</w:t>
      </w:r>
      <w:r>
        <w:rPr>
          <w:rFonts w:hint="eastAsia" w:ascii="仿宋" w:hAnsi="仿宋" w:eastAsia="仿宋"/>
          <w:color w:val="000000"/>
          <w:szCs w:val="32"/>
        </w:rPr>
        <w:t>；公务接待费支出决算0万元，占0</w:t>
      </w:r>
      <w:r>
        <w:rPr>
          <w:rFonts w:ascii="仿宋" w:hAnsi="仿宋" w:eastAsia="仿宋"/>
          <w:color w:val="000000"/>
          <w:szCs w:val="32"/>
        </w:rPr>
        <w:t>%</w:t>
      </w:r>
      <w:r>
        <w:rPr>
          <w:rFonts w:hint="eastAsia" w:ascii="仿宋" w:hAnsi="仿宋" w:eastAsia="仿宋"/>
          <w:color w:val="000000"/>
          <w:szCs w:val="32"/>
        </w:rPr>
        <w:t>。具体情况如下：</w:t>
      </w:r>
    </w:p>
    <w:p>
      <w:pPr>
        <w:spacing w:line="600" w:lineRule="exact"/>
        <w:ind w:firstLine="640"/>
        <w:rPr>
          <w:rFonts w:ascii="仿宋_GB2312"/>
          <w:b/>
          <w:color w:val="000000"/>
          <w:szCs w:val="32"/>
        </w:rPr>
      </w:pPr>
      <w:bookmarkStart w:id="43" w:name="_Toc15377218"/>
      <w:bookmarkStart w:id="44" w:name="_Toc9843"/>
      <w:bookmarkStart w:id="45" w:name="_Toc15396610"/>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3"/>
          <w:rFonts w:hint="eastAsia" w:ascii="仿宋" w:hAnsi="仿宋" w:eastAsia="仿宋"/>
          <w:bCs/>
          <w:color w:val="000000"/>
          <w:szCs w:val="32"/>
        </w:rPr>
        <w:t>完成预算0</w:t>
      </w:r>
      <w:r>
        <w:rPr>
          <w:rStyle w:val="13"/>
          <w:rFonts w:ascii="仿宋" w:hAnsi="仿宋" w:eastAsia="仿宋"/>
          <w:bCs/>
          <w:color w:val="000000"/>
          <w:szCs w:val="32"/>
        </w:rPr>
        <w:t>%</w:t>
      </w:r>
      <w:r>
        <w:rPr>
          <w:rStyle w:val="13"/>
          <w:rFonts w:hint="eastAsia" w:ascii="仿宋" w:hAnsi="仿宋" w:eastAsia="仿宋"/>
          <w:bCs/>
          <w:color w:val="000000"/>
          <w:szCs w:val="32"/>
        </w:rPr>
        <w:t>。</w:t>
      </w:r>
      <w:r>
        <w:rPr>
          <w:rFonts w:hint="eastAsia" w:ascii="仿宋_GB2312"/>
          <w:color w:val="000000"/>
          <w:szCs w:val="32"/>
        </w:rPr>
        <w:t>全年安排因公出国（境）团组0次，出国（境）0人。因公出国（境）支出决算与</w:t>
      </w:r>
      <w:r>
        <w:rPr>
          <w:rFonts w:ascii="仿宋_GB2312"/>
          <w:color w:val="000000"/>
          <w:szCs w:val="32"/>
        </w:rPr>
        <w:t>201</w:t>
      </w:r>
      <w:r>
        <w:rPr>
          <w:rFonts w:hint="eastAsia" w:ascii="仿宋_GB2312"/>
          <w:color w:val="000000"/>
          <w:szCs w:val="32"/>
        </w:rPr>
        <w:t>9年持平。</w:t>
      </w:r>
    </w:p>
    <w:p>
      <w:pPr>
        <w:spacing w:line="600" w:lineRule="exact"/>
        <w:ind w:firstLine="640"/>
        <w:rPr>
          <w:rFonts w:ascii="仿宋_GB2312"/>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3"/>
          <w:rFonts w:hint="eastAsia" w:ascii="仿宋" w:hAnsi="仿宋" w:eastAsia="仿宋"/>
          <w:bCs/>
          <w:color w:val="000000"/>
          <w:szCs w:val="32"/>
        </w:rPr>
        <w:t>完成预算0</w:t>
      </w:r>
      <w:r>
        <w:rPr>
          <w:rStyle w:val="13"/>
          <w:rFonts w:ascii="仿宋" w:hAnsi="仿宋" w:eastAsia="仿宋"/>
          <w:bCs/>
          <w:color w:val="000000"/>
          <w:szCs w:val="32"/>
        </w:rPr>
        <w:t>%</w:t>
      </w:r>
      <w:r>
        <w:rPr>
          <w:rStyle w:val="13"/>
          <w:rFonts w:hint="eastAsia" w:ascii="仿宋" w:hAnsi="仿宋" w:eastAsia="仿宋"/>
          <w:bCs/>
          <w:szCs w:val="32"/>
        </w:rPr>
        <w:t>。</w:t>
      </w:r>
      <w:r>
        <w:rPr>
          <w:rFonts w:hint="eastAsia" w:ascii="仿宋_GB2312"/>
          <w:color w:val="000000"/>
          <w:szCs w:val="32"/>
        </w:rPr>
        <w:t>公务用车购置及运行维护费支出决算与2019年</w:t>
      </w:r>
      <w:r>
        <w:rPr>
          <w:rFonts w:hint="eastAsia" w:ascii="仿宋_GB2312"/>
          <w:szCs w:val="32"/>
        </w:rPr>
        <w:t>持平</w:t>
      </w:r>
      <w:r>
        <w:rPr>
          <w:rFonts w:hint="eastAsia" w:ascii="仿宋_GB2312"/>
          <w:color w:val="000000"/>
          <w:szCs w:val="32"/>
        </w:rPr>
        <w:t>。</w:t>
      </w:r>
    </w:p>
    <w:p>
      <w:pPr>
        <w:spacing w:line="600" w:lineRule="exact"/>
        <w:ind w:firstLine="640"/>
        <w:rPr>
          <w:rFonts w:ascii="仿宋_GB2312"/>
          <w:color w:val="000000"/>
          <w:szCs w:val="32"/>
        </w:rPr>
      </w:pPr>
      <w:r>
        <w:rPr>
          <w:rFonts w:hint="eastAsia" w:ascii="仿宋_GB2312"/>
          <w:color w:val="000000"/>
          <w:szCs w:val="32"/>
        </w:rPr>
        <w:t>其中：公务用车购置支出0万元。全年按规定更新购置公务用车0辆，金额0</w:t>
      </w:r>
      <w:r>
        <w:rPr>
          <w:rFonts w:ascii="仿宋_GB2312"/>
          <w:color w:val="000000"/>
          <w:szCs w:val="32"/>
        </w:rPr>
        <w:t>元。</w:t>
      </w:r>
      <w:r>
        <w:rPr>
          <w:rFonts w:hint="eastAsia" w:ascii="仿宋_GB2312"/>
          <w:color w:val="000000"/>
          <w:szCs w:val="32"/>
        </w:rPr>
        <w:t>截至</w:t>
      </w:r>
      <w:r>
        <w:rPr>
          <w:rFonts w:ascii="仿宋_GB2312"/>
          <w:color w:val="000000"/>
          <w:szCs w:val="32"/>
        </w:rPr>
        <w:t>201</w:t>
      </w:r>
      <w:r>
        <w:rPr>
          <w:rFonts w:hint="eastAsia" w:ascii="仿宋_GB2312"/>
          <w:color w:val="000000"/>
          <w:szCs w:val="32"/>
        </w:rPr>
        <w:t>9年</w:t>
      </w:r>
      <w:r>
        <w:rPr>
          <w:rFonts w:ascii="仿宋_GB2312"/>
          <w:color w:val="000000"/>
          <w:szCs w:val="32"/>
        </w:rPr>
        <w:t>12</w:t>
      </w:r>
      <w:r>
        <w:rPr>
          <w:rFonts w:hint="eastAsia" w:ascii="仿宋_GB2312"/>
          <w:color w:val="000000"/>
          <w:szCs w:val="32"/>
        </w:rPr>
        <w:t>月底，单位共有公务用车0辆，其中：主要领导干部用车0辆、机要通信用车0辆、应急保障用车0辆、 执法执勤用车0辆。</w:t>
      </w:r>
    </w:p>
    <w:p>
      <w:pPr>
        <w:spacing w:line="600" w:lineRule="exact"/>
        <w:ind w:firstLine="640"/>
        <w:rPr>
          <w:rFonts w:ascii="仿宋_GB2312"/>
          <w:color w:val="000000"/>
          <w:szCs w:val="32"/>
        </w:rPr>
      </w:pPr>
      <w:r>
        <w:rPr>
          <w:rFonts w:hint="eastAsia" w:ascii="仿宋_GB2312"/>
          <w:color w:val="000000"/>
          <w:szCs w:val="32"/>
        </w:rPr>
        <w:t>公务用车运行维护费支出0元。</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0万元，</w:t>
      </w:r>
      <w:r>
        <w:rPr>
          <w:rStyle w:val="13"/>
          <w:rFonts w:hint="eastAsia" w:ascii="仿宋" w:hAnsi="仿宋" w:eastAsia="仿宋"/>
          <w:bCs/>
          <w:color w:val="000000"/>
          <w:szCs w:val="32"/>
        </w:rPr>
        <w:t>完成预算0</w:t>
      </w:r>
      <w:r>
        <w:rPr>
          <w:rStyle w:val="13"/>
          <w:rFonts w:ascii="仿宋" w:hAnsi="仿宋" w:eastAsia="仿宋"/>
          <w:bCs/>
          <w:color w:val="000000"/>
          <w:szCs w:val="32"/>
        </w:rPr>
        <w:t>%</w:t>
      </w:r>
      <w:r>
        <w:rPr>
          <w:rStyle w:val="13"/>
          <w:rFonts w:hint="eastAsia" w:ascii="仿宋" w:hAnsi="仿宋" w:eastAsia="仿宋"/>
          <w:bCs/>
          <w:color w:val="000000"/>
          <w:szCs w:val="32"/>
        </w:rPr>
        <w:t>。</w:t>
      </w:r>
      <w:r>
        <w:rPr>
          <w:rFonts w:hint="eastAsia" w:ascii="仿宋_GB2312"/>
          <w:color w:val="000000"/>
          <w:szCs w:val="32"/>
        </w:rPr>
        <w:t>公务接待费支出决算与2019年</w:t>
      </w:r>
      <w:r>
        <w:rPr>
          <w:rFonts w:hint="eastAsia" w:ascii="仿宋_GB2312"/>
          <w:szCs w:val="32"/>
        </w:rPr>
        <w:t>持平。</w:t>
      </w:r>
      <w:r>
        <w:rPr>
          <w:rFonts w:hint="eastAsia" w:ascii="仿宋_GB2312"/>
          <w:color w:val="000000"/>
          <w:szCs w:val="32"/>
        </w:rPr>
        <w:t>其中：</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_GB2312"/>
          <w:color w:val="000000"/>
          <w:szCs w:val="32"/>
        </w:rPr>
        <w:t>0万元，国内公务接待0批次，0人次（不包括陪同人员），共计支出0万元。</w:t>
      </w:r>
    </w:p>
    <w:p>
      <w:pPr>
        <w:spacing w:line="600" w:lineRule="exact"/>
        <w:ind w:firstLine="643" w:firstLineChars="200"/>
        <w:rPr>
          <w:rFonts w:ascii="仿宋_GB2312"/>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万元，外事接待0批次，0人，共计支出0万元。</w:t>
      </w:r>
    </w:p>
    <w:p>
      <w:pPr>
        <w:spacing w:line="360" w:lineRule="auto"/>
        <w:ind w:firstLine="640" w:firstLineChars="200"/>
        <w:rPr>
          <w:rStyle w:val="16"/>
          <w:rFonts w:ascii="黑体" w:hAnsi="黑体" w:eastAsia="黑体"/>
        </w:rPr>
      </w:pPr>
      <w:r>
        <w:rPr>
          <w:rFonts w:hint="eastAsia" w:ascii="黑体" w:eastAsia="黑体"/>
          <w:color w:val="000000"/>
          <w:szCs w:val="32"/>
        </w:rPr>
        <w:t>八、</w:t>
      </w:r>
      <w:r>
        <w:rPr>
          <w:rStyle w:val="16"/>
          <w:rFonts w:hint="eastAsia" w:ascii="黑体" w:hAnsi="黑体" w:eastAsia="黑体"/>
          <w:b w:val="0"/>
        </w:rPr>
        <w:t>政府性基金预算支出决算情况说明</w:t>
      </w:r>
      <w:bookmarkEnd w:id="43"/>
      <w:bookmarkEnd w:id="44"/>
      <w:bookmarkEnd w:id="45"/>
    </w:p>
    <w:p>
      <w:pPr>
        <w:spacing w:line="360" w:lineRule="auto"/>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年政府性基金预算拨款支出0万元。</w:t>
      </w:r>
    </w:p>
    <w:p>
      <w:pPr>
        <w:numPr>
          <w:ilvl w:val="0"/>
          <w:numId w:val="2"/>
        </w:numPr>
        <w:spacing w:line="360" w:lineRule="auto"/>
        <w:ind w:firstLine="640" w:firstLineChars="200"/>
        <w:outlineLvl w:val="1"/>
        <w:rPr>
          <w:rStyle w:val="16"/>
          <w:rFonts w:ascii="黑体" w:hAnsi="黑体" w:eastAsia="黑体"/>
          <w:b w:val="0"/>
        </w:rPr>
      </w:pPr>
      <w:bookmarkStart w:id="46" w:name="_Toc15377219"/>
      <w:bookmarkStart w:id="47" w:name="_Toc10775"/>
      <w:bookmarkStart w:id="48" w:name="_Toc15396611"/>
      <w:r>
        <w:rPr>
          <w:rStyle w:val="16"/>
          <w:rFonts w:hint="eastAsia" w:ascii="黑体" w:hAnsi="黑体" w:eastAsia="黑体"/>
          <w:b w:val="0"/>
        </w:rPr>
        <w:t>国有资本经营预算支出决算情况说明</w:t>
      </w:r>
      <w:bookmarkEnd w:id="46"/>
      <w:bookmarkEnd w:id="47"/>
      <w:bookmarkEnd w:id="48"/>
    </w:p>
    <w:p>
      <w:pPr>
        <w:spacing w:line="360" w:lineRule="auto"/>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360" w:lineRule="auto"/>
        <w:ind w:firstLine="640" w:firstLineChars="200"/>
        <w:outlineLvl w:val="1"/>
        <w:rPr>
          <w:rStyle w:val="16"/>
          <w:rFonts w:ascii="黑体" w:hAnsi="黑体" w:eastAsia="黑体"/>
        </w:rPr>
      </w:pPr>
      <w:bookmarkStart w:id="49" w:name="_Toc15377221"/>
      <w:bookmarkStart w:id="50" w:name="_Toc15396612"/>
      <w:bookmarkStart w:id="51" w:name="_Toc738"/>
      <w:r>
        <w:rPr>
          <w:rFonts w:hint="eastAsia" w:ascii="黑体" w:hAnsi="黑体" w:eastAsia="黑体"/>
          <w:color w:val="000000"/>
          <w:szCs w:val="32"/>
        </w:rPr>
        <w:t>十</w:t>
      </w:r>
      <w:r>
        <w:rPr>
          <w:rStyle w:val="16"/>
          <w:rFonts w:hint="eastAsia" w:ascii="黑体" w:hAnsi="黑体" w:eastAsia="黑体"/>
        </w:rPr>
        <w:t>、</w:t>
      </w:r>
      <w:r>
        <w:rPr>
          <w:rStyle w:val="16"/>
          <w:rFonts w:hint="eastAsia" w:ascii="黑体" w:hAnsi="黑体" w:eastAsia="黑体"/>
          <w:b w:val="0"/>
        </w:rPr>
        <w:t>其他重要事项的情况说明</w:t>
      </w:r>
      <w:bookmarkEnd w:id="49"/>
      <w:bookmarkEnd w:id="50"/>
      <w:bookmarkEnd w:id="51"/>
    </w:p>
    <w:p>
      <w:pPr>
        <w:spacing w:line="360" w:lineRule="auto"/>
        <w:ind w:firstLine="643" w:firstLineChars="200"/>
        <w:outlineLvl w:val="2"/>
        <w:rPr>
          <w:rFonts w:ascii="仿宋" w:hAnsi="仿宋" w:eastAsia="仿宋"/>
          <w:color w:val="000000"/>
          <w:szCs w:val="32"/>
        </w:rPr>
      </w:pPr>
      <w:bookmarkStart w:id="52" w:name="_Toc15377222"/>
      <w:r>
        <w:rPr>
          <w:rFonts w:hint="eastAsia" w:ascii="仿宋" w:hAnsi="仿宋" w:eastAsia="仿宋"/>
          <w:b/>
          <w:color w:val="000000"/>
          <w:szCs w:val="32"/>
        </w:rPr>
        <w:t>（一）机关运行经费支出情况</w:t>
      </w:r>
      <w:bookmarkEnd w:id="52"/>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年，我校机关运行经费支出0万元，与</w:t>
      </w:r>
      <w:r>
        <w:rPr>
          <w:rFonts w:ascii="仿宋_GB2312"/>
          <w:color w:val="000000"/>
          <w:szCs w:val="32"/>
        </w:rPr>
        <w:t>2019</w:t>
      </w:r>
      <w:r>
        <w:rPr>
          <w:rFonts w:hint="eastAsia" w:ascii="仿宋_GB2312"/>
          <w:color w:val="000000"/>
          <w:szCs w:val="32"/>
        </w:rPr>
        <w:t>年决算数持平。主要原因是我校属事业单位，无行政单位机关运行经费。</w:t>
      </w:r>
    </w:p>
    <w:p>
      <w:pPr>
        <w:autoSpaceDE w:val="0"/>
        <w:autoSpaceDN w:val="0"/>
        <w:adjustRightInd w:val="0"/>
        <w:spacing w:line="360" w:lineRule="auto"/>
        <w:ind w:firstLine="643" w:firstLineChars="200"/>
        <w:outlineLvl w:val="2"/>
        <w:rPr>
          <w:rFonts w:ascii="仿宋" w:hAnsi="仿宋" w:eastAsia="仿宋"/>
          <w:b/>
          <w:color w:val="000000"/>
          <w:szCs w:val="32"/>
        </w:rPr>
      </w:pPr>
      <w:bookmarkStart w:id="53" w:name="_Toc15377223"/>
      <w:r>
        <w:rPr>
          <w:rFonts w:hint="eastAsia" w:ascii="仿宋" w:hAnsi="仿宋" w:eastAsia="仿宋"/>
          <w:b/>
          <w:color w:val="000000"/>
          <w:szCs w:val="32"/>
        </w:rPr>
        <w:t>（二）政府采购支出情况</w:t>
      </w:r>
      <w:bookmarkEnd w:id="53"/>
    </w:p>
    <w:p>
      <w:pPr>
        <w:spacing w:line="360" w:lineRule="auto"/>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光大街小学校综合楼新建工程、自贡市自流井区檀木林小学校教学辅助用房及运动场建设工程政府采购支出总额457.37万元，其中：政府采购货物支出0万元、政府采购工程支出457.37万元、政府采购服务支出0万元。主要用于综合楼新建工程、自贡市自流井区檀木林小学校教学辅助用房及运动场建设。授予中小企业合同金额457.37万元，占政府采购支出总额的100</w:t>
      </w:r>
      <w:r>
        <w:rPr>
          <w:rFonts w:ascii="仿宋_GB2312"/>
          <w:color w:val="000000"/>
          <w:szCs w:val="32"/>
        </w:rPr>
        <w:t>%</w:t>
      </w:r>
      <w:r>
        <w:rPr>
          <w:rFonts w:hint="eastAsia" w:ascii="仿宋_GB2312"/>
          <w:color w:val="000000"/>
          <w:szCs w:val="32"/>
        </w:rPr>
        <w:t>，其中：授予小微企业合同金额0万元，占政府采购支出总额的0</w:t>
      </w:r>
      <w:r>
        <w:rPr>
          <w:rFonts w:ascii="仿宋_GB2312"/>
          <w:color w:val="000000"/>
          <w:szCs w:val="32"/>
        </w:rPr>
        <w:t>%</w:t>
      </w:r>
      <w:r>
        <w:rPr>
          <w:rFonts w:hint="eastAsia" w:ascii="仿宋_GB2312"/>
          <w:color w:val="000000"/>
          <w:szCs w:val="32"/>
        </w:rPr>
        <w:t>。</w:t>
      </w:r>
    </w:p>
    <w:p>
      <w:pPr>
        <w:autoSpaceDE w:val="0"/>
        <w:autoSpaceDN w:val="0"/>
        <w:adjustRightInd w:val="0"/>
        <w:spacing w:line="360" w:lineRule="auto"/>
        <w:ind w:firstLine="643" w:firstLineChars="200"/>
        <w:outlineLvl w:val="2"/>
        <w:rPr>
          <w:rFonts w:ascii="仿宋" w:hAnsi="仿宋" w:eastAsia="仿宋"/>
          <w:b/>
          <w:color w:val="000000"/>
          <w:szCs w:val="32"/>
        </w:rPr>
      </w:pPr>
      <w:bookmarkStart w:id="54" w:name="_Toc15377224"/>
      <w:r>
        <w:rPr>
          <w:rFonts w:hint="eastAsia" w:ascii="仿宋" w:hAnsi="仿宋" w:eastAsia="仿宋"/>
          <w:b/>
          <w:color w:val="000000"/>
          <w:szCs w:val="32"/>
        </w:rPr>
        <w:t>（三）国有资产占有使用情况</w:t>
      </w:r>
      <w:bookmarkEnd w:id="54"/>
    </w:p>
    <w:p>
      <w:pPr>
        <w:autoSpaceDE w:val="0"/>
        <w:autoSpaceDN w:val="0"/>
        <w:adjustRightInd w:val="0"/>
        <w:spacing w:line="600" w:lineRule="exact"/>
        <w:ind w:firstLine="640" w:firstLineChars="200"/>
        <w:jc w:val="left"/>
        <w:rPr>
          <w:rFonts w:ascii="仿宋_GB2312"/>
          <w:color w:val="00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日，我部门共有车辆0辆，其中：主要领导干部用车0辆、机要通信用车0辆、应急保障用车0辆、其他用车0辆。单价</w:t>
      </w:r>
      <w:r>
        <w:rPr>
          <w:rFonts w:ascii="仿宋_GB2312"/>
          <w:color w:val="000000"/>
          <w:szCs w:val="32"/>
        </w:rPr>
        <w:t>50</w:t>
      </w:r>
      <w:r>
        <w:rPr>
          <w:rFonts w:hint="eastAsia" w:ascii="仿宋_GB2312"/>
          <w:color w:val="000000"/>
          <w:szCs w:val="32"/>
        </w:rPr>
        <w:t>万元以上通用设备0台（套），单价</w:t>
      </w:r>
      <w:r>
        <w:rPr>
          <w:rFonts w:ascii="仿宋_GB2312"/>
          <w:color w:val="000000"/>
          <w:szCs w:val="32"/>
        </w:rPr>
        <w:t>100</w:t>
      </w:r>
      <w:r>
        <w:rPr>
          <w:rFonts w:hint="eastAsia" w:ascii="仿宋_GB2312"/>
          <w:color w:val="000000"/>
          <w:szCs w:val="32"/>
        </w:rPr>
        <w:t>万元以上专用设备0台（套）。</w:t>
      </w:r>
    </w:p>
    <w:p>
      <w:pPr>
        <w:autoSpaceDE w:val="0"/>
        <w:autoSpaceDN w:val="0"/>
        <w:adjustRightInd w:val="0"/>
        <w:spacing w:line="360" w:lineRule="auto"/>
        <w:ind w:firstLine="643" w:firstLineChars="200"/>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根据预算绩效管理要求，本部门（单位）在年初预算编制阶段，对0个项目编制了绩效目标，预算执行过程中，选取0个项目开展绩效监控，年终执行完毕后，对0个项目开展了绩效目标完成情况自评。</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本部门按要求对2020年部门整体支出开展绩效自评，从评价情况来看全面完成了当年目标任务。本部门还自行组织了1个项目支出绩效评价，由于本部门无专项预算项目，因此未组织开展项目支出绩效评价。</w:t>
      </w:r>
    </w:p>
    <w:p>
      <w:pPr>
        <w:spacing w:line="580" w:lineRule="exact"/>
        <w:ind w:firstLine="640" w:firstLineChars="200"/>
        <w:rPr>
          <w:rFonts w:ascii="楷体_GB2312" w:hAnsi="楷体_GB2312" w:eastAsia="楷体_GB2312" w:cs="楷体_GB2312"/>
          <w:szCs w:val="32"/>
        </w:rPr>
      </w:pPr>
      <w:r>
        <w:rPr>
          <w:rFonts w:ascii="楷体_GB2312" w:hAnsi="楷体_GB2312" w:eastAsia="楷体_GB2312" w:cs="楷体_GB2312"/>
          <w:szCs w:val="32"/>
        </w:rPr>
        <w:t>1.</w:t>
      </w:r>
      <w:r>
        <w:rPr>
          <w:rFonts w:hint="eastAsia" w:ascii="楷体_GB2312" w:hAnsi="楷体_GB2312" w:eastAsia="楷体_GB2312" w:cs="楷体_GB2312"/>
          <w:szCs w:val="32"/>
        </w:rPr>
        <w:t>项目绩效目标完成情况。</w:t>
      </w:r>
    </w:p>
    <w:p>
      <w:pPr>
        <w:spacing w:line="580" w:lineRule="exact"/>
        <w:ind w:firstLine="640" w:firstLineChars="200"/>
        <w:rPr>
          <w:rFonts w:ascii="楷体_GB2312" w:hAnsi="楷体_GB2312" w:eastAsia="楷体_GB2312" w:cs="楷体_GB2312"/>
          <w:szCs w:val="32"/>
        </w:rPr>
      </w:pPr>
      <w:r>
        <w:rPr>
          <w:rFonts w:hint="eastAsia" w:ascii="仿宋_GB2312" w:hAnsi="仿宋_GB2312" w:cs="仿宋_GB2312"/>
          <w:szCs w:val="32"/>
        </w:rPr>
        <w:t>本部门在</w:t>
      </w:r>
      <w:r>
        <w:rPr>
          <w:rFonts w:ascii="仿宋_GB2312" w:hAnsi="仿宋_GB2312" w:cs="仿宋_GB2312"/>
          <w:szCs w:val="32"/>
        </w:rPr>
        <w:t>2020</w:t>
      </w:r>
      <w:r>
        <w:rPr>
          <w:rFonts w:hint="eastAsia" w:ascii="仿宋_GB2312" w:hAnsi="仿宋_GB2312" w:cs="仿宋_GB2312"/>
          <w:szCs w:val="32"/>
        </w:rPr>
        <w:t>年度部门决算中反映1个项目绩效目标实际完成情况。</w:t>
      </w: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Cs/>
                <w:color w:val="000000"/>
                <w:kern w:val="0"/>
                <w:sz w:val="36"/>
                <w:szCs w:val="36"/>
              </w:rPr>
              <w:t>项目绩效目标完成情况表</w:t>
            </w:r>
            <w:r>
              <w:rPr>
                <w:rFonts w:ascii="宋体" w:cs="宋体"/>
                <w:bCs/>
                <w:color w:val="000000"/>
                <w:kern w:val="0"/>
                <w:sz w:val="36"/>
                <w:szCs w:val="36"/>
              </w:rPr>
              <w:br w:type="textWrapping"/>
            </w: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自贡市自流井区光大街小学校教学综合楼新建工程</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自贡市自流井区光大街小学校</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457.37万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457.37万</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457.37万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457.37万</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完成主体工程建设</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主体工程建设完成</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完成建筑面积</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2866</w:t>
            </w:r>
            <w:r>
              <w:rPr>
                <w:rFonts w:hint="eastAsia" w:ascii="微软雅黑" w:hAnsi="微软雅黑" w:eastAsia="微软雅黑" w:cs="宋体"/>
                <w:color w:val="000000"/>
                <w:sz w:val="24"/>
              </w:rPr>
              <w:t>平方米</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2866平方米</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完全符合质量要求</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生态效益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可持续使用率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100&amp;</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社会效益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符合学生学习需要率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社会满意度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家长教师满意度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92%</w:t>
            </w:r>
          </w:p>
        </w:tc>
      </w:tr>
    </w:tbl>
    <w:p>
      <w:pPr>
        <w:spacing w:line="580" w:lineRule="exact"/>
        <w:ind w:firstLine="640" w:firstLineChars="200"/>
        <w:rPr>
          <w:rFonts w:ascii="仿宋_GB2312" w:hAnsi="仿宋_GB2312" w:cs="仿宋_GB2312"/>
          <w:szCs w:val="32"/>
        </w:rPr>
      </w:pPr>
      <w:r>
        <w:rPr>
          <w:rFonts w:ascii="楷体_GB2312" w:hAnsi="楷体_GB2312" w:eastAsia="楷体_GB2312" w:cs="楷体_GB2312"/>
          <w:szCs w:val="32"/>
        </w:rPr>
        <w:t>2.</w:t>
      </w:r>
      <w:r>
        <w:rPr>
          <w:rFonts w:hint="eastAsia" w:ascii="楷体_GB2312" w:hAnsi="楷体_GB2312" w:eastAsia="楷体_GB2312" w:cs="楷体_GB2312"/>
          <w:szCs w:val="32"/>
        </w:rPr>
        <w:t>部门绩效评价结果。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本部门按要求对</w:t>
      </w:r>
      <w:r>
        <w:rPr>
          <w:rFonts w:ascii="仿宋_GB2312" w:hAnsi="仿宋_GB2312" w:cs="仿宋_GB2312"/>
          <w:szCs w:val="32"/>
        </w:rPr>
        <w:t>2020</w:t>
      </w:r>
      <w:r>
        <w:rPr>
          <w:rFonts w:hint="eastAsia" w:ascii="仿宋_GB2312" w:hAnsi="仿宋_GB2312" w:cs="仿宋_GB2312"/>
          <w:szCs w:val="32"/>
        </w:rPr>
        <w:t>年部门整体支出绩效评价情况开展自评，从评价情况来看全面完成了当年目标任务。《自贡市自流井区光大街小学校</w:t>
      </w:r>
      <w:r>
        <w:rPr>
          <w:rFonts w:ascii="仿宋_GB2312" w:hAnsi="仿宋_GB2312" w:cs="仿宋_GB2312"/>
          <w:szCs w:val="32"/>
        </w:rPr>
        <w:t>2020</w:t>
      </w:r>
      <w:r>
        <w:rPr>
          <w:rFonts w:hint="eastAsia" w:ascii="仿宋_GB2312" w:hAnsi="仿宋_GB2312" w:cs="仿宋_GB2312"/>
          <w:szCs w:val="32"/>
        </w:rPr>
        <w:t>年部门整体支出绩效评价报告》见附件（附件</w:t>
      </w:r>
      <w:r>
        <w:rPr>
          <w:rFonts w:ascii="仿宋_GB2312" w:hAnsi="仿宋_GB2312" w:cs="仿宋_GB2312"/>
          <w:szCs w:val="32"/>
        </w:rPr>
        <w:t>1</w:t>
      </w:r>
      <w:r>
        <w:rPr>
          <w:rFonts w:hint="eastAsia" w:ascii="仿宋_GB2312" w:hAnsi="仿宋_GB2312" w:cs="仿宋_GB2312"/>
          <w:szCs w:val="32"/>
        </w:rPr>
        <w:t>）。</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本部门未组织项目绩效评价，《项目</w:t>
      </w:r>
      <w:r>
        <w:rPr>
          <w:rFonts w:ascii="仿宋_GB2312" w:hAnsi="仿宋_GB2312" w:cs="仿宋_GB2312"/>
          <w:szCs w:val="32"/>
        </w:rPr>
        <w:t>2020</w:t>
      </w:r>
      <w:r>
        <w:rPr>
          <w:rFonts w:hint="eastAsia" w:ascii="仿宋_GB2312" w:hAnsi="仿宋_GB2312" w:cs="仿宋_GB2312"/>
          <w:szCs w:val="32"/>
        </w:rPr>
        <w:t>年绩效评价报告》见附件（附件</w:t>
      </w:r>
      <w:r>
        <w:rPr>
          <w:rFonts w:ascii="仿宋_GB2312" w:hAnsi="仿宋_GB2312" w:cs="仿宋_GB2312"/>
          <w:szCs w:val="32"/>
        </w:rPr>
        <w:t>2</w:t>
      </w:r>
      <w:r>
        <w:rPr>
          <w:rFonts w:hint="eastAsia" w:ascii="仿宋_GB2312" w:hAnsi="仿宋_GB2312" w:cs="仿宋_GB2312"/>
          <w:szCs w:val="32"/>
        </w:rPr>
        <w:t>）。</w:t>
      </w:r>
    </w:p>
    <w:p>
      <w:pPr>
        <w:numPr>
          <w:ilvl w:val="0"/>
          <w:numId w:val="3"/>
        </w:numPr>
        <w:spacing w:line="600" w:lineRule="exact"/>
        <w:ind w:firstLine="482" w:firstLineChars="150"/>
        <w:jc w:val="center"/>
        <w:outlineLvl w:val="0"/>
        <w:rPr>
          <w:rStyle w:val="17"/>
          <w:rFonts w:ascii="黑体" w:hAnsi="黑体" w:eastAsia="黑体"/>
          <w:b w:val="0"/>
        </w:rPr>
      </w:pPr>
      <w:r>
        <w:rPr>
          <w:rFonts w:ascii="仿宋_GB2312"/>
          <w:b/>
          <w:color w:val="000000"/>
          <w:szCs w:val="32"/>
        </w:rPr>
        <w:br w:type="page"/>
      </w:r>
      <w:bookmarkStart w:id="55" w:name="_Toc15377225"/>
      <w:bookmarkStart w:id="56" w:name="_Toc15396613"/>
      <w:bookmarkStart w:id="57" w:name="_Toc3536"/>
      <w:r>
        <w:rPr>
          <w:rFonts w:hint="eastAsia" w:ascii="黑体" w:hAnsi="黑体" w:eastAsia="黑体"/>
          <w:color w:val="000000"/>
          <w:sz w:val="44"/>
          <w:szCs w:val="44"/>
        </w:rPr>
        <w:t>名</w:t>
      </w:r>
      <w:r>
        <w:rPr>
          <w:rStyle w:val="17"/>
          <w:rFonts w:hint="eastAsia" w:ascii="黑体" w:hAnsi="黑体" w:eastAsia="黑体"/>
        </w:rPr>
        <w:t>词解释</w:t>
      </w:r>
      <w:bookmarkEnd w:id="55"/>
      <w:bookmarkEnd w:id="56"/>
      <w:bookmarkEnd w:id="57"/>
    </w:p>
    <w:p>
      <w:pPr>
        <w:spacing w:line="600" w:lineRule="exact"/>
        <w:jc w:val="left"/>
        <w:rPr>
          <w:rFonts w:ascii="宋体"/>
          <w:b/>
          <w:color w:val="000000"/>
          <w:sz w:val="44"/>
          <w:szCs w:val="44"/>
        </w:rPr>
      </w:pPr>
    </w:p>
    <w:p>
      <w:pPr>
        <w:pStyle w:val="19"/>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ascii="仿宋_GB2312"/>
          <w:color w:val="000000"/>
          <w:szCs w:val="32"/>
        </w:rPr>
      </w:pPr>
      <w:r>
        <w:rPr>
          <w:rFonts w:ascii="仿宋_GB2312"/>
          <w:color w:val="000000"/>
          <w:szCs w:val="32"/>
        </w:rPr>
        <w:t>9.</w:t>
      </w:r>
      <w:r>
        <w:rPr>
          <w:rFonts w:hint="eastAsia" w:ascii="仿宋_GB2312"/>
          <w:color w:val="000000"/>
          <w:szCs w:val="32"/>
        </w:rPr>
        <w:t>教育（类）普通教育（款）小学教育（项）：指用于本单位正常运转的人员经费和公用经费。</w:t>
      </w:r>
    </w:p>
    <w:p>
      <w:pPr>
        <w:ind w:firstLine="640" w:firstLineChars="200"/>
        <w:rPr>
          <w:rFonts w:ascii="仿宋_GB2312"/>
          <w:color w:val="000000"/>
          <w:szCs w:val="32"/>
        </w:rPr>
      </w:pPr>
      <w:r>
        <w:rPr>
          <w:rFonts w:ascii="仿宋_GB2312"/>
          <w:color w:val="000000"/>
          <w:szCs w:val="32"/>
        </w:rPr>
        <w:t>1</w:t>
      </w:r>
      <w:r>
        <w:rPr>
          <w:rFonts w:hint="eastAsia" w:ascii="仿宋_GB2312"/>
          <w:color w:val="000000"/>
          <w:szCs w:val="32"/>
        </w:rPr>
        <w:t>0.社会保障和就业（类）机关行政事业单位养老支出（款）机关事业基本养老保险缴费支出（项）指自贡市自流井区光大街小学校用于保障在职职工的基本养老保险支出。</w:t>
      </w:r>
    </w:p>
    <w:p>
      <w:pPr>
        <w:ind w:firstLine="640" w:firstLineChars="200"/>
        <w:rPr>
          <w:rFonts w:ascii="仿宋_GB2312"/>
          <w:color w:val="000000"/>
          <w:szCs w:val="32"/>
        </w:rPr>
      </w:pPr>
      <w:r>
        <w:rPr>
          <w:rFonts w:hint="eastAsia" w:ascii="仿宋_GB2312"/>
          <w:color w:val="000000"/>
          <w:szCs w:val="32"/>
        </w:rPr>
        <w:t>11.社会保障和就业（类）其他社会保障和就业支出（款）其他社会保障和就业支出（项）</w:t>
      </w:r>
      <w:r>
        <w:rPr>
          <w:rFonts w:hint="eastAsia" w:ascii="仿宋_GB2312"/>
          <w:color w:val="000000"/>
          <w:szCs w:val="32"/>
          <w:lang w:eastAsia="zh-CN"/>
        </w:rPr>
        <w:t>：</w:t>
      </w:r>
      <w:r>
        <w:rPr>
          <w:rFonts w:hint="eastAsia" w:ascii="仿宋_GB2312"/>
          <w:color w:val="000000"/>
          <w:szCs w:val="32"/>
        </w:rPr>
        <w:t>指自贡市自流井区光大街小学校用于保障在职职工的医疗、工伤、生育、事业保险等支出。</w:t>
      </w:r>
    </w:p>
    <w:p>
      <w:pPr>
        <w:ind w:firstLine="640" w:firstLineChars="200"/>
        <w:rPr>
          <w:rFonts w:ascii="仿宋_GB2312"/>
          <w:color w:val="000000"/>
          <w:szCs w:val="32"/>
        </w:rPr>
      </w:pPr>
      <w:r>
        <w:rPr>
          <w:rFonts w:hint="eastAsia" w:ascii="仿宋_GB2312"/>
          <w:color w:val="000000"/>
          <w:szCs w:val="32"/>
        </w:rPr>
        <w:t>12</w:t>
      </w:r>
      <w:r>
        <w:rPr>
          <w:rFonts w:ascii="仿宋_GB2312"/>
          <w:color w:val="000000"/>
          <w:szCs w:val="32"/>
        </w:rPr>
        <w:t>.</w:t>
      </w:r>
      <w:r>
        <w:rPr>
          <w:rFonts w:hint="eastAsia" w:ascii="仿宋_GB2312"/>
          <w:color w:val="000000"/>
          <w:szCs w:val="32"/>
        </w:rPr>
        <w:t>住房保障（类）住房改革支出（款）机关事业单位住房公积金（项）：指自贡市自流井区光大街小学校用于在职职工住房公积金支出。</w:t>
      </w:r>
    </w:p>
    <w:p>
      <w:pPr>
        <w:ind w:firstLine="640" w:firstLineChars="200"/>
        <w:rPr>
          <w:rFonts w:ascii="仿宋_GB2312"/>
          <w:color w:val="000000"/>
          <w:szCs w:val="32"/>
        </w:rPr>
      </w:pPr>
      <w:r>
        <w:rPr>
          <w:rFonts w:hint="eastAsia" w:ascii="仿宋_GB2312"/>
          <w:color w:val="000000"/>
          <w:szCs w:val="32"/>
        </w:rPr>
        <w:t>13</w:t>
      </w:r>
      <w:r>
        <w:rPr>
          <w:rFonts w:ascii="仿宋_GB2312"/>
          <w:color w:val="000000"/>
          <w:szCs w:val="32"/>
        </w:rPr>
        <w:t>.</w:t>
      </w:r>
      <w:r>
        <w:rPr>
          <w:rFonts w:hint="eastAsia" w:ascii="仿宋_GB2312"/>
          <w:color w:val="000000"/>
          <w:szCs w:val="32"/>
        </w:rPr>
        <w:t>基本支出：指为保障机构正常运转、完成日常工作任务而发生的人员支出和公用支出。</w:t>
      </w:r>
    </w:p>
    <w:p>
      <w:pPr>
        <w:ind w:firstLine="640" w:firstLineChars="200"/>
        <w:rPr>
          <w:rFonts w:ascii="仿宋_GB2312"/>
          <w:color w:val="000000"/>
          <w:szCs w:val="32"/>
        </w:rPr>
      </w:pPr>
      <w:r>
        <w:rPr>
          <w:rFonts w:hint="eastAsia" w:ascii="仿宋_GB2312"/>
          <w:color w:val="000000"/>
          <w:szCs w:val="32"/>
        </w:rPr>
        <w:t>14</w:t>
      </w:r>
      <w:r>
        <w:rPr>
          <w:rFonts w:ascii="仿宋_GB2312"/>
          <w:color w:val="000000"/>
          <w:szCs w:val="32"/>
        </w:rPr>
        <w:t>.</w:t>
      </w:r>
      <w:r>
        <w:rPr>
          <w:rFonts w:hint="eastAsia" w:ascii="仿宋_GB2312"/>
          <w:color w:val="000000"/>
          <w:szCs w:val="32"/>
        </w:rPr>
        <w:t>项目支出：指在基本支出之外为完成特定行政任务和事业发展目标所发生的支出。</w:t>
      </w:r>
      <w:r>
        <w:rPr>
          <w:rFonts w:ascii="仿宋_GB2312"/>
          <w:color w:val="000000"/>
          <w:szCs w:val="32"/>
        </w:rPr>
        <w:t xml:space="preserve"> </w:t>
      </w:r>
    </w:p>
    <w:p>
      <w:pPr>
        <w:ind w:firstLine="640" w:firstLineChars="200"/>
        <w:rPr>
          <w:rFonts w:ascii="仿宋_GB2312"/>
          <w:color w:val="000000"/>
          <w:szCs w:val="32"/>
        </w:rPr>
      </w:pPr>
      <w:r>
        <w:rPr>
          <w:rFonts w:hint="eastAsia" w:ascii="仿宋_GB2312"/>
          <w:color w:val="000000"/>
          <w:szCs w:val="32"/>
        </w:rPr>
        <w:t>15</w:t>
      </w:r>
      <w:r>
        <w:rPr>
          <w:rFonts w:ascii="仿宋_GB2312"/>
          <w:color w:val="000000"/>
          <w:szCs w:val="32"/>
        </w:rPr>
        <w:t>.</w:t>
      </w:r>
      <w:r>
        <w:rPr>
          <w:rFonts w:hint="eastAsia" w:ascii="仿宋_GB2312"/>
          <w:color w:val="000000"/>
          <w:szCs w:val="32"/>
        </w:rPr>
        <w:t>经营支出：指事业单位在专业业务活动及其辅助活动之外开展非独立核算经营活动发生的支出。</w:t>
      </w:r>
    </w:p>
    <w:p>
      <w:pPr>
        <w:pStyle w:val="19"/>
        <w:spacing w:line="560" w:lineRule="exact"/>
        <w:ind w:firstLine="640" w:firstLineChars="200"/>
        <w:rPr>
          <w:rFonts w:ascii="仿宋_GB2312" w:eastAsia="仿宋_GB2312"/>
          <w:sz w:val="32"/>
          <w:szCs w:val="32"/>
        </w:rPr>
      </w:pPr>
      <w:r>
        <w:rPr>
          <w:rFonts w:hint="eastAsia" w:ascii="仿宋_GB2312" w:eastAsia="仿宋_GB2312"/>
          <w:sz w:val="32"/>
          <w:szCs w:val="32"/>
        </w:rPr>
        <w:t>16</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9"/>
        <w:spacing w:line="560" w:lineRule="exact"/>
        <w:ind w:firstLine="640" w:firstLineChars="200"/>
        <w:rPr>
          <w:rFonts w:ascii="仿宋_GB2312" w:eastAsia="仿宋_GB2312"/>
          <w:sz w:val="32"/>
          <w:szCs w:val="32"/>
        </w:rPr>
      </w:pPr>
      <w:r>
        <w:rPr>
          <w:rFonts w:hint="eastAsia" w:ascii="仿宋_GB2312" w:eastAsia="仿宋_GB2312"/>
          <w:sz w:val="32"/>
          <w:szCs w:val="32"/>
        </w:rPr>
        <w:t>17</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17"/>
          <w:rFonts w:ascii="黑体" w:hAnsi="黑体" w:eastAsia="黑体"/>
          <w:b w:val="0"/>
        </w:rPr>
      </w:pPr>
      <w:bookmarkStart w:id="58" w:name="_Toc15377226"/>
      <w:r>
        <w:rPr>
          <w:rFonts w:ascii="宋体"/>
          <w:b/>
          <w:color w:val="000000"/>
          <w:sz w:val="44"/>
          <w:szCs w:val="44"/>
        </w:rPr>
        <w:br w:type="page"/>
      </w:r>
      <w:bookmarkStart w:id="59" w:name="_Toc15396614"/>
      <w:bookmarkStart w:id="60" w:name="_Toc11207"/>
      <w:r>
        <w:rPr>
          <w:rFonts w:hint="eastAsia" w:ascii="黑体" w:hAnsi="黑体" w:eastAsia="黑体"/>
          <w:color w:val="000000"/>
          <w:sz w:val="44"/>
          <w:szCs w:val="44"/>
        </w:rPr>
        <w:t>第</w:t>
      </w:r>
      <w:r>
        <w:rPr>
          <w:rStyle w:val="17"/>
          <w:rFonts w:hint="eastAsia" w:ascii="黑体" w:hAnsi="黑体" w:eastAsia="黑体"/>
        </w:rPr>
        <w:t>四部分</w:t>
      </w:r>
      <w:r>
        <w:rPr>
          <w:rStyle w:val="17"/>
          <w:rFonts w:ascii="黑体" w:hAnsi="黑体" w:eastAsia="黑体"/>
        </w:rPr>
        <w:t xml:space="preserve"> </w:t>
      </w:r>
      <w:r>
        <w:rPr>
          <w:rStyle w:val="17"/>
          <w:rFonts w:hint="eastAsia" w:ascii="黑体" w:hAnsi="黑体" w:eastAsia="黑体"/>
        </w:rPr>
        <w:t>附件</w:t>
      </w:r>
      <w:bookmarkEnd w:id="59"/>
      <w:bookmarkEnd w:id="60"/>
    </w:p>
    <w:p>
      <w:pPr>
        <w:spacing w:line="600" w:lineRule="exact"/>
        <w:jc w:val="left"/>
        <w:outlineLvl w:val="1"/>
        <w:rPr>
          <w:rFonts w:ascii="方正小标宋简体" w:hAnsi="方正小标宋简体" w:eastAsia="方正小标宋简体" w:cs="方正小标宋简体"/>
          <w:szCs w:val="32"/>
        </w:rPr>
      </w:pPr>
      <w:bookmarkStart w:id="61" w:name="_Toc22930"/>
      <w:r>
        <w:rPr>
          <w:rFonts w:hint="eastAsia" w:ascii="黑体" w:hAnsi="黑体" w:eastAsia="黑体" w:cs="黑体"/>
          <w:szCs w:val="32"/>
        </w:rPr>
        <w:t>附件</w:t>
      </w:r>
      <w:r>
        <w:rPr>
          <w:rFonts w:ascii="黑体" w:hAnsi="黑体" w:eastAsia="黑体" w:cs="黑体"/>
          <w:szCs w:val="32"/>
        </w:rPr>
        <w:t>1</w:t>
      </w:r>
      <w:bookmarkEnd w:id="61"/>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lang w:val="zh-CN"/>
        </w:rPr>
      </w:pPr>
      <w:r>
        <w:rPr>
          <w:rFonts w:hint="eastAsia" w:ascii="方正小标宋简体" w:hAnsi="宋体" w:eastAsia="方正小标宋简体"/>
          <w:color w:val="000000"/>
          <w:kern w:val="0"/>
          <w:sz w:val="40"/>
          <w:szCs w:val="44"/>
        </w:rPr>
        <w:t>自贡市自流井区光大街小学校</w:t>
      </w: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（一）机构组成。本单位是自贡市自流井区教育和体育局下属独立法人资格的义务段小学段公益一类事业单位。</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（二）机构职能。本单位主要承担义务段小学段的教育教学工作。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（三）人员概况。本单位年末在职职工81人，其中，专业技术人员80人，工人1人；小学生人数1126人。</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二、部门财政资金收支情况</w:t>
      </w:r>
    </w:p>
    <w:p>
      <w:pPr>
        <w:spacing w:line="600" w:lineRule="exact"/>
        <w:ind w:firstLine="640"/>
        <w:rPr>
          <w:rFonts w:ascii="仿宋" w:hAnsi="仿宋" w:eastAsia="仿宋"/>
          <w:color w:val="000000"/>
          <w:szCs w:val="32"/>
        </w:rPr>
      </w:pPr>
      <w:r>
        <w:rPr>
          <w:rFonts w:hint="eastAsia" w:ascii="仿宋_GB2312" w:hAnsi="宋体" w:cs="宋体"/>
          <w:color w:val="000000"/>
          <w:kern w:val="0"/>
          <w:szCs w:val="32"/>
          <w:shd w:val="clear" w:color="auto" w:fill="FFFFFF"/>
          <w:lang w:val="zh-CN"/>
        </w:rPr>
        <w:t>（一）部门财政资金收入情况。</w:t>
      </w:r>
      <w:r>
        <w:rPr>
          <w:rFonts w:ascii="仿宋" w:hAnsi="仿宋" w:eastAsia="仿宋"/>
          <w:color w:val="000000"/>
          <w:szCs w:val="32"/>
        </w:rPr>
        <w:t>2020</w:t>
      </w:r>
      <w:r>
        <w:rPr>
          <w:rFonts w:hint="eastAsia" w:ascii="仿宋" w:hAnsi="仿宋" w:eastAsia="仿宋"/>
          <w:color w:val="000000"/>
          <w:szCs w:val="32"/>
        </w:rPr>
        <w:t>年财政拨款收入总计1803.22万元；支出总计1803.22万元。与</w:t>
      </w:r>
      <w:r>
        <w:rPr>
          <w:rFonts w:ascii="仿宋" w:hAnsi="仿宋" w:eastAsia="仿宋"/>
          <w:color w:val="000000"/>
          <w:szCs w:val="32"/>
        </w:rPr>
        <w:t>2019</w:t>
      </w:r>
      <w:r>
        <w:rPr>
          <w:rFonts w:hint="eastAsia" w:ascii="仿宋" w:hAnsi="仿宋" w:eastAsia="仿宋"/>
          <w:color w:val="000000"/>
          <w:szCs w:val="32"/>
        </w:rPr>
        <w:t>年相比，财政拨款收入总计减少245.64万元，下降12.43</w:t>
      </w:r>
      <w:r>
        <w:rPr>
          <w:rFonts w:ascii="仿宋" w:hAnsi="仿宋" w:eastAsia="仿宋"/>
          <w:color w:val="000000"/>
          <w:szCs w:val="32"/>
        </w:rPr>
        <w:t>%</w:t>
      </w:r>
      <w:r>
        <w:rPr>
          <w:rFonts w:hint="eastAsia" w:ascii="仿宋" w:hAnsi="仿宋" w:eastAsia="仿宋"/>
          <w:color w:val="000000"/>
          <w:szCs w:val="32"/>
        </w:rPr>
        <w:t>，支出总计减少245.64万元，减少12.43</w:t>
      </w:r>
      <w:r>
        <w:rPr>
          <w:rFonts w:ascii="仿宋" w:hAnsi="仿宋" w:eastAsia="仿宋"/>
          <w:color w:val="000000"/>
          <w:szCs w:val="32"/>
        </w:rPr>
        <w:t>%</w:t>
      </w:r>
      <w:r>
        <w:rPr>
          <w:rFonts w:hint="eastAsia" w:ascii="仿宋" w:hAnsi="仿宋" w:eastAsia="仿宋"/>
          <w:color w:val="000000"/>
          <w:szCs w:val="32"/>
        </w:rPr>
        <w:t>。主要变动原因是主要原因是本年无综合楼工程项目预算。</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（二）部门财政资金支出情况。</w:t>
      </w:r>
    </w:p>
    <w:p>
      <w:pPr>
        <w:spacing w:line="360" w:lineRule="auto"/>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年一般公共预算财政拨款支出1787.12万元，占本年支出合计的</w:t>
      </w:r>
      <w:r>
        <w:rPr>
          <w:rFonts w:hint="eastAsia" w:ascii="仿宋" w:hAnsi="仿宋" w:eastAsia="仿宋"/>
          <w:szCs w:val="32"/>
        </w:rPr>
        <w:t>98.2</w:t>
      </w:r>
      <w:r>
        <w:rPr>
          <w:rFonts w:ascii="仿宋" w:hAnsi="仿宋" w:eastAsia="仿宋"/>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年相比，一般公共预算财政拨款增加210.79万元，增长13.37</w:t>
      </w:r>
      <w:r>
        <w:rPr>
          <w:rFonts w:ascii="仿宋" w:hAnsi="仿宋" w:eastAsia="仿宋"/>
          <w:color w:val="000000"/>
          <w:szCs w:val="32"/>
        </w:rPr>
        <w:t>%</w:t>
      </w:r>
      <w:r>
        <w:rPr>
          <w:rFonts w:hint="eastAsia" w:ascii="仿宋" w:hAnsi="仿宋" w:eastAsia="仿宋"/>
          <w:color w:val="000000"/>
          <w:szCs w:val="32"/>
        </w:rPr>
        <w:t>。主要变动原因是教师工资增加和综合楼工程支付工程款。</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Calibri" w:cs="仿宋"/>
          <w:color w:val="000000"/>
          <w:kern w:val="0"/>
          <w:szCs w:val="32"/>
          <w:lang w:val="zh-CN"/>
        </w:rPr>
      </w:pPr>
      <w:r>
        <w:rPr>
          <w:rFonts w:hint="eastAsia" w:ascii="仿宋_GB2312" w:hAnsi="宋体" w:cs="宋体"/>
          <w:color w:val="000000"/>
          <w:kern w:val="0"/>
          <w:szCs w:val="32"/>
          <w:shd w:val="clear" w:color="auto" w:fill="FFFFFF"/>
          <w:lang w:val="zh-CN"/>
        </w:rPr>
        <w:t>（</w:t>
      </w:r>
      <w:r>
        <w:rPr>
          <w:rFonts w:hint="eastAsia" w:ascii="仿宋_GB2312" w:hAnsi="Calibri" w:cs="仿宋"/>
          <w:color w:val="000000"/>
          <w:kern w:val="0"/>
          <w:szCs w:val="32"/>
          <w:lang w:val="zh-CN"/>
        </w:rPr>
        <w:t>一）部门预算管理。</w:t>
      </w:r>
    </w:p>
    <w:p>
      <w:pPr>
        <w:widowControl/>
        <w:adjustRightInd w:val="0"/>
        <w:snapToGrid w:val="0"/>
        <w:spacing w:line="580" w:lineRule="exact"/>
        <w:ind w:firstLine="640" w:firstLineChars="200"/>
        <w:contextualSpacing/>
        <w:jc w:val="left"/>
        <w:rPr>
          <w:rFonts w:ascii="仿宋_GB2312" w:hAnsi="Calibri" w:cs="仿宋"/>
          <w:color w:val="000000"/>
          <w:kern w:val="0"/>
          <w:szCs w:val="32"/>
          <w:lang w:val="zh-CN"/>
        </w:rPr>
      </w:pPr>
      <w:r>
        <w:rPr>
          <w:rFonts w:hint="eastAsia" w:ascii="仿宋_GB2312" w:hAnsi="Calibri" w:cs="仿宋"/>
          <w:color w:val="000000"/>
          <w:kern w:val="0"/>
          <w:szCs w:val="32"/>
        </w:rPr>
        <w:t>从整体情况来看，我校严格按照年初预算进行部门整体支出，在支出过程中，能严格遵守各项规章制度、强化财务管理，且建立健全了岗位职责及财务管理制度。岗位职责包括财政所职责、财政所长岗位职责、会计人员岗位职责、出纳人员岗位职责；财务管理制度包含资金管理制度、资产管理制度、财务管理内控制度、票据管理制度、档案管理制度。单位的财务收支情况每年向党工委和职工大会公布，接受纪工委和群众的监督。</w:t>
      </w:r>
      <w:r>
        <w:rPr>
          <w:rFonts w:hint="eastAsia" w:ascii="仿宋_GB2312" w:hAnsi="Calibri" w:cs="仿宋"/>
          <w:color w:val="000000"/>
          <w:kern w:val="0"/>
          <w:szCs w:val="32"/>
        </w:rPr>
        <w:br w:type="textWrapping"/>
      </w:r>
      <w:r>
        <w:rPr>
          <w:rFonts w:hint="eastAsia" w:ascii="仿宋_GB2312" w:hAnsi="Calibri" w:cs="仿宋"/>
          <w:color w:val="000000"/>
          <w:kern w:val="0"/>
          <w:szCs w:val="32"/>
        </w:rPr>
        <w:t xml:space="preserve">    1.预决算公开：按照上级的要求，我办在规定的时间和方式，对2020年度部门预决算在政府网站上进行了公开。 </w:t>
      </w:r>
      <w:r>
        <w:rPr>
          <w:rFonts w:hint="eastAsia" w:ascii="仿宋_GB2312" w:hAnsi="Calibri" w:cs="仿宋"/>
          <w:color w:val="000000"/>
          <w:kern w:val="0"/>
          <w:szCs w:val="32"/>
        </w:rPr>
        <w:br w:type="textWrapping"/>
      </w:r>
      <w:r>
        <w:rPr>
          <w:rFonts w:hint="eastAsia" w:ascii="仿宋_GB2312" w:hAnsi="Calibri" w:cs="仿宋"/>
          <w:color w:val="000000"/>
          <w:kern w:val="0"/>
          <w:szCs w:val="32"/>
        </w:rPr>
        <w:t xml:space="preserve">    2.资产管理：我校进一步加强资产的管理，制定了资产管理制度，明确了具体责任人，完善了固定资产档案，严格报批、销审等手续。 </w:t>
      </w:r>
      <w:r>
        <w:rPr>
          <w:rFonts w:hint="eastAsia" w:ascii="仿宋_GB2312" w:hAnsi="Calibri" w:cs="仿宋"/>
          <w:color w:val="000000"/>
          <w:kern w:val="0"/>
          <w:szCs w:val="32"/>
        </w:rPr>
        <w:br w:type="textWrapping"/>
      </w:r>
      <w:r>
        <w:rPr>
          <w:rFonts w:hint="eastAsia" w:ascii="仿宋_GB2312" w:hAnsi="Calibri" w:cs="仿宋"/>
          <w:color w:val="000000"/>
          <w:kern w:val="0"/>
          <w:szCs w:val="32"/>
        </w:rPr>
        <w:t xml:space="preserve">    3.内控制度管理：我校制定了财务管理内控制度，按照《财政部关于开展行政事业单位内部控制基础性评价工作的通知》要求，依据《行政事业单位内部控制规范》的有关规定，对本单位的内部控制基础情况进行了评价。 </w:t>
      </w:r>
      <w:r>
        <w:rPr>
          <w:rFonts w:hint="eastAsia" w:ascii="仿宋_GB2312" w:hAnsi="Calibri" w:cs="仿宋"/>
          <w:color w:val="000000"/>
          <w:kern w:val="0"/>
          <w:szCs w:val="32"/>
        </w:rPr>
        <w:br w:type="textWrapping"/>
      </w:r>
      <w:r>
        <w:rPr>
          <w:rFonts w:hint="eastAsia" w:ascii="仿宋_GB2312" w:hAnsi="Calibri" w:cs="仿宋"/>
          <w:color w:val="000000"/>
          <w:kern w:val="0"/>
          <w:szCs w:val="32"/>
        </w:rPr>
        <w:t xml:space="preserve">    4.政策采购：所有政府采购都详细制定了方案，严格按方案组织实施，并加强了监督。 </w:t>
      </w:r>
      <w:r>
        <w:rPr>
          <w:rFonts w:hint="eastAsia" w:ascii="仿宋_GB2312" w:hAnsi="Calibri" w:cs="仿宋"/>
          <w:color w:val="000000"/>
          <w:kern w:val="0"/>
          <w:szCs w:val="32"/>
        </w:rPr>
        <w:br w:type="textWrapping"/>
      </w:r>
      <w:r>
        <w:rPr>
          <w:rFonts w:hint="eastAsia" w:ascii="仿宋_GB2312" w:hAnsi="Calibri" w:cs="仿宋"/>
          <w:color w:val="000000"/>
          <w:kern w:val="0"/>
          <w:szCs w:val="32"/>
          <w:lang w:val="zh-CN"/>
        </w:rPr>
        <w:t>（二）结果应用情况。</w:t>
      </w:r>
    </w:p>
    <w:p>
      <w:pPr>
        <w:widowControl/>
        <w:adjustRightInd w:val="0"/>
        <w:snapToGrid w:val="0"/>
        <w:spacing w:line="580" w:lineRule="exact"/>
        <w:ind w:firstLine="640" w:firstLineChars="200"/>
        <w:contextualSpacing/>
        <w:jc w:val="left"/>
        <w:rPr>
          <w:rFonts w:ascii="仿宋_GB2312" w:hAnsi="Calibri" w:cs="仿宋"/>
          <w:color w:val="000000"/>
          <w:kern w:val="0"/>
          <w:szCs w:val="32"/>
        </w:rPr>
      </w:pPr>
      <w:r>
        <w:rPr>
          <w:rFonts w:hint="eastAsia" w:ascii="仿宋_GB2312" w:hAnsi="Calibri" w:cs="仿宋"/>
          <w:color w:val="000000"/>
          <w:kern w:val="0"/>
          <w:szCs w:val="32"/>
        </w:rPr>
        <w:t>我校严格按照上级主主管部门的相关要求，认真开展绩效自评，并按上级要求做好公开公示。</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adjustRightInd w:val="0"/>
        <w:snapToGrid w:val="0"/>
        <w:spacing w:line="580" w:lineRule="exact"/>
        <w:contextualSpacing/>
        <w:jc w:val="left"/>
        <w:rPr>
          <w:rFonts w:ascii="仿宋_GB2312" w:hAnsi="Calibri" w:cs="仿宋"/>
          <w:color w:val="000000"/>
          <w:kern w:val="0"/>
          <w:szCs w:val="32"/>
          <w:lang w:val="zh-CN"/>
        </w:rPr>
      </w:pPr>
      <w:r>
        <w:rPr>
          <w:rFonts w:hint="eastAsia" w:ascii="仿宋_GB2312" w:hAnsi="宋体" w:cs="宋体"/>
          <w:color w:val="000000"/>
          <w:kern w:val="0"/>
          <w:szCs w:val="32"/>
          <w:shd w:val="clear" w:color="auto" w:fill="FFFFFF"/>
          <w:lang w:val="zh-CN"/>
        </w:rPr>
        <w:t>（</w:t>
      </w:r>
      <w:r>
        <w:rPr>
          <w:rFonts w:hint="eastAsia" w:ascii="仿宋_GB2312" w:hAnsi="Calibri" w:cs="仿宋"/>
          <w:color w:val="000000"/>
          <w:kern w:val="0"/>
          <w:szCs w:val="32"/>
          <w:lang w:val="zh-CN"/>
        </w:rPr>
        <w:t>一）评价结论</w:t>
      </w:r>
    </w:p>
    <w:p>
      <w:pPr>
        <w:widowControl/>
        <w:adjustRightInd w:val="0"/>
        <w:snapToGrid w:val="0"/>
        <w:spacing w:line="580" w:lineRule="exact"/>
        <w:ind w:firstLine="640" w:firstLineChars="200"/>
        <w:contextualSpacing/>
        <w:jc w:val="left"/>
        <w:rPr>
          <w:rFonts w:ascii="仿宋_GB2312" w:hAnsi="Calibri" w:cs="仿宋"/>
          <w:color w:val="000000"/>
          <w:kern w:val="0"/>
          <w:szCs w:val="32"/>
          <w:lang w:val="zh-CN"/>
        </w:rPr>
      </w:pPr>
      <w:r>
        <w:rPr>
          <w:rFonts w:hint="eastAsia" w:ascii="仿宋_GB2312" w:hAnsi="Calibri" w:cs="仿宋"/>
          <w:color w:val="000000"/>
          <w:kern w:val="0"/>
          <w:szCs w:val="32"/>
          <w:lang w:val="zh-CN"/>
        </w:rPr>
        <w:t>2020年，自贡市自流井区光大街小学校在区委、区政府的领导下，在区财政局等相关部门的具体业务指导下，我校预算执行情况较好，各项工作总体呈现出稳中有升、高位求进的良好发展态势，圆满完成了各项目标任务。</w:t>
      </w:r>
    </w:p>
    <w:p>
      <w:pPr>
        <w:widowControl/>
        <w:adjustRightInd w:val="0"/>
        <w:snapToGrid w:val="0"/>
        <w:spacing w:line="580" w:lineRule="exact"/>
        <w:ind w:firstLine="640" w:firstLineChars="200"/>
        <w:contextualSpacing/>
        <w:jc w:val="left"/>
        <w:rPr>
          <w:rFonts w:ascii="仿宋_GB2312" w:hAnsi="Calibri" w:cs="仿宋"/>
          <w:color w:val="000000"/>
          <w:kern w:val="0"/>
          <w:szCs w:val="32"/>
          <w:lang w:val="zh-CN"/>
        </w:rPr>
      </w:pPr>
    </w:p>
    <w:p>
      <w:pPr>
        <w:widowControl/>
        <w:adjustRightInd w:val="0"/>
        <w:snapToGrid w:val="0"/>
        <w:spacing w:line="580" w:lineRule="exact"/>
        <w:contextualSpacing/>
        <w:jc w:val="left"/>
        <w:rPr>
          <w:rFonts w:ascii="仿宋_GB2312" w:hAnsi="Calibri" w:cs="仿宋"/>
          <w:color w:val="000000"/>
          <w:kern w:val="0"/>
          <w:szCs w:val="32"/>
          <w:lang w:val="zh-CN"/>
        </w:rPr>
      </w:pPr>
      <w:r>
        <w:rPr>
          <w:rFonts w:hint="eastAsia" w:ascii="仿宋_GB2312" w:hAnsi="Calibri" w:cs="仿宋"/>
          <w:color w:val="000000"/>
          <w:kern w:val="0"/>
          <w:szCs w:val="32"/>
          <w:lang w:val="zh-CN"/>
        </w:rPr>
        <w:t>（二）存在问题</w:t>
      </w:r>
    </w:p>
    <w:p>
      <w:pPr>
        <w:widowControl/>
        <w:adjustRightInd w:val="0"/>
        <w:snapToGrid w:val="0"/>
        <w:spacing w:line="580" w:lineRule="exact"/>
        <w:ind w:firstLine="640" w:firstLineChars="200"/>
        <w:contextualSpacing/>
        <w:jc w:val="left"/>
        <w:rPr>
          <w:rFonts w:ascii="仿宋_GB2312" w:hAnsi="Calibri" w:cs="仿宋"/>
          <w:color w:val="000000"/>
          <w:kern w:val="0"/>
          <w:szCs w:val="32"/>
          <w:lang w:val="zh-CN"/>
        </w:rPr>
      </w:pPr>
      <w:r>
        <w:rPr>
          <w:rFonts w:hint="eastAsia" w:ascii="仿宋_GB2312" w:hAnsi="Calibri" w:cs="仿宋"/>
          <w:color w:val="000000"/>
          <w:kern w:val="0"/>
          <w:szCs w:val="32"/>
          <w:lang w:val="zh-CN"/>
        </w:rPr>
        <w:t>一是报送信息不及时，二是执行中期评估不到位，三是整改过程力度不够。</w:t>
      </w:r>
    </w:p>
    <w:p>
      <w:pPr>
        <w:widowControl/>
        <w:adjustRightInd w:val="0"/>
        <w:snapToGrid w:val="0"/>
        <w:spacing w:line="580" w:lineRule="exact"/>
        <w:contextualSpacing/>
        <w:jc w:val="left"/>
        <w:rPr>
          <w:rFonts w:ascii="仿宋_GB2312" w:hAnsi="Calibri" w:cs="仿宋"/>
          <w:color w:val="000000"/>
          <w:kern w:val="0"/>
          <w:szCs w:val="32"/>
          <w:lang w:val="zh-CN"/>
        </w:rPr>
      </w:pPr>
      <w:r>
        <w:rPr>
          <w:rFonts w:hint="eastAsia" w:ascii="仿宋_GB2312" w:hAnsi="Calibri" w:cs="仿宋"/>
          <w:color w:val="000000"/>
          <w:kern w:val="0"/>
          <w:szCs w:val="32"/>
          <w:lang w:val="zh-CN"/>
        </w:rPr>
        <w:t>（三）改进措施</w:t>
      </w:r>
    </w:p>
    <w:p>
      <w:pPr>
        <w:widowControl/>
        <w:adjustRightInd w:val="0"/>
        <w:snapToGrid w:val="0"/>
        <w:spacing w:line="580" w:lineRule="exact"/>
        <w:ind w:firstLine="640" w:firstLineChars="200"/>
        <w:contextualSpacing/>
        <w:jc w:val="left"/>
        <w:rPr>
          <w:rFonts w:ascii="仿宋_GB2312" w:hAnsi="Calibri" w:cs="仿宋"/>
          <w:color w:val="000000"/>
          <w:kern w:val="0"/>
          <w:szCs w:val="32"/>
          <w:lang w:val="zh-CN"/>
        </w:rPr>
      </w:pPr>
      <w:r>
        <w:rPr>
          <w:rFonts w:hint="eastAsia" w:ascii="仿宋_GB2312" w:hAnsi="Calibri" w:cs="仿宋"/>
          <w:color w:val="000000"/>
          <w:kern w:val="0"/>
          <w:szCs w:val="32"/>
          <w:lang w:val="zh-CN"/>
        </w:rPr>
        <w:t>下一步改进措施：一是加强信息畅通，及时报送基础信息，二是严格按照要求执行中期评估，三是强化整改落实。</w:t>
      </w:r>
    </w:p>
    <w:p>
      <w:pPr>
        <w:widowControl/>
        <w:adjustRightInd w:val="0"/>
        <w:snapToGrid w:val="0"/>
        <w:spacing w:line="580" w:lineRule="exact"/>
        <w:ind w:firstLine="640" w:firstLineChars="200"/>
        <w:contextualSpacing/>
        <w:jc w:val="left"/>
        <w:rPr>
          <w:rFonts w:ascii="仿宋_GB2312" w:hAnsi="Calibri" w:cs="仿宋"/>
          <w:color w:val="000000"/>
          <w:kern w:val="0"/>
          <w:szCs w:val="32"/>
          <w:lang w:val="zh-CN"/>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rPr>
          <w:rFonts w:ascii="仿宋_GB2312" w:hAnsi="仿宋_GB2312" w:cs="仿宋_GB2312"/>
          <w:szCs w:val="32"/>
        </w:rPr>
      </w:pPr>
    </w:p>
    <w:p>
      <w:pPr>
        <w:spacing w:line="580" w:lineRule="exact"/>
        <w:outlineLvl w:val="1"/>
        <w:rPr>
          <w:rFonts w:hint="eastAsia" w:ascii="黑体" w:hAnsi="黑体" w:eastAsia="黑体" w:cs="黑体"/>
          <w:szCs w:val="32"/>
        </w:rPr>
      </w:pPr>
      <w:bookmarkStart w:id="62" w:name="_Toc11602"/>
    </w:p>
    <w:p>
      <w:pPr>
        <w:spacing w:line="580" w:lineRule="exact"/>
        <w:outlineLvl w:val="1"/>
        <w:rPr>
          <w:rFonts w:ascii="黑体" w:hAnsi="黑体" w:eastAsia="黑体" w:cs="黑体"/>
          <w:szCs w:val="32"/>
        </w:rPr>
      </w:pPr>
    </w:p>
    <w:p>
      <w:pPr>
        <w:spacing w:line="580" w:lineRule="exact"/>
        <w:outlineLvl w:val="1"/>
        <w:rPr>
          <w:rFonts w:ascii="仿宋_GB2312" w:hAnsi="仿宋_GB2312" w:cs="仿宋_GB2312"/>
          <w:szCs w:val="32"/>
        </w:rPr>
      </w:pPr>
      <w:r>
        <w:rPr>
          <w:rFonts w:hint="eastAsia" w:ascii="黑体" w:hAnsi="黑体" w:eastAsia="黑体" w:cs="黑体"/>
          <w:szCs w:val="32"/>
        </w:rPr>
        <w:t>附件</w:t>
      </w:r>
      <w:r>
        <w:rPr>
          <w:rFonts w:ascii="黑体" w:hAnsi="黑体" w:eastAsia="黑体" w:cs="黑体"/>
          <w:szCs w:val="32"/>
        </w:rPr>
        <w:t>2</w:t>
      </w:r>
      <w:bookmarkEnd w:id="62"/>
    </w:p>
    <w:p>
      <w:pPr>
        <w:spacing w:line="580" w:lineRule="exact"/>
        <w:ind w:firstLine="640" w:firstLineChars="200"/>
        <w:rPr>
          <w:rFonts w:ascii="仿宋_GB2312" w:hAnsi="仿宋_GB2312" w:cs="仿宋_GB2312"/>
          <w:szCs w:val="3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自贡市自流井区光大街小学新建综合楼工程</w:t>
      </w: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Cs w:val="32"/>
          <w:lang w:val="zh-CN"/>
        </w:rPr>
      </w:pPr>
    </w:p>
    <w:p>
      <w:pPr>
        <w:adjustRightInd w:val="0"/>
        <w:snapToGrid w:val="0"/>
        <w:spacing w:line="600" w:lineRule="exact"/>
        <w:ind w:firstLine="720"/>
        <w:rPr>
          <w:rFonts w:ascii="黑体" w:hAnsi="宋体" w:eastAsia="黑体"/>
          <w:szCs w:val="32"/>
          <w:lang w:val="zh-CN"/>
        </w:rPr>
      </w:pPr>
      <w:r>
        <w:rPr>
          <w:rFonts w:hint="eastAsia" w:ascii="黑体" w:hAnsi="宋体" w:eastAsia="黑体"/>
          <w:szCs w:val="32"/>
        </w:rPr>
        <w:t>一、</w:t>
      </w:r>
      <w:r>
        <w:rPr>
          <w:rFonts w:hint="eastAsia" w:ascii="黑体" w:hAnsi="宋体" w:eastAsia="黑体"/>
          <w:szCs w:val="32"/>
          <w:lang w:val="zh-CN"/>
        </w:rPr>
        <w:t>项目概况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（一）项目基本情况。</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．自贡市自流井区光大街小学校新建综合楼工程项目主管部门是自流井区发展改革委员会。</w:t>
      </w:r>
    </w:p>
    <w:p>
      <w:pPr>
        <w:adjustRightInd w:val="0"/>
        <w:snapToGrid w:val="0"/>
        <w:spacing w:line="600" w:lineRule="exact"/>
        <w:ind w:firstLine="720"/>
        <w:rPr>
          <w:rFonts w:ascii="仿宋_GB2312" w:hAnsi="宋体"/>
          <w:szCs w:val="32"/>
          <w:lang w:val="zh-CN"/>
        </w:rPr>
      </w:pPr>
      <w:r>
        <w:rPr>
          <w:rFonts w:ascii="仿宋_GB2312" w:hAnsi="宋体"/>
          <w:szCs w:val="32"/>
          <w:lang w:val="zh-CN"/>
        </w:rPr>
        <w:t>2</w:t>
      </w:r>
      <w:r>
        <w:rPr>
          <w:rFonts w:hint="eastAsia" w:ascii="仿宋_GB2312" w:hAnsi="宋体"/>
          <w:szCs w:val="32"/>
          <w:lang w:val="zh-CN"/>
        </w:rPr>
        <w:t>．项目立项、资金申报的依据。</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自井发改发【2016】32号及自井发改项批【2017】100号文件。</w:t>
      </w:r>
    </w:p>
    <w:p>
      <w:pPr>
        <w:adjustRightInd w:val="0"/>
        <w:snapToGrid w:val="0"/>
        <w:spacing w:line="600" w:lineRule="exact"/>
        <w:ind w:firstLine="720"/>
        <w:rPr>
          <w:rFonts w:ascii="仿宋_GB2312" w:hAnsi="宋体"/>
          <w:szCs w:val="32"/>
          <w:lang w:val="zh-CN"/>
        </w:rPr>
      </w:pPr>
      <w:r>
        <w:rPr>
          <w:rFonts w:ascii="仿宋_GB2312" w:hAnsi="宋体"/>
          <w:szCs w:val="32"/>
          <w:lang w:val="zh-CN"/>
        </w:rPr>
        <w:t>3</w:t>
      </w:r>
      <w:r>
        <w:rPr>
          <w:rFonts w:hint="eastAsia" w:ascii="仿宋_GB2312" w:hAnsi="宋体"/>
          <w:szCs w:val="32"/>
          <w:lang w:val="zh-CN"/>
        </w:rPr>
        <w:t>．资金管理办法制定情况，制定了项目资金管理办法，严格按照办法实施资金支付。</w:t>
      </w:r>
    </w:p>
    <w:p>
      <w:pPr>
        <w:adjustRightInd w:val="0"/>
        <w:snapToGrid w:val="0"/>
        <w:spacing w:line="600" w:lineRule="exact"/>
        <w:ind w:firstLine="720"/>
        <w:rPr>
          <w:rFonts w:ascii="仿宋_GB2312" w:hAnsi="宋体"/>
          <w:szCs w:val="32"/>
          <w:lang w:val="zh-CN"/>
        </w:rPr>
      </w:pPr>
      <w:r>
        <w:rPr>
          <w:rFonts w:ascii="仿宋_GB2312" w:hAnsi="宋体"/>
          <w:szCs w:val="32"/>
          <w:lang w:val="zh-CN"/>
        </w:rPr>
        <w:t>4</w:t>
      </w:r>
      <w:r>
        <w:rPr>
          <w:rFonts w:hint="eastAsia" w:ascii="仿宋_GB2312" w:hAnsi="宋体"/>
          <w:szCs w:val="32"/>
          <w:lang w:val="zh-CN"/>
        </w:rPr>
        <w:t>．资金分配的原则及考虑因素。按照施工进度及审批手续及管理办法实行资金分配。</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（二）项目绩效目标。</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．项目主要内容为新建自贡市自流井区光大街小学校教学综合楼，建筑面积6063米。</w:t>
      </w:r>
    </w:p>
    <w:p>
      <w:pPr>
        <w:adjustRightInd w:val="0"/>
        <w:snapToGrid w:val="0"/>
        <w:spacing w:line="600" w:lineRule="exact"/>
        <w:ind w:firstLine="720"/>
        <w:rPr>
          <w:rFonts w:ascii="仿宋_GB2312" w:hAnsi="宋体"/>
          <w:szCs w:val="32"/>
          <w:lang w:val="zh-CN"/>
        </w:rPr>
      </w:pPr>
      <w:r>
        <w:rPr>
          <w:rFonts w:ascii="仿宋_GB2312" w:hAnsi="宋体"/>
          <w:szCs w:val="32"/>
          <w:lang w:val="zh-CN"/>
        </w:rPr>
        <w:t>2</w:t>
      </w:r>
      <w:r>
        <w:rPr>
          <w:rFonts w:hint="eastAsia" w:ascii="仿宋_GB2312" w:hAnsi="宋体"/>
          <w:szCs w:val="32"/>
          <w:lang w:val="zh-CN"/>
        </w:rPr>
        <w:t>．项目应实现的具体绩效目标有数量指标、质量指标、经济指标、社会效益指标、生态指标等。</w:t>
      </w:r>
    </w:p>
    <w:p>
      <w:pPr>
        <w:adjustRightInd w:val="0"/>
        <w:snapToGrid w:val="0"/>
        <w:spacing w:line="600" w:lineRule="exact"/>
        <w:ind w:firstLine="720"/>
        <w:rPr>
          <w:rFonts w:ascii="仿宋_GB2312" w:hAnsi="宋体"/>
          <w:szCs w:val="32"/>
          <w:lang w:val="zh-CN"/>
        </w:rPr>
      </w:pPr>
      <w:r>
        <w:rPr>
          <w:rFonts w:ascii="仿宋_GB2312" w:hAnsi="宋体"/>
          <w:szCs w:val="32"/>
          <w:lang w:val="zh-CN"/>
        </w:rPr>
        <w:t>3</w:t>
      </w:r>
      <w:r>
        <w:rPr>
          <w:rFonts w:hint="eastAsia" w:ascii="仿宋_GB2312" w:hAnsi="宋体"/>
          <w:szCs w:val="32"/>
          <w:lang w:val="zh-CN"/>
        </w:rPr>
        <w:t>．申报内容与实际相符，申报目标合理可行。</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（三）项目自评步骤及方法。</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自评步骤，从学校、分管部门、项目办自上而下，逐级自评，现场视察与年初制定指标对比实施自评。</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二、项目资金申报及使用情况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（一）项目资金申报及批复情况。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说明项目资金申报、批复及预算调整等程序的相关情况。</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（二）资金计划、到位及使用情况（可用表格形式反映）。</w:t>
      </w:r>
    </w:p>
    <w:p>
      <w:pPr>
        <w:adjustRightInd w:val="0"/>
        <w:snapToGrid w:val="0"/>
        <w:spacing w:line="600" w:lineRule="exact"/>
        <w:ind w:firstLine="720"/>
        <w:rPr>
          <w:rFonts w:ascii="仿宋_GB2312" w:hAnsi="宋体"/>
          <w:szCs w:val="32"/>
          <w:lang w:val="zh-CN"/>
        </w:rPr>
      </w:pPr>
      <w:r>
        <w:rPr>
          <w:rFonts w:ascii="仿宋_GB2312" w:hAnsi="宋体"/>
          <w:szCs w:val="32"/>
          <w:lang w:val="zh-CN"/>
        </w:rPr>
        <w:t>1</w:t>
      </w:r>
      <w:r>
        <w:rPr>
          <w:rFonts w:hint="eastAsia" w:ascii="仿宋_GB2312" w:hAnsi="宋体"/>
          <w:szCs w:val="32"/>
          <w:lang w:val="zh-CN"/>
        </w:rPr>
        <w:t>．资金计划。该项目财政评审资金2700万，其中中央资金1304，省级资金343万，地方资金1053万元。</w:t>
      </w:r>
    </w:p>
    <w:p>
      <w:pPr>
        <w:adjustRightInd w:val="0"/>
        <w:snapToGrid w:val="0"/>
        <w:spacing w:line="600" w:lineRule="exact"/>
        <w:ind w:firstLine="720"/>
        <w:rPr>
          <w:rFonts w:ascii="楷体_GB2312" w:hAnsi="宋体" w:eastAsia="楷体_GB2312"/>
          <w:szCs w:val="32"/>
          <w:lang w:val="zh-CN"/>
        </w:rPr>
      </w:pPr>
      <w:r>
        <w:rPr>
          <w:rFonts w:ascii="楷体_GB2312" w:hAnsi="宋体" w:eastAsia="楷体_GB2312"/>
          <w:szCs w:val="32"/>
          <w:lang w:val="zh-CN"/>
        </w:rPr>
        <w:t>2</w:t>
      </w:r>
      <w:r>
        <w:rPr>
          <w:rFonts w:hint="eastAsia" w:ascii="楷体_GB2312" w:hAnsi="宋体" w:eastAsia="楷体_GB2312"/>
          <w:szCs w:val="32"/>
          <w:lang w:val="zh-CN"/>
        </w:rPr>
        <w:t>．资金到位。中央资金和省级资金已全部到位，地方资金待财政评审批复后，才能分批到位。</w:t>
      </w:r>
    </w:p>
    <w:p>
      <w:pPr>
        <w:adjustRightInd w:val="0"/>
        <w:snapToGrid w:val="0"/>
        <w:spacing w:line="600" w:lineRule="exact"/>
        <w:ind w:firstLine="720"/>
        <w:rPr>
          <w:rFonts w:ascii="楷体_GB2312" w:hAnsi="宋体" w:eastAsia="楷体_GB2312"/>
          <w:szCs w:val="32"/>
          <w:lang w:val="zh-CN"/>
        </w:rPr>
      </w:pPr>
      <w:r>
        <w:rPr>
          <w:rFonts w:ascii="楷体_GB2312" w:hAnsi="宋体" w:eastAsia="楷体_GB2312"/>
          <w:szCs w:val="32"/>
          <w:lang w:val="zh-CN"/>
        </w:rPr>
        <w:t>3</w:t>
      </w:r>
      <w:r>
        <w:rPr>
          <w:rFonts w:hint="eastAsia" w:ascii="楷体_GB2312" w:hAnsi="宋体" w:eastAsia="楷体_GB2312"/>
          <w:szCs w:val="32"/>
          <w:lang w:val="zh-CN"/>
        </w:rPr>
        <w:t>．资金使用。项目资金在使用上，全部做到专款专用，支付施工方资金严格按照进度，逐级上报，保证了工程进度和民工工资。</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（三）项目财务管理情况。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该项目我单位财务管理制度健全，严格执行财务管理制度，账务处理及时，会计核算规范。</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三、项目实施及管理情况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（一）项目组织架构及实施流程。</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（二）项目管理情况。</w:t>
      </w:r>
      <w:r>
        <w:rPr>
          <w:rFonts w:hint="eastAsia" w:ascii="仿宋_GB2312" w:hAnsi="宋体"/>
          <w:szCs w:val="32"/>
          <w:lang w:val="zh-CN"/>
        </w:rPr>
        <w:t>我单位在该项目推进过程中，严格按照招投标相关规定，规范实施了招投标，施工过程中相关公示内容，均进行了规范公示，整个项目各个环节均稳步健康进行。</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（三）项目监管情况。</w:t>
      </w:r>
      <w:r>
        <w:rPr>
          <w:rFonts w:hint="eastAsia" w:ascii="仿宋_GB2312" w:hAnsi="宋体"/>
          <w:szCs w:val="32"/>
          <w:lang w:val="zh-CN"/>
        </w:rPr>
        <w:t>为保证我单位项目健康进行，通过政府采购，聘请了监理公司对该项目的施工过程进行全程管理，聘请了甲方代表进行项目业务的沟通协调及管理，聘请了过程控制三方公司对施工过程进行管理监督，保证了项目顺利进行。</w:t>
      </w:r>
    </w:p>
    <w:p>
      <w:pPr>
        <w:adjustRightInd w:val="0"/>
        <w:snapToGrid w:val="0"/>
        <w:spacing w:line="600" w:lineRule="exact"/>
        <w:ind w:firstLine="720"/>
        <w:rPr>
          <w:rFonts w:ascii="仿宋_GB2312" w:hAnsi="宋体"/>
          <w:szCs w:val="32"/>
          <w:lang w:val="zh-CN"/>
        </w:rPr>
      </w:pPr>
      <w:r>
        <w:rPr>
          <w:rFonts w:hint="eastAsia" w:ascii="黑体" w:hAnsi="宋体" w:eastAsia="黑体"/>
          <w:szCs w:val="32"/>
        </w:rPr>
        <w:t>四、项目绩效情况</w:t>
      </w:r>
      <w:r>
        <w:rPr>
          <w:rFonts w:ascii="仿宋_GB2312" w:hAnsi="宋体"/>
          <w:szCs w:val="32"/>
          <w:lang w:val="zh-CN"/>
        </w:rPr>
        <w:tab/>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（一）项目完成情况。</w:t>
      </w:r>
    </w:p>
    <w:p>
      <w:pPr>
        <w:adjustRightInd w:val="0"/>
        <w:snapToGrid w:val="0"/>
        <w:spacing w:line="600" w:lineRule="exact"/>
        <w:ind w:firstLine="720"/>
        <w:rPr>
          <w:rFonts w:ascii="楷体_GB2312" w:hAnsi="宋体" w:eastAsia="楷体_GB2312"/>
          <w:b/>
          <w:szCs w:val="32"/>
          <w:lang w:val="zh-CN"/>
        </w:rPr>
      </w:pPr>
      <w:r>
        <w:rPr>
          <w:rFonts w:hint="eastAsia" w:ascii="仿宋_GB2312" w:hAnsi="宋体"/>
          <w:szCs w:val="32"/>
          <w:lang w:val="zh-CN"/>
        </w:rPr>
        <w:t>包括项目完成数量、质量、时效、成本等情况，对照项目计划完成目标，对截止评价时点的任务量完成、质量标准、进度计划、成本控制目标的实现程度进行评价，并进行分析说明。</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（二）项目效益情况。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2020年该项目对我区经济发展起到了一定的促进作用，得到社会群众及家长、教师好评、施工过程保证了环保要求，推进生态效益、可持续效益的前行。</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五、评价结论及建议</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（一）评价结论。</w:t>
      </w:r>
    </w:p>
    <w:p>
      <w:pPr>
        <w:adjustRightInd w:val="0"/>
        <w:snapToGrid w:val="0"/>
        <w:spacing w:line="600" w:lineRule="exact"/>
        <w:ind w:firstLine="640" w:firstLineChars="200"/>
        <w:rPr>
          <w:rFonts w:ascii="仿宋_GB2312" w:hAnsi="宋体"/>
          <w:szCs w:val="32"/>
          <w:bdr w:val="single" w:color="auto" w:sz="4" w:space="0"/>
          <w:lang w:val="zh-CN"/>
        </w:rPr>
      </w:pPr>
      <w:r>
        <w:rPr>
          <w:rFonts w:hint="eastAsia" w:ascii="仿宋_GB2312" w:hAnsi="宋体"/>
          <w:szCs w:val="32"/>
          <w:lang w:val="zh-CN"/>
        </w:rPr>
        <w:t>该项目健康稳步推进，圆满完成了2020年的各项目标任务。</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（二）存在的问题。</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项目审批过程中，存在不确定因素，导致工程量的变化与初期预算有出入，导致资金进度不能同步跟进。</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（三）相关建议。</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地方匹配资金能跟上工程进度。</w:t>
      </w:r>
    </w:p>
    <w:p>
      <w:pPr>
        <w:spacing w:line="600" w:lineRule="exact"/>
        <w:jc w:val="center"/>
        <w:outlineLvl w:val="0"/>
        <w:rPr>
          <w:rStyle w:val="17"/>
          <w:rFonts w:ascii="黑体" w:hAnsi="黑体" w:eastAsia="黑体"/>
          <w:b w:val="0"/>
        </w:rPr>
      </w:pPr>
      <w:bookmarkStart w:id="63" w:name="_Toc15396618"/>
      <w:bookmarkStart w:id="64" w:name="_Toc32283"/>
      <w:r>
        <w:rPr>
          <w:rFonts w:hint="eastAsia" w:ascii="黑体" w:hAnsi="黑体" w:eastAsia="黑体"/>
          <w:color w:val="000000"/>
          <w:sz w:val="44"/>
          <w:szCs w:val="44"/>
        </w:rPr>
        <w:t>第</w:t>
      </w:r>
      <w:r>
        <w:rPr>
          <w:rStyle w:val="17"/>
          <w:rFonts w:hint="eastAsia" w:ascii="黑体" w:hAnsi="黑体" w:eastAsia="黑体"/>
        </w:rPr>
        <w:t>五部分</w:t>
      </w:r>
      <w:r>
        <w:rPr>
          <w:rStyle w:val="17"/>
          <w:rFonts w:ascii="黑体" w:hAnsi="黑体" w:eastAsia="黑体"/>
        </w:rPr>
        <w:t xml:space="preserve"> </w:t>
      </w:r>
      <w:r>
        <w:rPr>
          <w:rStyle w:val="17"/>
          <w:rFonts w:hint="eastAsia" w:ascii="黑体" w:hAnsi="黑体" w:eastAsia="黑体"/>
        </w:rPr>
        <w:t>附表</w:t>
      </w:r>
      <w:bookmarkEnd w:id="58"/>
      <w:bookmarkEnd w:id="63"/>
      <w:bookmarkEnd w:id="64"/>
    </w:p>
    <w:p>
      <w:pPr>
        <w:pStyle w:val="3"/>
        <w:rPr>
          <w:rFonts w:ascii="仿宋" w:hAnsi="仿宋" w:eastAsia="仿宋"/>
          <w:b w:val="0"/>
          <w:color w:val="000000"/>
        </w:rPr>
      </w:pPr>
      <w:bookmarkStart w:id="65" w:name="_Toc15396619"/>
      <w:bookmarkStart w:id="66" w:name="_Toc15699"/>
      <w:r>
        <w:rPr>
          <w:rFonts w:hint="eastAsia" w:ascii="仿宋" w:hAnsi="仿宋" w:eastAsia="仿宋"/>
          <w:b w:val="0"/>
          <w:color w:val="000000"/>
        </w:rPr>
        <w:t>一、收入支出决算总表</w:t>
      </w:r>
      <w:bookmarkEnd w:id="65"/>
      <w:bookmarkEnd w:id="66"/>
    </w:p>
    <w:p>
      <w:pPr>
        <w:pStyle w:val="3"/>
        <w:rPr>
          <w:rFonts w:ascii="仿宋" w:hAnsi="仿宋" w:eastAsia="仿宋"/>
          <w:b w:val="0"/>
          <w:color w:val="000000"/>
        </w:rPr>
      </w:pPr>
      <w:bookmarkStart w:id="67" w:name="_Toc15396620"/>
      <w:bookmarkStart w:id="68" w:name="_Toc27106"/>
      <w:r>
        <w:rPr>
          <w:rFonts w:hint="eastAsia" w:ascii="仿宋" w:hAnsi="仿宋" w:eastAsia="仿宋"/>
          <w:b w:val="0"/>
          <w:color w:val="000000"/>
        </w:rPr>
        <w:t>二、收入决算表</w:t>
      </w:r>
      <w:bookmarkEnd w:id="67"/>
      <w:bookmarkEnd w:id="68"/>
    </w:p>
    <w:p>
      <w:pPr>
        <w:pStyle w:val="3"/>
        <w:rPr>
          <w:rFonts w:ascii="仿宋" w:hAnsi="仿宋" w:eastAsia="仿宋"/>
          <w:b w:val="0"/>
          <w:color w:val="000000"/>
        </w:rPr>
      </w:pPr>
      <w:bookmarkStart w:id="69" w:name="_Toc15396621"/>
      <w:bookmarkStart w:id="70" w:name="_Toc26817"/>
      <w:r>
        <w:rPr>
          <w:rFonts w:hint="eastAsia" w:ascii="仿宋" w:hAnsi="仿宋" w:eastAsia="仿宋"/>
          <w:b w:val="0"/>
          <w:color w:val="000000"/>
        </w:rPr>
        <w:t>三、支出决算表</w:t>
      </w:r>
      <w:bookmarkEnd w:id="69"/>
      <w:bookmarkEnd w:id="70"/>
    </w:p>
    <w:p>
      <w:pPr>
        <w:pStyle w:val="3"/>
        <w:rPr>
          <w:rFonts w:ascii="仿宋" w:hAnsi="仿宋" w:eastAsia="仿宋"/>
          <w:b w:val="0"/>
          <w:color w:val="000000"/>
        </w:rPr>
      </w:pPr>
      <w:bookmarkStart w:id="71" w:name="_Toc15396622"/>
      <w:bookmarkStart w:id="72" w:name="_Toc21747"/>
      <w:r>
        <w:rPr>
          <w:rFonts w:hint="eastAsia" w:ascii="仿宋" w:hAnsi="仿宋" w:eastAsia="仿宋"/>
          <w:b w:val="0"/>
          <w:color w:val="000000"/>
        </w:rPr>
        <w:t>四、财政拨款收入支出决算总表</w:t>
      </w:r>
      <w:bookmarkEnd w:id="71"/>
      <w:bookmarkEnd w:id="72"/>
    </w:p>
    <w:p>
      <w:pPr>
        <w:pStyle w:val="3"/>
        <w:rPr>
          <w:rFonts w:ascii="仿宋" w:hAnsi="仿宋" w:eastAsia="仿宋"/>
          <w:b w:val="0"/>
          <w:color w:val="000000"/>
        </w:rPr>
      </w:pPr>
      <w:bookmarkStart w:id="73" w:name="_Toc15396623"/>
      <w:bookmarkStart w:id="74" w:name="_Toc12959"/>
      <w:r>
        <w:rPr>
          <w:rFonts w:hint="eastAsia" w:ascii="仿宋" w:hAnsi="仿宋" w:eastAsia="仿宋"/>
          <w:b w:val="0"/>
          <w:color w:val="000000"/>
        </w:rPr>
        <w:t>五、财政拨款支出决算明细表</w:t>
      </w:r>
      <w:bookmarkEnd w:id="73"/>
      <w:bookmarkEnd w:id="74"/>
      <w:bookmarkStart w:id="75" w:name="_Toc15396624"/>
    </w:p>
    <w:p>
      <w:pPr>
        <w:pStyle w:val="3"/>
        <w:rPr>
          <w:rFonts w:ascii="仿宋" w:hAnsi="仿宋" w:eastAsia="仿宋"/>
          <w:b w:val="0"/>
          <w:color w:val="000000"/>
        </w:rPr>
      </w:pPr>
      <w:bookmarkStart w:id="76" w:name="_Toc23749"/>
      <w:r>
        <w:rPr>
          <w:rFonts w:hint="eastAsia" w:ascii="仿宋" w:hAnsi="仿宋" w:eastAsia="仿宋"/>
          <w:b w:val="0"/>
          <w:color w:val="000000"/>
        </w:rPr>
        <w:t>六、一般公共预算财政拨款支出决算表</w:t>
      </w:r>
      <w:bookmarkEnd w:id="75"/>
      <w:bookmarkEnd w:id="76"/>
    </w:p>
    <w:p>
      <w:pPr>
        <w:pStyle w:val="3"/>
        <w:rPr>
          <w:rFonts w:ascii="仿宋" w:hAnsi="仿宋" w:eastAsia="仿宋"/>
          <w:b w:val="0"/>
          <w:color w:val="000000"/>
        </w:rPr>
      </w:pPr>
      <w:bookmarkStart w:id="77" w:name="_Toc15396625"/>
      <w:bookmarkStart w:id="78" w:name="_Toc22275"/>
      <w:r>
        <w:rPr>
          <w:rFonts w:hint="eastAsia" w:ascii="仿宋" w:hAnsi="仿宋" w:eastAsia="仿宋"/>
          <w:b w:val="0"/>
          <w:color w:val="000000"/>
        </w:rPr>
        <w:t>七、一般公共预算财政拨款支出决算明细表</w:t>
      </w:r>
      <w:bookmarkEnd w:id="77"/>
      <w:bookmarkEnd w:id="78"/>
    </w:p>
    <w:p>
      <w:pPr>
        <w:pStyle w:val="3"/>
        <w:rPr>
          <w:rFonts w:ascii="仿宋" w:hAnsi="仿宋" w:eastAsia="仿宋"/>
          <w:b w:val="0"/>
          <w:color w:val="000000"/>
        </w:rPr>
      </w:pPr>
      <w:bookmarkStart w:id="79" w:name="_Toc15396626"/>
      <w:bookmarkStart w:id="80" w:name="_Toc30634"/>
      <w:r>
        <w:rPr>
          <w:rFonts w:hint="eastAsia" w:ascii="仿宋" w:hAnsi="仿宋" w:eastAsia="仿宋"/>
          <w:b w:val="0"/>
          <w:color w:val="000000"/>
        </w:rPr>
        <w:t>八、一般公共预算财政拨款基本支出决算表</w:t>
      </w:r>
      <w:bookmarkEnd w:id="79"/>
      <w:bookmarkEnd w:id="80"/>
    </w:p>
    <w:p>
      <w:pPr>
        <w:pStyle w:val="3"/>
        <w:rPr>
          <w:rFonts w:ascii="仿宋" w:hAnsi="仿宋" w:eastAsia="仿宋"/>
          <w:b w:val="0"/>
          <w:color w:val="000000"/>
        </w:rPr>
      </w:pPr>
      <w:bookmarkStart w:id="81" w:name="_Toc15396627"/>
      <w:bookmarkStart w:id="82" w:name="_Toc15170"/>
      <w:r>
        <w:rPr>
          <w:rFonts w:hint="eastAsia" w:ascii="仿宋" w:hAnsi="仿宋" w:eastAsia="仿宋"/>
          <w:b w:val="0"/>
          <w:color w:val="000000"/>
        </w:rPr>
        <w:t>九、一般公共预算财政拨款项目支出决算表</w:t>
      </w:r>
      <w:bookmarkEnd w:id="81"/>
      <w:bookmarkEnd w:id="82"/>
    </w:p>
    <w:p>
      <w:pPr>
        <w:pStyle w:val="3"/>
        <w:rPr>
          <w:rFonts w:ascii="仿宋" w:hAnsi="仿宋" w:eastAsia="仿宋"/>
          <w:b w:val="0"/>
          <w:color w:val="000000"/>
        </w:rPr>
      </w:pPr>
      <w:bookmarkStart w:id="83" w:name="_Toc15396628"/>
      <w:bookmarkStart w:id="84" w:name="_Toc17603"/>
      <w:r>
        <w:rPr>
          <w:rFonts w:hint="eastAsia" w:ascii="仿宋" w:hAnsi="仿宋" w:eastAsia="仿宋"/>
          <w:b w:val="0"/>
          <w:color w:val="000000"/>
        </w:rPr>
        <w:t>十、一般公共预算财政拨款“三公”经费支出决算表</w:t>
      </w:r>
      <w:bookmarkEnd w:id="83"/>
      <w:bookmarkEnd w:id="84"/>
    </w:p>
    <w:p>
      <w:pPr>
        <w:pStyle w:val="3"/>
        <w:rPr>
          <w:rFonts w:ascii="仿宋" w:hAnsi="仿宋" w:eastAsia="仿宋"/>
          <w:b w:val="0"/>
          <w:color w:val="000000"/>
        </w:rPr>
      </w:pPr>
      <w:bookmarkStart w:id="85" w:name="_Toc15396629"/>
      <w:bookmarkStart w:id="86" w:name="_Toc7313"/>
      <w:r>
        <w:rPr>
          <w:rFonts w:hint="eastAsia" w:ascii="仿宋" w:hAnsi="仿宋" w:eastAsia="仿宋"/>
          <w:b w:val="0"/>
          <w:color w:val="000000"/>
        </w:rPr>
        <w:t>十一、政府性基金预算财政拨款收入支出决算表</w:t>
      </w:r>
      <w:bookmarkEnd w:id="85"/>
      <w:bookmarkEnd w:id="86"/>
    </w:p>
    <w:p>
      <w:pPr>
        <w:pStyle w:val="3"/>
        <w:rPr>
          <w:rFonts w:ascii="仿宋" w:hAnsi="仿宋" w:eastAsia="仿宋"/>
          <w:b w:val="0"/>
          <w:color w:val="000000"/>
        </w:rPr>
      </w:pPr>
      <w:bookmarkStart w:id="87" w:name="_Toc15396630"/>
      <w:bookmarkStart w:id="88" w:name="_Toc9382"/>
      <w:r>
        <w:rPr>
          <w:rFonts w:hint="eastAsia" w:ascii="仿宋" w:hAnsi="仿宋" w:eastAsia="仿宋"/>
          <w:b w:val="0"/>
          <w:color w:val="000000"/>
        </w:rPr>
        <w:t>十二、政府性基金预算财政拨款“三公”经费支出决算表</w:t>
      </w:r>
      <w:bookmarkEnd w:id="87"/>
      <w:bookmarkEnd w:id="88"/>
    </w:p>
    <w:p>
      <w:pPr>
        <w:pStyle w:val="3"/>
        <w:rPr>
          <w:rFonts w:ascii="仿宋" w:hAnsi="仿宋" w:eastAsia="仿宋"/>
          <w:b w:val="0"/>
          <w:color w:val="000000"/>
        </w:rPr>
      </w:pPr>
      <w:bookmarkStart w:id="89" w:name="_Toc22683"/>
      <w:r>
        <w:rPr>
          <w:rFonts w:hint="eastAsia" w:ascii="仿宋" w:hAnsi="仿宋" w:eastAsia="仿宋"/>
          <w:b w:val="0"/>
          <w:color w:val="000000"/>
        </w:rPr>
        <w:t>十三、国有资本经营预算财政拨款收入支出决算表</w:t>
      </w:r>
      <w:bookmarkEnd w:id="89"/>
    </w:p>
    <w:p>
      <w:pPr>
        <w:pStyle w:val="3"/>
        <w:rPr>
          <w:rFonts w:ascii="仿宋" w:hAnsi="仿宋" w:eastAsia="仿宋"/>
          <w:b w:val="0"/>
          <w:color w:val="000000"/>
        </w:rPr>
      </w:pPr>
      <w:bookmarkStart w:id="90" w:name="_Toc10257"/>
      <w:r>
        <w:rPr>
          <w:rFonts w:hint="eastAsia" w:ascii="仿宋" w:hAnsi="仿宋" w:eastAsia="仿宋"/>
          <w:b w:val="0"/>
          <w:color w:val="000000"/>
        </w:rPr>
        <w:t>十四、国有资本经营预算财政拨款支出决算表</w:t>
      </w:r>
      <w:bookmarkEnd w:id="90"/>
    </w:p>
    <w:p>
      <w:pPr>
        <w:spacing w:line="360" w:lineRule="auto"/>
        <w:ind w:firstLine="643" w:firstLineChars="200"/>
        <w:jc w:val="center"/>
        <w:rPr>
          <w:rFonts w:ascii="仿宋" w:hAnsi="仿宋" w:eastAsia="仿宋"/>
          <w:b/>
          <w:color w:val="000000"/>
        </w:rPr>
      </w:pP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4097" o:spid="_x0000_s4097"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joinstyle="miter"/>
          <v:imagedata o:title=""/>
          <o:lock v:ext="edit"/>
          <v:textbox inset="0mm,0mm,0mm,0mm" style="mso-fit-shape-to-text:t;">
            <w:txbxContent>
              <w:p>
                <w:pPr>
                  <w:pStyle w:val="6"/>
                </w:pPr>
                <w:r>
                  <w:fldChar w:fldCharType="begin"/>
                </w:r>
                <w:r>
                  <w:instrText xml:space="preserve"> PAGE  \* MERGEFORMAT </w:instrText>
                </w:r>
                <w:r>
                  <w:fldChar w:fldCharType="separate"/>
                </w:r>
                <w:r>
                  <w:t>24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62621CDC"/>
    <w:multiLevelType w:val="multilevel"/>
    <w:tmpl w:val="62621CDC"/>
    <w:lvl w:ilvl="0" w:tentative="0">
      <w:start w:val="1"/>
      <w:numFmt w:val="decimal"/>
      <w:lvlText w:val="%1."/>
      <w:lvlJc w:val="left"/>
      <w:pPr>
        <w:ind w:left="1152" w:hanging="480"/>
      </w:pPr>
      <w:rPr>
        <w:rFonts w:hint="default" w:cs="Times New Roman"/>
      </w:rPr>
    </w:lvl>
    <w:lvl w:ilvl="1" w:tentative="0">
      <w:start w:val="1"/>
      <w:numFmt w:val="lowerLetter"/>
      <w:lvlText w:val="%2)"/>
      <w:lvlJc w:val="left"/>
      <w:pPr>
        <w:ind w:left="1512" w:hanging="420"/>
      </w:pPr>
      <w:rPr>
        <w:rFonts w:cs="Times New Roman"/>
      </w:rPr>
    </w:lvl>
    <w:lvl w:ilvl="2" w:tentative="0">
      <w:start w:val="1"/>
      <w:numFmt w:val="lowerRoman"/>
      <w:lvlText w:val="%3."/>
      <w:lvlJc w:val="right"/>
      <w:pPr>
        <w:ind w:left="1932" w:hanging="420"/>
      </w:pPr>
      <w:rPr>
        <w:rFonts w:cs="Times New Roman"/>
      </w:rPr>
    </w:lvl>
    <w:lvl w:ilvl="3" w:tentative="0">
      <w:start w:val="1"/>
      <w:numFmt w:val="decimal"/>
      <w:lvlText w:val="%4."/>
      <w:lvlJc w:val="left"/>
      <w:pPr>
        <w:ind w:left="2352" w:hanging="420"/>
      </w:pPr>
      <w:rPr>
        <w:rFonts w:cs="Times New Roman"/>
      </w:rPr>
    </w:lvl>
    <w:lvl w:ilvl="4" w:tentative="0">
      <w:start w:val="1"/>
      <w:numFmt w:val="lowerLetter"/>
      <w:lvlText w:val="%5)"/>
      <w:lvlJc w:val="left"/>
      <w:pPr>
        <w:ind w:left="2772" w:hanging="420"/>
      </w:pPr>
      <w:rPr>
        <w:rFonts w:cs="Times New Roman"/>
      </w:rPr>
    </w:lvl>
    <w:lvl w:ilvl="5" w:tentative="0">
      <w:start w:val="1"/>
      <w:numFmt w:val="lowerRoman"/>
      <w:lvlText w:val="%6."/>
      <w:lvlJc w:val="right"/>
      <w:pPr>
        <w:ind w:left="3192" w:hanging="420"/>
      </w:pPr>
      <w:rPr>
        <w:rFonts w:cs="Times New Roman"/>
      </w:rPr>
    </w:lvl>
    <w:lvl w:ilvl="6" w:tentative="0">
      <w:start w:val="1"/>
      <w:numFmt w:val="decimal"/>
      <w:lvlText w:val="%7."/>
      <w:lvlJc w:val="left"/>
      <w:pPr>
        <w:ind w:left="3612" w:hanging="420"/>
      </w:pPr>
      <w:rPr>
        <w:rFonts w:cs="Times New Roman"/>
      </w:rPr>
    </w:lvl>
    <w:lvl w:ilvl="7" w:tentative="0">
      <w:start w:val="1"/>
      <w:numFmt w:val="lowerLetter"/>
      <w:lvlText w:val="%8)"/>
      <w:lvlJc w:val="left"/>
      <w:pPr>
        <w:ind w:left="4032" w:hanging="420"/>
      </w:pPr>
      <w:rPr>
        <w:rFonts w:cs="Times New Roman"/>
      </w:rPr>
    </w:lvl>
    <w:lvl w:ilvl="8" w:tentative="0">
      <w:start w:val="1"/>
      <w:numFmt w:val="lowerRoman"/>
      <w:lvlText w:val="%9."/>
      <w:lvlJc w:val="right"/>
      <w:pPr>
        <w:ind w:left="4452"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EyZjhjMDljN2ZmZDI4MDM1OTczNmZkYWIwMTM0OGUifQ=="/>
  </w:docVars>
  <w:rsids>
    <w:rsidRoot w:val="6504078C"/>
    <w:rsid w:val="0002476D"/>
    <w:rsid w:val="00031301"/>
    <w:rsid w:val="00050107"/>
    <w:rsid w:val="00050448"/>
    <w:rsid w:val="00062A92"/>
    <w:rsid w:val="0007610C"/>
    <w:rsid w:val="00077386"/>
    <w:rsid w:val="000811B9"/>
    <w:rsid w:val="000A0795"/>
    <w:rsid w:val="001134E8"/>
    <w:rsid w:val="0011614E"/>
    <w:rsid w:val="00141F45"/>
    <w:rsid w:val="00157BED"/>
    <w:rsid w:val="001807BB"/>
    <w:rsid w:val="001B4610"/>
    <w:rsid w:val="001D3312"/>
    <w:rsid w:val="001E22DB"/>
    <w:rsid w:val="001F05EE"/>
    <w:rsid w:val="001F7DE6"/>
    <w:rsid w:val="00203922"/>
    <w:rsid w:val="0026532E"/>
    <w:rsid w:val="003273C3"/>
    <w:rsid w:val="00337225"/>
    <w:rsid w:val="00340D04"/>
    <w:rsid w:val="003A0545"/>
    <w:rsid w:val="003E5E95"/>
    <w:rsid w:val="00412F10"/>
    <w:rsid w:val="0042059C"/>
    <w:rsid w:val="00434290"/>
    <w:rsid w:val="00490D11"/>
    <w:rsid w:val="004C6AD0"/>
    <w:rsid w:val="005300F6"/>
    <w:rsid w:val="00545691"/>
    <w:rsid w:val="00561776"/>
    <w:rsid w:val="00570C8A"/>
    <w:rsid w:val="00573B22"/>
    <w:rsid w:val="005B4D21"/>
    <w:rsid w:val="005C742B"/>
    <w:rsid w:val="006429DF"/>
    <w:rsid w:val="006529C7"/>
    <w:rsid w:val="00677F76"/>
    <w:rsid w:val="00701B5B"/>
    <w:rsid w:val="007347D9"/>
    <w:rsid w:val="00735156"/>
    <w:rsid w:val="00766DBB"/>
    <w:rsid w:val="00767F06"/>
    <w:rsid w:val="007839A6"/>
    <w:rsid w:val="00802068"/>
    <w:rsid w:val="00813B25"/>
    <w:rsid w:val="008460C1"/>
    <w:rsid w:val="00851E05"/>
    <w:rsid w:val="00870E0A"/>
    <w:rsid w:val="008B3EFE"/>
    <w:rsid w:val="008B7AD7"/>
    <w:rsid w:val="009223B3"/>
    <w:rsid w:val="00930370"/>
    <w:rsid w:val="009A3A20"/>
    <w:rsid w:val="009C4B50"/>
    <w:rsid w:val="009C7DD4"/>
    <w:rsid w:val="009E0C1C"/>
    <w:rsid w:val="00AB68CA"/>
    <w:rsid w:val="00B0256D"/>
    <w:rsid w:val="00B064FB"/>
    <w:rsid w:val="00B14C7C"/>
    <w:rsid w:val="00B4791B"/>
    <w:rsid w:val="00B54308"/>
    <w:rsid w:val="00B62CB0"/>
    <w:rsid w:val="00B7437B"/>
    <w:rsid w:val="00BA7C54"/>
    <w:rsid w:val="00BD0805"/>
    <w:rsid w:val="00C41DFC"/>
    <w:rsid w:val="00D06280"/>
    <w:rsid w:val="00D259F2"/>
    <w:rsid w:val="00D57809"/>
    <w:rsid w:val="00D655AE"/>
    <w:rsid w:val="00DA1F34"/>
    <w:rsid w:val="00DB110F"/>
    <w:rsid w:val="00DB4034"/>
    <w:rsid w:val="00E11C9E"/>
    <w:rsid w:val="00E36AF3"/>
    <w:rsid w:val="00E37198"/>
    <w:rsid w:val="00E37B5C"/>
    <w:rsid w:val="00E57DF5"/>
    <w:rsid w:val="00E95CF2"/>
    <w:rsid w:val="00E9724C"/>
    <w:rsid w:val="00EF3100"/>
    <w:rsid w:val="00F078EB"/>
    <w:rsid w:val="00F42B23"/>
    <w:rsid w:val="00F72BFC"/>
    <w:rsid w:val="00F72ED1"/>
    <w:rsid w:val="00F959A0"/>
    <w:rsid w:val="00F96506"/>
    <w:rsid w:val="00FA1622"/>
    <w:rsid w:val="00FD1726"/>
    <w:rsid w:val="00FD5A98"/>
    <w:rsid w:val="00FD6FAC"/>
    <w:rsid w:val="06D96529"/>
    <w:rsid w:val="1A4856F6"/>
    <w:rsid w:val="2AC65C17"/>
    <w:rsid w:val="2CB64ED8"/>
    <w:rsid w:val="3E4169FF"/>
    <w:rsid w:val="4CC269B5"/>
    <w:rsid w:val="4E3A4862"/>
    <w:rsid w:val="5BC55C23"/>
    <w:rsid w:val="5D3E75DF"/>
    <w:rsid w:val="620948EC"/>
    <w:rsid w:val="6504078C"/>
    <w:rsid w:val="67886969"/>
    <w:rsid w:val="695535AB"/>
    <w:rsid w:val="6E01303C"/>
    <w:rsid w:val="726E3979"/>
    <w:rsid w:val="7E166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Balloon Text"/>
    <w:basedOn w:val="1"/>
    <w:link w:val="15"/>
    <w:qFormat/>
    <w:uiPriority w:val="0"/>
    <w:rPr>
      <w:sz w:val="18"/>
      <w:szCs w:val="18"/>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paragraph" w:styleId="10">
    <w:name w:val="Normal (Web)"/>
    <w:basedOn w:val="1"/>
    <w:qFormat/>
    <w:uiPriority w:val="0"/>
    <w:pPr>
      <w:spacing w:before="100" w:beforeAutospacing="1" w:after="100" w:afterAutospacing="1"/>
      <w:jc w:val="left"/>
    </w:pPr>
    <w:rPr>
      <w:rFonts w:eastAsia="宋体"/>
      <w:sz w:val="24"/>
    </w:rPr>
  </w:style>
  <w:style w:type="character" w:styleId="13">
    <w:name w:val="Strong"/>
    <w:basedOn w:val="12"/>
    <w:qFormat/>
    <w:uiPriority w:val="99"/>
    <w:rPr>
      <w:rFonts w:cs="Times New Roman"/>
      <w:b/>
    </w:rPr>
  </w:style>
  <w:style w:type="character" w:styleId="14">
    <w:name w:val="Hyperlink"/>
    <w:unhideWhenUsed/>
    <w:qFormat/>
    <w:uiPriority w:val="99"/>
    <w:rPr>
      <w:color w:val="0000FF"/>
      <w:u w:val="single"/>
    </w:rPr>
  </w:style>
  <w:style w:type="character" w:customStyle="1" w:styleId="15">
    <w:name w:val="批注框文本 Char"/>
    <w:basedOn w:val="12"/>
    <w:link w:val="5"/>
    <w:qFormat/>
    <w:uiPriority w:val="0"/>
    <w:rPr>
      <w:rFonts w:ascii="Times New Roman" w:hAnsi="Times New Roman" w:eastAsia="仿宋_GB2312" w:cs="Times New Roman"/>
      <w:kern w:val="2"/>
      <w:sz w:val="18"/>
      <w:szCs w:val="18"/>
    </w:rPr>
  </w:style>
  <w:style w:type="character" w:customStyle="1" w:styleId="16">
    <w:name w:val="标题 2 Char"/>
    <w:basedOn w:val="12"/>
    <w:link w:val="3"/>
    <w:qFormat/>
    <w:locked/>
    <w:uiPriority w:val="9"/>
    <w:rPr>
      <w:rFonts w:ascii="Cambria" w:hAnsi="Cambria"/>
      <w:b/>
      <w:bCs/>
      <w:sz w:val="32"/>
      <w:szCs w:val="32"/>
    </w:rPr>
  </w:style>
  <w:style w:type="character" w:customStyle="1" w:styleId="17">
    <w:name w:val="标题 1 Char"/>
    <w:basedOn w:val="12"/>
    <w:link w:val="2"/>
    <w:qFormat/>
    <w:locked/>
    <w:uiPriority w:val="9"/>
    <w:rPr>
      <w:b/>
      <w:bCs/>
      <w:kern w:val="44"/>
      <w:sz w:val="44"/>
      <w:szCs w:val="44"/>
    </w:rPr>
  </w:style>
  <w:style w:type="paragraph" w:customStyle="1" w:styleId="18">
    <w:name w:val="列出段落1"/>
    <w:basedOn w:val="1"/>
    <w:qFormat/>
    <w:uiPriority w:val="34"/>
    <w:pPr>
      <w:ind w:firstLine="420" w:firstLineChars="200"/>
    </w:pPr>
  </w:style>
  <w:style w:type="paragraph" w:customStyle="1" w:styleId="1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spc="0" baseline="0">
                <a:solidFill>
                  <a:srgbClr val="595959">
                    <a:lumMod val="65000"/>
                    <a:lumOff val="35000"/>
                  </a:srgbClr>
                </a:solidFill>
                <a:latin typeface="+mn-lt"/>
                <a:ea typeface="+mn-ea"/>
                <a:cs typeface="+mn-cs"/>
              </a:defRPr>
            </a:pPr>
            <a:r>
              <a:rPr sz="1600" b="1"/>
              <a:t>财政拨款收入支出统计图</a:t>
            </a:r>
            <a:endParaRPr sz="1600" b="1"/>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2019年</c:v>
                </c:pt>
              </c:strCache>
            </c:strRef>
          </c:tx>
          <c:spPr>
            <a:solidFill>
              <a:srgbClr val="5B9BD5"/>
            </a:solidFill>
            <a:ln>
              <a:noFill/>
            </a:ln>
            <a:effectLst/>
          </c:spPr>
          <c:invertIfNegative val="0"/>
          <c:dLbls>
            <c:delete val="1"/>
          </c:dLbls>
          <c:cat>
            <c:strRef>
              <c:f>Sheet1!$A$2:$A$3</c:f>
              <c:strCache>
                <c:ptCount val="2"/>
                <c:pt idx="0">
                  <c:v>财政拨款收入</c:v>
                </c:pt>
                <c:pt idx="1">
                  <c:v>财政拨款支出</c:v>
                </c:pt>
              </c:strCache>
            </c:strRef>
          </c:cat>
          <c:val>
            <c:numRef>
              <c:f>Sheet1!$B$2:$B$3</c:f>
              <c:numCache>
                <c:formatCode>General</c:formatCode>
                <c:ptCount val="2"/>
                <c:pt idx="0">
                  <c:v>2048.86</c:v>
                </c:pt>
                <c:pt idx="1">
                  <c:v>2048.86</c:v>
                </c:pt>
              </c:numCache>
            </c:numRef>
          </c:val>
        </c:ser>
        <c:ser>
          <c:idx val="1"/>
          <c:order val="1"/>
          <c:tx>
            <c:strRef>
              <c:f>Sheet1!$C$1</c:f>
              <c:strCache>
                <c:ptCount val="1"/>
                <c:pt idx="0">
                  <c:v>2020年</c:v>
                </c:pt>
              </c:strCache>
            </c:strRef>
          </c:tx>
          <c:spPr>
            <a:solidFill>
              <a:srgbClr val="ED7D31"/>
            </a:solidFill>
            <a:ln>
              <a:noFill/>
            </a:ln>
            <a:effectLst/>
          </c:spPr>
          <c:invertIfNegative val="0"/>
          <c:dLbls>
            <c:delete val="1"/>
          </c:dLbls>
          <c:cat>
            <c:strRef>
              <c:f>Sheet1!$A$2:$A$3</c:f>
              <c:strCache>
                <c:ptCount val="2"/>
                <c:pt idx="0">
                  <c:v>财政拨款收入</c:v>
                </c:pt>
                <c:pt idx="1">
                  <c:v>财政拨款支出</c:v>
                </c:pt>
              </c:strCache>
            </c:strRef>
          </c:cat>
          <c:val>
            <c:numRef>
              <c:f>Sheet1!$C$2:$C$3</c:f>
              <c:numCache>
                <c:formatCode>General</c:formatCode>
                <c:ptCount val="2"/>
                <c:pt idx="0">
                  <c:v>1803.22</c:v>
                </c:pt>
                <c:pt idx="1">
                  <c:v>1803.22</c:v>
                </c:pt>
              </c:numCache>
            </c:numRef>
          </c:val>
        </c:ser>
        <c:ser>
          <c:idx val="2"/>
          <c:order val="2"/>
          <c:tx>
            <c:strRef>
              <c:f>Sheet1!#REF!</c:f>
              <c:strCache>
                <c:ptCount val="1"/>
                <c:pt idx="0">
                  <c:v/>
                </c:pt>
              </c:strCache>
            </c:strRef>
          </c:tx>
          <c:spPr>
            <a:solidFill>
              <a:srgbClr val="A5A5A5"/>
            </a:solidFill>
            <a:ln>
              <a:noFill/>
            </a:ln>
            <a:effectLst/>
          </c:spPr>
          <c:invertIfNegative val="0"/>
          <c:dLbls>
            <c:delete val="1"/>
          </c:dLbls>
          <c:cat>
            <c:strRef>
              <c:f>Sheet1!$A$2:$A$3</c:f>
              <c:strCache>
                <c:ptCount val="2"/>
                <c:pt idx="0">
                  <c:v>财政拨款收入</c:v>
                </c:pt>
                <c:pt idx="1">
                  <c:v>财政拨款支出</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77754752"/>
        <c:axId val="77757440"/>
      </c:barChart>
      <c:catAx>
        <c:axId val="77754752"/>
        <c:scaling>
          <c:orientation val="minMax"/>
        </c:scaling>
        <c:delete val="0"/>
        <c:axPos val="b"/>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7757440"/>
        <c:crosses val="autoZero"/>
        <c:auto val="1"/>
        <c:lblAlgn val="ctr"/>
        <c:lblOffset val="100"/>
        <c:noMultiLvlLbl val="0"/>
      </c:catAx>
      <c:valAx>
        <c:axId val="77757440"/>
        <c:scaling>
          <c:orientation val="minMax"/>
          <c:max val="2000"/>
        </c:scaling>
        <c:delete val="0"/>
        <c:axPos val="l"/>
        <c:majorGridlines>
          <c:spPr>
            <a:ln w="9525" cap="flat" cmpd="sng" algn="ctr">
              <a:solidFill>
                <a:srgbClr val="D9D9D9">
                  <a:lumMod val="15000"/>
                  <a:lumOff val="85000"/>
                </a:srgb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7754752"/>
        <c:crosses val="autoZero"/>
        <c:crossBetween val="between"/>
        <c:majorUnit val="200"/>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2019年</c:v>
                </c:pt>
              </c:strCache>
            </c:strRef>
          </c:tx>
          <c:spPr>
            <a:solidFill>
              <a:srgbClr val="5B9BD5"/>
            </a:solidFill>
            <a:ln>
              <a:noFill/>
            </a:ln>
            <a:effectLst/>
          </c:spPr>
          <c:invertIfNegative val="0"/>
          <c:dLbls>
            <c:delete val="1"/>
          </c:dLbls>
          <c:cat>
            <c:strRef>
              <c:f>Sheet1!$A$2:$A$4</c:f>
              <c:strCache>
                <c:ptCount val="3"/>
                <c:pt idx="0">
                  <c:v>一般公共预算财政拨款支出</c:v>
                </c:pt>
              </c:strCache>
            </c:strRef>
          </c:cat>
          <c:val>
            <c:numRef>
              <c:f>Sheet1!$B$2:$B$4</c:f>
              <c:numCache>
                <c:formatCode>General</c:formatCode>
                <c:ptCount val="3"/>
                <c:pt idx="0">
                  <c:v>1576.33</c:v>
                </c:pt>
              </c:numCache>
            </c:numRef>
          </c:val>
        </c:ser>
        <c:ser>
          <c:idx val="1"/>
          <c:order val="1"/>
          <c:tx>
            <c:strRef>
              <c:f>Sheet1!$C$1</c:f>
              <c:strCache>
                <c:ptCount val="1"/>
                <c:pt idx="0">
                  <c:v>2020年</c:v>
                </c:pt>
              </c:strCache>
            </c:strRef>
          </c:tx>
          <c:spPr>
            <a:solidFill>
              <a:srgbClr val="ED7D31"/>
            </a:solidFill>
            <a:ln>
              <a:noFill/>
            </a:ln>
            <a:effectLst/>
          </c:spPr>
          <c:invertIfNegative val="0"/>
          <c:dLbls>
            <c:delete val="1"/>
          </c:dLbls>
          <c:cat>
            <c:strRef>
              <c:f>Sheet1!$A$2:$A$4</c:f>
              <c:strCache>
                <c:ptCount val="3"/>
                <c:pt idx="0">
                  <c:v>一般公共预算财政拨款支出</c:v>
                </c:pt>
              </c:strCache>
            </c:strRef>
          </c:cat>
          <c:val>
            <c:numRef>
              <c:f>Sheet1!$C$2:$C$4</c:f>
              <c:numCache>
                <c:formatCode>General</c:formatCode>
                <c:ptCount val="3"/>
                <c:pt idx="0">
                  <c:v>1787.12</c:v>
                </c:pt>
              </c:numCache>
            </c:numRef>
          </c:val>
        </c:ser>
        <c:dLbls>
          <c:showLegendKey val="0"/>
          <c:showVal val="0"/>
          <c:showCatName val="0"/>
          <c:showSerName val="0"/>
          <c:showPercent val="0"/>
          <c:showBubbleSize val="0"/>
        </c:dLbls>
        <c:gapWidth val="219"/>
        <c:overlap val="-27"/>
        <c:axId val="122396672"/>
        <c:axId val="122398592"/>
      </c:barChart>
      <c:catAx>
        <c:axId val="122396672"/>
        <c:scaling>
          <c:orientation val="minMax"/>
        </c:scaling>
        <c:delete val="0"/>
        <c:axPos val="b"/>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122398592"/>
        <c:crosses val="autoZero"/>
        <c:auto val="1"/>
        <c:lblAlgn val="ctr"/>
        <c:lblOffset val="100"/>
        <c:noMultiLvlLbl val="0"/>
      </c:catAx>
      <c:valAx>
        <c:axId val="122398592"/>
        <c:scaling>
          <c:orientation val="minMax"/>
          <c:min val="0"/>
        </c:scaling>
        <c:delete val="0"/>
        <c:axPos val="l"/>
        <c:majorGridlines>
          <c:spPr>
            <a:ln w="9525" cap="flat" cmpd="sng" algn="ctr">
              <a:solidFill>
                <a:srgbClr val="D9D9D9">
                  <a:lumMod val="15000"/>
                  <a:lumOff val="85000"/>
                </a:srgb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12239667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rgbClr val="595959">
                  <a:lumMod val="65000"/>
                  <a:lumOff val="35000"/>
                </a:srgbClr>
              </a:solidFill>
              <a:latin typeface="+mn-lt"/>
              <a:ea typeface="+mn-ea"/>
              <a:cs typeface="+mn-cs"/>
            </a:defRPr>
          </a:pPr>
        </a:p>
      </c:txPr>
    </c:title>
    <c:autoTitleDeleted val="0"/>
    <c:plotArea>
      <c:layout/>
      <c:pieChart>
        <c:varyColors val="1"/>
        <c:ser>
          <c:idx val="0"/>
          <c:order val="0"/>
          <c:tx>
            <c:strRef>
              <c:f>Sheet1!$B$1</c:f>
              <c:strCache>
                <c:ptCount val="1"/>
                <c:pt idx="0">
                  <c:v>教育支出类</c:v>
                </c:pt>
              </c:strCache>
            </c:strRef>
          </c:tx>
          <c:explosion val="0"/>
          <c:dPt>
            <c:idx val="0"/>
            <c:bubble3D val="0"/>
            <c:spPr>
              <a:solidFill>
                <a:srgbClr val="5B9BD5"/>
              </a:solidFill>
              <a:ln w="19050">
                <a:solidFill>
                  <a:srgbClr val="FFFFFF"/>
                </a:solidFill>
              </a:ln>
              <a:effectLst/>
            </c:spPr>
          </c:dPt>
          <c:dPt>
            <c:idx val="1"/>
            <c:bubble3D val="0"/>
            <c:spPr>
              <a:solidFill>
                <a:srgbClr val="ED7D31"/>
              </a:solidFill>
              <a:ln w="19050">
                <a:solidFill>
                  <a:srgbClr val="FFFFFF"/>
                </a:solidFill>
              </a:ln>
              <a:effectLst/>
            </c:spPr>
          </c:dPt>
          <c:dPt>
            <c:idx val="2"/>
            <c:bubble3D val="0"/>
            <c:spPr>
              <a:solidFill>
                <a:srgbClr val="A5A5A5"/>
              </a:solidFill>
              <a:ln w="19050">
                <a:solidFill>
                  <a:srgbClr val="FFFFFF"/>
                </a:solidFill>
              </a:ln>
              <a:effectLst/>
            </c:spPr>
          </c:dPt>
          <c:dPt>
            <c:idx val="3"/>
            <c:bubble3D val="0"/>
            <c:spPr>
              <a:solidFill>
                <a:srgbClr val="FFC000"/>
              </a:solidFill>
              <a:ln w="19050">
                <a:solidFill>
                  <a:srgbClr val="FFFFFF"/>
                </a:solidFill>
              </a:ln>
              <a:effectLst/>
            </c:spPr>
          </c:dPt>
          <c:dLbls>
            <c:delete val="1"/>
          </c:dLbls>
          <c:cat>
            <c:strRef>
              <c:f>Sheet1!$A$2:$A$5</c:f>
              <c:strCache>
                <c:ptCount val="4"/>
                <c:pt idx="0">
                  <c:v>一般公共预算财政拨款支出决算结构</c:v>
                </c:pt>
              </c:strCache>
            </c:strRef>
          </c:cat>
          <c:val>
            <c:numRef>
              <c:f>Sheet1!$B$2:$B$5</c:f>
              <c:numCache>
                <c:formatCode>General</c:formatCode>
                <c:ptCount val="4"/>
                <c:pt idx="0">
                  <c:v>8.2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213248239436621"/>
          <c:y val="0.85617137028221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zero"/>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2050"/>
    <customShpInfo spid="_x0000_s2055"/>
    <customShpInfo spid="_x0000_s2054"/>
    <customShpInfo spid="_x0000_s2056"/>
    <customShpInfo spid="_x0000_s2053"/>
    <customShpInfo spid="_x0000_s2057"/>
    <customShpInfo spid="_x0000_s2059"/>
    <customShpInfo spid="_x0000_s2058"/>
    <customShpInfo spid="_x0000_s2060"/>
    <customShpInfo spid="_x0000_s206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D6F038-FF31-4A15-AC16-29A63D80A72E}">
  <ds:schemaRefs/>
</ds:datastoreItem>
</file>

<file path=docProps/app.xml><?xml version="1.0" encoding="utf-8"?>
<Properties xmlns="http://schemas.openxmlformats.org/officeDocument/2006/extended-properties" xmlns:vt="http://schemas.openxmlformats.org/officeDocument/2006/docPropsVTypes">
  <Template>Normal.dotm</Template>
  <Pages>24</Pages>
  <Words>8270</Words>
  <Characters>8854</Characters>
  <Lines>67</Lines>
  <Paragraphs>18</Paragraphs>
  <TotalTime>44</TotalTime>
  <ScaleCrop>false</ScaleCrop>
  <LinksUpToDate>false</LinksUpToDate>
  <CharactersWithSpaces>8945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2022-05-16T07:40:00Z</dcterms:created>
  <dc:creator>Administrator</dc:creator>
  <cp:lastModifiedBy>Master'霖</cp:lastModifiedBy>
  <cp:lastPrinted>2022-05-16T06:40:00Z</cp:lastPrinted>
  <dcterms:modified xsi:type="dcterms:W3CDTF">2022-05-30T08:40:03Z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8ECF4D6A19DF4331BDEA68A330203468</vt:lpwstr>
  </property>
</Properties>
</file>