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自贡市德铭中学校</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 录</w:t>
      </w:r>
    </w:p>
    <w:p>
      <w:pPr>
        <w:pStyle w:val="8"/>
        <w:tabs>
          <w:tab w:val="right" w:leader="dot" w:pos="8306"/>
        </w:tabs>
        <w:spacing w:line="560" w:lineRule="exact"/>
        <w:rPr>
          <w:rFonts w:ascii="仿宋_GB2312" w:hAnsi="仿宋_GB2312" w:eastAsia="仿宋_GB2312" w:cs="仿宋_GB2312"/>
          <w:b w:val="0"/>
          <w:bCs w:val="0"/>
          <w:i w:val="0"/>
          <w:iCs w:val="0"/>
          <w:sz w:val="28"/>
          <w:szCs w:val="28"/>
        </w:rPr>
      </w:pPr>
      <w:bookmarkStart w:id="88" w:name="_GoBack"/>
      <w:bookmarkEnd w:id="88"/>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fldChar w:fldCharType="begin"/>
      </w:r>
      <w:r>
        <w:instrText xml:space="preserve"> HYPERLINK \l "_Toc10567" </w:instrText>
      </w:r>
      <w: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"_Toc21498" </w:instrText>
      </w:r>
      <w:r>
        <w:fldChar w:fldCharType="separate"/>
      </w:r>
      <w:r>
        <w:rPr>
          <w:rFonts w:hint="eastAsia" w:ascii="仿宋_GB2312" w:hAnsi="仿宋_GB2312" w:eastAsia="仿宋_GB2312" w:cs="仿宋_GB2312"/>
          <w:b w:val="0"/>
          <w:bCs w:val="0"/>
          <w:sz w:val="28"/>
          <w:szCs w:val="28"/>
        </w:rPr>
        <w:t>一、基本职能及主要工作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_Toc21498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"_Toc6092" </w:instrText>
      </w:r>
      <w:r>
        <w:fldChar w:fldCharType="separate"/>
      </w:r>
      <w:r>
        <w:rPr>
          <w:rFonts w:hint="eastAsia" w:ascii="仿宋_GB2312" w:hAnsi="仿宋_GB2312" w:eastAsia="仿宋_GB2312" w:cs="仿宋_GB2312"/>
          <w:b w:val="0"/>
          <w:bCs w:val="0"/>
          <w:sz w:val="28"/>
          <w:szCs w:val="28"/>
        </w:rPr>
        <w:t>二、机构设置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4</w:t>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"_Toc23109" </w:instrText>
      </w:r>
      <w: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5</w:t>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"_Toc7163" </w:instrText>
      </w:r>
      <w:r>
        <w:fldChar w:fldCharType="separate"/>
      </w:r>
      <w:r>
        <w:rPr>
          <w:rFonts w:hint="eastAsia" w:ascii="仿宋_GB2312" w:hAnsi="仿宋_GB2312" w:eastAsia="仿宋_GB2312" w:cs="仿宋_GB2312"/>
          <w:b w:val="0"/>
          <w:bCs w:val="0"/>
          <w:sz w:val="28"/>
          <w:szCs w:val="28"/>
        </w:rPr>
        <w:t>一、 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5</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"_Toc25258" </w:instrText>
      </w:r>
      <w:r>
        <w:fldChar w:fldCharType="separate"/>
      </w:r>
      <w:r>
        <w:rPr>
          <w:rFonts w:hint="eastAsia" w:ascii="仿宋_GB2312" w:hAnsi="仿宋_GB2312" w:eastAsia="仿宋_GB2312" w:cs="仿宋_GB2312"/>
          <w:b w:val="0"/>
          <w:bCs w:val="0"/>
          <w:sz w:val="28"/>
          <w:szCs w:val="28"/>
        </w:rPr>
        <w:t>二、 收入决算情况说明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5</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"_Toc13725" </w:instrText>
      </w:r>
      <w:r>
        <w:fldChar w:fldCharType="separate"/>
      </w:r>
      <w:r>
        <w:rPr>
          <w:rFonts w:hint="eastAsia" w:ascii="仿宋_GB2312" w:hAnsi="仿宋_GB2312" w:eastAsia="仿宋_GB2312" w:cs="仿宋_GB2312"/>
          <w:b w:val="0"/>
          <w:bCs w:val="0"/>
          <w:sz w:val="28"/>
          <w:szCs w:val="28"/>
        </w:rPr>
        <w:t>三、 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"_Toc10354" </w:instrText>
      </w:r>
      <w:r>
        <w:fldChar w:fldCharType="separate"/>
      </w:r>
      <w:r>
        <w:rPr>
          <w:rFonts w:hint="eastAsia" w:ascii="仿宋_GB2312" w:hAnsi="仿宋_GB2312" w:eastAsia="仿宋_GB2312" w:cs="仿宋_GB2312"/>
          <w:b w:val="0"/>
          <w:bCs w:val="0"/>
          <w:sz w:val="28"/>
          <w:szCs w:val="28"/>
        </w:rPr>
        <w:t>四、财政拨款收入支出决算总体情况说明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6</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"_Toc10967" </w:instrText>
      </w:r>
      <w:r>
        <w:fldChar w:fldCharType="separate"/>
      </w:r>
      <w:r>
        <w:rPr>
          <w:rFonts w:hint="eastAsia" w:ascii="仿宋_GB2312" w:hAnsi="仿宋_GB2312" w:eastAsia="仿宋_GB2312" w:cs="仿宋_GB2312"/>
          <w:b w:val="0"/>
          <w:bCs w:val="0"/>
          <w:sz w:val="28"/>
          <w:szCs w:val="28"/>
        </w:rPr>
        <w:t>五、一般公共预算财政拨款支出决算情况说明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7</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"_Toc31021" </w:instrText>
      </w:r>
      <w:r>
        <w:fldChar w:fldCharType="separate"/>
      </w:r>
      <w:r>
        <w:rPr>
          <w:rFonts w:hint="eastAsia" w:ascii="仿宋_GB2312" w:hAnsi="仿宋_GB2312" w:eastAsia="仿宋_GB2312" w:cs="仿宋_GB2312"/>
          <w:b w:val="0"/>
          <w:bCs w:val="0"/>
          <w:sz w:val="28"/>
          <w:szCs w:val="28"/>
        </w:rPr>
        <w:t>六、一般公共预算财政拨款基本支出决算情况说明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8</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"_Toc6926" </w:instrText>
      </w:r>
      <w:r>
        <w:fldChar w:fldCharType="separate"/>
      </w:r>
      <w:r>
        <w:rPr>
          <w:rFonts w:hint="eastAsia" w:ascii="仿宋_GB2312" w:hAnsi="仿宋_GB2312" w:eastAsia="仿宋_GB2312" w:cs="仿宋_GB2312"/>
          <w:b w:val="0"/>
          <w:bCs w:val="0"/>
          <w:sz w:val="28"/>
          <w:szCs w:val="28"/>
        </w:rPr>
        <w:t>七、“三公”经费财政拨款支出决算情况说明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"_Toc9843" </w:instrText>
      </w:r>
      <w:r>
        <w:fldChar w:fldCharType="separate"/>
      </w:r>
      <w:r>
        <w:rPr>
          <w:rFonts w:hint="eastAsia" w:ascii="仿宋_GB2312" w:hAnsi="仿宋_GB2312" w:eastAsia="仿宋_GB2312" w:cs="仿宋_GB2312"/>
          <w:b w:val="0"/>
          <w:bCs w:val="0"/>
          <w:sz w:val="28"/>
          <w:szCs w:val="28"/>
        </w:rPr>
        <w:t>八、政府性基金预算支出决算情况说明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_Toc9843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"_Toc10775" </w:instrText>
      </w:r>
      <w:r>
        <w:fldChar w:fldCharType="separate"/>
      </w:r>
      <w:r>
        <w:rPr>
          <w:rFonts w:hint="eastAsia" w:ascii="仿宋_GB2312" w:hAnsi="仿宋_GB2312" w:eastAsia="仿宋_GB2312" w:cs="仿宋_GB2312"/>
          <w:b w:val="0"/>
          <w:bCs w:val="0"/>
          <w:sz w:val="28"/>
          <w:szCs w:val="28"/>
        </w:rPr>
        <w:t>九、 国有资本经营预算支出决算情况说明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_Toc10775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"_Toc738" </w:instrText>
      </w:r>
      <w:r>
        <w:fldChar w:fldCharType="separate"/>
      </w:r>
      <w:r>
        <w:rPr>
          <w:rFonts w:hint="eastAsia" w:ascii="仿宋_GB2312" w:hAnsi="仿宋_GB2312" w:eastAsia="仿宋_GB2312" w:cs="仿宋_GB2312"/>
          <w:b w:val="0"/>
          <w:bCs w:val="0"/>
          <w:sz w:val="28"/>
          <w:szCs w:val="28"/>
        </w:rPr>
        <w:t>十、其他重要事项的情况说明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"_Toc3536" </w:instrText>
      </w:r>
      <w: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t>3</w:t>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"_Toc11207" </w:instrText>
      </w:r>
      <w: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_Toc11207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16</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"_Toc22930" </w:instrText>
      </w:r>
      <w:r>
        <w:fldChar w:fldCharType="separate"/>
      </w:r>
      <w:r>
        <w:rPr>
          <w:rFonts w:hint="eastAsia" w:ascii="仿宋_GB2312" w:hAnsi="仿宋_GB2312" w:eastAsia="仿宋_GB2312" w:cs="仿宋_GB2312"/>
          <w:b w:val="0"/>
          <w:bCs w:val="0"/>
          <w:sz w:val="28"/>
          <w:szCs w:val="28"/>
        </w:rPr>
        <w:t>附件1</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_Toc22930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16</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"_Toc11602" </w:instrText>
      </w:r>
      <w:r>
        <w:fldChar w:fldCharType="separate"/>
      </w:r>
      <w:r>
        <w:rPr>
          <w:rFonts w:hint="eastAsia" w:ascii="仿宋_GB2312" w:hAnsi="仿宋_GB2312" w:eastAsia="仿宋_GB2312" w:cs="仿宋_GB2312"/>
          <w:b w:val="0"/>
          <w:bCs w:val="0"/>
          <w:sz w:val="28"/>
          <w:szCs w:val="28"/>
        </w:rPr>
        <w:t>附件2</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_Toc11602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18</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"_Toc32283" </w:instrText>
      </w:r>
      <w: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t>22</w:t>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"_Toc15699" </w:instrText>
      </w:r>
      <w:r>
        <w:fldChar w:fldCharType="separate"/>
      </w:r>
      <w:r>
        <w:rPr>
          <w:rFonts w:hint="eastAsia" w:ascii="仿宋_GB2312" w:hAnsi="仿宋_GB2312" w:eastAsia="仿宋_GB2312" w:cs="仿宋_GB2312"/>
          <w:b w:val="0"/>
          <w:bCs w:val="0"/>
          <w:sz w:val="28"/>
          <w:szCs w:val="28"/>
        </w:rPr>
        <w:t>一、收入支出决算总表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22</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"_Toc27106" </w:instrText>
      </w:r>
      <w:r>
        <w:fldChar w:fldCharType="separate"/>
      </w:r>
      <w:r>
        <w:rPr>
          <w:rFonts w:hint="eastAsia" w:ascii="仿宋_GB2312" w:hAnsi="仿宋_GB2312" w:eastAsia="仿宋_GB2312" w:cs="仿宋_GB2312"/>
          <w:b w:val="0"/>
          <w:bCs w:val="0"/>
          <w:sz w:val="28"/>
          <w:szCs w:val="28"/>
        </w:rPr>
        <w:t>二、收入决算表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2</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"_Toc26817" </w:instrText>
      </w:r>
      <w:r>
        <w:fldChar w:fldCharType="separate"/>
      </w:r>
      <w:r>
        <w:rPr>
          <w:rFonts w:hint="eastAsia" w:ascii="仿宋_GB2312" w:hAnsi="仿宋_GB2312" w:eastAsia="仿宋_GB2312" w:cs="仿宋_GB2312"/>
          <w:b w:val="0"/>
          <w:bCs w:val="0"/>
          <w:sz w:val="28"/>
          <w:szCs w:val="28"/>
        </w:rPr>
        <w:t>三、支出决算表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2</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"_Toc21747" </w:instrText>
      </w:r>
      <w:r>
        <w:fldChar w:fldCharType="separate"/>
      </w:r>
      <w:r>
        <w:rPr>
          <w:rFonts w:hint="eastAsia" w:ascii="仿宋_GB2312" w:hAnsi="仿宋_GB2312" w:eastAsia="仿宋_GB2312" w:cs="仿宋_GB2312"/>
          <w:b w:val="0"/>
          <w:bCs w:val="0"/>
          <w:sz w:val="28"/>
          <w:szCs w:val="28"/>
        </w:rPr>
        <w:t>四、财政拨款收入支出决算总表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2</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"_Toc12959" </w:instrText>
      </w:r>
      <w:r>
        <w:fldChar w:fldCharType="separate"/>
      </w:r>
      <w:r>
        <w:rPr>
          <w:rFonts w:hint="eastAsia" w:ascii="仿宋_GB2312" w:hAnsi="仿宋_GB2312" w:eastAsia="仿宋_GB2312" w:cs="仿宋_GB2312"/>
          <w:b w:val="0"/>
          <w:bCs w:val="0"/>
          <w:sz w:val="28"/>
          <w:szCs w:val="28"/>
        </w:rPr>
        <w:t>五、财政拨款支出决算明细表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2</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"_Toc23749" </w:instrText>
      </w:r>
      <w:r>
        <w:fldChar w:fldCharType="separate"/>
      </w:r>
      <w:r>
        <w:rPr>
          <w:rFonts w:hint="eastAsia" w:ascii="仿宋_GB2312" w:hAnsi="仿宋_GB2312" w:eastAsia="仿宋_GB2312" w:cs="仿宋_GB2312"/>
          <w:b w:val="0"/>
          <w:bCs w:val="0"/>
          <w:sz w:val="28"/>
          <w:szCs w:val="28"/>
        </w:rPr>
        <w:t>六、一般公共预算财政拨款支出决算表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2</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"_Toc22275" </w:instrText>
      </w:r>
      <w:r>
        <w:fldChar w:fldCharType="separate"/>
      </w:r>
      <w:r>
        <w:rPr>
          <w:rFonts w:hint="eastAsia" w:ascii="仿宋_GB2312" w:hAnsi="仿宋_GB2312" w:eastAsia="仿宋_GB2312" w:cs="仿宋_GB2312"/>
          <w:b w:val="0"/>
          <w:bCs w:val="0"/>
          <w:sz w:val="28"/>
          <w:szCs w:val="28"/>
        </w:rPr>
        <w:t>七、一般公共预算财政拨款支出决算明细表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2</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"_Toc30634" </w:instrText>
      </w:r>
      <w:r>
        <w:fldChar w:fldCharType="separate"/>
      </w:r>
      <w:r>
        <w:rPr>
          <w:rFonts w:hint="eastAsia" w:ascii="仿宋_GB2312" w:hAnsi="仿宋_GB2312" w:eastAsia="仿宋_GB2312" w:cs="仿宋_GB2312"/>
          <w:b w:val="0"/>
          <w:bCs w:val="0"/>
          <w:sz w:val="28"/>
          <w:szCs w:val="28"/>
        </w:rPr>
        <w:t>八、一般公共预算财政拨款基本支出决算表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2</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"_Toc15170" </w:instrText>
      </w:r>
      <w:r>
        <w:fldChar w:fldCharType="separate"/>
      </w:r>
      <w:r>
        <w:rPr>
          <w:rFonts w:hint="eastAsia" w:ascii="仿宋_GB2312" w:hAnsi="仿宋_GB2312" w:eastAsia="仿宋_GB2312" w:cs="仿宋_GB2312"/>
          <w:b w:val="0"/>
          <w:bCs w:val="0"/>
          <w:sz w:val="28"/>
          <w:szCs w:val="28"/>
        </w:rPr>
        <w:t>九、一般公共预算财政拨款项目支出决算表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2</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"_Toc17603" </w:instrText>
      </w:r>
      <w:r>
        <w:fldChar w:fldCharType="separate"/>
      </w:r>
      <w:r>
        <w:rPr>
          <w:rFonts w:hint="eastAsia" w:ascii="仿宋_GB2312" w:hAnsi="仿宋_GB2312" w:eastAsia="仿宋_GB2312" w:cs="仿宋_GB2312"/>
          <w:b w:val="0"/>
          <w:bCs w:val="0"/>
          <w:sz w:val="28"/>
          <w:szCs w:val="28"/>
        </w:rPr>
        <w:t>十、一般公共预算财政拨款“三公”经费支出决算表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2</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"_Toc7313" </w:instrText>
      </w:r>
      <w:r>
        <w:fldChar w:fldCharType="separate"/>
      </w:r>
      <w:r>
        <w:rPr>
          <w:rFonts w:hint="eastAsia" w:ascii="仿宋_GB2312" w:hAnsi="仿宋_GB2312" w:eastAsia="仿宋_GB2312" w:cs="仿宋_GB2312"/>
          <w:b w:val="0"/>
          <w:bCs w:val="0"/>
          <w:sz w:val="28"/>
          <w:szCs w:val="28"/>
        </w:rPr>
        <w:t>十一、政府性基金预算财政拨款收入支出决算表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2</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"_Toc9382" </w:instrText>
      </w:r>
      <w:r>
        <w:fldChar w:fldCharType="separate"/>
      </w:r>
      <w:r>
        <w:rPr>
          <w:rFonts w:hint="eastAsia" w:ascii="仿宋_GB2312" w:hAnsi="仿宋_GB2312" w:eastAsia="仿宋_GB2312" w:cs="仿宋_GB2312"/>
          <w:b w:val="0"/>
          <w:bCs w:val="0"/>
          <w:sz w:val="28"/>
          <w:szCs w:val="28"/>
        </w:rPr>
        <w:t>十二、政府性基金预算财政拨款“三公”经费支出决算表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2</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"_Toc22683" </w:instrText>
      </w:r>
      <w:r>
        <w:fldChar w:fldCharType="separate"/>
      </w:r>
      <w:r>
        <w:rPr>
          <w:rFonts w:hint="eastAsia" w:ascii="仿宋_GB2312" w:hAnsi="仿宋_GB2312" w:eastAsia="仿宋_GB2312" w:cs="仿宋_GB2312"/>
          <w:b w:val="0"/>
          <w:bCs w:val="0"/>
          <w:sz w:val="28"/>
          <w:szCs w:val="28"/>
        </w:rPr>
        <w:t>十三、国有资本经营预算财政拨款收入支出决算表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t>2</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2</w:t>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"_Toc10257" </w:instrText>
      </w:r>
      <w:r>
        <w:fldChar w:fldCharType="separate"/>
      </w:r>
      <w:r>
        <w:rPr>
          <w:rFonts w:hint="eastAsia" w:ascii="仿宋_GB2312" w:hAnsi="仿宋_GB2312" w:eastAsia="仿宋_GB2312" w:cs="仿宋_GB2312"/>
          <w:b w:val="0"/>
          <w:bCs w:val="0"/>
          <w:sz w:val="28"/>
          <w:szCs w:val="28"/>
        </w:rPr>
        <w:t>十四、国有资本经营预算财政拨款支出决算表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t>22</w:t>
      </w:r>
    </w:p>
    <w:p>
      <w:pPr>
        <w:spacing w:line="560" w:lineRule="exact"/>
        <w:ind w:firstLine="2100" w:firstLineChars="750"/>
        <w:rPr>
          <w:rFonts w:ascii="仿宋_GB2312" w:hAnsi="仿宋"/>
          <w:color w:val="FF0000"/>
          <w:szCs w:val="32"/>
        </w:rPr>
      </w:pPr>
      <w:r>
        <w:rPr>
          <w:rFonts w:hint="eastAsia" w:ascii="仿宋_GB2312" w:hAnsi="仿宋_GB2312" w:cs="仿宋_GB2312"/>
          <w:caps/>
          <w:sz w:val="28"/>
          <w:szCs w:val="28"/>
        </w:rPr>
        <w:fldChar w:fldCharType="end"/>
      </w:r>
    </w:p>
    <w:p>
      <w:r>
        <w:br w:type="page"/>
      </w:r>
    </w:p>
    <w:p>
      <w:pPr>
        <w:pStyle w:val="2"/>
        <w:jc w:val="center"/>
        <w:rPr>
          <w:rStyle w:val="14"/>
          <w:rFonts w:ascii="黑体" w:hAnsi="黑体" w:eastAsia="黑体"/>
          <w:b/>
          <w:bCs w:val="0"/>
        </w:rPr>
      </w:pPr>
      <w:bookmarkStart w:id="0" w:name="_Toc10567"/>
      <w:r>
        <w:rPr>
          <w:rFonts w:hint="eastAsia" w:ascii="黑体" w:hAnsi="黑体" w:eastAsia="黑体"/>
          <w:b w:val="0"/>
        </w:rPr>
        <w:t>第一部分</w:t>
      </w:r>
      <w:r>
        <w:rPr>
          <w:rFonts w:ascii="黑体" w:hAnsi="黑体" w:eastAsia="黑体"/>
          <w:b w:val="0"/>
        </w:rPr>
        <w:t xml:space="preserve"> </w:t>
      </w:r>
      <w:r>
        <w:rPr>
          <w:rStyle w:val="14"/>
          <w:rFonts w:hint="eastAsia" w:ascii="黑体" w:hAnsi="黑体" w:eastAsia="黑体"/>
          <w:b w:val="0"/>
          <w:bCs w:val="0"/>
        </w:rPr>
        <w:t>部门概况</w:t>
      </w:r>
      <w:bookmarkEnd w:id="0"/>
    </w:p>
    <w:p>
      <w:pPr>
        <w:widowControl/>
        <w:jc w:val="left"/>
        <w:rPr>
          <w:rFonts w:ascii="黑体" w:eastAsia="黑体"/>
          <w:color w:val="000000"/>
          <w:szCs w:val="32"/>
        </w:rPr>
      </w:pPr>
    </w:p>
    <w:p>
      <w:pPr>
        <w:pStyle w:val="3"/>
        <w:rPr>
          <w:rStyle w:val="15"/>
          <w:rFonts w:ascii="仿宋" w:hAnsi="仿宋" w:eastAsia="仿宋"/>
          <w:b w:val="0"/>
          <w:bCs w:val="0"/>
        </w:rPr>
      </w:pPr>
      <w:bookmarkStart w:id="1" w:name="_Toc21498"/>
      <w:bookmarkStart w:id="2" w:name="_Toc15396600"/>
      <w:bookmarkStart w:id="3" w:name="_Toc15377197"/>
      <w:r>
        <w:rPr>
          <w:rFonts w:hint="eastAsia" w:ascii="黑体" w:hAnsi="黑体" w:eastAsia="黑体"/>
          <w:b w:val="0"/>
          <w:color w:val="000000"/>
        </w:rPr>
        <w:t>一、基</w:t>
      </w:r>
      <w:r>
        <w:rPr>
          <w:rStyle w:val="15"/>
          <w:rFonts w:hint="eastAsia" w:ascii="黑体" w:hAnsi="黑体" w:eastAsia="黑体"/>
          <w:b w:val="0"/>
          <w:bCs w:val="0"/>
        </w:rPr>
        <w:t>本职能及主要工作</w:t>
      </w:r>
      <w:bookmarkEnd w:id="1"/>
      <w:bookmarkEnd w:id="2"/>
      <w:bookmarkEnd w:id="3"/>
    </w:p>
    <w:p>
      <w:pPr>
        <w:pStyle w:val="4"/>
        <w:adjustRightInd w:val="0"/>
        <w:snapToGrid w:val="0"/>
        <w:spacing w:before="93" w:line="600" w:lineRule="exact"/>
        <w:ind w:firstLine="672" w:firstLineChars="210"/>
        <w:outlineLvl w:val="2"/>
        <w:rPr>
          <w:rFonts w:ascii="仿宋" w:hAnsi="仿宋" w:eastAsia="仿宋"/>
          <w:bCs/>
          <w:sz w:val="32"/>
          <w:szCs w:val="32"/>
        </w:rPr>
      </w:pPr>
      <w:bookmarkStart w:id="4" w:name="_Toc15378445"/>
      <w:bookmarkStart w:id="5" w:name="_Toc15377198"/>
      <w:r>
        <w:rPr>
          <w:rFonts w:hint="eastAsia" w:ascii="仿宋" w:hAnsi="仿宋" w:eastAsia="仿宋"/>
          <w:bCs/>
          <w:color w:val="000000"/>
          <w:sz w:val="32"/>
          <w:szCs w:val="32"/>
        </w:rPr>
        <w:t>（一）主要职能。</w:t>
      </w:r>
      <w:bookmarkEnd w:id="4"/>
      <w:bookmarkEnd w:id="5"/>
      <w:bookmarkStart w:id="6" w:name="_Toc15377199"/>
      <w:bookmarkStart w:id="7" w:name="_Toc15378446"/>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1.</w:t>
      </w:r>
      <w:r>
        <w:rPr>
          <w:rFonts w:hint="eastAsia" w:ascii="仿宋" w:hAnsi="仿宋" w:eastAsia="仿宋"/>
          <w:bCs/>
          <w:color w:val="000000"/>
          <w:sz w:val="32"/>
          <w:szCs w:val="32"/>
        </w:rPr>
        <w:tab/>
      </w:r>
      <w:r>
        <w:rPr>
          <w:rFonts w:hint="eastAsia" w:ascii="仿宋" w:hAnsi="仿宋" w:eastAsia="仿宋"/>
          <w:bCs/>
          <w:color w:val="000000"/>
          <w:sz w:val="32"/>
          <w:szCs w:val="32"/>
        </w:rPr>
        <w:t>正确贯彻执行党和国家的教育方针、政策、法规。</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2.</w:t>
      </w:r>
      <w:r>
        <w:rPr>
          <w:rFonts w:hint="eastAsia" w:ascii="仿宋" w:hAnsi="仿宋" w:eastAsia="仿宋"/>
          <w:bCs/>
          <w:color w:val="000000"/>
          <w:sz w:val="32"/>
          <w:szCs w:val="32"/>
        </w:rPr>
        <w:tab/>
      </w:r>
      <w:r>
        <w:rPr>
          <w:rFonts w:hint="eastAsia" w:ascii="仿宋" w:hAnsi="仿宋" w:eastAsia="仿宋"/>
          <w:bCs/>
          <w:color w:val="000000"/>
          <w:sz w:val="32"/>
          <w:szCs w:val="32"/>
        </w:rPr>
        <w:t>维护学校的教学秩序，为学生创造良好的学习环境。</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3.</w:t>
      </w:r>
      <w:r>
        <w:rPr>
          <w:rFonts w:hint="eastAsia" w:ascii="仿宋" w:hAnsi="仿宋" w:eastAsia="仿宋"/>
          <w:bCs/>
          <w:color w:val="000000"/>
          <w:sz w:val="32"/>
          <w:szCs w:val="32"/>
        </w:rPr>
        <w:tab/>
      </w:r>
      <w:r>
        <w:rPr>
          <w:rFonts w:hint="eastAsia" w:ascii="仿宋" w:hAnsi="仿宋" w:eastAsia="仿宋"/>
          <w:bCs/>
          <w:color w:val="000000"/>
          <w:sz w:val="32"/>
          <w:szCs w:val="32"/>
        </w:rPr>
        <w:t>积极稳妥地推进教育改革，按教育规律办事，不断提 高教育质量。</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4.</w:t>
      </w:r>
      <w:r>
        <w:rPr>
          <w:rFonts w:hint="eastAsia" w:ascii="仿宋" w:hAnsi="仿宋" w:eastAsia="仿宋"/>
          <w:bCs/>
          <w:color w:val="000000"/>
          <w:sz w:val="32"/>
          <w:szCs w:val="32"/>
        </w:rPr>
        <w:tab/>
      </w:r>
      <w:r>
        <w:rPr>
          <w:rFonts w:hint="eastAsia" w:ascii="仿宋" w:hAnsi="仿宋" w:eastAsia="仿宋"/>
          <w:bCs/>
          <w:color w:val="000000"/>
          <w:sz w:val="32"/>
          <w:szCs w:val="32"/>
        </w:rPr>
        <w:t>根据学校规模，设置学校管理机构，建立健全各项规 章制度和岗位责任制。</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5.</w:t>
      </w:r>
      <w:r>
        <w:rPr>
          <w:rFonts w:hint="eastAsia" w:ascii="仿宋" w:hAnsi="仿宋" w:eastAsia="仿宋"/>
          <w:bCs/>
          <w:color w:val="000000"/>
          <w:sz w:val="32"/>
          <w:szCs w:val="32"/>
        </w:rPr>
        <w:tab/>
      </w:r>
      <w:r>
        <w:rPr>
          <w:rFonts w:hint="eastAsia" w:ascii="仿宋" w:hAnsi="仿宋" w:eastAsia="仿宋"/>
          <w:bCs/>
          <w:color w:val="000000"/>
          <w:sz w:val="32"/>
          <w:szCs w:val="32"/>
        </w:rPr>
        <w:t>坚持教书育人，服务育人，环境育人方针，加强对学 生的思想品德教育，使学生的德智体全面发展。</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6.</w:t>
      </w:r>
      <w:r>
        <w:rPr>
          <w:rFonts w:hint="eastAsia" w:ascii="仿宋" w:hAnsi="仿宋" w:eastAsia="仿宋"/>
          <w:bCs/>
          <w:color w:val="000000"/>
          <w:sz w:val="32"/>
          <w:szCs w:val="32"/>
        </w:rPr>
        <w:tab/>
      </w:r>
      <w:r>
        <w:rPr>
          <w:rFonts w:hint="eastAsia" w:ascii="仿宋" w:hAnsi="仿宋" w:eastAsia="仿宋"/>
          <w:bCs/>
          <w:color w:val="000000"/>
          <w:sz w:val="32"/>
          <w:szCs w:val="32"/>
        </w:rPr>
        <w:t>抓好教师队伍建设，使每个教师都热心于教育事业。</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7.</w:t>
      </w:r>
      <w:r>
        <w:rPr>
          <w:rFonts w:hint="eastAsia" w:ascii="仿宋" w:hAnsi="仿宋" w:eastAsia="仿宋"/>
          <w:bCs/>
          <w:color w:val="000000"/>
          <w:sz w:val="32"/>
          <w:szCs w:val="32"/>
        </w:rPr>
        <w:tab/>
      </w:r>
      <w:r>
        <w:rPr>
          <w:rFonts w:hint="eastAsia" w:ascii="仿宋" w:hAnsi="仿宋" w:eastAsia="仿宋"/>
          <w:bCs/>
          <w:color w:val="000000"/>
          <w:sz w:val="32"/>
          <w:szCs w:val="32"/>
        </w:rPr>
        <w:t xml:space="preserve">做好安全防范，保证学生的人生安全。 </w:t>
      </w:r>
    </w:p>
    <w:p>
      <w:pPr>
        <w:pStyle w:val="4"/>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 xml:space="preserve">（二）2020年重点工作完成情况。 </w:t>
      </w:r>
    </w:p>
    <w:p>
      <w:pPr>
        <w:pStyle w:val="3"/>
        <w:ind w:firstLine="640" w:firstLineChars="200"/>
        <w:rPr>
          <w:rFonts w:ascii="仿宋" w:hAnsi="仿宋" w:eastAsia="仿宋"/>
          <w:b w:val="0"/>
          <w:color w:val="000000"/>
          <w:kern w:val="0"/>
        </w:rPr>
      </w:pPr>
      <w:r>
        <w:rPr>
          <w:rFonts w:hint="eastAsia" w:ascii="仿宋" w:hAnsi="仿宋" w:eastAsia="仿宋"/>
          <w:b w:val="0"/>
          <w:color w:val="000000"/>
          <w:kern w:val="0"/>
        </w:rPr>
        <w:t>深入贯彻党的相关会议精神，强化学校党建引领，突出抓好意识形态教育和师德师风教育，加强教师队伍建设，提升队伍思想素质水平和业务水平；挖掘“传统美德”和“现代人”内涵，与校情、学情、师情结合，找准结合点和切入点，补充完善学校课程建设规划，修订完善已有校本课程，着手新开发特色课程。深入开展课堂教学改革，强化作业管理，落实减负提质。细化管理细则，修订完善各项“标准”，严格常规管理，抓紧抓实教学常规管理、卫生、班级建设，形成良好校园新秩序。加强财务管理，配合完成了工会经费开支专项审计工作。进一步加强了平安校园建设，确保校园平安。运动场改造工程顺利完成竣工验收工作，学校教育教学环境焕然一新。</w:t>
      </w:r>
    </w:p>
    <w:bookmarkEnd w:id="6"/>
    <w:bookmarkEnd w:id="7"/>
    <w:p>
      <w:pPr>
        <w:pStyle w:val="3"/>
        <w:rPr>
          <w:rStyle w:val="15"/>
          <w:b w:val="0"/>
          <w:bCs w:val="0"/>
        </w:rPr>
      </w:pPr>
      <w:bookmarkStart w:id="8" w:name="_Toc15377200"/>
      <w:bookmarkStart w:id="9" w:name="_Toc6092"/>
      <w:bookmarkStart w:id="10" w:name="_Toc15396601"/>
      <w:r>
        <w:rPr>
          <w:rFonts w:hint="eastAsia" w:ascii="黑体" w:eastAsia="黑体"/>
          <w:b w:val="0"/>
          <w:color w:val="000000"/>
        </w:rPr>
        <w:t>二、</w:t>
      </w:r>
      <w:r>
        <w:rPr>
          <w:rFonts w:hint="eastAsia" w:ascii="黑体" w:hAnsi="黑体" w:eastAsia="黑体"/>
          <w:b w:val="0"/>
          <w:color w:val="000000"/>
        </w:rPr>
        <w:t>机</w:t>
      </w:r>
      <w:r>
        <w:rPr>
          <w:rStyle w:val="15"/>
          <w:rFonts w:hint="eastAsia" w:ascii="黑体" w:hAnsi="黑体" w:eastAsia="黑体"/>
          <w:b w:val="0"/>
          <w:bCs w:val="0"/>
        </w:rPr>
        <w:t>构设置</w:t>
      </w:r>
      <w:bookmarkEnd w:id="8"/>
      <w:bookmarkEnd w:id="9"/>
      <w:bookmarkEnd w:id="10"/>
    </w:p>
    <w:p>
      <w:pPr>
        <w:pStyle w:val="4"/>
        <w:adjustRightInd w:val="0"/>
        <w:snapToGrid w:val="0"/>
        <w:spacing w:before="93" w:line="600" w:lineRule="exact"/>
        <w:ind w:firstLine="672" w:firstLineChars="210"/>
        <w:rPr>
          <w:rFonts w:ascii="仿宋" w:hAnsi="仿宋" w:eastAsia="仿宋"/>
          <w:color w:val="000000"/>
          <w:sz w:val="32"/>
          <w:szCs w:val="32"/>
        </w:rPr>
      </w:pPr>
      <w:r>
        <w:rPr>
          <w:rFonts w:hint="eastAsia" w:ascii="仿宋" w:hAnsi="仿宋" w:eastAsia="仿宋"/>
          <w:kern w:val="2"/>
          <w:sz w:val="32"/>
          <w:szCs w:val="32"/>
        </w:rPr>
        <w:t xml:space="preserve">自贡市德铭中学校是自贡市自流井区教育和体育局下属二级预算单位，单位基本性质为财政补助事业单位。 纳入决算汇编范围的独立核算机构共1 个。其中行政单位0个，参照公务员法管理的事业单位0 个，其他事业单位1个。 </w:t>
      </w:r>
    </w:p>
    <w:p>
      <w:pPr>
        <w:widowControl/>
        <w:jc w:val="left"/>
        <w:rPr>
          <w:rFonts w:ascii="仿宋" w:hAnsi="仿宋" w:eastAsia="仿宋"/>
          <w:color w:val="000000"/>
          <w:kern w:val="0"/>
          <w:szCs w:val="32"/>
        </w:rPr>
      </w:pPr>
      <w:r>
        <w:rPr>
          <w:rFonts w:ascii="仿宋" w:hAnsi="仿宋" w:eastAsia="仿宋"/>
          <w:color w:val="000000"/>
          <w:szCs w:val="32"/>
        </w:rPr>
        <w:br w:type="page"/>
      </w:r>
    </w:p>
    <w:p>
      <w:pPr>
        <w:pStyle w:val="2"/>
        <w:ind w:right="440"/>
        <w:jc w:val="right"/>
        <w:rPr>
          <w:rStyle w:val="14"/>
          <w:rFonts w:ascii="黑体" w:hAnsi="黑体" w:eastAsia="黑体"/>
          <w:b w:val="0"/>
          <w:bCs w:val="0"/>
        </w:rPr>
      </w:pPr>
      <w:bookmarkStart w:id="11" w:name="_Toc15396602"/>
      <w:bookmarkStart w:id="12" w:name="_Toc23109"/>
      <w:bookmarkStart w:id="13" w:name="_Toc15377204"/>
      <w:r>
        <w:rPr>
          <w:rFonts w:hint="eastAsia" w:ascii="黑体" w:hAnsi="黑体" w:eastAsia="黑体"/>
          <w:b w:val="0"/>
          <w:color w:val="000000"/>
        </w:rPr>
        <w:t>第二部分</w:t>
      </w:r>
      <w:r>
        <w:rPr>
          <w:rFonts w:ascii="黑体" w:hAnsi="黑体" w:eastAsia="黑体"/>
          <w:color w:val="000000"/>
        </w:rPr>
        <w:t xml:space="preserve"> </w:t>
      </w:r>
      <w:r>
        <w:rPr>
          <w:rStyle w:val="14"/>
          <w:rFonts w:ascii="黑体" w:hAnsi="黑体" w:eastAsia="黑体"/>
          <w:b w:val="0"/>
          <w:bCs w:val="0"/>
        </w:rPr>
        <w:t>2020</w:t>
      </w:r>
      <w:r>
        <w:rPr>
          <w:rStyle w:val="14"/>
          <w:rFonts w:hint="eastAsia" w:ascii="黑体" w:hAnsi="黑体" w:eastAsia="黑体"/>
          <w:b w:val="0"/>
          <w:bCs w:val="0"/>
        </w:rPr>
        <w:t>年度部门决算情况说明</w:t>
      </w:r>
      <w:bookmarkEnd w:id="11"/>
      <w:bookmarkEnd w:id="12"/>
      <w:bookmarkEnd w:id="13"/>
    </w:p>
    <w:p/>
    <w:p>
      <w:pPr>
        <w:pStyle w:val="16"/>
        <w:numPr>
          <w:ilvl w:val="0"/>
          <w:numId w:val="1"/>
        </w:numPr>
        <w:spacing w:line="600" w:lineRule="exact"/>
        <w:ind w:firstLineChars="0"/>
        <w:outlineLvl w:val="1"/>
        <w:rPr>
          <w:rStyle w:val="15"/>
          <w:rFonts w:ascii="黑体" w:hAnsi="黑体" w:eastAsia="黑体"/>
          <w:b w:val="0"/>
        </w:rPr>
      </w:pPr>
      <w:bookmarkStart w:id="14" w:name="_Toc15396603"/>
      <w:bookmarkStart w:id="15" w:name="_Toc7163"/>
      <w:bookmarkStart w:id="16" w:name="_Toc15377205"/>
      <w:r>
        <w:rPr>
          <w:rFonts w:hint="eastAsia" w:ascii="黑体" w:hAnsi="黑体" w:eastAsia="黑体"/>
          <w:color w:val="000000"/>
          <w:szCs w:val="32"/>
        </w:rPr>
        <w:t>收</w:t>
      </w:r>
      <w:r>
        <w:rPr>
          <w:rStyle w:val="15"/>
          <w:rFonts w:hint="eastAsia" w:ascii="黑体" w:hAnsi="黑体" w:eastAsia="黑体"/>
          <w:b w:val="0"/>
        </w:rPr>
        <w:t>入支出决算总体情况说明</w:t>
      </w:r>
      <w:bookmarkEnd w:id="14"/>
      <w:bookmarkEnd w:id="15"/>
      <w:bookmarkEnd w:id="16"/>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2020年度收、支总计902.38万元。与2019年相比，收、支总计各减少176.71万元，下降16.37%。主要变动原因是2019年我校运动场工程处于建设阶段，有工程款结余170.00万元。</w:t>
      </w:r>
    </w:p>
    <w:p>
      <w:pPr>
        <w:widowControl/>
        <w:jc w:val="left"/>
        <w:rPr>
          <w:rFonts w:ascii="宋体" w:hAnsi="宋体" w:eastAsia="宋体" w:cs="宋体"/>
          <w:kern w:val="0"/>
          <w:sz w:val="24"/>
        </w:rPr>
      </w:pPr>
      <w:r>
        <w:rPr>
          <w:rFonts w:ascii="宋体" w:hAnsi="宋体" w:eastAsia="宋体" w:cs="宋体"/>
          <w:kern w:val="0"/>
          <w:sz w:val="24"/>
        </w:rPr>
        <w:drawing>
          <wp:inline distT="0" distB="0" distL="0" distR="0">
            <wp:extent cx="5024755" cy="2971800"/>
            <wp:effectExtent l="19050" t="0" r="3819" b="0"/>
            <wp:docPr id="1" name="图片 1" descr="C:\Users\Administrator\AppData\Roaming\Tencent\Users\2830584552\QQ\WinTemp\RichOle\CBA(])E301U4D_70TWVPE9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AppData\Roaming\Tencent\Users\2830584552\QQ\WinTemp\RichOle\CBA(])E301U4D_70TWVPE9L.png"/>
                    <pic:cNvPicPr>
                      <a:picLocks noChangeAspect="1" noChangeArrowheads="1"/>
                    </pic:cNvPicPr>
                  </pic:nvPicPr>
                  <pic:blipFill>
                    <a:blip r:embed="rId5" cstate="print"/>
                    <a:srcRect/>
                    <a:stretch>
                      <a:fillRect/>
                    </a:stretch>
                  </pic:blipFill>
                  <pic:spPr>
                    <a:xfrm>
                      <a:off x="0" y="0"/>
                      <a:ext cx="5025381" cy="2971800"/>
                    </a:xfrm>
                    <a:prstGeom prst="rect">
                      <a:avLst/>
                    </a:prstGeom>
                    <a:noFill/>
                    <a:ln w="9525">
                      <a:noFill/>
                      <a:miter lim="800000"/>
                      <a:headEnd/>
                      <a:tailEnd/>
                    </a:ln>
                  </pic:spPr>
                </pic:pic>
              </a:graphicData>
            </a:graphic>
          </wp:inline>
        </w:drawing>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1</w:t>
      </w:r>
      <w:r>
        <w:rPr>
          <w:rFonts w:hint="eastAsia" w:ascii="仿宋" w:hAnsi="仿宋" w:eastAsia="仿宋"/>
          <w:color w:val="000000"/>
          <w:szCs w:val="32"/>
        </w:rPr>
        <w:t>：收、支决算总计变动情况图）（柱状图）</w:t>
      </w:r>
    </w:p>
    <w:p>
      <w:pPr>
        <w:spacing w:line="600" w:lineRule="exact"/>
        <w:ind w:firstLine="640" w:firstLineChars="200"/>
        <w:jc w:val="left"/>
        <w:rPr>
          <w:rFonts w:ascii="仿宋_GB2312"/>
          <w:color w:val="000000"/>
          <w:szCs w:val="32"/>
        </w:rPr>
      </w:pPr>
    </w:p>
    <w:p>
      <w:pPr>
        <w:pStyle w:val="16"/>
        <w:numPr>
          <w:ilvl w:val="0"/>
          <w:numId w:val="1"/>
        </w:numPr>
        <w:spacing w:line="600" w:lineRule="exact"/>
        <w:ind w:firstLineChars="0"/>
        <w:outlineLvl w:val="1"/>
        <w:rPr>
          <w:rStyle w:val="15"/>
          <w:rFonts w:ascii="黑体" w:hAnsi="黑体" w:eastAsia="黑体"/>
          <w:b w:val="0"/>
        </w:rPr>
      </w:pPr>
      <w:bookmarkStart w:id="17" w:name="_Toc25258"/>
      <w:bookmarkStart w:id="18" w:name="_Toc15396604"/>
      <w:bookmarkStart w:id="19" w:name="_Toc15377206"/>
      <w:r>
        <w:rPr>
          <w:rFonts w:hint="eastAsia" w:ascii="黑体" w:hAnsi="黑体" w:eastAsia="黑体"/>
          <w:color w:val="000000"/>
          <w:szCs w:val="32"/>
        </w:rPr>
        <w:t>收</w:t>
      </w:r>
      <w:r>
        <w:rPr>
          <w:rStyle w:val="15"/>
          <w:rFonts w:hint="eastAsia" w:ascii="黑体" w:hAnsi="黑体" w:eastAsia="黑体"/>
          <w:b w:val="0"/>
        </w:rPr>
        <w:t>入决算情况说明</w:t>
      </w:r>
      <w:bookmarkEnd w:id="17"/>
      <w:bookmarkEnd w:id="18"/>
      <w:bookmarkEnd w:id="19"/>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2020年本年收入合计851.63万元，其中：一般公共预算财政拨款收入851.63万元，占100%；政府性基金预算财政拨款收入0万元，占0%；上级补助收入0万元，占0%；事业收入0万元，占0%；经营收入0万元，占0%；附属单位上缴收入0万元，占0%；其他收入0万元，占0%。</w:t>
      </w:r>
    </w:p>
    <w:p>
      <w:pPr>
        <w:widowControl/>
        <w:jc w:val="left"/>
        <w:rPr>
          <w:rFonts w:ascii="宋体" w:hAnsi="宋体" w:eastAsia="宋体" w:cs="宋体"/>
          <w:kern w:val="0"/>
          <w:sz w:val="24"/>
        </w:rPr>
      </w:pPr>
      <w:r>
        <w:rPr>
          <w:rFonts w:ascii="宋体" w:hAnsi="宋体" w:eastAsia="宋体" w:cs="宋体"/>
          <w:kern w:val="0"/>
          <w:sz w:val="24"/>
        </w:rPr>
        <w:drawing>
          <wp:inline distT="0" distB="0" distL="0" distR="0">
            <wp:extent cx="4295775" cy="2002155"/>
            <wp:effectExtent l="19050" t="0" r="9525" b="0"/>
            <wp:docPr id="3" name="图片 3" descr="C:\Users\Administrator\AppData\Roaming\Tencent\Users\2830584552\QQ\WinTemp\RichOle\W`[L(S$K(~669]_~ACQUG$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AppData\Roaming\Tencent\Users\2830584552\QQ\WinTemp\RichOle\W`[L(S$K(~669]_~ACQUG$W.png"/>
                    <pic:cNvPicPr>
                      <a:picLocks noChangeAspect="1" noChangeArrowheads="1"/>
                    </pic:cNvPicPr>
                  </pic:nvPicPr>
                  <pic:blipFill>
                    <a:blip r:embed="rId6" cstate="print"/>
                    <a:srcRect/>
                    <a:stretch>
                      <a:fillRect/>
                    </a:stretch>
                  </pic:blipFill>
                  <pic:spPr>
                    <a:xfrm>
                      <a:off x="0" y="0"/>
                      <a:ext cx="4295775" cy="2002492"/>
                    </a:xfrm>
                    <a:prstGeom prst="rect">
                      <a:avLst/>
                    </a:prstGeom>
                    <a:noFill/>
                    <a:ln w="9525">
                      <a:noFill/>
                      <a:miter lim="800000"/>
                      <a:headEnd/>
                      <a:tailEnd/>
                    </a:ln>
                  </pic:spPr>
                </pic:pic>
              </a:graphicData>
            </a:graphic>
          </wp:inline>
        </w:drawing>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2</w:t>
      </w:r>
      <w:r>
        <w:rPr>
          <w:rFonts w:hint="eastAsia" w:ascii="仿宋" w:hAnsi="仿宋" w:eastAsia="仿宋"/>
          <w:color w:val="000000"/>
          <w:szCs w:val="32"/>
        </w:rPr>
        <w:t>：收入决算结构图）（饼状图）</w:t>
      </w:r>
    </w:p>
    <w:p>
      <w:pPr>
        <w:pStyle w:val="16"/>
        <w:numPr>
          <w:ilvl w:val="0"/>
          <w:numId w:val="1"/>
        </w:numPr>
        <w:spacing w:line="600" w:lineRule="exact"/>
        <w:ind w:firstLineChars="0"/>
        <w:outlineLvl w:val="1"/>
        <w:rPr>
          <w:rStyle w:val="15"/>
          <w:rFonts w:ascii="黑体" w:hAnsi="黑体" w:eastAsia="黑体"/>
          <w:b w:val="0"/>
        </w:rPr>
      </w:pPr>
      <w:bookmarkStart w:id="20" w:name="_Toc15396605"/>
      <w:bookmarkStart w:id="21" w:name="_Toc15377207"/>
      <w:bookmarkStart w:id="22" w:name="_Toc13725"/>
      <w:r>
        <w:rPr>
          <w:rFonts w:hint="eastAsia" w:ascii="黑体" w:hAnsi="黑体" w:eastAsia="黑体"/>
          <w:color w:val="000000"/>
          <w:szCs w:val="32"/>
        </w:rPr>
        <w:t>支</w:t>
      </w:r>
      <w:r>
        <w:rPr>
          <w:rStyle w:val="15"/>
          <w:rFonts w:hint="eastAsia" w:ascii="黑体" w:hAnsi="黑体" w:eastAsia="黑体"/>
          <w:b w:val="0"/>
        </w:rPr>
        <w:t>出决算情况说明</w:t>
      </w:r>
      <w:bookmarkEnd w:id="20"/>
      <w:bookmarkEnd w:id="21"/>
      <w:bookmarkEnd w:id="22"/>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2020年本年支出合计898.33万元，其中：基本支出858.01万元，占95.51%；项目支出40.32万元，占4.49%；上缴上级支出0万元，占0%；经营支出0万元，占0%；对附属单位补助支出0万元，占0%。</w:t>
      </w:r>
    </w:p>
    <w:p>
      <w:pPr>
        <w:widowControl/>
        <w:jc w:val="left"/>
        <w:rPr>
          <w:rFonts w:ascii="宋体" w:hAnsi="宋体" w:eastAsia="宋体" w:cs="宋体"/>
          <w:kern w:val="0"/>
          <w:sz w:val="24"/>
        </w:rPr>
      </w:pPr>
      <w:r>
        <w:rPr>
          <w:rFonts w:ascii="宋体" w:hAnsi="宋体" w:eastAsia="宋体" w:cs="宋体"/>
          <w:kern w:val="0"/>
          <w:sz w:val="24"/>
        </w:rPr>
        <w:drawing>
          <wp:inline distT="0" distB="0" distL="0" distR="0">
            <wp:extent cx="3543300" cy="1972310"/>
            <wp:effectExtent l="19050" t="0" r="0" b="0"/>
            <wp:docPr id="5" name="图片 5" descr="C:\Users\Administrator\AppData\Roaming\Tencent\Users\2830584552\QQ\WinTemp\RichOle\{Y$)K0%FFA{GYF8$OLONHM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AppData\Roaming\Tencent\Users\2830584552\QQ\WinTemp\RichOle\{Y$)K0%FFA{GYF8$OLONHMJ.png"/>
                    <pic:cNvPicPr>
                      <a:picLocks noChangeAspect="1" noChangeArrowheads="1"/>
                    </pic:cNvPicPr>
                  </pic:nvPicPr>
                  <pic:blipFill>
                    <a:blip r:embed="rId7" cstate="print"/>
                    <a:srcRect/>
                    <a:stretch>
                      <a:fillRect/>
                    </a:stretch>
                  </pic:blipFill>
                  <pic:spPr>
                    <a:xfrm>
                      <a:off x="0" y="0"/>
                      <a:ext cx="3543300" cy="1972345"/>
                    </a:xfrm>
                    <a:prstGeom prst="rect">
                      <a:avLst/>
                    </a:prstGeom>
                    <a:noFill/>
                    <a:ln w="9525">
                      <a:noFill/>
                      <a:miter lim="800000"/>
                      <a:headEnd/>
                      <a:tailEnd/>
                    </a:ln>
                  </pic:spPr>
                </pic:pic>
              </a:graphicData>
            </a:graphic>
          </wp:inline>
        </w:drawing>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3</w:t>
      </w:r>
      <w:r>
        <w:rPr>
          <w:rFonts w:hint="eastAsia" w:ascii="仿宋" w:hAnsi="仿宋" w:eastAsia="仿宋"/>
          <w:color w:val="000000"/>
          <w:szCs w:val="32"/>
        </w:rPr>
        <w:t>：支出决算结构图）（饼状图）</w:t>
      </w:r>
    </w:p>
    <w:p>
      <w:pPr>
        <w:spacing w:line="600" w:lineRule="exact"/>
        <w:ind w:firstLine="640" w:firstLineChars="200"/>
        <w:outlineLvl w:val="1"/>
        <w:rPr>
          <w:rStyle w:val="15"/>
          <w:rFonts w:ascii="黑体" w:hAnsi="黑体" w:eastAsia="黑体"/>
          <w:b w:val="0"/>
        </w:rPr>
      </w:pPr>
      <w:bookmarkStart w:id="23" w:name="_Toc15377208"/>
      <w:bookmarkStart w:id="24" w:name="_Toc15396606"/>
      <w:bookmarkStart w:id="25" w:name="_Toc10354"/>
      <w:r>
        <w:rPr>
          <w:rFonts w:hint="eastAsia" w:ascii="黑体" w:hAnsi="黑体" w:eastAsia="黑体"/>
          <w:color w:val="000000"/>
          <w:szCs w:val="32"/>
        </w:rPr>
        <w:t>四、财</w:t>
      </w:r>
      <w:r>
        <w:rPr>
          <w:rStyle w:val="15"/>
          <w:rFonts w:hint="eastAsia" w:ascii="黑体" w:hAnsi="黑体" w:eastAsia="黑体"/>
          <w:b w:val="0"/>
        </w:rPr>
        <w:t>政拨款收入支出决算总体情况说明</w:t>
      </w:r>
      <w:bookmarkEnd w:id="23"/>
      <w:bookmarkEnd w:id="24"/>
      <w:bookmarkEnd w:id="25"/>
    </w:p>
    <w:p>
      <w:pPr>
        <w:spacing w:line="600" w:lineRule="exact"/>
        <w:ind w:firstLine="640"/>
        <w:rPr>
          <w:rFonts w:ascii="仿宋" w:hAnsi="仿宋" w:eastAsia="仿宋"/>
          <w:color w:val="000000"/>
          <w:szCs w:val="32"/>
        </w:rPr>
      </w:pPr>
      <w:r>
        <w:rPr>
          <w:rFonts w:hint="eastAsia" w:ascii="仿宋" w:hAnsi="仿宋" w:eastAsia="仿宋"/>
          <w:color w:val="000000"/>
          <w:szCs w:val="32"/>
        </w:rPr>
        <w:t>2020年财政拨款收、支总计902.38万元。与2019年相比，财政拨款收、支总计各减少176.71万元，下降16.37%。主要变动原因是2019年我校运动场工程处于建设阶段，有工程款结余170.00万元。</w:t>
      </w:r>
    </w:p>
    <w:p>
      <w:pPr>
        <w:widowControl/>
        <w:jc w:val="left"/>
        <w:rPr>
          <w:rFonts w:ascii="宋体" w:hAnsi="宋体" w:eastAsia="宋体" w:cs="宋体"/>
          <w:kern w:val="0"/>
          <w:sz w:val="24"/>
        </w:rPr>
      </w:pPr>
      <w:r>
        <w:rPr>
          <w:rFonts w:ascii="宋体" w:hAnsi="宋体" w:eastAsia="宋体" w:cs="宋体"/>
          <w:kern w:val="0"/>
          <w:sz w:val="24"/>
        </w:rPr>
        <w:drawing>
          <wp:inline distT="0" distB="0" distL="0" distR="0">
            <wp:extent cx="4133850" cy="2527935"/>
            <wp:effectExtent l="19050" t="0" r="0" b="0"/>
            <wp:docPr id="7" name="图片 7" descr="C:\Users\Administrator\AppData\Roaming\Tencent\Users\2830584552\QQ\WinTemp\RichOle\7PGL)L9[W1`1KQF`%SR@AM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dministrator\AppData\Roaming\Tencent\Users\2830584552\QQ\WinTemp\RichOle\7PGL)L9[W1`1KQF`%SR@AMS.png"/>
                    <pic:cNvPicPr>
                      <a:picLocks noChangeAspect="1" noChangeArrowheads="1"/>
                    </pic:cNvPicPr>
                  </pic:nvPicPr>
                  <pic:blipFill>
                    <a:blip r:embed="rId8" cstate="print"/>
                    <a:srcRect/>
                    <a:stretch>
                      <a:fillRect/>
                    </a:stretch>
                  </pic:blipFill>
                  <pic:spPr>
                    <a:xfrm>
                      <a:off x="0" y="0"/>
                      <a:ext cx="4141091" cy="2532901"/>
                    </a:xfrm>
                    <a:prstGeom prst="rect">
                      <a:avLst/>
                    </a:prstGeom>
                    <a:noFill/>
                    <a:ln w="9525">
                      <a:noFill/>
                      <a:miter lim="800000"/>
                      <a:headEnd/>
                      <a:tailEnd/>
                    </a:ln>
                  </pic:spPr>
                </pic:pic>
              </a:graphicData>
            </a:graphic>
          </wp:inline>
        </w:drawing>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4</w:t>
      </w:r>
      <w:r>
        <w:rPr>
          <w:rFonts w:hint="eastAsia" w:ascii="仿宋" w:hAnsi="仿宋" w:eastAsia="仿宋"/>
          <w:color w:val="000000"/>
          <w:szCs w:val="32"/>
        </w:rPr>
        <w:t>：财政拨款收、支决算总计变动情况）（柱状图）</w:t>
      </w:r>
    </w:p>
    <w:p>
      <w:pPr>
        <w:spacing w:line="600" w:lineRule="exact"/>
        <w:ind w:firstLine="640" w:firstLineChars="200"/>
        <w:outlineLvl w:val="1"/>
        <w:rPr>
          <w:rStyle w:val="15"/>
          <w:rFonts w:ascii="黑体" w:hAnsi="黑体" w:eastAsia="黑体"/>
          <w:b w:val="0"/>
        </w:rPr>
      </w:pPr>
      <w:bookmarkStart w:id="26" w:name="_Toc10967"/>
      <w:bookmarkStart w:id="27" w:name="_Toc15396607"/>
      <w:bookmarkStart w:id="28" w:name="_Toc15377209"/>
      <w:r>
        <w:rPr>
          <w:rFonts w:hint="eastAsia" w:ascii="黑体" w:hAnsi="黑体" w:eastAsia="黑体"/>
          <w:color w:val="000000"/>
          <w:szCs w:val="32"/>
        </w:rPr>
        <w:t>五、</w:t>
      </w:r>
      <w:r>
        <w:rPr>
          <w:rFonts w:hint="eastAsia" w:ascii="黑体" w:hAnsi="黑体" w:eastAsia="黑体"/>
          <w:b/>
          <w:color w:val="000000"/>
          <w:szCs w:val="32"/>
        </w:rPr>
        <w:t>一</w:t>
      </w:r>
      <w:r>
        <w:rPr>
          <w:rStyle w:val="15"/>
          <w:rFonts w:hint="eastAsia" w:ascii="黑体" w:hAnsi="黑体" w:eastAsia="黑体"/>
          <w:b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color w:val="000000"/>
          <w:szCs w:val="32"/>
        </w:rPr>
      </w:pPr>
      <w:bookmarkStart w:id="29" w:name="_Toc15377210"/>
      <w:r>
        <w:rPr>
          <w:rFonts w:hint="eastAsia" w:ascii="仿宋" w:hAnsi="仿宋" w:eastAsia="仿宋"/>
          <w:b/>
          <w:color w:val="000000"/>
          <w:szCs w:val="32"/>
        </w:rPr>
        <w:t>（一）一般公共预算财政拨款支出决算总体情况</w:t>
      </w:r>
      <w:bookmarkEnd w:id="29"/>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2020年一般公共预算财政拨款支出898.33万元，占本年支出合计的95.51%。与2019年相比，一般公共预算财政拨款减少56万元，减少5.9%。主要变动原因是工程款支出减少。</w:t>
      </w:r>
    </w:p>
    <w:p>
      <w:pPr>
        <w:widowControl/>
        <w:jc w:val="left"/>
        <w:rPr>
          <w:rFonts w:ascii="宋体" w:hAnsi="宋体" w:eastAsia="宋体" w:cs="宋体"/>
          <w:kern w:val="0"/>
          <w:sz w:val="24"/>
        </w:rPr>
      </w:pPr>
      <w:r>
        <w:rPr>
          <w:rFonts w:ascii="宋体" w:hAnsi="宋体" w:eastAsia="宋体" w:cs="宋体"/>
          <w:kern w:val="0"/>
          <w:sz w:val="24"/>
        </w:rPr>
        <w:drawing>
          <wp:inline distT="0" distB="0" distL="0" distR="0">
            <wp:extent cx="3714750" cy="2176145"/>
            <wp:effectExtent l="19050" t="0" r="0" b="0"/>
            <wp:docPr id="9" name="图片 9" descr="C:\Users\Administrator\AppData\Roaming\Tencent\Users\2830584552\QQ\WinTemp\RichOle\MZ)$T(9LI50@6T$F`GMESU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Administrator\AppData\Roaming\Tencent\Users\2830584552\QQ\WinTemp\RichOle\MZ)$T(9LI50@6T$F`GMESUH.png"/>
                    <pic:cNvPicPr>
                      <a:picLocks noChangeAspect="1" noChangeArrowheads="1"/>
                    </pic:cNvPicPr>
                  </pic:nvPicPr>
                  <pic:blipFill>
                    <a:blip r:embed="rId9" cstate="print"/>
                    <a:srcRect/>
                    <a:stretch>
                      <a:fillRect/>
                    </a:stretch>
                  </pic:blipFill>
                  <pic:spPr>
                    <a:xfrm>
                      <a:off x="0" y="0"/>
                      <a:ext cx="3714750" cy="2176757"/>
                    </a:xfrm>
                    <a:prstGeom prst="rect">
                      <a:avLst/>
                    </a:prstGeom>
                    <a:noFill/>
                    <a:ln w="9525">
                      <a:noFill/>
                      <a:miter lim="800000"/>
                      <a:headEnd/>
                      <a:tailEnd/>
                    </a:ln>
                  </pic:spPr>
                </pic:pic>
              </a:graphicData>
            </a:graphic>
          </wp:inline>
        </w:drawing>
      </w:r>
    </w:p>
    <w:p>
      <w:pPr>
        <w:spacing w:line="600" w:lineRule="exact"/>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5</w:t>
      </w:r>
      <w:r>
        <w:rPr>
          <w:rFonts w:hint="eastAsia" w:ascii="仿宋" w:hAnsi="仿宋" w:eastAsia="仿宋"/>
          <w:color w:val="000000"/>
          <w:szCs w:val="32"/>
        </w:rPr>
        <w:t>：一般公共预算财政拨款支出决算变动情况）（柱状图）</w:t>
      </w:r>
    </w:p>
    <w:p>
      <w:pPr>
        <w:spacing w:line="600" w:lineRule="exact"/>
        <w:ind w:firstLine="640" w:firstLineChars="200"/>
        <w:rPr>
          <w:rFonts w:ascii="仿宋" w:hAnsi="仿宋" w:eastAsia="仿宋"/>
          <w:color w:val="000000"/>
          <w:szCs w:val="32"/>
        </w:rPr>
      </w:pPr>
    </w:p>
    <w:p>
      <w:pPr>
        <w:spacing w:line="600" w:lineRule="exact"/>
        <w:ind w:firstLine="643" w:firstLineChars="200"/>
        <w:outlineLvl w:val="2"/>
        <w:rPr>
          <w:rFonts w:ascii="仿宋" w:hAnsi="仿宋" w:eastAsia="仿宋"/>
          <w:b/>
          <w:color w:val="000000"/>
          <w:szCs w:val="32"/>
        </w:rPr>
      </w:pPr>
      <w:bookmarkStart w:id="30" w:name="_Toc15377211"/>
      <w:r>
        <w:rPr>
          <w:rFonts w:hint="eastAsia" w:ascii="仿宋" w:hAnsi="仿宋" w:eastAsia="仿宋"/>
          <w:b/>
          <w:color w:val="000000"/>
          <w:szCs w:val="32"/>
        </w:rPr>
        <w:t>（二）一般公共预算财政拨款支出决算结构情况</w:t>
      </w:r>
      <w:bookmarkEnd w:id="30"/>
    </w:p>
    <w:p>
      <w:pPr>
        <w:spacing w:line="600" w:lineRule="exact"/>
        <w:ind w:firstLine="640"/>
        <w:rPr>
          <w:rFonts w:ascii="仿宋" w:hAnsi="仿宋" w:eastAsia="仿宋"/>
          <w:color w:val="000000"/>
          <w:szCs w:val="32"/>
        </w:rPr>
      </w:pPr>
      <w:r>
        <w:rPr>
          <w:rFonts w:hint="eastAsia" w:ascii="仿宋" w:hAnsi="仿宋" w:eastAsia="仿宋"/>
          <w:color w:val="000000"/>
          <w:szCs w:val="32"/>
        </w:rPr>
        <w:t>2020年一般公共预算财政拨款支出898.33万元，主要用于以下方面:教育支出（类）898.33万元，占100%。</w:t>
      </w:r>
    </w:p>
    <w:p>
      <w:pPr>
        <w:widowControl/>
        <w:jc w:val="left"/>
        <w:rPr>
          <w:rFonts w:ascii="宋体" w:hAnsi="宋体" w:eastAsia="宋体" w:cs="宋体"/>
          <w:kern w:val="0"/>
          <w:sz w:val="24"/>
        </w:rPr>
      </w:pPr>
      <w:r>
        <w:rPr>
          <w:rFonts w:ascii="宋体" w:hAnsi="宋体" w:eastAsia="宋体" w:cs="宋体"/>
          <w:kern w:val="0"/>
          <w:sz w:val="24"/>
        </w:rPr>
        <w:drawing>
          <wp:inline distT="0" distB="0" distL="0" distR="0">
            <wp:extent cx="3600450" cy="2461260"/>
            <wp:effectExtent l="19050" t="0" r="0" b="0"/>
            <wp:docPr id="11" name="图片 11" descr="C:\Users\Administrator\AppData\Roaming\Tencent\Users\2830584552\QQ\WinTemp\RichOle\JY}7~W(E7JQA{_U{CYBU4L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Administrator\AppData\Roaming\Tencent\Users\2830584552\QQ\WinTemp\RichOle\JY}7~W(E7JQA{_U{CYBU4L8.png"/>
                    <pic:cNvPicPr>
                      <a:picLocks noChangeAspect="1" noChangeArrowheads="1"/>
                    </pic:cNvPicPr>
                  </pic:nvPicPr>
                  <pic:blipFill>
                    <a:blip r:embed="rId10" cstate="print"/>
                    <a:srcRect/>
                    <a:stretch>
                      <a:fillRect/>
                    </a:stretch>
                  </pic:blipFill>
                  <pic:spPr>
                    <a:xfrm>
                      <a:off x="0" y="0"/>
                      <a:ext cx="3600450" cy="2461532"/>
                    </a:xfrm>
                    <a:prstGeom prst="rect">
                      <a:avLst/>
                    </a:prstGeom>
                    <a:noFill/>
                    <a:ln w="9525">
                      <a:noFill/>
                      <a:miter lim="800000"/>
                      <a:headEnd/>
                      <a:tailEnd/>
                    </a:ln>
                  </pic:spPr>
                </pic:pic>
              </a:graphicData>
            </a:graphic>
          </wp:inline>
        </w:drawing>
      </w:r>
    </w:p>
    <w:p>
      <w:pPr>
        <w:spacing w:line="600" w:lineRule="exact"/>
        <w:ind w:firstLine="640" w:firstLineChars="200"/>
        <w:rPr>
          <w:rFonts w:ascii="仿宋" w:hAnsi="仿宋" w:eastAsia="仿宋"/>
          <w:color w:val="000000"/>
          <w:szCs w:val="32"/>
        </w:rPr>
      </w:pPr>
      <w:r>
        <w:rPr>
          <w:rFonts w:hint="eastAsia" w:ascii="仿宋" w:hAnsi="仿宋" w:eastAsia="仿宋"/>
          <w:color w:val="000000"/>
          <w:szCs w:val="32"/>
        </w:rPr>
        <w:t>（图</w:t>
      </w:r>
      <w:r>
        <w:rPr>
          <w:rFonts w:ascii="仿宋" w:hAnsi="仿宋" w:eastAsia="仿宋"/>
          <w:color w:val="000000"/>
          <w:szCs w:val="32"/>
        </w:rPr>
        <w:t>6</w:t>
      </w:r>
      <w:r>
        <w:rPr>
          <w:rFonts w:hint="eastAsia" w:ascii="仿宋" w:hAnsi="仿宋" w:eastAsia="仿宋"/>
          <w:color w:val="000000"/>
          <w:szCs w:val="32"/>
        </w:rPr>
        <w:t>：一般公共预算财政拨款支出决算结构）（饼状图）</w:t>
      </w:r>
    </w:p>
    <w:p>
      <w:pPr>
        <w:spacing w:line="600" w:lineRule="exact"/>
        <w:ind w:firstLine="643" w:firstLineChars="200"/>
        <w:outlineLvl w:val="2"/>
        <w:rPr>
          <w:rFonts w:ascii="仿宋" w:hAnsi="仿宋" w:eastAsia="仿宋"/>
          <w:b/>
          <w:color w:val="000000"/>
          <w:szCs w:val="32"/>
        </w:rPr>
      </w:pPr>
      <w:bookmarkStart w:id="31" w:name="_Toc15377212"/>
      <w:r>
        <w:rPr>
          <w:rFonts w:hint="eastAsia" w:ascii="仿宋" w:hAnsi="仿宋" w:eastAsia="仿宋"/>
          <w:b/>
          <w:color w:val="000000"/>
          <w:szCs w:val="32"/>
        </w:rPr>
        <w:t>（三）一般公共预算财政拨款支出决算具体情况</w:t>
      </w:r>
      <w:bookmarkEnd w:id="31"/>
    </w:p>
    <w:p>
      <w:pPr>
        <w:spacing w:line="600" w:lineRule="exact"/>
        <w:ind w:firstLine="640" w:firstLineChars="200"/>
        <w:rPr>
          <w:rFonts w:ascii="仿宋" w:hAnsi="仿宋" w:eastAsia="仿宋"/>
          <w:b/>
          <w:color w:val="FF0000"/>
          <w:szCs w:val="32"/>
        </w:rPr>
      </w:pPr>
      <w:r>
        <w:rPr>
          <w:rFonts w:hint="eastAsia" w:ascii="仿宋" w:hAnsi="仿宋" w:eastAsia="仿宋"/>
          <w:color w:val="000000"/>
          <w:szCs w:val="32"/>
        </w:rPr>
        <w:t>2020年一般公共预算支出决算数为898.33万元，完成预算100%。其中： 1. 教育（类）（2050203）: 支出决算为898.33万元，完成预算100%。</w:t>
      </w:r>
    </w:p>
    <w:p>
      <w:pPr>
        <w:tabs>
          <w:tab w:val="right" w:pos="8306"/>
        </w:tabs>
        <w:spacing w:line="600" w:lineRule="exact"/>
        <w:ind w:firstLine="640"/>
        <w:outlineLvl w:val="1"/>
        <w:rPr>
          <w:rStyle w:val="15"/>
        </w:rPr>
      </w:pPr>
      <w:bookmarkStart w:id="32" w:name="_Toc15396608"/>
      <w:bookmarkStart w:id="33" w:name="_Toc15377214"/>
      <w:bookmarkStart w:id="34" w:name="_Toc31021"/>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5"/>
          <w:rFonts w:hint="eastAsia" w:ascii="黑体" w:hAnsi="黑体" w:eastAsia="黑体"/>
          <w:b w:val="0"/>
        </w:rPr>
        <w:t>般公共预算财政拨款基本支出决算情况说明</w:t>
      </w:r>
      <w:bookmarkEnd w:id="32"/>
      <w:bookmarkEnd w:id="33"/>
      <w:bookmarkEnd w:id="34"/>
      <w:r>
        <w:rPr>
          <w:rStyle w:val="15"/>
          <w:rFonts w:ascii="黑体" w:hAnsi="黑体" w:eastAsia="黑体"/>
          <w:b w:val="0"/>
        </w:rPr>
        <w:tab/>
      </w:r>
    </w:p>
    <w:p>
      <w:pPr>
        <w:spacing w:line="600" w:lineRule="exact"/>
        <w:ind w:firstLine="645"/>
        <w:rPr>
          <w:rFonts w:hint="eastAsia" w:ascii="仿宋" w:hAnsi="仿宋" w:eastAsia="仿宋"/>
          <w:color w:val="000000"/>
          <w:szCs w:val="32"/>
        </w:rPr>
      </w:pPr>
      <w:r>
        <w:rPr>
          <w:rFonts w:hint="eastAsia" w:ascii="仿宋" w:hAnsi="仿宋" w:eastAsia="仿宋"/>
          <w:color w:val="000000"/>
          <w:szCs w:val="32"/>
        </w:rPr>
        <w:t xml:space="preserve">2020年一般公共预算财政拨款基本支出858.00万元，其中： </w:t>
      </w:r>
    </w:p>
    <w:p>
      <w:pPr>
        <w:spacing w:line="600" w:lineRule="exact"/>
        <w:ind w:firstLine="645"/>
        <w:rPr>
          <w:rFonts w:hint="eastAsia" w:ascii="仿宋" w:hAnsi="仿宋" w:eastAsia="仿宋"/>
          <w:color w:val="000000"/>
          <w:szCs w:val="32"/>
        </w:rPr>
      </w:pPr>
      <w:r>
        <w:rPr>
          <w:rFonts w:hint="eastAsia" w:ascii="仿宋" w:hAnsi="仿宋" w:eastAsia="仿宋"/>
          <w:color w:val="000000"/>
          <w:szCs w:val="32"/>
        </w:rPr>
        <w:t xml:space="preserve">人员经费776.94万元，主要包括：基本工资、津贴补贴、绩效工资、机关事业单位基本养老保险缴费、职业年金缴费、其他社会保障缴费、其他工资福利支出、退休费、抚恤金、生活补助、住房公积金、其他对个人和家庭的补助支出等。 </w:t>
      </w:r>
    </w:p>
    <w:p>
      <w:pPr>
        <w:spacing w:line="600" w:lineRule="exact"/>
        <w:ind w:firstLine="645"/>
        <w:rPr>
          <w:rFonts w:ascii="仿宋" w:hAnsi="仿宋" w:eastAsia="仿宋"/>
          <w:b/>
          <w:color w:val="FF0000"/>
          <w:szCs w:val="32"/>
        </w:rPr>
      </w:pPr>
      <w:r>
        <w:rPr>
          <w:rFonts w:hint="eastAsia" w:ascii="仿宋" w:hAnsi="仿宋" w:eastAsia="仿宋"/>
          <w:color w:val="000000"/>
          <w:szCs w:val="32"/>
        </w:rPr>
        <w:t>日常公用经费81.06万元，主要包括：办公费、水费、电费、邮电费、物业管理费、差旅费、维修（护）费、租赁费、培训费、劳务费、工会经费、其他交通费、税金及附加费用、其他商品和服务支出、办公设备购置等。</w:t>
      </w:r>
    </w:p>
    <w:p>
      <w:pPr>
        <w:spacing w:line="600" w:lineRule="exact"/>
        <w:ind w:firstLine="640"/>
        <w:outlineLvl w:val="1"/>
        <w:rPr>
          <w:rStyle w:val="15"/>
          <w:rFonts w:ascii="黑体" w:hAnsi="黑体" w:eastAsia="黑体"/>
          <w:b w:val="0"/>
        </w:rPr>
      </w:pPr>
      <w:bookmarkStart w:id="35" w:name="_Toc15396609"/>
      <w:bookmarkStart w:id="36" w:name="_Toc6926"/>
      <w:bookmarkStart w:id="37" w:name="_Toc15377215"/>
      <w:r>
        <w:rPr>
          <w:rFonts w:hint="eastAsia" w:ascii="黑体" w:eastAsia="黑体"/>
          <w:color w:val="000000"/>
          <w:szCs w:val="32"/>
        </w:rPr>
        <w:t>七、</w:t>
      </w:r>
      <w:r>
        <w:rPr>
          <w:rStyle w:val="15"/>
          <w:rFonts w:hint="eastAsia" w:ascii="黑体" w:hAnsi="黑体" w:eastAsia="黑体"/>
        </w:rPr>
        <w:t>“</w:t>
      </w:r>
      <w:r>
        <w:rPr>
          <w:rStyle w:val="15"/>
          <w:rFonts w:hint="eastAsia" w:ascii="黑体" w:hAnsi="黑体" w:eastAsia="黑体"/>
          <w:b w:val="0"/>
        </w:rPr>
        <w:t>三公”经费财政拨款支出决算情况说明</w:t>
      </w:r>
      <w:bookmarkEnd w:id="35"/>
      <w:bookmarkEnd w:id="36"/>
      <w:bookmarkEnd w:id="37"/>
    </w:p>
    <w:p>
      <w:pPr>
        <w:spacing w:line="600" w:lineRule="exact"/>
        <w:ind w:firstLine="640"/>
        <w:outlineLvl w:val="2"/>
        <w:rPr>
          <w:rFonts w:ascii="仿宋" w:hAnsi="仿宋" w:eastAsia="仿宋"/>
          <w:b/>
          <w:color w:val="000000"/>
          <w:szCs w:val="32"/>
        </w:rPr>
      </w:pPr>
      <w:bookmarkStart w:id="38" w:name="_Toc15377216"/>
      <w:r>
        <w:rPr>
          <w:rFonts w:hint="eastAsia" w:ascii="仿宋" w:hAnsi="仿宋" w:eastAsia="仿宋"/>
          <w:b/>
          <w:color w:val="000000"/>
          <w:szCs w:val="32"/>
        </w:rPr>
        <w:t>（一）“三公”经费财政拨款支出决算总体情况说明</w:t>
      </w:r>
      <w:bookmarkEnd w:id="38"/>
    </w:p>
    <w:p>
      <w:pPr>
        <w:spacing w:line="600" w:lineRule="exact"/>
        <w:ind w:firstLine="640"/>
        <w:rPr>
          <w:rFonts w:ascii="仿宋" w:hAnsi="仿宋" w:eastAsia="仿宋"/>
          <w:b/>
          <w:color w:val="FF0000"/>
          <w:szCs w:val="32"/>
        </w:rPr>
      </w:pPr>
      <w:r>
        <w:rPr>
          <w:rFonts w:hint="eastAsia" w:ascii="仿宋" w:hAnsi="仿宋" w:eastAsia="仿宋"/>
          <w:color w:val="000000"/>
          <w:szCs w:val="32"/>
        </w:rPr>
        <w:t>2020年“三公”经费财政拨款预算数为0万元，支出决算为0万元。</w:t>
      </w:r>
    </w:p>
    <w:p>
      <w:pPr>
        <w:spacing w:line="600" w:lineRule="exact"/>
        <w:ind w:firstLine="640"/>
        <w:outlineLvl w:val="2"/>
        <w:rPr>
          <w:rFonts w:ascii="仿宋" w:hAnsi="仿宋" w:eastAsia="仿宋"/>
          <w:b/>
          <w:color w:val="000000"/>
          <w:szCs w:val="32"/>
        </w:rPr>
      </w:pPr>
      <w:bookmarkStart w:id="39" w:name="_Toc15377217"/>
      <w:r>
        <w:rPr>
          <w:rFonts w:hint="eastAsia" w:ascii="仿宋" w:hAnsi="仿宋" w:eastAsia="仿宋"/>
          <w:b/>
          <w:color w:val="000000"/>
          <w:szCs w:val="32"/>
        </w:rPr>
        <w:t>（二）“三公”经费财政拨款支出决算具体情况说明</w:t>
      </w:r>
      <w:bookmarkEnd w:id="39"/>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年“三公”经费财政拨款支出决算中，因公出国（境）费支出决算0万元，占0</w:t>
      </w:r>
      <w:r>
        <w:rPr>
          <w:rFonts w:ascii="仿宋" w:hAnsi="仿宋" w:eastAsia="仿宋"/>
          <w:color w:val="000000"/>
          <w:szCs w:val="32"/>
        </w:rPr>
        <w:t>%</w:t>
      </w:r>
      <w:r>
        <w:rPr>
          <w:rFonts w:hint="eastAsia" w:ascii="仿宋" w:hAnsi="仿宋" w:eastAsia="仿宋"/>
          <w:color w:val="000000"/>
          <w:szCs w:val="32"/>
        </w:rPr>
        <w:t>；公务用车购置及运行维护费支出决算0万元，占0</w:t>
      </w:r>
      <w:r>
        <w:rPr>
          <w:rFonts w:ascii="仿宋" w:hAnsi="仿宋" w:eastAsia="仿宋"/>
          <w:color w:val="000000"/>
          <w:szCs w:val="32"/>
        </w:rPr>
        <w:t>%</w:t>
      </w:r>
      <w:r>
        <w:rPr>
          <w:rFonts w:hint="eastAsia" w:ascii="仿宋" w:hAnsi="仿宋" w:eastAsia="仿宋"/>
          <w:color w:val="000000"/>
          <w:szCs w:val="32"/>
        </w:rPr>
        <w:t>；公务接待费支出决算0万元，占0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rPr>
          <w:rFonts w:ascii="仿宋_GB2312"/>
          <w:b/>
          <w:color w:val="000000"/>
          <w:szCs w:val="32"/>
        </w:rPr>
      </w:pPr>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rPr>
        <w:t>0万元，</w:t>
      </w:r>
      <w:r>
        <w:rPr>
          <w:rStyle w:val="12"/>
          <w:rFonts w:hint="eastAsia" w:ascii="仿宋" w:hAnsi="仿宋" w:eastAsia="仿宋"/>
          <w:b w:val="0"/>
          <w:bCs/>
          <w:color w:val="000000"/>
          <w:szCs w:val="32"/>
        </w:rPr>
        <w:t>完成预算100</w:t>
      </w:r>
      <w:r>
        <w:rPr>
          <w:rStyle w:val="12"/>
          <w:rFonts w:ascii="仿宋" w:hAnsi="仿宋" w:eastAsia="仿宋"/>
          <w:b w:val="0"/>
          <w:bCs/>
          <w:color w:val="000000"/>
          <w:szCs w:val="32"/>
        </w:rPr>
        <w:t>%</w:t>
      </w:r>
      <w:r>
        <w:rPr>
          <w:rStyle w:val="12"/>
          <w:rFonts w:hint="eastAsia" w:ascii="仿宋" w:hAnsi="仿宋" w:eastAsia="仿宋"/>
          <w:b w:val="0"/>
          <w:bCs/>
          <w:color w:val="000000"/>
          <w:szCs w:val="32"/>
        </w:rPr>
        <w:t>。</w:t>
      </w:r>
      <w:r>
        <w:rPr>
          <w:rFonts w:hint="eastAsia" w:ascii="仿宋_GB2312"/>
          <w:color w:val="000000"/>
          <w:szCs w:val="32"/>
        </w:rPr>
        <w:t>全年安排因公出国（境）团组0次，出国（境）0人。因公出国（境）支出决算比</w:t>
      </w:r>
      <w:r>
        <w:rPr>
          <w:rFonts w:ascii="仿宋_GB2312"/>
          <w:color w:val="000000"/>
          <w:szCs w:val="32"/>
        </w:rPr>
        <w:t>201</w:t>
      </w:r>
      <w:r>
        <w:rPr>
          <w:rFonts w:hint="eastAsia" w:ascii="仿宋_GB2312"/>
          <w:color w:val="000000"/>
          <w:szCs w:val="32"/>
        </w:rPr>
        <w:t>9年增加</w:t>
      </w:r>
      <w:r>
        <w:rPr>
          <w:rFonts w:hint="eastAsia" w:ascii="仿宋_GB2312"/>
          <w:color w:val="000000"/>
          <w:szCs w:val="32"/>
          <w:lang w:val="en-US" w:eastAsia="zh-CN"/>
        </w:rPr>
        <w:t>0</w:t>
      </w:r>
      <w:r>
        <w:rPr>
          <w:rFonts w:hint="eastAsia" w:ascii="仿宋_GB2312"/>
          <w:color w:val="000000"/>
          <w:szCs w:val="32"/>
        </w:rPr>
        <w:t>万元。</w:t>
      </w:r>
    </w:p>
    <w:p>
      <w:pPr>
        <w:spacing w:line="600" w:lineRule="exact"/>
        <w:ind w:firstLine="640"/>
        <w:rPr>
          <w:rFonts w:ascii="仿宋_GB2312"/>
          <w:b/>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hint="eastAsia" w:ascii="仿宋_GB2312"/>
          <w:color w:val="000000"/>
          <w:szCs w:val="32"/>
        </w:rPr>
        <w:t>0万元</w:t>
      </w:r>
      <w:r>
        <w:rPr>
          <w:rFonts w:ascii="仿宋_GB2312"/>
          <w:color w:val="000000"/>
          <w:szCs w:val="32"/>
        </w:rPr>
        <w:t>,</w:t>
      </w:r>
      <w:r>
        <w:rPr>
          <w:rStyle w:val="12"/>
          <w:rFonts w:hint="eastAsia" w:ascii="仿宋" w:hAnsi="仿宋" w:eastAsia="仿宋"/>
          <w:b w:val="0"/>
          <w:bCs/>
          <w:color w:val="000000"/>
          <w:szCs w:val="32"/>
        </w:rPr>
        <w:t>完成预算100</w:t>
      </w:r>
      <w:r>
        <w:rPr>
          <w:rStyle w:val="12"/>
          <w:rFonts w:ascii="仿宋" w:hAnsi="仿宋" w:eastAsia="仿宋"/>
          <w:b w:val="0"/>
          <w:bCs/>
          <w:color w:val="000000"/>
          <w:szCs w:val="32"/>
        </w:rPr>
        <w:t>%</w:t>
      </w:r>
      <w:r>
        <w:rPr>
          <w:rStyle w:val="12"/>
          <w:rFonts w:hint="eastAsia" w:ascii="仿宋" w:hAnsi="仿宋" w:eastAsia="仿宋"/>
          <w:b w:val="0"/>
          <w:bCs/>
          <w:color w:val="000000"/>
          <w:szCs w:val="32"/>
        </w:rPr>
        <w:t>。</w:t>
      </w:r>
      <w:r>
        <w:rPr>
          <w:rFonts w:hint="eastAsia" w:ascii="仿宋_GB2312"/>
          <w:color w:val="000000"/>
          <w:szCs w:val="32"/>
        </w:rPr>
        <w:t>公务用车购置及运行维护费支出决算比2019年持平。</w:t>
      </w:r>
    </w:p>
    <w:p>
      <w:pPr>
        <w:spacing w:line="600" w:lineRule="exact"/>
        <w:ind w:firstLine="640" w:firstLineChars="200"/>
        <w:rPr>
          <w:rFonts w:ascii="仿宋_GB2312"/>
          <w:b/>
          <w:color w:val="000000"/>
          <w:szCs w:val="32"/>
        </w:rPr>
      </w:pPr>
      <w:r>
        <w:rPr>
          <w:rFonts w:hint="eastAsia" w:ascii="仿宋_GB2312"/>
          <w:color w:val="000000"/>
          <w:szCs w:val="32"/>
        </w:rPr>
        <w:t>其中：</w:t>
      </w:r>
      <w:r>
        <w:rPr>
          <w:rFonts w:hint="eastAsia" w:ascii="仿宋_GB2312"/>
          <w:b/>
          <w:color w:val="000000"/>
          <w:szCs w:val="32"/>
        </w:rPr>
        <w:t>公务用车购置支出</w:t>
      </w:r>
      <w:r>
        <w:rPr>
          <w:rFonts w:hint="eastAsia" w:ascii="仿宋_GB2312"/>
          <w:color w:val="000000"/>
          <w:szCs w:val="32"/>
        </w:rPr>
        <w:t>0万元。全年按规定更新购置公务用车0辆，其中：轿车0辆、金额0万元，越野车0辆、金额0万元，载客汽车0辆、金额0万元。截至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月底，单位共有公务用车0辆，其中：轿车0辆、越野车0辆、载客汽车0辆。</w:t>
      </w:r>
    </w:p>
    <w:p>
      <w:pPr>
        <w:spacing w:line="600" w:lineRule="exact"/>
        <w:ind w:firstLine="640"/>
        <w:rPr>
          <w:rFonts w:ascii="仿宋_GB2312"/>
          <w:color w:val="000000"/>
          <w:szCs w:val="32"/>
        </w:rPr>
      </w:pPr>
      <w:r>
        <w:rPr>
          <w:rFonts w:hint="eastAsia" w:ascii="仿宋_GB2312"/>
          <w:b/>
          <w:color w:val="000000"/>
          <w:szCs w:val="32"/>
        </w:rPr>
        <w:t>公务用车运行维护费支出</w:t>
      </w:r>
      <w:r>
        <w:rPr>
          <w:rFonts w:hint="eastAsia" w:ascii="仿宋_GB2312"/>
          <w:color w:val="000000"/>
          <w:szCs w:val="32"/>
        </w:rPr>
        <w:t>0万元。</w:t>
      </w:r>
    </w:p>
    <w:p>
      <w:pPr>
        <w:spacing w:line="600" w:lineRule="exact"/>
        <w:ind w:firstLine="640"/>
        <w:rPr>
          <w:rFonts w:ascii="仿宋_GB2312"/>
          <w:color w:val="000000"/>
          <w:szCs w:val="32"/>
        </w:rPr>
      </w:pPr>
      <w:r>
        <w:rPr>
          <w:rFonts w:ascii="仿宋_GB2312"/>
          <w:b/>
          <w:color w:val="000000"/>
          <w:szCs w:val="32"/>
        </w:rPr>
        <w:t>3.</w:t>
      </w:r>
      <w:r>
        <w:rPr>
          <w:rFonts w:hint="eastAsia" w:ascii="仿宋_GB2312"/>
          <w:b/>
          <w:color w:val="000000"/>
          <w:szCs w:val="32"/>
        </w:rPr>
        <w:t>公务接待费支出</w:t>
      </w:r>
      <w:r>
        <w:rPr>
          <w:rFonts w:hint="eastAsia" w:ascii="仿宋_GB2312"/>
          <w:color w:val="000000"/>
          <w:szCs w:val="32"/>
        </w:rPr>
        <w:t>0万元，</w:t>
      </w:r>
      <w:r>
        <w:rPr>
          <w:rStyle w:val="12"/>
          <w:rFonts w:hint="eastAsia" w:ascii="仿宋" w:hAnsi="仿宋" w:eastAsia="仿宋"/>
          <w:b w:val="0"/>
          <w:bCs/>
          <w:color w:val="000000"/>
          <w:szCs w:val="32"/>
        </w:rPr>
        <w:t>完成预算100%。</w:t>
      </w:r>
      <w:r>
        <w:rPr>
          <w:rFonts w:hint="eastAsia" w:ascii="仿宋_GB2312"/>
          <w:color w:val="000000"/>
          <w:szCs w:val="32"/>
        </w:rPr>
        <w:t>公务接待费支出决算比</w:t>
      </w:r>
      <w:r>
        <w:rPr>
          <w:rFonts w:ascii="仿宋_GB2312"/>
          <w:color w:val="000000"/>
          <w:szCs w:val="32"/>
        </w:rPr>
        <w:t>2019</w:t>
      </w:r>
      <w:r>
        <w:rPr>
          <w:rFonts w:hint="eastAsia" w:ascii="仿宋_GB2312"/>
          <w:color w:val="000000"/>
          <w:szCs w:val="32"/>
        </w:rPr>
        <w:t>年持平。</w:t>
      </w:r>
    </w:p>
    <w:p>
      <w:pPr>
        <w:spacing w:line="600" w:lineRule="exact"/>
        <w:ind w:firstLine="640"/>
        <w:rPr>
          <w:rFonts w:ascii="仿宋_GB2312"/>
          <w:color w:val="000000"/>
          <w:szCs w:val="32"/>
        </w:rPr>
      </w:pPr>
      <w:r>
        <w:rPr>
          <w:rFonts w:hint="eastAsia" w:ascii="仿宋" w:hAnsi="仿宋" w:eastAsia="仿宋"/>
          <w:b/>
          <w:color w:val="000000"/>
          <w:szCs w:val="32"/>
        </w:rPr>
        <w:t>国内公务接待支出0</w:t>
      </w:r>
      <w:r>
        <w:rPr>
          <w:rFonts w:hint="eastAsia" w:ascii="仿宋_GB2312"/>
          <w:color w:val="000000"/>
          <w:szCs w:val="32"/>
        </w:rPr>
        <w:t>万元。国内公务接待0批次，0人次（不包括陪同人员），共计支出0万元。</w:t>
      </w:r>
    </w:p>
    <w:p>
      <w:pPr>
        <w:spacing w:line="600" w:lineRule="exact"/>
        <w:ind w:firstLine="643" w:firstLineChars="200"/>
        <w:rPr>
          <w:rFonts w:ascii="仿宋_GB2312"/>
          <w:color w:val="000000"/>
          <w:szCs w:val="32"/>
        </w:rPr>
      </w:pPr>
      <w:r>
        <w:rPr>
          <w:rFonts w:hint="eastAsia" w:ascii="仿宋" w:hAnsi="仿宋" w:eastAsia="仿宋"/>
          <w:b/>
          <w:color w:val="000000"/>
          <w:szCs w:val="32"/>
        </w:rPr>
        <w:t>外事接待支出</w:t>
      </w:r>
      <w:r>
        <w:rPr>
          <w:rFonts w:hint="eastAsia" w:ascii="仿宋" w:hAnsi="仿宋" w:eastAsia="仿宋"/>
          <w:color w:val="000000"/>
          <w:szCs w:val="32"/>
        </w:rPr>
        <w:t>0</w:t>
      </w:r>
      <w:r>
        <w:rPr>
          <w:rFonts w:hint="eastAsia" w:ascii="仿宋_GB2312"/>
          <w:color w:val="000000"/>
          <w:szCs w:val="32"/>
        </w:rPr>
        <w:t>万元，外事接待0批次，0人，共计支出0万元。</w:t>
      </w:r>
    </w:p>
    <w:p>
      <w:pPr>
        <w:spacing w:line="600" w:lineRule="exact"/>
        <w:ind w:firstLine="640"/>
        <w:outlineLvl w:val="1"/>
        <w:rPr>
          <w:rStyle w:val="15"/>
          <w:rFonts w:ascii="黑体" w:hAnsi="黑体" w:eastAsia="黑体"/>
        </w:rPr>
      </w:pPr>
      <w:bookmarkStart w:id="40" w:name="_Toc9843"/>
      <w:bookmarkStart w:id="41" w:name="_Toc15396610"/>
      <w:bookmarkStart w:id="42" w:name="_Toc15377218"/>
      <w:r>
        <w:rPr>
          <w:rFonts w:hint="eastAsia" w:ascii="黑体" w:eastAsia="黑体"/>
          <w:color w:val="000000"/>
          <w:szCs w:val="32"/>
        </w:rPr>
        <w:t>八、</w:t>
      </w:r>
      <w:r>
        <w:rPr>
          <w:rStyle w:val="15"/>
          <w:rFonts w:hint="eastAsia" w:ascii="黑体" w:hAnsi="黑体" w:eastAsia="黑体"/>
          <w:b w:val="0"/>
        </w:rPr>
        <w:t>政府性基金预算支出决算情况说明</w:t>
      </w:r>
      <w:bookmarkEnd w:id="40"/>
      <w:bookmarkEnd w:id="41"/>
      <w:bookmarkEnd w:id="42"/>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年政府性基金预算拨款支出0万元。</w:t>
      </w:r>
    </w:p>
    <w:p>
      <w:pPr>
        <w:spacing w:line="600" w:lineRule="exact"/>
        <w:ind w:firstLine="640"/>
        <w:rPr>
          <w:rFonts w:ascii="仿宋_GB2312"/>
          <w:color w:val="000000"/>
          <w:szCs w:val="32"/>
        </w:rPr>
      </w:pPr>
    </w:p>
    <w:p>
      <w:pPr>
        <w:numPr>
          <w:ilvl w:val="0"/>
          <w:numId w:val="2"/>
        </w:numPr>
        <w:spacing w:line="600" w:lineRule="exact"/>
        <w:ind w:firstLine="640"/>
        <w:outlineLvl w:val="1"/>
        <w:rPr>
          <w:rStyle w:val="15"/>
          <w:rFonts w:ascii="黑体" w:hAnsi="黑体" w:eastAsia="黑体"/>
          <w:b w:val="0"/>
        </w:rPr>
      </w:pPr>
      <w:bookmarkStart w:id="43" w:name="_Toc15377219"/>
      <w:bookmarkStart w:id="44" w:name="_Toc15396611"/>
      <w:bookmarkStart w:id="45" w:name="_Toc10775"/>
      <w:r>
        <w:rPr>
          <w:rStyle w:val="15"/>
          <w:rFonts w:hint="eastAsia" w:ascii="黑体" w:hAnsi="黑体" w:eastAsia="黑体"/>
          <w:b w:val="0"/>
        </w:rPr>
        <w:t>国有资本经营预算支出决算情况说明</w:t>
      </w:r>
      <w:bookmarkEnd w:id="43"/>
      <w:bookmarkEnd w:id="44"/>
      <w:bookmarkEnd w:id="45"/>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年国有资本经营预算拨款支出0万元。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5"/>
          <w:rFonts w:ascii="黑体" w:hAnsi="黑体" w:eastAsia="黑体"/>
        </w:rPr>
      </w:pPr>
      <w:bookmarkStart w:id="46" w:name="_Toc738"/>
      <w:bookmarkStart w:id="47" w:name="_Toc15377221"/>
      <w:bookmarkStart w:id="48" w:name="_Toc15396612"/>
      <w:r>
        <w:rPr>
          <w:rFonts w:hint="eastAsia" w:ascii="黑体" w:hAnsi="黑体" w:eastAsia="黑体"/>
          <w:color w:val="000000"/>
          <w:szCs w:val="32"/>
        </w:rPr>
        <w:t>十</w:t>
      </w:r>
      <w:r>
        <w:rPr>
          <w:rStyle w:val="15"/>
          <w:rFonts w:hint="eastAsia" w:ascii="黑体" w:hAnsi="黑体" w:eastAsia="黑体"/>
        </w:rPr>
        <w:t>、</w:t>
      </w:r>
      <w:r>
        <w:rPr>
          <w:rStyle w:val="15"/>
          <w:rFonts w:hint="eastAsia" w:ascii="黑体" w:hAnsi="黑体" w:eastAsia="黑体"/>
          <w:b w:val="0"/>
        </w:rPr>
        <w:t>其他重要事项的情况说明</w:t>
      </w:r>
      <w:bookmarkEnd w:id="46"/>
      <w:bookmarkEnd w:id="47"/>
      <w:bookmarkEnd w:id="48"/>
    </w:p>
    <w:p>
      <w:pPr>
        <w:spacing w:line="600" w:lineRule="exact"/>
        <w:ind w:firstLine="643" w:firstLineChars="200"/>
        <w:outlineLvl w:val="2"/>
        <w:rPr>
          <w:rFonts w:ascii="仿宋" w:hAnsi="仿宋" w:eastAsia="仿宋"/>
          <w:color w:val="000000"/>
          <w:szCs w:val="32"/>
        </w:rPr>
      </w:pPr>
      <w:bookmarkStart w:id="49" w:name="_Toc15377222"/>
      <w:r>
        <w:rPr>
          <w:rFonts w:hint="eastAsia" w:ascii="仿宋" w:hAnsi="仿宋" w:eastAsia="仿宋"/>
          <w:b/>
          <w:color w:val="000000"/>
          <w:szCs w:val="32"/>
        </w:rPr>
        <w:t>（一）机关运行经费支出情况</w:t>
      </w:r>
      <w:bookmarkEnd w:id="49"/>
    </w:p>
    <w:p>
      <w:pPr>
        <w:spacing w:line="600" w:lineRule="exact"/>
        <w:ind w:firstLine="640" w:firstLineChars="200"/>
        <w:rPr>
          <w:rFonts w:ascii="仿宋_GB2312"/>
          <w:color w:val="000000"/>
          <w:szCs w:val="32"/>
        </w:rPr>
      </w:pPr>
      <w:r>
        <w:rPr>
          <w:rFonts w:hint="eastAsia" w:ascii="仿宋_GB2312"/>
          <w:color w:val="000000"/>
          <w:szCs w:val="32"/>
        </w:rPr>
        <w:t>德铭中学2020年无机关运行经费支出</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0" w:name="_Toc15377223"/>
      <w:r>
        <w:rPr>
          <w:rFonts w:hint="eastAsia" w:ascii="仿宋" w:hAnsi="仿宋" w:eastAsia="仿宋"/>
          <w:b/>
          <w:color w:val="000000"/>
          <w:szCs w:val="32"/>
        </w:rPr>
        <w:t>（二）政府采购支出情况</w:t>
      </w:r>
      <w:bookmarkEnd w:id="50"/>
    </w:p>
    <w:p>
      <w:pPr>
        <w:spacing w:line="600" w:lineRule="exact"/>
        <w:ind w:firstLine="640" w:firstLineChars="200"/>
        <w:rPr>
          <w:rFonts w:ascii="仿宋" w:hAnsi="仿宋" w:eastAsia="仿宋"/>
          <w:b/>
          <w:color w:val="FF0000"/>
          <w:szCs w:val="32"/>
        </w:rPr>
      </w:pPr>
      <w:r>
        <w:rPr>
          <w:rFonts w:hint="eastAsia" w:ascii="仿宋_GB2312"/>
          <w:color w:val="000000"/>
          <w:szCs w:val="32"/>
        </w:rPr>
        <w:t>2020年，德铭中学政府采购支出总额40.32万元，其中：政府采购货物支出0万元、政府采购工程支出40.32万元、政府采购服务支出0万元。主要用于运动场改造工程款支出。</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1" w:name="_Toc15377224"/>
      <w:r>
        <w:rPr>
          <w:rFonts w:hint="eastAsia" w:ascii="仿宋" w:hAnsi="仿宋" w:eastAsia="仿宋"/>
          <w:b/>
          <w:color w:val="000000"/>
          <w:szCs w:val="32"/>
        </w:rPr>
        <w:t>（三）国有资产占有使用情况</w:t>
      </w:r>
      <w:bookmarkEnd w:id="51"/>
    </w:p>
    <w:p>
      <w:pPr>
        <w:autoSpaceDE w:val="0"/>
        <w:autoSpaceDN w:val="0"/>
        <w:adjustRightInd w:val="0"/>
        <w:spacing w:line="600" w:lineRule="exact"/>
        <w:ind w:firstLine="640" w:firstLineChars="200"/>
        <w:jc w:val="left"/>
        <w:rPr>
          <w:rFonts w:ascii="仿宋" w:hAnsi="仿宋" w:eastAsia="仿宋"/>
          <w:b/>
          <w:color w:val="FF0000"/>
          <w:szCs w:val="32"/>
        </w:rPr>
      </w:pPr>
      <w:r>
        <w:rPr>
          <w:rFonts w:hint="eastAsia" w:ascii="仿宋_GB2312"/>
          <w:color w:val="000000"/>
          <w:szCs w:val="32"/>
        </w:rPr>
        <w:t>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w:t>
      </w:r>
      <w:r>
        <w:rPr>
          <w:rFonts w:ascii="仿宋_GB2312"/>
          <w:color w:val="000000"/>
          <w:szCs w:val="32"/>
        </w:rPr>
        <w:t>31</w:t>
      </w:r>
      <w:r>
        <w:rPr>
          <w:rFonts w:hint="eastAsia" w:ascii="仿宋_GB2312"/>
          <w:color w:val="000000"/>
          <w:szCs w:val="32"/>
        </w:rPr>
        <w:t>日，共有车辆0辆。</w:t>
      </w:r>
    </w:p>
    <w:p>
      <w:pPr>
        <w:autoSpaceDE w:val="0"/>
        <w:autoSpaceDN w:val="0"/>
        <w:adjustRightInd w:val="0"/>
        <w:spacing w:line="600" w:lineRule="exact"/>
        <w:ind w:firstLine="643" w:firstLineChars="200"/>
        <w:jc w:val="left"/>
        <w:outlineLvl w:val="2"/>
        <w:rPr>
          <w:rFonts w:ascii="仿宋" w:hAnsi="仿宋" w:eastAsia="仿宋"/>
          <w:b/>
          <w:color w:val="000000"/>
          <w:szCs w:val="32"/>
        </w:rPr>
      </w:pPr>
      <w:r>
        <w:rPr>
          <w:rFonts w:hint="eastAsia" w:ascii="仿宋" w:hAnsi="仿宋" w:eastAsia="仿宋"/>
          <w:b/>
          <w:color w:val="000000"/>
          <w:szCs w:val="32"/>
        </w:rPr>
        <w:t>（四）预算绩效管理情况。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根据预算绩效管理要求，自贡市德铭中学校在年初预算编制阶段，对1个项目编制了绩效目标，预算执行过程中，选取1个项目开展绩效监控，年终执行完毕后，对1个项目开展了绩效目标完成情况梳理填报。</w:t>
      </w:r>
    </w:p>
    <w:p>
      <w:pPr>
        <w:spacing w:line="580" w:lineRule="exact"/>
        <w:ind w:firstLine="640" w:firstLineChars="200"/>
        <w:rPr>
          <w:rFonts w:ascii="仿宋_GB2312" w:hAnsi="仿宋_GB2312" w:cs="仿宋_GB2312"/>
          <w:szCs w:val="32"/>
        </w:rPr>
      </w:pPr>
    </w:p>
    <w:tbl>
      <w:tblPr>
        <w:tblStyle w:val="10"/>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bottom w:w="0" w:type="dxa"/>
              <w:right w:w="15" w:type="dxa"/>
            </w:tcMar>
            <w:vAlign w:val="center"/>
          </w:tcPr>
          <w:p>
            <w:pPr>
              <w:widowControl/>
              <w:jc w:val="center"/>
              <w:textAlignment w:val="center"/>
              <w:rPr>
                <w:rFonts w:ascii="宋体" w:hAnsi="宋体" w:cs="宋体"/>
                <w:b/>
                <w:bCs/>
                <w:kern w:val="0"/>
                <w:sz w:val="36"/>
                <w:szCs w:val="36"/>
              </w:rPr>
            </w:pPr>
            <w:r>
              <w:rPr>
                <w:rFonts w:hint="eastAsia" w:ascii="仿宋_GB2312" w:hAnsi="宋体" w:cs="宋体"/>
                <w:b/>
                <w:bCs/>
                <w:kern w:val="0"/>
                <w:sz w:val="36"/>
                <w:szCs w:val="36"/>
              </w:rPr>
              <w:t>项目绩效目标完成情况表</w:t>
            </w:r>
          </w:p>
          <w:p>
            <w:pPr>
              <w:widowControl/>
              <w:jc w:val="center"/>
              <w:textAlignment w:val="center"/>
              <w:rPr>
                <w:rFonts w:ascii="宋体"/>
                <w:sz w:val="36"/>
                <w:szCs w:val="36"/>
              </w:rPr>
            </w:pPr>
            <w:r>
              <w:rPr>
                <w:rFonts w:hint="eastAsia" w:ascii="宋体" w:hAnsi="宋体"/>
                <w:kern w:val="0"/>
                <w:sz w:val="36"/>
                <w:szCs w:val="36"/>
              </w:rPr>
              <w:t>(2020</w:t>
            </w:r>
            <w:r>
              <w:rPr>
                <w:rFonts w:hint="eastAsia" w:ascii="仿宋_GB2312" w:hAnsi="宋体" w:cs="宋体"/>
                <w:kern w:val="0"/>
                <w:sz w:val="36"/>
                <w:szCs w:val="36"/>
              </w:rPr>
              <w:t>年度</w:t>
            </w:r>
            <w:r>
              <w:rPr>
                <w:rFonts w:hint="eastAsia" w:ascii="宋体" w:hAnsi="宋体"/>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项目名称</w:t>
            </w:r>
          </w:p>
        </w:tc>
        <w:tc>
          <w:tcPr>
            <w:tcW w:w="7178" w:type="dxa"/>
            <w:gridSpan w:val="3"/>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autoSpaceDE w:val="0"/>
              <w:autoSpaceDN w:val="0"/>
              <w:adjustRightInd w:val="0"/>
              <w:jc w:val="center"/>
              <w:rPr>
                <w:rFonts w:hint="eastAsia" w:ascii="宋体" w:hAnsi="??_GB2312"/>
                <w:kern w:val="0"/>
                <w:sz w:val="22"/>
                <w:szCs w:val="22"/>
              </w:rPr>
            </w:pPr>
            <w:r>
              <w:rPr>
                <w:rFonts w:hint="eastAsia" w:ascii="仿宋_GB2312" w:hAnsi="??_GB2312" w:cs="??_GB2312"/>
                <w:kern w:val="0"/>
              </w:rPr>
              <w:t>运动场改造工程</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预算单位</w:t>
            </w:r>
          </w:p>
        </w:tc>
        <w:tc>
          <w:tcPr>
            <w:tcW w:w="7178" w:type="dxa"/>
            <w:gridSpan w:val="3"/>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autoSpaceDE w:val="0"/>
              <w:autoSpaceDN w:val="0"/>
              <w:adjustRightInd w:val="0"/>
              <w:jc w:val="center"/>
              <w:rPr>
                <w:rFonts w:hint="eastAsia" w:ascii="宋体" w:hAnsi="??_GB2312"/>
                <w:kern w:val="0"/>
                <w:sz w:val="22"/>
                <w:szCs w:val="22"/>
              </w:rPr>
            </w:pPr>
            <w:r>
              <w:rPr>
                <w:rFonts w:hint="eastAsia" w:ascii="仿宋_GB2312" w:hAnsi="??_GB2312"/>
                <w:kern w:val="0"/>
                <w:sz w:val="22"/>
                <w:szCs w:val="22"/>
              </w:rPr>
              <w:t>自贡市德铭中学校</w:t>
            </w:r>
          </w:p>
        </w:tc>
      </w:tr>
      <w:tr>
        <w:tblPrEx>
          <w:tblCellMar>
            <w:top w:w="0" w:type="dxa"/>
            <w:left w:w="0" w:type="dxa"/>
            <w:bottom w:w="0" w:type="dxa"/>
            <w:right w:w="0" w:type="dxa"/>
          </w:tblCellMar>
        </w:tblPrEx>
        <w:trPr>
          <w:trHeight w:val="244" w:hRule="atLeast"/>
          <w:jc w:val="center"/>
        </w:trPr>
        <w:tc>
          <w:tcPr>
            <w:tcW w:w="390" w:type="dxa"/>
            <w:vMerge w:val="restar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预算执行情况</w:t>
            </w:r>
            <w:r>
              <w:rPr>
                <w:rFonts w:hint="eastAsia" w:ascii="宋体" w:hAnsi="宋体"/>
                <w:color w:val="000000"/>
                <w:kern w:val="0"/>
                <w:sz w:val="24"/>
              </w:rPr>
              <w:t>(</w:t>
            </w:r>
            <w:r>
              <w:rPr>
                <w:rFonts w:hint="eastAsia" w:ascii="仿宋_GB2312" w:hAnsi="宋体" w:cs="宋体"/>
                <w:color w:val="000000"/>
                <w:kern w:val="0"/>
                <w:sz w:val="24"/>
              </w:rPr>
              <w:t>万元</w:t>
            </w:r>
            <w:r>
              <w:rPr>
                <w:rFonts w:hint="eastAsia" w:ascii="宋体" w:hAnsi="宋体"/>
                <w:color w:val="000000"/>
                <w:kern w:val="0"/>
                <w:sz w:val="24"/>
              </w:rPr>
              <w:t>)</w:t>
            </w:r>
          </w:p>
        </w:tc>
        <w:tc>
          <w:tcPr>
            <w:tcW w:w="2392" w:type="dxa"/>
            <w:gridSpan w:val="2"/>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autoSpaceDE w:val="0"/>
              <w:autoSpaceDN w:val="0"/>
              <w:adjustRightInd w:val="0"/>
              <w:jc w:val="center"/>
              <w:rPr>
                <w:rFonts w:hint="eastAsia" w:ascii="宋体" w:hAnsi="??_GB2312"/>
                <w:kern w:val="0"/>
                <w:sz w:val="22"/>
                <w:szCs w:val="22"/>
              </w:rPr>
            </w:pPr>
            <w:r>
              <w:rPr>
                <w:rFonts w:hint="eastAsia" w:ascii="宋体" w:hAnsi="宋体" w:eastAsia="宋体" w:cs="宋体"/>
                <w:kern w:val="0"/>
                <w:sz w:val="22"/>
                <w:szCs w:val="22"/>
              </w:rPr>
              <w:t>40.32</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autoSpaceDE w:val="0"/>
              <w:autoSpaceDN w:val="0"/>
              <w:adjustRightInd w:val="0"/>
              <w:jc w:val="center"/>
              <w:rPr>
                <w:rFonts w:hint="eastAsia" w:ascii="宋体" w:hAnsi="??_GB2312"/>
                <w:kern w:val="0"/>
                <w:sz w:val="22"/>
                <w:szCs w:val="22"/>
              </w:rPr>
            </w:pPr>
            <w:r>
              <w:rPr>
                <w:rFonts w:hint="eastAsia" w:ascii="宋体" w:hAnsi="宋体" w:eastAsia="宋体" w:cs="宋体"/>
                <w:kern w:val="0"/>
                <w:sz w:val="22"/>
                <w:szCs w:val="22"/>
              </w:rPr>
              <w:t>40.32</w:t>
            </w:r>
          </w:p>
        </w:tc>
        <w:tc>
          <w:tcPr>
            <w:tcW w:w="239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autoSpaceDE w:val="0"/>
              <w:autoSpaceDN w:val="0"/>
              <w:adjustRightInd w:val="0"/>
              <w:jc w:val="center"/>
              <w:rPr>
                <w:rFonts w:hint="eastAsia" w:ascii="宋体" w:hAnsi="??_GB2312"/>
                <w:kern w:val="0"/>
                <w:sz w:val="22"/>
                <w:szCs w:val="22"/>
              </w:rPr>
            </w:pPr>
            <w:r>
              <w:rPr>
                <w:rFonts w:hint="eastAsia" w:ascii="宋体" w:hAnsi="宋体" w:eastAsia="宋体" w:cs="宋体"/>
                <w:kern w:val="0"/>
                <w:sz w:val="22"/>
                <w:szCs w:val="22"/>
              </w:rPr>
              <w:t>40.32</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p>
        </w:tc>
      </w:tr>
      <w:tr>
        <w:tblPrEx>
          <w:tblCellMar>
            <w:top w:w="0" w:type="dxa"/>
            <w:left w:w="0" w:type="dxa"/>
            <w:bottom w:w="0" w:type="dxa"/>
            <w:right w:w="0" w:type="dxa"/>
          </w:tblCellMar>
        </w:tblPrEx>
        <w:trPr>
          <w:trHeight w:val="276" w:hRule="atLeast"/>
          <w:jc w:val="center"/>
        </w:trPr>
        <w:tc>
          <w:tcPr>
            <w:tcW w:w="9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olor w:val="000000"/>
                <w:sz w:val="24"/>
              </w:rPr>
            </w:pPr>
          </w:p>
        </w:tc>
        <w:tc>
          <w:tcPr>
            <w:tcW w:w="2392" w:type="dxa"/>
            <w:gridSpan w:val="2"/>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autoSpaceDE w:val="0"/>
              <w:autoSpaceDN w:val="0"/>
              <w:adjustRightInd w:val="0"/>
              <w:jc w:val="center"/>
              <w:rPr>
                <w:rFonts w:hint="eastAsia" w:ascii="宋体" w:hAnsi="??_GB2312"/>
                <w:kern w:val="0"/>
                <w:sz w:val="22"/>
                <w:szCs w:val="22"/>
              </w:rPr>
            </w:pPr>
            <w:r>
              <w:rPr>
                <w:rFonts w:hint="eastAsia" w:ascii="宋体" w:hAnsi="宋体" w:eastAsia="宋体" w:cs="宋体"/>
                <w:kern w:val="0"/>
                <w:sz w:val="22"/>
                <w:szCs w:val="22"/>
              </w:rPr>
              <w:t>40.32</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autoSpaceDE w:val="0"/>
              <w:autoSpaceDN w:val="0"/>
              <w:adjustRightInd w:val="0"/>
              <w:jc w:val="center"/>
              <w:rPr>
                <w:rFonts w:hint="eastAsia" w:ascii="宋体" w:hAnsi="??_GB2312"/>
                <w:kern w:val="0"/>
                <w:sz w:val="22"/>
                <w:szCs w:val="22"/>
              </w:rPr>
            </w:pPr>
            <w:r>
              <w:rPr>
                <w:rFonts w:hint="eastAsia" w:ascii="宋体" w:hAnsi="宋体" w:eastAsia="宋体" w:cs="宋体"/>
                <w:kern w:val="0"/>
                <w:sz w:val="22"/>
                <w:szCs w:val="22"/>
              </w:rPr>
              <w:t>40.32</w:t>
            </w:r>
          </w:p>
        </w:tc>
        <w:tc>
          <w:tcPr>
            <w:tcW w:w="239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autoSpaceDE w:val="0"/>
              <w:autoSpaceDN w:val="0"/>
              <w:adjustRightInd w:val="0"/>
              <w:jc w:val="center"/>
              <w:rPr>
                <w:rFonts w:hint="eastAsia" w:ascii="宋体" w:hAnsi="??_GB2312"/>
                <w:kern w:val="0"/>
                <w:sz w:val="22"/>
                <w:szCs w:val="22"/>
              </w:rPr>
            </w:pPr>
            <w:r>
              <w:rPr>
                <w:rFonts w:hint="eastAsia" w:ascii="宋体" w:hAnsi="宋体" w:eastAsia="宋体" w:cs="宋体"/>
                <w:kern w:val="0"/>
                <w:sz w:val="22"/>
                <w:szCs w:val="22"/>
              </w:rPr>
              <w:t>40.32</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p>
        </w:tc>
      </w:tr>
      <w:tr>
        <w:tblPrEx>
          <w:tblCellMar>
            <w:top w:w="0" w:type="dxa"/>
            <w:left w:w="0" w:type="dxa"/>
            <w:bottom w:w="0" w:type="dxa"/>
            <w:right w:w="0" w:type="dxa"/>
          </w:tblCellMar>
        </w:tblPrEx>
        <w:trPr>
          <w:trHeight w:val="1511" w:hRule="atLeast"/>
          <w:jc w:val="center"/>
        </w:trPr>
        <w:tc>
          <w:tcPr>
            <w:tcW w:w="9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olor w:val="000000"/>
                <w:sz w:val="24"/>
              </w:rPr>
            </w:pPr>
          </w:p>
        </w:tc>
        <w:tc>
          <w:tcPr>
            <w:tcW w:w="2392" w:type="dxa"/>
            <w:gridSpan w:val="2"/>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其它资金</w:t>
            </w:r>
            <w:r>
              <w:rPr>
                <w:rFonts w:hint="eastAsia" w:ascii="宋体" w:hAnsi="宋体"/>
                <w:color w:val="000000"/>
                <w:kern w:val="0"/>
                <w:sz w:val="24"/>
              </w:rPr>
              <w:t>:</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宋体" w:hAnsi="宋体" w:eastAsia="宋体" w:cs="宋体"/>
                <w:color w:val="000000"/>
                <w:sz w:val="24"/>
              </w:rPr>
              <w:t>0</w:t>
            </w:r>
          </w:p>
        </w:tc>
        <w:tc>
          <w:tcPr>
            <w:tcW w:w="239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其它资金</w:t>
            </w:r>
            <w:r>
              <w:rPr>
                <w:rFonts w:hint="eastAsia" w:ascii="宋体" w:hAnsi="宋体"/>
                <w:color w:val="000000"/>
                <w:kern w:val="0"/>
                <w:sz w:val="24"/>
              </w:rPr>
              <w:t>:</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jc w:val="center"/>
              <w:rPr>
                <w:rFonts w:ascii="宋体"/>
                <w:color w:val="000000"/>
                <w:sz w:val="24"/>
              </w:rPr>
            </w:pPr>
            <w:r>
              <w:rPr>
                <w:rFonts w:hint="eastAsia" w:ascii="宋体" w:hAnsi="宋体" w:eastAsia="宋体" w:cs="宋体"/>
                <w:color w:val="000000"/>
                <w:sz w:val="24"/>
              </w:rPr>
              <w:t>0</w:t>
            </w:r>
          </w:p>
        </w:tc>
      </w:tr>
      <w:tr>
        <w:tblPrEx>
          <w:tblCellMar>
            <w:top w:w="0" w:type="dxa"/>
            <w:left w:w="0" w:type="dxa"/>
            <w:bottom w:w="0" w:type="dxa"/>
            <w:right w:w="0" w:type="dxa"/>
          </w:tblCellMar>
        </w:tblPrEx>
        <w:trPr>
          <w:trHeight w:val="276" w:hRule="atLeast"/>
          <w:jc w:val="center"/>
        </w:trPr>
        <w:tc>
          <w:tcPr>
            <w:tcW w:w="390" w:type="dxa"/>
            <w:vMerge w:val="restart"/>
            <w:tcBorders>
              <w:top w:val="nil"/>
              <w:left w:val="single" w:color="000000" w:sz="4" w:space="0"/>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年度目标完成情况</w:t>
            </w:r>
          </w:p>
        </w:tc>
        <w:tc>
          <w:tcPr>
            <w:tcW w:w="4784" w:type="dxa"/>
            <w:gridSpan w:val="3"/>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预期目标</w:t>
            </w:r>
          </w:p>
        </w:tc>
        <w:tc>
          <w:tcPr>
            <w:tcW w:w="4786" w:type="dxa"/>
            <w:gridSpan w:val="2"/>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9960" w:type="dxa"/>
            <w:vMerge w:val="continue"/>
            <w:tcBorders>
              <w:top w:val="nil"/>
              <w:left w:val="single" w:color="000000" w:sz="4" w:space="0"/>
              <w:bottom w:val="single" w:color="000000" w:sz="4" w:space="0"/>
              <w:right w:val="single" w:color="000000" w:sz="4" w:space="0"/>
            </w:tcBorders>
            <w:vAlign w:val="center"/>
          </w:tcPr>
          <w:p>
            <w:pPr>
              <w:widowControl/>
              <w:jc w:val="left"/>
              <w:rPr>
                <w:rFonts w:ascii="宋体"/>
                <w:color w:val="000000"/>
                <w:sz w:val="24"/>
              </w:rPr>
            </w:pPr>
          </w:p>
        </w:tc>
        <w:tc>
          <w:tcPr>
            <w:tcW w:w="4784" w:type="dxa"/>
            <w:gridSpan w:val="3"/>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autoSpaceDE w:val="0"/>
              <w:autoSpaceDN w:val="0"/>
              <w:adjustRightInd w:val="0"/>
              <w:jc w:val="left"/>
              <w:rPr>
                <w:rFonts w:hint="eastAsia" w:ascii="宋体" w:hAnsi="??_GB2312"/>
                <w:kern w:val="0"/>
                <w:sz w:val="22"/>
                <w:szCs w:val="22"/>
              </w:rPr>
            </w:pPr>
            <w:r>
              <w:rPr>
                <w:rFonts w:hint="eastAsia" w:ascii="宋体" w:hAnsi="宋体" w:eastAsia="宋体" w:cs="宋体"/>
                <w:kern w:val="0"/>
                <w:sz w:val="22"/>
                <w:szCs w:val="22"/>
              </w:rPr>
              <w:t>1.</w:t>
            </w:r>
            <w:r>
              <w:rPr>
                <w:rFonts w:hint="eastAsia" w:ascii="仿宋_GB2312" w:hAnsi="??_GB2312" w:cs="宋体"/>
                <w:kern w:val="0"/>
                <w:sz w:val="22"/>
                <w:szCs w:val="22"/>
              </w:rPr>
              <w:t>进行运动场改造工程；</w:t>
            </w:r>
          </w:p>
          <w:p>
            <w:pPr>
              <w:autoSpaceDE w:val="0"/>
              <w:autoSpaceDN w:val="0"/>
              <w:adjustRightInd w:val="0"/>
              <w:jc w:val="left"/>
              <w:rPr>
                <w:rFonts w:hint="eastAsia" w:ascii="宋体" w:hAnsi="??_GB2312"/>
                <w:kern w:val="0"/>
                <w:sz w:val="22"/>
                <w:szCs w:val="22"/>
              </w:rPr>
            </w:pPr>
            <w:r>
              <w:rPr>
                <w:rFonts w:hint="eastAsia" w:ascii="宋体" w:hAnsi="宋体" w:eastAsia="宋体" w:cs="宋体"/>
                <w:kern w:val="0"/>
                <w:sz w:val="22"/>
                <w:szCs w:val="22"/>
              </w:rPr>
              <w:t>2.</w:t>
            </w:r>
            <w:r>
              <w:rPr>
                <w:rFonts w:hint="eastAsia" w:ascii="仿宋_GB2312" w:hAnsi="??_GB2312" w:cs="宋体"/>
                <w:kern w:val="0"/>
                <w:sz w:val="22"/>
                <w:szCs w:val="22"/>
              </w:rPr>
              <w:t>改善学校办学条件；</w:t>
            </w:r>
          </w:p>
          <w:p>
            <w:pPr>
              <w:autoSpaceDE w:val="0"/>
              <w:autoSpaceDN w:val="0"/>
              <w:adjustRightInd w:val="0"/>
              <w:jc w:val="left"/>
              <w:rPr>
                <w:rFonts w:hint="eastAsia" w:ascii="宋体" w:hAnsi="??_GB2312"/>
                <w:kern w:val="0"/>
                <w:sz w:val="22"/>
                <w:szCs w:val="22"/>
              </w:rPr>
            </w:pPr>
            <w:r>
              <w:rPr>
                <w:rFonts w:hint="eastAsia" w:ascii="宋体" w:hAnsi="宋体" w:eastAsia="宋体" w:cs="宋体"/>
                <w:kern w:val="0"/>
                <w:sz w:val="22"/>
                <w:szCs w:val="22"/>
              </w:rPr>
              <w:t>3.</w:t>
            </w:r>
            <w:r>
              <w:rPr>
                <w:rFonts w:hint="eastAsia" w:ascii="仿宋_GB2312" w:hAnsi="??_GB2312" w:cs="宋体"/>
                <w:kern w:val="0"/>
                <w:sz w:val="22"/>
                <w:szCs w:val="22"/>
              </w:rPr>
              <w:t>服务满意度</w:t>
            </w:r>
            <w:r>
              <w:rPr>
                <w:rFonts w:hint="eastAsia" w:ascii="宋体" w:hAnsi="宋体" w:eastAsia="宋体" w:cs="宋体"/>
                <w:kern w:val="0"/>
                <w:sz w:val="22"/>
                <w:szCs w:val="22"/>
              </w:rPr>
              <w:t>90%</w:t>
            </w:r>
            <w:r>
              <w:rPr>
                <w:rFonts w:hint="eastAsia" w:ascii="仿宋_GB2312" w:hAnsi="??_GB2312" w:cs="宋体"/>
                <w:kern w:val="0"/>
                <w:sz w:val="22"/>
                <w:szCs w:val="22"/>
              </w:rPr>
              <w:t>；</w:t>
            </w:r>
          </w:p>
          <w:p>
            <w:pPr>
              <w:autoSpaceDE w:val="0"/>
              <w:autoSpaceDN w:val="0"/>
              <w:adjustRightInd w:val="0"/>
              <w:jc w:val="left"/>
              <w:rPr>
                <w:rFonts w:hint="eastAsia" w:ascii="宋体" w:hAnsi="??_GB2312"/>
                <w:kern w:val="0"/>
                <w:sz w:val="22"/>
                <w:szCs w:val="22"/>
              </w:rPr>
            </w:pPr>
            <w:r>
              <w:rPr>
                <w:rFonts w:hint="eastAsia" w:ascii="宋体" w:hAnsi="宋体" w:eastAsia="宋体" w:cs="宋体"/>
                <w:kern w:val="0"/>
                <w:sz w:val="22"/>
                <w:szCs w:val="22"/>
              </w:rPr>
              <w:t>4.</w:t>
            </w:r>
            <w:r>
              <w:rPr>
                <w:rFonts w:hint="eastAsia" w:ascii="仿宋_GB2312" w:hAnsi="??_GB2312" w:cs="宋体"/>
                <w:kern w:val="0"/>
                <w:sz w:val="22"/>
                <w:szCs w:val="22"/>
              </w:rPr>
              <w:t>完成时间</w:t>
            </w:r>
            <w:r>
              <w:rPr>
                <w:rFonts w:hint="eastAsia" w:ascii="宋体" w:hAnsi="宋体" w:eastAsia="宋体" w:cs="宋体"/>
                <w:kern w:val="0"/>
                <w:sz w:val="22"/>
                <w:szCs w:val="22"/>
              </w:rPr>
              <w:t>2020</w:t>
            </w:r>
            <w:r>
              <w:rPr>
                <w:rFonts w:hint="eastAsia" w:ascii="仿宋_GB2312" w:hAnsi="??_GB2312" w:cs="宋体"/>
                <w:kern w:val="0"/>
                <w:sz w:val="22"/>
                <w:szCs w:val="22"/>
              </w:rPr>
              <w:t>年</w:t>
            </w:r>
            <w:r>
              <w:rPr>
                <w:rFonts w:hint="eastAsia" w:ascii="宋体" w:hAnsi="宋体" w:eastAsia="宋体" w:cs="宋体"/>
                <w:kern w:val="0"/>
                <w:sz w:val="22"/>
                <w:szCs w:val="22"/>
              </w:rPr>
              <w:t>12</w:t>
            </w:r>
            <w:r>
              <w:rPr>
                <w:rFonts w:hint="eastAsia" w:ascii="仿宋_GB2312" w:hAnsi="??_GB2312" w:cs="宋体"/>
                <w:kern w:val="0"/>
                <w:sz w:val="22"/>
                <w:szCs w:val="22"/>
              </w:rPr>
              <w:t>月</w:t>
            </w:r>
          </w:p>
        </w:tc>
        <w:tc>
          <w:tcPr>
            <w:tcW w:w="4786" w:type="dxa"/>
            <w:gridSpan w:val="2"/>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autoSpaceDE w:val="0"/>
              <w:autoSpaceDN w:val="0"/>
              <w:adjustRightInd w:val="0"/>
              <w:jc w:val="left"/>
              <w:rPr>
                <w:rFonts w:hint="eastAsia" w:ascii="宋体" w:hAnsi="??_GB2312"/>
                <w:kern w:val="0"/>
                <w:sz w:val="22"/>
                <w:szCs w:val="22"/>
              </w:rPr>
            </w:pPr>
            <w:r>
              <w:rPr>
                <w:rFonts w:hint="eastAsia" w:ascii="宋体" w:hAnsi="宋体" w:eastAsia="宋体" w:cs="宋体"/>
                <w:kern w:val="0"/>
                <w:sz w:val="22"/>
                <w:szCs w:val="22"/>
              </w:rPr>
              <w:t>1.</w:t>
            </w:r>
            <w:r>
              <w:rPr>
                <w:rFonts w:hint="eastAsia" w:ascii="仿宋_GB2312" w:hAnsi="??_GB2312" w:cs="宋体"/>
                <w:kern w:val="0"/>
                <w:sz w:val="22"/>
                <w:szCs w:val="22"/>
              </w:rPr>
              <w:t>进行运动场改造工程，按照合同进行工程款的支付；</w:t>
            </w:r>
          </w:p>
          <w:p>
            <w:pPr>
              <w:autoSpaceDE w:val="0"/>
              <w:autoSpaceDN w:val="0"/>
              <w:adjustRightInd w:val="0"/>
              <w:jc w:val="left"/>
              <w:rPr>
                <w:rFonts w:hint="eastAsia" w:ascii="宋体" w:hAnsi="??_GB2312"/>
                <w:kern w:val="0"/>
                <w:sz w:val="22"/>
                <w:szCs w:val="22"/>
              </w:rPr>
            </w:pPr>
            <w:r>
              <w:rPr>
                <w:rFonts w:hint="eastAsia" w:ascii="宋体" w:hAnsi="宋体" w:eastAsia="宋体" w:cs="宋体"/>
                <w:kern w:val="0"/>
                <w:sz w:val="22"/>
                <w:szCs w:val="22"/>
              </w:rPr>
              <w:t>2.</w:t>
            </w:r>
            <w:r>
              <w:rPr>
                <w:rFonts w:hint="eastAsia" w:ascii="仿宋_GB2312" w:hAnsi="??_GB2312" w:cs="宋体"/>
                <w:kern w:val="0"/>
                <w:sz w:val="22"/>
                <w:szCs w:val="22"/>
              </w:rPr>
              <w:t>改善学校办学条件；</w:t>
            </w:r>
          </w:p>
          <w:p>
            <w:pPr>
              <w:autoSpaceDE w:val="0"/>
              <w:autoSpaceDN w:val="0"/>
              <w:adjustRightInd w:val="0"/>
              <w:jc w:val="left"/>
              <w:rPr>
                <w:rFonts w:hint="eastAsia" w:ascii="宋体" w:hAnsi="??_GB2312"/>
                <w:kern w:val="0"/>
                <w:sz w:val="22"/>
                <w:szCs w:val="22"/>
              </w:rPr>
            </w:pPr>
            <w:r>
              <w:rPr>
                <w:rFonts w:hint="eastAsia" w:ascii="宋体" w:hAnsi="宋体" w:eastAsia="宋体" w:cs="宋体"/>
                <w:kern w:val="0"/>
                <w:sz w:val="22"/>
                <w:szCs w:val="22"/>
              </w:rPr>
              <w:t>3.</w:t>
            </w:r>
            <w:r>
              <w:rPr>
                <w:rFonts w:hint="eastAsia" w:ascii="仿宋_GB2312" w:hAnsi="??_GB2312" w:cs="宋体"/>
                <w:kern w:val="0"/>
                <w:sz w:val="22"/>
                <w:szCs w:val="22"/>
              </w:rPr>
              <w:t>服务满意度</w:t>
            </w:r>
            <w:r>
              <w:rPr>
                <w:rFonts w:hint="eastAsia" w:ascii="宋体" w:hAnsi="宋体" w:eastAsia="宋体" w:cs="宋体"/>
                <w:kern w:val="0"/>
                <w:sz w:val="22"/>
                <w:szCs w:val="22"/>
              </w:rPr>
              <w:t>90%</w:t>
            </w:r>
            <w:r>
              <w:rPr>
                <w:rFonts w:hint="eastAsia" w:ascii="仿宋_GB2312" w:hAnsi="??_GB2312" w:cs="宋体"/>
                <w:kern w:val="0"/>
                <w:sz w:val="22"/>
                <w:szCs w:val="22"/>
              </w:rPr>
              <w:t>；</w:t>
            </w:r>
          </w:p>
          <w:p>
            <w:pPr>
              <w:autoSpaceDE w:val="0"/>
              <w:autoSpaceDN w:val="0"/>
              <w:adjustRightInd w:val="0"/>
              <w:jc w:val="left"/>
              <w:rPr>
                <w:rFonts w:hint="eastAsia" w:ascii="宋体" w:hAnsi="??_GB2312"/>
                <w:kern w:val="0"/>
                <w:sz w:val="22"/>
                <w:szCs w:val="22"/>
              </w:rPr>
            </w:pPr>
            <w:r>
              <w:rPr>
                <w:rFonts w:hint="eastAsia" w:ascii="宋体" w:hAnsi="宋体" w:eastAsia="宋体" w:cs="宋体"/>
                <w:kern w:val="0"/>
                <w:sz w:val="22"/>
                <w:szCs w:val="22"/>
              </w:rPr>
              <w:t>4.</w:t>
            </w:r>
            <w:r>
              <w:rPr>
                <w:rFonts w:hint="eastAsia" w:ascii="仿宋_GB2312" w:hAnsi="??_GB2312" w:cs="宋体"/>
                <w:kern w:val="0"/>
                <w:sz w:val="22"/>
                <w:szCs w:val="22"/>
              </w:rPr>
              <w:t>完成时间</w:t>
            </w:r>
            <w:r>
              <w:rPr>
                <w:rFonts w:hint="eastAsia" w:ascii="宋体" w:hAnsi="宋体" w:eastAsia="宋体" w:cs="宋体"/>
                <w:kern w:val="0"/>
                <w:sz w:val="22"/>
                <w:szCs w:val="22"/>
              </w:rPr>
              <w:t>2020</w:t>
            </w:r>
            <w:r>
              <w:rPr>
                <w:rFonts w:hint="eastAsia" w:ascii="仿宋_GB2312" w:hAnsi="??_GB2312" w:cs="宋体"/>
                <w:kern w:val="0"/>
                <w:sz w:val="22"/>
                <w:szCs w:val="22"/>
              </w:rPr>
              <w:t>年</w:t>
            </w:r>
            <w:r>
              <w:rPr>
                <w:rFonts w:hint="eastAsia" w:ascii="宋体" w:hAnsi="宋体" w:eastAsia="宋体" w:cs="宋体"/>
                <w:kern w:val="0"/>
                <w:sz w:val="22"/>
                <w:szCs w:val="22"/>
              </w:rPr>
              <w:t>12</w:t>
            </w:r>
            <w:r>
              <w:rPr>
                <w:rFonts w:hint="eastAsia" w:ascii="仿宋_GB2312" w:hAnsi="??_GB2312" w:cs="宋体"/>
                <w:kern w:val="0"/>
                <w:sz w:val="22"/>
                <w:szCs w:val="22"/>
              </w:rPr>
              <w:t>月</w:t>
            </w:r>
          </w:p>
        </w:tc>
      </w:tr>
      <w:tr>
        <w:tblPrEx>
          <w:tblCellMar>
            <w:top w:w="0" w:type="dxa"/>
            <w:left w:w="0" w:type="dxa"/>
            <w:bottom w:w="0" w:type="dxa"/>
            <w:right w:w="0" w:type="dxa"/>
          </w:tblCellMar>
        </w:tblPrEx>
        <w:trPr>
          <w:trHeight w:val="1042" w:hRule="atLeast"/>
          <w:jc w:val="center"/>
        </w:trPr>
        <w:tc>
          <w:tcPr>
            <w:tcW w:w="390" w:type="dxa"/>
            <w:vMerge w:val="restart"/>
            <w:tcBorders>
              <w:top w:val="nil"/>
              <w:left w:val="single" w:color="000000" w:sz="4" w:space="0"/>
              <w:bottom w:val="nil"/>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sz w:val="24"/>
              </w:rPr>
              <w:t>绩效指标完成情况</w:t>
            </w:r>
          </w:p>
        </w:tc>
        <w:tc>
          <w:tcPr>
            <w:tcW w:w="13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一级指标</w:t>
            </w:r>
          </w:p>
        </w:tc>
        <w:tc>
          <w:tcPr>
            <w:tcW w:w="102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二级指标</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三级指标</w:t>
            </w:r>
          </w:p>
        </w:tc>
        <w:tc>
          <w:tcPr>
            <w:tcW w:w="239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预期指标值</w:t>
            </w:r>
            <w:r>
              <w:rPr>
                <w:rFonts w:hint="eastAsia" w:ascii="宋体" w:hAnsi="宋体"/>
                <w:color w:val="000000"/>
                <w:kern w:val="0"/>
                <w:sz w:val="24"/>
              </w:rPr>
              <w:t>(</w:t>
            </w:r>
            <w:r>
              <w:rPr>
                <w:rFonts w:hint="eastAsia" w:ascii="仿宋_GB2312" w:hAnsi="宋体" w:cs="宋体"/>
                <w:color w:val="000000"/>
                <w:kern w:val="0"/>
                <w:sz w:val="24"/>
              </w:rPr>
              <w:t>包含数字及文字描述</w:t>
            </w:r>
            <w:r>
              <w:rPr>
                <w:rFonts w:hint="eastAsia" w:ascii="宋体" w:hAnsi="宋体"/>
                <w:color w:val="000000"/>
                <w:kern w:val="0"/>
                <w:sz w:val="24"/>
              </w:rPr>
              <w:t>)</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实际完成指标值</w:t>
            </w:r>
            <w:r>
              <w:rPr>
                <w:rFonts w:hint="eastAsia" w:ascii="宋体" w:hAnsi="宋体"/>
                <w:color w:val="000000"/>
                <w:kern w:val="0"/>
                <w:sz w:val="24"/>
              </w:rPr>
              <w:t>(</w:t>
            </w:r>
            <w:r>
              <w:rPr>
                <w:rFonts w:hint="eastAsia" w:ascii="仿宋_GB2312" w:hAnsi="宋体" w:cs="宋体"/>
                <w:color w:val="000000"/>
                <w:kern w:val="0"/>
                <w:sz w:val="24"/>
              </w:rPr>
              <w:t>包含数字及文字描述</w:t>
            </w:r>
            <w:r>
              <w:rPr>
                <w:rFonts w:hint="eastAsia" w:ascii="宋体" w:hAnsi="宋体"/>
                <w:color w:val="000000"/>
                <w:kern w:val="0"/>
                <w:sz w:val="24"/>
              </w:rPr>
              <w:t>)</w:t>
            </w:r>
          </w:p>
        </w:tc>
      </w:tr>
      <w:tr>
        <w:tblPrEx>
          <w:tblCellMar>
            <w:top w:w="0" w:type="dxa"/>
            <w:left w:w="0" w:type="dxa"/>
            <w:bottom w:w="0" w:type="dxa"/>
            <w:right w:w="0" w:type="dxa"/>
          </w:tblCellMar>
        </w:tblPrEx>
        <w:trPr>
          <w:trHeight w:val="953" w:hRule="atLeast"/>
          <w:jc w:val="center"/>
        </w:trPr>
        <w:tc>
          <w:tcPr>
            <w:tcW w:w="9960" w:type="dxa"/>
            <w:vMerge w:val="continue"/>
            <w:tcBorders>
              <w:top w:val="nil"/>
              <w:left w:val="single" w:color="000000" w:sz="4" w:space="0"/>
              <w:bottom w:val="nil"/>
              <w:right w:val="single" w:color="000000" w:sz="4" w:space="0"/>
            </w:tcBorders>
            <w:vAlign w:val="center"/>
          </w:tcPr>
          <w:p>
            <w:pPr>
              <w:widowControl/>
              <w:jc w:val="left"/>
              <w:rPr>
                <w:rFonts w:ascii="宋体"/>
                <w:color w:val="000000"/>
                <w:sz w:val="24"/>
              </w:rPr>
            </w:pPr>
          </w:p>
        </w:tc>
        <w:tc>
          <w:tcPr>
            <w:tcW w:w="13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项目完成指标</w:t>
            </w:r>
          </w:p>
        </w:tc>
        <w:tc>
          <w:tcPr>
            <w:tcW w:w="102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数量指标</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运动场改造工程</w:t>
            </w:r>
          </w:p>
        </w:tc>
        <w:tc>
          <w:tcPr>
            <w:tcW w:w="239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运动场改造有序进行</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运动场改造有序进行</w:t>
            </w:r>
          </w:p>
        </w:tc>
      </w:tr>
      <w:tr>
        <w:tblPrEx>
          <w:tblCellMar>
            <w:top w:w="0" w:type="dxa"/>
            <w:left w:w="0" w:type="dxa"/>
            <w:bottom w:w="0" w:type="dxa"/>
            <w:right w:w="0" w:type="dxa"/>
          </w:tblCellMar>
        </w:tblPrEx>
        <w:trPr>
          <w:trHeight w:val="1297" w:hRule="atLeast"/>
          <w:jc w:val="center"/>
        </w:trPr>
        <w:tc>
          <w:tcPr>
            <w:tcW w:w="9960" w:type="dxa"/>
            <w:vMerge w:val="continue"/>
            <w:tcBorders>
              <w:top w:val="nil"/>
              <w:left w:val="single" w:color="000000" w:sz="4" w:space="0"/>
              <w:bottom w:val="nil"/>
              <w:right w:val="single" w:color="000000" w:sz="4" w:space="0"/>
            </w:tcBorders>
            <w:vAlign w:val="center"/>
          </w:tcPr>
          <w:p>
            <w:pPr>
              <w:widowControl/>
              <w:jc w:val="left"/>
              <w:rPr>
                <w:rFonts w:ascii="宋体"/>
                <w:color w:val="000000"/>
                <w:sz w:val="24"/>
              </w:rPr>
            </w:pPr>
          </w:p>
        </w:tc>
        <w:tc>
          <w:tcPr>
            <w:tcW w:w="13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项目完成指标</w:t>
            </w:r>
          </w:p>
        </w:tc>
        <w:tc>
          <w:tcPr>
            <w:tcW w:w="102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时效指标</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完成时间</w:t>
            </w:r>
          </w:p>
        </w:tc>
        <w:tc>
          <w:tcPr>
            <w:tcW w:w="239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宋体" w:hAnsi="宋体" w:eastAsia="宋体" w:cs="宋体"/>
                <w:sz w:val="24"/>
              </w:rPr>
              <w:t>2020</w:t>
            </w:r>
            <w:r>
              <w:rPr>
                <w:rFonts w:hint="eastAsia" w:ascii="仿宋_GB2312" w:cs="宋体"/>
                <w:sz w:val="24"/>
              </w:rPr>
              <w:t>年</w:t>
            </w:r>
            <w:r>
              <w:rPr>
                <w:rFonts w:hint="eastAsia" w:ascii="宋体" w:hAnsi="宋体" w:eastAsia="宋体" w:cs="宋体"/>
                <w:sz w:val="24"/>
              </w:rPr>
              <w:t>12</w:t>
            </w:r>
            <w:r>
              <w:rPr>
                <w:rFonts w:hint="eastAsia" w:ascii="仿宋_GB2312" w:cs="宋体"/>
                <w:sz w:val="24"/>
              </w:rPr>
              <w:t>月</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宋体" w:hAnsi="宋体" w:eastAsia="宋体" w:cs="宋体"/>
                <w:sz w:val="24"/>
              </w:rPr>
              <w:t>2020</w:t>
            </w:r>
            <w:r>
              <w:rPr>
                <w:rFonts w:hint="eastAsia" w:ascii="仿宋_GB2312" w:cs="宋体"/>
                <w:sz w:val="24"/>
              </w:rPr>
              <w:t>年</w:t>
            </w:r>
            <w:r>
              <w:rPr>
                <w:rFonts w:hint="eastAsia" w:ascii="宋体" w:hAnsi="宋体" w:eastAsia="宋体" w:cs="宋体"/>
                <w:sz w:val="24"/>
              </w:rPr>
              <w:t>12</w:t>
            </w:r>
            <w:r>
              <w:rPr>
                <w:rFonts w:hint="eastAsia" w:ascii="仿宋_GB2312" w:cs="宋体"/>
                <w:sz w:val="24"/>
              </w:rPr>
              <w:t>月</w:t>
            </w:r>
          </w:p>
        </w:tc>
      </w:tr>
      <w:tr>
        <w:tblPrEx>
          <w:tblCellMar>
            <w:top w:w="0" w:type="dxa"/>
            <w:left w:w="0" w:type="dxa"/>
            <w:bottom w:w="0" w:type="dxa"/>
            <w:right w:w="0" w:type="dxa"/>
          </w:tblCellMar>
        </w:tblPrEx>
        <w:trPr>
          <w:trHeight w:val="1042" w:hRule="atLeast"/>
          <w:jc w:val="center"/>
        </w:trPr>
        <w:tc>
          <w:tcPr>
            <w:tcW w:w="9960" w:type="dxa"/>
            <w:vMerge w:val="continue"/>
            <w:tcBorders>
              <w:top w:val="nil"/>
              <w:left w:val="single" w:color="000000" w:sz="4" w:space="0"/>
              <w:bottom w:val="nil"/>
              <w:right w:val="single" w:color="000000" w:sz="4" w:space="0"/>
            </w:tcBorders>
            <w:vAlign w:val="center"/>
          </w:tcPr>
          <w:p>
            <w:pPr>
              <w:widowControl/>
              <w:jc w:val="left"/>
              <w:rPr>
                <w:rFonts w:ascii="宋体"/>
                <w:color w:val="000000"/>
                <w:sz w:val="24"/>
              </w:rPr>
            </w:pPr>
          </w:p>
        </w:tc>
        <w:tc>
          <w:tcPr>
            <w:tcW w:w="13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项目完成指标</w:t>
            </w:r>
          </w:p>
        </w:tc>
        <w:tc>
          <w:tcPr>
            <w:tcW w:w="102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质量指标</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考评合格</w:t>
            </w:r>
          </w:p>
        </w:tc>
        <w:tc>
          <w:tcPr>
            <w:tcW w:w="239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内查良好</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内查良好</w:t>
            </w:r>
          </w:p>
        </w:tc>
      </w:tr>
      <w:tr>
        <w:tblPrEx>
          <w:tblCellMar>
            <w:top w:w="0" w:type="dxa"/>
            <w:left w:w="0" w:type="dxa"/>
            <w:bottom w:w="0" w:type="dxa"/>
            <w:right w:w="0" w:type="dxa"/>
          </w:tblCellMar>
        </w:tblPrEx>
        <w:trPr>
          <w:trHeight w:val="1042" w:hRule="atLeast"/>
          <w:jc w:val="center"/>
        </w:trPr>
        <w:tc>
          <w:tcPr>
            <w:tcW w:w="9960" w:type="dxa"/>
            <w:vMerge w:val="continue"/>
            <w:tcBorders>
              <w:top w:val="nil"/>
              <w:left w:val="single" w:color="000000" w:sz="4" w:space="0"/>
              <w:bottom w:val="nil"/>
              <w:right w:val="single" w:color="000000" w:sz="4" w:space="0"/>
            </w:tcBorders>
            <w:vAlign w:val="center"/>
          </w:tcPr>
          <w:p>
            <w:pPr>
              <w:widowControl/>
              <w:jc w:val="left"/>
              <w:rPr>
                <w:rFonts w:ascii="宋体"/>
                <w:color w:val="000000"/>
                <w:sz w:val="24"/>
              </w:rPr>
            </w:pPr>
          </w:p>
        </w:tc>
        <w:tc>
          <w:tcPr>
            <w:tcW w:w="13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效益指标</w:t>
            </w:r>
          </w:p>
        </w:tc>
        <w:tc>
          <w:tcPr>
            <w:tcW w:w="102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社会指标</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提高学校声誉</w:t>
            </w:r>
          </w:p>
        </w:tc>
        <w:tc>
          <w:tcPr>
            <w:tcW w:w="239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社会对学校工作由认同感</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社会对学校工作由认同感</w:t>
            </w:r>
          </w:p>
        </w:tc>
      </w:tr>
      <w:tr>
        <w:tblPrEx>
          <w:tblCellMar>
            <w:top w:w="0" w:type="dxa"/>
            <w:left w:w="0" w:type="dxa"/>
            <w:bottom w:w="0" w:type="dxa"/>
            <w:right w:w="0" w:type="dxa"/>
          </w:tblCellMar>
        </w:tblPrEx>
        <w:trPr>
          <w:trHeight w:val="1050" w:hRule="atLeast"/>
          <w:jc w:val="center"/>
        </w:trPr>
        <w:tc>
          <w:tcPr>
            <w:tcW w:w="9960" w:type="dxa"/>
            <w:vMerge w:val="continue"/>
            <w:tcBorders>
              <w:top w:val="nil"/>
              <w:left w:val="single" w:color="000000" w:sz="4" w:space="0"/>
              <w:bottom w:val="nil"/>
              <w:right w:val="single" w:color="000000" w:sz="4" w:space="0"/>
            </w:tcBorders>
            <w:vAlign w:val="center"/>
          </w:tcPr>
          <w:p>
            <w:pPr>
              <w:widowControl/>
              <w:jc w:val="left"/>
              <w:rPr>
                <w:rFonts w:ascii="宋体"/>
                <w:color w:val="000000"/>
                <w:sz w:val="24"/>
              </w:rPr>
            </w:pPr>
          </w:p>
        </w:tc>
        <w:tc>
          <w:tcPr>
            <w:tcW w:w="1367"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color w:val="000000"/>
                <w:sz w:val="24"/>
              </w:rPr>
            </w:pPr>
            <w:r>
              <w:rPr>
                <w:rFonts w:hint="eastAsia" w:ascii="仿宋_GB2312" w:hAnsi="宋体" w:cs="宋体"/>
                <w:color w:val="000000"/>
                <w:kern w:val="0"/>
                <w:sz w:val="24"/>
              </w:rPr>
              <w:t>满意度指标</w:t>
            </w:r>
          </w:p>
        </w:tc>
        <w:tc>
          <w:tcPr>
            <w:tcW w:w="1025"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满意度指标</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师生满意度</w:t>
            </w:r>
          </w:p>
        </w:tc>
        <w:tc>
          <w:tcPr>
            <w:tcW w:w="2394"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满意度达</w:t>
            </w:r>
            <w:r>
              <w:rPr>
                <w:rFonts w:hint="eastAsia" w:ascii="宋体" w:hAnsi="宋体" w:eastAsia="宋体" w:cs="宋体"/>
                <w:sz w:val="24"/>
              </w:rPr>
              <w:t>90%</w:t>
            </w:r>
            <w:r>
              <w:rPr>
                <w:rFonts w:hint="eastAsia" w:ascii="仿宋_GB2312" w:cs="宋体"/>
                <w:sz w:val="24"/>
              </w:rPr>
              <w:t>以上</w:t>
            </w:r>
          </w:p>
        </w:tc>
        <w:tc>
          <w:tcPr>
            <w:tcW w:w="239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widowControl/>
              <w:jc w:val="center"/>
              <w:textAlignment w:val="center"/>
              <w:rPr>
                <w:rFonts w:ascii="宋体"/>
                <w:sz w:val="24"/>
              </w:rPr>
            </w:pPr>
            <w:r>
              <w:rPr>
                <w:rFonts w:hint="eastAsia" w:ascii="仿宋_GB2312" w:cs="宋体"/>
                <w:sz w:val="24"/>
              </w:rPr>
              <w:t>满意度</w:t>
            </w:r>
            <w:r>
              <w:rPr>
                <w:rFonts w:hint="eastAsia" w:ascii="宋体" w:hAnsi="宋体" w:eastAsia="宋体" w:cs="宋体"/>
                <w:sz w:val="24"/>
              </w:rPr>
              <w:t>95%</w:t>
            </w:r>
            <w:r>
              <w:rPr>
                <w:rFonts w:hint="eastAsia" w:ascii="仿宋_GB2312" w:cs="宋体"/>
                <w:sz w:val="24"/>
              </w:rPr>
              <w:t>以上</w:t>
            </w:r>
          </w:p>
        </w:tc>
      </w:tr>
    </w:tbl>
    <w:p>
      <w:pPr>
        <w:spacing w:line="580" w:lineRule="exact"/>
        <w:ind w:firstLine="640" w:firstLineChars="200"/>
        <w:rPr>
          <w:rFonts w:ascii="仿宋_GB2312" w:hAnsi="仿宋_GB2312" w:cs="仿宋_GB2312"/>
          <w:szCs w:val="32"/>
        </w:rPr>
      </w:pPr>
    </w:p>
    <w:p>
      <w:pPr>
        <w:spacing w:line="580" w:lineRule="exact"/>
        <w:ind w:left="630"/>
        <w:rPr>
          <w:rFonts w:ascii="仿宋_GB2312"/>
        </w:rPr>
      </w:pPr>
      <w:r>
        <w:rPr>
          <w:rFonts w:hint="eastAsia" w:ascii="楷体_GB2312" w:eastAsia="楷体_GB2312"/>
        </w:rPr>
        <w:t>2.部门绩效评价结果。</w:t>
      </w:r>
    </w:p>
    <w:p>
      <w:pPr>
        <w:spacing w:line="580" w:lineRule="exact"/>
        <w:ind w:firstLine="640" w:firstLineChars="200"/>
        <w:rPr>
          <w:rFonts w:ascii="仿宋_GB2312"/>
        </w:rPr>
      </w:pPr>
      <w:r>
        <w:rPr>
          <w:rFonts w:hint="eastAsia" w:ascii="仿宋_GB2312"/>
        </w:rPr>
        <w:t>本部门按要求对2020年部门整体支出绩效评价情况开展自评，从评价情况来看全面完成了当年目标任务。《自贡市德铭中学校2020年部门整体支出绩效评价报告》见附件（附件1）。</w:t>
      </w:r>
    </w:p>
    <w:p>
      <w:pPr>
        <w:spacing w:line="580" w:lineRule="exact"/>
        <w:ind w:firstLine="640" w:firstLineChars="200"/>
        <w:rPr>
          <w:rFonts w:ascii="仿宋_GB2312"/>
          <w:b/>
          <w:color w:val="000000"/>
        </w:rPr>
      </w:pPr>
      <w:r>
        <w:rPr>
          <w:rFonts w:hint="eastAsia" w:ascii="仿宋_GB2312"/>
        </w:rPr>
        <w:t>本部门自行组织对</w:t>
      </w:r>
      <w:r>
        <w:rPr>
          <w:rFonts w:hint="eastAsia" w:ascii="仿宋_GB2312" w:hAnsi="??_GB2312" w:cs="??_GB2312"/>
          <w:kern w:val="0"/>
        </w:rPr>
        <w:t>乡村学校</w:t>
      </w:r>
      <w:r>
        <w:rPr>
          <w:rFonts w:ascii="仿宋_GB2312" w:hAnsi="??_GB2312"/>
          <w:kern w:val="0"/>
        </w:rPr>
        <w:t>少年宫专项经费</w:t>
      </w:r>
      <w:r>
        <w:rPr>
          <w:rFonts w:hint="eastAsia" w:ascii="仿宋_GB2312"/>
        </w:rPr>
        <w:t>项目开展了绩效评价，《</w:t>
      </w:r>
      <w:r>
        <w:rPr>
          <w:rFonts w:hint="eastAsia" w:ascii="仿宋_GB2312" w:hAnsi="??_GB2312" w:cs="??_GB2312"/>
          <w:kern w:val="0"/>
        </w:rPr>
        <w:t>运动场改造工程</w:t>
      </w:r>
      <w:r>
        <w:rPr>
          <w:rFonts w:hint="eastAsia" w:ascii="仿宋_GB2312"/>
        </w:rPr>
        <w:t>项目2020年绩效评价报告》见附件（附件2）。</w:t>
      </w:r>
    </w:p>
    <w:p>
      <w:pPr>
        <w:widowControl/>
        <w:jc w:val="left"/>
        <w:rPr>
          <w:rFonts w:ascii="仿宋_GB2312"/>
          <w:b/>
          <w:color w:val="000000"/>
          <w:szCs w:val="32"/>
        </w:rPr>
      </w:pPr>
      <w:r>
        <w:rPr>
          <w:rFonts w:ascii="仿宋_GB2312"/>
          <w:b/>
          <w:color w:val="000000"/>
          <w:szCs w:val="32"/>
        </w:rPr>
        <w:br w:type="page"/>
      </w:r>
    </w:p>
    <w:p>
      <w:pPr>
        <w:numPr>
          <w:ilvl w:val="0"/>
          <w:numId w:val="3"/>
        </w:numPr>
        <w:spacing w:line="600" w:lineRule="exact"/>
        <w:ind w:firstLine="660" w:firstLineChars="150"/>
        <w:jc w:val="center"/>
        <w:outlineLvl w:val="0"/>
        <w:rPr>
          <w:rStyle w:val="14"/>
          <w:rFonts w:ascii="黑体" w:hAnsi="黑体" w:eastAsia="黑体"/>
          <w:b w:val="0"/>
        </w:rPr>
      </w:pPr>
      <w:bookmarkStart w:id="52" w:name="_Toc15396613"/>
      <w:bookmarkStart w:id="53" w:name="_Toc3536"/>
      <w:bookmarkStart w:id="54" w:name="_Toc15377225"/>
      <w:r>
        <w:rPr>
          <w:rFonts w:hint="eastAsia" w:ascii="黑体" w:hAnsi="黑体" w:eastAsia="黑体"/>
          <w:color w:val="000000"/>
          <w:sz w:val="44"/>
          <w:szCs w:val="44"/>
        </w:rPr>
        <w:t>名</w:t>
      </w:r>
      <w:r>
        <w:rPr>
          <w:rStyle w:val="14"/>
          <w:rFonts w:hint="eastAsia" w:ascii="黑体" w:hAnsi="黑体" w:eastAsia="黑体"/>
          <w:b w:val="0"/>
        </w:rPr>
        <w:t>词解释</w:t>
      </w:r>
      <w:bookmarkEnd w:id="52"/>
      <w:bookmarkEnd w:id="53"/>
      <w:bookmarkEnd w:id="54"/>
    </w:p>
    <w:p>
      <w:pPr>
        <w:spacing w:line="600" w:lineRule="exact"/>
        <w:jc w:val="left"/>
        <w:rPr>
          <w:rFonts w:ascii="宋体"/>
          <w:b/>
          <w:color w:val="000000"/>
          <w:sz w:val="44"/>
          <w:szCs w:val="44"/>
        </w:rPr>
      </w:pPr>
    </w:p>
    <w:p>
      <w:pPr>
        <w:numPr>
          <w:ilvl w:val="0"/>
          <w:numId w:val="4"/>
        </w:numPr>
        <w:ind w:firstLine="640" w:firstLineChars="200"/>
        <w:rPr>
          <w:rFonts w:ascii="仿宋_GB2312"/>
          <w:szCs w:val="32"/>
        </w:rPr>
      </w:pPr>
      <w:r>
        <w:rPr>
          <w:rFonts w:hint="eastAsia" w:ascii="仿宋_GB2312"/>
          <w:szCs w:val="32"/>
        </w:rPr>
        <w:t xml:space="preserve">财政拨款收入：指单位从同级财政部门取得的财政预算资金。 </w:t>
      </w:r>
    </w:p>
    <w:p>
      <w:pPr>
        <w:numPr>
          <w:ilvl w:val="0"/>
          <w:numId w:val="4"/>
        </w:numPr>
        <w:ind w:firstLine="640" w:firstLineChars="200"/>
        <w:rPr>
          <w:rFonts w:ascii="仿宋_GB2312"/>
          <w:szCs w:val="32"/>
        </w:rPr>
      </w:pPr>
      <w:r>
        <w:rPr>
          <w:rFonts w:hint="eastAsia" w:ascii="仿宋_GB2312"/>
          <w:szCs w:val="32"/>
        </w:rPr>
        <w:t xml:space="preserve">事业收入：指事业单位开展专业业务活动及辅助活动取得的收入。如二级预算单位事业收入情况等。 </w:t>
      </w:r>
    </w:p>
    <w:p>
      <w:pPr>
        <w:numPr>
          <w:ilvl w:val="0"/>
          <w:numId w:val="4"/>
        </w:numPr>
        <w:ind w:firstLine="640" w:firstLineChars="200"/>
        <w:rPr>
          <w:rFonts w:ascii="仿宋_GB2312"/>
          <w:szCs w:val="32"/>
        </w:rPr>
      </w:pPr>
      <w:r>
        <w:rPr>
          <w:rFonts w:hint="eastAsia" w:ascii="仿宋_GB2312"/>
          <w:szCs w:val="32"/>
        </w:rPr>
        <w:t xml:space="preserve">其他收入：指单位取得的除上述收入以外的各项收入。主要是下属单位疫苗、房租、利息、废品变卖收入等。 </w:t>
      </w:r>
    </w:p>
    <w:p>
      <w:pPr>
        <w:numPr>
          <w:ilvl w:val="0"/>
          <w:numId w:val="4"/>
        </w:numPr>
        <w:ind w:firstLine="640" w:firstLineChars="200"/>
        <w:rPr>
          <w:rFonts w:ascii="仿宋_GB2312"/>
          <w:szCs w:val="32"/>
        </w:rPr>
      </w:pPr>
      <w:r>
        <w:rPr>
          <w:rFonts w:hint="eastAsia" w:ascii="仿宋_GB2312"/>
          <w:szCs w:val="32"/>
        </w:rPr>
        <w:t xml:space="preserve">社会保障和就业（类）行政事业单位离退休（款）机关事业单位基本养老保险缴费支出（项）：指用于行政事业单位基本养老保险缴费支出。 </w:t>
      </w:r>
    </w:p>
    <w:p>
      <w:pPr>
        <w:numPr>
          <w:ilvl w:val="0"/>
          <w:numId w:val="4"/>
        </w:numPr>
        <w:ind w:firstLine="640" w:firstLineChars="200"/>
        <w:rPr>
          <w:rFonts w:ascii="仿宋_GB2312"/>
          <w:szCs w:val="32"/>
        </w:rPr>
      </w:pPr>
      <w:r>
        <w:rPr>
          <w:rFonts w:hint="eastAsia" w:ascii="仿宋_GB2312"/>
          <w:szCs w:val="32"/>
        </w:rPr>
        <w:t xml:space="preserve">社会保障和就业（类）行政事业单位离退休（款）机关事业单位职业年金缴费支出（项）：指用于行政事业单位职业年金缴费支出。 </w:t>
      </w:r>
    </w:p>
    <w:p>
      <w:pPr>
        <w:numPr>
          <w:ilvl w:val="0"/>
          <w:numId w:val="4"/>
        </w:numPr>
        <w:ind w:firstLine="640" w:firstLineChars="200"/>
        <w:rPr>
          <w:rFonts w:ascii="仿宋_GB2312"/>
          <w:szCs w:val="32"/>
        </w:rPr>
      </w:pPr>
      <w:r>
        <w:rPr>
          <w:rFonts w:hint="eastAsia" w:ascii="仿宋_GB2312"/>
          <w:szCs w:val="32"/>
        </w:rPr>
        <w:t xml:space="preserve">社会保障和就业（类）抚恤（款）死亡抚恤：指按规定用于烈士和牺牲、病故人员家属的一次性和定期抚恤金以及丧葬补助费。 </w:t>
      </w:r>
    </w:p>
    <w:p>
      <w:pPr>
        <w:numPr>
          <w:ilvl w:val="0"/>
          <w:numId w:val="4"/>
        </w:numPr>
        <w:ind w:firstLine="640" w:firstLineChars="200"/>
        <w:rPr>
          <w:rFonts w:ascii="仿宋_GB2312"/>
          <w:szCs w:val="32"/>
        </w:rPr>
      </w:pPr>
      <w:r>
        <w:rPr>
          <w:rFonts w:hint="eastAsia" w:ascii="仿宋_GB2312"/>
          <w:szCs w:val="32"/>
        </w:rPr>
        <w:t xml:space="preserve">社会保障和就业（类）其他社会保障和就业支出（款）其他社会保障和就业支出（项）：指行政单位除人力资源和社会保障管理事务、民政管理事务、补充全国社会保障基金、行政事业单位离退休、企业改革补助、就业补助、抚恤、退役安置、社会福利、残疾人事业、自然灾害生活补助、红十字事业、最低生活保障、临时救助、特困人员救助供养、补充道路交通事故社会救助基金、其他生活救助、财政对基本养老保险基金的补助、财政对其他社会保险基金的补助以外其他用于社会保障和就业方面的支出。  </w:t>
      </w:r>
    </w:p>
    <w:p>
      <w:pPr>
        <w:numPr>
          <w:ilvl w:val="0"/>
          <w:numId w:val="4"/>
        </w:numPr>
        <w:ind w:firstLine="640" w:firstLineChars="200"/>
        <w:rPr>
          <w:rFonts w:ascii="仿宋_GB2312"/>
          <w:szCs w:val="32"/>
        </w:rPr>
      </w:pPr>
      <w:r>
        <w:rPr>
          <w:rFonts w:hint="eastAsia" w:ascii="仿宋_GB2312"/>
          <w:szCs w:val="32"/>
        </w:rPr>
        <w:t xml:space="preserve">教育支出（类）普通教育（款）初中教育（项）：指各部门举办的初中教育支出，政府各部门对社会中介组织等举办的初中教育的资助，如各类捐赠、补贴等。  </w:t>
      </w:r>
    </w:p>
    <w:p>
      <w:pPr>
        <w:numPr>
          <w:ilvl w:val="0"/>
          <w:numId w:val="4"/>
        </w:numPr>
        <w:ind w:firstLine="640" w:firstLineChars="200"/>
        <w:rPr>
          <w:rFonts w:ascii="仿宋_GB2312"/>
          <w:szCs w:val="32"/>
        </w:rPr>
      </w:pPr>
      <w:r>
        <w:rPr>
          <w:rFonts w:hint="eastAsia" w:ascii="仿宋_GB2312"/>
          <w:szCs w:val="32"/>
        </w:rPr>
        <w:t xml:space="preserve">教育支出（类）普通教育（款）高中教育（项）：指各部门举办的高级中学教育支出，政府各部门对社会中介组织等举办的高级中学的资助，如各类捐赠、补贴等。 </w:t>
      </w:r>
    </w:p>
    <w:p>
      <w:pPr>
        <w:numPr>
          <w:ilvl w:val="0"/>
          <w:numId w:val="4"/>
        </w:numPr>
        <w:ind w:firstLine="640" w:firstLineChars="200"/>
        <w:rPr>
          <w:rFonts w:ascii="仿宋_GB2312"/>
          <w:szCs w:val="32"/>
        </w:rPr>
      </w:pPr>
      <w:r>
        <w:rPr>
          <w:rFonts w:hint="eastAsia" w:ascii="仿宋_GB2312"/>
          <w:szCs w:val="32"/>
        </w:rPr>
        <w:t xml:space="preserve">卫生健康支出（类）行政事业单位医疗（款）事业单位医疗（项）：指财政部门集中安排的事业单位基本医疗保险缴费经费，未参加医疗保险的事业单位的公费医疗经费，按国家规定享受离休人员的医疗经费。 </w:t>
      </w:r>
    </w:p>
    <w:p>
      <w:pPr>
        <w:numPr>
          <w:ilvl w:val="0"/>
          <w:numId w:val="4"/>
        </w:numPr>
        <w:ind w:firstLine="640" w:firstLineChars="200"/>
        <w:rPr>
          <w:rFonts w:ascii="仿宋_GB2312"/>
          <w:szCs w:val="32"/>
        </w:rPr>
      </w:pPr>
      <w:r>
        <w:rPr>
          <w:rFonts w:hint="eastAsia" w:ascii="仿宋_GB2312"/>
          <w:szCs w:val="32"/>
        </w:rPr>
        <w:t xml:space="preserve">住房保障（类）住房改革支出（款）住房公积金（项）：指行政事业单位按人力资源和社会保障部、财政部规定的基本工资和津贴补贴以及规定比例为职工缴纳的住房公积金。   </w:t>
      </w:r>
    </w:p>
    <w:p>
      <w:pPr>
        <w:numPr>
          <w:ilvl w:val="0"/>
          <w:numId w:val="4"/>
        </w:numPr>
        <w:ind w:firstLine="640" w:firstLineChars="200"/>
        <w:rPr>
          <w:rFonts w:ascii="仿宋_GB2312"/>
          <w:szCs w:val="32"/>
        </w:rPr>
      </w:pPr>
      <w:r>
        <w:rPr>
          <w:rFonts w:hint="eastAsia" w:ascii="仿宋_GB2312"/>
          <w:szCs w:val="32"/>
        </w:rPr>
        <w:t xml:space="preserve">基本支出：指为保障机构正常运转、完成日常工作任务而发生的人员支出和公用支出。 </w:t>
      </w:r>
    </w:p>
    <w:p>
      <w:pPr>
        <w:numPr>
          <w:ilvl w:val="0"/>
          <w:numId w:val="4"/>
        </w:numPr>
        <w:ind w:firstLine="640" w:firstLineChars="200"/>
        <w:rPr>
          <w:rFonts w:ascii="仿宋_GB2312"/>
          <w:szCs w:val="32"/>
        </w:rPr>
      </w:pPr>
      <w:r>
        <w:rPr>
          <w:rFonts w:hint="eastAsia" w:ascii="仿宋_GB2312"/>
          <w:szCs w:val="32"/>
        </w:rPr>
        <w:t xml:space="preserve">项目支出：指在基本支出之外为完成特定行政任务和事业发展目标所发生的支出。 </w:t>
      </w:r>
    </w:p>
    <w:p>
      <w:pPr>
        <w:ind w:firstLine="640" w:firstLineChars="200"/>
        <w:rPr>
          <w:rFonts w:ascii="仿宋_GB2312"/>
          <w:szCs w:val="32"/>
        </w:rPr>
      </w:pPr>
      <w:r>
        <w:rPr>
          <w:rFonts w:hint="eastAsia" w:ascii="仿宋_GB2312"/>
          <w:szCs w:val="32"/>
        </w:rPr>
        <w:t>14.“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outlineLvl w:val="0"/>
        <w:rPr>
          <w:rStyle w:val="14"/>
          <w:rFonts w:ascii="黑体" w:hAnsi="黑体" w:eastAsia="黑体"/>
          <w:b w:val="0"/>
        </w:rPr>
      </w:pPr>
      <w:bookmarkStart w:id="55" w:name="_Toc15377226"/>
      <w:r>
        <w:rPr>
          <w:rFonts w:ascii="宋体"/>
          <w:b/>
          <w:color w:val="000000"/>
          <w:sz w:val="44"/>
          <w:szCs w:val="44"/>
        </w:rPr>
        <w:br w:type="page"/>
      </w:r>
      <w:bookmarkStart w:id="56" w:name="_Toc11207"/>
      <w:bookmarkStart w:id="57" w:name="_Toc15396614"/>
      <w:r>
        <w:rPr>
          <w:rFonts w:hint="eastAsia" w:ascii="黑体" w:hAnsi="黑体" w:eastAsia="黑体"/>
          <w:color w:val="000000"/>
          <w:sz w:val="44"/>
          <w:szCs w:val="44"/>
        </w:rPr>
        <w:t>第</w:t>
      </w:r>
      <w:r>
        <w:rPr>
          <w:rStyle w:val="14"/>
          <w:rFonts w:hint="eastAsia" w:ascii="黑体" w:hAnsi="黑体" w:eastAsia="黑体"/>
          <w:b w:val="0"/>
        </w:rPr>
        <w:t>四部分</w:t>
      </w:r>
      <w:r>
        <w:rPr>
          <w:rStyle w:val="14"/>
          <w:rFonts w:ascii="黑体" w:hAnsi="黑体" w:eastAsia="黑体"/>
          <w:b w:val="0"/>
        </w:rPr>
        <w:t xml:space="preserve"> </w:t>
      </w:r>
      <w:r>
        <w:rPr>
          <w:rStyle w:val="14"/>
          <w:rFonts w:hint="eastAsia" w:ascii="黑体" w:hAnsi="黑体" w:eastAsia="黑体"/>
          <w:b w:val="0"/>
        </w:rPr>
        <w:t>附件</w:t>
      </w:r>
      <w:bookmarkEnd w:id="56"/>
      <w:bookmarkEnd w:id="57"/>
    </w:p>
    <w:p>
      <w:pPr>
        <w:spacing w:line="600" w:lineRule="exact"/>
        <w:jc w:val="left"/>
        <w:outlineLvl w:val="1"/>
        <w:rPr>
          <w:rFonts w:ascii="方正小标宋简体" w:hAnsi="方正小标宋简体" w:eastAsia="方正小标宋简体" w:cs="方正小标宋简体"/>
          <w:szCs w:val="32"/>
        </w:rPr>
      </w:pPr>
      <w:bookmarkStart w:id="58" w:name="_Toc22930"/>
      <w:r>
        <w:rPr>
          <w:rFonts w:hint="eastAsia" w:ascii="黑体" w:hAnsi="黑体" w:eastAsia="黑体" w:cs="黑体"/>
          <w:szCs w:val="32"/>
        </w:rPr>
        <w:t>附件</w:t>
      </w:r>
      <w:r>
        <w:rPr>
          <w:rFonts w:ascii="黑体" w:hAnsi="黑体" w:eastAsia="黑体" w:cs="黑体"/>
          <w:szCs w:val="32"/>
        </w:rPr>
        <w:t>1</w:t>
      </w:r>
      <w:bookmarkEnd w:id="58"/>
    </w:p>
    <w:p>
      <w:pPr>
        <w:spacing w:line="600" w:lineRule="exact"/>
        <w:jc w:val="center"/>
        <w:rPr>
          <w:rFonts w:ascii="方正小标宋简体" w:hAnsi="宋体" w:eastAsia="方正小标宋简体"/>
          <w:color w:val="000000"/>
          <w:kern w:val="0"/>
          <w:sz w:val="40"/>
          <w:szCs w:val="44"/>
          <w:lang w:val="zh-CN"/>
        </w:rPr>
      </w:pPr>
      <w:r>
        <w:rPr>
          <w:rFonts w:hint="eastAsia" w:ascii="方正小标宋简体" w:hAnsi="宋体" w:eastAsia="方正小标宋简体"/>
          <w:color w:val="000000"/>
          <w:kern w:val="0"/>
          <w:sz w:val="40"/>
          <w:szCs w:val="44"/>
        </w:rPr>
        <w:t>自贡市德铭中学校</w:t>
      </w:r>
      <w:r>
        <w:rPr>
          <w:rFonts w:hint="eastAsia" w:ascii="方正小标宋简体" w:hAnsi="宋体" w:eastAsia="方正小标宋简体"/>
          <w:color w:val="000000"/>
          <w:kern w:val="0"/>
          <w:sz w:val="40"/>
          <w:szCs w:val="44"/>
          <w:lang w:val="zh-CN"/>
        </w:rPr>
        <w:t>部门</w:t>
      </w: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年部门</w:t>
      </w:r>
      <w:r>
        <w:rPr>
          <w:rFonts w:hint="eastAsia" w:ascii="方正小标宋简体" w:hAnsi="宋体" w:eastAsia="方正小标宋简体"/>
          <w:color w:val="000000"/>
          <w:kern w:val="0"/>
          <w:sz w:val="40"/>
          <w:szCs w:val="44"/>
          <w:lang w:val="zh-CN"/>
        </w:rPr>
        <w:t>整体支出绩效评价报告</w:t>
      </w:r>
    </w:p>
    <w:p>
      <w:pPr>
        <w:autoSpaceDE w:val="0"/>
        <w:autoSpaceDN w:val="0"/>
        <w:adjustRightInd w:val="0"/>
        <w:spacing w:line="580" w:lineRule="atLeast"/>
        <w:ind w:firstLine="640"/>
        <w:jc w:val="left"/>
        <w:rPr>
          <w:rFonts w:hint="eastAsia" w:ascii="黑体" w:hAnsi="???????" w:eastAsia="黑体"/>
          <w:kern w:val="0"/>
          <w:highlight w:val="white"/>
        </w:rPr>
      </w:pPr>
      <w:r>
        <w:rPr>
          <w:rFonts w:hint="eastAsia" w:ascii="黑体" w:hAnsi="黑体" w:eastAsia="黑体"/>
          <w:kern w:val="0"/>
          <w:highlight w:val="white"/>
        </w:rPr>
        <w:t>一、部门（单位）概况</w:t>
      </w:r>
    </w:p>
    <w:p>
      <w:pPr>
        <w:autoSpaceDE w:val="0"/>
        <w:autoSpaceDN w:val="0"/>
        <w:adjustRightInd w:val="0"/>
        <w:spacing w:line="580" w:lineRule="atLeast"/>
        <w:ind w:firstLine="640"/>
        <w:jc w:val="left"/>
        <w:rPr>
          <w:rFonts w:hint="eastAsia" w:ascii="??_GB2312" w:hAnsi="??_GB2312"/>
          <w:kern w:val="0"/>
          <w:highlight w:val="white"/>
        </w:rPr>
      </w:pPr>
      <w:r>
        <w:rPr>
          <w:rFonts w:hint="eastAsia" w:ascii="仿宋_GB2312" w:hAnsi="???????" w:cs="宋体"/>
          <w:kern w:val="0"/>
          <w:highlight w:val="white"/>
        </w:rPr>
        <w:t>（一）机构组成。</w:t>
      </w:r>
      <w:r>
        <w:rPr>
          <w:rFonts w:hint="eastAsia" w:ascii="仿宋_GB2312" w:cs="宋体"/>
          <w:kern w:val="0"/>
          <w:highlight w:val="white"/>
        </w:rPr>
        <w:t>本单位包括自贡市德铭中学校1个教学点。</w:t>
      </w:r>
    </w:p>
    <w:p>
      <w:pPr>
        <w:pStyle w:val="19"/>
        <w:ind w:firstLine="736" w:firstLineChars="230"/>
      </w:pPr>
      <w:r>
        <w:rPr>
          <w:rFonts w:hint="eastAsia" w:ascii="仿宋_GB2312" w:hAnsi="??_GB2312" w:cs="宋体"/>
          <w:kern w:val="0"/>
          <w:highlight w:val="white"/>
        </w:rPr>
        <w:t>（二）机构职能。</w:t>
      </w:r>
    </w:p>
    <w:p>
      <w:pPr>
        <w:autoSpaceDE w:val="0"/>
        <w:autoSpaceDN w:val="0"/>
        <w:adjustRightInd w:val="0"/>
        <w:spacing w:line="580" w:lineRule="atLeast"/>
        <w:ind w:firstLine="640"/>
        <w:jc w:val="left"/>
        <w:rPr>
          <w:rFonts w:ascii="宋体"/>
          <w:kern w:val="0"/>
          <w:highlight w:val="white"/>
        </w:rPr>
      </w:pPr>
      <w:r>
        <w:rPr>
          <w:rFonts w:hint="eastAsia" w:ascii="宋体" w:hAnsi="宋体" w:eastAsia="宋体" w:cs="宋体"/>
          <w:kern w:val="0"/>
          <w:highlight w:val="white"/>
        </w:rPr>
        <w:t>1.</w:t>
      </w:r>
      <w:r>
        <w:rPr>
          <w:rFonts w:hint="eastAsia" w:ascii="仿宋_GB2312"/>
          <w:kern w:val="0"/>
          <w:highlight w:val="white"/>
        </w:rPr>
        <w:t>正确贯彻执行党和国家的教育方针、政策、法规。</w:t>
      </w:r>
    </w:p>
    <w:p>
      <w:pPr>
        <w:autoSpaceDE w:val="0"/>
        <w:autoSpaceDN w:val="0"/>
        <w:adjustRightInd w:val="0"/>
        <w:spacing w:line="580" w:lineRule="atLeast"/>
        <w:ind w:firstLine="640"/>
        <w:jc w:val="left"/>
        <w:rPr>
          <w:rFonts w:ascii="宋体"/>
          <w:kern w:val="0"/>
          <w:highlight w:val="white"/>
        </w:rPr>
      </w:pPr>
      <w:r>
        <w:rPr>
          <w:rFonts w:hint="eastAsia" w:ascii="宋体" w:hAnsi="宋体" w:eastAsia="宋体" w:cs="宋体"/>
          <w:kern w:val="0"/>
          <w:highlight w:val="white"/>
        </w:rPr>
        <w:t>2.</w:t>
      </w:r>
      <w:r>
        <w:rPr>
          <w:rFonts w:hint="eastAsia" w:ascii="仿宋_GB2312"/>
          <w:kern w:val="0"/>
          <w:highlight w:val="white"/>
        </w:rPr>
        <w:t>维护学校的教学秩序，为学生创造良好的学习环境；</w:t>
      </w:r>
    </w:p>
    <w:p>
      <w:pPr>
        <w:autoSpaceDE w:val="0"/>
        <w:autoSpaceDN w:val="0"/>
        <w:adjustRightInd w:val="0"/>
        <w:spacing w:line="580" w:lineRule="atLeast"/>
        <w:ind w:firstLine="640"/>
        <w:jc w:val="left"/>
        <w:rPr>
          <w:rFonts w:ascii="宋体"/>
          <w:kern w:val="0"/>
          <w:highlight w:val="white"/>
        </w:rPr>
      </w:pPr>
      <w:r>
        <w:rPr>
          <w:rFonts w:hint="eastAsia" w:ascii="宋体" w:hAnsi="宋体" w:eastAsia="宋体" w:cs="宋体"/>
          <w:kern w:val="0"/>
          <w:highlight w:val="white"/>
        </w:rPr>
        <w:t>3.</w:t>
      </w:r>
      <w:r>
        <w:rPr>
          <w:rFonts w:hint="eastAsia" w:ascii="仿宋_GB2312"/>
          <w:kern w:val="0"/>
          <w:highlight w:val="white"/>
        </w:rPr>
        <w:t>积极稳妥地推进教育改革，按教育规律办事，不断提高教育质量；</w:t>
      </w:r>
    </w:p>
    <w:p>
      <w:pPr>
        <w:autoSpaceDE w:val="0"/>
        <w:autoSpaceDN w:val="0"/>
        <w:adjustRightInd w:val="0"/>
        <w:spacing w:line="580" w:lineRule="atLeast"/>
        <w:ind w:firstLine="640"/>
        <w:jc w:val="left"/>
        <w:rPr>
          <w:rFonts w:ascii="宋体"/>
          <w:kern w:val="0"/>
          <w:highlight w:val="white"/>
        </w:rPr>
      </w:pPr>
      <w:r>
        <w:rPr>
          <w:rFonts w:hint="eastAsia" w:ascii="宋体" w:hAnsi="宋体" w:eastAsia="宋体" w:cs="宋体"/>
          <w:kern w:val="0"/>
          <w:highlight w:val="white"/>
        </w:rPr>
        <w:t>4.</w:t>
      </w:r>
      <w:r>
        <w:rPr>
          <w:rFonts w:hint="eastAsia" w:ascii="仿宋_GB2312"/>
          <w:kern w:val="0"/>
          <w:highlight w:val="white"/>
        </w:rPr>
        <w:t>根据学校规模，设置学校管理机构，建立健全各项规章制度和岗位责任制。</w:t>
      </w:r>
    </w:p>
    <w:p>
      <w:pPr>
        <w:autoSpaceDE w:val="0"/>
        <w:autoSpaceDN w:val="0"/>
        <w:adjustRightInd w:val="0"/>
        <w:spacing w:line="580" w:lineRule="atLeast"/>
        <w:ind w:firstLine="640"/>
        <w:jc w:val="left"/>
        <w:rPr>
          <w:rFonts w:ascii="宋体"/>
          <w:kern w:val="0"/>
          <w:highlight w:val="white"/>
        </w:rPr>
      </w:pPr>
      <w:r>
        <w:rPr>
          <w:rFonts w:hint="eastAsia" w:ascii="宋体" w:hAnsi="宋体" w:eastAsia="宋体" w:cs="宋体"/>
          <w:kern w:val="0"/>
          <w:highlight w:val="white"/>
        </w:rPr>
        <w:t>5.</w:t>
      </w:r>
      <w:r>
        <w:rPr>
          <w:rFonts w:hint="eastAsia" w:ascii="仿宋_GB2312"/>
          <w:kern w:val="0"/>
          <w:highlight w:val="white"/>
        </w:rPr>
        <w:t>坚持教书育人，服务育人，环境育人方针，加强对学生的思想品德教育，使学生的德智体全面发展。</w:t>
      </w:r>
    </w:p>
    <w:p>
      <w:pPr>
        <w:autoSpaceDE w:val="0"/>
        <w:autoSpaceDN w:val="0"/>
        <w:adjustRightInd w:val="0"/>
        <w:spacing w:line="580" w:lineRule="atLeast"/>
        <w:ind w:firstLine="640"/>
        <w:jc w:val="left"/>
        <w:rPr>
          <w:rFonts w:ascii="宋体"/>
          <w:kern w:val="0"/>
          <w:highlight w:val="white"/>
        </w:rPr>
      </w:pPr>
      <w:r>
        <w:rPr>
          <w:rFonts w:hint="eastAsia" w:ascii="宋体" w:hAnsi="宋体" w:eastAsia="宋体" w:cs="宋体"/>
          <w:kern w:val="0"/>
          <w:highlight w:val="white"/>
        </w:rPr>
        <w:t>6.</w:t>
      </w:r>
      <w:r>
        <w:rPr>
          <w:rFonts w:hint="eastAsia" w:ascii="仿宋_GB2312"/>
          <w:kern w:val="0"/>
          <w:highlight w:val="white"/>
        </w:rPr>
        <w:t>抓好教师队伍建设，使每个教师都热心于教育事业；</w:t>
      </w:r>
    </w:p>
    <w:p>
      <w:pPr>
        <w:autoSpaceDE w:val="0"/>
        <w:autoSpaceDN w:val="0"/>
        <w:adjustRightInd w:val="0"/>
        <w:spacing w:line="580" w:lineRule="atLeast"/>
        <w:ind w:firstLine="640"/>
        <w:jc w:val="left"/>
        <w:rPr>
          <w:rFonts w:ascii="宋体"/>
          <w:kern w:val="0"/>
          <w:highlight w:val="white"/>
        </w:rPr>
      </w:pPr>
      <w:r>
        <w:rPr>
          <w:rFonts w:hint="eastAsia" w:ascii="宋体" w:hAnsi="宋体" w:eastAsia="宋体" w:cs="宋体"/>
          <w:kern w:val="0"/>
          <w:highlight w:val="white"/>
        </w:rPr>
        <w:t>7.</w:t>
      </w:r>
      <w:r>
        <w:rPr>
          <w:rFonts w:hint="eastAsia" w:ascii="仿宋_GB2312"/>
          <w:kern w:val="0"/>
          <w:highlight w:val="white"/>
        </w:rPr>
        <w:t>做好安全防范，保证学生的人生安全。</w:t>
      </w:r>
    </w:p>
    <w:p>
      <w:pPr>
        <w:autoSpaceDE w:val="0"/>
        <w:autoSpaceDN w:val="0"/>
        <w:adjustRightInd w:val="0"/>
        <w:spacing w:line="580" w:lineRule="atLeast"/>
        <w:ind w:firstLine="640"/>
        <w:jc w:val="left"/>
        <w:rPr>
          <w:rFonts w:hint="eastAsia" w:ascii="??_GB2312" w:hAnsi="??_GB2312"/>
          <w:kern w:val="0"/>
          <w:highlight w:val="white"/>
        </w:rPr>
      </w:pPr>
      <w:r>
        <w:rPr>
          <w:rFonts w:hint="eastAsia" w:ascii="仿宋_GB2312" w:hAnsi="??_GB2312" w:cs="宋体"/>
          <w:kern w:val="0"/>
          <w:highlight w:val="white"/>
        </w:rPr>
        <w:t>（三）人员概况。本单位有在编在职职工</w:t>
      </w:r>
      <w:r>
        <w:rPr>
          <w:rFonts w:hint="eastAsia" w:ascii="宋体" w:hAnsi="宋体" w:eastAsia="宋体" w:cs="宋体"/>
          <w:kern w:val="0"/>
          <w:highlight w:val="white"/>
        </w:rPr>
        <w:t>54</w:t>
      </w:r>
      <w:r>
        <w:rPr>
          <w:rFonts w:hint="eastAsia" w:ascii="仿宋_GB2312" w:hAnsi="??_GB2312" w:cs="宋体"/>
          <w:kern w:val="0"/>
          <w:highlight w:val="white"/>
        </w:rPr>
        <w:t>人，临聘人员</w:t>
      </w:r>
      <w:r>
        <w:rPr>
          <w:rFonts w:hint="eastAsia" w:ascii="宋体" w:hAnsi="宋体" w:eastAsia="宋体" w:cs="宋体"/>
          <w:kern w:val="0"/>
          <w:highlight w:val="white"/>
        </w:rPr>
        <w:t>0</w:t>
      </w:r>
      <w:r>
        <w:rPr>
          <w:rFonts w:hint="eastAsia" w:ascii="仿宋_GB2312" w:hAnsi="??_GB2312" w:cs="宋体"/>
          <w:kern w:val="0"/>
          <w:highlight w:val="white"/>
        </w:rPr>
        <w:t>名，退休教职工</w:t>
      </w:r>
      <w:r>
        <w:rPr>
          <w:rFonts w:hint="eastAsia" w:ascii="宋体" w:hAnsi="宋体" w:eastAsia="宋体" w:cs="宋体"/>
          <w:kern w:val="0"/>
          <w:highlight w:val="white"/>
        </w:rPr>
        <w:t>14</w:t>
      </w:r>
      <w:r>
        <w:rPr>
          <w:rFonts w:hint="eastAsia" w:ascii="仿宋_GB2312" w:hAnsi="??_GB2312" w:cs="宋体"/>
          <w:kern w:val="0"/>
          <w:highlight w:val="white"/>
        </w:rPr>
        <w:t>人。</w:t>
      </w:r>
    </w:p>
    <w:p>
      <w:pPr>
        <w:widowControl/>
        <w:adjustRightInd w:val="0"/>
        <w:snapToGrid w:val="0"/>
        <w:spacing w:line="580" w:lineRule="exact"/>
        <w:ind w:firstLine="640" w:firstLineChars="200"/>
        <w:contextualSpacing/>
        <w:jc w:val="left"/>
        <w:rPr>
          <w:rFonts w:ascii="黑体" w:hAnsi="宋体" w:eastAsia="黑体" w:cs="宋体"/>
          <w:color w:val="000000"/>
          <w:kern w:val="0"/>
          <w:shd w:val="clear" w:color="auto" w:fill="FFFFFF"/>
        </w:rPr>
      </w:pPr>
      <w:r>
        <w:rPr>
          <w:rFonts w:hint="eastAsia" w:ascii="黑体" w:hAnsi="黑体" w:eastAsia="黑体" w:cs="宋体"/>
          <w:color w:val="000000"/>
          <w:kern w:val="0"/>
          <w:shd w:val="clear" w:color="auto" w:fill="FFFFFF"/>
        </w:rPr>
        <w:t>二、部门财政资金收支情况</w:t>
      </w:r>
    </w:p>
    <w:p>
      <w:pPr>
        <w:widowControl/>
        <w:adjustRightInd w:val="0"/>
        <w:snapToGrid w:val="0"/>
        <w:spacing w:line="580" w:lineRule="exact"/>
        <w:ind w:firstLine="640" w:firstLineChars="200"/>
        <w:contextualSpacing/>
        <w:jc w:val="left"/>
        <w:rPr>
          <w:rFonts w:ascii="仿宋_GB2312" w:hAnsi="宋体" w:cs="宋体"/>
          <w:color w:val="000000"/>
          <w:kern w:val="0"/>
          <w:shd w:val="clear" w:color="auto" w:fill="FFFFFF"/>
        </w:rPr>
      </w:pPr>
      <w:r>
        <w:rPr>
          <w:rFonts w:hint="eastAsia" w:ascii="仿宋_GB2312" w:hAnsi="宋体" w:cs="宋体"/>
          <w:color w:val="000000"/>
          <w:kern w:val="0"/>
          <w:shd w:val="clear" w:color="auto" w:fill="FFFFFF"/>
        </w:rPr>
        <w:t>（一）部门财政资金收入情况。</w:t>
      </w:r>
    </w:p>
    <w:p>
      <w:pPr>
        <w:widowControl/>
        <w:adjustRightInd w:val="0"/>
        <w:snapToGrid w:val="0"/>
        <w:spacing w:line="580" w:lineRule="exact"/>
        <w:ind w:firstLine="640" w:firstLineChars="200"/>
        <w:contextualSpacing/>
        <w:jc w:val="left"/>
        <w:rPr>
          <w:rFonts w:ascii="仿宋_GB2312" w:hAnsi="宋体" w:cs="宋体"/>
          <w:color w:val="000000"/>
          <w:kern w:val="0"/>
          <w:shd w:val="clear" w:color="auto" w:fill="FFFFFF"/>
        </w:rPr>
      </w:pPr>
      <w:r>
        <w:rPr>
          <w:rFonts w:hint="eastAsia" w:ascii="仿宋" w:hAnsi="仿宋" w:eastAsia="仿宋"/>
          <w:color w:val="000000"/>
        </w:rPr>
        <w:t>2020年财政拨款收入851.63万元，其中：一般公共预算财政拨款收入851.63万元，占财政拨款收入合计的100%；政府性基金预算财政拨款收入0万元，占财政拨款收入合计的0.00%。</w:t>
      </w:r>
    </w:p>
    <w:p>
      <w:pPr>
        <w:widowControl/>
        <w:adjustRightInd w:val="0"/>
        <w:snapToGrid w:val="0"/>
        <w:spacing w:line="580" w:lineRule="exact"/>
        <w:ind w:firstLine="640" w:firstLineChars="200"/>
        <w:contextualSpacing/>
        <w:jc w:val="left"/>
        <w:rPr>
          <w:rFonts w:ascii="仿宋_GB2312" w:hAnsi="宋体" w:cs="宋体"/>
          <w:color w:val="000000"/>
          <w:kern w:val="0"/>
          <w:shd w:val="clear" w:color="auto" w:fill="FFFFFF"/>
        </w:rPr>
      </w:pPr>
      <w:r>
        <w:rPr>
          <w:rFonts w:hint="eastAsia" w:ascii="仿宋_GB2312" w:hAnsi="宋体" w:cs="宋体"/>
          <w:color w:val="000000"/>
          <w:kern w:val="0"/>
          <w:shd w:val="clear" w:color="auto" w:fill="FFFFFF"/>
        </w:rPr>
        <w:t>（二）部门财政资金支出情况。</w:t>
      </w:r>
    </w:p>
    <w:p>
      <w:pPr>
        <w:widowControl/>
        <w:adjustRightInd w:val="0"/>
        <w:snapToGrid w:val="0"/>
        <w:spacing w:line="580" w:lineRule="exact"/>
        <w:ind w:firstLine="640" w:firstLineChars="200"/>
        <w:contextualSpacing/>
        <w:jc w:val="left"/>
        <w:rPr>
          <w:rFonts w:ascii="仿宋_GB2312" w:hAnsi="宋体" w:cs="宋体"/>
          <w:color w:val="000000"/>
          <w:kern w:val="0"/>
          <w:shd w:val="clear" w:color="auto" w:fill="FFFFFF"/>
        </w:rPr>
      </w:pPr>
      <w:r>
        <w:rPr>
          <w:rFonts w:hint="eastAsia" w:ascii="仿宋" w:hAnsi="仿宋" w:eastAsia="仿宋"/>
          <w:color w:val="000000"/>
        </w:rPr>
        <w:t>2020年财政拨款支出898.33万元，其中：一般公共预算财政拨款支出898.33万元，占财政拨款支出合计的100%；政府性基金预算财政拨款支出0.00万元，占财政拨款支出合计的0.00%。</w:t>
      </w:r>
    </w:p>
    <w:p>
      <w:pPr>
        <w:widowControl/>
        <w:adjustRightInd w:val="0"/>
        <w:snapToGrid w:val="0"/>
        <w:spacing w:line="580" w:lineRule="exact"/>
        <w:ind w:firstLine="640" w:firstLineChars="200"/>
        <w:contextualSpacing/>
        <w:jc w:val="left"/>
        <w:rPr>
          <w:rFonts w:ascii="黑体" w:hAnsi="宋体" w:eastAsia="黑体" w:cs="宋体"/>
          <w:color w:val="000000"/>
          <w:kern w:val="0"/>
          <w:shd w:val="clear" w:color="auto" w:fill="FFFFFF"/>
        </w:rPr>
      </w:pPr>
      <w:r>
        <w:rPr>
          <w:rFonts w:hint="eastAsia" w:ascii="黑体" w:hAnsi="黑体" w:eastAsia="黑体" w:cs="宋体"/>
          <w:color w:val="000000"/>
          <w:kern w:val="0"/>
          <w:shd w:val="clear" w:color="auto" w:fill="FFFFFF"/>
        </w:rPr>
        <w:t>三、部门整体预算绩效管理情况</w:t>
      </w:r>
    </w:p>
    <w:p>
      <w:pPr>
        <w:widowControl/>
        <w:adjustRightInd w:val="0"/>
        <w:snapToGrid w:val="0"/>
        <w:spacing w:line="580" w:lineRule="exact"/>
        <w:ind w:firstLine="640" w:firstLineChars="200"/>
        <w:contextualSpacing/>
        <w:jc w:val="left"/>
        <w:rPr>
          <w:rFonts w:ascii="仿宋_GB2312" w:hAnsi="宋体" w:cs="宋体"/>
          <w:color w:val="000000"/>
          <w:kern w:val="0"/>
          <w:shd w:val="clear" w:color="auto" w:fill="FFFFFF"/>
        </w:rPr>
      </w:pPr>
      <w:r>
        <w:rPr>
          <w:rFonts w:hint="eastAsia" w:ascii="仿宋_GB2312" w:hAnsi="宋体" w:cs="宋体"/>
          <w:color w:val="000000"/>
          <w:kern w:val="0"/>
          <w:shd w:val="clear" w:color="auto" w:fill="FFFFFF"/>
        </w:rPr>
        <w:t>（一）部门预算管理。</w:t>
      </w:r>
    </w:p>
    <w:p>
      <w:pPr>
        <w:widowControl/>
        <w:adjustRightInd w:val="0"/>
        <w:snapToGrid w:val="0"/>
        <w:spacing w:line="580" w:lineRule="exact"/>
        <w:ind w:firstLine="640" w:firstLineChars="200"/>
        <w:contextualSpacing/>
        <w:jc w:val="left"/>
        <w:rPr>
          <w:rFonts w:ascii="仿宋_GB2312" w:hAnsi="宋体" w:cs="宋体"/>
          <w:color w:val="000000"/>
          <w:kern w:val="0"/>
          <w:shd w:val="clear" w:color="auto" w:fill="FFFFFF"/>
        </w:rPr>
      </w:pPr>
      <w:r>
        <w:rPr>
          <w:rFonts w:hint="eastAsia" w:ascii="仿宋_GB2312" w:hAnsi="宋体"/>
        </w:rPr>
        <w:t>绩效目标是预算编制的前提和基础，按照“费随事定”的原则。整体绩效目标涉及总金额40.32万元，从完成的数量、成本、时效、质量等方面进行绩效评价，无违规执行预算的情况。</w:t>
      </w:r>
    </w:p>
    <w:p>
      <w:pPr>
        <w:widowControl/>
        <w:adjustRightInd w:val="0"/>
        <w:snapToGrid w:val="0"/>
        <w:spacing w:line="580" w:lineRule="exact"/>
        <w:ind w:firstLine="640" w:firstLineChars="200"/>
        <w:contextualSpacing/>
        <w:jc w:val="left"/>
        <w:rPr>
          <w:rFonts w:ascii="仿宋_GB2312" w:hAnsi="宋体" w:cs="宋体"/>
          <w:kern w:val="0"/>
          <w:shd w:val="clear" w:color="auto" w:fill="FFFFFF"/>
        </w:rPr>
      </w:pPr>
      <w:r>
        <w:rPr>
          <w:rFonts w:hint="eastAsia" w:ascii="仿宋_GB2312" w:hAnsi="宋体" w:cs="宋体"/>
          <w:kern w:val="0"/>
          <w:shd w:val="clear" w:color="auto" w:fill="FFFFFF"/>
        </w:rPr>
        <w:t>（二）结果应用情况。</w:t>
      </w:r>
    </w:p>
    <w:p>
      <w:pPr>
        <w:widowControl/>
        <w:adjustRightInd w:val="0"/>
        <w:snapToGrid w:val="0"/>
        <w:spacing w:line="580" w:lineRule="exact"/>
        <w:ind w:firstLine="640" w:firstLineChars="200"/>
        <w:contextualSpacing/>
        <w:jc w:val="left"/>
        <w:rPr>
          <w:rFonts w:ascii="仿宋_GB2312" w:hAnsi="宋体" w:cs="宋体"/>
          <w:kern w:val="0"/>
          <w:shd w:val="clear" w:color="auto" w:fill="FFFFFF"/>
        </w:rPr>
      </w:pPr>
      <w:r>
        <w:rPr>
          <w:rFonts w:hint="eastAsia" w:ascii="仿宋_GB2312" w:hAnsi="宋体" w:cs="宋体"/>
          <w:kern w:val="0"/>
          <w:shd w:val="clear" w:color="auto" w:fill="FFFFFF"/>
        </w:rPr>
        <w:t>无</w:t>
      </w:r>
    </w:p>
    <w:p>
      <w:pPr>
        <w:widowControl/>
        <w:adjustRightInd w:val="0"/>
        <w:snapToGrid w:val="0"/>
        <w:spacing w:line="580" w:lineRule="exact"/>
        <w:ind w:firstLine="640" w:firstLineChars="200"/>
        <w:contextualSpacing/>
        <w:jc w:val="left"/>
        <w:rPr>
          <w:rFonts w:ascii="黑体" w:hAnsi="宋体" w:eastAsia="黑体" w:cs="宋体"/>
          <w:kern w:val="0"/>
          <w:shd w:val="clear" w:color="auto" w:fill="FFFFFF"/>
        </w:rPr>
      </w:pPr>
      <w:r>
        <w:rPr>
          <w:rFonts w:hint="eastAsia" w:ascii="黑体" w:hAnsi="黑体" w:eastAsia="黑体" w:cs="宋体"/>
          <w:kern w:val="0"/>
          <w:shd w:val="clear" w:color="auto" w:fill="FFFFFF"/>
        </w:rPr>
        <w:t>四、评价结论及建议</w:t>
      </w:r>
    </w:p>
    <w:p>
      <w:pPr>
        <w:widowControl/>
        <w:adjustRightInd w:val="0"/>
        <w:snapToGrid w:val="0"/>
        <w:spacing w:line="580" w:lineRule="exact"/>
        <w:ind w:firstLine="640" w:firstLineChars="200"/>
        <w:contextualSpacing/>
        <w:jc w:val="left"/>
        <w:rPr>
          <w:rFonts w:ascii="仿宋_GB2312" w:hAnsi="宋体" w:cs="宋体"/>
          <w:kern w:val="0"/>
          <w:shd w:val="clear" w:color="auto" w:fill="FFFFFF"/>
        </w:rPr>
      </w:pPr>
      <w:r>
        <w:rPr>
          <w:rFonts w:hint="eastAsia" w:ascii="仿宋_GB2312" w:hAnsi="宋体" w:cs="宋体"/>
          <w:kern w:val="0"/>
          <w:shd w:val="clear" w:color="auto" w:fill="FFFFFF"/>
        </w:rPr>
        <w:t>（一）评价结论。</w:t>
      </w:r>
    </w:p>
    <w:p>
      <w:pPr>
        <w:widowControl/>
        <w:adjustRightInd w:val="0"/>
        <w:snapToGrid w:val="0"/>
        <w:spacing w:line="580" w:lineRule="exact"/>
        <w:ind w:firstLine="640" w:firstLineChars="200"/>
        <w:contextualSpacing/>
        <w:jc w:val="left"/>
        <w:rPr>
          <w:rFonts w:ascii="仿宋_GB2312" w:hAnsi="宋体" w:cs="宋体"/>
          <w:kern w:val="0"/>
          <w:shd w:val="clear" w:color="auto" w:fill="FFFFFF"/>
        </w:rPr>
      </w:pPr>
      <w:r>
        <w:rPr>
          <w:rFonts w:hint="eastAsia" w:ascii="仿宋_GB2312" w:hAnsi="宋体"/>
        </w:rPr>
        <w:t>达到了预期的社会效益、经济效益，完成预算的100%。</w:t>
      </w:r>
    </w:p>
    <w:p>
      <w:pPr>
        <w:widowControl/>
        <w:adjustRightInd w:val="0"/>
        <w:snapToGrid w:val="0"/>
        <w:spacing w:line="580" w:lineRule="exact"/>
        <w:ind w:firstLine="640" w:firstLineChars="200"/>
        <w:contextualSpacing/>
        <w:jc w:val="left"/>
        <w:rPr>
          <w:rFonts w:ascii="仿宋_GB2312" w:hAnsi="宋体" w:cs="宋体"/>
          <w:kern w:val="0"/>
          <w:shd w:val="clear" w:color="auto" w:fill="FFFFFF"/>
        </w:rPr>
      </w:pPr>
      <w:r>
        <w:rPr>
          <w:rFonts w:hint="eastAsia" w:ascii="仿宋_GB2312" w:hAnsi="宋体" w:cs="宋体"/>
          <w:kern w:val="0"/>
          <w:shd w:val="clear" w:color="auto" w:fill="FFFFFF"/>
        </w:rPr>
        <w:t>（二）存在问题。无</w:t>
      </w:r>
    </w:p>
    <w:p>
      <w:pPr>
        <w:widowControl/>
        <w:adjustRightInd w:val="0"/>
        <w:snapToGrid w:val="0"/>
        <w:spacing w:line="580" w:lineRule="exact"/>
        <w:ind w:firstLine="640" w:firstLineChars="200"/>
        <w:contextualSpacing/>
        <w:jc w:val="left"/>
        <w:rPr>
          <w:rFonts w:ascii="仿宋_GB2312"/>
        </w:rPr>
      </w:pPr>
      <w:r>
        <w:rPr>
          <w:rFonts w:hint="eastAsia" w:ascii="仿宋_GB2312" w:hAnsi="宋体" w:cs="宋体"/>
          <w:kern w:val="0"/>
          <w:shd w:val="clear" w:color="auto" w:fill="FFFFFF"/>
        </w:rPr>
        <w:t>（三）改进建议。无</w:t>
      </w: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outlineLvl w:val="1"/>
        <w:rPr>
          <w:rFonts w:ascii="仿宋_GB2312" w:hAnsi="仿宋_GB2312" w:cs="仿宋_GB2312"/>
          <w:szCs w:val="32"/>
        </w:rPr>
      </w:pPr>
      <w:bookmarkStart w:id="59" w:name="_Toc11602"/>
      <w:r>
        <w:rPr>
          <w:rFonts w:hint="eastAsia" w:ascii="黑体" w:hAnsi="黑体" w:eastAsia="黑体" w:cs="黑体"/>
          <w:szCs w:val="32"/>
        </w:rPr>
        <w:t>附件</w:t>
      </w:r>
      <w:r>
        <w:rPr>
          <w:rFonts w:ascii="黑体" w:hAnsi="黑体" w:eastAsia="黑体" w:cs="黑体"/>
          <w:szCs w:val="32"/>
        </w:rPr>
        <w:t>2</w:t>
      </w:r>
      <w:bookmarkEnd w:id="59"/>
    </w:p>
    <w:p>
      <w:pPr>
        <w:spacing w:line="580" w:lineRule="exact"/>
        <w:ind w:firstLine="640" w:firstLineChars="200"/>
        <w:rPr>
          <w:rFonts w:ascii="仿宋_GB2312" w:hAnsi="仿宋_GB2312" w:cs="仿宋_GB2312"/>
          <w:szCs w:val="32"/>
        </w:rPr>
      </w:pP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运动场改造工程</w:t>
      </w:r>
      <w:r>
        <w:rPr>
          <w:rFonts w:hint="eastAsia" w:ascii="方正小标宋简体" w:hAnsi="宋体" w:eastAsia="方正小标宋简体"/>
          <w:color w:val="000000"/>
          <w:kern w:val="0"/>
          <w:sz w:val="44"/>
          <w:szCs w:val="44"/>
          <w:lang w:val="zh-CN"/>
        </w:rPr>
        <w:t>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w:t>
      </w: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lang w:val="zh-CN"/>
        </w:rPr>
        <w:t>评价报告</w:t>
      </w:r>
    </w:p>
    <w:p>
      <w:pPr>
        <w:spacing w:line="600" w:lineRule="exact"/>
        <w:rPr>
          <w:rFonts w:ascii="宋体"/>
          <w:szCs w:val="32"/>
          <w:lang w:val="zh-CN"/>
        </w:rPr>
      </w:pPr>
    </w:p>
    <w:p>
      <w:pPr>
        <w:adjustRightInd w:val="0"/>
        <w:snapToGrid w:val="0"/>
        <w:spacing w:line="600" w:lineRule="exact"/>
        <w:ind w:firstLine="720"/>
        <w:rPr>
          <w:rFonts w:ascii="黑体" w:hAnsi="宋体" w:eastAsia="黑体"/>
        </w:rPr>
      </w:pPr>
      <w:r>
        <w:rPr>
          <w:rFonts w:hint="eastAsia" w:ascii="黑体" w:hAnsi="黑体" w:eastAsia="黑体"/>
        </w:rPr>
        <w:t>一、项目概况</w:t>
      </w:r>
    </w:p>
    <w:p>
      <w:pPr>
        <w:autoSpaceDE w:val="0"/>
        <w:autoSpaceDN w:val="0"/>
        <w:adjustRightInd w:val="0"/>
        <w:spacing w:line="580" w:lineRule="atLeast"/>
        <w:ind w:firstLine="640"/>
        <w:jc w:val="left"/>
        <w:rPr>
          <w:rFonts w:ascii="宋体" w:cs="宋体"/>
          <w:kern w:val="0"/>
          <w:highlight w:val="white"/>
        </w:rPr>
      </w:pPr>
      <w:r>
        <w:rPr>
          <w:rFonts w:hint="eastAsia" w:ascii="仿宋_GB2312" w:hAnsi="???????" w:cs="宋体"/>
          <w:b/>
          <w:bCs/>
          <w:kern w:val="0"/>
        </w:rPr>
        <w:t>（一）项目基本情况。</w:t>
      </w:r>
    </w:p>
    <w:p>
      <w:pPr>
        <w:autoSpaceDE w:val="0"/>
        <w:autoSpaceDN w:val="0"/>
        <w:adjustRightInd w:val="0"/>
        <w:spacing w:line="580" w:lineRule="atLeast"/>
        <w:ind w:firstLine="640"/>
        <w:jc w:val="left"/>
        <w:rPr>
          <w:rFonts w:ascii="宋体"/>
          <w:kern w:val="0"/>
          <w:highlight w:val="white"/>
        </w:rPr>
      </w:pPr>
      <w:r>
        <w:rPr>
          <w:rFonts w:hint="eastAsia" w:ascii="宋体" w:hAnsi="宋体" w:eastAsia="宋体" w:cs="宋体"/>
          <w:kern w:val="0"/>
          <w:highlight w:val="white"/>
        </w:rPr>
        <w:t>1.</w:t>
      </w:r>
      <w:r>
        <w:rPr>
          <w:rFonts w:hint="eastAsia" w:ascii="仿宋_GB2312" w:cs="宋体"/>
          <w:kern w:val="0"/>
          <w:highlight w:val="white"/>
        </w:rPr>
        <w:t>机构职能：</w:t>
      </w:r>
      <w:r>
        <w:rPr>
          <w:rFonts w:hint="eastAsia" w:ascii="仿宋_GB2312"/>
          <w:kern w:val="0"/>
          <w:highlight w:val="white"/>
        </w:rPr>
        <w:t>正确贯彻执行党和国家的教育方针、政策、法规。维护学校的教学秩序，为学生创造良好的学习环境；积极稳妥地推进教育改革，按教育规律办事，不断提高教育质量；</w:t>
      </w:r>
    </w:p>
    <w:p>
      <w:pPr>
        <w:autoSpaceDE w:val="0"/>
        <w:autoSpaceDN w:val="0"/>
        <w:adjustRightInd w:val="0"/>
        <w:spacing w:line="580" w:lineRule="atLeast"/>
        <w:ind w:firstLine="640" w:firstLineChars="200"/>
        <w:jc w:val="left"/>
        <w:rPr>
          <w:rFonts w:ascii="宋体"/>
          <w:kern w:val="0"/>
          <w:highlight w:val="white"/>
        </w:rPr>
      </w:pPr>
      <w:r>
        <w:rPr>
          <w:rFonts w:hint="eastAsia" w:ascii="仿宋_GB2312"/>
          <w:kern w:val="0"/>
          <w:highlight w:val="white"/>
        </w:rPr>
        <w:t>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生安全。</w:t>
      </w:r>
    </w:p>
    <w:p>
      <w:pPr>
        <w:autoSpaceDE w:val="0"/>
        <w:autoSpaceDN w:val="0"/>
        <w:adjustRightInd w:val="0"/>
        <w:spacing w:line="600" w:lineRule="atLeast"/>
        <w:ind w:firstLine="720"/>
        <w:rPr>
          <w:rFonts w:ascii="仿宋_GB2312"/>
          <w:kern w:val="0"/>
          <w:highlight w:val="white"/>
        </w:rPr>
      </w:pPr>
      <w:r>
        <w:rPr>
          <w:rFonts w:hint="eastAsia" w:ascii="仿宋_GB2312"/>
          <w:kern w:val="0"/>
          <w:highlight w:val="white"/>
        </w:rPr>
        <w:t xml:space="preserve">2.项目立项、资金申报以改善办学条件，达到义务教育学校办学标准为依据。 </w:t>
      </w:r>
    </w:p>
    <w:p>
      <w:pPr>
        <w:autoSpaceDE w:val="0"/>
        <w:autoSpaceDN w:val="0"/>
        <w:adjustRightInd w:val="0"/>
        <w:spacing w:line="600" w:lineRule="atLeast"/>
        <w:ind w:firstLine="720"/>
        <w:rPr>
          <w:rFonts w:ascii="仿宋_GB2312"/>
          <w:kern w:val="0"/>
          <w:highlight w:val="white"/>
        </w:rPr>
      </w:pPr>
      <w:r>
        <w:rPr>
          <w:rFonts w:hint="eastAsia" w:ascii="仿宋_GB2312"/>
          <w:kern w:val="0"/>
          <w:highlight w:val="white"/>
        </w:rPr>
        <w:t>3.学校对专项资金实行专项管理。</w:t>
      </w:r>
    </w:p>
    <w:p>
      <w:pPr>
        <w:autoSpaceDE w:val="0"/>
        <w:autoSpaceDN w:val="0"/>
        <w:adjustRightInd w:val="0"/>
        <w:spacing w:line="600" w:lineRule="atLeast"/>
        <w:ind w:firstLine="720"/>
        <w:rPr>
          <w:rFonts w:hint="eastAsia" w:ascii="??_GB2312" w:hAnsi="??_GB2312"/>
          <w:b/>
          <w:bCs/>
          <w:kern w:val="0"/>
        </w:rPr>
      </w:pPr>
      <w:r>
        <w:rPr>
          <w:rFonts w:hint="eastAsia" w:ascii="仿宋_GB2312" w:hAnsi="??_GB2312" w:cs="宋体"/>
          <w:b/>
          <w:bCs/>
          <w:kern w:val="0"/>
        </w:rPr>
        <w:t>（二）项目绩效目标。</w:t>
      </w:r>
    </w:p>
    <w:p>
      <w:pPr>
        <w:autoSpaceDE w:val="0"/>
        <w:autoSpaceDN w:val="0"/>
        <w:adjustRightInd w:val="0"/>
        <w:spacing w:line="600" w:lineRule="atLeast"/>
        <w:ind w:firstLine="720"/>
        <w:rPr>
          <w:rFonts w:hint="eastAsia" w:ascii="宋体" w:hAnsi="??_GB2312"/>
          <w:kern w:val="0"/>
        </w:rPr>
      </w:pPr>
      <w:r>
        <w:rPr>
          <w:rFonts w:ascii="??_GB2312" w:hAnsi="??_GB2312"/>
          <w:kern w:val="0"/>
        </w:rPr>
        <w:t>1</w:t>
      </w:r>
      <w:r>
        <w:rPr>
          <w:rFonts w:hint="eastAsia" w:ascii="仿宋_GB2312" w:hAnsi="??_GB2312" w:cs="宋体"/>
          <w:kern w:val="0"/>
        </w:rPr>
        <w:t>．项目主要内容：</w:t>
      </w:r>
    </w:p>
    <w:p>
      <w:pPr>
        <w:autoSpaceDE w:val="0"/>
        <w:autoSpaceDN w:val="0"/>
        <w:adjustRightInd w:val="0"/>
        <w:spacing w:line="600" w:lineRule="atLeast"/>
        <w:ind w:firstLine="720"/>
        <w:rPr>
          <w:rFonts w:hint="eastAsia" w:ascii="??_GB2312" w:hAnsi="??_GB2312"/>
          <w:kern w:val="0"/>
        </w:rPr>
      </w:pPr>
      <w:r>
        <w:rPr>
          <w:rFonts w:hint="eastAsia" w:ascii="仿宋_GB2312" w:hAnsi="??_GB2312" w:cs="宋体"/>
          <w:kern w:val="0"/>
        </w:rPr>
        <w:t>运动场改造工程，上下操场改造。</w:t>
      </w:r>
    </w:p>
    <w:p>
      <w:pPr>
        <w:autoSpaceDE w:val="0"/>
        <w:autoSpaceDN w:val="0"/>
        <w:adjustRightInd w:val="0"/>
        <w:spacing w:line="580" w:lineRule="atLeast"/>
        <w:ind w:firstLine="640"/>
        <w:rPr>
          <w:rFonts w:hint="eastAsia" w:ascii="??_GB2312" w:hAnsi="??_GB2312"/>
          <w:kern w:val="0"/>
        </w:rPr>
      </w:pPr>
      <w:r>
        <w:rPr>
          <w:rFonts w:ascii="??_GB2312" w:hAnsi="??_GB2312"/>
          <w:kern w:val="0"/>
        </w:rPr>
        <w:t>2</w:t>
      </w:r>
      <w:r>
        <w:rPr>
          <w:rFonts w:hint="eastAsia" w:ascii="仿宋_GB2312" w:hAnsi="??_GB2312" w:cs="宋体"/>
          <w:kern w:val="0"/>
        </w:rPr>
        <w:t>．项目应实现的具体绩效目标，项目全年预算数</w:t>
      </w:r>
      <w:r>
        <w:rPr>
          <w:rFonts w:hint="eastAsia" w:ascii="??_GB2312" w:hAnsi="??_GB2312" w:cs="??_GB2312"/>
          <w:kern w:val="0"/>
        </w:rPr>
        <w:t>40.32</w:t>
      </w:r>
      <w:r>
        <w:rPr>
          <w:rFonts w:hint="eastAsia" w:ascii="仿宋_GB2312" w:hAnsi="??_GB2312" w:cs="宋体"/>
          <w:kern w:val="0"/>
        </w:rPr>
        <w:t>万元，执行数为</w:t>
      </w:r>
      <w:r>
        <w:rPr>
          <w:rFonts w:hint="eastAsia" w:ascii="??_GB2312" w:hAnsi="??_GB2312" w:cs="??_GB2312"/>
          <w:kern w:val="0"/>
        </w:rPr>
        <w:t>40.32</w:t>
      </w:r>
      <w:r>
        <w:rPr>
          <w:rFonts w:hint="eastAsia" w:ascii="仿宋_GB2312" w:hAnsi="??_GB2312" w:cs="宋体"/>
          <w:kern w:val="0"/>
        </w:rPr>
        <w:t>万元。通过项目实施，为运动场改造工程按照合同有序进行。</w:t>
      </w:r>
    </w:p>
    <w:p>
      <w:pPr>
        <w:autoSpaceDE w:val="0"/>
        <w:autoSpaceDN w:val="0"/>
        <w:adjustRightInd w:val="0"/>
        <w:spacing w:line="600" w:lineRule="atLeast"/>
        <w:ind w:firstLine="720"/>
        <w:rPr>
          <w:rFonts w:hint="eastAsia" w:ascii="??_GB2312" w:hAnsi="??_GB2312"/>
          <w:kern w:val="0"/>
        </w:rPr>
      </w:pPr>
      <w:r>
        <w:rPr>
          <w:rFonts w:ascii="??_GB2312" w:hAnsi="??_GB2312"/>
          <w:kern w:val="0"/>
        </w:rPr>
        <w:t>3</w:t>
      </w:r>
      <w:r>
        <w:rPr>
          <w:rFonts w:hint="eastAsia" w:ascii="仿宋_GB2312" w:hAnsi="??_GB2312" w:cs="宋体"/>
          <w:kern w:val="0"/>
        </w:rPr>
        <w:t>．申报内容与实际相符，申报目标合理可行。</w:t>
      </w:r>
    </w:p>
    <w:p>
      <w:pPr>
        <w:autoSpaceDE w:val="0"/>
        <w:autoSpaceDN w:val="0"/>
        <w:adjustRightInd w:val="0"/>
        <w:spacing w:line="600" w:lineRule="atLeast"/>
        <w:ind w:firstLine="720"/>
        <w:rPr>
          <w:rFonts w:hint="eastAsia" w:ascii="??_GB2312" w:hAnsi="??_GB2312"/>
          <w:b/>
          <w:bCs/>
          <w:kern w:val="0"/>
        </w:rPr>
      </w:pPr>
      <w:r>
        <w:rPr>
          <w:rFonts w:hint="eastAsia" w:ascii="仿宋_GB2312" w:hAnsi="??_GB2312" w:cs="宋体"/>
          <w:b/>
          <w:bCs/>
          <w:kern w:val="0"/>
        </w:rPr>
        <w:t>（三）项目自评步骤及方法。</w:t>
      </w:r>
    </w:p>
    <w:p>
      <w:pPr>
        <w:autoSpaceDE w:val="0"/>
        <w:autoSpaceDN w:val="0"/>
        <w:adjustRightInd w:val="0"/>
        <w:spacing w:line="600" w:lineRule="atLeast"/>
        <w:ind w:firstLine="720"/>
        <w:rPr>
          <w:rFonts w:hint="eastAsia" w:ascii="宋体" w:hAnsi="??_GB2312"/>
          <w:kern w:val="0"/>
        </w:rPr>
      </w:pPr>
      <w:r>
        <w:rPr>
          <w:rFonts w:hint="eastAsia" w:ascii="宋体" w:hAnsi="宋体" w:eastAsia="宋体" w:cs="宋体"/>
          <w:kern w:val="0"/>
        </w:rPr>
        <w:t>1.</w:t>
      </w:r>
      <w:r>
        <w:rPr>
          <w:rFonts w:hint="eastAsia" w:ascii="仿宋_GB2312" w:hAnsi="??_GB2312" w:cs="宋体"/>
          <w:kern w:val="0"/>
        </w:rPr>
        <w:t>政教自评</w:t>
      </w:r>
    </w:p>
    <w:p>
      <w:pPr>
        <w:autoSpaceDE w:val="0"/>
        <w:autoSpaceDN w:val="0"/>
        <w:adjustRightInd w:val="0"/>
        <w:spacing w:line="600" w:lineRule="atLeast"/>
        <w:ind w:firstLine="720"/>
        <w:rPr>
          <w:rFonts w:ascii="宋体" w:hAnsi="宋体" w:eastAsia="宋体"/>
        </w:rPr>
      </w:pPr>
      <w:r>
        <w:rPr>
          <w:rFonts w:hint="eastAsia" w:ascii="宋体" w:hAnsi="宋体" w:eastAsia="宋体" w:cs="宋体"/>
          <w:kern w:val="0"/>
        </w:rPr>
        <w:t>2.</w:t>
      </w:r>
      <w:r>
        <w:rPr>
          <w:rFonts w:hint="eastAsia" w:ascii="仿宋_GB2312" w:hAnsi="??_GB2312" w:cs="宋体"/>
          <w:kern w:val="0"/>
        </w:rPr>
        <w:t>政教向内控小组提交评价结果并由内控小组做出评价。</w:t>
      </w:r>
    </w:p>
    <w:p>
      <w:pPr>
        <w:adjustRightInd w:val="0"/>
        <w:snapToGrid w:val="0"/>
        <w:spacing w:line="600" w:lineRule="exact"/>
        <w:ind w:firstLine="720"/>
        <w:rPr>
          <w:rFonts w:ascii="黑体" w:hAnsi="宋体" w:eastAsia="黑体"/>
        </w:rPr>
      </w:pPr>
      <w:r>
        <w:rPr>
          <w:rFonts w:hint="eastAsia" w:ascii="黑体" w:hAnsi="黑体" w:eastAsia="黑体"/>
        </w:rPr>
        <w:t>二、项目资金申报及使用情况</w:t>
      </w:r>
    </w:p>
    <w:p>
      <w:pPr>
        <w:adjustRightInd w:val="0"/>
        <w:snapToGrid w:val="0"/>
        <w:spacing w:line="600" w:lineRule="exact"/>
        <w:ind w:firstLine="720"/>
        <w:rPr>
          <w:rFonts w:ascii="楷体_GB2312" w:hAnsi="宋体" w:eastAsia="楷体_GB2312"/>
          <w:b/>
        </w:rPr>
      </w:pPr>
      <w:r>
        <w:rPr>
          <w:rFonts w:hint="eastAsia" w:ascii="楷体_GB2312" w:hAnsi="宋体" w:eastAsia="楷体_GB2312"/>
          <w:b/>
        </w:rPr>
        <w:t>（一）项目资金申报及批复情况。</w:t>
      </w:r>
    </w:p>
    <w:p>
      <w:pPr>
        <w:autoSpaceDE w:val="0"/>
        <w:autoSpaceDN w:val="0"/>
        <w:adjustRightInd w:val="0"/>
        <w:spacing w:line="600" w:lineRule="atLeast"/>
        <w:ind w:firstLine="720"/>
        <w:rPr>
          <w:rFonts w:hint="eastAsia" w:ascii="??_GB2312" w:hAnsi="??_GB2312"/>
          <w:kern w:val="0"/>
        </w:rPr>
      </w:pPr>
      <w:r>
        <w:rPr>
          <w:rFonts w:ascii="仿宋_GB2312"/>
        </w:rPr>
        <w:t>学校编制项目预算，经部门审核同意后由市财政下达项目资金</w:t>
      </w:r>
    </w:p>
    <w:p>
      <w:pPr>
        <w:adjustRightInd w:val="0"/>
        <w:snapToGrid w:val="0"/>
        <w:spacing w:line="600" w:lineRule="exact"/>
        <w:ind w:firstLine="720"/>
        <w:rPr>
          <w:rFonts w:ascii="仿宋_GB2312" w:hAnsi="宋体"/>
        </w:rPr>
      </w:pPr>
      <w:r>
        <w:rPr>
          <w:rFonts w:hint="eastAsia" w:ascii="楷体_GB2312" w:hAnsi="宋体" w:eastAsia="楷体_GB2312"/>
          <w:b/>
        </w:rPr>
        <w:t>（二）资金计划、到位及使用情况（可用表格形式反映）。</w:t>
      </w:r>
    </w:p>
    <w:p>
      <w:pPr>
        <w:adjustRightInd w:val="0"/>
        <w:snapToGrid w:val="0"/>
        <w:spacing w:line="600" w:lineRule="exact"/>
        <w:ind w:firstLine="720"/>
      </w:pPr>
      <w:r>
        <w:rPr>
          <w:rFonts w:hint="eastAsia"/>
        </w:rPr>
        <w:t>1.</w:t>
      </w:r>
      <w:r>
        <w:rPr>
          <w:rFonts w:ascii="仿宋_GB2312"/>
        </w:rPr>
        <w:t>资金计划。均为财政拨款专项资金。</w:t>
      </w:r>
      <w:r>
        <w:t xml:space="preserve"> </w:t>
      </w:r>
    </w:p>
    <w:p>
      <w:pPr>
        <w:adjustRightInd w:val="0"/>
        <w:snapToGrid w:val="0"/>
        <w:spacing w:line="600" w:lineRule="exact"/>
        <w:ind w:firstLine="720"/>
      </w:pPr>
      <w:r>
        <w:t>2.</w:t>
      </w:r>
      <w:r>
        <w:rPr>
          <w:rFonts w:ascii="仿宋_GB2312"/>
        </w:rPr>
        <w:t xml:space="preserve">资金到位 </w:t>
      </w:r>
      <w:r>
        <w:rPr>
          <w:rFonts w:hint="eastAsia"/>
        </w:rPr>
        <w:t>40.32</w:t>
      </w:r>
      <w:r>
        <w:rPr>
          <w:rFonts w:ascii="仿宋_GB2312"/>
        </w:rPr>
        <w:t>万元。</w:t>
      </w:r>
      <w:r>
        <w:t xml:space="preserve"> </w:t>
      </w:r>
    </w:p>
    <w:p>
      <w:pPr>
        <w:adjustRightInd w:val="0"/>
        <w:snapToGrid w:val="0"/>
        <w:spacing w:line="600" w:lineRule="exact"/>
        <w:ind w:firstLine="720"/>
        <w:rPr>
          <w:rFonts w:ascii="仿宋_GB2312" w:hAnsi="宋体"/>
        </w:rPr>
      </w:pPr>
      <w:r>
        <w:t>3.</w:t>
      </w:r>
      <w:r>
        <w:rPr>
          <w:rFonts w:ascii="仿宋_GB2312"/>
        </w:rPr>
        <w:t>资金使用。该项目资金全部用于</w:t>
      </w:r>
      <w:r>
        <w:rPr>
          <w:rFonts w:hint="eastAsia" w:ascii="仿宋_GB2312"/>
        </w:rPr>
        <w:t>运动场改造工程款。</w:t>
      </w:r>
    </w:p>
    <w:p>
      <w:pPr>
        <w:adjustRightInd w:val="0"/>
        <w:snapToGrid w:val="0"/>
        <w:spacing w:line="600" w:lineRule="exact"/>
        <w:ind w:firstLine="720"/>
        <w:rPr>
          <w:rFonts w:ascii="楷体_GB2312" w:hAnsi="宋体" w:eastAsia="楷体_GB2312"/>
          <w:b/>
        </w:rPr>
      </w:pPr>
      <w:r>
        <w:rPr>
          <w:rFonts w:hint="eastAsia" w:ascii="楷体_GB2312" w:hAnsi="宋体" w:eastAsia="楷体_GB2312"/>
          <w:b/>
        </w:rPr>
        <w:t>（三）项目财务管理情况。</w:t>
      </w:r>
    </w:p>
    <w:p>
      <w:pPr>
        <w:adjustRightInd w:val="0"/>
        <w:snapToGrid w:val="0"/>
        <w:spacing w:line="600" w:lineRule="exact"/>
        <w:ind w:firstLine="720"/>
      </w:pPr>
      <w:r>
        <w:rPr>
          <w:rFonts w:ascii="仿宋_GB2312"/>
        </w:rPr>
        <w:t>学校严格执行财务规章制度</w:t>
      </w:r>
      <w:r>
        <w:t xml:space="preserve">, </w:t>
      </w:r>
      <w:r>
        <w:rPr>
          <w:rFonts w:ascii="仿宋_GB2312"/>
        </w:rPr>
        <w:t>注重用好管好专项资金， 重视会计监督及资金的使用效益，规范执行项目资金，没有 改变资金用途及挪用截留资金的现象，资金支付手续齐全， 无虚假凭证的情况，确保了资金的安全性</w:t>
      </w:r>
      <w:r>
        <w:rPr>
          <w:rFonts w:hint="eastAsia" w:ascii="仿宋_GB2312"/>
        </w:rPr>
        <w:t>。</w:t>
      </w:r>
    </w:p>
    <w:p>
      <w:pPr>
        <w:adjustRightInd w:val="0"/>
        <w:snapToGrid w:val="0"/>
        <w:spacing w:line="600" w:lineRule="exact"/>
        <w:ind w:firstLine="720"/>
        <w:rPr>
          <w:rFonts w:ascii="黑体" w:hAnsi="宋体" w:eastAsia="黑体"/>
        </w:rPr>
      </w:pPr>
      <w:r>
        <w:rPr>
          <w:rFonts w:hint="eastAsia" w:ascii="黑体" w:hAnsi="黑体" w:eastAsia="黑体"/>
        </w:rPr>
        <w:t>三、项目实施及管理情况</w:t>
      </w:r>
    </w:p>
    <w:p>
      <w:pPr>
        <w:adjustRightInd w:val="0"/>
        <w:snapToGrid w:val="0"/>
        <w:spacing w:line="600" w:lineRule="exact"/>
        <w:ind w:firstLine="720"/>
        <w:rPr>
          <w:rFonts w:ascii="仿宋_GB2312" w:hAnsi="宋体"/>
        </w:rPr>
      </w:pPr>
      <w:r>
        <w:rPr>
          <w:rFonts w:hint="eastAsia" w:ascii="仿宋_GB2312" w:hAnsi="宋体"/>
        </w:rPr>
        <w:t>结合项目组织实施管理办法，重点围绕以下内容进行分析评价，并对自评中发现的问题分析说明。</w:t>
      </w:r>
    </w:p>
    <w:p>
      <w:pPr>
        <w:adjustRightInd w:val="0"/>
        <w:snapToGrid w:val="0"/>
        <w:spacing w:line="600" w:lineRule="exact"/>
        <w:ind w:firstLine="720"/>
        <w:rPr>
          <w:rFonts w:ascii="楷体_GB2312" w:hAnsi="宋体" w:eastAsia="楷体_GB2312"/>
          <w:b/>
        </w:rPr>
      </w:pPr>
      <w:r>
        <w:rPr>
          <w:rFonts w:hint="eastAsia" w:ascii="楷体_GB2312" w:hAnsi="宋体" w:eastAsia="楷体_GB2312"/>
          <w:b/>
        </w:rPr>
        <w:t>（一）项目组织架构及实施流程。</w:t>
      </w:r>
    </w:p>
    <w:p>
      <w:pPr>
        <w:adjustRightInd w:val="0"/>
        <w:snapToGrid w:val="0"/>
        <w:spacing w:line="600" w:lineRule="exact"/>
        <w:ind w:firstLine="720"/>
        <w:rPr>
          <w:rFonts w:ascii="楷体_GB2312" w:hAnsi="宋体" w:eastAsia="楷体_GB2312"/>
        </w:rPr>
      </w:pPr>
      <w:r>
        <w:rPr>
          <w:rFonts w:hint="eastAsia" w:ascii="楷体_GB2312" w:hAnsi="宋体" w:eastAsia="楷体_GB2312"/>
        </w:rPr>
        <w:t>在项目实施过程中，由政教提起申请，后勤及分管校长、校长审批后实施。</w:t>
      </w:r>
    </w:p>
    <w:p>
      <w:pPr>
        <w:adjustRightInd w:val="0"/>
        <w:snapToGrid w:val="0"/>
        <w:spacing w:line="600" w:lineRule="exact"/>
        <w:ind w:firstLine="720"/>
        <w:rPr>
          <w:rFonts w:ascii="楷体_GB2312" w:hAnsi="宋体" w:eastAsia="楷体_GB2312"/>
          <w:b/>
        </w:rPr>
      </w:pPr>
      <w:r>
        <w:rPr>
          <w:rFonts w:hint="eastAsia" w:ascii="楷体_GB2312" w:hAnsi="宋体" w:eastAsia="楷体_GB2312"/>
          <w:b/>
        </w:rPr>
        <w:t>（二）项目管理情况。</w:t>
      </w:r>
    </w:p>
    <w:p>
      <w:pPr>
        <w:adjustRightInd w:val="0"/>
        <w:snapToGrid w:val="0"/>
        <w:spacing w:line="600" w:lineRule="exact"/>
        <w:ind w:firstLine="720"/>
        <w:rPr>
          <w:rFonts w:ascii="仿宋_GB2312" w:hAnsi="宋体"/>
        </w:rPr>
      </w:pPr>
      <w:r>
        <w:rPr>
          <w:rFonts w:hint="eastAsia" w:ascii="仿宋_GB2312" w:hAnsi="宋体"/>
        </w:rPr>
        <w:t>运动场改造工程有相应的规章制度，分工明确，责任到人。均按规范程序实施。</w:t>
      </w:r>
    </w:p>
    <w:p>
      <w:pPr>
        <w:adjustRightInd w:val="0"/>
        <w:snapToGrid w:val="0"/>
        <w:spacing w:line="600" w:lineRule="exact"/>
        <w:ind w:firstLine="720"/>
        <w:rPr>
          <w:rFonts w:ascii="楷体_GB2312" w:hAnsi="宋体" w:eastAsia="楷体_GB2312"/>
          <w:b/>
        </w:rPr>
      </w:pPr>
      <w:r>
        <w:rPr>
          <w:rFonts w:hint="eastAsia" w:ascii="楷体_GB2312" w:hAnsi="宋体" w:eastAsia="楷体_GB2312"/>
          <w:b/>
        </w:rPr>
        <w:t>（三）项目监管情况。</w:t>
      </w:r>
    </w:p>
    <w:p>
      <w:pPr>
        <w:adjustRightInd w:val="0"/>
        <w:snapToGrid w:val="0"/>
        <w:spacing w:line="600" w:lineRule="exact"/>
        <w:ind w:firstLine="720"/>
        <w:rPr>
          <w:rFonts w:ascii="仿宋_GB2312" w:hAnsi="宋体"/>
        </w:rPr>
      </w:pPr>
      <w:r>
        <w:rPr>
          <w:rFonts w:hint="eastAsia" w:ascii="仿宋_GB2312" w:hAnsi="宋体"/>
        </w:rPr>
        <w:t>单位资金使用方式内审部门进行监督使用。</w:t>
      </w:r>
    </w:p>
    <w:p>
      <w:pPr>
        <w:adjustRightInd w:val="0"/>
        <w:snapToGrid w:val="0"/>
        <w:spacing w:line="600" w:lineRule="exact"/>
        <w:ind w:firstLine="720"/>
        <w:rPr>
          <w:rFonts w:ascii="仿宋_GB2312" w:hAnsi="宋体"/>
        </w:rPr>
      </w:pPr>
      <w:r>
        <w:rPr>
          <w:rFonts w:hint="eastAsia" w:ascii="黑体" w:hAnsi="黑体" w:eastAsia="黑体"/>
        </w:rPr>
        <w:t>四、项目绩效情况</w:t>
      </w:r>
      <w:r>
        <w:rPr>
          <w:rFonts w:hint="eastAsia" w:ascii="仿宋_GB2312" w:hAnsi="宋体"/>
        </w:rPr>
        <w:tab/>
      </w:r>
    </w:p>
    <w:p>
      <w:pPr>
        <w:adjustRightInd w:val="0"/>
        <w:snapToGrid w:val="0"/>
        <w:spacing w:line="600" w:lineRule="exact"/>
        <w:ind w:firstLine="720"/>
        <w:rPr>
          <w:rFonts w:ascii="楷体_GB2312" w:hAnsi="宋体" w:eastAsia="楷体_GB2312"/>
          <w:b/>
        </w:rPr>
      </w:pPr>
      <w:r>
        <w:rPr>
          <w:rFonts w:hint="eastAsia" w:ascii="楷体_GB2312" w:hAnsi="宋体" w:eastAsia="楷体_GB2312"/>
          <w:b/>
        </w:rPr>
        <w:t>（一）项目完成情况。</w:t>
      </w:r>
    </w:p>
    <w:p>
      <w:pPr>
        <w:adjustRightInd w:val="0"/>
        <w:snapToGrid w:val="0"/>
        <w:spacing w:line="600" w:lineRule="exact"/>
        <w:ind w:firstLine="720"/>
        <w:rPr>
          <w:rFonts w:ascii="仿宋_GB2312" w:hAnsi="宋体"/>
        </w:rPr>
      </w:pPr>
      <w:r>
        <w:rPr>
          <w:rFonts w:hint="eastAsia" w:ascii="仿宋_GB2312" w:hAnsi="宋体"/>
        </w:rPr>
        <w:t>学校运动场改造按照合同进行施工，并支付合同约定的工程款项。</w:t>
      </w:r>
    </w:p>
    <w:p>
      <w:pPr>
        <w:adjustRightInd w:val="0"/>
        <w:snapToGrid w:val="0"/>
        <w:spacing w:line="600" w:lineRule="exact"/>
        <w:ind w:firstLine="720"/>
        <w:rPr>
          <w:rFonts w:ascii="楷体_GB2312" w:hAnsi="宋体" w:eastAsia="楷体_GB2312"/>
          <w:b/>
        </w:rPr>
      </w:pPr>
      <w:r>
        <w:rPr>
          <w:rFonts w:hint="eastAsia" w:ascii="楷体_GB2312" w:hAnsi="宋体" w:eastAsia="楷体_GB2312"/>
          <w:b/>
        </w:rPr>
        <w:t>（二）项目效益情况。</w:t>
      </w:r>
    </w:p>
    <w:p>
      <w:pPr>
        <w:adjustRightInd w:val="0"/>
        <w:snapToGrid w:val="0"/>
        <w:spacing w:line="600" w:lineRule="exact"/>
        <w:ind w:firstLine="720"/>
        <w:rPr>
          <w:rFonts w:ascii="仿宋_GB2312" w:hAnsi="宋体"/>
        </w:rPr>
      </w:pPr>
      <w:r>
        <w:rPr>
          <w:rFonts w:hint="eastAsia" w:ascii="仿宋_GB2312" w:hAnsi="宋体"/>
        </w:rPr>
        <w:t>改善了学校办学条件，学生综合素质得以提高，家长、社会对学校的认可度有所提高、为学校的可持续发展奠定了基础。</w:t>
      </w:r>
    </w:p>
    <w:p>
      <w:pPr>
        <w:adjustRightInd w:val="0"/>
        <w:snapToGrid w:val="0"/>
        <w:spacing w:line="600" w:lineRule="exact"/>
        <w:ind w:firstLine="720"/>
        <w:rPr>
          <w:rFonts w:ascii="黑体" w:hAnsi="宋体" w:eastAsia="黑体"/>
        </w:rPr>
      </w:pPr>
      <w:r>
        <w:rPr>
          <w:rFonts w:hint="eastAsia" w:ascii="黑体" w:hAnsi="黑体" w:eastAsia="黑体"/>
        </w:rPr>
        <w:t>五、评价结论及建议</w:t>
      </w:r>
    </w:p>
    <w:p>
      <w:pPr>
        <w:adjustRightInd w:val="0"/>
        <w:snapToGrid w:val="0"/>
        <w:spacing w:line="600" w:lineRule="exact"/>
        <w:ind w:firstLine="720"/>
        <w:rPr>
          <w:rFonts w:ascii="楷体_GB2312" w:hAnsi="宋体" w:eastAsia="楷体_GB2312"/>
          <w:b/>
        </w:rPr>
      </w:pPr>
      <w:r>
        <w:rPr>
          <w:rFonts w:hint="eastAsia" w:ascii="楷体_GB2312" w:hAnsi="宋体" w:eastAsia="楷体_GB2312"/>
          <w:b/>
        </w:rPr>
        <w:t>（一）评价结论。</w:t>
      </w:r>
    </w:p>
    <w:p>
      <w:pPr>
        <w:adjustRightInd w:val="0"/>
        <w:snapToGrid w:val="0"/>
        <w:spacing w:line="600" w:lineRule="exact"/>
        <w:ind w:firstLine="720"/>
      </w:pPr>
      <w:r>
        <w:rPr>
          <w:rFonts w:ascii="仿宋_GB2312"/>
        </w:rPr>
        <w:t>该项目符合义务教育办学方针政策，管理符合国家相关</w:t>
      </w:r>
      <w:r>
        <w:t xml:space="preserve"> 制度，实施达到了预期的社会效益，保障了学校有效运行， 学生、家长及教师满意度较高。</w:t>
      </w:r>
    </w:p>
    <w:p>
      <w:pPr>
        <w:adjustRightInd w:val="0"/>
        <w:snapToGrid w:val="0"/>
        <w:spacing w:line="600" w:lineRule="exact"/>
        <w:ind w:firstLine="720"/>
        <w:rPr>
          <w:rFonts w:ascii="楷体_GB2312" w:hAnsi="宋体" w:eastAsia="楷体_GB2312"/>
          <w:b/>
        </w:rPr>
      </w:pPr>
      <w:r>
        <w:rPr>
          <w:rFonts w:hint="eastAsia" w:ascii="楷体_GB2312" w:hAnsi="宋体" w:eastAsia="楷体_GB2312"/>
          <w:b/>
        </w:rPr>
        <w:t>（二）存在的问题。</w:t>
      </w:r>
    </w:p>
    <w:p>
      <w:pPr>
        <w:adjustRightInd w:val="0"/>
        <w:snapToGrid w:val="0"/>
        <w:spacing w:line="600" w:lineRule="exact"/>
        <w:ind w:firstLine="640" w:firstLineChars="200"/>
        <w:rPr>
          <w:rFonts w:ascii="仿宋_GB2312" w:hAnsi="宋体"/>
        </w:rPr>
      </w:pPr>
      <w:r>
        <w:rPr>
          <w:rFonts w:hint="eastAsia" w:ascii="仿宋_GB2312" w:hAnsi="宋体"/>
        </w:rPr>
        <w:t>无</w:t>
      </w:r>
      <w:r>
        <w:rPr>
          <w:rFonts w:hint="eastAsia" w:ascii="仿宋_GB2312" w:hAnsi="宋体"/>
        </w:rPr>
        <w:tab/>
      </w:r>
    </w:p>
    <w:p>
      <w:pPr>
        <w:adjustRightInd w:val="0"/>
        <w:snapToGrid w:val="0"/>
        <w:spacing w:line="600" w:lineRule="exact"/>
        <w:ind w:firstLine="720"/>
        <w:rPr>
          <w:rFonts w:ascii="楷体_GB2312" w:hAnsi="宋体" w:eastAsia="楷体_GB2312"/>
          <w:b/>
        </w:rPr>
      </w:pPr>
      <w:r>
        <w:rPr>
          <w:rFonts w:hint="eastAsia" w:ascii="楷体_GB2312" w:hAnsi="宋体" w:eastAsia="楷体_GB2312"/>
          <w:b/>
        </w:rPr>
        <w:t>（三）相关建议。</w:t>
      </w:r>
    </w:p>
    <w:p>
      <w:pPr>
        <w:adjustRightInd w:val="0"/>
        <w:snapToGrid w:val="0"/>
        <w:spacing w:line="600" w:lineRule="exact"/>
        <w:ind w:firstLine="640" w:firstLineChars="200"/>
        <w:rPr>
          <w:rFonts w:ascii="仿宋_GB2312" w:hAnsi="宋体"/>
        </w:rPr>
      </w:pPr>
      <w:r>
        <w:rPr>
          <w:rFonts w:hint="eastAsia" w:ascii="仿宋_GB2312" w:hAnsi="宋体"/>
        </w:rPr>
        <w:t>无</w:t>
      </w:r>
    </w:p>
    <w:p>
      <w:pPr>
        <w:spacing w:line="580" w:lineRule="exact"/>
        <w:ind w:firstLine="640"/>
        <w:rPr>
          <w:rFonts w:ascii="仿宋_GB2312" w:hAnsi="仿宋_GB2312" w:cs="仿宋_GB2312"/>
          <w:szCs w:val="32"/>
        </w:rPr>
      </w:pPr>
    </w:p>
    <w:p>
      <w:pPr>
        <w:widowControl/>
        <w:jc w:val="left"/>
        <w:rPr>
          <w:rStyle w:val="14"/>
          <w:rFonts w:ascii="黑体" w:hAnsi="黑体" w:eastAsia="黑体"/>
          <w:b w:val="0"/>
        </w:rPr>
      </w:pPr>
    </w:p>
    <w:p>
      <w:pPr>
        <w:widowControl/>
        <w:jc w:val="left"/>
        <w:rPr>
          <w:rStyle w:val="14"/>
          <w:rFonts w:ascii="黑体" w:hAnsi="黑体" w:eastAsia="黑体"/>
          <w:b w:val="0"/>
        </w:rPr>
      </w:pPr>
      <w:r>
        <w:rPr>
          <w:rStyle w:val="14"/>
          <w:rFonts w:ascii="黑体" w:hAnsi="黑体" w:eastAsia="黑体"/>
          <w:b w:val="0"/>
        </w:rPr>
        <w:br w:type="page"/>
      </w:r>
    </w:p>
    <w:p>
      <w:pPr>
        <w:spacing w:line="600" w:lineRule="exact"/>
        <w:jc w:val="center"/>
        <w:outlineLvl w:val="0"/>
        <w:rPr>
          <w:rStyle w:val="14"/>
          <w:rFonts w:ascii="黑体" w:hAnsi="黑体" w:eastAsia="黑体"/>
          <w:b w:val="0"/>
        </w:rPr>
      </w:pPr>
      <w:bookmarkStart w:id="60" w:name="_Toc15396618"/>
      <w:bookmarkStart w:id="61" w:name="_Toc32283"/>
      <w:r>
        <w:rPr>
          <w:rFonts w:hint="eastAsia" w:ascii="黑体" w:hAnsi="黑体" w:eastAsia="黑体"/>
          <w:color w:val="000000"/>
          <w:sz w:val="44"/>
          <w:szCs w:val="44"/>
        </w:rPr>
        <w:t>第</w:t>
      </w:r>
      <w:r>
        <w:rPr>
          <w:rStyle w:val="14"/>
          <w:rFonts w:hint="eastAsia" w:ascii="黑体" w:hAnsi="黑体" w:eastAsia="黑体"/>
          <w:b w:val="0"/>
        </w:rPr>
        <w:t>五部分</w:t>
      </w:r>
      <w:r>
        <w:rPr>
          <w:rStyle w:val="14"/>
          <w:rFonts w:ascii="黑体" w:hAnsi="黑体" w:eastAsia="黑体"/>
          <w:b w:val="0"/>
        </w:rPr>
        <w:t xml:space="preserve"> </w:t>
      </w:r>
      <w:r>
        <w:rPr>
          <w:rStyle w:val="14"/>
          <w:rFonts w:hint="eastAsia" w:ascii="黑体" w:hAnsi="黑体" w:eastAsia="黑体"/>
          <w:b w:val="0"/>
        </w:rPr>
        <w:t>附表</w:t>
      </w:r>
      <w:bookmarkEnd w:id="55"/>
      <w:bookmarkEnd w:id="60"/>
      <w:bookmarkEnd w:id="61"/>
    </w:p>
    <w:p>
      <w:pPr>
        <w:spacing w:line="600" w:lineRule="exact"/>
        <w:jc w:val="center"/>
        <w:outlineLvl w:val="0"/>
        <w:rPr>
          <w:rFonts w:ascii="仿宋" w:hAnsi="仿宋" w:eastAsia="仿宋"/>
          <w:b/>
          <w:color w:val="000000"/>
          <w:sz w:val="44"/>
          <w:szCs w:val="44"/>
        </w:rPr>
      </w:pPr>
    </w:p>
    <w:p>
      <w:pPr>
        <w:pStyle w:val="3"/>
        <w:rPr>
          <w:rFonts w:ascii="仿宋" w:hAnsi="仿宋" w:eastAsia="仿宋"/>
          <w:color w:val="000000"/>
        </w:rPr>
      </w:pPr>
      <w:bookmarkStart w:id="62" w:name="_Toc15396619"/>
      <w:bookmarkStart w:id="63" w:name="_Toc15699"/>
      <w:r>
        <w:rPr>
          <w:rFonts w:hint="eastAsia" w:ascii="仿宋" w:hAnsi="仿宋" w:eastAsia="仿宋"/>
          <w:b w:val="0"/>
          <w:color w:val="000000"/>
        </w:rPr>
        <w:t>一、收</w:t>
      </w:r>
      <w:r>
        <w:rPr>
          <w:rStyle w:val="15"/>
          <w:rFonts w:hint="eastAsia" w:ascii="仿宋" w:hAnsi="仿宋" w:eastAsia="仿宋"/>
          <w:b w:val="0"/>
          <w:bCs w:val="0"/>
        </w:rPr>
        <w:t>入支出决算总表</w:t>
      </w:r>
      <w:bookmarkEnd w:id="62"/>
      <w:bookmarkEnd w:id="63"/>
    </w:p>
    <w:p>
      <w:pPr>
        <w:pStyle w:val="3"/>
        <w:rPr>
          <w:rFonts w:ascii="仿宋" w:hAnsi="仿宋" w:eastAsia="仿宋"/>
          <w:color w:val="000000"/>
        </w:rPr>
      </w:pPr>
      <w:bookmarkStart w:id="64" w:name="_Toc15396620"/>
      <w:bookmarkStart w:id="65" w:name="_Toc27106"/>
      <w:r>
        <w:rPr>
          <w:rFonts w:hint="eastAsia" w:ascii="仿宋" w:hAnsi="仿宋" w:eastAsia="仿宋"/>
          <w:b w:val="0"/>
          <w:color w:val="000000"/>
        </w:rPr>
        <w:t>二、收</w:t>
      </w:r>
      <w:r>
        <w:rPr>
          <w:rStyle w:val="15"/>
          <w:rFonts w:hint="eastAsia" w:ascii="仿宋" w:hAnsi="仿宋" w:eastAsia="仿宋"/>
          <w:b w:val="0"/>
          <w:bCs w:val="0"/>
        </w:rPr>
        <w:t>入决算表</w:t>
      </w:r>
      <w:bookmarkEnd w:id="64"/>
      <w:bookmarkEnd w:id="65"/>
    </w:p>
    <w:p>
      <w:pPr>
        <w:pStyle w:val="3"/>
        <w:rPr>
          <w:rFonts w:ascii="仿宋" w:hAnsi="仿宋" w:eastAsia="仿宋"/>
          <w:color w:val="000000"/>
        </w:rPr>
      </w:pPr>
      <w:bookmarkStart w:id="66" w:name="_Toc15396621"/>
      <w:bookmarkStart w:id="67" w:name="_Toc26817"/>
      <w:r>
        <w:rPr>
          <w:rStyle w:val="15"/>
          <w:rFonts w:hint="eastAsia" w:ascii="仿宋" w:hAnsi="仿宋" w:eastAsia="仿宋"/>
          <w:b w:val="0"/>
          <w:bCs w:val="0"/>
        </w:rPr>
        <w:t>三、</w:t>
      </w:r>
      <w:r>
        <w:rPr>
          <w:rFonts w:hint="eastAsia" w:ascii="仿宋" w:hAnsi="仿宋" w:eastAsia="仿宋"/>
          <w:b w:val="0"/>
          <w:color w:val="000000"/>
        </w:rPr>
        <w:t>支</w:t>
      </w:r>
      <w:r>
        <w:rPr>
          <w:rStyle w:val="15"/>
          <w:rFonts w:hint="eastAsia" w:ascii="仿宋" w:hAnsi="仿宋" w:eastAsia="仿宋"/>
          <w:b w:val="0"/>
          <w:bCs w:val="0"/>
        </w:rPr>
        <w:t>出决算表</w:t>
      </w:r>
      <w:bookmarkEnd w:id="66"/>
      <w:bookmarkEnd w:id="67"/>
    </w:p>
    <w:p>
      <w:pPr>
        <w:pStyle w:val="3"/>
        <w:rPr>
          <w:rFonts w:ascii="仿宋" w:hAnsi="仿宋" w:eastAsia="仿宋"/>
          <w:b w:val="0"/>
          <w:color w:val="000000"/>
        </w:rPr>
      </w:pPr>
      <w:bookmarkStart w:id="68" w:name="_Toc21747"/>
      <w:bookmarkStart w:id="69" w:name="_Toc15396622"/>
      <w:r>
        <w:rPr>
          <w:rStyle w:val="15"/>
          <w:rFonts w:hint="eastAsia" w:ascii="仿宋" w:hAnsi="仿宋" w:eastAsia="仿宋"/>
          <w:b w:val="0"/>
          <w:bCs w:val="0"/>
        </w:rPr>
        <w:t>四、</w:t>
      </w:r>
      <w:r>
        <w:rPr>
          <w:rFonts w:hint="eastAsia" w:ascii="仿宋" w:hAnsi="仿宋" w:eastAsia="仿宋"/>
          <w:b w:val="0"/>
          <w:color w:val="000000"/>
        </w:rPr>
        <w:t>财</w:t>
      </w:r>
      <w:r>
        <w:rPr>
          <w:rStyle w:val="15"/>
          <w:rFonts w:hint="eastAsia" w:ascii="仿宋" w:hAnsi="仿宋" w:eastAsia="仿宋"/>
          <w:b w:val="0"/>
          <w:bCs w:val="0"/>
        </w:rPr>
        <w:t>政拨款收入支出决算总表</w:t>
      </w:r>
      <w:bookmarkEnd w:id="68"/>
      <w:bookmarkEnd w:id="69"/>
    </w:p>
    <w:p>
      <w:pPr>
        <w:pStyle w:val="3"/>
        <w:rPr>
          <w:rStyle w:val="15"/>
          <w:rFonts w:ascii="仿宋" w:hAnsi="仿宋" w:eastAsia="仿宋"/>
          <w:b w:val="0"/>
          <w:bCs w:val="0"/>
        </w:rPr>
      </w:pPr>
      <w:bookmarkStart w:id="70" w:name="_Toc12959"/>
      <w:bookmarkStart w:id="71" w:name="_Toc15396623"/>
      <w:r>
        <w:rPr>
          <w:rStyle w:val="15"/>
          <w:rFonts w:hint="eastAsia" w:ascii="仿宋" w:hAnsi="仿宋" w:eastAsia="仿宋"/>
          <w:b w:val="0"/>
          <w:bCs w:val="0"/>
        </w:rPr>
        <w:t>五、</w:t>
      </w:r>
      <w:r>
        <w:rPr>
          <w:rFonts w:hint="eastAsia" w:ascii="仿宋" w:hAnsi="仿宋" w:eastAsia="仿宋"/>
          <w:b w:val="0"/>
          <w:color w:val="000000"/>
        </w:rPr>
        <w:t>财</w:t>
      </w:r>
      <w:r>
        <w:rPr>
          <w:rStyle w:val="15"/>
          <w:rFonts w:hint="eastAsia" w:ascii="仿宋" w:hAnsi="仿宋" w:eastAsia="仿宋"/>
          <w:b w:val="0"/>
          <w:bCs w:val="0"/>
        </w:rPr>
        <w:t>政拨款支出决算明细表</w:t>
      </w:r>
      <w:bookmarkEnd w:id="70"/>
      <w:bookmarkEnd w:id="71"/>
      <w:bookmarkStart w:id="72" w:name="_Toc15396624"/>
    </w:p>
    <w:p>
      <w:pPr>
        <w:pStyle w:val="3"/>
        <w:rPr>
          <w:rFonts w:ascii="仿宋" w:hAnsi="仿宋" w:eastAsia="仿宋"/>
          <w:color w:val="000000"/>
        </w:rPr>
      </w:pPr>
      <w:bookmarkStart w:id="73" w:name="_Toc23749"/>
      <w:r>
        <w:rPr>
          <w:rStyle w:val="15"/>
          <w:rFonts w:hint="eastAsia" w:ascii="仿宋" w:hAnsi="仿宋" w:eastAsia="仿宋"/>
          <w:b w:val="0"/>
          <w:bCs w:val="0"/>
        </w:rPr>
        <w:t>六、</w:t>
      </w:r>
      <w:r>
        <w:rPr>
          <w:rFonts w:hint="eastAsia" w:ascii="仿宋" w:hAnsi="仿宋" w:eastAsia="仿宋"/>
          <w:b w:val="0"/>
          <w:color w:val="000000"/>
        </w:rPr>
        <w:t>一</w:t>
      </w:r>
      <w:r>
        <w:rPr>
          <w:rStyle w:val="15"/>
          <w:rFonts w:hint="eastAsia" w:ascii="仿宋" w:hAnsi="仿宋" w:eastAsia="仿宋"/>
          <w:b w:val="0"/>
          <w:bCs w:val="0"/>
        </w:rPr>
        <w:t>般公共预算财政拨款支出决算表</w:t>
      </w:r>
      <w:bookmarkEnd w:id="72"/>
      <w:bookmarkEnd w:id="73"/>
    </w:p>
    <w:p>
      <w:pPr>
        <w:pStyle w:val="3"/>
        <w:rPr>
          <w:rFonts w:ascii="仿宋" w:hAnsi="仿宋" w:eastAsia="仿宋"/>
          <w:color w:val="000000"/>
        </w:rPr>
      </w:pPr>
      <w:bookmarkStart w:id="74" w:name="_Toc15396625"/>
      <w:bookmarkStart w:id="75" w:name="_Toc22275"/>
      <w:r>
        <w:rPr>
          <w:rStyle w:val="15"/>
          <w:rFonts w:hint="eastAsia" w:ascii="仿宋" w:hAnsi="仿宋" w:eastAsia="仿宋"/>
          <w:b w:val="0"/>
          <w:bCs w:val="0"/>
        </w:rPr>
        <w:t>七、</w:t>
      </w:r>
      <w:r>
        <w:rPr>
          <w:rFonts w:hint="eastAsia" w:ascii="仿宋" w:hAnsi="仿宋" w:eastAsia="仿宋"/>
          <w:b w:val="0"/>
          <w:color w:val="000000"/>
        </w:rPr>
        <w:t>一</w:t>
      </w:r>
      <w:r>
        <w:rPr>
          <w:rStyle w:val="15"/>
          <w:rFonts w:hint="eastAsia" w:ascii="仿宋" w:hAnsi="仿宋" w:eastAsia="仿宋"/>
          <w:b w:val="0"/>
          <w:bCs w:val="0"/>
        </w:rPr>
        <w:t>般公共预算财政拨款支出决算明细表</w:t>
      </w:r>
      <w:bookmarkEnd w:id="74"/>
      <w:bookmarkEnd w:id="75"/>
    </w:p>
    <w:p>
      <w:pPr>
        <w:pStyle w:val="3"/>
        <w:rPr>
          <w:rFonts w:ascii="仿宋" w:hAnsi="仿宋" w:eastAsia="仿宋"/>
          <w:color w:val="000000"/>
        </w:rPr>
      </w:pPr>
      <w:bookmarkStart w:id="76" w:name="_Toc30634"/>
      <w:bookmarkStart w:id="77" w:name="_Toc15396626"/>
      <w:r>
        <w:rPr>
          <w:rStyle w:val="15"/>
          <w:rFonts w:hint="eastAsia" w:ascii="仿宋" w:hAnsi="仿宋" w:eastAsia="仿宋"/>
          <w:b w:val="0"/>
          <w:bCs w:val="0"/>
        </w:rPr>
        <w:t>八、</w:t>
      </w:r>
      <w:r>
        <w:rPr>
          <w:rFonts w:hint="eastAsia" w:ascii="仿宋" w:hAnsi="仿宋" w:eastAsia="仿宋"/>
          <w:b w:val="0"/>
          <w:color w:val="000000"/>
        </w:rPr>
        <w:t>一</w:t>
      </w:r>
      <w:r>
        <w:rPr>
          <w:rStyle w:val="15"/>
          <w:rFonts w:hint="eastAsia" w:ascii="仿宋" w:hAnsi="仿宋" w:eastAsia="仿宋"/>
          <w:b w:val="0"/>
          <w:bCs w:val="0"/>
        </w:rPr>
        <w:t>般公共预算财政拨款基本支出决算表</w:t>
      </w:r>
      <w:bookmarkEnd w:id="76"/>
      <w:bookmarkEnd w:id="77"/>
    </w:p>
    <w:p>
      <w:pPr>
        <w:pStyle w:val="3"/>
        <w:rPr>
          <w:rFonts w:ascii="仿宋" w:hAnsi="仿宋" w:eastAsia="仿宋"/>
          <w:color w:val="000000"/>
        </w:rPr>
      </w:pPr>
      <w:bookmarkStart w:id="78" w:name="_Toc15170"/>
      <w:bookmarkStart w:id="79" w:name="_Toc15396627"/>
      <w:r>
        <w:rPr>
          <w:rStyle w:val="15"/>
          <w:rFonts w:hint="eastAsia" w:ascii="仿宋" w:hAnsi="仿宋" w:eastAsia="仿宋"/>
          <w:b w:val="0"/>
          <w:bCs w:val="0"/>
        </w:rPr>
        <w:t>九、</w:t>
      </w:r>
      <w:r>
        <w:rPr>
          <w:rFonts w:hint="eastAsia" w:ascii="仿宋" w:hAnsi="仿宋" w:eastAsia="仿宋"/>
          <w:b w:val="0"/>
          <w:color w:val="000000"/>
        </w:rPr>
        <w:t>一</w:t>
      </w:r>
      <w:r>
        <w:rPr>
          <w:rStyle w:val="15"/>
          <w:rFonts w:hint="eastAsia" w:ascii="仿宋" w:hAnsi="仿宋" w:eastAsia="仿宋"/>
          <w:b w:val="0"/>
          <w:bCs w:val="0"/>
        </w:rPr>
        <w:t>般公共预算财政拨款项目支出决算表</w:t>
      </w:r>
      <w:bookmarkEnd w:id="78"/>
      <w:bookmarkEnd w:id="79"/>
    </w:p>
    <w:p>
      <w:pPr>
        <w:pStyle w:val="3"/>
        <w:spacing w:line="360" w:lineRule="auto"/>
        <w:rPr>
          <w:rFonts w:ascii="仿宋" w:hAnsi="仿宋" w:eastAsia="仿宋"/>
          <w:color w:val="000000"/>
        </w:rPr>
      </w:pPr>
      <w:bookmarkStart w:id="80" w:name="_Toc15396628"/>
      <w:bookmarkStart w:id="81" w:name="_Toc17603"/>
      <w:r>
        <w:rPr>
          <w:rStyle w:val="15"/>
          <w:rFonts w:hint="eastAsia" w:ascii="仿宋" w:hAnsi="仿宋" w:eastAsia="仿宋"/>
          <w:b w:val="0"/>
          <w:bCs w:val="0"/>
        </w:rPr>
        <w:t>十、</w:t>
      </w:r>
      <w:r>
        <w:rPr>
          <w:rFonts w:hint="eastAsia" w:ascii="仿宋" w:hAnsi="仿宋" w:eastAsia="仿宋"/>
          <w:b w:val="0"/>
          <w:color w:val="000000"/>
        </w:rPr>
        <w:t>一</w:t>
      </w:r>
      <w:r>
        <w:rPr>
          <w:rStyle w:val="15"/>
          <w:rFonts w:hint="eastAsia" w:ascii="仿宋" w:hAnsi="仿宋" w:eastAsia="仿宋"/>
          <w:b w:val="0"/>
          <w:bCs w:val="0"/>
        </w:rPr>
        <w:t>般公共预算财政拨款“三公”经费支出决算表</w:t>
      </w:r>
      <w:bookmarkEnd w:id="80"/>
      <w:bookmarkEnd w:id="81"/>
    </w:p>
    <w:p>
      <w:pPr>
        <w:pStyle w:val="3"/>
        <w:spacing w:line="360" w:lineRule="auto"/>
        <w:rPr>
          <w:rFonts w:ascii="仿宋" w:hAnsi="仿宋" w:eastAsia="仿宋"/>
          <w:color w:val="000000"/>
        </w:rPr>
      </w:pPr>
      <w:bookmarkStart w:id="82" w:name="_Toc15396629"/>
      <w:bookmarkStart w:id="83" w:name="_Toc7313"/>
      <w:r>
        <w:rPr>
          <w:rStyle w:val="15"/>
          <w:rFonts w:hint="eastAsia" w:ascii="仿宋" w:hAnsi="仿宋" w:eastAsia="仿宋"/>
          <w:b w:val="0"/>
          <w:bCs w:val="0"/>
        </w:rPr>
        <w:t>十一、</w:t>
      </w:r>
      <w:r>
        <w:rPr>
          <w:rFonts w:hint="eastAsia" w:ascii="仿宋" w:hAnsi="仿宋" w:eastAsia="仿宋"/>
          <w:b w:val="0"/>
          <w:color w:val="000000"/>
        </w:rPr>
        <w:t>政</w:t>
      </w:r>
      <w:r>
        <w:rPr>
          <w:rStyle w:val="15"/>
          <w:rFonts w:hint="eastAsia" w:ascii="仿宋" w:hAnsi="仿宋" w:eastAsia="仿宋"/>
          <w:b w:val="0"/>
          <w:bCs w:val="0"/>
        </w:rPr>
        <w:t>府性基金预算财政拨款收入支出决算表</w:t>
      </w:r>
      <w:bookmarkEnd w:id="82"/>
      <w:bookmarkEnd w:id="83"/>
    </w:p>
    <w:p>
      <w:pPr>
        <w:pStyle w:val="3"/>
        <w:rPr>
          <w:rFonts w:ascii="仿宋" w:hAnsi="仿宋" w:eastAsia="仿宋"/>
          <w:b w:val="0"/>
          <w:color w:val="000000"/>
        </w:rPr>
      </w:pPr>
      <w:bookmarkStart w:id="84" w:name="_Toc15396630"/>
      <w:bookmarkStart w:id="85" w:name="_Toc9382"/>
      <w:r>
        <w:rPr>
          <w:rFonts w:hint="eastAsia" w:ascii="仿宋" w:hAnsi="仿宋" w:eastAsia="仿宋"/>
          <w:b w:val="0"/>
          <w:color w:val="000000"/>
        </w:rPr>
        <w:t>十二、政府性基金预算财政拨款“三公”经费支出决算表</w:t>
      </w:r>
      <w:bookmarkEnd w:id="84"/>
      <w:bookmarkEnd w:id="85"/>
    </w:p>
    <w:p>
      <w:pPr>
        <w:pStyle w:val="3"/>
        <w:rPr>
          <w:rFonts w:ascii="仿宋" w:hAnsi="仿宋" w:eastAsia="仿宋"/>
          <w:b w:val="0"/>
          <w:color w:val="000000"/>
        </w:rPr>
      </w:pPr>
      <w:bookmarkStart w:id="86" w:name="_Toc22683"/>
      <w:r>
        <w:rPr>
          <w:rFonts w:hint="eastAsia" w:ascii="仿宋" w:hAnsi="仿宋" w:eastAsia="仿宋"/>
          <w:b w:val="0"/>
          <w:color w:val="000000"/>
        </w:rPr>
        <w:t>十三、国有资本经营预算财政拨款收入支出决算表</w:t>
      </w:r>
      <w:bookmarkEnd w:id="86"/>
    </w:p>
    <w:p>
      <w:pPr>
        <w:pStyle w:val="3"/>
        <w:rPr>
          <w:rFonts w:ascii="仿宋" w:hAnsi="仿宋" w:eastAsia="仿宋"/>
          <w:b w:val="0"/>
          <w:color w:val="000000"/>
        </w:rPr>
      </w:pPr>
      <w:bookmarkStart w:id="87" w:name="_Toc10257"/>
      <w:r>
        <w:rPr>
          <w:rFonts w:hint="eastAsia" w:ascii="仿宋" w:hAnsi="仿宋" w:eastAsia="仿宋"/>
          <w:b w:val="0"/>
          <w:color w:val="000000"/>
        </w:rPr>
        <w:t>十四、国有资本经营预算财政拨款支出决算表</w:t>
      </w:r>
      <w:bookmarkEnd w:id="87"/>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微软雅黑"/>
    <w:panose1 w:val="00000000000000000000"/>
    <w:charset w:val="86"/>
    <w:family w:val="script"/>
    <w:pitch w:val="default"/>
    <w:sig w:usb0="00000000" w:usb1="00000000" w:usb2="00000000" w:usb3="00000000" w:csb0="00040000" w:csb1="00000000"/>
  </w:font>
  <w:font w:name="??_GB2312">
    <w:altName w:val="Times New Roman"/>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6"/>
                </w:pPr>
                <w:r>
                  <w:fldChar w:fldCharType="begin"/>
                </w:r>
                <w:r>
                  <w:instrText xml:space="preserve"> PAGE  \* MERGEFORMAT </w:instrText>
                </w:r>
                <w:r>
                  <w:fldChar w:fldCharType="separate"/>
                </w:r>
                <w:r>
                  <w:t>17</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2">
    <w:nsid w:val="FBB7D17A"/>
    <w:multiLevelType w:val="singleLevel"/>
    <w:tmpl w:val="FBB7D17A"/>
    <w:lvl w:ilvl="0" w:tentative="0">
      <w:start w:val="1"/>
      <w:numFmt w:val="decimal"/>
      <w:lvlText w:val="%1."/>
      <w:lvlJc w:val="left"/>
      <w:pPr>
        <w:tabs>
          <w:tab w:val="left" w:pos="312"/>
        </w:tabs>
      </w:p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EyZjhjMDljN2ZmZDI4MDM1OTczNmZkYWIwMTM0OGUifQ=="/>
  </w:docVars>
  <w:rsids>
    <w:rsidRoot w:val="6504078C"/>
    <w:rsid w:val="00132637"/>
    <w:rsid w:val="001C0C75"/>
    <w:rsid w:val="002C3486"/>
    <w:rsid w:val="00315EDD"/>
    <w:rsid w:val="00350266"/>
    <w:rsid w:val="005377C6"/>
    <w:rsid w:val="00577507"/>
    <w:rsid w:val="005F0C21"/>
    <w:rsid w:val="0067716E"/>
    <w:rsid w:val="007156A7"/>
    <w:rsid w:val="00767F53"/>
    <w:rsid w:val="007914D0"/>
    <w:rsid w:val="007F71B9"/>
    <w:rsid w:val="009C226C"/>
    <w:rsid w:val="00A61D23"/>
    <w:rsid w:val="00B8748C"/>
    <w:rsid w:val="00BD7253"/>
    <w:rsid w:val="00BD7D00"/>
    <w:rsid w:val="00D33717"/>
    <w:rsid w:val="00D71843"/>
    <w:rsid w:val="00EF6017"/>
    <w:rsid w:val="00F54F3F"/>
    <w:rsid w:val="00FB5ED7"/>
    <w:rsid w:val="00FE3536"/>
    <w:rsid w:val="06D96529"/>
    <w:rsid w:val="088E31D6"/>
    <w:rsid w:val="0EF14AE2"/>
    <w:rsid w:val="2C8B6C14"/>
    <w:rsid w:val="3E4169FF"/>
    <w:rsid w:val="4B827310"/>
    <w:rsid w:val="5D3E75DF"/>
    <w:rsid w:val="6504078C"/>
    <w:rsid w:val="726E3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5"/>
    <w:unhideWhenUsed/>
    <w:qFormat/>
    <w:uiPriority w:val="9"/>
    <w:pPr>
      <w:keepNext/>
      <w:keepLines/>
      <w:spacing w:before="260" w:after="260" w:line="416" w:lineRule="auto"/>
      <w:outlineLvl w:val="1"/>
    </w:pPr>
    <w:rPr>
      <w:rFonts w:ascii="Cambria" w:hAnsi="Cambria"/>
      <w:b/>
      <w:bCs/>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beforeLines="30"/>
    </w:pPr>
    <w:rPr>
      <w:rFonts w:ascii="仿宋_GB2312"/>
      <w:kern w:val="0"/>
      <w:sz w:val="24"/>
      <w:szCs w:val="20"/>
    </w:rPr>
  </w:style>
  <w:style w:type="paragraph" w:styleId="5">
    <w:name w:val="Balloon Text"/>
    <w:basedOn w:val="1"/>
    <w:link w:val="18"/>
    <w:qFormat/>
    <w:uiPriority w:val="0"/>
    <w:rPr>
      <w:sz w:val="18"/>
      <w:szCs w:val="18"/>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character" w:styleId="12">
    <w:name w:val="Strong"/>
    <w:basedOn w:val="11"/>
    <w:qFormat/>
    <w:uiPriority w:val="99"/>
    <w:rPr>
      <w:rFonts w:cs="Times New Roman"/>
      <w:b/>
    </w:rPr>
  </w:style>
  <w:style w:type="character" w:styleId="13">
    <w:name w:val="Hyperlink"/>
    <w:unhideWhenUsed/>
    <w:qFormat/>
    <w:uiPriority w:val="99"/>
    <w:rPr>
      <w:color w:val="0000FF"/>
      <w:u w:val="single"/>
    </w:rPr>
  </w:style>
  <w:style w:type="character" w:customStyle="1" w:styleId="14">
    <w:name w:val="标题 1 Char"/>
    <w:basedOn w:val="11"/>
    <w:link w:val="2"/>
    <w:qFormat/>
    <w:locked/>
    <w:uiPriority w:val="9"/>
    <w:rPr>
      <w:b/>
      <w:bCs/>
      <w:kern w:val="44"/>
      <w:sz w:val="44"/>
      <w:szCs w:val="44"/>
    </w:rPr>
  </w:style>
  <w:style w:type="character" w:customStyle="1" w:styleId="15">
    <w:name w:val="标题 2 Char"/>
    <w:basedOn w:val="11"/>
    <w:link w:val="3"/>
    <w:qFormat/>
    <w:locked/>
    <w:uiPriority w:val="9"/>
    <w:rPr>
      <w:rFonts w:ascii="Cambria" w:hAnsi="Cambria"/>
      <w:b/>
      <w:bCs/>
      <w:sz w:val="32"/>
      <w:szCs w:val="32"/>
    </w:rPr>
  </w:style>
  <w:style w:type="paragraph" w:customStyle="1" w:styleId="16">
    <w:name w:val="列出段落1"/>
    <w:basedOn w:val="1"/>
    <w:qFormat/>
    <w:uiPriority w:val="34"/>
    <w:pPr>
      <w:ind w:firstLine="420" w:firstLineChars="200"/>
    </w:pPr>
  </w:style>
  <w:style w:type="paragraph" w:customStyle="1" w:styleId="1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18">
    <w:name w:val="批注框文本 Char"/>
    <w:basedOn w:val="11"/>
    <w:link w:val="5"/>
    <w:uiPriority w:val="0"/>
    <w:rPr>
      <w:rFonts w:ascii="Times New Roman" w:hAnsi="Times New Roman" w:eastAsia="仿宋_GB2312" w:cs="Times New Roman"/>
      <w:kern w:val="2"/>
      <w:sz w:val="18"/>
      <w:szCs w:val="18"/>
    </w:rPr>
  </w:style>
  <w:style w:type="paragraph" w:customStyle="1" w:styleId="19">
    <w:name w:val="列出段落2"/>
    <w:basedOn w:val="1"/>
    <w:qFormat/>
    <w:uiPriority w:val="0"/>
    <w:pPr>
      <w:ind w:firstLine="420" w:firstLineChars="200"/>
    </w:pPr>
    <w:rPr>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6609</Words>
  <Characters>7059</Characters>
  <Lines>61</Lines>
  <Paragraphs>17</Paragraphs>
  <TotalTime>101</TotalTime>
  <ScaleCrop>false</ScaleCrop>
  <LinksUpToDate>false</LinksUpToDate>
  <CharactersWithSpaces>7157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dcterms:modified xsi:type="dcterms:W3CDTF">2022-05-30T09:36:10Z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2CC6FD04A5914F83B7C61005D3FFF904</vt:lpwstr>
  </property>
</Properties>
</file>