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仿宋_GB2312" w:hAnsi="仿宋_GB2312" w:cs="仿宋_GB2312"/>
          <w:szCs w:val="32"/>
        </w:rPr>
      </w:pP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自贡市托幼中心</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目录</w:t>
      </w:r>
    </w:p>
    <w:p>
      <w:pPr>
        <w:pStyle w:val="8"/>
        <w:tabs>
          <w:tab w:val="right" w:leader="dot" w:pos="8306"/>
        </w:tabs>
        <w:spacing w:line="560" w:lineRule="exact"/>
        <w:rPr>
          <w:rFonts w:ascii="仿宋_GB2312" w:eastAsia="仿宋_GB2312"/>
          <w:i w:val="0"/>
          <w:color w:val="FF0000"/>
          <w:sz w:val="32"/>
        </w:rPr>
      </w:pP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_Toc25258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_Toc11602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2"/>
        <w:jc w:val="center"/>
        <w:rPr>
          <w:rStyle w:val="15"/>
          <w:rFonts w:ascii="黑体" w:hAnsi="黑体" w:eastAsia="黑体"/>
          <w:b/>
          <w:bCs w:val="0"/>
        </w:rPr>
      </w:pPr>
      <w:bookmarkStart w:id="0" w:name="_Toc10567"/>
      <w:r>
        <w:rPr>
          <w:rFonts w:hint="eastAsia" w:ascii="黑体" w:hAnsi="黑体" w:eastAsia="黑体"/>
          <w:b w:val="0"/>
        </w:rPr>
        <w:t>第一部分</w:t>
      </w:r>
      <w:r>
        <w:rPr>
          <w:rStyle w:val="15"/>
          <w:rFonts w:hint="eastAsia" w:ascii="黑体" w:hAnsi="黑体" w:eastAsia="黑体"/>
          <w:b w:val="0"/>
          <w:bCs w:val="0"/>
        </w:rPr>
        <w:t>部门概况</w:t>
      </w:r>
      <w:bookmarkEnd w:id="0"/>
    </w:p>
    <w:p>
      <w:pPr>
        <w:widowControl/>
        <w:jc w:val="left"/>
        <w:rPr>
          <w:rFonts w:ascii="黑体" w:eastAsia="黑体"/>
          <w:color w:val="000000"/>
          <w:szCs w:val="32"/>
        </w:rPr>
      </w:pPr>
    </w:p>
    <w:p>
      <w:pPr>
        <w:pStyle w:val="3"/>
        <w:rPr>
          <w:rStyle w:val="16"/>
          <w:rFonts w:ascii="仿宋" w:hAnsi="仿宋" w:eastAsia="仿宋"/>
          <w:b w:val="0"/>
          <w:bCs w:val="0"/>
        </w:rPr>
      </w:pPr>
      <w:bookmarkStart w:id="1" w:name="_Toc15396600"/>
      <w:bookmarkStart w:id="2" w:name="_Toc21498"/>
      <w:bookmarkStart w:id="3" w:name="_Toc15377197"/>
      <w:r>
        <w:rPr>
          <w:rFonts w:hint="eastAsia" w:ascii="黑体" w:hAnsi="黑体" w:eastAsia="黑体"/>
          <w:b w:val="0"/>
          <w:color w:val="000000"/>
        </w:rPr>
        <w:t>一、基</w:t>
      </w:r>
      <w:r>
        <w:rPr>
          <w:rStyle w:val="16"/>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320" w:firstLineChars="100"/>
        <w:outlineLvl w:val="2"/>
        <w:rPr>
          <w:rFonts w:ascii="仿宋" w:hAnsi="仿宋" w:eastAsia="仿宋"/>
          <w:bCs/>
          <w:color w:val="000000"/>
          <w:sz w:val="32"/>
          <w:szCs w:val="32"/>
        </w:rPr>
      </w:pPr>
      <w:bookmarkStart w:id="4" w:name="_Toc15378445"/>
      <w:bookmarkStart w:id="5" w:name="_Toc15377198"/>
      <w:r>
        <w:rPr>
          <w:rFonts w:hint="eastAsia" w:ascii="仿宋" w:hAnsi="仿宋" w:eastAsia="仿宋"/>
          <w:bCs/>
          <w:color w:val="000000"/>
          <w:sz w:val="32"/>
          <w:szCs w:val="32"/>
        </w:rPr>
        <w:t>（一）主要职能。</w:t>
      </w:r>
      <w:bookmarkEnd w:id="4"/>
      <w:bookmarkEnd w:id="5"/>
    </w:p>
    <w:p>
      <w:pPr>
        <w:pStyle w:val="4"/>
        <w:adjustRightInd w:val="0"/>
        <w:snapToGrid w:val="0"/>
        <w:spacing w:before="93" w:line="600" w:lineRule="exact"/>
        <w:ind w:firstLine="320" w:firstLineChars="100"/>
        <w:outlineLvl w:val="2"/>
        <w:rPr>
          <w:rFonts w:ascii="仿宋" w:hAnsi="仿宋" w:eastAsia="仿宋"/>
          <w:bCs/>
          <w:color w:val="000000"/>
          <w:sz w:val="32"/>
          <w:szCs w:val="32"/>
        </w:rPr>
      </w:pPr>
      <w:r>
        <w:rPr>
          <w:rFonts w:hint="eastAsia" w:ascii="仿宋" w:hAnsi="仿宋" w:eastAsia="仿宋"/>
          <w:bCs/>
          <w:sz w:val="32"/>
          <w:szCs w:val="32"/>
        </w:rPr>
        <w:t>为学龄前儿童提供保育和教育工作</w:t>
      </w:r>
    </w:p>
    <w:p>
      <w:pPr>
        <w:ind w:firstLine="480" w:firstLineChars="150"/>
        <w:rPr>
          <w:rFonts w:ascii="仿宋" w:hAnsi="仿宋" w:eastAsia="仿宋"/>
          <w:bCs/>
          <w:color w:val="000000"/>
          <w:szCs w:val="32"/>
        </w:rPr>
      </w:pPr>
      <w:bookmarkStart w:id="6" w:name="_Toc15378446"/>
      <w:bookmarkStart w:id="7" w:name="_Toc15377199"/>
      <w:r>
        <w:rPr>
          <w:rFonts w:hint="eastAsia" w:ascii="仿宋" w:hAnsi="仿宋" w:eastAsia="仿宋"/>
          <w:bCs/>
          <w:color w:val="000000"/>
          <w:szCs w:val="32"/>
        </w:rPr>
        <w:t>（二）</w:t>
      </w:r>
      <w:r>
        <w:rPr>
          <w:rFonts w:ascii="仿宋" w:hAnsi="仿宋" w:eastAsia="仿宋"/>
          <w:bCs/>
          <w:color w:val="000000"/>
          <w:szCs w:val="32"/>
        </w:rPr>
        <w:t>2020</w:t>
      </w:r>
      <w:r>
        <w:rPr>
          <w:rFonts w:hint="eastAsia" w:ascii="仿宋" w:hAnsi="仿宋" w:eastAsia="仿宋"/>
          <w:bCs/>
          <w:color w:val="000000"/>
          <w:szCs w:val="32"/>
        </w:rPr>
        <w:t>年重点工作完成情况。</w:t>
      </w:r>
      <w:bookmarkEnd w:id="6"/>
      <w:bookmarkEnd w:id="7"/>
    </w:p>
    <w:p>
      <w:pPr>
        <w:ind w:firstLine="480" w:firstLineChars="150"/>
        <w:rPr>
          <w:rFonts w:ascii="仿宋" w:hAnsi="仿宋" w:eastAsia="仿宋"/>
          <w:bCs/>
          <w:kern w:val="0"/>
          <w:szCs w:val="32"/>
        </w:rPr>
      </w:pPr>
      <w:r>
        <w:rPr>
          <w:rFonts w:hint="eastAsia" w:ascii="仿宋" w:hAnsi="仿宋" w:eastAsia="仿宋"/>
          <w:bCs/>
          <w:kern w:val="0"/>
          <w:szCs w:val="32"/>
        </w:rPr>
        <w:t>我们坚持以执行预算为中心，以节约费用为重点，抓好单位财务管理工作，严格遵守《政府会计制度》，严格按照预算办理各项支出，确保全年经费收支平衡，从严控制消费性支出。制定切实可行的财务管理制度，加强幼儿园财务管理，推行幼儿园财务公开制度，确保幼儿园各项工作正常运转。</w:t>
      </w:r>
    </w:p>
    <w:p>
      <w:pPr>
        <w:pStyle w:val="3"/>
        <w:rPr>
          <w:rStyle w:val="16"/>
          <w:b w:val="0"/>
          <w:bCs w:val="0"/>
        </w:rPr>
      </w:pPr>
      <w:bookmarkStart w:id="8" w:name="_Toc6092"/>
      <w:bookmarkStart w:id="9" w:name="_Toc15396601"/>
      <w:bookmarkStart w:id="10" w:name="_Toc15377200"/>
      <w:r>
        <w:rPr>
          <w:rFonts w:hint="eastAsia" w:ascii="黑体" w:eastAsia="黑体"/>
          <w:b w:val="0"/>
          <w:color w:val="000000"/>
        </w:rPr>
        <w:t>二、</w:t>
      </w:r>
      <w:r>
        <w:rPr>
          <w:rFonts w:hint="eastAsia" w:ascii="黑体" w:hAnsi="黑体" w:eastAsia="黑体"/>
          <w:b w:val="0"/>
          <w:color w:val="000000"/>
        </w:rPr>
        <w:t>机</w:t>
      </w:r>
      <w:r>
        <w:rPr>
          <w:rStyle w:val="16"/>
          <w:rFonts w:hint="eastAsia" w:ascii="黑体" w:hAnsi="黑体" w:eastAsia="黑体"/>
          <w:b w:val="0"/>
          <w:bCs w:val="0"/>
        </w:rPr>
        <w:t>构设置</w:t>
      </w:r>
      <w:bookmarkEnd w:id="8"/>
      <w:bookmarkEnd w:id="9"/>
      <w:bookmarkEnd w:id="10"/>
    </w:p>
    <w:p>
      <w:pPr>
        <w:pStyle w:val="4"/>
        <w:adjustRightInd w:val="0"/>
        <w:snapToGrid w:val="0"/>
        <w:spacing w:before="93" w:line="600" w:lineRule="exact"/>
        <w:ind w:firstLine="672" w:firstLineChars="210"/>
        <w:rPr>
          <w:rFonts w:ascii="仿宋" w:hAnsi="仿宋" w:eastAsia="仿宋"/>
          <w:kern w:val="2"/>
          <w:sz w:val="32"/>
          <w:szCs w:val="32"/>
        </w:rPr>
      </w:pPr>
      <w:r>
        <w:rPr>
          <w:rFonts w:ascii="仿宋" w:hAnsi="仿宋" w:eastAsia="仿宋"/>
          <w:kern w:val="2"/>
          <w:sz w:val="32"/>
          <w:szCs w:val="32"/>
        </w:rPr>
        <w:t>自贡市托幼中心是自贡市自流井区教育和体育局下属二级事业单位。</w:t>
      </w:r>
    </w:p>
    <w:p>
      <w:pPr>
        <w:pStyle w:val="19"/>
        <w:numPr>
          <w:ilvl w:val="0"/>
          <w:numId w:val="1"/>
        </w:numPr>
      </w:pPr>
      <w:bookmarkStart w:id="11" w:name="_Toc15306275"/>
      <w:bookmarkStart w:id="12" w:name="_Toc15377432"/>
      <w:bookmarkStart w:id="13" w:name="_Toc15377201"/>
      <w:bookmarkStart w:id="14" w:name="_Toc15378448"/>
      <w:r>
        <w:rPr>
          <w:rFonts w:ascii="仿宋" w:hAnsi="仿宋" w:eastAsia="仿宋"/>
          <w:color w:val="000000"/>
          <w:szCs w:val="32"/>
        </w:rPr>
        <w:t>纳入自贡市</w:t>
      </w:r>
      <w:r>
        <w:rPr>
          <w:rFonts w:ascii="仿宋" w:hAnsi="仿宋" w:eastAsia="仿宋"/>
          <w:szCs w:val="32"/>
        </w:rPr>
        <w:t>自流井区教育和体育局</w:t>
      </w:r>
      <w:r>
        <w:rPr>
          <w:rFonts w:ascii="仿宋" w:hAnsi="仿宋" w:eastAsia="仿宋"/>
          <w:color w:val="000000"/>
          <w:szCs w:val="32"/>
        </w:rPr>
        <w:t>2020年度部门决算编制范围的二级预算单位</w:t>
      </w:r>
      <w:r>
        <w:rPr>
          <w:rFonts w:hint="eastAsia" w:ascii="仿宋" w:hAnsi="仿宋" w:eastAsia="仿宋"/>
          <w:color w:val="000000"/>
          <w:szCs w:val="32"/>
        </w:rPr>
        <w:t>。</w:t>
      </w:r>
    </w:p>
    <w:bookmarkEnd w:id="11"/>
    <w:bookmarkEnd w:id="12"/>
    <w:bookmarkEnd w:id="13"/>
    <w:bookmarkEnd w:id="14"/>
    <w:p>
      <w:pPr>
        <w:pStyle w:val="4"/>
        <w:adjustRightInd w:val="0"/>
        <w:snapToGrid w:val="0"/>
        <w:spacing w:before="93" w:line="600" w:lineRule="exact"/>
        <w:ind w:left="672"/>
        <w:outlineLvl w:val="2"/>
        <w:rPr>
          <w:rFonts w:ascii="仿宋" w:hAnsi="仿宋" w:eastAsia="仿宋"/>
          <w:color w:val="000000"/>
          <w:sz w:val="32"/>
          <w:szCs w:val="32"/>
        </w:rPr>
      </w:pPr>
    </w:p>
    <w:p>
      <w:pPr>
        <w:widowControl/>
        <w:jc w:val="left"/>
        <w:rPr>
          <w:rFonts w:ascii="仿宋" w:hAnsi="仿宋" w:eastAsia="仿宋"/>
          <w:color w:val="000000"/>
          <w:kern w:val="0"/>
          <w:szCs w:val="32"/>
        </w:rPr>
      </w:pPr>
    </w:p>
    <w:p>
      <w:pPr>
        <w:pStyle w:val="2"/>
        <w:ind w:right="440"/>
        <w:jc w:val="right"/>
        <w:rPr>
          <w:rStyle w:val="15"/>
          <w:rFonts w:ascii="黑体" w:hAnsi="黑体" w:eastAsia="黑体"/>
          <w:b w:val="0"/>
          <w:bCs w:val="0"/>
        </w:rPr>
      </w:pPr>
      <w:bookmarkStart w:id="15" w:name="_Toc15396602"/>
      <w:bookmarkStart w:id="16" w:name="_Toc15377204"/>
      <w:bookmarkStart w:id="17" w:name="_Toc23109"/>
      <w:r>
        <w:rPr>
          <w:rFonts w:hint="eastAsia" w:ascii="黑体" w:hAnsi="黑体" w:eastAsia="黑体"/>
          <w:b w:val="0"/>
          <w:color w:val="000000"/>
        </w:rPr>
        <w:t>第二部分</w:t>
      </w:r>
      <w:r>
        <w:rPr>
          <w:rStyle w:val="15"/>
          <w:rFonts w:ascii="黑体" w:hAnsi="黑体" w:eastAsia="黑体"/>
          <w:b w:val="0"/>
          <w:bCs w:val="0"/>
        </w:rPr>
        <w:t>2020</w:t>
      </w:r>
      <w:r>
        <w:rPr>
          <w:rStyle w:val="15"/>
          <w:rFonts w:hint="eastAsia" w:ascii="黑体" w:hAnsi="黑体" w:eastAsia="黑体"/>
          <w:b w:val="0"/>
          <w:bCs w:val="0"/>
        </w:rPr>
        <w:t>年度部门决算情况说明</w:t>
      </w:r>
      <w:bookmarkEnd w:id="15"/>
      <w:bookmarkEnd w:id="16"/>
      <w:bookmarkEnd w:id="17"/>
    </w:p>
    <w:p/>
    <w:p>
      <w:pPr>
        <w:pStyle w:val="17"/>
        <w:numPr>
          <w:ilvl w:val="0"/>
          <w:numId w:val="2"/>
        </w:numPr>
        <w:spacing w:line="600" w:lineRule="exact"/>
        <w:ind w:firstLineChars="0"/>
        <w:outlineLvl w:val="1"/>
        <w:rPr>
          <w:rStyle w:val="16"/>
          <w:rFonts w:ascii="黑体" w:hAnsi="黑体" w:eastAsia="黑体"/>
          <w:b w:val="0"/>
        </w:rPr>
      </w:pPr>
      <w:bookmarkStart w:id="18" w:name="_Toc15377205"/>
      <w:bookmarkStart w:id="19" w:name="_Toc7163"/>
      <w:bookmarkStart w:id="20" w:name="_Toc15396603"/>
      <w:r>
        <w:rPr>
          <w:rFonts w:hint="eastAsia" w:ascii="黑体" w:hAnsi="黑体" w:eastAsia="黑体"/>
          <w:color w:val="000000"/>
          <w:szCs w:val="32"/>
        </w:rPr>
        <w:t>收</w:t>
      </w:r>
      <w:r>
        <w:rPr>
          <w:rStyle w:val="16"/>
          <w:rFonts w:hint="eastAsia" w:ascii="黑体" w:hAnsi="黑体" w:eastAsia="黑体"/>
          <w:b w:val="0"/>
        </w:rPr>
        <w:t>入支出决算总体情况说明</w:t>
      </w:r>
      <w:bookmarkEnd w:id="18"/>
      <w:bookmarkEnd w:id="19"/>
      <w:bookmarkEnd w:id="20"/>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年度收、支总计214.29万元。与</w:t>
      </w:r>
      <w:r>
        <w:rPr>
          <w:rFonts w:ascii="仿宋" w:hAnsi="仿宋" w:eastAsia="仿宋"/>
          <w:color w:val="000000"/>
          <w:szCs w:val="32"/>
        </w:rPr>
        <w:t>2019</w:t>
      </w:r>
      <w:r>
        <w:rPr>
          <w:rFonts w:hint="eastAsia" w:ascii="仿宋" w:hAnsi="仿宋" w:eastAsia="仿宋"/>
          <w:color w:val="000000"/>
          <w:szCs w:val="32"/>
        </w:rPr>
        <w:t>年相比，收、支总计各增加45.13万元，增长26.68</w:t>
      </w:r>
      <w:r>
        <w:rPr>
          <w:rFonts w:ascii="仿宋" w:hAnsi="仿宋" w:eastAsia="仿宋"/>
          <w:color w:val="000000"/>
          <w:szCs w:val="32"/>
        </w:rPr>
        <w:t>%</w:t>
      </w:r>
      <w:r>
        <w:rPr>
          <w:rFonts w:hint="eastAsia" w:ascii="仿宋" w:hAnsi="仿宋" w:eastAsia="仿宋"/>
          <w:color w:val="000000"/>
          <w:szCs w:val="32"/>
        </w:rPr>
        <w:t>。主要变动原因是2020年人员经费比2019年有所增加(在职人员的附加绩效和退休人员年终一次性补贴)</w:t>
      </w:r>
    </w:p>
    <w:p>
      <w:r>
        <w:drawing>
          <wp:inline distT="0" distB="0" distL="0" distR="0">
            <wp:extent cx="5002530" cy="2926080"/>
            <wp:effectExtent l="19050" t="0" r="26670" b="76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line="600" w:lineRule="exact"/>
        <w:ind w:firstLine="640" w:firstLineChars="200"/>
        <w:rPr>
          <w:rFonts w:ascii="仿宋" w:hAnsi="仿宋" w:eastAsia="仿宋"/>
          <w:color w:val="000000"/>
          <w:szCs w:val="32"/>
        </w:rPr>
      </w:pPr>
    </w:p>
    <w:p>
      <w:pPr>
        <w:spacing w:line="600" w:lineRule="exact"/>
        <w:ind w:firstLine="640" w:firstLineChars="200"/>
        <w:jc w:val="left"/>
        <w:rPr>
          <w:rFonts w:ascii="仿宋_GB2312"/>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：收、支决算总计变动情况图）（柱状图）</w:t>
      </w:r>
    </w:p>
    <w:p>
      <w:pPr>
        <w:pStyle w:val="17"/>
        <w:numPr>
          <w:ilvl w:val="0"/>
          <w:numId w:val="2"/>
        </w:numPr>
        <w:spacing w:line="600" w:lineRule="exact"/>
        <w:ind w:firstLineChars="0"/>
        <w:outlineLvl w:val="1"/>
        <w:rPr>
          <w:rStyle w:val="16"/>
          <w:rFonts w:ascii="黑体" w:hAnsi="黑体" w:eastAsia="黑体"/>
          <w:b w:val="0"/>
        </w:rPr>
      </w:pPr>
      <w:bookmarkStart w:id="21" w:name="_Toc15396604"/>
      <w:bookmarkStart w:id="22" w:name="_Toc15377206"/>
      <w:bookmarkStart w:id="23" w:name="_Toc25258"/>
      <w:r>
        <w:rPr>
          <w:rFonts w:hint="eastAsia" w:ascii="黑体" w:hAnsi="黑体" w:eastAsia="黑体"/>
          <w:color w:val="000000"/>
          <w:szCs w:val="32"/>
        </w:rPr>
        <w:t>收</w:t>
      </w:r>
      <w:r>
        <w:rPr>
          <w:rStyle w:val="16"/>
          <w:rFonts w:hint="eastAsia" w:ascii="黑体" w:hAnsi="黑体" w:eastAsia="黑体"/>
          <w:b w:val="0"/>
        </w:rPr>
        <w:t>入决算情况说明</w:t>
      </w:r>
      <w:bookmarkEnd w:id="21"/>
      <w:bookmarkEnd w:id="22"/>
      <w:bookmarkEnd w:id="23"/>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年本年收入合计214.29万元，其中：一般公共预算财政拨款收入214.29万元，占100</w:t>
      </w:r>
      <w:r>
        <w:rPr>
          <w:rFonts w:ascii="仿宋" w:hAnsi="仿宋" w:eastAsia="仿宋"/>
          <w:color w:val="000000"/>
          <w:szCs w:val="32"/>
        </w:rPr>
        <w:t>%</w:t>
      </w:r>
      <w:r>
        <w:rPr>
          <w:rFonts w:hint="eastAsia" w:ascii="仿宋" w:hAnsi="仿宋" w:eastAsia="仿宋"/>
          <w:color w:val="000000"/>
          <w:szCs w:val="32"/>
        </w:rPr>
        <w:t>；政府性基金预算财政拨款收入0万元，占0</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；事业收入0万元，占0</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rPr>
          <w:rFonts w:ascii="仿宋" w:hAnsi="仿宋" w:eastAsia="仿宋"/>
          <w:color w:val="000000"/>
          <w:szCs w:val="32"/>
        </w:rPr>
      </w:pPr>
      <w:r>
        <w:rPr>
          <w:rFonts w:ascii="仿宋" w:hAnsi="仿宋" w:eastAsia="仿宋"/>
          <w:color w:val="000000"/>
          <w:szCs w:val="32"/>
        </w:rPr>
        <w:drawing>
          <wp:inline distT="0" distB="0" distL="0" distR="0">
            <wp:extent cx="5101590" cy="2705100"/>
            <wp:effectExtent l="19050" t="0" r="2286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：收入决算结构图）（饼状图）</w:t>
      </w:r>
    </w:p>
    <w:p>
      <w:pPr>
        <w:pStyle w:val="17"/>
        <w:numPr>
          <w:ilvl w:val="0"/>
          <w:numId w:val="2"/>
        </w:numPr>
        <w:spacing w:line="600" w:lineRule="exact"/>
        <w:ind w:firstLineChars="0"/>
        <w:outlineLvl w:val="1"/>
        <w:rPr>
          <w:rStyle w:val="16"/>
          <w:rFonts w:ascii="黑体" w:hAnsi="黑体" w:eastAsia="黑体"/>
          <w:b w:val="0"/>
        </w:rPr>
      </w:pPr>
      <w:bookmarkStart w:id="24" w:name="_Toc15396605"/>
      <w:bookmarkStart w:id="25" w:name="_Toc15377207"/>
      <w:bookmarkStart w:id="26" w:name="_Toc13725"/>
      <w:r>
        <w:rPr>
          <w:rFonts w:hint="eastAsia" w:ascii="黑体" w:hAnsi="黑体" w:eastAsia="黑体"/>
          <w:color w:val="000000"/>
          <w:szCs w:val="32"/>
        </w:rPr>
        <w:t>支</w:t>
      </w:r>
      <w:r>
        <w:rPr>
          <w:rStyle w:val="16"/>
          <w:rFonts w:hint="eastAsia" w:ascii="黑体" w:hAnsi="黑体" w:eastAsia="黑体"/>
          <w:b w:val="0"/>
        </w:rPr>
        <w:t>出决算情况说明</w:t>
      </w:r>
      <w:bookmarkEnd w:id="24"/>
      <w:bookmarkEnd w:id="25"/>
      <w:bookmarkEnd w:id="26"/>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年本年支出合计214.29万元，其中：基本支出214.29万元，占100</w:t>
      </w:r>
      <w:r>
        <w:rPr>
          <w:rFonts w:ascii="仿宋" w:hAnsi="仿宋" w:eastAsia="仿宋"/>
          <w:color w:val="000000"/>
          <w:szCs w:val="32"/>
        </w:rPr>
        <w:t>%</w:t>
      </w:r>
      <w:r>
        <w:rPr>
          <w:rFonts w:hint="eastAsia" w:ascii="仿宋" w:hAnsi="仿宋" w:eastAsia="仿宋"/>
          <w:color w:val="000000"/>
          <w:szCs w:val="32"/>
        </w:rPr>
        <w:t>；项目支出0万元，占0</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ind w:firstLine="640" w:firstLineChars="200"/>
        <w:rPr>
          <w:rFonts w:ascii="仿宋" w:hAnsi="仿宋" w:eastAsia="仿宋"/>
          <w:color w:val="000000"/>
          <w:szCs w:val="32"/>
        </w:rPr>
      </w:pPr>
      <w:r>
        <w:rPr>
          <w:rFonts w:hint="eastAsia" w:ascii="仿宋" w:hAnsi="仿宋" w:eastAsia="仿宋"/>
          <w:color w:val="000000"/>
          <w:szCs w:val="32"/>
        </w:rPr>
        <w:drawing>
          <wp:inline distT="0" distB="0" distL="0" distR="0">
            <wp:extent cx="4834890" cy="3009900"/>
            <wp:effectExtent l="19050" t="0" r="2286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：支出决算结构图）（饼状图）</w:t>
      </w:r>
    </w:p>
    <w:p>
      <w:pPr>
        <w:spacing w:line="600" w:lineRule="exact"/>
        <w:ind w:firstLine="640" w:firstLineChars="200"/>
        <w:rPr>
          <w:rFonts w:ascii="仿宋_GB2312"/>
          <w:color w:val="FF0000"/>
          <w:szCs w:val="32"/>
        </w:rPr>
      </w:pPr>
    </w:p>
    <w:p>
      <w:pPr>
        <w:spacing w:line="600" w:lineRule="exact"/>
        <w:ind w:firstLine="640" w:firstLineChars="200"/>
        <w:outlineLvl w:val="1"/>
        <w:rPr>
          <w:rStyle w:val="16"/>
          <w:rFonts w:ascii="黑体" w:hAnsi="黑体" w:eastAsia="黑体"/>
          <w:b w:val="0"/>
        </w:rPr>
      </w:pPr>
      <w:bookmarkStart w:id="27" w:name="_Toc15377208"/>
      <w:bookmarkStart w:id="28" w:name="_Toc15396606"/>
      <w:bookmarkStart w:id="29" w:name="_Toc10354"/>
      <w:r>
        <w:rPr>
          <w:rFonts w:hint="eastAsia" w:ascii="黑体" w:hAnsi="黑体" w:eastAsia="黑体"/>
          <w:color w:val="000000"/>
          <w:szCs w:val="32"/>
        </w:rPr>
        <w:t>四、财</w:t>
      </w:r>
      <w:r>
        <w:rPr>
          <w:rStyle w:val="16"/>
          <w:rFonts w:hint="eastAsia" w:ascii="黑体" w:hAnsi="黑体" w:eastAsia="黑体"/>
          <w:b w:val="0"/>
        </w:rPr>
        <w:t>政拨款收入支出决算总体情况说明</w:t>
      </w:r>
      <w:bookmarkEnd w:id="27"/>
      <w:bookmarkEnd w:id="28"/>
      <w:bookmarkEnd w:id="2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年财政拨款收、支总计214.29万元。与</w:t>
      </w:r>
      <w:r>
        <w:rPr>
          <w:rFonts w:ascii="仿宋" w:hAnsi="仿宋" w:eastAsia="仿宋"/>
          <w:color w:val="000000"/>
          <w:szCs w:val="32"/>
        </w:rPr>
        <w:t>2019</w:t>
      </w:r>
      <w:r>
        <w:rPr>
          <w:rFonts w:hint="eastAsia" w:ascii="仿宋" w:hAnsi="仿宋" w:eastAsia="仿宋"/>
          <w:color w:val="000000"/>
          <w:szCs w:val="32"/>
        </w:rPr>
        <w:t>年相比，财政拨款收、支总计各增加45.13万元，增长26.68</w:t>
      </w:r>
      <w:r>
        <w:rPr>
          <w:rFonts w:ascii="仿宋" w:hAnsi="仿宋" w:eastAsia="仿宋"/>
          <w:color w:val="000000"/>
          <w:szCs w:val="32"/>
        </w:rPr>
        <w:t>%</w:t>
      </w:r>
      <w:r>
        <w:rPr>
          <w:rFonts w:hint="eastAsia" w:ascii="仿宋" w:hAnsi="仿宋" w:eastAsia="仿宋"/>
          <w:color w:val="000000"/>
          <w:szCs w:val="32"/>
        </w:rPr>
        <w:t>。主要变动原因是2020年人员经费比2019年有所增加(在职人员的附加绩效和退休人员年终一次性补贴，单位2019年下划到自流井区，2019区财政未拨职工附加绩效和退休人员一次性补贴)</w:t>
      </w:r>
    </w:p>
    <w:p>
      <w:pPr>
        <w:spacing w:line="600" w:lineRule="exact"/>
        <w:ind w:firstLine="640"/>
        <w:rPr>
          <w:rFonts w:ascii="仿宋" w:hAnsi="仿宋" w:eastAsia="仿宋"/>
          <w:color w:val="000000"/>
          <w:szCs w:val="32"/>
        </w:rPr>
      </w:pPr>
    </w:p>
    <w:p>
      <w:pPr>
        <w:rPr>
          <w:rFonts w:ascii="仿宋" w:hAnsi="仿宋" w:eastAsia="仿宋"/>
          <w:color w:val="000000"/>
          <w:szCs w:val="32"/>
        </w:rPr>
      </w:pPr>
      <w:r>
        <w:rPr>
          <w:rFonts w:ascii="仿宋" w:hAnsi="仿宋" w:eastAsia="仿宋"/>
          <w:color w:val="000000"/>
          <w:szCs w:val="32"/>
        </w:rPr>
        <w:drawing>
          <wp:inline distT="0" distB="0" distL="0" distR="0">
            <wp:extent cx="5002530" cy="2712720"/>
            <wp:effectExtent l="19050" t="0" r="2667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：财政拨款收、支决算总计变动情况）（柱状图）</w:t>
      </w:r>
    </w:p>
    <w:p>
      <w:pPr>
        <w:spacing w:line="600" w:lineRule="exact"/>
        <w:ind w:firstLine="627" w:firstLineChars="196"/>
        <w:outlineLvl w:val="1"/>
        <w:rPr>
          <w:rFonts w:ascii="黑体" w:hAnsi="黑体" w:eastAsia="黑体"/>
          <w:color w:val="000000"/>
          <w:szCs w:val="32"/>
        </w:rPr>
      </w:pPr>
      <w:bookmarkStart w:id="30" w:name="_Toc15396607"/>
      <w:bookmarkStart w:id="31" w:name="_Toc10967"/>
      <w:bookmarkStart w:id="32" w:name="_Toc15377209"/>
    </w:p>
    <w:p>
      <w:pPr>
        <w:spacing w:line="600" w:lineRule="exact"/>
        <w:ind w:firstLine="627" w:firstLineChars="196"/>
        <w:outlineLvl w:val="1"/>
        <w:rPr>
          <w:rStyle w:val="16"/>
          <w:rFonts w:ascii="黑体" w:hAnsi="黑体" w:eastAsia="黑体"/>
          <w:b w:val="0"/>
        </w:rPr>
      </w:pPr>
      <w:r>
        <w:rPr>
          <w:rFonts w:hint="eastAsia" w:ascii="黑体" w:hAnsi="黑体" w:eastAsia="黑体"/>
          <w:color w:val="000000"/>
          <w:szCs w:val="32"/>
        </w:rPr>
        <w:t>五、</w:t>
      </w:r>
      <w:r>
        <w:rPr>
          <w:rFonts w:hint="eastAsia" w:ascii="黑体" w:hAnsi="黑体" w:eastAsia="黑体"/>
          <w:b/>
          <w:color w:val="000000"/>
          <w:szCs w:val="32"/>
        </w:rPr>
        <w:t>一</w:t>
      </w:r>
      <w:r>
        <w:rPr>
          <w:rStyle w:val="16"/>
          <w:rFonts w:hint="eastAsia" w:ascii="黑体" w:hAnsi="黑体" w:eastAsia="黑体"/>
          <w:b w:val="0"/>
        </w:rPr>
        <w:t>般公共预算财政拨款支出决算情况说明</w:t>
      </w:r>
      <w:bookmarkEnd w:id="30"/>
      <w:bookmarkEnd w:id="31"/>
      <w:bookmarkEnd w:id="32"/>
    </w:p>
    <w:p>
      <w:pPr>
        <w:spacing w:line="600" w:lineRule="exact"/>
        <w:ind w:firstLine="643" w:firstLineChars="200"/>
        <w:outlineLvl w:val="2"/>
        <w:rPr>
          <w:rFonts w:ascii="仿宋" w:hAnsi="仿宋" w:eastAsia="仿宋"/>
          <w:b/>
          <w:color w:val="000000"/>
          <w:szCs w:val="32"/>
        </w:rPr>
      </w:pPr>
      <w:bookmarkStart w:id="33" w:name="_Toc15377210"/>
      <w:r>
        <w:rPr>
          <w:rFonts w:hint="eastAsia" w:ascii="仿宋" w:hAnsi="仿宋" w:eastAsia="仿宋"/>
          <w:b/>
          <w:color w:val="000000"/>
          <w:szCs w:val="32"/>
        </w:rPr>
        <w:t>（一）一般公共预算财政拨款支出决算总体情况</w:t>
      </w:r>
      <w:bookmarkEnd w:id="33"/>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年一般公共预算财政拨款支出214.29万元，占本年支出合计的100</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年相比，一般公共预算财政拨款增加45.13万元，增长26.68</w:t>
      </w:r>
      <w:r>
        <w:rPr>
          <w:rFonts w:ascii="仿宋" w:hAnsi="仿宋" w:eastAsia="仿宋"/>
          <w:color w:val="000000"/>
          <w:szCs w:val="32"/>
        </w:rPr>
        <w:t>%</w:t>
      </w:r>
      <w:r>
        <w:rPr>
          <w:rFonts w:hint="eastAsia" w:ascii="仿宋" w:hAnsi="仿宋" w:eastAsia="仿宋"/>
          <w:color w:val="000000"/>
          <w:szCs w:val="32"/>
        </w:rPr>
        <w:t>。主要变动原因是2020年人员经费比2019年有所增加(在职人员的附加绩效和退休人员年终一次性补贴)</w:t>
      </w:r>
    </w:p>
    <w:p>
      <w:pPr>
        <w:ind w:firstLine="640" w:firstLineChars="200"/>
        <w:rPr>
          <w:rFonts w:ascii="仿宋" w:hAnsi="仿宋" w:eastAsia="仿宋"/>
          <w:color w:val="000000"/>
          <w:szCs w:val="32"/>
        </w:rPr>
      </w:pPr>
      <w:r>
        <w:rPr>
          <w:rFonts w:ascii="仿宋" w:hAnsi="仿宋" w:eastAsia="仿宋"/>
          <w:color w:val="000000"/>
          <w:szCs w:val="32"/>
        </w:rPr>
        <w:drawing>
          <wp:inline distT="0" distB="0" distL="0" distR="0">
            <wp:extent cx="4522470" cy="2743200"/>
            <wp:effectExtent l="19050" t="0" r="1143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：一般公共预算财政拨款支出决算变动情况）（柱状图）</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4" w:name="_Toc15377211"/>
      <w:r>
        <w:rPr>
          <w:rFonts w:hint="eastAsia" w:ascii="仿宋" w:hAnsi="仿宋" w:eastAsia="仿宋"/>
          <w:b/>
          <w:color w:val="000000"/>
          <w:szCs w:val="32"/>
        </w:rPr>
        <w:t>（二）一般公共预算财政拨款支出决算结构情况</w:t>
      </w:r>
      <w:bookmarkEnd w:id="34"/>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年一般公共预算财政拨款支出214.29万元，主要用于以下方面</w:t>
      </w:r>
      <w:r>
        <w:rPr>
          <w:rFonts w:ascii="仿宋" w:hAnsi="仿宋" w:eastAsia="仿宋"/>
          <w:color w:val="000000"/>
          <w:szCs w:val="32"/>
        </w:rPr>
        <w:t>:</w:t>
      </w:r>
      <w:r>
        <w:rPr>
          <w:rFonts w:hint="eastAsia" w:ascii="仿宋" w:hAnsi="仿宋" w:eastAsia="仿宋"/>
          <w:b/>
          <w:color w:val="000000"/>
          <w:szCs w:val="32"/>
        </w:rPr>
        <w:t>一般公共服务（类）</w:t>
      </w:r>
      <w:r>
        <w:rPr>
          <w:rFonts w:hint="eastAsia" w:ascii="仿宋" w:hAnsi="仿宋" w:eastAsia="仿宋"/>
          <w:color w:val="000000"/>
          <w:szCs w:val="32"/>
        </w:rPr>
        <w:t>支出0万元，占0</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教育支出（类）</w:t>
      </w:r>
      <w:r>
        <w:rPr>
          <w:rFonts w:hint="eastAsia" w:ascii="仿宋" w:hAnsi="仿宋" w:eastAsia="仿宋"/>
          <w:color w:val="000000"/>
          <w:szCs w:val="32"/>
        </w:rPr>
        <w:t>214.29万元，占100</w:t>
      </w:r>
      <w:r>
        <w:rPr>
          <w:rFonts w:ascii="仿宋" w:hAnsi="仿宋" w:eastAsia="仿宋"/>
          <w:color w:val="000000"/>
          <w:szCs w:val="32"/>
        </w:rPr>
        <w:t>%</w:t>
      </w:r>
      <w:r>
        <w:rPr>
          <w:rFonts w:hint="eastAsia" w:ascii="仿宋" w:hAnsi="仿宋" w:eastAsia="仿宋"/>
          <w:color w:val="000000"/>
          <w:szCs w:val="32"/>
        </w:rPr>
        <w:t>；</w:t>
      </w:r>
      <w:r>
        <w:rPr>
          <w:rFonts w:ascii="仿宋" w:hAnsi="仿宋" w:eastAsia="仿宋"/>
          <w:color w:val="000000"/>
          <w:szCs w:val="32"/>
        </w:rPr>
        <w:t xml:space="preserve"> </w:t>
      </w:r>
    </w:p>
    <w:p>
      <w:pPr>
        <w:ind w:firstLine="641"/>
        <w:rPr>
          <w:rFonts w:ascii="仿宋" w:hAnsi="仿宋" w:eastAsia="仿宋"/>
          <w:color w:val="000000"/>
          <w:szCs w:val="32"/>
        </w:rPr>
      </w:pPr>
      <w:r>
        <w:rPr>
          <w:rFonts w:ascii="仿宋" w:hAnsi="仿宋" w:eastAsia="仿宋"/>
          <w:color w:val="000000"/>
          <w:szCs w:val="32"/>
        </w:rPr>
        <w:drawing>
          <wp:inline distT="0" distB="0" distL="0" distR="0">
            <wp:extent cx="4789170" cy="3032760"/>
            <wp:effectExtent l="19050" t="0" r="1143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：一般公共预算财政拨款支出决算结构）（饼状图）</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5" w:name="_Toc15377212"/>
      <w:r>
        <w:rPr>
          <w:rFonts w:hint="eastAsia" w:ascii="仿宋" w:hAnsi="仿宋" w:eastAsia="仿宋"/>
          <w:b/>
          <w:color w:val="000000"/>
          <w:szCs w:val="32"/>
        </w:rPr>
        <w:t>（三）一般公共预算财政拨款支出决算具体情况</w:t>
      </w:r>
      <w:bookmarkEnd w:id="35"/>
    </w:p>
    <w:p>
      <w:pPr>
        <w:spacing w:line="600" w:lineRule="exact"/>
        <w:ind w:firstLine="643" w:firstLineChars="200"/>
        <w:rPr>
          <w:rFonts w:ascii="仿宋" w:hAnsi="仿宋" w:eastAsia="仿宋"/>
          <w:color w:val="FF0000"/>
          <w:szCs w:val="32"/>
        </w:rPr>
      </w:pPr>
      <w:bookmarkStart w:id="36" w:name="_Toc15377444"/>
      <w:bookmarkStart w:id="37" w:name="_Toc15377213"/>
      <w:bookmarkStart w:id="38" w:name="_Toc15378460"/>
      <w:r>
        <w:rPr>
          <w:rFonts w:ascii="仿宋" w:hAnsi="仿宋" w:eastAsia="仿宋"/>
          <w:b/>
          <w:color w:val="000000"/>
          <w:szCs w:val="32"/>
        </w:rPr>
        <w:t>2020</w:t>
      </w:r>
      <w:r>
        <w:rPr>
          <w:rFonts w:hint="eastAsia" w:ascii="仿宋" w:hAnsi="仿宋" w:eastAsia="仿宋"/>
          <w:b/>
          <w:color w:val="000000"/>
          <w:szCs w:val="32"/>
        </w:rPr>
        <w:t>年一般公共预算支出决算数为214.29</w:t>
      </w:r>
      <w:r>
        <w:rPr>
          <w:rFonts w:hint="eastAsia" w:ascii="仿宋" w:hAnsi="仿宋" w:eastAsia="仿宋"/>
          <w:color w:val="000000"/>
          <w:szCs w:val="32"/>
        </w:rPr>
        <w:t>，</w:t>
      </w:r>
      <w:r>
        <w:rPr>
          <w:rStyle w:val="13"/>
          <w:rFonts w:hint="eastAsia" w:ascii="仿宋" w:hAnsi="仿宋" w:eastAsia="仿宋"/>
          <w:bCs/>
          <w:color w:val="000000"/>
          <w:szCs w:val="32"/>
        </w:rPr>
        <w:t>完成预算100</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6"/>
      <w:bookmarkEnd w:id="37"/>
      <w:bookmarkEnd w:id="38"/>
    </w:p>
    <w:p>
      <w:pPr>
        <w:spacing w:line="600" w:lineRule="exact"/>
        <w:ind w:firstLine="643" w:firstLineChars="200"/>
        <w:rPr>
          <w:rFonts w:ascii="仿宋" w:hAnsi="仿宋" w:eastAsia="仿宋"/>
          <w:b/>
          <w:color w:val="000000"/>
          <w:szCs w:val="32"/>
        </w:rPr>
      </w:pPr>
      <w:r>
        <w:rPr>
          <w:rStyle w:val="13"/>
          <w:rFonts w:hint="eastAsia" w:ascii="仿宋" w:hAnsi="仿宋" w:eastAsia="仿宋"/>
          <w:bCs/>
          <w:color w:val="000000"/>
          <w:szCs w:val="32"/>
          <w:lang w:val="en-US" w:eastAsia="zh-CN"/>
        </w:rPr>
        <w:t>1</w:t>
      </w:r>
      <w:r>
        <w:rPr>
          <w:rStyle w:val="13"/>
          <w:rFonts w:ascii="仿宋" w:hAnsi="仿宋" w:eastAsia="仿宋"/>
          <w:bCs/>
          <w:color w:val="000000"/>
          <w:szCs w:val="32"/>
        </w:rPr>
        <w:t>.</w:t>
      </w:r>
      <w:r>
        <w:rPr>
          <w:rStyle w:val="13"/>
          <w:rFonts w:hint="eastAsia" w:ascii="仿宋" w:hAnsi="仿宋" w:eastAsia="仿宋"/>
          <w:bCs/>
          <w:color w:val="000000"/>
          <w:szCs w:val="32"/>
        </w:rPr>
        <w:t>教育（类）普通教育（款）</w:t>
      </w:r>
      <w:r>
        <w:rPr>
          <w:rStyle w:val="13"/>
          <w:rFonts w:ascii="仿宋" w:hAnsi="仿宋" w:eastAsia="仿宋"/>
          <w:bCs/>
          <w:color w:val="000000"/>
          <w:szCs w:val="32"/>
        </w:rPr>
        <w:t>学前教育</w:t>
      </w:r>
      <w:r>
        <w:rPr>
          <w:rStyle w:val="13"/>
          <w:rFonts w:hint="eastAsia" w:ascii="仿宋" w:hAnsi="仿宋" w:eastAsia="仿宋"/>
          <w:bCs/>
          <w:color w:val="000000"/>
          <w:szCs w:val="32"/>
        </w:rPr>
        <w:t>（项）</w:t>
      </w:r>
      <w:r>
        <w:rPr>
          <w:rStyle w:val="13"/>
          <w:rFonts w:ascii="仿宋" w:hAnsi="仿宋" w:eastAsia="仿宋"/>
          <w:bCs/>
          <w:color w:val="000000"/>
          <w:szCs w:val="32"/>
        </w:rPr>
        <w:t>:</w:t>
      </w:r>
      <w:r>
        <w:rPr>
          <w:rStyle w:val="13"/>
          <w:rFonts w:hint="eastAsia" w:ascii="仿宋" w:hAnsi="仿宋" w:eastAsia="仿宋"/>
          <w:b w:val="0"/>
          <w:bCs/>
          <w:color w:val="000000"/>
          <w:szCs w:val="32"/>
        </w:rPr>
        <w:t>支出决算为214.29万元，完成预算100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rPr>
          <w:rFonts w:ascii="仿宋" w:hAnsi="仿宋" w:eastAsia="仿宋"/>
          <w:b/>
          <w:color w:val="000000"/>
          <w:szCs w:val="32"/>
        </w:rPr>
      </w:pPr>
    </w:p>
    <w:p>
      <w:pPr>
        <w:tabs>
          <w:tab w:val="right" w:pos="8306"/>
        </w:tabs>
        <w:spacing w:line="600" w:lineRule="exact"/>
        <w:ind w:firstLine="640"/>
        <w:outlineLvl w:val="1"/>
        <w:rPr>
          <w:rStyle w:val="16"/>
        </w:rPr>
      </w:pPr>
      <w:bookmarkStart w:id="39" w:name="_Toc31021"/>
      <w:bookmarkStart w:id="40" w:name="_Toc15396608"/>
      <w:bookmarkStart w:id="41" w:name="_Toc15377214"/>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6"/>
          <w:rFonts w:hint="eastAsia" w:ascii="黑体" w:hAnsi="黑体" w:eastAsia="黑体"/>
          <w:b w:val="0"/>
        </w:rPr>
        <w:t>般公共预算财政拨款基本支出决算情况说明</w:t>
      </w:r>
      <w:bookmarkEnd w:id="39"/>
      <w:bookmarkEnd w:id="40"/>
      <w:bookmarkEnd w:id="41"/>
      <w:r>
        <w:rPr>
          <w:rStyle w:val="16"/>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年一般公共预算财政拨款基本支出214.29万元，其中：</w:t>
      </w:r>
    </w:p>
    <w:p>
      <w:pPr>
        <w:spacing w:line="600" w:lineRule="exact"/>
        <w:ind w:firstLine="645"/>
        <w:rPr>
          <w:rFonts w:hint="eastAsia" w:ascii="仿宋" w:hAnsi="仿宋" w:eastAsia="仿宋"/>
          <w:color w:val="000000"/>
          <w:szCs w:val="32"/>
          <w:lang w:eastAsia="zh-CN"/>
        </w:rPr>
      </w:pPr>
      <w:r>
        <w:rPr>
          <w:rFonts w:hint="eastAsia" w:ascii="仿宋" w:hAnsi="仿宋" w:eastAsia="仿宋"/>
          <w:color w:val="000000"/>
          <w:szCs w:val="32"/>
        </w:rPr>
        <w:t>人员经费212.04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日常公用经费2.25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ascii="仿宋" w:hAnsi="仿宋" w:eastAsia="仿宋"/>
          <w:b/>
          <w:color w:val="FF0000"/>
          <w:szCs w:val="32"/>
        </w:rPr>
      </w:pPr>
    </w:p>
    <w:p>
      <w:pPr>
        <w:spacing w:line="600" w:lineRule="exact"/>
        <w:ind w:firstLine="640"/>
        <w:outlineLvl w:val="1"/>
        <w:rPr>
          <w:rStyle w:val="16"/>
          <w:rFonts w:ascii="黑体" w:hAnsi="黑体" w:eastAsia="黑体"/>
          <w:b w:val="0"/>
        </w:rPr>
      </w:pPr>
      <w:bookmarkStart w:id="42" w:name="_Toc15377215"/>
      <w:bookmarkStart w:id="43" w:name="_Toc15396609"/>
      <w:bookmarkStart w:id="44" w:name="_Toc6926"/>
      <w:r>
        <w:rPr>
          <w:rFonts w:hint="eastAsia" w:ascii="黑体" w:eastAsia="黑体"/>
          <w:color w:val="000000"/>
          <w:szCs w:val="32"/>
        </w:rPr>
        <w:t>七、</w:t>
      </w:r>
      <w:r>
        <w:rPr>
          <w:rStyle w:val="16"/>
          <w:rFonts w:hint="eastAsia" w:ascii="黑体" w:hAnsi="黑体" w:eastAsia="黑体"/>
        </w:rPr>
        <w:t>“</w:t>
      </w:r>
      <w:r>
        <w:rPr>
          <w:rStyle w:val="16"/>
          <w:rFonts w:hint="eastAsia" w:ascii="黑体" w:hAnsi="黑体" w:eastAsia="黑体"/>
          <w:b w:val="0"/>
        </w:rPr>
        <w:t>三公”经费财政拨款支出决算情况说明</w:t>
      </w:r>
      <w:bookmarkEnd w:id="42"/>
      <w:bookmarkEnd w:id="43"/>
      <w:bookmarkEnd w:id="44"/>
    </w:p>
    <w:p>
      <w:pPr>
        <w:spacing w:line="600" w:lineRule="exact"/>
        <w:ind w:firstLine="640"/>
        <w:outlineLvl w:val="2"/>
        <w:rPr>
          <w:rFonts w:ascii="仿宋" w:hAnsi="仿宋" w:eastAsia="仿宋"/>
          <w:b/>
          <w:color w:val="000000"/>
          <w:szCs w:val="32"/>
        </w:rPr>
      </w:pPr>
      <w:bookmarkStart w:id="45" w:name="_Toc15377216"/>
      <w:r>
        <w:rPr>
          <w:rFonts w:hint="eastAsia" w:ascii="仿宋" w:hAnsi="仿宋" w:eastAsia="仿宋"/>
          <w:b/>
          <w:color w:val="000000"/>
          <w:szCs w:val="32"/>
        </w:rPr>
        <w:t>（一）“三公”经费财政拨款支出决算总体情况说明</w:t>
      </w:r>
      <w:bookmarkEnd w:id="45"/>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年“三公”经费财政拨款支出决算为0万元，完成预算0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outlineLvl w:val="2"/>
        <w:rPr>
          <w:rFonts w:ascii="仿宋" w:hAnsi="仿宋" w:eastAsia="仿宋"/>
          <w:b/>
          <w:color w:val="000000"/>
          <w:szCs w:val="32"/>
        </w:rPr>
      </w:pPr>
      <w:bookmarkStart w:id="46" w:name="_Toc15377217"/>
      <w:r>
        <w:rPr>
          <w:rFonts w:hint="eastAsia" w:ascii="仿宋" w:hAnsi="仿宋" w:eastAsia="仿宋"/>
          <w:b/>
          <w:color w:val="000000"/>
          <w:szCs w:val="32"/>
        </w:rPr>
        <w:t>（二）“三公”经费财政拨款支出决算具体情况说明</w:t>
      </w:r>
      <w:bookmarkEnd w:id="46"/>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；公务接待费支出决算0万元，占0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7</w:t>
      </w:r>
      <w:r>
        <w:rPr>
          <w:rFonts w:hint="eastAsia" w:ascii="仿宋" w:hAnsi="仿宋" w:eastAsia="仿宋"/>
          <w:color w:val="000000"/>
          <w:szCs w:val="32"/>
        </w:rPr>
        <w:t>：“三公”经费财政拨款支出结构）（饼状图）</w:t>
      </w:r>
    </w:p>
    <w:p>
      <w:pPr>
        <w:spacing w:line="600" w:lineRule="exact"/>
        <w:ind w:firstLine="64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全年安排因公出国（境）团组0次，出国（境）0人。因公出国（境）支出决算比</w:t>
      </w:r>
      <w:r>
        <w:rPr>
          <w:rFonts w:ascii="仿宋_GB2312"/>
          <w:color w:val="000000"/>
          <w:szCs w:val="32"/>
        </w:rPr>
        <w:t>201</w:t>
      </w:r>
      <w:r>
        <w:rPr>
          <w:rFonts w:hint="eastAsia" w:ascii="仿宋_GB2312"/>
          <w:color w:val="000000"/>
          <w:szCs w:val="32"/>
        </w:rPr>
        <w:t>9年增加</w:t>
      </w:r>
      <w:r>
        <w:rPr>
          <w:rFonts w:ascii="仿宋_GB2312"/>
          <w:color w:val="000000"/>
          <w:szCs w:val="32"/>
        </w:rPr>
        <w:t>/</w:t>
      </w:r>
      <w:r>
        <w:rPr>
          <w:rFonts w:hint="eastAsia" w:ascii="仿宋_GB2312"/>
          <w:color w:val="000000"/>
          <w:szCs w:val="32"/>
        </w:rPr>
        <w:t>减少0万元，增长</w:t>
      </w:r>
      <w:r>
        <w:rPr>
          <w:rFonts w:ascii="仿宋_GB2312"/>
          <w:color w:val="000000"/>
          <w:szCs w:val="32"/>
        </w:rPr>
        <w:t>/</w:t>
      </w:r>
      <w:r>
        <w:rPr>
          <w:rFonts w:hint="eastAsia" w:ascii="仿宋_GB2312"/>
          <w:color w:val="000000"/>
          <w:szCs w:val="32"/>
        </w:rPr>
        <w:t>下降0</w:t>
      </w:r>
      <w:r>
        <w:rPr>
          <w:rFonts w:ascii="仿宋_GB2312"/>
          <w:color w:val="000000"/>
          <w:szCs w:val="32"/>
        </w:rPr>
        <w:t>%</w:t>
      </w:r>
      <w:r>
        <w:rPr>
          <w:rFonts w:hint="eastAsia" w:ascii="仿宋_GB2312"/>
          <w:color w:val="000000"/>
          <w:szCs w:val="32"/>
        </w:rPr>
        <w:t>。</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公务用车购置及运行维护费支出决算比2019年增加</w:t>
      </w:r>
      <w:r>
        <w:rPr>
          <w:rFonts w:ascii="仿宋_GB2312"/>
          <w:color w:val="000000"/>
          <w:szCs w:val="32"/>
        </w:rPr>
        <w:t>/</w:t>
      </w:r>
      <w:r>
        <w:rPr>
          <w:rFonts w:hint="eastAsia" w:ascii="仿宋_GB2312"/>
          <w:color w:val="000000"/>
          <w:szCs w:val="32"/>
        </w:rPr>
        <w:t>减少0万元，增长</w:t>
      </w:r>
      <w:r>
        <w:rPr>
          <w:rFonts w:ascii="仿宋_GB2312"/>
          <w:color w:val="000000"/>
          <w:szCs w:val="32"/>
        </w:rPr>
        <w:t>/</w:t>
      </w:r>
      <w:r>
        <w:rPr>
          <w:rFonts w:hint="eastAsia" w:ascii="仿宋_GB2312"/>
          <w:color w:val="000000"/>
          <w:szCs w:val="32"/>
        </w:rPr>
        <w:t>下降0</w:t>
      </w:r>
      <w:r>
        <w:rPr>
          <w:rFonts w:ascii="仿宋_GB2312"/>
          <w:color w:val="000000"/>
          <w:szCs w:val="32"/>
        </w:rPr>
        <w:t>%</w:t>
      </w:r>
      <w:r>
        <w:rPr>
          <w:rFonts w:hint="eastAsia" w:ascii="仿宋_GB2312"/>
          <w:color w:val="000000"/>
          <w:szCs w:val="32"/>
        </w:rPr>
        <w:t>。</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0万元。全年按规定更新购置公务用车0辆，其中：轿车0辆、金额0万元，越野车0辆、金额0万元，载客汽车0辆、金额0万元，主要用于…。截至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月底，单位共有公务用车0辆，其中：轿车0辆、越野车</w:t>
      </w:r>
      <w:r>
        <w:rPr>
          <w:rFonts w:ascii="仿宋_GB2312"/>
          <w:color w:val="000000"/>
          <w:szCs w:val="32"/>
        </w:rPr>
        <w:t>*</w:t>
      </w:r>
      <w:r>
        <w:rPr>
          <w:rFonts w:hint="eastAsia" w:ascii="仿宋_GB2312"/>
          <w:color w:val="000000"/>
          <w:szCs w:val="32"/>
        </w:rPr>
        <w:t>0辆、载客汽车0辆。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0万元。主要用于</w:t>
      </w:r>
      <w:r>
        <w:rPr>
          <w:rFonts w:ascii="仿宋_GB2312"/>
          <w:color w:val="000000"/>
          <w:szCs w:val="32"/>
        </w:rPr>
        <w:t>…</w:t>
      </w:r>
      <w:r>
        <w:rPr>
          <w:rFonts w:hint="eastAsia" w:ascii="仿宋_GB2312"/>
          <w:color w:val="000000"/>
          <w:szCs w:val="32"/>
        </w:rPr>
        <w:t>（具体工作）等所需的公务用车燃料费、维修费、过路过桥费、保险费等支出。</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0万元，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年增加</w:t>
      </w:r>
      <w:r>
        <w:rPr>
          <w:rFonts w:ascii="仿宋_GB2312"/>
          <w:color w:val="000000"/>
          <w:szCs w:val="32"/>
        </w:rPr>
        <w:t>/</w:t>
      </w:r>
      <w:r>
        <w:rPr>
          <w:rFonts w:hint="eastAsia" w:ascii="仿宋_GB2312"/>
          <w:color w:val="000000"/>
          <w:szCs w:val="32"/>
        </w:rPr>
        <w:t>减少0万元，增长</w:t>
      </w:r>
      <w:r>
        <w:rPr>
          <w:rFonts w:ascii="仿宋_GB2312"/>
          <w:color w:val="000000"/>
          <w:szCs w:val="32"/>
        </w:rPr>
        <w:t>/</w:t>
      </w:r>
      <w:r>
        <w:rPr>
          <w:rFonts w:hint="eastAsia" w:ascii="仿宋_GB2312"/>
          <w:color w:val="000000"/>
          <w:szCs w:val="32"/>
        </w:rPr>
        <w:t>下降0</w:t>
      </w:r>
      <w:r>
        <w:rPr>
          <w:rFonts w:ascii="仿宋_GB2312"/>
          <w:color w:val="000000"/>
          <w:szCs w:val="32"/>
        </w:rPr>
        <w:t>%</w:t>
      </w:r>
      <w:r>
        <w:rPr>
          <w:rFonts w:hint="eastAsia" w:ascii="仿宋_GB2312"/>
          <w:color w:val="000000"/>
          <w:szCs w:val="32"/>
        </w:rPr>
        <w:t>。</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0</w:t>
      </w:r>
      <w:r>
        <w:rPr>
          <w:rFonts w:hint="eastAsia" w:ascii="仿宋_GB2312"/>
          <w:color w:val="000000"/>
          <w:szCs w:val="32"/>
        </w:rPr>
        <w:t>万元。国内公务接待0批次，0人次，共计支出0万元。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p>
    <w:p>
      <w:pPr>
        <w:spacing w:line="600" w:lineRule="exact"/>
        <w:ind w:firstLine="640"/>
        <w:outlineLvl w:val="1"/>
        <w:rPr>
          <w:rFonts w:ascii="黑体" w:eastAsia="黑体"/>
          <w:color w:val="000000"/>
          <w:szCs w:val="32"/>
        </w:rPr>
      </w:pPr>
      <w:bookmarkStart w:id="47" w:name="_Toc15396610"/>
      <w:bookmarkStart w:id="48" w:name="_Toc15377218"/>
    </w:p>
    <w:p>
      <w:pPr>
        <w:spacing w:line="600" w:lineRule="exact"/>
        <w:ind w:firstLine="640"/>
        <w:outlineLvl w:val="1"/>
        <w:rPr>
          <w:rStyle w:val="16"/>
          <w:rFonts w:ascii="黑体" w:hAnsi="黑体" w:eastAsia="黑体"/>
        </w:rPr>
      </w:pPr>
      <w:bookmarkStart w:id="49" w:name="_Toc9843"/>
      <w:r>
        <w:rPr>
          <w:rFonts w:hint="eastAsia" w:ascii="黑体" w:eastAsia="黑体"/>
          <w:color w:val="000000"/>
          <w:szCs w:val="32"/>
        </w:rPr>
        <w:t>八、</w:t>
      </w:r>
      <w:r>
        <w:rPr>
          <w:rStyle w:val="16"/>
          <w:rFonts w:hint="eastAsia" w:ascii="黑体" w:hAnsi="黑体" w:eastAsia="黑体"/>
          <w:b w:val="0"/>
        </w:rPr>
        <w:t>政府性基金预算支出决算情况说明</w:t>
      </w:r>
      <w:bookmarkEnd w:id="47"/>
      <w:bookmarkEnd w:id="48"/>
      <w:bookmarkEnd w:id="49"/>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spacing w:line="600" w:lineRule="exact"/>
        <w:ind w:firstLine="640"/>
        <w:rPr>
          <w:rFonts w:ascii="仿宋_GB2312"/>
          <w:color w:val="000000"/>
          <w:szCs w:val="32"/>
        </w:rPr>
      </w:pPr>
    </w:p>
    <w:p>
      <w:pPr>
        <w:numPr>
          <w:ilvl w:val="0"/>
          <w:numId w:val="3"/>
        </w:numPr>
        <w:spacing w:line="600" w:lineRule="exact"/>
        <w:ind w:firstLine="640"/>
        <w:outlineLvl w:val="1"/>
        <w:rPr>
          <w:rStyle w:val="16"/>
          <w:rFonts w:ascii="黑体" w:hAnsi="黑体" w:eastAsia="黑体"/>
          <w:b w:val="0"/>
        </w:rPr>
      </w:pPr>
      <w:bookmarkStart w:id="50" w:name="_Toc15377219"/>
      <w:bookmarkStart w:id="51" w:name="_Toc15396611"/>
      <w:bookmarkStart w:id="52" w:name="_Toc10775"/>
      <w:r>
        <w:rPr>
          <w:rStyle w:val="16"/>
          <w:rFonts w:hint="eastAsia" w:ascii="黑体" w:hAnsi="黑体" w:eastAsia="黑体"/>
          <w:b w:val="0"/>
        </w:rPr>
        <w:t>国有资本经营预算支出决算情况说明</w:t>
      </w:r>
      <w:bookmarkEnd w:id="50"/>
      <w:bookmarkEnd w:id="51"/>
      <w:bookmarkEnd w:id="52"/>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6"/>
          <w:rFonts w:ascii="黑体" w:hAnsi="黑体" w:eastAsia="黑体"/>
        </w:rPr>
      </w:pPr>
      <w:bookmarkStart w:id="53" w:name="_Toc15377221"/>
      <w:bookmarkStart w:id="54" w:name="_Toc15396612"/>
      <w:bookmarkStart w:id="55" w:name="_Toc738"/>
      <w:r>
        <w:rPr>
          <w:rFonts w:hint="eastAsia" w:ascii="黑体" w:hAnsi="黑体" w:eastAsia="黑体"/>
          <w:color w:val="000000"/>
          <w:szCs w:val="32"/>
        </w:rPr>
        <w:t>十</w:t>
      </w:r>
      <w:r>
        <w:rPr>
          <w:rStyle w:val="16"/>
          <w:rFonts w:hint="eastAsia" w:ascii="黑体" w:hAnsi="黑体" w:eastAsia="黑体"/>
        </w:rPr>
        <w:t>、</w:t>
      </w:r>
      <w:r>
        <w:rPr>
          <w:rStyle w:val="16"/>
          <w:rFonts w:hint="eastAsia" w:ascii="黑体" w:hAnsi="黑体" w:eastAsia="黑体"/>
          <w:b w:val="0"/>
        </w:rPr>
        <w:t>其他重要事项的情况说明</w:t>
      </w:r>
      <w:bookmarkEnd w:id="53"/>
      <w:bookmarkEnd w:id="54"/>
      <w:bookmarkEnd w:id="55"/>
    </w:p>
    <w:p>
      <w:pPr>
        <w:spacing w:line="600" w:lineRule="exact"/>
        <w:ind w:firstLine="643" w:firstLineChars="200"/>
        <w:outlineLvl w:val="2"/>
        <w:rPr>
          <w:rFonts w:ascii="仿宋" w:hAnsi="仿宋" w:eastAsia="仿宋"/>
          <w:color w:val="000000"/>
          <w:szCs w:val="32"/>
        </w:rPr>
      </w:pPr>
      <w:bookmarkStart w:id="56" w:name="_Toc15377222"/>
      <w:r>
        <w:rPr>
          <w:rFonts w:hint="eastAsia" w:ascii="仿宋" w:hAnsi="仿宋" w:eastAsia="仿宋"/>
          <w:b/>
          <w:color w:val="000000"/>
          <w:szCs w:val="32"/>
        </w:rPr>
        <w:t>（一）机关运行经费支出情况</w:t>
      </w:r>
      <w:bookmarkEnd w:id="56"/>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w:t>
      </w:r>
      <w:r>
        <w:rPr>
          <w:rFonts w:hint="eastAsia" w:ascii="仿宋_GB2312"/>
          <w:color w:val="000000"/>
          <w:szCs w:val="32"/>
          <w:lang w:val="en-US" w:eastAsia="zh-CN"/>
        </w:rPr>
        <w:t>我校为事业单位无</w:t>
      </w:r>
      <w:r>
        <w:rPr>
          <w:rFonts w:hint="eastAsia" w:ascii="仿宋_GB2312"/>
          <w:color w:val="000000"/>
          <w:szCs w:val="32"/>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7" w:name="_Toc15377223"/>
      <w:r>
        <w:rPr>
          <w:rFonts w:hint="eastAsia" w:ascii="仿宋" w:hAnsi="仿宋" w:eastAsia="仿宋"/>
          <w:b/>
          <w:color w:val="000000"/>
          <w:szCs w:val="32"/>
        </w:rPr>
        <w:t>（二）政府采购支出情况</w:t>
      </w:r>
      <w:bookmarkEnd w:id="57"/>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年，自贡市托幼中心政府采购支出总额0万元，其中：政府采购货物支出0万元、政府采购工程支出0万元、政府采购服务支出0万元。授予中小企业合同金额0万元，占政府采购支出总额的0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8" w:name="_Toc15377224"/>
      <w:r>
        <w:rPr>
          <w:rFonts w:hint="eastAsia" w:ascii="仿宋" w:hAnsi="仿宋" w:eastAsia="仿宋"/>
          <w:b/>
          <w:color w:val="000000"/>
          <w:szCs w:val="32"/>
        </w:rPr>
        <w:t>（三）国有资产占有使用情况</w:t>
      </w:r>
      <w:bookmarkEnd w:id="58"/>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w:t>
      </w:r>
      <w:r>
        <w:rPr>
          <w:rFonts w:ascii="仿宋_GB2312"/>
          <w:color w:val="000000"/>
          <w:szCs w:val="32"/>
        </w:rPr>
        <w:t>托幼中心</w:t>
      </w:r>
      <w:r>
        <w:rPr>
          <w:rFonts w:hint="eastAsia" w:ascii="仿宋_GB2312"/>
          <w:color w:val="000000"/>
          <w:szCs w:val="32"/>
        </w:rPr>
        <w:t>共有车辆0辆，其中：主要领导干部用车0辆、机要通信用车0辆、应急保障用车</w:t>
      </w:r>
      <w:r>
        <w:rPr>
          <w:rFonts w:hint="eastAsia" w:ascii="仿宋_GB2312"/>
          <w:color w:val="000000"/>
          <w:szCs w:val="32"/>
          <w:lang w:val="en-US" w:eastAsia="zh-CN"/>
        </w:rPr>
        <w:t>0</w:t>
      </w:r>
      <w:r>
        <w:rPr>
          <w:rFonts w:hint="eastAsia" w:ascii="仿宋_GB2312"/>
          <w:color w:val="000000"/>
          <w:szCs w:val="32"/>
        </w:rPr>
        <w:t>辆、其他用车0辆</w:t>
      </w:r>
      <w:r>
        <w:rPr>
          <w:rFonts w:hint="eastAsia" w:ascii="仿宋_GB2312"/>
          <w:color w:val="000000"/>
          <w:szCs w:val="32"/>
          <w:lang w:eastAsia="zh-CN"/>
        </w:rPr>
        <w:t>，</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pStyle w:val="19"/>
        <w:autoSpaceDE w:val="0"/>
        <w:spacing w:line="600" w:lineRule="exact"/>
        <w:ind w:firstLine="640" w:firstLineChars="200"/>
        <w:jc w:val="left"/>
        <w:outlineLvl w:val="2"/>
      </w:pPr>
      <w:bookmarkStart w:id="59" w:name="_Toc15377226"/>
      <w:bookmarkStart w:id="90" w:name="_GoBack"/>
      <w:bookmarkEnd w:id="90"/>
      <w:r>
        <w:rPr>
          <w:rFonts w:ascii="仿宋" w:hAnsi="仿宋" w:eastAsia="仿宋"/>
          <w:color w:val="000000"/>
          <w:szCs w:val="32"/>
        </w:rPr>
        <w:t>自贡市托幼中心</w:t>
      </w:r>
      <w:r>
        <w:rPr>
          <w:rFonts w:ascii="仿宋_GB2312" w:hAnsi="仿宋_GB2312" w:eastAsia="仿宋" w:cs="仿宋_GB2312"/>
          <w:color w:val="000000"/>
          <w:szCs w:val="32"/>
        </w:rPr>
        <w:t>无专项预算项目，因此未组织开展项目支出绩效评价</w:t>
      </w:r>
      <w:r>
        <w:rPr>
          <w:rFonts w:ascii="仿宋_GB2312" w:hAnsi="仿宋_GB2312" w:cs="仿宋_GB2312"/>
          <w:color w:val="000000"/>
          <w:szCs w:val="32"/>
        </w:rPr>
        <w:t>，</w:t>
      </w:r>
      <w:r>
        <w:rPr>
          <w:rFonts w:ascii="仿宋_GB2312" w:hAnsi="仿宋_GB2312" w:eastAsia="仿宋" w:cs="仿宋_GB2312"/>
          <w:color w:val="000000"/>
          <w:szCs w:val="32"/>
        </w:rPr>
        <w:t>本部门未组织开展项目支出绩效评价。</w:t>
      </w:r>
    </w:p>
    <w:p>
      <w:pPr>
        <w:pStyle w:val="19"/>
        <w:autoSpaceDE w:val="0"/>
        <w:spacing w:line="600" w:lineRule="exact"/>
        <w:ind w:firstLine="640" w:firstLineChars="200"/>
        <w:jc w:val="left"/>
        <w:outlineLvl w:val="2"/>
        <w:rPr>
          <w:rFonts w:hint="eastAsia" w:ascii="楷体_GB2312" w:hAnsi="楷体_GB2312" w:eastAsia="楷体_GB2312" w:cs="楷体_GB2312"/>
          <w:szCs w:val="32"/>
          <w:lang w:eastAsia="zh-CN"/>
        </w:rPr>
      </w:pPr>
      <w:r>
        <w:rPr>
          <w:rFonts w:ascii="楷体_GB2312" w:hAnsi="楷体_GB2312" w:eastAsia="楷体_GB2312" w:cs="楷体_GB2312"/>
          <w:szCs w:val="32"/>
        </w:rPr>
        <w:t>1.项目绩效目标完成情况。无</w:t>
      </w:r>
    </w:p>
    <w:p>
      <w:pPr>
        <w:pStyle w:val="19"/>
        <w:autoSpaceDE w:val="0"/>
        <w:spacing w:line="600" w:lineRule="exact"/>
        <w:ind w:firstLine="640" w:firstLineChars="200"/>
        <w:jc w:val="left"/>
        <w:outlineLvl w:val="2"/>
      </w:pPr>
      <w:r>
        <w:rPr>
          <w:rFonts w:ascii="楷体_GB2312" w:hAnsi="楷体_GB2312" w:eastAsia="楷体_GB2312" w:cs="楷体_GB2312"/>
          <w:szCs w:val="32"/>
        </w:rPr>
        <w:t>2.部门绩效评价结果。无</w:t>
      </w:r>
    </w:p>
    <w:p>
      <w:pPr>
        <w:pStyle w:val="19"/>
        <w:spacing w:line="580" w:lineRule="exact"/>
        <w:ind w:left="630"/>
        <w:rPr>
          <w:rFonts w:ascii="楷体_GB2312" w:hAnsi="楷体_GB2312" w:eastAsia="楷体_GB2312" w:cs="楷体_GB2312"/>
          <w:szCs w:val="32"/>
        </w:rPr>
      </w:pPr>
    </w:p>
    <w:p>
      <w:pPr>
        <w:pStyle w:val="19"/>
        <w:spacing w:line="580" w:lineRule="exact"/>
        <w:rPr>
          <w:rFonts w:ascii="楷体_GB2312" w:hAnsi="楷体_GB2312" w:eastAsia="楷体_GB2312" w:cs="楷体_GB2312"/>
          <w:szCs w:val="32"/>
        </w:rPr>
      </w:pPr>
    </w:p>
    <w:p>
      <w:pPr>
        <w:pStyle w:val="10"/>
        <w:spacing w:line="601" w:lineRule="atLeast"/>
        <w:jc w:val="center"/>
      </w:pPr>
      <w:r>
        <w:rPr>
          <w:rFonts w:ascii="黑体" w:hAnsi="黑体" w:eastAsia="黑体"/>
          <w:color w:val="000000"/>
          <w:sz w:val="44"/>
        </w:rPr>
        <w:t>三、名词解释</w:t>
      </w:r>
    </w:p>
    <w:p>
      <w:pPr>
        <w:pStyle w:val="10"/>
        <w:spacing w:line="562" w:lineRule="atLeast"/>
        <w:ind w:firstLine="640" w:firstLineChars="200"/>
      </w:pPr>
      <w:r>
        <w:rPr>
          <w:rFonts w:ascii="仿宋_GB2312" w:hAnsi="仿宋_GB2312" w:eastAsia="仿宋_GB2312"/>
          <w:color w:val="000000"/>
          <w:sz w:val="32"/>
        </w:rPr>
        <w:t>1</w:t>
      </w:r>
      <w:r>
        <w:rPr>
          <w:rFonts w:ascii="仿宋_GB2312" w:hAnsi="仿宋_GB2312" w:eastAsia="仿宋_GB2312" w:cs="宋体"/>
          <w:color w:val="000000"/>
          <w:sz w:val="32"/>
        </w:rPr>
        <w:t>、</w:t>
      </w:r>
      <w:r>
        <w:rPr>
          <w:rFonts w:ascii="仿宋_GB2312" w:hAnsi="仿宋_GB2312" w:eastAsia="仿宋_GB2312"/>
          <w:color w:val="000000"/>
          <w:sz w:val="32"/>
        </w:rPr>
        <w:t>财政拨款收入：指单位从同级财政部门取得的财政预算资金。</w:t>
      </w:r>
    </w:p>
    <w:p>
      <w:pPr>
        <w:pStyle w:val="10"/>
        <w:spacing w:line="562" w:lineRule="atLeast"/>
        <w:ind w:firstLine="640" w:firstLineChars="200"/>
      </w:pPr>
      <w:r>
        <w:rPr>
          <w:rFonts w:ascii="仿宋_GB2312" w:hAnsi="仿宋_GB2312" w:eastAsia="仿宋_GB2312"/>
          <w:color w:val="000000"/>
          <w:sz w:val="32"/>
        </w:rPr>
        <w:t>2</w:t>
      </w:r>
      <w:r>
        <w:rPr>
          <w:rFonts w:ascii="仿宋_GB2312" w:hAnsi="仿宋_GB2312" w:eastAsia="仿宋_GB2312" w:cs="宋体"/>
          <w:color w:val="000000"/>
          <w:sz w:val="32"/>
        </w:rPr>
        <w:t>、</w:t>
      </w:r>
      <w:r>
        <w:rPr>
          <w:rFonts w:ascii="仿宋_GB2312" w:hAnsi="仿宋_GB2312" w:eastAsia="仿宋_GB2312"/>
          <w:color w:val="000000"/>
          <w:sz w:val="32"/>
        </w:rPr>
        <w:t>事业收入：指事业单位开展专业业务活动及辅助活动取得的收入。如遗体接运、遗体火化、骨灰寄存等。</w:t>
      </w:r>
    </w:p>
    <w:p>
      <w:pPr>
        <w:pStyle w:val="10"/>
        <w:spacing w:line="562" w:lineRule="atLeast"/>
        <w:ind w:firstLine="640" w:firstLineChars="200"/>
      </w:pPr>
      <w:r>
        <w:rPr>
          <w:rFonts w:ascii="仿宋_GB2312" w:hAnsi="仿宋_GB2312" w:eastAsia="仿宋_GB2312"/>
          <w:color w:val="000000"/>
          <w:sz w:val="32"/>
        </w:rPr>
        <w:t>3</w:t>
      </w:r>
      <w:r>
        <w:rPr>
          <w:rFonts w:ascii="仿宋_GB2312" w:hAnsi="仿宋_GB2312" w:eastAsia="仿宋_GB2312" w:cs="宋体"/>
          <w:color w:val="000000"/>
          <w:sz w:val="32"/>
        </w:rPr>
        <w:t>、</w:t>
      </w:r>
      <w:r>
        <w:rPr>
          <w:rFonts w:ascii="仿宋_GB2312" w:hAnsi="仿宋_GB2312" w:eastAsia="仿宋_GB2312"/>
          <w:color w:val="000000"/>
          <w:sz w:val="32"/>
        </w:rPr>
        <w:t>经营收入：指事业单位在专业业务活动及其辅助活动之外开展非独立核算经营活动取得的收入。如遗体冷藏、礼仪服务、丧葬用品服务、告别、整容、鲜花服务等。</w:t>
      </w:r>
    </w:p>
    <w:p>
      <w:pPr>
        <w:pStyle w:val="10"/>
        <w:spacing w:line="562" w:lineRule="atLeast"/>
        <w:ind w:firstLine="640" w:firstLineChars="200"/>
      </w:pPr>
      <w:r>
        <w:rPr>
          <w:rFonts w:ascii="仿宋_GB2312" w:hAnsi="仿宋_GB2312" w:eastAsia="仿宋_GB2312"/>
          <w:color w:val="000000"/>
          <w:sz w:val="32"/>
        </w:rPr>
        <w:t>4</w:t>
      </w:r>
      <w:r>
        <w:rPr>
          <w:rFonts w:ascii="仿宋_GB2312" w:hAnsi="仿宋_GB2312" w:eastAsia="仿宋_GB2312" w:cs="宋体"/>
          <w:color w:val="000000"/>
          <w:sz w:val="32"/>
        </w:rPr>
        <w:t>、</w:t>
      </w:r>
      <w:r>
        <w:rPr>
          <w:rFonts w:ascii="仿宋_GB2312" w:hAnsi="仿宋_GB2312" w:eastAsia="仿宋_GB2312"/>
          <w:color w:val="000000"/>
          <w:sz w:val="32"/>
        </w:rPr>
        <w:t xml:space="preserve">其他收入：指单位取得的除上述收入以外的各项收入。 </w:t>
      </w:r>
    </w:p>
    <w:p>
      <w:pPr>
        <w:pStyle w:val="10"/>
        <w:spacing w:line="562" w:lineRule="atLeast"/>
        <w:ind w:firstLine="640" w:firstLineChars="200"/>
      </w:pPr>
      <w:r>
        <w:rPr>
          <w:rFonts w:ascii="仿宋_GB2312" w:hAnsi="仿宋_GB2312" w:eastAsia="仿宋_GB2312"/>
          <w:color w:val="000000"/>
          <w:sz w:val="32"/>
        </w:rPr>
        <w:t>5</w:t>
      </w:r>
      <w:r>
        <w:rPr>
          <w:rFonts w:ascii="仿宋_GB2312" w:hAnsi="仿宋_GB2312" w:eastAsia="仿宋_GB2312" w:cs="宋体"/>
          <w:color w:val="000000"/>
          <w:sz w:val="32"/>
        </w:rPr>
        <w:t>、</w:t>
      </w:r>
      <w:r>
        <w:rPr>
          <w:rFonts w:ascii="仿宋_GB2312" w:hAnsi="仿宋_GB2312" w:eastAsia="仿宋_GB2312"/>
          <w:color w:val="000000"/>
          <w:sz w:val="32"/>
        </w:rPr>
        <w:t xml:space="preserve">使用非财政拨款结余：指事业单位使用以前年度积累的非财政拨款结余弥补当年收支差额的金额。 </w:t>
      </w:r>
    </w:p>
    <w:p>
      <w:pPr>
        <w:pStyle w:val="10"/>
        <w:spacing w:line="562" w:lineRule="atLeast"/>
        <w:ind w:firstLine="640" w:firstLineChars="200"/>
      </w:pPr>
      <w:r>
        <w:rPr>
          <w:rFonts w:ascii="仿宋_GB2312" w:hAnsi="仿宋_GB2312" w:eastAsia="仿宋_GB2312"/>
          <w:color w:val="000000"/>
          <w:sz w:val="32"/>
        </w:rPr>
        <w:t>6</w:t>
      </w:r>
      <w:r>
        <w:rPr>
          <w:rFonts w:ascii="仿宋_GB2312" w:hAnsi="仿宋_GB2312" w:eastAsia="仿宋_GB2312" w:cs="宋体"/>
          <w:color w:val="000000"/>
          <w:sz w:val="32"/>
        </w:rPr>
        <w:t>、</w:t>
      </w:r>
      <w:r>
        <w:rPr>
          <w:rFonts w:ascii="仿宋_GB2312" w:hAnsi="仿宋_GB2312" w:eastAsia="仿宋_GB2312"/>
          <w:color w:val="000000"/>
          <w:sz w:val="32"/>
        </w:rPr>
        <w:t xml:space="preserve">年初结转和结余：指以前年度尚未完成、结转到本年按有关规定继续使用的资金。 </w:t>
      </w:r>
    </w:p>
    <w:p>
      <w:pPr>
        <w:pStyle w:val="10"/>
        <w:spacing w:line="562" w:lineRule="atLeast"/>
        <w:ind w:firstLine="640" w:firstLineChars="200"/>
      </w:pPr>
      <w:r>
        <w:rPr>
          <w:rFonts w:ascii="仿宋_GB2312" w:hAnsi="仿宋_GB2312" w:eastAsia="仿宋_GB2312"/>
          <w:color w:val="000000"/>
          <w:sz w:val="32"/>
        </w:rPr>
        <w:t>7</w:t>
      </w:r>
      <w:r>
        <w:rPr>
          <w:rFonts w:ascii="仿宋_GB2312" w:hAnsi="仿宋_GB2312" w:eastAsia="仿宋_GB2312" w:cs="宋体"/>
          <w:color w:val="000000"/>
          <w:sz w:val="32"/>
        </w:rPr>
        <w:t>、</w:t>
      </w:r>
      <w:r>
        <w:rPr>
          <w:rFonts w:ascii="仿宋_GB2312" w:hAnsi="仿宋_GB2312" w:eastAsia="仿宋_GB2312"/>
          <w:color w:val="000000"/>
          <w:sz w:val="32"/>
        </w:rPr>
        <w:t>结余分配：指事业单位按照会计制度规定缴纳的所得税、提取的专用结余以及转入非财政拨款结余的金额等。</w:t>
      </w:r>
    </w:p>
    <w:p>
      <w:pPr>
        <w:pStyle w:val="10"/>
        <w:spacing w:line="562" w:lineRule="atLeast"/>
        <w:ind w:firstLine="640" w:firstLineChars="200"/>
      </w:pPr>
      <w:r>
        <w:rPr>
          <w:rFonts w:ascii="仿宋_GB2312" w:hAnsi="仿宋_GB2312" w:eastAsia="仿宋_GB2312"/>
          <w:color w:val="000000"/>
          <w:sz w:val="32"/>
        </w:rPr>
        <w:t>8、年末结转和结余：指单位按有关规定结转到下年或以后年度继续使用的资金。</w:t>
      </w:r>
    </w:p>
    <w:p>
      <w:pPr>
        <w:pStyle w:val="10"/>
      </w:pPr>
    </w:p>
    <w:p>
      <w:pPr>
        <w:pStyle w:val="10"/>
        <w:spacing w:line="601" w:lineRule="atLeast"/>
        <w:ind w:firstLine="640" w:firstLineChars="200"/>
        <w:rPr>
          <w:color w:val="000000"/>
        </w:rPr>
      </w:pPr>
      <w:r>
        <w:rPr>
          <w:rFonts w:ascii="仿宋" w:hAnsi="仿宋" w:eastAsia="仿宋" w:cs="宋体"/>
          <w:color w:val="000000"/>
          <w:sz w:val="32"/>
        </w:rPr>
        <w:t>9、</w:t>
      </w:r>
      <w:r>
        <w:rPr>
          <w:rFonts w:ascii="仿宋" w:hAnsi="仿宋" w:eastAsia="仿宋"/>
          <w:color w:val="000000"/>
          <w:sz w:val="32"/>
        </w:rPr>
        <w:t>社会保障和就业（类）</w:t>
      </w:r>
      <w:r>
        <w:rPr>
          <w:rFonts w:ascii="仿宋" w:hAnsi="仿宋" w:eastAsia="仿宋" w:cs="宋体"/>
          <w:color w:val="000000"/>
          <w:sz w:val="32"/>
        </w:rPr>
        <w:t>行政事业单位养老支出</w:t>
      </w:r>
      <w:r>
        <w:rPr>
          <w:rFonts w:ascii="仿宋" w:hAnsi="仿宋" w:eastAsia="仿宋"/>
          <w:color w:val="000000"/>
          <w:sz w:val="32"/>
        </w:rPr>
        <w:t>（款）</w:t>
      </w:r>
      <w:r>
        <w:rPr>
          <w:rFonts w:ascii="仿宋" w:hAnsi="仿宋" w:eastAsia="仿宋" w:cs="宋体"/>
          <w:color w:val="000000"/>
          <w:sz w:val="32"/>
        </w:rPr>
        <w:t>事业单位离退休</w:t>
      </w:r>
      <w:r>
        <w:rPr>
          <w:rFonts w:ascii="仿宋" w:hAnsi="仿宋" w:eastAsia="仿宋"/>
          <w:color w:val="000000"/>
          <w:sz w:val="32"/>
        </w:rPr>
        <w:t xml:space="preserve">（项）: </w:t>
      </w:r>
      <w:r>
        <w:rPr>
          <w:rFonts w:ascii="仿宋" w:hAnsi="仿宋" w:eastAsia="仿宋" w:cs="宋体"/>
          <w:color w:val="000000"/>
          <w:sz w:val="32"/>
        </w:rPr>
        <w:t>反映支付的离退休经费</w:t>
      </w:r>
      <w:r>
        <w:rPr>
          <w:rFonts w:ascii="仿宋" w:hAnsi="仿宋" w:eastAsia="仿宋"/>
          <w:color w:val="000000"/>
          <w:sz w:val="32"/>
        </w:rPr>
        <w:t>。</w:t>
      </w:r>
    </w:p>
    <w:p>
      <w:pPr>
        <w:pStyle w:val="10"/>
        <w:spacing w:line="601" w:lineRule="atLeast"/>
        <w:ind w:firstLine="640" w:firstLineChars="200"/>
        <w:rPr>
          <w:color w:val="000000"/>
        </w:rPr>
      </w:pPr>
      <w:r>
        <w:rPr>
          <w:rFonts w:ascii="仿宋" w:hAnsi="仿宋" w:eastAsia="仿宋" w:cs="宋体"/>
          <w:color w:val="000000"/>
          <w:sz w:val="32"/>
        </w:rPr>
        <w:t>10、</w:t>
      </w:r>
      <w:r>
        <w:rPr>
          <w:rFonts w:ascii="仿宋" w:hAnsi="仿宋" w:eastAsia="仿宋"/>
          <w:color w:val="000000"/>
          <w:sz w:val="32"/>
        </w:rPr>
        <w:t>社会保障和就业（类）</w:t>
      </w:r>
      <w:r>
        <w:rPr>
          <w:rFonts w:ascii="仿宋" w:hAnsi="仿宋" w:eastAsia="仿宋" w:cs="宋体"/>
          <w:color w:val="000000"/>
          <w:sz w:val="32"/>
        </w:rPr>
        <w:t>行政事业单位养老支出</w:t>
      </w:r>
      <w:r>
        <w:rPr>
          <w:rFonts w:ascii="仿宋" w:hAnsi="仿宋" w:eastAsia="仿宋"/>
          <w:color w:val="000000"/>
          <w:sz w:val="32"/>
        </w:rPr>
        <w:t>（款）机关</w:t>
      </w:r>
      <w:r>
        <w:rPr>
          <w:rFonts w:ascii="仿宋" w:hAnsi="仿宋" w:eastAsia="仿宋" w:cs="宋体"/>
          <w:color w:val="000000"/>
          <w:sz w:val="32"/>
        </w:rPr>
        <w:t>事业单位基本养老保险缴费支出</w:t>
      </w:r>
      <w:r>
        <w:rPr>
          <w:rFonts w:ascii="仿宋" w:hAnsi="仿宋" w:eastAsia="仿宋"/>
          <w:color w:val="000000"/>
          <w:sz w:val="32"/>
        </w:rPr>
        <w:t>（项）: 反映</w:t>
      </w:r>
      <w:r>
        <w:rPr>
          <w:rFonts w:ascii="仿宋" w:hAnsi="仿宋" w:eastAsia="仿宋" w:cs="宋体"/>
          <w:color w:val="000000"/>
          <w:sz w:val="32"/>
        </w:rPr>
        <w:t>事业单位实施养老保险制度由单位缴纳的基本养老保险支出</w:t>
      </w:r>
      <w:r>
        <w:rPr>
          <w:rFonts w:ascii="仿宋" w:hAnsi="仿宋" w:eastAsia="仿宋"/>
          <w:color w:val="000000"/>
          <w:sz w:val="32"/>
        </w:rPr>
        <w:t>。</w:t>
      </w:r>
    </w:p>
    <w:p>
      <w:pPr>
        <w:pStyle w:val="10"/>
        <w:spacing w:line="601" w:lineRule="atLeast"/>
        <w:ind w:firstLine="640" w:firstLineChars="200"/>
        <w:rPr>
          <w:color w:val="000000"/>
        </w:rPr>
      </w:pPr>
      <w:r>
        <w:rPr>
          <w:rFonts w:ascii="仿宋" w:hAnsi="仿宋" w:eastAsia="仿宋" w:cs="宋体"/>
          <w:color w:val="000000"/>
          <w:sz w:val="32"/>
        </w:rPr>
        <w:t>11、</w:t>
      </w:r>
      <w:r>
        <w:rPr>
          <w:rFonts w:ascii="仿宋" w:hAnsi="仿宋" w:eastAsia="仿宋"/>
          <w:color w:val="000000"/>
          <w:sz w:val="32"/>
        </w:rPr>
        <w:t>社会保障和就业（类）</w:t>
      </w:r>
      <w:r>
        <w:rPr>
          <w:rFonts w:ascii="仿宋" w:hAnsi="仿宋" w:eastAsia="仿宋" w:cs="宋体"/>
          <w:color w:val="000000"/>
          <w:sz w:val="32"/>
        </w:rPr>
        <w:t>行政事业单位养老支出</w:t>
      </w:r>
      <w:r>
        <w:rPr>
          <w:rFonts w:ascii="仿宋" w:hAnsi="仿宋" w:eastAsia="仿宋"/>
          <w:color w:val="000000"/>
          <w:sz w:val="32"/>
        </w:rPr>
        <w:t>（款）机关</w:t>
      </w:r>
      <w:r>
        <w:rPr>
          <w:rFonts w:ascii="仿宋" w:hAnsi="仿宋" w:eastAsia="仿宋" w:cs="宋体"/>
          <w:color w:val="000000"/>
          <w:sz w:val="32"/>
        </w:rPr>
        <w:t>事业单位职业年金缴费支出</w:t>
      </w:r>
      <w:r>
        <w:rPr>
          <w:rFonts w:ascii="仿宋" w:hAnsi="仿宋" w:eastAsia="仿宋"/>
          <w:color w:val="000000"/>
          <w:sz w:val="32"/>
        </w:rPr>
        <w:t xml:space="preserve">（项）: </w:t>
      </w:r>
      <w:r>
        <w:rPr>
          <w:rFonts w:ascii="仿宋" w:hAnsi="仿宋" w:eastAsia="仿宋" w:cs="宋体"/>
          <w:color w:val="000000"/>
          <w:sz w:val="32"/>
        </w:rPr>
        <w:t>反映事业单位实施养老保险制度由单位实际缴纳的职业年金支出</w:t>
      </w:r>
      <w:r>
        <w:rPr>
          <w:rFonts w:ascii="仿宋" w:hAnsi="仿宋" w:eastAsia="仿宋"/>
          <w:color w:val="000000"/>
          <w:sz w:val="32"/>
        </w:rPr>
        <w:t>。</w:t>
      </w:r>
    </w:p>
    <w:p>
      <w:pPr>
        <w:spacing w:beforeAutospacing="1" w:afterAutospacing="1" w:line="600" w:lineRule="exact"/>
        <w:ind w:firstLine="640" w:firstLineChars="200"/>
        <w:rPr>
          <w:rFonts w:ascii="仿宋" w:hAnsi="仿宋" w:eastAsia="仿宋" w:cs="Times New Roman"/>
          <w:color w:val="000000"/>
          <w:kern w:val="0"/>
          <w:sz w:val="32"/>
          <w:szCs w:val="20"/>
          <w:lang w:val="en-US" w:eastAsia="zh-CN" w:bidi="ar-SA"/>
        </w:rPr>
      </w:pPr>
      <w:r>
        <w:rPr>
          <w:rFonts w:ascii="仿宋" w:hAnsi="仿宋" w:eastAsia="仿宋" w:cs="Times New Roman"/>
          <w:color w:val="000000"/>
          <w:kern w:val="0"/>
          <w:sz w:val="32"/>
          <w:szCs w:val="20"/>
          <w:lang w:val="en-US" w:eastAsia="zh-CN" w:bidi="ar-SA"/>
        </w:rPr>
        <w:t>12、 社会保障和就业（类）抚恤（款）死亡抚恤（项）:反映按规定用于烈士和牺牲、病故人员家属的一次性和定期抚恤金以及丧葬补助费。</w:t>
      </w:r>
    </w:p>
    <w:p>
      <w:pPr>
        <w:pStyle w:val="10"/>
        <w:spacing w:line="601" w:lineRule="atLeast"/>
        <w:ind w:firstLine="640" w:firstLineChars="200"/>
        <w:rPr>
          <w:rFonts w:ascii="仿宋" w:hAnsi="仿宋" w:eastAsia="仿宋" w:cs="Times New Roman"/>
          <w:color w:val="000000"/>
          <w:kern w:val="0"/>
          <w:sz w:val="32"/>
          <w:szCs w:val="20"/>
          <w:lang w:val="en-US" w:eastAsia="zh-CN" w:bidi="ar-SA"/>
        </w:rPr>
      </w:pPr>
      <w:r>
        <w:rPr>
          <w:rFonts w:ascii="仿宋" w:hAnsi="仿宋" w:eastAsia="仿宋" w:cs="Times New Roman"/>
          <w:color w:val="000000"/>
          <w:kern w:val="0"/>
          <w:sz w:val="32"/>
          <w:szCs w:val="20"/>
          <w:lang w:val="en-US" w:eastAsia="zh-CN" w:bidi="ar-SA"/>
        </w:rPr>
        <w:t>13、社会保障和就业（类）社会福利（款）殡葬（项）: 反映殡葬事业单位工资福利支出、商品服务支出、对个人和家庭的补助支出。</w:t>
      </w:r>
    </w:p>
    <w:p>
      <w:pPr>
        <w:pStyle w:val="10"/>
        <w:spacing w:line="601" w:lineRule="atLeast"/>
        <w:ind w:firstLine="640" w:firstLineChars="200"/>
      </w:pPr>
      <w:r>
        <w:rPr>
          <w:rFonts w:ascii="仿宋" w:hAnsi="仿宋" w:eastAsia="仿宋" w:cs="宋体"/>
          <w:color w:val="000000"/>
          <w:sz w:val="32"/>
        </w:rPr>
        <w:t>14、</w:t>
      </w:r>
      <w:r>
        <w:rPr>
          <w:rFonts w:ascii="仿宋" w:hAnsi="仿宋" w:eastAsia="仿宋"/>
          <w:color w:val="000000"/>
          <w:sz w:val="32"/>
        </w:rPr>
        <w:t>卫生健康（类）</w:t>
      </w:r>
      <w:r>
        <w:rPr>
          <w:rFonts w:ascii="仿宋" w:hAnsi="仿宋" w:eastAsia="仿宋" w:cs="宋体"/>
          <w:color w:val="000000"/>
          <w:sz w:val="32"/>
        </w:rPr>
        <w:t>行政事业单位医疗</w:t>
      </w:r>
      <w:r>
        <w:rPr>
          <w:rFonts w:ascii="仿宋" w:hAnsi="仿宋" w:eastAsia="仿宋"/>
          <w:color w:val="000000"/>
          <w:sz w:val="32"/>
        </w:rPr>
        <w:t>（款）</w:t>
      </w:r>
      <w:r>
        <w:rPr>
          <w:rFonts w:ascii="仿宋" w:hAnsi="仿宋" w:eastAsia="仿宋" w:cs="宋体"/>
          <w:color w:val="000000"/>
          <w:sz w:val="32"/>
        </w:rPr>
        <w:t>事业单位医疗</w:t>
      </w:r>
      <w:r>
        <w:rPr>
          <w:rFonts w:ascii="仿宋" w:hAnsi="仿宋" w:eastAsia="仿宋"/>
          <w:color w:val="000000"/>
          <w:sz w:val="32"/>
        </w:rPr>
        <w:t>（项）:</w:t>
      </w:r>
      <w:r>
        <w:rPr>
          <w:rFonts w:ascii="仿宋" w:hAnsi="仿宋" w:eastAsia="仿宋" w:cs="宋体"/>
          <w:color w:val="000000"/>
          <w:sz w:val="32"/>
        </w:rPr>
        <w:t>反映事业单位基本医疗保险缴费经费</w:t>
      </w:r>
      <w:r>
        <w:rPr>
          <w:rFonts w:ascii="仿宋" w:hAnsi="仿宋" w:eastAsia="仿宋"/>
          <w:color w:val="000000"/>
          <w:sz w:val="32"/>
        </w:rPr>
        <w:t>。</w:t>
      </w:r>
    </w:p>
    <w:p>
      <w:pPr>
        <w:pStyle w:val="10"/>
        <w:spacing w:line="601" w:lineRule="atLeast"/>
        <w:ind w:firstLine="640" w:firstLineChars="200"/>
      </w:pPr>
      <w:r>
        <w:rPr>
          <w:rFonts w:ascii="仿宋" w:hAnsi="仿宋" w:eastAsia="仿宋" w:cs="宋体"/>
          <w:color w:val="000000"/>
          <w:sz w:val="32"/>
        </w:rPr>
        <w:t>15、</w:t>
      </w:r>
      <w:r>
        <w:rPr>
          <w:rFonts w:ascii="仿宋" w:hAnsi="仿宋" w:eastAsia="仿宋"/>
          <w:color w:val="000000"/>
          <w:sz w:val="32"/>
        </w:rPr>
        <w:t>住房保障支出（类）</w:t>
      </w:r>
      <w:r>
        <w:rPr>
          <w:rFonts w:ascii="仿宋" w:hAnsi="仿宋" w:eastAsia="仿宋" w:cs="宋体"/>
          <w:color w:val="000000"/>
          <w:sz w:val="32"/>
        </w:rPr>
        <w:t>住房改革支出</w:t>
      </w:r>
      <w:r>
        <w:rPr>
          <w:rFonts w:ascii="仿宋" w:hAnsi="仿宋" w:eastAsia="仿宋"/>
          <w:color w:val="000000"/>
          <w:sz w:val="32"/>
        </w:rPr>
        <w:t>（款）</w:t>
      </w:r>
      <w:r>
        <w:rPr>
          <w:rFonts w:ascii="仿宋" w:hAnsi="仿宋" w:eastAsia="仿宋" w:cs="宋体"/>
          <w:color w:val="000000"/>
          <w:sz w:val="32"/>
        </w:rPr>
        <w:t>住房公积金</w:t>
      </w:r>
      <w:r>
        <w:rPr>
          <w:rFonts w:ascii="仿宋" w:hAnsi="仿宋" w:eastAsia="仿宋"/>
          <w:color w:val="000000"/>
          <w:sz w:val="32"/>
        </w:rPr>
        <w:t>（项）:</w:t>
      </w:r>
      <w:r>
        <w:rPr>
          <w:rFonts w:ascii="仿宋" w:hAnsi="仿宋" w:eastAsia="仿宋" w:cs="宋体"/>
          <w:color w:val="000000"/>
          <w:sz w:val="32"/>
        </w:rPr>
        <w:t>反映按规定比例为职工缴纳的住房公积金。</w:t>
      </w:r>
    </w:p>
    <w:p>
      <w:pPr>
        <w:pStyle w:val="10"/>
        <w:ind w:firstLine="640" w:firstLineChars="200"/>
        <w:rPr>
          <w:rFonts w:ascii="仿宋" w:hAnsi="仿宋" w:eastAsia="仿宋" w:cs="宋体"/>
          <w:color w:val="000000"/>
          <w:sz w:val="32"/>
        </w:rPr>
      </w:pPr>
      <w:r>
        <w:rPr>
          <w:rFonts w:ascii="仿宋" w:hAnsi="仿宋" w:eastAsia="仿宋" w:cs="宋体"/>
          <w:color w:val="000000"/>
          <w:sz w:val="32"/>
        </w:rPr>
        <w:t>16、基本支出：指为保障机构正常运转、完成日常工作任务而发生的人员支出和公用支出。</w:t>
      </w:r>
    </w:p>
    <w:p>
      <w:pPr>
        <w:pStyle w:val="10"/>
        <w:ind w:firstLine="640" w:firstLineChars="200"/>
        <w:rPr>
          <w:rFonts w:ascii="仿宋" w:hAnsi="仿宋" w:eastAsia="仿宋" w:cs="宋体"/>
          <w:color w:val="000000"/>
          <w:sz w:val="32"/>
        </w:rPr>
      </w:pPr>
      <w:r>
        <w:rPr>
          <w:rFonts w:ascii="仿宋" w:hAnsi="仿宋" w:eastAsia="仿宋" w:cs="宋体"/>
          <w:color w:val="000000"/>
          <w:sz w:val="32"/>
        </w:rPr>
        <w:t xml:space="preserve">17、项目支出：指在基本支出之外为完成特定行政任务和事业发展目标所发生的支出。 </w:t>
      </w:r>
    </w:p>
    <w:p>
      <w:pPr>
        <w:pStyle w:val="10"/>
        <w:ind w:firstLine="640" w:firstLineChars="200"/>
        <w:rPr>
          <w:rFonts w:ascii="仿宋" w:hAnsi="仿宋" w:eastAsia="仿宋" w:cs="宋体"/>
          <w:color w:val="000000"/>
          <w:sz w:val="32"/>
        </w:rPr>
      </w:pPr>
      <w:r>
        <w:rPr>
          <w:rFonts w:ascii="仿宋" w:hAnsi="仿宋" w:eastAsia="仿宋" w:cs="宋体"/>
          <w:color w:val="000000"/>
          <w:sz w:val="32"/>
        </w:rPr>
        <w:t>18、经营支出：指事业单位在专业业务活动及其辅助活动之外开展非独立核算经营活动发生的支出。</w:t>
      </w:r>
    </w:p>
    <w:p>
      <w:pPr>
        <w:pStyle w:val="10"/>
        <w:ind w:firstLine="640" w:firstLineChars="200"/>
        <w:rPr>
          <w:rFonts w:ascii="仿宋" w:hAnsi="仿宋" w:eastAsia="仿宋" w:cs="宋体"/>
          <w:color w:val="000000"/>
          <w:sz w:val="32"/>
        </w:rPr>
      </w:pPr>
      <w:r>
        <w:rPr>
          <w:rFonts w:ascii="仿宋" w:hAnsi="仿宋" w:eastAsia="仿宋" w:cs="宋体"/>
          <w:color w:val="000000"/>
          <w:sz w:val="32"/>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0"/>
        <w:spacing w:line="562" w:lineRule="atLeast"/>
        <w:ind w:firstLine="640" w:firstLineChars="200"/>
      </w:pPr>
      <w:r>
        <w:rPr>
          <w:rFonts w:ascii="仿宋_GB2312" w:hAnsi="仿宋_GB2312" w:eastAsia="仿宋_GB2312" w:cs="宋体"/>
          <w:color w:val="000000"/>
          <w:sz w:val="32"/>
        </w:rPr>
        <w:t>20、</w:t>
      </w:r>
      <w:r>
        <w:rPr>
          <w:rFonts w:ascii="仿宋_GB2312" w:hAnsi="仿宋_GB2312" w:eastAsia="仿宋_GB2312"/>
          <w:color w:val="000000"/>
          <w:sz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0"/>
        <w:rPr>
          <w:color w:val="000000"/>
        </w:rPr>
      </w:pPr>
    </w:p>
    <w:p>
      <w:pPr>
        <w:pStyle w:val="19"/>
        <w:spacing w:line="600" w:lineRule="exact"/>
        <w:jc w:val="center"/>
        <w:outlineLvl w:val="0"/>
      </w:pPr>
      <w:bookmarkStart w:id="60" w:name="_Toc15396614"/>
      <w:bookmarkStart w:id="61" w:name="_Toc11207"/>
      <w:r>
        <w:rPr>
          <w:rFonts w:ascii="黑体" w:hAnsi="黑体" w:eastAsia="黑体"/>
          <w:color w:val="000000"/>
          <w:sz w:val="44"/>
          <w:szCs w:val="44"/>
        </w:rPr>
        <w:t>第</w:t>
      </w:r>
      <w:r>
        <w:rPr>
          <w:rStyle w:val="23"/>
          <w:rFonts w:ascii="黑体" w:hAnsi="黑体" w:eastAsia="黑体"/>
        </w:rPr>
        <w:t>四部分 附件</w:t>
      </w:r>
      <w:bookmarkEnd w:id="60"/>
      <w:bookmarkEnd w:id="61"/>
    </w:p>
    <w:p>
      <w:pPr>
        <w:pStyle w:val="19"/>
        <w:spacing w:line="580" w:lineRule="exact"/>
        <w:ind w:left="630"/>
        <w:rPr>
          <w:rFonts w:ascii="楷体_GB2312" w:hAnsi="楷体_GB2312" w:eastAsia="楷体_GB2312" w:cs="楷体_GB2312"/>
          <w:szCs w:val="32"/>
        </w:rPr>
      </w:pPr>
      <w:r>
        <w:rPr>
          <w:rFonts w:ascii="楷体_GB2312" w:hAnsi="楷体_GB2312" w:eastAsia="楷体_GB2312" w:cs="楷体_GB2312"/>
          <w:szCs w:val="32"/>
        </w:rPr>
        <w:t>无</w:t>
      </w:r>
    </w:p>
    <w:p>
      <w:pPr>
        <w:widowControl/>
        <w:jc w:val="center"/>
        <w:rPr>
          <w:rStyle w:val="15"/>
          <w:rFonts w:ascii="黑体" w:hAnsi="黑体" w:eastAsia="黑体"/>
          <w:b w:val="0"/>
        </w:rPr>
      </w:pPr>
      <w:r>
        <w:rPr>
          <w:rStyle w:val="15"/>
          <w:rFonts w:ascii="黑体" w:hAnsi="黑体" w:eastAsia="黑体"/>
          <w:b w:val="0"/>
        </w:rPr>
        <w:br w:type="page"/>
      </w:r>
      <w:bookmarkStart w:id="62" w:name="_Toc32283"/>
      <w:bookmarkStart w:id="63" w:name="_Toc15396618"/>
      <w:r>
        <w:rPr>
          <w:rFonts w:hint="eastAsia" w:ascii="黑体" w:hAnsi="黑体" w:eastAsia="黑体"/>
          <w:color w:val="000000"/>
          <w:sz w:val="44"/>
          <w:szCs w:val="44"/>
        </w:rPr>
        <w:t>第</w:t>
      </w:r>
      <w:r>
        <w:rPr>
          <w:rStyle w:val="15"/>
          <w:rFonts w:hint="eastAsia" w:ascii="黑体" w:hAnsi="黑体" w:eastAsia="黑体"/>
          <w:b w:val="0"/>
        </w:rPr>
        <w:t>五部分附表</w:t>
      </w:r>
      <w:bookmarkEnd w:id="59"/>
      <w:bookmarkEnd w:id="62"/>
      <w:bookmarkEnd w:id="63"/>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4" w:name="_Toc15396619"/>
      <w:bookmarkStart w:id="65" w:name="_Toc15699"/>
      <w:r>
        <w:rPr>
          <w:rFonts w:hint="eastAsia" w:ascii="仿宋" w:hAnsi="仿宋" w:eastAsia="仿宋"/>
          <w:b w:val="0"/>
          <w:color w:val="000000"/>
        </w:rPr>
        <w:t>一、收</w:t>
      </w:r>
      <w:r>
        <w:rPr>
          <w:rStyle w:val="16"/>
          <w:rFonts w:hint="eastAsia" w:ascii="仿宋" w:hAnsi="仿宋" w:eastAsia="仿宋"/>
          <w:b w:val="0"/>
          <w:bCs w:val="0"/>
        </w:rPr>
        <w:t>入支出决算总表</w:t>
      </w:r>
      <w:bookmarkEnd w:id="64"/>
      <w:bookmarkEnd w:id="65"/>
    </w:p>
    <w:p>
      <w:pPr>
        <w:pStyle w:val="3"/>
        <w:rPr>
          <w:rFonts w:ascii="仿宋" w:hAnsi="仿宋" w:eastAsia="仿宋"/>
          <w:color w:val="000000"/>
        </w:rPr>
      </w:pPr>
      <w:bookmarkStart w:id="66" w:name="_Toc27106"/>
      <w:bookmarkStart w:id="67" w:name="_Toc15396620"/>
      <w:r>
        <w:rPr>
          <w:rFonts w:hint="eastAsia" w:ascii="仿宋" w:hAnsi="仿宋" w:eastAsia="仿宋"/>
          <w:b w:val="0"/>
          <w:color w:val="000000"/>
        </w:rPr>
        <w:t>二、收</w:t>
      </w:r>
      <w:r>
        <w:rPr>
          <w:rStyle w:val="16"/>
          <w:rFonts w:hint="eastAsia" w:ascii="仿宋" w:hAnsi="仿宋" w:eastAsia="仿宋"/>
          <w:b w:val="0"/>
          <w:bCs w:val="0"/>
        </w:rPr>
        <w:t>入决算表</w:t>
      </w:r>
      <w:bookmarkEnd w:id="66"/>
      <w:bookmarkEnd w:id="67"/>
    </w:p>
    <w:p>
      <w:pPr>
        <w:pStyle w:val="3"/>
        <w:rPr>
          <w:rFonts w:ascii="仿宋" w:hAnsi="仿宋" w:eastAsia="仿宋"/>
          <w:color w:val="000000"/>
        </w:rPr>
      </w:pPr>
      <w:bookmarkStart w:id="68" w:name="_Toc26817"/>
      <w:bookmarkStart w:id="69" w:name="_Toc15396621"/>
      <w:r>
        <w:rPr>
          <w:rStyle w:val="16"/>
          <w:rFonts w:hint="eastAsia" w:ascii="仿宋" w:hAnsi="仿宋" w:eastAsia="仿宋"/>
          <w:b w:val="0"/>
          <w:bCs w:val="0"/>
        </w:rPr>
        <w:t>三、</w:t>
      </w:r>
      <w:r>
        <w:rPr>
          <w:rFonts w:hint="eastAsia" w:ascii="仿宋" w:hAnsi="仿宋" w:eastAsia="仿宋"/>
          <w:b w:val="0"/>
          <w:color w:val="000000"/>
        </w:rPr>
        <w:t>支</w:t>
      </w:r>
      <w:r>
        <w:rPr>
          <w:rStyle w:val="16"/>
          <w:rFonts w:hint="eastAsia" w:ascii="仿宋" w:hAnsi="仿宋" w:eastAsia="仿宋"/>
          <w:b w:val="0"/>
          <w:bCs w:val="0"/>
        </w:rPr>
        <w:t>出决算表</w:t>
      </w:r>
      <w:bookmarkEnd w:id="68"/>
      <w:bookmarkEnd w:id="69"/>
    </w:p>
    <w:p>
      <w:pPr>
        <w:pStyle w:val="3"/>
        <w:rPr>
          <w:rFonts w:ascii="仿宋" w:hAnsi="仿宋" w:eastAsia="仿宋"/>
          <w:b w:val="0"/>
          <w:color w:val="000000"/>
        </w:rPr>
      </w:pPr>
      <w:bookmarkStart w:id="70" w:name="_Toc21747"/>
      <w:bookmarkStart w:id="71" w:name="_Toc15396622"/>
      <w:r>
        <w:rPr>
          <w:rStyle w:val="16"/>
          <w:rFonts w:hint="eastAsia" w:ascii="仿宋" w:hAnsi="仿宋" w:eastAsia="仿宋"/>
          <w:b w:val="0"/>
          <w:bCs w:val="0"/>
        </w:rPr>
        <w:t>四、</w:t>
      </w:r>
      <w:r>
        <w:rPr>
          <w:rFonts w:hint="eastAsia" w:ascii="仿宋" w:hAnsi="仿宋" w:eastAsia="仿宋"/>
          <w:b w:val="0"/>
          <w:color w:val="000000"/>
        </w:rPr>
        <w:t>财</w:t>
      </w:r>
      <w:r>
        <w:rPr>
          <w:rStyle w:val="16"/>
          <w:rFonts w:hint="eastAsia" w:ascii="仿宋" w:hAnsi="仿宋" w:eastAsia="仿宋"/>
          <w:b w:val="0"/>
          <w:bCs w:val="0"/>
        </w:rPr>
        <w:t>政拨款收入支出决算总表</w:t>
      </w:r>
      <w:bookmarkEnd w:id="70"/>
      <w:bookmarkEnd w:id="71"/>
    </w:p>
    <w:p>
      <w:pPr>
        <w:pStyle w:val="3"/>
        <w:rPr>
          <w:rStyle w:val="16"/>
          <w:rFonts w:ascii="仿宋" w:hAnsi="仿宋" w:eastAsia="仿宋"/>
          <w:b w:val="0"/>
          <w:bCs w:val="0"/>
        </w:rPr>
      </w:pPr>
      <w:bookmarkStart w:id="72" w:name="_Toc15396623"/>
      <w:bookmarkStart w:id="73" w:name="_Toc12959"/>
      <w:r>
        <w:rPr>
          <w:rStyle w:val="16"/>
          <w:rFonts w:hint="eastAsia" w:ascii="仿宋" w:hAnsi="仿宋" w:eastAsia="仿宋"/>
          <w:b w:val="0"/>
          <w:bCs w:val="0"/>
        </w:rPr>
        <w:t>五、</w:t>
      </w:r>
      <w:r>
        <w:rPr>
          <w:rFonts w:hint="eastAsia" w:ascii="仿宋" w:hAnsi="仿宋" w:eastAsia="仿宋"/>
          <w:b w:val="0"/>
          <w:color w:val="000000"/>
        </w:rPr>
        <w:t>财</w:t>
      </w:r>
      <w:r>
        <w:rPr>
          <w:rStyle w:val="16"/>
          <w:rFonts w:hint="eastAsia" w:ascii="仿宋" w:hAnsi="仿宋" w:eastAsia="仿宋"/>
          <w:b w:val="0"/>
          <w:bCs w:val="0"/>
        </w:rPr>
        <w:t>政拨款支出决算明细表</w:t>
      </w:r>
      <w:bookmarkEnd w:id="72"/>
      <w:bookmarkEnd w:id="73"/>
      <w:bookmarkStart w:id="74" w:name="_Toc15396624"/>
    </w:p>
    <w:p>
      <w:pPr>
        <w:pStyle w:val="3"/>
        <w:rPr>
          <w:rFonts w:ascii="仿宋" w:hAnsi="仿宋" w:eastAsia="仿宋"/>
          <w:color w:val="000000"/>
        </w:rPr>
      </w:pPr>
      <w:bookmarkStart w:id="75" w:name="_Toc23749"/>
      <w:r>
        <w:rPr>
          <w:rStyle w:val="16"/>
          <w:rFonts w:hint="eastAsia" w:ascii="仿宋" w:hAnsi="仿宋" w:eastAsia="仿宋"/>
          <w:b w:val="0"/>
          <w:bCs w:val="0"/>
        </w:rPr>
        <w:t>六、</w:t>
      </w:r>
      <w:r>
        <w:rPr>
          <w:rFonts w:hint="eastAsia" w:ascii="仿宋" w:hAnsi="仿宋" w:eastAsia="仿宋"/>
          <w:b w:val="0"/>
          <w:color w:val="000000"/>
        </w:rPr>
        <w:t>一</w:t>
      </w:r>
      <w:r>
        <w:rPr>
          <w:rStyle w:val="16"/>
          <w:rFonts w:hint="eastAsia" w:ascii="仿宋" w:hAnsi="仿宋" w:eastAsia="仿宋"/>
          <w:b w:val="0"/>
          <w:bCs w:val="0"/>
        </w:rPr>
        <w:t>般公共预算财政拨款支出决算表</w:t>
      </w:r>
      <w:bookmarkEnd w:id="74"/>
      <w:bookmarkEnd w:id="75"/>
    </w:p>
    <w:p>
      <w:pPr>
        <w:pStyle w:val="3"/>
        <w:rPr>
          <w:rFonts w:ascii="仿宋" w:hAnsi="仿宋" w:eastAsia="仿宋"/>
          <w:color w:val="000000"/>
        </w:rPr>
      </w:pPr>
      <w:bookmarkStart w:id="76" w:name="_Toc22275"/>
      <w:bookmarkStart w:id="77" w:name="_Toc15396625"/>
      <w:r>
        <w:rPr>
          <w:rStyle w:val="16"/>
          <w:rFonts w:hint="eastAsia" w:ascii="仿宋" w:hAnsi="仿宋" w:eastAsia="仿宋"/>
          <w:b w:val="0"/>
          <w:bCs w:val="0"/>
        </w:rPr>
        <w:t>七、</w:t>
      </w:r>
      <w:r>
        <w:rPr>
          <w:rFonts w:hint="eastAsia" w:ascii="仿宋" w:hAnsi="仿宋" w:eastAsia="仿宋"/>
          <w:b w:val="0"/>
          <w:color w:val="000000"/>
        </w:rPr>
        <w:t>一</w:t>
      </w:r>
      <w:r>
        <w:rPr>
          <w:rStyle w:val="16"/>
          <w:rFonts w:hint="eastAsia" w:ascii="仿宋" w:hAnsi="仿宋" w:eastAsia="仿宋"/>
          <w:b w:val="0"/>
          <w:bCs w:val="0"/>
        </w:rPr>
        <w:t>般公共预算财政拨款支出决算明细表</w:t>
      </w:r>
      <w:bookmarkEnd w:id="76"/>
      <w:bookmarkEnd w:id="77"/>
    </w:p>
    <w:p>
      <w:pPr>
        <w:pStyle w:val="3"/>
        <w:rPr>
          <w:rFonts w:ascii="仿宋" w:hAnsi="仿宋" w:eastAsia="仿宋"/>
          <w:color w:val="000000"/>
        </w:rPr>
      </w:pPr>
      <w:bookmarkStart w:id="78" w:name="_Toc15396626"/>
      <w:bookmarkStart w:id="79" w:name="_Toc30634"/>
      <w:r>
        <w:rPr>
          <w:rStyle w:val="16"/>
          <w:rFonts w:hint="eastAsia" w:ascii="仿宋" w:hAnsi="仿宋" w:eastAsia="仿宋"/>
          <w:b w:val="0"/>
          <w:bCs w:val="0"/>
        </w:rPr>
        <w:t>八、</w:t>
      </w:r>
      <w:r>
        <w:rPr>
          <w:rFonts w:hint="eastAsia" w:ascii="仿宋" w:hAnsi="仿宋" w:eastAsia="仿宋"/>
          <w:b w:val="0"/>
          <w:color w:val="000000"/>
        </w:rPr>
        <w:t>一</w:t>
      </w:r>
      <w:r>
        <w:rPr>
          <w:rStyle w:val="16"/>
          <w:rFonts w:hint="eastAsia" w:ascii="仿宋" w:hAnsi="仿宋" w:eastAsia="仿宋"/>
          <w:b w:val="0"/>
          <w:bCs w:val="0"/>
        </w:rPr>
        <w:t>般公共预算财政拨款基本支出决算表</w:t>
      </w:r>
      <w:bookmarkEnd w:id="78"/>
      <w:bookmarkEnd w:id="79"/>
    </w:p>
    <w:p>
      <w:pPr>
        <w:pStyle w:val="3"/>
        <w:rPr>
          <w:rFonts w:ascii="仿宋" w:hAnsi="仿宋" w:eastAsia="仿宋"/>
          <w:color w:val="000000"/>
        </w:rPr>
      </w:pPr>
      <w:bookmarkStart w:id="80" w:name="_Toc15396627"/>
      <w:bookmarkStart w:id="81" w:name="_Toc15170"/>
      <w:r>
        <w:rPr>
          <w:rStyle w:val="16"/>
          <w:rFonts w:hint="eastAsia" w:ascii="仿宋" w:hAnsi="仿宋" w:eastAsia="仿宋"/>
          <w:b w:val="0"/>
          <w:bCs w:val="0"/>
        </w:rPr>
        <w:t>九、</w:t>
      </w:r>
      <w:r>
        <w:rPr>
          <w:rFonts w:hint="eastAsia" w:ascii="仿宋" w:hAnsi="仿宋" w:eastAsia="仿宋"/>
          <w:b w:val="0"/>
          <w:color w:val="000000"/>
        </w:rPr>
        <w:t>一</w:t>
      </w:r>
      <w:r>
        <w:rPr>
          <w:rStyle w:val="16"/>
          <w:rFonts w:hint="eastAsia" w:ascii="仿宋" w:hAnsi="仿宋" w:eastAsia="仿宋"/>
          <w:b w:val="0"/>
          <w:bCs w:val="0"/>
        </w:rPr>
        <w:t>般公共预算财政拨款项目支出决算表</w:t>
      </w:r>
      <w:bookmarkEnd w:id="80"/>
      <w:bookmarkEnd w:id="81"/>
    </w:p>
    <w:p>
      <w:pPr>
        <w:pStyle w:val="3"/>
        <w:spacing w:line="360" w:lineRule="auto"/>
        <w:rPr>
          <w:rFonts w:ascii="仿宋" w:hAnsi="仿宋" w:eastAsia="仿宋"/>
          <w:color w:val="000000"/>
        </w:rPr>
      </w:pPr>
      <w:bookmarkStart w:id="82" w:name="_Toc17603"/>
      <w:bookmarkStart w:id="83" w:name="_Toc15396628"/>
      <w:r>
        <w:rPr>
          <w:rStyle w:val="16"/>
          <w:rFonts w:hint="eastAsia" w:ascii="仿宋" w:hAnsi="仿宋" w:eastAsia="仿宋"/>
          <w:b w:val="0"/>
          <w:bCs w:val="0"/>
        </w:rPr>
        <w:t>十、</w:t>
      </w:r>
      <w:r>
        <w:rPr>
          <w:rFonts w:hint="eastAsia" w:ascii="仿宋" w:hAnsi="仿宋" w:eastAsia="仿宋"/>
          <w:b w:val="0"/>
          <w:color w:val="000000"/>
        </w:rPr>
        <w:t>一</w:t>
      </w:r>
      <w:r>
        <w:rPr>
          <w:rStyle w:val="16"/>
          <w:rFonts w:hint="eastAsia" w:ascii="仿宋" w:hAnsi="仿宋" w:eastAsia="仿宋"/>
          <w:b w:val="0"/>
          <w:bCs w:val="0"/>
        </w:rPr>
        <w:t>般公共预算财政拨款“三公”经费支出决算表</w:t>
      </w:r>
      <w:bookmarkEnd w:id="82"/>
      <w:bookmarkEnd w:id="83"/>
    </w:p>
    <w:p>
      <w:pPr>
        <w:pStyle w:val="3"/>
        <w:spacing w:line="360" w:lineRule="auto"/>
        <w:rPr>
          <w:rFonts w:ascii="仿宋" w:hAnsi="仿宋" w:eastAsia="仿宋"/>
          <w:color w:val="000000"/>
        </w:rPr>
      </w:pPr>
      <w:bookmarkStart w:id="84" w:name="_Toc15396629"/>
      <w:bookmarkStart w:id="85" w:name="_Toc7313"/>
      <w:r>
        <w:rPr>
          <w:rStyle w:val="16"/>
          <w:rFonts w:hint="eastAsia" w:ascii="仿宋" w:hAnsi="仿宋" w:eastAsia="仿宋"/>
          <w:b w:val="0"/>
          <w:bCs w:val="0"/>
        </w:rPr>
        <w:t>十一、</w:t>
      </w:r>
      <w:r>
        <w:rPr>
          <w:rFonts w:hint="eastAsia" w:ascii="仿宋" w:hAnsi="仿宋" w:eastAsia="仿宋"/>
          <w:b w:val="0"/>
          <w:color w:val="000000"/>
        </w:rPr>
        <w:t>政</w:t>
      </w:r>
      <w:r>
        <w:rPr>
          <w:rStyle w:val="16"/>
          <w:rFonts w:hint="eastAsia" w:ascii="仿宋" w:hAnsi="仿宋" w:eastAsia="仿宋"/>
          <w:b w:val="0"/>
          <w:bCs w:val="0"/>
        </w:rPr>
        <w:t>府性基金预算财政拨款收入支出决算表</w:t>
      </w:r>
      <w:bookmarkEnd w:id="84"/>
      <w:bookmarkEnd w:id="85"/>
    </w:p>
    <w:p>
      <w:pPr>
        <w:pStyle w:val="3"/>
        <w:rPr>
          <w:rFonts w:ascii="仿宋" w:hAnsi="仿宋" w:eastAsia="仿宋"/>
          <w:b w:val="0"/>
          <w:color w:val="000000"/>
        </w:rPr>
      </w:pPr>
      <w:bookmarkStart w:id="86" w:name="_Toc15396630"/>
      <w:bookmarkStart w:id="87" w:name="_Toc9382"/>
      <w:r>
        <w:rPr>
          <w:rFonts w:hint="eastAsia" w:ascii="仿宋" w:hAnsi="仿宋" w:eastAsia="仿宋"/>
          <w:b w:val="0"/>
          <w:color w:val="000000"/>
        </w:rPr>
        <w:t>十二、政府性基金预算财政拨款“三公”经费支出决算表</w:t>
      </w:r>
      <w:bookmarkEnd w:id="86"/>
      <w:bookmarkEnd w:id="87"/>
    </w:p>
    <w:p>
      <w:pPr>
        <w:pStyle w:val="3"/>
        <w:rPr>
          <w:rFonts w:ascii="仿宋" w:hAnsi="仿宋" w:eastAsia="仿宋"/>
          <w:b w:val="0"/>
          <w:color w:val="000000"/>
        </w:rPr>
      </w:pPr>
      <w:bookmarkStart w:id="88" w:name="_Toc22683"/>
      <w:r>
        <w:rPr>
          <w:rFonts w:hint="eastAsia" w:ascii="仿宋" w:hAnsi="仿宋" w:eastAsia="仿宋"/>
          <w:b w:val="0"/>
          <w:color w:val="000000"/>
        </w:rPr>
        <w:t>十三、国有资本经营预算财政拨款收入支出决算表</w:t>
      </w:r>
      <w:bookmarkEnd w:id="88"/>
    </w:p>
    <w:p>
      <w:pPr>
        <w:pStyle w:val="3"/>
        <w:rPr>
          <w:rFonts w:ascii="仿宋" w:hAnsi="仿宋" w:eastAsia="仿宋"/>
          <w:b w:val="0"/>
          <w:color w:val="000000"/>
        </w:rPr>
      </w:pPr>
      <w:bookmarkStart w:id="89" w:name="_Toc10257"/>
      <w:r>
        <w:rPr>
          <w:rFonts w:hint="eastAsia" w:ascii="仿宋" w:hAnsi="仿宋" w:eastAsia="仿宋"/>
          <w:b w:val="0"/>
          <w:color w:val="000000"/>
        </w:rPr>
        <w:t>十四、国有资本经营预算财政拨款支出决算表</w:t>
      </w:r>
      <w:bookmarkEnd w:id="8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宋体"/>
    <w:panose1 w:val="00000000000000000000"/>
    <w:charset w:val="86"/>
    <w:family w:val="roman"/>
    <w:pitch w:val="default"/>
    <w:sig w:usb0="00000000" w:usb1="00000000" w:usb2="00000000" w:usb3="00000000" w:csb0="00000000"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7569252"/>
      <w:docPartObj>
        <w:docPartGallery w:val="autotext"/>
      </w:docPartObj>
    </w:sdtPr>
    <w:sdtContent>
      <w:p>
        <w:pPr>
          <w:pStyle w:val="6"/>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2">
    <w:nsid w:val="62621CDC"/>
    <w:multiLevelType w:val="multilevel"/>
    <w:tmpl w:val="62621CDC"/>
    <w:lvl w:ilvl="0" w:tentative="0">
      <w:start w:val="1"/>
      <w:numFmt w:val="decimal"/>
      <w:lvlText w:val="%1."/>
      <w:lvlJc w:val="left"/>
      <w:pPr>
        <w:ind w:left="1152" w:hanging="480"/>
      </w:pPr>
      <w:rPr>
        <w:rFonts w:hint="default" w:cs="Times New Roman"/>
      </w:rPr>
    </w:lvl>
    <w:lvl w:ilvl="1" w:tentative="0">
      <w:start w:val="1"/>
      <w:numFmt w:val="lowerLetter"/>
      <w:lvlText w:val="%2)"/>
      <w:lvlJc w:val="left"/>
      <w:pPr>
        <w:ind w:left="1512" w:hanging="420"/>
      </w:pPr>
      <w:rPr>
        <w:rFonts w:cs="Times New Roman"/>
      </w:rPr>
    </w:lvl>
    <w:lvl w:ilvl="2" w:tentative="0">
      <w:start w:val="1"/>
      <w:numFmt w:val="lowerRoman"/>
      <w:lvlText w:val="%3."/>
      <w:lvlJc w:val="right"/>
      <w:pPr>
        <w:ind w:left="1932" w:hanging="420"/>
      </w:pPr>
      <w:rPr>
        <w:rFonts w:cs="Times New Roman"/>
      </w:rPr>
    </w:lvl>
    <w:lvl w:ilvl="3" w:tentative="0">
      <w:start w:val="1"/>
      <w:numFmt w:val="decimal"/>
      <w:lvlText w:val="%4."/>
      <w:lvlJc w:val="left"/>
      <w:pPr>
        <w:ind w:left="2352" w:hanging="420"/>
      </w:pPr>
      <w:rPr>
        <w:rFonts w:cs="Times New Roman"/>
      </w:rPr>
    </w:lvl>
    <w:lvl w:ilvl="4" w:tentative="0">
      <w:start w:val="1"/>
      <w:numFmt w:val="lowerLetter"/>
      <w:lvlText w:val="%5)"/>
      <w:lvlJc w:val="left"/>
      <w:pPr>
        <w:ind w:left="2772" w:hanging="420"/>
      </w:pPr>
      <w:rPr>
        <w:rFonts w:cs="Times New Roman"/>
      </w:rPr>
    </w:lvl>
    <w:lvl w:ilvl="5" w:tentative="0">
      <w:start w:val="1"/>
      <w:numFmt w:val="lowerRoman"/>
      <w:lvlText w:val="%6."/>
      <w:lvlJc w:val="right"/>
      <w:pPr>
        <w:ind w:left="3192" w:hanging="420"/>
      </w:pPr>
      <w:rPr>
        <w:rFonts w:cs="Times New Roman"/>
      </w:rPr>
    </w:lvl>
    <w:lvl w:ilvl="6" w:tentative="0">
      <w:start w:val="1"/>
      <w:numFmt w:val="decimal"/>
      <w:lvlText w:val="%7."/>
      <w:lvlJc w:val="left"/>
      <w:pPr>
        <w:ind w:left="3612" w:hanging="420"/>
      </w:pPr>
      <w:rPr>
        <w:rFonts w:cs="Times New Roman"/>
      </w:rPr>
    </w:lvl>
    <w:lvl w:ilvl="7" w:tentative="0">
      <w:start w:val="1"/>
      <w:numFmt w:val="lowerLetter"/>
      <w:lvlText w:val="%8)"/>
      <w:lvlJc w:val="left"/>
      <w:pPr>
        <w:ind w:left="4032" w:hanging="420"/>
      </w:pPr>
      <w:rPr>
        <w:rFonts w:cs="Times New Roman"/>
      </w:rPr>
    </w:lvl>
    <w:lvl w:ilvl="8" w:tentative="0">
      <w:start w:val="1"/>
      <w:numFmt w:val="lowerRoman"/>
      <w:lvlText w:val="%9."/>
      <w:lvlJc w:val="right"/>
      <w:pPr>
        <w:ind w:left="4452"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yZjhjMDljN2ZmZDI4MDM1OTczNmZkYWIwMTM0OGUifQ=="/>
  </w:docVars>
  <w:rsids>
    <w:rsidRoot w:val="6504078C"/>
    <w:rsid w:val="00045F78"/>
    <w:rsid w:val="00073877"/>
    <w:rsid w:val="00083126"/>
    <w:rsid w:val="001258D8"/>
    <w:rsid w:val="001550AC"/>
    <w:rsid w:val="001807BB"/>
    <w:rsid w:val="00180F26"/>
    <w:rsid w:val="00186AF8"/>
    <w:rsid w:val="00242F02"/>
    <w:rsid w:val="003242C5"/>
    <w:rsid w:val="00324F4C"/>
    <w:rsid w:val="00344968"/>
    <w:rsid w:val="003635CE"/>
    <w:rsid w:val="00411D37"/>
    <w:rsid w:val="004C5D89"/>
    <w:rsid w:val="004D6446"/>
    <w:rsid w:val="005873B4"/>
    <w:rsid w:val="00674850"/>
    <w:rsid w:val="006F151B"/>
    <w:rsid w:val="007E0A68"/>
    <w:rsid w:val="00802D70"/>
    <w:rsid w:val="0084636D"/>
    <w:rsid w:val="008B0452"/>
    <w:rsid w:val="008F4BFA"/>
    <w:rsid w:val="0094688E"/>
    <w:rsid w:val="009C0412"/>
    <w:rsid w:val="00A76FBF"/>
    <w:rsid w:val="00AA54C3"/>
    <w:rsid w:val="00AC3BC0"/>
    <w:rsid w:val="00B2554D"/>
    <w:rsid w:val="00B51115"/>
    <w:rsid w:val="00B956F6"/>
    <w:rsid w:val="00C75266"/>
    <w:rsid w:val="00CC218A"/>
    <w:rsid w:val="00D04982"/>
    <w:rsid w:val="00D22E52"/>
    <w:rsid w:val="00D259F2"/>
    <w:rsid w:val="00D4602B"/>
    <w:rsid w:val="00D83D55"/>
    <w:rsid w:val="00DA6E86"/>
    <w:rsid w:val="00DD08F3"/>
    <w:rsid w:val="00EC69E4"/>
    <w:rsid w:val="00F01529"/>
    <w:rsid w:val="00F503C7"/>
    <w:rsid w:val="00FA3CD3"/>
    <w:rsid w:val="06D96529"/>
    <w:rsid w:val="20431767"/>
    <w:rsid w:val="2AC65C17"/>
    <w:rsid w:val="3E4169FF"/>
    <w:rsid w:val="418874D3"/>
    <w:rsid w:val="4E3A4862"/>
    <w:rsid w:val="5D3E75DF"/>
    <w:rsid w:val="6504078C"/>
    <w:rsid w:val="695535AB"/>
    <w:rsid w:val="726E39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21"/>
    <w:uiPriority w:val="0"/>
    <w:rPr>
      <w:sz w:val="18"/>
      <w:szCs w:val="18"/>
    </w:rPr>
  </w:style>
  <w:style w:type="paragraph" w:styleId="6">
    <w:name w:val="footer"/>
    <w:basedOn w:val="1"/>
    <w:link w:val="25"/>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Normal (Web)"/>
    <w:basedOn w:val="1"/>
    <w:qFormat/>
    <w:uiPriority w:val="0"/>
    <w:pPr>
      <w:spacing w:beforeAutospacing="1" w:afterAutospacing="1"/>
      <w:jc w:val="left"/>
    </w:pPr>
    <w:rPr>
      <w:rFonts w:ascii="Calibri" w:hAnsi="Calibri" w:eastAsia="宋体"/>
      <w:kern w:val="0"/>
      <w:sz w:val="24"/>
      <w:szCs w:val="20"/>
    </w:r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character" w:customStyle="1" w:styleId="15">
    <w:name w:val="标题 1 Char"/>
    <w:basedOn w:val="12"/>
    <w:link w:val="2"/>
    <w:qFormat/>
    <w:locked/>
    <w:uiPriority w:val="9"/>
    <w:rPr>
      <w:b/>
      <w:bCs/>
      <w:kern w:val="44"/>
      <w:sz w:val="44"/>
      <w:szCs w:val="44"/>
    </w:rPr>
  </w:style>
  <w:style w:type="character" w:customStyle="1" w:styleId="16">
    <w:name w:val="标题 2 Char"/>
    <w:basedOn w:val="12"/>
    <w:link w:val="3"/>
    <w:qFormat/>
    <w:locked/>
    <w:uiPriority w:val="9"/>
    <w:rPr>
      <w:rFonts w:ascii="Cambria" w:hAnsi="Cambria"/>
      <w:b/>
      <w:bCs/>
      <w:sz w:val="32"/>
      <w:szCs w:val="32"/>
    </w:rPr>
  </w:style>
  <w:style w:type="paragraph" w:customStyle="1" w:styleId="17">
    <w:name w:val="列出段落1"/>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9">
    <w:name w:val="正文1"/>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customStyle="1" w:styleId="20">
    <w:name w:val="Char Char5"/>
    <w:basedOn w:val="12"/>
    <w:qFormat/>
    <w:uiPriority w:val="0"/>
    <w:rPr>
      <w:rFonts w:ascii="Cambria" w:hAnsi="Cambria"/>
      <w:b/>
      <w:bCs/>
      <w:sz w:val="32"/>
      <w:szCs w:val="32"/>
    </w:rPr>
  </w:style>
  <w:style w:type="character" w:customStyle="1" w:styleId="21">
    <w:name w:val="批注框文本 Char"/>
    <w:basedOn w:val="12"/>
    <w:link w:val="5"/>
    <w:uiPriority w:val="0"/>
    <w:rPr>
      <w:rFonts w:ascii="Times New Roman" w:hAnsi="Times New Roman" w:eastAsia="仿宋_GB2312" w:cs="Times New Roman"/>
      <w:kern w:val="2"/>
      <w:sz w:val="18"/>
      <w:szCs w:val="18"/>
    </w:rPr>
  </w:style>
  <w:style w:type="paragraph" w:styleId="22">
    <w:name w:val="List Paragraph"/>
    <w:basedOn w:val="1"/>
    <w:unhideWhenUsed/>
    <w:uiPriority w:val="99"/>
    <w:pPr>
      <w:ind w:firstLine="420" w:firstLineChars="200"/>
    </w:pPr>
  </w:style>
  <w:style w:type="character" w:customStyle="1" w:styleId="23">
    <w:name w:val="Char Char6"/>
    <w:basedOn w:val="12"/>
    <w:qFormat/>
    <w:uiPriority w:val="0"/>
    <w:rPr>
      <w:b/>
      <w:bCs/>
      <w:kern w:val="2"/>
      <w:sz w:val="44"/>
      <w:szCs w:val="44"/>
    </w:rPr>
  </w:style>
  <w:style w:type="character" w:customStyle="1" w:styleId="24">
    <w:name w:val="Intense Emphasis"/>
    <w:qFormat/>
    <w:uiPriority w:val="0"/>
    <w:rPr>
      <w:b/>
      <w:bCs/>
    </w:rPr>
  </w:style>
  <w:style w:type="character" w:customStyle="1" w:styleId="25">
    <w:name w:val="页脚 Char"/>
    <w:basedOn w:val="12"/>
    <w:link w:val="6"/>
    <w:uiPriority w:val="99"/>
    <w:rPr>
      <w:rFonts w:ascii="Calibri" w:hAnsi="Calibri" w:eastAsia="仿宋_GB2312" w:cs="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barChart>
        <c:barDir val="col"/>
        <c:grouping val="stacked"/>
        <c:varyColors val="0"/>
        <c:ser>
          <c:idx val="0"/>
          <c:order val="0"/>
          <c:tx>
            <c:strRef>
              <c:f>Sheet1!$B$1</c:f>
              <c:strCache>
                <c:ptCount val="1"/>
                <c:pt idx="0">
                  <c:v>收、支决算总计变动情况</c:v>
                </c:pt>
              </c:strCache>
            </c:strRef>
          </c:tx>
          <c:invertIfNegative val="0"/>
          <c:dLbls>
            <c:delete val="1"/>
          </c:dLbls>
          <c:cat>
            <c:strRef>
              <c:f>Sheet1!$A$2:$A$4</c:f>
              <c:strCache>
                <c:ptCount val="2"/>
                <c:pt idx="0">
                  <c:v>2020年</c:v>
                </c:pt>
                <c:pt idx="1">
                  <c:v>2019年</c:v>
                </c:pt>
              </c:strCache>
            </c:strRef>
          </c:cat>
          <c:val>
            <c:numRef>
              <c:f>Sheet1!$B$2:$B$4</c:f>
              <c:numCache>
                <c:formatCode>General</c:formatCode>
                <c:ptCount val="3"/>
                <c:pt idx="0">
                  <c:v>214.29</c:v>
                </c:pt>
                <c:pt idx="1">
                  <c:v>169.16</c:v>
                </c:pt>
              </c:numCache>
            </c:numRef>
          </c:val>
        </c:ser>
        <c:dLbls>
          <c:showLegendKey val="0"/>
          <c:showVal val="0"/>
          <c:showCatName val="0"/>
          <c:showSerName val="0"/>
          <c:showPercent val="0"/>
          <c:showBubbleSize val="0"/>
        </c:dLbls>
        <c:gapWidth val="150"/>
        <c:overlap val="100"/>
        <c:axId val="21093376"/>
        <c:axId val="192455040"/>
      </c:barChart>
      <c:catAx>
        <c:axId val="2109337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92455040"/>
        <c:crosses val="autoZero"/>
        <c:auto val="1"/>
        <c:lblAlgn val="ctr"/>
        <c:lblOffset val="100"/>
        <c:noMultiLvlLbl val="0"/>
      </c:catAx>
      <c:valAx>
        <c:axId val="19245504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093376"/>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2020年收入决算结构图</c:v>
                </c:pt>
              </c:strCache>
            </c:strRef>
          </c:tx>
          <c:explosion val="0"/>
          <c:dPt>
            <c:idx val="0"/>
            <c:bubble3D val="0"/>
          </c:dPt>
          <c:dPt>
            <c:idx val="1"/>
            <c:bubble3D val="0"/>
          </c:dPt>
          <c:dPt>
            <c:idx val="2"/>
            <c:bubble3D val="0"/>
          </c:dPt>
          <c:dPt>
            <c:idx val="3"/>
            <c:bubble3D val="0"/>
          </c:dPt>
          <c:dLbls>
            <c:delete val="1"/>
          </c:dLbls>
          <c:cat>
            <c:strRef>
              <c:f>Sheet1!$A$2:$A$5</c:f>
              <c:strCache>
                <c:ptCount val="4"/>
                <c:pt idx="0">
                  <c:v>一般公共预算财政拨款收入</c:v>
                </c:pt>
                <c:pt idx="1">
                  <c:v>事业收入</c:v>
                </c:pt>
                <c:pt idx="2">
                  <c:v>上级补助收入</c:v>
                </c:pt>
                <c:pt idx="3">
                  <c:v>其他收入</c:v>
                </c:pt>
              </c:strCache>
            </c:strRef>
          </c:cat>
          <c:val>
            <c:numRef>
              <c:f>Sheet1!$B$2:$B$5</c:f>
              <c:numCache>
                <c:formatCode>General</c:formatCode>
                <c:ptCount val="4"/>
                <c:pt idx="0">
                  <c:v>214.29</c:v>
                </c:pt>
                <c:pt idx="1">
                  <c:v>0</c:v>
                </c:pt>
                <c:pt idx="2">
                  <c:v>0</c:v>
                </c:pt>
                <c:pt idx="3">
                  <c:v>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view3D>
      <c:rotX val="30"/>
      <c:rotY val="0"/>
      <c:depthPercent val="100"/>
      <c:rAngAx val="0"/>
      <c:perspective val="30"/>
    </c:view3D>
    <c:floor>
      <c:thickness val="0"/>
    </c:floor>
    <c:sideWall>
      <c:thickness val="0"/>
    </c:sideWall>
    <c:backWall>
      <c:thickness val="0"/>
    </c:backWall>
    <c:plotArea>
      <c:layout>
        <c:manualLayout>
          <c:layoutTarget val="inner"/>
          <c:xMode val="edge"/>
          <c:yMode val="edge"/>
          <c:x val="0"/>
          <c:y val="0.224561403508772"/>
          <c:w val="0.795366028921317"/>
          <c:h val="0.775438596491228"/>
        </c:manualLayout>
      </c:layout>
      <c:pie3DChart>
        <c:varyColors val="1"/>
        <c:ser>
          <c:idx val="0"/>
          <c:order val="0"/>
          <c:tx>
            <c:strRef>
              <c:f>Sheet1!$B$1</c:f>
              <c:strCache>
                <c:ptCount val="1"/>
                <c:pt idx="0">
                  <c:v>基本支出</c:v>
                </c:pt>
              </c:strCache>
            </c:strRef>
          </c:tx>
          <c:explosion val="0"/>
          <c:dPt>
            <c:idx val="0"/>
            <c:bubble3D val="0"/>
          </c:dPt>
          <c:dPt>
            <c:idx val="1"/>
            <c:bubble3D val="0"/>
          </c:dPt>
          <c:dPt>
            <c:idx val="2"/>
            <c:bubble3D val="0"/>
          </c:dPt>
          <c:dPt>
            <c:idx val="3"/>
            <c:bubble3D val="0"/>
          </c:dPt>
          <c:dLbls>
            <c:delete val="1"/>
          </c:dLbls>
          <c:cat>
            <c:strRef>
              <c:f>Sheet1!$A$2:$A$5</c:f>
              <c:strCache>
                <c:ptCount val="4"/>
                <c:pt idx="0">
                  <c:v>基本支出</c:v>
                </c:pt>
                <c:pt idx="1">
                  <c:v>项目支出</c:v>
                </c:pt>
                <c:pt idx="2">
                  <c:v>上缴上级支出</c:v>
                </c:pt>
                <c:pt idx="3">
                  <c:v>经营支出</c:v>
                </c:pt>
              </c:strCache>
            </c:strRef>
          </c:cat>
          <c:val>
            <c:numRef>
              <c:f>Sheet1!$B$2:$B$5</c:f>
              <c:numCache>
                <c:formatCode>General</c:formatCode>
                <c:ptCount val="4"/>
                <c:pt idx="0">
                  <c:v>214.29</c:v>
                </c:pt>
                <c:pt idx="1">
                  <c:v>0</c:v>
                </c:pt>
                <c:pt idx="2">
                  <c:v>0</c:v>
                </c:pt>
                <c:pt idx="3">
                  <c:v>0</c:v>
                </c:pt>
              </c:numCache>
            </c:numRef>
          </c:val>
        </c:ser>
        <c:dLbls>
          <c:showLegendKey val="0"/>
          <c:showVal val="0"/>
          <c:showCatName val="0"/>
          <c:showSerName val="0"/>
          <c:showPercent val="0"/>
          <c:showBubbleSize val="0"/>
        </c:dLbls>
      </c:pie3D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barChart>
        <c:barDir val="col"/>
        <c:grouping val="stacked"/>
        <c:varyColors val="0"/>
        <c:ser>
          <c:idx val="0"/>
          <c:order val="0"/>
          <c:tx>
            <c:strRef>
              <c:f>Sheet1!$B$1</c:f>
              <c:strCache>
                <c:ptCount val="1"/>
                <c:pt idx="0">
                  <c:v>财政拨款收、支决算总计变动情况</c:v>
                </c:pt>
              </c:strCache>
            </c:strRef>
          </c:tx>
          <c:invertIfNegative val="0"/>
          <c:dLbls>
            <c:delete val="1"/>
          </c:dLbls>
          <c:cat>
            <c:strRef>
              <c:f>Sheet1!$A$2:$A$3</c:f>
              <c:strCache>
                <c:ptCount val="2"/>
                <c:pt idx="0">
                  <c:v>2020年</c:v>
                </c:pt>
                <c:pt idx="1">
                  <c:v>2019年</c:v>
                </c:pt>
              </c:strCache>
            </c:strRef>
          </c:cat>
          <c:val>
            <c:numRef>
              <c:f>Sheet1!$B$2:$B$3</c:f>
              <c:numCache>
                <c:formatCode>General</c:formatCode>
                <c:ptCount val="2"/>
                <c:pt idx="0">
                  <c:v>214.29</c:v>
                </c:pt>
                <c:pt idx="1">
                  <c:v>169.16</c:v>
                </c:pt>
              </c:numCache>
            </c:numRef>
          </c:val>
        </c:ser>
        <c:dLbls>
          <c:showLegendKey val="0"/>
          <c:showVal val="0"/>
          <c:showCatName val="0"/>
          <c:showSerName val="0"/>
          <c:showPercent val="0"/>
          <c:showBubbleSize val="0"/>
        </c:dLbls>
        <c:gapWidth val="150"/>
        <c:overlap val="100"/>
        <c:axId val="22377984"/>
        <c:axId val="22379520"/>
      </c:barChart>
      <c:catAx>
        <c:axId val="2237798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379520"/>
        <c:crosses val="autoZero"/>
        <c:auto val="1"/>
        <c:lblAlgn val="ctr"/>
        <c:lblOffset val="100"/>
        <c:noMultiLvlLbl val="0"/>
      </c:catAx>
      <c:valAx>
        <c:axId val="2237952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377984"/>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600" b="1" i="0" u="none" strike="noStrike" kern="1200" baseline="0">
              <a:solidFill>
                <a:schemeClr val="tx1"/>
              </a:solidFill>
              <a:latin typeface="+mn-lt"/>
              <a:ea typeface="+mn-ea"/>
              <a:cs typeface="+mn-cs"/>
            </a:defRPr>
          </a:pPr>
        </a:p>
      </c:txPr>
    </c:title>
    <c:autoTitleDeleted val="0"/>
    <c:plotArea>
      <c:layout/>
      <c:barChart>
        <c:barDir val="col"/>
        <c:grouping val="stacked"/>
        <c:varyColors val="0"/>
        <c:ser>
          <c:idx val="0"/>
          <c:order val="0"/>
          <c:tx>
            <c:strRef>
              <c:f>Sheet1!$B$1</c:f>
              <c:strCache>
                <c:ptCount val="1"/>
                <c:pt idx="0">
                  <c:v>一般公共预算拨款支出决算变动情况</c:v>
                </c:pt>
              </c:strCache>
            </c:strRef>
          </c:tx>
          <c:invertIfNegative val="0"/>
          <c:dLbls>
            <c:delete val="1"/>
          </c:dLbls>
          <c:cat>
            <c:strRef>
              <c:f>Sheet1!$A$2:$A$3</c:f>
              <c:strCache>
                <c:ptCount val="2"/>
                <c:pt idx="0">
                  <c:v>2020年</c:v>
                </c:pt>
                <c:pt idx="1">
                  <c:v>2019年</c:v>
                </c:pt>
              </c:strCache>
            </c:strRef>
          </c:cat>
          <c:val>
            <c:numRef>
              <c:f>Sheet1!$B$2:$B$3</c:f>
              <c:numCache>
                <c:formatCode>General</c:formatCode>
                <c:ptCount val="2"/>
                <c:pt idx="0">
                  <c:v>214.29</c:v>
                </c:pt>
                <c:pt idx="1">
                  <c:v>169.16</c:v>
                </c:pt>
              </c:numCache>
            </c:numRef>
          </c:val>
        </c:ser>
        <c:dLbls>
          <c:showLegendKey val="0"/>
          <c:showVal val="0"/>
          <c:showCatName val="0"/>
          <c:showSerName val="0"/>
          <c:showPercent val="0"/>
          <c:showBubbleSize val="0"/>
        </c:dLbls>
        <c:gapWidth val="150"/>
        <c:overlap val="100"/>
        <c:axId val="22720512"/>
        <c:axId val="22722048"/>
      </c:barChart>
      <c:catAx>
        <c:axId val="22720512"/>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722048"/>
        <c:crosses val="autoZero"/>
        <c:auto val="1"/>
        <c:lblAlgn val="ctr"/>
        <c:lblOffset val="100"/>
        <c:noMultiLvlLbl val="0"/>
      </c:catAx>
      <c:valAx>
        <c:axId val="2272204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720512"/>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view3D>
      <c:rotX val="30"/>
      <c:rotY val="0"/>
      <c:depthPercent val="100"/>
      <c:rAngAx val="0"/>
      <c:perspective val="30"/>
    </c:view3D>
    <c:floor>
      <c:thickness val="0"/>
    </c:floor>
    <c:sideWall>
      <c:thickness val="0"/>
    </c:sideWall>
    <c:backWall>
      <c:thickness val="0"/>
    </c:backWall>
    <c:plotArea>
      <c:layout/>
      <c:pie3DChart>
        <c:varyColors val="1"/>
        <c:ser>
          <c:idx val="0"/>
          <c:order val="0"/>
          <c:tx>
            <c:strRef>
              <c:f>Sheet1!$B$1</c:f>
              <c:strCache>
                <c:ptCount val="1"/>
                <c:pt idx="0">
                  <c:v>一般公共预算财政拨款支出决算结构</c:v>
                </c:pt>
              </c:strCache>
            </c:strRef>
          </c:tx>
          <c:explosion val="0"/>
          <c:dPt>
            <c:idx val="0"/>
            <c:bubble3D val="0"/>
          </c:dPt>
          <c:dPt>
            <c:idx val="1"/>
            <c:bubble3D val="0"/>
          </c:dPt>
          <c:dPt>
            <c:idx val="2"/>
            <c:bubble3D val="0"/>
          </c:dPt>
          <c:dPt>
            <c:idx val="3"/>
            <c:bubble3D val="0"/>
          </c:dPt>
          <c:dLbls>
            <c:delete val="1"/>
          </c:dLbls>
          <c:cat>
            <c:strRef>
              <c:f>Sheet1!$A$2:$A$5</c:f>
              <c:strCache>
                <c:ptCount val="1"/>
                <c:pt idx="0">
                  <c:v>教育支出</c:v>
                </c:pt>
              </c:strCache>
            </c:strRef>
          </c:cat>
          <c:val>
            <c:numRef>
              <c:f>Sheet1!$B$2:$B$5</c:f>
              <c:numCache>
                <c:formatCode>General</c:formatCode>
                <c:ptCount val="4"/>
                <c:pt idx="0">
                  <c:v>214.29</c:v>
                </c:pt>
              </c:numCache>
            </c:numRef>
          </c:val>
        </c:ser>
        <c:dLbls>
          <c:showLegendKey val="0"/>
          <c:showVal val="0"/>
          <c:showCatName val="0"/>
          <c:showSerName val="0"/>
          <c:showPercent val="0"/>
          <c:showBubbleSize val="0"/>
        </c:dLbls>
      </c:pie3D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E793B-62B8-48A3-9553-EFA3772DAB36}">
  <ds:schemaRefs/>
</ds:datastoreItem>
</file>

<file path=docProps/app.xml><?xml version="1.0" encoding="utf-8"?>
<Properties xmlns="http://schemas.openxmlformats.org/officeDocument/2006/extended-properties" xmlns:vt="http://schemas.openxmlformats.org/officeDocument/2006/docPropsVTypes">
  <Template>Normal</Template>
  <Pages>16</Pages>
  <Words>4510</Words>
  <Characters>4797</Characters>
  <Lines>44</Lines>
  <Paragraphs>12</Paragraphs>
  <TotalTime>209</TotalTime>
  <ScaleCrop>false</ScaleCrop>
  <LinksUpToDate>false</LinksUpToDate>
  <CharactersWithSpaces>4843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2022-05-30T08:43:43Z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CC6752A878C345CCB73D6F0CBAD050E4</vt:lpwstr>
  </property>
</Properties>
</file>