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cs="仿宋_GB2312"/>
          <w:szCs w:val="32"/>
        </w:rPr>
      </w:pP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自贡市自流井区教育和体育局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bookmarkStart w:id="91" w:name="_GoBack"/>
      <w:bookmarkEnd w:id="91"/>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t>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2"/>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5"/>
          <w:rFonts w:ascii="黑体" w:hAnsi="黑体" w:eastAsia="黑体"/>
          <w:b w:val="0"/>
          <w:bCs w:val="0"/>
        </w:rPr>
      </w:pPr>
      <w:bookmarkStart w:id="1" w:name="_Toc15377197"/>
      <w:bookmarkStart w:id="2" w:name="_Toc21498"/>
      <w:bookmarkStart w:id="3" w:name="_Toc15396600"/>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bookmarkStart w:id="4" w:name="_Toc15377198"/>
      <w:bookmarkStart w:id="5" w:name="_Toc15378445"/>
    </w:p>
    <w:p>
      <w:pPr>
        <w:pStyle w:val="3"/>
        <w:ind w:firstLine="643" w:firstLineChars="200"/>
        <w:rPr>
          <w:rFonts w:ascii="仿宋" w:hAnsi="仿宋" w:eastAsia="仿宋"/>
          <w:b w:val="0"/>
          <w:bCs w:val="0"/>
        </w:rPr>
      </w:pPr>
      <w:r>
        <w:rPr>
          <w:rFonts w:hint="eastAsia" w:ascii="仿宋" w:hAnsi="仿宋" w:eastAsia="仿宋"/>
          <w:bCs w:val="0"/>
          <w:color w:val="000000"/>
        </w:rPr>
        <w:t>（一）主要职能。</w:t>
      </w:r>
      <w:bookmarkEnd w:id="4"/>
      <w:bookmarkEnd w:id="5"/>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1.拟订全区教育体育改革配套政策和教育体育事业发展规划，负责全区各类教育体育工作的统筹规划和协调管理，负责推动多元化体育服务体系建设，推进体育公共服务和体育体制改革。</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2.负责区级教育体育经费的统筹管理，参与拟订筹措教 育体育经费、拨款、基建投资的政策和措施，提出有关教育体育收费标准的建议，监督全区教育体育经费、教育基金的筹措和使用情况，负责国（境）外教育体育援助、贷款和合作项目的执行，牵头落实各项教育体育患民政策、中小学标准化建设的有关工作，负责全区教育体育系统基本信息的统计、分析、发布工作，指导教育体育信息化建设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3.负责管理全区基础教育、职业教育、成人教育、学前 教育、民办教育，配合组织实施民族地区免费中等职业教育计划，负责全区中小学校、幼儿园布局结构调整工作，审批民办学校和 教育机构，会同有关部门审核中小学校、幼儿园、事业单位的设置、更名、撤销与调整，指导全区中小学校、幼儿园教育教学改革和示范学校、学科建设。</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4.负责组织实施全区教育督导工作，对中等及中等以下 教育、扫除青壮年文盲工作进行督导检查和评估验收，组织实施基础教育质量监测工作。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5.</w:t>
      </w:r>
      <w:r>
        <w:rPr>
          <w:rFonts w:hint="eastAsia"/>
        </w:rPr>
        <w:t xml:space="preserve"> </w:t>
      </w:r>
      <w:r>
        <w:rPr>
          <w:rFonts w:hint="eastAsia" w:ascii="仿宋" w:hAnsi="仿宋" w:eastAsia="仿宋"/>
          <w:bCs/>
          <w:color w:val="000000"/>
          <w:sz w:val="32"/>
          <w:szCs w:val="32"/>
        </w:rPr>
        <w:t>负责所属单位领导班子和干部队伍建设工作；按照千部管理权限和程序，考核任免教育体育系统事业单位领导干部。负责全区教师队伍建设工作；负责实施全区教育体育系统专业技术人员继续教育工作；负责初中、小学、幼儿园教师的教师资格认定工作；指导所属单位内部管理体制改革；参与师范毕业生就业指导工作；协助有关部门开展专业技术职务评审和所属单位人员招聘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6.指导全区各级各类学校思想政治、德育、体育、卫生、艺术、国防教育和安全工作，领导全区教育体育系统党建、信访和稳定工作。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7.负责实施全民健身计划，组织实施国民体质监测和社会体育指导工作，实施国家体育锻炼标准。负责本区社会体育指导员的培训和管理。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8.指导体育训练、体育竟赛和运动员队伍建设，组织和 统筹参加市级以上综合运动会，承办区级综合性体育竞赛活动，负责组织协调区级综合性运动会的竞赛工作，协调运动员社会保障工作。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9.指导和管理学校体育工作，制定全区学校体育教育、青少年业余训练的规划和工作意见，并负责组织实施、督促和检查，指导和管理全区中小学体育测试和体育特长生的审核工作。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10.拟订全区体育产业发展政策，规范体育服务管理， 推动体育标准化建设，参与指导全区体育基础设施建设和体育场馆管理工作，参与制定全区体育场馆与设施布局规划，指导全区 体育市场发展，负责对公共体育设施的管理。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 xml:space="preserve">11.负责指导全区教育系统教育、教学、教研工作，指导教育学会、协会、研究会、基金会和体育总会等社团组织开展工作；组织和指导体育科研、技术攻关和成果推广工作，负责组织监督全区体育运动中的赛风赛纪和反兴奋剂工作。   </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12.指导、管理教育体育外事有关工作，组织开展与区 外的教育体育交流与合作。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13.负责全区基础教育学历教育及考试，指导成人自学 考试和扫除青壮年文盲工作，制定全区中小学招生计划并组织实施，参与安排师范类学生教育实习。</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14.负责管理、指导全区学校后勤与产业工作，制定全 区学校后勤与产业管理政策，监督、指导学校食堂建设与管理，指导学生保险等工作。</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15.依照法律法规和有关规定，对教育体育系统的安全生产工作和职业健康工作实施监督管理。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16.负责职责范围内的生态环境保护、审批服务便民化 等工作。</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17.承担区政府公布的有关行政审批事项。</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18.完成区委、区政府交办的其他事项。</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2020年是极不平凡的一年，也是奋进难忘的一年。这一年，经受了疫情防控、脱贫攻坚及创文创卫等重大工作任务考验。这一年，自流井区教体人在区委区政府的坚强领导和市教体局的大力指导下，直面困难，奋发作为，再写自流井教体事业发展新篇章。</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率先探索实施集团化办学。2020年6月，我区塘坎上小学教育集团正式挂牌成立，成为全市第一个挂牌成立的公办基础教育类教育集团，标志着我区推进义务教育优质均衡、提升优质教育资源辐射带动效益又添重要举措。集团成立以来，相关各校按照既定发展思路与规划，结合实际，认真落实从校园管理、教师教学交流到学生特色活动等多方面多环节的整体同步，拓展平台，深度交融，取得可喜的初步成效，师生、家长满意度明显提升。2019-2020学年度全区教育教学质量考核中，塘坎上小学蝉联小学一组一等奖，塘坎上山水名苑小学摘得小学二组一等奖。</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2.积极发展艺体特色教育。持续推进六中艺体特色高中转型发展，工作领导小组研究制定了相关规划并逐步落实推进。组织相关人员前往德阳、绵竹等地艺体特色高中参观学习。不断增强专业师资力量，引进硕士研究生6名。不断扩大招生规模，高中各年级对艺体专业成建制编班，目前共有高中艺体专业学生300余名。实施沉降式生源培训，在生源基地校举办艺体素养培训（试学班）。音体美、传媒、舞蹈等选修课程开设与组织实施更加完善。校园艺体活动多元开展，“海潮”艺术团、合唱团、动漫社、棋社等特色社团活动扎实开展，国学经典诵读、文艺汇演、艺术节、田径运动会等极大丰富校园生活。参加各级体育竞赛成绩优异，体育高考出口质量稳步提升。打造出了以女足、女篮和健美操队为代表的数支优秀竞技队伍。</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3.多途径提升教育人才素质。创新举措，开展校地合作，成立“刘飞博士工作室”，充分发挥博士专家的指导、服务与带动作用。组建了第三期教育专家工作站，并进一步完善了相关运行机制。联合高校研培，组织开展了第六期校级（后备）干部高级研修培训，全方位提升校长治理能力。四是继续实施教师队伍建设“三大工程”培训，认真遴选学员，多级参培，并通过团队建设、高校研修、教师论坛、送教下乡等形式，全面提升教师素质。一大批教坛先锋引领全区教师崇德修身，专业精进。1名校长被评为四川省中小学名校长；1名教师被评为四川省“教书育人”名教师；1名教师被列入盐都学术和技术带头人后备人选；1名校长被评为四川省第二批名校长；1名教师被确定为名师鼎兴工作室领衔人；2名校（园长）入选省名校长（园长）鼎兴工作室成员；2名教师入选2020年首批“盐都人才绿卡”发放对象。</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4.着力保障学校发展，办学条件不断改善。健全教育经费稳步增长机制。编制了经费保障实施方案、幼儿园财政补助实施方案。全力实施学校建设项目。“全面改薄”提升计划积极推进；檀木林幼儿园食堂已基本完工，机关幼儿园等扩建工程稳步推进农；团小学教师周转房已投入使用，三十五中教师周转房、仲权小学运动场已完工；光大街小学综合楼已完成主体；六中学生宿舍楼约2600平米已招标开工。</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5.坚持立德树人，素质教育不断深入。德育实践活动广泛开展，优秀典型引领校园风尚。评选“自流井区新时代好少年”20人，3名学生被评为市“新时代好少年”，1名学生被评为省“新时代好少年”。檀木林小学圆满承办2020年自贡市“新时代好少年”发布活动。艺体工作扎实开展。普及性艺术教育活动惠及更多学生，全区中小学生“手绘图书”及“非遗进校园”活动广受好评。积极开展美育类示范（特色）学校创建工作，光大街小学被评为市美育基地，育英小学评为市艺术传承学校，檀木林小学、东方小学被评为市优秀学生艺术社团。高度重视学校卫生保健及心理健康教育工作，有效推进学校健康专项促进行动，重点开展了防艾禁毒，结核病、新冠肺炎等传染病预防教育。落实落细各项工作措施，结合持续抓好校园常态化疫情防控，切实加强行为习惯养成教育与生命健康教育。全区投入资金100余万元，17所学校心理辅导室已投入使用，目前已提前完成创建标准化心理辅导室目标。</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6.构建完善体系，校园体育与群众体育蓬勃发展。深入开展“阳光体育”大课间活动，体育锻炼成为课后服务特色课堂，曾家岩小学、东方小学分别获得省“阳光体育”活动评比一、二等奖。足球特色示范区试点工作有序推进，组织举办了全区中小学校园足球联赛，校园足球氛围愈加浓厚，水平不断提升。5所幼儿园创建为全国足球特色幼儿园，7所学校创建为全国特色校园足球示范学校。六中女足参加省、市级校园足球最佳阵容遴选。承担的三个省运会项目坚持训练，二十三中选拔的举重运动员获得省青少年举重锦标赛3枚金牌。六中女足获得省锦标赛乙组第5名。全面完成体育场地普查，2020年全区健身场地392个，同比去年增加49个。巩固本级体育公共服务体系建设，按时保质保量完成农民健身工程8条，维修、维护、安装健身路径30余处。加强三级社会体育指导员的审批、管理与服务工作，全年500余人次参培，推荐70余名运动员参加二级、一级社会指导员培训。大力开展体育惠民工作，积极推进我区全民健身中心、学校体育场地设施体育面向社会免费或低收费开放工作，完成了免费或低收费开放任务。</w:t>
      </w:r>
    </w:p>
    <w:p>
      <w:pPr>
        <w:pStyle w:val="3"/>
        <w:rPr>
          <w:rStyle w:val="15"/>
          <w:b w:val="0"/>
          <w:bCs w:val="0"/>
        </w:rPr>
      </w:pPr>
      <w:bookmarkStart w:id="8" w:name="_Toc15396601"/>
      <w:bookmarkStart w:id="9" w:name="_Toc6092"/>
      <w:bookmarkStart w:id="10" w:name="_Toc15377200"/>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ascii="仿宋" w:hAnsi="仿宋" w:eastAsia="仿宋"/>
          <w:szCs w:val="32"/>
        </w:rPr>
      </w:pPr>
      <w:r>
        <w:rPr>
          <w:rFonts w:hint="eastAsia" w:ascii="仿宋" w:hAnsi="仿宋" w:eastAsia="仿宋"/>
          <w:szCs w:val="32"/>
        </w:rPr>
        <w:t>自贡市自流井区教育和体育局下属二级单位29个（含主管局本级），其中行政单位1个，参照公务员法管理的事业单位</w:t>
      </w:r>
      <w:r>
        <w:rPr>
          <w:rFonts w:hint="eastAsia" w:ascii="仿宋" w:hAnsi="仿宋" w:eastAsia="仿宋"/>
          <w:bCs/>
          <w:szCs w:val="32"/>
        </w:rPr>
        <w:t>0</w:t>
      </w:r>
      <w:r>
        <w:rPr>
          <w:rFonts w:hint="eastAsia" w:ascii="仿宋" w:hAnsi="仿宋" w:eastAsia="仿宋"/>
          <w:szCs w:val="32"/>
        </w:rPr>
        <w:t>个，其他事业单位28个。</w:t>
      </w:r>
    </w:p>
    <w:p>
      <w:pPr>
        <w:pStyle w:val="4"/>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纳入自贡市自流井区教育和体育局</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1.自贡市自流井区教育和体育局(本级)</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2.四川省自贡市第三十五中学</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3.四川省自贡市自流井区基础教育中心</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4.四川省自贡市自流井区少年宫</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5.自贡市托幼中心</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6.四川省自贡市自流井区大学.中专招生委员会办公室</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7.四川省自贡市自流井区塘坎上小学校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8.四川省自贡市自流井区檀木林小学校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9.四川省自贡市自流井区育英小学校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10.四川省自贡市自流井区曾家岩小学校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11.四川省自贡市自流井区光大街小学校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12.四川省自贡市自流井区大湾井小学校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13.四川省自贡市自流井区第一幼儿园</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14.四川省自贡市自流井区檀木林幼儿园</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15.四川省自贡市特殊教育学校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16.四川省自贡市自流井区教育和体育局学校后勤管理指导中心</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17.四川省自贡市自流井区鸿鹤小学校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18.四川省自贡市自流井区东方小学校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19.四川省自贡市自流井区农团中心小学校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20.四川省自贡市自流井区漆树乡中心小学校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21.四川省自贡市第二十三中学校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22.四川省自贡市自流井区仲权镇中心小学校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23.四川省自贡市德铭中学校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24.四川省自贡市自流井区舒坪中心小学校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25.四川省自贡市自流井区荣边镇中心小学校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26.四川省自贡市自流井区职业教育中心</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27.四川省自贡市市级机关幼儿园</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28.四川省自贡市第二十二中学校</w:t>
      </w:r>
    </w:p>
    <w:p>
      <w:pPr>
        <w:widowControl/>
        <w:ind w:firstLine="640" w:firstLineChars="200"/>
        <w:jc w:val="left"/>
        <w:rPr>
          <w:rFonts w:ascii="仿宋" w:hAnsi="仿宋" w:eastAsia="仿宋"/>
          <w:color w:val="000000"/>
          <w:kern w:val="0"/>
          <w:szCs w:val="32"/>
        </w:rPr>
      </w:pPr>
      <w:r>
        <w:rPr>
          <w:rFonts w:hint="eastAsia" w:ascii="仿宋" w:hAnsi="仿宋" w:eastAsia="仿宋"/>
          <w:color w:val="000000"/>
          <w:kern w:val="0"/>
          <w:szCs w:val="32"/>
        </w:rPr>
        <w:t>29.四川省自贡市第六中学校</w:t>
      </w:r>
      <w:r>
        <w:rPr>
          <w:rFonts w:ascii="仿宋" w:hAnsi="仿宋" w:eastAsia="仿宋"/>
          <w:color w:val="000000"/>
          <w:szCs w:val="32"/>
        </w:rPr>
        <w:br w:type="page"/>
      </w:r>
    </w:p>
    <w:p>
      <w:pPr>
        <w:pStyle w:val="2"/>
        <w:ind w:right="440"/>
        <w:jc w:val="right"/>
        <w:rPr>
          <w:rStyle w:val="14"/>
          <w:rFonts w:ascii="黑体" w:hAnsi="黑体" w:eastAsia="黑体"/>
          <w:b w:val="0"/>
          <w:bCs w:val="0"/>
        </w:rPr>
      </w:pPr>
      <w:bookmarkStart w:id="11" w:name="_Toc23109"/>
      <w:bookmarkStart w:id="12" w:name="_Toc15396602"/>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1"/>
        </w:numPr>
        <w:spacing w:line="600" w:lineRule="exact"/>
        <w:ind w:firstLineChars="0"/>
        <w:outlineLvl w:val="1"/>
        <w:rPr>
          <w:rStyle w:val="15"/>
          <w:rFonts w:ascii="黑体" w:hAnsi="黑体" w:eastAsia="黑体"/>
          <w:b w:val="0"/>
        </w:rPr>
      </w:pPr>
      <w:bookmarkStart w:id="14" w:name="_Toc15377205"/>
      <w:bookmarkStart w:id="15" w:name="_Toc7163"/>
      <w:bookmarkStart w:id="16" w:name="_Toc15396603"/>
      <w:r>
        <w:rPr>
          <w:rFonts w:hint="eastAsia" w:ascii="黑体" w:hAnsi="黑体" w:eastAsia="黑体"/>
          <w:color w:val="000000"/>
          <w:szCs w:val="32"/>
        </w:rPr>
        <w:t>收</w:t>
      </w:r>
      <w:r>
        <w:rPr>
          <w:rStyle w:val="15"/>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w:t>
      </w:r>
      <w:r>
        <w:rPr>
          <w:rFonts w:ascii="仿宋" w:hAnsi="仿宋" w:eastAsia="仿宋"/>
          <w:color w:val="000000"/>
          <w:szCs w:val="32"/>
        </w:rPr>
        <w:t>35,774.39</w:t>
      </w:r>
      <w:r>
        <w:rPr>
          <w:rFonts w:hint="eastAsia" w:ascii="仿宋" w:hAnsi="仿宋" w:eastAsia="仿宋"/>
          <w:color w:val="000000"/>
          <w:szCs w:val="32"/>
        </w:rPr>
        <w:t>万元。与</w:t>
      </w:r>
      <w:r>
        <w:rPr>
          <w:rFonts w:ascii="仿宋" w:hAnsi="仿宋" w:eastAsia="仿宋"/>
          <w:color w:val="000000"/>
          <w:szCs w:val="32"/>
        </w:rPr>
        <w:t>2019</w:t>
      </w:r>
      <w:r>
        <w:rPr>
          <w:rFonts w:hint="eastAsia" w:ascii="仿宋" w:hAnsi="仿宋" w:eastAsia="仿宋"/>
          <w:color w:val="000000"/>
          <w:szCs w:val="32"/>
        </w:rPr>
        <w:t>年</w:t>
      </w:r>
      <w:r>
        <w:rPr>
          <w:rFonts w:ascii="仿宋" w:hAnsi="仿宋" w:eastAsia="仿宋"/>
          <w:color w:val="000000"/>
          <w:szCs w:val="32"/>
        </w:rPr>
        <w:t>35,280.51</w:t>
      </w:r>
      <w:r>
        <w:rPr>
          <w:rFonts w:hint="eastAsia" w:ascii="仿宋" w:hAnsi="仿宋" w:eastAsia="仿宋"/>
          <w:color w:val="000000"/>
          <w:szCs w:val="32"/>
        </w:rPr>
        <w:t>万元相比，收、支总计各增加493.88万元，增长1.4</w:t>
      </w:r>
      <w:r>
        <w:rPr>
          <w:rFonts w:ascii="仿宋" w:hAnsi="仿宋" w:eastAsia="仿宋"/>
          <w:color w:val="000000"/>
          <w:szCs w:val="32"/>
        </w:rPr>
        <w:t>%</w:t>
      </w:r>
      <w:r>
        <w:rPr>
          <w:rFonts w:hint="eastAsia" w:ascii="仿宋" w:hAnsi="仿宋" w:eastAsia="仿宋"/>
          <w:color w:val="000000"/>
          <w:szCs w:val="32"/>
        </w:rPr>
        <w:t>。主要变动原因是教师薪酬增加、幼儿园工程建设支出、学前教育专项债券利息支出等。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77435" cy="3261360"/>
            <wp:effectExtent l="0" t="0" r="0" b="0"/>
            <wp:docPr id="2" name="图片 2" descr="C:\Users\喻\AppData\Roaming\Tencent\Users\50960838\QQ\WinTemp\RichOle\BIOJ8XQ~OF)370)SJ74UO}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喻\AppData\Roaming\Tencent\Users\50960838\QQ\WinTemp\RichOle\BIOJ8XQ~OF)370)SJ74UO}V.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78000" cy="3261600"/>
                    </a:xfrm>
                    <a:prstGeom prst="rect">
                      <a:avLst/>
                    </a:prstGeom>
                    <a:noFill/>
                    <a:ln>
                      <a:noFill/>
                    </a:ln>
                  </pic:spPr>
                </pic:pic>
              </a:graphicData>
            </a:graphic>
          </wp:inline>
        </w:drawing>
      </w:r>
    </w:p>
    <w:p>
      <w:pPr>
        <w:widowControl/>
        <w:jc w:val="center"/>
        <w:rPr>
          <w:rFonts w:ascii="宋体" w:hAnsi="宋体" w:eastAsia="宋体" w:cs="宋体"/>
          <w:kern w:val="0"/>
          <w:sz w:val="24"/>
        </w:rPr>
      </w:pPr>
    </w:p>
    <w:p>
      <w:pPr>
        <w:pStyle w:val="16"/>
        <w:numPr>
          <w:ilvl w:val="0"/>
          <w:numId w:val="1"/>
        </w:numPr>
        <w:spacing w:line="600" w:lineRule="exact"/>
        <w:ind w:firstLineChars="0"/>
        <w:outlineLvl w:val="1"/>
        <w:rPr>
          <w:rStyle w:val="15"/>
          <w:rFonts w:ascii="黑体" w:hAnsi="黑体" w:eastAsia="黑体"/>
          <w:b w:val="0"/>
        </w:rPr>
      </w:pPr>
      <w:bookmarkStart w:id="17" w:name="_Toc15396604"/>
      <w:bookmarkStart w:id="18" w:name="_Toc15377206"/>
      <w:bookmarkStart w:id="19" w:name="_Toc25258"/>
      <w:r>
        <w:rPr>
          <w:rFonts w:hint="eastAsia" w:ascii="黑体" w:hAnsi="黑体" w:eastAsia="黑体"/>
          <w:color w:val="000000"/>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w:t>
      </w:r>
      <w:r>
        <w:rPr>
          <w:rFonts w:ascii="仿宋" w:hAnsi="仿宋" w:eastAsia="仿宋"/>
          <w:color w:val="000000"/>
          <w:szCs w:val="32"/>
        </w:rPr>
        <w:t>31,486.34</w:t>
      </w:r>
      <w:r>
        <w:rPr>
          <w:rFonts w:hint="eastAsia" w:ascii="仿宋" w:hAnsi="仿宋" w:eastAsia="仿宋"/>
          <w:color w:val="000000"/>
          <w:szCs w:val="32"/>
        </w:rPr>
        <w:t>万元，其中：一般公共预算财政拨款收入</w:t>
      </w:r>
      <w:r>
        <w:rPr>
          <w:rFonts w:ascii="仿宋" w:hAnsi="仿宋" w:eastAsia="仿宋"/>
          <w:color w:val="000000"/>
          <w:szCs w:val="32"/>
        </w:rPr>
        <w:t>30,744.10</w:t>
      </w:r>
      <w:r>
        <w:rPr>
          <w:rFonts w:hint="eastAsia" w:ascii="仿宋" w:hAnsi="仿宋" w:eastAsia="仿宋"/>
          <w:color w:val="000000"/>
          <w:szCs w:val="32"/>
        </w:rPr>
        <w:t>万元，占97.64</w:t>
      </w:r>
      <w:r>
        <w:rPr>
          <w:rFonts w:ascii="仿宋" w:hAnsi="仿宋" w:eastAsia="仿宋"/>
          <w:color w:val="000000"/>
          <w:szCs w:val="32"/>
        </w:rPr>
        <w:t>%</w:t>
      </w:r>
      <w:r>
        <w:rPr>
          <w:rFonts w:hint="eastAsia" w:ascii="仿宋" w:hAnsi="仿宋" w:eastAsia="仿宋"/>
          <w:color w:val="000000"/>
          <w:szCs w:val="32"/>
        </w:rPr>
        <w:t>；政府性基金预算财政拨款收入</w:t>
      </w:r>
      <w:r>
        <w:rPr>
          <w:rFonts w:ascii="仿宋" w:hAnsi="仿宋" w:eastAsia="仿宋"/>
          <w:color w:val="000000"/>
          <w:szCs w:val="32"/>
        </w:rPr>
        <w:t>16.60</w:t>
      </w:r>
      <w:r>
        <w:rPr>
          <w:rFonts w:hint="eastAsia" w:ascii="仿宋" w:hAnsi="仿宋" w:eastAsia="仿宋"/>
          <w:color w:val="000000"/>
          <w:szCs w:val="32"/>
        </w:rPr>
        <w:t>万元，占0.05</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w:t>
      </w:r>
      <w:r>
        <w:rPr>
          <w:rFonts w:ascii="仿宋" w:hAnsi="仿宋" w:eastAsia="仿宋"/>
          <w:color w:val="000000"/>
          <w:szCs w:val="32"/>
        </w:rPr>
        <w:t>650.37</w:t>
      </w:r>
      <w:r>
        <w:rPr>
          <w:rFonts w:hint="eastAsia" w:ascii="仿宋" w:hAnsi="仿宋" w:eastAsia="仿宋"/>
          <w:color w:val="000000"/>
          <w:szCs w:val="32"/>
        </w:rPr>
        <w:t>万元，占2.07</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w:t>
      </w:r>
      <w:r>
        <w:rPr>
          <w:rFonts w:ascii="仿宋" w:hAnsi="仿宋" w:eastAsia="仿宋"/>
          <w:color w:val="000000"/>
          <w:szCs w:val="32"/>
        </w:rPr>
        <w:t>75.27</w:t>
      </w:r>
      <w:r>
        <w:rPr>
          <w:rFonts w:hint="eastAsia" w:ascii="仿宋" w:hAnsi="仿宋" w:eastAsia="仿宋"/>
          <w:color w:val="000000"/>
          <w:szCs w:val="32"/>
        </w:rPr>
        <w:t>万元，占0.24</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77435" cy="3254375"/>
            <wp:effectExtent l="0" t="0" r="0" b="3175"/>
            <wp:docPr id="3" name="图片 3" descr="C:\Users\喻\AppData\Roaming\Tencent\Users\50960838\QQ\WinTemp\RichOle\MV834]7HR7Z`MEP392JR0@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喻\AppData\Roaming\Tencent\Users\50960838\QQ\WinTemp\RichOle\MV834]7HR7Z`MEP392JR0@U.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78000" cy="3254400"/>
                    </a:xfrm>
                    <a:prstGeom prst="rect">
                      <a:avLst/>
                    </a:prstGeom>
                    <a:noFill/>
                    <a:ln>
                      <a:noFill/>
                    </a:ln>
                  </pic:spPr>
                </pic:pic>
              </a:graphicData>
            </a:graphic>
          </wp:inline>
        </w:drawing>
      </w:r>
    </w:p>
    <w:p>
      <w:pPr>
        <w:widowControl/>
        <w:jc w:val="center"/>
        <w:rPr>
          <w:rFonts w:ascii="宋体" w:hAnsi="宋体" w:eastAsia="宋体" w:cs="宋体"/>
          <w:kern w:val="0"/>
          <w:sz w:val="24"/>
        </w:rPr>
      </w:pPr>
    </w:p>
    <w:p>
      <w:pPr>
        <w:pStyle w:val="16"/>
        <w:numPr>
          <w:ilvl w:val="0"/>
          <w:numId w:val="1"/>
        </w:numPr>
        <w:spacing w:line="600" w:lineRule="exact"/>
        <w:ind w:firstLineChars="0"/>
        <w:outlineLvl w:val="1"/>
        <w:rPr>
          <w:rStyle w:val="15"/>
          <w:rFonts w:ascii="黑体" w:hAnsi="黑体" w:eastAsia="黑体"/>
          <w:b w:val="0"/>
        </w:rPr>
      </w:pPr>
      <w:bookmarkStart w:id="20" w:name="_Toc15377207"/>
      <w:bookmarkStart w:id="21" w:name="_Toc15396605"/>
      <w:bookmarkStart w:id="22" w:name="_Toc13725"/>
      <w:r>
        <w:rPr>
          <w:rFonts w:hint="eastAsia" w:ascii="黑体" w:hAnsi="黑体" w:eastAsia="黑体"/>
          <w:color w:val="000000"/>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w:t>
      </w:r>
      <w:r>
        <w:rPr>
          <w:rFonts w:ascii="仿宋" w:hAnsi="仿宋" w:eastAsia="仿宋"/>
          <w:color w:val="000000"/>
          <w:szCs w:val="32"/>
        </w:rPr>
        <w:t>31,160.24</w:t>
      </w:r>
      <w:r>
        <w:rPr>
          <w:rFonts w:hint="eastAsia" w:ascii="仿宋" w:hAnsi="仿宋" w:eastAsia="仿宋"/>
          <w:color w:val="000000"/>
          <w:szCs w:val="32"/>
        </w:rPr>
        <w:t>万元，其中：基本支出</w:t>
      </w:r>
      <w:r>
        <w:rPr>
          <w:rFonts w:ascii="仿宋" w:hAnsi="仿宋" w:eastAsia="仿宋"/>
          <w:color w:val="000000"/>
          <w:szCs w:val="32"/>
        </w:rPr>
        <w:t>25,669.67</w:t>
      </w:r>
      <w:r>
        <w:rPr>
          <w:rFonts w:hint="eastAsia" w:ascii="仿宋" w:hAnsi="仿宋" w:eastAsia="仿宋"/>
          <w:color w:val="000000"/>
          <w:szCs w:val="32"/>
        </w:rPr>
        <w:t>万元，占82.38</w:t>
      </w:r>
      <w:r>
        <w:rPr>
          <w:rFonts w:ascii="仿宋" w:hAnsi="仿宋" w:eastAsia="仿宋"/>
          <w:color w:val="000000"/>
          <w:szCs w:val="32"/>
        </w:rPr>
        <w:t>%</w:t>
      </w:r>
      <w:r>
        <w:rPr>
          <w:rFonts w:hint="eastAsia" w:ascii="仿宋" w:hAnsi="仿宋" w:eastAsia="仿宋"/>
          <w:color w:val="000000"/>
          <w:szCs w:val="32"/>
        </w:rPr>
        <w:t>；项目支出</w:t>
      </w:r>
      <w:r>
        <w:rPr>
          <w:rFonts w:ascii="仿宋" w:hAnsi="仿宋" w:eastAsia="仿宋"/>
          <w:color w:val="000000"/>
          <w:szCs w:val="32"/>
        </w:rPr>
        <w:t>5,490.55</w:t>
      </w:r>
      <w:r>
        <w:rPr>
          <w:rFonts w:hint="eastAsia" w:ascii="仿宋" w:hAnsi="仿宋" w:eastAsia="仿宋"/>
          <w:color w:val="000000"/>
          <w:szCs w:val="32"/>
        </w:rPr>
        <w:t>万元，占17.62</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77435" cy="3254375"/>
            <wp:effectExtent l="0" t="0" r="0" b="3175"/>
            <wp:docPr id="4" name="图片 4" descr="C:\Users\喻\AppData\Roaming\Tencent\Users\50960838\QQ\WinTemp\RichOle\TA`7AD]~Q4N%K@{%7_67{7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喻\AppData\Roaming\Tencent\Users\50960838\QQ\WinTemp\RichOle\TA`7AD]~Q4N%K@{%7_67{7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78000" cy="3254400"/>
                    </a:xfrm>
                    <a:prstGeom prst="rect">
                      <a:avLst/>
                    </a:prstGeom>
                    <a:noFill/>
                    <a:ln>
                      <a:noFill/>
                    </a:ln>
                  </pic:spPr>
                </pic:pic>
              </a:graphicData>
            </a:graphic>
          </wp:inline>
        </w:drawing>
      </w:r>
    </w:p>
    <w:p>
      <w:pPr>
        <w:spacing w:line="600" w:lineRule="exact"/>
        <w:ind w:firstLine="640" w:firstLineChars="200"/>
        <w:outlineLvl w:val="1"/>
        <w:rPr>
          <w:rFonts w:ascii="黑体" w:hAnsi="黑体" w:eastAsia="黑体"/>
          <w:color w:val="000000"/>
          <w:szCs w:val="32"/>
        </w:rPr>
      </w:pPr>
      <w:bookmarkStart w:id="23" w:name="_Toc15396606"/>
      <w:bookmarkStart w:id="24" w:name="_Toc10354"/>
      <w:bookmarkStart w:id="25" w:name="_Toc15377208"/>
    </w:p>
    <w:p>
      <w:pPr>
        <w:spacing w:line="600" w:lineRule="exact"/>
        <w:ind w:firstLine="640" w:firstLineChars="200"/>
        <w:outlineLvl w:val="1"/>
        <w:rPr>
          <w:rStyle w:val="15"/>
          <w:rFonts w:ascii="黑体" w:hAnsi="黑体" w:eastAsia="黑体"/>
          <w:b w:val="0"/>
        </w:rPr>
      </w:pPr>
      <w:r>
        <w:rPr>
          <w:rFonts w:hint="eastAsia" w:ascii="黑体" w:hAnsi="黑体" w:eastAsia="黑体"/>
          <w:color w:val="000000"/>
          <w:szCs w:val="32"/>
        </w:rPr>
        <w:t>四、财</w:t>
      </w:r>
      <w:r>
        <w:rPr>
          <w:rStyle w:val="15"/>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年财政拨款收、支总计35,016.13万元。与</w:t>
      </w:r>
      <w:r>
        <w:rPr>
          <w:rFonts w:ascii="仿宋" w:hAnsi="仿宋" w:eastAsia="仿宋"/>
          <w:color w:val="000000"/>
          <w:szCs w:val="32"/>
        </w:rPr>
        <w:t>2019</w:t>
      </w:r>
      <w:r>
        <w:rPr>
          <w:rFonts w:hint="eastAsia" w:ascii="仿宋" w:hAnsi="仿宋" w:eastAsia="仿宋"/>
          <w:color w:val="000000"/>
          <w:szCs w:val="32"/>
        </w:rPr>
        <w:t>年34,273.68相比，财政拨款收、支总计增加742.45万元，增长2.17</w:t>
      </w:r>
      <w:r>
        <w:rPr>
          <w:rFonts w:ascii="仿宋" w:hAnsi="仿宋" w:eastAsia="仿宋"/>
          <w:color w:val="000000"/>
          <w:szCs w:val="32"/>
        </w:rPr>
        <w:t>%</w:t>
      </w:r>
      <w:r>
        <w:rPr>
          <w:rFonts w:hint="eastAsia" w:ascii="仿宋" w:hAnsi="仿宋" w:eastAsia="仿宋"/>
          <w:color w:val="000000"/>
          <w:szCs w:val="32"/>
        </w:rPr>
        <w:t>。主要变动原因是教师薪酬增加、幼儿园工程建设支出、学前教育专项债券利息支出等。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65170"/>
            <wp:effectExtent l="0" t="0" r="0" b="0"/>
            <wp:docPr id="5" name="图片 5" descr="C:\Users\喻\AppData\Roaming\Tencent\Users\50960838\QQ\WinTemp\RichOle\%~N[LW]B}U}78AO846}DWZ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喻\AppData\Roaming\Tencent\Users\50960838\QQ\WinTemp\RichOle\%~N[LW]B}U}78AO846}DWZ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81600" cy="3265200"/>
                    </a:xfrm>
                    <a:prstGeom prst="rect">
                      <a:avLst/>
                    </a:prstGeom>
                    <a:noFill/>
                    <a:ln>
                      <a:noFill/>
                    </a:ln>
                  </pic:spPr>
                </pic:pic>
              </a:graphicData>
            </a:graphic>
          </wp:inline>
        </w:drawing>
      </w:r>
    </w:p>
    <w:p>
      <w:pPr>
        <w:spacing w:line="600" w:lineRule="exact"/>
        <w:ind w:firstLine="640" w:firstLineChars="200"/>
        <w:outlineLvl w:val="1"/>
        <w:rPr>
          <w:rStyle w:val="15"/>
          <w:rFonts w:ascii="黑体" w:hAnsi="黑体" w:eastAsia="黑体"/>
          <w:b w:val="0"/>
        </w:rPr>
      </w:pPr>
      <w:bookmarkStart w:id="26" w:name="_Toc15377209"/>
      <w:bookmarkStart w:id="27" w:name="_Toc10967"/>
      <w:bookmarkStart w:id="28" w:name="_Toc15396607"/>
      <w:r>
        <w:rPr>
          <w:rFonts w:hint="eastAsia" w:ascii="黑体" w:hAnsi="黑体" w:eastAsia="黑体"/>
          <w:color w:val="000000"/>
          <w:szCs w:val="32"/>
        </w:rPr>
        <w:t>五、</w:t>
      </w:r>
      <w:r>
        <w:rPr>
          <w:rFonts w:hint="eastAsia" w:ascii="黑体" w:hAnsi="黑体" w:eastAsia="黑体"/>
          <w:b/>
          <w:color w:val="000000"/>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30,257.07</w:t>
      </w:r>
      <w:r>
        <w:rPr>
          <w:rFonts w:hint="eastAsia" w:ascii="仿宋" w:hAnsi="仿宋" w:eastAsia="仿宋"/>
          <w:color w:val="000000"/>
          <w:szCs w:val="32"/>
        </w:rPr>
        <w:t>万元，占本年支出合计的86.41</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w:t>
      </w:r>
      <w:r>
        <w:rPr>
          <w:rFonts w:ascii="仿宋" w:hAnsi="仿宋" w:eastAsia="仿宋"/>
          <w:color w:val="000000"/>
          <w:szCs w:val="32"/>
        </w:rPr>
        <w:t>25,872.32万元</w:t>
      </w:r>
      <w:r>
        <w:rPr>
          <w:rFonts w:hint="eastAsia" w:ascii="仿宋" w:hAnsi="仿宋" w:eastAsia="仿宋"/>
          <w:color w:val="000000"/>
          <w:szCs w:val="32"/>
        </w:rPr>
        <w:t>相比，一般公共预算财政拨款增加4384.75万元，增长16.95</w:t>
      </w:r>
      <w:r>
        <w:rPr>
          <w:rFonts w:ascii="仿宋" w:hAnsi="仿宋" w:eastAsia="仿宋"/>
          <w:color w:val="000000"/>
          <w:szCs w:val="32"/>
        </w:rPr>
        <w:t>%</w:t>
      </w:r>
      <w:r>
        <w:rPr>
          <w:rFonts w:hint="eastAsia" w:ascii="仿宋" w:hAnsi="仿宋" w:eastAsia="仿宋"/>
          <w:color w:val="000000"/>
          <w:szCs w:val="32"/>
        </w:rPr>
        <w:t>。主要变动原因是教师薪酬增加、幼儿园工程建设支出、学前教育专项债券利息支出等。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77435" cy="3254375"/>
            <wp:effectExtent l="0" t="0" r="0" b="3175"/>
            <wp:docPr id="6" name="图片 6" descr="C:\Users\喻\AppData\Roaming\Tencent\Users\50960838\QQ\WinTemp\RichOle\G`7B~`_6J}R4WIAGQ3}LUJ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喻\AppData\Roaming\Tencent\Users\50960838\QQ\WinTemp\RichOle\G`7B~`_6J}R4WIAGQ3}LUJ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78000" cy="3254400"/>
                    </a:xfrm>
                    <a:prstGeom prst="rect">
                      <a:avLst/>
                    </a:prstGeom>
                    <a:noFill/>
                    <a:ln>
                      <a:noFill/>
                    </a:ln>
                  </pic:spPr>
                </pic:pic>
              </a:graphicData>
            </a:graphic>
          </wp:inline>
        </w:drawing>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30,257.07</w:t>
      </w:r>
      <w:r>
        <w:rPr>
          <w:rFonts w:hint="eastAsia" w:ascii="仿宋" w:hAnsi="仿宋" w:eastAsia="仿宋"/>
          <w:color w:val="000000"/>
          <w:szCs w:val="32"/>
        </w:rPr>
        <w:t>万元，主要用于以下方面</w:t>
      </w:r>
      <w:r>
        <w:rPr>
          <w:rFonts w:ascii="仿宋" w:hAnsi="仿宋" w:eastAsia="仿宋"/>
          <w:color w:val="000000"/>
          <w:szCs w:val="32"/>
        </w:rPr>
        <w:t>:</w:t>
      </w:r>
      <w:r>
        <w:rPr>
          <w:rFonts w:hint="eastAsia"/>
        </w:rPr>
        <w:t xml:space="preserve"> </w:t>
      </w:r>
      <w:r>
        <w:rPr>
          <w:rFonts w:hint="eastAsia" w:ascii="仿宋" w:hAnsi="仿宋" w:eastAsia="仿宋"/>
          <w:b/>
          <w:color w:val="000000"/>
          <w:szCs w:val="32"/>
        </w:rPr>
        <w:t>教育支出（类）</w:t>
      </w:r>
      <w:r>
        <w:rPr>
          <w:rFonts w:hint="eastAsia" w:ascii="仿宋" w:hAnsi="仿宋" w:eastAsia="仿宋"/>
          <w:color w:val="000000"/>
          <w:szCs w:val="32"/>
        </w:rPr>
        <w:t>支出</w:t>
      </w:r>
      <w:r>
        <w:rPr>
          <w:rFonts w:ascii="仿宋" w:hAnsi="仿宋" w:eastAsia="仿宋"/>
          <w:color w:val="000000"/>
          <w:szCs w:val="32"/>
        </w:rPr>
        <w:t>29,920.39</w:t>
      </w:r>
      <w:r>
        <w:rPr>
          <w:rFonts w:hint="eastAsia" w:ascii="仿宋" w:hAnsi="仿宋" w:eastAsia="仿宋"/>
          <w:color w:val="000000"/>
          <w:szCs w:val="32"/>
        </w:rPr>
        <w:t>万元，占98.89</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文化旅游体育与传媒支出（类）</w:t>
      </w:r>
      <w:r>
        <w:rPr>
          <w:rFonts w:ascii="仿宋" w:hAnsi="仿宋" w:eastAsia="仿宋"/>
          <w:color w:val="000000"/>
          <w:szCs w:val="32"/>
        </w:rPr>
        <w:t>304.58</w:t>
      </w:r>
      <w:r>
        <w:rPr>
          <w:rFonts w:hint="eastAsia" w:ascii="仿宋" w:hAnsi="仿宋" w:eastAsia="仿宋"/>
          <w:color w:val="000000"/>
          <w:szCs w:val="32"/>
        </w:rPr>
        <w:t>万元，占1</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w:t>
      </w:r>
      <w:r>
        <w:rPr>
          <w:rFonts w:ascii="仿宋" w:hAnsi="仿宋" w:eastAsia="仿宋"/>
          <w:color w:val="000000"/>
          <w:szCs w:val="32"/>
        </w:rPr>
        <w:t>23.41</w:t>
      </w:r>
      <w:r>
        <w:rPr>
          <w:rFonts w:hint="eastAsia" w:ascii="仿宋" w:hAnsi="仿宋" w:eastAsia="仿宋"/>
          <w:color w:val="000000"/>
          <w:szCs w:val="32"/>
        </w:rPr>
        <w:t>万元，占0.08</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8.69万元，占0.03</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b/>
          <w:color w:val="000000"/>
          <w:szCs w:val="32"/>
        </w:rPr>
        <w:t xml:space="preserve"> </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77435" cy="3254375"/>
            <wp:effectExtent l="0" t="0" r="0" b="3175"/>
            <wp:docPr id="7" name="图片 7" descr="C:\Users\喻\AppData\Roaming\Tencent\Users\50960838\QQ\WinTemp\RichOle\IBZX[57Y)Q[4H%4}N19YO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喻\AppData\Roaming\Tencent\Users\50960838\QQ\WinTemp\RichOle\IBZX[57Y)Q[4H%4}N19YO2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8000" cy="3254400"/>
                    </a:xfrm>
                    <a:prstGeom prst="rect">
                      <a:avLst/>
                    </a:prstGeom>
                    <a:noFill/>
                    <a:ln>
                      <a:noFill/>
                    </a:ln>
                  </pic:spPr>
                </pic:pic>
              </a:graphicData>
            </a:graphic>
          </wp:inline>
        </w:drawing>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8460"/>
      <w:bookmarkStart w:id="33" w:name="_Toc15377444"/>
      <w:bookmarkStart w:id="34" w:name="_Toc15377213"/>
      <w:r>
        <w:rPr>
          <w:rFonts w:ascii="仿宋" w:hAnsi="仿宋" w:eastAsia="仿宋"/>
          <w:b/>
          <w:color w:val="000000"/>
          <w:szCs w:val="32"/>
        </w:rPr>
        <w:t>2020</w:t>
      </w:r>
      <w:r>
        <w:rPr>
          <w:rFonts w:hint="eastAsia" w:ascii="仿宋" w:hAnsi="仿宋" w:eastAsia="仿宋"/>
          <w:b/>
          <w:color w:val="000000"/>
          <w:szCs w:val="32"/>
        </w:rPr>
        <w:t>年一般公共预算支出决算数为</w:t>
      </w:r>
      <w:r>
        <w:rPr>
          <w:rFonts w:ascii="仿宋" w:hAnsi="仿宋" w:eastAsia="仿宋"/>
          <w:b/>
          <w:color w:val="000000"/>
          <w:szCs w:val="32"/>
        </w:rPr>
        <w:t>30,257.07万元</w:t>
      </w:r>
      <w:r>
        <w:rPr>
          <w:rFonts w:hint="eastAsia" w:ascii="仿宋" w:hAnsi="仿宋" w:eastAsia="仿宋"/>
          <w:color w:val="000000"/>
          <w:szCs w:val="32"/>
        </w:rPr>
        <w:t>，</w:t>
      </w:r>
      <w:r>
        <w:rPr>
          <w:rStyle w:val="12"/>
          <w:rFonts w:hint="eastAsia" w:ascii="仿宋" w:hAnsi="仿宋" w:eastAsia="仿宋"/>
          <w:bCs/>
          <w:color w:val="000000"/>
          <w:szCs w:val="32"/>
        </w:rPr>
        <w:t>完成预算98.42</w:t>
      </w:r>
      <w:r>
        <w:rPr>
          <w:rStyle w:val="12"/>
          <w:rFonts w:ascii="仿宋" w:hAnsi="仿宋" w:eastAsia="仿宋"/>
          <w:bCs/>
          <w:color w:val="000000"/>
          <w:szCs w:val="32"/>
        </w:rPr>
        <w:t>%</w:t>
      </w:r>
      <w:r>
        <w:rPr>
          <w:rStyle w:val="12"/>
          <w:rFonts w:hint="eastAsia" w:ascii="仿宋" w:hAnsi="仿宋" w:eastAsia="仿宋"/>
          <w:bCs/>
          <w:color w:val="000000"/>
          <w:szCs w:val="32"/>
        </w:rPr>
        <w:t>。其中：</w:t>
      </w:r>
      <w:bookmarkEnd w:id="32"/>
      <w:bookmarkEnd w:id="33"/>
      <w:bookmarkEnd w:id="34"/>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1.教育支出（类）教育管理事务（类）行政运行: 支出决算为333.82万元，完成预算100%。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2.教育支出（类）教育管理事务（类）其他教育管理事务支出: 支出决算为181.58万元，完成预算86.99%，决算数小于预算数的主要原因是机关结转基本支出资金。</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3.教育支出（类）普通教育（类）学前教育: 支出决算为5350.62万元，完成预算100%。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4.教育支出（类）普通教育（类）小学教育: 支出决算为14135.09万元，完成预算100%。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5.教育支出（类）普通教育（类）初中教育: 支出决算为5383.43万元，完成预算100%。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6.教育支出（类）普通教育（类）高中教育: 支出决算为2408.9万元，完成预算</w:t>
      </w:r>
      <w:r>
        <w:rPr>
          <w:rStyle w:val="12"/>
          <w:rFonts w:ascii="仿宋" w:hAnsi="仿宋" w:eastAsia="仿宋"/>
          <w:b w:val="0"/>
          <w:bCs/>
          <w:color w:val="000000"/>
          <w:szCs w:val="32"/>
        </w:rPr>
        <w:t>87.99%</w:t>
      </w:r>
      <w:r>
        <w:rPr>
          <w:rStyle w:val="12"/>
          <w:rFonts w:hint="eastAsia" w:ascii="仿宋" w:hAnsi="仿宋" w:eastAsia="仿宋"/>
          <w:b w:val="0"/>
          <w:bCs/>
          <w:color w:val="000000"/>
          <w:szCs w:val="32"/>
        </w:rPr>
        <w:t>，决算数小于预算数的主要原因是二十二中学校结转基本支出。</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7.教育支出（类）普通教育（类）高等教育: 支出决算为20.36万元，完成预算</w:t>
      </w:r>
      <w:r>
        <w:rPr>
          <w:rStyle w:val="12"/>
          <w:rFonts w:ascii="仿宋" w:hAnsi="仿宋" w:eastAsia="仿宋"/>
          <w:b w:val="0"/>
          <w:bCs/>
          <w:color w:val="000000"/>
          <w:szCs w:val="32"/>
        </w:rPr>
        <w:t>97.32</w:t>
      </w:r>
      <w:r>
        <w:rPr>
          <w:rStyle w:val="12"/>
          <w:rFonts w:hint="eastAsia" w:ascii="仿宋" w:hAnsi="仿宋" w:eastAsia="仿宋"/>
          <w:b w:val="0"/>
          <w:bCs/>
          <w:color w:val="000000"/>
          <w:szCs w:val="32"/>
        </w:rPr>
        <w:t>%，决算数小于预算数的主要原因是</w:t>
      </w:r>
      <w:r>
        <w:rPr>
          <w:rFonts w:hint="eastAsia" w:ascii="仿宋" w:hAnsi="仿宋" w:eastAsia="仿宋"/>
          <w:color w:val="000000"/>
          <w:kern w:val="0"/>
          <w:szCs w:val="32"/>
        </w:rPr>
        <w:t>学校后勤管理指导中心结转基本支出</w:t>
      </w:r>
      <w:r>
        <w:rPr>
          <w:rStyle w:val="12"/>
          <w:rFonts w:hint="eastAsia" w:ascii="仿宋" w:hAnsi="仿宋" w:eastAsia="仿宋"/>
          <w:b w:val="0"/>
          <w:bCs/>
          <w:color w:val="000000"/>
          <w:szCs w:val="32"/>
        </w:rPr>
        <w:t>。</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8.教育支出（类）普通教育（类）其他普通教育支出: 支出决算为281.03万元，完成预算100%。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9.教育支出（类）职业教育（类）中等职业教育: 支出决算为65.86万元，完成预算100%。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10.教育支出（类）职业教育（类）其他职业教育支出: 支出决算为111.2万元，完成预算</w:t>
      </w:r>
      <w:r>
        <w:rPr>
          <w:rStyle w:val="12"/>
          <w:rFonts w:ascii="仿宋" w:hAnsi="仿宋" w:eastAsia="仿宋"/>
          <w:b w:val="0"/>
          <w:bCs/>
          <w:color w:val="000000"/>
          <w:szCs w:val="32"/>
        </w:rPr>
        <w:t>98.29</w:t>
      </w:r>
      <w:r>
        <w:rPr>
          <w:rStyle w:val="12"/>
          <w:rFonts w:hint="eastAsia" w:ascii="仿宋" w:hAnsi="仿宋" w:eastAsia="仿宋"/>
          <w:b w:val="0"/>
          <w:bCs/>
          <w:color w:val="000000"/>
          <w:szCs w:val="32"/>
        </w:rPr>
        <w:t>%，决算数小于预算数的主要原因是职教中心结转基本支出。</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11.教育支出（类）特殊教育（类）特殊学校教育: 支出决算为642.35万元，完成预算100%。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12.教育支出（类）进修及培训（类）教师进修: 支出决算为564.83万元，完成预算100%。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13.教育支出（类）教育费附加安排的支出（类）农村中小学校舍建设: 支出决算为84万元，完成预算100%。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14.教育支出（类）教育费附加安排的支出（类）农村中小学教学设施: 支出决算为70.87万元，完成预算100%。</w:t>
      </w:r>
      <w:r>
        <w:rPr>
          <w:rStyle w:val="12"/>
          <w:rFonts w:ascii="仿宋" w:hAnsi="仿宋" w:eastAsia="仿宋"/>
          <w:b w:val="0"/>
          <w:bCs/>
          <w:color w:val="000000"/>
          <w:szCs w:val="32"/>
        </w:rPr>
        <w:t xml:space="preserve"> </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15.教育支出（类）教育费附加安排的支出（类）城市中小学教学设施: 支出决算为75万元，完成预算100%。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16.教育支出（类）教育费附加安排的支出（类）其他教育费附加安排的支出: 支出决算为211.45万元，完成预算100%。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17.文化旅游体育与传媒支出（类）体育（类）群众体育: 支出决算为3.86万元，完成预算100%。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18.文化旅游体育与传媒支出（类）体育（类）其他体育支出: 支出决算为300.72万元，完成预算10.02%，决算数小于预算数的主要原因是一般债券资金未实现支付。</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19.社会保障和就业支出（类）行政事业单位养老支出（类）行政单位离退休: 支出决算为9.6万元，完成预算100%。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20.社会保障和就业支出（类）行政事业单位养老支出（类）事业单位离退休: 支出决算为0.06万元，完成预算100%。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21.社会保障和就业支出（类）行政事业单位养老支出（类）机关事业单位基本养老保险缴费支出: 支出决算为13.75万元，完成预算79.58%，决算数小于预算数的主要原因是机关结转基本支出资金。</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22.卫生健康支出（类）行政事业单位医疗（类）行政单位医疗: 支出决算为8.36万元，完成预算100%。</w:t>
      </w:r>
    </w:p>
    <w:p>
      <w:pPr>
        <w:spacing w:line="600" w:lineRule="exact"/>
        <w:ind w:firstLine="640" w:firstLineChars="200"/>
        <w:rPr>
          <w:rFonts w:ascii="仿宋" w:hAnsi="仿宋" w:eastAsia="仿宋"/>
          <w:color w:val="000000"/>
          <w:szCs w:val="32"/>
        </w:rPr>
      </w:pPr>
      <w:r>
        <w:rPr>
          <w:rStyle w:val="12"/>
          <w:rFonts w:hint="eastAsia" w:ascii="仿宋" w:hAnsi="仿宋" w:eastAsia="仿宋"/>
          <w:b w:val="0"/>
          <w:bCs/>
          <w:color w:val="000000"/>
          <w:szCs w:val="32"/>
        </w:rPr>
        <w:t>23.卫生健康支出（类）行政事业单位医疗（类）事业单位医疗: 支出决算为0.33万元，完成预算100%。</w:t>
      </w:r>
    </w:p>
    <w:p>
      <w:pPr>
        <w:tabs>
          <w:tab w:val="right" w:pos="8306"/>
        </w:tabs>
        <w:spacing w:line="600" w:lineRule="exact"/>
        <w:ind w:firstLine="640"/>
        <w:outlineLvl w:val="1"/>
        <w:rPr>
          <w:rFonts w:ascii="黑体" w:eastAsia="黑体"/>
          <w:color w:val="000000"/>
          <w:szCs w:val="32"/>
        </w:rPr>
      </w:pPr>
      <w:bookmarkStart w:id="35" w:name="_Toc15396608"/>
      <w:bookmarkStart w:id="36" w:name="_Toc15377214"/>
      <w:bookmarkStart w:id="37" w:name="_Toc31021"/>
    </w:p>
    <w:p>
      <w:pPr>
        <w:tabs>
          <w:tab w:val="right" w:pos="8306"/>
        </w:tabs>
        <w:spacing w:line="600" w:lineRule="exact"/>
        <w:ind w:firstLine="640"/>
        <w:outlineLvl w:val="1"/>
        <w:rPr>
          <w:rStyle w:val="15"/>
        </w:rPr>
      </w:pPr>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5"/>
          <w:rFonts w:hint="eastAsia" w:ascii="黑体" w:hAnsi="黑体" w:eastAsia="黑体"/>
          <w:b w:val="0"/>
        </w:rPr>
        <w:t>般公共预算财政拨款基本支出决算情况说明</w:t>
      </w:r>
      <w:bookmarkEnd w:id="35"/>
      <w:bookmarkEnd w:id="36"/>
      <w:bookmarkEnd w:id="37"/>
      <w:r>
        <w:rPr>
          <w:rStyle w:val="15"/>
          <w:rFonts w:ascii="黑体" w:hAnsi="黑体" w:eastAsia="黑体"/>
          <w:b w:val="0"/>
        </w:rPr>
        <w:tab/>
      </w:r>
    </w:p>
    <w:p>
      <w:pPr>
        <w:spacing w:line="600" w:lineRule="exact"/>
        <w:ind w:firstLine="645"/>
        <w:rPr>
          <w:rFonts w:hint="eastAsia" w:ascii="仿宋" w:hAnsi="仿宋" w:eastAsia="仿宋"/>
          <w:color w:val="000000"/>
          <w:szCs w:val="32"/>
          <w:lang w:eastAsia="zh-CN"/>
        </w:rPr>
      </w:pPr>
      <w:r>
        <w:rPr>
          <w:rFonts w:ascii="仿宋" w:hAnsi="仿宋" w:eastAsia="仿宋"/>
          <w:color w:val="000000"/>
          <w:szCs w:val="32"/>
        </w:rPr>
        <w:t>2020</w:t>
      </w:r>
      <w:r>
        <w:rPr>
          <w:rFonts w:hint="eastAsia" w:ascii="仿宋" w:hAnsi="仿宋" w:eastAsia="仿宋"/>
          <w:color w:val="000000"/>
          <w:szCs w:val="32"/>
        </w:rPr>
        <w:t>年一般公共预算财政拨款基本支出</w:t>
      </w:r>
      <w:r>
        <w:rPr>
          <w:rFonts w:ascii="仿宋" w:hAnsi="仿宋" w:eastAsia="仿宋"/>
          <w:color w:val="000000"/>
          <w:szCs w:val="32"/>
        </w:rPr>
        <w:t>24,950.14</w:t>
      </w:r>
      <w:r>
        <w:rPr>
          <w:rFonts w:hint="eastAsia" w:ascii="仿宋" w:hAnsi="仿宋" w:eastAsia="仿宋"/>
          <w:color w:val="000000"/>
          <w:szCs w:val="32"/>
        </w:rPr>
        <w:t>万元，其中：人员经费21,975.63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Cs w:val="32"/>
        </w:rPr>
      </w:pPr>
      <w:r>
        <w:rPr>
          <w:rFonts w:hint="eastAsia" w:ascii="仿宋" w:hAnsi="仿宋" w:eastAsia="仿宋"/>
          <w:color w:val="000000"/>
          <w:szCs w:val="32"/>
        </w:rPr>
        <w:t>　　日常公用经费2,974.51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Fonts w:ascii="黑体" w:eastAsia="黑体"/>
          <w:color w:val="000000"/>
          <w:szCs w:val="32"/>
        </w:rPr>
      </w:pPr>
      <w:bookmarkStart w:id="38" w:name="_Toc15396609"/>
      <w:bookmarkStart w:id="39" w:name="_Toc15377215"/>
      <w:bookmarkStart w:id="40" w:name="_Toc6926"/>
    </w:p>
    <w:p>
      <w:pPr>
        <w:spacing w:line="600" w:lineRule="exact"/>
        <w:ind w:firstLine="640"/>
        <w:outlineLvl w:val="1"/>
        <w:rPr>
          <w:rStyle w:val="15"/>
          <w:rFonts w:ascii="黑体" w:hAnsi="黑体" w:eastAsia="黑体"/>
          <w:b w:val="0"/>
        </w:rPr>
      </w:pPr>
      <w:r>
        <w:rPr>
          <w:rFonts w:hint="eastAsia" w:ascii="黑体" w:eastAsia="黑体"/>
          <w:color w:val="000000"/>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w:t>
      </w:r>
      <w:r>
        <w:rPr>
          <w:rFonts w:ascii="仿宋" w:hAnsi="仿宋" w:eastAsia="仿宋"/>
          <w:color w:val="000000"/>
          <w:szCs w:val="32"/>
        </w:rPr>
        <w:t>1.71</w:t>
      </w:r>
      <w:r>
        <w:rPr>
          <w:rFonts w:hint="eastAsia" w:ascii="仿宋" w:hAnsi="仿宋" w:eastAsia="仿宋"/>
          <w:color w:val="000000"/>
          <w:szCs w:val="32"/>
        </w:rPr>
        <w:t>万元，完成预算32.2</w:t>
      </w:r>
      <w:r>
        <w:rPr>
          <w:rFonts w:ascii="仿宋" w:hAnsi="仿宋" w:eastAsia="仿宋"/>
          <w:color w:val="000000"/>
          <w:szCs w:val="32"/>
        </w:rPr>
        <w:t>%</w:t>
      </w:r>
      <w:r>
        <w:rPr>
          <w:rFonts w:hint="eastAsia" w:ascii="仿宋" w:hAnsi="仿宋" w:eastAsia="仿宋"/>
          <w:color w:val="000000"/>
          <w:szCs w:val="32"/>
        </w:rPr>
        <w:t>，决算数小于预算数的主要原因是各单位厉行节约，杜绝不必要的“三公”开销。</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；公务用车购置及运行维护费支出决算1.61万元，占94.15</w:t>
      </w:r>
      <w:r>
        <w:rPr>
          <w:rFonts w:ascii="仿宋" w:hAnsi="仿宋" w:eastAsia="仿宋"/>
          <w:color w:val="000000"/>
          <w:szCs w:val="32"/>
        </w:rPr>
        <w:t>%</w:t>
      </w:r>
      <w:r>
        <w:rPr>
          <w:rFonts w:hint="eastAsia" w:ascii="仿宋" w:hAnsi="仿宋" w:eastAsia="仿宋"/>
          <w:color w:val="000000"/>
          <w:szCs w:val="32"/>
        </w:rPr>
        <w:t>；公务接待费支出决算0.1万元，占5.85</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57550"/>
            <wp:effectExtent l="0" t="0" r="0" b="0"/>
            <wp:docPr id="8" name="图片 8" descr="C:\Users\喻\AppData\Roaming\Tencent\Users\50960838\QQ\WinTemp\RichOle\952Y[CAGQVV42U52KTMCIK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喻\AppData\Roaming\Tencent\Users\50960838\QQ\WinTemp\RichOle\952Y[CAGQVV42U52KTMCIK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81600" cy="3258000"/>
                    </a:xfrm>
                    <a:prstGeom prst="rect">
                      <a:avLst/>
                    </a:prstGeom>
                    <a:noFill/>
                    <a:ln>
                      <a:noFill/>
                    </a:ln>
                  </pic:spPr>
                </pic:pic>
              </a:graphicData>
            </a:graphic>
          </wp:inline>
        </w:drawing>
      </w:r>
    </w:p>
    <w:p>
      <w:pPr>
        <w:spacing w:line="600" w:lineRule="exact"/>
        <w:ind w:firstLine="640"/>
        <w:rPr>
          <w:rFonts w:ascii="仿宋_GB2312"/>
          <w:b/>
          <w:color w:val="000000"/>
          <w:szCs w:val="32"/>
        </w:rPr>
      </w:pPr>
    </w:p>
    <w:p>
      <w:pPr>
        <w:spacing w:line="600" w:lineRule="exact"/>
        <w:ind w:firstLine="640"/>
        <w:rPr>
          <w:rFonts w:ascii="仿宋_GB2312"/>
          <w:b/>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全年安排因公出国（境）团组0次，出国（境）0人。因公出国（境）支出决算比</w:t>
      </w:r>
      <w:r>
        <w:rPr>
          <w:rFonts w:ascii="仿宋_GB2312"/>
          <w:color w:val="000000"/>
          <w:szCs w:val="32"/>
        </w:rPr>
        <w:t>201</w:t>
      </w:r>
      <w:r>
        <w:rPr>
          <w:rFonts w:hint="eastAsia" w:ascii="仿宋_GB2312"/>
          <w:color w:val="000000"/>
          <w:szCs w:val="32"/>
        </w:rPr>
        <w:t>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1.61万元</w:t>
      </w:r>
      <w:r>
        <w:rPr>
          <w:rFonts w:ascii="仿宋_GB2312"/>
          <w:color w:val="000000"/>
          <w:szCs w:val="32"/>
        </w:rPr>
        <w:t>,</w:t>
      </w:r>
      <w:r>
        <w:rPr>
          <w:rStyle w:val="12"/>
          <w:rFonts w:hint="eastAsia" w:ascii="仿宋" w:hAnsi="仿宋" w:eastAsia="仿宋"/>
          <w:b w:val="0"/>
          <w:bCs/>
          <w:color w:val="000000"/>
          <w:szCs w:val="32"/>
        </w:rPr>
        <w:t>完成预算100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公务用车购置及运行维护费支出决算比2019年减少0.06万元，下降3.59</w:t>
      </w:r>
      <w:r>
        <w:rPr>
          <w:rFonts w:ascii="仿宋_GB2312"/>
          <w:color w:val="000000"/>
          <w:szCs w:val="32"/>
        </w:rPr>
        <w:t>%</w:t>
      </w:r>
      <w:r>
        <w:rPr>
          <w:rFonts w:hint="eastAsia" w:ascii="仿宋_GB2312"/>
          <w:color w:val="000000"/>
          <w:szCs w:val="32"/>
        </w:rPr>
        <w:t>。主要原因是严格执行公车制度，厉行节约。</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月底，单位共有公务用车1辆，其中：轿车0辆、越野车0辆、载客汽车1辆。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1.61万元。主要用于学校女足参赛、训练接送等所需的公务用车燃料费、维修费、过路过桥费、保险费等支出。</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0.1万元，</w:t>
      </w:r>
      <w:r>
        <w:rPr>
          <w:rStyle w:val="12"/>
          <w:rFonts w:hint="eastAsia" w:ascii="仿宋" w:hAnsi="仿宋" w:eastAsia="仿宋"/>
          <w:b w:val="0"/>
          <w:bCs/>
          <w:color w:val="000000"/>
          <w:szCs w:val="32"/>
        </w:rPr>
        <w:t>完成预算2.7</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年减少0.04万元，下降28.57</w:t>
      </w:r>
      <w:r>
        <w:rPr>
          <w:rFonts w:ascii="仿宋_GB2312"/>
          <w:color w:val="000000"/>
          <w:szCs w:val="32"/>
        </w:rPr>
        <w:t>%</w:t>
      </w:r>
      <w:r>
        <w:rPr>
          <w:rFonts w:hint="eastAsia" w:ascii="仿宋_GB2312"/>
          <w:color w:val="000000"/>
          <w:szCs w:val="32"/>
        </w:rPr>
        <w:t>。主要原因是厉行节约，压缩不必要开支。其中：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0.1</w:t>
      </w:r>
      <w:r>
        <w:rPr>
          <w:rFonts w:hint="eastAsia" w:ascii="仿宋_GB2312"/>
          <w:color w:val="000000"/>
          <w:szCs w:val="32"/>
        </w:rPr>
        <w:t>万元，主要用于上级莅临我区调研工作开展的交通费、住宿费、餐费等。国内公务接待1批次，13人次（不包括陪同人员），共计支出0.1万元，具体内容包括：上级调研餐费。</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bookmarkStart w:id="43" w:name="_Toc15377218"/>
      <w:bookmarkStart w:id="44" w:name="_Toc15396610"/>
    </w:p>
    <w:p>
      <w:pPr>
        <w:spacing w:line="600" w:lineRule="exact"/>
        <w:ind w:firstLine="640" w:firstLineChars="200"/>
        <w:rPr>
          <w:rFonts w:ascii="仿宋_GB2312"/>
          <w:color w:val="000000"/>
          <w:szCs w:val="32"/>
        </w:rPr>
      </w:pPr>
    </w:p>
    <w:p>
      <w:pPr>
        <w:spacing w:line="600" w:lineRule="exact"/>
        <w:ind w:firstLine="640"/>
        <w:outlineLvl w:val="1"/>
        <w:rPr>
          <w:rStyle w:val="15"/>
          <w:rFonts w:ascii="黑体" w:hAnsi="黑体" w:eastAsia="黑体"/>
        </w:rPr>
      </w:pPr>
      <w:bookmarkStart w:id="45" w:name="_Toc9843"/>
      <w:r>
        <w:rPr>
          <w:rFonts w:hint="eastAsia" w:ascii="黑体" w:eastAsia="黑体"/>
          <w:color w:val="000000"/>
          <w:szCs w:val="32"/>
        </w:rPr>
        <w:t>八、</w:t>
      </w:r>
      <w:r>
        <w:rPr>
          <w:rStyle w:val="15"/>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w:t>
      </w:r>
      <w:r>
        <w:rPr>
          <w:rFonts w:ascii="仿宋_GB2312"/>
          <w:color w:val="000000"/>
          <w:szCs w:val="32"/>
        </w:rPr>
        <w:t>187.68</w:t>
      </w:r>
      <w:r>
        <w:rPr>
          <w:rFonts w:hint="eastAsia" w:ascii="仿宋_GB2312"/>
          <w:color w:val="000000"/>
          <w:szCs w:val="32"/>
        </w:rPr>
        <w:t>万元。</w:t>
      </w:r>
    </w:p>
    <w:p>
      <w:pPr>
        <w:spacing w:line="600" w:lineRule="exact"/>
        <w:ind w:firstLine="640"/>
        <w:rPr>
          <w:rFonts w:ascii="仿宋_GB2312"/>
          <w:color w:val="000000"/>
          <w:szCs w:val="32"/>
        </w:rPr>
      </w:pPr>
    </w:p>
    <w:p>
      <w:pPr>
        <w:numPr>
          <w:ilvl w:val="0"/>
          <w:numId w:val="2"/>
        </w:numPr>
        <w:spacing w:line="600" w:lineRule="exact"/>
        <w:ind w:firstLine="640"/>
        <w:outlineLvl w:val="1"/>
        <w:rPr>
          <w:rStyle w:val="15"/>
          <w:rFonts w:ascii="黑体" w:hAnsi="黑体" w:eastAsia="黑体"/>
          <w:b w:val="0"/>
        </w:rPr>
      </w:pPr>
      <w:bookmarkStart w:id="46" w:name="_Toc15377219"/>
      <w:bookmarkStart w:id="47" w:name="_Toc15396611"/>
      <w:bookmarkStart w:id="48" w:name="_Toc10775"/>
      <w:r>
        <w:rPr>
          <w:rStyle w:val="15"/>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5"/>
          <w:rFonts w:ascii="黑体" w:hAnsi="黑体" w:eastAsia="黑体"/>
        </w:rPr>
      </w:pPr>
      <w:bookmarkStart w:id="49" w:name="_Toc15396612"/>
      <w:bookmarkStart w:id="50" w:name="_Toc738"/>
      <w:bookmarkStart w:id="51" w:name="_Toc15377221"/>
      <w:r>
        <w:rPr>
          <w:rFonts w:hint="eastAsia" w:ascii="黑体" w:hAnsi="黑体" w:eastAsia="黑体"/>
          <w:color w:val="000000"/>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年，自贡市自流井区教育和体育局机关运行经费支出371.53万元，比</w:t>
      </w:r>
      <w:r>
        <w:rPr>
          <w:rFonts w:ascii="仿宋_GB2312"/>
          <w:color w:val="000000"/>
          <w:szCs w:val="32"/>
        </w:rPr>
        <w:t>2019</w:t>
      </w:r>
      <w:r>
        <w:rPr>
          <w:rFonts w:hint="eastAsia" w:ascii="仿宋_GB2312"/>
          <w:color w:val="000000"/>
          <w:szCs w:val="32"/>
        </w:rPr>
        <w:t>年减少98.5万元，下降20.96</w:t>
      </w:r>
      <w:r>
        <w:rPr>
          <w:rFonts w:ascii="仿宋_GB2312"/>
          <w:color w:val="000000"/>
          <w:szCs w:val="32"/>
        </w:rPr>
        <w:t>%</w:t>
      </w:r>
      <w:r>
        <w:rPr>
          <w:rFonts w:hint="eastAsia" w:ascii="仿宋_GB2312"/>
          <w:color w:val="000000"/>
          <w:szCs w:val="32"/>
        </w:rPr>
        <w:t>。主要原因是厉行节约，控制成本，压缩不必要开销。</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年，自贡市自流井区教育和体育局政府采购支出总额1,490.49万元，其中：政府采购货物支出141.19万元、政府采购工程支出1319.8万元、政府采购服务支出29.5万元。主要用于</w:t>
      </w:r>
      <w:r>
        <w:rPr>
          <w:rFonts w:ascii="仿宋_GB2312"/>
          <w:color w:val="000000"/>
          <w:szCs w:val="32"/>
        </w:rPr>
        <w:t>机关幼儿园工程建设支出、德铭中学运动场修建、</w:t>
      </w:r>
      <w:r>
        <w:rPr>
          <w:rFonts w:hint="eastAsia" w:ascii="仿宋_GB2312"/>
          <w:color w:val="000000"/>
          <w:szCs w:val="32"/>
        </w:rPr>
        <w:t>23中教师公租房建设支出等。授予中小企业合同金额32.96万元，占政府采购支出总额的2.21</w:t>
      </w:r>
      <w:r>
        <w:rPr>
          <w:rFonts w:ascii="仿宋_GB2312"/>
          <w:color w:val="000000"/>
          <w:szCs w:val="32"/>
        </w:rPr>
        <w:t>%</w:t>
      </w:r>
      <w:r>
        <w:rPr>
          <w:rFonts w:hint="eastAsia" w:ascii="仿宋_GB2312"/>
          <w:color w:val="000000"/>
          <w:szCs w:val="32"/>
        </w:rPr>
        <w:t>，其中：授予小微企业合同金额32.96万元，占政府采购支出总额的2.21</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日，自贡市自流井区教育和体育局系统共有车辆1辆，其中：其他用车1辆，其他用车主要是用于自贡市第六中学校足球队外出比赛等用车。</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部门（单位）在年初预算编制阶段，组织对12项目预算事前绩效评估，对12个项目编制了绩效目标，预算执行过程中，选取12个项目开展绩效监控，年终执行完毕后，对12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年部门整体支出开展绩效自评，从评价情况来看总体运行良好，基本达到预期绩效目标。</w:t>
      </w:r>
    </w:p>
    <w:p>
      <w:pPr>
        <w:spacing w:line="580" w:lineRule="exact"/>
        <w:ind w:firstLine="640" w:firstLineChars="200"/>
        <w:rPr>
          <w:rFonts w:hint="eastAsia" w:ascii="楷体_GB2312" w:hAnsi="楷体_GB2312" w:eastAsia="楷体_GB2312" w:cs="楷体_GB2312"/>
          <w:szCs w:val="32"/>
          <w:lang w:eastAsia="zh-CN"/>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ascii="仿宋_GB2312" w:hAnsi="仿宋_GB2312" w:cs="仿宋_GB2312"/>
          <w:szCs w:val="32"/>
        </w:rPr>
        <w:t xml:space="preserve">    </w:t>
      </w:r>
      <w:r>
        <w:rPr>
          <w:rFonts w:hint="eastAsia" w:ascii="仿宋_GB2312" w:hAnsi="仿宋_GB2312" w:cs="仿宋_GB2312"/>
          <w:szCs w:val="32"/>
        </w:rPr>
        <w:t>本部门在</w:t>
      </w:r>
      <w:r>
        <w:rPr>
          <w:rFonts w:ascii="仿宋_GB2312" w:hAnsi="仿宋_GB2312" w:cs="仿宋_GB2312"/>
          <w:szCs w:val="32"/>
        </w:rPr>
        <w:t>2020</w:t>
      </w:r>
      <w:r>
        <w:rPr>
          <w:rFonts w:hint="eastAsia" w:ascii="仿宋_GB2312" w:hAnsi="仿宋_GB2312" w:cs="仿宋_GB2312"/>
          <w:szCs w:val="32"/>
        </w:rPr>
        <w:t>年度部门决算中反映12个项目绩效目标实际完成情况。本单位部门项目绩效目标个数在</w:t>
      </w:r>
      <w:r>
        <w:rPr>
          <w:rFonts w:ascii="仿宋_GB2312" w:hAnsi="仿宋_GB2312" w:cs="仿宋_GB2312"/>
          <w:szCs w:val="32"/>
        </w:rPr>
        <w:t>5</w:t>
      </w:r>
      <w:r>
        <w:rPr>
          <w:rFonts w:hint="eastAsia" w:ascii="仿宋_GB2312" w:hAnsi="仿宋_GB2312" w:cs="仿宋_GB2312"/>
          <w:szCs w:val="32"/>
        </w:rPr>
        <w:t>个以上的，选取</w:t>
      </w:r>
      <w:r>
        <w:rPr>
          <w:rFonts w:ascii="仿宋_GB2312" w:hAnsi="仿宋_GB2312" w:cs="仿宋_GB2312"/>
          <w:szCs w:val="32"/>
        </w:rPr>
        <w:t>5</w:t>
      </w:r>
      <w:r>
        <w:rPr>
          <w:rFonts w:hint="eastAsia" w:ascii="仿宋_GB2312" w:hAnsi="仿宋_GB2312" w:cs="仿宋_GB2312"/>
          <w:szCs w:val="32"/>
        </w:rPr>
        <w:t>个项目进行公开，目标个数在</w:t>
      </w:r>
      <w:r>
        <w:rPr>
          <w:rFonts w:ascii="仿宋_GB2312" w:hAnsi="仿宋_GB2312" w:cs="仿宋_GB2312"/>
          <w:szCs w:val="32"/>
        </w:rPr>
        <w:t>5</w:t>
      </w:r>
      <w:r>
        <w:rPr>
          <w:rFonts w:hint="eastAsia" w:ascii="仿宋_GB2312" w:hAnsi="仿宋_GB2312" w:cs="仿宋_GB2312"/>
          <w:szCs w:val="32"/>
        </w:rPr>
        <w:t>个以下的，全部进行公开，公开内容包括选取的全部项目完成情况综述和完成情况表。</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）城乡义务教育补助经费项目绩效目标完成情况综述。项目全年预算数</w:t>
      </w:r>
      <w:r>
        <w:rPr>
          <w:rFonts w:ascii="仿宋_GB2312" w:hAnsi="仿宋_GB2312" w:cs="仿宋_GB2312"/>
          <w:szCs w:val="32"/>
        </w:rPr>
        <w:t>1317</w:t>
      </w:r>
      <w:r>
        <w:rPr>
          <w:rFonts w:hint="eastAsia" w:ascii="仿宋_GB2312" w:hAnsi="仿宋_GB2312" w:cs="仿宋_GB2312"/>
          <w:szCs w:val="32"/>
        </w:rPr>
        <w:t>万元，执行数为</w:t>
      </w:r>
      <w:r>
        <w:rPr>
          <w:rFonts w:ascii="仿宋_GB2312" w:hAnsi="仿宋_GB2312" w:cs="仿宋_GB2312"/>
          <w:szCs w:val="32"/>
        </w:rPr>
        <w:t>1317</w:t>
      </w:r>
      <w:r>
        <w:rPr>
          <w:rFonts w:hint="eastAsia" w:ascii="仿宋_GB2312" w:hAnsi="仿宋_GB2312" w:cs="仿宋_GB2312"/>
          <w:szCs w:val="32"/>
        </w:rPr>
        <w:t>万元，完成预算的100</w:t>
      </w:r>
      <w:r>
        <w:rPr>
          <w:rFonts w:ascii="仿宋_GB2312" w:hAnsi="仿宋_GB2312" w:cs="仿宋_GB2312"/>
          <w:szCs w:val="32"/>
        </w:rPr>
        <w:t>%</w:t>
      </w:r>
      <w:r>
        <w:rPr>
          <w:rFonts w:hint="eastAsia" w:ascii="仿宋_GB2312" w:hAnsi="仿宋_GB2312" w:cs="仿宋_GB2312"/>
          <w:szCs w:val="32"/>
        </w:rPr>
        <w:t>。通过项目实施，全面落实义务教育经费保障政策，实施免费义务教育；建立校舍维修长效机制；落实免费教科书政策。</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2</w:t>
      </w:r>
      <w:r>
        <w:rPr>
          <w:rFonts w:hint="eastAsia" w:ascii="仿宋_GB2312" w:hAnsi="仿宋_GB2312" w:cs="仿宋_GB2312"/>
          <w:szCs w:val="32"/>
        </w:rPr>
        <w:t>）支持学前教育发展经费项目绩效目标完成情况综述。项目全年预算数596万元，执行数为596万元，完成预算的100</w:t>
      </w:r>
      <w:r>
        <w:rPr>
          <w:rFonts w:ascii="仿宋_GB2312" w:hAnsi="仿宋_GB2312" w:cs="仿宋_GB2312"/>
          <w:szCs w:val="32"/>
        </w:rPr>
        <w:t>%</w:t>
      </w:r>
      <w:r>
        <w:rPr>
          <w:rFonts w:hint="eastAsia" w:ascii="仿宋_GB2312" w:hAnsi="仿宋_GB2312" w:cs="仿宋_GB2312"/>
          <w:szCs w:val="32"/>
        </w:rPr>
        <w:t>。通过项目实施完成对全区家庭困难幼儿的资助；檀木林幼儿园改扩建工程顺利进行；第一幼儿园新建项目顺利推进。</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3</w:t>
      </w:r>
      <w:r>
        <w:rPr>
          <w:rFonts w:hint="eastAsia" w:ascii="仿宋_GB2312" w:hAnsi="仿宋_GB2312" w:cs="仿宋_GB2312"/>
          <w:szCs w:val="32"/>
        </w:rPr>
        <w:t>）义务教育薄弱环节改善与能力提升补助资金项目绩效目标完成情况综述。项目全年预算数400万元，执行数为400万元，完成预算的100</w:t>
      </w:r>
      <w:r>
        <w:rPr>
          <w:rFonts w:ascii="仿宋_GB2312" w:hAnsi="仿宋_GB2312" w:cs="仿宋_GB2312"/>
          <w:szCs w:val="32"/>
        </w:rPr>
        <w:t>%</w:t>
      </w:r>
      <w:r>
        <w:rPr>
          <w:rFonts w:hint="eastAsia" w:ascii="仿宋_GB2312" w:hAnsi="仿宋_GB2312" w:cs="仿宋_GB2312"/>
          <w:szCs w:val="32"/>
        </w:rPr>
        <w:t>。通过项目实施已完成智慧黑板、笔记本电脑等教学设备的购置和安装调试，进一步强化全区办学硬件实力，改善教学环境。</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（4）改善普通高中学校办学条件补助资金项目绩效目标完成情况综述。项目全年预算数103万元，执行数为103万元，完成预算的100</w:t>
      </w:r>
      <w:r>
        <w:rPr>
          <w:rFonts w:ascii="仿宋_GB2312" w:hAnsi="仿宋_GB2312" w:cs="仿宋_GB2312"/>
          <w:szCs w:val="32"/>
        </w:rPr>
        <w:t>%</w:t>
      </w:r>
      <w:r>
        <w:rPr>
          <w:rFonts w:hint="eastAsia" w:ascii="仿宋_GB2312" w:hAnsi="仿宋_GB2312" w:cs="仿宋_GB2312"/>
          <w:szCs w:val="32"/>
        </w:rPr>
        <w:t>。通过项目实施，补助了学校公用经费，促使办学条件不断改善，教学质量不断提高，提高学校师生、家长、社会的满意度。</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（5）老体协工作经费项目绩效目标完成情况综述。项目全年预算数15万元，执行数为15万元，完成预算的100</w:t>
      </w:r>
      <w:r>
        <w:rPr>
          <w:rFonts w:ascii="仿宋_GB2312" w:hAnsi="仿宋_GB2312" w:cs="仿宋_GB2312"/>
          <w:szCs w:val="32"/>
        </w:rPr>
        <w:t>%</w:t>
      </w:r>
      <w:r>
        <w:rPr>
          <w:rFonts w:hint="eastAsia" w:ascii="仿宋_GB2312" w:hAnsi="仿宋_GB2312" w:cs="仿宋_GB2312"/>
          <w:szCs w:val="32"/>
        </w:rPr>
        <w:t>。通过项目实施，推动老年人体育锻炼，提升锻炼技能，改善老年人身体水平，丰富老年人退休生活。</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（1）项目绩效目标完成情况表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城乡义务教育补助经费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 xml:space="preserve">目标1:落实城乡统一、重在农村的义务教育经费保障机制。         </w:t>
            </w:r>
          </w:p>
          <w:p>
            <w:pPr>
              <w:widowControl/>
              <w:jc w:val="center"/>
              <w:textAlignment w:val="center"/>
              <w:rPr>
                <w:rFonts w:ascii="宋体" w:cs="宋体"/>
                <w:color w:val="000000"/>
                <w:sz w:val="24"/>
              </w:rPr>
            </w:pPr>
            <w:r>
              <w:rPr>
                <w:rFonts w:hint="eastAsia" w:ascii="宋体" w:cs="宋体"/>
                <w:color w:val="000000"/>
                <w:sz w:val="24"/>
              </w:rPr>
              <w:t>目标2：实施免费义务教育，不断健全完善校舍维修改造长效机制。</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全面落实义务教育经费保障政策，实施免费义务教育；建立校舍维修长效机制；落实免费教科书政策。</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免费教科书补助受益学生数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1.6268万人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ab/>
            </w:r>
            <w:r>
              <w:rPr>
                <w:rFonts w:hint="eastAsia" w:ascii="宋体" w:cs="宋体"/>
                <w:color w:val="000000"/>
                <w:sz w:val="24"/>
              </w:rPr>
              <w:t>1.6268万人</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义务教育生均公用经费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不低于国家规定的基础标准</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高于国家规定的基础标准</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教科书质量合格率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农村学校校舍日常维修改造质量达标率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教师队伍素质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（2）项目绩效目标完成情况表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支持学前教育发展经费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目标1：对困难家庭幼儿进行资助；</w:t>
            </w:r>
          </w:p>
          <w:p>
            <w:pPr>
              <w:widowControl/>
              <w:jc w:val="center"/>
              <w:textAlignment w:val="center"/>
              <w:rPr>
                <w:rFonts w:ascii="宋体" w:cs="宋体"/>
                <w:color w:val="000000"/>
                <w:sz w:val="24"/>
              </w:rPr>
            </w:pPr>
            <w:r>
              <w:rPr>
                <w:rFonts w:hint="eastAsia" w:ascii="宋体" w:cs="宋体"/>
                <w:color w:val="000000"/>
                <w:sz w:val="24"/>
              </w:rPr>
              <w:t>目标2：持续推动檀木林幼儿园改扩建工程；</w:t>
            </w:r>
          </w:p>
          <w:p>
            <w:pPr>
              <w:widowControl/>
              <w:jc w:val="center"/>
              <w:textAlignment w:val="center"/>
              <w:rPr>
                <w:rFonts w:ascii="宋体" w:cs="宋体"/>
                <w:color w:val="000000"/>
                <w:sz w:val="24"/>
              </w:rPr>
            </w:pPr>
            <w:r>
              <w:rPr>
                <w:rFonts w:hint="eastAsia" w:ascii="宋体" w:cs="宋体"/>
                <w:color w:val="000000"/>
                <w:sz w:val="24"/>
              </w:rPr>
              <w:t>目标3：持续推动第一幼儿园新建项目建设。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完成对全区家庭困难幼儿的资助；檀木林幼儿园改扩建工程顺利进行；第一幼儿园新建项目顺利推进。</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资助幼儿人数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422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452</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资助金发放率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ab/>
            </w:r>
            <w:r>
              <w:rPr>
                <w:rFonts w:hint="eastAsia" w:ascii="宋体" w:cs="宋体"/>
                <w:color w:val="000000"/>
                <w:sz w:val="24"/>
              </w:rPr>
              <w:t>合格</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合格</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部分困难家庭减少支出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减少支出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减少支出</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ascii="宋体" w:cs="宋体"/>
                <w:color w:val="000000"/>
                <w:sz w:val="22"/>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学位增加</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增加</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增加</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（3）项目绩效目标完成情况表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义务教育薄弱环节改善与能力提升补助资金</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目标1：学校教学设施设备购置</w:t>
            </w:r>
          </w:p>
          <w:p>
            <w:pPr>
              <w:widowControl/>
              <w:jc w:val="center"/>
              <w:textAlignment w:val="center"/>
              <w:rPr>
                <w:rFonts w:ascii="宋体" w:cs="宋体"/>
                <w:color w:val="000000"/>
                <w:sz w:val="24"/>
              </w:rPr>
            </w:pPr>
            <w:r>
              <w:rPr>
                <w:rFonts w:hint="eastAsia" w:ascii="宋体" w:cs="宋体"/>
                <w:color w:val="000000"/>
                <w:sz w:val="24"/>
              </w:rPr>
              <w:t>目标2：改善办学条件，提升基础教育能力。</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已完成智慧黑板、笔记本电脑等教学设备的购置和安装调试，进一步强化全区办学硬件实力，改善教学环境。</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设备购置数</w:t>
            </w:r>
            <w:r>
              <w:rPr>
                <w:rFonts w:hint="eastAsia"/>
                <w:color w:val="000000"/>
                <w:sz w:val="24"/>
                <w:szCs w:val="18"/>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达到要求</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达到要求</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设备购置合格率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达到采购要求，满足教学需求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完成购置计划任务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义务教育薄弱环节改善与能力提升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加强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加强</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家长和学生满意度</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（4）项目绩效目标完成情况表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改善普通高中学校办学条件补助资金</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目标1：改善办学条件。</w:t>
            </w:r>
          </w:p>
          <w:p>
            <w:pPr>
              <w:widowControl/>
              <w:textAlignment w:val="center"/>
              <w:rPr>
                <w:rFonts w:ascii="宋体" w:cs="宋体"/>
                <w:color w:val="000000"/>
                <w:sz w:val="24"/>
              </w:rPr>
            </w:pPr>
            <w:r>
              <w:rPr>
                <w:rFonts w:hint="eastAsia" w:ascii="宋体" w:cs="宋体"/>
                <w:color w:val="000000"/>
                <w:sz w:val="24"/>
              </w:rPr>
              <w:t>目标2：学校办学水平及质量得到提高。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办学条件不断改善，教学质量不断提高。</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szCs w:val="18"/>
              </w:rPr>
            </w:pPr>
            <w:r>
              <w:rPr>
                <w:rFonts w:hint="eastAsia"/>
                <w:color w:val="000000"/>
                <w:sz w:val="24"/>
                <w:szCs w:val="18"/>
              </w:rPr>
              <w:t>高中生均公用经费</w:t>
            </w:r>
            <w:r>
              <w:rPr>
                <w:rFonts w:hint="eastAsia"/>
                <w:color w:val="000000"/>
                <w:sz w:val="24"/>
                <w:szCs w:val="18"/>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提高</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享受人数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2569人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ab/>
            </w:r>
            <w:r>
              <w:rPr>
                <w:rFonts w:hint="eastAsia"/>
                <w:color w:val="000000"/>
                <w:sz w:val="24"/>
                <w:szCs w:val="18"/>
              </w:rPr>
              <w:t>2569人</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教学质量提高</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提高</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教师队伍素质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学生身体素质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教师、学生和家长对项目的综合满意度</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263"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（5）项目绩效目标完成情况表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 xml:space="preserve">    老体协工作经费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开展老年人体育运动，改进和提升老年人身体健康</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开展老年人体育运动，改进和提升老年人身体健康</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szCs w:val="18"/>
              </w:rPr>
            </w:pPr>
            <w:r>
              <w:rPr>
                <w:rFonts w:hint="eastAsia"/>
                <w:color w:val="000000"/>
                <w:sz w:val="24"/>
                <w:szCs w:val="18"/>
              </w:rPr>
              <w:t>老体协工作的任务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发动，组织老年人参加体育锻炼</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发动，组织老年人参加体育锻炼</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老体协工作达到的社会效应</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发动老年人参加体育锻炼，培训老年人锻炼的技能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发动老年人参加体育锻炼，培训老年人锻炼的技能</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活动室修缮验收通过率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≥95%</w:t>
            </w:r>
            <w:r>
              <w:rPr>
                <w:rFonts w:hint="eastAsia" w:ascii="宋体" w:cs="宋体"/>
                <w:color w:val="000000"/>
                <w:sz w:val="24"/>
              </w:rPr>
              <w:tab/>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w:t>
      </w:r>
      <w:r>
        <w:rPr>
          <w:rFonts w:ascii="仿宋_GB2312" w:hAnsi="仿宋_GB2312" w:cs="仿宋_GB2312"/>
          <w:szCs w:val="32"/>
        </w:rPr>
        <w:t>自贡市自流井区教育和体育局</w:t>
      </w:r>
      <w:r>
        <w:rPr>
          <w:rFonts w:hint="eastAsia" w:ascii="仿宋_GB2312" w:hAnsi="仿宋_GB2312" w:cs="仿宋_GB2312"/>
          <w:szCs w:val="32"/>
        </w:rPr>
        <w:t>部门</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widowControl/>
        <w:ind w:firstLine="640" w:firstLineChars="200"/>
        <w:jc w:val="left"/>
        <w:rPr>
          <w:rFonts w:ascii="仿宋_GB2312"/>
          <w:b/>
          <w:color w:val="000000"/>
          <w:szCs w:val="32"/>
        </w:rPr>
      </w:pPr>
      <w:r>
        <w:rPr>
          <w:rFonts w:hint="eastAsia" w:ascii="仿宋_GB2312" w:hAnsi="仿宋_GB2312" w:cs="仿宋_GB2312"/>
          <w:szCs w:val="32"/>
        </w:rPr>
        <w:t>本部门自行组织对老体协工作经费项目开展了绩效评价，《老体协工作经费项目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r>
        <w:rPr>
          <w:rFonts w:ascii="仿宋_GB2312"/>
          <w:b/>
          <w:color w:val="000000"/>
          <w:szCs w:val="32"/>
        </w:rPr>
        <w:br w:type="page"/>
      </w:r>
    </w:p>
    <w:p>
      <w:pPr>
        <w:numPr>
          <w:ilvl w:val="0"/>
          <w:numId w:val="3"/>
        </w:numPr>
        <w:spacing w:line="600" w:lineRule="exact"/>
        <w:ind w:firstLine="660" w:firstLineChars="150"/>
        <w:jc w:val="center"/>
        <w:outlineLvl w:val="0"/>
        <w:rPr>
          <w:rStyle w:val="14"/>
          <w:rFonts w:ascii="黑体" w:hAnsi="黑体" w:eastAsia="黑体"/>
          <w:b w:val="0"/>
        </w:rPr>
      </w:pPr>
      <w:bookmarkStart w:id="55" w:name="_Toc15396613"/>
      <w:bookmarkStart w:id="56" w:name="_Toc15377225"/>
      <w:bookmarkStart w:id="57" w:name="_Toc3536"/>
      <w:r>
        <w:rPr>
          <w:rFonts w:hint="eastAsia" w:ascii="黑体" w:hAnsi="黑体" w:eastAsia="黑体"/>
          <w:color w:val="000000"/>
          <w:sz w:val="44"/>
          <w:szCs w:val="44"/>
        </w:rPr>
        <w:t>名</w:t>
      </w:r>
      <w:r>
        <w:rPr>
          <w:rStyle w:val="14"/>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7"/>
        <w:spacing w:line="560" w:lineRule="exact"/>
        <w:ind w:firstLine="640" w:firstLineChars="200"/>
        <w:rPr>
          <w:rFonts w:ascii="仿宋_GB2312" w:eastAsia="仿宋_GB2312"/>
          <w:sz w:val="32"/>
          <w:szCs w:val="32"/>
        </w:rPr>
      </w:pPr>
      <w:bookmarkStart w:id="58" w:name="_Toc15377226"/>
      <w:r>
        <w:rPr>
          <w:rFonts w:hint="eastAsia" w:ascii="仿宋_GB2312" w:eastAsia="仿宋_GB2312"/>
          <w:sz w:val="32"/>
          <w:szCs w:val="32"/>
        </w:rPr>
        <w:t>1.财政拨款收入：指单位从同级财政部门取得的财政预 算资金。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2.事业收入：指事业单位开展专业业务活动及辅助活动 取得的收入。</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3.经营收入：指事业单位在专业业务活动及其辅助活动 之外开展非独立核算经营活动取得的收入。</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4.其他收入：指单位取得的除上述收入以外的各项收入。</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5.用事业基金弥补收支差额：指事业单位在当年的财政拨款收入、事业收入、经营收入、其他收入不足以安排当年 支出的情况下，使用以前年度积累的事业基金（事业单位当 年收支相抵后按国家规定提取、用于弥补以后年度收支差额 的基金）弥补本年度收支缺口的资金。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6.年初结转和结余：指以前年度尚未完成、结转到本年 按有关规定继续使用的资金。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7.结余分配：指事业单位按照事业单位会计制度的规定 从非财政补助结余中分配的事业基金和职工福利基金等。</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8、年末结转和结余：指单位按有关规定结转到下年或 以后年度继续使用的资金。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9.教育（类）教育管理事务（款）行政运行（项）：指反映行政单位（包括实行公务员管理的事业单位）的基本支 出。</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10.文化旅游体育与传媒支出（类）体育（款）群众体育（项）：指反映业余体校和全民健身等群众体育活动方面 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11.社会保障和就业（类）行政事业单位离退休（款） 事业单位离退休（项）：指反映实行归口管理的事业单位开 支的离退休经费。</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12.卫生健康支出（类）行政事业单位医疗（款）事业单位医疗（项）：指反映财政部门集中安排的事业单位基本 医疗保险缴费经费，未参加医疗保险的事业单位的公费医疗经费，按国家规定享受离休人员待遇的医疗经费。。</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13.住房保障（类）住房改革支出（款）住房公积金（项）：指反映行政事业单位按人力资源和社会保障部、财政部规定的基本工资和津贴补贴以及规定比例为职工缴纳的住房公积金。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14.基本支出：指为保障机构正常运转、完成日常工作任务而发生的人员支出和公用支出。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15.项目支出：指在基本支出之外为完成特定行政任务和事业发展目标所发生的支出。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16.经营支出：指事业单位在专业业务活动及其辅助活动之外开展非独立核算经营活动发生的支出。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17.“三公”经费：指部门用财政拨款安排的因公出国（境）费、公务用车购置及运行费和公务接待费。其中，因公出国（境）费反映单位公务出国（境）的国际旅费、国外城市间交通费、住宿费、伙食费、培训费、公杂费等支出； 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Style w:val="14"/>
          <w:rFonts w:ascii="仿宋_GB2312" w:eastAsia="仿宋_GB2312"/>
          <w:b w:val="0"/>
          <w:bCs w:val="0"/>
          <w:kern w:val="0"/>
          <w:sz w:val="32"/>
          <w:szCs w:val="32"/>
        </w:rPr>
      </w:pPr>
      <w:r>
        <w:rPr>
          <w:rFonts w:hint="eastAsia" w:ascii="仿宋_GB2312" w:eastAsia="仿宋_GB2312"/>
          <w:sz w:val="32"/>
          <w:szCs w:val="32"/>
        </w:rPr>
        <w:t>18.机关运行经费：为保障行政单位（含参照公务员法管理的事业单位）运行用于购买货物和服务的各项资金，包 括办公及印刷费、邮电费、差旅费、会议费、福利费、日常 维修费、专用材料及一般设备购置费、办公用房水电费、办公用房取暖费、办公用房物业管理费、公务用车运行维护费以及其他费用。</w:t>
      </w:r>
      <w:r>
        <w:rPr>
          <w:rFonts w:ascii="宋体"/>
          <w:b/>
          <w:sz w:val="44"/>
          <w:szCs w:val="44"/>
        </w:rPr>
        <w:br w:type="page"/>
      </w:r>
      <w:bookmarkStart w:id="59" w:name="_Toc15396614"/>
      <w:bookmarkStart w:id="60" w:name="_Toc11207"/>
      <w:r>
        <w:rPr>
          <w:rFonts w:hint="eastAsia" w:ascii="宋体"/>
          <w:b/>
          <w:sz w:val="44"/>
          <w:szCs w:val="44"/>
        </w:rPr>
        <w:t xml:space="preserve">             </w:t>
      </w:r>
      <w:r>
        <w:rPr>
          <w:rFonts w:hint="eastAsia" w:ascii="黑体" w:hAnsi="黑体" w:eastAsia="黑体"/>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自贡市自流井区教育和体育局</w:t>
      </w:r>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（一）机构组成。自贡市教育和体育局部门包含局机关</w:t>
      </w:r>
    </w:p>
    <w:p>
      <w:pPr>
        <w:widowControl/>
        <w:adjustRightInd w:val="0"/>
        <w:snapToGrid w:val="0"/>
        <w:spacing w:line="580" w:lineRule="exact"/>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和28 个直属事业单位。</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（二）机构职能。1.拟订全区教育体育改革配套政策和教育体育事业发展规划，负责全区各类教育体育工作的统筹规划和协调管理，负责推动多元化体育服务体系建设，推进体育公共服务和体育体制改革。</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2.负责区级教育体育经费的统筹管理，参与拟订筹措教 育体育经费、拨款、基建投资的政策和措施，提出有关教育体育收费标准的建议，监督全区教育体育经费、教育基金的筹措和使用情况，负责国（境）外教育体育援助、贷款和合作项目的执行，牵头落实各项教育体育患民政策、中小学标准化建设的有关工作，负责全区教育体育系统基本信息的统计、分析、发布工作，指导教育体育信息化建设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3.负责管理全区基础教育、职业教育、成人教育、学前 教育、民办教育，配合组织实施民族地区免费中等职业教育计划，负责全区中小学校、幼儿园布局结构调整工作，审批民办学校和 教育机构，会同有关部门审核中小学校、幼儿园、事业单位的设置、更名、撤销与调整，指导全区中小学校、幼儿园教育教学改革和示范学校、学科建设。</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4.负责组织实施全区教育督导工作，对中等及中等以下 教育、扫除青壮年文盲工作进行督导检查和评估验收，组织实施基础教育质量监测工作。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5. 负责所属单位领导班子和干部队伍建设工作；按照千部管理权限和程序，考核任免教育体育系统事业单位领导干部。负责全区教师队伍建设工作；负责实施全区教育体育系统专业技术人员继续教育工作；负责初中、小学、幼儿园教师的教师资格认定工作；指导所属单位内部管理体制改革；参与师范毕业生就业指导工作；协助有关部门开展专业技术职务评审和所属单位人员招聘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6.指导全区各级各类学校思想政治、德育、体育、卫生、艺术、国防教育和安全工作，领导全区教育体育系统党建、信访和稳定工作。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7.负责实施全民健身计划，组织实施国民体质监测和社会体育指导工作，实施国家体育锻炼标准。负责本区社会体育指导员的培训和管理。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8.指导体育训练、体育竟赛和运动员队伍建设，组织和 统筹参加市级以上综合运动会，承办区级综合性体育竞赛活动，负责组织协调区级综合性运动会的竞赛工作，协调运动员社会保障工作。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9.指导和管理学校体育工作，制定全区学校体育教育、青少年业余训练的规划和工作意见，并负责组织实施、督促和检查，指导和管理全区中小学体育测试和体育特长生的审核工作。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10.拟订全区体育产业发展政策，规范体育服务管理， 推动体育标准化建设，参与指导全区体育基础设施建设和体育场馆管理工作，参与制定全区体育场馆与设施布局规划，指导全区 体育市场发展，负责对公共体育设施的管理。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11.负责指导全区教育系统教育、教学、教研工作，指导教育学会、协会、研究会、基金会和体育总会等社团组织开展工作；组织和指导体育科研、技术攻关和成果推广工作，负责组织监督全区体育运动中的赛风赛纪和反兴奋剂工作。   </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12.指导、管理教育体育外事有关工作，组织开展与区 外的教育体育交流与合作。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13.负责全区基础教育学历教育及考试，指导成人自学 考试和扫除青壮年文盲工作，制定全区中小学招生计划并组织实施，参与安排师范类学生教育实习。</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14.负责管理、指导全区学校后勤与产业工作，制定全 区学校后勤与产业管理政策，监督、指导学校食堂建设与管理，指导学生保险等工作。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15.依照法律法规和有关规定，对教育体育系统的安全生产工作和职业健康工作实施监督管理。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16.负责职责范围内的生态环境保护、审批服务便民化 等工作。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17.承担区政府公布的有关行政审批事项。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lang w:val="zh-CN"/>
        </w:rPr>
        <w:t>18.完成区委、区政府交办的其他事项。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lang w:val="zh-CN"/>
        </w:rPr>
        <w:t>（三）人员概况。自贡市自流井区教育和体育局总编制1534名，其中行政编制16名，事业编制1518名。在职人员总数1450人，其中：行政人员12人，参照公务员法管理的事业人员0人，其他事业人员1438人。</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（一）部门财政资金收入情况。2020 年财政拨款收入</w:t>
      </w:r>
      <w:r>
        <w:rPr>
          <w:rFonts w:ascii="仿宋_GB2312" w:hAnsi="宋体" w:cs="宋体"/>
          <w:color w:val="000000"/>
          <w:kern w:val="0"/>
          <w:szCs w:val="32"/>
          <w:shd w:val="clear" w:color="auto" w:fill="FFFFFF"/>
          <w:lang w:val="zh-CN"/>
        </w:rPr>
        <w:t>30,760.70</w:t>
      </w:r>
      <w:r>
        <w:rPr>
          <w:rFonts w:hint="eastAsia" w:ascii="仿宋_GB2312" w:hAnsi="宋体" w:cs="宋体"/>
          <w:color w:val="000000"/>
          <w:kern w:val="0"/>
          <w:szCs w:val="32"/>
          <w:shd w:val="clear" w:color="auto" w:fill="FFFFFF"/>
          <w:lang w:val="zh-CN"/>
        </w:rPr>
        <w:t xml:space="preserve"> 万元，其中：政府性基金预算财政</w:t>
      </w:r>
      <w:r>
        <w:rPr>
          <w:rFonts w:ascii="仿宋_GB2312" w:hAnsi="宋体" w:cs="宋体"/>
          <w:color w:val="000000"/>
          <w:kern w:val="0"/>
          <w:szCs w:val="32"/>
          <w:shd w:val="clear" w:color="auto" w:fill="FFFFFF"/>
          <w:lang w:val="zh-CN"/>
        </w:rPr>
        <w:t>16.60</w:t>
      </w:r>
      <w:r>
        <w:rPr>
          <w:rFonts w:hint="eastAsia" w:ascii="仿宋_GB2312" w:hAnsi="宋体" w:cs="宋体"/>
          <w:color w:val="000000"/>
          <w:kern w:val="0"/>
          <w:szCs w:val="32"/>
          <w:shd w:val="clear" w:color="auto" w:fill="FFFFFF"/>
          <w:lang w:val="zh-CN"/>
        </w:rPr>
        <w:t>万元。</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（二）部门财政资金支出情况。2020 年一般公共预算财政拨款支出</w:t>
      </w:r>
      <w:r>
        <w:rPr>
          <w:rFonts w:ascii="仿宋_GB2312" w:hAnsi="宋体" w:cs="宋体"/>
          <w:color w:val="000000"/>
          <w:kern w:val="0"/>
          <w:szCs w:val="32"/>
          <w:shd w:val="clear" w:color="auto" w:fill="FFFFFF"/>
          <w:lang w:val="zh-CN"/>
        </w:rPr>
        <w:t>30,257.07</w:t>
      </w:r>
      <w:r>
        <w:rPr>
          <w:rFonts w:hint="eastAsia" w:ascii="仿宋_GB2312" w:hAnsi="宋体" w:cs="宋体"/>
          <w:color w:val="000000"/>
          <w:kern w:val="0"/>
          <w:szCs w:val="32"/>
          <w:shd w:val="clear" w:color="auto" w:fill="FFFFFF"/>
          <w:lang w:val="zh-CN"/>
        </w:rPr>
        <w:t>万元，政府性基金预算财政拨款支出</w:t>
      </w:r>
      <w:r>
        <w:rPr>
          <w:rFonts w:ascii="仿宋_GB2312" w:hAnsi="宋体" w:cs="宋体"/>
          <w:color w:val="000000"/>
          <w:kern w:val="0"/>
          <w:szCs w:val="32"/>
          <w:shd w:val="clear" w:color="auto" w:fill="FFFFFF"/>
          <w:lang w:val="zh-CN"/>
        </w:rPr>
        <w:t>187.68</w:t>
      </w:r>
      <w:r>
        <w:rPr>
          <w:rFonts w:hint="eastAsia" w:ascii="仿宋_GB2312" w:hAnsi="宋体" w:cs="宋体"/>
          <w:color w:val="000000"/>
          <w:kern w:val="0"/>
          <w:szCs w:val="32"/>
          <w:shd w:val="clear" w:color="auto" w:fill="FFFFFF"/>
          <w:lang w:val="zh-CN"/>
        </w:rPr>
        <w:t>万元。</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按照相关要求，制定了2020 年部门整体支出绩效目标，编制坚持“量入为出、收支平衡”的原则，既要考虑单位事业发展和建设的需要，更要考虑实际实现的可能性。建立预算执行分析机制，动态监控预算执行情况，及时分析存在问题、提出改进建议，确保决算真实、完整、准确，强化决算全面有效性。</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应用效果良好，能够发挥资金效用，完成本年度的预算绩效目标。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（一）评价结论。自贡市自流井区教育和体育局部门2020 年部门整体支出绩效总体执行良好，资金达到了专款专用，开支标准合理、合法。能够实现预算绩效目标。</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（二）存在问题。预算执行过程中监管滞后，资金支付实现进度偏慢，指标合理性尚有优化、提升的空间。</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（三）改进建议。加强预算监管，督促资金尽快实现支付，不断结合实际反馈，优化指标。</w:t>
      </w:r>
    </w:p>
    <w:p>
      <w:pPr>
        <w:spacing w:line="580" w:lineRule="exact"/>
        <w:ind w:firstLine="640" w:firstLineChars="200"/>
        <w:rPr>
          <w:rFonts w:ascii="仿宋_GB2312" w:hAnsi="仿宋_GB2312" w:cs="仿宋_GB2312"/>
          <w:szCs w:val="32"/>
        </w:rPr>
      </w:pPr>
    </w:p>
    <w:p>
      <w:pPr>
        <w:spacing w:line="580" w:lineRule="exact"/>
        <w:ind w:firstLine="640"/>
        <w:rPr>
          <w:rFonts w:ascii="仿宋_GB2312" w:hAnsi="仿宋_GB2312" w:cs="仿宋_GB2312"/>
          <w:szCs w:val="32"/>
        </w:rPr>
      </w:pPr>
    </w:p>
    <w:p>
      <w:pPr>
        <w:spacing w:line="580" w:lineRule="exact"/>
        <w:ind w:firstLine="640"/>
        <w:rPr>
          <w:rFonts w:ascii="仿宋_GB2312" w:hAnsi="仿宋_GB2312" w:cs="仿宋_GB2312"/>
          <w:szCs w:val="32"/>
        </w:rPr>
      </w:pPr>
    </w:p>
    <w:p>
      <w:pPr>
        <w:widowControl/>
        <w:jc w:val="left"/>
        <w:rPr>
          <w:rStyle w:val="14"/>
          <w:rFonts w:ascii="黑体" w:hAnsi="黑体" w:eastAsia="黑体"/>
          <w:b w:val="0"/>
        </w:rPr>
      </w:pPr>
    </w:p>
    <w:p>
      <w:pPr>
        <w:widowControl/>
        <w:jc w:val="left"/>
        <w:rPr>
          <w:rStyle w:val="14"/>
          <w:rFonts w:ascii="黑体" w:hAnsi="黑体" w:eastAsia="黑体"/>
          <w:b w:val="0"/>
        </w:rPr>
      </w:pPr>
      <w:r>
        <w:rPr>
          <w:rStyle w:val="14"/>
          <w:rFonts w:ascii="黑体" w:hAnsi="黑体" w:eastAsia="黑体"/>
          <w:b w:val="0"/>
        </w:rPr>
        <w:br w:type="page"/>
      </w:r>
    </w:p>
    <w:p>
      <w:pPr>
        <w:spacing w:line="580" w:lineRule="exact"/>
        <w:outlineLvl w:val="1"/>
        <w:rPr>
          <w:rFonts w:ascii="仿宋_GB2312" w:hAnsi="仿宋_GB2312" w:cs="仿宋_GB2312"/>
          <w:szCs w:val="32"/>
        </w:rPr>
      </w:pPr>
      <w:bookmarkStart w:id="62" w:name="_Toc11602"/>
      <w:r>
        <w:rPr>
          <w:rFonts w:hint="eastAsia" w:ascii="黑体" w:hAnsi="黑体" w:eastAsia="黑体" w:cs="黑体"/>
          <w:szCs w:val="32"/>
        </w:rPr>
        <w:t>附件</w:t>
      </w:r>
      <w:r>
        <w:rPr>
          <w:rFonts w:ascii="黑体" w:hAnsi="黑体" w:eastAsia="黑体" w:cs="黑体"/>
          <w:szCs w:val="32"/>
        </w:rPr>
        <w:t>2</w:t>
      </w:r>
      <w:bookmarkEnd w:id="62"/>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自贡市自流井区教育和体育局</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老体协工作经费项目</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随着老年人口比例不断扩大，社会老龄化趋势加剧，老年人身体健康情况也越来越引起政府和社会关注。为加强对区老体协工作指导和开展，落实好老年人体育健身活动有序开展，促进老年人公益体育事业发展。特制定本项目用于老体协工作开展的经费，以便能够更好的为辖内老年人体育健康提供帮助，营造老年人体育健康的活动氛围，促进老年人健身养生，家庭和谐，社会稳定。</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总体目标是开展老年人体育运动，促进老年人身体健康，生活和谐幸福美满，为保障项目有序进行，同时制定了相关三级指标：1.质量指标</w:t>
      </w:r>
      <w:r>
        <w:rPr>
          <w:rFonts w:hint="eastAsia" w:ascii="仿宋_GB2312" w:hAnsi="宋体"/>
          <w:szCs w:val="32"/>
          <w:lang w:val="zh-CN"/>
        </w:rPr>
        <w:tab/>
      </w:r>
      <w:r>
        <w:rPr>
          <w:rFonts w:hint="eastAsia" w:ascii="仿宋_GB2312" w:hAnsi="宋体"/>
          <w:szCs w:val="32"/>
          <w:lang w:val="zh-CN"/>
        </w:rPr>
        <w:t>，老体协工作的任务：发动，组织老年人参加体育锻炼。2.社会效益指标，老体协工作达到的社会效应：发动老年人参加体育锻炼，培训老年人锻炼的技能。3.满意度指标，服务对象的满意度：100%。</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由业务股室和计财股共同草拟项目自评报告，报分管领导审阅后报送区财政。</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cs="仿宋_GB2312"/>
          <w:lang w:val="zh-CN" w:bidi="ar"/>
        </w:rPr>
      </w:pPr>
      <w:r>
        <w:rPr>
          <w:rFonts w:hint="eastAsia" w:cs="仿宋_GB2312"/>
          <w:lang w:val="zh-CN" w:bidi="ar"/>
        </w:rPr>
        <w:t>2020 年我局依据当年老体协工作实际需要，编制了该项目预算，经区财政局审核同意，并由区财政局下达项目资金，局机关通过正常程序申请使用。</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rFonts w:hint="eastAsia" w:ascii="仿宋_GB2312" w:hAnsi="宋体"/>
          <w:szCs w:val="32"/>
          <w:lang w:val="zh-CN"/>
        </w:rPr>
        <w:t>项目预算数为15万元，全额由区级财政保障。</w:t>
      </w:r>
    </w:p>
    <w:p>
      <w:pPr>
        <w:adjustRightInd w:val="0"/>
        <w:snapToGrid w:val="0"/>
        <w:spacing w:line="560" w:lineRule="exact"/>
        <w:ind w:firstLine="720"/>
        <w:rPr>
          <w:lang w:val="zh-CN"/>
        </w:rPr>
      </w:pPr>
      <w:r>
        <w:rPr>
          <w:rFonts w:hint="eastAsia" w:eastAsia="楷体_GB2312"/>
          <w:lang w:val="zh-CN" w:bidi="ar"/>
        </w:rPr>
        <w:t>2</w:t>
      </w:r>
      <w:r>
        <w:rPr>
          <w:rFonts w:hint="eastAsia" w:eastAsia="楷体_GB2312" w:cs="楷体_GB2312"/>
          <w:lang w:val="zh-CN" w:bidi="ar"/>
        </w:rPr>
        <w:t>．资金计划及到位。</w:t>
      </w:r>
      <w:r>
        <w:rPr>
          <w:rFonts w:hint="eastAsia" w:cs="仿宋_GB2312"/>
          <w:lang w:val="zh-CN" w:bidi="ar"/>
        </w:rPr>
        <w:t>资金下拨到位及时。</w:t>
      </w:r>
    </w:p>
    <w:p>
      <w:pPr>
        <w:adjustRightInd w:val="0"/>
        <w:snapToGrid w:val="0"/>
        <w:spacing w:line="560" w:lineRule="exact"/>
        <w:ind w:firstLine="720"/>
        <w:rPr>
          <w:lang w:val="zh-CN"/>
        </w:rPr>
      </w:pPr>
      <w:r>
        <w:rPr>
          <w:rFonts w:hint="eastAsia" w:eastAsia="楷体_GB2312"/>
          <w:lang w:val="zh-CN" w:bidi="ar"/>
        </w:rPr>
        <w:t>3</w:t>
      </w:r>
      <w:r>
        <w:rPr>
          <w:rFonts w:hint="eastAsia" w:eastAsia="楷体_GB2312" w:cs="楷体_GB2312"/>
          <w:lang w:val="zh-CN" w:bidi="ar"/>
        </w:rPr>
        <w:t>．资金使用。</w:t>
      </w:r>
      <w:r>
        <w:rPr>
          <w:rFonts w:hint="eastAsia" w:cs="仿宋_GB2312"/>
          <w:lang w:val="zh-CN" w:bidi="ar"/>
        </w:rPr>
        <w:t>说明截止评价时点项目资金的实际支出15万元，资金开支范围用于老体协工作活动开展，执行进度100%，支付依据合规合法，资金支付手续齐全。</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560" w:lineRule="exact"/>
        <w:ind w:firstLine="720"/>
      </w:pPr>
      <w:r>
        <w:rPr>
          <w:rFonts w:hint="eastAsia" w:ascii="楷体_GB2312" w:hAnsi="宋体" w:eastAsia="楷体_GB2312"/>
          <w:b/>
          <w:szCs w:val="32"/>
          <w:lang w:val="zh-CN"/>
        </w:rPr>
        <w:t>（一）项目组织架构及实施流程。</w:t>
      </w:r>
      <w:r>
        <w:rPr>
          <w:rFonts w:hint="eastAsia"/>
        </w:rPr>
        <w:t>项目实施一般由老体协根据工作计划和实际开展情况，向局机关申请资金使用，经区财政审核无误后，经区教体局划拨资金给老体协使用。</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依照相关法律法规及财政专项资金管理制度等相关规定，制定有《自贡市自流井区教育和体育局内部控制手册》，管理制度健全，项目实施合规合法。</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说明项目我局加强对项目支出进度监控和支付凭证合规性的审核，确保项目实施能够实现预定目标。</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560" w:lineRule="exact"/>
        <w:ind w:firstLine="720"/>
        <w:rPr>
          <w:rFonts w:eastAsia="楷体_GB2312"/>
          <w:b/>
          <w:lang w:val="zh-CN"/>
        </w:rPr>
      </w:pPr>
      <w:r>
        <w:rPr>
          <w:rFonts w:hint="eastAsia" w:eastAsia="楷体_GB2312" w:cs="楷体_GB2312"/>
          <w:b/>
          <w:lang w:val="zh-CN" w:bidi="ar"/>
        </w:rPr>
        <w:t>（一）项目完成情况。</w:t>
      </w:r>
    </w:p>
    <w:p>
      <w:pPr>
        <w:adjustRightInd w:val="0"/>
        <w:snapToGrid w:val="0"/>
        <w:spacing w:line="560" w:lineRule="exact"/>
        <w:ind w:firstLine="720"/>
        <w:rPr>
          <w:rFonts w:cs="仿宋_GB2312"/>
          <w:lang w:val="zh-CN" w:bidi="ar"/>
        </w:rPr>
      </w:pPr>
      <w:r>
        <w:rPr>
          <w:rFonts w:hint="eastAsia" w:cs="仿宋_GB2312"/>
          <w:lang w:val="zh-CN" w:bidi="ar"/>
        </w:rPr>
        <w:t>项目完成情况较好，较好地保障了我区老体协工作开展。</w:t>
      </w:r>
    </w:p>
    <w:p>
      <w:pPr>
        <w:adjustRightInd w:val="0"/>
        <w:snapToGrid w:val="0"/>
        <w:spacing w:line="560" w:lineRule="exact"/>
        <w:ind w:firstLine="720"/>
        <w:rPr>
          <w:rFonts w:cs="仿宋_GB2312"/>
          <w:lang w:val="zh-CN" w:bidi="ar"/>
        </w:rPr>
      </w:pPr>
      <w:r>
        <w:rPr>
          <w:rFonts w:hint="eastAsia" w:eastAsia="楷体_GB2312" w:cs="楷体_GB2312"/>
          <w:b/>
          <w:lang w:val="zh-CN" w:bidi="ar"/>
        </w:rPr>
        <w:t>（二）项目效益情况。</w:t>
      </w:r>
    </w:p>
    <w:p>
      <w:pPr>
        <w:adjustRightInd w:val="0"/>
        <w:snapToGrid w:val="0"/>
        <w:spacing w:line="560" w:lineRule="exact"/>
        <w:ind w:firstLine="720"/>
        <w:rPr>
          <w:rFonts w:cs="仿宋_GB2312"/>
          <w:lang w:val="zh-CN" w:bidi="ar"/>
        </w:rPr>
      </w:pPr>
      <w:r>
        <w:rPr>
          <w:rFonts w:hint="eastAsia" w:cs="仿宋_GB2312"/>
          <w:lang w:val="zh-CN" w:bidi="ar"/>
        </w:rPr>
        <w:t>1.经济效益，通过项目实施，提高了老体协工作经费的使用效率。</w:t>
      </w:r>
    </w:p>
    <w:p>
      <w:pPr>
        <w:adjustRightInd w:val="0"/>
        <w:snapToGrid w:val="0"/>
        <w:spacing w:line="560" w:lineRule="exact"/>
        <w:ind w:firstLine="720"/>
        <w:rPr>
          <w:rFonts w:cs="仿宋_GB2312"/>
          <w:lang w:val="zh-CN" w:bidi="ar"/>
        </w:rPr>
      </w:pPr>
      <w:r>
        <w:rPr>
          <w:rFonts w:hint="eastAsia" w:cs="仿宋_GB2312"/>
          <w:lang w:val="zh-CN" w:bidi="ar"/>
        </w:rPr>
        <w:t>2.社会效益，提高了老年人身体锻炼技巧，</w:t>
      </w:r>
      <w:r>
        <w:rPr>
          <w:rFonts w:hint="eastAsia" w:ascii="仿宋_GB2312"/>
          <w:szCs w:val="32"/>
        </w:rPr>
        <w:t>促进老年人健身养生，家庭和谐，社会稳定</w:t>
      </w:r>
      <w:r>
        <w:rPr>
          <w:rFonts w:hint="eastAsia" w:cs="仿宋_GB2312"/>
          <w:lang w:val="zh-CN" w:bidi="ar"/>
        </w:rPr>
        <w:t>。</w:t>
      </w:r>
    </w:p>
    <w:p>
      <w:pPr>
        <w:adjustRightInd w:val="0"/>
        <w:snapToGrid w:val="0"/>
        <w:spacing w:line="560" w:lineRule="exact"/>
        <w:ind w:firstLine="720"/>
        <w:rPr>
          <w:rFonts w:eastAsia="楷体_GB2312"/>
          <w:b/>
          <w:lang w:val="zh-CN"/>
        </w:rPr>
      </w:pPr>
      <w:r>
        <w:rPr>
          <w:rFonts w:hint="eastAsia" w:cs="仿宋_GB2312"/>
          <w:lang w:val="zh-CN" w:bidi="ar"/>
        </w:rPr>
        <w:t>3.服务对象满意度，通过项目实施，让老年人老有所动，老有所乐，提升老年人的满意度。</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640" w:firstLineChars="200"/>
        <w:rPr>
          <w:rFonts w:ascii="仿宋_GB2312" w:hAnsi="宋体"/>
          <w:szCs w:val="32"/>
          <w:bdr w:val="single" w:color="auto" w:sz="4" w:space="0"/>
          <w:lang w:val="zh-CN"/>
        </w:rPr>
      </w:pPr>
      <w:r>
        <w:rPr>
          <w:rFonts w:hint="eastAsia" w:ascii="仿宋_GB2312" w:hAnsi="宋体"/>
          <w:szCs w:val="32"/>
          <w:lang w:val="zh-CN"/>
        </w:rPr>
        <w:t>项目实施基本达到预定目标，有效提升了老年人的身体锻炼技能，改善了老年人身体健康素质。</w:t>
      </w:r>
    </w:p>
    <w:p>
      <w:pPr>
        <w:adjustRightInd w:val="0"/>
        <w:snapToGrid w:val="0"/>
        <w:spacing w:line="560" w:lineRule="exact"/>
        <w:ind w:firstLine="720"/>
        <w:rPr>
          <w:rFonts w:eastAsia="楷体_GB2312"/>
          <w:b/>
          <w:lang w:val="zh-CN"/>
        </w:rPr>
      </w:pPr>
      <w:r>
        <w:rPr>
          <w:rFonts w:hint="eastAsia" w:eastAsia="楷体_GB2312" w:cs="楷体_GB2312"/>
          <w:b/>
          <w:lang w:val="zh-CN" w:bidi="ar"/>
        </w:rPr>
        <w:t>（二）存在的问题。</w:t>
      </w:r>
      <w:r>
        <w:rPr>
          <w:rFonts w:hint="eastAsia" w:ascii="仿宋_GB2312" w:cs="楷体_GB2312"/>
          <w:lang w:val="zh-CN" w:bidi="ar"/>
        </w:rPr>
        <w:t>部分老年人参与体育活动意愿不强，对自身身体健康重视程度有待加强。</w:t>
      </w:r>
    </w:p>
    <w:p>
      <w:pPr>
        <w:adjustRightInd w:val="0"/>
        <w:snapToGrid w:val="0"/>
        <w:spacing w:line="560" w:lineRule="exact"/>
        <w:ind w:firstLine="720"/>
        <w:rPr>
          <w:color w:val="000000"/>
          <w:u w:val="single"/>
        </w:rPr>
      </w:pPr>
      <w:r>
        <w:rPr>
          <w:rFonts w:hint="eastAsia" w:eastAsia="楷体_GB2312" w:cs="楷体_GB2312"/>
          <w:b/>
          <w:lang w:val="zh-CN" w:bidi="ar"/>
        </w:rPr>
        <w:t>（三）相关建议。</w:t>
      </w:r>
      <w:r>
        <w:rPr>
          <w:rFonts w:hint="eastAsia" w:cs="仿宋_GB2312"/>
          <w:lang w:val="zh-CN" w:bidi="ar"/>
        </w:rPr>
        <w:t>项目应加强健康养生知识宣传，改善老年人认识，积极主动参与老体协开展组织的活动。</w:t>
      </w:r>
    </w:p>
    <w:p>
      <w:pPr>
        <w:widowControl/>
        <w:jc w:val="left"/>
        <w:rPr>
          <w:rStyle w:val="14"/>
          <w:rFonts w:ascii="黑体" w:hAnsi="黑体" w:eastAsia="黑体"/>
          <w:b w:val="0"/>
        </w:rPr>
      </w:pPr>
    </w:p>
    <w:p>
      <w:pPr>
        <w:spacing w:line="600" w:lineRule="exact"/>
        <w:jc w:val="center"/>
        <w:outlineLvl w:val="0"/>
        <w:rPr>
          <w:rStyle w:val="14"/>
          <w:rFonts w:ascii="黑体" w:hAnsi="黑体" w:eastAsia="黑体"/>
          <w:b w:val="0"/>
        </w:rPr>
      </w:pPr>
      <w:bookmarkStart w:id="63" w:name="_Toc32283"/>
      <w:bookmarkStart w:id="64" w:name="_Toc15396618"/>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5" w:name="_Toc15699"/>
      <w:bookmarkStart w:id="66"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5"/>
      <w:bookmarkEnd w:id="66"/>
    </w:p>
    <w:p>
      <w:pPr>
        <w:pStyle w:val="3"/>
        <w:rPr>
          <w:rFonts w:ascii="仿宋" w:hAnsi="仿宋" w:eastAsia="仿宋"/>
          <w:color w:val="000000"/>
        </w:rPr>
      </w:pPr>
      <w:bookmarkStart w:id="67" w:name="_Toc27106"/>
      <w:bookmarkStart w:id="68" w:name="_Toc15396620"/>
      <w:r>
        <w:rPr>
          <w:rFonts w:hint="eastAsia" w:ascii="仿宋" w:hAnsi="仿宋" w:eastAsia="仿宋"/>
          <w:b w:val="0"/>
          <w:color w:val="000000"/>
        </w:rPr>
        <w:t>二、收</w:t>
      </w:r>
      <w:r>
        <w:rPr>
          <w:rStyle w:val="15"/>
          <w:rFonts w:hint="eastAsia" w:ascii="仿宋" w:hAnsi="仿宋" w:eastAsia="仿宋"/>
          <w:b w:val="0"/>
          <w:bCs w:val="0"/>
        </w:rPr>
        <w:t>入决算表</w:t>
      </w:r>
      <w:bookmarkEnd w:id="67"/>
      <w:bookmarkEnd w:id="68"/>
    </w:p>
    <w:p>
      <w:pPr>
        <w:pStyle w:val="3"/>
        <w:rPr>
          <w:rFonts w:ascii="仿宋" w:hAnsi="仿宋" w:eastAsia="仿宋"/>
          <w:color w:val="000000"/>
        </w:rPr>
      </w:pPr>
      <w:bookmarkStart w:id="69" w:name="_Toc15396621"/>
      <w:bookmarkStart w:id="70" w:name="_Toc26817"/>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9"/>
      <w:bookmarkEnd w:id="70"/>
    </w:p>
    <w:p>
      <w:pPr>
        <w:pStyle w:val="3"/>
        <w:rPr>
          <w:rFonts w:ascii="仿宋" w:hAnsi="仿宋" w:eastAsia="仿宋"/>
          <w:b w:val="0"/>
          <w:color w:val="000000"/>
        </w:rPr>
      </w:pPr>
      <w:bookmarkStart w:id="71" w:name="_Toc21747"/>
      <w:bookmarkStart w:id="72"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1"/>
      <w:bookmarkEnd w:id="72"/>
    </w:p>
    <w:p>
      <w:pPr>
        <w:pStyle w:val="3"/>
        <w:rPr>
          <w:rStyle w:val="15"/>
          <w:rFonts w:ascii="仿宋" w:hAnsi="仿宋" w:eastAsia="仿宋"/>
          <w:b w:val="0"/>
          <w:bCs w:val="0"/>
        </w:rPr>
      </w:pPr>
      <w:bookmarkStart w:id="73" w:name="_Toc12959"/>
      <w:bookmarkStart w:id="74"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3"/>
      <w:bookmarkEnd w:id="74"/>
      <w:bookmarkStart w:id="75" w:name="_Toc15396624"/>
    </w:p>
    <w:p>
      <w:pPr>
        <w:pStyle w:val="3"/>
        <w:rPr>
          <w:rFonts w:ascii="仿宋" w:hAnsi="仿宋" w:eastAsia="仿宋"/>
          <w:color w:val="000000"/>
        </w:rPr>
      </w:pPr>
      <w:bookmarkStart w:id="76"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5"/>
      <w:bookmarkEnd w:id="76"/>
    </w:p>
    <w:p>
      <w:pPr>
        <w:pStyle w:val="3"/>
        <w:rPr>
          <w:rFonts w:ascii="仿宋" w:hAnsi="仿宋" w:eastAsia="仿宋"/>
          <w:color w:val="000000"/>
        </w:rPr>
      </w:pPr>
      <w:bookmarkStart w:id="77" w:name="_Toc22275"/>
      <w:bookmarkStart w:id="78" w:name="_Toc1539662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7"/>
      <w:bookmarkEnd w:id="78"/>
    </w:p>
    <w:p>
      <w:pPr>
        <w:pStyle w:val="3"/>
        <w:rPr>
          <w:rFonts w:ascii="仿宋" w:hAnsi="仿宋" w:eastAsia="仿宋"/>
          <w:color w:val="000000"/>
        </w:rPr>
      </w:pPr>
      <w:bookmarkStart w:id="79" w:name="_Toc30634"/>
      <w:bookmarkStart w:id="80"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9"/>
      <w:bookmarkEnd w:id="80"/>
    </w:p>
    <w:p>
      <w:pPr>
        <w:pStyle w:val="3"/>
        <w:rPr>
          <w:rFonts w:ascii="仿宋" w:hAnsi="仿宋" w:eastAsia="仿宋"/>
          <w:color w:val="000000"/>
        </w:rPr>
      </w:pPr>
      <w:bookmarkStart w:id="81" w:name="_Toc15396627"/>
      <w:bookmarkStart w:id="82" w:name="_Toc15170"/>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1"/>
      <w:bookmarkEnd w:id="82"/>
    </w:p>
    <w:p>
      <w:pPr>
        <w:pStyle w:val="3"/>
        <w:spacing w:line="360" w:lineRule="auto"/>
        <w:rPr>
          <w:rFonts w:ascii="仿宋" w:hAnsi="仿宋" w:eastAsia="仿宋"/>
          <w:color w:val="000000"/>
        </w:rPr>
      </w:pPr>
      <w:bookmarkStart w:id="83" w:name="_Toc15396628"/>
      <w:bookmarkStart w:id="84" w:name="_Toc17603"/>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3"/>
      <w:bookmarkEnd w:id="84"/>
    </w:p>
    <w:p>
      <w:pPr>
        <w:pStyle w:val="3"/>
        <w:spacing w:line="360" w:lineRule="auto"/>
        <w:rPr>
          <w:rFonts w:ascii="仿宋" w:hAnsi="仿宋" w:eastAsia="仿宋"/>
          <w:color w:val="000000"/>
        </w:rPr>
      </w:pPr>
      <w:bookmarkStart w:id="85" w:name="_Toc15396629"/>
      <w:bookmarkStart w:id="86" w:name="_Toc7313"/>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5"/>
      <w:bookmarkEnd w:id="86"/>
    </w:p>
    <w:p>
      <w:pPr>
        <w:pStyle w:val="3"/>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3"/>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十三、国有资本经营预算财政拨款收入支出决算表</w:t>
      </w:r>
      <w:bookmarkEnd w:id="89"/>
    </w:p>
    <w:p>
      <w:pPr>
        <w:pStyle w:val="3"/>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180409"/>
      <w:docPartObj>
        <w:docPartGallery w:val="autotext"/>
      </w:docPartObj>
    </w:sdtPr>
    <w:sdtContent>
      <w:p>
        <w:pPr>
          <w:pStyle w:val="6"/>
          <w:jc w:val="center"/>
        </w:pPr>
        <w:r>
          <w:fldChar w:fldCharType="begin"/>
        </w:r>
        <w:r>
          <w:instrText xml:space="preserve">PAGE   \* MERGEFORMAT</w:instrText>
        </w:r>
        <w:r>
          <w:fldChar w:fldCharType="separate"/>
        </w:r>
        <w:r>
          <w:rPr>
            <w:lang w:val="zh-CN"/>
          </w:rPr>
          <w:t>34</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436B2"/>
    <w:rsid w:val="000924FD"/>
    <w:rsid w:val="000979E6"/>
    <w:rsid w:val="000D3DF4"/>
    <w:rsid w:val="000E75C4"/>
    <w:rsid w:val="001064E8"/>
    <w:rsid w:val="001278FE"/>
    <w:rsid w:val="00146FC9"/>
    <w:rsid w:val="00150E72"/>
    <w:rsid w:val="00166E67"/>
    <w:rsid w:val="00174008"/>
    <w:rsid w:val="00186182"/>
    <w:rsid w:val="00187FE7"/>
    <w:rsid w:val="001968D9"/>
    <w:rsid w:val="001C0C29"/>
    <w:rsid w:val="001C2441"/>
    <w:rsid w:val="001E2E10"/>
    <w:rsid w:val="00211835"/>
    <w:rsid w:val="00212C3B"/>
    <w:rsid w:val="00216FF0"/>
    <w:rsid w:val="002234CC"/>
    <w:rsid w:val="00224646"/>
    <w:rsid w:val="0023389B"/>
    <w:rsid w:val="00250CB9"/>
    <w:rsid w:val="00253801"/>
    <w:rsid w:val="002718C6"/>
    <w:rsid w:val="0028278B"/>
    <w:rsid w:val="002A59AB"/>
    <w:rsid w:val="002A6FC3"/>
    <w:rsid w:val="002B1E5D"/>
    <w:rsid w:val="002C14C0"/>
    <w:rsid w:val="002E095F"/>
    <w:rsid w:val="002F142D"/>
    <w:rsid w:val="00341908"/>
    <w:rsid w:val="00365EEA"/>
    <w:rsid w:val="00375521"/>
    <w:rsid w:val="003810E7"/>
    <w:rsid w:val="003867A6"/>
    <w:rsid w:val="003911D0"/>
    <w:rsid w:val="003A284D"/>
    <w:rsid w:val="003C3ED3"/>
    <w:rsid w:val="003E1E19"/>
    <w:rsid w:val="003F4444"/>
    <w:rsid w:val="003F64B2"/>
    <w:rsid w:val="003F7605"/>
    <w:rsid w:val="00423351"/>
    <w:rsid w:val="00433624"/>
    <w:rsid w:val="00446C40"/>
    <w:rsid w:val="00454B6B"/>
    <w:rsid w:val="00485C4E"/>
    <w:rsid w:val="004C4D4F"/>
    <w:rsid w:val="004C6130"/>
    <w:rsid w:val="004D6B92"/>
    <w:rsid w:val="004E4D6F"/>
    <w:rsid w:val="004F091E"/>
    <w:rsid w:val="0053490C"/>
    <w:rsid w:val="00571F31"/>
    <w:rsid w:val="00577FB4"/>
    <w:rsid w:val="00586B9C"/>
    <w:rsid w:val="00596C08"/>
    <w:rsid w:val="005C5C7F"/>
    <w:rsid w:val="005D4300"/>
    <w:rsid w:val="005E603E"/>
    <w:rsid w:val="005F764D"/>
    <w:rsid w:val="00602671"/>
    <w:rsid w:val="0063215C"/>
    <w:rsid w:val="00674A7E"/>
    <w:rsid w:val="006757F2"/>
    <w:rsid w:val="00693AEA"/>
    <w:rsid w:val="006B1B43"/>
    <w:rsid w:val="006B3042"/>
    <w:rsid w:val="006C0A11"/>
    <w:rsid w:val="006D3CC9"/>
    <w:rsid w:val="007525D7"/>
    <w:rsid w:val="00753537"/>
    <w:rsid w:val="00756642"/>
    <w:rsid w:val="00757454"/>
    <w:rsid w:val="00786C8F"/>
    <w:rsid w:val="007C1C4A"/>
    <w:rsid w:val="007E4327"/>
    <w:rsid w:val="007F633D"/>
    <w:rsid w:val="0080590C"/>
    <w:rsid w:val="00806F95"/>
    <w:rsid w:val="008229E6"/>
    <w:rsid w:val="008549ED"/>
    <w:rsid w:val="00866C56"/>
    <w:rsid w:val="00874E74"/>
    <w:rsid w:val="00876CBD"/>
    <w:rsid w:val="00884EC6"/>
    <w:rsid w:val="0089505F"/>
    <w:rsid w:val="0089601D"/>
    <w:rsid w:val="008B027B"/>
    <w:rsid w:val="008B3E5D"/>
    <w:rsid w:val="008D49E4"/>
    <w:rsid w:val="008E14E0"/>
    <w:rsid w:val="00910E61"/>
    <w:rsid w:val="00977383"/>
    <w:rsid w:val="00983AB1"/>
    <w:rsid w:val="00987C10"/>
    <w:rsid w:val="009E12E1"/>
    <w:rsid w:val="009E17D6"/>
    <w:rsid w:val="009F2BB9"/>
    <w:rsid w:val="00A03869"/>
    <w:rsid w:val="00A20384"/>
    <w:rsid w:val="00A2384D"/>
    <w:rsid w:val="00A25E43"/>
    <w:rsid w:val="00A2686D"/>
    <w:rsid w:val="00A3059F"/>
    <w:rsid w:val="00A44950"/>
    <w:rsid w:val="00A46C01"/>
    <w:rsid w:val="00A47AC8"/>
    <w:rsid w:val="00A74B18"/>
    <w:rsid w:val="00AA489F"/>
    <w:rsid w:val="00AF3F41"/>
    <w:rsid w:val="00B042F4"/>
    <w:rsid w:val="00B10346"/>
    <w:rsid w:val="00B12E1E"/>
    <w:rsid w:val="00B237D0"/>
    <w:rsid w:val="00B80352"/>
    <w:rsid w:val="00BB1A62"/>
    <w:rsid w:val="00BB270C"/>
    <w:rsid w:val="00BB28D3"/>
    <w:rsid w:val="00BB6721"/>
    <w:rsid w:val="00BC31AD"/>
    <w:rsid w:val="00BE3000"/>
    <w:rsid w:val="00C0225B"/>
    <w:rsid w:val="00C25DFD"/>
    <w:rsid w:val="00C329F7"/>
    <w:rsid w:val="00C41727"/>
    <w:rsid w:val="00C47939"/>
    <w:rsid w:val="00C67168"/>
    <w:rsid w:val="00C8289E"/>
    <w:rsid w:val="00C96405"/>
    <w:rsid w:val="00CA274A"/>
    <w:rsid w:val="00CB79FD"/>
    <w:rsid w:val="00D16844"/>
    <w:rsid w:val="00D407B4"/>
    <w:rsid w:val="00D50768"/>
    <w:rsid w:val="00D56E6A"/>
    <w:rsid w:val="00D74A95"/>
    <w:rsid w:val="00DD5CA9"/>
    <w:rsid w:val="00DE7EB1"/>
    <w:rsid w:val="00DF2334"/>
    <w:rsid w:val="00E11758"/>
    <w:rsid w:val="00E14E18"/>
    <w:rsid w:val="00E43235"/>
    <w:rsid w:val="00E45B85"/>
    <w:rsid w:val="00E47AA8"/>
    <w:rsid w:val="00E55754"/>
    <w:rsid w:val="00E61662"/>
    <w:rsid w:val="00EA5F34"/>
    <w:rsid w:val="00EB7882"/>
    <w:rsid w:val="00EC4C7D"/>
    <w:rsid w:val="00F031A4"/>
    <w:rsid w:val="00F0720F"/>
    <w:rsid w:val="00F47D8A"/>
    <w:rsid w:val="00F8054D"/>
    <w:rsid w:val="00F864C1"/>
    <w:rsid w:val="06D96529"/>
    <w:rsid w:val="2AC65C17"/>
    <w:rsid w:val="3D2C4168"/>
    <w:rsid w:val="3E4169FF"/>
    <w:rsid w:val="4CA74DC6"/>
    <w:rsid w:val="4E3A4862"/>
    <w:rsid w:val="5D3E75DF"/>
    <w:rsid w:val="6504078C"/>
    <w:rsid w:val="695535AB"/>
    <w:rsid w:val="726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22"/>
    <w:uiPriority w:val="0"/>
    <w:rPr>
      <w:sz w:val="18"/>
      <w:szCs w:val="18"/>
    </w:rPr>
  </w:style>
  <w:style w:type="paragraph" w:styleId="6">
    <w:name w:val="footer"/>
    <w:basedOn w:val="1"/>
    <w:link w:val="2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link w:val="20"/>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标题 1 Char"/>
    <w:basedOn w:val="11"/>
    <w:link w:val="2"/>
    <w:qFormat/>
    <w:locked/>
    <w:uiPriority w:val="9"/>
    <w:rPr>
      <w:b/>
      <w:bCs/>
      <w:kern w:val="44"/>
      <w:sz w:val="44"/>
      <w:szCs w:val="44"/>
    </w:rPr>
  </w:style>
  <w:style w:type="character" w:customStyle="1" w:styleId="15">
    <w:name w:val="标题 2 Char"/>
    <w:basedOn w:val="11"/>
    <w:link w:val="3"/>
    <w:qFormat/>
    <w:locked/>
    <w:uiPriority w:val="9"/>
    <w:rPr>
      <w:rFonts w:ascii="Cambria" w:hAnsi="Cambria"/>
      <w:b/>
      <w:bCs/>
      <w:sz w:val="32"/>
      <w:szCs w:val="32"/>
    </w:rPr>
  </w:style>
  <w:style w:type="paragraph" w:customStyle="1" w:styleId="16">
    <w:name w:val="列出段落1"/>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8">
    <w:name w:val="No Spacing"/>
    <w:link w:val="19"/>
    <w:qFormat/>
    <w:uiPriority w:val="1"/>
    <w:rPr>
      <w:rFonts w:asciiTheme="minorHAnsi" w:hAnsiTheme="minorHAnsi" w:eastAsiaTheme="minorEastAsia" w:cstheme="minorBidi"/>
      <w:sz w:val="22"/>
      <w:szCs w:val="22"/>
      <w:lang w:val="en-US" w:eastAsia="zh-CN" w:bidi="ar-SA"/>
    </w:rPr>
  </w:style>
  <w:style w:type="character" w:customStyle="1" w:styleId="19">
    <w:name w:val="无间隔 Char"/>
    <w:basedOn w:val="11"/>
    <w:link w:val="18"/>
    <w:uiPriority w:val="1"/>
    <w:rPr>
      <w:sz w:val="22"/>
      <w:szCs w:val="22"/>
    </w:rPr>
  </w:style>
  <w:style w:type="character" w:customStyle="1" w:styleId="20">
    <w:name w:val="页眉 Char"/>
    <w:basedOn w:val="11"/>
    <w:link w:val="7"/>
    <w:uiPriority w:val="99"/>
    <w:rPr>
      <w:rFonts w:ascii="Calibri" w:hAnsi="Calibri" w:eastAsia="仿宋_GB2312" w:cs="Times New Roman"/>
      <w:sz w:val="18"/>
    </w:rPr>
  </w:style>
  <w:style w:type="character" w:customStyle="1" w:styleId="21">
    <w:name w:val="页脚 Char"/>
    <w:basedOn w:val="11"/>
    <w:link w:val="6"/>
    <w:uiPriority w:val="99"/>
    <w:rPr>
      <w:rFonts w:ascii="Calibri" w:hAnsi="Calibri" w:eastAsia="仿宋_GB2312" w:cs="Times New Roman"/>
      <w:sz w:val="18"/>
    </w:rPr>
  </w:style>
  <w:style w:type="character" w:customStyle="1" w:styleId="22">
    <w:name w:val="批注框文本 Char"/>
    <w:basedOn w:val="11"/>
    <w:link w:val="5"/>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15569</Words>
  <Characters>16706</Characters>
  <Lines>137</Lines>
  <Paragraphs>38</Paragraphs>
  <TotalTime>1</TotalTime>
  <ScaleCrop>false</ScaleCrop>
  <LinksUpToDate>false</LinksUpToDate>
  <CharactersWithSpaces>16892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2022-05-05T01:41:00Z</dcterms:created>
  <dc:creator>Administrator</dc:creator>
  <cp:lastModifiedBy>Master'霖</cp:lastModifiedBy>
  <cp:lastPrinted>2021-10-11T09:45:00Z</cp:lastPrinted>
  <dcterms:modified xsi:type="dcterms:W3CDTF">2022-05-30T08:11:03Z</dcterms:modified>
  <dc:title>自贡市自流井区教育和体育局2020年度部门决算编制的说明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3E91A21954564D9298A72C1E7B4DA323</vt:lpwstr>
  </property>
</Properties>
</file>