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ascii="仿宋_GB2312" w:hAnsi="仿宋_GB2312" w:cs="仿宋_GB2312"/>
          <w:szCs w:val="32"/>
        </w:rPr>
      </w:pP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自贡市自流井区</w:t>
      </w:r>
      <w:r>
        <w:rPr>
          <w:rFonts w:ascii="方正小标宋简体" w:eastAsia="方正小标宋简体"/>
          <w:sz w:val="44"/>
          <w:szCs w:val="44"/>
        </w:rPr>
        <w:t>飞龙峡镇漆树小学校</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jc w:val="center"/>
        <w:rPr>
          <w:rFonts w:ascii="仿宋_GB2312"/>
          <w:sz w:val="28"/>
          <w:szCs w:val="28"/>
        </w:rPr>
      </w:pPr>
    </w:p>
    <w:p>
      <w:pPr>
        <w:widowControl/>
        <w:jc w:val="center"/>
        <w:rPr>
          <w:rFonts w:hint="eastAsia" w:ascii="黑体" w:hAnsi="黑体" w:eastAsia="黑体"/>
          <w:color w:val="000000"/>
          <w:sz w:val="44"/>
          <w:szCs w:val="44"/>
        </w:rPr>
      </w:pPr>
      <w:r>
        <w:rPr>
          <w:rFonts w:hint="eastAsia" w:ascii="黑体" w:hAnsi="黑体" w:eastAsia="黑体"/>
          <w:color w:val="000000"/>
          <w:sz w:val="44"/>
          <w:szCs w:val="44"/>
        </w:rPr>
        <w:t>目 录</w:t>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_Toc6092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4</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_Toc7163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5</w:t>
      </w:r>
      <w:r>
        <w:rPr>
          <w:rFonts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5</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6</w:t>
      </w:r>
      <w:r>
        <w:rPr>
          <w:rFonts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7</w:t>
      </w:r>
      <w:r>
        <w:rPr>
          <w:rFonts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8</w:t>
      </w:r>
      <w:r>
        <w:rPr>
          <w:rFonts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9</w:t>
      </w:r>
      <w:r>
        <w:rPr>
          <w:rFonts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_Toc9843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rPr>
        <w:t>0</w:t>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t>3</w:t>
      </w:r>
    </w:p>
    <w:p>
      <w:pPr>
        <w:pStyle w:val="8"/>
        <w:tabs>
          <w:tab w:val="right" w:leader="dot" w:pos="8306"/>
        </w:tabs>
        <w:spacing w:line="560" w:lineRule="exact"/>
        <w:rPr>
          <w:rFonts w:hint="eastAsia" w:ascii="仿宋_GB2312" w:hAnsi="仿宋_GB2312" w:eastAsia="仿宋_GB2312" w:cs="仿宋_GB2312"/>
          <w:b w:val="0"/>
          <w:bCs w:val="0"/>
          <w:i w:val="0"/>
          <w:iCs w:val="0"/>
          <w:color w:val="00000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color w:val="000000"/>
          <w:sz w:val="28"/>
          <w:szCs w:val="28"/>
        </w:rPr>
        <w:t>第四部分 附件</w:t>
      </w:r>
      <w:r>
        <w:rPr>
          <w:rFonts w:hint="eastAsia" w:ascii="仿宋_GB2312" w:hAnsi="仿宋_GB2312" w:eastAsia="仿宋_GB2312" w:cs="仿宋_GB2312"/>
          <w:b w:val="0"/>
          <w:bCs w:val="0"/>
          <w:i w:val="0"/>
          <w:iCs w:val="0"/>
          <w:color w:val="000000"/>
          <w:sz w:val="28"/>
          <w:szCs w:val="28"/>
        </w:rPr>
        <w:tab/>
      </w:r>
      <w:r>
        <w:rPr>
          <w:rFonts w:hint="eastAsia" w:ascii="仿宋_GB2312" w:hAnsi="仿宋_GB2312" w:eastAsia="仿宋_GB2312" w:cs="仿宋_GB2312"/>
          <w:b w:val="0"/>
          <w:bCs w:val="0"/>
          <w:i w:val="0"/>
          <w:iCs w:val="0"/>
          <w:color w:val="000000"/>
          <w:sz w:val="28"/>
          <w:szCs w:val="28"/>
        </w:rPr>
        <w:t>1</w:t>
      </w:r>
      <w:r>
        <w:rPr>
          <w:rFonts w:hint="eastAsia" w:ascii="仿宋_GB2312" w:hAnsi="仿宋_GB2312" w:eastAsia="仿宋_GB2312" w:cs="仿宋_GB2312"/>
          <w:b w:val="0"/>
          <w:bCs w:val="0"/>
          <w:i w:val="0"/>
          <w:iCs w:val="0"/>
          <w:color w:val="000000"/>
          <w:sz w:val="28"/>
          <w:szCs w:val="28"/>
        </w:rPr>
        <w:fldChar w:fldCharType="end"/>
      </w:r>
      <w:r>
        <w:rPr>
          <w:rFonts w:hint="eastAsia" w:ascii="仿宋_GB2312" w:hAnsi="仿宋_GB2312" w:eastAsia="仿宋_GB2312" w:cs="仿宋_GB2312"/>
          <w:b w:val="0"/>
          <w:bCs w:val="0"/>
          <w:i w:val="0"/>
          <w:iCs w:val="0"/>
          <w:color w:val="000000"/>
          <w:sz w:val="28"/>
          <w:szCs w:val="28"/>
        </w:rPr>
        <w:t>6</w:t>
      </w:r>
    </w:p>
    <w:p>
      <w:pPr>
        <w:pStyle w:val="9"/>
        <w:tabs>
          <w:tab w:val="right" w:leader="dot" w:pos="8306"/>
        </w:tabs>
        <w:spacing w:line="560" w:lineRule="exact"/>
        <w:rPr>
          <w:rFonts w:hint="eastAsia" w:ascii="仿宋_GB2312" w:hAnsi="仿宋_GB2312" w:eastAsia="仿宋_GB2312" w:cs="仿宋_GB2312"/>
          <w:b w:val="0"/>
          <w:bCs w:val="0"/>
          <w:color w:val="00000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color w:val="000000"/>
          <w:sz w:val="28"/>
          <w:szCs w:val="28"/>
        </w:rPr>
        <w:t>附件1</w:t>
      </w:r>
      <w:r>
        <w:rPr>
          <w:rFonts w:hint="eastAsia" w:ascii="仿宋_GB2312" w:hAnsi="仿宋_GB2312" w:eastAsia="仿宋_GB2312" w:cs="仿宋_GB2312"/>
          <w:b w:val="0"/>
          <w:bCs w:val="0"/>
          <w:color w:val="000000"/>
          <w:sz w:val="28"/>
          <w:szCs w:val="28"/>
        </w:rPr>
        <w:tab/>
      </w:r>
      <w:r>
        <w:rPr>
          <w:rFonts w:hint="eastAsia" w:ascii="仿宋_GB2312" w:hAnsi="仿宋_GB2312" w:eastAsia="仿宋_GB2312" w:cs="仿宋_GB2312"/>
          <w:b w:val="0"/>
          <w:bCs w:val="0"/>
          <w:color w:val="000000"/>
          <w:sz w:val="28"/>
          <w:szCs w:val="28"/>
        </w:rPr>
        <w:t>1</w:t>
      </w:r>
      <w:r>
        <w:rPr>
          <w:rFonts w:hint="eastAsia" w:ascii="仿宋_GB2312" w:hAnsi="仿宋_GB2312" w:eastAsia="仿宋_GB2312" w:cs="仿宋_GB2312"/>
          <w:b w:val="0"/>
          <w:bCs w:val="0"/>
          <w:color w:val="000000"/>
          <w:sz w:val="28"/>
          <w:szCs w:val="28"/>
        </w:rPr>
        <w:fldChar w:fldCharType="end"/>
      </w:r>
      <w:r>
        <w:rPr>
          <w:rFonts w:hint="eastAsia" w:ascii="仿宋_GB2312" w:hAnsi="仿宋_GB2312" w:eastAsia="仿宋_GB2312" w:cs="仿宋_GB2312"/>
          <w:b w:val="0"/>
          <w:bCs w:val="0"/>
          <w:color w:val="000000"/>
          <w:sz w:val="28"/>
          <w:szCs w:val="28"/>
        </w:rPr>
        <w:t>6</w:t>
      </w:r>
    </w:p>
    <w:p>
      <w:pPr>
        <w:pStyle w:val="9"/>
        <w:tabs>
          <w:tab w:val="right" w:leader="dot" w:pos="8306"/>
        </w:tabs>
        <w:spacing w:line="560" w:lineRule="exact"/>
        <w:rPr>
          <w:rFonts w:hint="eastAsia" w:ascii="仿宋_GB2312" w:hAnsi="仿宋_GB2312" w:eastAsia="仿宋_GB2312" w:cs="仿宋_GB2312"/>
          <w:b w:val="0"/>
          <w:bCs w:val="0"/>
          <w:color w:val="000000"/>
          <w:sz w:val="28"/>
          <w:szCs w:val="28"/>
        </w:rPr>
      </w:pPr>
      <w:r>
        <w:fldChar w:fldCharType="begin"/>
      </w:r>
      <w:r>
        <w:instrText xml:space="preserve"> HYPERLINK \l "_Toc11602" </w:instrText>
      </w:r>
      <w:r>
        <w:fldChar w:fldCharType="separate"/>
      </w:r>
      <w:r>
        <w:rPr>
          <w:rFonts w:hint="eastAsia" w:ascii="仿宋_GB2312" w:hAnsi="仿宋_GB2312" w:eastAsia="仿宋_GB2312" w:cs="仿宋_GB2312"/>
          <w:b w:val="0"/>
          <w:bCs w:val="0"/>
          <w:color w:val="000000"/>
          <w:sz w:val="28"/>
          <w:szCs w:val="28"/>
        </w:rPr>
        <w:t>附件2</w:t>
      </w:r>
      <w:r>
        <w:rPr>
          <w:rFonts w:hint="eastAsia" w:ascii="仿宋_GB2312" w:hAnsi="仿宋_GB2312" w:eastAsia="仿宋_GB2312" w:cs="仿宋_GB2312"/>
          <w:b w:val="0"/>
          <w:bCs w:val="0"/>
          <w:color w:val="000000"/>
          <w:sz w:val="28"/>
          <w:szCs w:val="28"/>
        </w:rPr>
        <w:tab/>
      </w:r>
      <w:r>
        <w:rPr>
          <w:rFonts w:hint="eastAsia" w:ascii="仿宋_GB2312" w:hAnsi="仿宋_GB2312" w:eastAsia="仿宋_GB2312" w:cs="仿宋_GB2312"/>
          <w:b w:val="0"/>
          <w:bCs w:val="0"/>
          <w:color w:val="000000"/>
          <w:sz w:val="28"/>
          <w:szCs w:val="28"/>
        </w:rPr>
        <w:t>21</w:t>
      </w:r>
      <w:r>
        <w:rPr>
          <w:rFonts w:hint="eastAsia" w:ascii="仿宋_GB2312" w:hAnsi="仿宋_GB2312" w:eastAsia="仿宋_GB2312" w:cs="仿宋_GB2312"/>
          <w:b w:val="0"/>
          <w:bCs w:val="0"/>
          <w:color w:val="00000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ascii="仿宋_GB2312" w:hAnsi="仿宋_GB2312" w:eastAsia="仿宋_GB2312" w:cs="仿宋_GB2312"/>
          <w:b w:val="0"/>
          <w:bCs w:val="0"/>
          <w:i w:val="0"/>
          <w:iCs w:val="0"/>
          <w:sz w:val="28"/>
          <w:szCs w:val="28"/>
        </w:rPr>
        <w:t>2</w:t>
      </w:r>
      <w:r>
        <w:rPr>
          <w:rFonts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ascii="仿宋_GB2312" w:hAnsi="仿宋_GB2312" w:eastAsia="仿宋_GB2312" w:cs="仿宋_GB2312"/>
          <w:b w:val="0"/>
          <w:bCs w:val="0"/>
          <w:sz w:val="28"/>
          <w:szCs w:val="28"/>
        </w:rPr>
        <w:t>2</w:t>
      </w:r>
      <w:r>
        <w:rPr>
          <w:rFonts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5</w:t>
      </w:r>
    </w:p>
    <w:p>
      <w:pPr>
        <w:spacing w:line="560" w:lineRule="exact"/>
        <w:rPr>
          <w:rFonts w:ascii="仿宋_GB2312" w:hAnsi="仿宋"/>
          <w:color w:val="FF0000"/>
          <w:szCs w:val="32"/>
        </w:rPr>
      </w:pPr>
      <w:r>
        <w:rPr>
          <w:rFonts w:hint="eastAsia" w:ascii="仿宋_GB2312" w:hAnsi="仿宋_GB2312" w:cs="仿宋_GB2312"/>
          <w:caps/>
          <w:sz w:val="28"/>
          <w:szCs w:val="28"/>
        </w:rPr>
        <w:fldChar w:fldCharType="end"/>
      </w:r>
    </w:p>
    <w:p>
      <w:r>
        <w:br w:type="page"/>
      </w:r>
    </w:p>
    <w:p>
      <w:pPr>
        <w:pStyle w:val="2"/>
        <w:jc w:val="center"/>
        <w:rPr>
          <w:rFonts w:ascii="黑体" w:hAnsi="黑体" w:eastAsia="黑体"/>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4"/>
          <w:rFonts w:hint="eastAsia" w:ascii="黑体" w:hAnsi="黑体" w:eastAsia="黑体"/>
          <w:b w:val="0"/>
          <w:bCs w:val="0"/>
        </w:rPr>
        <w:t>部门概况</w:t>
      </w:r>
      <w:bookmarkEnd w:id="0"/>
    </w:p>
    <w:p>
      <w:pPr>
        <w:pStyle w:val="3"/>
        <w:rPr>
          <w:rStyle w:val="15"/>
          <w:rFonts w:ascii="仿宋" w:hAnsi="仿宋" w:eastAsia="仿宋"/>
          <w:b w:val="0"/>
          <w:bCs w:val="0"/>
        </w:rPr>
      </w:pPr>
      <w:bookmarkStart w:id="1" w:name="_Toc15396600"/>
      <w:bookmarkStart w:id="2" w:name="_Toc21498"/>
      <w:bookmarkStart w:id="3" w:name="_Toc15377197"/>
      <w:r>
        <w:rPr>
          <w:rFonts w:hint="eastAsia" w:ascii="黑体" w:hAnsi="黑体" w:eastAsia="黑体"/>
          <w:b w:val="0"/>
          <w:color w:val="000000"/>
        </w:rPr>
        <w:t>一、基</w:t>
      </w:r>
      <w:r>
        <w:rPr>
          <w:rStyle w:val="15"/>
          <w:rFonts w:hint="eastAsia" w:ascii="黑体" w:hAnsi="黑体" w:eastAsia="黑体"/>
          <w:b w:val="0"/>
          <w:bCs w:val="0"/>
        </w:rPr>
        <w:t>本职能及主要工作</w:t>
      </w:r>
      <w:bookmarkEnd w:id="1"/>
      <w:bookmarkEnd w:id="2"/>
      <w:bookmarkEnd w:id="3"/>
    </w:p>
    <w:p>
      <w:pPr>
        <w:pStyle w:val="4"/>
        <w:adjustRightInd w:val="0"/>
        <w:snapToGrid w:val="0"/>
        <w:spacing w:before="93" w:line="600" w:lineRule="exact"/>
        <w:ind w:firstLine="672" w:firstLineChars="210"/>
        <w:outlineLvl w:val="2"/>
        <w:rPr>
          <w:rFonts w:ascii="仿宋" w:hAnsi="仿宋" w:eastAsia="仿宋"/>
          <w:bCs/>
          <w:sz w:val="32"/>
          <w:szCs w:val="32"/>
        </w:rPr>
      </w:pPr>
      <w:bookmarkStart w:id="4" w:name="_Toc15377198"/>
      <w:bookmarkStart w:id="5" w:name="_Toc15378445"/>
      <w:r>
        <w:rPr>
          <w:rFonts w:hint="eastAsia" w:ascii="仿宋" w:hAnsi="仿宋" w:eastAsia="仿宋"/>
          <w:bCs/>
          <w:color w:val="000000"/>
          <w:sz w:val="32"/>
          <w:szCs w:val="32"/>
        </w:rPr>
        <w:t>（一）主要职能。</w:t>
      </w:r>
      <w:bookmarkEnd w:id="4"/>
      <w:bookmarkEnd w:id="5"/>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实施</w:t>
      </w:r>
      <w:r>
        <w:rPr>
          <w:rFonts w:ascii="仿宋" w:hAnsi="仿宋" w:eastAsia="仿宋"/>
          <w:bCs/>
          <w:color w:val="000000"/>
          <w:sz w:val="32"/>
          <w:szCs w:val="32"/>
        </w:rPr>
        <w:t>小学义务教育</w:t>
      </w:r>
      <w:r>
        <w:rPr>
          <w:rFonts w:hint="eastAsia" w:ascii="仿宋" w:hAnsi="仿宋" w:eastAsia="仿宋"/>
          <w:bCs/>
          <w:color w:val="000000"/>
          <w:sz w:val="32"/>
          <w:szCs w:val="32"/>
        </w:rPr>
        <w:t>，</w:t>
      </w:r>
      <w:r>
        <w:rPr>
          <w:rFonts w:ascii="仿宋" w:hAnsi="仿宋" w:eastAsia="仿宋"/>
          <w:bCs/>
          <w:color w:val="000000"/>
          <w:sz w:val="32"/>
          <w:szCs w:val="32"/>
        </w:rPr>
        <w:t>促进基础教育</w:t>
      </w:r>
      <w:r>
        <w:rPr>
          <w:rFonts w:hint="eastAsia" w:ascii="仿宋" w:hAnsi="仿宋" w:eastAsia="仿宋"/>
          <w:bCs/>
          <w:color w:val="000000"/>
          <w:sz w:val="32"/>
          <w:szCs w:val="32"/>
        </w:rPr>
        <w:t>发展</w:t>
      </w:r>
      <w:r>
        <w:rPr>
          <w:rFonts w:ascii="仿宋" w:hAnsi="仿宋" w:eastAsia="仿宋"/>
          <w:bCs/>
          <w:color w:val="000000"/>
          <w:sz w:val="32"/>
          <w:szCs w:val="32"/>
        </w:rPr>
        <w:t>，小学</w:t>
      </w:r>
      <w:r>
        <w:rPr>
          <w:rFonts w:hint="eastAsia" w:ascii="仿宋" w:hAnsi="仿宋" w:eastAsia="仿宋"/>
          <w:bCs/>
          <w:color w:val="000000"/>
          <w:sz w:val="32"/>
          <w:szCs w:val="32"/>
        </w:rPr>
        <w:t>学历教育（</w:t>
      </w:r>
      <w:r>
        <w:rPr>
          <w:rFonts w:ascii="仿宋" w:hAnsi="仿宋" w:eastAsia="仿宋"/>
          <w:bCs/>
          <w:color w:val="000000"/>
          <w:sz w:val="32"/>
          <w:szCs w:val="32"/>
        </w:rPr>
        <w:t>相关社会服务）。</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bookmarkStart w:id="6" w:name="_Toc15377199"/>
      <w:bookmarkStart w:id="7" w:name="_Toc15378446"/>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今年我校正常开展各项教育教学工作，无任何安全事故，各项工作顺利完成。</w:t>
      </w:r>
    </w:p>
    <w:p>
      <w:pPr>
        <w:pStyle w:val="3"/>
        <w:rPr>
          <w:rStyle w:val="15"/>
          <w:b w:val="0"/>
          <w:bCs w:val="0"/>
        </w:rPr>
      </w:pPr>
      <w:bookmarkStart w:id="8" w:name="_Toc6092"/>
      <w:bookmarkStart w:id="9" w:name="_Toc15396601"/>
      <w:bookmarkStart w:id="10" w:name="_Toc15377200"/>
      <w:r>
        <w:rPr>
          <w:rFonts w:hint="eastAsia" w:ascii="黑体" w:eastAsia="黑体"/>
          <w:b w:val="0"/>
          <w:color w:val="000000"/>
        </w:rPr>
        <w:t>二、</w:t>
      </w:r>
      <w:r>
        <w:rPr>
          <w:rFonts w:hint="eastAsia" w:ascii="黑体" w:hAnsi="黑体" w:eastAsia="黑体"/>
          <w:b w:val="0"/>
          <w:color w:val="000000"/>
        </w:rPr>
        <w:t>机</w:t>
      </w:r>
      <w:r>
        <w:rPr>
          <w:rStyle w:val="15"/>
          <w:rFonts w:hint="eastAsia" w:ascii="黑体" w:hAnsi="黑体" w:eastAsia="黑体"/>
          <w:b w:val="0"/>
          <w:bCs w:val="0"/>
        </w:rPr>
        <w:t>构设置</w:t>
      </w:r>
      <w:bookmarkEnd w:id="8"/>
      <w:bookmarkEnd w:id="9"/>
      <w:bookmarkEnd w:id="10"/>
    </w:p>
    <w:p>
      <w:pPr>
        <w:ind w:firstLine="800" w:firstLineChars="250"/>
        <w:rPr>
          <w:rFonts w:ascii="仿宋_GB2312" w:hAnsi="仿宋_GB2312" w:cs="仿宋_GB2312"/>
          <w:color w:val="000000"/>
          <w:szCs w:val="32"/>
        </w:rPr>
      </w:pPr>
      <w:r>
        <w:rPr>
          <w:rFonts w:hint="eastAsia" w:ascii="仿宋_GB2312" w:hAnsi="仿宋_GB2312" w:cs="仿宋_GB2312"/>
          <w:color w:val="000000"/>
          <w:szCs w:val="32"/>
        </w:rPr>
        <w:t>我校是自贡市自流井区教育和体育局下属二级预算单位，单位基本性质为财政全额补助事业单位。</w:t>
      </w:r>
    </w:p>
    <w:p>
      <w:pPr>
        <w:ind w:firstLine="800" w:firstLineChars="250"/>
        <w:rPr>
          <w:rFonts w:ascii="仿宋_GB2312" w:hAnsi="仿宋_GB2312" w:cs="仿宋_GB2312"/>
          <w:color w:val="000000"/>
          <w:szCs w:val="32"/>
        </w:rPr>
      </w:pPr>
      <w:r>
        <w:rPr>
          <w:rFonts w:hint="eastAsia" w:ascii="仿宋_GB2312" w:hAnsi="仿宋_GB2312" w:cs="仿宋_GB2312"/>
          <w:color w:val="000000"/>
          <w:szCs w:val="32"/>
        </w:rPr>
        <w:t>我校纳入决算汇编范围的独立核算机构共1 个。其中行政单位0个，参照公务员法管理的事业单位0 个，其他事业单位1个。</w:t>
      </w:r>
    </w:p>
    <w:p>
      <w:pPr>
        <w:spacing w:line="360" w:lineRule="auto"/>
        <w:ind w:firstLine="567"/>
        <w:rPr>
          <w:rFonts w:ascii="宋体" w:hAnsi="宋体" w:eastAsia="宋体" w:cs="宋体"/>
          <w:bCs/>
          <w:sz w:val="28"/>
          <w:szCs w:val="28"/>
        </w:rPr>
      </w:pPr>
    </w:p>
    <w:p>
      <w:pPr>
        <w:spacing w:line="360" w:lineRule="auto"/>
        <w:ind w:firstLine="567"/>
        <w:rPr>
          <w:rFonts w:ascii="宋体" w:hAnsi="宋体" w:eastAsia="宋体" w:cs="宋体"/>
          <w:bCs/>
          <w:sz w:val="28"/>
          <w:szCs w:val="28"/>
        </w:rPr>
      </w:pPr>
    </w:p>
    <w:p>
      <w:pPr>
        <w:spacing w:line="360" w:lineRule="auto"/>
        <w:ind w:firstLine="567"/>
        <w:rPr>
          <w:rFonts w:ascii="宋体" w:hAnsi="宋体" w:eastAsia="宋体" w:cs="宋体"/>
          <w:bCs/>
          <w:sz w:val="28"/>
          <w:szCs w:val="28"/>
        </w:rPr>
      </w:pPr>
    </w:p>
    <w:p>
      <w:pPr>
        <w:spacing w:line="360" w:lineRule="auto"/>
        <w:ind w:firstLine="567"/>
        <w:rPr>
          <w:rFonts w:ascii="宋体" w:hAnsi="宋体" w:eastAsia="宋体" w:cs="宋体"/>
          <w:bCs/>
          <w:sz w:val="28"/>
          <w:szCs w:val="28"/>
        </w:rPr>
      </w:pPr>
    </w:p>
    <w:p>
      <w:pPr>
        <w:spacing w:line="360" w:lineRule="auto"/>
        <w:ind w:firstLine="567"/>
        <w:rPr>
          <w:rFonts w:ascii="宋体" w:hAnsi="宋体" w:eastAsia="宋体" w:cs="宋体"/>
          <w:bCs/>
          <w:sz w:val="28"/>
          <w:szCs w:val="28"/>
        </w:rPr>
      </w:pPr>
    </w:p>
    <w:p>
      <w:pPr>
        <w:spacing w:line="360" w:lineRule="auto"/>
        <w:rPr>
          <w:rFonts w:ascii="宋体" w:hAnsi="宋体" w:eastAsia="宋体" w:cs="宋体"/>
          <w:bCs/>
          <w:sz w:val="28"/>
          <w:szCs w:val="28"/>
        </w:rPr>
      </w:pPr>
    </w:p>
    <w:p>
      <w:pPr>
        <w:pStyle w:val="2"/>
        <w:ind w:right="440"/>
        <w:jc w:val="right"/>
        <w:rPr>
          <w:rFonts w:ascii="黑体" w:hAnsi="黑体" w:eastAsia="黑体"/>
          <w:b w:val="0"/>
          <w:color w:val="000000"/>
        </w:rPr>
      </w:pPr>
      <w:bookmarkStart w:id="11" w:name="_Toc15377204"/>
      <w:bookmarkStart w:id="12" w:name="_Toc23109"/>
      <w:bookmarkStart w:id="13" w:name="_Toc15396602"/>
    </w:p>
    <w:p>
      <w:pPr>
        <w:pStyle w:val="2"/>
        <w:ind w:right="440"/>
        <w:jc w:val="right"/>
        <w:rPr>
          <w:rStyle w:val="14"/>
          <w:rFonts w:ascii="黑体" w:hAnsi="黑体" w:eastAsia="黑体"/>
          <w:b w:val="0"/>
          <w:bCs w:val="0"/>
        </w:rPr>
      </w:pPr>
      <w:r>
        <w:rPr>
          <w:rFonts w:hint="eastAsia" w:ascii="黑体" w:hAnsi="黑体" w:eastAsia="黑体"/>
          <w:b w:val="0"/>
          <w:color w:val="000000"/>
        </w:rPr>
        <w:t>第二部分</w:t>
      </w:r>
      <w:r>
        <w:rPr>
          <w:rFonts w:ascii="黑体" w:hAnsi="黑体" w:eastAsia="黑体"/>
          <w:color w:val="000000"/>
        </w:rPr>
        <w:t xml:space="preserve"> </w:t>
      </w:r>
      <w:r>
        <w:rPr>
          <w:rStyle w:val="14"/>
          <w:rFonts w:ascii="黑体" w:hAnsi="黑体" w:eastAsia="黑体"/>
          <w:b w:val="0"/>
          <w:bCs w:val="0"/>
        </w:rPr>
        <w:t>2020</w:t>
      </w:r>
      <w:r>
        <w:rPr>
          <w:rStyle w:val="14"/>
          <w:rFonts w:hint="eastAsia" w:ascii="黑体" w:hAnsi="黑体" w:eastAsia="黑体"/>
          <w:b w:val="0"/>
          <w:bCs w:val="0"/>
        </w:rPr>
        <w:t>年度部门决算情况说明</w:t>
      </w:r>
      <w:bookmarkEnd w:id="11"/>
      <w:bookmarkEnd w:id="12"/>
      <w:bookmarkEnd w:id="13"/>
    </w:p>
    <w:p/>
    <w:p>
      <w:pPr>
        <w:pStyle w:val="16"/>
        <w:numPr>
          <w:ilvl w:val="0"/>
          <w:numId w:val="1"/>
        </w:numPr>
        <w:spacing w:line="600" w:lineRule="exact"/>
        <w:ind w:firstLineChars="0"/>
        <w:outlineLvl w:val="1"/>
        <w:rPr>
          <w:rStyle w:val="15"/>
          <w:rFonts w:ascii="黑体" w:hAnsi="黑体" w:eastAsia="黑体"/>
          <w:b w:val="0"/>
        </w:rPr>
      </w:pPr>
      <w:bookmarkStart w:id="14" w:name="_Toc15396603"/>
      <w:bookmarkStart w:id="15" w:name="_Toc15377205"/>
      <w:bookmarkStart w:id="16" w:name="_Toc7163"/>
      <w:r>
        <w:rPr>
          <w:rFonts w:hint="eastAsia" w:ascii="黑体" w:hAnsi="黑体" w:eastAsia="黑体"/>
          <w:color w:val="000000"/>
          <w:szCs w:val="32"/>
        </w:rPr>
        <w:t>收</w:t>
      </w:r>
      <w:r>
        <w:rPr>
          <w:rStyle w:val="15"/>
          <w:rFonts w:hint="eastAsia" w:ascii="黑体" w:hAnsi="黑体" w:eastAsia="黑体"/>
          <w:b w:val="0"/>
        </w:rPr>
        <w:t>入支出决算总体情况说明</w:t>
      </w:r>
      <w:bookmarkEnd w:id="14"/>
      <w:bookmarkEnd w:id="15"/>
      <w:bookmarkEnd w:id="16"/>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2</w:t>
      </w:r>
      <w:r>
        <w:rPr>
          <w:rFonts w:ascii="仿宋" w:hAnsi="仿宋" w:eastAsia="仿宋"/>
          <w:color w:val="000000"/>
          <w:szCs w:val="32"/>
        </w:rPr>
        <w:t>020</w:t>
      </w:r>
      <w:r>
        <w:rPr>
          <w:rFonts w:hint="eastAsia" w:ascii="仿宋" w:hAnsi="仿宋" w:eastAsia="仿宋"/>
          <w:color w:val="000000"/>
          <w:szCs w:val="32"/>
        </w:rPr>
        <w:t>年</w:t>
      </w:r>
      <w:r>
        <w:rPr>
          <w:rFonts w:ascii="仿宋" w:hAnsi="仿宋" w:eastAsia="仿宋"/>
          <w:color w:val="000000"/>
          <w:szCs w:val="32"/>
        </w:rPr>
        <w:t>度</w:t>
      </w:r>
      <w:r>
        <w:rPr>
          <w:rFonts w:hint="eastAsia" w:ascii="仿宋" w:hAnsi="仿宋" w:eastAsia="仿宋"/>
          <w:color w:val="000000"/>
          <w:szCs w:val="32"/>
        </w:rPr>
        <w:t>收、</w:t>
      </w:r>
      <w:r>
        <w:rPr>
          <w:rFonts w:ascii="仿宋" w:hAnsi="仿宋" w:eastAsia="仿宋"/>
          <w:color w:val="000000"/>
          <w:szCs w:val="32"/>
        </w:rPr>
        <w:t>支</w:t>
      </w:r>
      <w:r>
        <w:rPr>
          <w:rFonts w:hint="eastAsia" w:ascii="仿宋" w:hAnsi="仿宋" w:eastAsia="仿宋"/>
          <w:color w:val="000000"/>
          <w:szCs w:val="32"/>
        </w:rPr>
        <w:t>总计</w:t>
      </w:r>
      <w:r>
        <w:rPr>
          <w:rFonts w:ascii="仿宋" w:hAnsi="仿宋" w:eastAsia="仿宋"/>
          <w:color w:val="000000"/>
          <w:szCs w:val="32"/>
        </w:rPr>
        <w:t>340.37</w:t>
      </w:r>
      <w:r>
        <w:rPr>
          <w:rFonts w:hint="eastAsia" w:ascii="仿宋" w:hAnsi="仿宋" w:eastAsia="仿宋"/>
          <w:color w:val="000000"/>
          <w:szCs w:val="32"/>
        </w:rPr>
        <w:t>万元，2019年度收入总计</w:t>
      </w:r>
      <w:r>
        <w:rPr>
          <w:rFonts w:ascii="仿宋" w:hAnsi="仿宋" w:eastAsia="仿宋"/>
          <w:color w:val="000000"/>
          <w:szCs w:val="32"/>
        </w:rPr>
        <w:t>382.8</w:t>
      </w:r>
      <w:r>
        <w:rPr>
          <w:rFonts w:hint="eastAsia" w:ascii="仿宋" w:hAnsi="仿宋" w:eastAsia="仿宋"/>
          <w:color w:val="000000"/>
          <w:szCs w:val="32"/>
        </w:rPr>
        <w:t>万元</w:t>
      </w:r>
      <w:r>
        <w:rPr>
          <w:rFonts w:ascii="仿宋" w:hAnsi="仿宋" w:eastAsia="仿宋"/>
          <w:color w:val="000000"/>
          <w:szCs w:val="32"/>
        </w:rPr>
        <w:t>，</w:t>
      </w:r>
      <w:r>
        <w:rPr>
          <w:rFonts w:hint="eastAsia" w:ascii="仿宋_GB2312" w:hAnsi="仿宋_GB2312" w:cs="仿宋_GB2312"/>
          <w:color w:val="000000"/>
          <w:szCs w:val="32"/>
        </w:rPr>
        <w:t>收、支总计减少</w:t>
      </w:r>
      <w:r>
        <w:rPr>
          <w:rFonts w:ascii="仿宋_GB2312" w:hAnsi="仿宋_GB2312" w:cs="仿宋_GB2312"/>
          <w:color w:val="000000"/>
          <w:szCs w:val="32"/>
        </w:rPr>
        <w:t>42.43</w:t>
      </w:r>
      <w:r>
        <w:rPr>
          <w:rFonts w:hint="eastAsia" w:ascii="仿宋" w:hAnsi="仿宋" w:eastAsia="仿宋"/>
          <w:color w:val="000000"/>
          <w:szCs w:val="32"/>
        </w:rPr>
        <w:t>万元，减少</w:t>
      </w:r>
      <w:r>
        <w:rPr>
          <w:rFonts w:ascii="仿宋" w:hAnsi="仿宋" w:eastAsia="仿宋"/>
          <w:color w:val="000000"/>
          <w:szCs w:val="32"/>
        </w:rPr>
        <w:t>11.08</w:t>
      </w:r>
      <w:r>
        <w:rPr>
          <w:rFonts w:hint="eastAsia" w:ascii="仿宋" w:hAnsi="仿宋" w:eastAsia="仿宋"/>
          <w:color w:val="000000"/>
          <w:szCs w:val="32"/>
        </w:rPr>
        <w:t>%；</w:t>
      </w:r>
      <w:r>
        <w:rPr>
          <w:rFonts w:ascii="仿宋" w:hAnsi="仿宋" w:eastAsia="仿宋"/>
          <w:color w:val="000000"/>
          <w:szCs w:val="32"/>
        </w:rPr>
        <w:t>主要</w:t>
      </w:r>
      <w:r>
        <w:rPr>
          <w:rFonts w:hint="eastAsia" w:ascii="仿宋" w:hAnsi="仿宋" w:eastAsia="仿宋"/>
          <w:color w:val="000000"/>
          <w:szCs w:val="32"/>
        </w:rPr>
        <w:t>变动</w:t>
      </w:r>
      <w:r>
        <w:rPr>
          <w:rFonts w:ascii="仿宋" w:hAnsi="仿宋" w:eastAsia="仿宋"/>
          <w:color w:val="000000"/>
          <w:szCs w:val="32"/>
        </w:rPr>
        <w:t>原因是</w:t>
      </w:r>
      <w:r>
        <w:rPr>
          <w:rFonts w:hint="eastAsia" w:ascii="仿宋" w:hAnsi="仿宋" w:eastAsia="仿宋"/>
          <w:color w:val="000000"/>
          <w:szCs w:val="32"/>
        </w:rPr>
        <w:t>人员</w:t>
      </w:r>
      <w:r>
        <w:rPr>
          <w:rFonts w:ascii="仿宋" w:hAnsi="仿宋" w:eastAsia="仿宋"/>
          <w:color w:val="000000"/>
          <w:szCs w:val="32"/>
        </w:rPr>
        <w:t>减少，导致</w:t>
      </w:r>
      <w:r>
        <w:rPr>
          <w:rFonts w:hint="eastAsia" w:ascii="仿宋" w:hAnsi="仿宋" w:eastAsia="仿宋"/>
          <w:color w:val="000000"/>
          <w:szCs w:val="32"/>
        </w:rPr>
        <w:t>支出</w:t>
      </w:r>
      <w:r>
        <w:rPr>
          <w:rFonts w:ascii="仿宋" w:hAnsi="仿宋" w:eastAsia="仿宋"/>
          <w:color w:val="000000"/>
          <w:szCs w:val="32"/>
        </w:rPr>
        <w:t>减少</w:t>
      </w:r>
      <w:r>
        <w:rPr>
          <w:rFonts w:hint="eastAsia" w:ascii="仿宋" w:hAnsi="仿宋" w:eastAsia="仿宋"/>
          <w:color w:val="000000"/>
          <w:szCs w:val="32"/>
        </w:rPr>
        <w:t>。</w:t>
      </w:r>
      <w:r>
        <w:rPr>
          <w:rFonts w:ascii="仿宋" w:hAnsi="仿宋" w:eastAsia="仿宋"/>
          <w:color w:val="000000"/>
          <w:szCs w:val="32"/>
        </w:rPr>
        <w:t xml:space="preserve"> </w:t>
      </w:r>
    </w:p>
    <w:p>
      <w:pPr>
        <w:spacing w:line="600" w:lineRule="exact"/>
        <w:ind w:firstLine="640" w:firstLineChars="200"/>
        <w:rPr>
          <w:rFonts w:ascii="仿宋" w:hAnsi="仿宋" w:eastAsia="仿宋"/>
          <w:color w:val="000000"/>
          <w:szCs w:val="32"/>
        </w:rPr>
      </w:pPr>
    </w:p>
    <w:p>
      <w:pPr>
        <w:spacing w:line="600" w:lineRule="exact"/>
        <w:ind w:firstLine="640" w:firstLineChars="200"/>
        <w:jc w:val="left"/>
        <w:rPr>
          <w:rFonts w:ascii="仿宋_GB2312"/>
          <w:color w:val="000000"/>
          <w:szCs w:val="32"/>
        </w:rPr>
      </w:pPr>
      <w:r>
        <w:rPr>
          <w:rFonts w:ascii="仿宋_GB2312"/>
          <w:color w:val="000000"/>
          <w:szCs w:val="32"/>
        </w:rPr>
        <w:drawing>
          <wp:anchor distT="0" distB="0" distL="114300" distR="114300" simplePos="0" relativeHeight="251664384" behindDoc="0" locked="0" layoutInCell="1" allowOverlap="1">
            <wp:simplePos x="0" y="0"/>
            <wp:positionH relativeFrom="column">
              <wp:posOffset>111760</wp:posOffset>
            </wp:positionH>
            <wp:positionV relativeFrom="paragraph">
              <wp:posOffset>238760</wp:posOffset>
            </wp:positionV>
            <wp:extent cx="4895215" cy="2675255"/>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912474" cy="2684481"/>
                    </a:xfrm>
                    <a:prstGeom prst="rect">
                      <a:avLst/>
                    </a:prstGeom>
                    <a:noFill/>
                  </pic:spPr>
                </pic:pic>
              </a:graphicData>
            </a:graphic>
          </wp:anchor>
        </w:drawing>
      </w:r>
    </w:p>
    <w:p>
      <w:pPr>
        <w:spacing w:line="600" w:lineRule="exact"/>
        <w:ind w:firstLine="640" w:firstLineChars="200"/>
        <w:jc w:val="left"/>
        <w:rPr>
          <w:rFonts w:ascii="仿宋_GB2312"/>
          <w:color w:val="000000"/>
          <w:szCs w:val="32"/>
        </w:rPr>
      </w:pPr>
    </w:p>
    <w:p>
      <w:pPr>
        <w:spacing w:line="600" w:lineRule="exact"/>
        <w:ind w:firstLine="640" w:firstLineChars="200"/>
        <w:jc w:val="left"/>
        <w:rPr>
          <w:rFonts w:ascii="仿宋_GB2312"/>
          <w:color w:val="000000"/>
          <w:szCs w:val="32"/>
        </w:rPr>
      </w:pPr>
    </w:p>
    <w:p>
      <w:pPr>
        <w:spacing w:line="600" w:lineRule="exact"/>
        <w:ind w:firstLine="640" w:firstLineChars="200"/>
        <w:jc w:val="left"/>
        <w:rPr>
          <w:rFonts w:ascii="仿宋_GB2312"/>
          <w:color w:val="000000"/>
          <w:szCs w:val="32"/>
        </w:rPr>
      </w:pPr>
    </w:p>
    <w:p>
      <w:pPr>
        <w:spacing w:line="600" w:lineRule="exact"/>
        <w:ind w:firstLine="640" w:firstLineChars="200"/>
        <w:jc w:val="left"/>
        <w:rPr>
          <w:rFonts w:ascii="仿宋_GB2312"/>
          <w:color w:val="000000"/>
          <w:szCs w:val="32"/>
        </w:rPr>
      </w:pPr>
    </w:p>
    <w:p>
      <w:pPr>
        <w:spacing w:line="600" w:lineRule="exact"/>
        <w:ind w:firstLine="640" w:firstLineChars="200"/>
        <w:jc w:val="left"/>
        <w:rPr>
          <w:rFonts w:ascii="仿宋_GB2312"/>
          <w:color w:val="000000"/>
          <w:szCs w:val="32"/>
        </w:rPr>
      </w:pPr>
    </w:p>
    <w:p>
      <w:pPr>
        <w:spacing w:line="600" w:lineRule="exact"/>
        <w:jc w:val="left"/>
        <w:rPr>
          <w:rFonts w:ascii="仿宋_GB2312"/>
          <w:color w:val="000000"/>
          <w:szCs w:val="32"/>
        </w:rPr>
      </w:pPr>
    </w:p>
    <w:p>
      <w:pPr>
        <w:spacing w:line="600" w:lineRule="exact"/>
        <w:jc w:val="left"/>
        <w:rPr>
          <w:rFonts w:ascii="仿宋_GB2312"/>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：收、支决算总计变动情况图）（柱状图）</w:t>
      </w:r>
    </w:p>
    <w:p>
      <w:pPr>
        <w:spacing w:line="600" w:lineRule="exact"/>
        <w:jc w:val="left"/>
        <w:rPr>
          <w:rFonts w:ascii="仿宋_GB2312"/>
          <w:color w:val="000000"/>
          <w:szCs w:val="32"/>
        </w:rPr>
      </w:pPr>
    </w:p>
    <w:p>
      <w:pPr>
        <w:spacing w:line="600" w:lineRule="exact"/>
        <w:jc w:val="left"/>
        <w:rPr>
          <w:rFonts w:ascii="仿宋_GB2312"/>
          <w:color w:val="000000"/>
          <w:szCs w:val="32"/>
        </w:rPr>
      </w:pPr>
    </w:p>
    <w:p>
      <w:pPr>
        <w:spacing w:line="600" w:lineRule="exact"/>
        <w:jc w:val="left"/>
        <w:rPr>
          <w:rFonts w:ascii="仿宋_GB2312"/>
          <w:color w:val="000000"/>
          <w:szCs w:val="32"/>
        </w:rPr>
      </w:pPr>
    </w:p>
    <w:p>
      <w:pPr>
        <w:pStyle w:val="16"/>
        <w:numPr>
          <w:ilvl w:val="0"/>
          <w:numId w:val="1"/>
        </w:numPr>
        <w:spacing w:line="600" w:lineRule="exact"/>
        <w:ind w:firstLineChars="0"/>
        <w:outlineLvl w:val="1"/>
        <w:rPr>
          <w:rStyle w:val="15"/>
          <w:rFonts w:ascii="黑体" w:hAnsi="黑体" w:eastAsia="黑体"/>
          <w:b w:val="0"/>
        </w:rPr>
      </w:pPr>
      <w:bookmarkStart w:id="17" w:name="_Toc15377206"/>
      <w:bookmarkStart w:id="18" w:name="_Toc25258"/>
      <w:bookmarkStart w:id="19" w:name="_Toc15396604"/>
      <w:r>
        <w:rPr>
          <w:rFonts w:hint="eastAsia" w:ascii="黑体" w:hAnsi="黑体" w:eastAsia="黑体"/>
          <w:color w:val="000000"/>
          <w:szCs w:val="32"/>
        </w:rPr>
        <w:t>收</w:t>
      </w:r>
      <w:r>
        <w:rPr>
          <w:rStyle w:val="15"/>
          <w:rFonts w:hint="eastAsia" w:ascii="黑体" w:hAnsi="黑体" w:eastAsia="黑体"/>
          <w:b w:val="0"/>
        </w:rPr>
        <w:t>入决算情况说明</w:t>
      </w:r>
      <w:bookmarkEnd w:id="17"/>
      <w:bookmarkEnd w:id="18"/>
      <w:bookmarkEnd w:id="1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年本年收入合计</w:t>
      </w:r>
      <w:r>
        <w:rPr>
          <w:rFonts w:ascii="仿宋" w:hAnsi="仿宋" w:eastAsia="仿宋"/>
          <w:color w:val="000000"/>
          <w:szCs w:val="32"/>
        </w:rPr>
        <w:t>339.5</w:t>
      </w:r>
      <w:r>
        <w:rPr>
          <w:rFonts w:hint="eastAsia" w:ascii="仿宋" w:hAnsi="仿宋" w:eastAsia="仿宋"/>
          <w:color w:val="000000"/>
          <w:szCs w:val="32"/>
        </w:rPr>
        <w:t>万元，其中：一般公共预算财政拨款收入</w:t>
      </w:r>
      <w:r>
        <w:rPr>
          <w:rFonts w:ascii="仿宋" w:hAnsi="仿宋" w:eastAsia="仿宋"/>
          <w:color w:val="000000"/>
          <w:szCs w:val="32"/>
        </w:rPr>
        <w:t>337.75</w:t>
      </w:r>
      <w:r>
        <w:rPr>
          <w:rFonts w:hint="eastAsia" w:ascii="仿宋" w:hAnsi="仿宋" w:eastAsia="仿宋"/>
          <w:color w:val="000000"/>
          <w:szCs w:val="32"/>
        </w:rPr>
        <w:t>万元，占</w:t>
      </w:r>
      <w:r>
        <w:rPr>
          <w:rFonts w:ascii="仿宋" w:hAnsi="仿宋" w:eastAsia="仿宋"/>
          <w:color w:val="000000"/>
          <w:szCs w:val="32"/>
        </w:rPr>
        <w:t>99.48%</w:t>
      </w:r>
      <w:r>
        <w:rPr>
          <w:rFonts w:hint="eastAsia" w:ascii="仿宋" w:hAnsi="仿宋" w:eastAsia="仿宋"/>
          <w:color w:val="000000"/>
          <w:szCs w:val="32"/>
        </w:rPr>
        <w:t>；政府性基金预算财政拨款收入</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；上级补助收入</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；事业收入</w:t>
      </w:r>
      <w:r>
        <w:rPr>
          <w:rFonts w:ascii="仿宋" w:hAnsi="仿宋" w:eastAsia="仿宋"/>
          <w:color w:val="000000"/>
          <w:szCs w:val="32"/>
        </w:rPr>
        <w:t>1.75</w:t>
      </w:r>
      <w:r>
        <w:rPr>
          <w:rFonts w:hint="eastAsia" w:ascii="仿宋" w:hAnsi="仿宋" w:eastAsia="仿宋"/>
          <w:color w:val="000000"/>
          <w:szCs w:val="32"/>
        </w:rPr>
        <w:t>万元，占</w:t>
      </w:r>
      <w:r>
        <w:rPr>
          <w:rFonts w:ascii="仿宋" w:hAnsi="仿宋" w:eastAsia="仿宋"/>
          <w:color w:val="000000"/>
          <w:szCs w:val="32"/>
        </w:rPr>
        <w:t>0.52%</w:t>
      </w:r>
      <w:r>
        <w:rPr>
          <w:rFonts w:hint="eastAsia" w:ascii="仿宋" w:hAnsi="仿宋" w:eastAsia="仿宋"/>
          <w:color w:val="000000"/>
          <w:szCs w:val="32"/>
        </w:rPr>
        <w:t>；经营收入</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；附属单位上缴收入</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；其他收入</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w:t>
      </w:r>
    </w:p>
    <w:p>
      <w:pPr>
        <w:spacing w:line="600" w:lineRule="exact"/>
        <w:ind w:firstLine="640" w:firstLineChars="200"/>
        <w:rPr>
          <w:rFonts w:ascii="仿宋" w:hAnsi="仿宋" w:eastAsia="仿宋"/>
          <w:color w:val="000000"/>
          <w:szCs w:val="32"/>
        </w:rPr>
      </w:pPr>
    </w:p>
    <w:p>
      <w:pPr>
        <w:spacing w:line="600" w:lineRule="exact"/>
        <w:ind w:firstLine="640" w:firstLineChars="200"/>
        <w:outlineLvl w:val="1"/>
        <w:rPr>
          <w:rFonts w:ascii="仿宋" w:hAnsi="仿宋" w:eastAsia="仿宋"/>
          <w:b/>
          <w:color w:val="FF0000"/>
          <w:szCs w:val="32"/>
        </w:rPr>
      </w:pPr>
      <w:r>
        <w:rPr>
          <w:rFonts w:ascii="仿宋" w:hAnsi="仿宋" w:eastAsia="仿宋"/>
          <w:color w:val="000000"/>
          <w:szCs w:val="32"/>
        </w:rPr>
        <w:drawing>
          <wp:anchor distT="0" distB="0" distL="114300" distR="114300" simplePos="0" relativeHeight="251659264" behindDoc="0" locked="0" layoutInCell="1" allowOverlap="1">
            <wp:simplePos x="0" y="0"/>
            <wp:positionH relativeFrom="column">
              <wp:posOffset>257175</wp:posOffset>
            </wp:positionH>
            <wp:positionV relativeFrom="paragraph">
              <wp:posOffset>182880</wp:posOffset>
            </wp:positionV>
            <wp:extent cx="4903470" cy="284035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910337" cy="2844558"/>
                    </a:xfrm>
                    <a:prstGeom prst="rect">
                      <a:avLst/>
                    </a:prstGeom>
                    <a:noFill/>
                  </pic:spPr>
                </pic:pic>
              </a:graphicData>
            </a:graphic>
          </wp:anchor>
        </w:drawing>
      </w:r>
    </w:p>
    <w:p>
      <w:pPr>
        <w:spacing w:line="600" w:lineRule="exact"/>
        <w:ind w:firstLine="643" w:firstLineChars="200"/>
        <w:outlineLvl w:val="1"/>
        <w:rPr>
          <w:rFonts w:ascii="仿宋" w:hAnsi="仿宋" w:eastAsia="仿宋"/>
          <w:b/>
          <w:color w:val="FF0000"/>
          <w:szCs w:val="32"/>
        </w:rPr>
      </w:pPr>
    </w:p>
    <w:p>
      <w:pPr>
        <w:spacing w:line="600" w:lineRule="exact"/>
        <w:ind w:firstLine="643" w:firstLineChars="200"/>
        <w:outlineLvl w:val="1"/>
        <w:rPr>
          <w:rFonts w:ascii="仿宋" w:hAnsi="仿宋" w:eastAsia="仿宋"/>
          <w:b/>
          <w:color w:val="FF0000"/>
          <w:szCs w:val="32"/>
        </w:rPr>
      </w:pPr>
    </w:p>
    <w:p>
      <w:pPr>
        <w:spacing w:line="600" w:lineRule="exact"/>
        <w:ind w:firstLine="643" w:firstLineChars="200"/>
        <w:outlineLvl w:val="1"/>
        <w:rPr>
          <w:rFonts w:ascii="仿宋" w:hAnsi="仿宋" w:eastAsia="仿宋"/>
          <w:b/>
          <w:color w:val="FF0000"/>
          <w:szCs w:val="32"/>
        </w:rPr>
      </w:pPr>
    </w:p>
    <w:p>
      <w:pPr>
        <w:spacing w:line="600" w:lineRule="exact"/>
        <w:ind w:firstLine="643" w:firstLineChars="200"/>
        <w:outlineLvl w:val="1"/>
        <w:rPr>
          <w:rFonts w:ascii="仿宋" w:hAnsi="仿宋" w:eastAsia="仿宋"/>
          <w:b/>
          <w:color w:val="FF0000"/>
          <w:szCs w:val="32"/>
        </w:rPr>
      </w:pPr>
    </w:p>
    <w:p>
      <w:pPr>
        <w:spacing w:line="600" w:lineRule="exact"/>
        <w:ind w:firstLine="643" w:firstLineChars="200"/>
        <w:outlineLvl w:val="1"/>
        <w:rPr>
          <w:rFonts w:ascii="仿宋" w:hAnsi="仿宋" w:eastAsia="仿宋"/>
          <w:b/>
          <w:color w:val="FF0000"/>
          <w:szCs w:val="32"/>
        </w:rPr>
      </w:pPr>
    </w:p>
    <w:p>
      <w:pPr>
        <w:spacing w:line="600" w:lineRule="exact"/>
        <w:ind w:firstLine="640" w:firstLineChars="200"/>
        <w:outlineLvl w:val="1"/>
        <w:rPr>
          <w:rFonts w:ascii="仿宋" w:hAnsi="仿宋" w:eastAsia="仿宋"/>
          <w:color w:val="000000"/>
          <w:szCs w:val="32"/>
        </w:rPr>
      </w:pPr>
    </w:p>
    <w:p>
      <w:pPr>
        <w:spacing w:line="600" w:lineRule="exact"/>
        <w:ind w:firstLine="1280" w:firstLineChars="400"/>
        <w:rPr>
          <w:rFonts w:ascii="仿宋" w:hAnsi="仿宋" w:eastAsia="仿宋"/>
          <w:color w:val="000000"/>
          <w:szCs w:val="32"/>
        </w:rPr>
      </w:pPr>
    </w:p>
    <w:p>
      <w:pPr>
        <w:spacing w:line="600" w:lineRule="exact"/>
        <w:ind w:firstLine="1280" w:firstLineChars="4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：收入决算结构图）（饼状图）</w:t>
      </w:r>
    </w:p>
    <w:p>
      <w:pPr>
        <w:spacing w:line="600" w:lineRule="exact"/>
        <w:ind w:firstLine="1280" w:firstLineChars="400"/>
        <w:rPr>
          <w:rFonts w:ascii="仿宋" w:hAnsi="仿宋" w:eastAsia="仿宋"/>
          <w:color w:val="000000"/>
          <w:szCs w:val="32"/>
        </w:rPr>
      </w:pPr>
    </w:p>
    <w:p>
      <w:pPr>
        <w:spacing w:line="600" w:lineRule="exact"/>
        <w:rPr>
          <w:rFonts w:ascii="仿宋" w:hAnsi="仿宋" w:eastAsia="仿宋"/>
          <w:color w:val="000000"/>
          <w:szCs w:val="32"/>
        </w:rPr>
      </w:pPr>
    </w:p>
    <w:p>
      <w:pPr>
        <w:pStyle w:val="16"/>
        <w:numPr>
          <w:ilvl w:val="0"/>
          <w:numId w:val="1"/>
        </w:numPr>
        <w:spacing w:line="600" w:lineRule="exact"/>
        <w:ind w:firstLineChars="0"/>
        <w:outlineLvl w:val="1"/>
        <w:rPr>
          <w:rStyle w:val="15"/>
          <w:rFonts w:ascii="黑体" w:hAnsi="黑体" w:eastAsia="黑体"/>
          <w:b w:val="0"/>
        </w:rPr>
      </w:pPr>
      <w:bookmarkStart w:id="20" w:name="_Toc13725"/>
      <w:bookmarkStart w:id="21" w:name="_Toc15396605"/>
      <w:bookmarkStart w:id="22" w:name="_Toc15377207"/>
      <w:r>
        <w:rPr>
          <w:rFonts w:hint="eastAsia" w:ascii="黑体" w:hAnsi="黑体" w:eastAsia="黑体"/>
          <w:color w:val="000000"/>
          <w:szCs w:val="32"/>
        </w:rPr>
        <w:t>支</w:t>
      </w:r>
      <w:r>
        <w:rPr>
          <w:rStyle w:val="15"/>
          <w:rFonts w:hint="eastAsia" w:ascii="黑体" w:hAnsi="黑体" w:eastAsia="黑体"/>
          <w:b w:val="0"/>
        </w:rPr>
        <w:t>出决算情况说明</w:t>
      </w:r>
      <w:bookmarkEnd w:id="20"/>
      <w:bookmarkEnd w:id="21"/>
      <w:bookmarkEnd w:id="22"/>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w:t>
      </w:r>
      <w:r>
        <w:rPr>
          <w:rFonts w:ascii="仿宋" w:hAnsi="仿宋" w:eastAsia="仿宋"/>
          <w:color w:val="000000"/>
          <w:szCs w:val="32"/>
        </w:rPr>
        <w:t>328.77</w:t>
      </w:r>
      <w:r>
        <w:rPr>
          <w:rFonts w:hint="eastAsia" w:ascii="仿宋" w:hAnsi="仿宋" w:eastAsia="仿宋"/>
          <w:color w:val="000000"/>
          <w:szCs w:val="32"/>
        </w:rPr>
        <w:t>万元，其中：基本支出</w:t>
      </w:r>
      <w:r>
        <w:rPr>
          <w:rFonts w:ascii="仿宋" w:hAnsi="仿宋" w:eastAsia="仿宋"/>
          <w:color w:val="000000"/>
          <w:szCs w:val="32"/>
        </w:rPr>
        <w:t>328.77</w:t>
      </w:r>
      <w:r>
        <w:rPr>
          <w:rFonts w:hint="eastAsia" w:ascii="仿宋" w:hAnsi="仿宋" w:eastAsia="仿宋"/>
          <w:color w:val="000000"/>
          <w:szCs w:val="32"/>
        </w:rPr>
        <w:t>万元，占</w:t>
      </w:r>
      <w:r>
        <w:rPr>
          <w:rFonts w:ascii="仿宋" w:hAnsi="仿宋" w:eastAsia="仿宋"/>
          <w:color w:val="000000"/>
          <w:szCs w:val="32"/>
        </w:rPr>
        <w:t>100%</w:t>
      </w:r>
      <w:r>
        <w:rPr>
          <w:rFonts w:hint="eastAsia" w:ascii="仿宋" w:hAnsi="仿宋" w:eastAsia="仿宋"/>
          <w:color w:val="000000"/>
          <w:szCs w:val="32"/>
        </w:rPr>
        <w:t>；项目支出</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；上缴上级支出</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；经营支出</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；对附属单位补助支出</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w:t>
      </w:r>
    </w:p>
    <w:p>
      <w:pPr>
        <w:spacing w:line="600" w:lineRule="exact"/>
        <w:ind w:firstLine="643" w:firstLineChars="200"/>
        <w:rPr>
          <w:rFonts w:ascii="仿宋" w:hAnsi="仿宋" w:eastAsia="仿宋"/>
          <w:b/>
          <w:color w:val="FF0000"/>
          <w:szCs w:val="32"/>
        </w:rPr>
      </w:pPr>
      <w:r>
        <w:rPr>
          <w:rFonts w:ascii="仿宋" w:hAnsi="仿宋" w:eastAsia="仿宋"/>
          <w:b/>
          <w:color w:val="FF0000"/>
          <w:szCs w:val="32"/>
        </w:rPr>
        <w:drawing>
          <wp:anchor distT="0" distB="0" distL="114300" distR="114300" simplePos="0" relativeHeight="251660288" behindDoc="0" locked="0" layoutInCell="1" allowOverlap="1">
            <wp:simplePos x="0" y="0"/>
            <wp:positionH relativeFrom="margin">
              <wp:align>right</wp:align>
            </wp:positionH>
            <wp:positionV relativeFrom="paragraph">
              <wp:posOffset>135890</wp:posOffset>
            </wp:positionV>
            <wp:extent cx="5276215" cy="2447925"/>
            <wp:effectExtent l="0" t="0" r="635" b="9525"/>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6215" cy="2447925"/>
                    </a:xfrm>
                    <a:prstGeom prst="rect">
                      <a:avLst/>
                    </a:prstGeom>
                    <a:noFill/>
                  </pic:spPr>
                </pic:pic>
              </a:graphicData>
            </a:graphic>
          </wp:anchor>
        </w:drawing>
      </w:r>
    </w:p>
    <w:p>
      <w:pPr>
        <w:spacing w:line="600" w:lineRule="exact"/>
        <w:ind w:firstLine="643" w:firstLineChars="200"/>
        <w:rPr>
          <w:rFonts w:ascii="仿宋" w:hAnsi="仿宋" w:eastAsia="仿宋"/>
          <w:b/>
          <w:color w:val="FF0000"/>
          <w:szCs w:val="32"/>
        </w:rPr>
      </w:pPr>
    </w:p>
    <w:p>
      <w:pPr>
        <w:spacing w:line="600" w:lineRule="exact"/>
        <w:ind w:firstLine="643" w:firstLineChars="200"/>
        <w:rPr>
          <w:rFonts w:ascii="仿宋" w:hAnsi="仿宋" w:eastAsia="仿宋"/>
          <w:b/>
          <w:color w:val="FF0000"/>
          <w:szCs w:val="32"/>
        </w:rPr>
      </w:pPr>
    </w:p>
    <w:p>
      <w:pPr>
        <w:spacing w:line="600" w:lineRule="exact"/>
        <w:ind w:firstLine="643" w:firstLineChars="200"/>
        <w:rPr>
          <w:rFonts w:ascii="仿宋" w:hAnsi="仿宋" w:eastAsia="仿宋"/>
          <w:b/>
          <w:color w:val="FF0000"/>
          <w:szCs w:val="32"/>
        </w:rPr>
      </w:pPr>
    </w:p>
    <w:p>
      <w:pPr>
        <w:spacing w:line="600" w:lineRule="exact"/>
        <w:ind w:firstLine="643" w:firstLineChars="200"/>
        <w:rPr>
          <w:rFonts w:ascii="仿宋" w:hAnsi="仿宋" w:eastAsia="仿宋"/>
          <w:b/>
          <w:color w:val="FF0000"/>
          <w:szCs w:val="32"/>
        </w:rPr>
      </w:pPr>
    </w:p>
    <w:p>
      <w:pPr>
        <w:spacing w:line="600" w:lineRule="exact"/>
        <w:ind w:firstLine="643" w:firstLineChars="200"/>
        <w:rPr>
          <w:rFonts w:ascii="仿宋" w:hAnsi="仿宋" w:eastAsia="仿宋"/>
          <w:b/>
          <w:color w:val="FF0000"/>
          <w:szCs w:val="32"/>
        </w:rPr>
      </w:pPr>
    </w:p>
    <w:p>
      <w:pPr>
        <w:spacing w:line="600" w:lineRule="exact"/>
        <w:ind w:firstLine="643" w:firstLineChars="200"/>
        <w:rPr>
          <w:rFonts w:ascii="仿宋" w:hAnsi="仿宋" w:eastAsia="仿宋"/>
          <w:b/>
          <w:color w:val="FF0000"/>
          <w:szCs w:val="32"/>
        </w:rPr>
      </w:pPr>
    </w:p>
    <w:p>
      <w:pPr>
        <w:spacing w:line="600" w:lineRule="exact"/>
        <w:ind w:firstLine="960" w:firstLineChars="3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：支出决算结构图）（饼状图）</w:t>
      </w:r>
    </w:p>
    <w:p>
      <w:pPr>
        <w:spacing w:line="600" w:lineRule="exact"/>
        <w:ind w:firstLine="640" w:firstLineChars="200"/>
        <w:outlineLvl w:val="1"/>
        <w:rPr>
          <w:rStyle w:val="15"/>
          <w:rFonts w:ascii="黑体" w:hAnsi="黑体" w:eastAsia="黑体"/>
          <w:b w:val="0"/>
        </w:rPr>
      </w:pPr>
      <w:bookmarkStart w:id="23" w:name="_Toc15377208"/>
      <w:bookmarkStart w:id="24" w:name="_Toc15396606"/>
      <w:bookmarkStart w:id="25" w:name="_Toc10354"/>
      <w:r>
        <w:rPr>
          <w:rFonts w:hint="eastAsia" w:ascii="黑体" w:hAnsi="黑体" w:eastAsia="黑体"/>
          <w:color w:val="000000"/>
          <w:szCs w:val="32"/>
        </w:rPr>
        <w:t>四、财</w:t>
      </w:r>
      <w:r>
        <w:rPr>
          <w:rStyle w:val="15"/>
          <w:rFonts w:hint="eastAsia" w:ascii="黑体" w:hAnsi="黑体" w:eastAsia="黑体"/>
          <w:b w:val="0"/>
        </w:rPr>
        <w:t>政拨款收入支出决算总体情况说明</w:t>
      </w:r>
      <w:bookmarkEnd w:id="23"/>
      <w:bookmarkEnd w:id="24"/>
      <w:bookmarkEnd w:id="25"/>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年财政拨款收、支总计</w:t>
      </w:r>
      <w:r>
        <w:rPr>
          <w:rFonts w:ascii="仿宋" w:hAnsi="仿宋" w:eastAsia="仿宋"/>
          <w:color w:val="000000"/>
          <w:szCs w:val="32"/>
        </w:rPr>
        <w:t>337.75</w:t>
      </w:r>
      <w:r>
        <w:rPr>
          <w:rFonts w:hint="eastAsia" w:ascii="仿宋" w:hAnsi="仿宋" w:eastAsia="仿宋"/>
          <w:color w:val="000000"/>
          <w:szCs w:val="32"/>
        </w:rPr>
        <w:t>万元。与</w:t>
      </w:r>
      <w:r>
        <w:rPr>
          <w:rFonts w:ascii="仿宋" w:hAnsi="仿宋" w:eastAsia="仿宋"/>
          <w:color w:val="000000"/>
          <w:szCs w:val="32"/>
        </w:rPr>
        <w:t>2019</w:t>
      </w:r>
      <w:r>
        <w:rPr>
          <w:rFonts w:hint="eastAsia" w:ascii="仿宋" w:hAnsi="仿宋" w:eastAsia="仿宋"/>
          <w:color w:val="000000"/>
          <w:szCs w:val="32"/>
        </w:rPr>
        <w:t>年财政拨款收、支总计</w:t>
      </w:r>
      <w:r>
        <w:rPr>
          <w:rFonts w:ascii="仿宋" w:hAnsi="仿宋" w:eastAsia="仿宋"/>
          <w:color w:val="000000"/>
          <w:szCs w:val="32"/>
        </w:rPr>
        <w:t>379.05</w:t>
      </w:r>
      <w:r>
        <w:rPr>
          <w:rFonts w:hint="eastAsia" w:ascii="仿宋" w:hAnsi="仿宋" w:eastAsia="仿宋"/>
          <w:color w:val="000000"/>
          <w:szCs w:val="32"/>
        </w:rPr>
        <w:t>万元相比，财政拨款收、支总计各减少</w:t>
      </w:r>
      <w:r>
        <w:rPr>
          <w:rFonts w:ascii="仿宋" w:hAnsi="仿宋" w:eastAsia="仿宋"/>
          <w:color w:val="000000"/>
          <w:szCs w:val="32"/>
        </w:rPr>
        <w:t>41.3</w:t>
      </w:r>
      <w:r>
        <w:rPr>
          <w:rFonts w:hint="eastAsia" w:ascii="仿宋" w:hAnsi="仿宋" w:eastAsia="仿宋"/>
          <w:color w:val="000000"/>
          <w:szCs w:val="32"/>
        </w:rPr>
        <w:t>万元，下降</w:t>
      </w:r>
      <w:r>
        <w:rPr>
          <w:rFonts w:ascii="仿宋" w:hAnsi="仿宋" w:eastAsia="仿宋"/>
          <w:color w:val="000000"/>
          <w:szCs w:val="32"/>
        </w:rPr>
        <w:t>10.9%</w:t>
      </w:r>
      <w:r>
        <w:rPr>
          <w:rFonts w:hint="eastAsia" w:ascii="仿宋" w:hAnsi="仿宋" w:eastAsia="仿宋"/>
          <w:color w:val="000000"/>
          <w:szCs w:val="32"/>
        </w:rPr>
        <w:t>。主要变动原因是人员减少</w:t>
      </w:r>
      <w:r>
        <w:rPr>
          <w:rFonts w:ascii="仿宋" w:hAnsi="仿宋" w:eastAsia="仿宋"/>
          <w:color w:val="000000"/>
          <w:szCs w:val="32"/>
        </w:rPr>
        <w:t>，导致支出</w:t>
      </w:r>
      <w:r>
        <w:rPr>
          <w:rFonts w:hint="eastAsia" w:ascii="仿宋" w:hAnsi="仿宋" w:eastAsia="仿宋"/>
          <w:color w:val="000000"/>
          <w:szCs w:val="32"/>
        </w:rPr>
        <w:t>也</w:t>
      </w:r>
      <w:r>
        <w:rPr>
          <w:rFonts w:ascii="仿宋" w:hAnsi="仿宋" w:eastAsia="仿宋"/>
          <w:color w:val="000000"/>
          <w:szCs w:val="32"/>
        </w:rPr>
        <w:t>减少</w:t>
      </w:r>
      <w:r>
        <w:rPr>
          <w:rFonts w:hint="eastAsia" w:ascii="仿宋" w:hAnsi="仿宋" w:eastAsia="仿宋"/>
          <w:color w:val="000000"/>
          <w:szCs w:val="32"/>
        </w:rPr>
        <w:t>。</w:t>
      </w:r>
    </w:p>
    <w:p>
      <w:pPr>
        <w:spacing w:line="600" w:lineRule="exact"/>
        <w:ind w:firstLine="640"/>
        <w:rPr>
          <w:rFonts w:ascii="仿宋" w:hAnsi="仿宋" w:eastAsia="仿宋"/>
          <w:color w:val="000000"/>
          <w:szCs w:val="32"/>
        </w:rPr>
      </w:pPr>
      <w:r>
        <w:rPr>
          <w:rFonts w:ascii="仿宋" w:hAnsi="仿宋" w:eastAsia="仿宋"/>
          <w:color w:val="000000"/>
          <w:szCs w:val="32"/>
        </w:rPr>
        <w:drawing>
          <wp:anchor distT="0" distB="0" distL="114300" distR="114300" simplePos="0" relativeHeight="251665408" behindDoc="0" locked="0" layoutInCell="1" allowOverlap="1">
            <wp:simplePos x="0" y="0"/>
            <wp:positionH relativeFrom="column">
              <wp:posOffset>150495</wp:posOffset>
            </wp:positionH>
            <wp:positionV relativeFrom="paragraph">
              <wp:posOffset>210820</wp:posOffset>
            </wp:positionV>
            <wp:extent cx="5144135" cy="2429510"/>
            <wp:effectExtent l="0" t="0" r="0" b="952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44365" cy="2429235"/>
                    </a:xfrm>
                    <a:prstGeom prst="rect">
                      <a:avLst/>
                    </a:prstGeom>
                    <a:noFill/>
                  </pic:spPr>
                </pic:pic>
              </a:graphicData>
            </a:graphic>
          </wp:anchor>
        </w:drawing>
      </w: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p>
    <w:p>
      <w:pPr>
        <w:ind w:firstLine="57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：财政拨款收、支决算总计变动情况）（柱状图）</w:t>
      </w:r>
    </w:p>
    <w:p>
      <w:pPr>
        <w:spacing w:line="600" w:lineRule="exact"/>
        <w:ind w:firstLine="640" w:firstLineChars="200"/>
        <w:rPr>
          <w:rFonts w:ascii="仿宋" w:hAnsi="仿宋" w:eastAsia="仿宋"/>
          <w:color w:val="000000"/>
          <w:szCs w:val="32"/>
        </w:rPr>
      </w:pPr>
    </w:p>
    <w:p>
      <w:pPr>
        <w:spacing w:line="600" w:lineRule="exact"/>
        <w:ind w:firstLine="640" w:firstLineChars="200"/>
        <w:outlineLvl w:val="1"/>
        <w:rPr>
          <w:rStyle w:val="15"/>
          <w:rFonts w:ascii="黑体" w:hAnsi="黑体" w:eastAsia="黑体"/>
          <w:b w:val="0"/>
        </w:rPr>
      </w:pPr>
      <w:bookmarkStart w:id="26" w:name="_Toc10967"/>
      <w:bookmarkStart w:id="27" w:name="_Toc15396607"/>
      <w:bookmarkStart w:id="28" w:name="_Toc15377209"/>
      <w:r>
        <w:rPr>
          <w:rFonts w:hint="eastAsia" w:ascii="黑体" w:hAnsi="黑体" w:eastAsia="黑体"/>
          <w:color w:val="000000"/>
          <w:szCs w:val="32"/>
        </w:rPr>
        <w:t>五、</w:t>
      </w:r>
      <w:r>
        <w:rPr>
          <w:rFonts w:hint="eastAsia" w:ascii="黑体" w:hAnsi="黑体" w:eastAsia="黑体"/>
          <w:b/>
          <w:color w:val="000000"/>
          <w:szCs w:val="32"/>
        </w:rPr>
        <w:t>一</w:t>
      </w:r>
      <w:r>
        <w:rPr>
          <w:rStyle w:val="15"/>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Cs w:val="32"/>
        </w:rPr>
      </w:pPr>
      <w:bookmarkStart w:id="29" w:name="_Toc15377210"/>
      <w:r>
        <w:rPr>
          <w:rFonts w:hint="eastAsia" w:ascii="仿宋" w:hAnsi="仿宋" w:eastAsia="仿宋"/>
          <w:b/>
          <w:color w:val="000000"/>
          <w:szCs w:val="32"/>
        </w:rPr>
        <w:t>（一）一般公共预算财政拨款支出决算总体情况</w:t>
      </w:r>
      <w:bookmarkEnd w:id="2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w:t>
      </w:r>
      <w:r>
        <w:rPr>
          <w:rFonts w:ascii="仿宋" w:hAnsi="仿宋" w:eastAsia="仿宋"/>
          <w:color w:val="000000"/>
          <w:szCs w:val="32"/>
        </w:rPr>
        <w:t>328.77</w:t>
      </w:r>
      <w:r>
        <w:rPr>
          <w:rFonts w:hint="eastAsia" w:ascii="仿宋" w:hAnsi="仿宋" w:eastAsia="仿宋"/>
          <w:color w:val="000000"/>
          <w:szCs w:val="32"/>
        </w:rPr>
        <w:t>万元，占本年支出合计的99.47</w:t>
      </w:r>
      <w:r>
        <w:rPr>
          <w:rFonts w:ascii="仿宋" w:hAnsi="仿宋" w:eastAsia="仿宋"/>
          <w:color w:val="000000"/>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年相比，一般公共预算财政拨款减少29.73</w:t>
      </w:r>
      <w:r>
        <w:rPr>
          <w:rFonts w:ascii="仿宋" w:hAnsi="仿宋" w:eastAsia="仿宋"/>
          <w:color w:val="000000"/>
          <w:szCs w:val="32"/>
        </w:rPr>
        <w:t xml:space="preserve"> </w:t>
      </w:r>
      <w:r>
        <w:rPr>
          <w:rFonts w:hint="eastAsia" w:ascii="仿宋" w:hAnsi="仿宋" w:eastAsia="仿宋"/>
          <w:color w:val="000000"/>
          <w:szCs w:val="32"/>
        </w:rPr>
        <w:t>万元，下降8.29</w:t>
      </w:r>
      <w:r>
        <w:rPr>
          <w:rFonts w:ascii="仿宋" w:hAnsi="仿宋" w:eastAsia="仿宋"/>
          <w:color w:val="000000"/>
          <w:szCs w:val="32"/>
        </w:rPr>
        <w:t xml:space="preserve"> %</w:t>
      </w:r>
      <w:r>
        <w:rPr>
          <w:rFonts w:hint="eastAsia" w:ascii="仿宋" w:hAnsi="仿宋" w:eastAsia="仿宋"/>
          <w:color w:val="000000"/>
          <w:szCs w:val="32"/>
        </w:rPr>
        <w:t>。主要变动原因是人员减少，导致支出也减少。</w:t>
      </w: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r>
        <w:rPr>
          <w:rFonts w:ascii="仿宋" w:hAnsi="仿宋" w:eastAsia="仿宋"/>
          <w:color w:val="000000"/>
          <w:szCs w:val="32"/>
        </w:rPr>
        <w:drawing>
          <wp:anchor distT="0" distB="0" distL="114300" distR="114300" simplePos="0" relativeHeight="251661312" behindDoc="0" locked="0" layoutInCell="1" allowOverlap="1">
            <wp:simplePos x="0" y="0"/>
            <wp:positionH relativeFrom="margin">
              <wp:posOffset>-33655</wp:posOffset>
            </wp:positionH>
            <wp:positionV relativeFrom="paragraph">
              <wp:posOffset>56515</wp:posOffset>
            </wp:positionV>
            <wp:extent cx="5300980" cy="3445510"/>
            <wp:effectExtent l="0" t="0" r="0" b="3175"/>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02083" cy="3445871"/>
                    </a:xfrm>
                    <a:prstGeom prst="rect">
                      <a:avLst/>
                    </a:prstGeom>
                    <a:noFill/>
                  </pic:spPr>
                </pic:pic>
              </a:graphicData>
            </a:graphic>
          </wp:anchor>
        </w:drawing>
      </w: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ind w:firstLine="640" w:firstLineChars="200"/>
        <w:rPr>
          <w:rFonts w:ascii="仿宋" w:hAnsi="仿宋" w:eastAsia="仿宋"/>
          <w:color w:val="000000"/>
          <w:szCs w:val="32"/>
        </w:rPr>
      </w:pPr>
    </w:p>
    <w:p>
      <w:pPr>
        <w:spacing w:line="600" w:lineRule="exact"/>
        <w:rPr>
          <w:rFonts w:ascii="仿宋" w:hAnsi="仿宋" w:eastAsia="仿宋"/>
          <w:color w:val="000000"/>
          <w:szCs w:val="32"/>
        </w:rPr>
      </w:pPr>
    </w:p>
    <w:p>
      <w:pPr>
        <w:spacing w:line="600" w:lineRule="exact"/>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：一般公共预算财政拨款支出决算变动情况）（柱状图）</w:t>
      </w:r>
    </w:p>
    <w:p>
      <w:pPr>
        <w:spacing w:line="600" w:lineRule="exact"/>
        <w:ind w:firstLine="640" w:firstLineChars="200"/>
        <w:rPr>
          <w:rFonts w:ascii="仿宋" w:hAnsi="仿宋" w:eastAsia="仿宋"/>
          <w:color w:val="000000"/>
          <w:szCs w:val="32"/>
        </w:rPr>
      </w:pPr>
    </w:p>
    <w:p>
      <w:pPr>
        <w:spacing w:line="600" w:lineRule="exact"/>
        <w:ind w:firstLine="643" w:firstLineChars="200"/>
        <w:outlineLvl w:val="2"/>
        <w:rPr>
          <w:rFonts w:ascii="仿宋" w:hAnsi="仿宋" w:eastAsia="仿宋"/>
          <w:b/>
          <w:color w:val="000000"/>
          <w:szCs w:val="32"/>
        </w:rPr>
      </w:pPr>
      <w:bookmarkStart w:id="30" w:name="_Toc15377211"/>
      <w:r>
        <w:rPr>
          <w:rFonts w:hint="eastAsia" w:ascii="仿宋" w:hAnsi="仿宋" w:eastAsia="仿宋"/>
          <w:b/>
          <w:color w:val="000000"/>
          <w:szCs w:val="32"/>
        </w:rPr>
        <w:t>（二）一般公共预算财政拨款支出决算结构情况</w:t>
      </w:r>
      <w:bookmarkEnd w:id="30"/>
    </w:p>
    <w:p>
      <w:pPr>
        <w:spacing w:line="600" w:lineRule="exact"/>
        <w:ind w:firstLine="640"/>
        <w:rPr>
          <w:rFonts w:ascii="仿宋" w:hAnsi="仿宋" w:eastAsia="仿宋"/>
          <w:b/>
          <w:bCs/>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w:t>
      </w:r>
      <w:r>
        <w:rPr>
          <w:rFonts w:ascii="仿宋" w:hAnsi="仿宋" w:eastAsia="仿宋"/>
          <w:color w:val="000000"/>
          <w:szCs w:val="32"/>
        </w:rPr>
        <w:t>328.77</w:t>
      </w:r>
      <w:r>
        <w:rPr>
          <w:rFonts w:hint="eastAsia" w:ascii="仿宋" w:hAnsi="仿宋" w:eastAsia="仿宋"/>
          <w:color w:val="000000"/>
          <w:szCs w:val="32"/>
        </w:rPr>
        <w:t>万元，主要用于</w:t>
      </w:r>
      <w:r>
        <w:rPr>
          <w:rFonts w:hint="eastAsia" w:ascii="仿宋" w:hAnsi="仿宋" w:eastAsia="仿宋"/>
          <w:b/>
          <w:color w:val="000000"/>
          <w:szCs w:val="32"/>
        </w:rPr>
        <w:t>教育支出3</w:t>
      </w:r>
      <w:r>
        <w:rPr>
          <w:rFonts w:ascii="仿宋" w:hAnsi="仿宋" w:eastAsia="仿宋"/>
          <w:b/>
          <w:color w:val="000000"/>
          <w:szCs w:val="32"/>
        </w:rPr>
        <w:t>28.77</w:t>
      </w:r>
      <w:r>
        <w:rPr>
          <w:rFonts w:hint="eastAsia" w:ascii="仿宋" w:hAnsi="仿宋" w:eastAsia="仿宋"/>
          <w:color w:val="000000"/>
          <w:szCs w:val="32"/>
        </w:rPr>
        <w:t>万元，占</w:t>
      </w:r>
      <w:r>
        <w:rPr>
          <w:rFonts w:ascii="仿宋" w:hAnsi="仿宋" w:eastAsia="仿宋"/>
          <w:color w:val="000000"/>
          <w:szCs w:val="32"/>
        </w:rPr>
        <w:t>100%</w:t>
      </w:r>
      <w:r>
        <w:rPr>
          <w:rFonts w:hint="eastAsia" w:ascii="仿宋" w:hAnsi="仿宋" w:eastAsia="仿宋"/>
          <w:color w:val="000000"/>
          <w:szCs w:val="32"/>
        </w:rPr>
        <w:t>。</w:t>
      </w:r>
    </w:p>
    <w:p>
      <w:pPr>
        <w:spacing w:line="600" w:lineRule="exact"/>
        <w:ind w:firstLine="640"/>
        <w:rPr>
          <w:rFonts w:ascii="仿宋" w:hAnsi="仿宋" w:eastAsia="仿宋"/>
          <w:b/>
          <w:bCs/>
          <w:color w:val="000000"/>
          <w:szCs w:val="32"/>
        </w:rPr>
      </w:pPr>
    </w:p>
    <w:p>
      <w:pPr>
        <w:spacing w:line="600" w:lineRule="exact"/>
        <w:ind w:firstLine="640"/>
        <w:rPr>
          <w:rFonts w:ascii="仿宋" w:hAnsi="仿宋" w:eastAsia="仿宋"/>
          <w:b/>
          <w:bCs/>
          <w:color w:val="000000"/>
          <w:szCs w:val="32"/>
        </w:rPr>
      </w:pPr>
      <w:r>
        <w:rPr>
          <w:rFonts w:ascii="仿宋" w:hAnsi="仿宋" w:eastAsia="仿宋"/>
          <w:b/>
          <w:bCs/>
          <w:color w:val="000000"/>
          <w:szCs w:val="32"/>
        </w:rPr>
        <w:drawing>
          <wp:anchor distT="0" distB="0" distL="114300" distR="114300" simplePos="0" relativeHeight="251662336" behindDoc="0" locked="0" layoutInCell="1" allowOverlap="1">
            <wp:simplePos x="0" y="0"/>
            <wp:positionH relativeFrom="column">
              <wp:posOffset>401320</wp:posOffset>
            </wp:positionH>
            <wp:positionV relativeFrom="paragraph">
              <wp:posOffset>11430</wp:posOffset>
            </wp:positionV>
            <wp:extent cx="5267325" cy="2400300"/>
            <wp:effectExtent l="0" t="0" r="9525"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67325" cy="2400300"/>
                    </a:xfrm>
                    <a:prstGeom prst="rect">
                      <a:avLst/>
                    </a:prstGeom>
                    <a:noFill/>
                    <a:ln>
                      <a:noFill/>
                    </a:ln>
                  </pic:spPr>
                </pic:pic>
              </a:graphicData>
            </a:graphic>
          </wp:anchor>
        </w:drawing>
      </w:r>
    </w:p>
    <w:p>
      <w:pPr>
        <w:spacing w:line="600" w:lineRule="exact"/>
        <w:ind w:firstLine="640"/>
        <w:rPr>
          <w:rFonts w:ascii="仿宋" w:hAnsi="仿宋" w:eastAsia="仿宋"/>
          <w:b/>
          <w:bCs/>
          <w:color w:val="000000"/>
          <w:szCs w:val="32"/>
        </w:rPr>
      </w:pPr>
    </w:p>
    <w:p>
      <w:pPr>
        <w:spacing w:line="600" w:lineRule="exact"/>
        <w:ind w:firstLine="640"/>
        <w:rPr>
          <w:rFonts w:ascii="仿宋" w:hAnsi="仿宋" w:eastAsia="仿宋"/>
          <w:b/>
          <w:bCs/>
          <w:color w:val="000000"/>
          <w:szCs w:val="32"/>
        </w:rPr>
      </w:pPr>
    </w:p>
    <w:p>
      <w:pPr>
        <w:spacing w:line="600" w:lineRule="exact"/>
        <w:ind w:firstLine="640"/>
        <w:rPr>
          <w:rFonts w:ascii="仿宋" w:hAnsi="仿宋" w:eastAsia="仿宋"/>
          <w:b/>
          <w:bCs/>
          <w:color w:val="000000"/>
          <w:szCs w:val="32"/>
        </w:rPr>
      </w:pPr>
    </w:p>
    <w:p>
      <w:pPr>
        <w:spacing w:line="600" w:lineRule="exact"/>
        <w:ind w:firstLine="640"/>
        <w:rPr>
          <w:rFonts w:ascii="仿宋" w:hAnsi="仿宋" w:eastAsia="仿宋"/>
          <w:b/>
          <w:bCs/>
          <w:color w:val="000000"/>
          <w:szCs w:val="32"/>
        </w:rPr>
      </w:pPr>
    </w:p>
    <w:p>
      <w:pPr>
        <w:spacing w:line="600" w:lineRule="exact"/>
        <w:ind w:firstLine="640"/>
        <w:rPr>
          <w:rFonts w:ascii="仿宋" w:hAnsi="仿宋" w:eastAsia="仿宋"/>
          <w:b/>
          <w:bCs/>
          <w:color w:val="000000"/>
          <w:szCs w:val="32"/>
        </w:rPr>
      </w:pPr>
    </w:p>
    <w:p>
      <w:pPr>
        <w:spacing w:line="600" w:lineRule="exact"/>
        <w:ind w:firstLine="640"/>
        <w:rPr>
          <w:rFonts w:ascii="仿宋" w:hAnsi="仿宋" w:eastAsia="仿宋"/>
          <w:color w:val="000000"/>
          <w:szCs w:val="32"/>
        </w:rPr>
      </w:pP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：一般公共预算财政拨款支出决算结构）（饼状图）</w:t>
      </w:r>
    </w:p>
    <w:p>
      <w:pPr>
        <w:spacing w:line="600" w:lineRule="exact"/>
        <w:ind w:firstLine="640" w:firstLineChars="200"/>
        <w:rPr>
          <w:rFonts w:ascii="仿宋" w:hAnsi="仿宋" w:eastAsia="仿宋"/>
          <w:color w:val="000000"/>
          <w:szCs w:val="32"/>
        </w:rPr>
      </w:pPr>
    </w:p>
    <w:p>
      <w:pPr>
        <w:spacing w:line="600" w:lineRule="exact"/>
        <w:ind w:firstLine="643" w:firstLineChars="200"/>
        <w:outlineLvl w:val="2"/>
        <w:rPr>
          <w:rFonts w:ascii="仿宋" w:hAnsi="仿宋" w:eastAsia="仿宋"/>
          <w:b/>
          <w:color w:val="000000"/>
          <w:szCs w:val="32"/>
        </w:rPr>
      </w:pPr>
      <w:bookmarkStart w:id="31" w:name="_Toc15377212"/>
      <w:r>
        <w:rPr>
          <w:rFonts w:hint="eastAsia" w:ascii="仿宋" w:hAnsi="仿宋" w:eastAsia="仿宋"/>
          <w:b/>
          <w:color w:val="000000"/>
          <w:szCs w:val="32"/>
        </w:rPr>
        <w:t>（三）一般公共预算财政拨款支出决算具体情况</w:t>
      </w:r>
      <w:bookmarkEnd w:id="31"/>
    </w:p>
    <w:p>
      <w:pPr>
        <w:spacing w:line="600" w:lineRule="exact"/>
        <w:ind w:firstLine="643" w:firstLineChars="200"/>
        <w:rPr>
          <w:rFonts w:ascii="仿宋" w:hAnsi="仿宋" w:eastAsia="仿宋"/>
          <w:color w:val="FF0000"/>
          <w:szCs w:val="32"/>
        </w:rPr>
      </w:pPr>
      <w:bookmarkStart w:id="32" w:name="_Toc15377213"/>
      <w:bookmarkStart w:id="33" w:name="_Toc15378460"/>
      <w:bookmarkStart w:id="34" w:name="_Toc15377444"/>
      <w:r>
        <w:rPr>
          <w:rFonts w:ascii="仿宋" w:hAnsi="仿宋" w:eastAsia="仿宋"/>
          <w:b/>
          <w:color w:val="000000"/>
          <w:szCs w:val="32"/>
        </w:rPr>
        <w:t>2020</w:t>
      </w:r>
      <w:r>
        <w:rPr>
          <w:rFonts w:hint="eastAsia" w:ascii="仿宋" w:hAnsi="仿宋" w:eastAsia="仿宋"/>
          <w:b/>
          <w:color w:val="000000"/>
          <w:szCs w:val="32"/>
        </w:rPr>
        <w:t>年一般公共预算支出决算数为</w:t>
      </w:r>
      <w:r>
        <w:rPr>
          <w:rFonts w:ascii="仿宋" w:hAnsi="仿宋" w:eastAsia="仿宋"/>
          <w:color w:val="000000"/>
          <w:szCs w:val="32"/>
        </w:rPr>
        <w:t>328.77</w:t>
      </w:r>
      <w:r>
        <w:rPr>
          <w:rFonts w:hint="eastAsia" w:ascii="仿宋" w:hAnsi="仿宋" w:eastAsia="仿宋"/>
          <w:color w:val="000000"/>
          <w:szCs w:val="32"/>
        </w:rPr>
        <w:t>万元，</w:t>
      </w:r>
      <w:r>
        <w:rPr>
          <w:rStyle w:val="12"/>
          <w:rFonts w:hint="eastAsia" w:ascii="仿宋" w:hAnsi="仿宋" w:eastAsia="仿宋"/>
          <w:bCs/>
          <w:color w:val="000000"/>
          <w:szCs w:val="32"/>
        </w:rPr>
        <w:t>完成预算</w:t>
      </w:r>
      <w:r>
        <w:rPr>
          <w:rStyle w:val="12"/>
          <w:rFonts w:ascii="仿宋" w:hAnsi="仿宋" w:eastAsia="仿宋"/>
          <w:bCs/>
          <w:color w:val="000000"/>
          <w:szCs w:val="32"/>
        </w:rPr>
        <w:t>100%</w:t>
      </w:r>
      <w:r>
        <w:rPr>
          <w:rStyle w:val="12"/>
          <w:rFonts w:hint="eastAsia" w:ascii="仿宋" w:hAnsi="仿宋" w:eastAsia="仿宋"/>
          <w:bCs/>
          <w:color w:val="000000"/>
          <w:szCs w:val="32"/>
        </w:rPr>
        <w:t>。其中：</w:t>
      </w:r>
      <w:bookmarkEnd w:id="32"/>
      <w:bookmarkEnd w:id="33"/>
      <w:bookmarkEnd w:id="34"/>
    </w:p>
    <w:p>
      <w:pPr>
        <w:spacing w:line="600" w:lineRule="exact"/>
        <w:ind w:firstLine="640" w:firstLineChars="200"/>
        <w:rPr>
          <w:rFonts w:ascii="仿宋" w:hAnsi="仿宋" w:eastAsia="仿宋"/>
          <w:b/>
          <w:bCs/>
          <w:color w:val="000000"/>
          <w:szCs w:val="32"/>
        </w:rPr>
      </w:pPr>
      <w:r>
        <w:rPr>
          <w:rStyle w:val="12"/>
          <w:rFonts w:hint="eastAsia" w:ascii="仿宋_GB2312" w:hAnsi="仿宋_GB2312" w:cs="仿宋_GB2312"/>
          <w:b w:val="0"/>
          <w:color w:val="000000"/>
          <w:szCs w:val="32"/>
        </w:rPr>
        <w:t>教育支出（类）普通教育（款）小学教育（项）</w:t>
      </w:r>
      <w:r>
        <w:rPr>
          <w:rStyle w:val="12"/>
          <w:rFonts w:ascii="仿宋_GB2312" w:hAnsi="仿宋_GB2312" w:cs="仿宋_GB2312"/>
          <w:b w:val="0"/>
          <w:color w:val="000000"/>
          <w:szCs w:val="32"/>
        </w:rPr>
        <w:t>:</w:t>
      </w:r>
      <w:r>
        <w:rPr>
          <w:rStyle w:val="12"/>
          <w:rFonts w:ascii="仿宋_GB2312" w:hAnsi="仿宋_GB2312" w:cs="仿宋_GB2312"/>
          <w:b w:val="0"/>
          <w:bCs/>
          <w:color w:val="000000"/>
          <w:szCs w:val="32"/>
        </w:rPr>
        <w:t xml:space="preserve"> </w:t>
      </w:r>
      <w:r>
        <w:rPr>
          <w:rStyle w:val="12"/>
          <w:rFonts w:hint="eastAsia" w:ascii="仿宋_GB2312" w:hAnsi="仿宋_GB2312" w:cs="仿宋_GB2312"/>
          <w:b w:val="0"/>
          <w:bCs/>
          <w:color w:val="000000"/>
          <w:szCs w:val="32"/>
        </w:rPr>
        <w:t>支出决算为</w:t>
      </w:r>
      <w:r>
        <w:rPr>
          <w:rFonts w:ascii="仿宋" w:hAnsi="仿宋" w:eastAsia="仿宋"/>
          <w:color w:val="000000"/>
          <w:szCs w:val="32"/>
        </w:rPr>
        <w:t>328.77</w:t>
      </w:r>
      <w:r>
        <w:rPr>
          <w:rStyle w:val="12"/>
          <w:rFonts w:hint="eastAsia" w:ascii="仿宋_GB2312" w:hAnsi="仿宋_GB2312" w:cs="仿宋_GB2312"/>
          <w:b w:val="0"/>
          <w:bCs/>
          <w:color w:val="000000"/>
          <w:szCs w:val="32"/>
        </w:rPr>
        <w:t>万元，完成预算100</w:t>
      </w:r>
      <w:r>
        <w:rPr>
          <w:rStyle w:val="12"/>
          <w:rFonts w:ascii="仿宋_GB2312" w:hAnsi="仿宋_GB2312" w:cs="仿宋_GB2312"/>
          <w:b w:val="0"/>
          <w:bCs/>
          <w:color w:val="000000"/>
          <w:szCs w:val="32"/>
        </w:rPr>
        <w:t>%</w:t>
      </w:r>
      <w:r>
        <w:rPr>
          <w:rStyle w:val="12"/>
          <w:rFonts w:hint="eastAsia" w:ascii="仿宋_GB2312" w:hAnsi="仿宋_GB2312" w:cs="仿宋_GB2312"/>
          <w:b w:val="0"/>
          <w:bCs/>
          <w:color w:val="000000"/>
          <w:szCs w:val="32"/>
        </w:rPr>
        <w:t>。</w:t>
      </w:r>
    </w:p>
    <w:p>
      <w:pPr>
        <w:spacing w:line="600" w:lineRule="exact"/>
        <w:ind w:firstLine="643" w:firstLineChars="200"/>
        <w:rPr>
          <w:rFonts w:ascii="仿宋" w:hAnsi="仿宋" w:eastAsia="仿宋"/>
          <w:b/>
          <w:bCs/>
          <w:color w:val="000000"/>
          <w:szCs w:val="32"/>
        </w:rPr>
      </w:pPr>
    </w:p>
    <w:p>
      <w:pPr>
        <w:tabs>
          <w:tab w:val="right" w:pos="8306"/>
        </w:tabs>
        <w:spacing w:line="600" w:lineRule="exact"/>
        <w:ind w:firstLine="640"/>
        <w:outlineLvl w:val="1"/>
        <w:rPr>
          <w:rStyle w:val="15"/>
        </w:rPr>
      </w:pPr>
      <w:bookmarkStart w:id="35" w:name="_Toc15377214"/>
      <w:bookmarkStart w:id="36" w:name="_Toc31021"/>
      <w:bookmarkStart w:id="37" w:name="_Toc15396608"/>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5"/>
          <w:rFonts w:hint="eastAsia" w:ascii="黑体" w:hAnsi="黑体" w:eastAsia="黑体"/>
          <w:b w:val="0"/>
        </w:rPr>
        <w:t>般公共预算财政拨款基本支出决算情况说明</w:t>
      </w:r>
      <w:bookmarkEnd w:id="35"/>
      <w:bookmarkEnd w:id="36"/>
      <w:bookmarkEnd w:id="37"/>
      <w:r>
        <w:rPr>
          <w:rStyle w:val="15"/>
          <w:rFonts w:ascii="黑体" w:hAnsi="黑体" w:eastAsia="黑体"/>
          <w:b w:val="0"/>
        </w:rPr>
        <w:tab/>
      </w:r>
    </w:p>
    <w:p>
      <w:pPr>
        <w:spacing w:line="600" w:lineRule="exact"/>
        <w:ind w:firstLine="645"/>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年一般公共预算财政拨款基本支出328.77万元，其中：</w:t>
      </w:r>
    </w:p>
    <w:p>
      <w:pPr>
        <w:spacing w:line="600" w:lineRule="exact"/>
        <w:ind w:firstLine="645"/>
        <w:rPr>
          <w:rFonts w:ascii="仿宋" w:hAnsi="仿宋" w:eastAsia="仿宋"/>
          <w:color w:val="000000"/>
          <w:szCs w:val="32"/>
        </w:rPr>
      </w:pPr>
      <w:r>
        <w:rPr>
          <w:rFonts w:hint="eastAsia" w:ascii="仿宋" w:hAnsi="仿宋" w:eastAsia="仿宋"/>
          <w:color w:val="000000"/>
          <w:szCs w:val="32"/>
        </w:rPr>
        <w:t>人员经费</w:t>
      </w:r>
      <w:r>
        <w:rPr>
          <w:rFonts w:ascii="仿宋" w:hAnsi="仿宋" w:eastAsia="仿宋"/>
          <w:color w:val="000000"/>
          <w:szCs w:val="32"/>
        </w:rPr>
        <w:t>297.1</w:t>
      </w:r>
      <w:r>
        <w:rPr>
          <w:rFonts w:hint="eastAsia" w:ascii="仿宋" w:hAnsi="仿宋" w:eastAsia="仿宋"/>
          <w:color w:val="000000"/>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color w:val="000000"/>
          <w:szCs w:val="32"/>
        </w:rPr>
        <w:br w:type="textWrapping"/>
      </w:r>
      <w:r>
        <w:rPr>
          <w:rFonts w:hint="eastAsia" w:ascii="仿宋" w:hAnsi="仿宋" w:eastAsia="仿宋"/>
          <w:color w:val="000000"/>
          <w:szCs w:val="32"/>
        </w:rPr>
        <w:t>　　日常公用经费</w:t>
      </w:r>
      <w:r>
        <w:rPr>
          <w:rFonts w:ascii="仿宋" w:hAnsi="仿宋" w:eastAsia="仿宋"/>
          <w:color w:val="000000"/>
          <w:szCs w:val="32"/>
        </w:rPr>
        <w:t>31.67</w:t>
      </w:r>
      <w:r>
        <w:rPr>
          <w:rFonts w:hint="eastAsia" w:ascii="仿宋" w:hAnsi="仿宋" w:eastAsia="仿宋"/>
          <w:color w:val="000000"/>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0"/>
        <w:outlineLvl w:val="1"/>
        <w:rPr>
          <w:rStyle w:val="15"/>
          <w:rFonts w:ascii="黑体" w:hAnsi="黑体" w:eastAsia="黑体"/>
          <w:b w:val="0"/>
        </w:rPr>
      </w:pPr>
      <w:bookmarkStart w:id="38" w:name="_Toc6926"/>
      <w:bookmarkStart w:id="39" w:name="_Toc15377215"/>
      <w:bookmarkStart w:id="40" w:name="_Toc15396609"/>
      <w:r>
        <w:rPr>
          <w:rFonts w:hint="eastAsia" w:ascii="黑体" w:eastAsia="黑体"/>
          <w:color w:val="000000"/>
          <w:szCs w:val="32"/>
        </w:rPr>
        <w:t>七、</w:t>
      </w:r>
      <w:r>
        <w:rPr>
          <w:rStyle w:val="15"/>
          <w:rFonts w:hint="eastAsia" w:ascii="黑体" w:hAnsi="黑体" w:eastAsia="黑体"/>
        </w:rPr>
        <w:t>“</w:t>
      </w:r>
      <w:r>
        <w:rPr>
          <w:rStyle w:val="15"/>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Cs w:val="32"/>
        </w:rPr>
      </w:pPr>
      <w:bookmarkStart w:id="41" w:name="_Toc15377216"/>
      <w:r>
        <w:rPr>
          <w:rFonts w:hint="eastAsia" w:ascii="仿宋" w:hAnsi="仿宋" w:eastAsia="仿宋"/>
          <w:b/>
          <w:color w:val="000000"/>
          <w:szCs w:val="32"/>
        </w:rPr>
        <w:t>（一）“三公”经费财政拨款支出决算总体情况说明</w:t>
      </w:r>
      <w:bookmarkEnd w:id="41"/>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w:t>
      </w:r>
      <w:r>
        <w:rPr>
          <w:rFonts w:ascii="仿宋" w:hAnsi="仿宋" w:eastAsia="仿宋"/>
          <w:color w:val="000000"/>
          <w:szCs w:val="32"/>
        </w:rPr>
        <w:t>0</w:t>
      </w:r>
      <w:r>
        <w:rPr>
          <w:rFonts w:hint="eastAsia" w:ascii="仿宋" w:hAnsi="仿宋" w:eastAsia="仿宋"/>
          <w:color w:val="000000"/>
          <w:szCs w:val="32"/>
        </w:rPr>
        <w:t>万元，完成预算10</w:t>
      </w:r>
      <w:r>
        <w:rPr>
          <w:rFonts w:ascii="仿宋" w:hAnsi="仿宋" w:eastAsia="仿宋"/>
          <w:color w:val="000000"/>
          <w:szCs w:val="32"/>
        </w:rPr>
        <w:t>0%</w:t>
      </w:r>
      <w:r>
        <w:rPr>
          <w:rFonts w:hint="eastAsia" w:ascii="仿宋" w:hAnsi="仿宋" w:eastAsia="仿宋"/>
          <w:color w:val="000000"/>
          <w:szCs w:val="32"/>
        </w:rPr>
        <w:t>。</w:t>
      </w:r>
    </w:p>
    <w:p>
      <w:pPr>
        <w:spacing w:line="600" w:lineRule="exact"/>
        <w:ind w:firstLine="640"/>
        <w:outlineLvl w:val="2"/>
        <w:rPr>
          <w:rFonts w:ascii="仿宋" w:hAnsi="仿宋" w:eastAsia="仿宋"/>
          <w:b/>
          <w:color w:val="000000"/>
          <w:szCs w:val="32"/>
        </w:rPr>
      </w:pPr>
      <w:bookmarkStart w:id="42" w:name="_Toc15377217"/>
      <w:r>
        <w:rPr>
          <w:rFonts w:hint="eastAsia" w:ascii="仿宋" w:hAnsi="仿宋" w:eastAsia="仿宋"/>
          <w:b/>
          <w:color w:val="000000"/>
          <w:szCs w:val="32"/>
        </w:rPr>
        <w:t>（二）“三公”经费财政拨款支出决算具体情况说明</w:t>
      </w:r>
      <w:bookmarkEnd w:id="42"/>
    </w:p>
    <w:p>
      <w:pPr>
        <w:spacing w:line="600" w:lineRule="exact"/>
        <w:ind w:firstLine="640"/>
        <w:rPr>
          <w:rFonts w:ascii="仿宋" w:hAnsi="仿宋" w:eastAsia="仿宋"/>
          <w:color w:val="000000"/>
          <w:szCs w:val="32"/>
        </w:rPr>
      </w:pPr>
      <w:r>
        <w:rPr>
          <w:rFonts w:hint="eastAsia" w:ascii="仿宋" w:hAnsi="仿宋" w:eastAsia="仿宋"/>
          <w:color w:val="000000"/>
          <w:szCs w:val="32"/>
        </w:rPr>
        <w:drawing>
          <wp:anchor distT="0" distB="0" distL="0" distR="0" simplePos="0" relativeHeight="251663360" behindDoc="0" locked="0" layoutInCell="1" allowOverlap="1">
            <wp:simplePos x="0" y="0"/>
            <wp:positionH relativeFrom="margin">
              <wp:align>right</wp:align>
            </wp:positionH>
            <wp:positionV relativeFrom="paragraph">
              <wp:posOffset>1903095</wp:posOffset>
            </wp:positionV>
            <wp:extent cx="4783455" cy="1502410"/>
            <wp:effectExtent l="0" t="0" r="17145" b="2540"/>
            <wp:wrapTopAndBottom/>
            <wp:docPr id="1039" name="Image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；公务用车购置及运行维护费支出决算</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；公务接待费支出决算</w:t>
      </w:r>
      <w:r>
        <w:rPr>
          <w:rFonts w:ascii="仿宋" w:hAnsi="仿宋" w:eastAsia="仿宋"/>
          <w:color w:val="000000"/>
          <w:szCs w:val="32"/>
        </w:rPr>
        <w:t>0</w:t>
      </w:r>
      <w:r>
        <w:rPr>
          <w:rFonts w:hint="eastAsia" w:ascii="仿宋" w:hAnsi="仿宋" w:eastAsia="仿宋"/>
          <w:color w:val="000000"/>
          <w:szCs w:val="32"/>
        </w:rPr>
        <w:t>万元，占</w:t>
      </w:r>
      <w:r>
        <w:rPr>
          <w:rFonts w:ascii="仿宋" w:hAnsi="仿宋" w:eastAsia="仿宋"/>
          <w:color w:val="000000"/>
          <w:szCs w:val="32"/>
        </w:rPr>
        <w:t>0%</w:t>
      </w:r>
      <w:r>
        <w:rPr>
          <w:rFonts w:hint="eastAsia" w:ascii="仿宋" w:hAnsi="仿宋" w:eastAsia="仿宋"/>
          <w:color w:val="000000"/>
          <w:szCs w:val="32"/>
        </w:rPr>
        <w:t>。具体情况如下：</w:t>
      </w:r>
    </w:p>
    <w:p>
      <w:pPr>
        <w:spacing w:line="600" w:lineRule="exact"/>
        <w:rPr>
          <w:rFonts w:ascii="仿宋" w:hAnsi="仿宋" w:eastAsia="仿宋"/>
          <w:color w:val="000000"/>
          <w:szCs w:val="32"/>
        </w:rPr>
      </w:pPr>
    </w:p>
    <w:p>
      <w:pPr>
        <w:spacing w:line="600" w:lineRule="exact"/>
        <w:ind w:firstLine="64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7</w:t>
      </w:r>
      <w:r>
        <w:rPr>
          <w:rFonts w:hint="eastAsia" w:ascii="仿宋" w:hAnsi="仿宋" w:eastAsia="仿宋"/>
          <w:color w:val="000000"/>
          <w:szCs w:val="32"/>
        </w:rPr>
        <w:t>：“三公”经费财政拨款支出结构）（饼状图）</w:t>
      </w:r>
    </w:p>
    <w:p>
      <w:pPr>
        <w:spacing w:line="600" w:lineRule="exact"/>
        <w:ind w:firstLine="640"/>
        <w:rPr>
          <w:rFonts w:ascii="仿宋_GB2312"/>
          <w:b/>
          <w:color w:val="000000"/>
          <w:szCs w:val="32"/>
        </w:rPr>
      </w:pPr>
      <w:bookmarkStart w:id="43" w:name="_Toc15377218"/>
      <w:bookmarkStart w:id="44" w:name="_Toc9843"/>
      <w:bookmarkStart w:id="45" w:name="_Toc15396610"/>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2"/>
          <w:rFonts w:hint="eastAsia" w:ascii="仿宋" w:hAnsi="仿宋" w:eastAsia="仿宋"/>
          <w:b w:val="0"/>
          <w:bCs/>
          <w:color w:val="000000"/>
          <w:szCs w:val="32"/>
        </w:rPr>
        <w:t>完成预算0</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全年安排因公出国（境）团组0次，出国（境）0人。因公出国（境）支出决算与</w:t>
      </w:r>
      <w:r>
        <w:rPr>
          <w:rFonts w:ascii="仿宋_GB2312"/>
          <w:color w:val="000000"/>
          <w:szCs w:val="32"/>
        </w:rPr>
        <w:t>201</w:t>
      </w:r>
      <w:r>
        <w:rPr>
          <w:rFonts w:hint="eastAsia" w:ascii="仿宋_GB2312"/>
          <w:color w:val="000000"/>
          <w:szCs w:val="32"/>
        </w:rPr>
        <w:t>9年持平。</w:t>
      </w:r>
    </w:p>
    <w:p>
      <w:pPr>
        <w:spacing w:line="600" w:lineRule="exact"/>
        <w:ind w:firstLine="640"/>
        <w:rPr>
          <w:rFonts w:ascii="仿宋_GB2312"/>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2"/>
          <w:rFonts w:hint="eastAsia" w:ascii="仿宋" w:hAnsi="仿宋" w:eastAsia="仿宋"/>
          <w:b w:val="0"/>
          <w:bCs/>
          <w:color w:val="000000"/>
          <w:szCs w:val="32"/>
        </w:rPr>
        <w:t>完成预算0</w:t>
      </w:r>
      <w:r>
        <w:rPr>
          <w:rStyle w:val="12"/>
          <w:rFonts w:ascii="仿宋" w:hAnsi="仿宋" w:eastAsia="仿宋"/>
          <w:b w:val="0"/>
          <w:bCs/>
          <w:color w:val="000000"/>
          <w:szCs w:val="32"/>
        </w:rPr>
        <w:t>%</w:t>
      </w:r>
      <w:r>
        <w:rPr>
          <w:rStyle w:val="12"/>
          <w:rFonts w:hint="eastAsia" w:ascii="仿宋" w:hAnsi="仿宋" w:eastAsia="仿宋"/>
          <w:b w:val="0"/>
          <w:bCs/>
          <w:szCs w:val="32"/>
        </w:rPr>
        <w:t>。</w:t>
      </w:r>
      <w:r>
        <w:rPr>
          <w:rFonts w:hint="eastAsia" w:ascii="仿宋_GB2312"/>
          <w:color w:val="000000"/>
          <w:szCs w:val="32"/>
        </w:rPr>
        <w:t>公务用车购置及运行维护费支出决算与2019年</w:t>
      </w:r>
      <w:r>
        <w:rPr>
          <w:rFonts w:hint="eastAsia" w:ascii="仿宋_GB2312"/>
          <w:szCs w:val="32"/>
        </w:rPr>
        <w:t>持平</w:t>
      </w:r>
      <w:r>
        <w:rPr>
          <w:rFonts w:hint="eastAsia" w:ascii="仿宋_GB2312"/>
          <w:color w:val="000000"/>
          <w:szCs w:val="32"/>
        </w:rPr>
        <w:t>。</w:t>
      </w:r>
    </w:p>
    <w:p>
      <w:pPr>
        <w:spacing w:line="600" w:lineRule="exact"/>
        <w:ind w:firstLine="640"/>
        <w:rPr>
          <w:rFonts w:ascii="仿宋_GB2312"/>
          <w:color w:val="000000"/>
          <w:szCs w:val="32"/>
        </w:rPr>
      </w:pPr>
      <w:r>
        <w:rPr>
          <w:rFonts w:hint="eastAsia" w:ascii="仿宋_GB2312"/>
          <w:color w:val="000000"/>
          <w:szCs w:val="32"/>
        </w:rPr>
        <w:t>其中：公务用车购置支出0万元。全年按规定更新购置公务用车0辆，金额0</w:t>
      </w:r>
      <w:r>
        <w:rPr>
          <w:rFonts w:ascii="仿宋_GB2312"/>
          <w:color w:val="000000"/>
          <w:szCs w:val="32"/>
        </w:rPr>
        <w:t>元。</w:t>
      </w:r>
      <w:r>
        <w:rPr>
          <w:rFonts w:hint="eastAsia" w:ascii="仿宋_GB2312"/>
          <w:color w:val="000000"/>
          <w:szCs w:val="32"/>
        </w:rPr>
        <w:t>截至</w:t>
      </w:r>
      <w:r>
        <w:rPr>
          <w:rFonts w:ascii="仿宋_GB2312"/>
          <w:color w:val="000000"/>
          <w:szCs w:val="32"/>
        </w:rPr>
        <w:t>201</w:t>
      </w:r>
      <w:r>
        <w:rPr>
          <w:rFonts w:hint="eastAsia" w:ascii="仿宋_GB2312"/>
          <w:color w:val="000000"/>
          <w:szCs w:val="32"/>
        </w:rPr>
        <w:t>9年</w:t>
      </w:r>
      <w:r>
        <w:rPr>
          <w:rFonts w:ascii="仿宋_GB2312"/>
          <w:color w:val="000000"/>
          <w:szCs w:val="32"/>
        </w:rPr>
        <w:t>12</w:t>
      </w:r>
      <w:r>
        <w:rPr>
          <w:rFonts w:hint="eastAsia" w:ascii="仿宋_GB2312"/>
          <w:color w:val="000000"/>
          <w:szCs w:val="32"/>
        </w:rPr>
        <w:t>月底，单位共有公务用车0辆，其中：主要领导干部用车0辆、机要通信用车0辆、应急保障用车0辆、 执法执勤用车0辆。</w:t>
      </w:r>
    </w:p>
    <w:p>
      <w:pPr>
        <w:spacing w:line="600" w:lineRule="exact"/>
        <w:ind w:firstLine="640"/>
        <w:rPr>
          <w:rFonts w:ascii="仿宋_GB2312"/>
          <w:color w:val="000000"/>
          <w:szCs w:val="32"/>
        </w:rPr>
      </w:pPr>
      <w:r>
        <w:rPr>
          <w:rFonts w:hint="eastAsia" w:ascii="仿宋_GB2312"/>
          <w:color w:val="000000"/>
          <w:szCs w:val="32"/>
        </w:rPr>
        <w:t>公务用车运行维护费支出0元。</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0万元，</w:t>
      </w:r>
      <w:r>
        <w:rPr>
          <w:rStyle w:val="12"/>
          <w:rFonts w:hint="eastAsia" w:ascii="仿宋" w:hAnsi="仿宋" w:eastAsia="仿宋"/>
          <w:b w:val="0"/>
          <w:bCs/>
          <w:color w:val="000000"/>
          <w:szCs w:val="32"/>
        </w:rPr>
        <w:t>完成预算0</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公务接待费支出决算与2019年</w:t>
      </w:r>
      <w:r>
        <w:rPr>
          <w:rFonts w:hint="eastAsia" w:ascii="仿宋_GB2312"/>
          <w:szCs w:val="32"/>
        </w:rPr>
        <w:t>持平。</w:t>
      </w:r>
      <w:r>
        <w:rPr>
          <w:rFonts w:hint="eastAsia" w:ascii="仿宋_GB2312"/>
          <w:color w:val="000000"/>
          <w:szCs w:val="32"/>
        </w:rPr>
        <w:t>其中：</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_GB2312"/>
          <w:color w:val="000000"/>
          <w:szCs w:val="32"/>
        </w:rPr>
        <w:t>0万元，国内公务接待0批次，0人次（不包括陪同人员），共计支出0万元。</w:t>
      </w:r>
    </w:p>
    <w:p>
      <w:pPr>
        <w:spacing w:line="600" w:lineRule="exact"/>
        <w:ind w:firstLine="643" w:firstLineChars="200"/>
        <w:rPr>
          <w:rFonts w:ascii="仿宋_GB2312"/>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万元，外事接待0批次，0人，共计支出0万元。</w:t>
      </w:r>
    </w:p>
    <w:p>
      <w:pPr>
        <w:spacing w:line="600" w:lineRule="exact"/>
        <w:ind w:firstLine="640"/>
        <w:outlineLvl w:val="1"/>
        <w:rPr>
          <w:rStyle w:val="15"/>
          <w:rFonts w:ascii="黑体" w:hAnsi="黑体" w:eastAsia="黑体"/>
        </w:rPr>
      </w:pPr>
      <w:r>
        <w:rPr>
          <w:rFonts w:hint="eastAsia" w:ascii="黑体" w:eastAsia="黑体"/>
          <w:color w:val="000000"/>
          <w:szCs w:val="32"/>
        </w:rPr>
        <w:t>八、</w:t>
      </w:r>
      <w:r>
        <w:rPr>
          <w:rStyle w:val="15"/>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w:t>
      </w:r>
      <w:r>
        <w:rPr>
          <w:rFonts w:ascii="仿宋_GB2312"/>
          <w:color w:val="000000"/>
          <w:szCs w:val="32"/>
        </w:rPr>
        <w:t>0</w:t>
      </w:r>
      <w:r>
        <w:rPr>
          <w:rFonts w:hint="eastAsia" w:ascii="仿宋_GB2312"/>
          <w:color w:val="000000"/>
          <w:szCs w:val="32"/>
        </w:rPr>
        <w:t>万元。</w:t>
      </w:r>
    </w:p>
    <w:p>
      <w:pPr>
        <w:numPr>
          <w:ilvl w:val="0"/>
          <w:numId w:val="2"/>
        </w:numPr>
        <w:spacing w:line="600" w:lineRule="exact"/>
        <w:ind w:firstLine="640"/>
        <w:outlineLvl w:val="1"/>
        <w:rPr>
          <w:rStyle w:val="15"/>
          <w:rFonts w:ascii="黑体" w:hAnsi="黑体" w:eastAsia="黑体"/>
          <w:b w:val="0"/>
        </w:rPr>
      </w:pPr>
      <w:bookmarkStart w:id="46" w:name="_Toc15396611"/>
      <w:bookmarkStart w:id="47" w:name="_Toc10775"/>
      <w:bookmarkStart w:id="48" w:name="_Toc15377219"/>
      <w:r>
        <w:rPr>
          <w:rStyle w:val="15"/>
          <w:rFonts w:hint="eastAsia" w:ascii="黑体" w:hAnsi="黑体" w:eastAsia="黑体"/>
          <w:b w:val="0"/>
        </w:rPr>
        <w:t>国有资本经营预算支出决算情况说明</w:t>
      </w:r>
      <w:bookmarkEnd w:id="46"/>
      <w:bookmarkEnd w:id="47"/>
      <w:bookmarkEnd w:id="48"/>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w:t>
      </w:r>
      <w:r>
        <w:rPr>
          <w:rFonts w:ascii="仿宋_GB2312"/>
          <w:color w:val="000000"/>
          <w:szCs w:val="32"/>
        </w:rPr>
        <w:t>0</w:t>
      </w:r>
      <w:r>
        <w:rPr>
          <w:rFonts w:hint="eastAsia" w:ascii="仿宋_GB2312"/>
          <w:color w:val="000000"/>
          <w:szCs w:val="32"/>
        </w:rPr>
        <w:t>万元。</w:t>
      </w:r>
    </w:p>
    <w:p>
      <w:pPr>
        <w:spacing w:line="600" w:lineRule="exact"/>
        <w:ind w:firstLine="800" w:firstLineChars="250"/>
        <w:outlineLvl w:val="1"/>
        <w:rPr>
          <w:rStyle w:val="15"/>
          <w:rFonts w:ascii="黑体" w:hAnsi="黑体" w:eastAsia="黑体"/>
        </w:rPr>
      </w:pPr>
      <w:bookmarkStart w:id="49" w:name="_Toc15396612"/>
      <w:bookmarkStart w:id="50" w:name="_Toc738"/>
      <w:bookmarkStart w:id="51" w:name="_Toc15377221"/>
      <w:r>
        <w:rPr>
          <w:rFonts w:hint="eastAsia" w:ascii="黑体" w:hAnsi="黑体" w:eastAsia="黑体"/>
          <w:color w:val="000000"/>
          <w:szCs w:val="32"/>
        </w:rPr>
        <w:t>十</w:t>
      </w:r>
      <w:r>
        <w:rPr>
          <w:rStyle w:val="15"/>
          <w:rFonts w:hint="eastAsia" w:ascii="黑体" w:hAnsi="黑体" w:eastAsia="黑体"/>
        </w:rPr>
        <w:t>、</w:t>
      </w:r>
      <w:r>
        <w:rPr>
          <w:rStyle w:val="15"/>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Cs w:val="32"/>
        </w:rPr>
      </w:pPr>
      <w:bookmarkStart w:id="52" w:name="_Toc15377222"/>
      <w:r>
        <w:rPr>
          <w:rFonts w:hint="eastAsia" w:ascii="仿宋" w:hAnsi="仿宋" w:eastAsia="仿宋"/>
          <w:b/>
          <w:color w:val="000000"/>
          <w:szCs w:val="32"/>
        </w:rPr>
        <w:t>（一）机关运行经费支出情况</w:t>
      </w:r>
      <w:bookmarkEnd w:id="52"/>
    </w:p>
    <w:p>
      <w:pPr>
        <w:spacing w:line="580" w:lineRule="exact"/>
        <w:ind w:firstLine="640" w:firstLineChars="200"/>
        <w:rPr>
          <w:rFonts w:ascii="仿宋_GB2312" w:hAnsi="仿宋_GB2312"/>
          <w:color w:val="000000"/>
          <w:szCs w:val="32"/>
        </w:rPr>
      </w:pPr>
      <w:r>
        <w:rPr>
          <w:rFonts w:ascii="仿宋_GB2312"/>
          <w:color w:val="000000"/>
          <w:szCs w:val="32"/>
        </w:rPr>
        <w:t>2020</w:t>
      </w:r>
      <w:r>
        <w:rPr>
          <w:rFonts w:hint="eastAsia" w:ascii="仿宋_GB2312"/>
          <w:color w:val="000000"/>
          <w:szCs w:val="32"/>
        </w:rPr>
        <w:t>年，自贡市自流井区</w:t>
      </w:r>
      <w:r>
        <w:rPr>
          <w:rFonts w:ascii="仿宋_GB2312"/>
          <w:color w:val="000000"/>
          <w:szCs w:val="32"/>
        </w:rPr>
        <w:t>飞龙峡镇漆树小学校无</w:t>
      </w:r>
      <w:r>
        <w:rPr>
          <w:rFonts w:hint="eastAsia" w:ascii="仿宋_GB2312" w:hAnsi="仿宋_GB2312" w:cs="仿宋_GB2312"/>
          <w:color w:val="000000"/>
          <w:szCs w:val="32"/>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3" w:name="_Toc15377223"/>
      <w:r>
        <w:rPr>
          <w:rFonts w:hint="eastAsia" w:ascii="仿宋" w:hAnsi="仿宋" w:eastAsia="仿宋"/>
          <w:b/>
          <w:color w:val="000000"/>
          <w:szCs w:val="32"/>
        </w:rPr>
        <w:t>（二）政府采购支出情况</w:t>
      </w:r>
      <w:bookmarkEnd w:id="53"/>
    </w:p>
    <w:p>
      <w:pPr>
        <w:spacing w:line="600" w:lineRule="exact"/>
        <w:ind w:firstLine="640" w:firstLineChars="200"/>
        <w:rPr>
          <w:rFonts w:ascii="仿宋_GB2312" w:hAnsi="仿宋_GB2312"/>
          <w:color w:val="000000"/>
          <w:szCs w:val="32"/>
        </w:rPr>
      </w:pPr>
      <w:r>
        <w:rPr>
          <w:rFonts w:ascii="仿宋_GB2312" w:hAnsi="仿宋_GB2312" w:cs="仿宋_GB2312"/>
          <w:color w:val="000000"/>
          <w:szCs w:val="32"/>
        </w:rPr>
        <w:t>2020</w:t>
      </w:r>
      <w:r>
        <w:rPr>
          <w:rFonts w:hint="eastAsia" w:ascii="仿宋_GB2312" w:hAnsi="仿宋_GB2312" w:cs="仿宋_GB2312"/>
          <w:color w:val="000000"/>
          <w:szCs w:val="32"/>
        </w:rPr>
        <w:t>年，我单位政府采购支出总额0万元，其中：政府采购货物支出0万元、政府采购工程支出0万元、政府采购服务支出0万元。授予中小企业合同金额0万元，占政府采购支出总额的0</w:t>
      </w:r>
      <w:r>
        <w:rPr>
          <w:rFonts w:ascii="仿宋_GB2312" w:hAnsi="仿宋_GB2312" w:cs="仿宋_GB2312"/>
          <w:color w:val="000000"/>
          <w:szCs w:val="32"/>
        </w:rPr>
        <w:t>%</w:t>
      </w:r>
      <w:r>
        <w:rPr>
          <w:rFonts w:hint="eastAsia" w:ascii="仿宋_GB2312" w:hAnsi="仿宋_GB2312" w:cs="仿宋_GB2312"/>
          <w:color w:val="000000"/>
          <w:szCs w:val="32"/>
        </w:rPr>
        <w:t>，其中：授予小微企业合同金额0万元，占政府采购支出总额的0</w:t>
      </w:r>
      <w:r>
        <w:rPr>
          <w:rFonts w:ascii="仿宋_GB2312" w:hAnsi="仿宋_GB2312" w:cs="仿宋_GB2312"/>
          <w:color w:val="000000"/>
          <w:szCs w:val="32"/>
        </w:rPr>
        <w:t>%</w:t>
      </w:r>
      <w:r>
        <w:rPr>
          <w:rFonts w:hint="eastAsia" w:ascii="仿宋_GB2312" w:hAnsi="仿宋_GB2312" w:cs="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4" w:name="_Toc15377224"/>
      <w:r>
        <w:rPr>
          <w:rFonts w:hint="eastAsia" w:ascii="仿宋" w:hAnsi="仿宋" w:eastAsia="仿宋"/>
          <w:b/>
          <w:color w:val="000000"/>
          <w:szCs w:val="32"/>
        </w:rPr>
        <w:t>（三）国有资产占有使用情况</w:t>
      </w:r>
      <w:bookmarkEnd w:id="54"/>
    </w:p>
    <w:p>
      <w:pPr>
        <w:spacing w:line="600" w:lineRule="exact"/>
        <w:ind w:firstLine="640" w:firstLineChars="200"/>
        <w:rPr>
          <w:rFonts w:ascii="仿宋_GB2312" w:hAnsi="仿宋_GB2312"/>
          <w:color w:val="000000"/>
          <w:szCs w:val="32"/>
        </w:rPr>
      </w:pPr>
      <w:r>
        <w:rPr>
          <w:rFonts w:hint="eastAsia" w:ascii="仿宋_GB2312" w:hAnsi="仿宋_GB2312" w:cs="仿宋_GB2312"/>
          <w:color w:val="000000"/>
          <w:szCs w:val="32"/>
        </w:rPr>
        <w:t>截至</w:t>
      </w:r>
      <w:r>
        <w:rPr>
          <w:rFonts w:ascii="仿宋_GB2312" w:hAnsi="仿宋_GB2312" w:cs="仿宋_GB2312"/>
          <w:color w:val="000000"/>
          <w:szCs w:val="32"/>
        </w:rPr>
        <w:t>2020</w:t>
      </w:r>
      <w:r>
        <w:rPr>
          <w:rFonts w:hint="eastAsia" w:ascii="仿宋_GB2312" w:hAnsi="仿宋_GB2312" w:cs="仿宋_GB2312"/>
          <w:color w:val="000000"/>
          <w:szCs w:val="32"/>
        </w:rPr>
        <w:t>年</w:t>
      </w:r>
      <w:r>
        <w:rPr>
          <w:rFonts w:ascii="仿宋_GB2312" w:hAnsi="仿宋_GB2312" w:cs="仿宋_GB2312"/>
          <w:color w:val="000000"/>
          <w:szCs w:val="32"/>
        </w:rPr>
        <w:t>12</w:t>
      </w:r>
      <w:r>
        <w:rPr>
          <w:rFonts w:hint="eastAsia" w:ascii="仿宋_GB2312" w:hAnsi="仿宋_GB2312" w:cs="仿宋_GB2312"/>
          <w:color w:val="000000"/>
          <w:szCs w:val="32"/>
        </w:rPr>
        <w:t>月</w:t>
      </w:r>
      <w:r>
        <w:rPr>
          <w:rFonts w:ascii="仿宋_GB2312" w:hAnsi="仿宋_GB2312" w:cs="仿宋_GB2312"/>
          <w:color w:val="000000"/>
          <w:szCs w:val="32"/>
        </w:rPr>
        <w:t>31</w:t>
      </w:r>
      <w:r>
        <w:rPr>
          <w:rFonts w:hint="eastAsia" w:ascii="仿宋_GB2312" w:hAnsi="仿宋_GB2312" w:cs="仿宋_GB2312"/>
          <w:color w:val="000000"/>
          <w:szCs w:val="32"/>
        </w:rPr>
        <w:t>日，我单位共有车辆0辆，其中：部级领导干部用车0辆、一般公务用车0辆、一般执法执勤用车0辆、特种专业技术用车0辆、应急保障用车0辆、其他用车0辆。</w:t>
      </w:r>
    </w:p>
    <w:p>
      <w:pPr>
        <w:autoSpaceDE w:val="0"/>
        <w:autoSpaceDN w:val="0"/>
        <w:adjustRightInd w:val="0"/>
        <w:spacing w:line="600" w:lineRule="exact"/>
        <w:ind w:firstLine="640" w:firstLineChars="200"/>
        <w:jc w:val="left"/>
        <w:rPr>
          <w:rFonts w:ascii="仿宋_GB2312" w:hAnsi="仿宋_GB2312"/>
          <w:color w:val="000000"/>
          <w:szCs w:val="32"/>
        </w:rPr>
      </w:pPr>
      <w:r>
        <w:rPr>
          <w:rFonts w:hint="eastAsia" w:ascii="仿宋_GB2312" w:hAnsi="仿宋_GB2312" w:cs="仿宋_GB2312"/>
          <w:color w:val="000000"/>
          <w:szCs w:val="32"/>
        </w:rPr>
        <w:t>单价</w:t>
      </w:r>
      <w:r>
        <w:rPr>
          <w:rFonts w:ascii="仿宋_GB2312" w:hAnsi="仿宋_GB2312" w:cs="仿宋_GB2312"/>
          <w:color w:val="000000"/>
          <w:szCs w:val="32"/>
        </w:rPr>
        <w:t>50</w:t>
      </w:r>
      <w:r>
        <w:rPr>
          <w:rFonts w:hint="eastAsia" w:ascii="仿宋_GB2312" w:hAnsi="仿宋_GB2312" w:cs="仿宋_GB2312"/>
          <w:color w:val="000000"/>
          <w:szCs w:val="32"/>
        </w:rPr>
        <w:t>万元以上通用设备0台（套），单价</w:t>
      </w:r>
      <w:r>
        <w:rPr>
          <w:rFonts w:ascii="仿宋_GB2312" w:hAnsi="仿宋_GB2312" w:cs="仿宋_GB2312"/>
          <w:color w:val="000000"/>
          <w:szCs w:val="32"/>
        </w:rPr>
        <w:t>100</w:t>
      </w:r>
      <w:r>
        <w:rPr>
          <w:rFonts w:hint="eastAsia" w:ascii="仿宋_GB2312" w:hAnsi="仿宋_GB2312" w:cs="仿宋_GB2312"/>
          <w:color w:val="000000"/>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color w:val="000000"/>
          <w:szCs w:val="32"/>
        </w:rPr>
      </w:pPr>
      <w:r>
        <w:rPr>
          <w:rFonts w:hint="eastAsia" w:ascii="仿宋_GB2312" w:hAnsi="仿宋_GB2312" w:cs="仿宋_GB2312"/>
          <w:color w:val="000000"/>
          <w:szCs w:val="32"/>
        </w:rPr>
        <w:t>根据预算绩效管理要求，我单位在年初预算编制阶段，对1个项目编制了绩效目标，预算执行过程中，选取1个项目开展绩效监控，年终执行完毕后，对1个项目开展了绩效目标完成情况梳理填报。</w:t>
      </w:r>
    </w:p>
    <w:p>
      <w:pPr>
        <w:spacing w:line="580" w:lineRule="exact"/>
        <w:ind w:firstLine="640" w:firstLineChars="200"/>
        <w:rPr>
          <w:rFonts w:ascii="楷体_GB2312" w:hAnsi="楷体_GB2312" w:eastAsia="楷体_GB2312" w:cs="楷体_GB2312"/>
          <w:color w:val="000000"/>
          <w:szCs w:val="32"/>
        </w:rPr>
      </w:pPr>
      <w:r>
        <w:rPr>
          <w:rFonts w:ascii="楷体_GB2312" w:hAnsi="楷体_GB2312" w:eastAsia="楷体_GB2312" w:cs="楷体_GB2312"/>
          <w:color w:val="000000"/>
          <w:szCs w:val="32"/>
        </w:rPr>
        <w:t>1.</w:t>
      </w:r>
      <w:r>
        <w:rPr>
          <w:rFonts w:hint="eastAsia" w:ascii="楷体_GB2312" w:hAnsi="楷体_GB2312" w:eastAsia="楷体_GB2312" w:cs="楷体_GB2312"/>
          <w:color w:val="000000"/>
          <w:szCs w:val="32"/>
        </w:rPr>
        <w:t>项目绩效目标完成情况。</w:t>
      </w:r>
    </w:p>
    <w:p>
      <w:pPr>
        <w:spacing w:line="580" w:lineRule="exact"/>
        <w:ind w:firstLine="640" w:firstLineChars="200"/>
        <w:rPr>
          <w:rFonts w:ascii="楷体_GB2312" w:hAnsi="楷体_GB2312" w:eastAsia="楷体_GB2312" w:cs="楷体_GB2312"/>
          <w:color w:val="000000"/>
          <w:szCs w:val="32"/>
        </w:rPr>
      </w:pPr>
      <w:r>
        <w:rPr>
          <w:rFonts w:hint="eastAsia" w:ascii="仿宋_GB2312" w:hAnsi="仿宋_GB2312" w:cs="仿宋_GB2312"/>
          <w:color w:val="000000"/>
          <w:szCs w:val="32"/>
        </w:rPr>
        <w:t>本单位在</w:t>
      </w:r>
      <w:r>
        <w:rPr>
          <w:rFonts w:ascii="仿宋_GB2312" w:hAnsi="仿宋_GB2312" w:cs="仿宋_GB2312"/>
          <w:color w:val="000000"/>
          <w:szCs w:val="32"/>
        </w:rPr>
        <w:t>2020</w:t>
      </w:r>
      <w:r>
        <w:rPr>
          <w:rFonts w:hint="eastAsia" w:ascii="仿宋_GB2312" w:hAnsi="仿宋_GB2312" w:cs="仿宋_GB2312"/>
          <w:color w:val="000000"/>
          <w:szCs w:val="32"/>
        </w:rPr>
        <w:t>年度部门决算中反映“农村中小学教学设施”等1个项目绩效目标实际完成情况。</w:t>
      </w:r>
    </w:p>
    <w:tbl>
      <w:tblPr>
        <w:tblStyle w:val="10"/>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cs="宋体"/>
                <w:color w:val="000000"/>
                <w:sz w:val="36"/>
                <w:szCs w:val="36"/>
              </w:rPr>
            </w:pPr>
            <w:r>
              <w:rPr>
                <w:rFonts w:hint="eastAsia" w:ascii="宋体" w:hAnsi="宋体" w:cs="宋体"/>
                <w:b/>
                <w:bCs/>
                <w:color w:val="000000"/>
                <w:kern w:val="0"/>
                <w:sz w:val="36"/>
                <w:szCs w:val="36"/>
              </w:rPr>
              <w:t>项目绩效目标完成情况表</w:t>
            </w:r>
            <w:r>
              <w:rPr>
                <w:rFonts w:ascii="宋体" w:cs="宋体"/>
                <w:b/>
                <w:bCs/>
                <w:color w:val="000000"/>
                <w:kern w:val="0"/>
                <w:sz w:val="36"/>
                <w:szCs w:val="36"/>
              </w:rPr>
              <w:br w:type="textWrapping"/>
            </w: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农村中小学教学设施项目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自贡市自流井区飞龙峡镇漆树小学校</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10.56万元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10.56万元</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10.56万元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10.56万元</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0万元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0万元</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cs="宋体"/>
                <w:color w:val="000000"/>
                <w:sz w:val="24"/>
              </w:rPr>
            </w:pPr>
            <w:r>
              <w:rPr>
                <w:rFonts w:hint="eastAsia" w:ascii="宋体" w:cs="宋体"/>
                <w:color w:val="000000"/>
                <w:sz w:val="24"/>
              </w:rPr>
              <w:t>1.付清自贡市自流井区漆树乡中心小学校幼儿园辅助用房改造工程（基建）大型修缮的尾款</w:t>
            </w:r>
          </w:p>
          <w:p>
            <w:pPr>
              <w:rPr>
                <w:rFonts w:hint="eastAsia" w:asciiTheme="minorEastAsia" w:hAnsiTheme="minorEastAsia" w:eastAsiaTheme="minorEastAsia"/>
              </w:rPr>
            </w:pPr>
            <w:r>
              <w:rPr>
                <w:rFonts w:hint="eastAsia" w:ascii="宋体" w:cs="宋体"/>
                <w:color w:val="000000"/>
                <w:sz w:val="24"/>
              </w:rPr>
              <w:t>2.付清自流井区漆树乡中心小学校幼儿园新建工程（基建）房屋建筑物购建的尾款</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已经对两个项目的尾款进行付清</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完成时间</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2020年12月</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 xml:space="preserve">2020年支付完尾款 </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社会效益指标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拟达成效</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1.改造教辅用房面积</w:t>
            </w:r>
          </w:p>
          <w:p>
            <w:pPr>
              <w:widowControl/>
              <w:ind w:firstLine="120" w:firstLineChars="50"/>
              <w:textAlignment w:val="center"/>
              <w:rPr>
                <w:rFonts w:ascii="仿宋" w:hAnsi="仿宋" w:eastAsia="仿宋" w:cs="宋体"/>
                <w:color w:val="000000"/>
                <w:sz w:val="24"/>
              </w:rPr>
            </w:pPr>
            <w:r>
              <w:rPr>
                <w:rFonts w:hint="eastAsia" w:ascii="仿宋" w:hAnsi="仿宋" w:eastAsia="仿宋" w:cs="宋体"/>
                <w:color w:val="000000"/>
                <w:sz w:val="24"/>
              </w:rPr>
              <w:t>2.新建幼儿园面积</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1.改造教辅用房面积259.42平方米</w:t>
            </w:r>
          </w:p>
          <w:p>
            <w:pPr>
              <w:widowControl/>
              <w:jc w:val="center"/>
              <w:textAlignment w:val="center"/>
              <w:rPr>
                <w:rFonts w:ascii="宋体" w:cs="宋体"/>
                <w:color w:val="000000"/>
                <w:sz w:val="24"/>
              </w:rPr>
            </w:pPr>
            <w:r>
              <w:rPr>
                <w:rFonts w:hint="eastAsia" w:ascii="仿宋" w:hAnsi="仿宋" w:eastAsia="仿宋" w:cs="宋体"/>
                <w:color w:val="000000"/>
                <w:sz w:val="24"/>
              </w:rPr>
              <w:t>2.新建幼儿园面积576.09平方米</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满意度指标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服务对象满意度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cs="宋体"/>
                <w:color w:val="000000"/>
                <w:sz w:val="24"/>
              </w:rPr>
            </w:pPr>
            <w:r>
              <w:rPr>
                <w:rFonts w:hint="eastAsia" w:ascii="宋体" w:cs="宋体"/>
                <w:color w:val="000000"/>
                <w:sz w:val="24"/>
              </w:rPr>
              <w:t>得到一致好评</w:t>
            </w:r>
          </w:p>
        </w:tc>
      </w:tr>
    </w:tbl>
    <w:p>
      <w:pPr>
        <w:spacing w:line="580" w:lineRule="exact"/>
        <w:ind w:firstLine="640" w:firstLineChars="200"/>
        <w:rPr>
          <w:rFonts w:ascii="仿宋_GB2312" w:hAnsi="仿宋_GB2312" w:cs="仿宋_GB2312"/>
          <w:color w:val="000000"/>
          <w:szCs w:val="32"/>
        </w:rPr>
      </w:pPr>
      <w:r>
        <w:rPr>
          <w:rFonts w:ascii="楷体_GB2312" w:hAnsi="楷体_GB2312" w:eastAsia="楷体_GB2312" w:cs="楷体_GB2312"/>
          <w:color w:val="000000"/>
          <w:szCs w:val="32"/>
        </w:rPr>
        <w:t>2.</w:t>
      </w:r>
      <w:r>
        <w:rPr>
          <w:rFonts w:hint="eastAsia" w:ascii="楷体_GB2312" w:hAnsi="楷体_GB2312" w:eastAsia="楷体_GB2312" w:cs="楷体_GB2312"/>
          <w:color w:val="000000"/>
          <w:szCs w:val="32"/>
        </w:rPr>
        <w:t>部门绩效评价结果。</w:t>
      </w:r>
    </w:p>
    <w:p>
      <w:pPr>
        <w:spacing w:line="580" w:lineRule="exact"/>
        <w:ind w:firstLine="640" w:firstLineChars="200"/>
        <w:rPr>
          <w:rFonts w:hint="eastAsia" w:ascii="仿宋_GB2312" w:hAnsi="仿宋_GB2312" w:cs="仿宋_GB2312"/>
          <w:color w:val="000000"/>
          <w:szCs w:val="32"/>
        </w:rPr>
      </w:pPr>
      <w:r>
        <w:rPr>
          <w:rFonts w:hint="eastAsia" w:ascii="仿宋_GB2312" w:hAnsi="仿宋_GB2312" w:cs="仿宋_GB2312"/>
          <w:color w:val="000000"/>
          <w:szCs w:val="32"/>
        </w:rPr>
        <w:t>本单位自行组织对1个项目开展了绩效评价，《“农村中小学教学设施项目”</w:t>
      </w:r>
      <w:r>
        <w:rPr>
          <w:rFonts w:ascii="仿宋_GB2312" w:hAnsi="仿宋_GB2312" w:cs="仿宋_GB2312"/>
          <w:color w:val="000000"/>
          <w:szCs w:val="32"/>
        </w:rPr>
        <w:t>2020</w:t>
      </w:r>
      <w:r>
        <w:rPr>
          <w:rFonts w:hint="eastAsia" w:ascii="仿宋_GB2312" w:hAnsi="仿宋_GB2312" w:cs="仿宋_GB2312"/>
          <w:color w:val="000000"/>
          <w:szCs w:val="32"/>
        </w:rPr>
        <w:t>年绩效评价报告》见附件。</w:t>
      </w:r>
    </w:p>
    <w:p>
      <w:pPr>
        <w:spacing w:line="580" w:lineRule="exact"/>
        <w:ind w:firstLine="640" w:firstLineChars="200"/>
        <w:rPr>
          <w:rFonts w:ascii="仿宋_GB2312" w:hAnsi="仿宋_GB2312" w:cs="仿宋_GB2312"/>
          <w:color w:val="000000"/>
          <w:szCs w:val="32"/>
        </w:rPr>
      </w:pPr>
    </w:p>
    <w:p>
      <w:pPr>
        <w:numPr>
          <w:ilvl w:val="0"/>
          <w:numId w:val="3"/>
        </w:numPr>
        <w:spacing w:line="600" w:lineRule="exact"/>
        <w:ind w:firstLine="660" w:firstLineChars="150"/>
        <w:jc w:val="center"/>
        <w:outlineLvl w:val="0"/>
        <w:rPr>
          <w:rStyle w:val="14"/>
          <w:rFonts w:hint="eastAsia" w:ascii="黑体" w:hAnsi="黑体" w:eastAsia="黑体"/>
          <w:b w:val="0"/>
        </w:rPr>
      </w:pPr>
      <w:bookmarkStart w:id="55" w:name="_Toc15377225"/>
      <w:bookmarkStart w:id="56" w:name="_Toc3536"/>
      <w:bookmarkStart w:id="57" w:name="_Toc15396613"/>
      <w:r>
        <w:rPr>
          <w:rFonts w:hint="eastAsia" w:ascii="黑体" w:hAnsi="黑体" w:eastAsia="黑体"/>
          <w:color w:val="000000"/>
          <w:sz w:val="44"/>
          <w:szCs w:val="44"/>
        </w:rPr>
        <w:t>名</w:t>
      </w:r>
      <w:r>
        <w:rPr>
          <w:rStyle w:val="14"/>
          <w:rFonts w:hint="eastAsia" w:ascii="黑体" w:hAnsi="黑体" w:eastAsia="黑体"/>
          <w:b w:val="0"/>
        </w:rPr>
        <w:t>词解释</w:t>
      </w:r>
      <w:bookmarkEnd w:id="55"/>
      <w:bookmarkEnd w:id="56"/>
      <w:bookmarkEnd w:id="57"/>
    </w:p>
    <w:p>
      <w:pPr>
        <w:spacing w:line="600" w:lineRule="exact"/>
        <w:ind w:left="660"/>
        <w:outlineLvl w:val="0"/>
        <w:rPr>
          <w:rFonts w:ascii="黑体" w:hAnsi="黑体" w:eastAsia="黑体"/>
          <w:bCs/>
          <w:kern w:val="44"/>
          <w:sz w:val="44"/>
          <w:szCs w:val="44"/>
        </w:rPr>
      </w:pPr>
    </w:p>
    <w:p>
      <w:pPr>
        <w:spacing w:line="580" w:lineRule="exact"/>
        <w:ind w:firstLine="640" w:firstLineChars="200"/>
        <w:rPr>
          <w:rFonts w:ascii="仿宋_GB2312" w:hAnsi="仿宋_GB2312" w:cs="仿宋_GB2312"/>
          <w:color w:val="000000"/>
          <w:szCs w:val="32"/>
        </w:rPr>
      </w:pPr>
      <w:bookmarkStart w:id="58" w:name="_Toc11207"/>
      <w:bookmarkStart w:id="59" w:name="_Toc15396614"/>
      <w:bookmarkStart w:id="60" w:name="_Toc15377226"/>
      <w:r>
        <w:rPr>
          <w:rFonts w:hint="eastAsia" w:ascii="仿宋_GB2312"/>
          <w:color w:val="000000"/>
          <w:szCs w:val="32"/>
        </w:rPr>
        <w:t>1.财政拨款收入</w:t>
      </w:r>
      <w:r>
        <w:rPr>
          <w:rFonts w:hint="eastAsia" w:ascii="仿宋_GB2312" w:hAnsi="仿宋_GB2312" w:cs="仿宋_GB2312"/>
          <w:color w:val="000000"/>
          <w:szCs w:val="32"/>
        </w:rPr>
        <w:t>：指单位从同级财政部门取得的财政预算资金。</w:t>
      </w:r>
    </w:p>
    <w:p>
      <w:pPr>
        <w:spacing w:line="580" w:lineRule="exact"/>
        <w:ind w:firstLine="640" w:firstLineChars="200"/>
        <w:rPr>
          <w:rFonts w:ascii="仿宋_GB2312" w:hAnsi="仿宋_GB2312" w:cs="仿宋_GB2312"/>
          <w:color w:val="000000"/>
          <w:szCs w:val="32"/>
        </w:rPr>
      </w:pPr>
      <w:r>
        <w:rPr>
          <w:rFonts w:hint="eastAsia" w:ascii="仿宋_GB2312"/>
          <w:color w:val="000000"/>
          <w:szCs w:val="32"/>
        </w:rPr>
        <w:t>2.事业收入：</w:t>
      </w:r>
      <w:r>
        <w:rPr>
          <w:rFonts w:hint="eastAsia" w:ascii="仿宋_GB2312" w:hAnsi="仿宋_GB2312" w:cs="仿宋_GB2312"/>
          <w:color w:val="000000"/>
          <w:szCs w:val="32"/>
        </w:rPr>
        <w:t>指事业单位开展专业业务活动及辅助活动取得的收入。</w:t>
      </w:r>
      <w:r>
        <w:rPr>
          <w:rFonts w:hint="eastAsia" w:ascii="仿宋_GB2312"/>
          <w:color w:val="000000"/>
          <w:szCs w:val="32"/>
        </w:rPr>
        <w:t>如二级预算单位事业收入情况等。</w:t>
      </w:r>
    </w:p>
    <w:p>
      <w:pPr>
        <w:spacing w:line="580" w:lineRule="exact"/>
        <w:ind w:firstLine="640" w:firstLineChars="200"/>
        <w:rPr>
          <w:rFonts w:ascii="仿宋_GB2312"/>
          <w:color w:val="000000"/>
          <w:szCs w:val="32"/>
        </w:rPr>
      </w:pPr>
      <w:r>
        <w:rPr>
          <w:rFonts w:hint="eastAsia" w:ascii="仿宋_GB2312"/>
          <w:color w:val="000000"/>
          <w:szCs w:val="32"/>
        </w:rPr>
        <w:t>3.其他收入：指单位取得的除上述收入以外的各项收入。主要是下属单位疫苗、房租、利息、废品变卖收入等</w:t>
      </w:r>
      <w:r>
        <w:rPr>
          <w:rFonts w:hint="eastAsia" w:ascii="仿宋_GB2312" w:hAnsi="仿宋_GB2312" w:cs="仿宋_GB2312"/>
          <w:color w:val="000000"/>
          <w:szCs w:val="32"/>
        </w:rPr>
        <w:t>。</w:t>
      </w:r>
    </w:p>
    <w:p>
      <w:pPr>
        <w:spacing w:line="580" w:lineRule="exact"/>
        <w:ind w:firstLine="640" w:firstLineChars="200"/>
        <w:rPr>
          <w:rFonts w:ascii="仿宋_GB2312"/>
          <w:color w:val="000000"/>
          <w:szCs w:val="32"/>
        </w:rPr>
      </w:pPr>
      <w:r>
        <w:rPr>
          <w:rFonts w:hint="eastAsia" w:ascii="仿宋_GB2312"/>
          <w:color w:val="000000"/>
          <w:szCs w:val="32"/>
        </w:rPr>
        <w:t>4. 社会保障和就业（类）行政事业单位离退休（款）机关事业单位基本养老保险缴费支出（项）：指用于行政事业单位基本养老保险缴费支出。</w:t>
      </w:r>
    </w:p>
    <w:p>
      <w:pPr>
        <w:spacing w:line="580" w:lineRule="exact"/>
        <w:ind w:firstLine="640" w:firstLineChars="200"/>
        <w:rPr>
          <w:rFonts w:ascii="仿宋_GB2312"/>
          <w:color w:val="000000"/>
          <w:szCs w:val="32"/>
        </w:rPr>
      </w:pPr>
      <w:r>
        <w:rPr>
          <w:rFonts w:hint="eastAsia" w:ascii="仿宋_GB2312"/>
          <w:color w:val="000000"/>
          <w:szCs w:val="32"/>
        </w:rPr>
        <w:t>5. 社会保障和就业（类）行政事业单位离退休（款）机关事业单位职业年金缴费支出（项）：指用于行政事业单位职业年金缴费支出。</w:t>
      </w:r>
    </w:p>
    <w:p>
      <w:pPr>
        <w:spacing w:line="580" w:lineRule="exact"/>
        <w:ind w:firstLine="640" w:firstLineChars="200"/>
        <w:rPr>
          <w:rFonts w:ascii="仿宋_GB2312"/>
          <w:color w:val="000000"/>
          <w:szCs w:val="32"/>
        </w:rPr>
      </w:pPr>
      <w:r>
        <w:rPr>
          <w:rFonts w:hint="eastAsia" w:ascii="仿宋_GB2312"/>
          <w:color w:val="000000"/>
          <w:szCs w:val="32"/>
        </w:rPr>
        <w:t>6. 社会保障和就业（类）抚恤（款）死亡抚恤：指按规定用于烈士和牺牲、病故人员家属的一次性和定期抚恤金以及丧葬补助费。</w:t>
      </w:r>
    </w:p>
    <w:p>
      <w:pPr>
        <w:spacing w:line="580" w:lineRule="exact"/>
        <w:ind w:firstLine="640" w:firstLineChars="200"/>
        <w:rPr>
          <w:rFonts w:ascii="仿宋_GB2312"/>
          <w:color w:val="000000"/>
          <w:szCs w:val="32"/>
        </w:rPr>
      </w:pPr>
      <w:r>
        <w:rPr>
          <w:rFonts w:hint="eastAsia" w:ascii="仿宋_GB2312"/>
          <w:color w:val="000000"/>
          <w:szCs w:val="32"/>
        </w:rPr>
        <w:t>7. 社会保障和就业（类）其他社会保障和就业支出（款）其他社会保障和就业支出（项）：指行政单位除人力资源和社会保障管理事务、民政管理事务、补充全国社会保障基金、行政事业单位离退休、企业改革补助、就业补助、抚恤、退役安置、社会福利、残疾人事业、自然灾害生活补助、红十字事业、最低生活保障、临时救助、特困人员救助供养、补充道路交通事故社会救助基金、其他生活救助、财政对基本养老保险基金的补助、财政对其他社会保险基金的补助以外其他用于社会保障和就业方面的支出。</w:t>
      </w:r>
    </w:p>
    <w:p>
      <w:pPr>
        <w:spacing w:line="580" w:lineRule="exact"/>
        <w:ind w:firstLine="640" w:firstLineChars="200"/>
        <w:rPr>
          <w:rFonts w:ascii="仿宋_GB2312"/>
          <w:color w:val="000000"/>
          <w:szCs w:val="32"/>
        </w:rPr>
      </w:pPr>
      <w:r>
        <w:rPr>
          <w:rFonts w:hint="eastAsia" w:ascii="仿宋_GB2312"/>
          <w:color w:val="000000"/>
          <w:szCs w:val="32"/>
        </w:rPr>
        <w:t>8.教育支出（类）普通教育（款）学前教育（项）：指各部门举办的学前教育支出。</w:t>
      </w:r>
    </w:p>
    <w:p>
      <w:pPr>
        <w:spacing w:line="580" w:lineRule="exact"/>
        <w:ind w:firstLine="640" w:firstLineChars="200"/>
        <w:rPr>
          <w:rFonts w:ascii="仿宋_GB2312"/>
          <w:color w:val="000000"/>
          <w:szCs w:val="32"/>
        </w:rPr>
      </w:pPr>
      <w:r>
        <w:rPr>
          <w:rFonts w:hint="eastAsia" w:ascii="仿宋_GB2312"/>
          <w:color w:val="000000"/>
          <w:szCs w:val="32"/>
        </w:rPr>
        <w:t>9.教育支出（类）普通教育（款）小学教育（项）：指各部门举办的小学教育支出，政府各部门对社会中介组织等举办的小学的资助，如各类捐赠、补贴等。</w:t>
      </w:r>
    </w:p>
    <w:p>
      <w:pPr>
        <w:spacing w:line="580" w:lineRule="exact"/>
        <w:ind w:firstLine="640" w:firstLineChars="200"/>
        <w:rPr>
          <w:rFonts w:ascii="仿宋_GB2312"/>
          <w:color w:val="000000"/>
          <w:szCs w:val="32"/>
        </w:rPr>
      </w:pPr>
      <w:r>
        <w:rPr>
          <w:rFonts w:hint="eastAsia" w:ascii="仿宋_GB2312"/>
          <w:color w:val="000000"/>
          <w:szCs w:val="32"/>
        </w:rPr>
        <w:t>10.卫生健康支出（类）行政事业单位医疗（款）事业单位医疗（项）：指财政部门集中安排的事业单位基本医疗保险缴费经费，未参加医疗保险的事业单位的公费医疗经费，按国家规定享受离休人员的医疗经费。</w:t>
      </w:r>
    </w:p>
    <w:p>
      <w:pPr>
        <w:spacing w:line="580" w:lineRule="exact"/>
        <w:ind w:firstLine="640" w:firstLineChars="200"/>
        <w:rPr>
          <w:rFonts w:ascii="仿宋_GB2312"/>
          <w:color w:val="000000"/>
          <w:szCs w:val="32"/>
        </w:rPr>
      </w:pPr>
      <w:r>
        <w:rPr>
          <w:rFonts w:hint="eastAsia" w:ascii="仿宋_GB2312"/>
          <w:color w:val="000000"/>
          <w:szCs w:val="32"/>
        </w:rPr>
        <w:t>11. 住房保障（类）住房改革支出（款）住房公积金（项）：指行政事业单位按人力资源和社会保障部、财政部规定的基本工资和津贴补贴以及规定比例为职工缴纳的住房公积金。</w:t>
      </w:r>
    </w:p>
    <w:p>
      <w:pPr>
        <w:spacing w:line="580" w:lineRule="exact"/>
        <w:ind w:firstLine="640" w:firstLineChars="200"/>
        <w:rPr>
          <w:rFonts w:ascii="仿宋_GB2312" w:hAnsi="仿宋_GB2312" w:cs="仿宋_GB2312"/>
          <w:color w:val="000000"/>
          <w:szCs w:val="32"/>
        </w:rPr>
      </w:pPr>
      <w:r>
        <w:rPr>
          <w:rFonts w:hint="eastAsia" w:ascii="仿宋_GB2312"/>
          <w:color w:val="000000"/>
          <w:szCs w:val="32"/>
        </w:rPr>
        <w:t>12.基本支出：</w:t>
      </w:r>
      <w:r>
        <w:rPr>
          <w:rFonts w:hint="eastAsia" w:ascii="仿宋_GB2312" w:hAnsi="仿宋_GB2312" w:cs="仿宋_GB2312"/>
          <w:color w:val="000000"/>
          <w:szCs w:val="32"/>
        </w:rPr>
        <w:t>指为保障机构正常运转、完成日常工作任务而发生的人员支出和公用支出。</w:t>
      </w:r>
    </w:p>
    <w:p>
      <w:pPr>
        <w:spacing w:line="580" w:lineRule="exact"/>
        <w:ind w:firstLine="640" w:firstLineChars="200"/>
        <w:rPr>
          <w:rFonts w:ascii="仿宋_GB2312" w:hAnsi="仿宋_GB2312" w:cs="仿宋_GB2312"/>
          <w:color w:val="000000"/>
          <w:szCs w:val="32"/>
        </w:rPr>
      </w:pPr>
      <w:r>
        <w:rPr>
          <w:rFonts w:hint="eastAsia" w:ascii="仿宋_GB2312"/>
          <w:color w:val="000000"/>
          <w:szCs w:val="32"/>
        </w:rPr>
        <w:t>13.项目支出：</w:t>
      </w:r>
      <w:r>
        <w:rPr>
          <w:rFonts w:hint="eastAsia" w:ascii="仿宋_GB2312" w:hAnsi="仿宋_GB2312" w:cs="仿宋_GB2312"/>
          <w:color w:val="000000"/>
          <w:szCs w:val="32"/>
        </w:rPr>
        <w:t xml:space="preserve">指在基本支出之外为完成特定行政任务和事业发展目标所发生的支出。 </w:t>
      </w:r>
    </w:p>
    <w:p>
      <w:pPr>
        <w:spacing w:line="580" w:lineRule="exact"/>
        <w:ind w:firstLine="640" w:firstLineChars="200"/>
        <w:rPr>
          <w:rFonts w:ascii="仿宋_GB2312" w:hAnsi="仿宋_GB2312" w:cs="仿宋_GB2312"/>
          <w:color w:val="000000"/>
          <w:szCs w:val="32"/>
        </w:rPr>
      </w:pPr>
      <w:r>
        <w:rPr>
          <w:rFonts w:hint="eastAsia" w:ascii="仿宋_GB2312"/>
          <w:color w:val="000000"/>
          <w:szCs w:val="32"/>
        </w:rPr>
        <w:t>14.“三公”经费：</w:t>
      </w:r>
      <w:r>
        <w:rPr>
          <w:rFonts w:hint="eastAsia" w:ascii="仿宋_GB2312" w:hAnsi="仿宋_GB2312" w:cs="仿宋_GB2312"/>
          <w:color w:val="000000"/>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ind w:firstLine="640" w:firstLineChars="200"/>
        <w:rPr>
          <w:rFonts w:ascii="仿宋_GB2312" w:hAnsi="仿宋_GB2312" w:cs="仿宋_GB2312"/>
          <w:color w:val="000000"/>
          <w:szCs w:val="32"/>
        </w:rPr>
      </w:pPr>
    </w:p>
    <w:p>
      <w:pPr>
        <w:spacing w:line="580" w:lineRule="exact"/>
        <w:rPr>
          <w:rFonts w:ascii="仿宋_GB2312" w:hAnsi="仿宋_GB2312" w:cs="仿宋_GB2312"/>
          <w:color w:val="000000"/>
          <w:szCs w:val="32"/>
        </w:rPr>
      </w:pPr>
    </w:p>
    <w:p>
      <w:pPr>
        <w:spacing w:line="600" w:lineRule="exact"/>
        <w:jc w:val="center"/>
        <w:outlineLvl w:val="0"/>
        <w:rPr>
          <w:rStyle w:val="14"/>
          <w:rFonts w:ascii="黑体" w:hAnsi="黑体" w:eastAsia="黑体"/>
          <w:b w:val="0"/>
        </w:rPr>
      </w:pPr>
      <w:r>
        <w:rPr>
          <w:rFonts w:hint="eastAsia" w:ascii="黑体" w:hAnsi="黑体" w:eastAsia="黑体"/>
          <w:color w:val="000000"/>
          <w:sz w:val="44"/>
          <w:szCs w:val="44"/>
        </w:rPr>
        <w:t>第</w:t>
      </w:r>
      <w:r>
        <w:rPr>
          <w:rStyle w:val="14"/>
          <w:rFonts w:hint="eastAsia" w:ascii="黑体" w:hAnsi="黑体" w:eastAsia="黑体"/>
          <w:b w:val="0"/>
        </w:rPr>
        <w:t>四部分</w:t>
      </w:r>
      <w:r>
        <w:rPr>
          <w:rStyle w:val="14"/>
          <w:rFonts w:ascii="黑体" w:hAnsi="黑体" w:eastAsia="黑体"/>
          <w:b w:val="0"/>
        </w:rPr>
        <w:t xml:space="preserve"> </w:t>
      </w:r>
      <w:r>
        <w:rPr>
          <w:rStyle w:val="14"/>
          <w:rFonts w:hint="eastAsia" w:ascii="黑体" w:hAnsi="黑体" w:eastAsia="黑体"/>
          <w:b w:val="0"/>
        </w:rPr>
        <w:t>附件</w:t>
      </w:r>
      <w:bookmarkEnd w:id="58"/>
      <w:bookmarkEnd w:id="59"/>
    </w:p>
    <w:p>
      <w:pPr>
        <w:spacing w:line="320" w:lineRule="exact"/>
        <w:rPr>
          <w:rFonts w:hint="eastAsia" w:ascii="黑体" w:hAnsi="黑体" w:eastAsia="黑体" w:cs="黑体"/>
          <w:color w:val="000000"/>
          <w:kern w:val="0"/>
        </w:rPr>
      </w:pPr>
      <w:r>
        <w:rPr>
          <w:rFonts w:hint="eastAsia" w:ascii="黑体" w:hAnsi="黑体" w:eastAsia="黑体" w:cs="黑体"/>
          <w:color w:val="000000"/>
          <w:kern w:val="0"/>
        </w:rPr>
        <w:t>附件</w:t>
      </w:r>
      <w:r>
        <w:rPr>
          <w:rFonts w:ascii="黑体" w:hAnsi="黑体" w:eastAsia="黑体" w:cs="黑体"/>
          <w:color w:val="000000"/>
          <w:kern w:val="0"/>
        </w:rPr>
        <w:t>1</w:t>
      </w:r>
    </w:p>
    <w:p>
      <w:pPr>
        <w:spacing w:line="320" w:lineRule="exact"/>
        <w:rPr>
          <w:rFonts w:ascii="黑体" w:hAnsi="黑体" w:eastAsia="黑体" w:cs="黑体"/>
          <w:color w:val="000000"/>
          <w:kern w:val="0"/>
        </w:rPr>
      </w:pPr>
    </w:p>
    <w:p>
      <w:pPr>
        <w:spacing w:line="540" w:lineRule="exact"/>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自贡市自流井区飞龙峡镇</w:t>
      </w:r>
      <w:r>
        <w:rPr>
          <w:rFonts w:ascii="方正小标宋简体" w:hAnsi="方正小标宋简体" w:eastAsia="方正小标宋简体" w:cs="方正小标宋简体"/>
          <w:color w:val="000000"/>
          <w:kern w:val="0"/>
          <w:sz w:val="44"/>
          <w:szCs w:val="44"/>
        </w:rPr>
        <w:t>漆树小学校</w:t>
      </w:r>
    </w:p>
    <w:p>
      <w:pPr>
        <w:spacing w:line="540" w:lineRule="exact"/>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2020年部门整体支出绩效自评报告</w:t>
      </w:r>
    </w:p>
    <w:p>
      <w:pPr>
        <w:spacing w:line="540" w:lineRule="exact"/>
        <w:jc w:val="center"/>
        <w:rPr>
          <w:rFonts w:ascii="方正小标宋简体" w:eastAsia="方正小标宋简体"/>
          <w:color w:val="000000"/>
          <w:kern w:val="0"/>
          <w:sz w:val="44"/>
          <w:szCs w:val="44"/>
        </w:rPr>
      </w:pPr>
    </w:p>
    <w:p>
      <w:pPr>
        <w:adjustRightInd w:val="0"/>
        <w:snapToGrid w:val="0"/>
        <w:spacing w:line="540" w:lineRule="exact"/>
        <w:ind w:firstLine="720"/>
        <w:rPr>
          <w:rFonts w:ascii="仿宋_GB2312" w:hAnsi="仿宋_GB2312" w:cs="仿宋_GB2312"/>
          <w:color w:val="000000"/>
          <w:szCs w:val="32"/>
        </w:rPr>
      </w:pPr>
      <w:r>
        <w:rPr>
          <w:rFonts w:hint="eastAsia" w:ascii="仿宋_GB2312" w:hAnsi="仿宋_GB2312" w:cs="仿宋_GB2312"/>
          <w:color w:val="000000"/>
          <w:szCs w:val="32"/>
        </w:rPr>
        <w:t>为确实做好20</w:t>
      </w:r>
      <w:r>
        <w:rPr>
          <w:rFonts w:ascii="仿宋_GB2312" w:hAnsi="仿宋_GB2312" w:cs="仿宋_GB2312"/>
          <w:color w:val="000000"/>
          <w:szCs w:val="32"/>
        </w:rPr>
        <w:t>20</w:t>
      </w:r>
      <w:r>
        <w:rPr>
          <w:rFonts w:hint="eastAsia" w:ascii="仿宋_GB2312" w:hAnsi="仿宋_GB2312" w:cs="仿宋_GB2312"/>
          <w:color w:val="000000"/>
          <w:szCs w:val="32"/>
        </w:rPr>
        <w:t>年度部门整体支出绩效自评工作，提高财政资金使用效益，根据《自贡市自流井区财政局关于开展2021年财政支出绩效评价工作的通知》(自井财发〔2021〕87号）文件精神，结合实际，我单位组织成立了绩效评价工作小组，评价小组采取座谈等方式听取情况，检查基本支出等有关账目，收集整理支出相关资料，进行分析、总结。现将我单位整体支出绩效自评结果报告如下：</w:t>
      </w:r>
    </w:p>
    <w:p>
      <w:pPr>
        <w:adjustRightInd w:val="0"/>
        <w:snapToGrid w:val="0"/>
        <w:spacing w:line="540" w:lineRule="exact"/>
        <w:ind w:firstLine="803" w:firstLineChars="250"/>
        <w:rPr>
          <w:rFonts w:eastAsia="黑体"/>
          <w:b/>
          <w:color w:val="000000"/>
          <w:kern w:val="0"/>
          <w:shd w:val="clear" w:color="auto" w:fill="FFFFFF"/>
          <w:lang w:val="zh-CN"/>
        </w:rPr>
      </w:pPr>
      <w:r>
        <w:rPr>
          <w:rFonts w:hint="eastAsia" w:eastAsia="黑体" w:cs="黑体"/>
          <w:b/>
          <w:color w:val="000000"/>
          <w:kern w:val="0"/>
          <w:shd w:val="clear" w:color="auto" w:fill="FFFFFF"/>
        </w:rPr>
        <w:t>一、</w:t>
      </w:r>
      <w:r>
        <w:rPr>
          <w:rFonts w:hint="eastAsia" w:eastAsia="黑体" w:cs="黑体"/>
          <w:b/>
          <w:color w:val="000000"/>
          <w:kern w:val="0"/>
          <w:shd w:val="clear" w:color="auto" w:fill="FFFFFF"/>
          <w:lang w:val="zh-CN"/>
        </w:rPr>
        <w:t>单位概况</w:t>
      </w:r>
    </w:p>
    <w:p>
      <w:pPr>
        <w:adjustRightInd w:val="0"/>
        <w:snapToGrid w:val="0"/>
        <w:spacing w:line="540" w:lineRule="exact"/>
        <w:ind w:firstLine="720"/>
        <w:rPr>
          <w:rFonts w:eastAsia="楷体_GB2312" w:cs="楷体_GB2312"/>
          <w:b/>
          <w:color w:val="000000"/>
          <w:kern w:val="0"/>
          <w:shd w:val="clear" w:color="auto" w:fill="FFFFFF"/>
          <w:lang w:val="zh-CN"/>
        </w:rPr>
      </w:pPr>
      <w:r>
        <w:rPr>
          <w:rFonts w:hint="eastAsia" w:eastAsia="楷体_GB2312" w:cs="楷体_GB2312"/>
          <w:b/>
          <w:color w:val="000000"/>
          <w:kern w:val="0"/>
          <w:shd w:val="clear" w:color="auto" w:fill="FFFFFF"/>
          <w:lang w:val="zh-CN"/>
        </w:rPr>
        <w:t>（一）机构组成</w:t>
      </w:r>
    </w:p>
    <w:p>
      <w:pPr>
        <w:adjustRightInd w:val="0"/>
        <w:snapToGrid w:val="0"/>
        <w:spacing w:line="540" w:lineRule="exact"/>
        <w:ind w:firstLine="720"/>
        <w:rPr>
          <w:rFonts w:eastAsia="楷体_GB2312"/>
          <w:b/>
          <w:color w:val="000000"/>
          <w:kern w:val="0"/>
          <w:shd w:val="clear" w:color="auto" w:fill="FFFFFF"/>
          <w:lang w:val="zh-CN"/>
        </w:rPr>
      </w:pPr>
      <w:r>
        <w:rPr>
          <w:rFonts w:hint="eastAsia" w:ascii="仿宋_GB2312" w:hAnsi="仿宋_GB2312" w:cs="仿宋_GB2312"/>
          <w:color w:val="000000"/>
          <w:szCs w:val="32"/>
        </w:rPr>
        <w:t>自贡市自流井区飞龙峡镇</w:t>
      </w:r>
      <w:r>
        <w:rPr>
          <w:rFonts w:ascii="仿宋_GB2312" w:hAnsi="仿宋_GB2312" w:cs="仿宋_GB2312"/>
          <w:color w:val="000000"/>
          <w:szCs w:val="32"/>
        </w:rPr>
        <w:t>漆树小学校</w:t>
      </w:r>
      <w:r>
        <w:rPr>
          <w:rFonts w:hint="eastAsia" w:ascii="仿宋_GB2312" w:hAnsi="仿宋_GB2312" w:cs="仿宋_GB2312"/>
          <w:color w:val="000000"/>
          <w:szCs w:val="32"/>
        </w:rPr>
        <w:t>为事业单位，是自贡市自流井区教育和体育局下属二级预算单位，单位基本性质为财政补助事业单位。2020年度独立编制机构数1个，独立核算机构数1个。</w:t>
      </w:r>
      <w:r>
        <w:rPr>
          <w:rFonts w:hint="eastAsia" w:ascii="仿宋_GB2312" w:hAnsi="仿宋"/>
          <w:color w:val="000000"/>
        </w:rPr>
        <w:t>我单位2020年度执行政府会计制度。</w:t>
      </w:r>
    </w:p>
    <w:p>
      <w:pPr>
        <w:adjustRightInd w:val="0"/>
        <w:snapToGrid w:val="0"/>
        <w:spacing w:line="540" w:lineRule="exact"/>
        <w:ind w:firstLine="720"/>
        <w:rPr>
          <w:rFonts w:eastAsia="楷体_GB2312" w:cs="楷体_GB2312"/>
          <w:b/>
          <w:color w:val="000000"/>
          <w:kern w:val="0"/>
          <w:shd w:val="clear" w:color="auto" w:fill="FFFFFF"/>
          <w:lang w:val="zh-CN"/>
        </w:rPr>
      </w:pPr>
      <w:r>
        <w:rPr>
          <w:rFonts w:hint="eastAsia" w:eastAsia="楷体_GB2312" w:cs="楷体_GB2312"/>
          <w:b/>
          <w:color w:val="000000"/>
          <w:kern w:val="0"/>
          <w:shd w:val="clear" w:color="auto" w:fill="FFFFFF"/>
          <w:lang w:val="zh-CN"/>
        </w:rPr>
        <w:t>（二）机构职能</w:t>
      </w:r>
    </w:p>
    <w:p>
      <w:pPr>
        <w:adjustRightInd w:val="0"/>
        <w:snapToGrid w:val="0"/>
        <w:spacing w:line="540" w:lineRule="exact"/>
        <w:ind w:firstLine="720"/>
        <w:rPr>
          <w:rFonts w:eastAsia="楷体_GB2312"/>
          <w:b/>
          <w:color w:val="000000"/>
          <w:kern w:val="0"/>
          <w:shd w:val="clear" w:color="auto" w:fill="FFFFFF"/>
          <w:lang w:val="zh-CN"/>
        </w:rPr>
      </w:pPr>
      <w:r>
        <w:rPr>
          <w:rFonts w:hint="eastAsia" w:ascii="仿宋" w:hAnsi="仿宋" w:eastAsia="仿宋"/>
          <w:bCs/>
          <w:color w:val="000000"/>
          <w:szCs w:val="32"/>
        </w:rPr>
        <w:t>实施</w:t>
      </w:r>
      <w:r>
        <w:rPr>
          <w:rFonts w:ascii="仿宋" w:hAnsi="仿宋" w:eastAsia="仿宋"/>
          <w:bCs/>
          <w:color w:val="000000"/>
          <w:szCs w:val="32"/>
        </w:rPr>
        <w:t>小学义务教育</w:t>
      </w:r>
      <w:r>
        <w:rPr>
          <w:rFonts w:hint="eastAsia" w:ascii="仿宋" w:hAnsi="仿宋" w:eastAsia="仿宋"/>
          <w:bCs/>
          <w:color w:val="000000"/>
          <w:szCs w:val="32"/>
        </w:rPr>
        <w:t>，</w:t>
      </w:r>
      <w:r>
        <w:rPr>
          <w:rFonts w:ascii="仿宋" w:hAnsi="仿宋" w:eastAsia="仿宋"/>
          <w:bCs/>
          <w:color w:val="000000"/>
          <w:szCs w:val="32"/>
        </w:rPr>
        <w:t>促进基础教育</w:t>
      </w:r>
      <w:r>
        <w:rPr>
          <w:rFonts w:hint="eastAsia" w:ascii="仿宋" w:hAnsi="仿宋" w:eastAsia="仿宋"/>
          <w:bCs/>
          <w:color w:val="000000"/>
          <w:szCs w:val="32"/>
        </w:rPr>
        <w:t>发展</w:t>
      </w:r>
      <w:r>
        <w:rPr>
          <w:rFonts w:ascii="仿宋" w:hAnsi="仿宋" w:eastAsia="仿宋"/>
          <w:bCs/>
          <w:color w:val="000000"/>
          <w:szCs w:val="32"/>
        </w:rPr>
        <w:t>，小学</w:t>
      </w:r>
      <w:r>
        <w:rPr>
          <w:rFonts w:hint="eastAsia" w:ascii="仿宋" w:hAnsi="仿宋" w:eastAsia="仿宋"/>
          <w:bCs/>
          <w:color w:val="000000"/>
          <w:szCs w:val="32"/>
        </w:rPr>
        <w:t>学历教育（</w:t>
      </w:r>
      <w:r>
        <w:rPr>
          <w:rFonts w:ascii="仿宋" w:hAnsi="仿宋" w:eastAsia="仿宋"/>
          <w:bCs/>
          <w:color w:val="000000"/>
          <w:szCs w:val="32"/>
        </w:rPr>
        <w:t>相关社会服务）</w:t>
      </w:r>
      <w:r>
        <w:rPr>
          <w:rFonts w:hint="eastAsia" w:ascii="仿宋_GB2312" w:hAnsi="仿宋_GB2312" w:cs="仿宋_GB2312"/>
          <w:color w:val="000000"/>
          <w:szCs w:val="32"/>
        </w:rPr>
        <w:t>。</w:t>
      </w:r>
    </w:p>
    <w:p>
      <w:pPr>
        <w:adjustRightInd w:val="0"/>
        <w:snapToGrid w:val="0"/>
        <w:spacing w:line="540" w:lineRule="exact"/>
        <w:ind w:firstLine="720"/>
        <w:rPr>
          <w:rFonts w:eastAsia="楷体_GB2312" w:cs="楷体_GB2312"/>
          <w:b/>
          <w:color w:val="000000"/>
          <w:kern w:val="0"/>
          <w:shd w:val="clear" w:color="auto" w:fill="FFFFFF"/>
          <w:lang w:val="zh-CN"/>
        </w:rPr>
      </w:pPr>
      <w:r>
        <w:rPr>
          <w:rFonts w:hint="eastAsia" w:eastAsia="楷体_GB2312" w:cs="楷体_GB2312"/>
          <w:b/>
          <w:color w:val="000000"/>
          <w:kern w:val="0"/>
          <w:shd w:val="clear" w:color="auto" w:fill="FFFFFF"/>
          <w:lang w:val="zh-CN"/>
        </w:rPr>
        <w:t>（三）人员概况</w:t>
      </w:r>
    </w:p>
    <w:p>
      <w:pPr>
        <w:adjustRightInd w:val="0"/>
        <w:snapToGrid w:val="0"/>
        <w:spacing w:line="540" w:lineRule="exact"/>
        <w:ind w:left="640" w:leftChars="200"/>
        <w:rPr>
          <w:rFonts w:ascii="仿宋_GB2312" w:hAnsi="仿宋_GB2312" w:cs="仿宋_GB2312"/>
          <w:color w:val="000000"/>
          <w:szCs w:val="32"/>
        </w:rPr>
      </w:pPr>
      <w:r>
        <w:rPr>
          <w:rFonts w:hint="eastAsia" w:ascii="仿宋_GB2312" w:hAnsi="仿宋_GB2312" w:cs="仿宋_GB2312"/>
          <w:color w:val="000000"/>
          <w:szCs w:val="32"/>
        </w:rPr>
        <w:t>2020年我校编制人数为</w:t>
      </w:r>
      <w:r>
        <w:rPr>
          <w:rFonts w:ascii="仿宋_GB2312" w:hAnsi="仿宋_GB2312" w:cs="仿宋_GB2312"/>
          <w:color w:val="000000"/>
          <w:szCs w:val="32"/>
        </w:rPr>
        <w:t>23</w:t>
      </w:r>
      <w:r>
        <w:rPr>
          <w:rFonts w:hint="eastAsia" w:ascii="仿宋_GB2312" w:hAnsi="仿宋_GB2312" w:cs="仿宋_GB2312"/>
          <w:color w:val="000000"/>
          <w:szCs w:val="32"/>
        </w:rPr>
        <w:t>人，年末单位实有人数</w:t>
      </w:r>
      <w:r>
        <w:rPr>
          <w:rFonts w:ascii="仿宋_GB2312" w:hAnsi="仿宋_GB2312" w:cs="仿宋_GB2312"/>
          <w:color w:val="000000"/>
          <w:szCs w:val="32"/>
        </w:rPr>
        <w:t>21</w:t>
      </w:r>
      <w:r>
        <w:rPr>
          <w:rFonts w:hint="eastAsia" w:ascii="仿宋_GB2312" w:hAnsi="仿宋_GB2312" w:cs="仿宋_GB2312"/>
          <w:color w:val="000000"/>
          <w:szCs w:val="32"/>
        </w:rPr>
        <w:t>人。</w:t>
      </w:r>
    </w:p>
    <w:p>
      <w:pPr>
        <w:adjustRightInd w:val="0"/>
        <w:snapToGrid w:val="0"/>
        <w:spacing w:line="540" w:lineRule="exact"/>
        <w:ind w:left="640" w:leftChars="200"/>
        <w:rPr>
          <w:rFonts w:eastAsia="黑体"/>
          <w:b/>
          <w:color w:val="000000"/>
          <w:kern w:val="0"/>
          <w:shd w:val="clear" w:color="auto" w:fill="FFFFFF"/>
        </w:rPr>
      </w:pPr>
      <w:r>
        <w:rPr>
          <w:rFonts w:hint="eastAsia" w:eastAsia="黑体" w:cs="黑体"/>
          <w:b/>
          <w:color w:val="000000"/>
          <w:kern w:val="0"/>
          <w:shd w:val="clear" w:color="auto" w:fill="FFFFFF"/>
        </w:rPr>
        <w:t>二、部门财政资金收支情况</w:t>
      </w:r>
    </w:p>
    <w:p>
      <w:pPr>
        <w:adjustRightInd w:val="0"/>
        <w:snapToGrid w:val="0"/>
        <w:spacing w:line="540" w:lineRule="exact"/>
        <w:ind w:firstLine="720"/>
        <w:rPr>
          <w:rFonts w:eastAsia="楷体_GB2312" w:cs="楷体_GB2312"/>
          <w:b/>
          <w:color w:val="000000"/>
          <w:kern w:val="0"/>
          <w:shd w:val="clear" w:color="auto" w:fill="FFFFFF"/>
          <w:lang w:val="zh-CN"/>
        </w:rPr>
      </w:pPr>
      <w:r>
        <w:rPr>
          <w:rFonts w:hint="eastAsia" w:eastAsia="楷体_GB2312" w:cs="楷体_GB2312"/>
          <w:b/>
          <w:color w:val="000000"/>
          <w:kern w:val="0"/>
          <w:shd w:val="clear" w:color="auto" w:fill="FFFFFF"/>
          <w:lang w:val="zh-CN"/>
        </w:rPr>
        <w:t>（一）部门财政资金收入情况</w:t>
      </w:r>
    </w:p>
    <w:p>
      <w:pPr>
        <w:adjustRightInd w:val="0"/>
        <w:snapToGrid w:val="0"/>
        <w:spacing w:line="540" w:lineRule="exact"/>
        <w:ind w:firstLine="720"/>
        <w:rPr>
          <w:rFonts w:ascii="仿宋" w:hAnsi="仿宋" w:eastAsia="仿宋"/>
          <w:color w:val="000000"/>
          <w:szCs w:val="32"/>
        </w:rPr>
      </w:pPr>
      <w:r>
        <w:rPr>
          <w:rFonts w:hint="eastAsia" w:ascii="仿宋_GB2312"/>
          <w:color w:val="000000"/>
          <w:szCs w:val="32"/>
        </w:rPr>
        <w:t>2020年本单位财政拨款收入决算总计为</w:t>
      </w:r>
      <w:r>
        <w:rPr>
          <w:rFonts w:ascii="仿宋" w:hAnsi="仿宋" w:eastAsia="仿宋"/>
          <w:color w:val="000000"/>
          <w:szCs w:val="32"/>
        </w:rPr>
        <w:t>339.5</w:t>
      </w:r>
      <w:r>
        <w:rPr>
          <w:rFonts w:hint="eastAsia" w:ascii="仿宋_GB2312"/>
          <w:color w:val="000000"/>
          <w:szCs w:val="32"/>
        </w:rPr>
        <w:t>万元，其中：一般公共预算财政拨款</w:t>
      </w:r>
      <w:r>
        <w:rPr>
          <w:rFonts w:ascii="仿宋" w:hAnsi="仿宋" w:eastAsia="仿宋"/>
          <w:color w:val="000000"/>
          <w:szCs w:val="32"/>
        </w:rPr>
        <w:t>337.75</w:t>
      </w:r>
      <w:r>
        <w:rPr>
          <w:rFonts w:hint="eastAsia" w:ascii="仿宋_GB2312"/>
          <w:color w:val="000000"/>
          <w:szCs w:val="32"/>
        </w:rPr>
        <w:t>万元，</w:t>
      </w:r>
      <w:r>
        <w:rPr>
          <w:rFonts w:hint="eastAsia" w:ascii="仿宋" w:hAnsi="仿宋" w:eastAsia="仿宋"/>
          <w:color w:val="000000"/>
          <w:szCs w:val="32"/>
        </w:rPr>
        <w:t>政府性基金预算财政拨款收入</w:t>
      </w:r>
      <w:r>
        <w:rPr>
          <w:rFonts w:ascii="仿宋" w:hAnsi="仿宋" w:eastAsia="仿宋"/>
          <w:color w:val="000000"/>
          <w:szCs w:val="32"/>
        </w:rPr>
        <w:t>0</w:t>
      </w:r>
      <w:r>
        <w:rPr>
          <w:rFonts w:hint="eastAsia" w:ascii="仿宋" w:hAnsi="仿宋" w:eastAsia="仿宋"/>
          <w:color w:val="000000"/>
          <w:szCs w:val="32"/>
        </w:rPr>
        <w:t>万元；上级补助收入</w:t>
      </w:r>
      <w:r>
        <w:rPr>
          <w:rFonts w:ascii="仿宋" w:hAnsi="仿宋" w:eastAsia="仿宋"/>
          <w:color w:val="000000"/>
          <w:szCs w:val="32"/>
        </w:rPr>
        <w:t>0</w:t>
      </w:r>
      <w:r>
        <w:rPr>
          <w:rFonts w:hint="eastAsia" w:ascii="仿宋" w:hAnsi="仿宋" w:eastAsia="仿宋"/>
          <w:color w:val="000000"/>
          <w:szCs w:val="32"/>
        </w:rPr>
        <w:t>万元；事业收入</w:t>
      </w:r>
      <w:r>
        <w:rPr>
          <w:rFonts w:ascii="仿宋" w:hAnsi="仿宋" w:eastAsia="仿宋"/>
          <w:color w:val="000000"/>
          <w:szCs w:val="32"/>
        </w:rPr>
        <w:t>1.75</w:t>
      </w:r>
      <w:r>
        <w:rPr>
          <w:rFonts w:hint="eastAsia" w:ascii="仿宋" w:hAnsi="仿宋" w:eastAsia="仿宋"/>
          <w:color w:val="000000"/>
          <w:szCs w:val="32"/>
        </w:rPr>
        <w:t>万元；经营收入</w:t>
      </w:r>
      <w:r>
        <w:rPr>
          <w:rFonts w:ascii="仿宋" w:hAnsi="仿宋" w:eastAsia="仿宋"/>
          <w:color w:val="000000"/>
          <w:szCs w:val="32"/>
        </w:rPr>
        <w:t>0</w:t>
      </w:r>
      <w:r>
        <w:rPr>
          <w:rFonts w:hint="eastAsia" w:ascii="仿宋" w:hAnsi="仿宋" w:eastAsia="仿宋"/>
          <w:color w:val="000000"/>
          <w:szCs w:val="32"/>
        </w:rPr>
        <w:t>万元；附属单位上缴收入</w:t>
      </w:r>
      <w:r>
        <w:rPr>
          <w:rFonts w:ascii="仿宋" w:hAnsi="仿宋" w:eastAsia="仿宋"/>
          <w:color w:val="000000"/>
          <w:szCs w:val="32"/>
        </w:rPr>
        <w:t>0</w:t>
      </w:r>
      <w:r>
        <w:rPr>
          <w:rFonts w:hint="eastAsia" w:ascii="仿宋" w:hAnsi="仿宋" w:eastAsia="仿宋"/>
          <w:color w:val="000000"/>
          <w:szCs w:val="32"/>
        </w:rPr>
        <w:t>万元；其他收入</w:t>
      </w:r>
      <w:r>
        <w:rPr>
          <w:rFonts w:ascii="仿宋" w:hAnsi="仿宋" w:eastAsia="仿宋"/>
          <w:color w:val="000000"/>
          <w:szCs w:val="32"/>
        </w:rPr>
        <w:t>0</w:t>
      </w:r>
      <w:r>
        <w:rPr>
          <w:rFonts w:hint="eastAsia" w:ascii="仿宋" w:hAnsi="仿宋" w:eastAsia="仿宋"/>
          <w:color w:val="000000"/>
          <w:szCs w:val="32"/>
        </w:rPr>
        <w:t>万元。</w:t>
      </w:r>
    </w:p>
    <w:p>
      <w:pPr>
        <w:adjustRightInd w:val="0"/>
        <w:snapToGrid w:val="0"/>
        <w:spacing w:line="540" w:lineRule="exact"/>
        <w:ind w:firstLine="720"/>
        <w:rPr>
          <w:rFonts w:eastAsia="楷体_GB2312" w:cs="楷体_GB2312"/>
          <w:b/>
          <w:color w:val="000000"/>
          <w:kern w:val="0"/>
          <w:shd w:val="clear" w:color="auto" w:fill="FFFFFF"/>
          <w:lang w:val="zh-CN"/>
        </w:rPr>
      </w:pPr>
      <w:r>
        <w:rPr>
          <w:rFonts w:hint="eastAsia" w:eastAsia="楷体_GB2312" w:cs="楷体_GB2312"/>
          <w:b/>
          <w:color w:val="000000"/>
          <w:kern w:val="0"/>
          <w:shd w:val="clear" w:color="auto" w:fill="FFFFFF"/>
          <w:lang w:val="zh-CN"/>
        </w:rPr>
        <w:t>（二）部门财政资金支出情况</w:t>
      </w:r>
    </w:p>
    <w:p>
      <w:pPr>
        <w:adjustRightInd w:val="0"/>
        <w:snapToGrid w:val="0"/>
        <w:spacing w:line="540" w:lineRule="exact"/>
        <w:ind w:firstLine="720"/>
        <w:rPr>
          <w:rFonts w:eastAsia="楷体_GB2312"/>
          <w:b/>
          <w:color w:val="000000"/>
          <w:kern w:val="0"/>
          <w:shd w:val="clear" w:color="auto" w:fill="FFFFFF"/>
          <w:lang w:val="zh-CN"/>
        </w:rPr>
      </w:pPr>
      <w:r>
        <w:rPr>
          <w:rFonts w:hint="eastAsia" w:ascii="仿宋_GB2312"/>
          <w:color w:val="000000"/>
          <w:szCs w:val="32"/>
        </w:rPr>
        <w:t>2020年本单位财政拨款支出合计为</w:t>
      </w:r>
      <w:r>
        <w:rPr>
          <w:rFonts w:ascii="仿宋" w:hAnsi="仿宋" w:eastAsia="仿宋"/>
          <w:color w:val="000000"/>
          <w:szCs w:val="32"/>
        </w:rPr>
        <w:t>328.77</w:t>
      </w:r>
      <w:r>
        <w:rPr>
          <w:rFonts w:hint="eastAsia" w:ascii="仿宋_GB2312"/>
          <w:color w:val="000000"/>
          <w:szCs w:val="32"/>
        </w:rPr>
        <w:t>万元。其中按功能分类，教育支出</w:t>
      </w:r>
      <w:r>
        <w:rPr>
          <w:rFonts w:ascii="仿宋" w:hAnsi="仿宋" w:eastAsia="仿宋"/>
          <w:color w:val="000000"/>
          <w:szCs w:val="32"/>
        </w:rPr>
        <w:t>328.77</w:t>
      </w:r>
      <w:r>
        <w:rPr>
          <w:rFonts w:hint="eastAsia" w:ascii="仿宋_GB2312"/>
          <w:color w:val="000000"/>
          <w:szCs w:val="32"/>
        </w:rPr>
        <w:t>万元；按支出性质分类，基本支出</w:t>
      </w:r>
      <w:r>
        <w:rPr>
          <w:rFonts w:ascii="仿宋" w:hAnsi="仿宋" w:eastAsia="仿宋"/>
          <w:color w:val="000000"/>
          <w:szCs w:val="32"/>
        </w:rPr>
        <w:t>328.77</w:t>
      </w:r>
      <w:r>
        <w:rPr>
          <w:rFonts w:hint="eastAsia" w:ascii="仿宋_GB2312"/>
          <w:color w:val="000000"/>
          <w:szCs w:val="32"/>
        </w:rPr>
        <w:t>万元，项目支出0万元。</w:t>
      </w:r>
    </w:p>
    <w:p>
      <w:pPr>
        <w:adjustRightInd w:val="0"/>
        <w:snapToGrid w:val="0"/>
        <w:spacing w:line="540" w:lineRule="exact"/>
        <w:ind w:firstLine="720"/>
        <w:rPr>
          <w:rFonts w:eastAsia="黑体"/>
          <w:color w:val="000000"/>
          <w:kern w:val="0"/>
          <w:shd w:val="clear" w:color="auto" w:fill="FFFFFF"/>
        </w:rPr>
      </w:pPr>
      <w:r>
        <w:rPr>
          <w:rFonts w:hint="eastAsia" w:eastAsia="黑体" w:cs="黑体"/>
          <w:color w:val="000000"/>
          <w:kern w:val="0"/>
          <w:shd w:val="clear" w:color="auto" w:fill="FFFFFF"/>
        </w:rPr>
        <w:t>三、部门财政支出管理情况</w:t>
      </w:r>
    </w:p>
    <w:p>
      <w:pPr>
        <w:adjustRightInd w:val="0"/>
        <w:snapToGrid w:val="0"/>
        <w:spacing w:line="540" w:lineRule="exact"/>
        <w:ind w:firstLine="720"/>
        <w:rPr>
          <w:rFonts w:eastAsia="楷体_GB2312"/>
          <w:b/>
          <w:color w:val="000000"/>
          <w:kern w:val="0"/>
          <w:shd w:val="clear" w:color="auto" w:fill="FFFFFF"/>
          <w:lang w:val="zh-CN"/>
        </w:rPr>
      </w:pPr>
      <w:r>
        <w:rPr>
          <w:rFonts w:hint="eastAsia" w:eastAsia="楷体_GB2312" w:cs="楷体_GB2312"/>
          <w:b/>
          <w:color w:val="000000"/>
          <w:kern w:val="0"/>
          <w:shd w:val="clear" w:color="auto" w:fill="FFFFFF"/>
          <w:lang w:val="zh-CN"/>
        </w:rPr>
        <w:t>（一）预决算编制情况</w:t>
      </w:r>
    </w:p>
    <w:p>
      <w:pPr>
        <w:adjustRightInd w:val="0"/>
        <w:snapToGrid w:val="0"/>
        <w:spacing w:line="540" w:lineRule="exact"/>
        <w:ind w:firstLine="720"/>
        <w:rPr>
          <w:color w:val="000000"/>
          <w:kern w:val="0"/>
          <w:shd w:val="clear" w:color="auto" w:fill="FFFFFF"/>
          <w:lang w:val="zh-CN"/>
        </w:rPr>
      </w:pPr>
      <w:r>
        <w:rPr>
          <w:rFonts w:hint="eastAsia" w:ascii="仿宋_GB2312" w:hAnsi="仿宋"/>
          <w:color w:val="000000"/>
        </w:rPr>
        <w:t>我单位2020年度部门预决算严格按照财政局部门预决算编制口径进行编制，基础信息和数据准确。预决算报表经我单位主要领导审核后，在财政局规定时间内完成上报。</w:t>
      </w:r>
    </w:p>
    <w:p>
      <w:pPr>
        <w:adjustRightInd w:val="0"/>
        <w:snapToGrid w:val="0"/>
        <w:spacing w:line="540" w:lineRule="exact"/>
        <w:ind w:firstLine="720"/>
        <w:rPr>
          <w:rFonts w:eastAsia="楷体_GB2312" w:cs="楷体_GB2312"/>
          <w:b/>
          <w:color w:val="000000"/>
          <w:kern w:val="0"/>
          <w:shd w:val="clear" w:color="auto" w:fill="FFFFFF"/>
          <w:lang w:val="zh-CN"/>
        </w:rPr>
      </w:pPr>
      <w:r>
        <w:rPr>
          <w:rFonts w:hint="eastAsia" w:eastAsia="楷体_GB2312" w:cs="楷体_GB2312"/>
          <w:b/>
          <w:color w:val="000000"/>
          <w:kern w:val="0"/>
          <w:shd w:val="clear" w:color="auto" w:fill="FFFFFF"/>
          <w:lang w:val="zh-CN"/>
        </w:rPr>
        <w:t>（二）执行管理情况</w:t>
      </w:r>
    </w:p>
    <w:p>
      <w:pPr>
        <w:adjustRightInd w:val="0"/>
        <w:snapToGrid w:val="0"/>
        <w:spacing w:line="540" w:lineRule="exact"/>
        <w:ind w:firstLine="720"/>
        <w:rPr>
          <w:rFonts w:eastAsia="楷体_GB2312"/>
          <w:b/>
          <w:color w:val="000000"/>
          <w:kern w:val="0"/>
          <w:shd w:val="clear" w:color="auto" w:fill="FFFFFF"/>
          <w:lang w:val="zh-CN"/>
        </w:rPr>
      </w:pPr>
      <w:r>
        <w:rPr>
          <w:rFonts w:hint="eastAsia" w:ascii="仿宋_GB2312" w:hAnsi="仿宋"/>
          <w:color w:val="000000"/>
        </w:rPr>
        <w:t>我单位2020年度</w:t>
      </w:r>
      <w:r>
        <w:rPr>
          <w:rFonts w:hint="eastAsia" w:ascii="仿宋" w:hAnsi="仿宋" w:eastAsia="仿宋"/>
          <w:color w:val="000000"/>
          <w:szCs w:val="32"/>
        </w:rPr>
        <w:t>人员经费</w:t>
      </w:r>
      <w:r>
        <w:rPr>
          <w:rFonts w:ascii="仿宋" w:hAnsi="仿宋" w:eastAsia="仿宋"/>
          <w:color w:val="000000"/>
          <w:szCs w:val="32"/>
        </w:rPr>
        <w:t>297.1</w:t>
      </w:r>
      <w:r>
        <w:rPr>
          <w:rFonts w:hint="eastAsia" w:ascii="仿宋_GB2312" w:hAnsi="仿宋"/>
          <w:color w:val="000000"/>
        </w:rPr>
        <w:t>万元，</w:t>
      </w:r>
      <w:r>
        <w:rPr>
          <w:rFonts w:hint="eastAsia" w:ascii="仿宋" w:hAnsi="仿宋" w:eastAsia="仿宋"/>
          <w:color w:val="000000"/>
          <w:szCs w:val="32"/>
        </w:rPr>
        <w:t>日常公用经费</w:t>
      </w:r>
      <w:r>
        <w:rPr>
          <w:rFonts w:ascii="仿宋" w:hAnsi="仿宋" w:eastAsia="仿宋"/>
          <w:color w:val="000000"/>
          <w:szCs w:val="32"/>
        </w:rPr>
        <w:t>31.67</w:t>
      </w:r>
      <w:r>
        <w:rPr>
          <w:rFonts w:hint="eastAsia" w:ascii="仿宋" w:hAnsi="仿宋" w:eastAsia="仿宋"/>
          <w:color w:val="000000"/>
          <w:szCs w:val="32"/>
        </w:rPr>
        <w:t>万元</w:t>
      </w:r>
      <w:r>
        <w:rPr>
          <w:rFonts w:hint="eastAsia" w:ascii="仿宋_GB2312" w:hAnsi="仿宋"/>
          <w:color w:val="000000"/>
        </w:rPr>
        <w:t>。全年预算资金支出，严格按照单位预算内控管理制度执行。</w:t>
      </w:r>
    </w:p>
    <w:p>
      <w:pPr>
        <w:adjustRightInd w:val="0"/>
        <w:snapToGrid w:val="0"/>
        <w:spacing w:line="540" w:lineRule="exact"/>
        <w:ind w:firstLine="720"/>
        <w:rPr>
          <w:rFonts w:eastAsia="楷体_GB2312" w:cs="楷体_GB2312"/>
          <w:b/>
          <w:color w:val="000000"/>
          <w:kern w:val="0"/>
          <w:shd w:val="clear" w:color="auto" w:fill="FFFFFF"/>
          <w:lang w:val="zh-CN"/>
        </w:rPr>
      </w:pPr>
      <w:r>
        <w:rPr>
          <w:rFonts w:hint="eastAsia" w:eastAsia="楷体_GB2312" w:cs="楷体_GB2312"/>
          <w:b/>
          <w:color w:val="000000"/>
          <w:kern w:val="0"/>
          <w:shd w:val="clear" w:color="auto" w:fill="FFFFFF"/>
          <w:lang w:val="zh-CN"/>
        </w:rPr>
        <w:t>（三）支出绩效情况</w:t>
      </w:r>
    </w:p>
    <w:p>
      <w:pPr>
        <w:adjustRightInd w:val="0"/>
        <w:snapToGrid w:val="0"/>
        <w:spacing w:line="540" w:lineRule="exact"/>
        <w:ind w:firstLine="720"/>
        <w:rPr>
          <w:color w:val="000000"/>
          <w:kern w:val="0"/>
          <w:shd w:val="clear" w:color="auto" w:fill="FFFFFF"/>
          <w:lang w:val="zh-CN"/>
        </w:rPr>
      </w:pPr>
      <w:r>
        <w:rPr>
          <w:color w:val="000000"/>
          <w:kern w:val="0"/>
          <w:shd w:val="clear" w:color="auto" w:fill="FFFFFF"/>
          <w:lang w:val="zh-CN"/>
        </w:rPr>
        <w:t>1.</w:t>
      </w:r>
      <w:r>
        <w:rPr>
          <w:rFonts w:hint="eastAsia" w:cs="仿宋_GB2312"/>
          <w:color w:val="000000"/>
          <w:kern w:val="0"/>
          <w:shd w:val="clear" w:color="auto" w:fill="FFFFFF"/>
          <w:lang w:val="zh-CN"/>
        </w:rPr>
        <w:t>部门支出绩效。</w:t>
      </w:r>
    </w:p>
    <w:p>
      <w:pPr>
        <w:adjustRightInd w:val="0"/>
        <w:snapToGrid w:val="0"/>
        <w:spacing w:line="540" w:lineRule="exact"/>
        <w:ind w:firstLine="720"/>
        <w:rPr>
          <w:color w:val="000000"/>
          <w:kern w:val="0"/>
          <w:shd w:val="clear" w:color="auto" w:fill="FFFFFF"/>
          <w:lang w:val="zh-CN"/>
        </w:rPr>
      </w:pPr>
      <w:r>
        <w:rPr>
          <w:rFonts w:hint="eastAsia" w:cs="仿宋_GB2312"/>
          <w:color w:val="000000"/>
          <w:kern w:val="0"/>
          <w:shd w:val="clear" w:color="auto" w:fill="FFFFFF"/>
          <w:lang w:val="zh-CN"/>
        </w:rPr>
        <w:t>（</w:t>
      </w:r>
      <w:r>
        <w:rPr>
          <w:color w:val="000000"/>
          <w:kern w:val="0"/>
          <w:shd w:val="clear" w:color="auto" w:fill="FFFFFF"/>
          <w:lang w:val="zh-CN"/>
        </w:rPr>
        <w:t>1</w:t>
      </w:r>
      <w:r>
        <w:rPr>
          <w:rFonts w:hint="eastAsia" w:cs="仿宋_GB2312"/>
          <w:color w:val="000000"/>
          <w:kern w:val="0"/>
          <w:shd w:val="clear" w:color="auto" w:fill="FFFFFF"/>
          <w:lang w:val="zh-CN"/>
        </w:rPr>
        <w:t>）行政运转保障。</w:t>
      </w:r>
    </w:p>
    <w:p>
      <w:pPr>
        <w:adjustRightInd w:val="0"/>
        <w:snapToGrid w:val="0"/>
        <w:spacing w:line="540" w:lineRule="exact"/>
        <w:ind w:firstLine="720"/>
        <w:rPr>
          <w:rFonts w:cs="仿宋_GB2312"/>
          <w:color w:val="000000"/>
          <w:kern w:val="0"/>
          <w:shd w:val="clear" w:color="auto" w:fill="FFFFFF"/>
          <w:lang w:val="zh-CN"/>
        </w:rPr>
      </w:pPr>
      <w:r>
        <w:rPr>
          <w:rFonts w:hint="eastAsia" w:ascii="仿宋_GB2312" w:hAnsi="仿宋"/>
          <w:color w:val="000000"/>
        </w:rPr>
        <w:t>2020年度我单位支出总计：</w:t>
      </w:r>
      <w:r>
        <w:rPr>
          <w:rFonts w:ascii="仿宋" w:hAnsi="仿宋" w:eastAsia="仿宋"/>
          <w:color w:val="000000"/>
          <w:szCs w:val="32"/>
        </w:rPr>
        <w:t>328.77</w:t>
      </w:r>
      <w:r>
        <w:rPr>
          <w:rFonts w:hint="eastAsia" w:ascii="仿宋_GB2312" w:hAnsi="仿宋"/>
          <w:color w:val="000000"/>
        </w:rPr>
        <w:t>万元。</w:t>
      </w:r>
      <w:r>
        <w:rPr>
          <w:rFonts w:hint="eastAsia" w:ascii="仿宋_GB2312" w:hAnsi="仿宋_GB2312"/>
          <w:color w:val="000000"/>
          <w:szCs w:val="32"/>
        </w:rPr>
        <w:t>全年基本支出</w:t>
      </w:r>
      <w:r>
        <w:rPr>
          <w:rFonts w:hint="eastAsia" w:cs="仿宋_GB2312"/>
          <w:color w:val="000000"/>
          <w:kern w:val="0"/>
          <w:shd w:val="clear" w:color="auto" w:fill="FFFFFF"/>
          <w:lang w:val="zh-CN"/>
        </w:rPr>
        <w:t>保障</w:t>
      </w:r>
      <w:r>
        <w:rPr>
          <w:rFonts w:hint="eastAsia" w:ascii="仿宋_GB2312" w:hAnsi="仿宋_GB2312"/>
          <w:color w:val="000000"/>
          <w:szCs w:val="32"/>
        </w:rPr>
        <w:t>了单位的正常运行和日常工作的正常开展。</w:t>
      </w:r>
    </w:p>
    <w:p>
      <w:pPr>
        <w:adjustRightInd w:val="0"/>
        <w:snapToGrid w:val="0"/>
        <w:spacing w:line="540" w:lineRule="exact"/>
        <w:ind w:firstLine="720"/>
        <w:rPr>
          <w:rFonts w:ascii="仿宋_GB2312" w:hAnsi="仿宋_GB2312" w:cs="仿宋_GB2312"/>
          <w:color w:val="000000"/>
        </w:rPr>
      </w:pPr>
      <w:r>
        <w:rPr>
          <w:rFonts w:hint="eastAsia" w:ascii="仿宋_GB2312" w:hAnsi="仿宋_GB2312" w:cs="仿宋_GB2312"/>
          <w:color w:val="000000"/>
        </w:rPr>
        <w:t>覆行职能职责总体情况：</w:t>
      </w:r>
    </w:p>
    <w:p>
      <w:pPr>
        <w:adjustRightInd w:val="0"/>
        <w:snapToGrid w:val="0"/>
        <w:spacing w:line="540" w:lineRule="exact"/>
        <w:ind w:firstLine="720"/>
        <w:rPr>
          <w:rFonts w:ascii="仿宋_GB2312" w:hAnsi="仿宋_GB2312" w:cs="仿宋_GB2312"/>
          <w:color w:val="000000"/>
        </w:rPr>
      </w:pPr>
      <w:r>
        <w:rPr>
          <w:rFonts w:hint="eastAsia" w:ascii="仿宋_GB2312" w:hAnsi="仿宋_GB2312" w:cs="仿宋_GB2312"/>
          <w:color w:val="000000"/>
        </w:rPr>
        <w:t>2020年在全体职工的共同努力下，我单位较好地完成了年初制定的各项工作目标。</w:t>
      </w:r>
    </w:p>
    <w:p>
      <w:pPr>
        <w:adjustRightInd w:val="0"/>
        <w:snapToGrid w:val="0"/>
        <w:spacing w:line="540" w:lineRule="exact"/>
        <w:ind w:firstLine="720"/>
        <w:rPr>
          <w:color w:val="000000"/>
          <w:kern w:val="0"/>
          <w:shd w:val="clear" w:color="auto" w:fill="FFFFFF"/>
          <w:lang w:val="zh-CN"/>
        </w:rPr>
      </w:pPr>
      <w:r>
        <w:rPr>
          <w:rFonts w:hint="eastAsia" w:cs="仿宋_GB2312"/>
          <w:color w:val="000000"/>
          <w:kern w:val="0"/>
          <w:shd w:val="clear" w:color="auto" w:fill="FFFFFF"/>
          <w:lang w:val="zh-CN"/>
        </w:rPr>
        <w:t>（</w:t>
      </w:r>
      <w:r>
        <w:rPr>
          <w:color w:val="000000"/>
          <w:kern w:val="0"/>
          <w:shd w:val="clear" w:color="auto" w:fill="FFFFFF"/>
          <w:lang w:val="zh-CN"/>
        </w:rPr>
        <w:t>2</w:t>
      </w:r>
      <w:r>
        <w:rPr>
          <w:rFonts w:hint="eastAsia" w:cs="仿宋_GB2312"/>
          <w:color w:val="000000"/>
          <w:kern w:val="0"/>
          <w:shd w:val="clear" w:color="auto" w:fill="FFFFFF"/>
          <w:lang w:val="zh-CN"/>
        </w:rPr>
        <w:t>）机关厉行节约。</w:t>
      </w:r>
    </w:p>
    <w:p>
      <w:pPr>
        <w:adjustRightInd w:val="0"/>
        <w:snapToGrid w:val="0"/>
        <w:spacing w:line="540" w:lineRule="exact"/>
        <w:ind w:firstLine="640" w:firstLineChars="200"/>
        <w:rPr>
          <w:color w:val="000000"/>
          <w:kern w:val="0"/>
          <w:shd w:val="clear" w:color="auto" w:fill="FFFFFF"/>
          <w:lang w:val="zh-CN"/>
        </w:rPr>
      </w:pPr>
      <w:r>
        <w:rPr>
          <w:rFonts w:hint="eastAsia" w:cs="仿宋_GB2312"/>
          <w:color w:val="000000"/>
          <w:kern w:val="0"/>
          <w:shd w:val="clear" w:color="auto" w:fill="FFFFFF"/>
          <w:lang w:val="zh-CN"/>
        </w:rPr>
        <w:t>2020年度我单位支出“三公”经费总计0万元，我单位按照相关政策要求，严格控制“三公”经费支出。</w:t>
      </w:r>
    </w:p>
    <w:p>
      <w:pPr>
        <w:adjustRightInd w:val="0"/>
        <w:snapToGrid w:val="0"/>
        <w:spacing w:line="540" w:lineRule="exact"/>
        <w:ind w:firstLine="720"/>
        <w:rPr>
          <w:color w:val="000000"/>
          <w:kern w:val="0"/>
          <w:shd w:val="clear" w:color="auto" w:fill="FFFFFF"/>
          <w:lang w:val="zh-CN"/>
        </w:rPr>
      </w:pPr>
      <w:r>
        <w:rPr>
          <w:rFonts w:hint="eastAsia" w:cs="仿宋_GB2312"/>
          <w:color w:val="000000"/>
          <w:kern w:val="0"/>
          <w:shd w:val="clear" w:color="auto" w:fill="FFFFFF"/>
          <w:lang w:val="zh-CN"/>
        </w:rPr>
        <w:t>（</w:t>
      </w:r>
      <w:r>
        <w:rPr>
          <w:color w:val="000000"/>
          <w:kern w:val="0"/>
          <w:shd w:val="clear" w:color="auto" w:fill="FFFFFF"/>
          <w:lang w:val="zh-CN"/>
        </w:rPr>
        <w:t>3</w:t>
      </w:r>
      <w:r>
        <w:rPr>
          <w:rFonts w:hint="eastAsia" w:cs="仿宋_GB2312"/>
          <w:color w:val="000000"/>
          <w:kern w:val="0"/>
          <w:shd w:val="clear" w:color="auto" w:fill="FFFFFF"/>
          <w:lang w:val="zh-CN"/>
        </w:rPr>
        <w:t>）机关节能降耗。</w:t>
      </w:r>
    </w:p>
    <w:p>
      <w:pPr>
        <w:adjustRightInd w:val="0"/>
        <w:snapToGrid w:val="0"/>
        <w:spacing w:line="540" w:lineRule="exact"/>
        <w:ind w:firstLine="720"/>
        <w:rPr>
          <w:rFonts w:cs="仿宋_GB2312"/>
          <w:color w:val="000000"/>
          <w:kern w:val="0"/>
          <w:shd w:val="clear" w:color="auto" w:fill="FFFFFF"/>
          <w:lang w:val="zh-CN"/>
        </w:rPr>
      </w:pPr>
      <w:r>
        <w:rPr>
          <w:rFonts w:hint="eastAsia"/>
          <w:color w:val="000000"/>
          <w:kern w:val="0"/>
          <w:shd w:val="clear" w:color="auto" w:fill="FFFFFF"/>
          <w:lang w:val="zh-CN"/>
        </w:rPr>
        <w:t>2020年度严格执行节能降耗要求，单位全年支出水费</w:t>
      </w:r>
      <w:r>
        <w:rPr>
          <w:color w:val="000000"/>
          <w:kern w:val="0"/>
          <w:shd w:val="clear" w:color="auto" w:fill="FFFFFF"/>
          <w:lang w:val="zh-CN"/>
        </w:rPr>
        <w:t>0.53</w:t>
      </w:r>
      <w:r>
        <w:rPr>
          <w:rFonts w:hint="eastAsia"/>
          <w:color w:val="000000"/>
          <w:kern w:val="0"/>
          <w:shd w:val="clear" w:color="auto" w:fill="FFFFFF"/>
          <w:lang w:val="zh-CN"/>
        </w:rPr>
        <w:t>万元、支出电费</w:t>
      </w:r>
      <w:r>
        <w:rPr>
          <w:color w:val="000000"/>
          <w:kern w:val="0"/>
          <w:shd w:val="clear" w:color="auto" w:fill="FFFFFF"/>
          <w:lang w:val="zh-CN"/>
        </w:rPr>
        <w:t>0.75</w:t>
      </w:r>
      <w:r>
        <w:rPr>
          <w:rFonts w:hint="eastAsia"/>
          <w:color w:val="000000"/>
          <w:kern w:val="0"/>
          <w:shd w:val="clear" w:color="auto" w:fill="FFFFFF"/>
          <w:lang w:val="zh-CN"/>
        </w:rPr>
        <w:t>万元、支出气费</w:t>
      </w:r>
      <w:r>
        <w:rPr>
          <w:color w:val="000000"/>
          <w:kern w:val="0"/>
          <w:shd w:val="clear" w:color="auto" w:fill="FFFFFF"/>
          <w:lang w:val="zh-CN"/>
        </w:rPr>
        <w:t>0.45</w:t>
      </w:r>
      <w:r>
        <w:rPr>
          <w:rFonts w:hint="eastAsia"/>
          <w:color w:val="000000"/>
          <w:kern w:val="0"/>
          <w:shd w:val="clear" w:color="auto" w:fill="FFFFFF"/>
          <w:lang w:val="zh-CN"/>
        </w:rPr>
        <w:t>万元。</w:t>
      </w:r>
    </w:p>
    <w:p>
      <w:pPr>
        <w:adjustRightInd w:val="0"/>
        <w:snapToGrid w:val="0"/>
        <w:spacing w:line="540" w:lineRule="exact"/>
        <w:ind w:firstLine="720"/>
        <w:rPr>
          <w:color w:val="000000"/>
          <w:kern w:val="0"/>
          <w:shd w:val="clear" w:color="auto" w:fill="FFFFFF"/>
          <w:lang w:val="zh-CN"/>
        </w:rPr>
      </w:pPr>
      <w:r>
        <w:rPr>
          <w:color w:val="000000"/>
          <w:kern w:val="0"/>
          <w:shd w:val="clear" w:color="auto" w:fill="FFFFFF"/>
          <w:lang w:val="zh-CN"/>
        </w:rPr>
        <w:t>2.</w:t>
      </w:r>
      <w:r>
        <w:rPr>
          <w:rFonts w:hint="eastAsia" w:cs="仿宋_GB2312"/>
          <w:color w:val="000000"/>
          <w:kern w:val="0"/>
          <w:shd w:val="clear" w:color="auto" w:fill="FFFFFF"/>
          <w:lang w:val="zh-CN"/>
        </w:rPr>
        <w:t>专项预算项目支出绩效。</w:t>
      </w:r>
    </w:p>
    <w:p>
      <w:pPr>
        <w:adjustRightInd w:val="0"/>
        <w:snapToGrid w:val="0"/>
        <w:spacing w:line="540" w:lineRule="exact"/>
        <w:ind w:firstLine="720"/>
        <w:rPr>
          <w:color w:val="000000"/>
          <w:kern w:val="0"/>
          <w:shd w:val="clear" w:color="auto" w:fill="FFFFFF"/>
          <w:lang w:val="zh-CN"/>
        </w:rPr>
      </w:pPr>
      <w:r>
        <w:rPr>
          <w:rFonts w:hint="eastAsia" w:ascii="仿宋_GB2312" w:hAnsi="仿宋_GB2312" w:cs="仿宋_GB2312"/>
          <w:color w:val="000000"/>
          <w:szCs w:val="32"/>
        </w:rPr>
        <w:t>严格执行项目支出预算，积极组织项目实施，对于达到政府采购标准的项目支出，明确规定采购项目的采购期限，督促尽快组织实施采购计划。加强对预算执行过程的控制和结果的反馈，对预算执行差异及时分析成因和影响，并及时向领导和相关部门进行反馈，以采取措施纠正执行偏差，促进预算目标的全面完成。</w:t>
      </w:r>
    </w:p>
    <w:p>
      <w:pPr>
        <w:adjustRightInd w:val="0"/>
        <w:snapToGrid w:val="0"/>
        <w:spacing w:line="540" w:lineRule="exact"/>
        <w:ind w:firstLine="720"/>
        <w:rPr>
          <w:rFonts w:eastAsia="楷体_GB2312"/>
          <w:b/>
          <w:color w:val="000000"/>
          <w:kern w:val="0"/>
          <w:shd w:val="clear" w:color="auto" w:fill="FFFFFF"/>
          <w:lang w:val="zh-CN"/>
        </w:rPr>
      </w:pPr>
      <w:r>
        <w:rPr>
          <w:rFonts w:hint="eastAsia" w:eastAsia="楷体_GB2312" w:cs="楷体_GB2312"/>
          <w:b/>
          <w:color w:val="000000"/>
          <w:kern w:val="0"/>
          <w:shd w:val="clear" w:color="auto" w:fill="FFFFFF"/>
          <w:lang w:val="zh-CN"/>
        </w:rPr>
        <w:t>（四）财务管理情况</w:t>
      </w:r>
    </w:p>
    <w:p>
      <w:pPr>
        <w:adjustRightInd w:val="0"/>
        <w:snapToGrid w:val="0"/>
        <w:spacing w:line="540" w:lineRule="exact"/>
        <w:ind w:firstLine="720"/>
        <w:rPr>
          <w:color w:val="000000"/>
          <w:kern w:val="0"/>
          <w:shd w:val="clear" w:color="auto" w:fill="FFFFFF"/>
          <w:lang w:val="zh-CN"/>
        </w:rPr>
      </w:pPr>
      <w:r>
        <w:rPr>
          <w:rFonts w:hint="eastAsia"/>
          <w:color w:val="000000"/>
          <w:kern w:val="0"/>
          <w:shd w:val="clear" w:color="auto" w:fill="FFFFFF"/>
          <w:lang w:val="zh-CN"/>
        </w:rPr>
        <w:t>我校建立了财务管理制度，财务管理坚持“勤俭节约、量入为出、收支平衡、统筹安排”的原则，严格遵守财经纪律和有关法律法规。管理主要内容包括：收支预算管理、国内公务接待管理、办公费管理、会议费管理、差旅费管理、值班加班费管理、培训费管理；固定资产管理、财务分析与财务监督等。</w:t>
      </w:r>
    </w:p>
    <w:p>
      <w:pPr>
        <w:adjustRightInd w:val="0"/>
        <w:snapToGrid w:val="0"/>
        <w:spacing w:line="540" w:lineRule="exact"/>
        <w:ind w:firstLine="720"/>
        <w:rPr>
          <w:rFonts w:eastAsia="楷体_GB2312"/>
          <w:b/>
          <w:color w:val="000000"/>
          <w:kern w:val="0"/>
          <w:shd w:val="clear" w:color="auto" w:fill="FFFFFF"/>
          <w:lang w:val="zh-CN"/>
        </w:rPr>
      </w:pPr>
      <w:r>
        <w:rPr>
          <w:rFonts w:hint="eastAsia" w:eastAsia="楷体_GB2312" w:cs="楷体_GB2312"/>
          <w:b/>
          <w:color w:val="000000"/>
          <w:kern w:val="0"/>
          <w:shd w:val="clear" w:color="auto" w:fill="FFFFFF"/>
          <w:lang w:val="zh-CN"/>
        </w:rPr>
        <w:t>（五）绩效管理工作开展情况</w:t>
      </w:r>
    </w:p>
    <w:p>
      <w:pPr>
        <w:adjustRightInd w:val="0"/>
        <w:snapToGrid w:val="0"/>
        <w:spacing w:line="540" w:lineRule="exact"/>
        <w:ind w:firstLine="720"/>
        <w:rPr>
          <w:color w:val="000000"/>
          <w:kern w:val="0"/>
          <w:shd w:val="clear" w:color="auto" w:fill="FFFFFF"/>
          <w:lang w:val="zh-CN"/>
        </w:rPr>
      </w:pPr>
      <w:r>
        <w:rPr>
          <w:rFonts w:hint="eastAsia"/>
          <w:color w:val="000000"/>
          <w:kern w:val="0"/>
          <w:shd w:val="clear" w:color="auto" w:fill="FFFFFF"/>
          <w:lang w:val="zh-CN"/>
        </w:rPr>
        <w:t>我校高度重视绩效管理工作，制定了绩效目标。通过科学设定绩效评价指标，建立评价指标体系，客观反映从决策、管理到效益全过程的评估。大力宣传绩效管理工作的重要性，使我单位全体职工了解绩效管理，支持绩效管理工作。按照事前绩效评估，事后绩效评价的原则，将绩效评价结果应用到我单位的各类经济活动中。</w:t>
      </w:r>
    </w:p>
    <w:p>
      <w:pPr>
        <w:adjustRightInd w:val="0"/>
        <w:snapToGrid w:val="0"/>
        <w:spacing w:line="540" w:lineRule="exact"/>
        <w:ind w:firstLine="720"/>
        <w:rPr>
          <w:rFonts w:eastAsia="黑体"/>
          <w:b/>
          <w:color w:val="000000"/>
          <w:kern w:val="0"/>
          <w:shd w:val="clear" w:color="auto" w:fill="FFFFFF"/>
        </w:rPr>
      </w:pPr>
      <w:r>
        <w:rPr>
          <w:rFonts w:hint="eastAsia" w:eastAsia="黑体" w:cs="黑体"/>
          <w:b/>
          <w:color w:val="000000"/>
          <w:kern w:val="0"/>
          <w:shd w:val="clear" w:color="auto" w:fill="FFFFFF"/>
        </w:rPr>
        <w:t>四、评价结论及建议</w:t>
      </w:r>
    </w:p>
    <w:p>
      <w:pPr>
        <w:adjustRightInd w:val="0"/>
        <w:snapToGrid w:val="0"/>
        <w:spacing w:line="540" w:lineRule="exact"/>
        <w:ind w:firstLine="720"/>
        <w:rPr>
          <w:rFonts w:eastAsia="楷体_GB2312" w:cs="楷体_GB2312"/>
          <w:b/>
          <w:color w:val="000000"/>
          <w:kern w:val="0"/>
          <w:shd w:val="clear" w:color="auto" w:fill="FFFFFF"/>
          <w:lang w:val="zh-CN"/>
        </w:rPr>
      </w:pPr>
      <w:r>
        <w:rPr>
          <w:rFonts w:hint="eastAsia" w:eastAsia="楷体_GB2312" w:cs="楷体_GB2312"/>
          <w:b/>
          <w:color w:val="000000"/>
          <w:kern w:val="0"/>
          <w:shd w:val="clear" w:color="auto" w:fill="FFFFFF"/>
          <w:lang w:val="zh-CN"/>
        </w:rPr>
        <w:t>（一）评价结论</w:t>
      </w:r>
    </w:p>
    <w:p>
      <w:pPr>
        <w:adjustRightInd w:val="0"/>
        <w:snapToGrid w:val="0"/>
        <w:spacing w:line="540" w:lineRule="exact"/>
        <w:ind w:firstLine="720"/>
        <w:rPr>
          <w:rFonts w:eastAsia="楷体_GB2312"/>
          <w:b/>
          <w:color w:val="000000"/>
          <w:kern w:val="0"/>
          <w:shd w:val="clear" w:color="auto" w:fill="FFFFFF"/>
          <w:lang w:val="zh-CN"/>
        </w:rPr>
      </w:pPr>
      <w:r>
        <w:rPr>
          <w:rFonts w:hint="eastAsia"/>
          <w:color w:val="000000"/>
          <w:kern w:val="0"/>
          <w:shd w:val="clear" w:color="auto" w:fill="FFFFFF"/>
          <w:lang w:val="zh-CN"/>
        </w:rPr>
        <w:t>本年度我校支出确保了工资及离退休费的及时足额发放、确保了各项社会保障费用和职工住房公积金及时足额缴纳、确保了机构的正常运转。单位财务基础工作较为扎实，管理较为规范，较好地完成了2020年各项工作目标任务。</w:t>
      </w:r>
    </w:p>
    <w:p>
      <w:pPr>
        <w:adjustRightInd w:val="0"/>
        <w:snapToGrid w:val="0"/>
        <w:spacing w:line="540" w:lineRule="exact"/>
        <w:ind w:firstLine="720"/>
        <w:rPr>
          <w:rFonts w:eastAsia="楷体_GB2312" w:cs="楷体_GB2312"/>
          <w:b/>
          <w:color w:val="000000"/>
          <w:kern w:val="0"/>
          <w:shd w:val="clear" w:color="auto" w:fill="FFFFFF"/>
          <w:lang w:val="zh-CN"/>
        </w:rPr>
      </w:pPr>
      <w:r>
        <w:rPr>
          <w:rFonts w:hint="eastAsia" w:eastAsia="楷体_GB2312" w:cs="楷体_GB2312"/>
          <w:b/>
          <w:color w:val="000000"/>
          <w:kern w:val="0"/>
          <w:shd w:val="clear" w:color="auto" w:fill="FFFFFF"/>
          <w:lang w:val="zh-CN"/>
        </w:rPr>
        <w:t>（二）存在问题</w:t>
      </w:r>
    </w:p>
    <w:p>
      <w:pPr>
        <w:adjustRightInd w:val="0"/>
        <w:snapToGrid w:val="0"/>
        <w:spacing w:line="540" w:lineRule="exact"/>
        <w:ind w:firstLine="720"/>
        <w:rPr>
          <w:rFonts w:ascii="仿宋_GB2312" w:hAnsi="仿宋_GB2312"/>
          <w:color w:val="000000"/>
          <w:szCs w:val="32"/>
        </w:rPr>
      </w:pPr>
      <w:r>
        <w:rPr>
          <w:rFonts w:hint="eastAsia" w:ascii="仿宋_GB2312" w:hAnsi="仿宋_GB2312"/>
          <w:color w:val="000000"/>
          <w:szCs w:val="32"/>
        </w:rPr>
        <w:t>1、预算编制不够明确和细化，预算编制的合理性需要提高，预算执行力度还要进一步加强。</w:t>
      </w:r>
    </w:p>
    <w:p>
      <w:pPr>
        <w:adjustRightInd w:val="0"/>
        <w:snapToGrid w:val="0"/>
        <w:spacing w:line="540" w:lineRule="exact"/>
        <w:ind w:firstLine="720"/>
        <w:rPr>
          <w:rFonts w:eastAsia="楷体_GB2312"/>
          <w:b/>
          <w:color w:val="000000"/>
          <w:kern w:val="0"/>
          <w:shd w:val="clear" w:color="auto" w:fill="FFFFFF"/>
          <w:lang w:val="zh-CN"/>
        </w:rPr>
      </w:pPr>
      <w:r>
        <w:rPr>
          <w:rFonts w:hint="eastAsia" w:ascii="仿宋_GB2312" w:hAnsi="仿宋_GB2312"/>
          <w:color w:val="000000"/>
          <w:szCs w:val="32"/>
        </w:rPr>
        <w:t>2、绩效目标工作还不够细化，执行强度有待提高。</w:t>
      </w:r>
    </w:p>
    <w:p>
      <w:pPr>
        <w:adjustRightInd w:val="0"/>
        <w:snapToGrid w:val="0"/>
        <w:spacing w:line="540" w:lineRule="exact"/>
        <w:ind w:firstLine="720"/>
        <w:rPr>
          <w:rFonts w:eastAsia="楷体_GB2312" w:cs="楷体_GB2312"/>
          <w:b/>
          <w:color w:val="000000"/>
          <w:kern w:val="0"/>
          <w:shd w:val="clear" w:color="auto" w:fill="FFFFFF"/>
          <w:lang w:val="zh-CN"/>
        </w:rPr>
      </w:pPr>
      <w:r>
        <w:rPr>
          <w:rFonts w:hint="eastAsia" w:eastAsia="楷体_GB2312" w:cs="楷体_GB2312"/>
          <w:b/>
          <w:color w:val="000000"/>
          <w:kern w:val="0"/>
          <w:shd w:val="clear" w:color="auto" w:fill="FFFFFF"/>
          <w:lang w:val="zh-CN"/>
        </w:rPr>
        <w:t>（三）改进建议</w:t>
      </w:r>
    </w:p>
    <w:p>
      <w:pPr>
        <w:adjustRightInd w:val="0"/>
        <w:snapToGrid w:val="0"/>
        <w:spacing w:line="540" w:lineRule="exact"/>
        <w:ind w:firstLine="720"/>
        <w:rPr>
          <w:rFonts w:ascii="仿宋_GB2312" w:hAnsi="仿宋_GB2312"/>
          <w:color w:val="000000"/>
          <w:szCs w:val="32"/>
        </w:rPr>
      </w:pPr>
      <w:r>
        <w:rPr>
          <w:rFonts w:hint="eastAsia" w:ascii="仿宋_GB2312" w:hAnsi="仿宋_GB2312"/>
          <w:color w:val="000000"/>
          <w:szCs w:val="32"/>
        </w:rPr>
        <w:t>对上述存在的问题及整体支出管理工作的需要，拟实施的改进措施如下：</w:t>
      </w:r>
    </w:p>
    <w:p>
      <w:pPr>
        <w:adjustRightInd w:val="0"/>
        <w:snapToGrid w:val="0"/>
        <w:spacing w:line="540" w:lineRule="exact"/>
        <w:ind w:firstLine="720"/>
        <w:rPr>
          <w:rFonts w:ascii="仿宋_GB2312" w:hAnsi="仿宋_GB2312"/>
          <w:color w:val="000000"/>
          <w:szCs w:val="32"/>
        </w:rPr>
      </w:pPr>
      <w:r>
        <w:rPr>
          <w:rFonts w:hint="eastAsia" w:ascii="仿宋_GB2312" w:hAnsi="仿宋_GB2312"/>
          <w:color w:val="000000"/>
          <w:szCs w:val="32"/>
        </w:rPr>
        <w:t>1、细化预算编制工作，认真做好预算的编制。进一步加强单位内部机构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adjustRightInd w:val="0"/>
        <w:snapToGrid w:val="0"/>
        <w:spacing w:line="540" w:lineRule="exact"/>
        <w:ind w:firstLine="720"/>
        <w:rPr>
          <w:rFonts w:ascii="仿宋_GB2312" w:hAnsi="仿宋_GB2312"/>
          <w:color w:val="000000"/>
          <w:szCs w:val="32"/>
        </w:rPr>
      </w:pPr>
      <w:r>
        <w:rPr>
          <w:rFonts w:hint="eastAsia" w:ascii="仿宋_GB2312" w:hAnsi="仿宋_GB2312"/>
          <w:color w:val="000000"/>
          <w:szCs w:val="32"/>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adjustRightInd w:val="0"/>
        <w:snapToGrid w:val="0"/>
        <w:spacing w:line="540" w:lineRule="exact"/>
        <w:ind w:firstLine="720"/>
        <w:rPr>
          <w:rFonts w:ascii="仿宋_GB2312" w:hAnsi="仿宋_GB2312"/>
          <w:color w:val="000000"/>
          <w:szCs w:val="32"/>
        </w:rPr>
      </w:pPr>
      <w:r>
        <w:rPr>
          <w:rFonts w:hint="eastAsia" w:ascii="仿宋_GB2312" w:hAnsi="仿宋_GB2312"/>
          <w:color w:val="000000"/>
          <w:szCs w:val="32"/>
        </w:rPr>
        <w:t>3、完善资产管理。严格编制政府采购年初预算和计划，规范各类资产的购置审批制度、资产采购制度、使用管理制度、资产处置和报废审批制度、资产管理岗位职责制度等，加强单位内部的资产管理工作。</w:t>
      </w:r>
    </w:p>
    <w:p>
      <w:pPr>
        <w:adjustRightInd w:val="0"/>
        <w:snapToGrid w:val="0"/>
        <w:spacing w:line="540" w:lineRule="exact"/>
        <w:ind w:firstLine="720"/>
        <w:rPr>
          <w:rFonts w:ascii="仿宋_GB2312" w:hAnsi="仿宋_GB2312"/>
          <w:color w:val="000000"/>
          <w:szCs w:val="32"/>
        </w:rPr>
      </w:pPr>
      <w:r>
        <w:rPr>
          <w:rFonts w:hint="eastAsia" w:ascii="仿宋_GB2312" w:hAnsi="仿宋_GB2312"/>
          <w:color w:val="000000"/>
          <w:szCs w:val="32"/>
        </w:rPr>
        <w:t>4、对相关人员加强培训，特别是针对《预算法》《行政事业单位会计制度》等学习培训，规范部门预算收支核算，切实提高部门预算收支管理水平。</w:t>
      </w:r>
    </w:p>
    <w:p>
      <w:pPr>
        <w:spacing w:line="320" w:lineRule="exact"/>
        <w:rPr>
          <w:rFonts w:cs="仿宋_GB2312"/>
          <w:color w:val="000000"/>
          <w:kern w:val="0"/>
        </w:rPr>
      </w:pPr>
    </w:p>
    <w:p>
      <w:pPr>
        <w:spacing w:line="320" w:lineRule="exact"/>
        <w:rPr>
          <w:rFonts w:cs="仿宋_GB2312"/>
          <w:color w:val="000000"/>
          <w:kern w:val="0"/>
        </w:rPr>
      </w:pPr>
    </w:p>
    <w:p>
      <w:pPr>
        <w:adjustRightInd w:val="0"/>
        <w:snapToGrid w:val="0"/>
        <w:spacing w:line="440" w:lineRule="exact"/>
        <w:jc w:val="right"/>
        <w:rPr>
          <w:rFonts w:cs="仿宋_GB2312"/>
          <w:color w:val="000000"/>
          <w:kern w:val="0"/>
          <w:sz w:val="36"/>
        </w:rPr>
      </w:pPr>
      <w:r>
        <w:rPr>
          <w:rFonts w:hint="eastAsia" w:cs="仿宋_GB2312"/>
          <w:color w:val="000000"/>
          <w:kern w:val="0"/>
          <w:sz w:val="36"/>
        </w:rPr>
        <w:t>自贡市自流井区飞龙峡镇漆树</w:t>
      </w:r>
      <w:r>
        <w:rPr>
          <w:rFonts w:cs="仿宋_GB2312"/>
          <w:color w:val="000000"/>
          <w:kern w:val="0"/>
          <w:sz w:val="36"/>
        </w:rPr>
        <w:t>小学校</w:t>
      </w:r>
    </w:p>
    <w:p>
      <w:pPr>
        <w:spacing w:line="580" w:lineRule="exact"/>
        <w:jc w:val="right"/>
        <w:rPr>
          <w:rFonts w:eastAsia="黑体" w:cs="黑体"/>
        </w:rPr>
      </w:pPr>
      <w:r>
        <w:rPr>
          <w:rFonts w:hint="eastAsia" w:cs="仿宋_GB2312"/>
          <w:color w:val="000000"/>
          <w:kern w:val="0"/>
        </w:rPr>
        <w:t>2021年10月1</w:t>
      </w:r>
      <w:r>
        <w:rPr>
          <w:rFonts w:cs="仿宋_GB2312"/>
          <w:color w:val="000000"/>
          <w:kern w:val="0"/>
        </w:rPr>
        <w:t>9</w:t>
      </w:r>
    </w:p>
    <w:p>
      <w:pPr>
        <w:spacing w:line="580" w:lineRule="exact"/>
        <w:jc w:val="center"/>
        <w:rPr>
          <w:rFonts w:ascii="方正小标宋简体" w:hAnsi="方正小标宋简体" w:eastAsia="方正小标宋简体" w:cs="方正小标宋简体"/>
          <w:sz w:val="44"/>
          <w:szCs w:val="44"/>
        </w:rPr>
      </w:pPr>
    </w:p>
    <w:p>
      <w:pPr>
        <w:spacing w:line="580" w:lineRule="exact"/>
        <w:jc w:val="center"/>
        <w:rPr>
          <w:rFonts w:hint="eastAsia" w:ascii="方正小标宋简体" w:hAnsi="方正小标宋简体" w:eastAsia="方正小标宋简体" w:cs="方正小标宋简体"/>
          <w:sz w:val="44"/>
          <w:szCs w:val="44"/>
        </w:rPr>
      </w:pPr>
    </w:p>
    <w:p>
      <w:pPr>
        <w:spacing w:line="580" w:lineRule="exact"/>
        <w:jc w:val="center"/>
        <w:rPr>
          <w:rFonts w:hint="eastAsia" w:ascii="方正小标宋简体" w:hAnsi="方正小标宋简体" w:eastAsia="方正小标宋简体" w:cs="方正小标宋简体"/>
          <w:sz w:val="44"/>
          <w:szCs w:val="44"/>
        </w:rPr>
      </w:pPr>
    </w:p>
    <w:p>
      <w:pPr>
        <w:spacing w:line="580" w:lineRule="exact"/>
        <w:jc w:val="center"/>
        <w:rPr>
          <w:rFonts w:hint="eastAsia" w:ascii="方正小标宋简体" w:hAnsi="方正小标宋简体" w:eastAsia="方正小标宋简体" w:cs="方正小标宋简体"/>
          <w:sz w:val="44"/>
          <w:szCs w:val="44"/>
        </w:rPr>
      </w:pPr>
    </w:p>
    <w:p>
      <w:pPr>
        <w:spacing w:line="580" w:lineRule="exact"/>
        <w:jc w:val="center"/>
        <w:rPr>
          <w:rFonts w:hint="eastAsia" w:ascii="方正小标宋简体" w:hAnsi="方正小标宋简体" w:eastAsia="方正小标宋简体" w:cs="方正小标宋简体"/>
          <w:sz w:val="44"/>
          <w:szCs w:val="44"/>
        </w:rPr>
      </w:pPr>
    </w:p>
    <w:p>
      <w:pPr>
        <w:spacing w:line="580" w:lineRule="exact"/>
        <w:jc w:val="center"/>
        <w:rPr>
          <w:rFonts w:hint="eastAsia" w:ascii="方正小标宋简体" w:hAnsi="方正小标宋简体" w:eastAsia="方正小标宋简体" w:cs="方正小标宋简体"/>
          <w:sz w:val="44"/>
          <w:szCs w:val="44"/>
        </w:rPr>
      </w:pPr>
    </w:p>
    <w:p>
      <w:pPr>
        <w:spacing w:line="580" w:lineRule="exact"/>
        <w:jc w:val="center"/>
        <w:rPr>
          <w:rFonts w:hint="eastAsia" w:ascii="方正小标宋简体" w:hAnsi="方正小标宋简体" w:eastAsia="方正小标宋简体" w:cs="方正小标宋简体"/>
          <w:sz w:val="44"/>
          <w:szCs w:val="44"/>
        </w:rPr>
      </w:pPr>
    </w:p>
    <w:p>
      <w:pPr>
        <w:spacing w:line="580" w:lineRule="exact"/>
        <w:jc w:val="center"/>
        <w:rPr>
          <w:rFonts w:hint="eastAsia" w:ascii="方正小标宋简体" w:hAnsi="方正小标宋简体" w:eastAsia="方正小标宋简体" w:cs="方正小标宋简体"/>
          <w:sz w:val="44"/>
          <w:szCs w:val="44"/>
        </w:rPr>
      </w:pPr>
    </w:p>
    <w:p>
      <w:pPr>
        <w:spacing w:line="580" w:lineRule="exact"/>
        <w:jc w:val="center"/>
        <w:rPr>
          <w:rFonts w:hint="eastAsia" w:ascii="方正小标宋简体" w:hAnsi="方正小标宋简体" w:eastAsia="方正小标宋简体" w:cs="方正小标宋简体"/>
          <w:sz w:val="44"/>
          <w:szCs w:val="44"/>
        </w:rPr>
      </w:pPr>
    </w:p>
    <w:p>
      <w:pPr>
        <w:spacing w:line="580" w:lineRule="exact"/>
        <w:jc w:val="center"/>
        <w:rPr>
          <w:rFonts w:hint="eastAsia" w:ascii="方正小标宋简体" w:hAnsi="方正小标宋简体" w:eastAsia="方正小标宋简体" w:cs="方正小标宋简体"/>
          <w:sz w:val="44"/>
          <w:szCs w:val="44"/>
        </w:rPr>
      </w:pPr>
    </w:p>
    <w:p>
      <w:pPr>
        <w:spacing w:line="580" w:lineRule="exact"/>
        <w:jc w:val="center"/>
        <w:rPr>
          <w:rFonts w:hint="eastAsia" w:ascii="方正小标宋简体" w:hAnsi="方正小标宋简体" w:eastAsia="方正小标宋简体" w:cs="方正小标宋简体"/>
          <w:sz w:val="44"/>
          <w:szCs w:val="44"/>
        </w:rPr>
      </w:pPr>
    </w:p>
    <w:p>
      <w:pPr>
        <w:spacing w:line="580" w:lineRule="exact"/>
        <w:jc w:val="center"/>
        <w:rPr>
          <w:rFonts w:hint="eastAsia" w:ascii="方正小标宋简体" w:hAnsi="方正小标宋简体" w:eastAsia="方正小标宋简体" w:cs="方正小标宋简体"/>
          <w:sz w:val="44"/>
          <w:szCs w:val="44"/>
        </w:rPr>
      </w:pPr>
    </w:p>
    <w:p>
      <w:pPr>
        <w:spacing w:line="580" w:lineRule="exact"/>
        <w:outlineLvl w:val="1"/>
        <w:rPr>
          <w:rFonts w:ascii="仿宋_GB2312" w:hAnsi="仿宋_GB2312" w:cs="仿宋_GB2312"/>
          <w:color w:val="000000"/>
          <w:szCs w:val="32"/>
        </w:rPr>
      </w:pPr>
      <w:bookmarkStart w:id="61" w:name="_Toc11602"/>
      <w:r>
        <w:rPr>
          <w:rFonts w:hint="eastAsia" w:ascii="黑体" w:hAnsi="黑体" w:eastAsia="黑体" w:cs="黑体"/>
          <w:color w:val="000000"/>
          <w:szCs w:val="32"/>
        </w:rPr>
        <w:t>附件</w:t>
      </w:r>
      <w:r>
        <w:rPr>
          <w:rFonts w:ascii="黑体" w:hAnsi="黑体" w:eastAsia="黑体" w:cs="黑体"/>
          <w:color w:val="000000"/>
          <w:szCs w:val="32"/>
        </w:rPr>
        <w:t>2</w:t>
      </w:r>
      <w:bookmarkEnd w:id="61"/>
    </w:p>
    <w:p>
      <w:pPr>
        <w:spacing w:line="580" w:lineRule="exact"/>
        <w:ind w:firstLine="640" w:firstLineChars="200"/>
        <w:rPr>
          <w:rFonts w:ascii="仿宋_GB2312" w:hAnsi="仿宋_GB2312" w:cs="仿宋_GB2312"/>
          <w:color w:val="000000"/>
          <w:szCs w:val="32"/>
        </w:rPr>
      </w:pPr>
    </w:p>
    <w:p>
      <w:pPr>
        <w:spacing w:line="600" w:lineRule="exact"/>
        <w:jc w:val="center"/>
        <w:rPr>
          <w:rFonts w:hint="eastAsia" w:ascii="方正小标宋简体" w:hAnsi="宋体" w:eastAsia="方正小标宋简体"/>
          <w:color w:val="000000"/>
          <w:kern w:val="0"/>
          <w:sz w:val="44"/>
          <w:szCs w:val="44"/>
        </w:rPr>
      </w:pPr>
      <w:r>
        <w:rPr>
          <w:rFonts w:hint="eastAsia" w:ascii="方正小标宋简体" w:hAnsi="宋体" w:eastAsia="方正小标宋简体"/>
          <w:color w:val="000000"/>
          <w:kern w:val="0"/>
          <w:sz w:val="44"/>
          <w:szCs w:val="44"/>
        </w:rPr>
        <w:t>“农村中小学教学设施项目”</w:t>
      </w:r>
      <w:r>
        <w:rPr>
          <w:rFonts w:ascii="方正小标宋简体" w:hAnsi="宋体" w:eastAsia="方正小标宋简体"/>
          <w:color w:val="000000"/>
          <w:kern w:val="0"/>
          <w:sz w:val="44"/>
          <w:szCs w:val="44"/>
        </w:rPr>
        <w:t xml:space="preserve"> </w:t>
      </w:r>
    </w:p>
    <w:p>
      <w:pPr>
        <w:spacing w:line="600" w:lineRule="exact"/>
        <w:jc w:val="center"/>
        <w:rPr>
          <w:rFonts w:ascii="方正小标宋简体" w:hAnsi="宋体" w:eastAsia="方正小标宋简体"/>
          <w:color w:val="000000"/>
          <w:kern w:val="0"/>
          <w:sz w:val="44"/>
          <w:szCs w:val="44"/>
        </w:rPr>
      </w:pP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color w:val="000000"/>
          <w:szCs w:val="32"/>
          <w:lang w:val="zh-CN"/>
        </w:rPr>
      </w:pPr>
    </w:p>
    <w:p>
      <w:pPr>
        <w:adjustRightInd w:val="0"/>
        <w:snapToGrid w:val="0"/>
        <w:spacing w:line="600" w:lineRule="exact"/>
        <w:ind w:firstLine="720"/>
        <w:rPr>
          <w:rFonts w:hint="eastAsia" w:ascii="仿宋_GB2312" w:hAnsi="宋体"/>
          <w:color w:val="000000"/>
          <w:szCs w:val="32"/>
          <w:lang w:val="zh-CN"/>
        </w:rPr>
      </w:pPr>
      <w:r>
        <w:rPr>
          <w:rFonts w:hint="eastAsia" w:ascii="仿宋_GB2312" w:hAnsi="宋体"/>
          <w:color w:val="000000"/>
          <w:szCs w:val="32"/>
        </w:rPr>
        <w:t>一、</w:t>
      </w:r>
      <w:r>
        <w:rPr>
          <w:rFonts w:hint="eastAsia" w:ascii="仿宋_GB2312" w:hAnsi="宋体"/>
          <w:color w:val="000000"/>
          <w:szCs w:val="32"/>
          <w:lang w:val="zh-CN"/>
        </w:rPr>
        <w:t>项目概况</w:t>
      </w:r>
    </w:p>
    <w:p>
      <w:pPr>
        <w:adjustRightInd w:val="0"/>
        <w:snapToGrid w:val="0"/>
        <w:spacing w:line="600" w:lineRule="exact"/>
        <w:ind w:firstLine="720"/>
        <w:rPr>
          <w:rFonts w:hint="eastAsia" w:ascii="仿宋_GB2312" w:hAnsi="宋体"/>
          <w:b/>
          <w:color w:val="000000"/>
          <w:szCs w:val="32"/>
          <w:lang w:val="zh-CN"/>
        </w:rPr>
      </w:pPr>
      <w:r>
        <w:rPr>
          <w:rFonts w:hint="eastAsia" w:ascii="仿宋_GB2312" w:hAnsi="宋体"/>
          <w:b/>
          <w:color w:val="000000"/>
          <w:szCs w:val="32"/>
          <w:lang w:val="zh-CN"/>
        </w:rPr>
        <w:t>（一）项目基本情况。</w:t>
      </w:r>
    </w:p>
    <w:p>
      <w:pPr>
        <w:autoSpaceDE w:val="0"/>
        <w:autoSpaceDN w:val="0"/>
        <w:adjustRightInd w:val="0"/>
        <w:ind w:firstLine="800" w:firstLineChars="250"/>
        <w:jc w:val="left"/>
        <w:rPr>
          <w:rFonts w:hint="eastAsia" w:ascii="仿宋_GB2312" w:hAnsi="宋体"/>
          <w:color w:val="000000"/>
          <w:szCs w:val="32"/>
          <w:lang w:val="zh-CN"/>
        </w:rPr>
      </w:pPr>
      <w:r>
        <w:rPr>
          <w:rFonts w:hint="eastAsia" w:ascii="仿宋_GB2312" w:hAnsi="宋体"/>
          <w:color w:val="000000"/>
          <w:szCs w:val="32"/>
          <w:lang w:val="zh-CN"/>
        </w:rPr>
        <w:t>1．</w:t>
      </w:r>
      <w:r>
        <w:rPr>
          <w:rFonts w:hint="eastAsia" w:ascii="仿宋_GB2312" w:hAnsi="仿宋_GB2312" w:cs="仿宋_GB2312"/>
          <w:color w:val="000000"/>
          <w:szCs w:val="32"/>
        </w:rPr>
        <w:t>农村中小学教学设施项目</w:t>
      </w:r>
      <w:r>
        <w:rPr>
          <w:rFonts w:hint="eastAsia" w:ascii="仿宋_GB2312" w:hAnsi="宋体"/>
          <w:color w:val="000000"/>
          <w:szCs w:val="32"/>
          <w:lang w:val="zh-CN"/>
        </w:rPr>
        <w:t>是我校多年前的两个项目的尾款支付项目即：自贡市自流井区漆树乡中心小学校幼儿园辅助用房改造工程（基建）大型修缮的尾款、自流井区漆树乡中心小学校幼儿园新建工程（基建）房屋建筑物购建的尾款。</w:t>
      </w:r>
    </w:p>
    <w:p>
      <w:pPr>
        <w:autoSpaceDE w:val="0"/>
        <w:autoSpaceDN w:val="0"/>
        <w:adjustRightInd w:val="0"/>
        <w:jc w:val="left"/>
        <w:rPr>
          <w:rFonts w:hint="eastAsia" w:ascii="仿宋_GB2312" w:hAnsi="宋体"/>
          <w:color w:val="000000"/>
          <w:szCs w:val="32"/>
          <w:lang w:val="zh-CN"/>
        </w:rPr>
      </w:pPr>
      <w:r>
        <w:rPr>
          <w:rFonts w:hint="eastAsia" w:ascii="仿宋_GB2312" w:hAnsi="宋体"/>
          <w:color w:val="000000"/>
          <w:szCs w:val="32"/>
          <w:lang w:val="zh-CN"/>
        </w:rPr>
        <w:t xml:space="preserve">    2．</w:t>
      </w:r>
      <w:r>
        <w:rPr>
          <w:rFonts w:hint="eastAsia" w:ascii="仿宋_GB2312" w:hAnsi="仿宋_GB2312" w:cs="仿宋_GB2312"/>
          <w:color w:val="000000"/>
          <w:szCs w:val="32"/>
        </w:rPr>
        <w:t>农村中小学教学设施项目</w:t>
      </w:r>
      <w:r>
        <w:rPr>
          <w:rFonts w:hint="eastAsia" w:ascii="仿宋_GB2312" w:cs="仿宋_GB2312"/>
          <w:color w:val="000000"/>
          <w:kern w:val="0"/>
          <w:szCs w:val="32"/>
        </w:rPr>
        <w:t>资金管理办法，按照我校内控制度相关规定执行。</w:t>
      </w:r>
    </w:p>
    <w:p>
      <w:pPr>
        <w:autoSpaceDE w:val="0"/>
        <w:autoSpaceDN w:val="0"/>
        <w:adjustRightInd w:val="0"/>
        <w:jc w:val="left"/>
        <w:rPr>
          <w:rFonts w:hint="eastAsia" w:ascii="仿宋_GB2312" w:hAnsi="宋体"/>
          <w:color w:val="000000"/>
          <w:szCs w:val="32"/>
          <w:lang w:val="zh-CN"/>
        </w:rPr>
      </w:pPr>
      <w:r>
        <w:rPr>
          <w:rFonts w:hint="eastAsia" w:ascii="仿宋_GB2312" w:hAnsi="宋体"/>
          <w:color w:val="000000"/>
          <w:szCs w:val="32"/>
          <w:lang w:val="zh-CN"/>
        </w:rPr>
        <w:t xml:space="preserve">    3．</w:t>
      </w:r>
      <w:r>
        <w:rPr>
          <w:rFonts w:hint="eastAsia" w:ascii="仿宋_GB2312" w:cs="仿宋_GB2312"/>
          <w:color w:val="000000"/>
          <w:kern w:val="0"/>
          <w:szCs w:val="32"/>
        </w:rPr>
        <w:t>项目建设资金由区政府统一规划解决。</w:t>
      </w:r>
    </w:p>
    <w:p>
      <w:pPr>
        <w:adjustRightInd w:val="0"/>
        <w:snapToGrid w:val="0"/>
        <w:spacing w:line="600" w:lineRule="exact"/>
        <w:ind w:firstLine="720"/>
        <w:rPr>
          <w:rFonts w:hint="eastAsia" w:ascii="仿宋_GB2312" w:hAnsi="宋体"/>
          <w:b/>
          <w:color w:val="000000"/>
          <w:szCs w:val="32"/>
          <w:lang w:val="zh-CN"/>
        </w:rPr>
      </w:pPr>
      <w:r>
        <w:rPr>
          <w:rFonts w:hint="eastAsia" w:ascii="仿宋_GB2312" w:hAnsi="宋体"/>
          <w:b/>
          <w:color w:val="000000"/>
          <w:szCs w:val="32"/>
          <w:lang w:val="zh-CN"/>
        </w:rPr>
        <w:t>（二）项目绩效目标。</w:t>
      </w:r>
    </w:p>
    <w:p>
      <w:pPr>
        <w:adjustRightInd w:val="0"/>
        <w:snapToGrid w:val="0"/>
        <w:spacing w:line="600" w:lineRule="exact"/>
        <w:ind w:firstLine="720"/>
        <w:rPr>
          <w:rFonts w:hint="eastAsia" w:ascii="仿宋_GB2312" w:hAnsi="宋体"/>
          <w:color w:val="000000"/>
          <w:szCs w:val="32"/>
          <w:lang w:val="zh-CN"/>
        </w:rPr>
      </w:pPr>
      <w:r>
        <w:rPr>
          <w:rFonts w:hint="eastAsia" w:ascii="仿宋_GB2312" w:hAnsi="宋体"/>
          <w:color w:val="000000"/>
          <w:szCs w:val="32"/>
          <w:lang w:val="zh-CN"/>
        </w:rPr>
        <w:t>1．项目主要内容。</w:t>
      </w:r>
    </w:p>
    <w:p>
      <w:pPr>
        <w:adjustRightInd w:val="0"/>
        <w:snapToGrid w:val="0"/>
        <w:spacing w:line="600" w:lineRule="exact"/>
        <w:ind w:firstLine="720"/>
        <w:rPr>
          <w:rFonts w:hint="eastAsia" w:ascii="仿宋_GB2312" w:hAnsi="宋体"/>
          <w:color w:val="000000"/>
          <w:szCs w:val="32"/>
          <w:lang w:val="zh-CN"/>
        </w:rPr>
      </w:pPr>
      <w:r>
        <w:rPr>
          <w:rFonts w:hint="eastAsia" w:ascii="仿宋_GB2312" w:hAnsi="仿宋_GB2312" w:cs="仿宋_GB2312"/>
          <w:color w:val="000000"/>
          <w:szCs w:val="32"/>
        </w:rPr>
        <w:t>农村中小学教学设施项目</w:t>
      </w:r>
      <w:r>
        <w:rPr>
          <w:rFonts w:hint="eastAsia" w:ascii="仿宋_GB2312" w:cs="仿宋_GB2312"/>
          <w:color w:val="000000"/>
          <w:kern w:val="0"/>
          <w:szCs w:val="32"/>
        </w:rPr>
        <w:t>主要是支付我校几年前的</w:t>
      </w:r>
      <w:r>
        <w:rPr>
          <w:rFonts w:hint="eastAsia" w:ascii="仿宋_GB2312" w:hAnsi="宋体"/>
          <w:color w:val="000000"/>
          <w:szCs w:val="32"/>
          <w:lang w:val="zh-CN"/>
        </w:rPr>
        <w:t>自贡市自流井区漆树乡中心小学校幼儿园辅助用房改造工程（基建）大型修缮、自流井区漆树乡中心小学校幼儿园新建工程（基建）房屋建筑物购建的尾款。</w:t>
      </w:r>
    </w:p>
    <w:p>
      <w:pPr>
        <w:autoSpaceDE w:val="0"/>
        <w:autoSpaceDN w:val="0"/>
        <w:adjustRightInd w:val="0"/>
        <w:jc w:val="left"/>
        <w:rPr>
          <w:rFonts w:hint="eastAsia" w:ascii="仿宋_GB2312" w:cs="仿宋_GB2312"/>
          <w:color w:val="000000"/>
          <w:kern w:val="0"/>
          <w:szCs w:val="32"/>
        </w:rPr>
      </w:pPr>
      <w:r>
        <w:rPr>
          <w:rFonts w:hint="eastAsia" w:ascii="仿宋_GB2312" w:hAnsi="宋体"/>
          <w:color w:val="000000"/>
          <w:szCs w:val="32"/>
          <w:lang w:val="zh-CN"/>
        </w:rPr>
        <w:t xml:space="preserve">    2．</w:t>
      </w:r>
      <w:r>
        <w:rPr>
          <w:rFonts w:hint="eastAsia" w:ascii="仿宋_GB2312" w:cs="仿宋_GB2312"/>
          <w:color w:val="000000"/>
          <w:kern w:val="0"/>
          <w:szCs w:val="32"/>
        </w:rPr>
        <w:t>项目的目标是及时支付完我校拖欠的工程尾款，提高社会的满意度。</w:t>
      </w:r>
    </w:p>
    <w:p>
      <w:pPr>
        <w:autoSpaceDE w:val="0"/>
        <w:autoSpaceDN w:val="0"/>
        <w:adjustRightInd w:val="0"/>
        <w:jc w:val="left"/>
        <w:rPr>
          <w:rFonts w:hint="eastAsia" w:ascii="仿宋_GB2312" w:hAnsi="宋体"/>
          <w:color w:val="000000"/>
          <w:szCs w:val="32"/>
          <w:lang w:val="zh-CN"/>
        </w:rPr>
      </w:pPr>
      <w:r>
        <w:rPr>
          <w:rFonts w:hint="eastAsia" w:ascii="仿宋_GB2312" w:hAnsi="宋体"/>
          <w:color w:val="000000"/>
          <w:szCs w:val="32"/>
          <w:lang w:val="zh-CN"/>
        </w:rPr>
        <w:t xml:space="preserve">    3．项目</w:t>
      </w:r>
      <w:r>
        <w:rPr>
          <w:rFonts w:hint="eastAsia" w:ascii="仿宋_GB2312" w:cs="仿宋_GB2312"/>
          <w:color w:val="000000"/>
          <w:kern w:val="0"/>
          <w:szCs w:val="32"/>
        </w:rPr>
        <w:t>与实际相符，申报目标合理可行。</w:t>
      </w:r>
    </w:p>
    <w:p>
      <w:pPr>
        <w:adjustRightInd w:val="0"/>
        <w:snapToGrid w:val="0"/>
        <w:spacing w:line="600" w:lineRule="exact"/>
        <w:ind w:firstLine="720"/>
        <w:rPr>
          <w:rFonts w:hint="eastAsia" w:ascii="仿宋_GB2312" w:hAnsi="宋体"/>
          <w:b/>
          <w:color w:val="000000"/>
          <w:szCs w:val="32"/>
          <w:lang w:val="zh-CN"/>
        </w:rPr>
      </w:pPr>
      <w:r>
        <w:rPr>
          <w:rFonts w:hint="eastAsia" w:ascii="仿宋_GB2312" w:hAnsi="宋体"/>
          <w:b/>
          <w:color w:val="000000"/>
          <w:szCs w:val="32"/>
          <w:lang w:val="zh-CN"/>
        </w:rPr>
        <w:t>（三）项目自评步骤及方法。</w:t>
      </w:r>
    </w:p>
    <w:p>
      <w:pPr>
        <w:autoSpaceDE w:val="0"/>
        <w:autoSpaceDN w:val="0"/>
        <w:adjustRightInd w:val="0"/>
        <w:jc w:val="left"/>
        <w:rPr>
          <w:rFonts w:hint="eastAsia" w:ascii="仿宋_GB2312" w:hAnsi="宋体"/>
          <w:color w:val="000000"/>
          <w:szCs w:val="32"/>
          <w:lang w:val="zh-CN"/>
        </w:rPr>
      </w:pPr>
      <w:r>
        <w:rPr>
          <w:rFonts w:hint="eastAsia" w:ascii="华文仿宋" w:eastAsia="华文仿宋" w:cs="华文仿宋"/>
          <w:color w:val="000000"/>
          <w:kern w:val="0"/>
          <w:szCs w:val="32"/>
        </w:rPr>
        <w:t xml:space="preserve">    </w:t>
      </w:r>
      <w:r>
        <w:rPr>
          <w:rFonts w:hint="eastAsia" w:ascii="仿宋_GB2312" w:cs="华文仿宋"/>
          <w:color w:val="000000"/>
          <w:kern w:val="0"/>
          <w:szCs w:val="32"/>
        </w:rPr>
        <w:t>根据区教体局的统一部署，及时支付尾款，经费来源为一般公共财政预算拨款，项目严格按建设项目管理操作流程有序实施。资金支付严格按照财务制度支出，账务处理及时。项目完成效果好，实施后达到了预期目的，消除了校舍存在的安全隐患，增强了学校基础设施安全。</w:t>
      </w:r>
    </w:p>
    <w:p>
      <w:pPr>
        <w:adjustRightInd w:val="0"/>
        <w:snapToGrid w:val="0"/>
        <w:spacing w:line="600" w:lineRule="exact"/>
        <w:ind w:firstLine="720"/>
        <w:rPr>
          <w:rFonts w:hint="eastAsia" w:ascii="仿宋_GB2312" w:hAnsi="宋体"/>
          <w:color w:val="000000"/>
          <w:szCs w:val="32"/>
        </w:rPr>
      </w:pPr>
      <w:r>
        <w:rPr>
          <w:rFonts w:hint="eastAsia" w:ascii="仿宋_GB2312" w:hAnsi="宋体"/>
          <w:color w:val="000000"/>
          <w:szCs w:val="32"/>
        </w:rPr>
        <w:t>二、项目资金申报及使用情况</w:t>
      </w:r>
    </w:p>
    <w:p>
      <w:pPr>
        <w:adjustRightInd w:val="0"/>
        <w:snapToGrid w:val="0"/>
        <w:spacing w:line="600" w:lineRule="exact"/>
        <w:ind w:firstLine="720"/>
        <w:rPr>
          <w:rFonts w:hint="eastAsia" w:ascii="仿宋_GB2312" w:hAnsi="宋体"/>
          <w:b/>
          <w:color w:val="000000"/>
          <w:szCs w:val="32"/>
          <w:lang w:val="zh-CN"/>
        </w:rPr>
      </w:pPr>
      <w:r>
        <w:rPr>
          <w:rFonts w:hint="eastAsia" w:ascii="仿宋_GB2312" w:hAnsi="宋体"/>
          <w:b/>
          <w:color w:val="000000"/>
          <w:szCs w:val="32"/>
          <w:lang w:val="zh-CN"/>
        </w:rPr>
        <w:t>（一）项目资金申报及批复情况。</w:t>
      </w:r>
    </w:p>
    <w:p>
      <w:pPr>
        <w:autoSpaceDE w:val="0"/>
        <w:autoSpaceDN w:val="0"/>
        <w:adjustRightInd w:val="0"/>
        <w:jc w:val="left"/>
        <w:rPr>
          <w:rFonts w:ascii="仿宋_GB2312" w:cs="仿宋_GB2312"/>
          <w:color w:val="000000"/>
          <w:kern w:val="0"/>
          <w:szCs w:val="32"/>
        </w:rPr>
      </w:pPr>
      <w:r>
        <w:rPr>
          <w:rFonts w:hint="eastAsia" w:ascii="仿宋_GB2312" w:cs="仿宋_GB2312"/>
          <w:color w:val="000000"/>
          <w:kern w:val="0"/>
          <w:szCs w:val="32"/>
        </w:rPr>
        <w:t xml:space="preserve">    项目绩效评价的步骤：成立项目绩效评价小组；议定项目绩效评价实施方案；建立绩效评价工作档案；追踪绩效评价结果的应用。</w:t>
      </w:r>
    </w:p>
    <w:p>
      <w:pPr>
        <w:autoSpaceDE w:val="0"/>
        <w:autoSpaceDN w:val="0"/>
        <w:adjustRightInd w:val="0"/>
        <w:jc w:val="left"/>
        <w:rPr>
          <w:rFonts w:hint="eastAsia" w:ascii="仿宋_GB2312" w:hAnsi="宋体"/>
          <w:color w:val="000000"/>
          <w:szCs w:val="32"/>
          <w:lang w:val="zh-CN"/>
        </w:rPr>
      </w:pPr>
      <w:r>
        <w:rPr>
          <w:rFonts w:hint="eastAsia" w:ascii="仿宋_GB2312" w:cs="仿宋_GB2312"/>
          <w:color w:val="000000"/>
          <w:kern w:val="0"/>
          <w:szCs w:val="32"/>
        </w:rPr>
        <w:t xml:space="preserve">    项目绩效评价的方法：比较法；公众评判法；统计计算法；实地勘察法。</w:t>
      </w:r>
    </w:p>
    <w:p>
      <w:pPr>
        <w:adjustRightInd w:val="0"/>
        <w:snapToGrid w:val="0"/>
        <w:spacing w:line="600" w:lineRule="exact"/>
        <w:ind w:firstLine="720"/>
        <w:rPr>
          <w:rFonts w:hint="eastAsia" w:ascii="仿宋_GB2312" w:hAnsi="宋体"/>
          <w:color w:val="000000"/>
          <w:szCs w:val="32"/>
          <w:lang w:val="zh-CN"/>
        </w:rPr>
      </w:pPr>
      <w:r>
        <w:rPr>
          <w:rFonts w:hint="eastAsia" w:ascii="仿宋_GB2312" w:hAnsi="宋体"/>
          <w:b/>
          <w:color w:val="000000"/>
          <w:szCs w:val="32"/>
          <w:lang w:val="zh-CN"/>
        </w:rPr>
        <w:t>（二）资金计划、到位及使用情况。</w:t>
      </w:r>
    </w:p>
    <w:p>
      <w:pPr>
        <w:autoSpaceDE w:val="0"/>
        <w:autoSpaceDN w:val="0"/>
        <w:adjustRightInd w:val="0"/>
        <w:jc w:val="left"/>
        <w:rPr>
          <w:rFonts w:hint="eastAsia" w:ascii="仿宋_GB2312" w:hAnsi="宋体"/>
          <w:color w:val="000000"/>
          <w:szCs w:val="32"/>
          <w:lang w:val="zh-CN"/>
        </w:rPr>
      </w:pPr>
      <w:r>
        <w:rPr>
          <w:rFonts w:hint="eastAsia" w:ascii="仿宋_GB2312" w:hAnsi="宋体"/>
          <w:color w:val="000000"/>
          <w:szCs w:val="32"/>
          <w:lang w:val="zh-CN"/>
        </w:rPr>
        <w:t xml:space="preserve">    1．资金计划。</w:t>
      </w:r>
      <w:r>
        <w:rPr>
          <w:rFonts w:hint="eastAsia" w:ascii="仿宋_GB2312" w:cs="仿宋_GB2312"/>
          <w:color w:val="000000"/>
          <w:kern w:val="0"/>
          <w:szCs w:val="32"/>
        </w:rPr>
        <w:t>项目资金的申报及批复严格执行区财政局、区教体局的规定及单位内控制度。</w:t>
      </w:r>
    </w:p>
    <w:p>
      <w:pPr>
        <w:adjustRightInd w:val="0"/>
        <w:snapToGrid w:val="0"/>
        <w:spacing w:line="600" w:lineRule="exact"/>
        <w:ind w:firstLine="720"/>
        <w:rPr>
          <w:rFonts w:hint="eastAsia" w:ascii="仿宋_GB2312" w:hAnsi="宋体"/>
          <w:color w:val="000000"/>
          <w:szCs w:val="32"/>
          <w:lang w:val="zh-CN"/>
        </w:rPr>
      </w:pPr>
      <w:r>
        <w:rPr>
          <w:rFonts w:hint="eastAsia" w:ascii="仿宋_GB2312" w:hAnsi="宋体"/>
          <w:color w:val="000000"/>
          <w:szCs w:val="32"/>
          <w:lang w:val="zh-CN"/>
        </w:rPr>
        <w:t>2．资金到位。项目资金于2020年计划下达到我单位。</w:t>
      </w:r>
    </w:p>
    <w:p>
      <w:pPr>
        <w:autoSpaceDE w:val="0"/>
        <w:autoSpaceDN w:val="0"/>
        <w:adjustRightInd w:val="0"/>
        <w:jc w:val="left"/>
        <w:rPr>
          <w:rFonts w:hint="eastAsia" w:ascii="仿宋_GB2312" w:hAnsi="宋体"/>
          <w:color w:val="000000"/>
          <w:szCs w:val="32"/>
          <w:lang w:val="zh-CN"/>
        </w:rPr>
      </w:pPr>
      <w:r>
        <w:rPr>
          <w:rFonts w:hint="eastAsia" w:ascii="仿宋_GB2312" w:hAnsi="宋体"/>
          <w:color w:val="000000"/>
          <w:szCs w:val="32"/>
          <w:lang w:val="zh-CN"/>
        </w:rPr>
        <w:t xml:space="preserve">    3．资金使用。</w:t>
      </w:r>
      <w:r>
        <w:rPr>
          <w:rFonts w:hint="eastAsia" w:ascii="仿宋_GB2312" w:cs="仿宋_GB2312"/>
          <w:color w:val="000000"/>
          <w:kern w:val="0"/>
          <w:szCs w:val="32"/>
        </w:rPr>
        <w:t>项目资金严格按照预算执行，严控资金支付范围、支付标准和支付进度。</w:t>
      </w:r>
    </w:p>
    <w:p>
      <w:pPr>
        <w:adjustRightInd w:val="0"/>
        <w:snapToGrid w:val="0"/>
        <w:spacing w:line="600" w:lineRule="exact"/>
        <w:ind w:firstLine="720"/>
        <w:rPr>
          <w:rFonts w:hint="eastAsia" w:ascii="仿宋_GB2312" w:hAnsi="宋体"/>
          <w:b/>
          <w:color w:val="000000"/>
          <w:szCs w:val="32"/>
          <w:lang w:val="zh-CN"/>
        </w:rPr>
      </w:pPr>
      <w:r>
        <w:rPr>
          <w:rFonts w:hint="eastAsia" w:ascii="仿宋_GB2312" w:hAnsi="宋体"/>
          <w:b/>
          <w:color w:val="000000"/>
          <w:szCs w:val="32"/>
          <w:lang w:val="zh-CN"/>
        </w:rPr>
        <w:t>（三）项目财务管理情况。</w:t>
      </w:r>
    </w:p>
    <w:p>
      <w:pPr>
        <w:autoSpaceDE w:val="0"/>
        <w:autoSpaceDN w:val="0"/>
        <w:adjustRightInd w:val="0"/>
        <w:jc w:val="left"/>
        <w:rPr>
          <w:rFonts w:hint="eastAsia" w:ascii="仿宋_GB2312" w:hAnsi="宋体"/>
          <w:color w:val="000000"/>
          <w:szCs w:val="32"/>
          <w:lang w:val="zh-CN"/>
        </w:rPr>
      </w:pPr>
      <w:r>
        <w:rPr>
          <w:rFonts w:hint="eastAsia" w:ascii="仿宋_GB2312" w:cs="仿宋_GB2312"/>
          <w:color w:val="000000"/>
          <w:kern w:val="0"/>
          <w:szCs w:val="32"/>
        </w:rPr>
        <w:t xml:space="preserve">    单位财务管理制度健全，严格执行财务管理制度和内部控制制度，账务处理及时，会计核算规范。</w:t>
      </w:r>
    </w:p>
    <w:p>
      <w:pPr>
        <w:adjustRightInd w:val="0"/>
        <w:snapToGrid w:val="0"/>
        <w:spacing w:line="600" w:lineRule="exact"/>
        <w:ind w:firstLine="720"/>
        <w:rPr>
          <w:rFonts w:hint="eastAsia" w:ascii="仿宋_GB2312" w:hAnsi="宋体"/>
          <w:color w:val="000000"/>
          <w:szCs w:val="32"/>
        </w:rPr>
      </w:pPr>
      <w:r>
        <w:rPr>
          <w:rFonts w:hint="eastAsia" w:ascii="仿宋_GB2312" w:hAnsi="宋体"/>
          <w:color w:val="000000"/>
          <w:szCs w:val="32"/>
        </w:rPr>
        <w:t>三、项目实施及管理情况</w:t>
      </w:r>
    </w:p>
    <w:p>
      <w:pPr>
        <w:adjustRightInd w:val="0"/>
        <w:snapToGrid w:val="0"/>
        <w:spacing w:line="600" w:lineRule="exact"/>
        <w:ind w:firstLine="720"/>
        <w:rPr>
          <w:rFonts w:hint="eastAsia" w:ascii="仿宋_GB2312" w:hAnsi="宋体"/>
          <w:color w:val="000000"/>
          <w:szCs w:val="32"/>
          <w:lang w:val="zh-CN"/>
        </w:rPr>
      </w:pPr>
      <w:r>
        <w:rPr>
          <w:rFonts w:hint="eastAsia" w:ascii="仿宋_GB2312" w:hAnsi="宋体"/>
          <w:color w:val="000000"/>
          <w:szCs w:val="32"/>
          <w:lang w:val="zh-CN"/>
        </w:rPr>
        <w:t>结合项目组织实施管理办法，重点围绕以下内容进行分析评价，并对自评中发现的问题分析说明。</w:t>
      </w:r>
    </w:p>
    <w:p>
      <w:pPr>
        <w:adjustRightInd w:val="0"/>
        <w:snapToGrid w:val="0"/>
        <w:spacing w:line="600" w:lineRule="exact"/>
        <w:ind w:firstLine="720"/>
        <w:rPr>
          <w:rFonts w:hint="eastAsia" w:ascii="仿宋_GB2312" w:hAnsi="宋体"/>
          <w:b/>
          <w:color w:val="000000"/>
          <w:szCs w:val="32"/>
          <w:lang w:val="zh-CN"/>
        </w:rPr>
      </w:pPr>
      <w:r>
        <w:rPr>
          <w:rFonts w:hint="eastAsia" w:ascii="仿宋_GB2312" w:hAnsi="宋体"/>
          <w:b/>
          <w:color w:val="000000"/>
          <w:szCs w:val="32"/>
          <w:lang w:val="zh-CN"/>
        </w:rPr>
        <w:t>（一）项目组织架构及实施流程。</w:t>
      </w:r>
    </w:p>
    <w:p>
      <w:pPr>
        <w:autoSpaceDE w:val="0"/>
        <w:autoSpaceDN w:val="0"/>
        <w:adjustRightInd w:val="0"/>
        <w:jc w:val="left"/>
        <w:rPr>
          <w:rFonts w:ascii="仿宋_GB2312" w:cs="仿宋_GB2312"/>
          <w:color w:val="000000"/>
          <w:kern w:val="0"/>
          <w:szCs w:val="32"/>
        </w:rPr>
      </w:pPr>
      <w:r>
        <w:rPr>
          <w:rFonts w:hint="eastAsia" w:ascii="仿宋_GB2312" w:cs="仿宋_GB2312"/>
          <w:color w:val="000000"/>
          <w:kern w:val="0"/>
          <w:szCs w:val="32"/>
        </w:rPr>
        <w:t xml:space="preserve">    单位组织架构：项目建设小组下属预算管理人员、项目管理人员、资金管理人员、项目监督人员。成交供应商组织架构：项目经理下属技术负责人、安全负责人；技术负责人下属技术人员和相关责任人员，安全负责人下属相关安全管理人员。</w:t>
      </w:r>
    </w:p>
    <w:p>
      <w:pPr>
        <w:autoSpaceDE w:val="0"/>
        <w:autoSpaceDN w:val="0"/>
        <w:adjustRightInd w:val="0"/>
        <w:jc w:val="left"/>
        <w:rPr>
          <w:rFonts w:ascii="仿宋_GB2312" w:cs="仿宋_GB2312"/>
          <w:color w:val="000000"/>
          <w:kern w:val="0"/>
          <w:szCs w:val="32"/>
        </w:rPr>
      </w:pPr>
      <w:r>
        <w:rPr>
          <w:rFonts w:hint="eastAsia" w:ascii="仿宋_GB2312" w:cs="仿宋_GB2312"/>
          <w:color w:val="000000"/>
          <w:kern w:val="0"/>
          <w:szCs w:val="32"/>
        </w:rPr>
        <w:t xml:space="preserve">    项目实施流程：建设准备阶段、建设阶段、竣工验收阶</w:t>
      </w:r>
    </w:p>
    <w:p>
      <w:pPr>
        <w:rPr>
          <w:rFonts w:hint="eastAsia" w:ascii="仿宋_GB2312" w:hAnsi="宋体"/>
          <w:b/>
          <w:color w:val="000000"/>
          <w:szCs w:val="32"/>
          <w:lang w:val="zh-CN"/>
        </w:rPr>
      </w:pPr>
      <w:r>
        <w:rPr>
          <w:rFonts w:hint="eastAsia" w:ascii="仿宋_GB2312" w:cs="仿宋_GB2312"/>
          <w:color w:val="000000"/>
          <w:kern w:val="0"/>
          <w:szCs w:val="32"/>
        </w:rPr>
        <w:t>段。</w:t>
      </w:r>
    </w:p>
    <w:p>
      <w:pPr>
        <w:adjustRightInd w:val="0"/>
        <w:snapToGrid w:val="0"/>
        <w:spacing w:line="600" w:lineRule="exact"/>
        <w:ind w:firstLine="720"/>
        <w:rPr>
          <w:rFonts w:hint="eastAsia" w:ascii="仿宋_GB2312" w:hAnsi="宋体"/>
          <w:color w:val="000000"/>
          <w:szCs w:val="32"/>
          <w:lang w:val="zh-CN"/>
        </w:rPr>
      </w:pPr>
      <w:r>
        <w:rPr>
          <w:rFonts w:hint="eastAsia" w:ascii="仿宋_GB2312" w:hAnsi="宋体"/>
          <w:b/>
          <w:color w:val="000000"/>
          <w:szCs w:val="32"/>
          <w:lang w:val="zh-CN"/>
        </w:rPr>
        <w:t>（二）项目管理情况。</w:t>
      </w:r>
    </w:p>
    <w:p>
      <w:pPr>
        <w:autoSpaceDE w:val="0"/>
        <w:autoSpaceDN w:val="0"/>
        <w:adjustRightInd w:val="0"/>
        <w:jc w:val="left"/>
        <w:rPr>
          <w:rFonts w:hint="eastAsia" w:ascii="仿宋_GB2312" w:hAnsi="宋体"/>
          <w:color w:val="000000"/>
          <w:szCs w:val="32"/>
        </w:rPr>
      </w:pPr>
      <w:r>
        <w:rPr>
          <w:rFonts w:hint="eastAsia" w:ascii="仿宋_GB2312" w:cs="仿宋_GB2312"/>
          <w:color w:val="000000"/>
          <w:kern w:val="0"/>
          <w:szCs w:val="32"/>
        </w:rPr>
        <w:t xml:space="preserve">    后勤处根据学校项目建设需要，提出项目计划报请校长办公会审批；按照审批结果会同相关部门制定项目建议书报区教体局、区财政局审批，根据审批结果组织项目招投标确定成交供应商；教体局、后勤处会同学校相关部门组织项目实施；区教体局在实施过程中全程监督。</w:t>
      </w:r>
    </w:p>
    <w:p>
      <w:pPr>
        <w:adjustRightInd w:val="0"/>
        <w:snapToGrid w:val="0"/>
        <w:spacing w:line="600" w:lineRule="exact"/>
        <w:ind w:firstLine="720"/>
        <w:rPr>
          <w:rFonts w:hint="eastAsia" w:ascii="仿宋_GB2312" w:hAnsi="宋体"/>
          <w:color w:val="000000"/>
          <w:szCs w:val="32"/>
          <w:lang w:val="zh-CN"/>
        </w:rPr>
      </w:pPr>
      <w:r>
        <w:rPr>
          <w:rFonts w:hint="eastAsia" w:ascii="仿宋_GB2312" w:hAnsi="宋体"/>
          <w:b/>
          <w:color w:val="000000"/>
          <w:szCs w:val="32"/>
          <w:lang w:val="zh-CN"/>
        </w:rPr>
        <w:t>（三）项目监管情况。</w:t>
      </w:r>
    </w:p>
    <w:p>
      <w:pPr>
        <w:autoSpaceDE w:val="0"/>
        <w:autoSpaceDN w:val="0"/>
        <w:adjustRightInd w:val="0"/>
        <w:jc w:val="left"/>
        <w:rPr>
          <w:rFonts w:hint="eastAsia" w:ascii="仿宋_GB2312" w:hAnsi="宋体"/>
          <w:color w:val="000000"/>
          <w:szCs w:val="32"/>
          <w:lang w:val="zh-CN"/>
        </w:rPr>
      </w:pPr>
      <w:r>
        <w:rPr>
          <w:rFonts w:hint="eastAsia" w:ascii="仿宋_GB2312" w:cs="仿宋_GB2312"/>
          <w:color w:val="000000"/>
          <w:kern w:val="0"/>
          <w:szCs w:val="32"/>
        </w:rPr>
        <w:t xml:space="preserve">    我校项目建设的主管部门为区教体局，区教体局对项目立项、审批、实施、竣工验收实行全程监督。</w:t>
      </w:r>
    </w:p>
    <w:p>
      <w:pPr>
        <w:adjustRightInd w:val="0"/>
        <w:snapToGrid w:val="0"/>
        <w:spacing w:line="600" w:lineRule="exact"/>
        <w:ind w:firstLine="720"/>
        <w:rPr>
          <w:rFonts w:hint="eastAsia" w:ascii="仿宋_GB2312" w:hAnsi="宋体"/>
          <w:color w:val="000000"/>
          <w:szCs w:val="32"/>
          <w:lang w:val="zh-CN"/>
        </w:rPr>
      </w:pPr>
      <w:r>
        <w:rPr>
          <w:rFonts w:hint="eastAsia" w:ascii="仿宋_GB2312" w:hAnsi="宋体"/>
          <w:color w:val="000000"/>
          <w:szCs w:val="32"/>
        </w:rPr>
        <w:t>四、项目绩效情况</w:t>
      </w:r>
      <w:r>
        <w:rPr>
          <w:rFonts w:hint="eastAsia" w:ascii="仿宋_GB2312" w:hAnsi="宋体"/>
          <w:color w:val="000000"/>
          <w:szCs w:val="32"/>
          <w:lang w:val="zh-CN"/>
        </w:rPr>
        <w:tab/>
      </w:r>
    </w:p>
    <w:p>
      <w:pPr>
        <w:adjustRightInd w:val="0"/>
        <w:snapToGrid w:val="0"/>
        <w:spacing w:line="600" w:lineRule="exact"/>
        <w:ind w:firstLine="720"/>
        <w:rPr>
          <w:rFonts w:hint="eastAsia" w:ascii="仿宋_GB2312" w:hAnsi="宋体"/>
          <w:b/>
          <w:color w:val="000000"/>
          <w:szCs w:val="32"/>
          <w:lang w:val="zh-CN"/>
        </w:rPr>
      </w:pPr>
      <w:r>
        <w:rPr>
          <w:rFonts w:hint="eastAsia" w:ascii="仿宋_GB2312" w:hAnsi="宋体"/>
          <w:b/>
          <w:color w:val="000000"/>
          <w:szCs w:val="32"/>
          <w:lang w:val="zh-CN"/>
        </w:rPr>
        <w:t>（一）项目完成情况。</w:t>
      </w:r>
    </w:p>
    <w:p>
      <w:pPr>
        <w:autoSpaceDE w:val="0"/>
        <w:autoSpaceDN w:val="0"/>
        <w:adjustRightInd w:val="0"/>
        <w:jc w:val="left"/>
        <w:rPr>
          <w:rFonts w:hint="eastAsia" w:ascii="仿宋_GB2312" w:cs="仿宋_GB2312"/>
          <w:color w:val="000000"/>
          <w:kern w:val="0"/>
          <w:szCs w:val="32"/>
        </w:rPr>
      </w:pPr>
      <w:r>
        <w:rPr>
          <w:rFonts w:hint="eastAsia" w:ascii="仿宋_GB2312" w:cs="仿宋_GB2312"/>
          <w:color w:val="000000"/>
          <w:kern w:val="0"/>
          <w:szCs w:val="32"/>
        </w:rPr>
        <w:t xml:space="preserve">    项目绩效目标完成情况综述。项目全年预算数18.00 万元，执行数为10.56. 万元，完成预算的</w:t>
      </w:r>
      <w:r>
        <w:rPr>
          <w:rFonts w:ascii="仿宋_GB2312" w:cs="仿宋_GB2312"/>
          <w:color w:val="000000"/>
          <w:kern w:val="0"/>
          <w:szCs w:val="32"/>
        </w:rPr>
        <w:t>100%</w:t>
      </w:r>
      <w:r>
        <w:rPr>
          <w:rFonts w:hint="eastAsia" w:ascii="仿宋_GB2312" w:cs="仿宋_GB2312"/>
          <w:color w:val="000000"/>
          <w:kern w:val="0"/>
          <w:szCs w:val="32"/>
        </w:rPr>
        <w:t>。项目完了对多年项目尾款的支付。项目实施完成达到预期目标，改善了学校办学条件，增强了学校基础设施安全。为师生创造了更加舒适安全的学习、生活环境。提高了社会满意度。</w:t>
      </w:r>
    </w:p>
    <w:p>
      <w:pPr>
        <w:adjustRightInd w:val="0"/>
        <w:snapToGrid w:val="0"/>
        <w:spacing w:line="600" w:lineRule="exact"/>
        <w:ind w:firstLine="720"/>
        <w:rPr>
          <w:rFonts w:hint="eastAsia" w:ascii="仿宋_GB2312" w:hAnsi="宋体"/>
          <w:color w:val="000000"/>
          <w:szCs w:val="32"/>
        </w:rPr>
      </w:pPr>
      <w:r>
        <w:rPr>
          <w:rFonts w:hint="eastAsia" w:ascii="仿宋_GB2312" w:hAnsi="宋体"/>
          <w:color w:val="000000"/>
          <w:szCs w:val="32"/>
        </w:rPr>
        <w:t>五、评价结论及建议</w:t>
      </w:r>
    </w:p>
    <w:p>
      <w:pPr>
        <w:adjustRightInd w:val="0"/>
        <w:snapToGrid w:val="0"/>
        <w:spacing w:line="600" w:lineRule="exact"/>
        <w:ind w:firstLine="720"/>
        <w:rPr>
          <w:rFonts w:hint="eastAsia" w:ascii="仿宋_GB2312" w:hAnsi="宋体"/>
          <w:b/>
          <w:color w:val="000000"/>
          <w:szCs w:val="32"/>
          <w:lang w:val="zh-CN"/>
        </w:rPr>
      </w:pPr>
      <w:r>
        <w:rPr>
          <w:rFonts w:hint="eastAsia" w:ascii="仿宋_GB2312" w:hAnsi="宋体"/>
          <w:b/>
          <w:color w:val="000000"/>
          <w:szCs w:val="32"/>
          <w:lang w:val="zh-CN"/>
        </w:rPr>
        <w:t>（一）评价结论。</w:t>
      </w:r>
    </w:p>
    <w:p>
      <w:pPr>
        <w:autoSpaceDE w:val="0"/>
        <w:autoSpaceDN w:val="0"/>
        <w:adjustRightInd w:val="0"/>
        <w:jc w:val="left"/>
        <w:rPr>
          <w:rFonts w:hint="eastAsia" w:ascii="仿宋_GB2312" w:hAnsi="宋体"/>
          <w:color w:val="000000"/>
          <w:szCs w:val="32"/>
          <w:bdr w:val="single" w:color="auto" w:sz="4" w:space="0"/>
          <w:lang w:val="zh-CN"/>
        </w:rPr>
      </w:pPr>
      <w:r>
        <w:rPr>
          <w:rFonts w:hint="eastAsia" w:ascii="仿宋_GB2312" w:cs="仿宋_GB2312"/>
          <w:color w:val="000000"/>
          <w:kern w:val="0"/>
          <w:szCs w:val="32"/>
        </w:rPr>
        <w:t xml:space="preserve">    项目从项目申报、审批、立项、实施、竣工验收全程严格执行了区财政局、区教体局相关规定和学校内控制度的要求，全程规范合理、合规合法；财务管理制度健全，资金支付范围、标准、进度、手续合规合法，账务处理及时，会计核算规范。</w:t>
      </w:r>
    </w:p>
    <w:p>
      <w:pPr>
        <w:adjustRightInd w:val="0"/>
        <w:snapToGrid w:val="0"/>
        <w:spacing w:line="600" w:lineRule="exact"/>
        <w:ind w:firstLine="720"/>
        <w:rPr>
          <w:rFonts w:hint="eastAsia" w:ascii="仿宋_GB2312" w:hAnsi="宋体"/>
          <w:b/>
          <w:color w:val="000000"/>
          <w:szCs w:val="32"/>
          <w:lang w:val="zh-CN"/>
        </w:rPr>
      </w:pPr>
      <w:r>
        <w:rPr>
          <w:rFonts w:hint="eastAsia" w:ascii="仿宋_GB2312" w:hAnsi="宋体"/>
          <w:b/>
          <w:color w:val="000000"/>
          <w:szCs w:val="32"/>
          <w:lang w:val="zh-CN"/>
        </w:rPr>
        <w:t>（二）存在的问题。</w:t>
      </w:r>
    </w:p>
    <w:p>
      <w:pPr>
        <w:adjustRightInd w:val="0"/>
        <w:snapToGrid w:val="0"/>
        <w:spacing w:line="600" w:lineRule="exact"/>
        <w:ind w:firstLine="640" w:firstLineChars="200"/>
        <w:rPr>
          <w:rFonts w:hint="eastAsia" w:ascii="仿宋_GB2312" w:hAnsi="宋体"/>
          <w:color w:val="000000"/>
          <w:szCs w:val="32"/>
          <w:lang w:val="zh-CN"/>
        </w:rPr>
      </w:pPr>
      <w:r>
        <w:rPr>
          <w:rFonts w:hint="eastAsia" w:ascii="仿宋_GB2312" w:cs="仿宋_GB2312"/>
          <w:color w:val="000000"/>
          <w:kern w:val="0"/>
          <w:szCs w:val="32"/>
        </w:rPr>
        <w:t>项目资金不足，未按照合同及时支付。</w:t>
      </w:r>
      <w:r>
        <w:rPr>
          <w:rFonts w:hint="eastAsia" w:ascii="仿宋_GB2312" w:hAnsi="宋体"/>
          <w:color w:val="000000"/>
          <w:szCs w:val="32"/>
          <w:lang w:val="zh-CN"/>
        </w:rPr>
        <w:tab/>
      </w:r>
    </w:p>
    <w:p>
      <w:pPr>
        <w:adjustRightInd w:val="0"/>
        <w:snapToGrid w:val="0"/>
        <w:spacing w:line="600" w:lineRule="exact"/>
        <w:ind w:firstLine="720"/>
        <w:rPr>
          <w:rFonts w:hint="eastAsia" w:ascii="仿宋_GB2312" w:hAnsi="宋体"/>
          <w:b/>
          <w:color w:val="000000"/>
          <w:szCs w:val="32"/>
          <w:lang w:val="zh-CN"/>
        </w:rPr>
      </w:pPr>
      <w:r>
        <w:rPr>
          <w:rFonts w:hint="eastAsia" w:ascii="仿宋_GB2312" w:hAnsi="宋体"/>
          <w:b/>
          <w:color w:val="000000"/>
          <w:szCs w:val="32"/>
          <w:lang w:val="zh-CN"/>
        </w:rPr>
        <w:t>（三）相关建议。</w:t>
      </w:r>
    </w:p>
    <w:p>
      <w:pPr>
        <w:adjustRightInd w:val="0"/>
        <w:snapToGrid w:val="0"/>
        <w:spacing w:line="600" w:lineRule="exact"/>
        <w:ind w:firstLine="640" w:firstLineChars="200"/>
        <w:rPr>
          <w:rFonts w:hint="eastAsia" w:ascii="仿宋_GB2312" w:hAnsi="宋体"/>
          <w:color w:val="000000"/>
          <w:szCs w:val="32"/>
          <w:lang w:val="zh-CN"/>
        </w:rPr>
      </w:pPr>
      <w:r>
        <w:rPr>
          <w:rFonts w:hint="eastAsia" w:ascii="仿宋_GB2312" w:cs="仿宋_GB2312"/>
          <w:color w:val="000000"/>
          <w:kern w:val="0"/>
          <w:szCs w:val="32"/>
        </w:rPr>
        <w:t>及时申报资金计划，严格执行合同。</w:t>
      </w:r>
    </w:p>
    <w:p>
      <w:pPr>
        <w:spacing w:line="580" w:lineRule="exact"/>
        <w:jc w:val="center"/>
        <w:rPr>
          <w:rFonts w:ascii="方正小标宋简体" w:hAnsi="方正小标宋简体" w:eastAsia="方正小标宋简体" w:cs="方正小标宋简体"/>
          <w:sz w:val="44"/>
          <w:szCs w:val="44"/>
        </w:rPr>
      </w:pPr>
    </w:p>
    <w:p>
      <w:pPr>
        <w:spacing w:line="580" w:lineRule="exact"/>
        <w:jc w:val="center"/>
        <w:rPr>
          <w:rFonts w:ascii="方正小标宋简体" w:hAnsi="方正小标宋简体" w:eastAsia="方正小标宋简体" w:cs="方正小标宋简体"/>
          <w:sz w:val="44"/>
          <w:szCs w:val="44"/>
        </w:rPr>
      </w:pPr>
    </w:p>
    <w:p>
      <w:pPr>
        <w:spacing w:line="580" w:lineRule="exact"/>
        <w:jc w:val="center"/>
        <w:rPr>
          <w:rFonts w:ascii="方正小标宋简体" w:hAnsi="方正小标宋简体" w:eastAsia="方正小标宋简体" w:cs="方正小标宋简体"/>
          <w:sz w:val="44"/>
          <w:szCs w:val="44"/>
        </w:rPr>
      </w:pPr>
    </w:p>
    <w:p>
      <w:pPr>
        <w:spacing w:line="580" w:lineRule="exact"/>
        <w:jc w:val="center"/>
        <w:rPr>
          <w:rFonts w:ascii="方正小标宋简体" w:hAnsi="方正小标宋简体" w:eastAsia="方正小标宋简体" w:cs="方正小标宋简体"/>
          <w:sz w:val="44"/>
          <w:szCs w:val="44"/>
        </w:rPr>
      </w:pPr>
    </w:p>
    <w:p>
      <w:pPr>
        <w:spacing w:line="580" w:lineRule="exact"/>
        <w:jc w:val="center"/>
        <w:rPr>
          <w:rFonts w:ascii="方正小标宋简体" w:hAnsi="方正小标宋简体" w:eastAsia="方正小标宋简体" w:cs="方正小标宋简体"/>
          <w:sz w:val="44"/>
          <w:szCs w:val="44"/>
        </w:rPr>
      </w:pPr>
    </w:p>
    <w:p>
      <w:pPr>
        <w:spacing w:line="580" w:lineRule="exact"/>
        <w:rPr>
          <w:rFonts w:ascii="方正小标宋简体" w:hAnsi="方正小标宋简体" w:eastAsia="方正小标宋简体" w:cs="方正小标宋简体"/>
          <w:sz w:val="44"/>
          <w:szCs w:val="44"/>
        </w:rPr>
      </w:pPr>
    </w:p>
    <w:p>
      <w:pPr>
        <w:spacing w:line="600" w:lineRule="exact"/>
        <w:jc w:val="center"/>
        <w:outlineLvl w:val="0"/>
        <w:rPr>
          <w:rFonts w:ascii="黑体" w:hAnsi="黑体" w:eastAsia="黑体"/>
          <w:bCs/>
          <w:kern w:val="44"/>
          <w:sz w:val="44"/>
          <w:szCs w:val="44"/>
        </w:rPr>
      </w:pPr>
      <w:bookmarkStart w:id="62" w:name="_Toc15396618"/>
      <w:bookmarkStart w:id="63" w:name="_Toc32283"/>
      <w:r>
        <w:rPr>
          <w:rFonts w:hint="eastAsia" w:ascii="黑体" w:hAnsi="黑体" w:eastAsia="黑体"/>
          <w:color w:val="000000"/>
          <w:sz w:val="44"/>
          <w:szCs w:val="44"/>
        </w:rPr>
        <w:t>第</w:t>
      </w:r>
      <w:r>
        <w:rPr>
          <w:rStyle w:val="14"/>
          <w:rFonts w:hint="eastAsia" w:ascii="黑体" w:hAnsi="黑体" w:eastAsia="黑体"/>
          <w:b w:val="0"/>
        </w:rPr>
        <w:t>五部分</w:t>
      </w:r>
      <w:r>
        <w:rPr>
          <w:rStyle w:val="14"/>
          <w:rFonts w:ascii="黑体" w:hAnsi="黑体" w:eastAsia="黑体"/>
          <w:b w:val="0"/>
        </w:rPr>
        <w:t xml:space="preserve"> </w:t>
      </w:r>
      <w:r>
        <w:rPr>
          <w:rStyle w:val="14"/>
          <w:rFonts w:hint="eastAsia" w:ascii="黑体" w:hAnsi="黑体" w:eastAsia="黑体"/>
          <w:b w:val="0"/>
        </w:rPr>
        <w:t>附表</w:t>
      </w:r>
      <w:bookmarkEnd w:id="60"/>
      <w:bookmarkEnd w:id="62"/>
      <w:bookmarkEnd w:id="63"/>
    </w:p>
    <w:p>
      <w:pPr>
        <w:pStyle w:val="3"/>
        <w:rPr>
          <w:rFonts w:ascii="仿宋" w:hAnsi="仿宋" w:eastAsia="仿宋"/>
          <w:color w:val="000000"/>
        </w:rPr>
      </w:pPr>
      <w:bookmarkStart w:id="64" w:name="_Toc15396619"/>
      <w:bookmarkStart w:id="65" w:name="_Toc15699"/>
      <w:r>
        <w:rPr>
          <w:rFonts w:hint="eastAsia" w:ascii="仿宋" w:hAnsi="仿宋" w:eastAsia="仿宋"/>
          <w:b w:val="0"/>
          <w:color w:val="000000"/>
        </w:rPr>
        <w:t>一、收</w:t>
      </w:r>
      <w:r>
        <w:rPr>
          <w:rStyle w:val="15"/>
          <w:rFonts w:hint="eastAsia" w:ascii="仿宋" w:hAnsi="仿宋" w:eastAsia="仿宋"/>
          <w:b w:val="0"/>
          <w:bCs w:val="0"/>
        </w:rPr>
        <w:t>入支出决算总表</w:t>
      </w:r>
      <w:bookmarkEnd w:id="64"/>
      <w:bookmarkEnd w:id="65"/>
    </w:p>
    <w:p>
      <w:pPr>
        <w:pStyle w:val="3"/>
        <w:rPr>
          <w:rFonts w:ascii="仿宋" w:hAnsi="仿宋" w:eastAsia="仿宋"/>
          <w:color w:val="000000"/>
        </w:rPr>
      </w:pPr>
      <w:bookmarkStart w:id="66" w:name="_Toc15396620"/>
      <w:bookmarkStart w:id="67" w:name="_Toc27106"/>
      <w:r>
        <w:rPr>
          <w:rFonts w:hint="eastAsia" w:ascii="仿宋" w:hAnsi="仿宋" w:eastAsia="仿宋"/>
          <w:b w:val="0"/>
          <w:color w:val="000000"/>
        </w:rPr>
        <w:t>二、收</w:t>
      </w:r>
      <w:r>
        <w:rPr>
          <w:rStyle w:val="15"/>
          <w:rFonts w:hint="eastAsia" w:ascii="仿宋" w:hAnsi="仿宋" w:eastAsia="仿宋"/>
          <w:b w:val="0"/>
          <w:bCs w:val="0"/>
        </w:rPr>
        <w:t>入决算表</w:t>
      </w:r>
      <w:bookmarkEnd w:id="66"/>
      <w:bookmarkEnd w:id="67"/>
      <w:bookmarkStart w:id="90" w:name="_GoBack"/>
      <w:bookmarkEnd w:id="90"/>
    </w:p>
    <w:p>
      <w:pPr>
        <w:pStyle w:val="3"/>
        <w:rPr>
          <w:rFonts w:ascii="仿宋" w:hAnsi="仿宋" w:eastAsia="仿宋"/>
          <w:color w:val="000000"/>
        </w:rPr>
      </w:pPr>
      <w:bookmarkStart w:id="68" w:name="_Toc26817"/>
      <w:bookmarkStart w:id="69" w:name="_Toc15396621"/>
      <w:r>
        <w:rPr>
          <w:rStyle w:val="15"/>
          <w:rFonts w:hint="eastAsia" w:ascii="仿宋" w:hAnsi="仿宋" w:eastAsia="仿宋"/>
          <w:b w:val="0"/>
          <w:bCs w:val="0"/>
        </w:rPr>
        <w:t>三、</w:t>
      </w:r>
      <w:r>
        <w:rPr>
          <w:rFonts w:hint="eastAsia" w:ascii="仿宋" w:hAnsi="仿宋" w:eastAsia="仿宋"/>
          <w:b w:val="0"/>
          <w:color w:val="000000"/>
        </w:rPr>
        <w:t>支</w:t>
      </w:r>
      <w:r>
        <w:rPr>
          <w:rStyle w:val="15"/>
          <w:rFonts w:hint="eastAsia" w:ascii="仿宋" w:hAnsi="仿宋" w:eastAsia="仿宋"/>
          <w:b w:val="0"/>
          <w:bCs w:val="0"/>
        </w:rPr>
        <w:t>出决算表</w:t>
      </w:r>
      <w:bookmarkEnd w:id="68"/>
      <w:bookmarkEnd w:id="69"/>
    </w:p>
    <w:p>
      <w:pPr>
        <w:pStyle w:val="3"/>
        <w:rPr>
          <w:rFonts w:ascii="仿宋" w:hAnsi="仿宋" w:eastAsia="仿宋"/>
          <w:b w:val="0"/>
          <w:color w:val="000000"/>
        </w:rPr>
      </w:pPr>
      <w:bookmarkStart w:id="70" w:name="_Toc21747"/>
      <w:bookmarkStart w:id="71" w:name="_Toc15396622"/>
      <w:r>
        <w:rPr>
          <w:rStyle w:val="15"/>
          <w:rFonts w:hint="eastAsia" w:ascii="仿宋" w:hAnsi="仿宋" w:eastAsia="仿宋"/>
          <w:b w:val="0"/>
          <w:bCs w:val="0"/>
        </w:rPr>
        <w:t>四、</w:t>
      </w:r>
      <w:r>
        <w:rPr>
          <w:rFonts w:hint="eastAsia" w:ascii="仿宋" w:hAnsi="仿宋" w:eastAsia="仿宋"/>
          <w:b w:val="0"/>
          <w:color w:val="000000"/>
        </w:rPr>
        <w:t>财</w:t>
      </w:r>
      <w:r>
        <w:rPr>
          <w:rStyle w:val="15"/>
          <w:rFonts w:hint="eastAsia" w:ascii="仿宋" w:hAnsi="仿宋" w:eastAsia="仿宋"/>
          <w:b w:val="0"/>
          <w:bCs w:val="0"/>
        </w:rPr>
        <w:t>政拨款收入支出决算总表</w:t>
      </w:r>
      <w:bookmarkEnd w:id="70"/>
      <w:bookmarkEnd w:id="71"/>
    </w:p>
    <w:p>
      <w:pPr>
        <w:pStyle w:val="3"/>
        <w:rPr>
          <w:rStyle w:val="15"/>
          <w:rFonts w:ascii="仿宋" w:hAnsi="仿宋" w:eastAsia="仿宋"/>
          <w:b w:val="0"/>
          <w:bCs w:val="0"/>
        </w:rPr>
      </w:pPr>
      <w:bookmarkStart w:id="72" w:name="_Toc12959"/>
      <w:bookmarkStart w:id="73" w:name="_Toc15396623"/>
      <w:r>
        <w:rPr>
          <w:rStyle w:val="15"/>
          <w:rFonts w:hint="eastAsia" w:ascii="仿宋" w:hAnsi="仿宋" w:eastAsia="仿宋"/>
          <w:b w:val="0"/>
          <w:bCs w:val="0"/>
        </w:rPr>
        <w:t>五、</w:t>
      </w:r>
      <w:r>
        <w:rPr>
          <w:rFonts w:hint="eastAsia" w:ascii="仿宋" w:hAnsi="仿宋" w:eastAsia="仿宋"/>
          <w:b w:val="0"/>
          <w:color w:val="000000"/>
        </w:rPr>
        <w:t>财</w:t>
      </w:r>
      <w:r>
        <w:rPr>
          <w:rStyle w:val="15"/>
          <w:rFonts w:hint="eastAsia" w:ascii="仿宋" w:hAnsi="仿宋" w:eastAsia="仿宋"/>
          <w:b w:val="0"/>
          <w:bCs w:val="0"/>
        </w:rPr>
        <w:t>政拨款支出决算明细表</w:t>
      </w:r>
      <w:bookmarkEnd w:id="72"/>
      <w:bookmarkEnd w:id="73"/>
      <w:bookmarkStart w:id="74" w:name="_Toc15396624"/>
    </w:p>
    <w:p>
      <w:pPr>
        <w:pStyle w:val="3"/>
        <w:rPr>
          <w:rFonts w:ascii="仿宋" w:hAnsi="仿宋" w:eastAsia="仿宋"/>
          <w:color w:val="000000"/>
        </w:rPr>
      </w:pPr>
      <w:bookmarkStart w:id="75" w:name="_Toc23749"/>
      <w:r>
        <w:rPr>
          <w:rStyle w:val="15"/>
          <w:rFonts w:hint="eastAsia" w:ascii="仿宋" w:hAnsi="仿宋" w:eastAsia="仿宋"/>
          <w:b w:val="0"/>
          <w:bCs w:val="0"/>
        </w:rPr>
        <w:t>六、</w:t>
      </w:r>
      <w:r>
        <w:rPr>
          <w:rFonts w:hint="eastAsia" w:ascii="仿宋" w:hAnsi="仿宋" w:eastAsia="仿宋"/>
          <w:b w:val="0"/>
          <w:color w:val="000000"/>
        </w:rPr>
        <w:t>一</w:t>
      </w:r>
      <w:r>
        <w:rPr>
          <w:rStyle w:val="15"/>
          <w:rFonts w:hint="eastAsia" w:ascii="仿宋" w:hAnsi="仿宋" w:eastAsia="仿宋"/>
          <w:b w:val="0"/>
          <w:bCs w:val="0"/>
        </w:rPr>
        <w:t>般公共预算财政拨款支出决算表</w:t>
      </w:r>
      <w:bookmarkEnd w:id="74"/>
      <w:bookmarkEnd w:id="75"/>
    </w:p>
    <w:p>
      <w:pPr>
        <w:pStyle w:val="3"/>
        <w:rPr>
          <w:rFonts w:ascii="仿宋" w:hAnsi="仿宋" w:eastAsia="仿宋"/>
          <w:color w:val="000000"/>
        </w:rPr>
      </w:pPr>
      <w:bookmarkStart w:id="76" w:name="_Toc15396625"/>
      <w:bookmarkStart w:id="77" w:name="_Toc22275"/>
      <w:r>
        <w:rPr>
          <w:rStyle w:val="15"/>
          <w:rFonts w:hint="eastAsia" w:ascii="仿宋" w:hAnsi="仿宋" w:eastAsia="仿宋"/>
          <w:b w:val="0"/>
          <w:bCs w:val="0"/>
        </w:rPr>
        <w:t>七、</w:t>
      </w:r>
      <w:r>
        <w:rPr>
          <w:rFonts w:hint="eastAsia" w:ascii="仿宋" w:hAnsi="仿宋" w:eastAsia="仿宋"/>
          <w:b w:val="0"/>
          <w:color w:val="000000"/>
        </w:rPr>
        <w:t>一</w:t>
      </w:r>
      <w:r>
        <w:rPr>
          <w:rStyle w:val="15"/>
          <w:rFonts w:hint="eastAsia" w:ascii="仿宋" w:hAnsi="仿宋" w:eastAsia="仿宋"/>
          <w:b w:val="0"/>
          <w:bCs w:val="0"/>
        </w:rPr>
        <w:t>般公共预算财政拨款支出决算明细表</w:t>
      </w:r>
      <w:bookmarkEnd w:id="76"/>
      <w:bookmarkEnd w:id="77"/>
    </w:p>
    <w:p>
      <w:pPr>
        <w:pStyle w:val="3"/>
        <w:rPr>
          <w:rFonts w:ascii="仿宋" w:hAnsi="仿宋" w:eastAsia="仿宋"/>
          <w:color w:val="000000"/>
        </w:rPr>
      </w:pPr>
      <w:bookmarkStart w:id="78" w:name="_Toc30634"/>
      <w:bookmarkStart w:id="79" w:name="_Toc15396626"/>
      <w:r>
        <w:rPr>
          <w:rStyle w:val="15"/>
          <w:rFonts w:hint="eastAsia" w:ascii="仿宋" w:hAnsi="仿宋" w:eastAsia="仿宋"/>
          <w:b w:val="0"/>
          <w:bCs w:val="0"/>
        </w:rPr>
        <w:t>八、</w:t>
      </w:r>
      <w:r>
        <w:rPr>
          <w:rFonts w:hint="eastAsia" w:ascii="仿宋" w:hAnsi="仿宋" w:eastAsia="仿宋"/>
          <w:b w:val="0"/>
          <w:color w:val="000000"/>
        </w:rPr>
        <w:t>一</w:t>
      </w:r>
      <w:r>
        <w:rPr>
          <w:rStyle w:val="15"/>
          <w:rFonts w:hint="eastAsia" w:ascii="仿宋" w:hAnsi="仿宋" w:eastAsia="仿宋"/>
          <w:b w:val="0"/>
          <w:bCs w:val="0"/>
        </w:rPr>
        <w:t>般公共预算财政拨款基本支出决算表</w:t>
      </w:r>
      <w:bookmarkEnd w:id="78"/>
      <w:bookmarkEnd w:id="79"/>
    </w:p>
    <w:p>
      <w:pPr>
        <w:pStyle w:val="3"/>
        <w:rPr>
          <w:rFonts w:ascii="仿宋" w:hAnsi="仿宋" w:eastAsia="仿宋"/>
          <w:color w:val="000000"/>
        </w:rPr>
      </w:pPr>
      <w:bookmarkStart w:id="80" w:name="_Toc15170"/>
      <w:bookmarkStart w:id="81" w:name="_Toc15396627"/>
      <w:r>
        <w:rPr>
          <w:rStyle w:val="15"/>
          <w:rFonts w:hint="eastAsia" w:ascii="仿宋" w:hAnsi="仿宋" w:eastAsia="仿宋"/>
          <w:b w:val="0"/>
          <w:bCs w:val="0"/>
        </w:rPr>
        <w:t>九、</w:t>
      </w:r>
      <w:r>
        <w:rPr>
          <w:rFonts w:hint="eastAsia" w:ascii="仿宋" w:hAnsi="仿宋" w:eastAsia="仿宋"/>
          <w:b w:val="0"/>
          <w:color w:val="000000"/>
        </w:rPr>
        <w:t>一</w:t>
      </w:r>
      <w:r>
        <w:rPr>
          <w:rStyle w:val="15"/>
          <w:rFonts w:hint="eastAsia" w:ascii="仿宋" w:hAnsi="仿宋" w:eastAsia="仿宋"/>
          <w:b w:val="0"/>
          <w:bCs w:val="0"/>
        </w:rPr>
        <w:t>般公共预算财政拨款项目支出决算表</w:t>
      </w:r>
      <w:bookmarkEnd w:id="80"/>
      <w:bookmarkEnd w:id="81"/>
    </w:p>
    <w:p>
      <w:pPr>
        <w:pStyle w:val="3"/>
        <w:spacing w:line="360" w:lineRule="auto"/>
        <w:rPr>
          <w:rFonts w:ascii="仿宋" w:hAnsi="仿宋" w:eastAsia="仿宋"/>
          <w:color w:val="000000"/>
        </w:rPr>
      </w:pPr>
      <w:bookmarkStart w:id="82" w:name="_Toc17603"/>
      <w:bookmarkStart w:id="83" w:name="_Toc15396628"/>
      <w:r>
        <w:rPr>
          <w:rStyle w:val="15"/>
          <w:rFonts w:hint="eastAsia" w:ascii="仿宋" w:hAnsi="仿宋" w:eastAsia="仿宋"/>
          <w:b w:val="0"/>
          <w:bCs w:val="0"/>
        </w:rPr>
        <w:t>十、</w:t>
      </w:r>
      <w:r>
        <w:rPr>
          <w:rFonts w:hint="eastAsia" w:ascii="仿宋" w:hAnsi="仿宋" w:eastAsia="仿宋"/>
          <w:b w:val="0"/>
          <w:color w:val="000000"/>
        </w:rPr>
        <w:t>一</w:t>
      </w:r>
      <w:r>
        <w:rPr>
          <w:rStyle w:val="15"/>
          <w:rFonts w:hint="eastAsia" w:ascii="仿宋" w:hAnsi="仿宋" w:eastAsia="仿宋"/>
          <w:b w:val="0"/>
          <w:bCs w:val="0"/>
        </w:rPr>
        <w:t>般公共预算财政拨款“三公”经费支出决算表</w:t>
      </w:r>
      <w:bookmarkEnd w:id="82"/>
      <w:bookmarkEnd w:id="83"/>
    </w:p>
    <w:p>
      <w:pPr>
        <w:pStyle w:val="3"/>
        <w:spacing w:line="360" w:lineRule="auto"/>
        <w:rPr>
          <w:rFonts w:ascii="仿宋" w:hAnsi="仿宋" w:eastAsia="仿宋"/>
          <w:color w:val="000000"/>
        </w:rPr>
      </w:pPr>
      <w:bookmarkStart w:id="84" w:name="_Toc7313"/>
      <w:bookmarkStart w:id="85" w:name="_Toc15396629"/>
      <w:r>
        <w:rPr>
          <w:rStyle w:val="15"/>
          <w:rFonts w:hint="eastAsia" w:ascii="仿宋" w:hAnsi="仿宋" w:eastAsia="仿宋"/>
          <w:b w:val="0"/>
          <w:bCs w:val="0"/>
        </w:rPr>
        <w:t>十一、</w:t>
      </w:r>
      <w:r>
        <w:rPr>
          <w:rFonts w:hint="eastAsia" w:ascii="仿宋" w:hAnsi="仿宋" w:eastAsia="仿宋"/>
          <w:b w:val="0"/>
          <w:color w:val="000000"/>
        </w:rPr>
        <w:t>政</w:t>
      </w:r>
      <w:r>
        <w:rPr>
          <w:rStyle w:val="15"/>
          <w:rFonts w:hint="eastAsia" w:ascii="仿宋" w:hAnsi="仿宋" w:eastAsia="仿宋"/>
          <w:b w:val="0"/>
          <w:bCs w:val="0"/>
        </w:rPr>
        <w:t>府性基金预算财政拨款收入支出决算表</w:t>
      </w:r>
      <w:bookmarkEnd w:id="84"/>
      <w:bookmarkEnd w:id="85"/>
    </w:p>
    <w:p>
      <w:pPr>
        <w:pStyle w:val="3"/>
        <w:rPr>
          <w:rFonts w:ascii="仿宋" w:hAnsi="仿宋" w:eastAsia="仿宋"/>
          <w:b w:val="0"/>
          <w:color w:val="000000"/>
        </w:rPr>
      </w:pPr>
      <w:bookmarkStart w:id="86" w:name="_Toc15396630"/>
      <w:bookmarkStart w:id="87" w:name="_Toc9382"/>
      <w:r>
        <w:rPr>
          <w:rFonts w:hint="eastAsia" w:ascii="仿宋" w:hAnsi="仿宋" w:eastAsia="仿宋"/>
          <w:b w:val="0"/>
          <w:color w:val="000000"/>
        </w:rPr>
        <w:t>十二、政府性基金预算财政拨款“三公”经费支出决算表</w:t>
      </w:r>
      <w:bookmarkEnd w:id="86"/>
      <w:bookmarkEnd w:id="87"/>
    </w:p>
    <w:p>
      <w:pPr>
        <w:pStyle w:val="3"/>
        <w:rPr>
          <w:rFonts w:ascii="仿宋" w:hAnsi="仿宋" w:eastAsia="仿宋"/>
          <w:b w:val="0"/>
          <w:color w:val="000000"/>
        </w:rPr>
      </w:pPr>
      <w:bookmarkStart w:id="88" w:name="_Toc22683"/>
      <w:r>
        <w:rPr>
          <w:rFonts w:hint="eastAsia" w:ascii="仿宋" w:hAnsi="仿宋" w:eastAsia="仿宋"/>
          <w:b w:val="0"/>
          <w:color w:val="000000"/>
        </w:rPr>
        <w:t>十三、国有资本经营预算财政拨款收入支出决算表</w:t>
      </w:r>
      <w:bookmarkEnd w:id="88"/>
    </w:p>
    <w:p>
      <w:pPr>
        <w:pStyle w:val="3"/>
        <w:rPr>
          <w:rFonts w:ascii="仿宋" w:hAnsi="仿宋" w:eastAsia="仿宋"/>
          <w:b w:val="0"/>
          <w:color w:val="000000"/>
        </w:rPr>
      </w:pPr>
      <w:bookmarkStart w:id="89" w:name="_Toc10257"/>
      <w:r>
        <w:rPr>
          <w:rFonts w:hint="eastAsia" w:ascii="仿宋" w:hAnsi="仿宋" w:eastAsia="仿宋"/>
          <w:b w:val="0"/>
          <w:color w:val="000000"/>
        </w:rPr>
        <w:t>十四、国有资本经营预算财政拨款支出决算表</w:t>
      </w:r>
      <w:bookmarkEnd w:id="89"/>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宋体"/>
    <w:panose1 w:val="00000000000000000000"/>
    <w:charset w:val="86"/>
    <w:family w:val="auto"/>
    <w:pitch w:val="default"/>
    <w:sig w:usb0="00000000" w:usb1="00000000" w:usb2="00000016" w:usb3="00000000" w:csb0="0004000F" w:csb1="00000000"/>
  </w:font>
  <w:font w:name="方正小标宋简体">
    <w:altName w:val="黑体"/>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8961681"/>
      <w:docPartObj>
        <w:docPartGallery w:val="autotext"/>
      </w:docPartObj>
    </w:sdtPr>
    <w:sdtContent>
      <w:p>
        <w:pPr>
          <w:pStyle w:val="6"/>
          <w:jc w:val="center"/>
        </w:pPr>
        <w:r>
          <w:fldChar w:fldCharType="begin"/>
        </w:r>
        <w:r>
          <w:instrText xml:space="preserve">PAGE   \* MERGEFORMAT</w:instrText>
        </w:r>
        <w:r>
          <w:fldChar w:fldCharType="separate"/>
        </w:r>
        <w:r>
          <w:rPr>
            <w:lang w:val="zh-CN"/>
          </w:rPr>
          <w:t>2</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lang w:val="en-US"/>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yZjhjMDljN2ZmZDI4MDM1OTczNmZkYWIwMTM0OGUifQ=="/>
  </w:docVars>
  <w:rsids>
    <w:rsidRoot w:val="6504078C"/>
    <w:rsid w:val="00047B14"/>
    <w:rsid w:val="001459E2"/>
    <w:rsid w:val="001807BB"/>
    <w:rsid w:val="001E11EA"/>
    <w:rsid w:val="001F1B26"/>
    <w:rsid w:val="00202C62"/>
    <w:rsid w:val="002A632E"/>
    <w:rsid w:val="002B54C7"/>
    <w:rsid w:val="002D002A"/>
    <w:rsid w:val="00377000"/>
    <w:rsid w:val="00382B0F"/>
    <w:rsid w:val="003C7BF9"/>
    <w:rsid w:val="003F15ED"/>
    <w:rsid w:val="00443669"/>
    <w:rsid w:val="0049325A"/>
    <w:rsid w:val="006B6CEE"/>
    <w:rsid w:val="006C0438"/>
    <w:rsid w:val="006D3E69"/>
    <w:rsid w:val="008365D2"/>
    <w:rsid w:val="00874D30"/>
    <w:rsid w:val="008E20E4"/>
    <w:rsid w:val="00944CC3"/>
    <w:rsid w:val="00974D85"/>
    <w:rsid w:val="00A160F1"/>
    <w:rsid w:val="00A348A2"/>
    <w:rsid w:val="00A7365A"/>
    <w:rsid w:val="00B46A41"/>
    <w:rsid w:val="00C355AB"/>
    <w:rsid w:val="00C64502"/>
    <w:rsid w:val="00D03E73"/>
    <w:rsid w:val="00D259F2"/>
    <w:rsid w:val="00DA4BEB"/>
    <w:rsid w:val="00E6303B"/>
    <w:rsid w:val="00E91AE9"/>
    <w:rsid w:val="00EF219E"/>
    <w:rsid w:val="00F04A7E"/>
    <w:rsid w:val="00F64B32"/>
    <w:rsid w:val="00F73F91"/>
    <w:rsid w:val="06D96529"/>
    <w:rsid w:val="0A1A23B6"/>
    <w:rsid w:val="0CC91D16"/>
    <w:rsid w:val="2AC65C17"/>
    <w:rsid w:val="3E4169FF"/>
    <w:rsid w:val="4E3A4862"/>
    <w:rsid w:val="5D3E75DF"/>
    <w:rsid w:val="6504078C"/>
    <w:rsid w:val="695535AB"/>
    <w:rsid w:val="726E3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99"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Cambria" w:hAnsi="Cambria"/>
      <w:b/>
      <w:bCs/>
      <w:szCs w:val="32"/>
    </w:rPr>
  </w:style>
  <w:style w:type="character" w:default="1" w:styleId="11">
    <w:name w:val="Default Paragraph Font"/>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Balloon Text"/>
    <w:basedOn w:val="1"/>
    <w:link w:val="18"/>
    <w:semiHidden/>
    <w:unhideWhenUsed/>
    <w:uiPriority w:val="0"/>
    <w:rPr>
      <w:sz w:val="18"/>
      <w:szCs w:val="18"/>
    </w:rPr>
  </w:style>
  <w:style w:type="paragraph" w:styleId="6">
    <w:name w:val="footer"/>
    <w:basedOn w:val="1"/>
    <w:link w:val="20"/>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link w:val="19"/>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character" w:styleId="12">
    <w:name w:val="Strong"/>
    <w:basedOn w:val="11"/>
    <w:qFormat/>
    <w:uiPriority w:val="99"/>
    <w:rPr>
      <w:rFonts w:cs="Times New Roman"/>
      <w:b/>
    </w:rPr>
  </w:style>
  <w:style w:type="character" w:styleId="13">
    <w:name w:val="Hyperlink"/>
    <w:unhideWhenUsed/>
    <w:qFormat/>
    <w:uiPriority w:val="99"/>
    <w:rPr>
      <w:color w:val="0000FF"/>
      <w:u w:val="single"/>
    </w:rPr>
  </w:style>
  <w:style w:type="character" w:customStyle="1" w:styleId="14">
    <w:name w:val="标题 1 Char"/>
    <w:basedOn w:val="11"/>
    <w:link w:val="2"/>
    <w:qFormat/>
    <w:locked/>
    <w:uiPriority w:val="9"/>
    <w:rPr>
      <w:b/>
      <w:bCs/>
      <w:kern w:val="44"/>
      <w:sz w:val="44"/>
      <w:szCs w:val="44"/>
    </w:rPr>
  </w:style>
  <w:style w:type="character" w:customStyle="1" w:styleId="15">
    <w:name w:val="标题 2 Char"/>
    <w:basedOn w:val="11"/>
    <w:link w:val="3"/>
    <w:qFormat/>
    <w:locked/>
    <w:uiPriority w:val="9"/>
    <w:rPr>
      <w:rFonts w:ascii="Cambria" w:hAnsi="Cambria"/>
      <w:b/>
      <w:bCs/>
      <w:sz w:val="32"/>
      <w:szCs w:val="32"/>
    </w:rPr>
  </w:style>
  <w:style w:type="paragraph" w:customStyle="1" w:styleId="16">
    <w:name w:val="列出段落1"/>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18">
    <w:name w:val="批注框文本 Char"/>
    <w:basedOn w:val="11"/>
    <w:link w:val="5"/>
    <w:semiHidden/>
    <w:uiPriority w:val="0"/>
    <w:rPr>
      <w:rFonts w:ascii="Times New Roman" w:hAnsi="Times New Roman" w:eastAsia="仿宋_GB2312" w:cs="Times New Roman"/>
      <w:kern w:val="2"/>
      <w:sz w:val="18"/>
      <w:szCs w:val="18"/>
    </w:rPr>
  </w:style>
  <w:style w:type="character" w:customStyle="1" w:styleId="19">
    <w:name w:val="页眉 Char"/>
    <w:basedOn w:val="11"/>
    <w:link w:val="7"/>
    <w:qFormat/>
    <w:uiPriority w:val="99"/>
    <w:rPr>
      <w:rFonts w:ascii="Calibri" w:hAnsi="Calibri" w:eastAsia="仿宋_GB2312" w:cs="Times New Roman"/>
      <w:sz w:val="18"/>
    </w:rPr>
  </w:style>
  <w:style w:type="character" w:customStyle="1" w:styleId="20">
    <w:name w:val="页脚 Char"/>
    <w:basedOn w:val="11"/>
    <w:link w:val="6"/>
    <w:uiPriority w:val="99"/>
    <w:rPr>
      <w:rFonts w:ascii="Calibri" w:hAnsi="Calibri" w:eastAsia="仿宋_GB2312" w:cs="Times New Roman"/>
      <w:sz w:val="18"/>
    </w:rPr>
  </w:style>
  <w:style w:type="paragraph" w:styleId="21">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chart" Target="charts/chart1.xml"/><Relationship Id="rId10" Type="http://schemas.openxmlformats.org/officeDocument/2006/relationships/image" Target="media/image6.emf"/><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“三公”经费财政拨款支出</a:t>
            </a:r>
            <a:endParaRPr lang="zh-CN" altLang="en-US"/>
          </a:p>
        </c:rich>
      </c:tx>
      <c:layout/>
      <c:overlay val="0"/>
    </c:title>
    <c:autoTitleDeleted val="0"/>
    <c:plotArea>
      <c:layout/>
      <c:pieChart>
        <c:varyColors val="1"/>
        <c:ser>
          <c:idx val="0"/>
          <c:order val="0"/>
          <c:tx>
            <c:strRef>
              <c:f>Sheet1!$B$1</c:f>
              <c:strCache>
                <c:ptCount val="1"/>
                <c:pt idx="0">
                  <c:v>财政拨款支出</c:v>
                </c:pt>
              </c:strCache>
            </c:strRef>
          </c:tx>
          <c:explosion val="0"/>
          <c:dPt>
            <c:idx val="0"/>
            <c:bubble3D val="0"/>
          </c:dPt>
          <c:dPt>
            <c:idx val="1"/>
            <c:bubble3D val="0"/>
          </c:dPt>
          <c:dPt>
            <c:idx val="2"/>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Sheet1!$A$2:$A$4</c:f>
              <c:strCache>
                <c:ptCount val="3"/>
                <c:pt idx="0">
                  <c:v>因公出国（境）</c:v>
                </c:pt>
                <c:pt idx="1">
                  <c:v>公务用车购置及运行维护费</c:v>
                </c:pt>
                <c:pt idx="2">
                  <c:v>公务接待费</c:v>
                </c:pt>
              </c:strCache>
            </c:strRef>
          </c:cat>
          <c:val>
            <c:numRef>
              <c:f>Sheet1!$B$2:$B$4</c:f>
              <c:numCache>
                <c:formatCode>General</c:formatCode>
                <c:ptCount val="3"/>
                <c:pt idx="0">
                  <c:v>0</c:v>
                </c:pt>
                <c:pt idx="1">
                  <c:v>0</c:v>
                </c:pt>
                <c:pt idx="2">
                  <c:v>0</c:v>
                </c:pt>
              </c:numCache>
            </c:numRef>
          </c:val>
        </c:ser>
        <c:dLbls>
          <c:showLegendKey val="0"/>
          <c:showVal val="0"/>
          <c:showCatName val="1"/>
          <c:showSerName val="0"/>
          <c:showPercent val="1"/>
          <c:showBubbleSize val="0"/>
          <c:showLeaderLines val="1"/>
        </c:dLbls>
        <c:firstSliceAng val="0"/>
      </c:pieChart>
    </c:plotArea>
    <c:plotVisOnly val="1"/>
    <c:dispBlanksAs val="zero"/>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22CEA-4D19-413B-A6C8-F42C3C620DD0}">
  <ds:schemaRefs/>
</ds:datastoreItem>
</file>

<file path=docProps/app.xml><?xml version="1.0" encoding="utf-8"?>
<Properties xmlns="http://schemas.openxmlformats.org/officeDocument/2006/extended-properties" xmlns:vt="http://schemas.openxmlformats.org/officeDocument/2006/docPropsVTypes">
  <Template>Normal</Template>
  <Pages>25</Pages>
  <Words>8229</Words>
  <Characters>8689</Characters>
  <Lines>18</Lines>
  <Paragraphs>20</Paragraphs>
  <TotalTime>0</TotalTime>
  <ScaleCrop>false</ScaleCrop>
  <LinksUpToDate>false</LinksUpToDate>
  <CharactersWithSpaces>8822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2022-05-28T14:42:00Z</dcterms:created>
  <dc:creator>Administrator</dc:creator>
  <cp:lastModifiedBy>Master'霖</cp:lastModifiedBy>
  <cp:lastPrinted>2021-10-14T04:02:00Z</cp:lastPrinted>
  <dcterms:modified xsi:type="dcterms:W3CDTF">2022-06-06T08:51:46Z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E617158A635E44C988D42D8EEB0691E0</vt:lpwstr>
  </property>
</Properties>
</file>