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_GB2312" w:hAnsi="仿宋_GB2312" w:cs="仿宋_GB2312"/>
          <w:color w:val="auto"/>
          <w:szCs w:val="32"/>
        </w:rPr>
      </w:pPr>
      <w:r>
        <w:rPr>
          <w:rFonts w:hint="eastAsia" w:ascii="仿宋_GB2312" w:hAnsi="仿宋_GB2312" w:cs="仿宋_GB2312"/>
          <w:color w:val="auto"/>
          <w:szCs w:val="32"/>
        </w:rPr>
        <w:t>附件2</w:t>
      </w:r>
    </w:p>
    <w:p>
      <w:pPr>
        <w:widowControl/>
        <w:spacing w:line="580" w:lineRule="exact"/>
        <w:jc w:val="center"/>
        <w:rPr>
          <w:rFonts w:ascii="方正小标宋简体" w:eastAsia="方正小标宋简体"/>
          <w:color w:val="auto"/>
          <w:sz w:val="44"/>
          <w:szCs w:val="44"/>
        </w:rPr>
      </w:pPr>
      <w:r>
        <w:rPr>
          <w:rFonts w:hint="eastAsia" w:ascii="方正小标宋简体" w:eastAsia="方正小标宋简体"/>
          <w:color w:val="auto"/>
          <w:sz w:val="44"/>
          <w:szCs w:val="44"/>
        </w:rPr>
        <w:t>自贡市自流井区</w:t>
      </w:r>
      <w:r>
        <w:rPr>
          <w:rFonts w:hint="eastAsia" w:ascii="方正小标宋简体" w:eastAsia="方正小标宋简体"/>
          <w:color w:val="auto"/>
          <w:sz w:val="44"/>
          <w:szCs w:val="44"/>
          <w:lang w:eastAsia="zh-CN"/>
        </w:rPr>
        <w:t>荣边</w:t>
      </w:r>
      <w:r>
        <w:rPr>
          <w:rFonts w:hint="eastAsia" w:ascii="方正小标宋简体" w:eastAsia="方正小标宋简体"/>
          <w:color w:val="auto"/>
          <w:sz w:val="44"/>
          <w:szCs w:val="44"/>
        </w:rPr>
        <w:t>镇中心小学校</w:t>
      </w:r>
    </w:p>
    <w:p>
      <w:pPr>
        <w:widowControl/>
        <w:spacing w:line="580" w:lineRule="exact"/>
        <w:jc w:val="center"/>
        <w:rPr>
          <w:rFonts w:ascii="方正小标宋简体" w:eastAsia="方正小标宋简体"/>
          <w:color w:val="auto"/>
          <w:sz w:val="44"/>
          <w:szCs w:val="44"/>
        </w:rPr>
      </w:pPr>
      <w:r>
        <w:rPr>
          <w:rFonts w:hint="eastAsia" w:ascii="方正小标宋简体" w:eastAsia="方正小标宋简体"/>
          <w:color w:val="auto"/>
          <w:sz w:val="44"/>
          <w:szCs w:val="44"/>
        </w:rPr>
        <w:t>2020年度部门决算编制的说明</w:t>
      </w:r>
    </w:p>
    <w:p>
      <w:pPr>
        <w:widowControl/>
        <w:jc w:val="center"/>
        <w:rPr>
          <w:rFonts w:ascii="仿宋_GB2312"/>
          <w:color w:val="auto"/>
          <w:sz w:val="28"/>
          <w:szCs w:val="28"/>
        </w:rPr>
      </w:pPr>
    </w:p>
    <w:p>
      <w:pPr>
        <w:widowControl/>
        <w:jc w:val="center"/>
        <w:rPr>
          <w:rFonts w:ascii="黑体" w:hAnsi="黑体" w:eastAsia="黑体"/>
          <w:color w:val="auto"/>
          <w:sz w:val="44"/>
          <w:szCs w:val="44"/>
        </w:rPr>
      </w:pPr>
      <w:r>
        <w:rPr>
          <w:rFonts w:hint="eastAsia" w:ascii="黑体" w:hAnsi="黑体" w:eastAsia="黑体"/>
          <w:color w:val="auto"/>
          <w:sz w:val="44"/>
          <w:szCs w:val="44"/>
        </w:rPr>
        <w:t>目录</w:t>
      </w:r>
    </w:p>
    <w:p>
      <w:pPr>
        <w:pStyle w:val="8"/>
        <w:tabs>
          <w:tab w:val="right" w:leader="dot" w:pos="8306"/>
        </w:tabs>
        <w:spacing w:line="560" w:lineRule="exact"/>
        <w:rPr>
          <w:rFonts w:ascii="仿宋_GB2312" w:hAnsi="仿宋_GB2312" w:eastAsia="仿宋_GB2312" w:cs="仿宋_GB2312"/>
          <w:b w:val="0"/>
          <w:bCs w:val="0"/>
          <w:i w:val="0"/>
          <w:iCs w:val="0"/>
          <w:color w:val="auto"/>
          <w:sz w:val="28"/>
          <w:szCs w:val="28"/>
        </w:rPr>
      </w:pPr>
      <w:bookmarkStart w:id="89" w:name="_GoBack"/>
      <w:bookmarkEnd w:id="89"/>
      <w:r>
        <w:rPr>
          <w:rFonts w:hint="eastAsia" w:ascii="仿宋_GB2312" w:hAnsi="仿宋_GB2312" w:eastAsia="仿宋_GB2312" w:cs="仿宋_GB2312"/>
          <w:b w:val="0"/>
          <w:bCs w:val="0"/>
          <w:i w:val="0"/>
          <w:iCs w:val="0"/>
          <w:caps/>
          <w:color w:val="auto"/>
          <w:sz w:val="28"/>
          <w:szCs w:val="28"/>
        </w:rPr>
        <w:fldChar w:fldCharType="begin"/>
      </w:r>
      <w:r>
        <w:rPr>
          <w:rFonts w:hint="eastAsia" w:ascii="仿宋_GB2312" w:hAnsi="仿宋_GB2312" w:eastAsia="仿宋_GB2312" w:cs="仿宋_GB2312"/>
          <w:b w:val="0"/>
          <w:bCs w:val="0"/>
          <w:i w:val="0"/>
          <w:iCs w:val="0"/>
          <w:caps/>
          <w:color w:val="auto"/>
          <w:sz w:val="28"/>
          <w:szCs w:val="28"/>
        </w:rPr>
        <w:instrText xml:space="preserve"> TOC \o "1-2" \h \z \u </w:instrText>
      </w:r>
      <w:r>
        <w:rPr>
          <w:rFonts w:hint="eastAsia" w:ascii="仿宋_GB2312" w:hAnsi="仿宋_GB2312" w:eastAsia="仿宋_GB2312" w:cs="仿宋_GB2312"/>
          <w:b w:val="0"/>
          <w:bCs w:val="0"/>
          <w:i w:val="0"/>
          <w:iCs w:val="0"/>
          <w:caps/>
          <w:color w:val="auto"/>
          <w:sz w:val="28"/>
          <w:szCs w:val="28"/>
        </w:rPr>
        <w:fldChar w:fldCharType="separate"/>
      </w:r>
      <w:r>
        <w:rPr>
          <w:color w:val="auto"/>
        </w:rPr>
        <w:fldChar w:fldCharType="begin"/>
      </w:r>
      <w:r>
        <w:rPr>
          <w:color w:val="auto"/>
        </w:rPr>
        <w:instrText xml:space="preserve"> HYPERLINK \l "_Toc10567" </w:instrText>
      </w:r>
      <w:r>
        <w:rPr>
          <w:color w:val="auto"/>
        </w:rPr>
        <w:fldChar w:fldCharType="separate"/>
      </w:r>
      <w:r>
        <w:rPr>
          <w:rFonts w:hint="eastAsia" w:ascii="仿宋_GB2312" w:hAnsi="仿宋_GB2312" w:eastAsia="仿宋_GB2312" w:cs="仿宋_GB2312"/>
          <w:b w:val="0"/>
          <w:bCs w:val="0"/>
          <w:i w:val="0"/>
          <w:iCs w:val="0"/>
          <w:color w:val="auto"/>
          <w:sz w:val="28"/>
          <w:szCs w:val="28"/>
        </w:rPr>
        <w:t>第一部分 部门概况</w:t>
      </w:r>
      <w:r>
        <w:rPr>
          <w:rFonts w:hint="eastAsia" w:ascii="仿宋_GB2312" w:hAnsi="仿宋_GB2312" w:eastAsia="仿宋_GB2312" w:cs="仿宋_GB2312"/>
          <w:b w:val="0"/>
          <w:bCs w:val="0"/>
          <w:i w:val="0"/>
          <w:iCs w:val="0"/>
          <w:color w:val="auto"/>
          <w:sz w:val="28"/>
          <w:szCs w:val="28"/>
        </w:rPr>
        <w:tab/>
      </w:r>
      <w:r>
        <w:rPr>
          <w:rFonts w:hint="eastAsia" w:ascii="仿宋_GB2312" w:hAnsi="仿宋_GB2312" w:eastAsia="仿宋_GB2312" w:cs="仿宋_GB2312"/>
          <w:b w:val="0"/>
          <w:bCs w:val="0"/>
          <w:i w:val="0"/>
          <w:iCs w:val="0"/>
          <w:color w:val="auto"/>
          <w:sz w:val="28"/>
          <w:szCs w:val="28"/>
        </w:rPr>
        <w:fldChar w:fldCharType="begin"/>
      </w:r>
      <w:r>
        <w:rPr>
          <w:rFonts w:hint="eastAsia" w:ascii="仿宋_GB2312" w:hAnsi="仿宋_GB2312" w:eastAsia="仿宋_GB2312" w:cs="仿宋_GB2312"/>
          <w:b w:val="0"/>
          <w:bCs w:val="0"/>
          <w:i w:val="0"/>
          <w:iCs w:val="0"/>
          <w:color w:val="auto"/>
          <w:sz w:val="28"/>
          <w:szCs w:val="28"/>
        </w:rPr>
        <w:instrText xml:space="preserve"> PAGEREF _Toc10567 \h </w:instrText>
      </w:r>
      <w:r>
        <w:rPr>
          <w:rFonts w:hint="eastAsia" w:ascii="仿宋_GB2312" w:hAnsi="仿宋_GB2312" w:eastAsia="仿宋_GB2312" w:cs="仿宋_GB2312"/>
          <w:b w:val="0"/>
          <w:bCs w:val="0"/>
          <w:i w:val="0"/>
          <w:iCs w:val="0"/>
          <w:color w:val="auto"/>
          <w:sz w:val="28"/>
          <w:szCs w:val="28"/>
        </w:rPr>
        <w:fldChar w:fldCharType="separate"/>
      </w:r>
      <w:r>
        <w:rPr>
          <w:rFonts w:hint="eastAsia" w:ascii="仿宋_GB2312" w:hAnsi="仿宋_GB2312" w:eastAsia="仿宋_GB2312" w:cs="仿宋_GB2312"/>
          <w:b w:val="0"/>
          <w:bCs w:val="0"/>
          <w:i w:val="0"/>
          <w:iCs w:val="0"/>
          <w:color w:val="auto"/>
          <w:sz w:val="28"/>
          <w:szCs w:val="28"/>
        </w:rPr>
        <w:t>3</w:t>
      </w:r>
      <w:r>
        <w:rPr>
          <w:rFonts w:hint="eastAsia" w:ascii="仿宋_GB2312" w:hAnsi="仿宋_GB2312" w:eastAsia="仿宋_GB2312" w:cs="仿宋_GB2312"/>
          <w:b w:val="0"/>
          <w:bCs w:val="0"/>
          <w:i w:val="0"/>
          <w:iCs w:val="0"/>
          <w:color w:val="auto"/>
          <w:sz w:val="28"/>
          <w:szCs w:val="28"/>
        </w:rPr>
        <w:fldChar w:fldCharType="end"/>
      </w:r>
      <w:r>
        <w:rPr>
          <w:rFonts w:hint="eastAsia" w:ascii="仿宋_GB2312" w:hAnsi="仿宋_GB2312" w:eastAsia="仿宋_GB2312" w:cs="仿宋_GB2312"/>
          <w:b w:val="0"/>
          <w:bCs w:val="0"/>
          <w:i w:val="0"/>
          <w:iCs w:val="0"/>
          <w:color w:val="auto"/>
          <w:sz w:val="28"/>
          <w:szCs w:val="28"/>
        </w:rPr>
        <w:fldChar w:fldCharType="end"/>
      </w:r>
    </w:p>
    <w:p>
      <w:pPr>
        <w:pStyle w:val="9"/>
        <w:tabs>
          <w:tab w:val="right" w:leader="dot" w:pos="8306"/>
        </w:tabs>
        <w:spacing w:line="560" w:lineRule="exact"/>
        <w:rPr>
          <w:rFonts w:ascii="仿宋_GB2312" w:hAnsi="仿宋_GB2312" w:eastAsia="仿宋_GB2312" w:cs="仿宋_GB2312"/>
          <w:b w:val="0"/>
          <w:bCs w:val="0"/>
          <w:color w:val="auto"/>
          <w:sz w:val="28"/>
          <w:szCs w:val="28"/>
        </w:rPr>
      </w:pPr>
      <w:r>
        <w:rPr>
          <w:color w:val="auto"/>
        </w:rPr>
        <w:fldChar w:fldCharType="begin"/>
      </w:r>
      <w:r>
        <w:rPr>
          <w:color w:val="auto"/>
        </w:rPr>
        <w:instrText xml:space="preserve"> HYPERLINK \l "_Toc21498" </w:instrText>
      </w:r>
      <w:r>
        <w:rPr>
          <w:color w:val="auto"/>
        </w:rPr>
        <w:fldChar w:fldCharType="separate"/>
      </w:r>
      <w:r>
        <w:rPr>
          <w:rFonts w:hint="eastAsia" w:ascii="仿宋_GB2312" w:hAnsi="仿宋_GB2312" w:eastAsia="仿宋_GB2312" w:cs="仿宋_GB2312"/>
          <w:b w:val="0"/>
          <w:bCs w:val="0"/>
          <w:color w:val="auto"/>
          <w:sz w:val="28"/>
          <w:szCs w:val="28"/>
        </w:rPr>
        <w:t>一、基本职能及主要工作</w:t>
      </w:r>
      <w:r>
        <w:rPr>
          <w:rFonts w:hint="eastAsia" w:ascii="仿宋_GB2312" w:hAnsi="仿宋_GB2312" w:eastAsia="仿宋_GB2312" w:cs="仿宋_GB2312"/>
          <w:b w:val="0"/>
          <w:bCs w:val="0"/>
          <w:color w:val="auto"/>
          <w:sz w:val="28"/>
          <w:szCs w:val="28"/>
        </w:rPr>
        <w:tab/>
      </w:r>
      <w:r>
        <w:rPr>
          <w:rFonts w:hint="eastAsia" w:ascii="仿宋_GB2312" w:hAnsi="仿宋_GB2312" w:eastAsia="仿宋_GB2312" w:cs="仿宋_GB2312"/>
          <w:b w:val="0"/>
          <w:bCs w:val="0"/>
          <w:color w:val="auto"/>
          <w:sz w:val="28"/>
          <w:szCs w:val="28"/>
        </w:rPr>
        <w:fldChar w:fldCharType="begin"/>
      </w:r>
      <w:r>
        <w:rPr>
          <w:rFonts w:hint="eastAsia" w:ascii="仿宋_GB2312" w:hAnsi="仿宋_GB2312" w:eastAsia="仿宋_GB2312" w:cs="仿宋_GB2312"/>
          <w:b w:val="0"/>
          <w:bCs w:val="0"/>
          <w:color w:val="auto"/>
          <w:sz w:val="28"/>
          <w:szCs w:val="28"/>
        </w:rPr>
        <w:instrText xml:space="preserve"> PAGEREF _Toc21498 \h </w:instrText>
      </w:r>
      <w:r>
        <w:rPr>
          <w:rFonts w:hint="eastAsia" w:ascii="仿宋_GB2312" w:hAnsi="仿宋_GB2312" w:eastAsia="仿宋_GB2312" w:cs="仿宋_GB2312"/>
          <w:b w:val="0"/>
          <w:bCs w:val="0"/>
          <w:color w:val="auto"/>
          <w:sz w:val="28"/>
          <w:szCs w:val="28"/>
        </w:rPr>
        <w:fldChar w:fldCharType="separate"/>
      </w:r>
      <w:r>
        <w:rPr>
          <w:rFonts w:hint="eastAsia" w:ascii="仿宋_GB2312" w:hAnsi="仿宋_GB2312" w:eastAsia="仿宋_GB2312" w:cs="仿宋_GB2312"/>
          <w:b w:val="0"/>
          <w:bCs w:val="0"/>
          <w:color w:val="auto"/>
          <w:sz w:val="28"/>
          <w:szCs w:val="28"/>
        </w:rPr>
        <w:t>3</w:t>
      </w:r>
      <w:r>
        <w:rPr>
          <w:rFonts w:hint="eastAsia" w:ascii="仿宋_GB2312" w:hAnsi="仿宋_GB2312" w:eastAsia="仿宋_GB2312" w:cs="仿宋_GB2312"/>
          <w:b w:val="0"/>
          <w:bCs w:val="0"/>
          <w:color w:val="auto"/>
          <w:sz w:val="28"/>
          <w:szCs w:val="28"/>
        </w:rPr>
        <w:fldChar w:fldCharType="end"/>
      </w:r>
      <w:r>
        <w:rPr>
          <w:rFonts w:hint="eastAsia" w:ascii="仿宋_GB2312" w:hAnsi="仿宋_GB2312" w:eastAsia="仿宋_GB2312" w:cs="仿宋_GB2312"/>
          <w:b w:val="0"/>
          <w:bCs w:val="0"/>
          <w:color w:val="auto"/>
          <w:sz w:val="28"/>
          <w:szCs w:val="28"/>
        </w:rPr>
        <w:fldChar w:fldCharType="end"/>
      </w:r>
    </w:p>
    <w:p>
      <w:pPr>
        <w:pStyle w:val="9"/>
        <w:tabs>
          <w:tab w:val="right" w:leader="dot" w:pos="8306"/>
        </w:tabs>
        <w:spacing w:line="560" w:lineRule="exact"/>
        <w:rPr>
          <w:rFonts w:ascii="仿宋_GB2312" w:hAnsi="仿宋_GB2312" w:eastAsia="仿宋_GB2312" w:cs="仿宋_GB2312"/>
          <w:b w:val="0"/>
          <w:bCs w:val="0"/>
          <w:color w:val="auto"/>
          <w:sz w:val="28"/>
          <w:szCs w:val="28"/>
        </w:rPr>
      </w:pPr>
      <w:r>
        <w:rPr>
          <w:color w:val="auto"/>
        </w:rPr>
        <w:fldChar w:fldCharType="begin"/>
      </w:r>
      <w:r>
        <w:rPr>
          <w:color w:val="auto"/>
        </w:rPr>
        <w:instrText xml:space="preserve"> HYPERLINK \l "_Toc6092" </w:instrText>
      </w:r>
      <w:r>
        <w:rPr>
          <w:color w:val="auto"/>
        </w:rPr>
        <w:fldChar w:fldCharType="separate"/>
      </w:r>
      <w:r>
        <w:rPr>
          <w:rFonts w:hint="eastAsia" w:ascii="仿宋_GB2312" w:hAnsi="仿宋_GB2312" w:eastAsia="仿宋_GB2312" w:cs="仿宋_GB2312"/>
          <w:b w:val="0"/>
          <w:bCs w:val="0"/>
          <w:color w:val="auto"/>
          <w:sz w:val="28"/>
          <w:szCs w:val="28"/>
        </w:rPr>
        <w:t>二、机构设置</w:t>
      </w:r>
      <w:r>
        <w:rPr>
          <w:rFonts w:hint="eastAsia" w:ascii="仿宋_GB2312" w:hAnsi="仿宋_GB2312" w:eastAsia="仿宋_GB2312" w:cs="仿宋_GB2312"/>
          <w:b w:val="0"/>
          <w:bCs w:val="0"/>
          <w:color w:val="auto"/>
          <w:sz w:val="28"/>
          <w:szCs w:val="28"/>
        </w:rPr>
        <w:tab/>
      </w:r>
      <w:r>
        <w:rPr>
          <w:rFonts w:hint="eastAsia" w:ascii="仿宋_GB2312" w:hAnsi="仿宋_GB2312" w:eastAsia="仿宋_GB2312" w:cs="仿宋_GB2312"/>
          <w:b w:val="0"/>
          <w:bCs w:val="0"/>
          <w:color w:val="auto"/>
          <w:sz w:val="28"/>
          <w:szCs w:val="28"/>
          <w:lang w:val="en-US" w:eastAsia="zh-CN"/>
        </w:rPr>
        <w:t>4</w:t>
      </w:r>
      <w:r>
        <w:rPr>
          <w:rFonts w:hint="eastAsia" w:ascii="仿宋_GB2312" w:hAnsi="仿宋_GB2312" w:eastAsia="仿宋_GB2312" w:cs="仿宋_GB2312"/>
          <w:b w:val="0"/>
          <w:bCs w:val="0"/>
          <w:color w:val="auto"/>
          <w:sz w:val="28"/>
          <w:szCs w:val="28"/>
        </w:rPr>
        <w:fldChar w:fldCharType="end"/>
      </w:r>
    </w:p>
    <w:p>
      <w:pPr>
        <w:pStyle w:val="8"/>
        <w:tabs>
          <w:tab w:val="right" w:leader="dot" w:pos="8306"/>
        </w:tabs>
        <w:spacing w:line="560" w:lineRule="exact"/>
        <w:rPr>
          <w:rFonts w:ascii="仿宋_GB2312" w:hAnsi="仿宋_GB2312" w:eastAsia="仿宋_GB2312" w:cs="仿宋_GB2312"/>
          <w:b w:val="0"/>
          <w:bCs w:val="0"/>
          <w:i w:val="0"/>
          <w:iCs w:val="0"/>
          <w:color w:val="auto"/>
          <w:sz w:val="28"/>
          <w:szCs w:val="28"/>
        </w:rPr>
      </w:pPr>
      <w:r>
        <w:rPr>
          <w:color w:val="auto"/>
        </w:rPr>
        <w:fldChar w:fldCharType="begin"/>
      </w:r>
      <w:r>
        <w:rPr>
          <w:color w:val="auto"/>
        </w:rPr>
        <w:instrText xml:space="preserve"> HYPERLINK \l "_Toc23109" </w:instrText>
      </w:r>
      <w:r>
        <w:rPr>
          <w:color w:val="auto"/>
        </w:rPr>
        <w:fldChar w:fldCharType="separate"/>
      </w:r>
      <w:r>
        <w:rPr>
          <w:rFonts w:hint="eastAsia" w:ascii="仿宋_GB2312" w:hAnsi="仿宋_GB2312" w:eastAsia="仿宋_GB2312" w:cs="仿宋_GB2312"/>
          <w:b w:val="0"/>
          <w:bCs w:val="0"/>
          <w:i w:val="0"/>
          <w:iCs w:val="0"/>
          <w:color w:val="auto"/>
          <w:sz w:val="28"/>
          <w:szCs w:val="28"/>
        </w:rPr>
        <w:t>第二部分 2020年度部门决算情况说明</w:t>
      </w:r>
      <w:r>
        <w:rPr>
          <w:rFonts w:hint="eastAsia" w:ascii="仿宋_GB2312" w:hAnsi="仿宋_GB2312" w:eastAsia="仿宋_GB2312" w:cs="仿宋_GB2312"/>
          <w:b w:val="0"/>
          <w:bCs w:val="0"/>
          <w:i w:val="0"/>
          <w:iCs w:val="0"/>
          <w:color w:val="auto"/>
          <w:sz w:val="28"/>
          <w:szCs w:val="28"/>
        </w:rPr>
        <w:tab/>
      </w:r>
      <w:r>
        <w:rPr>
          <w:rFonts w:hint="eastAsia" w:ascii="仿宋_GB2312" w:hAnsi="仿宋_GB2312" w:eastAsia="仿宋_GB2312" w:cs="仿宋_GB2312"/>
          <w:b w:val="0"/>
          <w:bCs w:val="0"/>
          <w:i w:val="0"/>
          <w:iCs w:val="0"/>
          <w:color w:val="auto"/>
          <w:sz w:val="28"/>
          <w:szCs w:val="28"/>
        </w:rPr>
        <w:t>5</w:t>
      </w:r>
      <w:r>
        <w:rPr>
          <w:rFonts w:hint="eastAsia" w:ascii="仿宋_GB2312" w:hAnsi="仿宋_GB2312" w:eastAsia="仿宋_GB2312" w:cs="仿宋_GB2312"/>
          <w:b w:val="0"/>
          <w:bCs w:val="0"/>
          <w:i w:val="0"/>
          <w:iCs w:val="0"/>
          <w:color w:val="auto"/>
          <w:sz w:val="28"/>
          <w:szCs w:val="28"/>
        </w:rPr>
        <w:fldChar w:fldCharType="end"/>
      </w:r>
    </w:p>
    <w:p>
      <w:pPr>
        <w:pStyle w:val="9"/>
        <w:tabs>
          <w:tab w:val="right" w:leader="dot" w:pos="8306"/>
        </w:tabs>
        <w:spacing w:line="560" w:lineRule="exact"/>
        <w:rPr>
          <w:rFonts w:ascii="仿宋_GB2312" w:hAnsi="仿宋_GB2312" w:eastAsia="仿宋_GB2312" w:cs="仿宋_GB2312"/>
          <w:b w:val="0"/>
          <w:bCs w:val="0"/>
          <w:color w:val="auto"/>
          <w:sz w:val="28"/>
          <w:szCs w:val="28"/>
        </w:rPr>
      </w:pPr>
      <w:r>
        <w:rPr>
          <w:color w:val="auto"/>
        </w:rPr>
        <w:fldChar w:fldCharType="begin"/>
      </w:r>
      <w:r>
        <w:rPr>
          <w:color w:val="auto"/>
        </w:rPr>
        <w:instrText xml:space="preserve"> HYPERLINK \l "_Toc7163" </w:instrText>
      </w:r>
      <w:r>
        <w:rPr>
          <w:color w:val="auto"/>
        </w:rPr>
        <w:fldChar w:fldCharType="separate"/>
      </w:r>
      <w:r>
        <w:rPr>
          <w:rFonts w:hint="eastAsia" w:ascii="仿宋_GB2312" w:hAnsi="仿宋_GB2312" w:eastAsia="仿宋_GB2312" w:cs="仿宋_GB2312"/>
          <w:b w:val="0"/>
          <w:bCs w:val="0"/>
          <w:color w:val="auto"/>
          <w:sz w:val="28"/>
          <w:szCs w:val="28"/>
        </w:rPr>
        <w:t>一、 收入支出决算总体情况说明</w:t>
      </w:r>
      <w:r>
        <w:rPr>
          <w:rFonts w:hint="eastAsia" w:ascii="仿宋_GB2312" w:hAnsi="仿宋_GB2312" w:eastAsia="仿宋_GB2312" w:cs="仿宋_GB2312"/>
          <w:b w:val="0"/>
          <w:bCs w:val="0"/>
          <w:color w:val="auto"/>
          <w:sz w:val="28"/>
          <w:szCs w:val="28"/>
        </w:rPr>
        <w:tab/>
      </w:r>
      <w:r>
        <w:rPr>
          <w:rFonts w:hint="eastAsia" w:ascii="仿宋_GB2312" w:hAnsi="仿宋_GB2312" w:eastAsia="仿宋_GB2312" w:cs="仿宋_GB2312"/>
          <w:b w:val="0"/>
          <w:bCs w:val="0"/>
          <w:color w:val="auto"/>
          <w:sz w:val="28"/>
          <w:szCs w:val="28"/>
        </w:rPr>
        <w:t>5</w:t>
      </w:r>
      <w:r>
        <w:rPr>
          <w:rFonts w:hint="eastAsia" w:ascii="仿宋_GB2312" w:hAnsi="仿宋_GB2312" w:eastAsia="仿宋_GB2312" w:cs="仿宋_GB2312"/>
          <w:b w:val="0"/>
          <w:bCs w:val="0"/>
          <w:color w:val="auto"/>
          <w:sz w:val="28"/>
          <w:szCs w:val="28"/>
        </w:rPr>
        <w:fldChar w:fldCharType="end"/>
      </w:r>
    </w:p>
    <w:p>
      <w:pPr>
        <w:pStyle w:val="9"/>
        <w:tabs>
          <w:tab w:val="right" w:leader="dot" w:pos="8306"/>
        </w:tabs>
        <w:spacing w:line="560" w:lineRule="exact"/>
        <w:rPr>
          <w:rFonts w:ascii="仿宋_GB2312" w:hAnsi="仿宋_GB2312" w:eastAsia="仿宋_GB2312" w:cs="仿宋_GB2312"/>
          <w:b w:val="0"/>
          <w:bCs w:val="0"/>
          <w:color w:val="auto"/>
          <w:sz w:val="28"/>
          <w:szCs w:val="28"/>
        </w:rPr>
      </w:pPr>
      <w:r>
        <w:rPr>
          <w:color w:val="auto"/>
        </w:rPr>
        <w:fldChar w:fldCharType="begin"/>
      </w:r>
      <w:r>
        <w:rPr>
          <w:color w:val="auto"/>
        </w:rPr>
        <w:instrText xml:space="preserve"> HYPERLINK \l "_Toc25258" </w:instrText>
      </w:r>
      <w:r>
        <w:rPr>
          <w:color w:val="auto"/>
        </w:rPr>
        <w:fldChar w:fldCharType="separate"/>
      </w:r>
      <w:r>
        <w:rPr>
          <w:rFonts w:hint="eastAsia" w:ascii="仿宋_GB2312" w:hAnsi="仿宋_GB2312" w:eastAsia="仿宋_GB2312" w:cs="仿宋_GB2312"/>
          <w:b w:val="0"/>
          <w:bCs w:val="0"/>
          <w:color w:val="auto"/>
          <w:sz w:val="28"/>
          <w:szCs w:val="28"/>
        </w:rPr>
        <w:t>二、 收入决算情况说明</w:t>
      </w:r>
      <w:r>
        <w:rPr>
          <w:rFonts w:hint="eastAsia" w:ascii="仿宋_GB2312" w:hAnsi="仿宋_GB2312" w:eastAsia="仿宋_GB2312" w:cs="仿宋_GB2312"/>
          <w:b w:val="0"/>
          <w:bCs w:val="0"/>
          <w:color w:val="auto"/>
          <w:sz w:val="28"/>
          <w:szCs w:val="28"/>
        </w:rPr>
        <w:tab/>
      </w:r>
      <w:r>
        <w:rPr>
          <w:rFonts w:hint="eastAsia" w:ascii="仿宋_GB2312" w:hAnsi="仿宋_GB2312" w:eastAsia="仿宋_GB2312" w:cs="仿宋_GB2312"/>
          <w:b w:val="0"/>
          <w:bCs w:val="0"/>
          <w:color w:val="auto"/>
          <w:sz w:val="28"/>
          <w:szCs w:val="28"/>
          <w:lang w:val="en-US" w:eastAsia="zh-CN"/>
        </w:rPr>
        <w:t>5</w:t>
      </w:r>
      <w:r>
        <w:rPr>
          <w:rFonts w:hint="eastAsia" w:ascii="仿宋_GB2312" w:hAnsi="仿宋_GB2312" w:eastAsia="仿宋_GB2312" w:cs="仿宋_GB2312"/>
          <w:b w:val="0"/>
          <w:bCs w:val="0"/>
          <w:color w:val="auto"/>
          <w:sz w:val="28"/>
          <w:szCs w:val="28"/>
        </w:rPr>
        <w:fldChar w:fldCharType="end"/>
      </w:r>
    </w:p>
    <w:p>
      <w:pPr>
        <w:pStyle w:val="9"/>
        <w:tabs>
          <w:tab w:val="right" w:leader="dot" w:pos="8306"/>
        </w:tabs>
        <w:spacing w:line="560" w:lineRule="exact"/>
        <w:rPr>
          <w:rFonts w:ascii="仿宋_GB2312" w:hAnsi="仿宋_GB2312" w:eastAsia="仿宋_GB2312" w:cs="仿宋_GB2312"/>
          <w:b w:val="0"/>
          <w:bCs w:val="0"/>
          <w:color w:val="auto"/>
          <w:sz w:val="28"/>
          <w:szCs w:val="28"/>
        </w:rPr>
      </w:pPr>
      <w:r>
        <w:rPr>
          <w:color w:val="auto"/>
        </w:rPr>
        <w:fldChar w:fldCharType="begin"/>
      </w:r>
      <w:r>
        <w:rPr>
          <w:color w:val="auto"/>
        </w:rPr>
        <w:instrText xml:space="preserve"> HYPERLINK \l "_Toc13725" </w:instrText>
      </w:r>
      <w:r>
        <w:rPr>
          <w:color w:val="auto"/>
        </w:rPr>
        <w:fldChar w:fldCharType="separate"/>
      </w:r>
      <w:r>
        <w:rPr>
          <w:rFonts w:hint="eastAsia" w:ascii="仿宋_GB2312" w:hAnsi="仿宋_GB2312" w:eastAsia="仿宋_GB2312" w:cs="仿宋_GB2312"/>
          <w:b w:val="0"/>
          <w:bCs w:val="0"/>
          <w:color w:val="auto"/>
          <w:sz w:val="28"/>
          <w:szCs w:val="28"/>
        </w:rPr>
        <w:t>三、 支出决算情况说明</w:t>
      </w:r>
      <w:r>
        <w:rPr>
          <w:rFonts w:hint="eastAsia" w:ascii="仿宋_GB2312" w:hAnsi="仿宋_GB2312" w:eastAsia="仿宋_GB2312" w:cs="仿宋_GB2312"/>
          <w:b w:val="0"/>
          <w:bCs w:val="0"/>
          <w:color w:val="auto"/>
          <w:sz w:val="28"/>
          <w:szCs w:val="28"/>
        </w:rPr>
        <w:tab/>
      </w:r>
      <w:r>
        <w:rPr>
          <w:rFonts w:hint="eastAsia" w:ascii="仿宋_GB2312" w:hAnsi="仿宋_GB2312" w:eastAsia="仿宋_GB2312" w:cs="仿宋_GB2312"/>
          <w:b w:val="0"/>
          <w:bCs w:val="0"/>
          <w:color w:val="auto"/>
          <w:sz w:val="28"/>
          <w:szCs w:val="28"/>
        </w:rPr>
        <w:t>6</w:t>
      </w:r>
      <w:r>
        <w:rPr>
          <w:rFonts w:hint="eastAsia" w:ascii="仿宋_GB2312" w:hAnsi="仿宋_GB2312" w:eastAsia="仿宋_GB2312" w:cs="仿宋_GB2312"/>
          <w:b w:val="0"/>
          <w:bCs w:val="0"/>
          <w:color w:val="auto"/>
          <w:sz w:val="28"/>
          <w:szCs w:val="28"/>
        </w:rPr>
        <w:fldChar w:fldCharType="end"/>
      </w:r>
    </w:p>
    <w:p>
      <w:pPr>
        <w:pStyle w:val="9"/>
        <w:tabs>
          <w:tab w:val="right" w:leader="dot" w:pos="8306"/>
        </w:tabs>
        <w:spacing w:line="560" w:lineRule="exact"/>
        <w:rPr>
          <w:rFonts w:ascii="仿宋_GB2312" w:hAnsi="仿宋_GB2312" w:eastAsia="仿宋_GB2312" w:cs="仿宋_GB2312"/>
          <w:b w:val="0"/>
          <w:bCs w:val="0"/>
          <w:color w:val="auto"/>
          <w:sz w:val="28"/>
          <w:szCs w:val="28"/>
        </w:rPr>
      </w:pPr>
      <w:r>
        <w:rPr>
          <w:color w:val="auto"/>
        </w:rPr>
        <w:fldChar w:fldCharType="begin"/>
      </w:r>
      <w:r>
        <w:rPr>
          <w:color w:val="auto"/>
        </w:rPr>
        <w:instrText xml:space="preserve"> HYPERLINK \l "_Toc10354" </w:instrText>
      </w:r>
      <w:r>
        <w:rPr>
          <w:color w:val="auto"/>
        </w:rPr>
        <w:fldChar w:fldCharType="separate"/>
      </w:r>
      <w:r>
        <w:rPr>
          <w:rFonts w:hint="eastAsia" w:ascii="仿宋_GB2312" w:hAnsi="仿宋_GB2312" w:eastAsia="仿宋_GB2312" w:cs="仿宋_GB2312"/>
          <w:b w:val="0"/>
          <w:bCs w:val="0"/>
          <w:color w:val="auto"/>
          <w:sz w:val="28"/>
          <w:szCs w:val="28"/>
        </w:rPr>
        <w:t>四、财政拨款收入支出决算总体情况说明</w:t>
      </w:r>
      <w:r>
        <w:rPr>
          <w:rFonts w:hint="eastAsia" w:ascii="仿宋_GB2312" w:hAnsi="仿宋_GB2312" w:eastAsia="仿宋_GB2312" w:cs="仿宋_GB2312"/>
          <w:b w:val="0"/>
          <w:bCs w:val="0"/>
          <w:color w:val="auto"/>
          <w:sz w:val="28"/>
          <w:szCs w:val="28"/>
        </w:rPr>
        <w:tab/>
      </w:r>
      <w:r>
        <w:rPr>
          <w:rFonts w:hint="eastAsia" w:ascii="仿宋_GB2312" w:hAnsi="仿宋_GB2312" w:eastAsia="仿宋_GB2312" w:cs="仿宋_GB2312"/>
          <w:b w:val="0"/>
          <w:bCs w:val="0"/>
          <w:color w:val="auto"/>
          <w:sz w:val="28"/>
          <w:szCs w:val="28"/>
        </w:rPr>
        <w:t>6</w:t>
      </w:r>
      <w:r>
        <w:rPr>
          <w:rFonts w:hint="eastAsia" w:ascii="仿宋_GB2312" w:hAnsi="仿宋_GB2312" w:eastAsia="仿宋_GB2312" w:cs="仿宋_GB2312"/>
          <w:b w:val="0"/>
          <w:bCs w:val="0"/>
          <w:color w:val="auto"/>
          <w:sz w:val="28"/>
          <w:szCs w:val="28"/>
        </w:rPr>
        <w:fldChar w:fldCharType="end"/>
      </w:r>
    </w:p>
    <w:p>
      <w:pPr>
        <w:pStyle w:val="9"/>
        <w:tabs>
          <w:tab w:val="right" w:leader="dot" w:pos="8306"/>
        </w:tabs>
        <w:spacing w:line="560" w:lineRule="exact"/>
        <w:rPr>
          <w:rFonts w:ascii="仿宋_GB2312" w:hAnsi="仿宋_GB2312" w:eastAsia="仿宋_GB2312" w:cs="仿宋_GB2312"/>
          <w:b w:val="0"/>
          <w:bCs w:val="0"/>
          <w:color w:val="auto"/>
          <w:sz w:val="28"/>
          <w:szCs w:val="28"/>
        </w:rPr>
      </w:pPr>
      <w:r>
        <w:rPr>
          <w:color w:val="auto"/>
        </w:rPr>
        <w:fldChar w:fldCharType="begin"/>
      </w:r>
      <w:r>
        <w:rPr>
          <w:color w:val="auto"/>
        </w:rPr>
        <w:instrText xml:space="preserve"> HYPERLINK \l "_Toc10967" </w:instrText>
      </w:r>
      <w:r>
        <w:rPr>
          <w:color w:val="auto"/>
        </w:rPr>
        <w:fldChar w:fldCharType="separate"/>
      </w:r>
      <w:r>
        <w:rPr>
          <w:rFonts w:hint="eastAsia" w:ascii="仿宋_GB2312" w:hAnsi="仿宋_GB2312" w:eastAsia="仿宋_GB2312" w:cs="仿宋_GB2312"/>
          <w:b w:val="0"/>
          <w:bCs w:val="0"/>
          <w:color w:val="auto"/>
          <w:sz w:val="28"/>
          <w:szCs w:val="28"/>
        </w:rPr>
        <w:t>五、一般公共预算财政拨款支出决算情况说明</w:t>
      </w:r>
      <w:r>
        <w:rPr>
          <w:rFonts w:hint="eastAsia" w:ascii="仿宋_GB2312" w:hAnsi="仿宋_GB2312" w:eastAsia="仿宋_GB2312" w:cs="仿宋_GB2312"/>
          <w:b w:val="0"/>
          <w:bCs w:val="0"/>
          <w:color w:val="auto"/>
          <w:sz w:val="28"/>
          <w:szCs w:val="28"/>
        </w:rPr>
        <w:tab/>
      </w:r>
      <w:r>
        <w:rPr>
          <w:rFonts w:hint="eastAsia" w:ascii="仿宋_GB2312" w:hAnsi="仿宋_GB2312" w:eastAsia="仿宋_GB2312" w:cs="仿宋_GB2312"/>
          <w:b w:val="0"/>
          <w:bCs w:val="0"/>
          <w:color w:val="auto"/>
          <w:sz w:val="28"/>
          <w:szCs w:val="28"/>
        </w:rPr>
        <w:t>7</w:t>
      </w:r>
      <w:r>
        <w:rPr>
          <w:rFonts w:hint="eastAsia" w:ascii="仿宋_GB2312" w:hAnsi="仿宋_GB2312" w:eastAsia="仿宋_GB2312" w:cs="仿宋_GB2312"/>
          <w:b w:val="0"/>
          <w:bCs w:val="0"/>
          <w:color w:val="auto"/>
          <w:sz w:val="28"/>
          <w:szCs w:val="28"/>
        </w:rPr>
        <w:fldChar w:fldCharType="end"/>
      </w:r>
    </w:p>
    <w:p>
      <w:pPr>
        <w:pStyle w:val="9"/>
        <w:tabs>
          <w:tab w:val="right" w:leader="dot" w:pos="8306"/>
        </w:tabs>
        <w:spacing w:line="560" w:lineRule="exact"/>
        <w:rPr>
          <w:rFonts w:ascii="仿宋_GB2312" w:hAnsi="仿宋_GB2312" w:eastAsia="仿宋_GB2312" w:cs="仿宋_GB2312"/>
          <w:b w:val="0"/>
          <w:bCs w:val="0"/>
          <w:color w:val="auto"/>
          <w:sz w:val="28"/>
          <w:szCs w:val="28"/>
        </w:rPr>
      </w:pPr>
      <w:r>
        <w:rPr>
          <w:color w:val="auto"/>
        </w:rPr>
        <w:fldChar w:fldCharType="begin"/>
      </w:r>
      <w:r>
        <w:rPr>
          <w:color w:val="auto"/>
        </w:rPr>
        <w:instrText xml:space="preserve"> HYPERLINK \l "_Toc31021" </w:instrText>
      </w:r>
      <w:r>
        <w:rPr>
          <w:color w:val="auto"/>
        </w:rPr>
        <w:fldChar w:fldCharType="separate"/>
      </w:r>
      <w:r>
        <w:rPr>
          <w:rFonts w:hint="eastAsia" w:ascii="仿宋_GB2312" w:hAnsi="仿宋_GB2312" w:eastAsia="仿宋_GB2312" w:cs="仿宋_GB2312"/>
          <w:b w:val="0"/>
          <w:bCs w:val="0"/>
          <w:color w:val="auto"/>
          <w:sz w:val="28"/>
          <w:szCs w:val="28"/>
        </w:rPr>
        <w:t>六、一般公共预算财政拨款基本支出决算情况说明</w:t>
      </w:r>
      <w:r>
        <w:rPr>
          <w:rFonts w:hint="eastAsia" w:ascii="仿宋_GB2312" w:hAnsi="仿宋_GB2312" w:eastAsia="仿宋_GB2312" w:cs="仿宋_GB2312"/>
          <w:b w:val="0"/>
          <w:bCs w:val="0"/>
          <w:color w:val="auto"/>
          <w:sz w:val="28"/>
          <w:szCs w:val="28"/>
        </w:rPr>
        <w:tab/>
      </w:r>
      <w:r>
        <w:rPr>
          <w:rFonts w:hint="eastAsia" w:ascii="仿宋_GB2312" w:hAnsi="仿宋_GB2312" w:eastAsia="仿宋_GB2312" w:cs="仿宋_GB2312"/>
          <w:b w:val="0"/>
          <w:bCs w:val="0"/>
          <w:color w:val="auto"/>
          <w:sz w:val="28"/>
          <w:szCs w:val="28"/>
          <w:lang w:val="en-US" w:eastAsia="zh-CN"/>
        </w:rPr>
        <w:t>8</w:t>
      </w:r>
      <w:r>
        <w:rPr>
          <w:rFonts w:hint="eastAsia" w:ascii="仿宋_GB2312" w:hAnsi="仿宋_GB2312" w:eastAsia="仿宋_GB2312" w:cs="仿宋_GB2312"/>
          <w:b w:val="0"/>
          <w:bCs w:val="0"/>
          <w:color w:val="auto"/>
          <w:sz w:val="28"/>
          <w:szCs w:val="28"/>
        </w:rPr>
        <w:fldChar w:fldCharType="end"/>
      </w:r>
    </w:p>
    <w:p>
      <w:pPr>
        <w:pStyle w:val="9"/>
        <w:tabs>
          <w:tab w:val="right" w:leader="dot" w:pos="8306"/>
        </w:tabs>
        <w:spacing w:line="560" w:lineRule="exact"/>
        <w:rPr>
          <w:rFonts w:ascii="仿宋_GB2312" w:hAnsi="仿宋_GB2312" w:eastAsia="仿宋_GB2312" w:cs="仿宋_GB2312"/>
          <w:b w:val="0"/>
          <w:bCs w:val="0"/>
          <w:color w:val="auto"/>
          <w:sz w:val="28"/>
          <w:szCs w:val="28"/>
        </w:rPr>
      </w:pPr>
      <w:r>
        <w:rPr>
          <w:color w:val="auto"/>
        </w:rPr>
        <w:fldChar w:fldCharType="begin"/>
      </w:r>
      <w:r>
        <w:rPr>
          <w:color w:val="auto"/>
        </w:rPr>
        <w:instrText xml:space="preserve"> HYPERLINK \l "_Toc6926" </w:instrText>
      </w:r>
      <w:r>
        <w:rPr>
          <w:color w:val="auto"/>
        </w:rPr>
        <w:fldChar w:fldCharType="separate"/>
      </w:r>
      <w:r>
        <w:rPr>
          <w:rFonts w:hint="eastAsia" w:ascii="仿宋_GB2312" w:hAnsi="仿宋_GB2312" w:eastAsia="仿宋_GB2312" w:cs="仿宋_GB2312"/>
          <w:b w:val="0"/>
          <w:bCs w:val="0"/>
          <w:color w:val="auto"/>
          <w:sz w:val="28"/>
          <w:szCs w:val="28"/>
        </w:rPr>
        <w:t>七、“三公”经费财政拨款支出决算情况说明</w:t>
      </w:r>
      <w:r>
        <w:rPr>
          <w:rFonts w:hint="eastAsia" w:ascii="仿宋_GB2312" w:hAnsi="仿宋_GB2312" w:eastAsia="仿宋_GB2312" w:cs="仿宋_GB2312"/>
          <w:b w:val="0"/>
          <w:bCs w:val="0"/>
          <w:color w:val="auto"/>
          <w:sz w:val="28"/>
          <w:szCs w:val="28"/>
        </w:rPr>
        <w:tab/>
      </w:r>
      <w:r>
        <w:rPr>
          <w:rFonts w:hint="eastAsia" w:ascii="仿宋_GB2312" w:hAnsi="仿宋_GB2312" w:eastAsia="仿宋_GB2312" w:cs="仿宋_GB2312"/>
          <w:b w:val="0"/>
          <w:bCs w:val="0"/>
          <w:color w:val="auto"/>
          <w:sz w:val="28"/>
          <w:szCs w:val="28"/>
        </w:rPr>
        <w:t>9</w:t>
      </w:r>
      <w:r>
        <w:rPr>
          <w:rFonts w:hint="eastAsia" w:ascii="仿宋_GB2312" w:hAnsi="仿宋_GB2312" w:eastAsia="仿宋_GB2312" w:cs="仿宋_GB2312"/>
          <w:b w:val="0"/>
          <w:bCs w:val="0"/>
          <w:color w:val="auto"/>
          <w:sz w:val="28"/>
          <w:szCs w:val="28"/>
        </w:rPr>
        <w:fldChar w:fldCharType="end"/>
      </w:r>
    </w:p>
    <w:p>
      <w:pPr>
        <w:pStyle w:val="9"/>
        <w:tabs>
          <w:tab w:val="right" w:leader="dot" w:pos="8306"/>
        </w:tabs>
        <w:spacing w:line="560" w:lineRule="exact"/>
        <w:rPr>
          <w:rFonts w:ascii="仿宋_GB2312" w:hAnsi="仿宋_GB2312" w:eastAsia="仿宋_GB2312" w:cs="仿宋_GB2312"/>
          <w:b w:val="0"/>
          <w:bCs w:val="0"/>
          <w:color w:val="auto"/>
          <w:sz w:val="28"/>
          <w:szCs w:val="28"/>
        </w:rPr>
      </w:pPr>
      <w:r>
        <w:rPr>
          <w:color w:val="auto"/>
        </w:rPr>
        <w:fldChar w:fldCharType="begin"/>
      </w:r>
      <w:r>
        <w:rPr>
          <w:color w:val="auto"/>
        </w:rPr>
        <w:instrText xml:space="preserve"> HYPERLINK \l "_Toc9843" </w:instrText>
      </w:r>
      <w:r>
        <w:rPr>
          <w:color w:val="auto"/>
        </w:rPr>
        <w:fldChar w:fldCharType="separate"/>
      </w:r>
      <w:r>
        <w:rPr>
          <w:rFonts w:hint="eastAsia" w:ascii="仿宋_GB2312" w:hAnsi="仿宋_GB2312" w:eastAsia="仿宋_GB2312" w:cs="仿宋_GB2312"/>
          <w:b w:val="0"/>
          <w:bCs w:val="0"/>
          <w:color w:val="auto"/>
          <w:sz w:val="28"/>
          <w:szCs w:val="28"/>
        </w:rPr>
        <w:t>八、政府性基金预算支出决算情况说明</w:t>
      </w:r>
      <w:r>
        <w:rPr>
          <w:rFonts w:hint="eastAsia" w:ascii="仿宋_GB2312" w:hAnsi="仿宋_GB2312" w:eastAsia="仿宋_GB2312" w:cs="仿宋_GB2312"/>
          <w:b w:val="0"/>
          <w:bCs w:val="0"/>
          <w:color w:val="auto"/>
          <w:sz w:val="28"/>
          <w:szCs w:val="28"/>
        </w:rPr>
        <w:tab/>
      </w:r>
      <w:r>
        <w:rPr>
          <w:rFonts w:hint="eastAsia" w:ascii="仿宋_GB2312" w:hAnsi="仿宋_GB2312" w:eastAsia="仿宋_GB2312" w:cs="仿宋_GB2312"/>
          <w:b w:val="0"/>
          <w:bCs w:val="0"/>
          <w:color w:val="auto"/>
          <w:sz w:val="28"/>
          <w:szCs w:val="28"/>
        </w:rPr>
        <w:fldChar w:fldCharType="begin"/>
      </w:r>
      <w:r>
        <w:rPr>
          <w:rFonts w:hint="eastAsia" w:ascii="仿宋_GB2312" w:hAnsi="仿宋_GB2312" w:eastAsia="仿宋_GB2312" w:cs="仿宋_GB2312"/>
          <w:b w:val="0"/>
          <w:bCs w:val="0"/>
          <w:color w:val="auto"/>
          <w:sz w:val="28"/>
          <w:szCs w:val="28"/>
        </w:rPr>
        <w:instrText xml:space="preserve"> PAGEREF _Toc9843 \h </w:instrText>
      </w:r>
      <w:r>
        <w:rPr>
          <w:rFonts w:hint="eastAsia" w:ascii="仿宋_GB2312" w:hAnsi="仿宋_GB2312" w:eastAsia="仿宋_GB2312" w:cs="仿宋_GB2312"/>
          <w:b w:val="0"/>
          <w:bCs w:val="0"/>
          <w:color w:val="auto"/>
          <w:sz w:val="28"/>
          <w:szCs w:val="28"/>
        </w:rPr>
        <w:fldChar w:fldCharType="separate"/>
      </w:r>
      <w:r>
        <w:rPr>
          <w:rFonts w:hint="eastAsia" w:ascii="仿宋_GB2312" w:hAnsi="仿宋_GB2312" w:eastAsia="仿宋_GB2312" w:cs="仿宋_GB2312"/>
          <w:b w:val="0"/>
          <w:bCs w:val="0"/>
          <w:color w:val="auto"/>
          <w:sz w:val="28"/>
          <w:szCs w:val="28"/>
        </w:rPr>
        <w:t>11</w:t>
      </w:r>
      <w:r>
        <w:rPr>
          <w:rFonts w:hint="eastAsia" w:ascii="仿宋_GB2312" w:hAnsi="仿宋_GB2312" w:eastAsia="仿宋_GB2312" w:cs="仿宋_GB2312"/>
          <w:b w:val="0"/>
          <w:bCs w:val="0"/>
          <w:color w:val="auto"/>
          <w:sz w:val="28"/>
          <w:szCs w:val="28"/>
        </w:rPr>
        <w:fldChar w:fldCharType="end"/>
      </w:r>
      <w:r>
        <w:rPr>
          <w:rFonts w:hint="eastAsia" w:ascii="仿宋_GB2312" w:hAnsi="仿宋_GB2312" w:eastAsia="仿宋_GB2312" w:cs="仿宋_GB2312"/>
          <w:b w:val="0"/>
          <w:bCs w:val="0"/>
          <w:color w:val="auto"/>
          <w:sz w:val="28"/>
          <w:szCs w:val="28"/>
        </w:rPr>
        <w:fldChar w:fldCharType="end"/>
      </w:r>
    </w:p>
    <w:p>
      <w:pPr>
        <w:pStyle w:val="9"/>
        <w:tabs>
          <w:tab w:val="right" w:leader="dot" w:pos="8306"/>
        </w:tabs>
        <w:spacing w:line="560" w:lineRule="exact"/>
        <w:rPr>
          <w:rFonts w:ascii="仿宋_GB2312" w:hAnsi="仿宋_GB2312" w:eastAsia="仿宋_GB2312" w:cs="仿宋_GB2312"/>
          <w:b w:val="0"/>
          <w:bCs w:val="0"/>
          <w:color w:val="auto"/>
          <w:sz w:val="28"/>
          <w:szCs w:val="28"/>
        </w:rPr>
      </w:pPr>
      <w:r>
        <w:rPr>
          <w:color w:val="auto"/>
        </w:rPr>
        <w:fldChar w:fldCharType="begin"/>
      </w:r>
      <w:r>
        <w:rPr>
          <w:color w:val="auto"/>
        </w:rPr>
        <w:instrText xml:space="preserve"> HYPERLINK \l "_Toc10775" </w:instrText>
      </w:r>
      <w:r>
        <w:rPr>
          <w:color w:val="auto"/>
        </w:rPr>
        <w:fldChar w:fldCharType="separate"/>
      </w:r>
      <w:r>
        <w:rPr>
          <w:rFonts w:hint="eastAsia" w:ascii="仿宋_GB2312" w:hAnsi="仿宋_GB2312" w:eastAsia="仿宋_GB2312" w:cs="仿宋_GB2312"/>
          <w:b w:val="0"/>
          <w:bCs w:val="0"/>
          <w:color w:val="auto"/>
          <w:sz w:val="28"/>
          <w:szCs w:val="28"/>
        </w:rPr>
        <w:t>九、 国有资本经营预算支出决算情况说明</w:t>
      </w:r>
      <w:r>
        <w:rPr>
          <w:rFonts w:hint="eastAsia" w:ascii="仿宋_GB2312" w:hAnsi="仿宋_GB2312" w:eastAsia="仿宋_GB2312" w:cs="仿宋_GB2312"/>
          <w:b w:val="0"/>
          <w:bCs w:val="0"/>
          <w:color w:val="auto"/>
          <w:sz w:val="28"/>
          <w:szCs w:val="28"/>
        </w:rPr>
        <w:tab/>
      </w:r>
      <w:r>
        <w:rPr>
          <w:rFonts w:hint="eastAsia" w:ascii="仿宋_GB2312" w:hAnsi="仿宋_GB2312" w:eastAsia="仿宋_GB2312" w:cs="仿宋_GB2312"/>
          <w:b w:val="0"/>
          <w:bCs w:val="0"/>
          <w:color w:val="auto"/>
          <w:sz w:val="28"/>
          <w:szCs w:val="28"/>
        </w:rPr>
        <w:fldChar w:fldCharType="begin"/>
      </w:r>
      <w:r>
        <w:rPr>
          <w:rFonts w:hint="eastAsia" w:ascii="仿宋_GB2312" w:hAnsi="仿宋_GB2312" w:eastAsia="仿宋_GB2312" w:cs="仿宋_GB2312"/>
          <w:b w:val="0"/>
          <w:bCs w:val="0"/>
          <w:color w:val="auto"/>
          <w:sz w:val="28"/>
          <w:szCs w:val="28"/>
        </w:rPr>
        <w:instrText xml:space="preserve"> PAGEREF _Toc10775 \h </w:instrText>
      </w:r>
      <w:r>
        <w:rPr>
          <w:rFonts w:hint="eastAsia" w:ascii="仿宋_GB2312" w:hAnsi="仿宋_GB2312" w:eastAsia="仿宋_GB2312" w:cs="仿宋_GB2312"/>
          <w:b w:val="0"/>
          <w:bCs w:val="0"/>
          <w:color w:val="auto"/>
          <w:sz w:val="28"/>
          <w:szCs w:val="28"/>
        </w:rPr>
        <w:fldChar w:fldCharType="separate"/>
      </w:r>
      <w:r>
        <w:rPr>
          <w:rFonts w:hint="eastAsia" w:ascii="仿宋_GB2312" w:hAnsi="仿宋_GB2312" w:eastAsia="仿宋_GB2312" w:cs="仿宋_GB2312"/>
          <w:b w:val="0"/>
          <w:bCs w:val="0"/>
          <w:color w:val="auto"/>
          <w:sz w:val="28"/>
          <w:szCs w:val="28"/>
        </w:rPr>
        <w:t>11</w:t>
      </w:r>
      <w:r>
        <w:rPr>
          <w:rFonts w:hint="eastAsia" w:ascii="仿宋_GB2312" w:hAnsi="仿宋_GB2312" w:eastAsia="仿宋_GB2312" w:cs="仿宋_GB2312"/>
          <w:b w:val="0"/>
          <w:bCs w:val="0"/>
          <w:color w:val="auto"/>
          <w:sz w:val="28"/>
          <w:szCs w:val="28"/>
        </w:rPr>
        <w:fldChar w:fldCharType="end"/>
      </w:r>
      <w:r>
        <w:rPr>
          <w:rFonts w:hint="eastAsia" w:ascii="仿宋_GB2312" w:hAnsi="仿宋_GB2312" w:eastAsia="仿宋_GB2312" w:cs="仿宋_GB2312"/>
          <w:b w:val="0"/>
          <w:bCs w:val="0"/>
          <w:color w:val="auto"/>
          <w:sz w:val="28"/>
          <w:szCs w:val="28"/>
        </w:rPr>
        <w:fldChar w:fldCharType="end"/>
      </w:r>
    </w:p>
    <w:p>
      <w:pPr>
        <w:pStyle w:val="9"/>
        <w:tabs>
          <w:tab w:val="right" w:leader="dot" w:pos="8306"/>
        </w:tabs>
        <w:spacing w:line="560" w:lineRule="exact"/>
        <w:rPr>
          <w:rFonts w:ascii="仿宋_GB2312" w:hAnsi="仿宋_GB2312" w:eastAsia="仿宋_GB2312" w:cs="仿宋_GB2312"/>
          <w:b w:val="0"/>
          <w:bCs w:val="0"/>
          <w:color w:val="auto"/>
          <w:sz w:val="28"/>
          <w:szCs w:val="28"/>
        </w:rPr>
      </w:pPr>
      <w:r>
        <w:rPr>
          <w:color w:val="auto"/>
        </w:rPr>
        <w:fldChar w:fldCharType="begin"/>
      </w:r>
      <w:r>
        <w:rPr>
          <w:color w:val="auto"/>
        </w:rPr>
        <w:instrText xml:space="preserve"> HYPERLINK \l "_Toc738" </w:instrText>
      </w:r>
      <w:r>
        <w:rPr>
          <w:color w:val="auto"/>
        </w:rPr>
        <w:fldChar w:fldCharType="separate"/>
      </w:r>
      <w:r>
        <w:rPr>
          <w:rFonts w:hint="eastAsia" w:ascii="仿宋_GB2312" w:hAnsi="仿宋_GB2312" w:eastAsia="仿宋_GB2312" w:cs="仿宋_GB2312"/>
          <w:b w:val="0"/>
          <w:bCs w:val="0"/>
          <w:color w:val="auto"/>
          <w:sz w:val="28"/>
          <w:szCs w:val="28"/>
        </w:rPr>
        <w:t>十、其他重要事项的情况说明</w:t>
      </w:r>
      <w:r>
        <w:rPr>
          <w:rFonts w:hint="eastAsia" w:ascii="仿宋_GB2312" w:hAnsi="仿宋_GB2312" w:eastAsia="仿宋_GB2312" w:cs="仿宋_GB2312"/>
          <w:b w:val="0"/>
          <w:bCs w:val="0"/>
          <w:color w:val="auto"/>
          <w:sz w:val="28"/>
          <w:szCs w:val="28"/>
        </w:rPr>
        <w:tab/>
      </w:r>
      <w:r>
        <w:rPr>
          <w:rFonts w:hint="eastAsia" w:ascii="仿宋_GB2312" w:hAnsi="仿宋_GB2312" w:eastAsia="仿宋_GB2312" w:cs="仿宋_GB2312"/>
          <w:b w:val="0"/>
          <w:bCs w:val="0"/>
          <w:color w:val="auto"/>
          <w:sz w:val="28"/>
          <w:szCs w:val="28"/>
        </w:rPr>
        <w:fldChar w:fldCharType="begin"/>
      </w:r>
      <w:r>
        <w:rPr>
          <w:rFonts w:hint="eastAsia" w:ascii="仿宋_GB2312" w:hAnsi="仿宋_GB2312" w:eastAsia="仿宋_GB2312" w:cs="仿宋_GB2312"/>
          <w:b w:val="0"/>
          <w:bCs w:val="0"/>
          <w:color w:val="auto"/>
          <w:sz w:val="28"/>
          <w:szCs w:val="28"/>
        </w:rPr>
        <w:instrText xml:space="preserve"> PAGEREF _Toc738 \h </w:instrText>
      </w:r>
      <w:r>
        <w:rPr>
          <w:rFonts w:hint="eastAsia" w:ascii="仿宋_GB2312" w:hAnsi="仿宋_GB2312" w:eastAsia="仿宋_GB2312" w:cs="仿宋_GB2312"/>
          <w:b w:val="0"/>
          <w:bCs w:val="0"/>
          <w:color w:val="auto"/>
          <w:sz w:val="28"/>
          <w:szCs w:val="28"/>
        </w:rPr>
        <w:fldChar w:fldCharType="separate"/>
      </w:r>
      <w:r>
        <w:rPr>
          <w:rFonts w:hint="eastAsia" w:ascii="仿宋_GB2312" w:hAnsi="仿宋_GB2312" w:eastAsia="仿宋_GB2312" w:cs="仿宋_GB2312"/>
          <w:b w:val="0"/>
          <w:bCs w:val="0"/>
          <w:color w:val="auto"/>
          <w:sz w:val="28"/>
          <w:szCs w:val="28"/>
        </w:rPr>
        <w:t>11</w:t>
      </w:r>
      <w:r>
        <w:rPr>
          <w:rFonts w:hint="eastAsia" w:ascii="仿宋_GB2312" w:hAnsi="仿宋_GB2312" w:eastAsia="仿宋_GB2312" w:cs="仿宋_GB2312"/>
          <w:b w:val="0"/>
          <w:bCs w:val="0"/>
          <w:color w:val="auto"/>
          <w:sz w:val="28"/>
          <w:szCs w:val="28"/>
        </w:rPr>
        <w:fldChar w:fldCharType="end"/>
      </w:r>
      <w:r>
        <w:rPr>
          <w:rFonts w:hint="eastAsia" w:ascii="仿宋_GB2312" w:hAnsi="仿宋_GB2312" w:eastAsia="仿宋_GB2312" w:cs="仿宋_GB2312"/>
          <w:b w:val="0"/>
          <w:bCs w:val="0"/>
          <w:color w:val="auto"/>
          <w:sz w:val="28"/>
          <w:szCs w:val="28"/>
        </w:rPr>
        <w:fldChar w:fldCharType="end"/>
      </w:r>
    </w:p>
    <w:p>
      <w:pPr>
        <w:pStyle w:val="8"/>
        <w:tabs>
          <w:tab w:val="right" w:leader="dot" w:pos="8306"/>
        </w:tabs>
        <w:spacing w:line="560" w:lineRule="exact"/>
        <w:rPr>
          <w:rFonts w:ascii="仿宋_GB2312" w:hAnsi="仿宋_GB2312" w:eastAsia="仿宋_GB2312" w:cs="仿宋_GB2312"/>
          <w:b w:val="0"/>
          <w:bCs w:val="0"/>
          <w:i w:val="0"/>
          <w:iCs w:val="0"/>
          <w:color w:val="auto"/>
          <w:sz w:val="28"/>
          <w:szCs w:val="28"/>
        </w:rPr>
      </w:pPr>
      <w:r>
        <w:rPr>
          <w:color w:val="auto"/>
        </w:rPr>
        <w:fldChar w:fldCharType="begin"/>
      </w:r>
      <w:r>
        <w:rPr>
          <w:color w:val="auto"/>
        </w:rPr>
        <w:instrText xml:space="preserve"> HYPERLINK \l "_Toc3536" </w:instrText>
      </w:r>
      <w:r>
        <w:rPr>
          <w:color w:val="auto"/>
        </w:rPr>
        <w:fldChar w:fldCharType="separate"/>
      </w:r>
      <w:r>
        <w:rPr>
          <w:rFonts w:hint="eastAsia" w:ascii="仿宋_GB2312" w:hAnsi="仿宋_GB2312" w:eastAsia="仿宋_GB2312" w:cs="仿宋_GB2312"/>
          <w:b w:val="0"/>
          <w:bCs w:val="0"/>
          <w:i w:val="0"/>
          <w:iCs w:val="0"/>
          <w:color w:val="auto"/>
          <w:sz w:val="28"/>
          <w:szCs w:val="28"/>
        </w:rPr>
        <w:t>第三部分 名词解释</w:t>
      </w:r>
      <w:r>
        <w:rPr>
          <w:rFonts w:hint="eastAsia" w:ascii="仿宋_GB2312" w:hAnsi="仿宋_GB2312" w:eastAsia="仿宋_GB2312" w:cs="仿宋_GB2312"/>
          <w:b w:val="0"/>
          <w:bCs w:val="0"/>
          <w:i w:val="0"/>
          <w:iCs w:val="0"/>
          <w:color w:val="auto"/>
          <w:sz w:val="28"/>
          <w:szCs w:val="28"/>
        </w:rPr>
        <w:tab/>
      </w:r>
      <w:r>
        <w:rPr>
          <w:rFonts w:hint="eastAsia" w:ascii="仿宋_GB2312" w:hAnsi="仿宋_GB2312" w:eastAsia="仿宋_GB2312" w:cs="仿宋_GB2312"/>
          <w:b w:val="0"/>
          <w:bCs w:val="0"/>
          <w:i w:val="0"/>
          <w:iCs w:val="0"/>
          <w:color w:val="auto"/>
          <w:sz w:val="28"/>
          <w:szCs w:val="28"/>
        </w:rPr>
        <w:fldChar w:fldCharType="begin"/>
      </w:r>
      <w:r>
        <w:rPr>
          <w:rFonts w:hint="eastAsia" w:ascii="仿宋_GB2312" w:hAnsi="仿宋_GB2312" w:eastAsia="仿宋_GB2312" w:cs="仿宋_GB2312"/>
          <w:b w:val="0"/>
          <w:bCs w:val="0"/>
          <w:i w:val="0"/>
          <w:iCs w:val="0"/>
          <w:color w:val="auto"/>
          <w:sz w:val="28"/>
          <w:szCs w:val="28"/>
        </w:rPr>
        <w:instrText xml:space="preserve"> PAGEREF _Toc3536 \h </w:instrText>
      </w:r>
      <w:r>
        <w:rPr>
          <w:rFonts w:hint="eastAsia" w:ascii="仿宋_GB2312" w:hAnsi="仿宋_GB2312" w:eastAsia="仿宋_GB2312" w:cs="仿宋_GB2312"/>
          <w:b w:val="0"/>
          <w:bCs w:val="0"/>
          <w:i w:val="0"/>
          <w:iCs w:val="0"/>
          <w:color w:val="auto"/>
          <w:sz w:val="28"/>
          <w:szCs w:val="28"/>
        </w:rPr>
        <w:fldChar w:fldCharType="separate"/>
      </w:r>
      <w:r>
        <w:rPr>
          <w:rFonts w:hint="eastAsia" w:ascii="仿宋_GB2312" w:hAnsi="仿宋_GB2312" w:eastAsia="仿宋_GB2312" w:cs="仿宋_GB2312"/>
          <w:b w:val="0"/>
          <w:bCs w:val="0"/>
          <w:i w:val="0"/>
          <w:iCs w:val="0"/>
          <w:color w:val="auto"/>
          <w:sz w:val="28"/>
          <w:szCs w:val="28"/>
        </w:rPr>
        <w:t>14</w:t>
      </w:r>
      <w:r>
        <w:rPr>
          <w:rFonts w:hint="eastAsia" w:ascii="仿宋_GB2312" w:hAnsi="仿宋_GB2312" w:eastAsia="仿宋_GB2312" w:cs="仿宋_GB2312"/>
          <w:b w:val="0"/>
          <w:bCs w:val="0"/>
          <w:i w:val="0"/>
          <w:iCs w:val="0"/>
          <w:color w:val="auto"/>
          <w:sz w:val="28"/>
          <w:szCs w:val="28"/>
        </w:rPr>
        <w:fldChar w:fldCharType="end"/>
      </w:r>
      <w:r>
        <w:rPr>
          <w:rFonts w:hint="eastAsia" w:ascii="仿宋_GB2312" w:hAnsi="仿宋_GB2312" w:eastAsia="仿宋_GB2312" w:cs="仿宋_GB2312"/>
          <w:b w:val="0"/>
          <w:bCs w:val="0"/>
          <w:i w:val="0"/>
          <w:iCs w:val="0"/>
          <w:color w:val="auto"/>
          <w:sz w:val="28"/>
          <w:szCs w:val="28"/>
        </w:rPr>
        <w:fldChar w:fldCharType="end"/>
      </w:r>
    </w:p>
    <w:p>
      <w:pPr>
        <w:pStyle w:val="8"/>
        <w:tabs>
          <w:tab w:val="right" w:leader="dot" w:pos="8306"/>
        </w:tabs>
        <w:spacing w:line="560" w:lineRule="exact"/>
        <w:rPr>
          <w:rFonts w:hint="eastAsia" w:ascii="仿宋_GB2312" w:hAnsi="仿宋_GB2312" w:eastAsia="仿宋_GB2312" w:cs="仿宋_GB2312"/>
          <w:b w:val="0"/>
          <w:bCs w:val="0"/>
          <w:i w:val="0"/>
          <w:iCs w:val="0"/>
          <w:color w:val="auto"/>
          <w:sz w:val="28"/>
          <w:szCs w:val="28"/>
          <w:lang w:val="en-US" w:eastAsia="zh-CN"/>
        </w:rPr>
      </w:pPr>
      <w:r>
        <w:rPr>
          <w:color w:val="auto"/>
        </w:rPr>
        <w:fldChar w:fldCharType="begin"/>
      </w:r>
      <w:r>
        <w:rPr>
          <w:color w:val="auto"/>
        </w:rPr>
        <w:instrText xml:space="preserve"> HYPERLINK \l "_Toc11207" </w:instrText>
      </w:r>
      <w:r>
        <w:rPr>
          <w:color w:val="auto"/>
        </w:rPr>
        <w:fldChar w:fldCharType="separate"/>
      </w:r>
      <w:r>
        <w:rPr>
          <w:rFonts w:hint="eastAsia" w:ascii="仿宋_GB2312" w:hAnsi="仿宋_GB2312" w:eastAsia="仿宋_GB2312" w:cs="仿宋_GB2312"/>
          <w:b w:val="0"/>
          <w:bCs w:val="0"/>
          <w:i w:val="0"/>
          <w:iCs w:val="0"/>
          <w:color w:val="auto"/>
          <w:sz w:val="28"/>
          <w:szCs w:val="28"/>
        </w:rPr>
        <w:t>第四部分 附件</w:t>
      </w:r>
      <w:r>
        <w:rPr>
          <w:rFonts w:hint="eastAsia" w:ascii="仿宋_GB2312" w:hAnsi="仿宋_GB2312" w:eastAsia="仿宋_GB2312" w:cs="仿宋_GB2312"/>
          <w:b w:val="0"/>
          <w:bCs w:val="0"/>
          <w:i w:val="0"/>
          <w:iCs w:val="0"/>
          <w:color w:val="auto"/>
          <w:sz w:val="28"/>
          <w:szCs w:val="28"/>
        </w:rPr>
        <w:tab/>
      </w:r>
      <w:r>
        <w:rPr>
          <w:rFonts w:hint="eastAsia" w:ascii="仿宋_GB2312" w:hAnsi="仿宋_GB2312" w:eastAsia="仿宋_GB2312" w:cs="仿宋_GB2312"/>
          <w:b w:val="0"/>
          <w:bCs w:val="0"/>
          <w:i w:val="0"/>
          <w:iCs w:val="0"/>
          <w:color w:val="auto"/>
          <w:sz w:val="28"/>
          <w:szCs w:val="28"/>
          <w:lang w:val="en-US" w:eastAsia="zh-CN"/>
        </w:rPr>
        <w:t>1</w:t>
      </w:r>
      <w:r>
        <w:rPr>
          <w:rFonts w:hint="eastAsia" w:ascii="仿宋_GB2312" w:hAnsi="仿宋_GB2312" w:eastAsia="仿宋_GB2312" w:cs="仿宋_GB2312"/>
          <w:b w:val="0"/>
          <w:bCs w:val="0"/>
          <w:i w:val="0"/>
          <w:iCs w:val="0"/>
          <w:color w:val="auto"/>
          <w:sz w:val="28"/>
          <w:szCs w:val="28"/>
        </w:rPr>
        <w:fldChar w:fldCharType="end"/>
      </w:r>
      <w:r>
        <w:rPr>
          <w:rFonts w:hint="eastAsia" w:ascii="仿宋_GB2312" w:hAnsi="仿宋_GB2312" w:eastAsia="仿宋_GB2312" w:cs="仿宋_GB2312"/>
          <w:b w:val="0"/>
          <w:bCs w:val="0"/>
          <w:i w:val="0"/>
          <w:iCs w:val="0"/>
          <w:color w:val="auto"/>
          <w:sz w:val="28"/>
          <w:szCs w:val="28"/>
          <w:lang w:val="en-US" w:eastAsia="zh-CN"/>
        </w:rPr>
        <w:t>6</w:t>
      </w:r>
    </w:p>
    <w:p>
      <w:pPr>
        <w:pStyle w:val="9"/>
        <w:tabs>
          <w:tab w:val="right" w:leader="dot" w:pos="8306"/>
        </w:tabs>
        <w:spacing w:line="560" w:lineRule="exact"/>
        <w:rPr>
          <w:rFonts w:hint="eastAsia" w:ascii="仿宋_GB2312" w:hAnsi="仿宋_GB2312" w:eastAsia="仿宋_GB2312" w:cs="仿宋_GB2312"/>
          <w:b w:val="0"/>
          <w:bCs w:val="0"/>
          <w:color w:val="auto"/>
          <w:sz w:val="28"/>
          <w:szCs w:val="28"/>
          <w:lang w:val="en-US" w:eastAsia="zh-CN"/>
        </w:rPr>
      </w:pPr>
      <w:r>
        <w:rPr>
          <w:color w:val="auto"/>
        </w:rPr>
        <w:fldChar w:fldCharType="begin"/>
      </w:r>
      <w:r>
        <w:rPr>
          <w:color w:val="auto"/>
        </w:rPr>
        <w:instrText xml:space="preserve"> HYPERLINK \l "_Toc22930" </w:instrText>
      </w:r>
      <w:r>
        <w:rPr>
          <w:color w:val="auto"/>
        </w:rPr>
        <w:fldChar w:fldCharType="separate"/>
      </w:r>
      <w:r>
        <w:rPr>
          <w:rFonts w:hint="eastAsia" w:ascii="仿宋_GB2312" w:hAnsi="仿宋_GB2312" w:eastAsia="仿宋_GB2312" w:cs="仿宋_GB2312"/>
          <w:b w:val="0"/>
          <w:bCs w:val="0"/>
          <w:color w:val="auto"/>
          <w:sz w:val="28"/>
          <w:szCs w:val="28"/>
        </w:rPr>
        <w:t>附件1</w:t>
      </w:r>
      <w:r>
        <w:rPr>
          <w:rFonts w:hint="eastAsia" w:ascii="仿宋_GB2312" w:hAnsi="仿宋_GB2312" w:eastAsia="仿宋_GB2312" w:cs="仿宋_GB2312"/>
          <w:b w:val="0"/>
          <w:bCs w:val="0"/>
          <w:color w:val="auto"/>
          <w:sz w:val="28"/>
          <w:szCs w:val="28"/>
        </w:rPr>
        <w:tab/>
      </w:r>
      <w:r>
        <w:rPr>
          <w:rFonts w:hint="eastAsia" w:ascii="仿宋_GB2312" w:hAnsi="仿宋_GB2312" w:eastAsia="仿宋_GB2312" w:cs="仿宋_GB2312"/>
          <w:b w:val="0"/>
          <w:bCs w:val="0"/>
          <w:color w:val="auto"/>
          <w:sz w:val="28"/>
          <w:szCs w:val="28"/>
          <w:lang w:val="en-US" w:eastAsia="zh-CN"/>
        </w:rPr>
        <w:t>1</w:t>
      </w:r>
      <w:r>
        <w:rPr>
          <w:rFonts w:hint="eastAsia" w:ascii="仿宋_GB2312" w:hAnsi="仿宋_GB2312" w:eastAsia="仿宋_GB2312" w:cs="仿宋_GB2312"/>
          <w:b w:val="0"/>
          <w:bCs w:val="0"/>
          <w:color w:val="auto"/>
          <w:sz w:val="28"/>
          <w:szCs w:val="28"/>
        </w:rPr>
        <w:fldChar w:fldCharType="end"/>
      </w:r>
      <w:r>
        <w:rPr>
          <w:rFonts w:hint="eastAsia" w:ascii="仿宋_GB2312" w:hAnsi="仿宋_GB2312" w:eastAsia="仿宋_GB2312" w:cs="仿宋_GB2312"/>
          <w:b w:val="0"/>
          <w:bCs w:val="0"/>
          <w:color w:val="auto"/>
          <w:sz w:val="28"/>
          <w:szCs w:val="28"/>
          <w:lang w:val="en-US" w:eastAsia="zh-CN"/>
        </w:rPr>
        <w:t>6</w:t>
      </w:r>
    </w:p>
    <w:p>
      <w:pPr>
        <w:pStyle w:val="9"/>
        <w:tabs>
          <w:tab w:val="right" w:leader="dot" w:pos="8306"/>
        </w:tabs>
        <w:spacing w:line="560" w:lineRule="exact"/>
        <w:rPr>
          <w:rFonts w:hint="eastAsia" w:ascii="仿宋_GB2312" w:hAnsi="仿宋_GB2312" w:eastAsia="仿宋_GB2312" w:cs="仿宋_GB2312"/>
          <w:b w:val="0"/>
          <w:bCs w:val="0"/>
          <w:color w:val="auto"/>
          <w:sz w:val="28"/>
          <w:szCs w:val="28"/>
          <w:lang w:val="en-US" w:eastAsia="zh-CN"/>
        </w:rPr>
      </w:pPr>
      <w:r>
        <w:rPr>
          <w:color w:val="auto"/>
        </w:rPr>
        <w:fldChar w:fldCharType="begin"/>
      </w:r>
      <w:r>
        <w:rPr>
          <w:color w:val="auto"/>
        </w:rPr>
        <w:instrText xml:space="preserve"> HYPERLINK \l "_Toc11602" </w:instrText>
      </w:r>
      <w:r>
        <w:rPr>
          <w:color w:val="auto"/>
        </w:rPr>
        <w:fldChar w:fldCharType="separate"/>
      </w:r>
      <w:r>
        <w:rPr>
          <w:rFonts w:hint="eastAsia" w:ascii="仿宋_GB2312" w:hAnsi="仿宋_GB2312" w:eastAsia="仿宋_GB2312" w:cs="仿宋_GB2312"/>
          <w:b w:val="0"/>
          <w:bCs w:val="0"/>
          <w:color w:val="auto"/>
          <w:sz w:val="28"/>
          <w:szCs w:val="28"/>
        </w:rPr>
        <w:t>附件2</w:t>
      </w:r>
      <w:r>
        <w:rPr>
          <w:rFonts w:hint="eastAsia" w:ascii="仿宋_GB2312" w:hAnsi="仿宋_GB2312" w:eastAsia="仿宋_GB2312" w:cs="仿宋_GB2312"/>
          <w:b w:val="0"/>
          <w:bCs w:val="0"/>
          <w:color w:val="auto"/>
          <w:sz w:val="28"/>
          <w:szCs w:val="28"/>
        </w:rPr>
        <w:tab/>
      </w:r>
      <w:r>
        <w:rPr>
          <w:rFonts w:hint="eastAsia" w:ascii="仿宋_GB2312" w:hAnsi="仿宋_GB2312" w:eastAsia="仿宋_GB2312" w:cs="仿宋_GB2312"/>
          <w:b w:val="0"/>
          <w:bCs w:val="0"/>
          <w:color w:val="auto"/>
          <w:sz w:val="28"/>
          <w:szCs w:val="28"/>
          <w:lang w:val="en-US" w:eastAsia="zh-CN"/>
        </w:rPr>
        <w:t>1</w:t>
      </w:r>
      <w:r>
        <w:rPr>
          <w:rFonts w:hint="eastAsia" w:ascii="仿宋_GB2312" w:hAnsi="仿宋_GB2312" w:eastAsia="仿宋_GB2312" w:cs="仿宋_GB2312"/>
          <w:b w:val="0"/>
          <w:bCs w:val="0"/>
          <w:color w:val="auto"/>
          <w:sz w:val="28"/>
          <w:szCs w:val="28"/>
        </w:rPr>
        <w:fldChar w:fldCharType="end"/>
      </w:r>
      <w:r>
        <w:rPr>
          <w:rFonts w:hint="eastAsia" w:ascii="仿宋_GB2312" w:hAnsi="仿宋_GB2312" w:eastAsia="仿宋_GB2312" w:cs="仿宋_GB2312"/>
          <w:b w:val="0"/>
          <w:bCs w:val="0"/>
          <w:color w:val="auto"/>
          <w:sz w:val="28"/>
          <w:szCs w:val="28"/>
          <w:lang w:val="en-US" w:eastAsia="zh-CN"/>
        </w:rPr>
        <w:t>8</w:t>
      </w:r>
    </w:p>
    <w:p>
      <w:pPr>
        <w:pStyle w:val="8"/>
        <w:tabs>
          <w:tab w:val="right" w:leader="dot" w:pos="8306"/>
        </w:tabs>
        <w:spacing w:line="560" w:lineRule="exact"/>
        <w:rPr>
          <w:rFonts w:hint="eastAsia" w:ascii="仿宋_GB2312" w:hAnsi="仿宋_GB2312" w:eastAsia="仿宋_GB2312" w:cs="仿宋_GB2312"/>
          <w:b w:val="0"/>
          <w:bCs w:val="0"/>
          <w:i w:val="0"/>
          <w:iCs w:val="0"/>
          <w:color w:val="auto"/>
          <w:sz w:val="28"/>
          <w:szCs w:val="28"/>
          <w:lang w:val="en-US" w:eastAsia="zh-CN"/>
        </w:rPr>
      </w:pPr>
      <w:r>
        <w:rPr>
          <w:color w:val="auto"/>
        </w:rPr>
        <w:fldChar w:fldCharType="begin"/>
      </w:r>
      <w:r>
        <w:rPr>
          <w:color w:val="auto"/>
        </w:rPr>
        <w:instrText xml:space="preserve"> HYPERLINK \l "_Toc32283" </w:instrText>
      </w:r>
      <w:r>
        <w:rPr>
          <w:color w:val="auto"/>
        </w:rPr>
        <w:fldChar w:fldCharType="separate"/>
      </w:r>
      <w:r>
        <w:rPr>
          <w:rFonts w:hint="eastAsia" w:ascii="仿宋_GB2312" w:hAnsi="仿宋_GB2312" w:eastAsia="仿宋_GB2312" w:cs="仿宋_GB2312"/>
          <w:b w:val="0"/>
          <w:bCs w:val="0"/>
          <w:i w:val="0"/>
          <w:iCs w:val="0"/>
          <w:color w:val="auto"/>
          <w:sz w:val="28"/>
          <w:szCs w:val="28"/>
        </w:rPr>
        <w:t>第五部分 附表</w:t>
      </w:r>
      <w:r>
        <w:rPr>
          <w:rFonts w:hint="eastAsia" w:ascii="仿宋_GB2312" w:hAnsi="仿宋_GB2312" w:eastAsia="仿宋_GB2312" w:cs="仿宋_GB2312"/>
          <w:b w:val="0"/>
          <w:bCs w:val="0"/>
          <w:i w:val="0"/>
          <w:iCs w:val="0"/>
          <w:color w:val="auto"/>
          <w:sz w:val="28"/>
          <w:szCs w:val="28"/>
        </w:rPr>
        <w:tab/>
      </w:r>
      <w:r>
        <w:rPr>
          <w:rFonts w:hint="eastAsia" w:ascii="仿宋_GB2312" w:hAnsi="仿宋_GB2312" w:eastAsia="仿宋_GB2312" w:cs="仿宋_GB2312"/>
          <w:b w:val="0"/>
          <w:bCs w:val="0"/>
          <w:i w:val="0"/>
          <w:iCs w:val="0"/>
          <w:color w:val="auto"/>
          <w:sz w:val="28"/>
          <w:szCs w:val="28"/>
          <w:lang w:val="en-US" w:eastAsia="zh-CN"/>
        </w:rPr>
        <w:t>2</w:t>
      </w:r>
      <w:r>
        <w:rPr>
          <w:rFonts w:hint="eastAsia" w:ascii="仿宋_GB2312" w:hAnsi="仿宋_GB2312" w:eastAsia="仿宋_GB2312" w:cs="仿宋_GB2312"/>
          <w:b w:val="0"/>
          <w:bCs w:val="0"/>
          <w:i w:val="0"/>
          <w:iCs w:val="0"/>
          <w:color w:val="auto"/>
          <w:sz w:val="28"/>
          <w:szCs w:val="28"/>
        </w:rPr>
        <w:fldChar w:fldCharType="end"/>
      </w:r>
      <w:r>
        <w:rPr>
          <w:rFonts w:hint="eastAsia" w:ascii="仿宋_GB2312" w:hAnsi="仿宋_GB2312" w:eastAsia="仿宋_GB2312" w:cs="仿宋_GB2312"/>
          <w:b w:val="0"/>
          <w:bCs w:val="0"/>
          <w:i w:val="0"/>
          <w:iCs w:val="0"/>
          <w:color w:val="auto"/>
          <w:sz w:val="28"/>
          <w:szCs w:val="28"/>
          <w:lang w:val="en-US" w:eastAsia="zh-CN"/>
        </w:rPr>
        <w:t>1</w:t>
      </w:r>
    </w:p>
    <w:p>
      <w:pPr>
        <w:pStyle w:val="9"/>
        <w:tabs>
          <w:tab w:val="right" w:leader="dot" w:pos="8306"/>
        </w:tabs>
        <w:spacing w:line="560" w:lineRule="exact"/>
        <w:rPr>
          <w:rFonts w:hint="eastAsia" w:ascii="仿宋_GB2312" w:hAnsi="仿宋_GB2312" w:eastAsia="仿宋_GB2312" w:cs="仿宋_GB2312"/>
          <w:b w:val="0"/>
          <w:bCs w:val="0"/>
          <w:color w:val="auto"/>
          <w:sz w:val="28"/>
          <w:szCs w:val="28"/>
          <w:lang w:val="en-US" w:eastAsia="zh-CN"/>
        </w:rPr>
      </w:pPr>
      <w:r>
        <w:rPr>
          <w:color w:val="auto"/>
        </w:rPr>
        <w:fldChar w:fldCharType="begin"/>
      </w:r>
      <w:r>
        <w:rPr>
          <w:color w:val="auto"/>
        </w:rPr>
        <w:instrText xml:space="preserve"> HYPERLINK \l "_Toc15699" </w:instrText>
      </w:r>
      <w:r>
        <w:rPr>
          <w:color w:val="auto"/>
        </w:rPr>
        <w:fldChar w:fldCharType="separate"/>
      </w:r>
      <w:r>
        <w:rPr>
          <w:rFonts w:hint="eastAsia" w:ascii="仿宋_GB2312" w:hAnsi="仿宋_GB2312" w:eastAsia="仿宋_GB2312" w:cs="仿宋_GB2312"/>
          <w:b w:val="0"/>
          <w:bCs w:val="0"/>
          <w:color w:val="auto"/>
          <w:sz w:val="28"/>
          <w:szCs w:val="28"/>
        </w:rPr>
        <w:t>一、收入支出决算总表</w:t>
      </w:r>
      <w:r>
        <w:rPr>
          <w:rFonts w:hint="eastAsia" w:ascii="仿宋_GB2312" w:hAnsi="仿宋_GB2312" w:eastAsia="仿宋_GB2312" w:cs="仿宋_GB2312"/>
          <w:b w:val="0"/>
          <w:bCs w:val="0"/>
          <w:color w:val="auto"/>
          <w:sz w:val="28"/>
          <w:szCs w:val="28"/>
        </w:rPr>
        <w:tab/>
      </w:r>
      <w:r>
        <w:rPr>
          <w:rFonts w:hint="eastAsia" w:ascii="仿宋_GB2312" w:hAnsi="仿宋_GB2312" w:eastAsia="仿宋_GB2312" w:cs="仿宋_GB2312"/>
          <w:b w:val="0"/>
          <w:bCs w:val="0"/>
          <w:color w:val="auto"/>
          <w:sz w:val="28"/>
          <w:szCs w:val="28"/>
          <w:lang w:val="en-US" w:eastAsia="zh-CN"/>
        </w:rPr>
        <w:t>2</w:t>
      </w:r>
      <w:r>
        <w:rPr>
          <w:rFonts w:hint="eastAsia" w:ascii="仿宋_GB2312" w:hAnsi="仿宋_GB2312" w:eastAsia="仿宋_GB2312" w:cs="仿宋_GB2312"/>
          <w:b w:val="0"/>
          <w:bCs w:val="0"/>
          <w:color w:val="auto"/>
          <w:sz w:val="28"/>
          <w:szCs w:val="28"/>
        </w:rPr>
        <w:fldChar w:fldCharType="end"/>
      </w:r>
      <w:r>
        <w:rPr>
          <w:rFonts w:hint="eastAsia" w:ascii="仿宋_GB2312" w:hAnsi="仿宋_GB2312" w:eastAsia="仿宋_GB2312" w:cs="仿宋_GB2312"/>
          <w:b w:val="0"/>
          <w:bCs w:val="0"/>
          <w:color w:val="auto"/>
          <w:sz w:val="28"/>
          <w:szCs w:val="28"/>
          <w:lang w:val="en-US" w:eastAsia="zh-CN"/>
        </w:rPr>
        <w:t>1</w:t>
      </w:r>
    </w:p>
    <w:p>
      <w:pPr>
        <w:pStyle w:val="9"/>
        <w:tabs>
          <w:tab w:val="right" w:leader="dot" w:pos="8306"/>
        </w:tabs>
        <w:spacing w:line="560" w:lineRule="exact"/>
        <w:rPr>
          <w:rFonts w:hint="eastAsia" w:ascii="仿宋_GB2312" w:hAnsi="仿宋_GB2312" w:eastAsia="仿宋_GB2312" w:cs="仿宋_GB2312"/>
          <w:b w:val="0"/>
          <w:bCs w:val="0"/>
          <w:color w:val="auto"/>
          <w:sz w:val="28"/>
          <w:szCs w:val="28"/>
          <w:lang w:val="en-US" w:eastAsia="zh-CN"/>
        </w:rPr>
      </w:pPr>
      <w:r>
        <w:rPr>
          <w:color w:val="auto"/>
        </w:rPr>
        <w:fldChar w:fldCharType="begin"/>
      </w:r>
      <w:r>
        <w:rPr>
          <w:color w:val="auto"/>
        </w:rPr>
        <w:instrText xml:space="preserve"> HYPERLINK \l "_Toc27106" </w:instrText>
      </w:r>
      <w:r>
        <w:rPr>
          <w:color w:val="auto"/>
        </w:rPr>
        <w:fldChar w:fldCharType="separate"/>
      </w:r>
      <w:r>
        <w:rPr>
          <w:rFonts w:hint="eastAsia" w:ascii="仿宋_GB2312" w:hAnsi="仿宋_GB2312" w:eastAsia="仿宋_GB2312" w:cs="仿宋_GB2312"/>
          <w:b w:val="0"/>
          <w:bCs w:val="0"/>
          <w:color w:val="auto"/>
          <w:sz w:val="28"/>
          <w:szCs w:val="28"/>
        </w:rPr>
        <w:t>二、收入决算表</w:t>
      </w:r>
      <w:r>
        <w:rPr>
          <w:rFonts w:hint="eastAsia" w:ascii="仿宋_GB2312" w:hAnsi="仿宋_GB2312" w:eastAsia="仿宋_GB2312" w:cs="仿宋_GB2312"/>
          <w:b w:val="0"/>
          <w:bCs w:val="0"/>
          <w:color w:val="auto"/>
          <w:sz w:val="28"/>
          <w:szCs w:val="28"/>
        </w:rPr>
        <w:tab/>
      </w:r>
      <w:r>
        <w:rPr>
          <w:rFonts w:hint="eastAsia" w:ascii="仿宋_GB2312" w:hAnsi="仿宋_GB2312" w:eastAsia="仿宋_GB2312" w:cs="仿宋_GB2312"/>
          <w:b w:val="0"/>
          <w:bCs w:val="0"/>
          <w:color w:val="auto"/>
          <w:sz w:val="28"/>
          <w:szCs w:val="28"/>
          <w:lang w:val="en-US" w:eastAsia="zh-CN"/>
        </w:rPr>
        <w:t>2</w:t>
      </w:r>
      <w:r>
        <w:rPr>
          <w:rFonts w:hint="eastAsia" w:ascii="仿宋_GB2312" w:hAnsi="仿宋_GB2312" w:eastAsia="仿宋_GB2312" w:cs="仿宋_GB2312"/>
          <w:b w:val="0"/>
          <w:bCs w:val="0"/>
          <w:color w:val="auto"/>
          <w:sz w:val="28"/>
          <w:szCs w:val="28"/>
        </w:rPr>
        <w:fldChar w:fldCharType="end"/>
      </w:r>
      <w:r>
        <w:rPr>
          <w:rFonts w:hint="eastAsia" w:ascii="仿宋_GB2312" w:hAnsi="仿宋_GB2312" w:eastAsia="仿宋_GB2312" w:cs="仿宋_GB2312"/>
          <w:b w:val="0"/>
          <w:bCs w:val="0"/>
          <w:color w:val="auto"/>
          <w:sz w:val="28"/>
          <w:szCs w:val="28"/>
          <w:lang w:val="en-US" w:eastAsia="zh-CN"/>
        </w:rPr>
        <w:t>1</w:t>
      </w:r>
    </w:p>
    <w:p>
      <w:pPr>
        <w:pStyle w:val="9"/>
        <w:tabs>
          <w:tab w:val="right" w:leader="dot" w:pos="8306"/>
        </w:tabs>
        <w:spacing w:line="560" w:lineRule="exact"/>
        <w:rPr>
          <w:rFonts w:hint="eastAsia" w:ascii="仿宋_GB2312" w:hAnsi="仿宋_GB2312" w:eastAsia="仿宋_GB2312" w:cs="仿宋_GB2312"/>
          <w:b w:val="0"/>
          <w:bCs w:val="0"/>
          <w:color w:val="auto"/>
          <w:sz w:val="28"/>
          <w:szCs w:val="28"/>
          <w:lang w:val="en-US" w:eastAsia="zh-CN"/>
        </w:rPr>
      </w:pPr>
      <w:r>
        <w:rPr>
          <w:color w:val="auto"/>
        </w:rPr>
        <w:fldChar w:fldCharType="begin"/>
      </w:r>
      <w:r>
        <w:rPr>
          <w:color w:val="auto"/>
        </w:rPr>
        <w:instrText xml:space="preserve"> HYPERLINK \l "_Toc26817" </w:instrText>
      </w:r>
      <w:r>
        <w:rPr>
          <w:color w:val="auto"/>
        </w:rPr>
        <w:fldChar w:fldCharType="separate"/>
      </w:r>
      <w:r>
        <w:rPr>
          <w:rFonts w:hint="eastAsia" w:ascii="仿宋_GB2312" w:hAnsi="仿宋_GB2312" w:eastAsia="仿宋_GB2312" w:cs="仿宋_GB2312"/>
          <w:b w:val="0"/>
          <w:bCs w:val="0"/>
          <w:color w:val="auto"/>
          <w:sz w:val="28"/>
          <w:szCs w:val="28"/>
        </w:rPr>
        <w:t>三、支出决算表</w:t>
      </w:r>
      <w:r>
        <w:rPr>
          <w:rFonts w:hint="eastAsia" w:ascii="仿宋_GB2312" w:hAnsi="仿宋_GB2312" w:eastAsia="仿宋_GB2312" w:cs="仿宋_GB2312"/>
          <w:b w:val="0"/>
          <w:bCs w:val="0"/>
          <w:color w:val="auto"/>
          <w:sz w:val="28"/>
          <w:szCs w:val="28"/>
        </w:rPr>
        <w:tab/>
      </w:r>
      <w:r>
        <w:rPr>
          <w:rFonts w:hint="eastAsia" w:ascii="仿宋_GB2312" w:hAnsi="仿宋_GB2312" w:eastAsia="仿宋_GB2312" w:cs="仿宋_GB2312"/>
          <w:b w:val="0"/>
          <w:bCs w:val="0"/>
          <w:color w:val="auto"/>
          <w:sz w:val="28"/>
          <w:szCs w:val="28"/>
          <w:lang w:val="en-US" w:eastAsia="zh-CN"/>
        </w:rPr>
        <w:t>2</w:t>
      </w:r>
      <w:r>
        <w:rPr>
          <w:rFonts w:hint="eastAsia" w:ascii="仿宋_GB2312" w:hAnsi="仿宋_GB2312" w:eastAsia="仿宋_GB2312" w:cs="仿宋_GB2312"/>
          <w:b w:val="0"/>
          <w:bCs w:val="0"/>
          <w:color w:val="auto"/>
          <w:sz w:val="28"/>
          <w:szCs w:val="28"/>
        </w:rPr>
        <w:fldChar w:fldCharType="end"/>
      </w:r>
      <w:r>
        <w:rPr>
          <w:rFonts w:hint="eastAsia" w:ascii="仿宋_GB2312" w:hAnsi="仿宋_GB2312" w:eastAsia="仿宋_GB2312" w:cs="仿宋_GB2312"/>
          <w:b w:val="0"/>
          <w:bCs w:val="0"/>
          <w:color w:val="auto"/>
          <w:sz w:val="28"/>
          <w:szCs w:val="28"/>
          <w:lang w:val="en-US" w:eastAsia="zh-CN"/>
        </w:rPr>
        <w:t>1</w:t>
      </w:r>
    </w:p>
    <w:p>
      <w:pPr>
        <w:pStyle w:val="9"/>
        <w:tabs>
          <w:tab w:val="right" w:leader="dot" w:pos="8306"/>
        </w:tabs>
        <w:spacing w:line="560" w:lineRule="exact"/>
        <w:rPr>
          <w:rFonts w:hint="eastAsia" w:ascii="仿宋_GB2312" w:hAnsi="仿宋_GB2312" w:eastAsia="仿宋_GB2312" w:cs="仿宋_GB2312"/>
          <w:b w:val="0"/>
          <w:bCs w:val="0"/>
          <w:color w:val="auto"/>
          <w:sz w:val="28"/>
          <w:szCs w:val="28"/>
          <w:lang w:val="en-US" w:eastAsia="zh-CN"/>
        </w:rPr>
      </w:pPr>
      <w:r>
        <w:rPr>
          <w:color w:val="auto"/>
        </w:rPr>
        <w:fldChar w:fldCharType="begin"/>
      </w:r>
      <w:r>
        <w:rPr>
          <w:color w:val="auto"/>
        </w:rPr>
        <w:instrText xml:space="preserve"> HYPERLINK \l "_Toc21747" </w:instrText>
      </w:r>
      <w:r>
        <w:rPr>
          <w:color w:val="auto"/>
        </w:rPr>
        <w:fldChar w:fldCharType="separate"/>
      </w:r>
      <w:r>
        <w:rPr>
          <w:rFonts w:hint="eastAsia" w:ascii="仿宋_GB2312" w:hAnsi="仿宋_GB2312" w:eastAsia="仿宋_GB2312" w:cs="仿宋_GB2312"/>
          <w:b w:val="0"/>
          <w:bCs w:val="0"/>
          <w:color w:val="auto"/>
          <w:sz w:val="28"/>
          <w:szCs w:val="28"/>
        </w:rPr>
        <w:t>四、财政拨款收入支出决算总表</w:t>
      </w:r>
      <w:r>
        <w:rPr>
          <w:rFonts w:hint="eastAsia" w:ascii="仿宋_GB2312" w:hAnsi="仿宋_GB2312" w:eastAsia="仿宋_GB2312" w:cs="仿宋_GB2312"/>
          <w:b w:val="0"/>
          <w:bCs w:val="0"/>
          <w:color w:val="auto"/>
          <w:sz w:val="28"/>
          <w:szCs w:val="28"/>
        </w:rPr>
        <w:tab/>
      </w:r>
      <w:r>
        <w:rPr>
          <w:rFonts w:hint="eastAsia" w:ascii="仿宋_GB2312" w:hAnsi="仿宋_GB2312" w:eastAsia="仿宋_GB2312" w:cs="仿宋_GB2312"/>
          <w:b w:val="0"/>
          <w:bCs w:val="0"/>
          <w:color w:val="auto"/>
          <w:sz w:val="28"/>
          <w:szCs w:val="28"/>
          <w:lang w:val="en-US" w:eastAsia="zh-CN"/>
        </w:rPr>
        <w:t>2</w:t>
      </w:r>
      <w:r>
        <w:rPr>
          <w:rFonts w:hint="eastAsia" w:ascii="仿宋_GB2312" w:hAnsi="仿宋_GB2312" w:eastAsia="仿宋_GB2312" w:cs="仿宋_GB2312"/>
          <w:b w:val="0"/>
          <w:bCs w:val="0"/>
          <w:color w:val="auto"/>
          <w:sz w:val="28"/>
          <w:szCs w:val="28"/>
        </w:rPr>
        <w:fldChar w:fldCharType="end"/>
      </w:r>
      <w:r>
        <w:rPr>
          <w:rFonts w:hint="eastAsia" w:ascii="仿宋_GB2312" w:hAnsi="仿宋_GB2312" w:eastAsia="仿宋_GB2312" w:cs="仿宋_GB2312"/>
          <w:b w:val="0"/>
          <w:bCs w:val="0"/>
          <w:color w:val="auto"/>
          <w:sz w:val="28"/>
          <w:szCs w:val="28"/>
          <w:lang w:val="en-US" w:eastAsia="zh-CN"/>
        </w:rPr>
        <w:t>1</w:t>
      </w:r>
    </w:p>
    <w:p>
      <w:pPr>
        <w:pStyle w:val="9"/>
        <w:tabs>
          <w:tab w:val="right" w:leader="dot" w:pos="8306"/>
        </w:tabs>
        <w:spacing w:line="560" w:lineRule="exact"/>
        <w:rPr>
          <w:rFonts w:hint="eastAsia" w:ascii="仿宋_GB2312" w:hAnsi="仿宋_GB2312" w:eastAsia="仿宋_GB2312" w:cs="仿宋_GB2312"/>
          <w:b w:val="0"/>
          <w:bCs w:val="0"/>
          <w:color w:val="auto"/>
          <w:sz w:val="28"/>
          <w:szCs w:val="28"/>
          <w:lang w:val="en-US" w:eastAsia="zh-CN"/>
        </w:rPr>
      </w:pPr>
      <w:r>
        <w:rPr>
          <w:color w:val="auto"/>
        </w:rPr>
        <w:fldChar w:fldCharType="begin"/>
      </w:r>
      <w:r>
        <w:rPr>
          <w:color w:val="auto"/>
        </w:rPr>
        <w:instrText xml:space="preserve"> HYPERLINK \l "_Toc12959" </w:instrText>
      </w:r>
      <w:r>
        <w:rPr>
          <w:color w:val="auto"/>
        </w:rPr>
        <w:fldChar w:fldCharType="separate"/>
      </w:r>
      <w:r>
        <w:rPr>
          <w:rFonts w:hint="eastAsia" w:ascii="仿宋_GB2312" w:hAnsi="仿宋_GB2312" w:eastAsia="仿宋_GB2312" w:cs="仿宋_GB2312"/>
          <w:b w:val="0"/>
          <w:bCs w:val="0"/>
          <w:color w:val="auto"/>
          <w:sz w:val="28"/>
          <w:szCs w:val="28"/>
        </w:rPr>
        <w:t>五、财政拨款支出决算明细表</w:t>
      </w:r>
      <w:r>
        <w:rPr>
          <w:rFonts w:hint="eastAsia" w:ascii="仿宋_GB2312" w:hAnsi="仿宋_GB2312" w:eastAsia="仿宋_GB2312" w:cs="仿宋_GB2312"/>
          <w:b w:val="0"/>
          <w:bCs w:val="0"/>
          <w:color w:val="auto"/>
          <w:sz w:val="28"/>
          <w:szCs w:val="28"/>
        </w:rPr>
        <w:tab/>
      </w:r>
      <w:r>
        <w:rPr>
          <w:rFonts w:hint="eastAsia" w:ascii="仿宋_GB2312" w:hAnsi="仿宋_GB2312" w:eastAsia="仿宋_GB2312" w:cs="仿宋_GB2312"/>
          <w:b w:val="0"/>
          <w:bCs w:val="0"/>
          <w:color w:val="auto"/>
          <w:sz w:val="28"/>
          <w:szCs w:val="28"/>
          <w:lang w:val="en-US" w:eastAsia="zh-CN"/>
        </w:rPr>
        <w:t>2</w:t>
      </w:r>
      <w:r>
        <w:rPr>
          <w:rFonts w:hint="eastAsia" w:ascii="仿宋_GB2312" w:hAnsi="仿宋_GB2312" w:eastAsia="仿宋_GB2312" w:cs="仿宋_GB2312"/>
          <w:b w:val="0"/>
          <w:bCs w:val="0"/>
          <w:color w:val="auto"/>
          <w:sz w:val="28"/>
          <w:szCs w:val="28"/>
        </w:rPr>
        <w:fldChar w:fldCharType="end"/>
      </w:r>
      <w:r>
        <w:rPr>
          <w:rFonts w:hint="eastAsia" w:ascii="仿宋_GB2312" w:hAnsi="仿宋_GB2312" w:eastAsia="仿宋_GB2312" w:cs="仿宋_GB2312"/>
          <w:b w:val="0"/>
          <w:bCs w:val="0"/>
          <w:color w:val="auto"/>
          <w:sz w:val="28"/>
          <w:szCs w:val="28"/>
          <w:lang w:val="en-US" w:eastAsia="zh-CN"/>
        </w:rPr>
        <w:t>1</w:t>
      </w:r>
    </w:p>
    <w:p>
      <w:pPr>
        <w:pStyle w:val="9"/>
        <w:tabs>
          <w:tab w:val="right" w:leader="dot" w:pos="8306"/>
        </w:tabs>
        <w:spacing w:line="560" w:lineRule="exact"/>
        <w:rPr>
          <w:rFonts w:hint="eastAsia" w:ascii="仿宋_GB2312" w:hAnsi="仿宋_GB2312" w:eastAsia="仿宋_GB2312" w:cs="仿宋_GB2312"/>
          <w:b w:val="0"/>
          <w:bCs w:val="0"/>
          <w:color w:val="auto"/>
          <w:sz w:val="28"/>
          <w:szCs w:val="28"/>
          <w:lang w:val="en-US" w:eastAsia="zh-CN"/>
        </w:rPr>
      </w:pPr>
      <w:r>
        <w:rPr>
          <w:color w:val="auto"/>
        </w:rPr>
        <w:fldChar w:fldCharType="begin"/>
      </w:r>
      <w:r>
        <w:rPr>
          <w:color w:val="auto"/>
        </w:rPr>
        <w:instrText xml:space="preserve"> HYPERLINK \l "_Toc23749" </w:instrText>
      </w:r>
      <w:r>
        <w:rPr>
          <w:color w:val="auto"/>
        </w:rPr>
        <w:fldChar w:fldCharType="separate"/>
      </w:r>
      <w:r>
        <w:rPr>
          <w:rFonts w:hint="eastAsia" w:ascii="仿宋_GB2312" w:hAnsi="仿宋_GB2312" w:eastAsia="仿宋_GB2312" w:cs="仿宋_GB2312"/>
          <w:b w:val="0"/>
          <w:bCs w:val="0"/>
          <w:color w:val="auto"/>
          <w:sz w:val="28"/>
          <w:szCs w:val="28"/>
        </w:rPr>
        <w:t>六、一般公共预算财政拨款支出决算表</w:t>
      </w:r>
      <w:r>
        <w:rPr>
          <w:rFonts w:hint="eastAsia" w:ascii="仿宋_GB2312" w:hAnsi="仿宋_GB2312" w:eastAsia="仿宋_GB2312" w:cs="仿宋_GB2312"/>
          <w:b w:val="0"/>
          <w:bCs w:val="0"/>
          <w:color w:val="auto"/>
          <w:sz w:val="28"/>
          <w:szCs w:val="28"/>
        </w:rPr>
        <w:tab/>
      </w:r>
      <w:r>
        <w:rPr>
          <w:rFonts w:hint="eastAsia" w:ascii="仿宋_GB2312" w:hAnsi="仿宋_GB2312" w:eastAsia="仿宋_GB2312" w:cs="仿宋_GB2312"/>
          <w:b w:val="0"/>
          <w:bCs w:val="0"/>
          <w:color w:val="auto"/>
          <w:sz w:val="28"/>
          <w:szCs w:val="28"/>
          <w:lang w:val="en-US" w:eastAsia="zh-CN"/>
        </w:rPr>
        <w:t>2</w:t>
      </w:r>
      <w:r>
        <w:rPr>
          <w:rFonts w:hint="eastAsia" w:ascii="仿宋_GB2312" w:hAnsi="仿宋_GB2312" w:eastAsia="仿宋_GB2312" w:cs="仿宋_GB2312"/>
          <w:b w:val="0"/>
          <w:bCs w:val="0"/>
          <w:color w:val="auto"/>
          <w:sz w:val="28"/>
          <w:szCs w:val="28"/>
        </w:rPr>
        <w:fldChar w:fldCharType="end"/>
      </w:r>
      <w:r>
        <w:rPr>
          <w:rFonts w:hint="eastAsia" w:ascii="仿宋_GB2312" w:hAnsi="仿宋_GB2312" w:eastAsia="仿宋_GB2312" w:cs="仿宋_GB2312"/>
          <w:b w:val="0"/>
          <w:bCs w:val="0"/>
          <w:color w:val="auto"/>
          <w:sz w:val="28"/>
          <w:szCs w:val="28"/>
          <w:lang w:val="en-US" w:eastAsia="zh-CN"/>
        </w:rPr>
        <w:t>1</w:t>
      </w:r>
    </w:p>
    <w:p>
      <w:pPr>
        <w:pStyle w:val="9"/>
        <w:tabs>
          <w:tab w:val="right" w:leader="dot" w:pos="8306"/>
        </w:tabs>
        <w:spacing w:line="560" w:lineRule="exact"/>
        <w:rPr>
          <w:rFonts w:hint="eastAsia" w:ascii="仿宋_GB2312" w:hAnsi="仿宋_GB2312" w:eastAsia="仿宋_GB2312" w:cs="仿宋_GB2312"/>
          <w:b w:val="0"/>
          <w:bCs w:val="0"/>
          <w:color w:val="auto"/>
          <w:sz w:val="28"/>
          <w:szCs w:val="28"/>
          <w:lang w:val="en-US" w:eastAsia="zh-CN"/>
        </w:rPr>
      </w:pPr>
      <w:r>
        <w:rPr>
          <w:color w:val="auto"/>
        </w:rPr>
        <w:fldChar w:fldCharType="begin"/>
      </w:r>
      <w:r>
        <w:rPr>
          <w:color w:val="auto"/>
        </w:rPr>
        <w:instrText xml:space="preserve"> HYPERLINK \l "_Toc22275" </w:instrText>
      </w:r>
      <w:r>
        <w:rPr>
          <w:color w:val="auto"/>
        </w:rPr>
        <w:fldChar w:fldCharType="separate"/>
      </w:r>
      <w:r>
        <w:rPr>
          <w:rFonts w:hint="eastAsia" w:ascii="仿宋_GB2312" w:hAnsi="仿宋_GB2312" w:eastAsia="仿宋_GB2312" w:cs="仿宋_GB2312"/>
          <w:b w:val="0"/>
          <w:bCs w:val="0"/>
          <w:color w:val="auto"/>
          <w:sz w:val="28"/>
          <w:szCs w:val="28"/>
        </w:rPr>
        <w:t>七、一般公共预算财政拨款支出决算明细表</w:t>
      </w:r>
      <w:r>
        <w:rPr>
          <w:rFonts w:hint="eastAsia" w:ascii="仿宋_GB2312" w:hAnsi="仿宋_GB2312" w:eastAsia="仿宋_GB2312" w:cs="仿宋_GB2312"/>
          <w:b w:val="0"/>
          <w:bCs w:val="0"/>
          <w:color w:val="auto"/>
          <w:sz w:val="28"/>
          <w:szCs w:val="28"/>
        </w:rPr>
        <w:tab/>
      </w:r>
      <w:r>
        <w:rPr>
          <w:rFonts w:hint="eastAsia" w:ascii="仿宋_GB2312" w:hAnsi="仿宋_GB2312" w:eastAsia="仿宋_GB2312" w:cs="仿宋_GB2312"/>
          <w:b w:val="0"/>
          <w:bCs w:val="0"/>
          <w:color w:val="auto"/>
          <w:sz w:val="28"/>
          <w:szCs w:val="28"/>
          <w:lang w:val="en-US" w:eastAsia="zh-CN"/>
        </w:rPr>
        <w:t>2</w:t>
      </w:r>
      <w:r>
        <w:rPr>
          <w:rFonts w:hint="eastAsia" w:ascii="仿宋_GB2312" w:hAnsi="仿宋_GB2312" w:eastAsia="仿宋_GB2312" w:cs="仿宋_GB2312"/>
          <w:b w:val="0"/>
          <w:bCs w:val="0"/>
          <w:color w:val="auto"/>
          <w:sz w:val="28"/>
          <w:szCs w:val="28"/>
        </w:rPr>
        <w:fldChar w:fldCharType="end"/>
      </w:r>
      <w:r>
        <w:rPr>
          <w:rFonts w:hint="eastAsia" w:ascii="仿宋_GB2312" w:hAnsi="仿宋_GB2312" w:eastAsia="仿宋_GB2312" w:cs="仿宋_GB2312"/>
          <w:b w:val="0"/>
          <w:bCs w:val="0"/>
          <w:color w:val="auto"/>
          <w:sz w:val="28"/>
          <w:szCs w:val="28"/>
          <w:lang w:val="en-US" w:eastAsia="zh-CN"/>
        </w:rPr>
        <w:t>1</w:t>
      </w:r>
    </w:p>
    <w:p>
      <w:pPr>
        <w:pStyle w:val="9"/>
        <w:tabs>
          <w:tab w:val="right" w:leader="dot" w:pos="8306"/>
        </w:tabs>
        <w:spacing w:line="560" w:lineRule="exact"/>
        <w:rPr>
          <w:rFonts w:hint="eastAsia" w:ascii="仿宋_GB2312" w:hAnsi="仿宋_GB2312" w:eastAsia="仿宋_GB2312" w:cs="仿宋_GB2312"/>
          <w:b w:val="0"/>
          <w:bCs w:val="0"/>
          <w:color w:val="auto"/>
          <w:sz w:val="28"/>
          <w:szCs w:val="28"/>
          <w:lang w:val="en-US" w:eastAsia="zh-CN"/>
        </w:rPr>
      </w:pPr>
      <w:r>
        <w:rPr>
          <w:color w:val="auto"/>
        </w:rPr>
        <w:fldChar w:fldCharType="begin"/>
      </w:r>
      <w:r>
        <w:rPr>
          <w:color w:val="auto"/>
        </w:rPr>
        <w:instrText xml:space="preserve"> HYPERLINK \l "_Toc30634" </w:instrText>
      </w:r>
      <w:r>
        <w:rPr>
          <w:color w:val="auto"/>
        </w:rPr>
        <w:fldChar w:fldCharType="separate"/>
      </w:r>
      <w:r>
        <w:rPr>
          <w:rFonts w:hint="eastAsia" w:ascii="仿宋_GB2312" w:hAnsi="仿宋_GB2312" w:eastAsia="仿宋_GB2312" w:cs="仿宋_GB2312"/>
          <w:b w:val="0"/>
          <w:bCs w:val="0"/>
          <w:color w:val="auto"/>
          <w:sz w:val="28"/>
          <w:szCs w:val="28"/>
        </w:rPr>
        <w:t>八、一般公共预算财政拨款基本支出决算表</w:t>
      </w:r>
      <w:r>
        <w:rPr>
          <w:rFonts w:hint="eastAsia" w:ascii="仿宋_GB2312" w:hAnsi="仿宋_GB2312" w:eastAsia="仿宋_GB2312" w:cs="仿宋_GB2312"/>
          <w:b w:val="0"/>
          <w:bCs w:val="0"/>
          <w:color w:val="auto"/>
          <w:sz w:val="28"/>
          <w:szCs w:val="28"/>
        </w:rPr>
        <w:tab/>
      </w:r>
      <w:r>
        <w:rPr>
          <w:rFonts w:hint="eastAsia" w:ascii="仿宋_GB2312" w:hAnsi="仿宋_GB2312" w:eastAsia="仿宋_GB2312" w:cs="仿宋_GB2312"/>
          <w:b w:val="0"/>
          <w:bCs w:val="0"/>
          <w:color w:val="auto"/>
          <w:sz w:val="28"/>
          <w:szCs w:val="28"/>
          <w:lang w:val="en-US" w:eastAsia="zh-CN"/>
        </w:rPr>
        <w:t>2</w:t>
      </w:r>
      <w:r>
        <w:rPr>
          <w:rFonts w:hint="eastAsia" w:ascii="仿宋_GB2312" w:hAnsi="仿宋_GB2312" w:eastAsia="仿宋_GB2312" w:cs="仿宋_GB2312"/>
          <w:b w:val="0"/>
          <w:bCs w:val="0"/>
          <w:color w:val="auto"/>
          <w:sz w:val="28"/>
          <w:szCs w:val="28"/>
        </w:rPr>
        <w:fldChar w:fldCharType="end"/>
      </w:r>
      <w:r>
        <w:rPr>
          <w:rFonts w:hint="eastAsia" w:ascii="仿宋_GB2312" w:hAnsi="仿宋_GB2312" w:eastAsia="仿宋_GB2312" w:cs="仿宋_GB2312"/>
          <w:b w:val="0"/>
          <w:bCs w:val="0"/>
          <w:color w:val="auto"/>
          <w:sz w:val="28"/>
          <w:szCs w:val="28"/>
          <w:lang w:val="en-US" w:eastAsia="zh-CN"/>
        </w:rPr>
        <w:t>1</w:t>
      </w:r>
    </w:p>
    <w:p>
      <w:pPr>
        <w:pStyle w:val="9"/>
        <w:tabs>
          <w:tab w:val="right" w:leader="dot" w:pos="8306"/>
        </w:tabs>
        <w:spacing w:line="560" w:lineRule="exact"/>
        <w:rPr>
          <w:rFonts w:hint="eastAsia" w:ascii="仿宋_GB2312" w:hAnsi="仿宋_GB2312" w:eastAsia="仿宋_GB2312" w:cs="仿宋_GB2312"/>
          <w:b w:val="0"/>
          <w:bCs w:val="0"/>
          <w:color w:val="auto"/>
          <w:sz w:val="28"/>
          <w:szCs w:val="28"/>
          <w:lang w:val="en-US" w:eastAsia="zh-CN"/>
        </w:rPr>
      </w:pPr>
      <w:r>
        <w:rPr>
          <w:color w:val="auto"/>
        </w:rPr>
        <w:fldChar w:fldCharType="begin"/>
      </w:r>
      <w:r>
        <w:rPr>
          <w:color w:val="auto"/>
        </w:rPr>
        <w:instrText xml:space="preserve"> HYPERLINK \l "_Toc15170" </w:instrText>
      </w:r>
      <w:r>
        <w:rPr>
          <w:color w:val="auto"/>
        </w:rPr>
        <w:fldChar w:fldCharType="separate"/>
      </w:r>
      <w:r>
        <w:rPr>
          <w:rFonts w:hint="eastAsia" w:ascii="仿宋_GB2312" w:hAnsi="仿宋_GB2312" w:eastAsia="仿宋_GB2312" w:cs="仿宋_GB2312"/>
          <w:b w:val="0"/>
          <w:bCs w:val="0"/>
          <w:color w:val="auto"/>
          <w:sz w:val="28"/>
          <w:szCs w:val="28"/>
        </w:rPr>
        <w:t>九、一般公共预算财政拨款项目支出决算表</w:t>
      </w:r>
      <w:r>
        <w:rPr>
          <w:rFonts w:hint="eastAsia" w:ascii="仿宋_GB2312" w:hAnsi="仿宋_GB2312" w:eastAsia="仿宋_GB2312" w:cs="仿宋_GB2312"/>
          <w:b w:val="0"/>
          <w:bCs w:val="0"/>
          <w:color w:val="auto"/>
          <w:sz w:val="28"/>
          <w:szCs w:val="28"/>
        </w:rPr>
        <w:tab/>
      </w:r>
      <w:r>
        <w:rPr>
          <w:rFonts w:hint="eastAsia" w:ascii="仿宋_GB2312" w:hAnsi="仿宋_GB2312" w:eastAsia="仿宋_GB2312" w:cs="仿宋_GB2312"/>
          <w:b w:val="0"/>
          <w:bCs w:val="0"/>
          <w:color w:val="auto"/>
          <w:sz w:val="28"/>
          <w:szCs w:val="28"/>
          <w:lang w:val="en-US" w:eastAsia="zh-CN"/>
        </w:rPr>
        <w:t>2</w:t>
      </w:r>
      <w:r>
        <w:rPr>
          <w:rFonts w:hint="eastAsia" w:ascii="仿宋_GB2312" w:hAnsi="仿宋_GB2312" w:eastAsia="仿宋_GB2312" w:cs="仿宋_GB2312"/>
          <w:b w:val="0"/>
          <w:bCs w:val="0"/>
          <w:color w:val="auto"/>
          <w:sz w:val="28"/>
          <w:szCs w:val="28"/>
        </w:rPr>
        <w:fldChar w:fldCharType="end"/>
      </w:r>
      <w:r>
        <w:rPr>
          <w:rFonts w:hint="eastAsia" w:ascii="仿宋_GB2312" w:hAnsi="仿宋_GB2312" w:eastAsia="仿宋_GB2312" w:cs="仿宋_GB2312"/>
          <w:b w:val="0"/>
          <w:bCs w:val="0"/>
          <w:color w:val="auto"/>
          <w:sz w:val="28"/>
          <w:szCs w:val="28"/>
          <w:lang w:val="en-US" w:eastAsia="zh-CN"/>
        </w:rPr>
        <w:t>1</w:t>
      </w:r>
    </w:p>
    <w:p>
      <w:pPr>
        <w:pStyle w:val="9"/>
        <w:tabs>
          <w:tab w:val="right" w:leader="dot" w:pos="8306"/>
        </w:tabs>
        <w:spacing w:line="560" w:lineRule="exact"/>
        <w:rPr>
          <w:rFonts w:ascii="仿宋_GB2312" w:hAnsi="仿宋_GB2312" w:eastAsia="仿宋_GB2312" w:cs="仿宋_GB2312"/>
          <w:b w:val="0"/>
          <w:bCs w:val="0"/>
          <w:color w:val="auto"/>
          <w:sz w:val="28"/>
          <w:szCs w:val="28"/>
        </w:rPr>
      </w:pPr>
      <w:r>
        <w:rPr>
          <w:color w:val="auto"/>
        </w:rPr>
        <w:fldChar w:fldCharType="begin"/>
      </w:r>
      <w:r>
        <w:rPr>
          <w:color w:val="auto"/>
        </w:rPr>
        <w:instrText xml:space="preserve"> HYPERLINK \l "_Toc17603" </w:instrText>
      </w:r>
      <w:r>
        <w:rPr>
          <w:color w:val="auto"/>
        </w:rPr>
        <w:fldChar w:fldCharType="separate"/>
      </w:r>
      <w:r>
        <w:rPr>
          <w:rFonts w:hint="eastAsia" w:ascii="仿宋_GB2312" w:hAnsi="仿宋_GB2312" w:eastAsia="仿宋_GB2312" w:cs="仿宋_GB2312"/>
          <w:b w:val="0"/>
          <w:bCs w:val="0"/>
          <w:color w:val="auto"/>
          <w:sz w:val="28"/>
          <w:szCs w:val="28"/>
        </w:rPr>
        <w:t>十、一般公共预算财政拨款“三公”经费支出决算表</w:t>
      </w:r>
      <w:r>
        <w:rPr>
          <w:rFonts w:hint="eastAsia" w:ascii="仿宋_GB2312" w:hAnsi="仿宋_GB2312" w:eastAsia="仿宋_GB2312" w:cs="仿宋_GB2312"/>
          <w:b w:val="0"/>
          <w:bCs w:val="0"/>
          <w:color w:val="auto"/>
          <w:sz w:val="28"/>
          <w:szCs w:val="28"/>
        </w:rPr>
        <w:tab/>
      </w:r>
      <w:r>
        <w:rPr>
          <w:rFonts w:hint="eastAsia" w:ascii="仿宋_GB2312" w:hAnsi="仿宋_GB2312" w:eastAsia="仿宋_GB2312" w:cs="仿宋_GB2312"/>
          <w:b w:val="0"/>
          <w:bCs w:val="0"/>
          <w:color w:val="auto"/>
          <w:sz w:val="28"/>
          <w:szCs w:val="28"/>
        </w:rPr>
        <w:fldChar w:fldCharType="begin"/>
      </w:r>
      <w:r>
        <w:rPr>
          <w:rFonts w:hint="eastAsia" w:ascii="仿宋_GB2312" w:hAnsi="仿宋_GB2312" w:eastAsia="仿宋_GB2312" w:cs="仿宋_GB2312"/>
          <w:b w:val="0"/>
          <w:bCs w:val="0"/>
          <w:color w:val="auto"/>
          <w:sz w:val="28"/>
          <w:szCs w:val="28"/>
        </w:rPr>
        <w:instrText xml:space="preserve"> PAGEREF _Toc17603 \h </w:instrText>
      </w:r>
      <w:r>
        <w:rPr>
          <w:rFonts w:hint="eastAsia" w:ascii="仿宋_GB2312" w:hAnsi="仿宋_GB2312" w:eastAsia="仿宋_GB2312" w:cs="仿宋_GB2312"/>
          <w:b w:val="0"/>
          <w:bCs w:val="0"/>
          <w:color w:val="auto"/>
          <w:sz w:val="28"/>
          <w:szCs w:val="28"/>
        </w:rPr>
        <w:fldChar w:fldCharType="separate"/>
      </w:r>
      <w:r>
        <w:rPr>
          <w:rFonts w:hint="eastAsia" w:ascii="仿宋_GB2312" w:hAnsi="仿宋_GB2312" w:eastAsia="仿宋_GB2312" w:cs="仿宋_GB2312"/>
          <w:b w:val="0"/>
          <w:bCs w:val="0"/>
          <w:color w:val="auto"/>
          <w:sz w:val="28"/>
          <w:szCs w:val="28"/>
        </w:rPr>
        <w:t>2</w:t>
      </w:r>
      <w:r>
        <w:rPr>
          <w:rFonts w:hint="eastAsia" w:ascii="仿宋_GB2312" w:hAnsi="仿宋_GB2312" w:eastAsia="仿宋_GB2312" w:cs="仿宋_GB2312"/>
          <w:b w:val="0"/>
          <w:bCs w:val="0"/>
          <w:color w:val="auto"/>
          <w:sz w:val="28"/>
          <w:szCs w:val="28"/>
          <w:lang w:val="en-US" w:eastAsia="zh-CN"/>
        </w:rPr>
        <w:t>1</w:t>
      </w:r>
      <w:r>
        <w:rPr>
          <w:rFonts w:hint="eastAsia" w:ascii="仿宋_GB2312" w:hAnsi="仿宋_GB2312" w:eastAsia="仿宋_GB2312" w:cs="仿宋_GB2312"/>
          <w:b w:val="0"/>
          <w:bCs w:val="0"/>
          <w:color w:val="auto"/>
          <w:sz w:val="28"/>
          <w:szCs w:val="28"/>
        </w:rPr>
        <w:fldChar w:fldCharType="end"/>
      </w:r>
      <w:r>
        <w:rPr>
          <w:rFonts w:hint="eastAsia" w:ascii="仿宋_GB2312" w:hAnsi="仿宋_GB2312" w:eastAsia="仿宋_GB2312" w:cs="仿宋_GB2312"/>
          <w:b w:val="0"/>
          <w:bCs w:val="0"/>
          <w:color w:val="auto"/>
          <w:sz w:val="28"/>
          <w:szCs w:val="28"/>
        </w:rPr>
        <w:fldChar w:fldCharType="end"/>
      </w:r>
    </w:p>
    <w:p>
      <w:pPr>
        <w:pStyle w:val="9"/>
        <w:tabs>
          <w:tab w:val="right" w:leader="dot" w:pos="8306"/>
        </w:tabs>
        <w:spacing w:line="560" w:lineRule="exact"/>
        <w:rPr>
          <w:rFonts w:hint="eastAsia" w:ascii="仿宋_GB2312" w:hAnsi="仿宋_GB2312" w:eastAsia="仿宋_GB2312" w:cs="仿宋_GB2312"/>
          <w:b w:val="0"/>
          <w:bCs w:val="0"/>
          <w:color w:val="auto"/>
          <w:sz w:val="28"/>
          <w:szCs w:val="28"/>
          <w:lang w:val="en-US" w:eastAsia="zh-CN"/>
        </w:rPr>
      </w:pPr>
      <w:r>
        <w:rPr>
          <w:color w:val="auto"/>
        </w:rPr>
        <w:fldChar w:fldCharType="begin"/>
      </w:r>
      <w:r>
        <w:rPr>
          <w:color w:val="auto"/>
        </w:rPr>
        <w:instrText xml:space="preserve"> HYPERLINK \l "_Toc7313" </w:instrText>
      </w:r>
      <w:r>
        <w:rPr>
          <w:color w:val="auto"/>
        </w:rPr>
        <w:fldChar w:fldCharType="separate"/>
      </w:r>
      <w:r>
        <w:rPr>
          <w:rFonts w:hint="eastAsia" w:ascii="仿宋_GB2312" w:hAnsi="仿宋_GB2312" w:eastAsia="仿宋_GB2312" w:cs="仿宋_GB2312"/>
          <w:b w:val="0"/>
          <w:bCs w:val="0"/>
          <w:color w:val="auto"/>
          <w:sz w:val="28"/>
          <w:szCs w:val="28"/>
        </w:rPr>
        <w:t>十一、政府性基金预算财政拨款收入支出决算表</w:t>
      </w:r>
      <w:r>
        <w:rPr>
          <w:rFonts w:hint="eastAsia" w:ascii="仿宋_GB2312" w:hAnsi="仿宋_GB2312" w:eastAsia="仿宋_GB2312" w:cs="仿宋_GB2312"/>
          <w:b w:val="0"/>
          <w:bCs w:val="0"/>
          <w:color w:val="auto"/>
          <w:sz w:val="28"/>
          <w:szCs w:val="28"/>
        </w:rPr>
        <w:tab/>
      </w:r>
      <w:r>
        <w:rPr>
          <w:rFonts w:hint="eastAsia" w:ascii="仿宋_GB2312" w:hAnsi="仿宋_GB2312" w:eastAsia="仿宋_GB2312" w:cs="仿宋_GB2312"/>
          <w:b w:val="0"/>
          <w:bCs w:val="0"/>
          <w:color w:val="auto"/>
          <w:sz w:val="28"/>
          <w:szCs w:val="28"/>
          <w:lang w:val="en-US" w:eastAsia="zh-CN"/>
        </w:rPr>
        <w:t>2</w:t>
      </w:r>
      <w:r>
        <w:rPr>
          <w:rFonts w:hint="eastAsia" w:ascii="仿宋_GB2312" w:hAnsi="仿宋_GB2312" w:eastAsia="仿宋_GB2312" w:cs="仿宋_GB2312"/>
          <w:b w:val="0"/>
          <w:bCs w:val="0"/>
          <w:color w:val="auto"/>
          <w:sz w:val="28"/>
          <w:szCs w:val="28"/>
        </w:rPr>
        <w:fldChar w:fldCharType="end"/>
      </w:r>
      <w:r>
        <w:rPr>
          <w:rFonts w:hint="eastAsia" w:ascii="仿宋_GB2312" w:hAnsi="仿宋_GB2312" w:eastAsia="仿宋_GB2312" w:cs="仿宋_GB2312"/>
          <w:b w:val="0"/>
          <w:bCs w:val="0"/>
          <w:color w:val="auto"/>
          <w:sz w:val="28"/>
          <w:szCs w:val="28"/>
          <w:lang w:val="en-US" w:eastAsia="zh-CN"/>
        </w:rPr>
        <w:t>1</w:t>
      </w:r>
    </w:p>
    <w:p>
      <w:pPr>
        <w:pStyle w:val="9"/>
        <w:tabs>
          <w:tab w:val="right" w:leader="dot" w:pos="8306"/>
        </w:tabs>
        <w:spacing w:line="560" w:lineRule="exact"/>
        <w:rPr>
          <w:rFonts w:hint="eastAsia" w:ascii="仿宋_GB2312" w:hAnsi="仿宋_GB2312" w:eastAsia="仿宋_GB2312" w:cs="仿宋_GB2312"/>
          <w:b w:val="0"/>
          <w:bCs w:val="0"/>
          <w:color w:val="auto"/>
          <w:sz w:val="28"/>
          <w:szCs w:val="28"/>
          <w:lang w:val="en-US" w:eastAsia="zh-CN"/>
        </w:rPr>
      </w:pPr>
      <w:r>
        <w:rPr>
          <w:color w:val="auto"/>
        </w:rPr>
        <w:fldChar w:fldCharType="begin"/>
      </w:r>
      <w:r>
        <w:rPr>
          <w:color w:val="auto"/>
        </w:rPr>
        <w:instrText xml:space="preserve"> HYPERLINK \l "_Toc9382" </w:instrText>
      </w:r>
      <w:r>
        <w:rPr>
          <w:color w:val="auto"/>
        </w:rPr>
        <w:fldChar w:fldCharType="separate"/>
      </w:r>
      <w:r>
        <w:rPr>
          <w:rFonts w:hint="eastAsia" w:ascii="仿宋_GB2312" w:hAnsi="仿宋_GB2312" w:eastAsia="仿宋_GB2312" w:cs="仿宋_GB2312"/>
          <w:b w:val="0"/>
          <w:bCs w:val="0"/>
          <w:color w:val="auto"/>
          <w:sz w:val="28"/>
          <w:szCs w:val="28"/>
        </w:rPr>
        <w:t>十二、政府性基金预算财政拨款“三公”经费支出决算表</w:t>
      </w:r>
      <w:r>
        <w:rPr>
          <w:rFonts w:hint="eastAsia" w:ascii="仿宋_GB2312" w:hAnsi="仿宋_GB2312" w:eastAsia="仿宋_GB2312" w:cs="仿宋_GB2312"/>
          <w:b w:val="0"/>
          <w:bCs w:val="0"/>
          <w:color w:val="auto"/>
          <w:sz w:val="28"/>
          <w:szCs w:val="28"/>
        </w:rPr>
        <w:tab/>
      </w:r>
      <w:r>
        <w:rPr>
          <w:rFonts w:hint="eastAsia" w:ascii="仿宋_GB2312" w:hAnsi="仿宋_GB2312" w:eastAsia="仿宋_GB2312" w:cs="仿宋_GB2312"/>
          <w:b w:val="0"/>
          <w:bCs w:val="0"/>
          <w:color w:val="auto"/>
          <w:sz w:val="28"/>
          <w:szCs w:val="28"/>
          <w:lang w:val="en-US" w:eastAsia="zh-CN"/>
        </w:rPr>
        <w:t>2</w:t>
      </w:r>
      <w:r>
        <w:rPr>
          <w:rFonts w:hint="eastAsia" w:ascii="仿宋_GB2312" w:hAnsi="仿宋_GB2312" w:eastAsia="仿宋_GB2312" w:cs="仿宋_GB2312"/>
          <w:b w:val="0"/>
          <w:bCs w:val="0"/>
          <w:color w:val="auto"/>
          <w:sz w:val="28"/>
          <w:szCs w:val="28"/>
        </w:rPr>
        <w:fldChar w:fldCharType="end"/>
      </w:r>
      <w:r>
        <w:rPr>
          <w:rFonts w:hint="eastAsia" w:ascii="仿宋_GB2312" w:hAnsi="仿宋_GB2312" w:eastAsia="仿宋_GB2312" w:cs="仿宋_GB2312"/>
          <w:b w:val="0"/>
          <w:bCs w:val="0"/>
          <w:color w:val="auto"/>
          <w:sz w:val="28"/>
          <w:szCs w:val="28"/>
          <w:lang w:val="en-US" w:eastAsia="zh-CN"/>
        </w:rPr>
        <w:t>1</w:t>
      </w:r>
    </w:p>
    <w:p>
      <w:pPr>
        <w:pStyle w:val="9"/>
        <w:tabs>
          <w:tab w:val="right" w:leader="dot" w:pos="8306"/>
        </w:tabs>
        <w:spacing w:line="560" w:lineRule="exact"/>
        <w:rPr>
          <w:rFonts w:hint="eastAsia" w:ascii="仿宋_GB2312" w:hAnsi="仿宋_GB2312" w:eastAsia="仿宋_GB2312" w:cs="仿宋_GB2312"/>
          <w:b w:val="0"/>
          <w:bCs w:val="0"/>
          <w:color w:val="auto"/>
          <w:sz w:val="28"/>
          <w:szCs w:val="28"/>
          <w:lang w:val="en-US" w:eastAsia="zh-CN"/>
        </w:rPr>
      </w:pPr>
      <w:r>
        <w:rPr>
          <w:color w:val="auto"/>
        </w:rPr>
        <w:fldChar w:fldCharType="begin"/>
      </w:r>
      <w:r>
        <w:rPr>
          <w:color w:val="auto"/>
        </w:rPr>
        <w:instrText xml:space="preserve"> HYPERLINK \l "_Toc22683" </w:instrText>
      </w:r>
      <w:r>
        <w:rPr>
          <w:color w:val="auto"/>
        </w:rPr>
        <w:fldChar w:fldCharType="separate"/>
      </w:r>
      <w:r>
        <w:rPr>
          <w:rFonts w:hint="eastAsia" w:ascii="仿宋_GB2312" w:hAnsi="仿宋_GB2312" w:eastAsia="仿宋_GB2312" w:cs="仿宋_GB2312"/>
          <w:b w:val="0"/>
          <w:bCs w:val="0"/>
          <w:color w:val="auto"/>
          <w:sz w:val="28"/>
          <w:szCs w:val="28"/>
        </w:rPr>
        <w:t>十三、国有资本经营预算财政拨款收入支出决算表</w:t>
      </w:r>
      <w:r>
        <w:rPr>
          <w:rFonts w:hint="eastAsia" w:ascii="仿宋_GB2312" w:hAnsi="仿宋_GB2312" w:eastAsia="仿宋_GB2312" w:cs="仿宋_GB2312"/>
          <w:b w:val="0"/>
          <w:bCs w:val="0"/>
          <w:color w:val="auto"/>
          <w:sz w:val="28"/>
          <w:szCs w:val="28"/>
        </w:rPr>
        <w:tab/>
      </w:r>
      <w:r>
        <w:rPr>
          <w:rFonts w:hint="eastAsia" w:ascii="仿宋_GB2312" w:hAnsi="仿宋_GB2312" w:eastAsia="仿宋_GB2312" w:cs="仿宋_GB2312"/>
          <w:b w:val="0"/>
          <w:bCs w:val="0"/>
          <w:color w:val="auto"/>
          <w:sz w:val="28"/>
          <w:szCs w:val="28"/>
          <w:lang w:val="en-US" w:eastAsia="zh-CN"/>
        </w:rPr>
        <w:t>2</w:t>
      </w:r>
      <w:r>
        <w:rPr>
          <w:rFonts w:hint="eastAsia" w:ascii="仿宋_GB2312" w:hAnsi="仿宋_GB2312" w:eastAsia="仿宋_GB2312" w:cs="仿宋_GB2312"/>
          <w:b w:val="0"/>
          <w:bCs w:val="0"/>
          <w:color w:val="auto"/>
          <w:sz w:val="28"/>
          <w:szCs w:val="28"/>
        </w:rPr>
        <w:fldChar w:fldCharType="end"/>
      </w:r>
      <w:r>
        <w:rPr>
          <w:rFonts w:hint="eastAsia" w:ascii="仿宋_GB2312" w:hAnsi="仿宋_GB2312" w:eastAsia="仿宋_GB2312" w:cs="仿宋_GB2312"/>
          <w:b w:val="0"/>
          <w:bCs w:val="0"/>
          <w:color w:val="auto"/>
          <w:sz w:val="28"/>
          <w:szCs w:val="28"/>
          <w:lang w:val="en-US" w:eastAsia="zh-CN"/>
        </w:rPr>
        <w:t>1</w:t>
      </w:r>
    </w:p>
    <w:p>
      <w:pPr>
        <w:pStyle w:val="9"/>
        <w:tabs>
          <w:tab w:val="right" w:leader="dot" w:pos="8306"/>
        </w:tabs>
        <w:spacing w:line="560" w:lineRule="exact"/>
        <w:rPr>
          <w:rFonts w:ascii="仿宋_GB2312" w:hAnsi="仿宋_GB2312" w:eastAsia="仿宋_GB2312" w:cs="仿宋_GB2312"/>
          <w:b w:val="0"/>
          <w:bCs w:val="0"/>
          <w:color w:val="auto"/>
          <w:sz w:val="28"/>
          <w:szCs w:val="28"/>
        </w:rPr>
      </w:pPr>
      <w:r>
        <w:rPr>
          <w:color w:val="auto"/>
        </w:rPr>
        <w:fldChar w:fldCharType="begin"/>
      </w:r>
      <w:r>
        <w:rPr>
          <w:color w:val="auto"/>
        </w:rPr>
        <w:instrText xml:space="preserve"> HYPERLINK \l "_Toc10257" </w:instrText>
      </w:r>
      <w:r>
        <w:rPr>
          <w:color w:val="auto"/>
        </w:rPr>
        <w:fldChar w:fldCharType="separate"/>
      </w:r>
      <w:r>
        <w:rPr>
          <w:rFonts w:hint="eastAsia" w:ascii="仿宋_GB2312" w:hAnsi="仿宋_GB2312" w:eastAsia="仿宋_GB2312" w:cs="仿宋_GB2312"/>
          <w:b w:val="0"/>
          <w:bCs w:val="0"/>
          <w:color w:val="auto"/>
          <w:sz w:val="28"/>
          <w:szCs w:val="28"/>
        </w:rPr>
        <w:t>十四、国有资本经营预算财政拨款支出决算表</w:t>
      </w:r>
      <w:r>
        <w:rPr>
          <w:rFonts w:hint="eastAsia" w:ascii="仿宋_GB2312" w:hAnsi="仿宋_GB2312" w:eastAsia="仿宋_GB2312" w:cs="仿宋_GB2312"/>
          <w:b w:val="0"/>
          <w:bCs w:val="0"/>
          <w:color w:val="auto"/>
          <w:sz w:val="28"/>
          <w:szCs w:val="28"/>
        </w:rPr>
        <w:tab/>
      </w:r>
      <w:r>
        <w:rPr>
          <w:rFonts w:hint="eastAsia" w:ascii="仿宋_GB2312" w:hAnsi="仿宋_GB2312" w:eastAsia="仿宋_GB2312" w:cs="仿宋_GB2312"/>
          <w:b w:val="0"/>
          <w:bCs w:val="0"/>
          <w:color w:val="auto"/>
          <w:sz w:val="28"/>
          <w:szCs w:val="28"/>
        </w:rPr>
        <w:fldChar w:fldCharType="begin"/>
      </w:r>
      <w:r>
        <w:rPr>
          <w:rFonts w:hint="eastAsia" w:ascii="仿宋_GB2312" w:hAnsi="仿宋_GB2312" w:eastAsia="仿宋_GB2312" w:cs="仿宋_GB2312"/>
          <w:b w:val="0"/>
          <w:bCs w:val="0"/>
          <w:color w:val="auto"/>
          <w:sz w:val="28"/>
          <w:szCs w:val="28"/>
        </w:rPr>
        <w:instrText xml:space="preserve"> PAGEREF _Toc10257 \h </w:instrText>
      </w:r>
      <w:r>
        <w:rPr>
          <w:rFonts w:hint="eastAsia" w:ascii="仿宋_GB2312" w:hAnsi="仿宋_GB2312" w:eastAsia="仿宋_GB2312" w:cs="仿宋_GB2312"/>
          <w:b w:val="0"/>
          <w:bCs w:val="0"/>
          <w:color w:val="auto"/>
          <w:sz w:val="28"/>
          <w:szCs w:val="28"/>
        </w:rPr>
        <w:fldChar w:fldCharType="separate"/>
      </w:r>
      <w:r>
        <w:rPr>
          <w:rFonts w:hint="eastAsia" w:ascii="仿宋_GB2312" w:hAnsi="仿宋_GB2312" w:eastAsia="仿宋_GB2312" w:cs="仿宋_GB2312"/>
          <w:b w:val="0"/>
          <w:bCs w:val="0"/>
          <w:color w:val="auto"/>
          <w:sz w:val="28"/>
          <w:szCs w:val="28"/>
        </w:rPr>
        <w:t>2</w:t>
      </w:r>
      <w:r>
        <w:rPr>
          <w:rFonts w:hint="eastAsia" w:ascii="仿宋_GB2312" w:hAnsi="仿宋_GB2312" w:eastAsia="仿宋_GB2312" w:cs="仿宋_GB2312"/>
          <w:b w:val="0"/>
          <w:bCs w:val="0"/>
          <w:color w:val="auto"/>
          <w:sz w:val="28"/>
          <w:szCs w:val="28"/>
          <w:lang w:val="en-US" w:eastAsia="zh-CN"/>
        </w:rPr>
        <w:t>1</w:t>
      </w:r>
      <w:r>
        <w:rPr>
          <w:rFonts w:hint="eastAsia" w:ascii="仿宋_GB2312" w:hAnsi="仿宋_GB2312" w:eastAsia="仿宋_GB2312" w:cs="仿宋_GB2312"/>
          <w:b w:val="0"/>
          <w:bCs w:val="0"/>
          <w:color w:val="auto"/>
          <w:sz w:val="28"/>
          <w:szCs w:val="28"/>
        </w:rPr>
        <w:fldChar w:fldCharType="end"/>
      </w:r>
      <w:r>
        <w:rPr>
          <w:rFonts w:hint="eastAsia" w:ascii="仿宋_GB2312" w:hAnsi="仿宋_GB2312" w:eastAsia="仿宋_GB2312" w:cs="仿宋_GB2312"/>
          <w:b w:val="0"/>
          <w:bCs w:val="0"/>
          <w:color w:val="auto"/>
          <w:sz w:val="28"/>
          <w:szCs w:val="28"/>
        </w:rPr>
        <w:fldChar w:fldCharType="end"/>
      </w:r>
    </w:p>
    <w:p>
      <w:pPr>
        <w:spacing w:line="560" w:lineRule="exact"/>
        <w:ind w:firstLine="2100" w:firstLineChars="750"/>
        <w:rPr>
          <w:rFonts w:ascii="仿宋_GB2312" w:hAnsi="仿宋"/>
          <w:color w:val="auto"/>
          <w:szCs w:val="32"/>
        </w:rPr>
      </w:pPr>
      <w:r>
        <w:rPr>
          <w:rFonts w:hint="eastAsia" w:ascii="仿宋_GB2312" w:hAnsi="仿宋_GB2312" w:cs="仿宋_GB2312"/>
          <w:caps/>
          <w:color w:val="auto"/>
          <w:sz w:val="28"/>
          <w:szCs w:val="28"/>
        </w:rPr>
        <w:fldChar w:fldCharType="end"/>
      </w:r>
    </w:p>
    <w:p>
      <w:pPr>
        <w:rPr>
          <w:color w:val="auto"/>
        </w:rPr>
      </w:pPr>
      <w:r>
        <w:rPr>
          <w:color w:val="auto"/>
        </w:rPr>
        <w:br w:type="page"/>
      </w:r>
    </w:p>
    <w:p>
      <w:pPr>
        <w:pStyle w:val="2"/>
        <w:jc w:val="center"/>
        <w:rPr>
          <w:rStyle w:val="14"/>
          <w:rFonts w:ascii="黑体" w:hAnsi="黑体" w:eastAsia="黑体"/>
          <w:b/>
          <w:bCs w:val="0"/>
          <w:color w:val="auto"/>
        </w:rPr>
      </w:pPr>
      <w:bookmarkStart w:id="0" w:name="_Toc10567"/>
      <w:r>
        <w:rPr>
          <w:rFonts w:hint="eastAsia" w:ascii="黑体" w:hAnsi="黑体" w:eastAsia="黑体"/>
          <w:b w:val="0"/>
          <w:color w:val="auto"/>
        </w:rPr>
        <w:t>第一部分</w:t>
      </w:r>
      <w:r>
        <w:rPr>
          <w:rStyle w:val="14"/>
          <w:rFonts w:hint="eastAsia" w:ascii="黑体" w:hAnsi="黑体" w:eastAsia="黑体"/>
          <w:b w:val="0"/>
          <w:bCs w:val="0"/>
          <w:color w:val="auto"/>
        </w:rPr>
        <w:t>部门概况</w:t>
      </w:r>
      <w:bookmarkEnd w:id="0"/>
    </w:p>
    <w:p>
      <w:pPr>
        <w:widowControl/>
        <w:jc w:val="left"/>
        <w:rPr>
          <w:rFonts w:ascii="黑体" w:eastAsia="黑体"/>
          <w:color w:val="auto"/>
          <w:szCs w:val="32"/>
        </w:rPr>
      </w:pPr>
    </w:p>
    <w:p>
      <w:pPr>
        <w:pStyle w:val="3"/>
        <w:numPr>
          <w:ilvl w:val="0"/>
          <w:numId w:val="1"/>
        </w:numPr>
        <w:rPr>
          <w:rStyle w:val="15"/>
          <w:rFonts w:hint="eastAsia" w:ascii="黑体" w:hAnsi="黑体" w:eastAsia="黑体"/>
          <w:b w:val="0"/>
          <w:bCs w:val="0"/>
          <w:color w:val="auto"/>
        </w:rPr>
      </w:pPr>
      <w:bookmarkStart w:id="1" w:name="_Toc21498"/>
      <w:bookmarkStart w:id="2" w:name="_Toc15396600"/>
      <w:bookmarkStart w:id="3" w:name="_Toc15377197"/>
      <w:r>
        <w:rPr>
          <w:rFonts w:hint="eastAsia" w:ascii="黑体" w:hAnsi="黑体" w:eastAsia="黑体"/>
          <w:b w:val="0"/>
          <w:color w:val="auto"/>
        </w:rPr>
        <w:t>基</w:t>
      </w:r>
      <w:r>
        <w:rPr>
          <w:rStyle w:val="15"/>
          <w:rFonts w:hint="eastAsia" w:ascii="黑体" w:hAnsi="黑体" w:eastAsia="黑体"/>
          <w:b w:val="0"/>
          <w:bCs w:val="0"/>
          <w:color w:val="auto"/>
        </w:rPr>
        <w:t>本职能及主要工作</w:t>
      </w:r>
      <w:bookmarkEnd w:id="1"/>
      <w:bookmarkEnd w:id="2"/>
      <w:bookmarkEnd w:id="3"/>
      <w:bookmarkStart w:id="4" w:name="_Toc15378445"/>
      <w:bookmarkStart w:id="5" w:name="_Toc15377198"/>
    </w:p>
    <w:p>
      <w:pPr>
        <w:pStyle w:val="3"/>
        <w:numPr>
          <w:ilvl w:val="0"/>
          <w:numId w:val="0"/>
        </w:numPr>
        <w:rPr>
          <w:rFonts w:hint="eastAsia" w:ascii="仿宋" w:hAnsi="仿宋" w:eastAsia="仿宋"/>
          <w:bCs/>
          <w:color w:val="000000"/>
          <w:sz w:val="32"/>
          <w:szCs w:val="32"/>
        </w:rPr>
      </w:pPr>
      <w:r>
        <w:rPr>
          <w:rFonts w:hint="eastAsia" w:ascii="仿宋" w:hAnsi="仿宋" w:eastAsia="仿宋"/>
          <w:bCs/>
          <w:color w:val="000000"/>
          <w:sz w:val="32"/>
          <w:szCs w:val="32"/>
        </w:rPr>
        <w:t>（一）</w:t>
      </w:r>
      <w:r>
        <w:rPr>
          <w:rFonts w:hint="eastAsia" w:ascii="仿宋" w:hAnsi="仿宋" w:eastAsia="仿宋"/>
          <w:bCs/>
          <w:color w:val="000000"/>
          <w:sz w:val="32"/>
          <w:szCs w:val="32"/>
          <w:lang w:val="en-US" w:eastAsia="zh-CN"/>
        </w:rPr>
        <w:t>基本</w:t>
      </w:r>
      <w:r>
        <w:rPr>
          <w:rFonts w:hint="eastAsia" w:ascii="仿宋" w:hAnsi="仿宋" w:eastAsia="仿宋"/>
          <w:bCs/>
          <w:color w:val="000000"/>
          <w:sz w:val="32"/>
          <w:szCs w:val="32"/>
        </w:rPr>
        <w:t>职能</w:t>
      </w:r>
      <w:bookmarkEnd w:id="4"/>
      <w:bookmarkEnd w:id="5"/>
    </w:p>
    <w:p>
      <w:pPr>
        <w:pStyle w:val="20"/>
        <w:numPr>
          <w:ilvl w:val="0"/>
          <w:numId w:val="2"/>
        </w:numPr>
        <w:ind w:firstLineChars="0"/>
        <w:rPr>
          <w:rFonts w:hint="eastAsia" w:ascii="宋体" w:hAnsi="宋体"/>
          <w:sz w:val="32"/>
          <w:szCs w:val="32"/>
        </w:rPr>
      </w:pPr>
      <w:r>
        <w:rPr>
          <w:rFonts w:ascii="宋体" w:hAnsi="宋体"/>
          <w:sz w:val="32"/>
          <w:szCs w:val="32"/>
        </w:rPr>
        <w:t>正确贯彻执行党和国家的教育方针、政策、法规。</w:t>
      </w:r>
    </w:p>
    <w:p>
      <w:pPr>
        <w:pStyle w:val="20"/>
        <w:numPr>
          <w:ilvl w:val="0"/>
          <w:numId w:val="2"/>
        </w:numPr>
        <w:ind w:firstLineChars="0"/>
        <w:rPr>
          <w:rFonts w:hint="eastAsia" w:ascii="宋体" w:hAnsi="宋体"/>
          <w:sz w:val="32"/>
          <w:szCs w:val="32"/>
        </w:rPr>
      </w:pPr>
      <w:r>
        <w:rPr>
          <w:rFonts w:ascii="宋体" w:hAnsi="宋体"/>
          <w:sz w:val="32"/>
          <w:szCs w:val="32"/>
        </w:rPr>
        <w:t>维护学校的教学秩序，为学生创造良好的学习环境；</w:t>
      </w:r>
    </w:p>
    <w:p>
      <w:pPr>
        <w:pStyle w:val="20"/>
        <w:numPr>
          <w:ilvl w:val="0"/>
          <w:numId w:val="2"/>
        </w:numPr>
        <w:ind w:firstLineChars="0"/>
        <w:rPr>
          <w:rFonts w:hint="eastAsia" w:ascii="宋体" w:hAnsi="宋体"/>
          <w:sz w:val="32"/>
          <w:szCs w:val="32"/>
        </w:rPr>
      </w:pPr>
      <w:r>
        <w:rPr>
          <w:rFonts w:ascii="宋体" w:hAnsi="宋体"/>
          <w:sz w:val="32"/>
          <w:szCs w:val="32"/>
        </w:rPr>
        <w:t>积极稳妥地推进教育改革，按教育规律办事，不断提高教育质量；</w:t>
      </w:r>
    </w:p>
    <w:p>
      <w:pPr>
        <w:pStyle w:val="20"/>
        <w:numPr>
          <w:ilvl w:val="0"/>
          <w:numId w:val="2"/>
        </w:numPr>
        <w:ind w:firstLineChars="0"/>
        <w:rPr>
          <w:rFonts w:hint="eastAsia" w:ascii="宋体" w:hAnsi="宋体"/>
          <w:sz w:val="32"/>
          <w:szCs w:val="32"/>
        </w:rPr>
      </w:pPr>
      <w:r>
        <w:rPr>
          <w:rFonts w:ascii="宋体" w:hAnsi="宋体"/>
          <w:sz w:val="32"/>
          <w:szCs w:val="32"/>
        </w:rPr>
        <w:t>坚持教书育人，服务育人，环境育人方针，加强对学生的思想品德教育，使学生的德智体全面发展。</w:t>
      </w:r>
    </w:p>
    <w:p>
      <w:pPr>
        <w:pStyle w:val="20"/>
        <w:numPr>
          <w:ilvl w:val="0"/>
          <w:numId w:val="2"/>
        </w:numPr>
        <w:ind w:firstLineChars="0"/>
        <w:rPr>
          <w:rFonts w:hint="eastAsia" w:ascii="宋体" w:hAnsi="宋体"/>
          <w:sz w:val="32"/>
          <w:szCs w:val="32"/>
        </w:rPr>
      </w:pPr>
      <w:r>
        <w:rPr>
          <w:rFonts w:ascii="宋体" w:hAnsi="宋体"/>
          <w:sz w:val="32"/>
          <w:szCs w:val="32"/>
        </w:rPr>
        <w:t>抓好教师队伍建设，使每个教师都热心于教育事业；</w:t>
      </w:r>
    </w:p>
    <w:p>
      <w:pPr>
        <w:pStyle w:val="20"/>
        <w:numPr>
          <w:ilvl w:val="0"/>
          <w:numId w:val="2"/>
        </w:numPr>
        <w:ind w:firstLineChars="0"/>
        <w:rPr>
          <w:rFonts w:hint="eastAsia" w:ascii="仿宋" w:hAnsi="仿宋" w:eastAsia="仿宋"/>
          <w:bCs/>
          <w:color w:val="000000"/>
          <w:sz w:val="32"/>
          <w:szCs w:val="32"/>
        </w:rPr>
      </w:pPr>
      <w:r>
        <w:rPr>
          <w:rFonts w:ascii="宋体" w:hAnsi="宋体"/>
          <w:sz w:val="32"/>
          <w:szCs w:val="32"/>
        </w:rPr>
        <w:t>做好安全防范，保证学生的人生安全。</w:t>
      </w:r>
    </w:p>
    <w:p>
      <w:pPr>
        <w:pStyle w:val="3"/>
        <w:numPr>
          <w:ilvl w:val="0"/>
          <w:numId w:val="3"/>
        </w:numPr>
        <w:rPr>
          <w:rFonts w:hint="eastAsia" w:ascii="仿宋" w:hAnsi="仿宋" w:eastAsia="仿宋"/>
          <w:bCs/>
          <w:color w:val="000000"/>
          <w:sz w:val="32"/>
          <w:szCs w:val="32"/>
        </w:rPr>
      </w:pPr>
      <w:r>
        <w:rPr>
          <w:rFonts w:hint="eastAsia" w:ascii="仿宋" w:hAnsi="仿宋" w:eastAsia="仿宋"/>
          <w:bCs/>
          <w:color w:val="000000"/>
          <w:sz w:val="32"/>
          <w:szCs w:val="32"/>
          <w:lang w:val="en-US" w:eastAsia="zh-CN"/>
        </w:rPr>
        <w:t>主要工作</w:t>
      </w:r>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仿宋_GB2312" w:cs="Times New Roman"/>
          <w:kern w:val="2"/>
          <w:sz w:val="32"/>
          <w:szCs w:val="32"/>
          <w:lang w:val="en-US" w:eastAsia="zh-CN" w:bidi="ar-SA"/>
        </w:rPr>
      </w:pPr>
      <w:r>
        <w:rPr>
          <w:rFonts w:hint="eastAsia" w:ascii="宋体" w:hAnsi="宋体" w:eastAsia="仿宋_GB2312" w:cs="Times New Roman"/>
          <w:kern w:val="2"/>
          <w:sz w:val="32"/>
          <w:szCs w:val="32"/>
          <w:lang w:val="en-US" w:eastAsia="zh-CN" w:bidi="ar-SA"/>
        </w:rPr>
        <w:t>二0二0年我校高举中国特色社会主义伟大旗帜，以习近平新时代中国特色社会主义思想为指导，深入贯彻党的十九大、十九届二中三中四中五中全会精神，认真落实习近平关于教育的重要论述，按照“五位一体”总体布局和“四个全面”战略布局，增强四个意识、坚定四个自信、坚决做到两个维护。以学生核心素养的培养为核心，坚持“五育一体”育全人新理念，坚持稳中求进、内涵发展，积极推进教育现代化，全面贯彻党的教育方针，全面实施素质教育，全面提高教育教学质量，全面提升学校的管理水平和办学品位，努力办人民满意的学校，努力培养德智体美劳全面发展的社会主义建设者和接班人，为决胜全面小康社会贡献力量。积极贯彻教育部《关于加强和改进新时代基础教育教研工作的意见》，市级课题《幼儿园种植园地的开发和利用研究》顺利结题，现正积极筹备申奖工作。省级课题《教育戏剧在小学语文教学中的运用研究》已开展一年研究工作。 2019年12月向市区申奖的6个微型课题:张利霞、杨碗秋、李晓林的《如何当好中途接手班级的科任教师》获区一等奖，李晓林、王清玉、梁永强的《农村小学田径训练对学生自信提升的策略研究》）获区一等奖。</w:t>
      </w:r>
    </w:p>
    <w:p>
      <w:pPr>
        <w:numPr>
          <w:ilvl w:val="0"/>
          <w:numId w:val="0"/>
        </w:numPr>
        <w:rPr>
          <w:rFonts w:hint="eastAsia"/>
        </w:rPr>
      </w:pPr>
    </w:p>
    <w:p>
      <w:pPr>
        <w:pStyle w:val="20"/>
        <w:numPr>
          <w:ilvl w:val="0"/>
          <w:numId w:val="0"/>
        </w:numPr>
        <w:ind w:leftChars="0"/>
        <w:rPr>
          <w:rFonts w:hint="eastAsia" w:ascii="仿宋" w:hAnsi="仿宋" w:eastAsia="仿宋"/>
          <w:bCs/>
          <w:color w:val="000000"/>
          <w:sz w:val="32"/>
          <w:szCs w:val="32"/>
        </w:rPr>
      </w:pPr>
    </w:p>
    <w:p>
      <w:pPr>
        <w:spacing w:line="580" w:lineRule="exact"/>
        <w:rPr>
          <w:rStyle w:val="15"/>
          <w:rFonts w:ascii="仿宋_GB2312" w:hAnsi="宋体" w:cs="宋体"/>
          <w:b w:val="0"/>
          <w:bCs w:val="0"/>
          <w:color w:val="auto"/>
          <w:kern w:val="0"/>
        </w:rPr>
      </w:pPr>
      <w:bookmarkStart w:id="6" w:name="_Toc15377200"/>
      <w:bookmarkStart w:id="7" w:name="_Toc15396601"/>
      <w:bookmarkStart w:id="8" w:name="_Toc6092"/>
      <w:r>
        <w:rPr>
          <w:rFonts w:hint="eastAsia" w:ascii="黑体" w:eastAsia="黑体"/>
          <w:color w:val="auto"/>
        </w:rPr>
        <w:t>二、</w:t>
      </w:r>
      <w:r>
        <w:rPr>
          <w:rFonts w:hint="eastAsia" w:ascii="黑体" w:hAnsi="黑体" w:eastAsia="黑体"/>
          <w:color w:val="auto"/>
        </w:rPr>
        <w:t>机</w:t>
      </w:r>
      <w:r>
        <w:rPr>
          <w:rStyle w:val="15"/>
          <w:rFonts w:hint="eastAsia" w:ascii="黑体" w:hAnsi="黑体" w:eastAsia="黑体"/>
          <w:color w:val="auto"/>
        </w:rPr>
        <w:t>构设置</w:t>
      </w:r>
      <w:bookmarkEnd w:id="6"/>
      <w:bookmarkEnd w:id="7"/>
      <w:bookmarkEnd w:id="8"/>
    </w:p>
    <w:p>
      <w:pPr>
        <w:ind w:firstLine="800" w:firstLineChars="250"/>
        <w:rPr>
          <w:rFonts w:hint="eastAsia" w:ascii="仿宋" w:hAnsi="仿宋" w:eastAsia="仿宋"/>
          <w:color w:val="auto"/>
          <w:szCs w:val="32"/>
        </w:rPr>
      </w:pPr>
      <w:r>
        <w:rPr>
          <w:rFonts w:hint="eastAsia" w:ascii="Times New Roman" w:hAnsi="Times New Roman" w:eastAsia="仿宋_GB2312" w:cs="Times New Roman"/>
          <w:color w:val="auto"/>
          <w:sz w:val="32"/>
          <w:szCs w:val="32"/>
        </w:rPr>
        <w:t>我校含一个中心校、一个教学点和一个附属幼儿园。</w:t>
      </w:r>
    </w:p>
    <w:p>
      <w:pPr>
        <w:widowControl/>
        <w:jc w:val="center"/>
        <w:rPr>
          <w:rFonts w:hint="eastAsia" w:ascii="黑体" w:hAnsi="黑体" w:eastAsia="黑体"/>
          <w:color w:val="auto"/>
          <w:sz w:val="44"/>
          <w:szCs w:val="44"/>
        </w:rPr>
      </w:pPr>
      <w:bookmarkStart w:id="9" w:name="_Toc15377204"/>
      <w:bookmarkStart w:id="10" w:name="_Toc23109"/>
      <w:bookmarkStart w:id="11" w:name="_Toc15396602"/>
    </w:p>
    <w:p>
      <w:pPr>
        <w:widowControl/>
        <w:jc w:val="center"/>
        <w:rPr>
          <w:rFonts w:hint="eastAsia" w:ascii="黑体" w:hAnsi="黑体" w:eastAsia="黑体"/>
          <w:color w:val="auto"/>
          <w:sz w:val="44"/>
          <w:szCs w:val="44"/>
        </w:rPr>
      </w:pPr>
    </w:p>
    <w:p>
      <w:pPr>
        <w:widowControl/>
        <w:jc w:val="center"/>
        <w:rPr>
          <w:rFonts w:hint="eastAsia" w:ascii="黑体" w:hAnsi="黑体" w:eastAsia="黑体"/>
          <w:color w:val="auto"/>
          <w:sz w:val="44"/>
          <w:szCs w:val="44"/>
        </w:rPr>
      </w:pPr>
    </w:p>
    <w:p>
      <w:pPr>
        <w:widowControl/>
        <w:jc w:val="center"/>
        <w:rPr>
          <w:rFonts w:hint="eastAsia" w:ascii="黑体" w:hAnsi="黑体" w:eastAsia="黑体"/>
          <w:color w:val="auto"/>
          <w:sz w:val="44"/>
          <w:szCs w:val="44"/>
        </w:rPr>
      </w:pPr>
    </w:p>
    <w:p>
      <w:pPr>
        <w:widowControl/>
        <w:jc w:val="center"/>
        <w:rPr>
          <w:rFonts w:hint="eastAsia" w:ascii="黑体" w:hAnsi="黑体" w:eastAsia="黑体"/>
          <w:color w:val="auto"/>
          <w:sz w:val="44"/>
          <w:szCs w:val="44"/>
        </w:rPr>
      </w:pPr>
    </w:p>
    <w:p>
      <w:pPr>
        <w:widowControl/>
        <w:jc w:val="center"/>
        <w:rPr>
          <w:rFonts w:hint="eastAsia" w:ascii="黑体" w:hAnsi="黑体" w:eastAsia="黑体"/>
          <w:color w:val="auto"/>
          <w:sz w:val="44"/>
          <w:szCs w:val="44"/>
        </w:rPr>
      </w:pPr>
    </w:p>
    <w:p>
      <w:pPr>
        <w:widowControl/>
        <w:jc w:val="center"/>
        <w:rPr>
          <w:rFonts w:hint="eastAsia" w:ascii="黑体" w:hAnsi="黑体" w:eastAsia="黑体"/>
          <w:color w:val="auto"/>
          <w:sz w:val="44"/>
          <w:szCs w:val="44"/>
        </w:rPr>
      </w:pPr>
    </w:p>
    <w:p>
      <w:pPr>
        <w:widowControl/>
        <w:jc w:val="center"/>
        <w:rPr>
          <w:rFonts w:hint="eastAsia" w:ascii="黑体" w:hAnsi="黑体" w:eastAsia="黑体"/>
          <w:color w:val="auto"/>
          <w:sz w:val="44"/>
          <w:szCs w:val="44"/>
        </w:rPr>
      </w:pPr>
    </w:p>
    <w:p>
      <w:pPr>
        <w:widowControl/>
        <w:jc w:val="center"/>
        <w:rPr>
          <w:rStyle w:val="14"/>
          <w:rFonts w:ascii="仿宋" w:hAnsi="仿宋" w:eastAsia="仿宋"/>
          <w:b w:val="0"/>
          <w:bCs w:val="0"/>
          <w:color w:val="auto"/>
          <w:kern w:val="0"/>
        </w:rPr>
      </w:pPr>
      <w:r>
        <w:rPr>
          <w:rFonts w:hint="eastAsia" w:ascii="黑体" w:hAnsi="黑体" w:eastAsia="黑体"/>
          <w:color w:val="auto"/>
          <w:sz w:val="44"/>
          <w:szCs w:val="44"/>
        </w:rPr>
        <w:t>第二部分</w:t>
      </w:r>
      <w:r>
        <w:rPr>
          <w:rStyle w:val="14"/>
          <w:rFonts w:ascii="黑体" w:hAnsi="黑体" w:eastAsia="黑体"/>
          <w:color w:val="auto"/>
        </w:rPr>
        <w:t>2020</w:t>
      </w:r>
      <w:r>
        <w:rPr>
          <w:rStyle w:val="14"/>
          <w:rFonts w:hint="eastAsia" w:ascii="黑体" w:hAnsi="黑体" w:eastAsia="黑体"/>
          <w:color w:val="auto"/>
        </w:rPr>
        <w:t>年度部门决算情况说明</w:t>
      </w:r>
      <w:bookmarkEnd w:id="9"/>
      <w:bookmarkEnd w:id="10"/>
      <w:bookmarkEnd w:id="11"/>
    </w:p>
    <w:p>
      <w:pPr>
        <w:widowControl/>
        <w:jc w:val="center"/>
        <w:rPr>
          <w:rFonts w:ascii="仿宋" w:hAnsi="仿宋" w:eastAsia="仿宋"/>
          <w:color w:val="auto"/>
          <w:kern w:val="0"/>
          <w:sz w:val="44"/>
          <w:szCs w:val="44"/>
        </w:rPr>
      </w:pPr>
    </w:p>
    <w:p>
      <w:pPr>
        <w:pStyle w:val="16"/>
        <w:numPr>
          <w:ilvl w:val="0"/>
          <w:numId w:val="4"/>
        </w:numPr>
        <w:spacing w:line="600" w:lineRule="exact"/>
        <w:ind w:firstLineChars="0"/>
        <w:outlineLvl w:val="1"/>
        <w:rPr>
          <w:rStyle w:val="15"/>
          <w:rFonts w:ascii="黑体" w:hAnsi="黑体" w:eastAsia="黑体"/>
          <w:b w:val="0"/>
          <w:color w:val="auto"/>
        </w:rPr>
      </w:pPr>
      <w:bookmarkStart w:id="12" w:name="_Toc15377205"/>
      <w:bookmarkStart w:id="13" w:name="_Toc7163"/>
      <w:bookmarkStart w:id="14" w:name="_Toc15396603"/>
      <w:r>
        <w:rPr>
          <w:rFonts w:hint="eastAsia" w:ascii="黑体" w:hAnsi="黑体" w:eastAsia="黑体"/>
          <w:color w:val="auto"/>
          <w:szCs w:val="32"/>
        </w:rPr>
        <w:t>收</w:t>
      </w:r>
      <w:r>
        <w:rPr>
          <w:rStyle w:val="15"/>
          <w:rFonts w:hint="eastAsia" w:ascii="黑体" w:hAnsi="黑体" w:eastAsia="黑体"/>
          <w:b w:val="0"/>
          <w:color w:val="auto"/>
        </w:rPr>
        <w:t>入支出决算总体情况说明</w:t>
      </w:r>
      <w:bookmarkEnd w:id="12"/>
      <w:bookmarkEnd w:id="13"/>
      <w:bookmarkEnd w:id="14"/>
    </w:p>
    <w:p>
      <w:pPr>
        <w:ind w:firstLine="570"/>
        <w:rPr>
          <w:rFonts w:ascii="仿宋" w:hAnsi="仿宋" w:eastAsia="仿宋"/>
          <w:color w:val="auto"/>
          <w:szCs w:val="32"/>
        </w:rPr>
      </w:pPr>
      <w:r>
        <w:rPr>
          <w:rFonts w:ascii="仿宋" w:hAnsi="仿宋" w:eastAsia="仿宋"/>
          <w:color w:val="auto"/>
          <w:szCs w:val="32"/>
        </w:rPr>
        <w:t>2020</w:t>
      </w:r>
      <w:r>
        <w:rPr>
          <w:rFonts w:hint="eastAsia" w:ascii="仿宋" w:hAnsi="仿宋" w:eastAsia="仿宋"/>
          <w:color w:val="auto"/>
          <w:szCs w:val="32"/>
        </w:rPr>
        <w:t>年度收入总计</w:t>
      </w:r>
      <w:r>
        <w:rPr>
          <w:rFonts w:hint="eastAsia" w:ascii="仿宋" w:hAnsi="仿宋" w:eastAsia="仿宋"/>
          <w:color w:val="auto"/>
          <w:szCs w:val="32"/>
          <w:lang w:val="en-US" w:eastAsia="zh-CN"/>
        </w:rPr>
        <w:t>549.22</w:t>
      </w:r>
      <w:r>
        <w:rPr>
          <w:rFonts w:hint="eastAsia" w:ascii="仿宋" w:hAnsi="仿宋" w:eastAsia="仿宋"/>
          <w:color w:val="auto"/>
          <w:szCs w:val="32"/>
        </w:rPr>
        <w:t>万元，与</w:t>
      </w:r>
      <w:r>
        <w:rPr>
          <w:rFonts w:ascii="仿宋" w:hAnsi="仿宋" w:eastAsia="仿宋"/>
          <w:color w:val="auto"/>
          <w:szCs w:val="32"/>
        </w:rPr>
        <w:t>2019</w:t>
      </w:r>
      <w:r>
        <w:rPr>
          <w:rFonts w:hint="eastAsia" w:ascii="仿宋" w:hAnsi="仿宋" w:eastAsia="仿宋"/>
          <w:color w:val="auto"/>
          <w:szCs w:val="32"/>
        </w:rPr>
        <w:t>年收入总计</w:t>
      </w:r>
      <w:r>
        <w:rPr>
          <w:rFonts w:hint="eastAsia" w:ascii="仿宋" w:hAnsi="仿宋" w:eastAsia="仿宋"/>
          <w:color w:val="auto"/>
          <w:szCs w:val="32"/>
          <w:lang w:val="en-US" w:eastAsia="zh-CN"/>
        </w:rPr>
        <w:t>572.76</w:t>
      </w:r>
      <w:r>
        <w:rPr>
          <w:rFonts w:hint="eastAsia" w:ascii="仿宋" w:hAnsi="仿宋" w:eastAsia="仿宋"/>
          <w:color w:val="auto"/>
          <w:szCs w:val="32"/>
        </w:rPr>
        <w:t>万元相比，收入减少</w:t>
      </w:r>
      <w:r>
        <w:rPr>
          <w:rFonts w:hint="eastAsia" w:ascii="仿宋" w:hAnsi="仿宋" w:eastAsia="仿宋"/>
          <w:color w:val="auto"/>
          <w:szCs w:val="32"/>
          <w:lang w:val="en-US" w:eastAsia="zh-CN"/>
        </w:rPr>
        <w:t>23.54</w:t>
      </w:r>
      <w:r>
        <w:rPr>
          <w:rFonts w:hint="eastAsia" w:ascii="仿宋" w:hAnsi="仿宋" w:eastAsia="仿宋"/>
          <w:color w:val="auto"/>
          <w:szCs w:val="32"/>
        </w:rPr>
        <w:t>万元，下降</w:t>
      </w:r>
      <w:r>
        <w:rPr>
          <w:rFonts w:hint="eastAsia" w:ascii="仿宋" w:hAnsi="仿宋" w:eastAsia="仿宋"/>
          <w:color w:val="auto"/>
          <w:szCs w:val="32"/>
          <w:lang w:val="en-US" w:eastAsia="zh-CN"/>
        </w:rPr>
        <w:t>4.11</w:t>
      </w:r>
      <w:r>
        <w:rPr>
          <w:rFonts w:ascii="仿宋" w:hAnsi="仿宋" w:eastAsia="仿宋"/>
          <w:color w:val="auto"/>
          <w:szCs w:val="32"/>
        </w:rPr>
        <w:t>%</w:t>
      </w:r>
      <w:r>
        <w:rPr>
          <w:rFonts w:hint="eastAsia" w:ascii="仿宋" w:hAnsi="仿宋" w:eastAsia="仿宋"/>
          <w:color w:val="auto"/>
          <w:szCs w:val="32"/>
        </w:rPr>
        <w:t>；2020年度支出总计</w:t>
      </w:r>
      <w:r>
        <w:rPr>
          <w:rFonts w:hint="eastAsia" w:ascii="仿宋" w:hAnsi="仿宋" w:eastAsia="仿宋"/>
          <w:color w:val="auto"/>
          <w:szCs w:val="32"/>
          <w:lang w:val="en-US" w:eastAsia="zh-CN"/>
        </w:rPr>
        <w:t>566.1</w:t>
      </w:r>
      <w:r>
        <w:rPr>
          <w:rFonts w:hint="eastAsia" w:ascii="仿宋" w:hAnsi="仿宋" w:eastAsia="仿宋"/>
          <w:color w:val="auto"/>
          <w:szCs w:val="32"/>
        </w:rPr>
        <w:t>万元，与</w:t>
      </w:r>
      <w:r>
        <w:rPr>
          <w:rFonts w:ascii="仿宋" w:hAnsi="仿宋" w:eastAsia="仿宋"/>
          <w:color w:val="auto"/>
          <w:szCs w:val="32"/>
        </w:rPr>
        <w:t>2019</w:t>
      </w:r>
      <w:r>
        <w:rPr>
          <w:rFonts w:hint="eastAsia" w:ascii="仿宋" w:hAnsi="仿宋" w:eastAsia="仿宋"/>
          <w:color w:val="auto"/>
          <w:szCs w:val="32"/>
        </w:rPr>
        <w:t>年支出</w:t>
      </w:r>
      <w:r>
        <w:rPr>
          <w:rFonts w:hint="eastAsia" w:ascii="仿宋" w:hAnsi="仿宋" w:eastAsia="仿宋"/>
          <w:color w:val="auto"/>
          <w:szCs w:val="32"/>
          <w:lang w:val="en-US" w:eastAsia="zh-CN"/>
        </w:rPr>
        <w:t>562.06</w:t>
      </w:r>
      <w:r>
        <w:rPr>
          <w:rFonts w:hint="eastAsia" w:ascii="仿宋" w:hAnsi="仿宋" w:eastAsia="仿宋"/>
          <w:color w:val="auto"/>
          <w:szCs w:val="32"/>
        </w:rPr>
        <w:t>万元相比，支出</w:t>
      </w:r>
      <w:r>
        <w:rPr>
          <w:rFonts w:hint="eastAsia" w:ascii="仿宋" w:hAnsi="仿宋" w:eastAsia="仿宋"/>
          <w:color w:val="auto"/>
          <w:szCs w:val="32"/>
          <w:lang w:eastAsia="zh-CN"/>
        </w:rPr>
        <w:t>增加</w:t>
      </w:r>
      <w:r>
        <w:rPr>
          <w:rFonts w:hint="eastAsia" w:ascii="仿宋" w:hAnsi="仿宋" w:eastAsia="仿宋"/>
          <w:color w:val="auto"/>
          <w:szCs w:val="32"/>
          <w:lang w:val="en-US" w:eastAsia="zh-CN"/>
        </w:rPr>
        <w:t>4.04</w:t>
      </w:r>
      <w:r>
        <w:rPr>
          <w:rFonts w:hint="eastAsia" w:ascii="仿宋" w:hAnsi="仿宋" w:eastAsia="仿宋"/>
          <w:color w:val="auto"/>
          <w:szCs w:val="32"/>
        </w:rPr>
        <w:t>万元，</w:t>
      </w:r>
      <w:r>
        <w:rPr>
          <w:rFonts w:hint="eastAsia" w:ascii="仿宋" w:hAnsi="仿宋" w:eastAsia="仿宋"/>
          <w:color w:val="auto"/>
          <w:szCs w:val="32"/>
          <w:lang w:eastAsia="zh-CN"/>
        </w:rPr>
        <w:t>增长</w:t>
      </w:r>
      <w:r>
        <w:rPr>
          <w:rFonts w:hint="eastAsia" w:ascii="仿宋" w:hAnsi="仿宋" w:eastAsia="仿宋"/>
          <w:color w:val="auto"/>
          <w:szCs w:val="32"/>
          <w:lang w:val="en-US" w:eastAsia="zh-CN"/>
        </w:rPr>
        <w:t>0.72</w:t>
      </w:r>
      <w:r>
        <w:rPr>
          <w:rFonts w:ascii="仿宋" w:hAnsi="仿宋" w:eastAsia="仿宋"/>
          <w:color w:val="auto"/>
          <w:szCs w:val="32"/>
        </w:rPr>
        <w:t>%</w:t>
      </w:r>
      <w:r>
        <w:rPr>
          <w:rFonts w:hint="eastAsia" w:ascii="仿宋" w:hAnsi="仿宋" w:eastAsia="仿宋"/>
          <w:color w:val="auto"/>
          <w:szCs w:val="32"/>
        </w:rPr>
        <w:t>。主要变动原因是</w:t>
      </w:r>
      <w:r>
        <w:rPr>
          <w:rFonts w:hint="eastAsia" w:ascii="仿宋" w:hAnsi="仿宋" w:eastAsia="仿宋"/>
          <w:color w:val="auto"/>
          <w:szCs w:val="32"/>
          <w:lang w:eastAsia="zh-CN"/>
        </w:rPr>
        <w:t>一是</w:t>
      </w:r>
      <w:r>
        <w:rPr>
          <w:rFonts w:hint="eastAsia" w:ascii="仿宋" w:hAnsi="仿宋" w:eastAsia="仿宋"/>
          <w:color w:val="auto"/>
          <w:szCs w:val="32"/>
          <w:lang w:val="en-US" w:eastAsia="zh-CN"/>
        </w:rPr>
        <w:t>2020年受疫情影响，保教费收入减少，而是2020年减少教师一人。</w:t>
      </w:r>
    </w:p>
    <w:p>
      <w:pPr>
        <w:spacing w:line="600" w:lineRule="exact"/>
        <w:jc w:val="center"/>
        <w:rPr>
          <w:rFonts w:ascii="仿宋" w:hAnsi="仿宋" w:eastAsia="仿宋"/>
          <w:color w:val="auto"/>
          <w:szCs w:val="32"/>
        </w:rPr>
      </w:pPr>
      <w:r>
        <w:rPr>
          <w:rFonts w:hint="eastAsia" w:ascii="仿宋" w:hAnsi="仿宋" w:eastAsia="仿宋"/>
          <w:color w:val="auto"/>
          <w:szCs w:val="32"/>
        </w:rPr>
        <w:drawing>
          <wp:anchor distT="0" distB="0" distL="114300" distR="114300" simplePos="0" relativeHeight="251665408" behindDoc="0" locked="0" layoutInCell="1" allowOverlap="1">
            <wp:simplePos x="0" y="0"/>
            <wp:positionH relativeFrom="column">
              <wp:posOffset>476250</wp:posOffset>
            </wp:positionH>
            <wp:positionV relativeFrom="paragraph">
              <wp:posOffset>342900</wp:posOffset>
            </wp:positionV>
            <wp:extent cx="4831080" cy="1628775"/>
            <wp:effectExtent l="4445" t="4445" r="22225" b="5080"/>
            <wp:wrapTopAndBottom/>
            <wp:docPr id="2"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anchor>
        </w:drawing>
      </w:r>
      <w:r>
        <w:rPr>
          <w:rFonts w:hint="eastAsia" w:ascii="仿宋" w:hAnsi="仿宋" w:eastAsia="仿宋"/>
          <w:color w:val="auto"/>
          <w:szCs w:val="32"/>
        </w:rPr>
        <w:t>（图</w:t>
      </w:r>
      <w:r>
        <w:rPr>
          <w:rFonts w:ascii="仿宋" w:hAnsi="仿宋" w:eastAsia="仿宋"/>
          <w:color w:val="auto"/>
          <w:szCs w:val="32"/>
        </w:rPr>
        <w:t>1</w:t>
      </w:r>
      <w:r>
        <w:rPr>
          <w:rFonts w:hint="eastAsia" w:ascii="仿宋" w:hAnsi="仿宋" w:eastAsia="仿宋"/>
          <w:color w:val="auto"/>
          <w:szCs w:val="32"/>
        </w:rPr>
        <w:t>：收、支决算总计变动情况图）（柱状图）</w:t>
      </w:r>
    </w:p>
    <w:p>
      <w:pPr>
        <w:pStyle w:val="16"/>
        <w:numPr>
          <w:ilvl w:val="0"/>
          <w:numId w:val="4"/>
        </w:numPr>
        <w:spacing w:line="600" w:lineRule="exact"/>
        <w:ind w:firstLineChars="0"/>
        <w:outlineLvl w:val="1"/>
        <w:rPr>
          <w:rStyle w:val="15"/>
          <w:rFonts w:ascii="黑体" w:hAnsi="黑体" w:eastAsia="黑体"/>
          <w:b w:val="0"/>
          <w:color w:val="auto"/>
        </w:rPr>
      </w:pPr>
      <w:bookmarkStart w:id="15" w:name="_Toc25258"/>
      <w:bookmarkStart w:id="16" w:name="_Toc15377206"/>
      <w:bookmarkStart w:id="17" w:name="_Toc15396604"/>
      <w:r>
        <w:rPr>
          <w:rFonts w:hint="eastAsia" w:ascii="黑体" w:hAnsi="黑体" w:eastAsia="黑体"/>
          <w:color w:val="auto"/>
          <w:szCs w:val="32"/>
        </w:rPr>
        <w:t>收</w:t>
      </w:r>
      <w:r>
        <w:rPr>
          <w:rStyle w:val="15"/>
          <w:rFonts w:hint="eastAsia" w:ascii="黑体" w:hAnsi="黑体" w:eastAsia="黑体"/>
          <w:b w:val="0"/>
          <w:color w:val="auto"/>
        </w:rPr>
        <w:t>入决算情况说明</w:t>
      </w:r>
      <w:bookmarkEnd w:id="15"/>
      <w:bookmarkEnd w:id="16"/>
      <w:bookmarkEnd w:id="17"/>
    </w:p>
    <w:p>
      <w:pPr>
        <w:spacing w:line="600" w:lineRule="exact"/>
        <w:ind w:firstLine="640" w:firstLineChars="200"/>
        <w:rPr>
          <w:rFonts w:ascii="仿宋" w:hAnsi="仿宋" w:eastAsia="仿宋"/>
          <w:color w:val="auto"/>
          <w:szCs w:val="32"/>
        </w:rPr>
      </w:pPr>
      <w:r>
        <w:rPr>
          <w:rFonts w:ascii="仿宋" w:hAnsi="仿宋" w:eastAsia="仿宋"/>
          <w:color w:val="auto"/>
          <w:szCs w:val="32"/>
        </w:rPr>
        <w:t>2020</w:t>
      </w:r>
      <w:r>
        <w:rPr>
          <w:rFonts w:hint="eastAsia" w:ascii="仿宋" w:hAnsi="仿宋" w:eastAsia="仿宋"/>
          <w:color w:val="auto"/>
          <w:szCs w:val="32"/>
        </w:rPr>
        <w:t>年本年收入合计</w:t>
      </w:r>
      <w:r>
        <w:rPr>
          <w:rFonts w:hint="eastAsia" w:ascii="仿宋" w:hAnsi="仿宋" w:eastAsia="仿宋"/>
          <w:color w:val="auto"/>
          <w:szCs w:val="32"/>
          <w:lang w:val="en-US" w:eastAsia="zh-CN"/>
        </w:rPr>
        <w:t>549.22</w:t>
      </w:r>
      <w:r>
        <w:rPr>
          <w:rFonts w:hint="eastAsia" w:ascii="仿宋" w:hAnsi="仿宋" w:eastAsia="仿宋"/>
          <w:color w:val="auto"/>
          <w:szCs w:val="32"/>
        </w:rPr>
        <w:t>万元，其中：一般公共预算财政拨款收入</w:t>
      </w:r>
      <w:r>
        <w:rPr>
          <w:rFonts w:hint="eastAsia" w:ascii="仿宋" w:hAnsi="仿宋" w:eastAsia="仿宋"/>
          <w:color w:val="auto"/>
          <w:szCs w:val="32"/>
          <w:lang w:val="en-US" w:eastAsia="zh-CN"/>
        </w:rPr>
        <w:t>531.91</w:t>
      </w:r>
      <w:r>
        <w:rPr>
          <w:rFonts w:hint="eastAsia" w:ascii="仿宋" w:hAnsi="仿宋" w:eastAsia="仿宋"/>
          <w:color w:val="auto"/>
          <w:szCs w:val="32"/>
        </w:rPr>
        <w:t>万元，占</w:t>
      </w:r>
      <w:r>
        <w:rPr>
          <w:rFonts w:hint="eastAsia" w:ascii="仿宋" w:hAnsi="仿宋" w:eastAsia="仿宋"/>
          <w:color w:val="auto"/>
          <w:szCs w:val="32"/>
          <w:lang w:val="en-US" w:eastAsia="zh-CN"/>
        </w:rPr>
        <w:t>96.85</w:t>
      </w:r>
      <w:r>
        <w:rPr>
          <w:rFonts w:ascii="仿宋" w:hAnsi="仿宋" w:eastAsia="仿宋"/>
          <w:color w:val="auto"/>
          <w:szCs w:val="32"/>
        </w:rPr>
        <w:t>%</w:t>
      </w:r>
      <w:r>
        <w:rPr>
          <w:rFonts w:hint="eastAsia" w:ascii="仿宋" w:hAnsi="仿宋" w:eastAsia="仿宋"/>
          <w:color w:val="auto"/>
          <w:szCs w:val="32"/>
        </w:rPr>
        <w:t>；政府性基金预算财政拨款收入</w:t>
      </w:r>
      <w:r>
        <w:rPr>
          <w:rFonts w:hint="eastAsia" w:ascii="仿宋" w:hAnsi="仿宋" w:eastAsia="仿宋"/>
          <w:color w:val="auto"/>
          <w:szCs w:val="32"/>
          <w:lang w:val="en-US" w:eastAsia="zh-CN"/>
        </w:rPr>
        <w:t>3.1</w:t>
      </w:r>
      <w:r>
        <w:rPr>
          <w:rFonts w:hint="eastAsia" w:ascii="仿宋" w:hAnsi="仿宋" w:eastAsia="仿宋"/>
          <w:color w:val="auto"/>
          <w:szCs w:val="32"/>
        </w:rPr>
        <w:t>万元，占</w:t>
      </w:r>
      <w:r>
        <w:rPr>
          <w:rFonts w:hint="eastAsia" w:ascii="仿宋" w:hAnsi="仿宋" w:eastAsia="仿宋"/>
          <w:color w:val="auto"/>
          <w:szCs w:val="32"/>
          <w:lang w:val="en-US" w:eastAsia="zh-CN"/>
        </w:rPr>
        <w:t>0.56</w:t>
      </w:r>
      <w:r>
        <w:rPr>
          <w:rFonts w:ascii="仿宋" w:hAnsi="仿宋" w:eastAsia="仿宋"/>
          <w:color w:val="auto"/>
          <w:szCs w:val="32"/>
        </w:rPr>
        <w:t>%</w:t>
      </w:r>
      <w:r>
        <w:rPr>
          <w:rFonts w:hint="eastAsia" w:ascii="仿宋" w:hAnsi="仿宋" w:eastAsia="仿宋"/>
          <w:color w:val="auto"/>
          <w:szCs w:val="32"/>
        </w:rPr>
        <w:t>；上级补助收入0万元，占0</w:t>
      </w:r>
      <w:r>
        <w:rPr>
          <w:rFonts w:ascii="仿宋" w:hAnsi="仿宋" w:eastAsia="仿宋"/>
          <w:color w:val="auto"/>
          <w:szCs w:val="32"/>
        </w:rPr>
        <w:t>%</w:t>
      </w:r>
      <w:r>
        <w:rPr>
          <w:rFonts w:hint="eastAsia" w:ascii="仿宋" w:hAnsi="仿宋" w:eastAsia="仿宋"/>
          <w:color w:val="auto"/>
          <w:szCs w:val="32"/>
        </w:rPr>
        <w:t>；事业收入</w:t>
      </w:r>
      <w:r>
        <w:rPr>
          <w:rFonts w:hint="eastAsia" w:ascii="仿宋" w:hAnsi="仿宋" w:eastAsia="仿宋"/>
          <w:color w:val="auto"/>
          <w:szCs w:val="32"/>
          <w:lang w:val="en-US" w:eastAsia="zh-CN"/>
        </w:rPr>
        <w:t>14.2</w:t>
      </w:r>
      <w:r>
        <w:rPr>
          <w:rFonts w:hint="eastAsia" w:ascii="仿宋" w:hAnsi="仿宋" w:eastAsia="仿宋"/>
          <w:color w:val="auto"/>
          <w:szCs w:val="32"/>
        </w:rPr>
        <w:t>1万元，占</w:t>
      </w:r>
      <w:r>
        <w:rPr>
          <w:rFonts w:hint="eastAsia" w:ascii="仿宋" w:hAnsi="仿宋" w:eastAsia="仿宋"/>
          <w:color w:val="auto"/>
          <w:szCs w:val="32"/>
          <w:lang w:val="en-US" w:eastAsia="zh-CN"/>
        </w:rPr>
        <w:t>2.59</w:t>
      </w:r>
      <w:r>
        <w:rPr>
          <w:rFonts w:ascii="仿宋" w:hAnsi="仿宋" w:eastAsia="仿宋"/>
          <w:color w:val="auto"/>
          <w:szCs w:val="32"/>
        </w:rPr>
        <w:t>%</w:t>
      </w:r>
      <w:r>
        <w:rPr>
          <w:rFonts w:hint="eastAsia" w:ascii="仿宋" w:hAnsi="仿宋" w:eastAsia="仿宋"/>
          <w:color w:val="auto"/>
          <w:szCs w:val="32"/>
        </w:rPr>
        <w:t>；经营收入0万元，占0</w:t>
      </w:r>
      <w:r>
        <w:rPr>
          <w:rFonts w:ascii="仿宋" w:hAnsi="仿宋" w:eastAsia="仿宋"/>
          <w:color w:val="auto"/>
          <w:szCs w:val="32"/>
        </w:rPr>
        <w:t>%</w:t>
      </w:r>
      <w:r>
        <w:rPr>
          <w:rFonts w:hint="eastAsia" w:ascii="仿宋" w:hAnsi="仿宋" w:eastAsia="仿宋"/>
          <w:color w:val="auto"/>
          <w:szCs w:val="32"/>
        </w:rPr>
        <w:t>；附属单位上缴收入0万元，占0</w:t>
      </w:r>
      <w:r>
        <w:rPr>
          <w:rFonts w:ascii="仿宋" w:hAnsi="仿宋" w:eastAsia="仿宋"/>
          <w:color w:val="auto"/>
          <w:szCs w:val="32"/>
        </w:rPr>
        <w:t>%</w:t>
      </w:r>
      <w:r>
        <w:rPr>
          <w:rFonts w:hint="eastAsia" w:ascii="仿宋" w:hAnsi="仿宋" w:eastAsia="仿宋"/>
          <w:color w:val="auto"/>
          <w:szCs w:val="32"/>
        </w:rPr>
        <w:t>；其他收入0万元，占0</w:t>
      </w:r>
      <w:r>
        <w:rPr>
          <w:rFonts w:ascii="仿宋" w:hAnsi="仿宋" w:eastAsia="仿宋"/>
          <w:color w:val="auto"/>
          <w:szCs w:val="32"/>
        </w:rPr>
        <w:t>%</w:t>
      </w:r>
      <w:r>
        <w:rPr>
          <w:rFonts w:hint="eastAsia" w:ascii="仿宋" w:hAnsi="仿宋" w:eastAsia="仿宋"/>
          <w:color w:val="auto"/>
          <w:szCs w:val="32"/>
        </w:rPr>
        <w:t>。</w:t>
      </w:r>
    </w:p>
    <w:p>
      <w:pPr>
        <w:spacing w:line="600" w:lineRule="exact"/>
        <w:ind w:firstLine="640" w:firstLineChars="200"/>
        <w:jc w:val="center"/>
        <w:rPr>
          <w:rFonts w:ascii="仿宋" w:hAnsi="仿宋" w:eastAsia="仿宋"/>
          <w:color w:val="auto"/>
          <w:szCs w:val="32"/>
        </w:rPr>
      </w:pPr>
      <w:r>
        <w:rPr>
          <w:rFonts w:hint="eastAsia" w:ascii="仿宋" w:hAnsi="仿宋" w:eastAsia="仿宋"/>
          <w:color w:val="auto"/>
          <w:szCs w:val="32"/>
        </w:rPr>
        <w:drawing>
          <wp:anchor distT="0" distB="0" distL="114300" distR="114300" simplePos="0" relativeHeight="251660288" behindDoc="0" locked="0" layoutInCell="1" allowOverlap="1">
            <wp:simplePos x="0" y="0"/>
            <wp:positionH relativeFrom="column">
              <wp:posOffset>314325</wp:posOffset>
            </wp:positionH>
            <wp:positionV relativeFrom="paragraph">
              <wp:posOffset>66675</wp:posOffset>
            </wp:positionV>
            <wp:extent cx="4869180" cy="1457325"/>
            <wp:effectExtent l="19050" t="0" r="26670" b="0"/>
            <wp:wrapTopAndBottom/>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r>
        <w:rPr>
          <w:rFonts w:hint="eastAsia" w:ascii="仿宋" w:hAnsi="仿宋" w:eastAsia="仿宋"/>
          <w:color w:val="auto"/>
          <w:szCs w:val="32"/>
        </w:rPr>
        <w:t>（图</w:t>
      </w:r>
      <w:r>
        <w:rPr>
          <w:rFonts w:ascii="仿宋" w:hAnsi="仿宋" w:eastAsia="仿宋"/>
          <w:color w:val="auto"/>
          <w:szCs w:val="32"/>
        </w:rPr>
        <w:t>2</w:t>
      </w:r>
      <w:r>
        <w:rPr>
          <w:rFonts w:hint="eastAsia" w:ascii="仿宋" w:hAnsi="仿宋" w:eastAsia="仿宋"/>
          <w:color w:val="auto"/>
          <w:szCs w:val="32"/>
        </w:rPr>
        <w:t>：收入决算结构图）（饼状图）</w:t>
      </w:r>
    </w:p>
    <w:p>
      <w:pPr>
        <w:pStyle w:val="16"/>
        <w:numPr>
          <w:ilvl w:val="0"/>
          <w:numId w:val="4"/>
        </w:numPr>
        <w:spacing w:line="600" w:lineRule="exact"/>
        <w:ind w:firstLineChars="0"/>
        <w:outlineLvl w:val="1"/>
        <w:rPr>
          <w:rStyle w:val="15"/>
          <w:rFonts w:ascii="黑体" w:hAnsi="黑体" w:eastAsia="黑体"/>
          <w:b w:val="0"/>
          <w:color w:val="auto"/>
        </w:rPr>
      </w:pPr>
      <w:bookmarkStart w:id="18" w:name="_Toc15377207"/>
      <w:bookmarkStart w:id="19" w:name="_Toc15396605"/>
      <w:bookmarkStart w:id="20" w:name="_Toc13725"/>
      <w:r>
        <w:rPr>
          <w:rFonts w:hint="eastAsia" w:ascii="黑体" w:hAnsi="黑体" w:eastAsia="黑体"/>
          <w:color w:val="auto"/>
          <w:szCs w:val="32"/>
        </w:rPr>
        <w:t>支</w:t>
      </w:r>
      <w:r>
        <w:rPr>
          <w:rStyle w:val="15"/>
          <w:rFonts w:hint="eastAsia" w:ascii="黑体" w:hAnsi="黑体" w:eastAsia="黑体"/>
          <w:b w:val="0"/>
          <w:color w:val="auto"/>
        </w:rPr>
        <w:t>出决算情况说明</w:t>
      </w:r>
      <w:bookmarkEnd w:id="18"/>
      <w:bookmarkEnd w:id="19"/>
      <w:bookmarkEnd w:id="20"/>
    </w:p>
    <w:p>
      <w:pPr>
        <w:spacing w:line="600" w:lineRule="exact"/>
        <w:ind w:firstLine="640" w:firstLineChars="200"/>
        <w:outlineLvl w:val="1"/>
        <w:rPr>
          <w:rFonts w:ascii="仿宋" w:hAnsi="仿宋" w:eastAsia="仿宋"/>
          <w:color w:val="auto"/>
          <w:szCs w:val="32"/>
        </w:rPr>
      </w:pPr>
      <w:r>
        <w:rPr>
          <w:rFonts w:hint="eastAsia" w:ascii="仿宋" w:hAnsi="仿宋" w:eastAsia="仿宋"/>
          <w:color w:val="auto"/>
          <w:szCs w:val="32"/>
        </w:rPr>
        <w:drawing>
          <wp:anchor distT="0" distB="0" distL="114300" distR="114300" simplePos="0" relativeHeight="251661312" behindDoc="0" locked="0" layoutInCell="1" allowOverlap="1">
            <wp:simplePos x="0" y="0"/>
            <wp:positionH relativeFrom="column">
              <wp:posOffset>504825</wp:posOffset>
            </wp:positionH>
            <wp:positionV relativeFrom="paragraph">
              <wp:posOffset>1457325</wp:posOffset>
            </wp:positionV>
            <wp:extent cx="4764405" cy="1485900"/>
            <wp:effectExtent l="4445" t="4445" r="12700" b="14605"/>
            <wp:wrapTopAndBottom/>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r>
        <w:rPr>
          <w:rFonts w:ascii="仿宋" w:hAnsi="仿宋" w:eastAsia="仿宋"/>
          <w:color w:val="auto"/>
          <w:szCs w:val="32"/>
        </w:rPr>
        <w:t>2020</w:t>
      </w:r>
      <w:r>
        <w:rPr>
          <w:rFonts w:hint="eastAsia" w:ascii="仿宋" w:hAnsi="仿宋" w:eastAsia="仿宋"/>
          <w:color w:val="auto"/>
          <w:szCs w:val="32"/>
        </w:rPr>
        <w:t>年本年支出合计</w:t>
      </w:r>
      <w:r>
        <w:rPr>
          <w:rFonts w:hint="eastAsia" w:ascii="仿宋" w:hAnsi="仿宋" w:eastAsia="仿宋"/>
          <w:color w:val="auto"/>
          <w:szCs w:val="32"/>
          <w:lang w:val="en-US" w:eastAsia="zh-CN"/>
        </w:rPr>
        <w:t>566.1</w:t>
      </w:r>
      <w:r>
        <w:rPr>
          <w:rFonts w:hint="eastAsia" w:ascii="仿宋" w:hAnsi="仿宋" w:eastAsia="仿宋"/>
          <w:color w:val="auto"/>
          <w:szCs w:val="32"/>
        </w:rPr>
        <w:t>万元，其中：基本支出</w:t>
      </w:r>
      <w:r>
        <w:rPr>
          <w:rFonts w:hint="eastAsia" w:ascii="仿宋" w:hAnsi="仿宋" w:eastAsia="仿宋"/>
          <w:color w:val="auto"/>
          <w:szCs w:val="32"/>
          <w:lang w:val="en-US" w:eastAsia="zh-CN"/>
        </w:rPr>
        <w:t>563.59</w:t>
      </w:r>
      <w:r>
        <w:rPr>
          <w:rFonts w:hint="eastAsia" w:ascii="仿宋" w:hAnsi="仿宋" w:eastAsia="仿宋"/>
          <w:color w:val="auto"/>
          <w:szCs w:val="32"/>
        </w:rPr>
        <w:t>万元，占</w:t>
      </w:r>
      <w:r>
        <w:rPr>
          <w:rFonts w:hint="eastAsia" w:ascii="仿宋" w:hAnsi="仿宋" w:eastAsia="仿宋"/>
          <w:color w:val="auto"/>
          <w:szCs w:val="32"/>
          <w:lang w:val="en-US" w:eastAsia="zh-CN"/>
        </w:rPr>
        <w:t>99.56</w:t>
      </w:r>
      <w:r>
        <w:rPr>
          <w:rFonts w:ascii="仿宋" w:hAnsi="仿宋" w:eastAsia="仿宋"/>
          <w:color w:val="auto"/>
          <w:szCs w:val="32"/>
        </w:rPr>
        <w:t>%</w:t>
      </w:r>
      <w:r>
        <w:rPr>
          <w:rFonts w:hint="eastAsia" w:ascii="仿宋" w:hAnsi="仿宋" w:eastAsia="仿宋"/>
          <w:color w:val="auto"/>
          <w:szCs w:val="32"/>
        </w:rPr>
        <w:t>；项目支出</w:t>
      </w:r>
      <w:r>
        <w:rPr>
          <w:rFonts w:hint="eastAsia" w:ascii="仿宋" w:hAnsi="仿宋" w:eastAsia="仿宋"/>
          <w:color w:val="auto"/>
          <w:szCs w:val="32"/>
          <w:lang w:val="en-US" w:eastAsia="zh-CN"/>
        </w:rPr>
        <w:t>2.5</w:t>
      </w:r>
      <w:r>
        <w:rPr>
          <w:rFonts w:hint="eastAsia" w:ascii="仿宋" w:hAnsi="仿宋" w:eastAsia="仿宋"/>
          <w:color w:val="auto"/>
          <w:szCs w:val="32"/>
        </w:rPr>
        <w:t>万元，占</w:t>
      </w:r>
      <w:r>
        <w:rPr>
          <w:rFonts w:hint="eastAsia" w:ascii="仿宋" w:hAnsi="仿宋" w:eastAsia="仿宋"/>
          <w:color w:val="auto"/>
          <w:szCs w:val="32"/>
          <w:lang w:val="en-US" w:eastAsia="zh-CN"/>
        </w:rPr>
        <w:t>0.44</w:t>
      </w:r>
      <w:r>
        <w:rPr>
          <w:rFonts w:ascii="仿宋" w:hAnsi="仿宋" w:eastAsia="仿宋"/>
          <w:color w:val="auto"/>
          <w:szCs w:val="32"/>
        </w:rPr>
        <w:t>%</w:t>
      </w:r>
      <w:r>
        <w:rPr>
          <w:rFonts w:hint="eastAsia" w:ascii="仿宋" w:hAnsi="仿宋" w:eastAsia="仿宋"/>
          <w:color w:val="auto"/>
          <w:szCs w:val="32"/>
        </w:rPr>
        <w:t>；上缴上级支出0万元，占0</w:t>
      </w:r>
      <w:r>
        <w:rPr>
          <w:rFonts w:ascii="仿宋" w:hAnsi="仿宋" w:eastAsia="仿宋"/>
          <w:color w:val="auto"/>
          <w:szCs w:val="32"/>
        </w:rPr>
        <w:t>%</w:t>
      </w:r>
      <w:r>
        <w:rPr>
          <w:rFonts w:hint="eastAsia" w:ascii="仿宋" w:hAnsi="仿宋" w:eastAsia="仿宋"/>
          <w:color w:val="auto"/>
          <w:szCs w:val="32"/>
        </w:rPr>
        <w:t>；经营支出0万元，占0</w:t>
      </w:r>
      <w:r>
        <w:rPr>
          <w:rFonts w:ascii="仿宋" w:hAnsi="仿宋" w:eastAsia="仿宋"/>
          <w:color w:val="auto"/>
          <w:szCs w:val="32"/>
        </w:rPr>
        <w:t>%</w:t>
      </w:r>
      <w:r>
        <w:rPr>
          <w:rFonts w:hint="eastAsia" w:ascii="仿宋" w:hAnsi="仿宋" w:eastAsia="仿宋"/>
          <w:color w:val="auto"/>
          <w:szCs w:val="32"/>
        </w:rPr>
        <w:t>；对附属单位补助支出0万元，占0</w:t>
      </w:r>
      <w:r>
        <w:rPr>
          <w:rFonts w:ascii="仿宋" w:hAnsi="仿宋" w:eastAsia="仿宋"/>
          <w:color w:val="auto"/>
          <w:szCs w:val="32"/>
        </w:rPr>
        <w:t>%</w:t>
      </w:r>
      <w:r>
        <w:rPr>
          <w:rFonts w:hint="eastAsia" w:ascii="仿宋" w:hAnsi="仿宋" w:eastAsia="仿宋"/>
          <w:color w:val="auto"/>
          <w:szCs w:val="32"/>
        </w:rPr>
        <w:t>。</w:t>
      </w:r>
    </w:p>
    <w:p>
      <w:pPr>
        <w:spacing w:line="600" w:lineRule="exact"/>
        <w:jc w:val="center"/>
        <w:rPr>
          <w:rFonts w:ascii="仿宋" w:hAnsi="仿宋" w:eastAsia="仿宋"/>
          <w:color w:val="auto"/>
          <w:szCs w:val="32"/>
        </w:rPr>
      </w:pPr>
      <w:r>
        <w:rPr>
          <w:rFonts w:hint="eastAsia" w:ascii="仿宋" w:hAnsi="仿宋" w:eastAsia="仿宋"/>
          <w:color w:val="auto"/>
          <w:szCs w:val="32"/>
        </w:rPr>
        <w:t>（图</w:t>
      </w:r>
      <w:r>
        <w:rPr>
          <w:rFonts w:ascii="仿宋" w:hAnsi="仿宋" w:eastAsia="仿宋"/>
          <w:color w:val="auto"/>
          <w:szCs w:val="32"/>
        </w:rPr>
        <w:t>3</w:t>
      </w:r>
      <w:r>
        <w:rPr>
          <w:rFonts w:hint="eastAsia" w:ascii="仿宋" w:hAnsi="仿宋" w:eastAsia="仿宋"/>
          <w:color w:val="auto"/>
          <w:szCs w:val="32"/>
        </w:rPr>
        <w:t>：支出决算结构图）（饼状图）</w:t>
      </w:r>
    </w:p>
    <w:p>
      <w:pPr>
        <w:spacing w:line="600" w:lineRule="exact"/>
        <w:ind w:firstLine="640" w:firstLineChars="200"/>
        <w:outlineLvl w:val="1"/>
        <w:rPr>
          <w:rStyle w:val="15"/>
          <w:rFonts w:ascii="黑体" w:hAnsi="黑体" w:eastAsia="黑体"/>
          <w:b w:val="0"/>
          <w:color w:val="auto"/>
        </w:rPr>
      </w:pPr>
      <w:bookmarkStart w:id="21" w:name="_Toc10354"/>
      <w:bookmarkStart w:id="22" w:name="_Toc15396606"/>
      <w:bookmarkStart w:id="23" w:name="_Toc15377208"/>
      <w:r>
        <w:rPr>
          <w:rFonts w:hint="eastAsia" w:ascii="黑体" w:hAnsi="黑体" w:eastAsia="黑体"/>
          <w:color w:val="auto"/>
          <w:szCs w:val="32"/>
        </w:rPr>
        <w:t>四、财</w:t>
      </w:r>
      <w:r>
        <w:rPr>
          <w:rStyle w:val="15"/>
          <w:rFonts w:hint="eastAsia" w:ascii="黑体" w:hAnsi="黑体" w:eastAsia="黑体"/>
          <w:b w:val="0"/>
          <w:color w:val="auto"/>
        </w:rPr>
        <w:t>政拨款收入支出决算总体情况说明</w:t>
      </w:r>
      <w:bookmarkEnd w:id="21"/>
      <w:bookmarkEnd w:id="22"/>
      <w:bookmarkEnd w:id="23"/>
    </w:p>
    <w:p>
      <w:pPr>
        <w:ind w:firstLine="570"/>
        <w:rPr>
          <w:rFonts w:hint="eastAsia" w:ascii="仿宋" w:hAnsi="仿宋" w:eastAsia="仿宋"/>
          <w:color w:val="auto"/>
          <w:szCs w:val="32"/>
          <w:lang w:val="en-US" w:eastAsia="zh-CN"/>
        </w:rPr>
      </w:pPr>
      <w:r>
        <w:rPr>
          <w:rFonts w:ascii="仿宋" w:hAnsi="仿宋" w:eastAsia="仿宋"/>
          <w:color w:val="auto"/>
          <w:szCs w:val="32"/>
        </w:rPr>
        <w:drawing>
          <wp:anchor distT="0" distB="0" distL="114300" distR="114300" simplePos="0" relativeHeight="251666432" behindDoc="0" locked="0" layoutInCell="1" allowOverlap="1">
            <wp:simplePos x="0" y="0"/>
            <wp:positionH relativeFrom="column">
              <wp:posOffset>323850</wp:posOffset>
            </wp:positionH>
            <wp:positionV relativeFrom="paragraph">
              <wp:posOffset>2867025</wp:posOffset>
            </wp:positionV>
            <wp:extent cx="4906645" cy="1818640"/>
            <wp:effectExtent l="4445" t="4445" r="22860" b="5715"/>
            <wp:wrapTopAndBottom/>
            <wp:docPr id="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Pr>
          <w:rFonts w:ascii="仿宋" w:hAnsi="仿宋" w:eastAsia="仿宋"/>
          <w:color w:val="auto"/>
          <w:szCs w:val="32"/>
        </w:rPr>
        <w:t>2020</w:t>
      </w:r>
      <w:r>
        <w:rPr>
          <w:rFonts w:hint="eastAsia" w:ascii="仿宋" w:hAnsi="仿宋" w:eastAsia="仿宋"/>
          <w:color w:val="auto"/>
          <w:szCs w:val="32"/>
        </w:rPr>
        <w:t>年度财政拨款收入总计</w:t>
      </w:r>
      <w:r>
        <w:rPr>
          <w:rFonts w:hint="eastAsia" w:ascii="仿宋" w:hAnsi="仿宋" w:eastAsia="仿宋"/>
          <w:color w:val="auto"/>
          <w:szCs w:val="32"/>
          <w:lang w:val="en-US" w:eastAsia="zh-CN"/>
        </w:rPr>
        <w:t>535.01</w:t>
      </w:r>
      <w:r>
        <w:rPr>
          <w:rFonts w:hint="eastAsia" w:ascii="仿宋" w:hAnsi="仿宋" w:eastAsia="仿宋"/>
          <w:color w:val="auto"/>
          <w:szCs w:val="32"/>
        </w:rPr>
        <w:t>万元，与</w:t>
      </w:r>
      <w:r>
        <w:rPr>
          <w:rFonts w:ascii="仿宋" w:hAnsi="仿宋" w:eastAsia="仿宋"/>
          <w:color w:val="auto"/>
          <w:szCs w:val="32"/>
        </w:rPr>
        <w:t>2019</w:t>
      </w:r>
      <w:r>
        <w:rPr>
          <w:rFonts w:hint="eastAsia" w:ascii="仿宋" w:hAnsi="仿宋" w:eastAsia="仿宋"/>
          <w:color w:val="auto"/>
          <w:szCs w:val="32"/>
        </w:rPr>
        <w:t>年财政拨款收入总计</w:t>
      </w:r>
      <w:r>
        <w:rPr>
          <w:rFonts w:hint="eastAsia" w:ascii="仿宋" w:hAnsi="仿宋" w:eastAsia="仿宋"/>
          <w:color w:val="auto"/>
          <w:szCs w:val="32"/>
          <w:lang w:val="en-US" w:eastAsia="zh-CN"/>
        </w:rPr>
        <w:t>548.24</w:t>
      </w:r>
      <w:r>
        <w:rPr>
          <w:rFonts w:hint="eastAsia" w:ascii="仿宋" w:hAnsi="仿宋" w:eastAsia="仿宋"/>
          <w:color w:val="auto"/>
          <w:szCs w:val="32"/>
        </w:rPr>
        <w:t>万元相比，收入减少</w:t>
      </w:r>
      <w:r>
        <w:rPr>
          <w:rFonts w:hint="eastAsia" w:ascii="仿宋" w:hAnsi="仿宋" w:eastAsia="仿宋"/>
          <w:color w:val="auto"/>
          <w:szCs w:val="32"/>
          <w:lang w:val="en-US" w:eastAsia="zh-CN"/>
        </w:rPr>
        <w:t>13.23</w:t>
      </w:r>
      <w:r>
        <w:rPr>
          <w:rFonts w:hint="eastAsia" w:ascii="仿宋" w:hAnsi="仿宋" w:eastAsia="仿宋"/>
          <w:color w:val="auto"/>
          <w:szCs w:val="32"/>
        </w:rPr>
        <w:t>万元，下降</w:t>
      </w:r>
      <w:r>
        <w:rPr>
          <w:rFonts w:hint="eastAsia" w:ascii="仿宋" w:hAnsi="仿宋" w:eastAsia="仿宋"/>
          <w:color w:val="auto"/>
          <w:szCs w:val="32"/>
          <w:lang w:val="en-US" w:eastAsia="zh-CN"/>
        </w:rPr>
        <w:t>2.41</w:t>
      </w:r>
      <w:r>
        <w:rPr>
          <w:rFonts w:ascii="仿宋" w:hAnsi="仿宋" w:eastAsia="仿宋"/>
          <w:color w:val="auto"/>
          <w:szCs w:val="32"/>
        </w:rPr>
        <w:t>%</w:t>
      </w:r>
      <w:r>
        <w:rPr>
          <w:rFonts w:hint="eastAsia" w:ascii="仿宋" w:hAnsi="仿宋" w:eastAsia="仿宋"/>
          <w:color w:val="auto"/>
          <w:szCs w:val="32"/>
        </w:rPr>
        <w:t>；2020年度财政拨款支出总计</w:t>
      </w:r>
      <w:r>
        <w:rPr>
          <w:rFonts w:hint="eastAsia" w:ascii="仿宋" w:hAnsi="仿宋" w:eastAsia="仿宋"/>
          <w:color w:val="auto"/>
          <w:szCs w:val="32"/>
          <w:lang w:val="en-US" w:eastAsia="zh-CN"/>
        </w:rPr>
        <w:t>559.39</w:t>
      </w:r>
      <w:r>
        <w:rPr>
          <w:rFonts w:hint="eastAsia" w:ascii="仿宋" w:hAnsi="仿宋" w:eastAsia="仿宋"/>
          <w:color w:val="auto"/>
          <w:szCs w:val="32"/>
        </w:rPr>
        <w:t>万元，与</w:t>
      </w:r>
      <w:r>
        <w:rPr>
          <w:rFonts w:ascii="仿宋" w:hAnsi="仿宋" w:eastAsia="仿宋"/>
          <w:color w:val="auto"/>
          <w:szCs w:val="32"/>
        </w:rPr>
        <w:t>2019</w:t>
      </w:r>
      <w:r>
        <w:rPr>
          <w:rFonts w:hint="eastAsia" w:ascii="仿宋" w:hAnsi="仿宋" w:eastAsia="仿宋"/>
          <w:color w:val="auto"/>
          <w:szCs w:val="32"/>
        </w:rPr>
        <w:t>年财政拨款支出总计</w:t>
      </w:r>
      <w:r>
        <w:rPr>
          <w:rFonts w:hint="eastAsia" w:ascii="仿宋" w:hAnsi="仿宋" w:eastAsia="仿宋"/>
          <w:color w:val="auto"/>
          <w:szCs w:val="32"/>
          <w:lang w:val="en-US" w:eastAsia="zh-CN"/>
        </w:rPr>
        <w:t>535.04</w:t>
      </w:r>
      <w:r>
        <w:rPr>
          <w:rFonts w:hint="eastAsia" w:ascii="仿宋" w:hAnsi="仿宋" w:eastAsia="仿宋"/>
          <w:color w:val="auto"/>
          <w:szCs w:val="32"/>
        </w:rPr>
        <w:t>万元相比，支出</w:t>
      </w:r>
      <w:r>
        <w:rPr>
          <w:rFonts w:hint="eastAsia" w:ascii="仿宋" w:hAnsi="仿宋" w:eastAsia="仿宋"/>
          <w:color w:val="auto"/>
          <w:szCs w:val="32"/>
          <w:lang w:eastAsia="zh-CN"/>
        </w:rPr>
        <w:t>增长</w:t>
      </w:r>
      <w:r>
        <w:rPr>
          <w:rFonts w:hint="eastAsia" w:ascii="仿宋" w:hAnsi="仿宋" w:eastAsia="仿宋"/>
          <w:color w:val="auto"/>
          <w:szCs w:val="32"/>
          <w:lang w:val="en-US" w:eastAsia="zh-CN"/>
        </w:rPr>
        <w:t>24.35</w:t>
      </w:r>
      <w:r>
        <w:rPr>
          <w:rFonts w:hint="eastAsia" w:ascii="仿宋" w:hAnsi="仿宋" w:eastAsia="仿宋"/>
          <w:color w:val="auto"/>
          <w:szCs w:val="32"/>
        </w:rPr>
        <w:t>万元，下降</w:t>
      </w:r>
      <w:r>
        <w:rPr>
          <w:rFonts w:hint="eastAsia" w:ascii="仿宋" w:hAnsi="仿宋" w:eastAsia="仿宋"/>
          <w:color w:val="auto"/>
          <w:szCs w:val="32"/>
          <w:lang w:val="en-US" w:eastAsia="zh-CN"/>
        </w:rPr>
        <w:t>4.55</w:t>
      </w:r>
      <w:r>
        <w:rPr>
          <w:rFonts w:ascii="仿宋" w:hAnsi="仿宋" w:eastAsia="仿宋"/>
          <w:color w:val="auto"/>
          <w:szCs w:val="32"/>
        </w:rPr>
        <w:t>%</w:t>
      </w:r>
      <w:r>
        <w:rPr>
          <w:rFonts w:hint="eastAsia" w:ascii="仿宋" w:hAnsi="仿宋" w:eastAsia="仿宋"/>
          <w:color w:val="auto"/>
          <w:szCs w:val="32"/>
        </w:rPr>
        <w:t>。主要变动原因是</w:t>
      </w:r>
      <w:r>
        <w:rPr>
          <w:rFonts w:hint="eastAsia" w:ascii="仿宋" w:hAnsi="仿宋" w:eastAsia="仿宋"/>
          <w:color w:val="auto"/>
          <w:szCs w:val="32"/>
          <w:lang w:val="en-US" w:eastAsia="zh-CN"/>
        </w:rPr>
        <w:t>2019年年末结转结余28.67万元</w:t>
      </w:r>
    </w:p>
    <w:p>
      <w:pPr>
        <w:ind w:firstLine="570"/>
        <w:rPr>
          <w:rFonts w:ascii="仿宋" w:hAnsi="仿宋" w:eastAsia="仿宋"/>
          <w:color w:val="auto"/>
          <w:szCs w:val="32"/>
        </w:rPr>
      </w:pPr>
      <w:r>
        <w:rPr>
          <w:rFonts w:hint="eastAsia" w:ascii="仿宋" w:hAnsi="仿宋" w:eastAsia="仿宋"/>
          <w:color w:val="auto"/>
          <w:szCs w:val="32"/>
        </w:rPr>
        <w:t>（图</w:t>
      </w:r>
      <w:r>
        <w:rPr>
          <w:rFonts w:ascii="仿宋" w:hAnsi="仿宋" w:eastAsia="仿宋"/>
          <w:color w:val="auto"/>
          <w:szCs w:val="32"/>
        </w:rPr>
        <w:t>4</w:t>
      </w:r>
      <w:r>
        <w:rPr>
          <w:rFonts w:hint="eastAsia" w:ascii="仿宋" w:hAnsi="仿宋" w:eastAsia="仿宋"/>
          <w:color w:val="auto"/>
          <w:szCs w:val="32"/>
        </w:rPr>
        <w:t>：财政拨款收、支决算总计变动情况）（柱状图）</w:t>
      </w:r>
    </w:p>
    <w:p>
      <w:pPr>
        <w:spacing w:line="600" w:lineRule="exact"/>
        <w:ind w:firstLine="640" w:firstLineChars="200"/>
        <w:outlineLvl w:val="1"/>
        <w:rPr>
          <w:rStyle w:val="15"/>
          <w:rFonts w:ascii="黑体" w:hAnsi="黑体" w:eastAsia="黑体"/>
          <w:b w:val="0"/>
          <w:color w:val="auto"/>
        </w:rPr>
      </w:pPr>
      <w:bookmarkStart w:id="24" w:name="_Toc10967"/>
      <w:bookmarkStart w:id="25" w:name="_Toc15396607"/>
      <w:bookmarkStart w:id="26" w:name="_Toc15377209"/>
      <w:r>
        <w:rPr>
          <w:rFonts w:hint="eastAsia" w:ascii="黑体" w:hAnsi="黑体" w:eastAsia="黑体"/>
          <w:color w:val="auto"/>
          <w:szCs w:val="32"/>
        </w:rPr>
        <w:t>五、</w:t>
      </w:r>
      <w:r>
        <w:rPr>
          <w:rFonts w:hint="eastAsia" w:ascii="黑体" w:hAnsi="黑体" w:eastAsia="黑体"/>
          <w:b/>
          <w:color w:val="auto"/>
          <w:szCs w:val="32"/>
        </w:rPr>
        <w:t>一</w:t>
      </w:r>
      <w:r>
        <w:rPr>
          <w:rStyle w:val="15"/>
          <w:rFonts w:hint="eastAsia" w:ascii="黑体" w:hAnsi="黑体" w:eastAsia="黑体"/>
          <w:b w:val="0"/>
          <w:color w:val="auto"/>
        </w:rPr>
        <w:t>般公共预算财政拨款支出决算情况说明</w:t>
      </w:r>
      <w:bookmarkEnd w:id="24"/>
      <w:bookmarkEnd w:id="25"/>
      <w:bookmarkEnd w:id="26"/>
    </w:p>
    <w:p>
      <w:pPr>
        <w:spacing w:line="600" w:lineRule="exact"/>
        <w:ind w:firstLine="643" w:firstLineChars="200"/>
        <w:outlineLvl w:val="2"/>
        <w:rPr>
          <w:rFonts w:ascii="仿宋" w:hAnsi="仿宋" w:eastAsia="仿宋"/>
          <w:b/>
          <w:color w:val="auto"/>
          <w:szCs w:val="32"/>
        </w:rPr>
      </w:pPr>
      <w:bookmarkStart w:id="27" w:name="_Toc15377210"/>
      <w:r>
        <w:rPr>
          <w:rFonts w:hint="eastAsia" w:ascii="仿宋" w:hAnsi="仿宋" w:eastAsia="仿宋"/>
          <w:b/>
          <w:color w:val="auto"/>
          <w:szCs w:val="32"/>
        </w:rPr>
        <w:t>（一）一般公共预算财政拨款支出决算总体情况</w:t>
      </w:r>
      <w:bookmarkEnd w:id="27"/>
    </w:p>
    <w:p>
      <w:pPr>
        <w:ind w:firstLine="570"/>
        <w:rPr>
          <w:rFonts w:hint="eastAsia" w:ascii="仿宋" w:hAnsi="仿宋" w:eastAsia="仿宋"/>
          <w:color w:val="auto"/>
          <w:szCs w:val="32"/>
          <w:lang w:val="en-US" w:eastAsia="zh-CN"/>
        </w:rPr>
      </w:pPr>
      <w:r>
        <w:rPr>
          <w:rFonts w:ascii="仿宋" w:hAnsi="仿宋" w:eastAsia="仿宋"/>
          <w:color w:val="auto"/>
          <w:szCs w:val="32"/>
        </w:rPr>
        <w:drawing>
          <wp:anchor distT="0" distB="0" distL="114300" distR="114300" simplePos="0" relativeHeight="251663360" behindDoc="0" locked="0" layoutInCell="1" allowOverlap="1">
            <wp:simplePos x="0" y="0"/>
            <wp:positionH relativeFrom="column">
              <wp:posOffset>514350</wp:posOffset>
            </wp:positionH>
            <wp:positionV relativeFrom="paragraph">
              <wp:posOffset>1914525</wp:posOffset>
            </wp:positionV>
            <wp:extent cx="4831080" cy="1743075"/>
            <wp:effectExtent l="19050" t="0" r="26670" b="0"/>
            <wp:wrapTopAndBottom/>
            <wp:docPr id="9"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Pr>
          <w:rFonts w:ascii="仿宋" w:hAnsi="仿宋" w:eastAsia="仿宋"/>
          <w:color w:val="auto"/>
          <w:szCs w:val="32"/>
        </w:rPr>
        <w:t>2020</w:t>
      </w:r>
      <w:r>
        <w:rPr>
          <w:rFonts w:hint="eastAsia" w:ascii="仿宋" w:hAnsi="仿宋" w:eastAsia="仿宋"/>
          <w:color w:val="auto"/>
          <w:szCs w:val="32"/>
        </w:rPr>
        <w:t>年一般公共预算财政拨款支出</w:t>
      </w:r>
      <w:r>
        <w:rPr>
          <w:rFonts w:hint="eastAsia" w:ascii="仿宋" w:hAnsi="仿宋" w:eastAsia="仿宋"/>
          <w:color w:val="auto"/>
          <w:szCs w:val="32"/>
          <w:lang w:val="en-US" w:eastAsia="zh-CN"/>
        </w:rPr>
        <w:t>549.31</w:t>
      </w:r>
      <w:r>
        <w:rPr>
          <w:rFonts w:hint="eastAsia" w:ascii="仿宋" w:hAnsi="仿宋" w:eastAsia="仿宋"/>
          <w:color w:val="auto"/>
          <w:szCs w:val="32"/>
        </w:rPr>
        <w:t>万元，占本年支出合计的</w:t>
      </w:r>
      <w:r>
        <w:rPr>
          <w:rFonts w:hint="eastAsia" w:ascii="仿宋" w:hAnsi="仿宋" w:eastAsia="仿宋"/>
          <w:color w:val="auto"/>
          <w:szCs w:val="32"/>
          <w:lang w:val="en-US" w:eastAsia="zh-CN"/>
        </w:rPr>
        <w:t>99.56</w:t>
      </w:r>
      <w:r>
        <w:rPr>
          <w:rFonts w:ascii="仿宋" w:hAnsi="仿宋" w:eastAsia="仿宋"/>
          <w:color w:val="auto"/>
          <w:szCs w:val="32"/>
        </w:rPr>
        <w:t>%</w:t>
      </w:r>
      <w:r>
        <w:rPr>
          <w:rFonts w:hint="eastAsia" w:ascii="仿宋" w:hAnsi="仿宋" w:eastAsia="仿宋"/>
          <w:color w:val="auto"/>
          <w:szCs w:val="32"/>
        </w:rPr>
        <w:t>。与</w:t>
      </w:r>
      <w:r>
        <w:rPr>
          <w:rFonts w:ascii="仿宋" w:hAnsi="仿宋" w:eastAsia="仿宋"/>
          <w:color w:val="auto"/>
          <w:szCs w:val="32"/>
        </w:rPr>
        <w:t>2019</w:t>
      </w:r>
      <w:r>
        <w:rPr>
          <w:rFonts w:hint="eastAsia" w:ascii="仿宋" w:hAnsi="仿宋" w:eastAsia="仿宋"/>
          <w:color w:val="auto"/>
          <w:szCs w:val="32"/>
        </w:rPr>
        <w:t>年一般公共预算财政拨款支出</w:t>
      </w:r>
      <w:r>
        <w:rPr>
          <w:rFonts w:hint="eastAsia" w:ascii="仿宋" w:hAnsi="仿宋" w:eastAsia="仿宋"/>
          <w:color w:val="auto"/>
          <w:szCs w:val="32"/>
          <w:lang w:val="en-US" w:eastAsia="zh-CN"/>
        </w:rPr>
        <w:t>539.70</w:t>
      </w:r>
      <w:r>
        <w:rPr>
          <w:rFonts w:hint="eastAsia" w:ascii="仿宋" w:hAnsi="仿宋" w:eastAsia="仿宋"/>
          <w:color w:val="auto"/>
          <w:szCs w:val="32"/>
        </w:rPr>
        <w:t>万元相比，一般公共预算财政拨款支出减少</w:t>
      </w:r>
      <w:r>
        <w:rPr>
          <w:rFonts w:hint="eastAsia" w:ascii="仿宋" w:hAnsi="仿宋" w:eastAsia="仿宋"/>
          <w:color w:val="auto"/>
          <w:szCs w:val="32"/>
          <w:lang w:val="en-US" w:eastAsia="zh-CN"/>
        </w:rPr>
        <w:t>9.61</w:t>
      </w:r>
      <w:r>
        <w:rPr>
          <w:rFonts w:hint="eastAsia" w:ascii="仿宋" w:hAnsi="仿宋" w:eastAsia="仿宋"/>
          <w:color w:val="auto"/>
          <w:szCs w:val="32"/>
        </w:rPr>
        <w:t>万元，</w:t>
      </w:r>
      <w:r>
        <w:rPr>
          <w:rFonts w:hint="eastAsia" w:ascii="仿宋" w:hAnsi="仿宋" w:eastAsia="仿宋"/>
          <w:color w:val="auto"/>
          <w:szCs w:val="32"/>
          <w:lang w:eastAsia="zh-CN"/>
        </w:rPr>
        <w:t>增长</w:t>
      </w:r>
      <w:r>
        <w:rPr>
          <w:rFonts w:hint="eastAsia" w:ascii="仿宋" w:hAnsi="仿宋" w:eastAsia="仿宋"/>
          <w:color w:val="auto"/>
          <w:szCs w:val="32"/>
          <w:lang w:val="en-US" w:eastAsia="zh-CN"/>
        </w:rPr>
        <w:t>1.78</w:t>
      </w:r>
      <w:r>
        <w:rPr>
          <w:rFonts w:ascii="仿宋" w:hAnsi="仿宋" w:eastAsia="仿宋"/>
          <w:color w:val="auto"/>
          <w:szCs w:val="32"/>
        </w:rPr>
        <w:t>%</w:t>
      </w:r>
      <w:r>
        <w:rPr>
          <w:rFonts w:hint="eastAsia" w:ascii="仿宋" w:hAnsi="仿宋" w:eastAsia="仿宋"/>
          <w:color w:val="auto"/>
          <w:szCs w:val="32"/>
        </w:rPr>
        <w:t>。主要变动原因是由于人</w:t>
      </w:r>
      <w:r>
        <w:rPr>
          <w:rFonts w:hint="eastAsia" w:ascii="仿宋" w:hAnsi="仿宋" w:eastAsia="仿宋"/>
          <w:color w:val="auto"/>
          <w:szCs w:val="32"/>
          <w:lang w:eastAsia="zh-CN"/>
        </w:rPr>
        <w:t>员增加。</w:t>
      </w:r>
    </w:p>
    <w:p>
      <w:pPr>
        <w:spacing w:line="600" w:lineRule="exact"/>
        <w:ind w:firstLine="643" w:firstLineChars="200"/>
        <w:outlineLvl w:val="2"/>
        <w:rPr>
          <w:rFonts w:ascii="仿宋" w:hAnsi="仿宋" w:eastAsia="仿宋"/>
          <w:b/>
          <w:color w:val="auto"/>
          <w:szCs w:val="32"/>
        </w:rPr>
      </w:pPr>
      <w:bookmarkStart w:id="28" w:name="_Toc15377211"/>
      <w:r>
        <w:rPr>
          <w:rFonts w:hint="eastAsia" w:ascii="仿宋" w:hAnsi="仿宋" w:eastAsia="仿宋"/>
          <w:b/>
          <w:color w:val="auto"/>
          <w:szCs w:val="32"/>
        </w:rPr>
        <w:t>（二）一般公共预算财政拨款支出决算结构情况</w:t>
      </w:r>
      <w:bookmarkEnd w:id="28"/>
    </w:p>
    <w:p>
      <w:pPr>
        <w:spacing w:line="600" w:lineRule="exact"/>
        <w:ind w:firstLine="640"/>
        <w:rPr>
          <w:rFonts w:ascii="仿宋" w:hAnsi="仿宋" w:eastAsia="仿宋"/>
          <w:color w:val="auto"/>
          <w:szCs w:val="32"/>
        </w:rPr>
      </w:pPr>
      <w:r>
        <w:rPr>
          <w:rFonts w:ascii="仿宋" w:hAnsi="仿宋" w:eastAsia="仿宋"/>
          <w:color w:val="auto"/>
          <w:szCs w:val="32"/>
        </w:rPr>
        <w:t>2020</w:t>
      </w:r>
      <w:r>
        <w:rPr>
          <w:rFonts w:hint="eastAsia" w:ascii="仿宋" w:hAnsi="仿宋" w:eastAsia="仿宋"/>
          <w:color w:val="auto"/>
          <w:szCs w:val="32"/>
        </w:rPr>
        <w:t>年一般公共预算财政拨款支出</w:t>
      </w:r>
      <w:r>
        <w:rPr>
          <w:rFonts w:hint="eastAsia" w:ascii="仿宋" w:hAnsi="仿宋" w:eastAsia="仿宋"/>
          <w:color w:val="auto"/>
          <w:szCs w:val="32"/>
          <w:lang w:val="en-US" w:eastAsia="zh-CN"/>
        </w:rPr>
        <w:t>549.31</w:t>
      </w:r>
      <w:r>
        <w:rPr>
          <w:rFonts w:hint="eastAsia" w:ascii="仿宋" w:hAnsi="仿宋" w:eastAsia="仿宋"/>
          <w:color w:val="auto"/>
          <w:szCs w:val="32"/>
        </w:rPr>
        <w:t>万元，主要用于以下方面</w:t>
      </w:r>
      <w:r>
        <w:rPr>
          <w:rFonts w:ascii="仿宋" w:hAnsi="仿宋" w:eastAsia="仿宋"/>
          <w:color w:val="auto"/>
          <w:szCs w:val="32"/>
        </w:rPr>
        <w:t>:</w:t>
      </w:r>
      <w:r>
        <w:rPr>
          <w:rFonts w:hint="eastAsia" w:ascii="仿宋" w:hAnsi="仿宋" w:eastAsia="仿宋"/>
          <w:color w:val="auto"/>
          <w:szCs w:val="32"/>
        </w:rPr>
        <w:t>教育支出</w:t>
      </w:r>
      <w:r>
        <w:rPr>
          <w:rFonts w:hint="eastAsia" w:ascii="仿宋" w:hAnsi="仿宋" w:eastAsia="仿宋"/>
          <w:color w:val="auto"/>
          <w:szCs w:val="32"/>
          <w:lang w:val="en-US" w:eastAsia="zh-CN"/>
        </w:rPr>
        <w:t>549.31</w:t>
      </w:r>
      <w:r>
        <w:rPr>
          <w:rFonts w:hint="eastAsia" w:ascii="仿宋" w:hAnsi="仿宋" w:eastAsia="仿宋"/>
          <w:color w:val="auto"/>
          <w:szCs w:val="32"/>
        </w:rPr>
        <w:t>万元，占100</w:t>
      </w:r>
      <w:r>
        <w:rPr>
          <w:rFonts w:ascii="仿宋" w:hAnsi="仿宋" w:eastAsia="仿宋"/>
          <w:color w:val="auto"/>
          <w:szCs w:val="32"/>
        </w:rPr>
        <w:t>%</w:t>
      </w:r>
      <w:r>
        <w:rPr>
          <w:rFonts w:hint="eastAsia" w:ascii="仿宋" w:hAnsi="仿宋" w:eastAsia="仿宋"/>
          <w:color w:val="auto"/>
          <w:szCs w:val="32"/>
        </w:rPr>
        <w:t>。</w:t>
      </w:r>
    </w:p>
    <w:p>
      <w:pPr>
        <w:spacing w:line="600" w:lineRule="exact"/>
        <w:ind w:firstLine="640"/>
        <w:rPr>
          <w:rFonts w:ascii="仿宋" w:hAnsi="仿宋" w:eastAsia="仿宋"/>
          <w:color w:val="auto"/>
          <w:szCs w:val="32"/>
        </w:rPr>
      </w:pPr>
      <w:r>
        <w:rPr>
          <w:rFonts w:ascii="仿宋" w:hAnsi="仿宋" w:eastAsia="仿宋"/>
          <w:color w:val="auto"/>
          <w:szCs w:val="32"/>
        </w:rPr>
        <w:drawing>
          <wp:anchor distT="0" distB="0" distL="114300" distR="114300" simplePos="0" relativeHeight="251664384" behindDoc="0" locked="0" layoutInCell="1" allowOverlap="1">
            <wp:simplePos x="0" y="0"/>
            <wp:positionH relativeFrom="column">
              <wp:posOffset>314325</wp:posOffset>
            </wp:positionH>
            <wp:positionV relativeFrom="paragraph">
              <wp:posOffset>66675</wp:posOffset>
            </wp:positionV>
            <wp:extent cx="4764405" cy="1485900"/>
            <wp:effectExtent l="19050" t="0" r="17145" b="0"/>
            <wp:wrapTopAndBottom/>
            <wp:docPr id="4"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ascii="仿宋" w:hAnsi="仿宋" w:eastAsia="仿宋"/>
          <w:color w:val="auto"/>
          <w:szCs w:val="32"/>
        </w:rPr>
        <w:t xml:space="preserve"> </w:t>
      </w:r>
      <w:r>
        <w:rPr>
          <w:rFonts w:hint="eastAsia" w:ascii="仿宋" w:hAnsi="仿宋" w:eastAsia="仿宋"/>
          <w:color w:val="auto"/>
          <w:szCs w:val="32"/>
        </w:rPr>
        <w:t>（图</w:t>
      </w:r>
      <w:r>
        <w:rPr>
          <w:rFonts w:ascii="仿宋" w:hAnsi="仿宋" w:eastAsia="仿宋"/>
          <w:color w:val="auto"/>
          <w:szCs w:val="32"/>
        </w:rPr>
        <w:t>6</w:t>
      </w:r>
      <w:r>
        <w:rPr>
          <w:rFonts w:hint="eastAsia" w:ascii="仿宋" w:hAnsi="仿宋" w:eastAsia="仿宋"/>
          <w:color w:val="auto"/>
          <w:szCs w:val="32"/>
        </w:rPr>
        <w:t>：一般公共预算财政拨款支出决算结构）（饼状图）</w:t>
      </w:r>
    </w:p>
    <w:p>
      <w:pPr>
        <w:spacing w:line="600" w:lineRule="exact"/>
        <w:ind w:firstLine="643" w:firstLineChars="200"/>
        <w:outlineLvl w:val="2"/>
        <w:rPr>
          <w:rFonts w:ascii="仿宋" w:hAnsi="仿宋" w:eastAsia="仿宋"/>
          <w:b/>
          <w:color w:val="auto"/>
          <w:szCs w:val="32"/>
        </w:rPr>
      </w:pPr>
      <w:bookmarkStart w:id="29" w:name="_Toc15377212"/>
      <w:r>
        <w:rPr>
          <w:rFonts w:hint="eastAsia" w:ascii="仿宋" w:hAnsi="仿宋" w:eastAsia="仿宋"/>
          <w:b/>
          <w:color w:val="auto"/>
          <w:szCs w:val="32"/>
        </w:rPr>
        <w:t>（三）一般公共预算财政拨款支出决算具体情况</w:t>
      </w:r>
      <w:bookmarkEnd w:id="29"/>
    </w:p>
    <w:p>
      <w:pPr>
        <w:spacing w:line="600" w:lineRule="exact"/>
        <w:ind w:firstLine="640" w:firstLineChars="200"/>
        <w:rPr>
          <w:rFonts w:ascii="仿宋" w:hAnsi="仿宋" w:eastAsia="仿宋"/>
          <w:b/>
          <w:color w:val="auto"/>
          <w:szCs w:val="32"/>
        </w:rPr>
      </w:pPr>
      <w:bookmarkStart w:id="30" w:name="_Toc15377213"/>
      <w:bookmarkStart w:id="31" w:name="_Toc15377444"/>
      <w:bookmarkStart w:id="32" w:name="_Toc15378460"/>
      <w:r>
        <w:rPr>
          <w:rFonts w:ascii="仿宋" w:hAnsi="仿宋" w:eastAsia="仿宋"/>
          <w:color w:val="auto"/>
          <w:szCs w:val="32"/>
        </w:rPr>
        <w:t>2020</w:t>
      </w:r>
      <w:r>
        <w:rPr>
          <w:rFonts w:hint="eastAsia" w:ascii="仿宋" w:hAnsi="仿宋" w:eastAsia="仿宋"/>
          <w:color w:val="auto"/>
          <w:szCs w:val="32"/>
        </w:rPr>
        <w:t>年一般公共预算支出决算数为</w:t>
      </w:r>
      <w:r>
        <w:rPr>
          <w:rFonts w:hint="eastAsia" w:ascii="仿宋" w:hAnsi="仿宋" w:eastAsia="仿宋"/>
          <w:color w:val="auto"/>
          <w:szCs w:val="32"/>
          <w:lang w:val="en-US" w:eastAsia="zh-CN"/>
        </w:rPr>
        <w:t>563.59</w:t>
      </w:r>
      <w:r>
        <w:rPr>
          <w:rFonts w:hint="eastAsia" w:ascii="仿宋" w:hAnsi="仿宋" w:eastAsia="仿宋"/>
          <w:color w:val="auto"/>
          <w:szCs w:val="32"/>
        </w:rPr>
        <w:t>万元，</w:t>
      </w:r>
      <w:r>
        <w:rPr>
          <w:rStyle w:val="12"/>
          <w:rFonts w:hint="eastAsia" w:ascii="仿宋" w:hAnsi="仿宋" w:eastAsia="仿宋"/>
          <w:b w:val="0"/>
          <w:bCs/>
          <w:color w:val="auto"/>
          <w:szCs w:val="32"/>
        </w:rPr>
        <w:t>完成预算</w:t>
      </w:r>
      <w:r>
        <w:rPr>
          <w:rStyle w:val="12"/>
          <w:rFonts w:hint="eastAsia" w:ascii="仿宋" w:hAnsi="仿宋" w:eastAsia="仿宋"/>
          <w:b w:val="0"/>
          <w:bCs/>
          <w:color w:val="auto"/>
          <w:szCs w:val="32"/>
          <w:lang w:val="en-US" w:eastAsia="zh-CN"/>
        </w:rPr>
        <w:t>100</w:t>
      </w:r>
      <w:r>
        <w:rPr>
          <w:rStyle w:val="12"/>
          <w:rFonts w:ascii="仿宋" w:hAnsi="仿宋" w:eastAsia="仿宋"/>
          <w:b w:val="0"/>
          <w:bCs/>
          <w:color w:val="auto"/>
          <w:szCs w:val="32"/>
        </w:rPr>
        <w:t>%</w:t>
      </w:r>
      <w:r>
        <w:rPr>
          <w:rStyle w:val="12"/>
          <w:rFonts w:hint="eastAsia" w:ascii="仿宋" w:hAnsi="仿宋" w:eastAsia="仿宋"/>
          <w:b w:val="0"/>
          <w:bCs/>
          <w:color w:val="auto"/>
          <w:szCs w:val="32"/>
        </w:rPr>
        <w:t>。其中：</w:t>
      </w:r>
      <w:bookmarkEnd w:id="30"/>
      <w:bookmarkEnd w:id="31"/>
      <w:bookmarkEnd w:id="32"/>
    </w:p>
    <w:p>
      <w:pPr>
        <w:spacing w:line="600" w:lineRule="exact"/>
        <w:ind w:firstLine="643" w:firstLineChars="200"/>
        <w:rPr>
          <w:rStyle w:val="12"/>
          <w:rFonts w:ascii="仿宋" w:hAnsi="仿宋" w:eastAsia="仿宋"/>
          <w:b w:val="0"/>
          <w:color w:val="auto"/>
          <w:szCs w:val="32"/>
        </w:rPr>
      </w:pPr>
      <w:r>
        <w:rPr>
          <w:rStyle w:val="12"/>
          <w:rFonts w:ascii="仿宋" w:hAnsi="仿宋" w:eastAsia="仿宋"/>
          <w:bCs/>
          <w:color w:val="auto"/>
          <w:szCs w:val="32"/>
        </w:rPr>
        <w:t>1.</w:t>
      </w:r>
      <w:r>
        <w:rPr>
          <w:rStyle w:val="12"/>
          <w:rFonts w:hint="eastAsia" w:ascii="仿宋" w:hAnsi="仿宋" w:eastAsia="仿宋"/>
          <w:b w:val="0"/>
          <w:color w:val="auto"/>
          <w:szCs w:val="32"/>
        </w:rPr>
        <w:t>教育支出（类）普通教育（款）学前教育（项）</w:t>
      </w:r>
      <w:r>
        <w:rPr>
          <w:rStyle w:val="12"/>
          <w:rFonts w:ascii="仿宋" w:hAnsi="仿宋" w:eastAsia="仿宋"/>
          <w:bCs/>
          <w:color w:val="auto"/>
          <w:szCs w:val="32"/>
        </w:rPr>
        <w:t>:</w:t>
      </w:r>
      <w:r>
        <w:rPr>
          <w:rStyle w:val="12"/>
          <w:rFonts w:hint="eastAsia" w:ascii="仿宋" w:hAnsi="仿宋" w:eastAsia="仿宋"/>
          <w:b w:val="0"/>
          <w:bCs/>
          <w:color w:val="auto"/>
          <w:szCs w:val="32"/>
        </w:rPr>
        <w:t>支出决算为1.1万元，完成预算100</w:t>
      </w:r>
      <w:r>
        <w:rPr>
          <w:rStyle w:val="12"/>
          <w:rFonts w:ascii="仿宋" w:hAnsi="仿宋" w:eastAsia="仿宋"/>
          <w:b w:val="0"/>
          <w:bCs/>
          <w:color w:val="auto"/>
          <w:szCs w:val="32"/>
        </w:rPr>
        <w:t>%</w:t>
      </w:r>
      <w:r>
        <w:rPr>
          <w:rFonts w:hint="eastAsia" w:ascii="仿宋" w:hAnsi="仿宋" w:eastAsia="仿宋"/>
          <w:color w:val="auto"/>
          <w:szCs w:val="32"/>
        </w:rPr>
        <w:t>。</w:t>
      </w:r>
    </w:p>
    <w:p>
      <w:pPr>
        <w:spacing w:line="600" w:lineRule="exact"/>
        <w:ind w:firstLine="643" w:firstLineChars="200"/>
        <w:rPr>
          <w:rFonts w:ascii="仿宋" w:hAnsi="仿宋" w:eastAsia="仿宋"/>
          <w:bCs/>
          <w:color w:val="auto"/>
          <w:szCs w:val="32"/>
        </w:rPr>
      </w:pPr>
      <w:r>
        <w:rPr>
          <w:rStyle w:val="12"/>
          <w:rFonts w:hint="eastAsia" w:ascii="仿宋" w:hAnsi="仿宋" w:eastAsia="仿宋"/>
          <w:color w:val="auto"/>
          <w:szCs w:val="32"/>
        </w:rPr>
        <w:t>2.</w:t>
      </w:r>
      <w:r>
        <w:rPr>
          <w:rStyle w:val="12"/>
          <w:rFonts w:hint="eastAsia" w:ascii="仿宋" w:hAnsi="仿宋" w:eastAsia="仿宋"/>
          <w:b w:val="0"/>
          <w:color w:val="auto"/>
          <w:szCs w:val="32"/>
        </w:rPr>
        <w:t>教育支出（类）普通教育（款）小学教育（项）</w:t>
      </w:r>
      <w:r>
        <w:rPr>
          <w:rStyle w:val="12"/>
          <w:rFonts w:ascii="仿宋" w:hAnsi="仿宋" w:eastAsia="仿宋"/>
          <w:bCs/>
          <w:color w:val="auto"/>
          <w:szCs w:val="32"/>
        </w:rPr>
        <w:t>:</w:t>
      </w:r>
      <w:r>
        <w:rPr>
          <w:rStyle w:val="12"/>
          <w:rFonts w:hint="eastAsia" w:ascii="仿宋" w:hAnsi="仿宋" w:eastAsia="仿宋"/>
          <w:b w:val="0"/>
          <w:bCs/>
          <w:color w:val="auto"/>
          <w:szCs w:val="32"/>
        </w:rPr>
        <w:t>支出决算为</w:t>
      </w:r>
      <w:r>
        <w:rPr>
          <w:rStyle w:val="12"/>
          <w:rFonts w:hint="eastAsia" w:ascii="仿宋" w:hAnsi="仿宋" w:eastAsia="仿宋"/>
          <w:b w:val="0"/>
          <w:bCs/>
          <w:color w:val="auto"/>
          <w:szCs w:val="32"/>
          <w:lang w:val="en-US" w:eastAsia="zh-CN"/>
        </w:rPr>
        <w:t>562.49</w:t>
      </w:r>
      <w:r>
        <w:rPr>
          <w:rStyle w:val="12"/>
          <w:rFonts w:hint="eastAsia" w:ascii="仿宋" w:hAnsi="仿宋" w:eastAsia="仿宋"/>
          <w:b w:val="0"/>
          <w:bCs/>
          <w:color w:val="auto"/>
          <w:szCs w:val="32"/>
        </w:rPr>
        <w:t>万元，完成预算</w:t>
      </w:r>
      <w:r>
        <w:rPr>
          <w:rStyle w:val="12"/>
          <w:rFonts w:hint="eastAsia" w:ascii="仿宋" w:hAnsi="仿宋" w:eastAsia="仿宋"/>
          <w:b w:val="0"/>
          <w:bCs/>
          <w:color w:val="auto"/>
          <w:szCs w:val="32"/>
          <w:lang w:val="en-US" w:eastAsia="zh-CN"/>
        </w:rPr>
        <w:t>100</w:t>
      </w:r>
      <w:r>
        <w:rPr>
          <w:rStyle w:val="12"/>
          <w:rFonts w:ascii="仿宋" w:hAnsi="仿宋" w:eastAsia="仿宋"/>
          <w:b w:val="0"/>
          <w:bCs/>
          <w:color w:val="auto"/>
          <w:szCs w:val="32"/>
        </w:rPr>
        <w:t>%</w:t>
      </w:r>
      <w:r>
        <w:rPr>
          <w:rFonts w:hint="eastAsia" w:ascii="仿宋" w:hAnsi="仿宋" w:eastAsia="仿宋"/>
          <w:color w:val="auto"/>
          <w:szCs w:val="32"/>
        </w:rPr>
        <w:t>。</w:t>
      </w:r>
    </w:p>
    <w:p>
      <w:pPr>
        <w:ind w:firstLine="570"/>
        <w:rPr>
          <w:rStyle w:val="15"/>
          <w:color w:val="auto"/>
        </w:rPr>
      </w:pPr>
      <w:bookmarkStart w:id="33" w:name="_Toc15396608"/>
      <w:bookmarkStart w:id="34" w:name="_Toc15377214"/>
      <w:bookmarkStart w:id="35" w:name="_Toc31021"/>
      <w:r>
        <w:rPr>
          <w:rFonts w:hint="eastAsia" w:ascii="黑体" w:eastAsia="黑体"/>
          <w:color w:val="auto"/>
          <w:szCs w:val="32"/>
        </w:rPr>
        <w:t>六</w:t>
      </w:r>
      <w:r>
        <w:rPr>
          <w:rFonts w:hint="eastAsia" w:ascii="黑体" w:eastAsia="黑体"/>
          <w:b/>
          <w:color w:val="auto"/>
          <w:szCs w:val="32"/>
        </w:rPr>
        <w:t>、</w:t>
      </w:r>
      <w:r>
        <w:rPr>
          <w:rFonts w:hint="eastAsia" w:ascii="黑体" w:hAnsi="黑体" w:eastAsia="黑体"/>
          <w:b/>
          <w:color w:val="auto"/>
          <w:szCs w:val="32"/>
        </w:rPr>
        <w:t>一</w:t>
      </w:r>
      <w:r>
        <w:rPr>
          <w:rStyle w:val="15"/>
          <w:rFonts w:hint="eastAsia" w:ascii="黑体" w:hAnsi="黑体" w:eastAsia="黑体"/>
          <w:b w:val="0"/>
          <w:color w:val="auto"/>
        </w:rPr>
        <w:t>般公共预算财政拨款基本支出决算情况说明</w:t>
      </w:r>
      <w:bookmarkEnd w:id="33"/>
      <w:bookmarkEnd w:id="34"/>
      <w:bookmarkEnd w:id="35"/>
      <w:r>
        <w:rPr>
          <w:rStyle w:val="15"/>
          <w:rFonts w:ascii="黑体" w:hAnsi="黑体" w:eastAsia="黑体"/>
          <w:b w:val="0"/>
          <w:color w:val="auto"/>
        </w:rPr>
        <w:tab/>
      </w:r>
    </w:p>
    <w:p>
      <w:pPr>
        <w:spacing w:line="600" w:lineRule="exact"/>
        <w:ind w:firstLine="645"/>
        <w:rPr>
          <w:rFonts w:ascii="仿宋" w:hAnsi="仿宋" w:eastAsia="仿宋"/>
          <w:color w:val="auto"/>
          <w:szCs w:val="32"/>
        </w:rPr>
      </w:pPr>
      <w:r>
        <w:rPr>
          <w:rFonts w:ascii="仿宋" w:hAnsi="仿宋" w:eastAsia="仿宋"/>
          <w:color w:val="auto"/>
          <w:szCs w:val="32"/>
        </w:rPr>
        <w:t>2020</w:t>
      </w:r>
      <w:r>
        <w:rPr>
          <w:rFonts w:hint="eastAsia" w:ascii="仿宋" w:hAnsi="仿宋" w:eastAsia="仿宋"/>
          <w:color w:val="auto"/>
          <w:szCs w:val="32"/>
        </w:rPr>
        <w:t>年一般公共预算财政拨款基本支出</w:t>
      </w:r>
      <w:r>
        <w:rPr>
          <w:rFonts w:hint="eastAsia" w:ascii="仿宋" w:hAnsi="仿宋" w:eastAsia="仿宋"/>
          <w:color w:val="auto"/>
          <w:szCs w:val="32"/>
          <w:lang w:val="en-US" w:eastAsia="zh-CN"/>
        </w:rPr>
        <w:t>549.39</w:t>
      </w:r>
      <w:r>
        <w:rPr>
          <w:rFonts w:hint="eastAsia" w:ascii="仿宋" w:hAnsi="仿宋" w:eastAsia="仿宋"/>
          <w:color w:val="auto"/>
          <w:szCs w:val="32"/>
        </w:rPr>
        <w:t>万元，其中：</w:t>
      </w:r>
    </w:p>
    <w:p>
      <w:pPr>
        <w:spacing w:line="600" w:lineRule="exact"/>
        <w:ind w:firstLine="645"/>
        <w:rPr>
          <w:rFonts w:ascii="仿宋" w:hAnsi="仿宋" w:eastAsia="仿宋"/>
          <w:color w:val="auto"/>
          <w:szCs w:val="32"/>
        </w:rPr>
      </w:pPr>
      <w:r>
        <w:rPr>
          <w:rFonts w:hint="eastAsia" w:ascii="仿宋" w:hAnsi="仿宋" w:eastAsia="仿宋"/>
          <w:color w:val="auto"/>
          <w:szCs w:val="32"/>
        </w:rPr>
        <w:t>人员经费</w:t>
      </w:r>
      <w:r>
        <w:rPr>
          <w:rFonts w:hint="eastAsia" w:ascii="仿宋" w:hAnsi="仿宋" w:eastAsia="仿宋"/>
          <w:color w:val="auto"/>
          <w:szCs w:val="32"/>
          <w:lang w:val="en-US" w:eastAsia="zh-CN"/>
        </w:rPr>
        <w:t>512.04</w:t>
      </w:r>
      <w:r>
        <w:rPr>
          <w:rFonts w:hint="eastAsia" w:ascii="仿宋" w:hAnsi="仿宋" w:eastAsia="仿宋"/>
          <w:color w:val="auto"/>
          <w:szCs w:val="32"/>
        </w:rPr>
        <w:t>万元，主要包括：基本工资、津贴补贴、绩效工资、机关事业单位基本养老保险缴费、职业年金缴费、职工基本医疗保险缴费、其他社会保障缴费、住房公积金、其他工资福利支出、退休费、生活补助、助学金、其他对个人和家庭的补助等。</w:t>
      </w:r>
    </w:p>
    <w:p>
      <w:pPr>
        <w:spacing w:line="600" w:lineRule="exact"/>
        <w:ind w:firstLine="645"/>
        <w:rPr>
          <w:rFonts w:ascii="仿宋" w:hAnsi="仿宋" w:eastAsia="仿宋"/>
          <w:color w:val="auto"/>
          <w:szCs w:val="32"/>
        </w:rPr>
      </w:pPr>
      <w:r>
        <w:rPr>
          <w:rFonts w:hint="eastAsia" w:ascii="仿宋" w:hAnsi="仿宋" w:eastAsia="仿宋"/>
          <w:color w:val="auto"/>
          <w:szCs w:val="32"/>
        </w:rPr>
        <w:t>日常公用经费</w:t>
      </w:r>
      <w:r>
        <w:rPr>
          <w:rFonts w:hint="eastAsia" w:ascii="仿宋" w:hAnsi="仿宋" w:eastAsia="仿宋"/>
          <w:color w:val="auto"/>
          <w:szCs w:val="32"/>
          <w:lang w:val="en-US" w:eastAsia="zh-CN"/>
        </w:rPr>
        <w:t>37.35</w:t>
      </w:r>
      <w:r>
        <w:rPr>
          <w:rFonts w:hint="eastAsia" w:ascii="仿宋" w:hAnsi="仿宋" w:eastAsia="仿宋"/>
          <w:color w:val="auto"/>
          <w:szCs w:val="32"/>
        </w:rPr>
        <w:t>万元，主要包括：办公费、水费、电费、邮电费、物业管理费、差旅费、培训费、劳务费、工会经费、其他商品和服务支出等。</w:t>
      </w:r>
    </w:p>
    <w:p>
      <w:pPr>
        <w:spacing w:line="600" w:lineRule="exact"/>
        <w:ind w:firstLine="640"/>
        <w:outlineLvl w:val="1"/>
        <w:rPr>
          <w:rStyle w:val="15"/>
          <w:rFonts w:ascii="黑体" w:hAnsi="黑体" w:eastAsia="黑体"/>
          <w:b w:val="0"/>
          <w:color w:val="auto"/>
        </w:rPr>
      </w:pPr>
      <w:bookmarkStart w:id="36" w:name="_Toc15377215"/>
      <w:bookmarkStart w:id="37" w:name="_Toc6926"/>
      <w:bookmarkStart w:id="38" w:name="_Toc15396609"/>
      <w:r>
        <w:rPr>
          <w:rFonts w:hint="eastAsia" w:ascii="黑体" w:eastAsia="黑体"/>
          <w:color w:val="auto"/>
          <w:szCs w:val="32"/>
        </w:rPr>
        <w:t>七、</w:t>
      </w:r>
      <w:r>
        <w:rPr>
          <w:rStyle w:val="15"/>
          <w:rFonts w:hint="eastAsia" w:ascii="黑体" w:hAnsi="黑体" w:eastAsia="黑体"/>
          <w:color w:val="auto"/>
        </w:rPr>
        <w:t>“</w:t>
      </w:r>
      <w:r>
        <w:rPr>
          <w:rStyle w:val="15"/>
          <w:rFonts w:hint="eastAsia" w:ascii="黑体" w:hAnsi="黑体" w:eastAsia="黑体"/>
          <w:b w:val="0"/>
          <w:color w:val="auto"/>
        </w:rPr>
        <w:t>三公”经费财政拨款支出决算情况说明</w:t>
      </w:r>
      <w:bookmarkEnd w:id="36"/>
      <w:bookmarkEnd w:id="37"/>
      <w:bookmarkEnd w:id="38"/>
    </w:p>
    <w:p>
      <w:pPr>
        <w:spacing w:line="600" w:lineRule="exact"/>
        <w:ind w:firstLine="640"/>
        <w:outlineLvl w:val="2"/>
        <w:rPr>
          <w:rFonts w:ascii="仿宋" w:hAnsi="仿宋" w:eastAsia="仿宋"/>
          <w:b/>
          <w:color w:val="auto"/>
          <w:szCs w:val="32"/>
        </w:rPr>
      </w:pPr>
      <w:bookmarkStart w:id="39" w:name="_Toc15377216"/>
      <w:r>
        <w:rPr>
          <w:rFonts w:hint="eastAsia" w:ascii="仿宋" w:hAnsi="仿宋" w:eastAsia="仿宋"/>
          <w:b/>
          <w:color w:val="auto"/>
          <w:szCs w:val="32"/>
        </w:rPr>
        <w:t>（一）“三公”经费财政拨款支出决算总体情况说明</w:t>
      </w:r>
      <w:bookmarkEnd w:id="39"/>
    </w:p>
    <w:p>
      <w:pPr>
        <w:spacing w:line="600" w:lineRule="exact"/>
        <w:ind w:firstLine="640"/>
        <w:rPr>
          <w:rFonts w:ascii="仿宋" w:hAnsi="仿宋" w:eastAsia="仿宋"/>
          <w:color w:val="auto"/>
          <w:szCs w:val="32"/>
        </w:rPr>
      </w:pPr>
      <w:r>
        <w:rPr>
          <w:rFonts w:ascii="仿宋" w:hAnsi="仿宋" w:eastAsia="仿宋"/>
          <w:color w:val="auto"/>
          <w:szCs w:val="32"/>
        </w:rPr>
        <w:t>2020</w:t>
      </w:r>
      <w:r>
        <w:rPr>
          <w:rFonts w:hint="eastAsia" w:ascii="仿宋" w:hAnsi="仿宋" w:eastAsia="仿宋"/>
          <w:color w:val="auto"/>
          <w:szCs w:val="32"/>
        </w:rPr>
        <w:t>年“三公”经费财政拨款支出决算为0万元，完成预算0</w:t>
      </w:r>
      <w:r>
        <w:rPr>
          <w:rFonts w:ascii="仿宋" w:hAnsi="仿宋" w:eastAsia="仿宋"/>
          <w:color w:val="auto"/>
          <w:szCs w:val="32"/>
        </w:rPr>
        <w:t>%</w:t>
      </w:r>
      <w:r>
        <w:rPr>
          <w:rFonts w:hint="eastAsia" w:ascii="仿宋" w:hAnsi="仿宋" w:eastAsia="仿宋"/>
          <w:color w:val="auto"/>
          <w:szCs w:val="32"/>
        </w:rPr>
        <w:t>，决算数</w:t>
      </w:r>
      <w:bookmarkStart w:id="40" w:name="_Toc15377217"/>
      <w:r>
        <w:rPr>
          <w:rFonts w:hint="eastAsia" w:ascii="仿宋" w:hAnsi="仿宋" w:eastAsia="仿宋"/>
          <w:color w:val="auto"/>
          <w:szCs w:val="32"/>
        </w:rPr>
        <w:t>与预算数持平。</w:t>
      </w:r>
    </w:p>
    <w:p>
      <w:pPr>
        <w:spacing w:line="600" w:lineRule="exact"/>
        <w:ind w:firstLine="640"/>
        <w:rPr>
          <w:rFonts w:ascii="仿宋" w:hAnsi="仿宋" w:eastAsia="仿宋"/>
          <w:b/>
          <w:color w:val="auto"/>
          <w:szCs w:val="32"/>
        </w:rPr>
      </w:pPr>
      <w:r>
        <w:rPr>
          <w:rFonts w:hint="eastAsia" w:ascii="仿宋" w:hAnsi="仿宋" w:eastAsia="仿宋"/>
          <w:b/>
          <w:color w:val="auto"/>
          <w:szCs w:val="32"/>
        </w:rPr>
        <w:t>（二）“三公”经费财政拨款支出决算具体情况说明</w:t>
      </w:r>
      <w:bookmarkEnd w:id="40"/>
    </w:p>
    <w:p>
      <w:pPr>
        <w:spacing w:line="600" w:lineRule="exact"/>
        <w:ind w:firstLine="640"/>
        <w:rPr>
          <w:rFonts w:ascii="仿宋" w:hAnsi="仿宋" w:eastAsia="仿宋"/>
          <w:color w:val="auto"/>
          <w:szCs w:val="32"/>
        </w:rPr>
      </w:pPr>
      <w:r>
        <w:rPr>
          <w:rFonts w:hint="eastAsia" w:ascii="仿宋" w:hAnsi="仿宋" w:eastAsia="仿宋"/>
          <w:color w:val="auto"/>
          <w:szCs w:val="32"/>
        </w:rPr>
        <w:drawing>
          <wp:anchor distT="0" distB="0" distL="114300" distR="114300" simplePos="0" relativeHeight="251662336" behindDoc="0" locked="0" layoutInCell="1" allowOverlap="1">
            <wp:simplePos x="0" y="0"/>
            <wp:positionH relativeFrom="column">
              <wp:posOffset>371475</wp:posOffset>
            </wp:positionH>
            <wp:positionV relativeFrom="paragraph">
              <wp:posOffset>1771650</wp:posOffset>
            </wp:positionV>
            <wp:extent cx="4783455" cy="1502410"/>
            <wp:effectExtent l="19050" t="0" r="17145" b="2540"/>
            <wp:wrapTopAndBottom/>
            <wp:docPr id="6" name="图表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ascii="仿宋" w:hAnsi="仿宋" w:eastAsia="仿宋"/>
          <w:color w:val="auto"/>
          <w:szCs w:val="32"/>
        </w:rPr>
        <w:t>2020</w:t>
      </w:r>
      <w:r>
        <w:rPr>
          <w:rFonts w:hint="eastAsia" w:ascii="仿宋" w:hAnsi="仿宋" w:eastAsia="仿宋"/>
          <w:color w:val="auto"/>
          <w:szCs w:val="32"/>
        </w:rPr>
        <w:t>年“三公”经费财政拨款支出决算中，因公出国（境）费支出决算0万元，占0</w:t>
      </w:r>
      <w:r>
        <w:rPr>
          <w:rFonts w:ascii="仿宋" w:hAnsi="仿宋" w:eastAsia="仿宋"/>
          <w:color w:val="auto"/>
          <w:szCs w:val="32"/>
        </w:rPr>
        <w:t>%</w:t>
      </w:r>
      <w:r>
        <w:rPr>
          <w:rFonts w:hint="eastAsia" w:ascii="仿宋" w:hAnsi="仿宋" w:eastAsia="仿宋"/>
          <w:color w:val="auto"/>
          <w:szCs w:val="32"/>
        </w:rPr>
        <w:t>；公务用车购置及运行维护费支出决算0万元，占0</w:t>
      </w:r>
      <w:r>
        <w:rPr>
          <w:rFonts w:ascii="仿宋" w:hAnsi="仿宋" w:eastAsia="仿宋"/>
          <w:color w:val="auto"/>
          <w:szCs w:val="32"/>
        </w:rPr>
        <w:t>%</w:t>
      </w:r>
      <w:r>
        <w:rPr>
          <w:rFonts w:hint="eastAsia" w:ascii="仿宋" w:hAnsi="仿宋" w:eastAsia="仿宋"/>
          <w:color w:val="auto"/>
          <w:szCs w:val="32"/>
        </w:rPr>
        <w:t>；公务接待费支出决算0万元，占0</w:t>
      </w:r>
      <w:r>
        <w:rPr>
          <w:rFonts w:ascii="仿宋" w:hAnsi="仿宋" w:eastAsia="仿宋"/>
          <w:color w:val="auto"/>
          <w:szCs w:val="32"/>
        </w:rPr>
        <w:t>%</w:t>
      </w:r>
      <w:r>
        <w:rPr>
          <w:rFonts w:hint="eastAsia" w:ascii="仿宋" w:hAnsi="仿宋" w:eastAsia="仿宋"/>
          <w:color w:val="auto"/>
          <w:szCs w:val="32"/>
        </w:rPr>
        <w:t>。具体情况如下：</w:t>
      </w:r>
    </w:p>
    <w:p>
      <w:pPr>
        <w:spacing w:line="600" w:lineRule="exact"/>
        <w:jc w:val="center"/>
        <w:rPr>
          <w:rFonts w:ascii="仿宋" w:hAnsi="仿宋" w:eastAsia="仿宋"/>
          <w:color w:val="auto"/>
          <w:szCs w:val="32"/>
        </w:rPr>
      </w:pPr>
      <w:r>
        <w:rPr>
          <w:rFonts w:hint="eastAsia" w:ascii="仿宋" w:hAnsi="仿宋" w:eastAsia="仿宋"/>
          <w:color w:val="auto"/>
          <w:szCs w:val="32"/>
        </w:rPr>
        <w:t>（图</w:t>
      </w:r>
      <w:r>
        <w:rPr>
          <w:rFonts w:ascii="仿宋" w:hAnsi="仿宋" w:eastAsia="仿宋"/>
          <w:color w:val="auto"/>
          <w:szCs w:val="32"/>
        </w:rPr>
        <w:t>7</w:t>
      </w:r>
      <w:r>
        <w:rPr>
          <w:rFonts w:hint="eastAsia" w:ascii="仿宋" w:hAnsi="仿宋" w:eastAsia="仿宋"/>
          <w:color w:val="auto"/>
          <w:szCs w:val="32"/>
        </w:rPr>
        <w:t>：“三公”经费财政拨款支出结构）（饼状图）</w:t>
      </w:r>
    </w:p>
    <w:p>
      <w:pPr>
        <w:spacing w:line="600" w:lineRule="exact"/>
        <w:ind w:firstLine="640"/>
        <w:rPr>
          <w:rFonts w:ascii="仿宋_GB2312"/>
          <w:b/>
          <w:color w:val="auto"/>
          <w:szCs w:val="32"/>
        </w:rPr>
      </w:pPr>
      <w:r>
        <w:rPr>
          <w:rFonts w:ascii="仿宋_GB2312"/>
          <w:b/>
          <w:color w:val="auto"/>
          <w:szCs w:val="32"/>
        </w:rPr>
        <w:t>1.</w:t>
      </w:r>
      <w:r>
        <w:rPr>
          <w:rFonts w:hint="eastAsia" w:ascii="仿宋_GB2312"/>
          <w:b/>
          <w:color w:val="auto"/>
          <w:szCs w:val="32"/>
        </w:rPr>
        <w:t>因公出国（境）经费支出</w:t>
      </w:r>
      <w:r>
        <w:rPr>
          <w:rFonts w:hint="eastAsia" w:ascii="仿宋_GB2312"/>
          <w:color w:val="auto"/>
          <w:szCs w:val="32"/>
        </w:rPr>
        <w:t>0万元，</w:t>
      </w:r>
      <w:r>
        <w:rPr>
          <w:rStyle w:val="12"/>
          <w:rFonts w:hint="eastAsia" w:ascii="仿宋" w:hAnsi="仿宋" w:eastAsia="仿宋"/>
          <w:b w:val="0"/>
          <w:bCs/>
          <w:color w:val="auto"/>
          <w:szCs w:val="32"/>
        </w:rPr>
        <w:t>完成预算0</w:t>
      </w:r>
      <w:r>
        <w:rPr>
          <w:rStyle w:val="12"/>
          <w:rFonts w:ascii="仿宋" w:hAnsi="仿宋" w:eastAsia="仿宋"/>
          <w:b w:val="0"/>
          <w:bCs/>
          <w:color w:val="auto"/>
          <w:szCs w:val="32"/>
        </w:rPr>
        <w:t>%</w:t>
      </w:r>
      <w:r>
        <w:rPr>
          <w:rStyle w:val="12"/>
          <w:rFonts w:hint="eastAsia" w:ascii="仿宋" w:hAnsi="仿宋" w:eastAsia="仿宋"/>
          <w:b w:val="0"/>
          <w:bCs/>
          <w:color w:val="auto"/>
          <w:szCs w:val="32"/>
        </w:rPr>
        <w:t>。</w:t>
      </w:r>
      <w:r>
        <w:rPr>
          <w:rFonts w:hint="eastAsia" w:ascii="仿宋_GB2312"/>
          <w:color w:val="auto"/>
          <w:szCs w:val="32"/>
        </w:rPr>
        <w:t>全年安排因公出国（境）团组0次，出国（境）0人。因公出国（境）支出决算与</w:t>
      </w:r>
      <w:r>
        <w:rPr>
          <w:rFonts w:ascii="仿宋_GB2312"/>
          <w:color w:val="auto"/>
          <w:szCs w:val="32"/>
        </w:rPr>
        <w:t>201</w:t>
      </w:r>
      <w:r>
        <w:rPr>
          <w:rFonts w:hint="eastAsia" w:ascii="仿宋_GB2312"/>
          <w:color w:val="auto"/>
          <w:szCs w:val="32"/>
        </w:rPr>
        <w:t>9年持平。</w:t>
      </w:r>
    </w:p>
    <w:p>
      <w:pPr>
        <w:spacing w:line="600" w:lineRule="exact"/>
        <w:ind w:firstLine="640"/>
        <w:rPr>
          <w:rFonts w:ascii="仿宋_GB2312"/>
          <w:color w:val="auto"/>
          <w:szCs w:val="32"/>
        </w:rPr>
      </w:pPr>
      <w:r>
        <w:rPr>
          <w:rFonts w:ascii="仿宋_GB2312"/>
          <w:b/>
          <w:color w:val="auto"/>
          <w:szCs w:val="32"/>
        </w:rPr>
        <w:t>2.</w:t>
      </w:r>
      <w:r>
        <w:rPr>
          <w:rFonts w:hint="eastAsia" w:ascii="仿宋_GB2312"/>
          <w:b/>
          <w:color w:val="auto"/>
          <w:szCs w:val="32"/>
        </w:rPr>
        <w:t>公务用车购置及运行维护费支出</w:t>
      </w:r>
      <w:r>
        <w:rPr>
          <w:rFonts w:hint="eastAsia" w:ascii="仿宋_GB2312"/>
          <w:color w:val="auto"/>
          <w:szCs w:val="32"/>
        </w:rPr>
        <w:t>0万元</w:t>
      </w:r>
      <w:r>
        <w:rPr>
          <w:rFonts w:ascii="仿宋_GB2312"/>
          <w:color w:val="auto"/>
          <w:szCs w:val="32"/>
        </w:rPr>
        <w:t>,</w:t>
      </w:r>
      <w:r>
        <w:rPr>
          <w:rStyle w:val="12"/>
          <w:rFonts w:hint="eastAsia" w:ascii="仿宋" w:hAnsi="仿宋" w:eastAsia="仿宋"/>
          <w:b w:val="0"/>
          <w:bCs/>
          <w:color w:val="auto"/>
          <w:szCs w:val="32"/>
        </w:rPr>
        <w:t>完成预算0</w:t>
      </w:r>
      <w:r>
        <w:rPr>
          <w:rStyle w:val="12"/>
          <w:rFonts w:ascii="仿宋" w:hAnsi="仿宋" w:eastAsia="仿宋"/>
          <w:b w:val="0"/>
          <w:bCs/>
          <w:color w:val="auto"/>
          <w:szCs w:val="32"/>
        </w:rPr>
        <w:t>%</w:t>
      </w:r>
      <w:r>
        <w:rPr>
          <w:rStyle w:val="12"/>
          <w:rFonts w:hint="eastAsia" w:ascii="仿宋" w:hAnsi="仿宋" w:eastAsia="仿宋"/>
          <w:b w:val="0"/>
          <w:bCs/>
          <w:color w:val="auto"/>
          <w:szCs w:val="32"/>
        </w:rPr>
        <w:t>。</w:t>
      </w:r>
      <w:r>
        <w:rPr>
          <w:rFonts w:hint="eastAsia" w:ascii="仿宋_GB2312"/>
          <w:color w:val="auto"/>
          <w:szCs w:val="32"/>
        </w:rPr>
        <w:t>公务用车购置及运行维护费支出决算与2019年持平。</w:t>
      </w:r>
    </w:p>
    <w:p>
      <w:pPr>
        <w:spacing w:line="600" w:lineRule="exact"/>
        <w:ind w:firstLine="640"/>
        <w:rPr>
          <w:rFonts w:ascii="仿宋_GB2312"/>
          <w:color w:val="auto"/>
          <w:szCs w:val="32"/>
        </w:rPr>
      </w:pPr>
      <w:r>
        <w:rPr>
          <w:rFonts w:hint="eastAsia" w:ascii="仿宋_GB2312"/>
          <w:color w:val="auto"/>
          <w:szCs w:val="32"/>
        </w:rPr>
        <w:t>其中：公务用车购置支出0万元。全年按规定更新购置公务用车0辆，金额0</w:t>
      </w:r>
      <w:r>
        <w:rPr>
          <w:rFonts w:ascii="仿宋_GB2312"/>
          <w:color w:val="auto"/>
          <w:szCs w:val="32"/>
        </w:rPr>
        <w:t>元。</w:t>
      </w:r>
      <w:r>
        <w:rPr>
          <w:rFonts w:hint="eastAsia" w:ascii="仿宋_GB2312"/>
          <w:color w:val="auto"/>
          <w:szCs w:val="32"/>
        </w:rPr>
        <w:t>截至</w:t>
      </w:r>
      <w:r>
        <w:rPr>
          <w:rFonts w:ascii="仿宋_GB2312"/>
          <w:color w:val="auto"/>
          <w:szCs w:val="32"/>
        </w:rPr>
        <w:t>201</w:t>
      </w:r>
      <w:r>
        <w:rPr>
          <w:rFonts w:hint="eastAsia" w:ascii="仿宋_GB2312"/>
          <w:color w:val="auto"/>
          <w:szCs w:val="32"/>
        </w:rPr>
        <w:t>9年</w:t>
      </w:r>
      <w:r>
        <w:rPr>
          <w:rFonts w:ascii="仿宋_GB2312"/>
          <w:color w:val="auto"/>
          <w:szCs w:val="32"/>
        </w:rPr>
        <w:t>12</w:t>
      </w:r>
      <w:r>
        <w:rPr>
          <w:rFonts w:hint="eastAsia" w:ascii="仿宋_GB2312"/>
          <w:color w:val="auto"/>
          <w:szCs w:val="32"/>
        </w:rPr>
        <w:t>月底，单位共有公务用车0辆，其中：主要领导干部用车0辆、机要通信用车0辆、应急保障用车0辆、 执法执勤用车0辆。</w:t>
      </w:r>
    </w:p>
    <w:p>
      <w:pPr>
        <w:spacing w:line="600" w:lineRule="exact"/>
        <w:ind w:firstLine="640"/>
        <w:rPr>
          <w:rFonts w:ascii="仿宋_GB2312"/>
          <w:color w:val="auto"/>
          <w:szCs w:val="32"/>
        </w:rPr>
      </w:pPr>
      <w:r>
        <w:rPr>
          <w:rFonts w:hint="eastAsia" w:ascii="仿宋_GB2312"/>
          <w:color w:val="auto"/>
          <w:szCs w:val="32"/>
        </w:rPr>
        <w:t>公务用车运行维护费支出0元。</w:t>
      </w:r>
    </w:p>
    <w:p>
      <w:pPr>
        <w:spacing w:line="600" w:lineRule="exact"/>
        <w:ind w:firstLine="640"/>
        <w:rPr>
          <w:rFonts w:ascii="仿宋_GB2312"/>
          <w:color w:val="auto"/>
          <w:szCs w:val="32"/>
        </w:rPr>
      </w:pPr>
      <w:r>
        <w:rPr>
          <w:rFonts w:ascii="仿宋_GB2312"/>
          <w:b/>
          <w:color w:val="auto"/>
          <w:szCs w:val="32"/>
        </w:rPr>
        <w:t>3.</w:t>
      </w:r>
      <w:r>
        <w:rPr>
          <w:rFonts w:hint="eastAsia" w:ascii="仿宋_GB2312"/>
          <w:b/>
          <w:color w:val="auto"/>
          <w:szCs w:val="32"/>
        </w:rPr>
        <w:t>公务接待费支出</w:t>
      </w:r>
      <w:r>
        <w:rPr>
          <w:rFonts w:hint="eastAsia" w:ascii="仿宋_GB2312"/>
          <w:color w:val="auto"/>
          <w:szCs w:val="32"/>
        </w:rPr>
        <w:t>0万元，</w:t>
      </w:r>
      <w:r>
        <w:rPr>
          <w:rStyle w:val="12"/>
          <w:rFonts w:hint="eastAsia" w:ascii="仿宋" w:hAnsi="仿宋" w:eastAsia="仿宋"/>
          <w:b w:val="0"/>
          <w:bCs/>
          <w:color w:val="auto"/>
          <w:szCs w:val="32"/>
        </w:rPr>
        <w:t>完成预算0</w:t>
      </w:r>
      <w:r>
        <w:rPr>
          <w:rStyle w:val="12"/>
          <w:rFonts w:ascii="仿宋" w:hAnsi="仿宋" w:eastAsia="仿宋"/>
          <w:b w:val="0"/>
          <w:bCs/>
          <w:color w:val="auto"/>
          <w:szCs w:val="32"/>
        </w:rPr>
        <w:t>%</w:t>
      </w:r>
      <w:r>
        <w:rPr>
          <w:rStyle w:val="12"/>
          <w:rFonts w:hint="eastAsia" w:ascii="仿宋" w:hAnsi="仿宋" w:eastAsia="仿宋"/>
          <w:b w:val="0"/>
          <w:bCs/>
          <w:color w:val="auto"/>
          <w:szCs w:val="32"/>
        </w:rPr>
        <w:t>。</w:t>
      </w:r>
      <w:r>
        <w:rPr>
          <w:rFonts w:hint="eastAsia" w:ascii="仿宋_GB2312"/>
          <w:color w:val="auto"/>
          <w:szCs w:val="32"/>
        </w:rPr>
        <w:t>公务接待费支出决算与2019年持平。其中：</w:t>
      </w:r>
    </w:p>
    <w:p>
      <w:pPr>
        <w:spacing w:line="600" w:lineRule="exact"/>
        <w:ind w:firstLine="640"/>
        <w:rPr>
          <w:rFonts w:ascii="仿宋_GB2312"/>
          <w:color w:val="auto"/>
          <w:szCs w:val="32"/>
        </w:rPr>
      </w:pPr>
      <w:r>
        <w:rPr>
          <w:rFonts w:hint="eastAsia" w:ascii="仿宋" w:hAnsi="仿宋" w:eastAsia="仿宋"/>
          <w:b/>
          <w:color w:val="auto"/>
          <w:szCs w:val="32"/>
        </w:rPr>
        <w:t>国内公务接待支出</w:t>
      </w:r>
      <w:r>
        <w:rPr>
          <w:rFonts w:hint="eastAsia" w:ascii="仿宋_GB2312"/>
          <w:color w:val="auto"/>
          <w:szCs w:val="32"/>
        </w:rPr>
        <w:t>0万元，国内公务接待0批次，0人次（不包括陪同人员），共计支出0万元。</w:t>
      </w:r>
    </w:p>
    <w:p>
      <w:pPr>
        <w:spacing w:line="600" w:lineRule="exact"/>
        <w:ind w:firstLine="643" w:firstLineChars="200"/>
        <w:rPr>
          <w:rFonts w:ascii="仿宋_GB2312"/>
          <w:color w:val="auto"/>
          <w:szCs w:val="32"/>
        </w:rPr>
      </w:pPr>
      <w:r>
        <w:rPr>
          <w:rFonts w:hint="eastAsia" w:ascii="仿宋" w:hAnsi="仿宋" w:eastAsia="仿宋"/>
          <w:b/>
          <w:color w:val="auto"/>
          <w:szCs w:val="32"/>
        </w:rPr>
        <w:t>外事接待支出</w:t>
      </w:r>
      <w:r>
        <w:rPr>
          <w:rFonts w:hint="eastAsia" w:ascii="仿宋" w:hAnsi="仿宋" w:eastAsia="仿宋"/>
          <w:color w:val="auto"/>
          <w:szCs w:val="32"/>
        </w:rPr>
        <w:t>0</w:t>
      </w:r>
      <w:r>
        <w:rPr>
          <w:rFonts w:hint="eastAsia" w:ascii="仿宋_GB2312"/>
          <w:color w:val="auto"/>
          <w:szCs w:val="32"/>
        </w:rPr>
        <w:t>万元，外事接待0批次，0人，共计支出0万元。</w:t>
      </w:r>
      <w:bookmarkStart w:id="41" w:name="_Toc15377218"/>
      <w:bookmarkStart w:id="42" w:name="_Toc15396610"/>
    </w:p>
    <w:p>
      <w:pPr>
        <w:spacing w:line="600" w:lineRule="exact"/>
        <w:ind w:firstLine="640"/>
        <w:outlineLvl w:val="1"/>
        <w:rPr>
          <w:rStyle w:val="15"/>
          <w:rFonts w:ascii="黑体" w:hAnsi="黑体" w:eastAsia="黑体"/>
          <w:color w:val="auto"/>
        </w:rPr>
      </w:pPr>
      <w:bookmarkStart w:id="43" w:name="_Toc9843"/>
      <w:r>
        <w:rPr>
          <w:rFonts w:hint="eastAsia" w:ascii="黑体" w:eastAsia="黑体"/>
          <w:color w:val="auto"/>
          <w:szCs w:val="32"/>
        </w:rPr>
        <w:t>八、</w:t>
      </w:r>
      <w:r>
        <w:rPr>
          <w:rStyle w:val="15"/>
          <w:rFonts w:hint="eastAsia" w:ascii="黑体" w:hAnsi="黑体" w:eastAsia="黑体"/>
          <w:b w:val="0"/>
          <w:color w:val="auto"/>
        </w:rPr>
        <w:t>政府性基金预算支出决算情况说明</w:t>
      </w:r>
      <w:bookmarkEnd w:id="41"/>
      <w:bookmarkEnd w:id="42"/>
      <w:bookmarkEnd w:id="43"/>
    </w:p>
    <w:p>
      <w:pPr>
        <w:spacing w:line="600" w:lineRule="exact"/>
        <w:ind w:firstLine="640"/>
        <w:rPr>
          <w:rFonts w:ascii="仿宋_GB2312"/>
          <w:color w:val="auto"/>
          <w:szCs w:val="32"/>
        </w:rPr>
      </w:pPr>
      <w:r>
        <w:rPr>
          <w:rFonts w:ascii="仿宋_GB2312"/>
          <w:color w:val="auto"/>
          <w:szCs w:val="32"/>
        </w:rPr>
        <w:t>2020</w:t>
      </w:r>
      <w:r>
        <w:rPr>
          <w:rFonts w:hint="eastAsia" w:ascii="仿宋_GB2312"/>
          <w:color w:val="auto"/>
          <w:szCs w:val="32"/>
        </w:rPr>
        <w:t>年政府性基金预算拨款支出</w:t>
      </w:r>
      <w:r>
        <w:rPr>
          <w:rFonts w:hint="eastAsia" w:ascii="仿宋_GB2312"/>
          <w:color w:val="auto"/>
          <w:szCs w:val="32"/>
          <w:lang w:val="en-US" w:eastAsia="zh-CN"/>
        </w:rPr>
        <w:t>2.5</w:t>
      </w:r>
      <w:r>
        <w:rPr>
          <w:rFonts w:hint="eastAsia" w:ascii="仿宋_GB2312"/>
          <w:color w:val="auto"/>
          <w:szCs w:val="32"/>
        </w:rPr>
        <w:t>万元。</w:t>
      </w:r>
    </w:p>
    <w:p>
      <w:pPr>
        <w:numPr>
          <w:ilvl w:val="0"/>
          <w:numId w:val="5"/>
        </w:numPr>
        <w:spacing w:line="600" w:lineRule="exact"/>
        <w:ind w:firstLine="640"/>
        <w:outlineLvl w:val="1"/>
        <w:rPr>
          <w:rStyle w:val="15"/>
          <w:rFonts w:ascii="黑体" w:hAnsi="黑体" w:eastAsia="黑体"/>
          <w:b w:val="0"/>
          <w:color w:val="auto"/>
        </w:rPr>
      </w:pPr>
      <w:bookmarkStart w:id="44" w:name="_Toc15377219"/>
      <w:bookmarkStart w:id="45" w:name="_Toc15396611"/>
      <w:bookmarkStart w:id="46" w:name="_Toc10775"/>
      <w:r>
        <w:rPr>
          <w:rStyle w:val="15"/>
          <w:rFonts w:hint="eastAsia" w:ascii="黑体" w:hAnsi="黑体" w:eastAsia="黑体"/>
          <w:b w:val="0"/>
          <w:color w:val="auto"/>
        </w:rPr>
        <w:t>国有资本经营预算支出决算情况说明</w:t>
      </w:r>
      <w:bookmarkEnd w:id="44"/>
      <w:bookmarkEnd w:id="45"/>
      <w:bookmarkEnd w:id="46"/>
    </w:p>
    <w:p>
      <w:pPr>
        <w:spacing w:line="600" w:lineRule="exact"/>
        <w:ind w:firstLine="640"/>
        <w:rPr>
          <w:rFonts w:ascii="仿宋_GB2312"/>
          <w:color w:val="auto"/>
          <w:szCs w:val="32"/>
        </w:rPr>
      </w:pPr>
      <w:r>
        <w:rPr>
          <w:rFonts w:ascii="仿宋_GB2312"/>
          <w:color w:val="auto"/>
          <w:szCs w:val="32"/>
        </w:rPr>
        <w:t>2020</w:t>
      </w:r>
      <w:r>
        <w:rPr>
          <w:rFonts w:hint="eastAsia" w:ascii="仿宋_GB2312"/>
          <w:color w:val="auto"/>
          <w:szCs w:val="32"/>
        </w:rPr>
        <w:t>年国有资本经营预算拨款支出0万元。</w:t>
      </w:r>
      <w:bookmarkStart w:id="47" w:name="_Toc738"/>
      <w:bookmarkStart w:id="48" w:name="_Toc15396612"/>
      <w:bookmarkStart w:id="49" w:name="_Toc15377221"/>
    </w:p>
    <w:p>
      <w:pPr>
        <w:spacing w:line="600" w:lineRule="exact"/>
        <w:ind w:firstLine="640"/>
        <w:rPr>
          <w:rStyle w:val="15"/>
          <w:rFonts w:ascii="仿宋_GB2312" w:hAnsi="Times New Roman"/>
          <w:b w:val="0"/>
          <w:bCs w:val="0"/>
          <w:color w:val="auto"/>
        </w:rPr>
      </w:pPr>
      <w:r>
        <w:rPr>
          <w:rFonts w:hint="eastAsia" w:ascii="黑体" w:hAnsi="黑体" w:eastAsia="黑体"/>
          <w:color w:val="auto"/>
          <w:szCs w:val="32"/>
        </w:rPr>
        <w:t>十</w:t>
      </w:r>
      <w:r>
        <w:rPr>
          <w:rStyle w:val="15"/>
          <w:rFonts w:hint="eastAsia" w:ascii="黑体" w:hAnsi="黑体" w:eastAsia="黑体"/>
          <w:color w:val="auto"/>
        </w:rPr>
        <w:t>、</w:t>
      </w:r>
      <w:r>
        <w:rPr>
          <w:rStyle w:val="15"/>
          <w:rFonts w:hint="eastAsia" w:ascii="黑体" w:hAnsi="黑体" w:eastAsia="黑体"/>
          <w:b w:val="0"/>
          <w:color w:val="auto"/>
        </w:rPr>
        <w:t>其他重要事项的情况说明</w:t>
      </w:r>
      <w:bookmarkEnd w:id="47"/>
      <w:bookmarkEnd w:id="48"/>
      <w:bookmarkEnd w:id="49"/>
    </w:p>
    <w:p>
      <w:pPr>
        <w:spacing w:line="600" w:lineRule="exact"/>
        <w:ind w:firstLine="643" w:firstLineChars="200"/>
        <w:outlineLvl w:val="2"/>
        <w:rPr>
          <w:rFonts w:ascii="仿宋" w:hAnsi="仿宋" w:eastAsia="仿宋"/>
          <w:color w:val="auto"/>
          <w:szCs w:val="32"/>
        </w:rPr>
      </w:pPr>
      <w:bookmarkStart w:id="50" w:name="_Toc15377222"/>
      <w:r>
        <w:rPr>
          <w:rFonts w:hint="eastAsia" w:ascii="仿宋" w:hAnsi="仿宋" w:eastAsia="仿宋"/>
          <w:b/>
          <w:color w:val="auto"/>
          <w:szCs w:val="32"/>
        </w:rPr>
        <w:t>（一）机关运行经费支出情况</w:t>
      </w:r>
      <w:bookmarkEnd w:id="50"/>
    </w:p>
    <w:p>
      <w:pPr>
        <w:spacing w:line="600" w:lineRule="exact"/>
        <w:ind w:firstLine="640" w:firstLineChars="200"/>
        <w:rPr>
          <w:rFonts w:ascii="仿宋_GB2312"/>
          <w:color w:val="auto"/>
          <w:szCs w:val="32"/>
        </w:rPr>
      </w:pPr>
      <w:r>
        <w:rPr>
          <w:rFonts w:ascii="仿宋_GB2312"/>
          <w:color w:val="auto"/>
          <w:szCs w:val="32"/>
        </w:rPr>
        <w:t>2020</w:t>
      </w:r>
      <w:r>
        <w:rPr>
          <w:rFonts w:hint="eastAsia" w:ascii="仿宋_GB2312"/>
          <w:color w:val="auto"/>
          <w:szCs w:val="32"/>
        </w:rPr>
        <w:t>年，</w:t>
      </w:r>
      <w:bookmarkStart w:id="51" w:name="_Toc15377223"/>
      <w:r>
        <w:rPr>
          <w:rFonts w:hint="eastAsia" w:ascii="仿宋_GB2312"/>
          <w:color w:val="auto"/>
          <w:szCs w:val="32"/>
        </w:rPr>
        <w:t>我校机关运行经费支出0万元，与</w:t>
      </w:r>
      <w:r>
        <w:rPr>
          <w:rFonts w:ascii="仿宋_GB2312"/>
          <w:color w:val="auto"/>
          <w:szCs w:val="32"/>
        </w:rPr>
        <w:t>2019</w:t>
      </w:r>
      <w:r>
        <w:rPr>
          <w:rFonts w:hint="eastAsia" w:ascii="仿宋_GB2312"/>
          <w:color w:val="auto"/>
          <w:szCs w:val="32"/>
        </w:rPr>
        <w:t>年决算数持平。主要原因是我校属事业单位，无行政单位机关运行经费。</w:t>
      </w:r>
    </w:p>
    <w:p>
      <w:pPr>
        <w:ind w:firstLine="570"/>
        <w:rPr>
          <w:color w:val="auto"/>
        </w:rPr>
      </w:pPr>
    </w:p>
    <w:p>
      <w:pPr>
        <w:spacing w:line="600" w:lineRule="exact"/>
        <w:ind w:firstLine="643" w:firstLineChars="200"/>
        <w:rPr>
          <w:rFonts w:ascii="仿宋" w:hAnsi="仿宋" w:eastAsia="仿宋"/>
          <w:b/>
          <w:color w:val="auto"/>
          <w:szCs w:val="32"/>
        </w:rPr>
      </w:pPr>
      <w:r>
        <w:rPr>
          <w:rFonts w:hint="eastAsia" w:ascii="仿宋" w:hAnsi="仿宋" w:eastAsia="仿宋"/>
          <w:b/>
          <w:color w:val="auto"/>
          <w:szCs w:val="32"/>
        </w:rPr>
        <w:t>（二）政府采购支出情况</w:t>
      </w:r>
      <w:bookmarkEnd w:id="51"/>
    </w:p>
    <w:p>
      <w:pPr>
        <w:spacing w:line="600" w:lineRule="exact"/>
        <w:ind w:firstLine="640" w:firstLineChars="200"/>
        <w:rPr>
          <w:rFonts w:ascii="仿宋_GB2312"/>
          <w:color w:val="auto"/>
          <w:szCs w:val="32"/>
        </w:rPr>
      </w:pPr>
      <w:r>
        <w:rPr>
          <w:rFonts w:ascii="仿宋_GB2312"/>
          <w:color w:val="auto"/>
          <w:szCs w:val="32"/>
        </w:rPr>
        <w:t>2020</w:t>
      </w:r>
      <w:r>
        <w:rPr>
          <w:rFonts w:hint="eastAsia" w:ascii="仿宋_GB2312"/>
          <w:color w:val="auto"/>
          <w:szCs w:val="32"/>
        </w:rPr>
        <w:t>年，我校政府采购支出总额</w:t>
      </w:r>
      <w:r>
        <w:rPr>
          <w:rFonts w:hint="eastAsia" w:ascii="仿宋_GB2312"/>
          <w:color w:val="auto"/>
          <w:szCs w:val="32"/>
          <w:lang w:val="en-US" w:eastAsia="zh-CN"/>
        </w:rPr>
        <w:t>0</w:t>
      </w:r>
      <w:r>
        <w:rPr>
          <w:rFonts w:hint="eastAsia" w:ascii="仿宋_GB2312"/>
          <w:color w:val="auto"/>
          <w:szCs w:val="32"/>
        </w:rPr>
        <w:t>万元，其中：政府采购货物支出</w:t>
      </w:r>
      <w:r>
        <w:rPr>
          <w:rFonts w:hint="eastAsia" w:ascii="仿宋_GB2312"/>
          <w:color w:val="auto"/>
          <w:szCs w:val="32"/>
          <w:lang w:val="en-US" w:eastAsia="zh-CN"/>
        </w:rPr>
        <w:t>0</w:t>
      </w:r>
      <w:r>
        <w:rPr>
          <w:rFonts w:hint="eastAsia" w:ascii="仿宋_GB2312"/>
          <w:color w:val="auto"/>
          <w:szCs w:val="32"/>
        </w:rPr>
        <w:t>万元、政府采购工程支出0万元、政府采购服务支出0万元。授予中小企业合同金额0万元，占政府采购支出总额的0</w:t>
      </w:r>
      <w:r>
        <w:rPr>
          <w:rFonts w:ascii="仿宋_GB2312"/>
          <w:color w:val="auto"/>
          <w:szCs w:val="32"/>
        </w:rPr>
        <w:t>%</w:t>
      </w:r>
      <w:r>
        <w:rPr>
          <w:rFonts w:hint="eastAsia" w:ascii="仿宋_GB2312"/>
          <w:color w:val="auto"/>
          <w:szCs w:val="32"/>
        </w:rPr>
        <w:t>，其中：授予小微企业合同金额0万元，占政府采购支出总额的0</w:t>
      </w:r>
      <w:r>
        <w:rPr>
          <w:rFonts w:ascii="仿宋_GB2312"/>
          <w:color w:val="auto"/>
          <w:szCs w:val="32"/>
        </w:rPr>
        <w:t>%</w:t>
      </w:r>
      <w:r>
        <w:rPr>
          <w:rFonts w:hint="eastAsia" w:ascii="仿宋_GB2312"/>
          <w:color w:val="auto"/>
          <w:szCs w:val="32"/>
        </w:rPr>
        <w:t>。</w:t>
      </w:r>
    </w:p>
    <w:p>
      <w:pPr>
        <w:autoSpaceDE w:val="0"/>
        <w:autoSpaceDN w:val="0"/>
        <w:adjustRightInd w:val="0"/>
        <w:spacing w:line="600" w:lineRule="exact"/>
        <w:ind w:firstLine="643" w:firstLineChars="200"/>
        <w:jc w:val="left"/>
        <w:outlineLvl w:val="2"/>
        <w:rPr>
          <w:rFonts w:ascii="仿宋" w:hAnsi="仿宋" w:eastAsia="仿宋"/>
          <w:b/>
          <w:color w:val="auto"/>
          <w:szCs w:val="32"/>
        </w:rPr>
      </w:pPr>
      <w:bookmarkStart w:id="52" w:name="_Toc15377224"/>
      <w:r>
        <w:rPr>
          <w:rFonts w:hint="eastAsia" w:ascii="仿宋" w:hAnsi="仿宋" w:eastAsia="仿宋"/>
          <w:b/>
          <w:color w:val="auto"/>
          <w:szCs w:val="32"/>
        </w:rPr>
        <w:t>（三）国有资产占有使用情况</w:t>
      </w:r>
      <w:bookmarkEnd w:id="52"/>
    </w:p>
    <w:p>
      <w:pPr>
        <w:autoSpaceDE w:val="0"/>
        <w:autoSpaceDN w:val="0"/>
        <w:adjustRightInd w:val="0"/>
        <w:spacing w:line="600" w:lineRule="exact"/>
        <w:ind w:firstLine="640" w:firstLineChars="200"/>
        <w:jc w:val="left"/>
        <w:rPr>
          <w:rFonts w:ascii="仿宋" w:hAnsi="仿宋" w:eastAsia="仿宋"/>
          <w:b/>
          <w:color w:val="auto"/>
          <w:szCs w:val="32"/>
        </w:rPr>
      </w:pPr>
      <w:r>
        <w:rPr>
          <w:rFonts w:hint="eastAsia" w:ascii="仿宋_GB2312"/>
          <w:color w:val="auto"/>
          <w:szCs w:val="32"/>
        </w:rPr>
        <w:t>截至</w:t>
      </w:r>
      <w:r>
        <w:rPr>
          <w:rFonts w:ascii="仿宋_GB2312"/>
          <w:color w:val="auto"/>
          <w:szCs w:val="32"/>
        </w:rPr>
        <w:t>2020</w:t>
      </w:r>
      <w:r>
        <w:rPr>
          <w:rFonts w:hint="eastAsia" w:ascii="仿宋_GB2312"/>
          <w:color w:val="auto"/>
          <w:szCs w:val="32"/>
        </w:rPr>
        <w:t>年</w:t>
      </w:r>
      <w:r>
        <w:rPr>
          <w:rFonts w:ascii="仿宋_GB2312"/>
          <w:color w:val="auto"/>
          <w:szCs w:val="32"/>
        </w:rPr>
        <w:t>12</w:t>
      </w:r>
      <w:r>
        <w:rPr>
          <w:rFonts w:hint="eastAsia" w:ascii="仿宋_GB2312"/>
          <w:color w:val="auto"/>
          <w:szCs w:val="32"/>
        </w:rPr>
        <w:t>月</w:t>
      </w:r>
      <w:r>
        <w:rPr>
          <w:rFonts w:ascii="仿宋_GB2312"/>
          <w:color w:val="auto"/>
          <w:szCs w:val="32"/>
        </w:rPr>
        <w:t>31</w:t>
      </w:r>
      <w:r>
        <w:rPr>
          <w:rFonts w:hint="eastAsia" w:ascii="仿宋_GB2312"/>
          <w:color w:val="auto"/>
          <w:szCs w:val="32"/>
        </w:rPr>
        <w:t>日，我部门共有车辆0辆，其中：主要领导干部用车0辆、机要通信用车0辆、应急保障用车0辆、其他用车0辆。单价</w:t>
      </w:r>
      <w:r>
        <w:rPr>
          <w:rFonts w:ascii="仿宋_GB2312"/>
          <w:color w:val="auto"/>
          <w:szCs w:val="32"/>
        </w:rPr>
        <w:t>50</w:t>
      </w:r>
      <w:r>
        <w:rPr>
          <w:rFonts w:hint="eastAsia" w:ascii="仿宋_GB2312"/>
          <w:color w:val="auto"/>
          <w:szCs w:val="32"/>
        </w:rPr>
        <w:t>万元以上通用设备0台（套），单价</w:t>
      </w:r>
      <w:r>
        <w:rPr>
          <w:rFonts w:ascii="仿宋_GB2312"/>
          <w:color w:val="auto"/>
          <w:szCs w:val="32"/>
        </w:rPr>
        <w:t>100</w:t>
      </w:r>
      <w:r>
        <w:rPr>
          <w:rFonts w:hint="eastAsia" w:ascii="仿宋_GB2312"/>
          <w:color w:val="auto"/>
          <w:szCs w:val="32"/>
        </w:rPr>
        <w:t>万元以上专用设备0台（套）。</w:t>
      </w:r>
    </w:p>
    <w:p>
      <w:pPr>
        <w:autoSpaceDE w:val="0"/>
        <w:autoSpaceDN w:val="0"/>
        <w:adjustRightInd w:val="0"/>
        <w:spacing w:line="600" w:lineRule="exact"/>
        <w:ind w:firstLine="643" w:firstLineChars="200"/>
        <w:jc w:val="left"/>
        <w:rPr>
          <w:rFonts w:ascii="仿宋" w:hAnsi="仿宋" w:eastAsia="仿宋"/>
          <w:b/>
          <w:color w:val="auto"/>
          <w:szCs w:val="32"/>
        </w:rPr>
      </w:pPr>
      <w:r>
        <w:rPr>
          <w:rFonts w:hint="eastAsia" w:ascii="仿宋" w:hAnsi="仿宋" w:eastAsia="仿宋"/>
          <w:b/>
          <w:color w:val="auto"/>
          <w:szCs w:val="32"/>
        </w:rPr>
        <w:t>（四）预算绩效管理情况。</w:t>
      </w:r>
    </w:p>
    <w:p>
      <w:pPr>
        <w:spacing w:line="580" w:lineRule="exact"/>
        <w:ind w:firstLine="640" w:firstLineChars="200"/>
        <w:rPr>
          <w:rFonts w:ascii="仿宋_GB2312" w:hAnsi="仿宋_GB2312" w:cs="仿宋_GB2312"/>
          <w:color w:val="auto"/>
          <w:szCs w:val="32"/>
        </w:rPr>
      </w:pPr>
      <w:r>
        <w:rPr>
          <w:rFonts w:hint="eastAsia" w:ascii="仿宋_GB2312" w:hAnsi="仿宋_GB2312" w:cs="仿宋_GB2312"/>
          <w:color w:val="auto"/>
          <w:szCs w:val="32"/>
        </w:rPr>
        <w:t>根据预算绩效管理要求，本单位在年初预算编制阶段，对</w:t>
      </w:r>
      <w:r>
        <w:rPr>
          <w:rFonts w:hint="eastAsia" w:ascii="仿宋_GB2312" w:hAnsi="仿宋_GB2312" w:cs="仿宋_GB2312"/>
          <w:color w:val="auto"/>
          <w:szCs w:val="32"/>
          <w:lang w:val="en-US" w:eastAsia="zh-CN"/>
        </w:rPr>
        <w:t>1</w:t>
      </w:r>
      <w:r>
        <w:rPr>
          <w:rFonts w:hint="eastAsia" w:ascii="仿宋_GB2312" w:hAnsi="仿宋_GB2312" w:cs="仿宋_GB2312"/>
          <w:color w:val="auto"/>
          <w:szCs w:val="32"/>
        </w:rPr>
        <w:t>个项目编制了绩效目标，预算执行过程中，选取</w:t>
      </w:r>
      <w:r>
        <w:rPr>
          <w:rFonts w:hint="eastAsia" w:ascii="仿宋_GB2312" w:hAnsi="仿宋_GB2312" w:cs="仿宋_GB2312"/>
          <w:color w:val="auto"/>
          <w:szCs w:val="32"/>
          <w:lang w:val="en-US" w:eastAsia="zh-CN"/>
        </w:rPr>
        <w:t>1</w:t>
      </w:r>
      <w:r>
        <w:rPr>
          <w:rFonts w:hint="eastAsia" w:ascii="仿宋_GB2312" w:hAnsi="仿宋_GB2312" w:cs="仿宋_GB2312"/>
          <w:color w:val="auto"/>
          <w:szCs w:val="32"/>
        </w:rPr>
        <w:t>个项目开展绩效监控，年终执行完毕后，对</w:t>
      </w:r>
      <w:r>
        <w:rPr>
          <w:rFonts w:hint="eastAsia" w:ascii="仿宋_GB2312" w:hAnsi="仿宋_GB2312" w:cs="仿宋_GB2312"/>
          <w:color w:val="auto"/>
          <w:szCs w:val="32"/>
          <w:lang w:val="en-US" w:eastAsia="zh-CN"/>
        </w:rPr>
        <w:t>1</w:t>
      </w:r>
      <w:r>
        <w:rPr>
          <w:rFonts w:hint="eastAsia" w:ascii="仿宋_GB2312" w:hAnsi="仿宋_GB2312" w:cs="仿宋_GB2312"/>
          <w:color w:val="auto"/>
          <w:szCs w:val="32"/>
        </w:rPr>
        <w:t>个项目开展了绩效目标完成情况自评。</w:t>
      </w:r>
    </w:p>
    <w:p>
      <w:pPr>
        <w:spacing w:line="580" w:lineRule="exact"/>
        <w:ind w:firstLine="640" w:firstLineChars="200"/>
        <w:rPr>
          <w:rFonts w:hint="eastAsia" w:ascii="仿宋_GB2312" w:hAnsi="仿宋_GB2312" w:cs="仿宋_GB2312"/>
          <w:color w:val="auto"/>
          <w:szCs w:val="32"/>
          <w:lang w:eastAsia="zh-CN"/>
        </w:rPr>
      </w:pPr>
      <w:r>
        <w:rPr>
          <w:rFonts w:hint="eastAsia" w:ascii="仿宋_GB2312" w:hAnsi="仿宋_GB2312" w:cs="仿宋_GB2312"/>
          <w:color w:val="auto"/>
          <w:szCs w:val="32"/>
        </w:rPr>
        <w:t>本</w:t>
      </w:r>
      <w:r>
        <w:rPr>
          <w:rFonts w:hint="eastAsia" w:ascii="仿宋_GB2312" w:hAnsi="仿宋_GB2312" w:cs="仿宋_GB2312"/>
          <w:color w:val="auto"/>
          <w:szCs w:val="32"/>
          <w:lang w:eastAsia="zh-CN"/>
        </w:rPr>
        <w:t>单位</w:t>
      </w:r>
      <w:r>
        <w:rPr>
          <w:rFonts w:hint="eastAsia" w:ascii="仿宋_GB2312" w:hAnsi="仿宋_GB2312" w:cs="仿宋_GB2312"/>
          <w:color w:val="auto"/>
          <w:szCs w:val="32"/>
        </w:rPr>
        <w:t>按要求对2020年部门整体支出开展绩效自评，从评价情况来看全面完成了当年目标任务</w:t>
      </w:r>
      <w:r>
        <w:rPr>
          <w:rFonts w:hint="eastAsia" w:ascii="仿宋_GB2312" w:hAnsi="仿宋_GB2312" w:cs="仿宋_GB2312"/>
          <w:color w:val="auto"/>
          <w:szCs w:val="32"/>
          <w:lang w:eastAsia="zh-CN"/>
        </w:rPr>
        <w:t>。</w:t>
      </w:r>
      <w:r>
        <w:rPr>
          <w:rFonts w:hint="eastAsia" w:ascii="仿宋_GB2312" w:hAnsi="仿宋_GB2312" w:cs="仿宋_GB2312"/>
          <w:color w:val="auto"/>
          <w:szCs w:val="32"/>
        </w:rPr>
        <w:t>本</w:t>
      </w:r>
      <w:r>
        <w:rPr>
          <w:rFonts w:hint="eastAsia" w:ascii="仿宋_GB2312" w:hAnsi="仿宋_GB2312" w:cs="仿宋_GB2312"/>
          <w:color w:val="auto"/>
          <w:szCs w:val="32"/>
          <w:lang w:eastAsia="zh-CN"/>
        </w:rPr>
        <w:t>单位</w:t>
      </w:r>
      <w:r>
        <w:rPr>
          <w:rFonts w:hint="eastAsia" w:ascii="仿宋_GB2312" w:hAnsi="仿宋_GB2312" w:cs="仿宋_GB2312"/>
          <w:color w:val="auto"/>
          <w:szCs w:val="32"/>
        </w:rPr>
        <w:t>还自行组织了</w:t>
      </w:r>
      <w:r>
        <w:rPr>
          <w:rFonts w:hint="eastAsia" w:ascii="仿宋_GB2312" w:hAnsi="仿宋_GB2312" w:cs="仿宋_GB2312"/>
          <w:color w:val="auto"/>
          <w:szCs w:val="32"/>
          <w:lang w:val="en-US" w:eastAsia="zh-CN"/>
        </w:rPr>
        <w:t>1</w:t>
      </w:r>
      <w:r>
        <w:rPr>
          <w:rFonts w:hint="eastAsia" w:ascii="仿宋_GB2312" w:hAnsi="仿宋_GB2312" w:cs="仿宋_GB2312"/>
          <w:color w:val="auto"/>
          <w:szCs w:val="32"/>
        </w:rPr>
        <w:t>个项目支出绩效评价</w:t>
      </w:r>
      <w:r>
        <w:rPr>
          <w:rFonts w:hint="eastAsia" w:ascii="仿宋_GB2312" w:hAnsi="仿宋_GB2312" w:cs="仿宋_GB2312"/>
          <w:color w:val="auto"/>
          <w:szCs w:val="32"/>
          <w:lang w:eastAsia="zh-CN"/>
        </w:rPr>
        <w:t>。</w:t>
      </w:r>
    </w:p>
    <w:p>
      <w:pPr>
        <w:spacing w:line="580" w:lineRule="exact"/>
        <w:ind w:firstLine="640" w:firstLineChars="200"/>
        <w:rPr>
          <w:rFonts w:hint="eastAsia" w:ascii="楷体_GB2312" w:hAnsi="楷体_GB2312" w:eastAsia="楷体_GB2312" w:cs="楷体_GB2312"/>
          <w:color w:val="auto"/>
          <w:szCs w:val="32"/>
          <w:lang w:eastAsia="zh-CN"/>
        </w:rPr>
      </w:pPr>
      <w:r>
        <w:rPr>
          <w:rFonts w:ascii="楷体_GB2312" w:hAnsi="楷体_GB2312" w:eastAsia="楷体_GB2312" w:cs="楷体_GB2312"/>
          <w:color w:val="auto"/>
          <w:szCs w:val="32"/>
        </w:rPr>
        <w:t>1.</w:t>
      </w:r>
      <w:r>
        <w:rPr>
          <w:rFonts w:hint="eastAsia" w:ascii="楷体_GB2312" w:hAnsi="楷体_GB2312" w:eastAsia="楷体_GB2312" w:cs="楷体_GB2312"/>
          <w:color w:val="auto"/>
          <w:szCs w:val="32"/>
        </w:rPr>
        <w:t>项目绩效目标完成情况。</w:t>
      </w:r>
    </w:p>
    <w:p>
      <w:pPr>
        <w:spacing w:line="580" w:lineRule="exact"/>
        <w:ind w:firstLine="640" w:firstLineChars="200"/>
        <w:rPr>
          <w:rFonts w:ascii="仿宋_GB2312" w:hAnsi="仿宋_GB2312" w:cs="仿宋_GB2312"/>
          <w:color w:val="auto"/>
          <w:szCs w:val="32"/>
        </w:rPr>
      </w:pPr>
      <w:r>
        <w:rPr>
          <w:rFonts w:hint="eastAsia" w:ascii="仿宋_GB2312" w:hAnsi="仿宋_GB2312" w:cs="仿宋_GB2312"/>
          <w:color w:val="auto"/>
          <w:szCs w:val="32"/>
        </w:rPr>
        <w:t>本部门在</w:t>
      </w:r>
      <w:r>
        <w:rPr>
          <w:rFonts w:ascii="仿宋_GB2312" w:hAnsi="仿宋_GB2312" w:cs="仿宋_GB2312"/>
          <w:color w:val="auto"/>
          <w:szCs w:val="32"/>
        </w:rPr>
        <w:t>2020</w:t>
      </w:r>
      <w:r>
        <w:rPr>
          <w:rFonts w:hint="eastAsia" w:ascii="仿宋_GB2312" w:hAnsi="仿宋_GB2312" w:cs="仿宋_GB2312"/>
          <w:color w:val="auto"/>
          <w:szCs w:val="32"/>
        </w:rPr>
        <w:t>年度部门决算中反映“</w:t>
      </w:r>
      <w:r>
        <w:rPr>
          <w:rFonts w:hint="eastAsia" w:ascii="仿宋_GB2312" w:hAnsi="仿宋_GB2312" w:cs="仿宋_GB2312"/>
          <w:color w:val="auto"/>
          <w:szCs w:val="32"/>
          <w:lang w:eastAsia="zh-CN"/>
        </w:rPr>
        <w:t>少年宫经费</w:t>
      </w:r>
      <w:r>
        <w:rPr>
          <w:rFonts w:ascii="仿宋_GB2312" w:hAnsi="仿宋_GB2312" w:cs="仿宋_GB2312"/>
          <w:color w:val="auto"/>
          <w:szCs w:val="32"/>
        </w:rPr>
        <w:t>”</w:t>
      </w:r>
      <w:r>
        <w:rPr>
          <w:rFonts w:hint="eastAsia" w:ascii="仿宋_GB2312" w:hAnsi="仿宋_GB2312" w:cs="仿宋_GB2312"/>
          <w:color w:val="auto"/>
          <w:szCs w:val="32"/>
        </w:rPr>
        <w:t>项目绩效目标实际完成情况。</w:t>
      </w:r>
    </w:p>
    <w:p>
      <w:pPr>
        <w:spacing w:line="580" w:lineRule="exact"/>
        <w:ind w:firstLine="640" w:firstLineChars="200"/>
        <w:rPr>
          <w:rFonts w:hint="eastAsia" w:ascii="仿宋_GB2312" w:hAnsi="仿宋_GB2312" w:eastAsia="仿宋_GB2312" w:cs="仿宋_GB2312"/>
          <w:color w:val="auto"/>
          <w:szCs w:val="32"/>
          <w:lang w:eastAsia="zh-CN"/>
        </w:rPr>
      </w:pPr>
      <w:r>
        <w:rPr>
          <w:rFonts w:hint="eastAsia" w:ascii="仿宋_GB2312" w:hAnsi="仿宋_GB2312" w:cs="仿宋_GB2312"/>
          <w:color w:val="auto"/>
          <w:szCs w:val="32"/>
        </w:rPr>
        <w:t>（</w:t>
      </w:r>
      <w:r>
        <w:rPr>
          <w:rFonts w:ascii="仿宋_GB2312" w:hAnsi="仿宋_GB2312" w:cs="仿宋_GB2312"/>
          <w:color w:val="auto"/>
          <w:szCs w:val="32"/>
        </w:rPr>
        <w:t>1</w:t>
      </w:r>
      <w:r>
        <w:rPr>
          <w:rFonts w:hint="eastAsia" w:ascii="仿宋_GB2312" w:hAnsi="仿宋_GB2312" w:cs="仿宋_GB2312"/>
          <w:color w:val="auto"/>
          <w:szCs w:val="32"/>
        </w:rPr>
        <w:t>）</w:t>
      </w:r>
      <w:r>
        <w:rPr>
          <w:rFonts w:hint="eastAsia" w:ascii="仿宋_GB2312" w:hAnsi="仿宋_GB2312" w:cs="仿宋_GB2312"/>
          <w:color w:val="auto"/>
          <w:szCs w:val="32"/>
          <w:lang w:eastAsia="zh-CN"/>
        </w:rPr>
        <w:t>少年宫经费</w:t>
      </w:r>
      <w:r>
        <w:rPr>
          <w:rFonts w:hint="eastAsia" w:ascii="仿宋_GB2312" w:hAnsi="仿宋_GB2312" w:cs="仿宋_GB2312"/>
          <w:color w:val="auto"/>
          <w:szCs w:val="32"/>
        </w:rPr>
        <w:t>项目绩效目标完成情况综述。项目全年预算数</w:t>
      </w:r>
      <w:r>
        <w:rPr>
          <w:rFonts w:hint="eastAsia" w:ascii="仿宋_GB2312" w:hAnsi="仿宋_GB2312" w:cs="仿宋_GB2312"/>
          <w:color w:val="auto"/>
          <w:szCs w:val="32"/>
          <w:lang w:val="en-US" w:eastAsia="zh-CN"/>
        </w:rPr>
        <w:t>2</w:t>
      </w:r>
      <w:r>
        <w:rPr>
          <w:rFonts w:hint="eastAsia" w:ascii="仿宋_GB2312" w:hAnsi="仿宋_GB2312" w:cs="仿宋_GB2312"/>
          <w:color w:val="auto"/>
          <w:szCs w:val="32"/>
        </w:rPr>
        <w:t>万元，执行数为</w:t>
      </w:r>
      <w:r>
        <w:rPr>
          <w:rFonts w:hint="eastAsia" w:ascii="仿宋_GB2312" w:hAnsi="仿宋_GB2312" w:cs="仿宋_GB2312"/>
          <w:color w:val="auto"/>
          <w:szCs w:val="32"/>
          <w:lang w:val="en-US" w:eastAsia="zh-CN"/>
        </w:rPr>
        <w:t>2</w:t>
      </w:r>
      <w:r>
        <w:rPr>
          <w:rFonts w:hint="eastAsia" w:ascii="仿宋_GB2312" w:hAnsi="仿宋_GB2312" w:cs="仿宋_GB2312"/>
          <w:color w:val="auto"/>
          <w:szCs w:val="32"/>
        </w:rPr>
        <w:t>万元，完成预算的</w:t>
      </w:r>
      <w:r>
        <w:rPr>
          <w:rFonts w:hint="eastAsia" w:ascii="仿宋_GB2312" w:hAnsi="仿宋_GB2312" w:cs="仿宋_GB2312"/>
          <w:color w:val="auto"/>
          <w:szCs w:val="32"/>
          <w:lang w:val="en-US" w:eastAsia="zh-CN"/>
        </w:rPr>
        <w:t>100</w:t>
      </w:r>
      <w:r>
        <w:rPr>
          <w:rFonts w:ascii="仿宋_GB2312" w:hAnsi="仿宋_GB2312" w:cs="仿宋_GB2312"/>
          <w:color w:val="auto"/>
          <w:szCs w:val="32"/>
        </w:rPr>
        <w:t>%</w:t>
      </w:r>
      <w:r>
        <w:rPr>
          <w:rFonts w:hint="eastAsia" w:ascii="仿宋_GB2312" w:hAnsi="仿宋_GB2312" w:cs="仿宋_GB2312"/>
          <w:color w:val="auto"/>
          <w:szCs w:val="32"/>
        </w:rPr>
        <w:t>。通过项目实施，保障了</w:t>
      </w:r>
      <w:r>
        <w:rPr>
          <w:rFonts w:hint="eastAsia" w:ascii="仿宋_GB2312" w:hAnsi="仿宋_GB2312" w:cs="仿宋_GB2312"/>
          <w:color w:val="auto"/>
          <w:szCs w:val="32"/>
          <w:lang w:eastAsia="zh-CN"/>
        </w:rPr>
        <w:t>少年宫经费，</w:t>
      </w:r>
      <w:r>
        <w:rPr>
          <w:rFonts w:hint="eastAsia" w:ascii="仿宋_GB2312" w:hAnsi="仿宋_GB2312" w:cs="仿宋_GB2312"/>
          <w:color w:val="auto"/>
          <w:szCs w:val="32"/>
        </w:rPr>
        <w:t>发现的主要问题：</w:t>
      </w:r>
      <w:r>
        <w:rPr>
          <w:rFonts w:hint="eastAsia" w:ascii="仿宋_GB2312" w:hAnsi="仿宋_GB2312" w:cs="仿宋_GB2312"/>
          <w:color w:val="auto"/>
          <w:szCs w:val="32"/>
          <w:lang w:eastAsia="zh-CN"/>
        </w:rPr>
        <w:t>支出集中在下半年</w:t>
      </w:r>
      <w:r>
        <w:rPr>
          <w:rFonts w:hint="eastAsia" w:ascii="仿宋_GB2312" w:hAnsi="仿宋_GB2312" w:cs="仿宋_GB2312"/>
          <w:color w:val="auto"/>
          <w:szCs w:val="32"/>
        </w:rPr>
        <w:t>。下一步改进措施：</w:t>
      </w:r>
      <w:r>
        <w:rPr>
          <w:rFonts w:hint="eastAsia" w:ascii="仿宋_GB2312" w:hAnsi="仿宋_GB2312" w:cs="仿宋_GB2312"/>
          <w:color w:val="auto"/>
          <w:szCs w:val="32"/>
          <w:lang w:eastAsia="zh-CN"/>
        </w:rPr>
        <w:t>争取分期进行支出。</w:t>
      </w:r>
    </w:p>
    <w:tbl>
      <w:tblPr>
        <w:tblStyle w:val="10"/>
        <w:tblpPr w:leftFromText="180" w:rightFromText="180" w:vertAnchor="text" w:horzAnchor="page" w:tblpXSpec="center" w:tblpY="423"/>
        <w:tblOverlap w:val="never"/>
        <w:tblW w:w="9960" w:type="dxa"/>
        <w:jc w:val="center"/>
        <w:tblLayout w:type="fixed"/>
        <w:tblCellMar>
          <w:top w:w="0" w:type="dxa"/>
          <w:left w:w="0" w:type="dxa"/>
          <w:bottom w:w="0" w:type="dxa"/>
          <w:right w:w="0" w:type="dxa"/>
        </w:tblCellMar>
      </w:tblPr>
      <w:tblGrid>
        <w:gridCol w:w="390"/>
        <w:gridCol w:w="1367"/>
        <w:gridCol w:w="1025"/>
        <w:gridCol w:w="2392"/>
        <w:gridCol w:w="2394"/>
        <w:gridCol w:w="2392"/>
      </w:tblGrid>
      <w:tr>
        <w:tblPrEx>
          <w:tblCellMar>
            <w:top w:w="0" w:type="dxa"/>
            <w:left w:w="0" w:type="dxa"/>
            <w:bottom w:w="0" w:type="dxa"/>
            <w:right w:w="0" w:type="dxa"/>
          </w:tblCellMar>
        </w:tblPrEx>
        <w:trPr>
          <w:trHeight w:val="1034" w:hRule="atLeast"/>
          <w:jc w:val="center"/>
        </w:trPr>
        <w:tc>
          <w:tcPr>
            <w:tcW w:w="9960" w:type="dxa"/>
            <w:gridSpan w:val="6"/>
            <w:tcBorders>
              <w:top w:val="nil"/>
              <w:left w:val="nil"/>
              <w:bottom w:val="nil"/>
              <w:right w:val="nil"/>
            </w:tcBorders>
            <w:tcMar>
              <w:top w:w="15" w:type="dxa"/>
              <w:left w:w="15" w:type="dxa"/>
              <w:right w:w="15" w:type="dxa"/>
            </w:tcMar>
            <w:vAlign w:val="center"/>
          </w:tcPr>
          <w:p>
            <w:pPr>
              <w:widowControl/>
              <w:jc w:val="center"/>
              <w:textAlignment w:val="center"/>
              <w:rPr>
                <w:rFonts w:hint="eastAsia" w:ascii="宋体" w:hAnsi="宋体" w:eastAsia="仿宋_GB2312" w:cs="宋体"/>
                <w:b/>
                <w:bCs/>
                <w:color w:val="auto"/>
                <w:kern w:val="0"/>
                <w:sz w:val="36"/>
                <w:szCs w:val="36"/>
                <w:lang w:eastAsia="zh-CN"/>
              </w:rPr>
            </w:pPr>
            <w:r>
              <w:rPr>
                <w:rFonts w:hint="eastAsia" w:ascii="宋体" w:hAnsi="宋体" w:cs="宋体"/>
                <w:b/>
                <w:bCs/>
                <w:color w:val="auto"/>
                <w:kern w:val="0"/>
                <w:sz w:val="36"/>
                <w:szCs w:val="36"/>
              </w:rPr>
              <w:t>项目绩效目标完成情况表</w:t>
            </w:r>
          </w:p>
          <w:p>
            <w:pPr>
              <w:widowControl/>
              <w:jc w:val="center"/>
              <w:textAlignment w:val="center"/>
              <w:rPr>
                <w:rFonts w:ascii="宋体" w:cs="宋体"/>
                <w:color w:val="auto"/>
                <w:sz w:val="36"/>
                <w:szCs w:val="36"/>
              </w:rPr>
            </w:pPr>
            <w:r>
              <w:rPr>
                <w:rFonts w:ascii="宋体" w:hAnsi="宋体" w:cs="宋体"/>
                <w:color w:val="auto"/>
                <w:kern w:val="0"/>
                <w:sz w:val="36"/>
                <w:szCs w:val="36"/>
              </w:rPr>
              <w:t>(2020</w:t>
            </w:r>
            <w:r>
              <w:rPr>
                <w:rFonts w:hint="eastAsia" w:ascii="宋体" w:hAnsi="宋体" w:cs="宋体"/>
                <w:color w:val="auto"/>
                <w:kern w:val="0"/>
                <w:sz w:val="36"/>
                <w:szCs w:val="36"/>
              </w:rPr>
              <w:t>年度</w:t>
            </w:r>
            <w:r>
              <w:rPr>
                <w:rFonts w:ascii="宋体" w:hAnsi="宋体" w:cs="宋体"/>
                <w:color w:val="auto"/>
                <w:kern w:val="0"/>
                <w:sz w:val="36"/>
                <w:szCs w:val="36"/>
              </w:rPr>
              <w:t>)</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auto"/>
                <w:sz w:val="24"/>
              </w:rPr>
            </w:pPr>
            <w:r>
              <w:rPr>
                <w:rFonts w:hint="eastAsia" w:ascii="宋体" w:hAnsi="宋体" w:cs="宋体"/>
                <w:color w:val="auto"/>
                <w:kern w:val="0"/>
                <w:sz w:val="24"/>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eastAsia="仿宋_GB2312" w:cs="宋体"/>
                <w:color w:val="auto"/>
                <w:sz w:val="24"/>
                <w:lang w:eastAsia="zh-CN"/>
              </w:rPr>
            </w:pPr>
            <w:r>
              <w:rPr>
                <w:rFonts w:hint="eastAsia" w:ascii="宋体" w:cs="宋体"/>
                <w:color w:val="auto"/>
                <w:sz w:val="24"/>
                <w:lang w:eastAsia="zh-CN"/>
              </w:rPr>
              <w:t>少年宫经费</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auto"/>
                <w:sz w:val="24"/>
              </w:rPr>
            </w:pPr>
            <w:r>
              <w:rPr>
                <w:rFonts w:hint="eastAsia" w:ascii="宋体" w:hAnsi="宋体" w:cs="宋体"/>
                <w:color w:val="auto"/>
                <w:kern w:val="0"/>
                <w:sz w:val="24"/>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eastAsia="仿宋_GB2312" w:cs="宋体"/>
                <w:color w:val="auto"/>
                <w:sz w:val="24"/>
                <w:lang w:eastAsia="zh-CN"/>
              </w:rPr>
            </w:pPr>
            <w:r>
              <w:rPr>
                <w:rFonts w:hint="eastAsia" w:ascii="宋体" w:cs="宋体"/>
                <w:color w:val="auto"/>
                <w:sz w:val="24"/>
                <w:lang w:eastAsia="zh-CN"/>
              </w:rPr>
              <w:t>自贡市自流井区荣边镇中心小学校</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auto"/>
                <w:sz w:val="24"/>
              </w:rPr>
            </w:pPr>
            <w:r>
              <w:rPr>
                <w:rFonts w:hint="eastAsia" w:ascii="宋体" w:hAnsi="宋体" w:cs="宋体"/>
                <w:color w:val="auto"/>
                <w:kern w:val="0"/>
                <w:sz w:val="24"/>
              </w:rPr>
              <w:t>预算执行情况</w:t>
            </w:r>
            <w:r>
              <w:rPr>
                <w:rFonts w:ascii="宋体" w:hAnsi="宋体" w:cs="宋体"/>
                <w:color w:val="auto"/>
                <w:kern w:val="0"/>
                <w:sz w:val="24"/>
              </w:rPr>
              <w:t>(</w:t>
            </w:r>
            <w:r>
              <w:rPr>
                <w:rFonts w:hint="eastAsia" w:ascii="宋体" w:hAnsi="宋体" w:cs="宋体"/>
                <w:color w:val="auto"/>
                <w:kern w:val="0"/>
                <w:sz w:val="24"/>
              </w:rPr>
              <w:t>万元</w:t>
            </w:r>
            <w:r>
              <w:rPr>
                <w:rFonts w:ascii="宋体" w:hAnsi="宋体" w:cs="宋体"/>
                <w:color w:val="auto"/>
                <w:kern w:val="0"/>
                <w:sz w:val="24"/>
              </w:rPr>
              <w:t>)</w:t>
            </w: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auto"/>
                <w:sz w:val="24"/>
              </w:rPr>
            </w:pPr>
            <w:r>
              <w:rPr>
                <w:rFonts w:hint="eastAsia" w:ascii="宋体" w:hAnsi="宋体" w:cs="宋体"/>
                <w:color w:val="auto"/>
                <w:kern w:val="0"/>
                <w:sz w:val="24"/>
              </w:rPr>
              <w:t>预算数</w:t>
            </w:r>
            <w:r>
              <w:rPr>
                <w:rFonts w:ascii="宋体" w:hAnsi="宋体" w:cs="宋体"/>
                <w:color w:val="auto"/>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eastAsia="仿宋_GB2312" w:cs="宋体"/>
                <w:color w:val="auto"/>
                <w:sz w:val="24"/>
                <w:lang w:val="en-US" w:eastAsia="zh-CN"/>
              </w:rPr>
            </w:pPr>
            <w:r>
              <w:rPr>
                <w:rFonts w:hint="eastAsia" w:ascii="宋体" w:cs="宋体"/>
                <w:color w:val="auto"/>
                <w:sz w:val="24"/>
                <w:lang w:val="en-US" w:eastAsia="zh-CN"/>
              </w:rPr>
              <w:t>2万元</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auto"/>
                <w:sz w:val="24"/>
              </w:rPr>
            </w:pPr>
            <w:r>
              <w:rPr>
                <w:rFonts w:hint="eastAsia" w:ascii="宋体" w:hAnsi="宋体" w:cs="宋体"/>
                <w:color w:val="auto"/>
                <w:kern w:val="0"/>
                <w:sz w:val="24"/>
              </w:rPr>
              <w:t>执行数</w:t>
            </w:r>
            <w:r>
              <w:rPr>
                <w:rFonts w:ascii="宋体" w:hAnsi="宋体" w:cs="宋体"/>
                <w:color w:val="auto"/>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eastAsia="仿宋_GB2312" w:cs="宋体"/>
                <w:color w:val="auto"/>
                <w:sz w:val="24"/>
                <w:lang w:val="en-US" w:eastAsia="zh-CN"/>
              </w:rPr>
            </w:pPr>
            <w:r>
              <w:rPr>
                <w:rFonts w:hint="eastAsia" w:ascii="宋体" w:cs="宋体"/>
                <w:color w:val="auto"/>
                <w:sz w:val="24"/>
                <w:lang w:val="en-US" w:eastAsia="zh-CN"/>
              </w:rPr>
              <w:t>2万元</w:t>
            </w:r>
          </w:p>
        </w:tc>
      </w:tr>
      <w:tr>
        <w:tblPrEx>
          <w:tblCellMar>
            <w:top w:w="0" w:type="dxa"/>
            <w:left w:w="0" w:type="dxa"/>
            <w:bottom w:w="0" w:type="dxa"/>
            <w:right w:w="0" w:type="dxa"/>
          </w:tblCellMar>
        </w:tblPrEx>
        <w:trPr>
          <w:trHeight w:val="276"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auto"/>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auto"/>
                <w:sz w:val="24"/>
              </w:rPr>
            </w:pPr>
            <w:r>
              <w:rPr>
                <w:rFonts w:hint="eastAsia" w:ascii="宋体" w:hAnsi="宋体" w:cs="宋体"/>
                <w:color w:val="auto"/>
                <w:kern w:val="0"/>
                <w:sz w:val="24"/>
              </w:rPr>
              <w:t>其中</w:t>
            </w:r>
            <w:r>
              <w:rPr>
                <w:rFonts w:ascii="宋体" w:cs="宋体"/>
                <w:color w:val="auto"/>
                <w:kern w:val="0"/>
                <w:sz w:val="24"/>
              </w:rPr>
              <w:t>-</w:t>
            </w:r>
            <w:r>
              <w:rPr>
                <w:rFonts w:hint="eastAsia" w:ascii="宋体" w:hAnsi="宋体" w:cs="宋体"/>
                <w:color w:val="auto"/>
                <w:kern w:val="0"/>
                <w:sz w:val="24"/>
              </w:rPr>
              <w:t>财政拨款</w:t>
            </w:r>
            <w:r>
              <w:rPr>
                <w:rFonts w:ascii="宋体" w:hAnsi="宋体" w:cs="宋体"/>
                <w:color w:val="auto"/>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eastAsia="仿宋_GB2312" w:cs="宋体"/>
                <w:color w:val="auto"/>
                <w:sz w:val="24"/>
                <w:lang w:val="en-US" w:eastAsia="zh-CN"/>
              </w:rPr>
            </w:pPr>
            <w:r>
              <w:rPr>
                <w:rFonts w:hint="eastAsia" w:ascii="宋体" w:cs="宋体"/>
                <w:color w:val="auto"/>
                <w:sz w:val="24"/>
                <w:lang w:val="en-US" w:eastAsia="zh-CN"/>
              </w:rPr>
              <w:t>2万元</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auto"/>
                <w:sz w:val="24"/>
              </w:rPr>
            </w:pPr>
            <w:r>
              <w:rPr>
                <w:rFonts w:hint="eastAsia" w:ascii="宋体" w:hAnsi="宋体" w:cs="宋体"/>
                <w:color w:val="auto"/>
                <w:kern w:val="0"/>
                <w:sz w:val="24"/>
              </w:rPr>
              <w:t>其中</w:t>
            </w:r>
            <w:r>
              <w:rPr>
                <w:rFonts w:ascii="宋体" w:cs="宋体"/>
                <w:color w:val="auto"/>
                <w:kern w:val="0"/>
                <w:sz w:val="24"/>
              </w:rPr>
              <w:t>-</w:t>
            </w:r>
            <w:r>
              <w:rPr>
                <w:rFonts w:hint="eastAsia" w:ascii="宋体" w:hAnsi="宋体" w:cs="宋体"/>
                <w:color w:val="auto"/>
                <w:kern w:val="0"/>
                <w:sz w:val="24"/>
              </w:rPr>
              <w:t>财政拨款</w:t>
            </w:r>
            <w:r>
              <w:rPr>
                <w:rFonts w:ascii="宋体" w:hAnsi="宋体" w:cs="宋体"/>
                <w:color w:val="auto"/>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eastAsia="仿宋_GB2312" w:cs="宋体"/>
                <w:color w:val="auto"/>
                <w:sz w:val="24"/>
                <w:lang w:val="en-US" w:eastAsia="zh-CN"/>
              </w:rPr>
            </w:pPr>
            <w:r>
              <w:rPr>
                <w:rFonts w:hint="eastAsia" w:ascii="宋体" w:cs="宋体"/>
                <w:color w:val="auto"/>
                <w:sz w:val="24"/>
                <w:lang w:val="en-US" w:eastAsia="zh-CN"/>
              </w:rPr>
              <w:t>2万元</w:t>
            </w:r>
          </w:p>
        </w:tc>
      </w:tr>
      <w:tr>
        <w:tblPrEx>
          <w:tblCellMar>
            <w:top w:w="0" w:type="dxa"/>
            <w:left w:w="0" w:type="dxa"/>
            <w:bottom w:w="0" w:type="dxa"/>
            <w:right w:w="0" w:type="dxa"/>
          </w:tblCellMar>
        </w:tblPrEx>
        <w:trPr>
          <w:trHeight w:val="1511"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auto"/>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auto"/>
                <w:sz w:val="24"/>
              </w:rPr>
            </w:pPr>
            <w:r>
              <w:rPr>
                <w:rFonts w:hint="eastAsia" w:ascii="宋体" w:hAnsi="宋体" w:cs="宋体"/>
                <w:color w:val="auto"/>
                <w:kern w:val="0"/>
                <w:sz w:val="24"/>
              </w:rPr>
              <w:t>其它资金</w:t>
            </w:r>
            <w:r>
              <w:rPr>
                <w:rFonts w:ascii="宋体" w:hAnsi="宋体" w:cs="宋体"/>
                <w:color w:val="auto"/>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auto"/>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auto"/>
                <w:sz w:val="24"/>
              </w:rPr>
            </w:pPr>
            <w:r>
              <w:rPr>
                <w:rFonts w:hint="eastAsia" w:ascii="宋体" w:hAnsi="宋体" w:cs="宋体"/>
                <w:color w:val="auto"/>
                <w:kern w:val="0"/>
                <w:sz w:val="24"/>
              </w:rPr>
              <w:t>其它资金</w:t>
            </w:r>
            <w:r>
              <w:rPr>
                <w:rFonts w:ascii="宋体" w:hAnsi="宋体" w:cs="宋体"/>
                <w:color w:val="auto"/>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auto"/>
                <w:sz w:val="24"/>
              </w:rPr>
            </w:pP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auto"/>
                <w:sz w:val="24"/>
              </w:rPr>
            </w:pPr>
            <w:r>
              <w:rPr>
                <w:rFonts w:hint="eastAsia" w:ascii="宋体" w:hAnsi="宋体" w:cs="宋体"/>
                <w:color w:val="auto"/>
                <w:kern w:val="0"/>
                <w:sz w:val="24"/>
              </w:rPr>
              <w:t>年度目标完成情况</w:t>
            </w: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auto"/>
                <w:sz w:val="24"/>
              </w:rPr>
            </w:pPr>
            <w:r>
              <w:rPr>
                <w:rFonts w:hint="eastAsia" w:ascii="宋体" w:hAnsi="宋体" w:cs="宋体"/>
                <w:color w:val="auto"/>
                <w:kern w:val="0"/>
                <w:sz w:val="24"/>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auto"/>
                <w:sz w:val="24"/>
              </w:rPr>
            </w:pPr>
            <w:r>
              <w:rPr>
                <w:rFonts w:hint="eastAsia" w:ascii="宋体" w:hAnsi="宋体" w:cs="宋体"/>
                <w:color w:val="auto"/>
                <w:kern w:val="0"/>
                <w:sz w:val="24"/>
              </w:rPr>
              <w:t>实际完成目标</w:t>
            </w:r>
          </w:p>
        </w:tc>
      </w:tr>
      <w:tr>
        <w:tblPrEx>
          <w:tblCellMar>
            <w:top w:w="0" w:type="dxa"/>
            <w:left w:w="0" w:type="dxa"/>
            <w:bottom w:w="0" w:type="dxa"/>
            <w:right w:w="0" w:type="dxa"/>
          </w:tblCellMar>
        </w:tblPrEx>
        <w:trPr>
          <w:trHeight w:val="1159"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auto"/>
                <w:sz w:val="24"/>
              </w:rPr>
            </w:pP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auto"/>
                <w:sz w:val="24"/>
                <w:lang w:val="en-US" w:eastAsia="zh-CN"/>
              </w:rPr>
            </w:pPr>
            <w:r>
              <w:rPr>
                <w:rFonts w:hint="eastAsia" w:ascii="宋体" w:cs="宋体"/>
                <w:color w:val="auto"/>
                <w:sz w:val="24"/>
                <w:lang w:eastAsia="zh-CN"/>
              </w:rPr>
              <w:t>按照</w:t>
            </w:r>
            <w:r>
              <w:rPr>
                <w:rFonts w:hint="eastAsia" w:ascii="宋体" w:cs="宋体"/>
                <w:color w:val="auto"/>
                <w:sz w:val="24"/>
                <w:lang w:val="en-US" w:eastAsia="zh-CN"/>
              </w:rPr>
              <w:t>2020年工作计划，开展少年宫活动，保障青少年宫的日常运行。</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eastAsia="仿宋_GB2312" w:cs="宋体"/>
                <w:color w:val="auto"/>
                <w:sz w:val="24"/>
                <w:lang w:eastAsia="zh-CN"/>
              </w:rPr>
            </w:pPr>
            <w:r>
              <w:rPr>
                <w:rFonts w:hint="eastAsia" w:ascii="宋体" w:cs="宋体"/>
                <w:color w:val="auto"/>
                <w:sz w:val="24"/>
                <w:lang w:eastAsia="zh-CN"/>
              </w:rPr>
              <w:t>切实按照年初工作计划进行，平稳有序的开组少年宫活动。</w:t>
            </w:r>
          </w:p>
        </w:tc>
      </w:tr>
      <w:tr>
        <w:tblPrEx>
          <w:tblCellMar>
            <w:top w:w="0" w:type="dxa"/>
            <w:left w:w="0" w:type="dxa"/>
            <w:bottom w:w="0" w:type="dxa"/>
            <w:right w:w="0" w:type="dxa"/>
          </w:tblCellMar>
        </w:tblPrEx>
        <w:trPr>
          <w:trHeight w:val="1042" w:hRule="atLeast"/>
          <w:jc w:val="center"/>
        </w:trPr>
        <w:tc>
          <w:tcPr>
            <w:tcW w:w="390"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auto"/>
                <w:sz w:val="24"/>
              </w:rPr>
            </w:pPr>
            <w:r>
              <w:rPr>
                <w:rFonts w:hint="eastAsia" w:ascii="宋体" w:hAnsi="宋体" w:cs="宋体"/>
                <w:color w:val="auto"/>
                <w:sz w:val="24"/>
              </w:rPr>
              <w:t>绩效指标完成情况</w:t>
            </w: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auto"/>
                <w:sz w:val="24"/>
              </w:rPr>
            </w:pPr>
            <w:r>
              <w:rPr>
                <w:rFonts w:hint="eastAsia" w:ascii="宋体" w:hAnsi="宋体" w:cs="宋体"/>
                <w:color w:val="auto"/>
                <w:kern w:val="0"/>
                <w:sz w:val="24"/>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auto"/>
                <w:sz w:val="24"/>
              </w:rPr>
            </w:pPr>
            <w:r>
              <w:rPr>
                <w:rFonts w:hint="eastAsia" w:ascii="宋体" w:hAnsi="宋体" w:cs="宋体"/>
                <w:color w:val="auto"/>
                <w:kern w:val="0"/>
                <w:sz w:val="24"/>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auto"/>
                <w:sz w:val="24"/>
              </w:rPr>
            </w:pPr>
            <w:r>
              <w:rPr>
                <w:rFonts w:hint="eastAsia" w:ascii="宋体" w:hAnsi="宋体" w:cs="宋体"/>
                <w:color w:val="auto"/>
                <w:kern w:val="0"/>
                <w:sz w:val="24"/>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auto"/>
                <w:sz w:val="24"/>
              </w:rPr>
            </w:pPr>
            <w:r>
              <w:rPr>
                <w:rFonts w:hint="eastAsia" w:ascii="宋体" w:hAnsi="宋体" w:cs="宋体"/>
                <w:color w:val="auto"/>
                <w:kern w:val="0"/>
                <w:sz w:val="24"/>
              </w:rPr>
              <w:t>预期指标值</w:t>
            </w:r>
            <w:r>
              <w:rPr>
                <w:rFonts w:ascii="宋体" w:hAnsi="宋体" w:cs="宋体"/>
                <w:color w:val="auto"/>
                <w:kern w:val="0"/>
                <w:sz w:val="24"/>
              </w:rPr>
              <w:t>(</w:t>
            </w:r>
            <w:r>
              <w:rPr>
                <w:rFonts w:hint="eastAsia" w:ascii="宋体" w:hAnsi="宋体" w:cs="宋体"/>
                <w:color w:val="auto"/>
                <w:kern w:val="0"/>
                <w:sz w:val="24"/>
              </w:rPr>
              <w:t>包含数字及文字描述</w:t>
            </w:r>
            <w:r>
              <w:rPr>
                <w:rFonts w:ascii="宋体" w:hAnsi="宋体" w:cs="宋体"/>
                <w:color w:val="auto"/>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auto"/>
                <w:sz w:val="24"/>
              </w:rPr>
            </w:pPr>
            <w:r>
              <w:rPr>
                <w:rFonts w:hint="eastAsia" w:ascii="宋体" w:hAnsi="宋体" w:cs="宋体"/>
                <w:color w:val="auto"/>
                <w:kern w:val="0"/>
                <w:sz w:val="24"/>
              </w:rPr>
              <w:t>实际完成指标值</w:t>
            </w:r>
            <w:r>
              <w:rPr>
                <w:rFonts w:ascii="宋体" w:hAnsi="宋体" w:cs="宋体"/>
                <w:color w:val="auto"/>
                <w:kern w:val="0"/>
                <w:sz w:val="24"/>
              </w:rPr>
              <w:t>(</w:t>
            </w:r>
            <w:r>
              <w:rPr>
                <w:rFonts w:hint="eastAsia" w:ascii="宋体" w:hAnsi="宋体" w:cs="宋体"/>
                <w:color w:val="auto"/>
                <w:kern w:val="0"/>
                <w:sz w:val="24"/>
              </w:rPr>
              <w:t>包含数字及文字描述</w:t>
            </w:r>
            <w:r>
              <w:rPr>
                <w:rFonts w:ascii="宋体" w:hAnsi="宋体" w:cs="宋体"/>
                <w:color w:val="auto"/>
                <w:kern w:val="0"/>
                <w:sz w:val="24"/>
              </w:rPr>
              <w:t>)</w:t>
            </w:r>
          </w:p>
        </w:tc>
      </w:tr>
      <w:tr>
        <w:tblPrEx>
          <w:tblCellMar>
            <w:top w:w="0" w:type="dxa"/>
            <w:left w:w="0" w:type="dxa"/>
            <w:bottom w:w="0" w:type="dxa"/>
            <w:right w:w="0" w:type="dxa"/>
          </w:tblCellMar>
        </w:tblPrEx>
        <w:trPr>
          <w:trHeight w:val="953"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auto"/>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auto"/>
                <w:sz w:val="24"/>
              </w:rPr>
            </w:pPr>
            <w:r>
              <w:rPr>
                <w:rFonts w:hint="eastAsia" w:ascii="宋体" w:hAnsi="宋体" w:cs="宋体"/>
                <w:color w:val="auto"/>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eastAsia="仿宋_GB2312" w:cs="宋体"/>
                <w:color w:val="auto"/>
                <w:sz w:val="24"/>
                <w:lang w:eastAsia="zh-CN"/>
              </w:rPr>
            </w:pPr>
            <w:r>
              <w:rPr>
                <w:rFonts w:hint="eastAsia" w:ascii="宋体" w:cs="宋体"/>
                <w:color w:val="auto"/>
                <w:sz w:val="24"/>
                <w:lang w:eastAsia="zh-CN"/>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eastAsia="仿宋_GB2312" w:cs="宋体"/>
                <w:color w:val="auto"/>
                <w:sz w:val="24"/>
                <w:lang w:eastAsia="zh-CN"/>
              </w:rPr>
            </w:pPr>
            <w:r>
              <w:rPr>
                <w:rFonts w:hint="eastAsia" w:ascii="宋体" w:cs="宋体"/>
                <w:color w:val="auto"/>
                <w:sz w:val="24"/>
                <w:lang w:eastAsia="zh-CN"/>
              </w:rPr>
              <w:t>少年宫参与学生人数</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auto"/>
                <w:sz w:val="24"/>
                <w:lang w:val="en-US" w:eastAsia="zh-CN"/>
              </w:rPr>
            </w:pPr>
            <w:r>
              <w:rPr>
                <w:rFonts w:hint="eastAsia" w:ascii="宋体" w:cs="宋体"/>
                <w:color w:val="auto"/>
                <w:sz w:val="24"/>
                <w:lang w:eastAsia="zh-CN"/>
              </w:rPr>
              <w:t>参与学生人数约</w:t>
            </w:r>
            <w:r>
              <w:rPr>
                <w:rFonts w:hint="eastAsia" w:ascii="宋体" w:cs="宋体"/>
                <w:color w:val="auto"/>
                <w:sz w:val="24"/>
                <w:lang w:val="en-US" w:eastAsia="zh-CN"/>
              </w:rPr>
              <w:t>251人</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auto"/>
                <w:sz w:val="24"/>
                <w:lang w:val="en-US" w:eastAsia="zh-CN"/>
              </w:rPr>
            </w:pPr>
            <w:r>
              <w:rPr>
                <w:rFonts w:hint="eastAsia" w:ascii="宋体" w:cs="宋体"/>
                <w:color w:val="auto"/>
                <w:sz w:val="24"/>
                <w:lang w:eastAsia="zh-CN"/>
              </w:rPr>
              <w:t>学生参与人数</w:t>
            </w:r>
            <w:r>
              <w:rPr>
                <w:rFonts w:hint="eastAsia" w:ascii="宋体" w:cs="宋体"/>
                <w:color w:val="auto"/>
                <w:sz w:val="24"/>
                <w:lang w:val="en-US" w:eastAsia="zh-CN"/>
              </w:rPr>
              <w:t>251人</w:t>
            </w:r>
          </w:p>
        </w:tc>
      </w:tr>
      <w:tr>
        <w:tblPrEx>
          <w:tblCellMar>
            <w:top w:w="0" w:type="dxa"/>
            <w:left w:w="0" w:type="dxa"/>
            <w:bottom w:w="0" w:type="dxa"/>
            <w:right w:w="0" w:type="dxa"/>
          </w:tblCellMar>
        </w:tblPrEx>
        <w:trPr>
          <w:trHeight w:val="1297"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auto"/>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auto"/>
                <w:sz w:val="24"/>
              </w:rPr>
            </w:pPr>
            <w:r>
              <w:rPr>
                <w:rFonts w:hint="eastAsia" w:ascii="宋体" w:hAnsi="宋体" w:cs="宋体"/>
                <w:color w:val="auto"/>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eastAsia="仿宋_GB2312" w:cs="宋体"/>
                <w:color w:val="auto"/>
                <w:sz w:val="24"/>
                <w:lang w:eastAsia="zh-CN"/>
              </w:rPr>
            </w:pPr>
            <w:r>
              <w:rPr>
                <w:rFonts w:hint="eastAsia" w:ascii="宋体" w:cs="宋体"/>
                <w:color w:val="auto"/>
                <w:sz w:val="24"/>
                <w:lang w:eastAsia="zh-CN"/>
              </w:rPr>
              <w:t>时效指标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eastAsia="仿宋_GB2312" w:cs="宋体"/>
                <w:color w:val="auto"/>
                <w:sz w:val="24"/>
                <w:lang w:eastAsia="zh-CN"/>
              </w:rPr>
            </w:pPr>
            <w:r>
              <w:rPr>
                <w:rFonts w:hint="eastAsia" w:ascii="宋体" w:cs="宋体"/>
                <w:color w:val="auto"/>
                <w:sz w:val="24"/>
                <w:lang w:eastAsia="zh-CN"/>
              </w:rPr>
              <w:t>开组展览次数</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eastAsia="仿宋_GB2312" w:cs="宋体"/>
                <w:color w:val="auto"/>
                <w:sz w:val="24"/>
                <w:lang w:eastAsia="zh-CN"/>
              </w:rPr>
            </w:pPr>
            <w:r>
              <w:rPr>
                <w:rFonts w:hint="eastAsia" w:ascii="宋体" w:cs="宋体"/>
                <w:color w:val="auto"/>
                <w:sz w:val="24"/>
                <w:lang w:eastAsia="zh-CN"/>
              </w:rPr>
              <w:t>六一和年底两次展览</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auto"/>
                <w:sz w:val="24"/>
              </w:rPr>
            </w:pPr>
            <w:r>
              <w:rPr>
                <w:rFonts w:hint="eastAsia" w:ascii="宋体" w:cs="宋体"/>
                <w:color w:val="auto"/>
                <w:sz w:val="24"/>
                <w:lang w:eastAsia="zh-CN"/>
              </w:rPr>
              <w:t>六一和年底两次展览</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auto"/>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auto"/>
                <w:sz w:val="24"/>
              </w:rPr>
            </w:pPr>
            <w:r>
              <w:rPr>
                <w:rFonts w:hint="eastAsia" w:ascii="宋体" w:hAnsi="宋体" w:cs="宋体"/>
                <w:color w:val="auto"/>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eastAsia="仿宋_GB2312" w:cs="宋体"/>
                <w:color w:val="auto"/>
                <w:sz w:val="24"/>
                <w:lang w:eastAsia="zh-CN"/>
              </w:rPr>
            </w:pPr>
            <w:r>
              <w:rPr>
                <w:rFonts w:hint="eastAsia" w:ascii="宋体" w:cs="宋体"/>
                <w:color w:val="auto"/>
                <w:sz w:val="24"/>
                <w:lang w:eastAsia="zh-CN"/>
              </w:rPr>
              <w:t>质量指标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eastAsia="仿宋_GB2312" w:cs="宋体"/>
                <w:color w:val="auto"/>
                <w:sz w:val="24"/>
                <w:lang w:eastAsia="zh-CN"/>
              </w:rPr>
            </w:pPr>
            <w:r>
              <w:rPr>
                <w:rFonts w:hint="eastAsia" w:ascii="宋体" w:cs="宋体"/>
                <w:color w:val="auto"/>
                <w:sz w:val="24"/>
                <w:lang w:eastAsia="zh-CN"/>
              </w:rPr>
              <w:t>年度考核</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eastAsia="仿宋_GB2312" w:cs="宋体"/>
                <w:color w:val="auto"/>
                <w:sz w:val="24"/>
                <w:lang w:eastAsia="zh-CN"/>
              </w:rPr>
            </w:pPr>
            <w:r>
              <w:rPr>
                <w:rFonts w:hint="eastAsia" w:ascii="宋体" w:cs="宋体"/>
                <w:color w:val="auto"/>
                <w:sz w:val="24"/>
                <w:lang w:eastAsia="zh-CN"/>
              </w:rPr>
              <w:t>年度考核优秀</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eastAsia="仿宋_GB2312" w:cs="宋体"/>
                <w:color w:val="auto"/>
                <w:sz w:val="24"/>
                <w:lang w:eastAsia="zh-CN"/>
              </w:rPr>
            </w:pPr>
            <w:r>
              <w:rPr>
                <w:rFonts w:hint="eastAsia" w:ascii="宋体" w:cs="宋体"/>
                <w:color w:val="auto"/>
                <w:sz w:val="24"/>
                <w:lang w:eastAsia="zh-CN"/>
              </w:rPr>
              <w:t>年度考核优秀</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auto"/>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auto"/>
                <w:sz w:val="24"/>
              </w:rPr>
            </w:pPr>
            <w:r>
              <w:rPr>
                <w:rFonts w:hint="eastAsia" w:ascii="宋体" w:hAnsi="宋体" w:cs="宋体"/>
                <w:color w:val="auto"/>
                <w:kern w:val="0"/>
                <w:sz w:val="24"/>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eastAsia="仿宋_GB2312" w:cs="宋体"/>
                <w:color w:val="auto"/>
                <w:sz w:val="24"/>
                <w:lang w:eastAsia="zh-CN"/>
              </w:rPr>
            </w:pPr>
            <w:r>
              <w:rPr>
                <w:rFonts w:hint="eastAsia" w:ascii="宋体" w:cs="宋体"/>
                <w:color w:val="auto"/>
                <w:sz w:val="24"/>
                <w:lang w:eastAsia="zh-CN"/>
              </w:rPr>
              <w:t>社会指标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eastAsia="仿宋_GB2312" w:cs="宋体"/>
                <w:color w:val="auto"/>
                <w:sz w:val="24"/>
                <w:lang w:eastAsia="zh-CN"/>
              </w:rPr>
            </w:pPr>
            <w:r>
              <w:rPr>
                <w:rFonts w:hint="eastAsia" w:ascii="宋体" w:cs="宋体"/>
                <w:color w:val="auto"/>
                <w:sz w:val="24"/>
                <w:lang w:eastAsia="zh-CN"/>
              </w:rPr>
              <w:t>开组少年宫活动</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eastAsia="仿宋_GB2312" w:cs="宋体"/>
                <w:color w:val="auto"/>
                <w:sz w:val="24"/>
                <w:lang w:eastAsia="zh-CN"/>
              </w:rPr>
            </w:pPr>
            <w:r>
              <w:rPr>
                <w:rFonts w:hint="eastAsia" w:ascii="宋体" w:cs="宋体"/>
                <w:color w:val="auto"/>
                <w:sz w:val="24"/>
                <w:lang w:eastAsia="zh-CN"/>
              </w:rPr>
              <w:t>丰富小朋友们的课余生活，提高学生幸福感</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auto"/>
                <w:sz w:val="24"/>
              </w:rPr>
            </w:pPr>
            <w:r>
              <w:rPr>
                <w:rFonts w:hint="eastAsia" w:ascii="宋体" w:cs="宋体"/>
                <w:color w:val="auto"/>
                <w:sz w:val="24"/>
                <w:lang w:eastAsia="zh-CN"/>
              </w:rPr>
              <w:t>丰富小朋友们的课余生活，提高学生幸福感</w:t>
            </w:r>
          </w:p>
        </w:tc>
      </w:tr>
      <w:tr>
        <w:tblPrEx>
          <w:tblCellMar>
            <w:top w:w="0" w:type="dxa"/>
            <w:left w:w="0" w:type="dxa"/>
            <w:bottom w:w="0" w:type="dxa"/>
            <w:right w:w="0" w:type="dxa"/>
          </w:tblCellMar>
        </w:tblPrEx>
        <w:trPr>
          <w:trHeight w:val="1050" w:hRule="atLeast"/>
          <w:jc w:val="center"/>
        </w:trPr>
        <w:tc>
          <w:tcPr>
            <w:tcW w:w="390"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auto"/>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auto"/>
                <w:sz w:val="24"/>
              </w:rPr>
            </w:pPr>
            <w:r>
              <w:rPr>
                <w:rFonts w:hint="eastAsia" w:ascii="宋体" w:hAnsi="宋体" w:cs="宋体"/>
                <w:color w:val="auto"/>
                <w:kern w:val="0"/>
                <w:sz w:val="24"/>
              </w:rPr>
              <w:t>满意度指标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eastAsia="仿宋_GB2312" w:cs="宋体"/>
                <w:color w:val="auto"/>
                <w:sz w:val="24"/>
                <w:lang w:eastAsia="zh-CN"/>
              </w:rPr>
            </w:pPr>
            <w:r>
              <w:rPr>
                <w:rFonts w:hint="eastAsia" w:ascii="宋体" w:cs="宋体"/>
                <w:color w:val="auto"/>
                <w:sz w:val="24"/>
                <w:lang w:eastAsia="zh-CN"/>
              </w:rPr>
              <w:t>满意度指标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eastAsia="仿宋_GB2312" w:cs="宋体"/>
                <w:color w:val="auto"/>
                <w:sz w:val="24"/>
                <w:lang w:eastAsia="zh-CN"/>
              </w:rPr>
            </w:pPr>
            <w:r>
              <w:rPr>
                <w:rFonts w:hint="eastAsia" w:ascii="宋体" w:cs="宋体"/>
                <w:color w:val="auto"/>
                <w:sz w:val="24"/>
                <w:lang w:eastAsia="zh-CN"/>
              </w:rPr>
              <w:t>师生满意度</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eastAsia="仿宋_GB2312" w:cs="宋体"/>
                <w:color w:val="auto"/>
                <w:sz w:val="24"/>
                <w:lang w:val="en-US" w:eastAsia="zh-CN"/>
              </w:rPr>
            </w:pPr>
            <w:r>
              <w:rPr>
                <w:rFonts w:hint="eastAsia" w:ascii="宋体" w:cs="宋体"/>
                <w:color w:val="auto"/>
                <w:sz w:val="24"/>
                <w:lang w:eastAsia="zh-CN"/>
              </w:rPr>
              <w:t>满意度达</w:t>
            </w:r>
            <w:r>
              <w:rPr>
                <w:rFonts w:hint="eastAsia" w:ascii="宋体" w:cs="宋体"/>
                <w:color w:val="auto"/>
                <w:sz w:val="24"/>
                <w:lang w:val="en-US" w:eastAsia="zh-CN"/>
              </w:rPr>
              <w:t>90%以上</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auto"/>
                <w:sz w:val="24"/>
                <w:lang w:val="en-US" w:eastAsia="zh-CN"/>
              </w:rPr>
            </w:pPr>
            <w:r>
              <w:rPr>
                <w:rFonts w:hint="eastAsia" w:ascii="宋体" w:cs="宋体"/>
                <w:color w:val="auto"/>
                <w:sz w:val="24"/>
                <w:lang w:eastAsia="zh-CN"/>
              </w:rPr>
              <w:t>满意度</w:t>
            </w:r>
            <w:r>
              <w:rPr>
                <w:rFonts w:hint="eastAsia" w:ascii="宋体" w:cs="宋体"/>
                <w:color w:val="auto"/>
                <w:sz w:val="24"/>
                <w:lang w:val="en-US" w:eastAsia="zh-CN"/>
              </w:rPr>
              <w:t>99%以上</w:t>
            </w:r>
          </w:p>
        </w:tc>
      </w:tr>
    </w:tbl>
    <w:p>
      <w:pPr>
        <w:spacing w:line="580" w:lineRule="exact"/>
        <w:ind w:firstLine="640" w:firstLineChars="200"/>
        <w:rPr>
          <w:rFonts w:ascii="仿宋_GB2312" w:hAnsi="仿宋_GB2312" w:cs="仿宋_GB2312"/>
          <w:color w:val="auto"/>
          <w:szCs w:val="32"/>
        </w:rPr>
      </w:pPr>
      <w:r>
        <w:rPr>
          <w:rFonts w:ascii="楷体_GB2312" w:hAnsi="楷体_GB2312" w:eastAsia="楷体_GB2312" w:cs="楷体_GB2312"/>
          <w:color w:val="auto"/>
          <w:szCs w:val="32"/>
        </w:rPr>
        <w:t>2.</w:t>
      </w:r>
      <w:r>
        <w:rPr>
          <w:rFonts w:hint="eastAsia" w:ascii="楷体_GB2312" w:hAnsi="楷体_GB2312" w:eastAsia="楷体_GB2312" w:cs="楷体_GB2312"/>
          <w:color w:val="auto"/>
          <w:szCs w:val="32"/>
        </w:rPr>
        <w:t>部门绩效评价结果。</w:t>
      </w:r>
    </w:p>
    <w:p>
      <w:pPr>
        <w:spacing w:line="580" w:lineRule="exact"/>
        <w:ind w:firstLine="640" w:firstLineChars="200"/>
        <w:rPr>
          <w:rFonts w:ascii="仿宋_GB2312" w:hAnsi="仿宋_GB2312" w:cs="仿宋_GB2312"/>
          <w:color w:val="auto"/>
          <w:szCs w:val="32"/>
        </w:rPr>
      </w:pPr>
      <w:r>
        <w:rPr>
          <w:rFonts w:hint="eastAsia" w:ascii="仿宋_GB2312" w:hAnsi="仿宋_GB2312" w:cs="仿宋_GB2312"/>
          <w:color w:val="auto"/>
          <w:szCs w:val="32"/>
        </w:rPr>
        <w:t>本部门按要求对</w:t>
      </w:r>
      <w:r>
        <w:rPr>
          <w:rFonts w:ascii="仿宋_GB2312" w:hAnsi="仿宋_GB2312" w:cs="仿宋_GB2312"/>
          <w:color w:val="auto"/>
          <w:szCs w:val="32"/>
        </w:rPr>
        <w:t>2020</w:t>
      </w:r>
      <w:r>
        <w:rPr>
          <w:rFonts w:hint="eastAsia" w:ascii="仿宋_GB2312" w:hAnsi="仿宋_GB2312" w:cs="仿宋_GB2312"/>
          <w:color w:val="auto"/>
          <w:szCs w:val="32"/>
        </w:rPr>
        <w:t>年部门整体支出绩效评价情况开展自评，从评价情况来看全面完成了当年目标任务。《自贡市自流井区</w:t>
      </w:r>
      <w:r>
        <w:rPr>
          <w:rFonts w:hint="eastAsia" w:ascii="仿宋_GB2312" w:hAnsi="仿宋_GB2312" w:cs="仿宋_GB2312"/>
          <w:color w:val="auto"/>
          <w:szCs w:val="32"/>
          <w:lang w:eastAsia="zh-CN"/>
        </w:rPr>
        <w:t>荣边</w:t>
      </w:r>
      <w:r>
        <w:rPr>
          <w:rFonts w:hint="eastAsia" w:ascii="仿宋_GB2312" w:hAnsi="仿宋_GB2312" w:cs="仿宋_GB2312"/>
          <w:color w:val="auto"/>
          <w:szCs w:val="32"/>
        </w:rPr>
        <w:t>镇中心小学校</w:t>
      </w:r>
      <w:r>
        <w:rPr>
          <w:rFonts w:ascii="仿宋_GB2312" w:hAnsi="仿宋_GB2312" w:cs="仿宋_GB2312"/>
          <w:color w:val="auto"/>
          <w:szCs w:val="32"/>
        </w:rPr>
        <w:t>2020</w:t>
      </w:r>
      <w:r>
        <w:rPr>
          <w:rFonts w:hint="eastAsia" w:ascii="仿宋_GB2312" w:hAnsi="仿宋_GB2312" w:cs="仿宋_GB2312"/>
          <w:color w:val="auto"/>
          <w:szCs w:val="32"/>
        </w:rPr>
        <w:t>年部门整体支出绩效评价报告》见附件（附件</w:t>
      </w:r>
      <w:r>
        <w:rPr>
          <w:rFonts w:ascii="仿宋_GB2312" w:hAnsi="仿宋_GB2312" w:cs="仿宋_GB2312"/>
          <w:color w:val="auto"/>
          <w:szCs w:val="32"/>
        </w:rPr>
        <w:t>1</w:t>
      </w:r>
      <w:r>
        <w:rPr>
          <w:rFonts w:hint="eastAsia" w:ascii="仿宋_GB2312" w:hAnsi="仿宋_GB2312" w:cs="仿宋_GB2312"/>
          <w:color w:val="auto"/>
          <w:szCs w:val="32"/>
        </w:rPr>
        <w:t>）。</w:t>
      </w:r>
    </w:p>
    <w:p>
      <w:pPr>
        <w:spacing w:line="580" w:lineRule="exact"/>
        <w:ind w:firstLine="640" w:firstLineChars="200"/>
        <w:rPr>
          <w:rFonts w:ascii="仿宋_GB2312"/>
          <w:b/>
          <w:color w:val="auto"/>
          <w:szCs w:val="32"/>
        </w:rPr>
      </w:pPr>
      <w:r>
        <w:rPr>
          <w:rFonts w:hint="eastAsia" w:ascii="仿宋_GB2312" w:hAnsi="仿宋_GB2312" w:cs="仿宋_GB2312"/>
          <w:color w:val="auto"/>
          <w:szCs w:val="32"/>
        </w:rPr>
        <w:t>本部门自行组织对</w:t>
      </w:r>
      <w:r>
        <w:rPr>
          <w:rFonts w:hint="eastAsia" w:ascii="仿宋_GB2312" w:hAnsi="仿宋_GB2312" w:cs="仿宋_GB2312"/>
          <w:color w:val="auto"/>
          <w:szCs w:val="32"/>
          <w:lang w:eastAsia="zh-CN"/>
        </w:rPr>
        <w:t>少年宫经费</w:t>
      </w:r>
      <w:r>
        <w:rPr>
          <w:rFonts w:hint="eastAsia" w:ascii="仿宋_GB2312" w:hAnsi="仿宋_GB2312" w:cs="仿宋_GB2312"/>
          <w:color w:val="auto"/>
          <w:szCs w:val="32"/>
        </w:rPr>
        <w:t>项目开展了绩效评价，《</w:t>
      </w:r>
      <w:r>
        <w:rPr>
          <w:rFonts w:hint="eastAsia" w:ascii="仿宋_GB2312" w:hAnsi="仿宋_GB2312" w:cs="仿宋_GB2312"/>
          <w:color w:val="auto"/>
          <w:szCs w:val="32"/>
          <w:lang w:eastAsia="zh-CN"/>
        </w:rPr>
        <w:t>少年宫经费</w:t>
      </w:r>
      <w:r>
        <w:rPr>
          <w:rFonts w:hint="eastAsia" w:ascii="仿宋_GB2312" w:hAnsi="仿宋_GB2312" w:cs="仿宋_GB2312"/>
          <w:color w:val="auto"/>
          <w:szCs w:val="32"/>
        </w:rPr>
        <w:t>项目</w:t>
      </w:r>
      <w:r>
        <w:rPr>
          <w:rFonts w:ascii="仿宋_GB2312" w:hAnsi="仿宋_GB2312" w:cs="仿宋_GB2312"/>
          <w:color w:val="auto"/>
          <w:szCs w:val="32"/>
        </w:rPr>
        <w:t>2020</w:t>
      </w:r>
      <w:r>
        <w:rPr>
          <w:rFonts w:hint="eastAsia" w:ascii="仿宋_GB2312" w:hAnsi="仿宋_GB2312" w:cs="仿宋_GB2312"/>
          <w:color w:val="auto"/>
          <w:szCs w:val="32"/>
        </w:rPr>
        <w:t>年绩效评价报告》见附件（附件</w:t>
      </w:r>
      <w:r>
        <w:rPr>
          <w:rFonts w:ascii="仿宋_GB2312" w:hAnsi="仿宋_GB2312" w:cs="仿宋_GB2312"/>
          <w:color w:val="auto"/>
          <w:szCs w:val="32"/>
        </w:rPr>
        <w:t>2</w:t>
      </w:r>
      <w:r>
        <w:rPr>
          <w:rFonts w:hint="eastAsia" w:ascii="仿宋_GB2312" w:hAnsi="仿宋_GB2312" w:cs="仿宋_GB2312"/>
          <w:color w:val="auto"/>
          <w:szCs w:val="32"/>
        </w:rPr>
        <w:t>）。</w:t>
      </w:r>
    </w:p>
    <w:p>
      <w:pPr>
        <w:spacing w:line="580" w:lineRule="exact"/>
        <w:ind w:firstLine="643" w:firstLineChars="200"/>
        <w:rPr>
          <w:rFonts w:ascii="仿宋_GB2312"/>
          <w:b/>
          <w:color w:val="auto"/>
          <w:szCs w:val="32"/>
        </w:rPr>
      </w:pPr>
    </w:p>
    <w:p>
      <w:pPr>
        <w:spacing w:line="580" w:lineRule="exact"/>
        <w:ind w:firstLine="643" w:firstLineChars="200"/>
        <w:rPr>
          <w:rFonts w:ascii="仿宋_GB2312"/>
          <w:b/>
          <w:color w:val="auto"/>
          <w:szCs w:val="32"/>
        </w:rPr>
      </w:pPr>
    </w:p>
    <w:p>
      <w:pPr>
        <w:spacing w:line="580" w:lineRule="exact"/>
        <w:ind w:firstLine="643" w:firstLineChars="200"/>
        <w:rPr>
          <w:rFonts w:ascii="仿宋_GB2312"/>
          <w:b/>
          <w:color w:val="auto"/>
          <w:szCs w:val="32"/>
        </w:rPr>
      </w:pPr>
    </w:p>
    <w:p>
      <w:pPr>
        <w:spacing w:line="580" w:lineRule="exact"/>
        <w:ind w:firstLine="643" w:firstLineChars="200"/>
        <w:rPr>
          <w:rFonts w:ascii="仿宋_GB2312"/>
          <w:b/>
          <w:color w:val="auto"/>
          <w:szCs w:val="32"/>
        </w:rPr>
      </w:pPr>
    </w:p>
    <w:p>
      <w:pPr>
        <w:spacing w:line="580" w:lineRule="exact"/>
        <w:ind w:firstLine="643" w:firstLineChars="200"/>
        <w:rPr>
          <w:rFonts w:ascii="仿宋_GB2312"/>
          <w:b/>
          <w:color w:val="auto"/>
          <w:szCs w:val="32"/>
        </w:rPr>
      </w:pPr>
    </w:p>
    <w:p>
      <w:pPr>
        <w:spacing w:line="580" w:lineRule="exact"/>
        <w:ind w:firstLine="643" w:firstLineChars="200"/>
        <w:rPr>
          <w:rFonts w:ascii="仿宋_GB2312"/>
          <w:b/>
          <w:color w:val="auto"/>
          <w:szCs w:val="32"/>
        </w:rPr>
      </w:pPr>
    </w:p>
    <w:p>
      <w:pPr>
        <w:spacing w:line="580" w:lineRule="exact"/>
        <w:ind w:firstLine="643" w:firstLineChars="200"/>
        <w:rPr>
          <w:rFonts w:ascii="仿宋_GB2312"/>
          <w:b/>
          <w:color w:val="auto"/>
          <w:szCs w:val="32"/>
        </w:rPr>
      </w:pPr>
    </w:p>
    <w:p>
      <w:pPr>
        <w:spacing w:line="580" w:lineRule="exact"/>
        <w:ind w:firstLine="643" w:firstLineChars="200"/>
        <w:rPr>
          <w:rFonts w:ascii="仿宋_GB2312"/>
          <w:b/>
          <w:color w:val="auto"/>
          <w:szCs w:val="32"/>
        </w:rPr>
      </w:pPr>
    </w:p>
    <w:p>
      <w:pPr>
        <w:spacing w:line="580" w:lineRule="exact"/>
        <w:ind w:firstLine="643" w:firstLineChars="200"/>
        <w:rPr>
          <w:rFonts w:ascii="仿宋_GB2312"/>
          <w:b/>
          <w:color w:val="auto"/>
          <w:szCs w:val="32"/>
        </w:rPr>
      </w:pPr>
    </w:p>
    <w:p>
      <w:pPr>
        <w:spacing w:line="580" w:lineRule="exact"/>
        <w:ind w:firstLine="643" w:firstLineChars="200"/>
        <w:rPr>
          <w:rFonts w:ascii="仿宋_GB2312"/>
          <w:b/>
          <w:color w:val="auto"/>
          <w:szCs w:val="32"/>
        </w:rPr>
      </w:pPr>
    </w:p>
    <w:p>
      <w:pPr>
        <w:spacing w:line="580" w:lineRule="exact"/>
        <w:ind w:firstLine="643" w:firstLineChars="200"/>
        <w:rPr>
          <w:rFonts w:ascii="仿宋_GB2312"/>
          <w:b/>
          <w:color w:val="auto"/>
          <w:szCs w:val="32"/>
        </w:rPr>
      </w:pPr>
    </w:p>
    <w:p>
      <w:pPr>
        <w:spacing w:line="580" w:lineRule="exact"/>
        <w:ind w:firstLine="643" w:firstLineChars="200"/>
        <w:rPr>
          <w:rFonts w:ascii="仿宋_GB2312"/>
          <w:b/>
          <w:color w:val="auto"/>
          <w:szCs w:val="32"/>
        </w:rPr>
      </w:pPr>
    </w:p>
    <w:p>
      <w:pPr>
        <w:spacing w:line="580" w:lineRule="exact"/>
        <w:ind w:firstLine="643" w:firstLineChars="200"/>
        <w:rPr>
          <w:rFonts w:ascii="仿宋_GB2312"/>
          <w:b/>
          <w:color w:val="auto"/>
          <w:szCs w:val="32"/>
        </w:rPr>
      </w:pPr>
    </w:p>
    <w:p>
      <w:pPr>
        <w:spacing w:line="580" w:lineRule="exact"/>
        <w:ind w:firstLine="643" w:firstLineChars="200"/>
        <w:rPr>
          <w:rFonts w:ascii="仿宋_GB2312"/>
          <w:b/>
          <w:color w:val="auto"/>
          <w:szCs w:val="32"/>
        </w:rPr>
      </w:pPr>
    </w:p>
    <w:p>
      <w:pPr>
        <w:spacing w:line="580" w:lineRule="exact"/>
        <w:ind w:firstLine="643" w:firstLineChars="200"/>
        <w:rPr>
          <w:rFonts w:ascii="仿宋_GB2312"/>
          <w:b/>
          <w:color w:val="auto"/>
          <w:szCs w:val="32"/>
        </w:rPr>
      </w:pPr>
    </w:p>
    <w:p>
      <w:pPr>
        <w:numPr>
          <w:ilvl w:val="0"/>
          <w:numId w:val="6"/>
        </w:numPr>
        <w:spacing w:line="600" w:lineRule="exact"/>
        <w:ind w:firstLine="660" w:firstLineChars="150"/>
        <w:jc w:val="center"/>
        <w:outlineLvl w:val="0"/>
        <w:rPr>
          <w:rStyle w:val="14"/>
          <w:rFonts w:ascii="黑体" w:hAnsi="黑体" w:eastAsia="黑体"/>
          <w:b w:val="0"/>
          <w:color w:val="auto"/>
        </w:rPr>
      </w:pPr>
      <w:bookmarkStart w:id="53" w:name="_Toc3536"/>
      <w:bookmarkStart w:id="54" w:name="_Toc15377225"/>
      <w:bookmarkStart w:id="55" w:name="_Toc15396613"/>
      <w:r>
        <w:rPr>
          <w:rFonts w:hint="eastAsia" w:ascii="黑体" w:hAnsi="黑体" w:eastAsia="黑体"/>
          <w:color w:val="auto"/>
          <w:sz w:val="44"/>
          <w:szCs w:val="44"/>
        </w:rPr>
        <w:t>名</w:t>
      </w:r>
      <w:r>
        <w:rPr>
          <w:rStyle w:val="14"/>
          <w:rFonts w:hint="eastAsia" w:ascii="黑体" w:hAnsi="黑体" w:eastAsia="黑体"/>
          <w:b w:val="0"/>
          <w:color w:val="auto"/>
        </w:rPr>
        <w:t>词解释</w:t>
      </w:r>
      <w:bookmarkEnd w:id="53"/>
      <w:bookmarkEnd w:id="54"/>
      <w:bookmarkEnd w:id="55"/>
    </w:p>
    <w:p>
      <w:pPr>
        <w:spacing w:line="600" w:lineRule="exact"/>
        <w:jc w:val="left"/>
        <w:rPr>
          <w:rFonts w:ascii="宋体"/>
          <w:b/>
          <w:color w:val="auto"/>
          <w:sz w:val="44"/>
          <w:szCs w:val="44"/>
        </w:rPr>
      </w:pPr>
    </w:p>
    <w:p>
      <w:pPr>
        <w:pStyle w:val="1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1.</w:t>
      </w:r>
      <w:r>
        <w:rPr>
          <w:rFonts w:hint="eastAsia" w:ascii="仿宋_GB2312" w:eastAsia="仿宋_GB2312"/>
          <w:color w:val="auto"/>
          <w:sz w:val="32"/>
          <w:szCs w:val="32"/>
        </w:rPr>
        <w:t>财政拨款收入：指单位从同级财政部门取得的财政预算资金。</w:t>
      </w:r>
    </w:p>
    <w:p>
      <w:pPr>
        <w:pStyle w:val="1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2.</w:t>
      </w:r>
      <w:r>
        <w:rPr>
          <w:rFonts w:hint="eastAsia" w:ascii="仿宋_GB2312" w:eastAsia="仿宋_GB2312"/>
          <w:color w:val="auto"/>
          <w:sz w:val="32"/>
          <w:szCs w:val="32"/>
        </w:rPr>
        <w:t>事业收入：指事业单位开展专业业务活动及辅助活动取得的收入。</w:t>
      </w:r>
    </w:p>
    <w:p>
      <w:pPr>
        <w:pStyle w:val="1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3.</w:t>
      </w:r>
      <w:r>
        <w:rPr>
          <w:rFonts w:hint="eastAsia" w:ascii="仿宋_GB2312" w:eastAsia="仿宋_GB2312"/>
          <w:color w:val="auto"/>
          <w:sz w:val="32"/>
          <w:szCs w:val="32"/>
        </w:rPr>
        <w:t>经营收入：指事业单位在专业业务活动及其辅助活动之外开展非独立核算经营活动取得的收入。</w:t>
      </w:r>
    </w:p>
    <w:p>
      <w:pPr>
        <w:pStyle w:val="1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4.</w:t>
      </w:r>
      <w:r>
        <w:rPr>
          <w:rFonts w:hint="eastAsia" w:ascii="仿宋_GB2312" w:eastAsia="仿宋_GB2312"/>
          <w:color w:val="auto"/>
          <w:sz w:val="32"/>
          <w:szCs w:val="32"/>
        </w:rPr>
        <w:t>其他收入：指单位取得的除上述收入以外的各项收入。</w:t>
      </w:r>
    </w:p>
    <w:p>
      <w:pPr>
        <w:pStyle w:val="1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5.</w:t>
      </w:r>
      <w:r>
        <w:rPr>
          <w:rFonts w:hint="eastAsia" w:ascii="仿宋_GB2312" w:eastAsia="仿宋_GB2312"/>
          <w:color w:val="auto"/>
          <w:sz w:val="32"/>
          <w:szCs w:val="32"/>
        </w:rPr>
        <w:t>使用非财政拨款结余：指事业单位使用以前年度积累的非财政拨款结余弥补当年收支差额的金额。</w:t>
      </w:r>
    </w:p>
    <w:p>
      <w:pPr>
        <w:pStyle w:val="1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6.</w:t>
      </w:r>
      <w:r>
        <w:rPr>
          <w:rFonts w:hint="eastAsia" w:ascii="仿宋_GB2312" w:eastAsia="仿宋_GB2312"/>
          <w:color w:val="auto"/>
          <w:sz w:val="32"/>
          <w:szCs w:val="32"/>
        </w:rPr>
        <w:t>年初结转和结余：指以前年度尚未完成、结转到本年按有关规定继续使用的资金。</w:t>
      </w:r>
    </w:p>
    <w:p>
      <w:pPr>
        <w:pStyle w:val="1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7.</w:t>
      </w:r>
      <w:r>
        <w:rPr>
          <w:rFonts w:hint="eastAsia" w:ascii="仿宋_GB2312" w:eastAsia="仿宋_GB2312"/>
          <w:color w:val="auto"/>
          <w:sz w:val="32"/>
          <w:szCs w:val="32"/>
        </w:rPr>
        <w:t>结余分配：指事业单位按照会计制度规定缴纳的所得税、提取的专用结余以及转入非财政拨款结余的金额等。</w:t>
      </w:r>
    </w:p>
    <w:p>
      <w:pPr>
        <w:ind w:firstLine="640" w:firstLineChars="200"/>
        <w:rPr>
          <w:rFonts w:ascii="仿宋_GB2312"/>
          <w:color w:val="auto"/>
          <w:szCs w:val="32"/>
        </w:rPr>
      </w:pPr>
      <w:r>
        <w:rPr>
          <w:rFonts w:ascii="仿宋_GB2312"/>
          <w:color w:val="auto"/>
          <w:szCs w:val="32"/>
        </w:rPr>
        <w:t>8</w:t>
      </w:r>
      <w:r>
        <w:rPr>
          <w:rFonts w:hint="eastAsia" w:ascii="仿宋_GB2312"/>
          <w:color w:val="auto"/>
          <w:szCs w:val="32"/>
        </w:rPr>
        <w:t>.年末结转和结余：指单位按有关规定结转到下年或以后年度继续使用的资金。</w:t>
      </w:r>
    </w:p>
    <w:p>
      <w:pPr>
        <w:ind w:firstLine="640" w:firstLineChars="200"/>
        <w:rPr>
          <w:rStyle w:val="12"/>
          <w:rFonts w:ascii="仿宋" w:hAnsi="仿宋" w:eastAsia="仿宋"/>
          <w:b w:val="0"/>
          <w:color w:val="auto"/>
          <w:szCs w:val="32"/>
        </w:rPr>
      </w:pPr>
      <w:r>
        <w:rPr>
          <w:rFonts w:hint="eastAsia" w:ascii="仿宋_GB2312"/>
          <w:color w:val="auto"/>
          <w:szCs w:val="32"/>
        </w:rPr>
        <w:t>9.</w:t>
      </w:r>
      <w:r>
        <w:rPr>
          <w:rStyle w:val="12"/>
          <w:rFonts w:hint="eastAsia" w:ascii="仿宋" w:hAnsi="仿宋" w:eastAsia="仿宋"/>
          <w:b w:val="0"/>
          <w:color w:val="auto"/>
          <w:szCs w:val="32"/>
        </w:rPr>
        <w:t>教育支出（类）普通教育（款）学前教育（项）：指反映各部门举办的学前教育支出。政府各部门对社会组织等举办的幼儿园的资助，如捐赠、补贴等，也在本科目中反映。</w:t>
      </w:r>
    </w:p>
    <w:p>
      <w:pPr>
        <w:pStyle w:val="17"/>
        <w:spacing w:line="560" w:lineRule="exact"/>
        <w:ind w:firstLine="640" w:firstLineChars="200"/>
        <w:rPr>
          <w:rFonts w:ascii="仿宋_GB2312" w:eastAsia="仿宋_GB2312"/>
          <w:color w:val="auto"/>
          <w:sz w:val="32"/>
          <w:szCs w:val="32"/>
        </w:rPr>
      </w:pPr>
    </w:p>
    <w:p>
      <w:pPr>
        <w:ind w:firstLine="640" w:firstLineChars="200"/>
        <w:rPr>
          <w:rStyle w:val="12"/>
          <w:rFonts w:ascii="仿宋" w:hAnsi="仿宋" w:eastAsia="仿宋"/>
          <w:b w:val="0"/>
          <w:color w:val="auto"/>
          <w:szCs w:val="32"/>
        </w:rPr>
      </w:pPr>
      <w:r>
        <w:rPr>
          <w:rStyle w:val="12"/>
          <w:rFonts w:hint="eastAsia" w:ascii="仿宋" w:hAnsi="仿宋" w:eastAsia="仿宋"/>
          <w:b w:val="0"/>
          <w:color w:val="auto"/>
          <w:szCs w:val="32"/>
        </w:rPr>
        <w:t>10.教育支出（类）普通教育（款）小学教育（项）：指反映各部门举办的小学教育支出。政府各部门对社会组织等举办的小学的资助，如捐赠、补贴等，也在本科目中反映。</w:t>
      </w:r>
    </w:p>
    <w:p>
      <w:pPr>
        <w:ind w:firstLine="640" w:firstLineChars="200"/>
        <w:rPr>
          <w:rFonts w:ascii="仿宋_GB2312"/>
          <w:color w:val="auto"/>
          <w:szCs w:val="32"/>
        </w:rPr>
      </w:pPr>
      <w:r>
        <w:rPr>
          <w:rFonts w:hint="eastAsia" w:ascii="仿宋_GB2312"/>
          <w:color w:val="auto"/>
          <w:szCs w:val="32"/>
        </w:rPr>
        <w:t>11</w:t>
      </w:r>
      <w:r>
        <w:rPr>
          <w:rFonts w:ascii="仿宋_GB2312"/>
          <w:color w:val="auto"/>
          <w:szCs w:val="32"/>
        </w:rPr>
        <w:t>.</w:t>
      </w:r>
      <w:r>
        <w:rPr>
          <w:rFonts w:hint="eastAsia" w:ascii="仿宋_GB2312"/>
          <w:color w:val="auto"/>
          <w:szCs w:val="32"/>
        </w:rPr>
        <w:t>基本支出：指为保障机构正常运转、完成日常工作任务而发生的人员支出和公用支出。</w:t>
      </w:r>
    </w:p>
    <w:p>
      <w:pPr>
        <w:ind w:firstLine="640" w:firstLineChars="200"/>
        <w:rPr>
          <w:rFonts w:ascii="仿宋_GB2312"/>
          <w:color w:val="auto"/>
          <w:szCs w:val="32"/>
        </w:rPr>
      </w:pPr>
      <w:r>
        <w:rPr>
          <w:rFonts w:hint="eastAsia" w:ascii="仿宋_GB2312"/>
          <w:color w:val="auto"/>
          <w:szCs w:val="32"/>
        </w:rPr>
        <w:t>12</w:t>
      </w:r>
      <w:r>
        <w:rPr>
          <w:rFonts w:ascii="仿宋_GB2312"/>
          <w:color w:val="auto"/>
          <w:szCs w:val="32"/>
        </w:rPr>
        <w:t>.</w:t>
      </w:r>
      <w:r>
        <w:rPr>
          <w:rFonts w:hint="eastAsia" w:ascii="仿宋_GB2312"/>
          <w:color w:val="auto"/>
          <w:szCs w:val="32"/>
        </w:rPr>
        <w:t>项目支出：指在基本支出之外为完成特定行政任务和事业发展目标所发生的支出。</w:t>
      </w:r>
    </w:p>
    <w:p>
      <w:pPr>
        <w:ind w:firstLine="640" w:firstLineChars="200"/>
        <w:rPr>
          <w:rFonts w:ascii="仿宋_GB2312"/>
          <w:color w:val="auto"/>
          <w:szCs w:val="32"/>
        </w:rPr>
      </w:pPr>
      <w:r>
        <w:rPr>
          <w:rFonts w:hint="eastAsia" w:ascii="仿宋_GB2312"/>
          <w:color w:val="auto"/>
          <w:szCs w:val="32"/>
        </w:rPr>
        <w:t>13</w:t>
      </w:r>
      <w:r>
        <w:rPr>
          <w:rFonts w:ascii="仿宋_GB2312"/>
          <w:color w:val="auto"/>
          <w:szCs w:val="32"/>
        </w:rPr>
        <w:t>.</w:t>
      </w:r>
      <w:r>
        <w:rPr>
          <w:rFonts w:hint="eastAsia" w:ascii="仿宋_GB2312"/>
          <w:color w:val="auto"/>
          <w:szCs w:val="32"/>
        </w:rPr>
        <w:t>经营支出：指事业单位在专业业务活动及其辅助活动之外开展非独立核算经营活动发生的支出。</w:t>
      </w:r>
    </w:p>
    <w:p>
      <w:pPr>
        <w:pStyle w:val="17"/>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14</w:t>
      </w:r>
      <w:r>
        <w:rPr>
          <w:rFonts w:ascii="仿宋_GB2312" w:eastAsia="仿宋_GB2312"/>
          <w:color w:val="auto"/>
          <w:sz w:val="32"/>
          <w:szCs w:val="32"/>
        </w:rPr>
        <w:t>.</w:t>
      </w:r>
      <w:r>
        <w:rPr>
          <w:rFonts w:hint="eastAsia" w:ascii="仿宋_GB2312" w:eastAsia="仿宋_GB2312"/>
          <w:color w:val="auto"/>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17"/>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15</w:t>
      </w:r>
      <w:r>
        <w:rPr>
          <w:rFonts w:ascii="仿宋_GB2312" w:eastAsia="仿宋_GB2312"/>
          <w:color w:val="auto"/>
          <w:sz w:val="32"/>
          <w:szCs w:val="32"/>
        </w:rPr>
        <w:t>.</w:t>
      </w:r>
      <w:r>
        <w:rPr>
          <w:rFonts w:hint="eastAsia" w:ascii="仿宋_GB2312" w:eastAsia="仿宋_GB2312"/>
          <w:color w:val="auto"/>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jc w:val="center"/>
        <w:outlineLvl w:val="0"/>
        <w:rPr>
          <w:rFonts w:ascii="黑体" w:hAnsi="黑体" w:eastAsia="黑体"/>
          <w:color w:val="auto"/>
          <w:sz w:val="44"/>
          <w:szCs w:val="44"/>
        </w:rPr>
      </w:pPr>
      <w:bookmarkStart w:id="56" w:name="_Toc11207"/>
      <w:bookmarkStart w:id="57" w:name="_Toc15396614"/>
      <w:bookmarkStart w:id="58" w:name="_Toc15377226"/>
    </w:p>
    <w:p>
      <w:pPr>
        <w:spacing w:line="600" w:lineRule="exact"/>
        <w:jc w:val="center"/>
        <w:outlineLvl w:val="0"/>
        <w:rPr>
          <w:rFonts w:hint="eastAsia" w:ascii="黑体" w:hAnsi="黑体" w:eastAsia="黑体"/>
          <w:color w:val="auto"/>
          <w:sz w:val="44"/>
          <w:szCs w:val="44"/>
        </w:rPr>
      </w:pPr>
    </w:p>
    <w:p>
      <w:pPr>
        <w:spacing w:line="600" w:lineRule="exact"/>
        <w:jc w:val="center"/>
        <w:outlineLvl w:val="0"/>
        <w:rPr>
          <w:rFonts w:hint="eastAsia" w:ascii="黑体" w:hAnsi="黑体" w:eastAsia="黑体"/>
          <w:color w:val="auto"/>
          <w:sz w:val="44"/>
          <w:szCs w:val="44"/>
        </w:rPr>
      </w:pPr>
    </w:p>
    <w:p>
      <w:pPr>
        <w:spacing w:line="600" w:lineRule="exact"/>
        <w:jc w:val="center"/>
        <w:outlineLvl w:val="0"/>
        <w:rPr>
          <w:rFonts w:hint="eastAsia" w:ascii="黑体" w:hAnsi="黑体" w:eastAsia="黑体"/>
          <w:color w:val="auto"/>
          <w:sz w:val="44"/>
          <w:szCs w:val="44"/>
        </w:rPr>
      </w:pPr>
    </w:p>
    <w:p>
      <w:pPr>
        <w:spacing w:line="600" w:lineRule="exact"/>
        <w:jc w:val="center"/>
        <w:outlineLvl w:val="0"/>
        <w:rPr>
          <w:rStyle w:val="14"/>
          <w:rFonts w:ascii="黑体" w:hAnsi="黑体" w:eastAsia="黑体"/>
          <w:b w:val="0"/>
          <w:color w:val="auto"/>
        </w:rPr>
      </w:pPr>
      <w:r>
        <w:rPr>
          <w:rFonts w:hint="eastAsia" w:ascii="黑体" w:hAnsi="黑体" w:eastAsia="黑体"/>
          <w:color w:val="auto"/>
          <w:sz w:val="44"/>
          <w:szCs w:val="44"/>
        </w:rPr>
        <w:t>第</w:t>
      </w:r>
      <w:r>
        <w:rPr>
          <w:rStyle w:val="14"/>
          <w:rFonts w:hint="eastAsia" w:ascii="黑体" w:hAnsi="黑体" w:eastAsia="黑体"/>
          <w:b w:val="0"/>
          <w:color w:val="auto"/>
        </w:rPr>
        <w:t>四部分附件</w:t>
      </w:r>
      <w:bookmarkEnd w:id="56"/>
      <w:bookmarkEnd w:id="57"/>
    </w:p>
    <w:p>
      <w:pPr>
        <w:spacing w:line="600" w:lineRule="exact"/>
        <w:jc w:val="left"/>
        <w:outlineLvl w:val="1"/>
        <w:rPr>
          <w:rFonts w:ascii="方正小标宋简体" w:hAnsi="方正小标宋简体" w:eastAsia="方正小标宋简体" w:cs="方正小标宋简体"/>
          <w:color w:val="auto"/>
          <w:szCs w:val="32"/>
        </w:rPr>
      </w:pPr>
      <w:bookmarkStart w:id="59" w:name="_Toc22930"/>
      <w:r>
        <w:rPr>
          <w:rFonts w:hint="eastAsia" w:ascii="黑体" w:hAnsi="黑体" w:eastAsia="黑体" w:cs="黑体"/>
          <w:color w:val="auto"/>
          <w:szCs w:val="32"/>
        </w:rPr>
        <w:t>附件</w:t>
      </w:r>
      <w:r>
        <w:rPr>
          <w:rFonts w:ascii="黑体" w:hAnsi="黑体" w:eastAsia="黑体" w:cs="黑体"/>
          <w:color w:val="auto"/>
          <w:szCs w:val="32"/>
        </w:rPr>
        <w:t>1</w:t>
      </w:r>
      <w:bookmarkEnd w:id="59"/>
    </w:p>
    <w:p>
      <w:pPr>
        <w:spacing w:line="580" w:lineRule="exact"/>
        <w:jc w:val="center"/>
        <w:rPr>
          <w:rFonts w:ascii="方正小标宋简体" w:hAnsi="方正小标宋简体" w:eastAsia="方正小标宋简体" w:cs="方正小标宋简体"/>
          <w:color w:val="auto"/>
          <w:sz w:val="44"/>
          <w:szCs w:val="44"/>
        </w:rPr>
      </w:pPr>
    </w:p>
    <w:p>
      <w:pPr>
        <w:spacing w:line="600" w:lineRule="exact"/>
        <w:jc w:val="center"/>
        <w:rPr>
          <w:rFonts w:ascii="方正小标宋简体" w:hAnsi="宋体" w:eastAsia="方正小标宋简体"/>
          <w:color w:val="auto"/>
          <w:kern w:val="0"/>
          <w:sz w:val="40"/>
          <w:szCs w:val="44"/>
        </w:rPr>
      </w:pPr>
      <w:r>
        <w:rPr>
          <w:rFonts w:hint="eastAsia" w:ascii="方正小标宋简体" w:hAnsi="宋体" w:eastAsia="方正小标宋简体"/>
          <w:color w:val="auto"/>
          <w:kern w:val="0"/>
          <w:sz w:val="40"/>
          <w:szCs w:val="44"/>
        </w:rPr>
        <w:t>自贡市自流井区</w:t>
      </w:r>
      <w:r>
        <w:rPr>
          <w:rFonts w:hint="eastAsia" w:ascii="方正小标宋简体" w:hAnsi="宋体" w:eastAsia="方正小标宋简体"/>
          <w:color w:val="auto"/>
          <w:kern w:val="0"/>
          <w:sz w:val="40"/>
          <w:szCs w:val="44"/>
          <w:lang w:eastAsia="zh-CN"/>
        </w:rPr>
        <w:t>荣边</w:t>
      </w:r>
      <w:r>
        <w:rPr>
          <w:rFonts w:hint="eastAsia" w:ascii="方正小标宋简体" w:hAnsi="宋体" w:eastAsia="方正小标宋简体"/>
          <w:color w:val="auto"/>
          <w:kern w:val="0"/>
          <w:sz w:val="40"/>
          <w:szCs w:val="44"/>
        </w:rPr>
        <w:t>镇中心小学校</w:t>
      </w:r>
    </w:p>
    <w:p>
      <w:pPr>
        <w:spacing w:line="600" w:lineRule="exact"/>
        <w:jc w:val="center"/>
        <w:rPr>
          <w:rFonts w:ascii="方正小标宋简体" w:hAnsi="宋体" w:eastAsia="方正小标宋简体"/>
          <w:color w:val="auto"/>
          <w:kern w:val="0"/>
          <w:sz w:val="40"/>
          <w:szCs w:val="44"/>
          <w:lang w:val="zh-CN"/>
        </w:rPr>
      </w:pPr>
      <w:r>
        <w:rPr>
          <w:rFonts w:ascii="方正小标宋简体" w:hAnsi="宋体" w:eastAsia="方正小标宋简体"/>
          <w:color w:val="auto"/>
          <w:kern w:val="0"/>
          <w:sz w:val="40"/>
          <w:szCs w:val="44"/>
        </w:rPr>
        <w:t>2020</w:t>
      </w:r>
      <w:r>
        <w:rPr>
          <w:rFonts w:hint="eastAsia" w:ascii="方正小标宋简体" w:hAnsi="宋体" w:eastAsia="方正小标宋简体"/>
          <w:color w:val="auto"/>
          <w:kern w:val="0"/>
          <w:sz w:val="40"/>
          <w:szCs w:val="44"/>
        </w:rPr>
        <w:t>年部门</w:t>
      </w:r>
      <w:r>
        <w:rPr>
          <w:rFonts w:hint="eastAsia" w:ascii="方正小标宋简体" w:hAnsi="宋体" w:eastAsia="方正小标宋简体"/>
          <w:color w:val="auto"/>
          <w:kern w:val="0"/>
          <w:sz w:val="40"/>
          <w:szCs w:val="44"/>
          <w:lang w:val="zh-CN"/>
        </w:rPr>
        <w:t>整体支出绩效评价报告</w:t>
      </w:r>
    </w:p>
    <w:p>
      <w:pPr>
        <w:widowControl/>
        <w:adjustRightInd w:val="0"/>
        <w:snapToGrid w:val="0"/>
        <w:spacing w:line="580" w:lineRule="exact"/>
        <w:ind w:firstLine="480" w:firstLineChars="200"/>
        <w:contextualSpacing/>
        <w:jc w:val="left"/>
        <w:rPr>
          <w:rFonts w:ascii="黑体" w:hAnsi="宋体" w:eastAsia="黑体" w:cs="宋体"/>
          <w:color w:val="auto"/>
          <w:kern w:val="0"/>
          <w:sz w:val="24"/>
          <w:szCs w:val="32"/>
          <w:shd w:val="clear" w:color="auto" w:fill="FFFFFF"/>
        </w:rPr>
      </w:pPr>
    </w:p>
    <w:p>
      <w:pPr>
        <w:widowControl/>
        <w:adjustRightInd w:val="0"/>
        <w:snapToGrid w:val="0"/>
        <w:spacing w:line="580" w:lineRule="exact"/>
        <w:ind w:firstLine="640" w:firstLineChars="200"/>
        <w:contextualSpacing/>
        <w:jc w:val="left"/>
        <w:rPr>
          <w:rFonts w:ascii="黑体" w:hAnsi="宋体" w:eastAsia="黑体" w:cs="宋体"/>
          <w:color w:val="auto"/>
          <w:kern w:val="0"/>
          <w:szCs w:val="32"/>
          <w:shd w:val="clear" w:color="auto" w:fill="FFFFFF"/>
          <w:lang w:val="zh-CN"/>
        </w:rPr>
      </w:pPr>
      <w:r>
        <w:rPr>
          <w:rFonts w:hint="eastAsia" w:ascii="黑体" w:hAnsi="宋体" w:eastAsia="黑体" w:cs="宋体"/>
          <w:color w:val="auto"/>
          <w:kern w:val="0"/>
          <w:szCs w:val="32"/>
          <w:shd w:val="clear" w:color="auto" w:fill="FFFFFF"/>
        </w:rPr>
        <w:t>一、</w:t>
      </w:r>
      <w:r>
        <w:rPr>
          <w:rFonts w:hint="eastAsia" w:ascii="黑体" w:hAnsi="宋体" w:eastAsia="黑体" w:cs="宋体"/>
          <w:color w:val="auto"/>
          <w:kern w:val="0"/>
          <w:szCs w:val="32"/>
          <w:shd w:val="clear" w:color="auto" w:fill="FFFFFF"/>
          <w:lang w:val="zh-CN"/>
        </w:rPr>
        <w:t>部门（单位）概况</w:t>
      </w:r>
    </w:p>
    <w:p>
      <w:pPr>
        <w:snapToGrid w:val="0"/>
        <w:spacing w:line="300" w:lineRule="auto"/>
        <w:ind w:firstLine="640" w:firstLineChars="200"/>
        <w:rPr>
          <w:rFonts w:ascii="Times New Roman" w:hAnsi="Times New Roman" w:eastAsia="黑体" w:cs="Times New Roman"/>
          <w:color w:val="auto"/>
          <w:sz w:val="32"/>
          <w:szCs w:val="32"/>
        </w:rPr>
      </w:pPr>
      <w:r>
        <w:rPr>
          <w:rFonts w:hint="eastAsia" w:eastAsia="黑体" w:cs="Times New Roman"/>
          <w:color w:val="auto"/>
          <w:sz w:val="32"/>
          <w:szCs w:val="32"/>
          <w:lang w:eastAsia="zh-CN"/>
        </w:rPr>
        <w:t>（</w:t>
      </w:r>
      <w:r>
        <w:rPr>
          <w:rFonts w:ascii="Times New Roman" w:hAnsi="Times New Roman" w:eastAsia="黑体" w:cs="Times New Roman"/>
          <w:color w:val="auto"/>
          <w:sz w:val="32"/>
          <w:szCs w:val="32"/>
        </w:rPr>
        <w:t>一</w:t>
      </w:r>
      <w:r>
        <w:rPr>
          <w:rFonts w:hint="eastAsia" w:eastAsia="黑体" w:cs="Times New Roman"/>
          <w:color w:val="auto"/>
          <w:sz w:val="32"/>
          <w:szCs w:val="32"/>
          <w:lang w:eastAsia="zh-CN"/>
        </w:rPr>
        <w:t>）</w:t>
      </w:r>
      <w:r>
        <w:rPr>
          <w:rFonts w:ascii="Times New Roman" w:hAnsi="Times New Roman" w:eastAsia="黑体" w:cs="Times New Roman"/>
          <w:color w:val="auto"/>
          <w:sz w:val="32"/>
          <w:szCs w:val="32"/>
        </w:rPr>
        <w:t>、机构名称</w:t>
      </w:r>
    </w:p>
    <w:p>
      <w:pPr>
        <w:snapToGrid w:val="0"/>
        <w:spacing w:line="300" w:lineRule="auto"/>
        <w:ind w:firstLine="63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自贡市自流井区荣边镇中心小学校</w:t>
      </w:r>
    </w:p>
    <w:p>
      <w:pPr>
        <w:snapToGrid w:val="0"/>
        <w:spacing w:line="300" w:lineRule="auto"/>
        <w:ind w:firstLine="640" w:firstLineChars="200"/>
        <w:rPr>
          <w:rFonts w:ascii="Times New Roman" w:hAnsi="Times New Roman" w:eastAsia="黑体" w:cs="Times New Roman"/>
          <w:color w:val="auto"/>
          <w:sz w:val="32"/>
          <w:szCs w:val="32"/>
        </w:rPr>
      </w:pPr>
      <w:r>
        <w:rPr>
          <w:rFonts w:hint="eastAsia" w:eastAsia="黑体" w:cs="Times New Roman"/>
          <w:color w:val="auto"/>
          <w:sz w:val="32"/>
          <w:szCs w:val="32"/>
          <w:lang w:eastAsia="zh-CN"/>
        </w:rPr>
        <w:t>（</w:t>
      </w:r>
      <w:r>
        <w:rPr>
          <w:rFonts w:ascii="Times New Roman" w:hAnsi="Times New Roman" w:eastAsia="黑体" w:cs="Times New Roman"/>
          <w:color w:val="auto"/>
          <w:sz w:val="32"/>
          <w:szCs w:val="32"/>
        </w:rPr>
        <w:t>二</w:t>
      </w:r>
      <w:r>
        <w:rPr>
          <w:rFonts w:hint="eastAsia" w:eastAsia="黑体" w:cs="Times New Roman"/>
          <w:color w:val="auto"/>
          <w:sz w:val="32"/>
          <w:szCs w:val="32"/>
          <w:lang w:eastAsia="zh-CN"/>
        </w:rPr>
        <w:t>）</w:t>
      </w:r>
      <w:r>
        <w:rPr>
          <w:rFonts w:ascii="Times New Roman" w:hAnsi="Times New Roman" w:eastAsia="黑体" w:cs="Times New Roman"/>
          <w:color w:val="auto"/>
          <w:sz w:val="32"/>
          <w:szCs w:val="32"/>
        </w:rPr>
        <w:t>、隶属关系</w:t>
      </w:r>
    </w:p>
    <w:p>
      <w:pPr>
        <w:snapToGrid w:val="0"/>
        <w:spacing w:line="300" w:lineRule="auto"/>
        <w:ind w:firstLine="63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为自流井区教育局所属事业单位。</w:t>
      </w:r>
    </w:p>
    <w:p>
      <w:pPr>
        <w:snapToGrid w:val="0"/>
        <w:spacing w:line="300" w:lineRule="auto"/>
        <w:ind w:firstLine="640" w:firstLineChars="200"/>
        <w:rPr>
          <w:rFonts w:ascii="Times New Roman" w:hAnsi="Times New Roman" w:eastAsia="黑体" w:cs="Times New Roman"/>
          <w:color w:val="auto"/>
          <w:sz w:val="32"/>
          <w:szCs w:val="32"/>
        </w:rPr>
      </w:pPr>
      <w:r>
        <w:rPr>
          <w:rFonts w:hint="eastAsia" w:eastAsia="黑体" w:cs="Times New Roman"/>
          <w:color w:val="auto"/>
          <w:sz w:val="32"/>
          <w:szCs w:val="32"/>
          <w:lang w:eastAsia="zh-CN"/>
        </w:rPr>
        <w:t>（</w:t>
      </w:r>
      <w:r>
        <w:rPr>
          <w:rFonts w:ascii="Times New Roman" w:hAnsi="Times New Roman" w:eastAsia="黑体" w:cs="Times New Roman"/>
          <w:color w:val="auto"/>
          <w:sz w:val="32"/>
          <w:szCs w:val="32"/>
        </w:rPr>
        <w:t>三</w:t>
      </w:r>
      <w:r>
        <w:rPr>
          <w:rFonts w:hint="eastAsia" w:eastAsia="黑体" w:cs="Times New Roman"/>
          <w:color w:val="auto"/>
          <w:sz w:val="32"/>
          <w:szCs w:val="32"/>
          <w:lang w:eastAsia="zh-CN"/>
        </w:rPr>
        <w:t>）</w:t>
      </w:r>
      <w:r>
        <w:rPr>
          <w:rFonts w:ascii="Times New Roman" w:hAnsi="Times New Roman" w:eastAsia="黑体" w:cs="Times New Roman"/>
          <w:color w:val="auto"/>
          <w:sz w:val="32"/>
          <w:szCs w:val="32"/>
        </w:rPr>
        <w:t>、机构类别</w:t>
      </w:r>
    </w:p>
    <w:p>
      <w:pPr>
        <w:snapToGrid w:val="0"/>
        <w:spacing w:line="300" w:lineRule="auto"/>
        <w:ind w:firstLine="630"/>
        <w:rPr>
          <w:rFonts w:ascii="Times New Roman" w:hAnsi="Times New Roman" w:eastAsia="楷体_GB2312" w:cs="Times New Roman"/>
          <w:color w:val="auto"/>
          <w:sz w:val="32"/>
          <w:szCs w:val="32"/>
        </w:rPr>
      </w:pPr>
      <w:r>
        <w:rPr>
          <w:rFonts w:ascii="Times New Roman" w:hAnsi="Times New Roman" w:eastAsia="仿宋_GB2312" w:cs="Times New Roman"/>
          <w:color w:val="auto"/>
          <w:sz w:val="32"/>
          <w:szCs w:val="32"/>
        </w:rPr>
        <w:t>公益一类</w:t>
      </w:r>
    </w:p>
    <w:p>
      <w:pPr>
        <w:snapToGrid w:val="0"/>
        <w:spacing w:line="300" w:lineRule="auto"/>
        <w:ind w:firstLine="640" w:firstLineChars="200"/>
        <w:rPr>
          <w:rFonts w:ascii="Times New Roman" w:hAnsi="Times New Roman" w:eastAsia="黑体" w:cs="Times New Roman"/>
          <w:color w:val="auto"/>
          <w:sz w:val="32"/>
          <w:szCs w:val="32"/>
        </w:rPr>
      </w:pPr>
      <w:r>
        <w:rPr>
          <w:rFonts w:hint="eastAsia" w:eastAsia="黑体" w:cs="Times New Roman"/>
          <w:color w:val="auto"/>
          <w:sz w:val="32"/>
          <w:szCs w:val="32"/>
          <w:lang w:eastAsia="zh-CN"/>
        </w:rPr>
        <w:t>（</w:t>
      </w:r>
      <w:r>
        <w:rPr>
          <w:rFonts w:ascii="Times New Roman" w:hAnsi="Times New Roman" w:eastAsia="黑体" w:cs="Times New Roman"/>
          <w:color w:val="auto"/>
          <w:sz w:val="32"/>
          <w:szCs w:val="32"/>
        </w:rPr>
        <w:t>四</w:t>
      </w:r>
      <w:r>
        <w:rPr>
          <w:rFonts w:hint="eastAsia" w:eastAsia="黑体" w:cs="Times New Roman"/>
          <w:color w:val="auto"/>
          <w:sz w:val="32"/>
          <w:szCs w:val="32"/>
          <w:lang w:eastAsia="zh-CN"/>
        </w:rPr>
        <w:t>）</w:t>
      </w:r>
      <w:r>
        <w:rPr>
          <w:rFonts w:ascii="Times New Roman" w:hAnsi="Times New Roman" w:eastAsia="黑体" w:cs="Times New Roman"/>
          <w:color w:val="auto"/>
          <w:sz w:val="32"/>
          <w:szCs w:val="32"/>
        </w:rPr>
        <w:t>、主要职责</w:t>
      </w:r>
    </w:p>
    <w:p>
      <w:pPr>
        <w:snapToGrid w:val="0"/>
        <w:spacing w:line="300" w:lineRule="auto"/>
        <w:ind w:left="640" w:leftChars="200" w:firstLine="320" w:firstLineChars="1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负责实施小学义务教育促进基础教育发展，小学学历教育（相关社会服务）；</w:t>
      </w:r>
    </w:p>
    <w:p>
      <w:pPr>
        <w:snapToGrid w:val="0"/>
        <w:spacing w:line="300" w:lineRule="auto"/>
        <w:ind w:firstLine="640" w:firstLineChars="200"/>
        <w:rPr>
          <w:rFonts w:ascii="Times New Roman" w:hAnsi="Times New Roman" w:eastAsia="黑体" w:cs="Times New Roman"/>
          <w:color w:val="auto"/>
          <w:sz w:val="32"/>
          <w:szCs w:val="32"/>
        </w:rPr>
      </w:pPr>
      <w:r>
        <w:rPr>
          <w:rFonts w:hint="eastAsia" w:eastAsia="黑体" w:cs="Times New Roman"/>
          <w:color w:val="auto"/>
          <w:sz w:val="32"/>
          <w:szCs w:val="32"/>
          <w:lang w:eastAsia="zh-CN"/>
        </w:rPr>
        <w:t>（</w:t>
      </w:r>
      <w:r>
        <w:rPr>
          <w:rFonts w:ascii="Times New Roman" w:hAnsi="Times New Roman" w:eastAsia="黑体" w:cs="Times New Roman"/>
          <w:color w:val="auto"/>
          <w:sz w:val="32"/>
          <w:szCs w:val="32"/>
        </w:rPr>
        <w:t>五</w:t>
      </w:r>
      <w:r>
        <w:rPr>
          <w:rFonts w:hint="eastAsia" w:eastAsia="黑体" w:cs="Times New Roman"/>
          <w:color w:val="auto"/>
          <w:sz w:val="32"/>
          <w:szCs w:val="32"/>
          <w:lang w:eastAsia="zh-CN"/>
        </w:rPr>
        <w:t>）</w:t>
      </w:r>
      <w:r>
        <w:rPr>
          <w:rFonts w:ascii="Times New Roman" w:hAnsi="Times New Roman" w:eastAsia="黑体" w:cs="Times New Roman"/>
          <w:color w:val="auto"/>
          <w:sz w:val="32"/>
          <w:szCs w:val="32"/>
        </w:rPr>
        <w:t>、人员编制和领导职数</w:t>
      </w:r>
    </w:p>
    <w:p>
      <w:pPr>
        <w:snapToGrid w:val="0"/>
        <w:spacing w:line="300" w:lineRule="auto"/>
        <w:ind w:firstLine="630"/>
        <w:rPr>
          <w:rFonts w:ascii="Times New Roman" w:hAnsi="Times New Roman" w:eastAsia="仿宋_GB2312" w:cs="Times New Roman"/>
          <w:color w:val="auto"/>
          <w:sz w:val="32"/>
          <w:szCs w:val="32"/>
        </w:rPr>
      </w:pPr>
      <w:r>
        <w:rPr>
          <w:rFonts w:hint="eastAsia" w:eastAsia="楷体_GB2312" w:cs="Times New Roman"/>
          <w:color w:val="auto"/>
          <w:sz w:val="32"/>
          <w:szCs w:val="32"/>
          <w:lang w:val="en-US" w:eastAsia="zh-CN"/>
        </w:rPr>
        <w:t>1.</w:t>
      </w:r>
      <w:r>
        <w:rPr>
          <w:rFonts w:ascii="Times New Roman" w:hAnsi="Times New Roman" w:eastAsia="楷体_GB2312" w:cs="Times New Roman"/>
          <w:color w:val="auto"/>
          <w:sz w:val="32"/>
          <w:szCs w:val="32"/>
        </w:rPr>
        <w:t>人员编制。</w:t>
      </w:r>
      <w:r>
        <w:rPr>
          <w:rFonts w:ascii="Times New Roman" w:hAnsi="Times New Roman" w:eastAsia="仿宋_GB2312" w:cs="Times New Roman"/>
          <w:color w:val="auto"/>
          <w:sz w:val="32"/>
          <w:szCs w:val="32"/>
        </w:rPr>
        <w:t>核定事业编制26名。</w:t>
      </w:r>
    </w:p>
    <w:p>
      <w:pPr>
        <w:snapToGrid w:val="0"/>
        <w:spacing w:line="300" w:lineRule="auto"/>
        <w:ind w:firstLine="630"/>
        <w:rPr>
          <w:rFonts w:ascii="Times New Roman" w:hAnsi="Times New Roman" w:eastAsia="仿宋_GB2312" w:cs="Times New Roman"/>
          <w:color w:val="auto"/>
          <w:sz w:val="32"/>
          <w:szCs w:val="32"/>
        </w:rPr>
      </w:pPr>
      <w:r>
        <w:rPr>
          <w:rFonts w:hint="eastAsia" w:eastAsia="楷体_GB2312" w:cs="Times New Roman"/>
          <w:color w:val="auto"/>
          <w:sz w:val="32"/>
          <w:szCs w:val="32"/>
          <w:lang w:val="en-US" w:eastAsia="zh-CN"/>
        </w:rPr>
        <w:t>2.</w:t>
      </w:r>
      <w:r>
        <w:rPr>
          <w:rFonts w:ascii="Times New Roman" w:hAnsi="Times New Roman" w:eastAsia="楷体_GB2312" w:cs="Times New Roman"/>
          <w:color w:val="auto"/>
          <w:sz w:val="32"/>
          <w:szCs w:val="32"/>
        </w:rPr>
        <w:t>领导职数。</w:t>
      </w:r>
      <w:r>
        <w:rPr>
          <w:rFonts w:ascii="Times New Roman" w:hAnsi="Times New Roman" w:eastAsia="仿宋_GB2312" w:cs="Times New Roman"/>
          <w:color w:val="auto"/>
          <w:sz w:val="32"/>
          <w:szCs w:val="32"/>
        </w:rPr>
        <w:t>核定自贡市自流井区荣边镇中心小学校领导职数3名，其中校长1名、副校长</w:t>
      </w:r>
      <w:r>
        <w:rPr>
          <w:rFonts w:hint="eastAsia" w:ascii="Times New Roman" w:hAnsi="Times New Roman" w:eastAsia="仿宋_GB2312" w:cs="Times New Roman"/>
          <w:color w:val="auto"/>
          <w:sz w:val="32"/>
          <w:szCs w:val="32"/>
        </w:rPr>
        <w:t>2</w:t>
      </w:r>
      <w:r>
        <w:rPr>
          <w:rFonts w:ascii="Times New Roman" w:hAnsi="Times New Roman" w:eastAsia="仿宋_GB2312" w:cs="Times New Roman"/>
          <w:color w:val="auto"/>
          <w:sz w:val="32"/>
          <w:szCs w:val="32"/>
        </w:rPr>
        <w:t>名。</w:t>
      </w:r>
    </w:p>
    <w:p>
      <w:pPr>
        <w:widowControl/>
        <w:adjustRightInd w:val="0"/>
        <w:snapToGrid w:val="0"/>
        <w:spacing w:line="580" w:lineRule="exact"/>
        <w:ind w:firstLine="640" w:firstLineChars="200"/>
        <w:contextualSpacing/>
        <w:jc w:val="left"/>
        <w:rPr>
          <w:rFonts w:ascii="黑体" w:hAnsi="宋体" w:eastAsia="黑体" w:cs="宋体"/>
          <w:color w:val="auto"/>
          <w:kern w:val="0"/>
          <w:szCs w:val="32"/>
          <w:shd w:val="clear" w:color="auto" w:fill="FFFFFF"/>
        </w:rPr>
      </w:pPr>
      <w:r>
        <w:rPr>
          <w:rFonts w:hint="eastAsia" w:ascii="黑体" w:hAnsi="宋体" w:eastAsia="黑体" w:cs="宋体"/>
          <w:color w:val="auto"/>
          <w:kern w:val="0"/>
          <w:szCs w:val="32"/>
          <w:shd w:val="clear" w:color="auto" w:fill="FFFFFF"/>
        </w:rPr>
        <w:t>二、部门财政资金收支情况</w:t>
      </w:r>
    </w:p>
    <w:p>
      <w:pPr>
        <w:widowControl/>
        <w:adjustRightInd w:val="0"/>
        <w:snapToGrid w:val="0"/>
        <w:spacing w:line="580" w:lineRule="exact"/>
        <w:ind w:firstLine="640" w:firstLineChars="200"/>
        <w:contextualSpacing/>
        <w:jc w:val="left"/>
        <w:rPr>
          <w:rFonts w:ascii="仿宋_GB2312" w:hAnsi="宋体" w:cs="宋体"/>
          <w:color w:val="auto"/>
          <w:kern w:val="0"/>
          <w:szCs w:val="32"/>
          <w:shd w:val="clear" w:color="auto" w:fill="FFFFFF"/>
          <w:lang w:val="zh-CN"/>
        </w:rPr>
      </w:pPr>
      <w:r>
        <w:rPr>
          <w:rFonts w:hint="eastAsia" w:ascii="仿宋_GB2312" w:hAnsi="宋体" w:cs="宋体"/>
          <w:color w:val="auto"/>
          <w:kern w:val="0"/>
          <w:szCs w:val="32"/>
          <w:shd w:val="clear" w:color="auto" w:fill="FFFFFF"/>
          <w:lang w:val="zh-CN"/>
        </w:rPr>
        <w:t>（一）部门财政资金收入情况。</w:t>
      </w:r>
    </w:p>
    <w:p>
      <w:pPr>
        <w:widowControl/>
        <w:adjustRightInd w:val="0"/>
        <w:snapToGrid w:val="0"/>
        <w:spacing w:line="580" w:lineRule="exact"/>
        <w:ind w:firstLine="640" w:firstLineChars="200"/>
        <w:contextualSpacing/>
        <w:jc w:val="left"/>
        <w:rPr>
          <w:rFonts w:ascii="仿宋_GB2312" w:hAnsi="宋体" w:cs="宋体"/>
          <w:color w:val="auto"/>
          <w:kern w:val="0"/>
          <w:szCs w:val="32"/>
          <w:shd w:val="clear" w:color="auto" w:fill="FFFFFF"/>
          <w:lang w:val="zh-CN"/>
        </w:rPr>
      </w:pPr>
      <w:r>
        <w:rPr>
          <w:rFonts w:ascii="仿宋" w:hAnsi="仿宋" w:eastAsia="仿宋"/>
          <w:color w:val="auto"/>
          <w:szCs w:val="32"/>
        </w:rPr>
        <w:t>20</w:t>
      </w:r>
      <w:r>
        <w:rPr>
          <w:rFonts w:hint="eastAsia" w:ascii="仿宋" w:hAnsi="仿宋" w:eastAsia="仿宋"/>
          <w:color w:val="auto"/>
          <w:szCs w:val="32"/>
        </w:rPr>
        <w:t>20年财政拨款收入</w:t>
      </w:r>
      <w:r>
        <w:rPr>
          <w:rFonts w:hint="eastAsia" w:ascii="仿宋" w:hAnsi="仿宋" w:eastAsia="仿宋"/>
          <w:color w:val="auto"/>
          <w:szCs w:val="32"/>
          <w:lang w:val="en-US" w:eastAsia="zh-CN"/>
        </w:rPr>
        <w:t>535.01</w:t>
      </w:r>
      <w:r>
        <w:rPr>
          <w:rFonts w:hint="eastAsia" w:ascii="仿宋" w:hAnsi="仿宋" w:eastAsia="仿宋"/>
          <w:color w:val="auto"/>
          <w:szCs w:val="32"/>
        </w:rPr>
        <w:t>万元，其中：一般公共预算财政拨款收入</w:t>
      </w:r>
      <w:r>
        <w:rPr>
          <w:rFonts w:hint="eastAsia" w:ascii="仿宋" w:hAnsi="仿宋" w:eastAsia="仿宋"/>
          <w:color w:val="auto"/>
          <w:szCs w:val="32"/>
          <w:lang w:val="en-US" w:eastAsia="zh-CN"/>
        </w:rPr>
        <w:t>531.91</w:t>
      </w:r>
      <w:r>
        <w:rPr>
          <w:rFonts w:hint="eastAsia" w:ascii="仿宋" w:hAnsi="仿宋" w:eastAsia="仿宋"/>
          <w:color w:val="auto"/>
          <w:szCs w:val="32"/>
        </w:rPr>
        <w:t>万元，占财政拨款收入合计的99.</w:t>
      </w:r>
      <w:r>
        <w:rPr>
          <w:rFonts w:hint="eastAsia" w:ascii="仿宋" w:hAnsi="仿宋" w:eastAsia="仿宋"/>
          <w:color w:val="auto"/>
          <w:szCs w:val="32"/>
          <w:lang w:val="en-US" w:eastAsia="zh-CN"/>
        </w:rPr>
        <w:t>42</w:t>
      </w:r>
      <w:r>
        <w:rPr>
          <w:rFonts w:ascii="仿宋" w:hAnsi="仿宋" w:eastAsia="仿宋"/>
          <w:color w:val="auto"/>
          <w:szCs w:val="32"/>
        </w:rPr>
        <w:t>%</w:t>
      </w:r>
      <w:r>
        <w:rPr>
          <w:rFonts w:hint="eastAsia" w:ascii="仿宋" w:hAnsi="仿宋" w:eastAsia="仿宋"/>
          <w:color w:val="auto"/>
          <w:szCs w:val="32"/>
        </w:rPr>
        <w:t>；政府性基金预算财政拨款收入</w:t>
      </w:r>
      <w:r>
        <w:rPr>
          <w:rFonts w:hint="eastAsia" w:ascii="仿宋" w:hAnsi="仿宋" w:eastAsia="仿宋"/>
          <w:color w:val="auto"/>
          <w:szCs w:val="32"/>
          <w:lang w:val="en-US" w:eastAsia="zh-CN"/>
        </w:rPr>
        <w:t>3.1</w:t>
      </w:r>
      <w:r>
        <w:rPr>
          <w:rFonts w:hint="eastAsia" w:ascii="仿宋" w:hAnsi="仿宋" w:eastAsia="仿宋"/>
          <w:color w:val="auto"/>
          <w:szCs w:val="32"/>
        </w:rPr>
        <w:t>万元，占财政拨款收入合计的0.</w:t>
      </w:r>
      <w:r>
        <w:rPr>
          <w:rFonts w:hint="eastAsia" w:ascii="仿宋" w:hAnsi="仿宋" w:eastAsia="仿宋"/>
          <w:color w:val="auto"/>
          <w:szCs w:val="32"/>
          <w:lang w:val="en-US" w:eastAsia="zh-CN"/>
        </w:rPr>
        <w:t>58</w:t>
      </w:r>
      <w:r>
        <w:rPr>
          <w:rFonts w:hint="eastAsia" w:ascii="仿宋" w:hAnsi="仿宋" w:eastAsia="仿宋"/>
          <w:color w:val="auto"/>
          <w:szCs w:val="32"/>
        </w:rPr>
        <w:t>%。</w:t>
      </w:r>
    </w:p>
    <w:p>
      <w:pPr>
        <w:widowControl/>
        <w:adjustRightInd w:val="0"/>
        <w:snapToGrid w:val="0"/>
        <w:spacing w:line="580" w:lineRule="exact"/>
        <w:ind w:firstLine="640" w:firstLineChars="200"/>
        <w:contextualSpacing/>
        <w:jc w:val="left"/>
        <w:rPr>
          <w:rFonts w:ascii="仿宋_GB2312" w:hAnsi="宋体" w:cs="宋体"/>
          <w:color w:val="auto"/>
          <w:kern w:val="0"/>
          <w:szCs w:val="32"/>
          <w:shd w:val="clear" w:color="auto" w:fill="FFFFFF"/>
          <w:lang w:val="zh-CN"/>
        </w:rPr>
      </w:pPr>
      <w:r>
        <w:rPr>
          <w:rFonts w:hint="eastAsia" w:ascii="仿宋_GB2312" w:hAnsi="宋体" w:cs="宋体"/>
          <w:color w:val="auto"/>
          <w:kern w:val="0"/>
          <w:szCs w:val="32"/>
          <w:shd w:val="clear" w:color="auto" w:fill="FFFFFF"/>
          <w:lang w:val="zh-CN"/>
        </w:rPr>
        <w:t>（二）部门财政资金支出情况。</w:t>
      </w:r>
    </w:p>
    <w:p>
      <w:pPr>
        <w:widowControl/>
        <w:adjustRightInd w:val="0"/>
        <w:snapToGrid w:val="0"/>
        <w:spacing w:line="580" w:lineRule="exact"/>
        <w:ind w:firstLine="640" w:firstLineChars="200"/>
        <w:contextualSpacing/>
        <w:jc w:val="left"/>
        <w:rPr>
          <w:rFonts w:ascii="仿宋_GB2312" w:hAnsi="宋体" w:cs="宋体"/>
          <w:color w:val="auto"/>
          <w:kern w:val="0"/>
          <w:szCs w:val="32"/>
          <w:shd w:val="clear" w:color="auto" w:fill="FFFFFF"/>
          <w:lang w:val="zh-CN"/>
        </w:rPr>
      </w:pPr>
      <w:r>
        <w:rPr>
          <w:rFonts w:ascii="仿宋" w:hAnsi="仿宋" w:eastAsia="仿宋"/>
          <w:color w:val="auto"/>
          <w:szCs w:val="32"/>
        </w:rPr>
        <w:t>20</w:t>
      </w:r>
      <w:r>
        <w:rPr>
          <w:rFonts w:hint="eastAsia" w:ascii="仿宋" w:hAnsi="仿宋" w:eastAsia="仿宋"/>
          <w:color w:val="auto"/>
          <w:szCs w:val="32"/>
        </w:rPr>
        <w:t>20年财政拨款支出</w:t>
      </w:r>
      <w:r>
        <w:rPr>
          <w:rFonts w:hint="eastAsia" w:ascii="仿宋" w:hAnsi="仿宋" w:eastAsia="仿宋"/>
          <w:color w:val="auto"/>
          <w:szCs w:val="32"/>
          <w:lang w:val="en-US" w:eastAsia="zh-CN"/>
        </w:rPr>
        <w:t>551.89</w:t>
      </w:r>
      <w:r>
        <w:rPr>
          <w:rFonts w:hint="eastAsia" w:ascii="仿宋" w:hAnsi="仿宋" w:eastAsia="仿宋"/>
          <w:color w:val="auto"/>
          <w:szCs w:val="32"/>
        </w:rPr>
        <w:t>万元，其中：一般公共预算财政拨款支出</w:t>
      </w:r>
      <w:r>
        <w:rPr>
          <w:rFonts w:hint="eastAsia" w:ascii="仿宋" w:hAnsi="仿宋" w:eastAsia="仿宋"/>
          <w:color w:val="auto"/>
          <w:szCs w:val="32"/>
          <w:lang w:val="en-US" w:eastAsia="zh-CN"/>
        </w:rPr>
        <w:t>549.39</w:t>
      </w:r>
      <w:r>
        <w:rPr>
          <w:rFonts w:hint="eastAsia" w:ascii="仿宋" w:hAnsi="仿宋" w:eastAsia="仿宋"/>
          <w:color w:val="auto"/>
          <w:szCs w:val="32"/>
        </w:rPr>
        <w:t>万元，占财政拨款支出合计的99.5</w:t>
      </w:r>
      <w:r>
        <w:rPr>
          <w:rFonts w:hint="eastAsia" w:ascii="仿宋" w:hAnsi="仿宋" w:eastAsia="仿宋"/>
          <w:color w:val="auto"/>
          <w:szCs w:val="32"/>
          <w:lang w:val="en-US" w:eastAsia="zh-CN"/>
        </w:rPr>
        <w:t>5</w:t>
      </w:r>
      <w:r>
        <w:rPr>
          <w:rFonts w:ascii="仿宋" w:hAnsi="仿宋" w:eastAsia="仿宋"/>
          <w:color w:val="auto"/>
          <w:szCs w:val="32"/>
        </w:rPr>
        <w:t>%</w:t>
      </w:r>
      <w:r>
        <w:rPr>
          <w:rFonts w:hint="eastAsia" w:ascii="仿宋" w:hAnsi="仿宋" w:eastAsia="仿宋"/>
          <w:color w:val="auto"/>
          <w:szCs w:val="32"/>
        </w:rPr>
        <w:t>；政府性基金预算财政拨款支出</w:t>
      </w:r>
      <w:r>
        <w:rPr>
          <w:rFonts w:hint="eastAsia" w:ascii="仿宋" w:hAnsi="仿宋" w:eastAsia="仿宋"/>
          <w:color w:val="auto"/>
          <w:szCs w:val="32"/>
          <w:lang w:val="en-US" w:eastAsia="zh-CN"/>
        </w:rPr>
        <w:t>2.5</w:t>
      </w:r>
      <w:r>
        <w:rPr>
          <w:rFonts w:hint="eastAsia" w:ascii="仿宋" w:hAnsi="仿宋" w:eastAsia="仿宋"/>
          <w:color w:val="auto"/>
          <w:szCs w:val="32"/>
        </w:rPr>
        <w:t>万元，占财政拨款支出合计的0.</w:t>
      </w:r>
      <w:r>
        <w:rPr>
          <w:rFonts w:hint="eastAsia" w:ascii="仿宋" w:hAnsi="仿宋" w:eastAsia="仿宋"/>
          <w:color w:val="auto"/>
          <w:szCs w:val="32"/>
          <w:lang w:val="en-US" w:eastAsia="zh-CN"/>
        </w:rPr>
        <w:t>45</w:t>
      </w:r>
      <w:r>
        <w:rPr>
          <w:rFonts w:hint="eastAsia" w:ascii="仿宋" w:hAnsi="仿宋" w:eastAsia="仿宋"/>
          <w:color w:val="auto"/>
          <w:szCs w:val="32"/>
        </w:rPr>
        <w:t>%。</w:t>
      </w:r>
    </w:p>
    <w:p>
      <w:pPr>
        <w:widowControl/>
        <w:adjustRightInd w:val="0"/>
        <w:snapToGrid w:val="0"/>
        <w:spacing w:line="580" w:lineRule="exact"/>
        <w:ind w:firstLine="640" w:firstLineChars="200"/>
        <w:contextualSpacing/>
        <w:jc w:val="left"/>
        <w:rPr>
          <w:rFonts w:ascii="黑体" w:hAnsi="宋体" w:eastAsia="黑体" w:cs="宋体"/>
          <w:color w:val="auto"/>
          <w:kern w:val="0"/>
          <w:szCs w:val="32"/>
          <w:shd w:val="clear" w:color="auto" w:fill="FFFFFF"/>
        </w:rPr>
      </w:pPr>
      <w:r>
        <w:rPr>
          <w:rFonts w:hint="eastAsia" w:ascii="黑体" w:hAnsi="宋体" w:eastAsia="黑体" w:cs="宋体"/>
          <w:color w:val="auto"/>
          <w:kern w:val="0"/>
          <w:szCs w:val="32"/>
          <w:shd w:val="clear" w:color="auto" w:fill="FFFFFF"/>
        </w:rPr>
        <w:t>三、部门整体预算绩效管理情况</w:t>
      </w:r>
    </w:p>
    <w:p>
      <w:pPr>
        <w:widowControl/>
        <w:adjustRightInd w:val="0"/>
        <w:snapToGrid w:val="0"/>
        <w:spacing w:line="580" w:lineRule="exact"/>
        <w:ind w:firstLine="640" w:firstLineChars="200"/>
        <w:contextualSpacing/>
        <w:jc w:val="left"/>
        <w:rPr>
          <w:rFonts w:ascii="仿宋_GB2312" w:hAnsi="宋体" w:cs="宋体"/>
          <w:color w:val="auto"/>
          <w:kern w:val="0"/>
          <w:szCs w:val="32"/>
          <w:shd w:val="clear" w:color="auto" w:fill="FFFFFF"/>
          <w:lang w:val="zh-CN"/>
        </w:rPr>
      </w:pPr>
      <w:r>
        <w:rPr>
          <w:rFonts w:hint="eastAsia" w:ascii="仿宋_GB2312" w:hAnsi="宋体" w:cs="宋体"/>
          <w:color w:val="auto"/>
          <w:kern w:val="0"/>
          <w:szCs w:val="32"/>
          <w:shd w:val="clear" w:color="auto" w:fill="FFFFFF"/>
          <w:lang w:val="zh-CN"/>
        </w:rPr>
        <w:t>（一）部门预算管理。</w:t>
      </w:r>
    </w:p>
    <w:p>
      <w:pPr>
        <w:widowControl/>
        <w:adjustRightInd w:val="0"/>
        <w:snapToGrid w:val="0"/>
        <w:spacing w:line="580" w:lineRule="exact"/>
        <w:ind w:firstLine="640" w:firstLineChars="200"/>
        <w:contextualSpacing/>
        <w:jc w:val="left"/>
        <w:rPr>
          <w:rFonts w:ascii="仿宋_GB2312" w:hAnsi="宋体" w:cs="宋体"/>
          <w:color w:val="auto"/>
          <w:kern w:val="0"/>
          <w:szCs w:val="32"/>
          <w:shd w:val="clear" w:color="auto" w:fill="FFFFFF"/>
          <w:lang w:val="zh-CN"/>
        </w:rPr>
      </w:pPr>
      <w:r>
        <w:rPr>
          <w:rFonts w:hint="eastAsia" w:ascii="仿宋_GB2312" w:hAnsi="宋体" w:cs="仿宋_GB2312"/>
          <w:color w:val="auto"/>
          <w:szCs w:val="32"/>
        </w:rPr>
        <w:t>绩效目标是预算编制的前提和基础，按照“费随事定”的原则。整体绩效目标涉及总金额</w:t>
      </w:r>
      <w:r>
        <w:rPr>
          <w:rFonts w:hint="eastAsia" w:ascii="仿宋_GB2312" w:hAnsi="宋体" w:cs="仿宋_GB2312"/>
          <w:color w:val="auto"/>
          <w:szCs w:val="32"/>
          <w:lang w:val="en-US" w:eastAsia="zh-CN"/>
        </w:rPr>
        <w:t>566.1</w:t>
      </w:r>
      <w:r>
        <w:rPr>
          <w:rFonts w:hint="eastAsia" w:ascii="仿宋_GB2312" w:hAnsi="宋体" w:cs="仿宋_GB2312"/>
          <w:color w:val="auto"/>
          <w:szCs w:val="32"/>
        </w:rPr>
        <w:t>万元，从完成的数量、成本、时效、质量等方面进行绩效评价，无违规执行预算的情况。</w:t>
      </w:r>
    </w:p>
    <w:p>
      <w:pPr>
        <w:widowControl/>
        <w:adjustRightInd w:val="0"/>
        <w:snapToGrid w:val="0"/>
        <w:spacing w:line="580" w:lineRule="exact"/>
        <w:ind w:firstLine="640" w:firstLineChars="200"/>
        <w:contextualSpacing/>
        <w:jc w:val="left"/>
        <w:rPr>
          <w:rFonts w:ascii="仿宋_GB2312" w:hAnsi="宋体" w:cs="宋体"/>
          <w:color w:val="auto"/>
          <w:kern w:val="0"/>
          <w:szCs w:val="32"/>
          <w:shd w:val="clear" w:color="auto" w:fill="FFFFFF"/>
          <w:lang w:val="zh-CN"/>
        </w:rPr>
      </w:pPr>
      <w:r>
        <w:rPr>
          <w:rFonts w:hint="eastAsia" w:ascii="仿宋_GB2312" w:hAnsi="宋体" w:cs="宋体"/>
          <w:color w:val="auto"/>
          <w:kern w:val="0"/>
          <w:szCs w:val="32"/>
          <w:shd w:val="clear" w:color="auto" w:fill="FFFFFF"/>
          <w:lang w:val="zh-CN"/>
        </w:rPr>
        <w:t>（二）结果应用情况。</w:t>
      </w:r>
    </w:p>
    <w:p>
      <w:pPr>
        <w:widowControl/>
        <w:adjustRightInd w:val="0"/>
        <w:snapToGrid w:val="0"/>
        <w:spacing w:line="580" w:lineRule="exact"/>
        <w:ind w:firstLine="640" w:firstLineChars="200"/>
        <w:contextualSpacing/>
        <w:jc w:val="left"/>
        <w:rPr>
          <w:rFonts w:ascii="仿宋_GB2312" w:hAnsi="宋体" w:cs="宋体"/>
          <w:color w:val="auto"/>
          <w:kern w:val="0"/>
          <w:szCs w:val="32"/>
          <w:shd w:val="clear" w:color="auto" w:fill="FFFFFF"/>
          <w:lang w:val="zh-CN"/>
        </w:rPr>
      </w:pPr>
      <w:r>
        <w:rPr>
          <w:rFonts w:hint="eastAsia" w:ascii="仿宋_GB2312" w:hAnsi="宋体" w:cs="宋体"/>
          <w:color w:val="auto"/>
          <w:kern w:val="0"/>
          <w:szCs w:val="32"/>
          <w:shd w:val="clear" w:color="auto" w:fill="FFFFFF"/>
          <w:lang w:val="zh-CN"/>
        </w:rPr>
        <w:t>无</w:t>
      </w:r>
    </w:p>
    <w:p>
      <w:pPr>
        <w:widowControl/>
        <w:adjustRightInd w:val="0"/>
        <w:snapToGrid w:val="0"/>
        <w:spacing w:line="580" w:lineRule="exact"/>
        <w:ind w:firstLine="640" w:firstLineChars="200"/>
        <w:contextualSpacing/>
        <w:jc w:val="left"/>
        <w:rPr>
          <w:rFonts w:ascii="黑体" w:hAnsi="宋体" w:eastAsia="黑体" w:cs="宋体"/>
          <w:color w:val="auto"/>
          <w:kern w:val="0"/>
          <w:szCs w:val="32"/>
          <w:shd w:val="clear" w:color="auto" w:fill="FFFFFF"/>
        </w:rPr>
      </w:pPr>
      <w:r>
        <w:rPr>
          <w:rFonts w:hint="eastAsia" w:ascii="黑体" w:hAnsi="宋体" w:eastAsia="黑体" w:cs="宋体"/>
          <w:color w:val="auto"/>
          <w:kern w:val="0"/>
          <w:szCs w:val="32"/>
          <w:shd w:val="clear" w:color="auto" w:fill="FFFFFF"/>
        </w:rPr>
        <w:t>四、评价结论及建议</w:t>
      </w:r>
    </w:p>
    <w:p>
      <w:pPr>
        <w:widowControl/>
        <w:adjustRightInd w:val="0"/>
        <w:snapToGrid w:val="0"/>
        <w:spacing w:line="580" w:lineRule="exact"/>
        <w:ind w:firstLine="640" w:firstLineChars="200"/>
        <w:contextualSpacing/>
        <w:jc w:val="left"/>
        <w:rPr>
          <w:rFonts w:ascii="仿宋_GB2312" w:hAnsi="宋体" w:cs="宋体"/>
          <w:color w:val="auto"/>
          <w:kern w:val="0"/>
          <w:szCs w:val="32"/>
          <w:shd w:val="clear" w:color="auto" w:fill="FFFFFF"/>
          <w:lang w:val="zh-CN"/>
        </w:rPr>
      </w:pPr>
      <w:r>
        <w:rPr>
          <w:rFonts w:hint="eastAsia" w:ascii="仿宋_GB2312" w:hAnsi="宋体" w:cs="宋体"/>
          <w:color w:val="auto"/>
          <w:kern w:val="0"/>
          <w:szCs w:val="32"/>
          <w:shd w:val="clear" w:color="auto" w:fill="FFFFFF"/>
          <w:lang w:val="zh-CN"/>
        </w:rPr>
        <w:t>（一）评价结论。</w:t>
      </w:r>
    </w:p>
    <w:p>
      <w:pPr>
        <w:widowControl/>
        <w:adjustRightInd w:val="0"/>
        <w:snapToGrid w:val="0"/>
        <w:spacing w:line="580" w:lineRule="exact"/>
        <w:ind w:firstLine="640" w:firstLineChars="200"/>
        <w:contextualSpacing/>
        <w:jc w:val="left"/>
        <w:rPr>
          <w:rFonts w:ascii="仿宋_GB2312" w:hAnsi="宋体" w:cs="宋体"/>
          <w:color w:val="auto"/>
          <w:kern w:val="0"/>
          <w:szCs w:val="32"/>
          <w:shd w:val="clear" w:color="auto" w:fill="FFFFFF"/>
          <w:lang w:val="zh-CN"/>
        </w:rPr>
      </w:pPr>
      <w:r>
        <w:rPr>
          <w:rFonts w:hint="eastAsia" w:ascii="仿宋_GB2312" w:hAnsi="宋体" w:cs="仿宋_GB2312"/>
          <w:color w:val="auto"/>
          <w:szCs w:val="32"/>
        </w:rPr>
        <w:t>达到了预期的社会效益、经济效益，完成预算的99.94%。</w:t>
      </w:r>
    </w:p>
    <w:p>
      <w:pPr>
        <w:widowControl/>
        <w:adjustRightInd w:val="0"/>
        <w:snapToGrid w:val="0"/>
        <w:spacing w:line="580" w:lineRule="exact"/>
        <w:ind w:firstLine="640" w:firstLineChars="200"/>
        <w:contextualSpacing/>
        <w:jc w:val="left"/>
        <w:rPr>
          <w:rFonts w:ascii="仿宋_GB2312" w:hAnsi="宋体" w:cs="宋体"/>
          <w:color w:val="auto"/>
          <w:kern w:val="0"/>
          <w:szCs w:val="32"/>
          <w:shd w:val="clear" w:color="auto" w:fill="FFFFFF"/>
          <w:lang w:val="zh-CN"/>
        </w:rPr>
      </w:pPr>
      <w:r>
        <w:rPr>
          <w:rFonts w:hint="eastAsia" w:ascii="仿宋_GB2312" w:hAnsi="宋体" w:cs="宋体"/>
          <w:color w:val="auto"/>
          <w:kern w:val="0"/>
          <w:szCs w:val="32"/>
          <w:shd w:val="clear" w:color="auto" w:fill="FFFFFF"/>
          <w:lang w:val="zh-CN"/>
        </w:rPr>
        <w:t>（二）存在问题。无</w:t>
      </w:r>
    </w:p>
    <w:p>
      <w:pPr>
        <w:widowControl/>
        <w:adjustRightInd w:val="0"/>
        <w:snapToGrid w:val="0"/>
        <w:spacing w:line="580" w:lineRule="exact"/>
        <w:ind w:firstLine="640" w:firstLineChars="200"/>
        <w:contextualSpacing/>
        <w:jc w:val="left"/>
        <w:rPr>
          <w:rFonts w:ascii="仿宋_GB2312" w:hAnsi="宋体" w:cs="宋体"/>
          <w:color w:val="auto"/>
          <w:kern w:val="0"/>
          <w:szCs w:val="32"/>
          <w:shd w:val="clear" w:color="auto" w:fill="FFFFFF"/>
          <w:lang w:val="zh-CN"/>
        </w:rPr>
      </w:pPr>
      <w:r>
        <w:rPr>
          <w:rFonts w:hint="eastAsia" w:ascii="仿宋_GB2312" w:hAnsi="宋体" w:cs="宋体"/>
          <w:color w:val="auto"/>
          <w:kern w:val="0"/>
          <w:szCs w:val="32"/>
          <w:shd w:val="clear" w:color="auto" w:fill="FFFFFF"/>
          <w:lang w:val="zh-CN"/>
        </w:rPr>
        <w:t>（三）改进建议。无</w:t>
      </w:r>
    </w:p>
    <w:p>
      <w:pPr>
        <w:spacing w:line="580" w:lineRule="exact"/>
        <w:ind w:firstLine="640" w:firstLineChars="200"/>
        <w:rPr>
          <w:rFonts w:ascii="仿宋_GB2312" w:hAnsi="仿宋_GB2312" w:cs="仿宋_GB2312"/>
          <w:color w:val="auto"/>
          <w:szCs w:val="32"/>
        </w:rPr>
      </w:pPr>
    </w:p>
    <w:p>
      <w:pPr>
        <w:spacing w:line="580" w:lineRule="exact"/>
        <w:ind w:firstLine="640" w:firstLineChars="200"/>
        <w:rPr>
          <w:rFonts w:ascii="仿宋_GB2312" w:hAnsi="仿宋_GB2312" w:cs="仿宋_GB2312"/>
          <w:color w:val="auto"/>
          <w:szCs w:val="32"/>
        </w:rPr>
      </w:pPr>
    </w:p>
    <w:p>
      <w:pPr>
        <w:spacing w:line="580" w:lineRule="exact"/>
        <w:ind w:firstLine="640" w:firstLineChars="200"/>
        <w:rPr>
          <w:rFonts w:ascii="仿宋_GB2312" w:hAnsi="仿宋_GB2312" w:cs="仿宋_GB2312"/>
          <w:color w:val="auto"/>
          <w:szCs w:val="32"/>
        </w:rPr>
      </w:pPr>
    </w:p>
    <w:p>
      <w:pPr>
        <w:spacing w:line="580" w:lineRule="exact"/>
        <w:outlineLvl w:val="1"/>
        <w:rPr>
          <w:rFonts w:hint="eastAsia" w:ascii="黑体" w:hAnsi="黑体" w:eastAsia="黑体" w:cs="黑体"/>
          <w:color w:val="auto"/>
          <w:szCs w:val="32"/>
        </w:rPr>
      </w:pPr>
      <w:bookmarkStart w:id="60" w:name="_Toc11602"/>
    </w:p>
    <w:p>
      <w:pPr>
        <w:spacing w:line="580" w:lineRule="exact"/>
        <w:outlineLvl w:val="1"/>
        <w:rPr>
          <w:rFonts w:ascii="仿宋_GB2312" w:hAnsi="仿宋_GB2312" w:cs="仿宋_GB2312"/>
          <w:color w:val="auto"/>
          <w:szCs w:val="32"/>
        </w:rPr>
      </w:pPr>
      <w:r>
        <w:rPr>
          <w:rFonts w:hint="eastAsia" w:ascii="黑体" w:hAnsi="黑体" w:eastAsia="黑体" w:cs="黑体"/>
          <w:color w:val="auto"/>
          <w:szCs w:val="32"/>
        </w:rPr>
        <w:t>附件</w:t>
      </w:r>
      <w:r>
        <w:rPr>
          <w:rFonts w:ascii="黑体" w:hAnsi="黑体" w:eastAsia="黑体" w:cs="黑体"/>
          <w:color w:val="auto"/>
          <w:szCs w:val="32"/>
        </w:rPr>
        <w:t>2</w:t>
      </w:r>
      <w:bookmarkEnd w:id="60"/>
    </w:p>
    <w:p>
      <w:pPr>
        <w:spacing w:line="580" w:lineRule="exact"/>
        <w:ind w:firstLine="640" w:firstLineChars="200"/>
        <w:rPr>
          <w:rFonts w:ascii="仿宋_GB2312" w:hAnsi="仿宋_GB2312" w:cs="仿宋_GB2312"/>
          <w:color w:val="auto"/>
          <w:szCs w:val="32"/>
        </w:rPr>
      </w:pPr>
    </w:p>
    <w:p>
      <w:pPr>
        <w:spacing w:line="600" w:lineRule="exact"/>
        <w:jc w:val="center"/>
        <w:rPr>
          <w:rFonts w:ascii="方正小标宋简体" w:hAnsi="宋体" w:eastAsia="方正小标宋简体"/>
          <w:color w:val="auto"/>
          <w:kern w:val="0"/>
          <w:sz w:val="44"/>
          <w:szCs w:val="44"/>
          <w:lang w:val="zh-CN"/>
        </w:rPr>
      </w:pPr>
      <w:r>
        <w:rPr>
          <w:rFonts w:hint="eastAsia" w:ascii="方正小标宋简体" w:hAnsi="宋体" w:eastAsia="方正小标宋简体"/>
          <w:color w:val="auto"/>
          <w:kern w:val="0"/>
          <w:sz w:val="44"/>
          <w:szCs w:val="44"/>
          <w:lang w:val="zh-CN"/>
        </w:rPr>
        <w:t>项目</w:t>
      </w:r>
      <w:r>
        <w:rPr>
          <w:rFonts w:ascii="方正小标宋简体" w:hAnsi="宋体" w:eastAsia="方正小标宋简体"/>
          <w:color w:val="auto"/>
          <w:kern w:val="0"/>
          <w:sz w:val="44"/>
          <w:szCs w:val="44"/>
        </w:rPr>
        <w:t>2020</w:t>
      </w:r>
      <w:r>
        <w:rPr>
          <w:rFonts w:hint="eastAsia" w:ascii="方正小标宋简体" w:hAnsi="宋体" w:eastAsia="方正小标宋简体"/>
          <w:color w:val="auto"/>
          <w:kern w:val="0"/>
          <w:sz w:val="44"/>
          <w:szCs w:val="44"/>
        </w:rPr>
        <w:t>年</w:t>
      </w:r>
      <w:r>
        <w:rPr>
          <w:rFonts w:hint="eastAsia" w:ascii="方正小标宋简体" w:hAnsi="宋体" w:eastAsia="方正小标宋简体"/>
          <w:color w:val="auto"/>
          <w:kern w:val="0"/>
          <w:sz w:val="44"/>
          <w:szCs w:val="44"/>
          <w:lang w:val="zh-CN"/>
        </w:rPr>
        <w:t>绩效评价报告</w:t>
      </w:r>
    </w:p>
    <w:p>
      <w:pPr>
        <w:spacing w:line="600" w:lineRule="exact"/>
        <w:rPr>
          <w:rFonts w:ascii="宋体"/>
          <w:color w:val="auto"/>
          <w:szCs w:val="32"/>
          <w:lang w:val="zh-CN"/>
        </w:rPr>
      </w:pPr>
    </w:p>
    <w:p>
      <w:pPr>
        <w:adjustRightInd w:val="0"/>
        <w:snapToGrid w:val="0"/>
        <w:spacing w:line="600" w:lineRule="exact"/>
        <w:ind w:firstLine="720"/>
        <w:rPr>
          <w:rFonts w:ascii="黑体" w:hAnsi="宋体" w:eastAsia="黑体"/>
          <w:color w:val="auto"/>
          <w:szCs w:val="32"/>
          <w:lang w:val="zh-CN"/>
        </w:rPr>
      </w:pPr>
      <w:r>
        <w:rPr>
          <w:rFonts w:hint="eastAsia" w:ascii="黑体" w:hAnsi="宋体" w:eastAsia="黑体"/>
          <w:color w:val="auto"/>
          <w:szCs w:val="32"/>
        </w:rPr>
        <w:t>一、</w:t>
      </w:r>
      <w:r>
        <w:rPr>
          <w:rFonts w:hint="eastAsia" w:ascii="黑体" w:hAnsi="宋体" w:eastAsia="黑体"/>
          <w:color w:val="auto"/>
          <w:szCs w:val="32"/>
          <w:lang w:val="zh-CN"/>
        </w:rPr>
        <w:t>项目概况</w:t>
      </w:r>
    </w:p>
    <w:p>
      <w:pPr>
        <w:adjustRightInd w:val="0"/>
        <w:snapToGrid w:val="0"/>
        <w:spacing w:line="600" w:lineRule="exact"/>
        <w:ind w:firstLine="720"/>
        <w:rPr>
          <w:rFonts w:ascii="楷体_GB2312" w:hAnsi="宋体" w:eastAsia="楷体_GB2312"/>
          <w:b/>
          <w:color w:val="auto"/>
          <w:szCs w:val="32"/>
          <w:lang w:val="zh-CN"/>
        </w:rPr>
      </w:pPr>
      <w:r>
        <w:rPr>
          <w:rFonts w:hint="eastAsia" w:ascii="楷体_GB2312" w:hAnsi="宋体" w:eastAsia="楷体_GB2312"/>
          <w:b/>
          <w:color w:val="auto"/>
          <w:szCs w:val="32"/>
          <w:lang w:val="zh-CN"/>
        </w:rPr>
        <w:t>（一）项目基本情况。</w:t>
      </w:r>
    </w:p>
    <w:p>
      <w:pPr>
        <w:adjustRightInd w:val="0"/>
        <w:snapToGrid w:val="0"/>
        <w:spacing w:line="600" w:lineRule="exact"/>
        <w:ind w:firstLine="720"/>
        <w:rPr>
          <w:rFonts w:hint="eastAsia" w:ascii="仿宋_GB2312" w:hAnsi="宋体"/>
          <w:color w:val="auto"/>
          <w:szCs w:val="32"/>
          <w:lang w:val="zh-CN"/>
        </w:rPr>
      </w:pPr>
      <w:r>
        <w:rPr>
          <w:rFonts w:ascii="仿宋_GB2312" w:hAnsi="宋体"/>
          <w:color w:val="auto"/>
          <w:szCs w:val="32"/>
          <w:lang w:val="zh-CN"/>
        </w:rPr>
        <w:t>1</w:t>
      </w:r>
      <w:r>
        <w:rPr>
          <w:rFonts w:hint="eastAsia" w:ascii="仿宋_GB2312" w:hAnsi="宋体"/>
          <w:color w:val="auto"/>
          <w:szCs w:val="32"/>
          <w:lang w:val="zh-CN"/>
        </w:rPr>
        <w:t>．少年宫作为农村小学的重要组成部分，丰富学生业余生活，教会学生许多的生活技能和专业技能发挥着重要的作用。</w:t>
      </w:r>
    </w:p>
    <w:p>
      <w:pPr>
        <w:adjustRightInd w:val="0"/>
        <w:snapToGrid w:val="0"/>
        <w:spacing w:line="600" w:lineRule="exact"/>
        <w:ind w:firstLine="720"/>
        <w:rPr>
          <w:rFonts w:ascii="仿宋_GB2312" w:hAnsi="宋体"/>
          <w:color w:val="auto"/>
          <w:szCs w:val="32"/>
          <w:lang w:val="zh-CN"/>
        </w:rPr>
      </w:pPr>
      <w:r>
        <w:rPr>
          <w:rFonts w:ascii="仿宋_GB2312" w:hAnsi="宋体"/>
          <w:color w:val="auto"/>
          <w:szCs w:val="32"/>
          <w:lang w:val="zh-CN"/>
        </w:rPr>
        <w:t>2</w:t>
      </w:r>
      <w:r>
        <w:rPr>
          <w:rFonts w:hint="eastAsia" w:ascii="仿宋_GB2312" w:hAnsi="宋体"/>
          <w:color w:val="auto"/>
          <w:szCs w:val="32"/>
          <w:lang w:val="zh-CN"/>
        </w:rPr>
        <w:t>．项目通过财政预算资金支持，主管部门人员支持才能正常的开展。</w:t>
      </w:r>
    </w:p>
    <w:p>
      <w:pPr>
        <w:adjustRightInd w:val="0"/>
        <w:snapToGrid w:val="0"/>
        <w:spacing w:line="600" w:lineRule="exact"/>
        <w:ind w:firstLine="720"/>
        <w:rPr>
          <w:rFonts w:ascii="仿宋_GB2312" w:hAnsi="宋体"/>
          <w:color w:val="auto"/>
          <w:szCs w:val="32"/>
          <w:lang w:val="zh-CN"/>
        </w:rPr>
      </w:pPr>
      <w:r>
        <w:rPr>
          <w:rFonts w:ascii="仿宋_GB2312" w:hAnsi="宋体"/>
          <w:color w:val="auto"/>
          <w:szCs w:val="32"/>
          <w:lang w:val="zh-CN"/>
        </w:rPr>
        <w:t>3</w:t>
      </w:r>
      <w:r>
        <w:rPr>
          <w:rFonts w:hint="eastAsia" w:ascii="仿宋_GB2312" w:hAnsi="宋体"/>
          <w:color w:val="auto"/>
          <w:szCs w:val="32"/>
          <w:lang w:val="zh-CN"/>
        </w:rPr>
        <w:t>．资金管理专款专用，不得借用，挪用，每年都要进行年度考核和检查。</w:t>
      </w:r>
    </w:p>
    <w:p>
      <w:pPr>
        <w:adjustRightInd w:val="0"/>
        <w:snapToGrid w:val="0"/>
        <w:spacing w:line="600" w:lineRule="exact"/>
        <w:rPr>
          <w:rFonts w:ascii="楷体_GB2312" w:hAnsi="宋体" w:eastAsia="楷体_GB2312"/>
          <w:b/>
          <w:color w:val="auto"/>
          <w:szCs w:val="32"/>
          <w:lang w:val="zh-CN"/>
        </w:rPr>
      </w:pPr>
      <w:r>
        <w:rPr>
          <w:rFonts w:hint="eastAsia" w:ascii="楷体_GB2312" w:hAnsi="宋体" w:eastAsia="楷体_GB2312"/>
          <w:b/>
          <w:color w:val="auto"/>
          <w:szCs w:val="32"/>
          <w:lang w:val="zh-CN"/>
        </w:rPr>
        <w:t>（二）项目绩效目标。</w:t>
      </w:r>
    </w:p>
    <w:p>
      <w:pPr>
        <w:adjustRightInd w:val="0"/>
        <w:snapToGrid w:val="0"/>
        <w:spacing w:line="600" w:lineRule="exact"/>
        <w:ind w:firstLine="720"/>
        <w:rPr>
          <w:rFonts w:hint="eastAsia" w:ascii="仿宋_GB2312" w:hAnsi="宋体"/>
          <w:color w:val="auto"/>
          <w:szCs w:val="32"/>
          <w:lang w:val="zh-CN"/>
        </w:rPr>
      </w:pPr>
      <w:r>
        <w:rPr>
          <w:rFonts w:ascii="仿宋_GB2312" w:hAnsi="宋体"/>
          <w:color w:val="auto"/>
          <w:szCs w:val="32"/>
          <w:lang w:val="zh-CN"/>
        </w:rPr>
        <w:t>1</w:t>
      </w:r>
      <w:r>
        <w:rPr>
          <w:rFonts w:hint="eastAsia" w:ascii="仿宋_GB2312" w:hAnsi="宋体"/>
          <w:color w:val="auto"/>
          <w:szCs w:val="32"/>
          <w:lang w:val="zh-CN"/>
        </w:rPr>
        <w:t>．按照乡村学校“乡村学校少年宫”建设要求，以满足青少年活动目的，以充分利用现有房屋器材，加强“乡村少年宫”硬件建设。</w:t>
      </w:r>
    </w:p>
    <w:p>
      <w:pPr>
        <w:adjustRightInd w:val="0"/>
        <w:snapToGrid w:val="0"/>
        <w:spacing w:line="600" w:lineRule="exact"/>
        <w:ind w:firstLine="720"/>
        <w:rPr>
          <w:rFonts w:ascii="仿宋_GB2312" w:hAnsi="宋体"/>
          <w:color w:val="auto"/>
          <w:szCs w:val="32"/>
          <w:lang w:val="zh-CN"/>
        </w:rPr>
      </w:pPr>
      <w:r>
        <w:rPr>
          <w:rFonts w:ascii="仿宋_GB2312" w:hAnsi="宋体"/>
          <w:color w:val="auto"/>
          <w:szCs w:val="32"/>
          <w:lang w:val="zh-CN"/>
        </w:rPr>
        <w:t>2</w:t>
      </w:r>
      <w:r>
        <w:rPr>
          <w:rFonts w:hint="eastAsia" w:ascii="仿宋_GB2312" w:hAnsi="宋体"/>
          <w:color w:val="auto"/>
          <w:szCs w:val="32"/>
          <w:lang w:val="zh-CN"/>
        </w:rPr>
        <w:t>．开展少年宫装备配置，学校在原有的基础上新增部分器材，六一儿童节和年底要开展两次的展览活动，师生的满意度必须达到</w:t>
      </w:r>
      <w:r>
        <w:rPr>
          <w:rFonts w:hint="eastAsia" w:ascii="仿宋_GB2312" w:hAnsi="宋体"/>
          <w:color w:val="auto"/>
          <w:szCs w:val="32"/>
          <w:lang w:val="en-US" w:eastAsia="zh-CN"/>
        </w:rPr>
        <w:t>90%以上。</w:t>
      </w:r>
    </w:p>
    <w:p>
      <w:pPr>
        <w:adjustRightInd w:val="0"/>
        <w:snapToGrid w:val="0"/>
        <w:spacing w:line="600" w:lineRule="exact"/>
        <w:ind w:firstLine="720"/>
        <w:rPr>
          <w:rFonts w:ascii="楷体_GB2312" w:hAnsi="宋体" w:eastAsia="楷体_GB2312"/>
          <w:b/>
          <w:color w:val="auto"/>
          <w:szCs w:val="32"/>
          <w:lang w:val="zh-CN"/>
        </w:rPr>
      </w:pPr>
      <w:r>
        <w:rPr>
          <w:rFonts w:hint="eastAsia" w:ascii="楷体_GB2312" w:hAnsi="宋体" w:eastAsia="楷体_GB2312"/>
          <w:b/>
          <w:color w:val="auto"/>
          <w:szCs w:val="32"/>
          <w:lang w:val="zh-CN"/>
        </w:rPr>
        <w:t>（三）项目自评步骤及方法。</w:t>
      </w:r>
    </w:p>
    <w:p>
      <w:pPr>
        <w:adjustRightInd w:val="0"/>
        <w:snapToGrid w:val="0"/>
        <w:spacing w:line="600" w:lineRule="exact"/>
        <w:ind w:firstLine="720"/>
        <w:rPr>
          <w:rFonts w:hint="eastAsia" w:ascii="仿宋_GB2312" w:hAnsi="宋体"/>
          <w:color w:val="auto"/>
          <w:szCs w:val="32"/>
          <w:lang w:val="zh-CN"/>
        </w:rPr>
      </w:pPr>
      <w:r>
        <w:rPr>
          <w:rFonts w:hint="eastAsia" w:ascii="仿宋_GB2312" w:hAnsi="宋体"/>
          <w:color w:val="auto"/>
          <w:szCs w:val="32"/>
          <w:lang w:val="zh-CN"/>
        </w:rPr>
        <w:t>项目绩效自评采用以校长为组长的评价小组，做到分工明确，责任到人。</w:t>
      </w:r>
    </w:p>
    <w:p>
      <w:pPr>
        <w:adjustRightInd w:val="0"/>
        <w:snapToGrid w:val="0"/>
        <w:spacing w:line="600" w:lineRule="exact"/>
        <w:ind w:firstLine="720"/>
        <w:rPr>
          <w:rFonts w:ascii="黑体" w:hAnsi="宋体" w:eastAsia="黑体"/>
          <w:color w:val="auto"/>
          <w:szCs w:val="32"/>
        </w:rPr>
      </w:pPr>
      <w:r>
        <w:rPr>
          <w:rFonts w:hint="eastAsia" w:ascii="黑体" w:hAnsi="宋体" w:eastAsia="黑体"/>
          <w:color w:val="auto"/>
          <w:szCs w:val="32"/>
        </w:rPr>
        <w:t>二、项目资金申报及使用情况</w:t>
      </w:r>
    </w:p>
    <w:p>
      <w:pPr>
        <w:adjustRightInd w:val="0"/>
        <w:snapToGrid w:val="0"/>
        <w:spacing w:line="600" w:lineRule="exact"/>
        <w:ind w:firstLine="720"/>
        <w:rPr>
          <w:rFonts w:ascii="楷体_GB2312" w:hAnsi="宋体" w:eastAsia="楷体_GB2312"/>
          <w:b/>
          <w:color w:val="auto"/>
          <w:szCs w:val="32"/>
          <w:lang w:val="zh-CN"/>
        </w:rPr>
      </w:pPr>
      <w:r>
        <w:rPr>
          <w:rFonts w:hint="eastAsia" w:ascii="楷体_GB2312" w:hAnsi="宋体" w:eastAsia="楷体_GB2312"/>
          <w:b/>
          <w:color w:val="auto"/>
          <w:szCs w:val="32"/>
          <w:lang w:val="zh-CN"/>
        </w:rPr>
        <w:t>（一）项目资金申报及批复情况。</w:t>
      </w:r>
    </w:p>
    <w:p>
      <w:pPr>
        <w:adjustRightInd w:val="0"/>
        <w:snapToGrid w:val="0"/>
        <w:spacing w:line="600" w:lineRule="exact"/>
        <w:ind w:firstLine="720"/>
        <w:rPr>
          <w:rFonts w:ascii="仿宋_GB2312" w:hAnsi="宋体"/>
          <w:color w:val="auto"/>
          <w:szCs w:val="32"/>
          <w:lang w:val="zh-CN"/>
        </w:rPr>
      </w:pPr>
      <w:r>
        <w:rPr>
          <w:rFonts w:hint="eastAsia" w:ascii="仿宋_GB2312" w:hAnsi="宋体"/>
          <w:color w:val="auto"/>
          <w:szCs w:val="32"/>
          <w:lang w:val="zh-CN"/>
        </w:rPr>
        <w:t>项目资金申报通过大平台录入，财政审核、最后单位支出的方式进行资金使用。</w:t>
      </w:r>
    </w:p>
    <w:p>
      <w:pPr>
        <w:adjustRightInd w:val="0"/>
        <w:snapToGrid w:val="0"/>
        <w:spacing w:line="600" w:lineRule="exact"/>
        <w:ind w:firstLine="720"/>
        <w:rPr>
          <w:rFonts w:ascii="仿宋_GB2312" w:hAnsi="宋体"/>
          <w:color w:val="auto"/>
          <w:szCs w:val="32"/>
          <w:lang w:val="zh-CN"/>
        </w:rPr>
      </w:pPr>
      <w:r>
        <w:rPr>
          <w:rFonts w:hint="eastAsia" w:ascii="楷体_GB2312" w:hAnsi="宋体" w:eastAsia="楷体_GB2312"/>
          <w:b/>
          <w:color w:val="auto"/>
          <w:szCs w:val="32"/>
          <w:lang w:val="zh-CN"/>
        </w:rPr>
        <w:t>（二）资金计划、到位及使用情况（可用表格形式反映）。</w:t>
      </w:r>
    </w:p>
    <w:p>
      <w:pPr>
        <w:adjustRightInd w:val="0"/>
        <w:snapToGrid w:val="0"/>
        <w:spacing w:line="600" w:lineRule="exact"/>
        <w:ind w:firstLine="720"/>
        <w:rPr>
          <w:rFonts w:hint="eastAsia" w:ascii="楷体_GB2312" w:hAnsi="宋体" w:eastAsia="楷体_GB2312"/>
          <w:color w:val="auto"/>
          <w:szCs w:val="32"/>
          <w:lang w:val="en-US" w:eastAsia="zh-CN"/>
        </w:rPr>
      </w:pPr>
      <w:r>
        <w:rPr>
          <w:rFonts w:ascii="楷体_GB2312" w:hAnsi="宋体" w:eastAsia="楷体_GB2312"/>
          <w:color w:val="auto"/>
          <w:szCs w:val="32"/>
          <w:lang w:val="zh-CN"/>
        </w:rPr>
        <w:t>1</w:t>
      </w:r>
      <w:r>
        <w:rPr>
          <w:rFonts w:hint="eastAsia" w:ascii="楷体_GB2312" w:hAnsi="宋体" w:eastAsia="楷体_GB2312"/>
          <w:color w:val="auto"/>
          <w:szCs w:val="32"/>
          <w:lang w:val="zh-CN"/>
        </w:rPr>
        <w:t>．资金计划。年初预算</w:t>
      </w:r>
      <w:r>
        <w:rPr>
          <w:rFonts w:hint="eastAsia" w:ascii="楷体_GB2312" w:hAnsi="宋体" w:eastAsia="楷体_GB2312"/>
          <w:color w:val="auto"/>
          <w:szCs w:val="32"/>
          <w:lang w:val="en-US" w:eastAsia="zh-CN"/>
        </w:rPr>
        <w:t>2万元</w:t>
      </w:r>
    </w:p>
    <w:p>
      <w:pPr>
        <w:adjustRightInd w:val="0"/>
        <w:snapToGrid w:val="0"/>
        <w:spacing w:line="600" w:lineRule="exact"/>
        <w:ind w:firstLine="720"/>
        <w:rPr>
          <w:rFonts w:hint="default" w:ascii="楷体_GB2312" w:hAnsi="宋体" w:eastAsia="楷体_GB2312"/>
          <w:color w:val="auto"/>
          <w:szCs w:val="32"/>
          <w:lang w:val="en-US" w:eastAsia="zh-CN"/>
        </w:rPr>
      </w:pPr>
      <w:r>
        <w:rPr>
          <w:rFonts w:ascii="楷体_GB2312" w:hAnsi="宋体" w:eastAsia="楷体_GB2312"/>
          <w:color w:val="auto"/>
          <w:szCs w:val="32"/>
          <w:lang w:val="zh-CN"/>
        </w:rPr>
        <w:t>2</w:t>
      </w:r>
      <w:r>
        <w:rPr>
          <w:rFonts w:hint="eastAsia" w:ascii="楷体_GB2312" w:hAnsi="宋体" w:eastAsia="楷体_GB2312"/>
          <w:color w:val="auto"/>
          <w:szCs w:val="32"/>
          <w:lang w:val="zh-CN"/>
        </w:rPr>
        <w:t>．资金到位。资金到位</w:t>
      </w:r>
      <w:r>
        <w:rPr>
          <w:rFonts w:hint="eastAsia" w:ascii="楷体_GB2312" w:hAnsi="宋体" w:eastAsia="楷体_GB2312"/>
          <w:color w:val="auto"/>
          <w:szCs w:val="32"/>
          <w:lang w:val="en-US" w:eastAsia="zh-CN"/>
        </w:rPr>
        <w:t>2万元，年底奖励0.6万元。</w:t>
      </w:r>
    </w:p>
    <w:p>
      <w:pPr>
        <w:adjustRightInd w:val="0"/>
        <w:snapToGrid w:val="0"/>
        <w:spacing w:line="600" w:lineRule="exact"/>
        <w:ind w:firstLine="720"/>
        <w:rPr>
          <w:rFonts w:hint="eastAsia" w:ascii="楷体_GB2312" w:hAnsi="宋体" w:eastAsia="楷体_GB2312"/>
          <w:color w:val="auto"/>
          <w:szCs w:val="32"/>
          <w:lang w:val="en-US" w:eastAsia="zh-CN"/>
        </w:rPr>
      </w:pPr>
      <w:r>
        <w:rPr>
          <w:rFonts w:ascii="楷体_GB2312" w:hAnsi="宋体" w:eastAsia="楷体_GB2312"/>
          <w:color w:val="auto"/>
          <w:szCs w:val="32"/>
          <w:lang w:val="zh-CN"/>
        </w:rPr>
        <w:t>3</w:t>
      </w:r>
      <w:r>
        <w:rPr>
          <w:rFonts w:hint="eastAsia" w:ascii="楷体_GB2312" w:hAnsi="宋体" w:eastAsia="楷体_GB2312"/>
          <w:color w:val="auto"/>
          <w:szCs w:val="32"/>
          <w:lang w:val="zh-CN"/>
        </w:rPr>
        <w:t>．资金使用。资金使用率</w:t>
      </w:r>
      <w:r>
        <w:rPr>
          <w:rFonts w:hint="eastAsia" w:ascii="楷体_GB2312" w:hAnsi="宋体" w:eastAsia="楷体_GB2312"/>
          <w:color w:val="auto"/>
          <w:szCs w:val="32"/>
          <w:lang w:val="en-US" w:eastAsia="zh-CN"/>
        </w:rPr>
        <w:t>100%</w:t>
      </w:r>
    </w:p>
    <w:p>
      <w:pPr>
        <w:adjustRightInd w:val="0"/>
        <w:snapToGrid w:val="0"/>
        <w:spacing w:line="600" w:lineRule="exact"/>
        <w:ind w:firstLine="720"/>
        <w:rPr>
          <w:rFonts w:ascii="楷体_GB2312" w:hAnsi="宋体" w:eastAsia="楷体_GB2312"/>
          <w:b/>
          <w:color w:val="auto"/>
          <w:szCs w:val="32"/>
          <w:lang w:val="zh-CN"/>
        </w:rPr>
      </w:pPr>
      <w:r>
        <w:rPr>
          <w:rFonts w:hint="eastAsia" w:ascii="楷体_GB2312" w:hAnsi="宋体" w:eastAsia="楷体_GB2312"/>
          <w:b/>
          <w:color w:val="auto"/>
          <w:szCs w:val="32"/>
          <w:lang w:val="zh-CN"/>
        </w:rPr>
        <w:t>（三）项目财务管理情况。</w:t>
      </w:r>
    </w:p>
    <w:p>
      <w:pPr>
        <w:adjustRightInd w:val="0"/>
        <w:snapToGrid w:val="0"/>
        <w:spacing w:line="600" w:lineRule="exact"/>
        <w:ind w:firstLine="720"/>
        <w:rPr>
          <w:rFonts w:ascii="仿宋_GB2312" w:hAnsi="宋体"/>
          <w:color w:val="auto"/>
          <w:szCs w:val="32"/>
          <w:lang w:val="zh-CN"/>
        </w:rPr>
      </w:pPr>
      <w:r>
        <w:rPr>
          <w:rFonts w:hint="eastAsia" w:ascii="仿宋_GB2312" w:hAnsi="宋体"/>
          <w:color w:val="auto"/>
          <w:szCs w:val="32"/>
          <w:lang w:val="zh-CN"/>
        </w:rPr>
        <w:t>总体评价项目实施单位财务管理制度健全，严格执行财务管理制度，账务处理及时，会计核算规范等。</w:t>
      </w:r>
    </w:p>
    <w:p>
      <w:pPr>
        <w:adjustRightInd w:val="0"/>
        <w:snapToGrid w:val="0"/>
        <w:spacing w:line="600" w:lineRule="exact"/>
        <w:ind w:firstLine="720"/>
        <w:rPr>
          <w:rFonts w:ascii="黑体" w:hAnsi="宋体" w:eastAsia="黑体"/>
          <w:color w:val="auto"/>
          <w:szCs w:val="32"/>
        </w:rPr>
      </w:pPr>
      <w:r>
        <w:rPr>
          <w:rFonts w:hint="eastAsia" w:ascii="黑体" w:hAnsi="宋体" w:eastAsia="黑体"/>
          <w:color w:val="auto"/>
          <w:szCs w:val="32"/>
        </w:rPr>
        <w:t>三、项目实施及管理情况</w:t>
      </w:r>
    </w:p>
    <w:p>
      <w:pPr>
        <w:adjustRightInd w:val="0"/>
        <w:snapToGrid w:val="0"/>
        <w:spacing w:line="600" w:lineRule="exact"/>
        <w:ind w:firstLine="720"/>
        <w:rPr>
          <w:rFonts w:ascii="仿宋_GB2312" w:hAnsi="宋体"/>
          <w:color w:val="auto"/>
          <w:szCs w:val="32"/>
          <w:lang w:val="zh-CN"/>
        </w:rPr>
      </w:pPr>
      <w:r>
        <w:rPr>
          <w:rFonts w:hint="eastAsia" w:ascii="仿宋_GB2312" w:hAnsi="宋体"/>
          <w:color w:val="auto"/>
          <w:szCs w:val="32"/>
          <w:lang w:val="zh-CN"/>
        </w:rPr>
        <w:t>结合项目组织实施管理办法，重点围绕以下内容进行分析评价，并对自评中发现的问题分析说明。</w:t>
      </w:r>
    </w:p>
    <w:p>
      <w:pPr>
        <w:numPr>
          <w:ilvl w:val="0"/>
          <w:numId w:val="7"/>
        </w:numPr>
        <w:adjustRightInd w:val="0"/>
        <w:snapToGrid w:val="0"/>
        <w:spacing w:line="600" w:lineRule="exact"/>
        <w:ind w:firstLine="720"/>
        <w:rPr>
          <w:rFonts w:hint="eastAsia" w:ascii="楷体_GB2312" w:hAnsi="宋体" w:eastAsia="楷体_GB2312"/>
          <w:b/>
          <w:color w:val="auto"/>
          <w:szCs w:val="32"/>
          <w:lang w:val="zh-CN"/>
        </w:rPr>
      </w:pPr>
      <w:r>
        <w:rPr>
          <w:rFonts w:hint="eastAsia" w:ascii="楷体_GB2312" w:hAnsi="宋体" w:eastAsia="楷体_GB2312"/>
          <w:b/>
          <w:color w:val="auto"/>
          <w:szCs w:val="32"/>
          <w:lang w:val="zh-CN"/>
        </w:rPr>
        <w:t>项目组织架构及实施流程。</w:t>
      </w:r>
    </w:p>
    <w:p>
      <w:pPr>
        <w:adjustRightInd w:val="0"/>
        <w:snapToGrid w:val="0"/>
        <w:spacing w:line="600" w:lineRule="exact"/>
        <w:ind w:firstLine="720"/>
        <w:rPr>
          <w:rFonts w:ascii="仿宋_GB2312" w:hAnsi="宋体"/>
          <w:color w:val="auto"/>
          <w:szCs w:val="32"/>
          <w:lang w:val="zh-CN"/>
        </w:rPr>
      </w:pPr>
      <w:r>
        <w:rPr>
          <w:rFonts w:hint="eastAsia" w:ascii="楷体_GB2312" w:hAnsi="宋体" w:eastAsia="楷体_GB2312"/>
          <w:b/>
          <w:color w:val="auto"/>
          <w:szCs w:val="32"/>
          <w:lang w:val="zh-CN"/>
        </w:rPr>
        <w:t>（二）项目管理情况。</w:t>
      </w:r>
      <w:r>
        <w:rPr>
          <w:rFonts w:hint="eastAsia" w:ascii="仿宋_GB2312" w:hAnsi="宋体"/>
          <w:color w:val="auto"/>
          <w:szCs w:val="32"/>
          <w:lang w:val="zh-CN"/>
        </w:rPr>
        <w:t>少年宫有相应的规章制度，分工明确，责任到人。</w:t>
      </w:r>
    </w:p>
    <w:p>
      <w:pPr>
        <w:adjustRightInd w:val="0"/>
        <w:snapToGrid w:val="0"/>
        <w:spacing w:line="600" w:lineRule="exact"/>
        <w:ind w:firstLine="720"/>
        <w:rPr>
          <w:rFonts w:hint="eastAsia" w:ascii="仿宋_GB2312" w:hAnsi="宋体"/>
          <w:color w:val="auto"/>
          <w:szCs w:val="32"/>
          <w:lang w:val="zh-CN"/>
        </w:rPr>
      </w:pPr>
      <w:r>
        <w:rPr>
          <w:rFonts w:hint="eastAsia" w:ascii="楷体_GB2312" w:hAnsi="宋体" w:eastAsia="楷体_GB2312"/>
          <w:b/>
          <w:color w:val="auto"/>
          <w:szCs w:val="32"/>
          <w:lang w:val="zh-CN"/>
        </w:rPr>
        <w:t>（三）项目监管情况。</w:t>
      </w:r>
      <w:r>
        <w:rPr>
          <w:rFonts w:hint="eastAsia" w:ascii="仿宋_GB2312" w:hAnsi="宋体"/>
          <w:color w:val="auto"/>
          <w:szCs w:val="32"/>
          <w:lang w:val="zh-CN"/>
        </w:rPr>
        <w:t>单位资金使用方式内审部门进行监督使用。</w:t>
      </w:r>
    </w:p>
    <w:p>
      <w:pPr>
        <w:adjustRightInd w:val="0"/>
        <w:snapToGrid w:val="0"/>
        <w:spacing w:line="600" w:lineRule="exact"/>
        <w:ind w:firstLine="720"/>
        <w:rPr>
          <w:rFonts w:ascii="仿宋_GB2312" w:hAnsi="宋体"/>
          <w:color w:val="auto"/>
          <w:szCs w:val="32"/>
          <w:lang w:val="zh-CN"/>
        </w:rPr>
      </w:pPr>
      <w:r>
        <w:rPr>
          <w:rFonts w:hint="eastAsia" w:ascii="黑体" w:hAnsi="宋体" w:eastAsia="黑体"/>
          <w:color w:val="auto"/>
          <w:szCs w:val="32"/>
        </w:rPr>
        <w:t>四、项目绩效情况</w:t>
      </w:r>
      <w:r>
        <w:rPr>
          <w:rFonts w:ascii="仿宋_GB2312" w:hAnsi="宋体"/>
          <w:color w:val="auto"/>
          <w:szCs w:val="32"/>
          <w:lang w:val="zh-CN"/>
        </w:rPr>
        <w:tab/>
      </w:r>
    </w:p>
    <w:p>
      <w:pPr>
        <w:adjustRightInd w:val="0"/>
        <w:snapToGrid w:val="0"/>
        <w:spacing w:line="600" w:lineRule="exact"/>
        <w:ind w:firstLine="720"/>
        <w:rPr>
          <w:rFonts w:ascii="楷体_GB2312" w:hAnsi="宋体" w:eastAsia="楷体_GB2312"/>
          <w:b/>
          <w:color w:val="auto"/>
          <w:szCs w:val="32"/>
          <w:lang w:val="zh-CN"/>
        </w:rPr>
      </w:pPr>
      <w:r>
        <w:rPr>
          <w:rFonts w:hint="eastAsia" w:ascii="楷体_GB2312" w:hAnsi="宋体" w:eastAsia="楷体_GB2312"/>
          <w:b/>
          <w:color w:val="auto"/>
          <w:szCs w:val="32"/>
          <w:lang w:val="zh-CN"/>
        </w:rPr>
        <w:t>（一）项目完成情况。</w:t>
      </w:r>
    </w:p>
    <w:p>
      <w:pPr>
        <w:adjustRightInd w:val="0"/>
        <w:snapToGrid w:val="0"/>
        <w:spacing w:line="600" w:lineRule="exact"/>
        <w:ind w:firstLine="720"/>
        <w:rPr>
          <w:rFonts w:hint="default" w:ascii="仿宋_GB2312" w:hAnsi="宋体"/>
          <w:color w:val="auto"/>
          <w:szCs w:val="32"/>
          <w:lang w:val="en-US" w:eastAsia="zh-CN"/>
        </w:rPr>
      </w:pPr>
      <w:r>
        <w:rPr>
          <w:rFonts w:hint="eastAsia" w:ascii="仿宋_GB2312" w:hAnsi="宋体"/>
          <w:color w:val="auto"/>
          <w:szCs w:val="32"/>
          <w:lang w:val="zh-CN"/>
        </w:rPr>
        <w:t>学校少年宫参与人数覆盖率达到</w:t>
      </w:r>
      <w:r>
        <w:rPr>
          <w:rFonts w:hint="eastAsia" w:ascii="仿宋_GB2312" w:hAnsi="宋体"/>
          <w:color w:val="auto"/>
          <w:szCs w:val="32"/>
          <w:lang w:val="en-US" w:eastAsia="zh-CN"/>
        </w:rPr>
        <w:t>100%，开办了两次的展览，年度考核得到上级表扬，并给与了6000元的奖励金，师生满意度达99%以上。</w:t>
      </w:r>
    </w:p>
    <w:p>
      <w:pPr>
        <w:adjustRightInd w:val="0"/>
        <w:snapToGrid w:val="0"/>
        <w:spacing w:line="600" w:lineRule="exact"/>
        <w:ind w:firstLine="720"/>
        <w:rPr>
          <w:rFonts w:ascii="楷体_GB2312" w:hAnsi="宋体" w:eastAsia="楷体_GB2312"/>
          <w:b/>
          <w:color w:val="auto"/>
          <w:szCs w:val="32"/>
          <w:lang w:val="zh-CN"/>
        </w:rPr>
      </w:pPr>
      <w:r>
        <w:rPr>
          <w:rFonts w:hint="eastAsia" w:ascii="楷体_GB2312" w:hAnsi="宋体" w:eastAsia="楷体_GB2312"/>
          <w:b/>
          <w:color w:val="auto"/>
          <w:szCs w:val="32"/>
          <w:lang w:val="zh-CN"/>
        </w:rPr>
        <w:t>（二）项目效益情况。</w:t>
      </w:r>
    </w:p>
    <w:p>
      <w:pPr>
        <w:adjustRightInd w:val="0"/>
        <w:snapToGrid w:val="0"/>
        <w:spacing w:line="600" w:lineRule="exact"/>
        <w:ind w:firstLine="720"/>
        <w:rPr>
          <w:rFonts w:hint="eastAsia" w:ascii="仿宋_GB2312" w:hAnsi="宋体"/>
          <w:color w:val="auto"/>
          <w:szCs w:val="32"/>
          <w:lang w:val="en-US" w:eastAsia="zh-CN"/>
        </w:rPr>
      </w:pPr>
      <w:r>
        <w:rPr>
          <w:rFonts w:hint="eastAsia" w:ascii="仿宋_GB2312" w:hAnsi="宋体"/>
          <w:color w:val="auto"/>
          <w:szCs w:val="32"/>
          <w:lang w:val="zh-CN"/>
        </w:rPr>
        <w:t>学校少年宫参与人数覆盖率达到</w:t>
      </w:r>
      <w:r>
        <w:rPr>
          <w:rFonts w:hint="eastAsia" w:ascii="仿宋_GB2312" w:hAnsi="宋体"/>
          <w:color w:val="auto"/>
          <w:szCs w:val="32"/>
          <w:lang w:val="en-US" w:eastAsia="zh-CN"/>
        </w:rPr>
        <w:t>100%，开办了两次的展览，年度考核得到上级表扬，并给与了6000元的奖励金，师生满意度达99%以上。</w:t>
      </w:r>
    </w:p>
    <w:p>
      <w:pPr>
        <w:adjustRightInd w:val="0"/>
        <w:snapToGrid w:val="0"/>
        <w:spacing w:line="600" w:lineRule="exact"/>
        <w:ind w:firstLine="720"/>
        <w:rPr>
          <w:rFonts w:ascii="黑体" w:hAnsi="宋体" w:eastAsia="黑体"/>
          <w:color w:val="auto"/>
          <w:szCs w:val="32"/>
        </w:rPr>
      </w:pPr>
      <w:r>
        <w:rPr>
          <w:rFonts w:hint="eastAsia" w:ascii="黑体" w:hAnsi="宋体" w:eastAsia="黑体"/>
          <w:color w:val="auto"/>
          <w:szCs w:val="32"/>
        </w:rPr>
        <w:t>五、评价结论及建议</w:t>
      </w:r>
    </w:p>
    <w:p>
      <w:pPr>
        <w:adjustRightInd w:val="0"/>
        <w:snapToGrid w:val="0"/>
        <w:spacing w:line="600" w:lineRule="exact"/>
        <w:ind w:firstLine="720"/>
        <w:rPr>
          <w:rFonts w:ascii="楷体_GB2312" w:hAnsi="宋体" w:eastAsia="楷体_GB2312"/>
          <w:b/>
          <w:color w:val="auto"/>
          <w:szCs w:val="32"/>
          <w:lang w:val="zh-CN"/>
        </w:rPr>
      </w:pPr>
      <w:r>
        <w:rPr>
          <w:rFonts w:hint="eastAsia" w:ascii="楷体_GB2312" w:hAnsi="宋体" w:eastAsia="楷体_GB2312"/>
          <w:b/>
          <w:color w:val="auto"/>
          <w:szCs w:val="32"/>
          <w:lang w:val="zh-CN"/>
        </w:rPr>
        <w:t>（一）评价结论。</w:t>
      </w:r>
    </w:p>
    <w:p>
      <w:pPr>
        <w:adjustRightInd w:val="0"/>
        <w:snapToGrid w:val="0"/>
        <w:spacing w:line="600" w:lineRule="exact"/>
        <w:ind w:firstLine="640" w:firstLineChars="200"/>
        <w:rPr>
          <w:rFonts w:hint="eastAsia" w:ascii="仿宋_GB2312" w:hAnsi="宋体"/>
          <w:color w:val="auto"/>
          <w:szCs w:val="32"/>
          <w:lang w:val="zh-CN"/>
        </w:rPr>
      </w:pPr>
      <w:r>
        <w:rPr>
          <w:rFonts w:hint="eastAsia" w:ascii="仿宋_GB2312" w:hAnsi="宋体"/>
          <w:color w:val="auto"/>
          <w:szCs w:val="32"/>
          <w:lang w:val="zh-CN"/>
        </w:rPr>
        <w:t>项目优秀，切实有用。</w:t>
      </w:r>
    </w:p>
    <w:p>
      <w:pPr>
        <w:adjustRightInd w:val="0"/>
        <w:snapToGrid w:val="0"/>
        <w:spacing w:line="600" w:lineRule="exact"/>
        <w:ind w:firstLine="720"/>
        <w:rPr>
          <w:rFonts w:ascii="楷体_GB2312" w:hAnsi="宋体" w:eastAsia="楷体_GB2312"/>
          <w:b/>
          <w:color w:val="auto"/>
          <w:szCs w:val="32"/>
          <w:lang w:val="zh-CN"/>
        </w:rPr>
      </w:pPr>
      <w:r>
        <w:rPr>
          <w:rFonts w:hint="eastAsia" w:ascii="楷体_GB2312" w:hAnsi="宋体" w:eastAsia="楷体_GB2312"/>
          <w:b/>
          <w:color w:val="auto"/>
          <w:szCs w:val="32"/>
          <w:lang w:val="zh-CN"/>
        </w:rPr>
        <w:t>（二）存在的问题。</w:t>
      </w:r>
    </w:p>
    <w:p>
      <w:pPr>
        <w:adjustRightInd w:val="0"/>
        <w:snapToGrid w:val="0"/>
        <w:spacing w:line="600" w:lineRule="exact"/>
        <w:ind w:firstLine="640" w:firstLineChars="200"/>
        <w:rPr>
          <w:rFonts w:hint="eastAsia" w:ascii="仿宋_GB2312" w:hAnsi="宋体"/>
          <w:color w:val="auto"/>
          <w:szCs w:val="32"/>
          <w:lang w:val="zh-CN"/>
        </w:rPr>
      </w:pPr>
      <w:r>
        <w:rPr>
          <w:rFonts w:hint="eastAsia" w:ascii="仿宋_GB2312" w:hAnsi="宋体"/>
          <w:color w:val="auto"/>
          <w:szCs w:val="32"/>
          <w:lang w:val="zh-CN"/>
        </w:rPr>
        <w:t>器材缺少。</w:t>
      </w:r>
    </w:p>
    <w:p>
      <w:pPr>
        <w:adjustRightInd w:val="0"/>
        <w:snapToGrid w:val="0"/>
        <w:spacing w:line="600" w:lineRule="exact"/>
        <w:ind w:firstLine="720"/>
        <w:rPr>
          <w:rFonts w:ascii="楷体_GB2312" w:hAnsi="宋体" w:eastAsia="楷体_GB2312"/>
          <w:b/>
          <w:color w:val="auto"/>
          <w:szCs w:val="32"/>
          <w:lang w:val="zh-CN"/>
        </w:rPr>
      </w:pPr>
      <w:r>
        <w:rPr>
          <w:rFonts w:hint="eastAsia" w:ascii="楷体_GB2312" w:hAnsi="宋体" w:eastAsia="楷体_GB2312"/>
          <w:b/>
          <w:color w:val="auto"/>
          <w:szCs w:val="32"/>
          <w:lang w:val="zh-CN"/>
        </w:rPr>
        <w:t>（三）相关建议。</w:t>
      </w:r>
    </w:p>
    <w:p>
      <w:pPr>
        <w:adjustRightInd w:val="0"/>
        <w:snapToGrid w:val="0"/>
        <w:spacing w:line="600" w:lineRule="exact"/>
        <w:ind w:firstLine="640" w:firstLineChars="200"/>
        <w:rPr>
          <w:rFonts w:ascii="仿宋_GB2312" w:hAnsi="宋体"/>
          <w:color w:val="auto"/>
          <w:szCs w:val="32"/>
          <w:lang w:val="zh-CN"/>
        </w:rPr>
      </w:pPr>
      <w:r>
        <w:rPr>
          <w:rFonts w:hint="eastAsia" w:ascii="仿宋_GB2312" w:hAnsi="宋体"/>
          <w:color w:val="auto"/>
          <w:szCs w:val="32"/>
          <w:lang w:val="zh-CN"/>
        </w:rPr>
        <w:t>增加预算，为更好开办少年宫奠定基础。</w:t>
      </w:r>
    </w:p>
    <w:p>
      <w:pPr>
        <w:spacing w:line="580" w:lineRule="exact"/>
        <w:ind w:firstLine="640"/>
        <w:rPr>
          <w:rFonts w:ascii="仿宋_GB2312" w:hAnsi="仿宋_GB2312" w:cs="仿宋_GB2312"/>
          <w:color w:val="auto"/>
          <w:szCs w:val="32"/>
        </w:rPr>
      </w:pPr>
    </w:p>
    <w:p>
      <w:pPr>
        <w:spacing w:line="580" w:lineRule="exact"/>
        <w:ind w:firstLine="640"/>
        <w:rPr>
          <w:rFonts w:ascii="仿宋_GB2312" w:hAnsi="仿宋_GB2312" w:cs="仿宋_GB2312"/>
          <w:color w:val="auto"/>
          <w:szCs w:val="32"/>
        </w:rPr>
      </w:pPr>
    </w:p>
    <w:p>
      <w:pPr>
        <w:spacing w:line="580" w:lineRule="exact"/>
        <w:ind w:firstLine="640"/>
        <w:rPr>
          <w:rFonts w:ascii="仿宋_GB2312" w:hAnsi="仿宋_GB2312" w:cs="仿宋_GB2312"/>
          <w:color w:val="auto"/>
          <w:szCs w:val="32"/>
        </w:rPr>
      </w:pPr>
    </w:p>
    <w:p>
      <w:pPr>
        <w:spacing w:line="580" w:lineRule="exact"/>
        <w:ind w:firstLine="640"/>
        <w:rPr>
          <w:rFonts w:ascii="仿宋_GB2312" w:hAnsi="仿宋_GB2312" w:cs="仿宋_GB2312"/>
          <w:color w:val="auto"/>
          <w:szCs w:val="32"/>
        </w:rPr>
      </w:pPr>
    </w:p>
    <w:p>
      <w:pPr>
        <w:spacing w:line="580" w:lineRule="exact"/>
        <w:ind w:firstLine="640"/>
        <w:rPr>
          <w:rFonts w:ascii="仿宋_GB2312" w:hAnsi="仿宋_GB2312" w:cs="仿宋_GB2312"/>
          <w:color w:val="auto"/>
          <w:szCs w:val="32"/>
        </w:rPr>
      </w:pPr>
    </w:p>
    <w:p>
      <w:pPr>
        <w:spacing w:line="580" w:lineRule="exact"/>
        <w:ind w:firstLine="640"/>
        <w:rPr>
          <w:rFonts w:ascii="仿宋_GB2312" w:hAnsi="仿宋_GB2312" w:cs="仿宋_GB2312"/>
          <w:color w:val="auto"/>
          <w:szCs w:val="32"/>
        </w:rPr>
      </w:pPr>
    </w:p>
    <w:p>
      <w:pPr>
        <w:spacing w:line="580" w:lineRule="exact"/>
        <w:ind w:firstLine="640"/>
        <w:rPr>
          <w:rFonts w:ascii="仿宋_GB2312" w:hAnsi="仿宋_GB2312" w:cs="仿宋_GB2312"/>
          <w:color w:val="auto"/>
          <w:szCs w:val="32"/>
        </w:rPr>
      </w:pPr>
    </w:p>
    <w:p>
      <w:pPr>
        <w:spacing w:line="580" w:lineRule="exact"/>
        <w:ind w:firstLine="640"/>
        <w:rPr>
          <w:rFonts w:ascii="仿宋_GB2312" w:hAnsi="仿宋_GB2312" w:cs="仿宋_GB2312"/>
          <w:color w:val="auto"/>
          <w:szCs w:val="32"/>
        </w:rPr>
      </w:pPr>
    </w:p>
    <w:p>
      <w:pPr>
        <w:spacing w:line="580" w:lineRule="exact"/>
        <w:ind w:firstLine="640"/>
        <w:rPr>
          <w:rFonts w:ascii="仿宋_GB2312" w:hAnsi="仿宋_GB2312" w:cs="仿宋_GB2312"/>
          <w:color w:val="auto"/>
          <w:szCs w:val="32"/>
        </w:rPr>
      </w:pPr>
    </w:p>
    <w:p>
      <w:pPr>
        <w:spacing w:line="580" w:lineRule="exact"/>
        <w:ind w:firstLine="640"/>
        <w:rPr>
          <w:rFonts w:ascii="仿宋_GB2312" w:hAnsi="仿宋_GB2312" w:cs="仿宋_GB2312"/>
          <w:color w:val="auto"/>
          <w:szCs w:val="32"/>
        </w:rPr>
      </w:pPr>
    </w:p>
    <w:p>
      <w:pPr>
        <w:spacing w:line="580" w:lineRule="exact"/>
        <w:ind w:firstLine="640"/>
        <w:rPr>
          <w:rFonts w:ascii="仿宋_GB2312" w:hAnsi="仿宋_GB2312" w:cs="仿宋_GB2312"/>
          <w:color w:val="auto"/>
          <w:szCs w:val="32"/>
        </w:rPr>
      </w:pPr>
    </w:p>
    <w:p>
      <w:pPr>
        <w:widowControl/>
        <w:jc w:val="center"/>
        <w:rPr>
          <w:rFonts w:ascii="仿宋" w:hAnsi="仿宋" w:eastAsia="仿宋"/>
          <w:b/>
          <w:color w:val="auto"/>
          <w:sz w:val="44"/>
          <w:szCs w:val="44"/>
        </w:rPr>
      </w:pPr>
      <w:bookmarkStart w:id="61" w:name="_Toc15396618"/>
      <w:bookmarkStart w:id="62" w:name="_Toc32283"/>
      <w:r>
        <w:rPr>
          <w:rFonts w:hint="eastAsia" w:ascii="黑体" w:hAnsi="黑体" w:eastAsia="黑体"/>
          <w:color w:val="auto"/>
          <w:sz w:val="44"/>
          <w:szCs w:val="44"/>
        </w:rPr>
        <w:t>第</w:t>
      </w:r>
      <w:r>
        <w:rPr>
          <w:rStyle w:val="14"/>
          <w:rFonts w:hint="eastAsia" w:ascii="黑体" w:hAnsi="黑体" w:eastAsia="黑体"/>
          <w:b w:val="0"/>
          <w:color w:val="auto"/>
        </w:rPr>
        <w:t>五部分附表</w:t>
      </w:r>
      <w:bookmarkEnd w:id="58"/>
      <w:bookmarkEnd w:id="61"/>
      <w:bookmarkEnd w:id="62"/>
    </w:p>
    <w:p>
      <w:pPr>
        <w:pStyle w:val="3"/>
        <w:rPr>
          <w:rFonts w:ascii="仿宋" w:hAnsi="仿宋" w:eastAsia="仿宋"/>
          <w:color w:val="auto"/>
        </w:rPr>
      </w:pPr>
      <w:bookmarkStart w:id="63" w:name="_Toc15396619"/>
      <w:bookmarkStart w:id="64" w:name="_Toc15699"/>
      <w:r>
        <w:rPr>
          <w:rFonts w:hint="eastAsia" w:ascii="仿宋" w:hAnsi="仿宋" w:eastAsia="仿宋"/>
          <w:b w:val="0"/>
          <w:color w:val="auto"/>
        </w:rPr>
        <w:t>一、收</w:t>
      </w:r>
      <w:r>
        <w:rPr>
          <w:rStyle w:val="15"/>
          <w:rFonts w:hint="eastAsia" w:ascii="仿宋" w:hAnsi="仿宋" w:eastAsia="仿宋"/>
          <w:b w:val="0"/>
          <w:bCs w:val="0"/>
          <w:color w:val="auto"/>
        </w:rPr>
        <w:t>入支出决算总表</w:t>
      </w:r>
      <w:bookmarkEnd w:id="63"/>
      <w:bookmarkEnd w:id="64"/>
    </w:p>
    <w:p>
      <w:pPr>
        <w:pStyle w:val="3"/>
        <w:rPr>
          <w:rFonts w:ascii="仿宋" w:hAnsi="仿宋" w:eastAsia="仿宋"/>
          <w:color w:val="auto"/>
        </w:rPr>
      </w:pPr>
      <w:bookmarkStart w:id="65" w:name="_Toc15396620"/>
      <w:bookmarkStart w:id="66" w:name="_Toc27106"/>
      <w:r>
        <w:rPr>
          <w:rFonts w:hint="eastAsia" w:ascii="仿宋" w:hAnsi="仿宋" w:eastAsia="仿宋"/>
          <w:b w:val="0"/>
          <w:color w:val="auto"/>
        </w:rPr>
        <w:t>二、收</w:t>
      </w:r>
      <w:r>
        <w:rPr>
          <w:rStyle w:val="15"/>
          <w:rFonts w:hint="eastAsia" w:ascii="仿宋" w:hAnsi="仿宋" w:eastAsia="仿宋"/>
          <w:b w:val="0"/>
          <w:bCs w:val="0"/>
          <w:color w:val="auto"/>
        </w:rPr>
        <w:t>入决算表</w:t>
      </w:r>
      <w:bookmarkEnd w:id="65"/>
      <w:bookmarkEnd w:id="66"/>
    </w:p>
    <w:p>
      <w:pPr>
        <w:pStyle w:val="3"/>
        <w:rPr>
          <w:rFonts w:ascii="仿宋" w:hAnsi="仿宋" w:eastAsia="仿宋"/>
          <w:color w:val="auto"/>
        </w:rPr>
      </w:pPr>
      <w:bookmarkStart w:id="67" w:name="_Toc26817"/>
      <w:bookmarkStart w:id="68" w:name="_Toc15396621"/>
      <w:r>
        <w:rPr>
          <w:rStyle w:val="15"/>
          <w:rFonts w:hint="eastAsia" w:ascii="仿宋" w:hAnsi="仿宋" w:eastAsia="仿宋"/>
          <w:b w:val="0"/>
          <w:bCs w:val="0"/>
          <w:color w:val="auto"/>
        </w:rPr>
        <w:t>三、</w:t>
      </w:r>
      <w:r>
        <w:rPr>
          <w:rFonts w:hint="eastAsia" w:ascii="仿宋" w:hAnsi="仿宋" w:eastAsia="仿宋"/>
          <w:b w:val="0"/>
          <w:color w:val="auto"/>
        </w:rPr>
        <w:t>支</w:t>
      </w:r>
      <w:r>
        <w:rPr>
          <w:rStyle w:val="15"/>
          <w:rFonts w:hint="eastAsia" w:ascii="仿宋" w:hAnsi="仿宋" w:eastAsia="仿宋"/>
          <w:b w:val="0"/>
          <w:bCs w:val="0"/>
          <w:color w:val="auto"/>
        </w:rPr>
        <w:t>出决算表</w:t>
      </w:r>
      <w:bookmarkEnd w:id="67"/>
      <w:bookmarkEnd w:id="68"/>
    </w:p>
    <w:p>
      <w:pPr>
        <w:pStyle w:val="3"/>
        <w:rPr>
          <w:rFonts w:ascii="仿宋" w:hAnsi="仿宋" w:eastAsia="仿宋"/>
          <w:b w:val="0"/>
          <w:color w:val="auto"/>
        </w:rPr>
      </w:pPr>
      <w:bookmarkStart w:id="69" w:name="_Toc21747"/>
      <w:bookmarkStart w:id="70" w:name="_Toc15396622"/>
      <w:r>
        <w:rPr>
          <w:rStyle w:val="15"/>
          <w:rFonts w:hint="eastAsia" w:ascii="仿宋" w:hAnsi="仿宋" w:eastAsia="仿宋"/>
          <w:b w:val="0"/>
          <w:bCs w:val="0"/>
          <w:color w:val="auto"/>
        </w:rPr>
        <w:t>四、</w:t>
      </w:r>
      <w:r>
        <w:rPr>
          <w:rFonts w:hint="eastAsia" w:ascii="仿宋" w:hAnsi="仿宋" w:eastAsia="仿宋"/>
          <w:b w:val="0"/>
          <w:color w:val="auto"/>
        </w:rPr>
        <w:t>财</w:t>
      </w:r>
      <w:r>
        <w:rPr>
          <w:rStyle w:val="15"/>
          <w:rFonts w:hint="eastAsia" w:ascii="仿宋" w:hAnsi="仿宋" w:eastAsia="仿宋"/>
          <w:b w:val="0"/>
          <w:bCs w:val="0"/>
          <w:color w:val="auto"/>
        </w:rPr>
        <w:t>政拨款收入支出决算总表</w:t>
      </w:r>
      <w:bookmarkEnd w:id="69"/>
      <w:bookmarkEnd w:id="70"/>
    </w:p>
    <w:p>
      <w:pPr>
        <w:pStyle w:val="3"/>
        <w:rPr>
          <w:rStyle w:val="15"/>
          <w:rFonts w:ascii="仿宋" w:hAnsi="仿宋" w:eastAsia="仿宋"/>
          <w:b w:val="0"/>
          <w:bCs w:val="0"/>
          <w:color w:val="auto"/>
        </w:rPr>
      </w:pPr>
      <w:bookmarkStart w:id="71" w:name="_Toc15396623"/>
      <w:bookmarkStart w:id="72" w:name="_Toc12959"/>
      <w:r>
        <w:rPr>
          <w:rStyle w:val="15"/>
          <w:rFonts w:hint="eastAsia" w:ascii="仿宋" w:hAnsi="仿宋" w:eastAsia="仿宋"/>
          <w:b w:val="0"/>
          <w:bCs w:val="0"/>
          <w:color w:val="auto"/>
        </w:rPr>
        <w:t>五、</w:t>
      </w:r>
      <w:r>
        <w:rPr>
          <w:rFonts w:hint="eastAsia" w:ascii="仿宋" w:hAnsi="仿宋" w:eastAsia="仿宋"/>
          <w:b w:val="0"/>
          <w:color w:val="auto"/>
        </w:rPr>
        <w:t>财</w:t>
      </w:r>
      <w:r>
        <w:rPr>
          <w:rStyle w:val="15"/>
          <w:rFonts w:hint="eastAsia" w:ascii="仿宋" w:hAnsi="仿宋" w:eastAsia="仿宋"/>
          <w:b w:val="0"/>
          <w:bCs w:val="0"/>
          <w:color w:val="auto"/>
        </w:rPr>
        <w:t>政拨款支出决算明细表</w:t>
      </w:r>
      <w:bookmarkEnd w:id="71"/>
      <w:bookmarkEnd w:id="72"/>
      <w:bookmarkStart w:id="73" w:name="_Toc15396624"/>
    </w:p>
    <w:p>
      <w:pPr>
        <w:pStyle w:val="3"/>
        <w:rPr>
          <w:rFonts w:ascii="仿宋" w:hAnsi="仿宋" w:eastAsia="仿宋"/>
          <w:color w:val="auto"/>
        </w:rPr>
      </w:pPr>
      <w:bookmarkStart w:id="74" w:name="_Toc23749"/>
      <w:r>
        <w:rPr>
          <w:rStyle w:val="15"/>
          <w:rFonts w:hint="eastAsia" w:ascii="仿宋" w:hAnsi="仿宋" w:eastAsia="仿宋"/>
          <w:b w:val="0"/>
          <w:bCs w:val="0"/>
          <w:color w:val="auto"/>
        </w:rPr>
        <w:t>六、</w:t>
      </w:r>
      <w:r>
        <w:rPr>
          <w:rFonts w:hint="eastAsia" w:ascii="仿宋" w:hAnsi="仿宋" w:eastAsia="仿宋"/>
          <w:b w:val="0"/>
          <w:color w:val="auto"/>
        </w:rPr>
        <w:t>一</w:t>
      </w:r>
      <w:r>
        <w:rPr>
          <w:rStyle w:val="15"/>
          <w:rFonts w:hint="eastAsia" w:ascii="仿宋" w:hAnsi="仿宋" w:eastAsia="仿宋"/>
          <w:b w:val="0"/>
          <w:bCs w:val="0"/>
          <w:color w:val="auto"/>
        </w:rPr>
        <w:t>般公共预算财政拨款支出决算表</w:t>
      </w:r>
      <w:bookmarkEnd w:id="73"/>
      <w:bookmarkEnd w:id="74"/>
    </w:p>
    <w:p>
      <w:pPr>
        <w:pStyle w:val="3"/>
        <w:rPr>
          <w:rFonts w:ascii="仿宋" w:hAnsi="仿宋" w:eastAsia="仿宋"/>
          <w:color w:val="auto"/>
        </w:rPr>
      </w:pPr>
      <w:bookmarkStart w:id="75" w:name="_Toc22275"/>
      <w:bookmarkStart w:id="76" w:name="_Toc15396625"/>
      <w:r>
        <w:rPr>
          <w:rStyle w:val="15"/>
          <w:rFonts w:hint="eastAsia" w:ascii="仿宋" w:hAnsi="仿宋" w:eastAsia="仿宋"/>
          <w:b w:val="0"/>
          <w:bCs w:val="0"/>
          <w:color w:val="auto"/>
        </w:rPr>
        <w:t>七、</w:t>
      </w:r>
      <w:r>
        <w:rPr>
          <w:rFonts w:hint="eastAsia" w:ascii="仿宋" w:hAnsi="仿宋" w:eastAsia="仿宋"/>
          <w:b w:val="0"/>
          <w:color w:val="auto"/>
        </w:rPr>
        <w:t>一</w:t>
      </w:r>
      <w:r>
        <w:rPr>
          <w:rStyle w:val="15"/>
          <w:rFonts w:hint="eastAsia" w:ascii="仿宋" w:hAnsi="仿宋" w:eastAsia="仿宋"/>
          <w:b w:val="0"/>
          <w:bCs w:val="0"/>
          <w:color w:val="auto"/>
        </w:rPr>
        <w:t>般公共预算财政拨款支出决算明细表</w:t>
      </w:r>
      <w:bookmarkEnd w:id="75"/>
      <w:bookmarkEnd w:id="76"/>
    </w:p>
    <w:p>
      <w:pPr>
        <w:pStyle w:val="3"/>
        <w:rPr>
          <w:rFonts w:ascii="仿宋" w:hAnsi="仿宋" w:eastAsia="仿宋"/>
          <w:color w:val="auto"/>
        </w:rPr>
      </w:pPr>
      <w:bookmarkStart w:id="77" w:name="_Toc30634"/>
      <w:bookmarkStart w:id="78" w:name="_Toc15396626"/>
      <w:r>
        <w:rPr>
          <w:rStyle w:val="15"/>
          <w:rFonts w:hint="eastAsia" w:ascii="仿宋" w:hAnsi="仿宋" w:eastAsia="仿宋"/>
          <w:b w:val="0"/>
          <w:bCs w:val="0"/>
          <w:color w:val="auto"/>
        </w:rPr>
        <w:t>八、</w:t>
      </w:r>
      <w:r>
        <w:rPr>
          <w:rFonts w:hint="eastAsia" w:ascii="仿宋" w:hAnsi="仿宋" w:eastAsia="仿宋"/>
          <w:b w:val="0"/>
          <w:color w:val="auto"/>
        </w:rPr>
        <w:t>一</w:t>
      </w:r>
      <w:r>
        <w:rPr>
          <w:rStyle w:val="15"/>
          <w:rFonts w:hint="eastAsia" w:ascii="仿宋" w:hAnsi="仿宋" w:eastAsia="仿宋"/>
          <w:b w:val="0"/>
          <w:bCs w:val="0"/>
          <w:color w:val="auto"/>
        </w:rPr>
        <w:t>般公共预算财政拨款基本支出决算表</w:t>
      </w:r>
      <w:bookmarkEnd w:id="77"/>
      <w:bookmarkEnd w:id="78"/>
    </w:p>
    <w:p>
      <w:pPr>
        <w:pStyle w:val="3"/>
        <w:rPr>
          <w:rFonts w:ascii="仿宋" w:hAnsi="仿宋" w:eastAsia="仿宋"/>
          <w:color w:val="auto"/>
        </w:rPr>
      </w:pPr>
      <w:bookmarkStart w:id="79" w:name="_Toc15170"/>
      <w:bookmarkStart w:id="80" w:name="_Toc15396627"/>
      <w:r>
        <w:rPr>
          <w:rStyle w:val="15"/>
          <w:rFonts w:hint="eastAsia" w:ascii="仿宋" w:hAnsi="仿宋" w:eastAsia="仿宋"/>
          <w:b w:val="0"/>
          <w:bCs w:val="0"/>
          <w:color w:val="auto"/>
        </w:rPr>
        <w:t>九、</w:t>
      </w:r>
      <w:r>
        <w:rPr>
          <w:rFonts w:hint="eastAsia" w:ascii="仿宋" w:hAnsi="仿宋" w:eastAsia="仿宋"/>
          <w:b w:val="0"/>
          <w:color w:val="auto"/>
        </w:rPr>
        <w:t>一</w:t>
      </w:r>
      <w:r>
        <w:rPr>
          <w:rStyle w:val="15"/>
          <w:rFonts w:hint="eastAsia" w:ascii="仿宋" w:hAnsi="仿宋" w:eastAsia="仿宋"/>
          <w:b w:val="0"/>
          <w:bCs w:val="0"/>
          <w:color w:val="auto"/>
        </w:rPr>
        <w:t>般公共预算财政拨款项目支出决算表</w:t>
      </w:r>
      <w:bookmarkEnd w:id="79"/>
      <w:bookmarkEnd w:id="80"/>
    </w:p>
    <w:p>
      <w:pPr>
        <w:pStyle w:val="3"/>
        <w:spacing w:line="360" w:lineRule="auto"/>
        <w:rPr>
          <w:rFonts w:ascii="仿宋" w:hAnsi="仿宋" w:eastAsia="仿宋"/>
          <w:color w:val="auto"/>
        </w:rPr>
      </w:pPr>
      <w:bookmarkStart w:id="81" w:name="_Toc17603"/>
      <w:bookmarkStart w:id="82" w:name="_Toc15396628"/>
      <w:r>
        <w:rPr>
          <w:rStyle w:val="15"/>
          <w:rFonts w:hint="eastAsia" w:ascii="仿宋" w:hAnsi="仿宋" w:eastAsia="仿宋"/>
          <w:b w:val="0"/>
          <w:bCs w:val="0"/>
          <w:color w:val="auto"/>
        </w:rPr>
        <w:t>十、</w:t>
      </w:r>
      <w:r>
        <w:rPr>
          <w:rFonts w:hint="eastAsia" w:ascii="仿宋" w:hAnsi="仿宋" w:eastAsia="仿宋"/>
          <w:b w:val="0"/>
          <w:color w:val="auto"/>
        </w:rPr>
        <w:t>一</w:t>
      </w:r>
      <w:r>
        <w:rPr>
          <w:rStyle w:val="15"/>
          <w:rFonts w:hint="eastAsia" w:ascii="仿宋" w:hAnsi="仿宋" w:eastAsia="仿宋"/>
          <w:b w:val="0"/>
          <w:bCs w:val="0"/>
          <w:color w:val="auto"/>
        </w:rPr>
        <w:t>般公共预算财政拨款“三公”经费支出决算表</w:t>
      </w:r>
      <w:bookmarkEnd w:id="81"/>
      <w:bookmarkEnd w:id="82"/>
    </w:p>
    <w:p>
      <w:pPr>
        <w:pStyle w:val="3"/>
        <w:spacing w:line="360" w:lineRule="auto"/>
        <w:rPr>
          <w:rFonts w:ascii="仿宋" w:hAnsi="仿宋" w:eastAsia="仿宋"/>
          <w:color w:val="auto"/>
        </w:rPr>
      </w:pPr>
      <w:bookmarkStart w:id="83" w:name="_Toc15396629"/>
      <w:bookmarkStart w:id="84" w:name="_Toc7313"/>
      <w:r>
        <w:rPr>
          <w:rStyle w:val="15"/>
          <w:rFonts w:hint="eastAsia" w:ascii="仿宋" w:hAnsi="仿宋" w:eastAsia="仿宋"/>
          <w:b w:val="0"/>
          <w:bCs w:val="0"/>
          <w:color w:val="auto"/>
        </w:rPr>
        <w:t>十一、</w:t>
      </w:r>
      <w:r>
        <w:rPr>
          <w:rFonts w:hint="eastAsia" w:ascii="仿宋" w:hAnsi="仿宋" w:eastAsia="仿宋"/>
          <w:b w:val="0"/>
          <w:color w:val="auto"/>
        </w:rPr>
        <w:t>政</w:t>
      </w:r>
      <w:r>
        <w:rPr>
          <w:rStyle w:val="15"/>
          <w:rFonts w:hint="eastAsia" w:ascii="仿宋" w:hAnsi="仿宋" w:eastAsia="仿宋"/>
          <w:b w:val="0"/>
          <w:bCs w:val="0"/>
          <w:color w:val="auto"/>
        </w:rPr>
        <w:t>府性基金预算财政拨款收入支出决算表</w:t>
      </w:r>
      <w:bookmarkEnd w:id="83"/>
      <w:bookmarkEnd w:id="84"/>
    </w:p>
    <w:p>
      <w:pPr>
        <w:pStyle w:val="3"/>
        <w:rPr>
          <w:rFonts w:ascii="仿宋" w:hAnsi="仿宋" w:eastAsia="仿宋"/>
          <w:b w:val="0"/>
          <w:color w:val="auto"/>
        </w:rPr>
      </w:pPr>
      <w:bookmarkStart w:id="85" w:name="_Toc9382"/>
      <w:bookmarkStart w:id="86" w:name="_Toc15396630"/>
      <w:r>
        <w:rPr>
          <w:rFonts w:hint="eastAsia" w:ascii="仿宋" w:hAnsi="仿宋" w:eastAsia="仿宋"/>
          <w:b w:val="0"/>
          <w:color w:val="auto"/>
        </w:rPr>
        <w:t>十二、政府性基金预算财政拨款“三公”经费支出决算表</w:t>
      </w:r>
      <w:bookmarkEnd w:id="85"/>
      <w:bookmarkEnd w:id="86"/>
    </w:p>
    <w:p>
      <w:pPr>
        <w:pStyle w:val="3"/>
        <w:rPr>
          <w:rFonts w:ascii="仿宋" w:hAnsi="仿宋" w:eastAsia="仿宋"/>
          <w:b w:val="0"/>
          <w:color w:val="auto"/>
        </w:rPr>
      </w:pPr>
      <w:bookmarkStart w:id="87" w:name="_Toc22683"/>
      <w:r>
        <w:rPr>
          <w:rFonts w:hint="eastAsia" w:ascii="仿宋" w:hAnsi="仿宋" w:eastAsia="仿宋"/>
          <w:b w:val="0"/>
          <w:color w:val="auto"/>
        </w:rPr>
        <w:t>十三、国有资本经营预算财政拨款收入支出决算表</w:t>
      </w:r>
      <w:bookmarkEnd w:id="87"/>
    </w:p>
    <w:p>
      <w:pPr>
        <w:pStyle w:val="3"/>
        <w:rPr>
          <w:rFonts w:ascii="仿宋" w:hAnsi="仿宋" w:eastAsia="仿宋"/>
          <w:b w:val="0"/>
          <w:color w:val="auto"/>
        </w:rPr>
      </w:pPr>
      <w:bookmarkStart w:id="88" w:name="_Toc10257"/>
      <w:r>
        <w:rPr>
          <w:rFonts w:hint="eastAsia" w:ascii="仿宋" w:hAnsi="仿宋" w:eastAsia="仿宋"/>
          <w:b w:val="0"/>
          <w:color w:val="auto"/>
        </w:rPr>
        <w:t>十四、国有资本经营预算财政拨款支出决算表</w:t>
      </w:r>
      <w:bookmarkEnd w:id="88"/>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1798278"/>
                            <w:docPartObj>
                              <w:docPartGallery w:val="autotext"/>
                            </w:docPartObj>
                          </w:sdtPr>
                          <w:sdtContent>
                            <w:p>
                              <w:pPr>
                                <w:pStyle w:val="6"/>
                              </w:pPr>
                              <w:r>
                                <w:rPr>
                                  <w:lang w:val="zh-CN"/>
                                </w:rPr>
                                <w:fldChar w:fldCharType="begin"/>
                              </w:r>
                              <w:r>
                                <w:rPr>
                                  <w:lang w:val="zh-CN"/>
                                </w:rPr>
                                <w:instrText xml:space="preserve"> PAGE   \* MERGEFORMAT </w:instrText>
                              </w:r>
                              <w:r>
                                <w:rPr>
                                  <w:lang w:val="zh-CN"/>
                                </w:rPr>
                                <w:fldChar w:fldCharType="separate"/>
                              </w:r>
                              <w:r>
                                <w:rPr>
                                  <w:lang w:val="zh-CN"/>
                                </w:rPr>
                                <w:t>18</w:t>
                              </w:r>
                              <w:r>
                                <w:rPr>
                                  <w:lang w:val="zh-CN"/>
                                </w:rPr>
                                <w:fldChar w:fldCharType="end"/>
                              </w:r>
                            </w:p>
                          </w:sdtContent>
                        </w:sdt>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sdt>
                    <w:sdtPr>
                      <w:id w:val="11798278"/>
                      <w:docPartObj>
                        <w:docPartGallery w:val="autotext"/>
                      </w:docPartObj>
                    </w:sdtPr>
                    <w:sdtContent>
                      <w:p>
                        <w:pPr>
                          <w:pStyle w:val="6"/>
                        </w:pPr>
                        <w:r>
                          <w:rPr>
                            <w:lang w:val="zh-CN"/>
                          </w:rPr>
                          <w:fldChar w:fldCharType="begin"/>
                        </w:r>
                        <w:r>
                          <w:rPr>
                            <w:lang w:val="zh-CN"/>
                          </w:rPr>
                          <w:instrText xml:space="preserve"> PAGE   \* MERGEFORMAT </w:instrText>
                        </w:r>
                        <w:r>
                          <w:rPr>
                            <w:lang w:val="zh-CN"/>
                          </w:rPr>
                          <w:fldChar w:fldCharType="separate"/>
                        </w:r>
                        <w:r>
                          <w:rPr>
                            <w:lang w:val="zh-CN"/>
                          </w:rPr>
                          <w:t>18</w:t>
                        </w:r>
                        <w:r>
                          <w:rPr>
                            <w:lang w:val="zh-CN"/>
                          </w:rPr>
                          <w:fldChar w:fldCharType="end"/>
                        </w:r>
                      </w:p>
                    </w:sdtContent>
                  </w:sdt>
                  <w:p/>
                </w:txbxContent>
              </v:textbox>
            </v:shape>
          </w:pict>
        </mc:Fallback>
      </mc:AlternateContent>
    </w: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cs="Times New Roman"/>
      </w:rPr>
    </w:lvl>
  </w:abstractNum>
  <w:abstractNum w:abstractNumId="1">
    <w:nsid w:val="D099DB89"/>
    <w:multiLevelType w:val="singleLevel"/>
    <w:tmpl w:val="D099DB89"/>
    <w:lvl w:ilvl="0" w:tentative="0">
      <w:start w:val="1"/>
      <w:numFmt w:val="chineseCounting"/>
      <w:suff w:val="nothing"/>
      <w:lvlText w:val="（%1）"/>
      <w:lvlJc w:val="left"/>
      <w:rPr>
        <w:rFonts w:hint="eastAsia"/>
      </w:rPr>
    </w:lvl>
  </w:abstractNum>
  <w:abstractNum w:abstractNumId="2">
    <w:nsid w:val="E2FA047D"/>
    <w:multiLevelType w:val="singleLevel"/>
    <w:tmpl w:val="E2FA047D"/>
    <w:lvl w:ilvl="0" w:tentative="0">
      <w:start w:val="3"/>
      <w:numFmt w:val="chineseCounting"/>
      <w:suff w:val="space"/>
      <w:lvlText w:val="第%1部分"/>
      <w:lvlJc w:val="left"/>
      <w:rPr>
        <w:rFonts w:hint="eastAsia" w:cs="Times New Roman"/>
      </w:rPr>
    </w:lvl>
  </w:abstractNum>
  <w:abstractNum w:abstractNumId="3">
    <w:nsid w:val="E84CFE29"/>
    <w:multiLevelType w:val="singleLevel"/>
    <w:tmpl w:val="E84CFE29"/>
    <w:lvl w:ilvl="0" w:tentative="0">
      <w:start w:val="1"/>
      <w:numFmt w:val="chineseCounting"/>
      <w:suff w:val="nothing"/>
      <w:lvlText w:val="%1、"/>
      <w:lvlJc w:val="left"/>
      <w:rPr>
        <w:rFonts w:hint="eastAsia"/>
      </w:rPr>
    </w:lvl>
  </w:abstractNum>
  <w:abstractNum w:abstractNumId="4">
    <w:nsid w:val="1272550B"/>
    <w:multiLevelType w:val="multilevel"/>
    <w:tmpl w:val="1272550B"/>
    <w:lvl w:ilvl="0" w:tentative="0">
      <w:start w:val="1"/>
      <w:numFmt w:val="japaneseCounting"/>
      <w:lvlText w:val="%1、"/>
      <w:lvlJc w:val="left"/>
      <w:pPr>
        <w:ind w:left="1360" w:hanging="720"/>
      </w:pPr>
      <w:rPr>
        <w:rFonts w:hint="default" w:cs="Times New Roman"/>
        <w:b w:val="0"/>
      </w:rPr>
    </w:lvl>
    <w:lvl w:ilvl="1" w:tentative="0">
      <w:start w:val="1"/>
      <w:numFmt w:val="lowerLetter"/>
      <w:lvlText w:val="%2)"/>
      <w:lvlJc w:val="left"/>
      <w:pPr>
        <w:ind w:left="1480" w:hanging="420"/>
      </w:pPr>
      <w:rPr>
        <w:rFonts w:cs="Times New Roman"/>
      </w:rPr>
    </w:lvl>
    <w:lvl w:ilvl="2" w:tentative="0">
      <w:start w:val="1"/>
      <w:numFmt w:val="lowerRoman"/>
      <w:lvlText w:val="%3."/>
      <w:lvlJc w:val="right"/>
      <w:pPr>
        <w:ind w:left="1900" w:hanging="420"/>
      </w:pPr>
      <w:rPr>
        <w:rFonts w:cs="Times New Roman"/>
      </w:rPr>
    </w:lvl>
    <w:lvl w:ilvl="3" w:tentative="0">
      <w:start w:val="1"/>
      <w:numFmt w:val="decimal"/>
      <w:lvlText w:val="%4."/>
      <w:lvlJc w:val="left"/>
      <w:pPr>
        <w:ind w:left="2320" w:hanging="420"/>
      </w:pPr>
      <w:rPr>
        <w:rFonts w:cs="Times New Roman"/>
      </w:rPr>
    </w:lvl>
    <w:lvl w:ilvl="4" w:tentative="0">
      <w:start w:val="1"/>
      <w:numFmt w:val="lowerLetter"/>
      <w:lvlText w:val="%5)"/>
      <w:lvlJc w:val="left"/>
      <w:pPr>
        <w:ind w:left="2740" w:hanging="420"/>
      </w:pPr>
      <w:rPr>
        <w:rFonts w:cs="Times New Roman"/>
      </w:rPr>
    </w:lvl>
    <w:lvl w:ilvl="5" w:tentative="0">
      <w:start w:val="1"/>
      <w:numFmt w:val="lowerRoman"/>
      <w:lvlText w:val="%6."/>
      <w:lvlJc w:val="right"/>
      <w:pPr>
        <w:ind w:left="3160" w:hanging="420"/>
      </w:pPr>
      <w:rPr>
        <w:rFonts w:cs="Times New Roman"/>
      </w:rPr>
    </w:lvl>
    <w:lvl w:ilvl="6" w:tentative="0">
      <w:start w:val="1"/>
      <w:numFmt w:val="decimal"/>
      <w:lvlText w:val="%7."/>
      <w:lvlJc w:val="left"/>
      <w:pPr>
        <w:ind w:left="3580" w:hanging="420"/>
      </w:pPr>
      <w:rPr>
        <w:rFonts w:cs="Times New Roman"/>
      </w:rPr>
    </w:lvl>
    <w:lvl w:ilvl="7" w:tentative="0">
      <w:start w:val="1"/>
      <w:numFmt w:val="lowerLetter"/>
      <w:lvlText w:val="%8)"/>
      <w:lvlJc w:val="left"/>
      <w:pPr>
        <w:ind w:left="4000" w:hanging="420"/>
      </w:pPr>
      <w:rPr>
        <w:rFonts w:cs="Times New Roman"/>
      </w:rPr>
    </w:lvl>
    <w:lvl w:ilvl="8" w:tentative="0">
      <w:start w:val="1"/>
      <w:numFmt w:val="lowerRoman"/>
      <w:lvlText w:val="%9."/>
      <w:lvlJc w:val="right"/>
      <w:pPr>
        <w:ind w:left="4420" w:hanging="420"/>
      </w:pPr>
      <w:rPr>
        <w:rFonts w:cs="Times New Roman"/>
      </w:rPr>
    </w:lvl>
  </w:abstractNum>
  <w:abstractNum w:abstractNumId="5">
    <w:nsid w:val="525B2160"/>
    <w:multiLevelType w:val="multilevel"/>
    <w:tmpl w:val="525B216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6D710F12"/>
    <w:multiLevelType w:val="singleLevel"/>
    <w:tmpl w:val="6D710F12"/>
    <w:lvl w:ilvl="0" w:tentative="0">
      <w:start w:val="2"/>
      <w:numFmt w:val="chineseCounting"/>
      <w:suff w:val="nothing"/>
      <w:lvlText w:val="（%1）"/>
      <w:lvlJc w:val="left"/>
      <w:rPr>
        <w:rFonts w:hint="eastAsia"/>
      </w:rPr>
    </w:lvl>
  </w:abstractNum>
  <w:num w:numId="1">
    <w:abstractNumId w:val="3"/>
  </w:num>
  <w:num w:numId="2">
    <w:abstractNumId w:val="5"/>
  </w:num>
  <w:num w:numId="3">
    <w:abstractNumId w:val="6"/>
  </w:num>
  <w:num w:numId="4">
    <w:abstractNumId w:val="4"/>
  </w:num>
  <w:num w:numId="5">
    <w:abstractNumId w:val="0"/>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yZjhjMDljN2ZmZDI4MDM1OTczNmZkYWIwMTM0OGUifQ=="/>
  </w:docVars>
  <w:rsids>
    <w:rsidRoot w:val="6504078C"/>
    <w:rsid w:val="00035CE3"/>
    <w:rsid w:val="00075E6D"/>
    <w:rsid w:val="000A0693"/>
    <w:rsid w:val="000A0A13"/>
    <w:rsid w:val="000C161F"/>
    <w:rsid w:val="000C5DB3"/>
    <w:rsid w:val="00107CED"/>
    <w:rsid w:val="00116C5D"/>
    <w:rsid w:val="00147913"/>
    <w:rsid w:val="00166BDC"/>
    <w:rsid w:val="001A64AB"/>
    <w:rsid w:val="001D43E0"/>
    <w:rsid w:val="001E46CB"/>
    <w:rsid w:val="00213AED"/>
    <w:rsid w:val="0023505D"/>
    <w:rsid w:val="00265E81"/>
    <w:rsid w:val="00284318"/>
    <w:rsid w:val="002A1B95"/>
    <w:rsid w:val="002D7605"/>
    <w:rsid w:val="00305A4C"/>
    <w:rsid w:val="003130C3"/>
    <w:rsid w:val="00350CD4"/>
    <w:rsid w:val="00356D24"/>
    <w:rsid w:val="00361719"/>
    <w:rsid w:val="00377E75"/>
    <w:rsid w:val="003B0B52"/>
    <w:rsid w:val="003D2A21"/>
    <w:rsid w:val="00401F78"/>
    <w:rsid w:val="004871AB"/>
    <w:rsid w:val="004A4DDC"/>
    <w:rsid w:val="0051596B"/>
    <w:rsid w:val="005A006D"/>
    <w:rsid w:val="005A191E"/>
    <w:rsid w:val="005F5B42"/>
    <w:rsid w:val="0060092D"/>
    <w:rsid w:val="006726C0"/>
    <w:rsid w:val="006A2E2F"/>
    <w:rsid w:val="006B2E54"/>
    <w:rsid w:val="006B4FFC"/>
    <w:rsid w:val="006B7BB1"/>
    <w:rsid w:val="006D2F0E"/>
    <w:rsid w:val="00706D03"/>
    <w:rsid w:val="00723FEA"/>
    <w:rsid w:val="00761BF5"/>
    <w:rsid w:val="00775A31"/>
    <w:rsid w:val="00781FC8"/>
    <w:rsid w:val="007B28CF"/>
    <w:rsid w:val="007B3313"/>
    <w:rsid w:val="007B5163"/>
    <w:rsid w:val="007B7DCB"/>
    <w:rsid w:val="007F56C2"/>
    <w:rsid w:val="00801F82"/>
    <w:rsid w:val="00821E5D"/>
    <w:rsid w:val="00835890"/>
    <w:rsid w:val="008363BD"/>
    <w:rsid w:val="00842A88"/>
    <w:rsid w:val="0088047E"/>
    <w:rsid w:val="008856B7"/>
    <w:rsid w:val="008F3299"/>
    <w:rsid w:val="0091210D"/>
    <w:rsid w:val="009142FA"/>
    <w:rsid w:val="00926209"/>
    <w:rsid w:val="009444B8"/>
    <w:rsid w:val="009B5A73"/>
    <w:rsid w:val="009C5FC5"/>
    <w:rsid w:val="009F1DE1"/>
    <w:rsid w:val="00A02EA4"/>
    <w:rsid w:val="00A37343"/>
    <w:rsid w:val="00A64428"/>
    <w:rsid w:val="00A81C39"/>
    <w:rsid w:val="00A9291A"/>
    <w:rsid w:val="00B53F39"/>
    <w:rsid w:val="00B75747"/>
    <w:rsid w:val="00BA3307"/>
    <w:rsid w:val="00BB159C"/>
    <w:rsid w:val="00BC52FE"/>
    <w:rsid w:val="00BD311C"/>
    <w:rsid w:val="00BD6AB9"/>
    <w:rsid w:val="00C11BBF"/>
    <w:rsid w:val="00C40A69"/>
    <w:rsid w:val="00C5413F"/>
    <w:rsid w:val="00C61D86"/>
    <w:rsid w:val="00CA5593"/>
    <w:rsid w:val="00CB5496"/>
    <w:rsid w:val="00CD7813"/>
    <w:rsid w:val="00D05266"/>
    <w:rsid w:val="00D167B6"/>
    <w:rsid w:val="00D21065"/>
    <w:rsid w:val="00D212D1"/>
    <w:rsid w:val="00D46A16"/>
    <w:rsid w:val="00D67CFB"/>
    <w:rsid w:val="00D83B5D"/>
    <w:rsid w:val="00DA382B"/>
    <w:rsid w:val="00DB583F"/>
    <w:rsid w:val="00DC75F3"/>
    <w:rsid w:val="00DE040E"/>
    <w:rsid w:val="00DF18E0"/>
    <w:rsid w:val="00DF3204"/>
    <w:rsid w:val="00E07424"/>
    <w:rsid w:val="00E24992"/>
    <w:rsid w:val="00E4488F"/>
    <w:rsid w:val="00E55B9E"/>
    <w:rsid w:val="00E60A76"/>
    <w:rsid w:val="00E6174D"/>
    <w:rsid w:val="00EB4F60"/>
    <w:rsid w:val="00F05986"/>
    <w:rsid w:val="00F13FD3"/>
    <w:rsid w:val="00F17D46"/>
    <w:rsid w:val="00F37A25"/>
    <w:rsid w:val="00F75F4A"/>
    <w:rsid w:val="00F84C6A"/>
    <w:rsid w:val="00F90CEE"/>
    <w:rsid w:val="00FD7F5C"/>
    <w:rsid w:val="00FE0FC2"/>
    <w:rsid w:val="00FF34E9"/>
    <w:rsid w:val="06D96529"/>
    <w:rsid w:val="06F93D94"/>
    <w:rsid w:val="16752462"/>
    <w:rsid w:val="198E25D6"/>
    <w:rsid w:val="1FEC3E00"/>
    <w:rsid w:val="216A00F5"/>
    <w:rsid w:val="34A17AE9"/>
    <w:rsid w:val="3BBD1F8F"/>
    <w:rsid w:val="3D26460D"/>
    <w:rsid w:val="3E4169FF"/>
    <w:rsid w:val="45080B0C"/>
    <w:rsid w:val="4A500291"/>
    <w:rsid w:val="558579FD"/>
    <w:rsid w:val="5D3E75DF"/>
    <w:rsid w:val="62F16D00"/>
    <w:rsid w:val="6504078C"/>
    <w:rsid w:val="70C43518"/>
    <w:rsid w:val="726E397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99"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14"/>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5"/>
    <w:unhideWhenUsed/>
    <w:qFormat/>
    <w:uiPriority w:val="9"/>
    <w:pPr>
      <w:keepNext/>
      <w:keepLines/>
      <w:spacing w:before="260" w:after="260" w:line="416" w:lineRule="auto"/>
      <w:outlineLvl w:val="1"/>
    </w:pPr>
    <w:rPr>
      <w:rFonts w:ascii="Cambria" w:hAnsi="Cambria"/>
      <w:b/>
      <w:bCs/>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99"/>
    <w:pPr>
      <w:spacing w:beforeLines="30"/>
    </w:pPr>
    <w:rPr>
      <w:rFonts w:ascii="仿宋_GB2312"/>
      <w:kern w:val="0"/>
      <w:sz w:val="24"/>
      <w:szCs w:val="20"/>
    </w:rPr>
  </w:style>
  <w:style w:type="paragraph" w:styleId="5">
    <w:name w:val="Balloon Text"/>
    <w:basedOn w:val="1"/>
    <w:link w:val="18"/>
    <w:qFormat/>
    <w:uiPriority w:val="0"/>
    <w:rPr>
      <w:sz w:val="18"/>
      <w:szCs w:val="18"/>
    </w:rPr>
  </w:style>
  <w:style w:type="paragraph" w:styleId="6">
    <w:name w:val="footer"/>
    <w:basedOn w:val="1"/>
    <w:link w:val="19"/>
    <w:qFormat/>
    <w:uiPriority w:val="99"/>
    <w:pPr>
      <w:tabs>
        <w:tab w:val="center" w:pos="4153"/>
        <w:tab w:val="right" w:pos="8306"/>
      </w:tabs>
      <w:snapToGrid w:val="0"/>
      <w:jc w:val="left"/>
    </w:pPr>
    <w:rPr>
      <w:rFonts w:ascii="Calibri" w:hAnsi="Calibri"/>
      <w:kern w:val="0"/>
      <w:sz w:val="18"/>
      <w:szCs w:val="20"/>
    </w:rPr>
  </w:style>
  <w:style w:type="paragraph" w:styleId="7">
    <w:name w:val="header"/>
    <w:basedOn w:val="1"/>
    <w:semiHidden/>
    <w:qFormat/>
    <w:uiPriority w:val="99"/>
    <w:pPr>
      <w:pBdr>
        <w:bottom w:val="single" w:color="auto" w:sz="6" w:space="1"/>
      </w:pBdr>
      <w:tabs>
        <w:tab w:val="center" w:pos="4153"/>
        <w:tab w:val="right" w:pos="8306"/>
      </w:tabs>
      <w:snapToGrid w:val="0"/>
      <w:jc w:val="center"/>
    </w:pPr>
    <w:rPr>
      <w:rFonts w:ascii="Calibri" w:hAnsi="Calibri"/>
      <w:kern w:val="0"/>
      <w:sz w:val="18"/>
      <w:szCs w:val="20"/>
    </w:rPr>
  </w:style>
  <w:style w:type="paragraph" w:styleId="8">
    <w:name w:val="toc 1"/>
    <w:basedOn w:val="1"/>
    <w:next w:val="1"/>
    <w:unhideWhenUsed/>
    <w:qFormat/>
    <w:uiPriority w:val="39"/>
    <w:pPr>
      <w:spacing w:before="120"/>
      <w:jc w:val="left"/>
    </w:pPr>
    <w:rPr>
      <w:rFonts w:ascii="等线" w:eastAsia="等线"/>
      <w:b/>
      <w:bCs/>
      <w:i/>
      <w:iCs/>
      <w:sz w:val="24"/>
    </w:rPr>
  </w:style>
  <w:style w:type="paragraph" w:styleId="9">
    <w:name w:val="toc 2"/>
    <w:basedOn w:val="1"/>
    <w:next w:val="1"/>
    <w:unhideWhenUsed/>
    <w:qFormat/>
    <w:uiPriority w:val="39"/>
    <w:pPr>
      <w:spacing w:before="120"/>
      <w:ind w:left="300"/>
      <w:jc w:val="left"/>
    </w:pPr>
    <w:rPr>
      <w:rFonts w:ascii="等线" w:eastAsia="等线"/>
      <w:b/>
      <w:bCs/>
      <w:sz w:val="22"/>
      <w:szCs w:val="22"/>
    </w:rPr>
  </w:style>
  <w:style w:type="character" w:styleId="12">
    <w:name w:val="Strong"/>
    <w:basedOn w:val="11"/>
    <w:qFormat/>
    <w:uiPriority w:val="0"/>
    <w:rPr>
      <w:rFonts w:cs="Times New Roman"/>
      <w:b/>
    </w:rPr>
  </w:style>
  <w:style w:type="character" w:styleId="13">
    <w:name w:val="Hyperlink"/>
    <w:unhideWhenUsed/>
    <w:qFormat/>
    <w:uiPriority w:val="99"/>
    <w:rPr>
      <w:color w:val="0000FF"/>
      <w:u w:val="single"/>
    </w:rPr>
  </w:style>
  <w:style w:type="character" w:customStyle="1" w:styleId="14">
    <w:name w:val="标题 1 Char"/>
    <w:basedOn w:val="11"/>
    <w:link w:val="2"/>
    <w:qFormat/>
    <w:locked/>
    <w:uiPriority w:val="9"/>
    <w:rPr>
      <w:b/>
      <w:bCs/>
      <w:kern w:val="44"/>
      <w:sz w:val="44"/>
      <w:szCs w:val="44"/>
    </w:rPr>
  </w:style>
  <w:style w:type="character" w:customStyle="1" w:styleId="15">
    <w:name w:val="标题 2 Char"/>
    <w:basedOn w:val="11"/>
    <w:link w:val="3"/>
    <w:qFormat/>
    <w:locked/>
    <w:uiPriority w:val="9"/>
    <w:rPr>
      <w:rFonts w:ascii="Cambria" w:hAnsi="Cambria"/>
      <w:b/>
      <w:bCs/>
      <w:sz w:val="32"/>
      <w:szCs w:val="32"/>
    </w:rPr>
  </w:style>
  <w:style w:type="paragraph" w:customStyle="1" w:styleId="16">
    <w:name w:val="列出段落1"/>
    <w:basedOn w:val="1"/>
    <w:qFormat/>
    <w:uiPriority w:val="34"/>
    <w:pPr>
      <w:ind w:firstLine="420" w:firstLineChars="200"/>
    </w:pPr>
  </w:style>
  <w:style w:type="paragraph" w:customStyle="1" w:styleId="1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character" w:customStyle="1" w:styleId="18">
    <w:name w:val="批注框文本 Char"/>
    <w:basedOn w:val="11"/>
    <w:link w:val="5"/>
    <w:qFormat/>
    <w:uiPriority w:val="0"/>
    <w:rPr>
      <w:rFonts w:ascii="Times New Roman" w:hAnsi="Times New Roman" w:eastAsia="仿宋_GB2312" w:cs="Times New Roman"/>
      <w:kern w:val="2"/>
      <w:sz w:val="18"/>
      <w:szCs w:val="18"/>
    </w:rPr>
  </w:style>
  <w:style w:type="character" w:customStyle="1" w:styleId="19">
    <w:name w:val="页脚 Char"/>
    <w:basedOn w:val="11"/>
    <w:link w:val="6"/>
    <w:qFormat/>
    <w:uiPriority w:val="99"/>
    <w:rPr>
      <w:rFonts w:ascii="Calibri" w:hAnsi="Calibri" w:eastAsia="仿宋_GB2312" w:cs="Times New Roman"/>
      <w:sz w:val="18"/>
    </w:rPr>
  </w:style>
  <w:style w:type="paragraph" w:customStyle="1" w:styleId="2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hart" Target="charts/chart5.xml"/><Relationship Id="rId8" Type="http://schemas.openxmlformats.org/officeDocument/2006/relationships/chart" Target="charts/chart4.xml"/><Relationship Id="rId7" Type="http://schemas.openxmlformats.org/officeDocument/2006/relationships/chart" Target="charts/chart3.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chart" Target="charts/chart7.xml"/><Relationship Id="rId10" Type="http://schemas.openxmlformats.org/officeDocument/2006/relationships/chart" Target="charts/chart6.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NULL"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embeddings/oleObject1.bin"/></Relationships>
</file>

<file path=word/charts/_rels/chart3.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embeddings/oleObject2.bin"/></Relationships>
</file>

<file path=word/charts/_rels/chart4.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embeddings/oleObject3.bin"/></Relationships>
</file>

<file path=word/charts/_rels/chart5.xml.rels><?xml version="1.0" encoding="UTF-8" standalone="yes"?>
<Relationships xmlns="http://schemas.openxmlformats.org/package/2006/relationships"><Relationship Id="rId1" Type="http://schemas.openxmlformats.org/officeDocument/2006/relationships/oleObject" Target="../embeddings/oleObject4.bin"/></Relationships>
</file>

<file path=word/charts/_rels/chart6.xml.rels><?xml version="1.0" encoding="UTF-8" standalone="yes"?>
<Relationships xmlns="http://schemas.openxmlformats.org/package/2006/relationships"><Relationship Id="rId1" Type="http://schemas.openxmlformats.org/officeDocument/2006/relationships/oleObject" Target="../embeddings/oleObject5.bin"/></Relationships>
</file>

<file path=word/charts/_rels/chart7.xml.rels><?xml version="1.0" encoding="UTF-8" standalone="yes"?>
<Relationships xmlns="http://schemas.openxmlformats.org/package/2006/relationships"><Relationship Id="rId1" Type="http://schemas.openxmlformats.org/officeDocument/2006/relationships/oleObject" Target="NULL"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814559063397833"/>
          <c:y val="0.0517487773044763"/>
          <c:w val="0.724052799788039"/>
          <c:h val="0.730789552945226"/>
        </c:manualLayout>
      </c:layout>
      <c:barChart>
        <c:barDir val="col"/>
        <c:grouping val="clustered"/>
        <c:varyColors val="0"/>
        <c:ser>
          <c:idx val="0"/>
          <c:order val="0"/>
          <c:tx>
            <c:strRef>
              <c:f>Sheet1!$B$1</c:f>
              <c:strCache>
                <c:ptCount val="1"/>
                <c:pt idx="0">
                  <c:v>收入总计</c:v>
                </c:pt>
              </c:strCache>
            </c:strRef>
          </c:tx>
          <c:spPr>
            <a:solidFill>
              <a:schemeClr val="accent1"/>
            </a:solidFill>
            <a:ln>
              <a:noFill/>
            </a:ln>
            <a:effectLst/>
          </c:spPr>
          <c:invertIfNegative val="0"/>
          <c:dLbls>
            <c:dLbl>
              <c:idx val="0"/>
              <c:layout/>
              <c:tx>
                <c:rich>
                  <a:bodyPr rot="-5400000" spcFirstLastPara="1" vertOverflow="clip" horzOverflow="clip" vert="horz" wrap="square" lIns="38100" tIns="19050" rIns="38100" bIns="19050" anchor="ctr" anchorCtr="1">
                    <a:spAutoFit/>
                  </a:bodyPr>
                  <a:lstStyle/>
                  <a:p>
                    <a:pPr defTabSz="914400">
                      <a:defRPr lang="zh-CN" sz="800" b="0" i="0" u="none" strike="noStrike" kern="1200" baseline="0">
                        <a:solidFill>
                          <a:schemeClr val="tx1">
                            <a:lumMod val="50000"/>
                            <a:lumOff val="50000"/>
                          </a:schemeClr>
                        </a:solidFill>
                        <a:latin typeface="+mn-lt"/>
                        <a:ea typeface="+mn-ea"/>
                        <a:cs typeface="+mn-cs"/>
                      </a:defRPr>
                    </a:pPr>
                    <a:r>
                      <a:rPr lang="en-US" altLang="zh-CN"/>
                      <a:t>572.76</a:t>
                    </a:r>
                    <a:endParaRPr lang="en-US" altLang="zh-CN"/>
                  </a:p>
                </c:rich>
              </c:tx>
              <c:dLblPos val="outEnd"/>
              <c:showLegendKey val="0"/>
              <c:showVal val="1"/>
              <c:showCatName val="0"/>
              <c:showSerName val="0"/>
              <c:showPercent val="0"/>
              <c:showBubbleSize val="0"/>
              <c:extLst>
                <c:ext xmlns:c15="http://schemas.microsoft.com/office/drawing/2012/chart" uri="{CE6537A1-D6FC-4f65-9D91-7224C49458BB}"/>
              </c:extLst>
            </c:dLbl>
            <c:dLbl>
              <c:idx val="1"/>
              <c:layout/>
              <c:tx>
                <c:rich>
                  <a:bodyPr rot="-5400000" spcFirstLastPara="1" vertOverflow="clip" horzOverflow="clip" vert="horz" wrap="square" lIns="38100" tIns="19050" rIns="38100" bIns="19050" anchor="ctr" anchorCtr="1">
                    <a:spAutoFit/>
                  </a:bodyPr>
                  <a:lstStyle/>
                  <a:p>
                    <a:pPr defTabSz="914400">
                      <a:defRPr lang="zh-CN" sz="800" b="0" i="0" u="none" strike="noStrike" kern="1200" baseline="0">
                        <a:solidFill>
                          <a:schemeClr val="tx1">
                            <a:lumMod val="50000"/>
                            <a:lumOff val="50000"/>
                          </a:schemeClr>
                        </a:solidFill>
                        <a:latin typeface="+mn-lt"/>
                        <a:ea typeface="+mn-ea"/>
                        <a:cs typeface="+mn-cs"/>
                      </a:defRPr>
                    </a:pPr>
                    <a:r>
                      <a:rPr lang="en-US" altLang="zh-CN"/>
                      <a:t>549.22</a:t>
                    </a:r>
                    <a:endParaRPr lang="en-US" altLang="zh-CN"/>
                  </a:p>
                  <a:p>
                    <a:pPr defTabSz="914400">
                      <a:defRPr lang="zh-CN" sz="800" b="0" i="0" u="none" strike="noStrike" kern="1200" baseline="0">
                        <a:solidFill>
                          <a:schemeClr val="tx1">
                            <a:lumMod val="50000"/>
                            <a:lumOff val="50000"/>
                          </a:schemeClr>
                        </a:solidFill>
                        <a:latin typeface="+mn-lt"/>
                        <a:ea typeface="+mn-ea"/>
                        <a:cs typeface="+mn-cs"/>
                      </a:defRPr>
                    </a:pPr>
                    <a:endParaRPr lang="en-US" altLang="zh-CN"/>
                  </a:p>
                </c:rich>
              </c:tx>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5400000" spcFirstLastPara="1" vertOverflow="clip" horzOverflow="clip" vert="horz" wrap="square" lIns="38100" tIns="19050" rIns="38100" bIns="19050" anchor="ctr" anchorCtr="1">
                <a:spAutoFit/>
              </a:bodyPr>
              <a:lstStyle/>
              <a:p>
                <a:pPr>
                  <a:defRPr lang="zh-CN" sz="800" b="0" i="0" u="none" strike="noStrike" kern="1200" baseline="0">
                    <a:solidFill>
                      <a:schemeClr val="tx1">
                        <a:lumMod val="50000"/>
                        <a:lumOff val="50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Sheet1!$A$2:$A$3</c:f>
              <c:strCache>
                <c:ptCount val="2"/>
                <c:pt idx="0">
                  <c:v>2019年</c:v>
                </c:pt>
                <c:pt idx="1">
                  <c:v>2020年</c:v>
                </c:pt>
              </c:strCache>
            </c:strRef>
          </c:cat>
          <c:val>
            <c:numRef>
              <c:f>Sheet1!$B$2:$B$3</c:f>
              <c:numCache>
                <c:formatCode>General</c:formatCode>
                <c:ptCount val="2"/>
                <c:pt idx="0">
                  <c:v>1416.86</c:v>
                </c:pt>
                <c:pt idx="1">
                  <c:v>1145.3</c:v>
                </c:pt>
              </c:numCache>
            </c:numRef>
          </c:val>
        </c:ser>
        <c:ser>
          <c:idx val="1"/>
          <c:order val="1"/>
          <c:tx>
            <c:strRef>
              <c:f>Sheet1!$C$1</c:f>
              <c:strCache>
                <c:ptCount val="1"/>
                <c:pt idx="0">
                  <c:v>支出总计</c:v>
                </c:pt>
              </c:strCache>
            </c:strRef>
          </c:tx>
          <c:spPr>
            <a:solidFill>
              <a:schemeClr val="accent2"/>
            </a:solidFill>
            <a:ln>
              <a:noFill/>
            </a:ln>
            <a:effectLst/>
          </c:spPr>
          <c:invertIfNegative val="0"/>
          <c:dLbls>
            <c:dLbl>
              <c:idx val="0"/>
              <c:layout/>
              <c:tx>
                <c:rich>
                  <a:bodyPr rot="-5400000" spcFirstLastPara="1" vertOverflow="clip" horzOverflow="clip" vert="horz" wrap="square" lIns="38100" tIns="19050" rIns="38100" bIns="19050" anchor="ctr" anchorCtr="1">
                    <a:spAutoFit/>
                  </a:bodyPr>
                  <a:lstStyle/>
                  <a:p>
                    <a:pPr defTabSz="914400">
                      <a:defRPr lang="zh-CN" sz="800" b="0" i="0" u="none" strike="noStrike" kern="1200" baseline="0">
                        <a:solidFill>
                          <a:schemeClr val="tx1">
                            <a:lumMod val="50000"/>
                            <a:lumOff val="50000"/>
                          </a:schemeClr>
                        </a:solidFill>
                        <a:latin typeface="+mn-lt"/>
                        <a:ea typeface="+mn-ea"/>
                        <a:cs typeface="+mn-cs"/>
                      </a:defRPr>
                    </a:pPr>
                    <a:r>
                      <a:rPr lang="en-US" altLang="zh-CN"/>
                      <a:t>562.06</a:t>
                    </a:r>
                    <a:endParaRPr lang="en-US" altLang="zh-CN"/>
                  </a:p>
                </c:rich>
              </c:tx>
              <c:dLblPos val="outEnd"/>
              <c:showLegendKey val="0"/>
              <c:showVal val="1"/>
              <c:showCatName val="0"/>
              <c:showSerName val="0"/>
              <c:showPercent val="0"/>
              <c:showBubbleSize val="0"/>
              <c:extLst>
                <c:ext xmlns:c15="http://schemas.microsoft.com/office/drawing/2012/chart" uri="{CE6537A1-D6FC-4f65-9D91-7224C49458BB}"/>
              </c:extLst>
            </c:dLbl>
            <c:dLbl>
              <c:idx val="1"/>
              <c:layout/>
              <c:tx>
                <c:rich>
                  <a:bodyPr rot="-5400000" spcFirstLastPara="1" vertOverflow="clip" horzOverflow="clip" vert="horz" wrap="square" lIns="38100" tIns="19050" rIns="38100" bIns="19050" anchor="ctr" anchorCtr="1">
                    <a:spAutoFit/>
                  </a:bodyPr>
                  <a:lstStyle/>
                  <a:p>
                    <a:pPr defTabSz="914400">
                      <a:defRPr lang="zh-CN" sz="800" b="0" i="0" u="none" strike="noStrike" kern="1200" baseline="0">
                        <a:solidFill>
                          <a:schemeClr val="tx1">
                            <a:lumMod val="50000"/>
                            <a:lumOff val="50000"/>
                          </a:schemeClr>
                        </a:solidFill>
                        <a:latin typeface="+mn-lt"/>
                        <a:ea typeface="+mn-ea"/>
                        <a:cs typeface="+mn-cs"/>
                      </a:defRPr>
                    </a:pPr>
                    <a:r>
                      <a:rPr lang="en-US" altLang="zh-CN"/>
                      <a:t>566</a:t>
                    </a:r>
                    <a:r>
                      <a:rPr altLang="en-US"/>
                      <a:t>。</a:t>
                    </a:r>
                    <a:r>
                      <a:rPr lang="en-US" altLang="zh-CN"/>
                      <a:t>1</a:t>
                    </a:r>
                    <a:endParaRPr lang="en-US" altLang="zh-CN"/>
                  </a:p>
                </c:rich>
              </c:tx>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5400000" spcFirstLastPara="1" vertOverflow="clip" horzOverflow="clip" vert="horz" wrap="square" lIns="38100" tIns="19050" rIns="38100" bIns="19050" anchor="ctr" anchorCtr="1">
                <a:spAutoFit/>
              </a:bodyPr>
              <a:lstStyle/>
              <a:p>
                <a:pPr>
                  <a:defRPr lang="zh-CN" sz="800" b="0" i="0" u="none" strike="noStrike" kern="1200" baseline="0">
                    <a:solidFill>
                      <a:schemeClr val="tx1">
                        <a:lumMod val="50000"/>
                        <a:lumOff val="50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Sheet1!$A$2:$A$3</c:f>
              <c:strCache>
                <c:ptCount val="2"/>
                <c:pt idx="0">
                  <c:v>2019年</c:v>
                </c:pt>
                <c:pt idx="1">
                  <c:v>2020年</c:v>
                </c:pt>
              </c:strCache>
            </c:strRef>
          </c:cat>
          <c:val>
            <c:numRef>
              <c:f>Sheet1!$C$2:$C$3</c:f>
              <c:numCache>
                <c:formatCode>General</c:formatCode>
                <c:ptCount val="2"/>
                <c:pt idx="0">
                  <c:v>1416.86</c:v>
                </c:pt>
                <c:pt idx="1">
                  <c:v>1145.3</c:v>
                </c:pt>
              </c:numCache>
            </c:numRef>
          </c:val>
        </c:ser>
        <c:dLbls>
          <c:showLegendKey val="0"/>
          <c:showVal val="1"/>
          <c:showCatName val="0"/>
          <c:showSerName val="0"/>
          <c:showPercent val="0"/>
          <c:showBubbleSize val="0"/>
        </c:dLbls>
        <c:gapWidth val="444"/>
        <c:overlap val="-90"/>
        <c:axId val="864635584"/>
        <c:axId val="864636128"/>
      </c:barChart>
      <c:catAx>
        <c:axId val="86463558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0"/>
        <c:majorTickMark val="out"/>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800" b="0" i="0" u="none" strike="noStrike" kern="1200" cap="all" spc="120" normalizeH="0" baseline="0">
                <a:solidFill>
                  <a:schemeClr val="tx1">
                    <a:lumMod val="65000"/>
                    <a:lumOff val="35000"/>
                  </a:schemeClr>
                </a:solidFill>
                <a:latin typeface="+mn-lt"/>
                <a:ea typeface="+mn-ea"/>
                <a:cs typeface="+mn-cs"/>
              </a:defRPr>
            </a:pPr>
          </a:p>
        </c:txPr>
        <c:crossAx val="864636128"/>
        <c:crosses val="autoZero"/>
        <c:auto val="1"/>
        <c:lblAlgn val="ctr"/>
        <c:lblOffset val="100"/>
        <c:noMultiLvlLbl val="0"/>
      </c:catAx>
      <c:valAx>
        <c:axId val="864636128"/>
        <c:scaling>
          <c:orientation val="minMax"/>
        </c:scaling>
        <c:delete val="1"/>
        <c:axPos val="l"/>
        <c:numFmt formatCode="General" sourceLinked="1"/>
        <c:majorTickMark val="out"/>
        <c:minorTickMark val="none"/>
        <c:tickLblPos val="nextTo"/>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64635584"/>
        <c:crosses val="autoZero"/>
        <c:crossBetween val="between"/>
      </c:valAx>
      <c:spPr>
        <a:noFill/>
        <a:ln>
          <a:noFill/>
        </a:ln>
        <a:effectLst/>
      </c:spPr>
    </c:plotArea>
    <c:legend>
      <c:legendPos val="t"/>
      <c:layout>
        <c:manualLayout>
          <c:xMode val="edge"/>
          <c:yMode val="edge"/>
          <c:x val="0.362710304942166"/>
          <c:y val="0.011695906432748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Pr>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p>
      </c:txPr>
    </c:title>
    <c:autoTitleDeleted val="0"/>
    <c:plotArea>
      <c:layout/>
      <c:pieChart>
        <c:varyColors val="1"/>
        <c:ser>
          <c:idx val="0"/>
          <c:order val="0"/>
          <c:tx>
            <c:strRef>
              <c:f>Sheet1!$B$1</c:f>
              <c:strCache>
                <c:ptCount val="1"/>
                <c:pt idx="0">
                  <c:v>本年收入</c:v>
                </c:pt>
              </c:strCache>
            </c:strRef>
          </c:tx>
          <c:explosion val="0"/>
          <c:dPt>
            <c:idx val="0"/>
            <c:bubble3D val="0"/>
          </c:dPt>
          <c:dPt>
            <c:idx val="1"/>
            <c:bubble3D val="0"/>
          </c:dPt>
          <c:dPt>
            <c:idx val="2"/>
            <c:bubble3D val="0"/>
          </c:dPt>
          <c:dPt>
            <c:idx val="3"/>
            <c:bubble3D val="0"/>
          </c:dPt>
          <c:dPt>
            <c:idx val="4"/>
            <c:bubble3D val="0"/>
          </c:dPt>
          <c:dPt>
            <c:idx val="5"/>
            <c:bubble3D val="0"/>
          </c:dPt>
          <c:dPt>
            <c:idx val="6"/>
            <c:bubble3D val="0"/>
          </c:dPt>
          <c:dLbls>
            <c:dLbl>
              <c:idx val="0"/>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solidFill>
                        <a:latin typeface="+mn-lt"/>
                        <a:ea typeface="+mn-ea"/>
                        <a:cs typeface="+mn-cs"/>
                      </a:defRPr>
                    </a:pPr>
                    <a:r>
                      <a:t>一般公共预算财政收入</a:t>
                    </a:r>
                  </a:p>
                  <a:p>
                    <a:pPr defTabSz="914400">
                      <a:defRPr lang="zh-CN" sz="1000" b="0" i="0" u="none" strike="noStrike" kern="1200" baseline="0">
                        <a:solidFill>
                          <a:schemeClr val="tx1"/>
                        </a:solidFill>
                        <a:latin typeface="+mn-lt"/>
                        <a:ea typeface="+mn-ea"/>
                        <a:cs typeface="+mn-cs"/>
                      </a:defRPr>
                    </a:pPr>
                    <a:r>
                      <a:rPr lang="en-US" altLang="zh-CN"/>
                      <a:t>96.85</a:t>
                    </a:r>
                    <a:r>
                      <a:t>%</a:t>
                    </a:r>
                  </a:p>
                </c:rich>
              </c:tx>
              <c:dLblPos val="bestFit"/>
              <c:showLegendKey val="0"/>
              <c:showVal val="0"/>
              <c:showCatName val="1"/>
              <c:showSerName val="0"/>
              <c:showPercent val="1"/>
              <c:showBubbleSize val="0"/>
              <c:separator>
</c:separator>
              <c:extLst>
                <c:ext xmlns:c15="http://schemas.microsoft.com/office/drawing/2012/chart" uri="{CE6537A1-D6FC-4f65-9D91-7224C49458BB}"/>
              </c:extLst>
            </c:dLbl>
            <c:dLbl>
              <c:idx val="1"/>
              <c:layout>
                <c:manualLayout>
                  <c:x val="-0.382304207279258"/>
                  <c:y val="0.445832604257803"/>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solidFill>
                        <a:latin typeface="+mn-lt"/>
                        <a:ea typeface="+mn-ea"/>
                        <a:cs typeface="+mn-cs"/>
                      </a:defRPr>
                    </a:pPr>
                    <a:r>
                      <a:t>政府性基金预算财政拨款收入</a:t>
                    </a:r>
                  </a:p>
                  <a:p>
                    <a:pPr defTabSz="914400">
                      <a:defRPr lang="zh-CN" sz="1000" b="0" i="0" u="none" strike="noStrike" kern="1200" baseline="0">
                        <a:solidFill>
                          <a:schemeClr val="tx1"/>
                        </a:solidFill>
                        <a:latin typeface="+mn-lt"/>
                        <a:ea typeface="+mn-ea"/>
                        <a:cs typeface="+mn-cs"/>
                      </a:defRPr>
                    </a:pPr>
                    <a:r>
                      <a:rPr lang="en-US" altLang="zh-CN"/>
                      <a:t>0.56</a:t>
                    </a:r>
                    <a:r>
                      <a:t>%</a:t>
                    </a:r>
                  </a:p>
                </c:rich>
              </c:tx>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2"/>
              <c:layout>
                <c:manualLayout>
                  <c:x val="0.260953589721473"/>
                  <c:y val="0.243218225172835"/>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3"/>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solidFill>
                        <a:latin typeface="+mn-lt"/>
                        <a:ea typeface="+mn-ea"/>
                        <a:cs typeface="+mn-cs"/>
                      </a:defRPr>
                    </a:pPr>
                    <a:r>
                      <a:t>事业收入</a:t>
                    </a:r>
                  </a:p>
                  <a:p>
                    <a:pPr defTabSz="914400">
                      <a:defRPr lang="zh-CN" sz="1000" b="0" i="0" u="none" strike="noStrike" kern="1200" baseline="0">
                        <a:solidFill>
                          <a:schemeClr val="tx1"/>
                        </a:solidFill>
                        <a:latin typeface="+mn-lt"/>
                        <a:ea typeface="+mn-ea"/>
                        <a:cs typeface="+mn-cs"/>
                      </a:defRPr>
                    </a:pPr>
                    <a:r>
                      <a:rPr lang="en-US" altLang="zh-CN"/>
                      <a:t>2.59</a:t>
                    </a:r>
                    <a:r>
                      <a:t>%</a:t>
                    </a:r>
                  </a:p>
                </c:rich>
              </c:tx>
              <c:dLblPos val="bestFit"/>
              <c:showLegendKey val="0"/>
              <c:showVal val="0"/>
              <c:showCatName val="1"/>
              <c:showSerName val="0"/>
              <c:showPercent val="1"/>
              <c:showBubbleSize val="0"/>
              <c:separator>
</c:separator>
              <c:extLst>
                <c:ext xmlns:c15="http://schemas.microsoft.com/office/drawing/2012/chart" uri="{CE6537A1-D6FC-4f65-9D91-7224C49458BB}"/>
              </c:extLst>
            </c:dLbl>
            <c:dLbl>
              <c:idx val="4"/>
              <c:layout>
                <c:manualLayout>
                  <c:x val="-0.395345212130174"/>
                  <c:y val="0.0406038460878665"/>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5"/>
              <c:layout>
                <c:manualLayout>
                  <c:x val="-0.142997794289799"/>
                  <c:y val="-0.0530780711234625"/>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6"/>
              <c:layout>
                <c:manualLayout>
                  <c:x val="0.259323438443434"/>
                  <c:y val="-0.0770432127356629"/>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ext>
            </c:extLst>
          </c:dLbls>
          <c:cat>
            <c:strRef>
              <c:f>Sheet1!$A$2:$A$8</c:f>
              <c:strCache>
                <c:ptCount val="7"/>
                <c:pt idx="0">
                  <c:v>一般公共预算财政收入</c:v>
                </c:pt>
                <c:pt idx="1">
                  <c:v>政府性基金预算财政拨款收入</c:v>
                </c:pt>
                <c:pt idx="2">
                  <c:v>上级补助收入</c:v>
                </c:pt>
                <c:pt idx="3">
                  <c:v>事业收入</c:v>
                </c:pt>
                <c:pt idx="4">
                  <c:v>经营收入</c:v>
                </c:pt>
                <c:pt idx="5">
                  <c:v>附属单位上缴收入</c:v>
                </c:pt>
                <c:pt idx="6">
                  <c:v>其他收入</c:v>
                </c:pt>
              </c:strCache>
            </c:strRef>
          </c:cat>
          <c:val>
            <c:numRef>
              <c:f>Sheet1!$B$2:$B$8</c:f>
              <c:numCache>
                <c:formatCode>General</c:formatCode>
                <c:ptCount val="7"/>
                <c:pt idx="0">
                  <c:v>1061.8</c:v>
                </c:pt>
                <c:pt idx="1">
                  <c:v>2.7</c:v>
                </c:pt>
                <c:pt idx="2">
                  <c:v>0</c:v>
                </c:pt>
                <c:pt idx="3">
                  <c:v>7.6</c:v>
                </c:pt>
                <c:pt idx="4">
                  <c:v>0</c:v>
                </c:pt>
                <c:pt idx="5">
                  <c:v>0</c:v>
                </c:pt>
                <c:pt idx="6">
                  <c:v>0</c:v>
                </c:pt>
              </c:numCache>
            </c:numRef>
          </c:val>
        </c:ser>
        <c:dLbls>
          <c:showLegendKey val="0"/>
          <c:showVal val="0"/>
          <c:showCatName val="1"/>
          <c:showSerName val="0"/>
          <c:showPercent val="1"/>
          <c:showBubbleSize val="0"/>
          <c:showLeaderLines val="1"/>
        </c:dLbls>
        <c:firstSliceAng val="0"/>
      </c:pieChart>
    </c:plotArea>
    <c:plotVisOnly val="1"/>
    <c:dispBlanksAs val="gap"/>
    <c:showDLblsOverMax val="0"/>
  </c:chart>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379674691803071"/>
          <c:y val="0"/>
        </c:manualLayout>
      </c:layout>
      <c:overlay val="0"/>
      <c:spPr>
        <a:noFill/>
        <a:ln>
          <a:noFill/>
        </a:ln>
        <a:effectLst/>
      </c:spPr>
      <c:txPr>
        <a:bodyPr rot="0" spcFirstLastPara="0" vertOverflow="ellipsis" vert="horz" wrap="square" anchor="ctr" anchorCtr="1"/>
        <a:lstStyle/>
        <a:p>
          <a:pPr>
            <a:defRPr lang="zh-CN" sz="1800" b="1" i="0" u="none" strike="noStrike" kern="1200" baseline="0">
              <a:solidFill>
                <a:schemeClr val="dk1">
                  <a:lumMod val="75000"/>
                  <a:lumOff val="25000"/>
                </a:schemeClr>
              </a:solidFill>
              <a:latin typeface="+mn-lt"/>
              <a:ea typeface="+mn-ea"/>
              <a:cs typeface="+mn-cs"/>
            </a:defRPr>
          </a:pPr>
        </a:p>
      </c:txPr>
    </c:title>
    <c:autoTitleDeleted val="0"/>
    <c:plotArea>
      <c:layout>
        <c:manualLayout>
          <c:layoutTarget val="inner"/>
          <c:xMode val="edge"/>
          <c:yMode val="edge"/>
          <c:x val="0.439986671997867"/>
          <c:y val="0.386205128205128"/>
          <c:w val="0.148015460482474"/>
          <c:h val="0.474598290598291"/>
        </c:manualLayout>
      </c:layout>
      <c:pieChart>
        <c:varyColors val="1"/>
        <c:ser>
          <c:idx val="0"/>
          <c:order val="0"/>
          <c:tx>
            <c:strRef>
              <c:f>Sheet1!$B$1</c:f>
              <c:strCache>
                <c:ptCount val="1"/>
                <c:pt idx="0">
                  <c:v>本年支出</c:v>
                </c:pt>
              </c:strCache>
            </c:strRef>
          </c:tx>
          <c:spPr/>
          <c:explosion val="0"/>
          <c:dPt>
            <c:idx val="0"/>
            <c:bubble3D val="0"/>
            <c:explosion val="6"/>
            <c:spPr>
              <a:solidFill>
                <a:schemeClr val="accent1"/>
              </a:solidFill>
              <a:ln>
                <a:noFill/>
              </a:ln>
              <a:effectLst>
                <a:outerShdw blurRad="254000" sx="102000" sy="102000" algn="ctr" rotWithShape="0">
                  <a:prstClr val="black">
                    <a:alpha val="20000"/>
                  </a:prstClr>
                </a:outerShdw>
              </a:effectLst>
            </c:spPr>
          </c:dPt>
          <c:dPt>
            <c:idx val="1"/>
            <c:bubble3D val="0"/>
            <c:spPr>
              <a:solidFill>
                <a:schemeClr val="accent1"/>
              </a:solidFill>
              <a:ln>
                <a:noFill/>
              </a:ln>
              <a:effectLst>
                <a:outerShdw blurRad="254000" sx="102000" sy="102000" algn="ctr" rotWithShape="0">
                  <a:prstClr val="black">
                    <a:alpha val="20000"/>
                  </a:prstClr>
                </a:outerShdw>
              </a:effectLst>
            </c:spPr>
          </c:dPt>
          <c:dPt>
            <c:idx val="2"/>
            <c:bubble3D val="0"/>
            <c:spPr>
              <a:solidFill>
                <a:schemeClr val="accent3"/>
              </a:solidFill>
              <a:ln>
                <a:noFill/>
              </a:ln>
              <a:effectLst>
                <a:outerShdw blurRad="254000" sx="102000" sy="102000" algn="ctr" rotWithShape="0">
                  <a:prstClr val="black">
                    <a:alpha val="20000"/>
                  </a:prstClr>
                </a:outerShdw>
              </a:effectLst>
            </c:spPr>
          </c:dPt>
          <c:dPt>
            <c:idx val="3"/>
            <c:bubble3D val="0"/>
            <c:spPr>
              <a:solidFill>
                <a:schemeClr val="accent4"/>
              </a:solidFill>
              <a:ln>
                <a:noFill/>
              </a:ln>
              <a:effectLst>
                <a:outerShdw blurRad="254000" sx="102000" sy="102000" algn="ctr" rotWithShape="0">
                  <a:prstClr val="black">
                    <a:alpha val="20000"/>
                  </a:prstClr>
                </a:outerShdw>
              </a:effectLst>
            </c:spPr>
          </c:dPt>
          <c:dPt>
            <c:idx val="4"/>
            <c:bubble3D val="0"/>
            <c:spPr>
              <a:solidFill>
                <a:schemeClr val="accent5"/>
              </a:solidFill>
              <a:ln>
                <a:noFill/>
              </a:ln>
              <a:effectLst>
                <a:outerShdw blurRad="254000" sx="102000" sy="102000" algn="ctr" rotWithShape="0">
                  <a:prstClr val="black">
                    <a:alpha val="20000"/>
                  </a:prstClr>
                </a:outerShdw>
              </a:effectLst>
            </c:spPr>
          </c:dPt>
          <c:dLbls>
            <c:dLbl>
              <c:idx val="0"/>
              <c:layout>
                <c:manualLayout>
                  <c:x val="-0.0235732489293262"/>
                  <c:y val="-0.00694420577621633"/>
                </c:manualLayout>
              </c:layout>
              <c:tx>
                <c:rich>
                  <a:bodyPr rot="0" spcFirstLastPara="0" vertOverflow="ellipsis" vert="horz" wrap="square" lIns="38100" tIns="19050" rIns="38100" bIns="19050" anchor="ctr" anchorCtr="1"/>
                  <a:lstStyle/>
                  <a:p>
                    <a:pPr defTabSz="914400">
                      <a:defRPr lang="zh-CN" sz="1000" b="1" i="0" u="none" strike="noStrike" kern="1200" baseline="0">
                        <a:solidFill>
                          <a:schemeClr val="lt1"/>
                        </a:solidFill>
                        <a:latin typeface="+mn-lt"/>
                        <a:ea typeface="+mn-ea"/>
                        <a:cs typeface="+mn-cs"/>
                      </a:defRPr>
                    </a:pPr>
                    <a:r>
                      <a:t>基本支出99.56%</a:t>
                    </a:r>
                  </a:p>
                </c:rich>
              </c:tx>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1"/>
              <c:layout>
                <c:manualLayout>
                  <c:x val="0.203501266191234"/>
                  <c:y val="0.232141842391706"/>
                </c:manualLayout>
              </c:layout>
              <c:tx>
                <c:rich>
                  <a:bodyPr rot="0" spcFirstLastPara="0" vertOverflow="ellipsis" vert="horz" wrap="square" lIns="38100" tIns="19050" rIns="38100" bIns="19050" anchor="ctr" anchorCtr="1"/>
                  <a:lstStyle/>
                  <a:p>
                    <a:pPr defTabSz="914400">
                      <a:defRPr lang="zh-CN" sz="1000" b="1" i="0" u="none" strike="noStrike" kern="1200" baseline="0">
                        <a:solidFill>
                          <a:schemeClr val="lt1"/>
                        </a:solidFill>
                        <a:latin typeface="+mn-lt"/>
                        <a:ea typeface="+mn-ea"/>
                        <a:cs typeface="+mn-cs"/>
                      </a:defRPr>
                    </a:pPr>
                    <a:r>
                      <a:t>项目支出</a:t>
                    </a:r>
                  </a:p>
                  <a:p>
                    <a:pPr defTabSz="914400">
                      <a:defRPr lang="zh-CN" sz="1000" b="1" i="0" u="none" strike="noStrike" kern="1200" baseline="0">
                        <a:solidFill>
                          <a:schemeClr val="lt1"/>
                        </a:solidFill>
                        <a:latin typeface="+mn-lt"/>
                        <a:ea typeface="+mn-ea"/>
                        <a:cs typeface="+mn-cs"/>
                      </a:defRPr>
                    </a:pPr>
                    <a:r>
                      <a:t>0.44%</a:t>
                    </a:r>
                  </a:p>
                </c:rich>
              </c:tx>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2"/>
              <c:layout>
                <c:manualLayout>
                  <c:x val="-0.243902897216419"/>
                  <c:y val="0.399104273502791"/>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3"/>
              <c:layout>
                <c:manualLayout>
                  <c:x val="0.14794046202989"/>
                  <c:y val="-0.0624341880356707"/>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4"/>
              <c:layout>
                <c:manualLayout>
                  <c:x val="-0.203918890818978"/>
                  <c:y val="0.138847863246063"/>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0" vertOverflow="ellipsis" vert="horz" wrap="square" lIns="38100" tIns="19050" rIns="38100" bIns="19050" anchor="ctr" anchorCtr="1"/>
              <a:lstStyle/>
              <a:p>
                <a:pPr>
                  <a:defRPr lang="zh-CN" sz="1000" b="1" i="0" u="none" strike="noStrike" kern="1200" baseline="0">
                    <a:solidFill>
                      <a:schemeClr val="lt1"/>
                    </a:solidFill>
                    <a:latin typeface="+mn-lt"/>
                    <a:ea typeface="+mn-ea"/>
                    <a:cs typeface="+mn-cs"/>
                  </a:defRPr>
                </a:pPr>
              </a:p>
            </c:txPr>
            <c:dLblPos val="ctr"/>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spPr>
                    <a:ln w="9525">
                      <a:solidFill>
                        <a:schemeClr val="dk1">
                          <a:lumMod val="50000"/>
                          <a:lumOff val="50000"/>
                        </a:schemeClr>
                      </a:solidFill>
                    </a:ln>
                    <a:effectLst/>
                  </c:spPr>
                </c15:leaderLines>
              </c:ext>
            </c:extLst>
          </c:dLbls>
          <c:cat>
            <c:strRef>
              <c:f>Sheet1!$A$2:$A$6</c:f>
              <c:strCache>
                <c:ptCount val="5"/>
                <c:pt idx="0">
                  <c:v>基本支出</c:v>
                </c:pt>
                <c:pt idx="1">
                  <c:v>项目支出</c:v>
                </c:pt>
                <c:pt idx="2">
                  <c:v>上缴上级支出</c:v>
                </c:pt>
                <c:pt idx="3">
                  <c:v>经营支出</c:v>
                </c:pt>
                <c:pt idx="4">
                  <c:v>对附属单位补助支出</c:v>
                </c:pt>
              </c:strCache>
            </c:strRef>
          </c:cat>
          <c:val>
            <c:numRef>
              <c:f>Sheet1!$B$2:$B$6</c:f>
              <c:numCache>
                <c:formatCode>General</c:formatCode>
                <c:ptCount val="5"/>
                <c:pt idx="0">
                  <c:v>30.46</c:v>
                </c:pt>
                <c:pt idx="1">
                  <c:v>0</c:v>
                </c:pt>
                <c:pt idx="2">
                  <c:v>0</c:v>
                </c:pt>
                <c:pt idx="3">
                  <c:v>0</c:v>
                </c:pt>
                <c:pt idx="4">
                  <c:v>0</c:v>
                </c:pt>
              </c:numCache>
            </c:numRef>
          </c:val>
        </c:ser>
        <c:dLbls>
          <c:showLegendKey val="0"/>
          <c:showVal val="0"/>
          <c:showCatName val="1"/>
          <c:showSerName val="0"/>
          <c:showPercent val="1"/>
          <c:showBubbleSize val="0"/>
          <c:showLeaderLines val="1"/>
        </c:dLbls>
        <c:firstSliceAng val="0"/>
      </c:pieChart>
      <c:spPr>
        <a:noFill/>
        <a:ln>
          <a:noFill/>
        </a:ln>
        <a:effectLst/>
      </c:spPr>
    </c:plotArea>
    <c:legend>
      <c:legendPos val="r"/>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收入总计</c:v>
                </c:pt>
              </c:strCache>
            </c:strRef>
          </c:tx>
          <c:spPr>
            <a:solidFill>
              <a:schemeClr val="accent1"/>
            </a:solidFill>
            <a:ln>
              <a:noFill/>
            </a:ln>
            <a:effectLst/>
          </c:spPr>
          <c:invertIfNegative val="0"/>
          <c:dLbls>
            <c:delete val="1"/>
          </c:dLbls>
          <c:cat>
            <c:strRef>
              <c:f>Sheet1!$A$2:$A$3</c:f>
              <c:strCache>
                <c:ptCount val="2"/>
                <c:pt idx="0">
                  <c:v>2019年</c:v>
                </c:pt>
                <c:pt idx="1">
                  <c:v>2020年</c:v>
                </c:pt>
              </c:strCache>
            </c:strRef>
          </c:cat>
          <c:val>
            <c:numRef>
              <c:f>Sheet1!$B$2:$B$3</c:f>
              <c:numCache>
                <c:formatCode>General</c:formatCode>
                <c:ptCount val="2"/>
                <c:pt idx="0">
                  <c:v>16.25</c:v>
                </c:pt>
                <c:pt idx="1">
                  <c:v>35.24</c:v>
                </c:pt>
              </c:numCache>
            </c:numRef>
          </c:val>
        </c:ser>
        <c:ser>
          <c:idx val="1"/>
          <c:order val="1"/>
          <c:tx>
            <c:strRef>
              <c:f>Sheet1!$C$1</c:f>
              <c:strCache>
                <c:ptCount val="1"/>
                <c:pt idx="0">
                  <c:v>支出总计</c:v>
                </c:pt>
              </c:strCache>
            </c:strRef>
          </c:tx>
          <c:spPr>
            <a:solidFill>
              <a:schemeClr val="accent2"/>
            </a:solidFill>
            <a:ln>
              <a:noFill/>
            </a:ln>
            <a:effectLst/>
          </c:spPr>
          <c:invertIfNegative val="0"/>
          <c:dLbls>
            <c:delete val="1"/>
          </c:dLbls>
          <c:cat>
            <c:strRef>
              <c:f>Sheet1!$A$2:$A$3</c:f>
              <c:strCache>
                <c:ptCount val="2"/>
                <c:pt idx="0">
                  <c:v>2019年</c:v>
                </c:pt>
                <c:pt idx="1">
                  <c:v>2020年</c:v>
                </c:pt>
              </c:strCache>
            </c:strRef>
          </c:cat>
          <c:val>
            <c:numRef>
              <c:f>Sheet1!$C$2:$C$3</c:f>
              <c:numCache>
                <c:formatCode>General</c:formatCode>
                <c:ptCount val="2"/>
                <c:pt idx="0">
                  <c:v>16.25</c:v>
                </c:pt>
                <c:pt idx="1">
                  <c:v>35.24</c:v>
                </c:pt>
              </c:numCache>
            </c:numRef>
          </c:val>
        </c:ser>
        <c:dLbls>
          <c:showLegendKey val="0"/>
          <c:showVal val="0"/>
          <c:showCatName val="0"/>
          <c:showSerName val="0"/>
          <c:showPercent val="0"/>
          <c:showBubbleSize val="0"/>
        </c:dLbls>
        <c:gapWidth val="219"/>
        <c:overlap val="-27"/>
        <c:axId val="864623072"/>
        <c:axId val="864630144"/>
      </c:barChart>
      <c:catAx>
        <c:axId val="864623072"/>
        <c:scaling>
          <c:orientation val="minMax"/>
        </c:scaling>
        <c:delete val="0"/>
        <c:axPos val="b"/>
        <c:numFmt formatCode="General" sourceLinked="0"/>
        <c:majorTickMark val="out"/>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64630144"/>
        <c:crosses val="autoZero"/>
        <c:auto val="1"/>
        <c:lblAlgn val="ctr"/>
        <c:lblOffset val="100"/>
        <c:noMultiLvlLbl val="0"/>
      </c:catAx>
      <c:valAx>
        <c:axId val="86463014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out"/>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64623072"/>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Pr>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p>
      </c:txPr>
    </c:title>
    <c:autoTitleDeleted val="0"/>
    <c:plotArea>
      <c:layout/>
      <c:barChart>
        <c:barDir val="col"/>
        <c:grouping val="clustered"/>
        <c:varyColors val="0"/>
        <c:ser>
          <c:idx val="0"/>
          <c:order val="0"/>
          <c:tx>
            <c:strRef>
              <c:f>Sheet1!$B$1</c:f>
              <c:strCache>
                <c:ptCount val="1"/>
                <c:pt idx="0">
                  <c:v>一般公共预算财政拨款支出</c:v>
                </c:pt>
              </c:strCache>
            </c:strRef>
          </c:tx>
          <c:invertIfNegative val="0"/>
          <c:dLbls>
            <c:delete val="1"/>
          </c:dLbls>
          <c:cat>
            <c:strRef>
              <c:f>Sheet1!$A$2:$A$3</c:f>
              <c:strCache>
                <c:ptCount val="2"/>
                <c:pt idx="0">
                  <c:v>2019年</c:v>
                </c:pt>
                <c:pt idx="1">
                  <c:v>2020年</c:v>
                </c:pt>
              </c:strCache>
            </c:strRef>
          </c:cat>
          <c:val>
            <c:numRef>
              <c:f>Sheet1!$B$2:$B$3</c:f>
              <c:numCache>
                <c:formatCode>General</c:formatCode>
                <c:ptCount val="2"/>
                <c:pt idx="0">
                  <c:v>1195.53</c:v>
                </c:pt>
                <c:pt idx="1">
                  <c:v>1129.11</c:v>
                </c:pt>
              </c:numCache>
            </c:numRef>
          </c:val>
        </c:ser>
        <c:dLbls>
          <c:showLegendKey val="0"/>
          <c:showVal val="0"/>
          <c:showCatName val="0"/>
          <c:showSerName val="0"/>
          <c:showPercent val="0"/>
          <c:showBubbleSize val="0"/>
        </c:dLbls>
        <c:gapWidth val="150"/>
        <c:axId val="864636672"/>
        <c:axId val="864633408"/>
      </c:barChart>
      <c:catAx>
        <c:axId val="864636672"/>
        <c:scaling>
          <c:orientation val="minMax"/>
        </c:scaling>
        <c:delete val="0"/>
        <c:axPos val="b"/>
        <c:numFmt formatCode="General" sourceLinked="0"/>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864633408"/>
        <c:crosses val="autoZero"/>
        <c:auto val="1"/>
        <c:lblAlgn val="ctr"/>
        <c:lblOffset val="100"/>
        <c:noMultiLvlLbl val="0"/>
      </c:catAx>
      <c:valAx>
        <c:axId val="864633408"/>
        <c:scaling>
          <c:orientation val="minMax"/>
        </c:scaling>
        <c:delete val="0"/>
        <c:axPos val="l"/>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864636672"/>
        <c:crosses val="autoZero"/>
        <c:crossBetween val="between"/>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131773852138934"/>
          <c:y val="0"/>
        </c:manualLayout>
      </c:layout>
      <c:overlay val="0"/>
      <c:txPr>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p>
      </c:txPr>
    </c:title>
    <c:autoTitleDeleted val="0"/>
    <c:plotArea>
      <c:layout/>
      <c:pieChart>
        <c:varyColors val="1"/>
        <c:ser>
          <c:idx val="0"/>
          <c:order val="0"/>
          <c:tx>
            <c:strRef>
              <c:f>Sheet1!$B$1</c:f>
              <c:strCache>
                <c:ptCount val="1"/>
                <c:pt idx="0">
                  <c:v>一般公共预算财政拨款支出</c:v>
                </c:pt>
              </c:strCache>
            </c:strRef>
          </c:tx>
          <c:explosion val="0"/>
          <c:dPt>
            <c:idx val="0"/>
            <c:bubble3D val="0"/>
          </c:dPt>
          <c:dLbls>
            <c:dLbl>
              <c:idx val="0"/>
              <c:layout>
                <c:manualLayout>
                  <c:x val="0.130247638477418"/>
                  <c:y val="0.143062117235346"/>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ext>
            </c:extLst>
          </c:dLbls>
          <c:cat>
            <c:strRef>
              <c:f>Sheet1!$A$2</c:f>
              <c:strCache>
                <c:ptCount val="1"/>
                <c:pt idx="0">
                  <c:v>教育支出</c:v>
                </c:pt>
              </c:strCache>
            </c:strRef>
          </c:cat>
          <c:val>
            <c:numRef>
              <c:f>Sheet1!$B$2</c:f>
              <c:numCache>
                <c:formatCode>General</c:formatCode>
                <c:ptCount val="1"/>
                <c:pt idx="0">
                  <c:v>1129.11</c:v>
                </c:pt>
              </c:numCache>
            </c:numRef>
          </c:val>
        </c:ser>
        <c:dLbls>
          <c:showLegendKey val="0"/>
          <c:showVal val="0"/>
          <c:showCatName val="1"/>
          <c:showSerName val="0"/>
          <c:showPercent val="1"/>
          <c:showBubbleSize val="0"/>
          <c:showLeaderLines val="1"/>
        </c:dLbls>
        <c:firstSliceAng val="0"/>
      </c:pieChart>
    </c:plotArea>
    <c:plotVisOnly val="1"/>
    <c:dispBlanksAs val="gap"/>
    <c:showDLblsOverMax val="0"/>
  </c:chart>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a:t>“三公”经费财政拨款支出</a:t>
            </a:r>
            <a:endParaRPr lang="zh-CN" altLang="en-US"/>
          </a:p>
        </c:rich>
      </c:tx>
      <c:layout>
        <c:manualLayout>
          <c:xMode val="edge"/>
          <c:yMode val="edge"/>
          <c:x val="0.18233107659631"/>
          <c:y val="0.640321217244294"/>
        </c:manualLayout>
      </c:layout>
      <c:overlay val="0"/>
    </c:title>
    <c:autoTitleDeleted val="0"/>
    <c:plotArea>
      <c:layout/>
      <c:pieChart>
        <c:varyColors val="1"/>
        <c:ser>
          <c:idx val="0"/>
          <c:order val="0"/>
          <c:tx>
            <c:strRef>
              <c:f>Sheet1!$B$1</c:f>
              <c:strCache>
                <c:ptCount val="1"/>
                <c:pt idx="0">
                  <c:v>财政拨款支出</c:v>
                </c:pt>
              </c:strCache>
            </c:strRef>
          </c:tx>
          <c:explosion val="0"/>
          <c:dPt>
            <c:idx val="0"/>
            <c:bubble3D val="0"/>
          </c:dPt>
          <c:dPt>
            <c:idx val="1"/>
            <c:bubble3D val="0"/>
          </c:dPt>
          <c:dPt>
            <c:idx val="2"/>
            <c:bubble3D val="0"/>
          </c:dPt>
          <c:dLbls>
            <c:dLbl>
              <c:idx val="1"/>
              <c:layout>
                <c:manualLayout>
                  <c:x val="-0.25089605734767"/>
                  <c:y val="0.158495350803043"/>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2"/>
              <c:layout>
                <c:manualLayout>
                  <c:x val="0.209080047789725"/>
                  <c:y val="0.107776838546069"/>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ext>
            </c:extLst>
          </c:dLbls>
          <c:cat>
            <c:strRef>
              <c:f>Sheet1!$A$2:$A$4</c:f>
              <c:strCache>
                <c:ptCount val="3"/>
                <c:pt idx="0">
                  <c:v>因公出国（境）</c:v>
                </c:pt>
                <c:pt idx="1">
                  <c:v>公务用车购置及运行维护费</c:v>
                </c:pt>
                <c:pt idx="2">
                  <c:v>公务接待费</c:v>
                </c:pt>
              </c:strCache>
            </c:strRef>
          </c:cat>
          <c:val>
            <c:numRef>
              <c:f>Sheet1!$B$2:$B$4</c:f>
              <c:numCache>
                <c:formatCode>General</c:formatCode>
                <c:ptCount val="3"/>
                <c:pt idx="0">
                  <c:v>0</c:v>
                </c:pt>
                <c:pt idx="1">
                  <c:v>0</c:v>
                </c:pt>
                <c:pt idx="2">
                  <c:v>0</c:v>
                </c:pt>
              </c:numCache>
            </c:numRef>
          </c:val>
        </c:ser>
        <c:dLbls>
          <c:showLegendKey val="0"/>
          <c:showVal val="0"/>
          <c:showCatName val="1"/>
          <c:showSerName val="0"/>
          <c:showPercent val="1"/>
          <c:showBubbleSize val="0"/>
          <c:showLeaderLines val="1"/>
        </c:dLbls>
        <c:firstSliceAng val="0"/>
      </c:pieChart>
    </c:plotArea>
    <c:plotVisOnly val="1"/>
    <c:dispBlanksAs val="gap"/>
    <c:showDLblsOverMax val="0"/>
  </c:chart>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2.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3.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style1.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21</Pages>
  <Words>6651</Words>
  <Characters>7148</Characters>
  <Lines>65</Lines>
  <Paragraphs>18</Paragraphs>
  <TotalTime>4</TotalTime>
  <ScaleCrop>false</ScaleCrop>
  <LinksUpToDate>false</LinksUpToDate>
  <CharactersWithSpaces>7195</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2021-09-08T03:29:00Z</dcterms:created>
  <dc:creator>Administrator</dc:creator>
  <cp:lastModifiedBy>Master'霖</cp:lastModifiedBy>
  <cp:lastPrinted>2022-04-27T08:36:00Z</cp:lastPrinted>
  <dcterms:modified xsi:type="dcterms:W3CDTF">2022-05-30T09:41:49Z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D4830FAA78734F25AF8D856F6694D09B</vt:lpwstr>
  </property>
</Properties>
</file>