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85" w:line="209" w:lineRule="auto"/>
        <w:ind w:left="1215" w:right="1204" w:firstLine="398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4"/>
          <w:sz w:val="43"/>
          <w:szCs w:val="43"/>
        </w:rPr>
        <w:t>自贡市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自</w:t>
      </w:r>
      <w:r>
        <w:rPr>
          <w:rFonts w:ascii="微软雅黑" w:hAnsi="微软雅黑" w:eastAsia="微软雅黑" w:cs="微软雅黑"/>
          <w:spacing w:val="2"/>
          <w:sz w:val="43"/>
          <w:szCs w:val="43"/>
        </w:rPr>
        <w:t>流井区鸿鹤小学校</w:t>
      </w:r>
      <w:r>
        <w:rPr>
          <w:rFonts w:ascii="微软雅黑" w:hAnsi="微软雅黑" w:eastAsia="微软雅黑" w:cs="微软雅黑"/>
          <w:sz w:val="43"/>
          <w:szCs w:val="43"/>
        </w:rPr>
        <w:t xml:space="preserve">  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2020 年度部门决算编制的说明</w:t>
      </w:r>
    </w:p>
    <w:p>
      <w:pPr>
        <w:spacing w:before="9" w:line="226" w:lineRule="auto"/>
        <w:ind w:left="3758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13"/>
          <w:sz w:val="43"/>
          <w:szCs w:val="43"/>
        </w:rPr>
        <w:t>目</w:t>
      </w:r>
      <w:r>
        <w:rPr>
          <w:rFonts w:ascii="黑体" w:hAnsi="黑体" w:eastAsia="黑体" w:cs="黑体"/>
          <w:spacing w:val="-12"/>
          <w:sz w:val="43"/>
          <w:szCs w:val="43"/>
        </w:rPr>
        <w:t xml:space="preserve"> 录</w:t>
      </w: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55269"/>
        <w15:color w:val="DBDBDB"/>
        <w:docPartObj>
          <w:docPartGallery w:val="Table of Contents"/>
          <w:docPartUnique/>
        </w:docPartObj>
      </w:sdtPr>
      <w:sdtEndP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52" w:name="_GoBack"/>
          <w:bookmarkEnd w:id="52"/>
        </w:p>
        <w:p>
          <w:pPr>
            <w:pStyle w:val="3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_Toc6746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1"/>
              <w:sz w:val="32"/>
              <w:szCs w:val="32"/>
            </w:rPr>
            <w:t>第</w:t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一部分 部门概况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_Toc6746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4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_Toc1802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1"/>
              <w:position w:val="4"/>
              <w:sz w:val="32"/>
              <w:szCs w:val="32"/>
            </w:rPr>
            <w:t>一</w:t>
          </w:r>
          <w:r>
            <w:rPr>
              <w:rFonts w:hint="eastAsia" w:ascii="仿宋" w:hAnsi="仿宋" w:eastAsia="仿宋" w:cs="仿宋"/>
              <w:spacing w:val="8"/>
              <w:position w:val="4"/>
              <w:sz w:val="32"/>
              <w:szCs w:val="32"/>
            </w:rPr>
            <w:t>、基本职能及主要工作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_Toc1802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4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_Toc1823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二、机构设置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_Toc1823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4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3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_Toc1265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4"/>
              <w:sz w:val="32"/>
              <w:szCs w:val="32"/>
            </w:rPr>
            <w:t>第二</w:t>
          </w:r>
          <w:r>
            <w:rPr>
              <w:rFonts w:hint="eastAsia" w:ascii="仿宋" w:hAnsi="仿宋" w:eastAsia="仿宋" w:cs="仿宋"/>
              <w:spacing w:val="3"/>
              <w:sz w:val="32"/>
              <w:szCs w:val="32"/>
            </w:rPr>
            <w:t>部</w:t>
          </w:r>
          <w:r>
            <w:rPr>
              <w:rFonts w:hint="eastAsia" w:ascii="仿宋" w:hAnsi="仿宋" w:eastAsia="仿宋" w:cs="仿宋"/>
              <w:spacing w:val="2"/>
              <w:sz w:val="32"/>
              <w:szCs w:val="32"/>
            </w:rPr>
            <w:t>分 2020 年度部门决算情况说明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_Toc1265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5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_Toc6231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5"/>
              <w:sz w:val="32"/>
              <w:szCs w:val="32"/>
            </w:rPr>
            <w:t>一</w:t>
          </w:r>
          <w:r>
            <w:rPr>
              <w:rFonts w:hint="eastAsia" w:ascii="仿宋" w:hAnsi="仿宋" w:eastAsia="仿宋" w:cs="仿宋"/>
              <w:spacing w:val="3"/>
              <w:sz w:val="32"/>
              <w:szCs w:val="32"/>
            </w:rPr>
            <w:t>、 收入支出决算总体情况说明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_Toc6231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5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_Toc1413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"/>
              <w:sz w:val="32"/>
              <w:szCs w:val="32"/>
            </w:rPr>
            <w:t>二、 收入决</w:t>
          </w:r>
          <w:r>
            <w:rPr>
              <w:rFonts w:hint="eastAsia" w:ascii="仿宋" w:hAnsi="仿宋" w:eastAsia="仿宋" w:cs="仿宋"/>
              <w:sz w:val="32"/>
              <w:szCs w:val="32"/>
            </w:rPr>
            <w:t>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_Toc1413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5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_Toc7691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"/>
              <w:sz w:val="32"/>
              <w:szCs w:val="32"/>
            </w:rPr>
            <w:t>三、 支</w:t>
          </w:r>
          <w:r>
            <w:rPr>
              <w:rFonts w:hint="eastAsia" w:ascii="仿宋" w:hAnsi="仿宋" w:eastAsia="仿宋" w:cs="仿宋"/>
              <w:sz w:val="32"/>
              <w:szCs w:val="32"/>
            </w:rPr>
            <w:t>出决算情况说明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_Toc7691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_Toc29111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五、一般公共预算财政拨款支出决算情况说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_Toc29111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7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_Toc3257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六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  <w14:textOutline w14:w="5791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一般公共预算财政拨款基本支出决算情况说</w:t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_Toc3257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8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_Toc21133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2"/>
              <w:sz w:val="32"/>
              <w:szCs w:val="32"/>
            </w:rPr>
            <w:t>七、“三公”经费财政拨</w:t>
          </w:r>
          <w:r>
            <w:rPr>
              <w:rFonts w:hint="eastAsia" w:ascii="仿宋" w:hAnsi="仿宋" w:eastAsia="仿宋" w:cs="仿宋"/>
              <w:spacing w:val="1"/>
              <w:sz w:val="32"/>
              <w:szCs w:val="32"/>
            </w:rPr>
            <w:t>款支出决算情况说明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_Toc21133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8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_Toc866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2"/>
              <w:sz w:val="32"/>
              <w:szCs w:val="32"/>
            </w:rPr>
            <w:t>八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、政府性基金预算支出决算情况说明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_Toc866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10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_Toc14672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6"/>
              <w:sz w:val="32"/>
              <w:szCs w:val="32"/>
            </w:rPr>
            <w:t>九</w:t>
          </w:r>
          <w:r>
            <w:rPr>
              <w:rFonts w:hint="eastAsia" w:ascii="仿宋" w:hAnsi="仿宋" w:eastAsia="仿宋" w:cs="仿宋"/>
              <w:spacing w:val="13"/>
              <w:sz w:val="32"/>
              <w:szCs w:val="32"/>
            </w:rPr>
            <w:t>、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国有资本经营预算支出决算情况说明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_Toc14672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10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_Toc22136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十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  <w14:textOutline w14:w="5791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其他重要事项的情况说</w:t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明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_Toc22136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10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3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_Toc4790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0"/>
              <w:sz w:val="32"/>
              <w:szCs w:val="32"/>
            </w:rPr>
            <w:t>第</w:t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三部分 名词解释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_Toc4790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12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3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_Toc3607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第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四部分 附件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_Toc3607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15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3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_Toc28524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第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五部分 附表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_Toc28524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_Toc17907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2"/>
              <w:sz w:val="32"/>
              <w:szCs w:val="32"/>
            </w:rPr>
            <w:t>一</w:t>
          </w:r>
          <w:r>
            <w:rPr>
              <w:rFonts w:hint="eastAsia" w:ascii="仿宋" w:hAnsi="仿宋" w:eastAsia="仿宋" w:cs="仿宋"/>
              <w:spacing w:val="6"/>
              <w:sz w:val="32"/>
              <w:szCs w:val="32"/>
            </w:rPr>
            <w:t>、收入支出决算总表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_Toc17907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_Toc13305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二</w:t>
          </w:r>
          <w:r>
            <w:rPr>
              <w:rFonts w:hint="eastAsia" w:ascii="仿宋" w:hAnsi="仿宋" w:eastAsia="仿宋" w:cs="仿宋"/>
              <w:spacing w:val="5"/>
              <w:sz w:val="32"/>
              <w:szCs w:val="32"/>
            </w:rPr>
            <w:t>、收入决算表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_Toc13305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_Toc12675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三</w:t>
          </w:r>
          <w:r>
            <w:rPr>
              <w:rFonts w:hint="eastAsia" w:ascii="仿宋" w:hAnsi="仿宋" w:eastAsia="仿宋" w:cs="仿宋"/>
              <w:spacing w:val="5"/>
              <w:sz w:val="32"/>
              <w:szCs w:val="32"/>
            </w:rPr>
            <w:t>、</w:t>
          </w:r>
          <w:r>
            <w:rPr>
              <w:rFonts w:hint="eastAsia" w:ascii="仿宋" w:hAnsi="仿宋" w:eastAsia="仿宋" w:cs="仿宋"/>
              <w:spacing w:val="4"/>
              <w:sz w:val="32"/>
              <w:szCs w:val="32"/>
            </w:rPr>
            <w:t>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_Toc12675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_Toc19651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0"/>
              <w:sz w:val="32"/>
              <w:szCs w:val="32"/>
            </w:rPr>
            <w:t>四</w:t>
          </w:r>
          <w:r>
            <w:rPr>
              <w:rFonts w:hint="eastAsia" w:ascii="仿宋" w:hAnsi="仿宋" w:eastAsia="仿宋" w:cs="仿宋"/>
              <w:spacing w:val="6"/>
              <w:sz w:val="32"/>
              <w:szCs w:val="32"/>
            </w:rPr>
            <w:t>、财政拨款收入支出决算总表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_Toc19651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_Toc16215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五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、财政拨款支出决算明细表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_Toc16215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_Toc23252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4"/>
              <w:sz w:val="32"/>
              <w:szCs w:val="32"/>
            </w:rPr>
            <w:t>六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、一般公共预算财政拨款支出决算表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_Toc23252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_Toc11809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七、一般公共预算财政拨款支出决算明细</w:t>
          </w:r>
          <w:r>
            <w:rPr>
              <w:rFonts w:hint="eastAsia" w:ascii="仿宋" w:hAnsi="仿宋" w:eastAsia="仿宋" w:cs="仿宋"/>
              <w:spacing w:val="7"/>
              <w:sz w:val="32"/>
              <w:szCs w:val="32"/>
            </w:rPr>
            <w:t>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_Toc11809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_Toc1182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八、一般公共预算财政拨款基本支出决算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_Toc1182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_Toc2801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0"/>
              <w:sz w:val="32"/>
              <w:szCs w:val="32"/>
            </w:rPr>
            <w:t>九</w:t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、一般公共预算财政拨款项目支出决算表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_Toc2801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_Toc10697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6"/>
              <w:sz w:val="32"/>
              <w:szCs w:val="32"/>
            </w:rPr>
            <w:t>十、</w:t>
          </w:r>
          <w:r>
            <w:rPr>
              <w:rFonts w:hint="eastAsia" w:ascii="仿宋" w:hAnsi="仿宋" w:eastAsia="仿宋" w:cs="仿宋"/>
              <w:spacing w:val="10"/>
              <w:sz w:val="32"/>
              <w:szCs w:val="32"/>
            </w:rPr>
            <w:t>一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般公共预算财政拨款“三公”经费支出决算表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 xml:space="preserve"> 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_Toc2801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pacing w:val="16"/>
              <w:sz w:val="32"/>
              <w:szCs w:val="32"/>
            </w:rPr>
            <w:t>十</w:t>
          </w:r>
          <w:r>
            <w:rPr>
              <w:rFonts w:hint="eastAsia" w:ascii="仿宋" w:hAnsi="仿宋" w:eastAsia="仿宋" w:cs="仿宋"/>
              <w:spacing w:val="13"/>
              <w:sz w:val="32"/>
              <w:szCs w:val="32"/>
            </w:rPr>
            <w:t>一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、政府性基金预算财政拨款收入支出决算表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_Toc10697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_Toc2619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2"/>
              <w:szCs w:val="32"/>
            </w:rPr>
            <w:t>十二、政府性基金预算财政拨款“三公”经费支出决算</w:t>
          </w:r>
          <w:r>
            <w:rPr>
              <w:rFonts w:hint="eastAsia" w:ascii="仿宋" w:hAnsi="仿宋" w:eastAsia="仿宋" w:cs="仿宋"/>
              <w:spacing w:val="4"/>
              <w:sz w:val="32"/>
              <w:szCs w:val="32"/>
            </w:rPr>
            <w:t>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 xml:space="preserve"> 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_Toc2801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pacing w:val="16"/>
              <w:sz w:val="32"/>
              <w:szCs w:val="32"/>
            </w:rPr>
            <w:t>十</w:t>
          </w:r>
          <w:r>
            <w:rPr>
              <w:rFonts w:hint="eastAsia" w:ascii="仿宋" w:hAnsi="仿宋" w:eastAsia="仿宋" w:cs="仿宋"/>
              <w:spacing w:val="14"/>
              <w:sz w:val="32"/>
              <w:szCs w:val="32"/>
            </w:rPr>
            <w:t>三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、国有资本经营预算财政拨款收入支出决算表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_Toc2619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pStyle w:val="4"/>
            <w:tabs>
              <w:tab w:val="right" w:leader="dot" w:pos="8337"/>
            </w:tabs>
            <w:rPr>
              <w:rFonts w:hint="eastAsia" w:ascii="仿宋" w:hAnsi="仿宋" w:eastAsia="仿宋" w:cs="仿宋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HYPERLINK \l _Toc31398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pacing w:val="16"/>
              <w:sz w:val="32"/>
              <w:szCs w:val="32"/>
            </w:rPr>
            <w:t>十</w:t>
          </w:r>
          <w:r>
            <w:rPr>
              <w:rFonts w:hint="eastAsia" w:ascii="仿宋" w:hAnsi="仿宋" w:eastAsia="仿宋" w:cs="仿宋"/>
              <w:spacing w:val="12"/>
              <w:sz w:val="32"/>
              <w:szCs w:val="32"/>
            </w:rPr>
            <w:t>四</w:t>
          </w:r>
          <w:r>
            <w:rPr>
              <w:rFonts w:hint="eastAsia" w:ascii="仿宋" w:hAnsi="仿宋" w:eastAsia="仿宋" w:cs="仿宋"/>
              <w:spacing w:val="8"/>
              <w:sz w:val="32"/>
              <w:szCs w:val="32"/>
            </w:rPr>
            <w:t>、国有资本经营预算财政拨款支出决算表</w:t>
          </w:r>
          <w:r>
            <w:rPr>
              <w:rFonts w:hint="eastAsia" w:ascii="仿宋" w:hAnsi="仿宋" w:eastAsia="仿宋" w:cs="仿宋"/>
              <w:sz w:val="32"/>
              <w:szCs w:val="32"/>
            </w:rPr>
            <w:tab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begin"/>
          </w:r>
          <w:r>
            <w:rPr>
              <w:rFonts w:hint="eastAsia" w:ascii="仿宋" w:hAnsi="仿宋" w:eastAsia="仿宋" w:cs="仿宋"/>
              <w:sz w:val="32"/>
              <w:szCs w:val="32"/>
            </w:rPr>
            <w:instrText xml:space="preserve"> PAGEREF _Toc31398 \h </w:instrTex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separate"/>
          </w:r>
          <w:r>
            <w:rPr>
              <w:rFonts w:hint="eastAsia" w:ascii="仿宋" w:hAnsi="仿宋" w:eastAsia="仿宋" w:cs="仿宋"/>
              <w:sz w:val="32"/>
              <w:szCs w:val="32"/>
            </w:rPr>
            <w:t>16</w:t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  <w:p>
          <w:pPr>
            <w:rPr>
              <w:rFonts w:hint="eastAsia" w:ascii="仿宋" w:hAnsi="仿宋" w:eastAsia="仿宋" w:cs="仿宋"/>
              <w:sz w:val="32"/>
              <w:szCs w:val="32"/>
            </w:rPr>
            <w:sectPr>
              <w:footerReference r:id="rId5" w:type="default"/>
              <w:pgSz w:w="11907" w:h="16839"/>
              <w:pgMar w:top="1431" w:right="1785" w:bottom="1376" w:left="1785" w:header="0" w:footer="1214" w:gutter="0"/>
              <w:cols w:space="720" w:num="1"/>
            </w:sectPr>
          </w:pPr>
          <w:r>
            <w:rPr>
              <w:rFonts w:hint="eastAsia" w:ascii="仿宋" w:hAnsi="仿宋" w:eastAsia="仿宋" w:cs="仿宋"/>
              <w:sz w:val="32"/>
              <w:szCs w:val="32"/>
            </w:rPr>
            <w:fldChar w:fldCharType="end"/>
          </w:r>
        </w:p>
      </w:sdtContent>
    </w:sdt>
    <w:sdt>
      <w:sdtPr>
        <w:rPr>
          <w:rFonts w:ascii="仿宋" w:hAnsi="仿宋" w:eastAsia="仿宋" w:cs="仿宋"/>
          <w:sz w:val="31"/>
          <w:szCs w:val="31"/>
        </w:rPr>
        <w:id w:val="2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1"/>
          <w:szCs w:val="31"/>
        </w:rPr>
      </w:sdtEndPr>
      <w:sdtContent>
        <w:p>
          <w:pPr>
            <w:tabs>
              <w:tab w:val="right" w:leader="dot" w:pos="8312"/>
            </w:tabs>
            <w:spacing w:before="160" w:line="223" w:lineRule="auto"/>
            <w:ind w:left="42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"_bookmark15" </w:instrText>
          </w:r>
          <w:r>
            <w:fldChar w:fldCharType="separate"/>
          </w:r>
          <w:r>
            <w:rPr>
              <w:rFonts w:ascii="仿宋" w:hAnsi="仿宋" w:eastAsia="仿宋" w:cs="仿宋"/>
              <w:spacing w:val="25"/>
              <w:sz w:val="31"/>
              <w:szCs w:val="31"/>
            </w:rPr>
            <w:t>第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t xml:space="preserve">三部分 名词解释 </w:t>
          </w:r>
          <w:r>
            <w:rPr>
              <w:rFonts w:ascii="仿宋" w:hAnsi="仿宋" w:eastAsia="仿宋" w:cs="仿宋"/>
              <w:sz w:val="31"/>
              <w:szCs w:val="31"/>
            </w:rPr>
            <w:tab/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t>11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fldChar w:fldCharType="end"/>
          </w:r>
        </w:p>
        <w:p>
          <w:pPr>
            <w:spacing w:line="267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2"/>
            </w:tabs>
            <w:spacing w:before="100" w:line="223" w:lineRule="auto"/>
            <w:ind w:left="43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"_bookmark16" </w:instrText>
          </w:r>
          <w:r>
            <w:fldChar w:fldCharType="separate"/>
          </w:r>
          <w:r>
            <w:rPr>
              <w:rFonts w:ascii="仿宋" w:hAnsi="仿宋" w:eastAsia="仿宋" w:cs="仿宋"/>
              <w:spacing w:val="18"/>
              <w:sz w:val="31"/>
              <w:szCs w:val="31"/>
            </w:rPr>
            <w:t xml:space="preserve">第四部分 附件 </w:t>
          </w:r>
          <w:r>
            <w:rPr>
              <w:rFonts w:ascii="仿宋" w:hAnsi="仿宋" w:eastAsia="仿宋" w:cs="仿宋"/>
              <w:sz w:val="31"/>
              <w:szCs w:val="31"/>
            </w:rPr>
            <w:tab/>
          </w:r>
          <w:r>
            <w:rPr>
              <w:rFonts w:ascii="仿宋" w:hAnsi="仿宋" w:eastAsia="仿宋" w:cs="仿宋"/>
              <w:spacing w:val="18"/>
              <w:sz w:val="31"/>
              <w:szCs w:val="31"/>
            </w:rPr>
            <w:t>1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t>4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fldChar w:fldCharType="end"/>
          </w:r>
        </w:p>
        <w:p>
          <w:pPr>
            <w:spacing w:line="267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2"/>
            </w:tabs>
            <w:spacing w:before="100" w:line="223" w:lineRule="auto"/>
            <w:ind w:left="43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"_bookmark17" </w:instrText>
          </w:r>
          <w:r>
            <w:fldChar w:fldCharType="separate"/>
          </w:r>
          <w:r>
            <w:rPr>
              <w:rFonts w:ascii="仿宋" w:hAnsi="仿宋" w:eastAsia="仿宋" w:cs="仿宋"/>
              <w:spacing w:val="18"/>
              <w:sz w:val="31"/>
              <w:szCs w:val="31"/>
            </w:rPr>
            <w:t xml:space="preserve">第五部分 附表 </w:t>
          </w:r>
          <w:r>
            <w:rPr>
              <w:rFonts w:ascii="仿宋" w:hAnsi="仿宋" w:eastAsia="仿宋" w:cs="仿宋"/>
              <w:sz w:val="31"/>
              <w:szCs w:val="31"/>
            </w:rPr>
            <w:tab/>
          </w:r>
          <w:r>
            <w:rPr>
              <w:rFonts w:ascii="仿宋" w:hAnsi="仿宋" w:eastAsia="仿宋" w:cs="仿宋"/>
              <w:spacing w:val="18"/>
              <w:sz w:val="31"/>
              <w:szCs w:val="31"/>
            </w:rPr>
            <w:t>1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t>5</w:t>
          </w:r>
          <w:r>
            <w:rPr>
              <w:rFonts w:ascii="仿宋" w:hAnsi="仿宋" w:eastAsia="仿宋" w:cs="仿宋"/>
              <w:spacing w:val="16"/>
              <w:sz w:val="31"/>
              <w:szCs w:val="31"/>
            </w:rPr>
            <w:fldChar w:fldCharType="end"/>
          </w:r>
        </w:p>
      </w:sdtContent>
    </w:sdt>
    <w:p>
      <w:pPr>
        <w:sectPr>
          <w:footerReference r:id="rId6" w:type="default"/>
          <w:pgSz w:w="11907" w:h="16839"/>
          <w:pgMar w:top="1431" w:right="1785" w:bottom="1377" w:left="1785" w:header="0" w:footer="1214" w:gutter="0"/>
          <w:cols w:space="720" w:num="1"/>
        </w:sectPr>
      </w:pPr>
    </w:p>
    <w:p>
      <w:pPr>
        <w:spacing w:before="161" w:line="225" w:lineRule="auto"/>
        <w:ind w:left="2313"/>
        <w:outlineLvl w:val="0"/>
        <w:rPr>
          <w:rFonts w:ascii="黑体" w:hAnsi="黑体" w:eastAsia="黑体" w:cs="黑体"/>
          <w:sz w:val="43"/>
          <w:szCs w:val="43"/>
        </w:rPr>
      </w:pPr>
      <w:bookmarkStart w:id="0" w:name="_Toc6746"/>
      <w:r>
        <w:rPr>
          <w:rFonts w:ascii="黑体" w:hAnsi="黑体" w:eastAsia="黑体" w:cs="黑体"/>
          <w:spacing w:val="11"/>
          <w:sz w:val="43"/>
          <w:szCs w:val="43"/>
        </w:rPr>
        <w:t>第</w:t>
      </w:r>
      <w:r>
        <w:rPr>
          <w:rFonts w:ascii="黑体" w:hAnsi="黑体" w:eastAsia="黑体" w:cs="黑体"/>
          <w:spacing w:val="7"/>
          <w:sz w:val="43"/>
          <w:szCs w:val="43"/>
        </w:rPr>
        <w:t>一部分 部门概况</w:t>
      </w:r>
      <w:bookmarkEnd w:id="0"/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1" w:line="513" w:lineRule="exact"/>
        <w:ind w:left="31"/>
        <w:outlineLvl w:val="1"/>
        <w:rPr>
          <w:rFonts w:ascii="黑体" w:hAnsi="黑体" w:eastAsia="黑体" w:cs="黑体"/>
          <w:sz w:val="31"/>
          <w:szCs w:val="31"/>
        </w:rPr>
      </w:pPr>
      <w:bookmarkStart w:id="1" w:name="_Toc1802"/>
      <w:r>
        <w:rPr>
          <w:rFonts w:ascii="黑体" w:hAnsi="黑体" w:eastAsia="黑体" w:cs="黑体"/>
          <w:spacing w:val="11"/>
          <w:position w:val="4"/>
          <w:sz w:val="31"/>
          <w:szCs w:val="31"/>
        </w:rPr>
        <w:t>一</w:t>
      </w:r>
      <w:r>
        <w:rPr>
          <w:rFonts w:ascii="黑体" w:hAnsi="黑体" w:eastAsia="黑体" w:cs="黑体"/>
          <w:spacing w:val="8"/>
          <w:position w:val="4"/>
          <w:sz w:val="31"/>
          <w:szCs w:val="31"/>
        </w:rPr>
        <w:t>、基本职能及主要工作</w:t>
      </w:r>
      <w:bookmarkEnd w:id="1"/>
    </w:p>
    <w:p>
      <w:pPr>
        <w:spacing w:line="320" w:lineRule="auto"/>
        <w:rPr>
          <w:rFonts w:ascii="Arial"/>
          <w:sz w:val="21"/>
        </w:rPr>
      </w:pPr>
    </w:p>
    <w:p>
      <w:pPr>
        <w:spacing w:before="100" w:line="227" w:lineRule="auto"/>
        <w:ind w:left="711"/>
        <w:outlineLvl w:val="2"/>
        <w:rPr>
          <w:rFonts w:ascii="仿宋" w:hAnsi="仿宋" w:eastAsia="仿宋" w:cs="仿宋"/>
          <w:sz w:val="31"/>
          <w:szCs w:val="31"/>
        </w:rPr>
      </w:pPr>
      <w:bookmarkStart w:id="2" w:name="_Toc20417"/>
      <w:r>
        <w:rPr>
          <w:rFonts w:ascii="仿宋" w:hAnsi="仿宋" w:eastAsia="仿宋" w:cs="仿宋"/>
          <w:spacing w:val="44"/>
          <w:sz w:val="31"/>
          <w:szCs w:val="31"/>
        </w:rPr>
        <w:t>(</w:t>
      </w:r>
      <w:r>
        <w:rPr>
          <w:rFonts w:ascii="仿宋" w:hAnsi="仿宋" w:eastAsia="仿宋" w:cs="仿宋"/>
          <w:spacing w:val="39"/>
          <w:sz w:val="31"/>
          <w:szCs w:val="31"/>
        </w:rPr>
        <w:t>一)主要职能。</w:t>
      </w:r>
      <w:bookmarkEnd w:id="2"/>
    </w:p>
    <w:p>
      <w:pPr>
        <w:spacing w:before="164" w:line="378" w:lineRule="auto"/>
        <w:ind w:left="22" w:right="158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实</w:t>
      </w:r>
      <w:r>
        <w:rPr>
          <w:rFonts w:ascii="仿宋" w:hAnsi="仿宋" w:eastAsia="仿宋" w:cs="仿宋"/>
          <w:spacing w:val="-7"/>
          <w:sz w:val="31"/>
          <w:szCs w:val="31"/>
        </w:rPr>
        <w:t>施小学义务教育， 促进基础教育发展。小学学历教育，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使</w:t>
      </w:r>
      <w:r>
        <w:rPr>
          <w:rFonts w:ascii="仿宋" w:hAnsi="仿宋" w:eastAsia="仿宋" w:cs="仿宋"/>
          <w:spacing w:val="6"/>
          <w:sz w:val="31"/>
          <w:szCs w:val="31"/>
        </w:rPr>
        <w:t>儿童少年在德、智、体方面全面发展。</w:t>
      </w:r>
    </w:p>
    <w:p>
      <w:pPr>
        <w:spacing w:before="124" w:line="226" w:lineRule="auto"/>
        <w:ind w:left="711"/>
        <w:outlineLvl w:val="2"/>
        <w:rPr>
          <w:rFonts w:ascii="仿宋" w:hAnsi="仿宋" w:eastAsia="仿宋" w:cs="仿宋"/>
          <w:sz w:val="31"/>
          <w:szCs w:val="31"/>
        </w:rPr>
      </w:pPr>
      <w:bookmarkStart w:id="3" w:name="_Toc4855"/>
      <w:r>
        <w:rPr>
          <w:rFonts w:ascii="仿宋" w:hAnsi="仿宋" w:eastAsia="仿宋" w:cs="仿宋"/>
          <w:spacing w:val="14"/>
          <w:sz w:val="31"/>
          <w:szCs w:val="31"/>
        </w:rPr>
        <w:t>(</w:t>
      </w:r>
      <w:r>
        <w:rPr>
          <w:rFonts w:ascii="仿宋" w:hAnsi="仿宋" w:eastAsia="仿宋" w:cs="仿宋"/>
          <w:spacing w:val="8"/>
          <w:sz w:val="31"/>
          <w:szCs w:val="31"/>
        </w:rPr>
        <w:t>二) 2020 年重点工作完成情况。</w:t>
      </w:r>
      <w:bookmarkEnd w:id="3"/>
    </w:p>
    <w:p>
      <w:pPr>
        <w:spacing w:before="314" w:line="226" w:lineRule="auto"/>
        <w:ind w:left="700"/>
        <w:outlineLvl w:val="2"/>
        <w:rPr>
          <w:rFonts w:ascii="仿宋" w:hAnsi="仿宋" w:eastAsia="仿宋" w:cs="仿宋"/>
          <w:sz w:val="31"/>
          <w:szCs w:val="31"/>
        </w:rPr>
      </w:pPr>
      <w:bookmarkStart w:id="4" w:name="_Toc21553"/>
      <w:r>
        <w:rPr>
          <w:rFonts w:ascii="仿宋" w:hAnsi="仿宋" w:eastAsia="仿宋" w:cs="仿宋"/>
          <w:spacing w:val="-2"/>
          <w:sz w:val="31"/>
          <w:szCs w:val="31"/>
        </w:rPr>
        <w:t>2020 年学校并入塘坎上小学教</w:t>
      </w:r>
      <w:r>
        <w:rPr>
          <w:rFonts w:ascii="仿宋" w:hAnsi="仿宋" w:eastAsia="仿宋" w:cs="仿宋"/>
          <w:spacing w:val="-1"/>
          <w:sz w:val="31"/>
          <w:szCs w:val="31"/>
        </w:rPr>
        <w:t>育集团，在集团的领导下，</w:t>
      </w:r>
      <w:bookmarkEnd w:id="4"/>
    </w:p>
    <w:p>
      <w:pPr>
        <w:spacing w:before="225" w:line="362" w:lineRule="auto"/>
        <w:ind w:left="26" w:right="242" w:firstLine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校品质得到了提高。教师教育教学成果在各级评选中成绩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优</w:t>
      </w:r>
      <w:r>
        <w:rPr>
          <w:rFonts w:ascii="仿宋" w:hAnsi="仿宋" w:eastAsia="仿宋" w:cs="仿宋"/>
          <w:spacing w:val="-10"/>
          <w:sz w:val="31"/>
          <w:szCs w:val="31"/>
        </w:rPr>
        <w:t>秀</w:t>
      </w:r>
      <w:r>
        <w:rPr>
          <w:rFonts w:ascii="仿宋" w:hAnsi="仿宋" w:eastAsia="仿宋" w:cs="仿宋"/>
          <w:spacing w:val="-7"/>
          <w:sz w:val="31"/>
          <w:szCs w:val="31"/>
        </w:rPr>
        <w:t>， 在省市区等各类活动比赛中获一等奖 8 人次。2020 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校完成了水电气的全面改造， 大大改善了师生的办公和生</w:t>
      </w:r>
      <w:r>
        <w:rPr>
          <w:rFonts w:ascii="仿宋" w:hAnsi="仿宋" w:eastAsia="仿宋" w:cs="仿宋"/>
          <w:spacing w:val="1"/>
          <w:sz w:val="31"/>
          <w:szCs w:val="31"/>
        </w:rPr>
        <w:t>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条</w:t>
      </w:r>
      <w:r>
        <w:rPr>
          <w:rFonts w:ascii="仿宋" w:hAnsi="仿宋" w:eastAsia="仿宋" w:cs="仿宋"/>
          <w:spacing w:val="-5"/>
          <w:sz w:val="31"/>
          <w:szCs w:val="31"/>
        </w:rPr>
        <w:t>件。</w:t>
      </w:r>
    </w:p>
    <w:p>
      <w:pPr>
        <w:spacing w:before="173" w:line="239" w:lineRule="auto"/>
        <w:ind w:left="31"/>
        <w:outlineLvl w:val="1"/>
        <w:rPr>
          <w:rFonts w:ascii="黑体" w:hAnsi="黑体" w:eastAsia="黑体" w:cs="黑体"/>
          <w:sz w:val="31"/>
          <w:szCs w:val="31"/>
        </w:rPr>
      </w:pPr>
      <w:bookmarkStart w:id="5" w:name="_Toc1823"/>
      <w:r>
        <w:rPr>
          <w:rFonts w:ascii="黑体" w:hAnsi="黑体" w:eastAsia="黑体" w:cs="黑体"/>
          <w:spacing w:val="7"/>
          <w:sz w:val="31"/>
          <w:szCs w:val="31"/>
        </w:rPr>
        <w:t>二、机构设置</w:t>
      </w:r>
      <w:bookmarkEnd w:id="5"/>
    </w:p>
    <w:p>
      <w:pPr>
        <w:spacing w:line="379" w:lineRule="auto"/>
        <w:rPr>
          <w:rFonts w:ascii="Arial"/>
          <w:sz w:val="21"/>
        </w:rPr>
      </w:pPr>
    </w:p>
    <w:p>
      <w:pPr>
        <w:spacing w:before="101" w:line="376" w:lineRule="auto"/>
        <w:ind w:left="27" w:right="244" w:firstLine="8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自</w:t>
      </w:r>
      <w:r>
        <w:rPr>
          <w:rFonts w:ascii="仿宋" w:hAnsi="仿宋" w:eastAsia="仿宋" w:cs="仿宋"/>
          <w:spacing w:val="12"/>
          <w:sz w:val="31"/>
          <w:szCs w:val="31"/>
        </w:rPr>
        <w:t>贡市自流井区鸿鹤小学校下属二级单位 1 个(含主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管</w:t>
      </w:r>
      <w:r>
        <w:rPr>
          <w:rFonts w:ascii="仿宋" w:hAnsi="仿宋" w:eastAsia="仿宋" w:cs="仿宋"/>
          <w:spacing w:val="8"/>
          <w:sz w:val="31"/>
          <w:szCs w:val="31"/>
        </w:rPr>
        <w:t>局本级)，其中行政单位 0 个，参照公务员法管理的事业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9"/>
          <w:sz w:val="31"/>
          <w:szCs w:val="31"/>
        </w:rPr>
        <w:t>单</w:t>
      </w:r>
      <w:r>
        <w:rPr>
          <w:rFonts w:ascii="仿宋" w:hAnsi="仿宋" w:eastAsia="仿宋" w:cs="仿宋"/>
          <w:spacing w:val="-12"/>
          <w:sz w:val="31"/>
          <w:szCs w:val="31"/>
        </w:rPr>
        <w:t>位 0 个，其他事业单位 1 个。</w:t>
      </w:r>
    </w:p>
    <w:p>
      <w:pPr>
        <w:spacing w:before="124" w:line="366" w:lineRule="auto"/>
        <w:ind w:left="35" w:right="245" w:firstLine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纳</w:t>
      </w:r>
      <w:r>
        <w:rPr>
          <w:rFonts w:ascii="仿宋" w:hAnsi="仿宋" w:eastAsia="仿宋" w:cs="仿宋"/>
          <w:spacing w:val="9"/>
          <w:sz w:val="31"/>
          <w:szCs w:val="31"/>
        </w:rPr>
        <w:t>入</w:t>
      </w:r>
      <w:r>
        <w:rPr>
          <w:rFonts w:ascii="仿宋" w:hAnsi="仿宋" w:eastAsia="仿宋" w:cs="仿宋"/>
          <w:spacing w:val="6"/>
          <w:sz w:val="31"/>
          <w:szCs w:val="31"/>
        </w:rPr>
        <w:t>自贡市自流井区鸿鹤小学校 2020 年度部门决算编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制范围的二级预算单位包括：自贡市自流井区鸿鹤小学</w:t>
      </w:r>
      <w:r>
        <w:rPr>
          <w:rFonts w:ascii="仿宋" w:hAnsi="仿宋" w:eastAsia="仿宋" w:cs="仿宋"/>
          <w:spacing w:val="8"/>
          <w:sz w:val="31"/>
          <w:szCs w:val="31"/>
        </w:rPr>
        <w:t>校</w:t>
      </w:r>
    </w:p>
    <w:p>
      <w:pPr>
        <w:sectPr>
          <w:footerReference r:id="rId7" w:type="default"/>
          <w:pgSz w:w="11907" w:h="16839"/>
          <w:pgMar w:top="1431" w:right="1557" w:bottom="1377" w:left="1785" w:header="0" w:footer="1214" w:gutter="0"/>
          <w:cols w:space="720" w:num="1"/>
        </w:sectPr>
      </w:pPr>
    </w:p>
    <w:p>
      <w:pPr>
        <w:spacing w:before="161" w:line="225" w:lineRule="auto"/>
        <w:ind w:left="525"/>
        <w:outlineLvl w:val="0"/>
        <w:rPr>
          <w:rFonts w:ascii="黑体" w:hAnsi="黑体" w:eastAsia="黑体" w:cs="黑体"/>
          <w:sz w:val="43"/>
          <w:szCs w:val="43"/>
        </w:rPr>
      </w:pPr>
      <w:bookmarkStart w:id="6" w:name="_Toc1265"/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2266950</wp:posOffset>
            </wp:positionH>
            <wp:positionV relativeFrom="page">
              <wp:posOffset>8343900</wp:posOffset>
            </wp:positionV>
            <wp:extent cx="3457575" cy="2078355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07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4"/>
          <w:sz w:val="43"/>
          <w:szCs w:val="43"/>
        </w:rPr>
        <w:t>第二</w:t>
      </w:r>
      <w:r>
        <w:rPr>
          <w:rFonts w:ascii="黑体" w:hAnsi="黑体" w:eastAsia="黑体" w:cs="黑体"/>
          <w:spacing w:val="3"/>
          <w:sz w:val="43"/>
          <w:szCs w:val="43"/>
        </w:rPr>
        <w:t>部</w:t>
      </w:r>
      <w:r>
        <w:rPr>
          <w:rFonts w:ascii="黑体" w:hAnsi="黑体" w:eastAsia="黑体" w:cs="黑体"/>
          <w:spacing w:val="2"/>
          <w:sz w:val="43"/>
          <w:szCs w:val="43"/>
        </w:rPr>
        <w:t>分 2020 年度部门决算情况说明</w:t>
      </w:r>
      <w:bookmarkEnd w:id="6"/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0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7" w:name="_Toc6231"/>
      <w:r>
        <w:rPr>
          <w:rFonts w:ascii="黑体" w:hAnsi="黑体" w:eastAsia="黑体" w:cs="黑体"/>
          <w:spacing w:val="5"/>
          <w:sz w:val="31"/>
          <w:szCs w:val="31"/>
        </w:rPr>
        <w:t>一</w:t>
      </w:r>
      <w:r>
        <w:rPr>
          <w:rFonts w:ascii="黑体" w:hAnsi="黑体" w:eastAsia="黑体" w:cs="黑体"/>
          <w:spacing w:val="3"/>
          <w:sz w:val="31"/>
          <w:szCs w:val="31"/>
        </w:rPr>
        <w:t>、 收入支出决算总体情况说明</w:t>
      </w:r>
      <w:bookmarkEnd w:id="7"/>
    </w:p>
    <w:p>
      <w:pPr>
        <w:spacing w:before="219" w:line="356" w:lineRule="auto"/>
        <w:ind w:left="35" w:right="15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6"/>
          <w:sz w:val="31"/>
          <w:szCs w:val="31"/>
        </w:rPr>
        <w:t>2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020 年度收、支总计 </w:t>
      </w:r>
      <w:r>
        <w:rPr>
          <w:rFonts w:ascii="仿宋" w:hAnsi="仿宋" w:eastAsia="仿宋" w:cs="仿宋"/>
          <w:spacing w:val="-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549.50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万元。与 2019 年相比，收、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支总计各减少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15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万元，下降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2.66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%。主要变动原因是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2019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年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有三供一业转交费用。</w:t>
      </w:r>
    </w:p>
    <w:p>
      <w:pPr>
        <w:spacing w:line="4339" w:lineRule="exact"/>
        <w:ind w:firstLine="644"/>
        <w:textAlignment w:val="center"/>
      </w:pPr>
      <w:r>
        <w:drawing>
          <wp:inline distT="0" distB="0" distL="0" distR="0">
            <wp:extent cx="4584700" cy="27552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75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6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8" w:name="_Toc1413"/>
      <w:r>
        <w:rPr>
          <w:rFonts w:ascii="黑体" w:hAnsi="黑体" w:eastAsia="黑体" w:cs="黑体"/>
          <w:spacing w:val="1"/>
          <w:sz w:val="31"/>
          <w:szCs w:val="31"/>
        </w:rPr>
        <w:t>二、 收入决</w:t>
      </w:r>
      <w:r>
        <w:rPr>
          <w:rFonts w:ascii="黑体" w:hAnsi="黑体" w:eastAsia="黑体" w:cs="黑体"/>
          <w:sz w:val="31"/>
          <w:szCs w:val="31"/>
        </w:rPr>
        <w:t>算情况说明</w:t>
      </w:r>
      <w:bookmarkEnd w:id="8"/>
    </w:p>
    <w:p>
      <w:pPr>
        <w:spacing w:before="217" w:line="361" w:lineRule="auto"/>
        <w:ind w:left="35" w:right="1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202</w:t>
      </w:r>
      <w:r>
        <w:rPr>
          <w:rFonts w:ascii="仿宋" w:hAnsi="仿宋" w:eastAsia="仿宋" w:cs="仿宋"/>
          <w:spacing w:val="-8"/>
          <w:sz w:val="31"/>
          <w:szCs w:val="31"/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年本年收入合计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501.50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万元， 其中： 一般公共预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算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财政拨款收入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501.50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%；政府性基金预算财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政拨款收入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万元，占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%；上级补助收入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%；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事业收入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万元</w:t>
      </w:r>
      <w:r>
        <w:rPr>
          <w:rFonts w:ascii="仿宋" w:hAnsi="仿宋" w:eastAsia="仿宋" w:cs="仿宋"/>
          <w:spacing w:val="-3"/>
          <w:sz w:val="31"/>
          <w:szCs w:val="31"/>
        </w:rPr>
        <w:t>，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占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%；经营收入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%；附属单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位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上缴收入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%；其他收入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>%。</w:t>
      </w:r>
    </w:p>
    <w:p>
      <w:pPr>
        <w:sectPr>
          <w:footerReference r:id="rId8" w:type="default"/>
          <w:pgSz w:w="11907" w:h="16839"/>
          <w:pgMar w:top="1431" w:right="1785" w:bottom="1376" w:left="1785" w:header="0" w:footer="1214" w:gutter="0"/>
          <w:cols w:space="720" w:num="1"/>
        </w:sectPr>
      </w:pPr>
    </w:p>
    <w:p>
      <w:pPr>
        <w:spacing w:before="215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9" w:name="_Toc7691"/>
      <w:r>
        <w:rPr>
          <w:rFonts w:ascii="黑体" w:hAnsi="黑体" w:eastAsia="黑体" w:cs="黑体"/>
          <w:spacing w:val="1"/>
          <w:sz w:val="31"/>
          <w:szCs w:val="31"/>
        </w:rPr>
        <w:t>三、 支</w:t>
      </w:r>
      <w:r>
        <w:rPr>
          <w:rFonts w:ascii="黑体" w:hAnsi="黑体" w:eastAsia="黑体" w:cs="黑体"/>
          <w:sz w:val="31"/>
          <w:szCs w:val="31"/>
        </w:rPr>
        <w:t>出决算情况说明</w:t>
      </w:r>
      <w:bookmarkEnd w:id="9"/>
    </w:p>
    <w:p>
      <w:pPr>
        <w:spacing w:before="221" w:line="357" w:lineRule="auto"/>
        <w:ind w:left="31" w:right="11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 xml:space="preserve">2020 年本年支出合计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万元，其中： 基本支</w:t>
      </w:r>
      <w:r>
        <w:rPr>
          <w:rFonts w:ascii="仿宋" w:hAnsi="仿宋" w:eastAsia="仿宋" w:cs="仿宋"/>
          <w:spacing w:val="2"/>
          <w:sz w:val="31"/>
          <w:szCs w:val="31"/>
        </w:rPr>
        <w:t>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%；项目支出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%；上缴上级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支出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万元， 占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%；经营支出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>%；对附属单</w:t>
      </w:r>
      <w:r>
        <w:rPr>
          <w:rFonts w:ascii="仿宋" w:hAnsi="仿宋" w:eastAsia="仿宋" w:cs="仿宋"/>
          <w:spacing w:val="-6"/>
          <w:sz w:val="31"/>
          <w:szCs w:val="31"/>
        </w:rPr>
        <w:t>位</w:t>
      </w:r>
    </w:p>
    <w:p>
      <w:pPr>
        <w:spacing w:line="227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2"/>
          <w:sz w:val="31"/>
          <w:szCs w:val="31"/>
        </w:rPr>
        <w:t>补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助支出 </w:t>
      </w:r>
      <w:r>
        <w:rPr>
          <w:rFonts w:ascii="仿宋" w:hAnsi="仿宋" w:eastAsia="仿宋" w:cs="仿宋"/>
          <w:spacing w:val="-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万元， 占 </w:t>
      </w:r>
      <w:r>
        <w:rPr>
          <w:rFonts w:ascii="仿宋" w:hAnsi="仿宋" w:eastAsia="仿宋" w:cs="仿宋"/>
          <w:spacing w:val="-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9"/>
          <w:sz w:val="31"/>
          <w:szCs w:val="31"/>
        </w:rPr>
        <w:t>%。</w:t>
      </w:r>
    </w:p>
    <w:p>
      <w:pPr>
        <w:spacing w:line="95" w:lineRule="exact"/>
      </w:pPr>
    </w:p>
    <w:tbl>
      <w:tblPr>
        <w:tblStyle w:val="7"/>
        <w:tblW w:w="7200" w:type="dxa"/>
        <w:tblInd w:w="674" w:type="dxa"/>
        <w:tblBorders>
          <w:top w:val="single" w:color="BFBFBF" w:sz="6" w:space="0"/>
          <w:left w:val="single" w:color="BFBFBF" w:sz="6" w:space="0"/>
          <w:bottom w:val="single" w:color="BFBFBF" w:sz="6" w:space="0"/>
          <w:right w:val="single" w:color="BFBFBF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0"/>
      </w:tblGrid>
      <w:tr>
        <w:tblPrEx>
          <w:tblBorders>
            <w:top w:val="single" w:color="BFBFBF" w:sz="6" w:space="0"/>
            <w:left w:val="single" w:color="BFBFBF" w:sz="6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5" w:hRule="atLeast"/>
        </w:trPr>
        <w:tc>
          <w:tcPr>
            <w:tcW w:w="7200" w:type="dxa"/>
            <w:vAlign w:val="top"/>
          </w:tcPr>
          <w:p>
            <w:pPr>
              <w:spacing w:line="4305" w:lineRule="exact"/>
              <w:textAlignment w:val="center"/>
            </w:pPr>
            <w:r>
              <w:pict>
                <v:group id="_x0000_s1026" o:spid="_x0000_s1026" o:spt="203" style="height:216pt;width:360pt;" coordsize="7200,4320">
                  <o:lock v:ext="edit"/>
                  <v:shape id="_x0000_s1027" o:spid="_x0000_s1027" o:spt="75" type="#_x0000_t75" style="position:absolute;left:0;top:0;height:4320;width:7200;" filled="f" stroked="f" coordsize="21600,21600">
                    <v:path/>
                    <v:fill on="f" focussize="0,0"/>
                    <v:stroke on="f"/>
                    <v:imagedata r:id="rId23" o:title=""/>
                    <o:lock v:ext="edit" aspectratio="t"/>
                  </v:shape>
                  <v:shape id="_x0000_s1028" o:spid="_x0000_s1028" style="position:absolute;left:955;top:868;height:3232;width:3232;" fillcolor="#5B9BD5" filled="t" stroked="f" coordsize="3232,3232" path="m1616,0c2508,0,3231,723,3231,1615c3231,2508,2508,3232,1616,3232c723,3232,0,2508,0,1615c0,723,723,0,1616,0m1616,0l1616,1615,1616,0xe">
                    <v:fill on="t" focussize="0,0"/>
                    <v:stroke on="f"/>
                    <v:imagedata o:title=""/>
                    <o:lock v:ext="edit"/>
                  </v:shape>
                  <v:shape id="_x0000_s1029" o:spid="_x0000_s1029" o:spt="75" type="#_x0000_t75" style="position:absolute;left:2243;top:3097;height:472;width:740;" filled="f" stroked="f" coordsize="21600,21600">
                    <v:path/>
                    <v:fill on="f" focussize="0,0"/>
                    <v:stroke on="f"/>
                    <v:imagedata r:id="rId24" o:title=""/>
                    <o:lock v:ext="edit" aspectratio="t"/>
                  </v:shape>
                  <v:rect id="_x0000_s1030" o:spid="_x0000_s1030" o:spt="1" style="position:absolute;left:5143;top:1640;height:1690;width:1936;" fillcolor="#BDE1C1" filled="t" stroked="f" coordsize="21600,21600">
                    <v:path/>
                    <v:fill on="t" opacity="25186f" focussize="0,0"/>
                    <v:stroke on="f"/>
                    <v:imagedata o:title=""/>
                    <o:lock v:ext="edit"/>
                  </v:rect>
                  <v:shape id="_x0000_s1031" o:spid="_x0000_s1031" o:spt="202" type="#_x0000_t202" style="position:absolute;left:2339;top:183;height:3247;width:4677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9" w:line="220" w:lineRule="auto"/>
                            <w:ind w:left="188"/>
                            <w:rPr>
                              <w:rFonts w:ascii="宋体" w:hAnsi="宋体" w:eastAsia="宋体" w:cs="宋体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1"/>
                              <w:sz w:val="36"/>
                              <w:szCs w:val="36"/>
                              <w14:textOutline w14:w="6527" w14:cap="flat" w14:cmpd="sng">
                                <w14:solidFill>
                                  <w14:srgbClr w14:val="3E3E3E"/>
                                </w14:solidFill>
                                <w14:prstDash w14:val="solid"/>
                                <w14:miter w14:val="10"/>
                              </w14:textOutline>
                            </w:rPr>
                            <w:t>支出决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36"/>
                              <w:szCs w:val="36"/>
                              <w14:textOutline w14:w="6527" w14:cap="flat" w14:cmpd="sng">
                                <w14:solidFill>
                                  <w14:srgbClr w14:val="3E3E3E"/>
                                </w14:solidFill>
                                <w14:prstDash w14:val="solid"/>
                                <w14:miter w14:val="10"/>
                              </w14:textOutline>
                            </w:rPr>
                            <w:t>算情况</w:t>
                          </w:r>
                        </w:p>
                        <w:p>
                          <w:pPr>
                            <w:spacing w:line="253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line="253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line="253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line="254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59" w:line="219" w:lineRule="auto"/>
                            <w:ind w:left="2896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62230" cy="62230"/>
                                <wp:effectExtent l="0" t="0" r="0" b="0"/>
                                <wp:docPr id="3" name="IM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 3"/>
                                        <pic:cNvPicPr/>
                                      </pic:nvPicPr>
                                      <pic:blipFill>
                                        <a:blip r:embed="rId2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484" cy="6248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9"/>
                              <w:sz w:val="18"/>
                              <w:szCs w:val="18"/>
                            </w:rPr>
                            <w:t>基本支出</w:t>
                          </w:r>
                        </w:p>
                        <w:p>
                          <w:pPr>
                            <w:spacing w:before="123" w:line="220" w:lineRule="auto"/>
                            <w:ind w:left="2896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62230" cy="62230"/>
                                <wp:effectExtent l="0" t="0" r="0" b="0"/>
                                <wp:docPr id="4" name="IM 4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 4"/>
                                        <pic:cNvPicPr/>
                                      </pic:nvPicPr>
                                      <pic:blipFill>
                                        <a:blip r:embed="rId2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484" cy="624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9"/>
                              <w:sz w:val="18"/>
                              <w:szCs w:val="18"/>
                            </w:rPr>
                            <w:t>项目支出</w:t>
                          </w:r>
                        </w:p>
                        <w:p>
                          <w:pPr>
                            <w:spacing w:before="123" w:line="220" w:lineRule="auto"/>
                            <w:ind w:left="2896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62230" cy="63500"/>
                                <wp:effectExtent l="0" t="0" r="0" b="0"/>
                                <wp:docPr id="5" name="IM 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 5"/>
                                        <pic:cNvPicPr/>
                                      </pic:nvPicPr>
                                      <pic:blipFill>
                                        <a:blip r:embed="rId2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484" cy="6400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6"/>
                              <w:sz w:val="18"/>
                              <w:szCs w:val="18"/>
                            </w:rPr>
                            <w:t>上缴上级支出</w:t>
                          </w:r>
                        </w:p>
                        <w:p>
                          <w:pPr>
                            <w:spacing w:before="123" w:line="220" w:lineRule="auto"/>
                            <w:ind w:left="2896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62230" cy="62230"/>
                                <wp:effectExtent l="0" t="0" r="0" b="0"/>
                                <wp:docPr id="6" name="IM 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IM 6"/>
                                        <pic:cNvPicPr/>
                                      </pic:nvPicPr>
                                      <pic:blipFill>
                                        <a:blip r:embed="rId2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484" cy="624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-9"/>
                              <w:sz w:val="18"/>
                              <w:szCs w:val="18"/>
                            </w:rPr>
                            <w:t>经营支出</w:t>
                          </w:r>
                        </w:p>
                        <w:p>
                          <w:pPr>
                            <w:spacing w:before="123" w:line="190" w:lineRule="auto"/>
                            <w:ind w:right="20"/>
                            <w:jc w:val="right"/>
                            <w:rPr>
                              <w:rFonts w:ascii="宋体" w:hAnsi="宋体" w:eastAsia="宋体" w:cs="宋体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3E3E3E"/>
                              <w:sz w:val="17"/>
                              <w:szCs w:val="17"/>
                            </w:rPr>
                            <w:drawing>
                              <wp:inline distT="0" distB="0" distL="0" distR="0">
                                <wp:extent cx="62230" cy="60325"/>
                                <wp:effectExtent l="0" t="0" r="0" b="0"/>
                                <wp:docPr id="7" name="IM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IM 7"/>
                                        <pic:cNvPicPr/>
                                      </pic:nvPicPr>
                                      <pic:blipFill>
                                        <a:blip r:embed="rId3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484" cy="6081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8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7"/>
                              <w:sz w:val="17"/>
                              <w:szCs w:val="17"/>
                            </w:rPr>
                            <w:t>对</w:t>
                          </w:r>
                          <w:r>
                            <w:rPr>
                              <w:rFonts w:ascii="宋体" w:hAnsi="宋体" w:eastAsia="宋体" w:cs="宋体"/>
                              <w:color w:val="3E3E3E"/>
                              <w:spacing w:val="4"/>
                              <w:sz w:val="17"/>
                              <w:szCs w:val="17"/>
                            </w:rPr>
                            <w:t>附属单位补助支出</w:t>
                          </w:r>
                        </w:p>
                        <w:p>
                          <w:pPr>
                            <w:spacing w:line="181" w:lineRule="auto"/>
                            <w:ind w:left="20"/>
                            <w:rPr>
                              <w:rFonts w:ascii="Calibri" w:hAnsi="Calibri" w:eastAsia="Calibri" w:cs="Calibri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2"/>
                              <w:sz w:val="19"/>
                              <w:szCs w:val="19"/>
                            </w:rPr>
                            <w:t>1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1"/>
                              <w:sz w:val="19"/>
                              <w:szCs w:val="19"/>
                            </w:rPr>
                            <w:t>00%</w:t>
                          </w:r>
                        </w:p>
                      </w:txbxContent>
                    </v:textbox>
                  </v:shape>
                  <v:shape id="_x0000_s1032" o:spid="_x0000_s1032" o:spt="75" type="#_x0000_t75" style="position:absolute;left:2344;top:1482;height:472;width:535;" filled="f" stroked="f" coordsize="21600,21600">
                    <v:path/>
                    <v:fill on="f" focussize="0,0"/>
                    <v:stroke on="f"/>
                    <v:imagedata r:id="rId25" o:title=""/>
                    <o:lock v:ext="edit" aspectratio="t"/>
                  </v:shape>
                  <v:shape id="_x0000_s1033" o:spid="_x0000_s1033" o:spt="202" type="#_x0000_t202" style="position:absolute;left:2431;top:1594;height:221;width:28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9" w:line="187" w:lineRule="auto"/>
                            <w:ind w:left="20"/>
                            <w:rPr>
                              <w:rFonts w:ascii="Calibri" w:hAnsi="Calibri" w:eastAsia="Calibri" w:cs="Calibri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3"/>
                              <w:sz w:val="19"/>
                              <w:szCs w:val="19"/>
                            </w:rPr>
                            <w:t>0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2"/>
                              <w:sz w:val="19"/>
                              <w:szCs w:val="19"/>
                            </w:rPr>
                            <w:t>%</w:t>
                          </w:r>
                        </w:p>
                      </w:txbxContent>
                    </v:textbox>
                  </v:shape>
                  <v:shape id="_x0000_s1034" o:spid="_x0000_s1034" o:spt="75" type="#_x0000_t75" style="position:absolute;left:2344;top:1482;height:472;width:535;" filled="f" stroked="f" coordsize="21600,21600">
                    <v:path/>
                    <v:fill on="f" focussize="0,0"/>
                    <v:stroke on="f"/>
                    <v:imagedata r:id="rId25" o:title=""/>
                    <o:lock v:ext="edit" aspectratio="t"/>
                  </v:shape>
                  <v:shape id="_x0000_s1035" o:spid="_x0000_s1035" o:spt="202" type="#_x0000_t202" style="position:absolute;left:2431;top:1594;height:221;width:28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9" w:line="187" w:lineRule="auto"/>
                            <w:ind w:left="20"/>
                            <w:rPr>
                              <w:rFonts w:ascii="Calibri" w:hAnsi="Calibri" w:eastAsia="Calibri" w:cs="Calibri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3"/>
                              <w:sz w:val="19"/>
                              <w:szCs w:val="19"/>
                            </w:rPr>
                            <w:t>0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2"/>
                              <w:sz w:val="19"/>
                              <w:szCs w:val="19"/>
                            </w:rPr>
                            <w:t>%</w:t>
                          </w:r>
                        </w:p>
                      </w:txbxContent>
                    </v:textbox>
                  </v:shape>
                  <v:shape id="_x0000_s1036" o:spid="_x0000_s1036" o:spt="75" type="#_x0000_t75" style="position:absolute;left:2344;top:1482;height:472;width:535;" filled="f" stroked="f" coordsize="21600,21600">
                    <v:path/>
                    <v:fill on="f" focussize="0,0"/>
                    <v:stroke on="f"/>
                    <v:imagedata r:id="rId25" o:title=""/>
                    <o:lock v:ext="edit" aspectratio="t"/>
                  </v:shape>
                  <v:shape id="_x0000_s1037" o:spid="_x0000_s1037" o:spt="75" type="#_x0000_t75" style="position:absolute;left:2344;top:1482;height:472;width:535;" filled="f" stroked="f" coordsize="21600,21600">
                    <v:path/>
                    <v:fill on="f" focussize="0,0"/>
                    <v:stroke on="f"/>
                    <v:imagedata r:id="rId25" o:title=""/>
                    <o:lock v:ext="edit" aspectratio="t"/>
                  </v:shape>
                  <v:shape id="_x0000_s1038" o:spid="_x0000_s1038" o:spt="202" type="#_x0000_t202" style="position:absolute;left:2431;top:1516;height:317;width:28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20" w:line="276" w:lineRule="exact"/>
                            <w:ind w:left="20"/>
                            <w:rPr>
                              <w:rFonts w:ascii="Calibri" w:hAnsi="Calibri" w:eastAsia="Calibri" w:cs="Calibri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3"/>
                              <w:position w:val="2"/>
                              <w:sz w:val="19"/>
                              <w:szCs w:val="19"/>
                            </w:rPr>
                            <w:t>0</w:t>
                          </w:r>
                          <w:r>
                            <w:rPr>
                              <w:rFonts w:ascii="Calibri" w:hAnsi="Calibri" w:eastAsia="Calibri" w:cs="Calibri"/>
                              <w:b/>
                              <w:bCs/>
                              <w:color w:val="FFFFFF"/>
                              <w:spacing w:val="2"/>
                              <w:position w:val="2"/>
                              <w:sz w:val="19"/>
                              <w:szCs w:val="19"/>
                            </w:rPr>
                            <w:t>%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>
      <w:pPr>
        <w:spacing w:before="200" w:line="226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</w:rPr>
        <w:t>四</w:t>
      </w:r>
      <w:r>
        <w:rPr>
          <w:rFonts w:ascii="黑体" w:hAnsi="黑体" w:eastAsia="黑体" w:cs="黑体"/>
          <w:spacing w:val="8"/>
          <w:sz w:val="31"/>
          <w:szCs w:val="31"/>
        </w:rPr>
        <w:t>、财政拨款收入支出决算总体情况说明</w:t>
      </w:r>
    </w:p>
    <w:p>
      <w:pPr>
        <w:spacing w:before="220" w:line="357" w:lineRule="auto"/>
        <w:ind w:left="71" w:right="11" w:firstLine="59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2</w:t>
      </w:r>
      <w:r>
        <w:rPr>
          <w:rFonts w:ascii="仿宋" w:hAnsi="仿宋" w:eastAsia="仿宋" w:cs="仿宋"/>
          <w:spacing w:val="-8"/>
          <w:sz w:val="31"/>
          <w:szCs w:val="31"/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20 年财政拨款收、支总计 </w:t>
      </w:r>
      <w:r>
        <w:rPr>
          <w:rFonts w:ascii="仿宋" w:hAnsi="仿宋" w:eastAsia="仿宋" w:cs="仿宋"/>
          <w:spacing w:val="-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549.50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万元。与 2019 年相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比，财政拨款收、</w:t>
      </w:r>
      <w:r>
        <w:rPr>
          <w:rFonts w:ascii="仿宋" w:hAnsi="仿宋" w:eastAsia="仿宋" w:cs="仿宋"/>
          <w:spacing w:val="-4"/>
          <w:sz w:val="31"/>
          <w:szCs w:val="31"/>
        </w:rPr>
        <w:t>支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总计各减少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15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万元，下降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2.66</w:t>
      </w:r>
      <w:r>
        <w:rPr>
          <w:rFonts w:ascii="仿宋" w:hAnsi="仿宋" w:eastAsia="仿宋" w:cs="仿宋"/>
          <w:spacing w:val="-3"/>
          <w:sz w:val="31"/>
          <w:szCs w:val="31"/>
        </w:rPr>
        <w:t>%。主要</w:t>
      </w:r>
    </w:p>
    <w:p>
      <w:pPr>
        <w:spacing w:line="224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变动原因</w:t>
      </w:r>
      <w:r>
        <w:rPr>
          <w:rFonts w:ascii="仿宋" w:hAnsi="仿宋" w:eastAsia="仿宋" w:cs="仿宋"/>
          <w:sz w:val="31"/>
          <w:szCs w:val="31"/>
        </w:rPr>
        <w:t xml:space="preserve">是 </w:t>
      </w: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2019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年有三供一业转交费用。</w:t>
      </w:r>
    </w:p>
    <w:p>
      <w:pPr>
        <w:spacing w:before="175" w:line="4054" w:lineRule="exact"/>
        <w:ind w:firstLine="674"/>
        <w:textAlignment w:val="center"/>
      </w:pPr>
      <w:r>
        <w:drawing>
          <wp:inline distT="0" distB="0" distL="0" distR="0">
            <wp:extent cx="4584700" cy="257429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57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9" w:type="default"/>
          <w:pgSz w:w="11907" w:h="16839"/>
          <w:pgMar w:top="1431" w:right="1785" w:bottom="1376" w:left="1785" w:header="0" w:footer="1214" w:gutter="0"/>
          <w:cols w:space="720" w:num="1"/>
        </w:sectPr>
      </w:pPr>
    </w:p>
    <w:p>
      <w:pPr>
        <w:spacing w:before="215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bookmarkStart w:id="10" w:name="_Toc29111"/>
      <w:r>
        <w:rPr>
          <w:rFonts w:ascii="黑体" w:hAnsi="黑体" w:eastAsia="黑体" w:cs="黑体"/>
          <w:spacing w:val="9"/>
          <w:sz w:val="31"/>
          <w:szCs w:val="31"/>
        </w:rPr>
        <w:t>五、一般公共预算财政拨款支出决算情况说</w:t>
      </w:r>
      <w:r>
        <w:rPr>
          <w:rFonts w:ascii="黑体" w:hAnsi="黑体" w:eastAsia="黑体" w:cs="黑体"/>
          <w:spacing w:val="8"/>
          <w:sz w:val="31"/>
          <w:szCs w:val="31"/>
        </w:rPr>
        <w:t>明</w:t>
      </w:r>
      <w:bookmarkEnd w:id="10"/>
    </w:p>
    <w:p>
      <w:pPr>
        <w:spacing w:before="220" w:line="227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11" w:name="_Toc22699"/>
      <w:bookmarkStart w:id="12" w:name="_Toc9896"/>
      <w:r>
        <w:rPr>
          <w:rFonts w:ascii="仿宋" w:hAnsi="仿宋" w:eastAsia="仿宋" w:cs="仿宋"/>
          <w:spacing w:val="3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一)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一般公共预算财政拨款支出决算总体情况</w:t>
      </w:r>
      <w:bookmarkEnd w:id="11"/>
      <w:bookmarkEnd w:id="12"/>
    </w:p>
    <w:p>
      <w:pPr>
        <w:spacing w:before="220" w:line="357" w:lineRule="auto"/>
        <w:ind w:left="34" w:right="1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2020 年一般公共预算财政拨款支出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</w:t>
      </w:r>
      <w:r>
        <w:rPr>
          <w:rFonts w:ascii="仿宋" w:hAnsi="仿宋" w:eastAsia="仿宋" w:cs="仿宋"/>
          <w:spacing w:val="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占本 </w:t>
      </w:r>
      <w:r>
        <w:rPr>
          <w:rFonts w:ascii="仿宋" w:hAnsi="仿宋" w:eastAsia="仿宋" w:cs="仿宋"/>
          <w:spacing w:val="4"/>
          <w:sz w:val="31"/>
          <w:szCs w:val="31"/>
        </w:rPr>
        <w:t>年支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出合计的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%。与 2019 年相比，一般公共预算财政拨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款增加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29.99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万元，增加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5.81%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。主要变动原因是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2019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年拨</w:t>
      </w:r>
    </w:p>
    <w:p>
      <w:pPr>
        <w:spacing w:line="224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款三供一业转交费用在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2020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才支出。</w:t>
      </w:r>
    </w:p>
    <w:p>
      <w:pPr>
        <w:spacing w:before="107" w:line="4340" w:lineRule="exact"/>
        <w:ind w:firstLine="869"/>
        <w:textAlignment w:val="center"/>
      </w:pPr>
      <w:r>
        <w:drawing>
          <wp:inline distT="0" distB="0" distL="0" distR="0">
            <wp:extent cx="4584700" cy="2755265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75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6" w:line="227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13" w:name="_Toc25726"/>
      <w:bookmarkStart w:id="14" w:name="_Toc8421"/>
      <w:r>
        <w:rPr>
          <w:rFonts w:ascii="仿宋" w:hAnsi="仿宋" w:eastAsia="仿宋" w:cs="仿宋"/>
          <w:spacing w:val="3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二)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一般公共预算财政拨款支出决算结构情况</w:t>
      </w:r>
      <w:bookmarkEnd w:id="13"/>
      <w:bookmarkEnd w:id="14"/>
    </w:p>
    <w:p>
      <w:pPr>
        <w:spacing w:before="218" w:line="600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1"/>
          <w:sz w:val="31"/>
          <w:szCs w:val="31"/>
        </w:rPr>
        <w:t xml:space="preserve">2020 年一般公共预算财政拨款支出 </w:t>
      </w:r>
      <w:r>
        <w:rPr>
          <w:rFonts w:ascii="仿宋" w:hAnsi="仿宋" w:eastAsia="仿宋" w:cs="仿宋"/>
          <w:spacing w:val="2"/>
          <w:position w:val="2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pacing w:val="2"/>
          <w:position w:val="21"/>
          <w:sz w:val="31"/>
          <w:szCs w:val="31"/>
        </w:rPr>
        <w:t xml:space="preserve"> 万元</w:t>
      </w:r>
      <w:r>
        <w:rPr>
          <w:rFonts w:ascii="仿宋" w:hAnsi="仿宋" w:eastAsia="仿宋" w:cs="仿宋"/>
          <w:spacing w:val="1"/>
          <w:position w:val="21"/>
          <w:sz w:val="31"/>
          <w:szCs w:val="31"/>
        </w:rPr>
        <w:t>，</w:t>
      </w:r>
      <w:r>
        <w:rPr>
          <w:rFonts w:ascii="仿宋" w:hAnsi="仿宋" w:eastAsia="仿宋" w:cs="仿宋"/>
          <w:position w:val="21"/>
          <w:sz w:val="31"/>
          <w:szCs w:val="31"/>
        </w:rPr>
        <w:t>主要</w:t>
      </w:r>
    </w:p>
    <w:p>
      <w:pPr>
        <w:spacing w:before="1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用</w:t>
      </w:r>
      <w:r>
        <w:rPr>
          <w:rFonts w:ascii="仿宋" w:hAnsi="仿宋" w:eastAsia="仿宋" w:cs="仿宋"/>
          <w:spacing w:val="7"/>
          <w:sz w:val="31"/>
          <w:szCs w:val="31"/>
        </w:rPr>
        <w:t>于以下方面: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教育支出(类)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</w:t>
      </w:r>
      <w:r>
        <w:rPr>
          <w:rFonts w:ascii="仿宋" w:hAnsi="仿宋" w:eastAsia="仿宋" w:cs="仿宋"/>
          <w:spacing w:val="7"/>
          <w:sz w:val="31"/>
          <w:szCs w:val="31"/>
        </w:rPr>
        <w:t>%。</w:t>
      </w:r>
    </w:p>
    <w:p>
      <w:pPr>
        <w:spacing w:before="125" w:line="4067" w:lineRule="exact"/>
        <w:ind w:firstLine="614"/>
        <w:textAlignment w:val="center"/>
      </w:pPr>
      <w:r>
        <w:drawing>
          <wp:inline distT="0" distB="0" distL="0" distR="0">
            <wp:extent cx="4584700" cy="258254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582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10" w:type="default"/>
          <w:pgSz w:w="11907" w:h="16839"/>
          <w:pgMar w:top="1431" w:right="1785" w:bottom="1377" w:left="1785" w:header="0" w:footer="1214" w:gutter="0"/>
          <w:cols w:space="720" w:num="1"/>
        </w:sectPr>
      </w:pPr>
    </w:p>
    <w:p>
      <w:pPr>
        <w:spacing w:before="214" w:line="227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15" w:name="_Toc258"/>
      <w:bookmarkStart w:id="16" w:name="_Toc11313"/>
      <w:r>
        <w:rPr>
          <w:rFonts w:ascii="仿宋" w:hAnsi="仿宋" w:eastAsia="仿宋" w:cs="仿宋"/>
          <w:spacing w:val="3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三)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一般公共预算财政拨款支出决算具体情况</w:t>
      </w:r>
      <w:bookmarkEnd w:id="15"/>
      <w:bookmarkEnd w:id="16"/>
    </w:p>
    <w:p>
      <w:pPr>
        <w:spacing w:before="219" w:line="357" w:lineRule="auto"/>
        <w:ind w:left="48" w:right="16" w:firstLine="6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2020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年一般公共预算支出决算数为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完成预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100%。其中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：</w:t>
      </w:r>
    </w:p>
    <w:p>
      <w:pPr>
        <w:spacing w:before="1" w:line="357" w:lineRule="auto"/>
        <w:ind w:left="46" w:right="14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教育(类)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普通教育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(款)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小学教育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(项)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: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支出决</w:t>
      </w:r>
      <w:r>
        <w:rPr>
          <w:rFonts w:ascii="仿宋" w:hAnsi="仿宋" w:eastAsia="仿宋" w:cs="仿宋"/>
          <w:spacing w:val="10"/>
          <w:sz w:val="31"/>
          <w:szCs w:val="31"/>
        </w:rPr>
        <w:t>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为 5</w:t>
      </w:r>
      <w:r>
        <w:rPr>
          <w:rFonts w:ascii="仿宋" w:hAnsi="仿宋" w:eastAsia="仿宋" w:cs="仿宋"/>
          <w:spacing w:val="-7"/>
          <w:sz w:val="31"/>
          <w:szCs w:val="31"/>
        </w:rPr>
        <w:t>4</w:t>
      </w:r>
      <w:r>
        <w:rPr>
          <w:rFonts w:ascii="仿宋" w:hAnsi="仿宋" w:eastAsia="仿宋" w:cs="仿宋"/>
          <w:spacing w:val="-5"/>
          <w:sz w:val="31"/>
          <w:szCs w:val="31"/>
        </w:rPr>
        <w:t>6.50 万元，完成预算 100%。</w:t>
      </w:r>
    </w:p>
    <w:p>
      <w:pPr>
        <w:spacing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bookmarkStart w:id="17" w:name="_Toc3257"/>
      <w:r>
        <w:rPr>
          <w:rFonts w:ascii="黑体" w:hAnsi="黑体" w:eastAsia="黑体" w:cs="黑体"/>
          <w:spacing w:val="9"/>
          <w:sz w:val="31"/>
          <w:szCs w:val="31"/>
        </w:rPr>
        <w:t>六</w:t>
      </w:r>
      <w:r>
        <w:rPr>
          <w:rFonts w:ascii="黑体" w:hAnsi="黑体" w:eastAsia="黑体" w:cs="黑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一</w:t>
      </w:r>
      <w:r>
        <w:rPr>
          <w:rFonts w:ascii="黑体" w:hAnsi="黑体" w:eastAsia="黑体" w:cs="黑体"/>
          <w:spacing w:val="9"/>
          <w:sz w:val="31"/>
          <w:szCs w:val="31"/>
        </w:rPr>
        <w:t>般公共预算财政拨款基本支出决算情况说</w:t>
      </w:r>
      <w:r>
        <w:rPr>
          <w:rFonts w:ascii="黑体" w:hAnsi="黑体" w:eastAsia="黑体" w:cs="黑体"/>
          <w:spacing w:val="7"/>
          <w:sz w:val="31"/>
          <w:szCs w:val="31"/>
        </w:rPr>
        <w:t>明</w:t>
      </w:r>
      <w:bookmarkEnd w:id="17"/>
    </w:p>
    <w:p>
      <w:pPr>
        <w:spacing w:before="221" w:line="357" w:lineRule="auto"/>
        <w:ind w:left="37" w:right="84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2020 年一般公共预算财政拨款基本支出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546.50</w:t>
      </w:r>
      <w:r>
        <w:rPr>
          <w:rFonts w:ascii="仿宋" w:hAnsi="仿宋" w:eastAsia="仿宋" w:cs="仿宋"/>
          <w:sz w:val="31"/>
          <w:szCs w:val="31"/>
        </w:rPr>
        <w:t xml:space="preserve"> 万元， </w:t>
      </w:r>
      <w:r>
        <w:rPr>
          <w:rFonts w:ascii="仿宋" w:hAnsi="仿宋" w:eastAsia="仿宋" w:cs="仿宋"/>
          <w:spacing w:val="-14"/>
          <w:sz w:val="31"/>
          <w:szCs w:val="31"/>
        </w:rPr>
        <w:t>其中：</w:t>
      </w:r>
    </w:p>
    <w:p>
      <w:pPr>
        <w:spacing w:before="2" w:line="357" w:lineRule="auto"/>
        <w:ind w:left="34" w:right="14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 xml:space="preserve">人员经费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459.60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万元，主要包括：基本工资、津贴</w:t>
      </w:r>
      <w:r>
        <w:rPr>
          <w:rFonts w:ascii="仿宋" w:hAnsi="仿宋" w:eastAsia="仿宋" w:cs="仿宋"/>
          <w:spacing w:val="5"/>
          <w:sz w:val="31"/>
          <w:szCs w:val="31"/>
        </w:rPr>
        <w:t>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贴、</w:t>
      </w:r>
      <w:r>
        <w:rPr>
          <w:rFonts w:ascii="仿宋" w:hAnsi="仿宋" w:eastAsia="仿宋" w:cs="仿宋"/>
          <w:spacing w:val="10"/>
          <w:sz w:val="31"/>
          <w:szCs w:val="31"/>
        </w:rPr>
        <w:t>奖</w:t>
      </w:r>
      <w:r>
        <w:rPr>
          <w:rFonts w:ascii="仿宋" w:hAnsi="仿宋" w:eastAsia="仿宋" w:cs="仿宋"/>
          <w:spacing w:val="8"/>
          <w:sz w:val="31"/>
          <w:szCs w:val="31"/>
        </w:rPr>
        <w:t>金、伙食补助费、绩效工资、机关事业单位基本养老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保</w:t>
      </w:r>
      <w:r>
        <w:rPr>
          <w:rFonts w:ascii="仿宋" w:hAnsi="仿宋" w:eastAsia="仿宋" w:cs="仿宋"/>
          <w:spacing w:val="15"/>
          <w:sz w:val="31"/>
          <w:szCs w:val="31"/>
        </w:rPr>
        <w:t>险</w:t>
      </w:r>
      <w:r>
        <w:rPr>
          <w:rFonts w:ascii="仿宋" w:hAnsi="仿宋" w:eastAsia="仿宋" w:cs="仿宋"/>
          <w:spacing w:val="8"/>
          <w:sz w:val="31"/>
          <w:szCs w:val="31"/>
        </w:rPr>
        <w:t>缴费、职业年金缴费、其他社会保障缴费、其他工资福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利</w:t>
      </w:r>
      <w:r>
        <w:rPr>
          <w:rFonts w:ascii="仿宋" w:hAnsi="仿宋" w:eastAsia="仿宋" w:cs="仿宋"/>
          <w:spacing w:val="-5"/>
          <w:sz w:val="31"/>
          <w:szCs w:val="31"/>
        </w:rPr>
        <w:t>支出、离休费、退休费、抚恤金、生活补助、医疗费补助、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奖</w:t>
      </w:r>
      <w:r>
        <w:rPr>
          <w:rFonts w:ascii="仿宋" w:hAnsi="仿宋" w:eastAsia="仿宋" w:cs="仿宋"/>
          <w:spacing w:val="10"/>
          <w:sz w:val="31"/>
          <w:szCs w:val="31"/>
        </w:rPr>
        <w:t>励</w:t>
      </w:r>
      <w:r>
        <w:rPr>
          <w:rFonts w:ascii="仿宋" w:hAnsi="仿宋" w:eastAsia="仿宋" w:cs="仿宋"/>
          <w:spacing w:val="7"/>
          <w:sz w:val="31"/>
          <w:szCs w:val="31"/>
        </w:rPr>
        <w:t>金、住房公积金、其他对个人和家庭的补助支出等。</w:t>
      </w:r>
    </w:p>
    <w:p>
      <w:pPr>
        <w:spacing w:before="4" w:line="357" w:lineRule="auto"/>
        <w:ind w:left="35" w:right="14" w:firstLine="7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0"/>
          <w:sz w:val="31"/>
          <w:szCs w:val="31"/>
        </w:rPr>
        <w:t>日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常公用经费 </w:t>
      </w:r>
      <w:r>
        <w:rPr>
          <w:rFonts w:ascii="仿宋" w:hAnsi="仿宋" w:eastAsia="仿宋" w:cs="仿宋"/>
          <w:spacing w:val="-1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86.91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 万元，主要包括： 办公费、印刷费、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咨</w:t>
      </w:r>
      <w:r>
        <w:rPr>
          <w:rFonts w:ascii="仿宋" w:hAnsi="仿宋" w:eastAsia="仿宋" w:cs="仿宋"/>
          <w:spacing w:val="14"/>
          <w:sz w:val="31"/>
          <w:szCs w:val="31"/>
        </w:rPr>
        <w:t>询</w:t>
      </w:r>
      <w:r>
        <w:rPr>
          <w:rFonts w:ascii="仿宋" w:hAnsi="仿宋" w:eastAsia="仿宋" w:cs="仿宋"/>
          <w:spacing w:val="8"/>
          <w:sz w:val="31"/>
          <w:szCs w:val="31"/>
        </w:rPr>
        <w:t>费、手续费、水费、电费、邮电费、取暖费、物业管理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费、差旅费、因公出国(境) 费用、维修(护) 费、租赁费</w:t>
      </w:r>
      <w:r>
        <w:rPr>
          <w:rFonts w:ascii="仿宋" w:hAnsi="仿宋" w:eastAsia="仿宋" w:cs="仿宋"/>
          <w:spacing w:val="4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会议</w:t>
      </w:r>
      <w:r>
        <w:rPr>
          <w:rFonts w:ascii="仿宋" w:hAnsi="仿宋" w:eastAsia="仿宋" w:cs="仿宋"/>
          <w:spacing w:val="9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、培训费、公务接待费、劳务费、委托业务费、工会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经</w:t>
      </w:r>
      <w:r>
        <w:rPr>
          <w:rFonts w:ascii="仿宋" w:hAnsi="仿宋" w:eastAsia="仿宋" w:cs="仿宋"/>
          <w:spacing w:val="14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、福利费、公务用车运行维护费、其他交通费、税金及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附</w:t>
      </w:r>
      <w:r>
        <w:rPr>
          <w:rFonts w:ascii="仿宋" w:hAnsi="仿宋" w:eastAsia="仿宋" w:cs="仿宋"/>
          <w:spacing w:val="14"/>
          <w:sz w:val="31"/>
          <w:szCs w:val="31"/>
        </w:rPr>
        <w:t>加</w:t>
      </w:r>
      <w:r>
        <w:rPr>
          <w:rFonts w:ascii="仿宋" w:hAnsi="仿宋" w:eastAsia="仿宋" w:cs="仿宋"/>
          <w:spacing w:val="8"/>
          <w:sz w:val="31"/>
          <w:szCs w:val="31"/>
        </w:rPr>
        <w:t>费用、其他商品和服务支出、办公设备购置、专用设备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购置</w:t>
      </w:r>
      <w:r>
        <w:rPr>
          <w:rFonts w:ascii="仿宋" w:hAnsi="仿宋" w:eastAsia="仿宋" w:cs="仿宋"/>
          <w:spacing w:val="7"/>
          <w:sz w:val="31"/>
          <w:szCs w:val="31"/>
        </w:rPr>
        <w:t>、信息网络及软件购置更新、其他资本性支出等。</w:t>
      </w:r>
    </w:p>
    <w:p>
      <w:pPr>
        <w:spacing w:before="1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bookmarkStart w:id="18" w:name="_Toc21133"/>
      <w:r>
        <w:rPr>
          <w:rFonts w:ascii="黑体" w:hAnsi="黑体" w:eastAsia="黑体" w:cs="黑体"/>
          <w:spacing w:val="2"/>
          <w:sz w:val="31"/>
          <w:szCs w:val="31"/>
        </w:rPr>
        <w:t>七、“</w:t>
      </w:r>
      <w:r>
        <w:rPr>
          <w:rFonts w:ascii="黑体" w:hAnsi="黑体" w:eastAsia="黑体" w:cs="黑体"/>
          <w:spacing w:val="2"/>
          <w:sz w:val="31"/>
          <w:szCs w:val="31"/>
        </w:rPr>
        <w:t>三公”经费财政拨</w:t>
      </w:r>
      <w:r>
        <w:rPr>
          <w:rFonts w:ascii="黑体" w:hAnsi="黑体" w:eastAsia="黑体" w:cs="黑体"/>
          <w:spacing w:val="1"/>
          <w:sz w:val="31"/>
          <w:szCs w:val="31"/>
        </w:rPr>
        <w:t>款支出决算情况说明</w:t>
      </w:r>
      <w:bookmarkEnd w:id="18"/>
    </w:p>
    <w:p>
      <w:pPr>
        <w:spacing w:before="220" w:line="227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bookmarkStart w:id="19" w:name="_Toc8977"/>
      <w:bookmarkStart w:id="20" w:name="_Toc16060"/>
      <w:r>
        <w:rPr>
          <w:rFonts w:ascii="仿宋" w:hAnsi="仿宋" w:eastAsia="仿宋" w:cs="仿宋"/>
          <w:spacing w:val="2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一)“三公”经费财政拨款支出决算总体情况说明</w:t>
      </w:r>
      <w:bookmarkEnd w:id="19"/>
      <w:bookmarkEnd w:id="20"/>
    </w:p>
    <w:p>
      <w:pPr>
        <w:spacing w:before="219" w:line="227" w:lineRule="auto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2</w:t>
      </w:r>
      <w:r>
        <w:rPr>
          <w:rFonts w:ascii="仿宋" w:hAnsi="仿宋" w:eastAsia="仿宋" w:cs="仿宋"/>
          <w:spacing w:val="-15"/>
          <w:sz w:val="31"/>
          <w:szCs w:val="31"/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20 年“三公”经费财政拨款支出决算为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万元， 完成</w:t>
      </w:r>
    </w:p>
    <w:p>
      <w:pPr>
        <w:sectPr>
          <w:footerReference r:id="rId11" w:type="default"/>
          <w:pgSz w:w="11907" w:h="16839"/>
          <w:pgMar w:top="1431" w:right="1785" w:bottom="1376" w:left="1785" w:header="0" w:footer="1214" w:gutter="0"/>
          <w:cols w:space="720" w:num="1"/>
        </w:sectPr>
      </w:pPr>
    </w:p>
    <w:p>
      <w:pPr>
        <w:spacing w:before="214" w:line="227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预</w:t>
      </w:r>
      <w:r>
        <w:rPr>
          <w:rFonts w:ascii="仿宋" w:hAnsi="仿宋" w:eastAsia="仿宋" w:cs="仿宋"/>
          <w:spacing w:val="-7"/>
          <w:sz w:val="31"/>
          <w:szCs w:val="31"/>
        </w:rPr>
        <w:t>算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100</w:t>
      </w:r>
      <w:r>
        <w:rPr>
          <w:rFonts w:ascii="仿宋" w:hAnsi="仿宋" w:eastAsia="仿宋" w:cs="仿宋"/>
          <w:spacing w:val="-6"/>
          <w:sz w:val="31"/>
          <w:szCs w:val="31"/>
        </w:rPr>
        <w:t>%。</w:t>
      </w:r>
    </w:p>
    <w:p>
      <w:pPr>
        <w:spacing w:before="218" w:line="227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bookmarkStart w:id="21" w:name="_Toc19180"/>
      <w:bookmarkStart w:id="22" w:name="_Toc9564"/>
      <w:r>
        <w:rPr>
          <w:rFonts w:ascii="仿宋" w:hAnsi="仿宋" w:eastAsia="仿宋" w:cs="仿宋"/>
          <w:spacing w:val="2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二)“三公”经费财政拨款支出决算具体情况说明</w:t>
      </w:r>
      <w:bookmarkEnd w:id="21"/>
      <w:bookmarkEnd w:id="22"/>
    </w:p>
    <w:p>
      <w:pPr>
        <w:spacing w:before="220" w:line="357" w:lineRule="auto"/>
        <w:ind w:left="36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2</w:t>
      </w:r>
      <w:r>
        <w:rPr>
          <w:rFonts w:ascii="仿宋" w:hAnsi="仿宋" w:eastAsia="仿宋" w:cs="仿宋"/>
          <w:spacing w:val="-14"/>
          <w:sz w:val="31"/>
          <w:szCs w:val="31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20 年“三公”经费财政拨款支出决算中，因公出国(境)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费支出决算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%；公务用车购置及运行维护费支</w:t>
      </w:r>
      <w:r>
        <w:rPr>
          <w:rFonts w:ascii="仿宋" w:hAnsi="仿宋" w:eastAsia="仿宋" w:cs="仿宋"/>
          <w:sz w:val="31"/>
          <w:szCs w:val="31"/>
        </w:rPr>
        <w:t xml:space="preserve">出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决算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 占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%；公务接待费支出决算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万元，占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具体情况如下：</w:t>
      </w:r>
    </w:p>
    <w:p>
      <w:pPr>
        <w:spacing w:before="1" w:line="228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仿宋" w:hAnsi="仿宋" w:eastAsia="仿宋" w:cs="仿宋"/>
          <w:spacing w:val="10"/>
          <w:sz w:val="31"/>
          <w:szCs w:val="31"/>
        </w:rPr>
        <w:t>图 7：“三公”经费财政拨款支出结构)(饼状图)</w:t>
      </w:r>
    </w:p>
    <w:p>
      <w:pPr>
        <w:spacing w:before="213" w:line="358" w:lineRule="auto"/>
        <w:ind w:left="18" w:right="132" w:firstLine="6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1.因公出国(境)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经费支出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万元，完成预算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>%。全年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安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排因公出国(境)团组 </w:t>
      </w:r>
      <w:r>
        <w:rPr>
          <w:rFonts w:ascii="仿宋" w:hAnsi="仿宋" w:eastAsia="仿宋" w:cs="仿宋"/>
          <w:spacing w:val="1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次，出国(境) </w:t>
      </w:r>
      <w:r>
        <w:rPr>
          <w:rFonts w:ascii="仿宋" w:hAnsi="仿宋" w:eastAsia="仿宋" w:cs="仿宋"/>
          <w:spacing w:val="1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人。因公出国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(境)支出决算比 201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9 年增加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万元，增长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>%。。</w:t>
      </w:r>
    </w:p>
    <w:p>
      <w:pPr>
        <w:spacing w:before="4" w:line="356" w:lineRule="auto"/>
        <w:ind w:left="22" w:right="18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2.公务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用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车购置及运行维护费支出0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万元,完成预算0%。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公务用车</w:t>
      </w:r>
      <w:r>
        <w:rPr>
          <w:rFonts w:ascii="仿宋" w:hAnsi="仿宋" w:eastAsia="仿宋" w:cs="仿宋"/>
          <w:spacing w:val="-6"/>
          <w:sz w:val="31"/>
          <w:szCs w:val="31"/>
        </w:rPr>
        <w:t>购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置及运行维护费支出决算比 2019 年增加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增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长 </w:t>
      </w:r>
      <w:r>
        <w:rPr>
          <w:rFonts w:ascii="仿宋" w:hAnsi="仿宋" w:eastAsia="仿宋" w:cs="仿宋"/>
          <w:spacing w:val="-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8"/>
          <w:sz w:val="31"/>
          <w:szCs w:val="31"/>
        </w:rPr>
        <w:t>%。</w:t>
      </w:r>
    </w:p>
    <w:p>
      <w:pPr>
        <w:spacing w:before="3" w:line="357" w:lineRule="auto"/>
        <w:ind w:left="25" w:right="135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 xml:space="preserve">其中： 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公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务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用车购置支出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万元。全年按规定更新购置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6"/>
          <w:sz w:val="31"/>
          <w:szCs w:val="31"/>
        </w:rPr>
        <w:t>公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务用车 </w:t>
      </w:r>
      <w:r>
        <w:rPr>
          <w:rFonts w:ascii="仿宋" w:hAnsi="仿宋" w:eastAsia="仿宋" w:cs="仿宋"/>
          <w:spacing w:val="-2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辆，其中：轿车 </w:t>
      </w:r>
      <w:r>
        <w:rPr>
          <w:rFonts w:ascii="仿宋" w:hAnsi="仿宋" w:eastAsia="仿宋" w:cs="仿宋"/>
          <w:spacing w:val="-2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辆、金额 </w:t>
      </w:r>
      <w:r>
        <w:rPr>
          <w:rFonts w:ascii="仿宋" w:hAnsi="仿宋" w:eastAsia="仿宋" w:cs="仿宋"/>
          <w:spacing w:val="-2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万元， 越野车 </w:t>
      </w:r>
      <w:r>
        <w:rPr>
          <w:rFonts w:ascii="仿宋" w:hAnsi="仿宋" w:eastAsia="仿宋" w:cs="仿宋"/>
          <w:spacing w:val="-2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2"/>
          <w:sz w:val="31"/>
          <w:szCs w:val="31"/>
        </w:rPr>
        <w:t>金额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万元，载客汽车 </w:t>
      </w:r>
      <w:r>
        <w:rPr>
          <w:rFonts w:ascii="仿宋" w:hAnsi="仿宋" w:eastAsia="仿宋" w:cs="仿宋"/>
          <w:spacing w:val="-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辆、金额 </w:t>
      </w:r>
      <w:r>
        <w:rPr>
          <w:rFonts w:ascii="仿宋" w:hAnsi="仿宋" w:eastAsia="仿宋" w:cs="仿宋"/>
          <w:spacing w:val="-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万元， 主要用于…。截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至 </w:t>
      </w:r>
      <w:r>
        <w:rPr>
          <w:rFonts w:ascii="仿宋" w:hAnsi="仿宋" w:eastAsia="仿宋" w:cs="仿宋"/>
          <w:spacing w:val="-16"/>
          <w:sz w:val="31"/>
          <w:szCs w:val="31"/>
        </w:rPr>
        <w:t>2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020 年 12 月底，单位共有公务用车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辆， 其中：轿车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辆、越野车 </w:t>
      </w:r>
      <w:r>
        <w:rPr>
          <w:rFonts w:ascii="仿宋" w:hAnsi="仿宋" w:eastAsia="仿宋" w:cs="仿宋"/>
          <w:spacing w:val="-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辆、载客汽车 </w:t>
      </w:r>
      <w:r>
        <w:rPr>
          <w:rFonts w:ascii="仿宋" w:hAnsi="仿宋" w:eastAsia="仿宋" w:cs="仿宋"/>
          <w:spacing w:val="-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辆</w:t>
      </w:r>
      <w:r>
        <w:rPr>
          <w:rFonts w:ascii="仿宋" w:hAnsi="仿宋" w:eastAsia="仿宋" w:cs="仿宋"/>
          <w:spacing w:val="-9"/>
          <w:sz w:val="31"/>
          <w:szCs w:val="31"/>
        </w:rPr>
        <w:t>。</w:t>
      </w:r>
    </w:p>
    <w:p>
      <w:pPr>
        <w:spacing w:before="2" w:line="357" w:lineRule="auto"/>
        <w:ind w:left="30" w:right="135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公务用车运行维护费支出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万元。主要</w:t>
      </w:r>
      <w:r>
        <w:rPr>
          <w:rFonts w:ascii="仿宋" w:hAnsi="仿宋" w:eastAsia="仿宋" w:cs="仿宋"/>
          <w:sz w:val="31"/>
          <w:szCs w:val="31"/>
        </w:rPr>
        <w:t xml:space="preserve">用于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… </w:t>
      </w:r>
      <w:r>
        <w:rPr>
          <w:rFonts w:ascii="仿宋" w:hAnsi="仿宋" w:eastAsia="仿宋" w:cs="仿宋"/>
          <w:sz w:val="31"/>
          <w:szCs w:val="31"/>
        </w:rPr>
        <w:t xml:space="preserve">(具体工 </w:t>
      </w:r>
      <w:r>
        <w:rPr>
          <w:rFonts w:ascii="仿宋" w:hAnsi="仿宋" w:eastAsia="仿宋" w:cs="仿宋"/>
          <w:spacing w:val="15"/>
          <w:sz w:val="31"/>
          <w:szCs w:val="31"/>
        </w:rPr>
        <w:t>作)等所需的公务用车燃料费、维修费、过路过桥费、保</w:t>
      </w:r>
      <w:r>
        <w:rPr>
          <w:rFonts w:ascii="仿宋" w:hAnsi="仿宋" w:eastAsia="仿宋" w:cs="仿宋"/>
          <w:spacing w:val="10"/>
          <w:sz w:val="31"/>
          <w:szCs w:val="31"/>
        </w:rPr>
        <w:t>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</w:t>
      </w:r>
      <w:r>
        <w:rPr>
          <w:rFonts w:ascii="仿宋" w:hAnsi="仿宋" w:eastAsia="仿宋" w:cs="仿宋"/>
          <w:spacing w:val="4"/>
          <w:sz w:val="31"/>
          <w:szCs w:val="31"/>
        </w:rPr>
        <w:t>等支出。</w:t>
      </w:r>
    </w:p>
    <w:p>
      <w:pPr>
        <w:spacing w:before="1" w:line="362" w:lineRule="auto"/>
        <w:ind w:left="67" w:right="132" w:firstLine="6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3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.公务接待费支出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万元， 完成预算 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%。公务接待费支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出</w:t>
      </w:r>
      <w:r>
        <w:rPr>
          <w:rFonts w:ascii="仿宋" w:hAnsi="仿宋" w:eastAsia="仿宋" w:cs="仿宋"/>
          <w:spacing w:val="-19"/>
          <w:sz w:val="31"/>
          <w:szCs w:val="31"/>
        </w:rPr>
        <w:t>决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算比 2019 年增加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万元，增长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>%。</w:t>
      </w:r>
    </w:p>
    <w:p>
      <w:pPr>
        <w:sectPr>
          <w:footerReference r:id="rId12" w:type="default"/>
          <w:pgSz w:w="11907" w:h="16839"/>
          <w:pgMar w:top="1431" w:right="1664" w:bottom="1377" w:left="1785" w:header="0" w:footer="1214" w:gutter="0"/>
          <w:cols w:space="720" w:num="1"/>
        </w:sectPr>
      </w:pPr>
    </w:p>
    <w:p>
      <w:pPr>
        <w:spacing w:before="213" w:line="357" w:lineRule="auto"/>
        <w:ind w:left="36" w:right="14" w:firstLine="6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国内公务接待支出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万元。国内公务接待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批次， </w:t>
      </w: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次(</w:t>
      </w:r>
      <w:r>
        <w:rPr>
          <w:rFonts w:ascii="仿宋" w:hAnsi="仿宋" w:eastAsia="仿宋" w:cs="仿宋"/>
          <w:spacing w:val="8"/>
          <w:sz w:val="31"/>
          <w:szCs w:val="31"/>
        </w:rPr>
        <w:t>不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包括陪同人员)，共计支出 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万元。</w:t>
      </w:r>
    </w:p>
    <w:p>
      <w:pPr>
        <w:spacing w:before="3" w:line="357" w:lineRule="auto"/>
        <w:ind w:left="67" w:right="11" w:firstLine="6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外事接待支出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万元，外事接待 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批次， 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人，共计</w:t>
      </w:r>
      <w:r>
        <w:rPr>
          <w:rFonts w:ascii="仿宋" w:hAnsi="仿宋" w:eastAsia="仿宋" w:cs="仿宋"/>
          <w:spacing w:val="-4"/>
          <w:sz w:val="31"/>
          <w:szCs w:val="31"/>
        </w:rPr>
        <w:t>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0"/>
          <w:sz w:val="31"/>
          <w:szCs w:val="31"/>
        </w:rPr>
        <w:t>出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万元。</w:t>
      </w:r>
    </w:p>
    <w:p>
      <w:pPr>
        <w:spacing w:before="1" w:line="233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bookmarkStart w:id="23" w:name="_Toc866"/>
      <w:r>
        <w:rPr>
          <w:rFonts w:ascii="黑体" w:hAnsi="黑体" w:eastAsia="黑体" w:cs="黑体"/>
          <w:spacing w:val="12"/>
          <w:sz w:val="31"/>
          <w:szCs w:val="31"/>
        </w:rPr>
        <w:t>八</w:t>
      </w:r>
      <w:r>
        <w:rPr>
          <w:rFonts w:ascii="黑体" w:hAnsi="黑体" w:eastAsia="黑体" w:cs="黑体"/>
          <w:spacing w:val="9"/>
          <w:sz w:val="31"/>
          <w:szCs w:val="31"/>
        </w:rPr>
        <w:t>、政府性基金预算支出决算情况说明</w:t>
      </w:r>
      <w:bookmarkEnd w:id="23"/>
    </w:p>
    <w:p>
      <w:pPr>
        <w:spacing w:before="204" w:line="223" w:lineRule="auto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2020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年政府性基金预算拨款支出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万元。</w:t>
      </w:r>
    </w:p>
    <w:p>
      <w:pPr>
        <w:spacing w:before="227" w:line="229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bookmarkStart w:id="24" w:name="_Toc14672"/>
      <w:r>
        <w:rPr>
          <w:rFonts w:ascii="黑体" w:hAnsi="黑体" w:eastAsia="黑体" w:cs="黑体"/>
          <w:spacing w:val="16"/>
          <w:sz w:val="31"/>
          <w:szCs w:val="31"/>
        </w:rPr>
        <w:t>九</w:t>
      </w:r>
      <w:r>
        <w:rPr>
          <w:rFonts w:ascii="黑体" w:hAnsi="黑体" w:eastAsia="黑体" w:cs="黑体"/>
          <w:spacing w:val="13"/>
          <w:sz w:val="31"/>
          <w:szCs w:val="31"/>
        </w:rPr>
        <w:t>、</w:t>
      </w:r>
      <w:r>
        <w:rPr>
          <w:rFonts w:ascii="黑体" w:hAnsi="黑体" w:eastAsia="黑体" w:cs="黑体"/>
          <w:spacing w:val="8"/>
          <w:sz w:val="31"/>
          <w:szCs w:val="31"/>
        </w:rPr>
        <w:t>国有资本经营预算支出决算情况说明</w:t>
      </w:r>
      <w:bookmarkEnd w:id="24"/>
    </w:p>
    <w:p>
      <w:pPr>
        <w:spacing w:before="214" w:line="224" w:lineRule="auto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202</w:t>
      </w:r>
      <w:r>
        <w:rPr>
          <w:rFonts w:ascii="仿宋" w:hAnsi="仿宋" w:eastAsia="仿宋" w:cs="仿宋"/>
          <w:spacing w:val="-6"/>
          <w:sz w:val="31"/>
          <w:szCs w:val="31"/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年国有资本经营预算拨款支出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万元。</w:t>
      </w:r>
    </w:p>
    <w:p>
      <w:pPr>
        <w:spacing w:before="227" w:line="226" w:lineRule="auto"/>
        <w:ind w:left="829"/>
        <w:outlineLvl w:val="1"/>
        <w:rPr>
          <w:rFonts w:ascii="黑体" w:hAnsi="黑体" w:eastAsia="黑体" w:cs="黑体"/>
          <w:sz w:val="31"/>
          <w:szCs w:val="31"/>
        </w:rPr>
      </w:pPr>
      <w:bookmarkStart w:id="25" w:name="_Toc22136"/>
      <w:r>
        <w:rPr>
          <w:rFonts w:ascii="黑体" w:hAnsi="黑体" w:eastAsia="黑体" w:cs="黑体"/>
          <w:spacing w:val="9"/>
          <w:sz w:val="31"/>
          <w:szCs w:val="31"/>
        </w:rPr>
        <w:t>十</w:t>
      </w:r>
      <w:r>
        <w:rPr>
          <w:rFonts w:ascii="黑体" w:hAnsi="黑体" w:eastAsia="黑体" w:cs="黑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其他重要事项的情况说</w:t>
      </w:r>
      <w:r>
        <w:rPr>
          <w:rFonts w:ascii="黑体" w:hAnsi="黑体" w:eastAsia="黑体" w:cs="黑体"/>
          <w:spacing w:val="7"/>
          <w:sz w:val="31"/>
          <w:szCs w:val="31"/>
        </w:rPr>
        <w:t>明</w:t>
      </w:r>
      <w:bookmarkEnd w:id="25"/>
    </w:p>
    <w:p>
      <w:pPr>
        <w:spacing w:before="220" w:line="226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26" w:name="_Toc12600"/>
      <w:bookmarkStart w:id="27" w:name="_Toc30038"/>
      <w:r>
        <w:rPr>
          <w:rFonts w:ascii="仿宋" w:hAnsi="仿宋" w:eastAsia="仿宋" w:cs="仿宋"/>
          <w:spacing w:val="2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一)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机关运行经费支出情况</w:t>
      </w:r>
      <w:bookmarkEnd w:id="26"/>
      <w:bookmarkEnd w:id="27"/>
    </w:p>
    <w:p>
      <w:pPr>
        <w:spacing w:before="218" w:line="358" w:lineRule="auto"/>
        <w:ind w:left="67" w:right="337" w:firstLine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自贡市</w:t>
      </w:r>
      <w:r>
        <w:rPr>
          <w:rFonts w:ascii="仿宋" w:hAnsi="仿宋" w:eastAsia="仿宋" w:cs="仿宋"/>
          <w:spacing w:val="6"/>
          <w:sz w:val="31"/>
          <w:szCs w:val="31"/>
        </w:rPr>
        <w:t>自</w:t>
      </w:r>
      <w:r>
        <w:rPr>
          <w:rFonts w:ascii="仿宋" w:hAnsi="仿宋" w:eastAsia="仿宋" w:cs="仿宋"/>
          <w:spacing w:val="5"/>
          <w:sz w:val="31"/>
          <w:szCs w:val="31"/>
        </w:rPr>
        <w:t>流井区鸿鹤小学校2020年无机关运行经费支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3"/>
          <w:sz w:val="31"/>
          <w:szCs w:val="31"/>
        </w:rPr>
        <w:t>出</w:t>
      </w:r>
      <w:r>
        <w:rPr>
          <w:rFonts w:ascii="仿宋" w:hAnsi="仿宋" w:eastAsia="仿宋" w:cs="仿宋"/>
          <w:spacing w:val="-22"/>
          <w:sz w:val="31"/>
          <w:szCs w:val="31"/>
        </w:rPr>
        <w:t>。</w:t>
      </w:r>
    </w:p>
    <w:p>
      <w:pPr>
        <w:spacing w:before="1" w:line="227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28" w:name="_Toc32674"/>
      <w:bookmarkStart w:id="29" w:name="_Toc23594"/>
      <w:r>
        <w:rPr>
          <w:rFonts w:ascii="仿宋" w:hAnsi="仿宋" w:eastAsia="仿宋" w:cs="仿宋"/>
          <w:spacing w:val="2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(二)</w:t>
      </w:r>
      <w:r>
        <w:rPr>
          <w:rFonts w:ascii="仿宋" w:hAnsi="仿宋" w:eastAsia="仿宋" w:cs="仿宋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政府采购支出情况</w:t>
      </w:r>
      <w:bookmarkEnd w:id="28"/>
      <w:bookmarkEnd w:id="29"/>
    </w:p>
    <w:p>
      <w:pPr>
        <w:spacing w:before="215" w:line="224" w:lineRule="auto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 xml:space="preserve">2020 年，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自贡市自流井区鸿鹤小学校</w:t>
      </w:r>
      <w:r>
        <w:rPr>
          <w:rFonts w:ascii="仿宋" w:hAnsi="仿宋" w:eastAsia="仿宋" w:cs="仿宋"/>
          <w:spacing w:val="-4"/>
          <w:sz w:val="31"/>
          <w:szCs w:val="31"/>
        </w:rPr>
        <w:t>政府采购支出总</w:t>
      </w:r>
      <w:r>
        <w:rPr>
          <w:rFonts w:ascii="仿宋" w:hAnsi="仿宋" w:eastAsia="仿宋" w:cs="仿宋"/>
          <w:spacing w:val="-2"/>
          <w:sz w:val="31"/>
          <w:szCs w:val="31"/>
        </w:rPr>
        <w:t>额</w:t>
      </w:r>
    </w:p>
    <w:p>
      <w:pPr>
        <w:spacing w:before="224" w:line="331" w:lineRule="auto"/>
        <w:ind w:left="30" w:right="14" w:firstLine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</w:t>
      </w:r>
      <w:r>
        <w:rPr>
          <w:rFonts w:ascii="仿宋" w:hAnsi="仿宋" w:eastAsia="仿宋" w:cs="仿宋"/>
          <w:spacing w:val="-5"/>
          <w:sz w:val="31"/>
          <w:szCs w:val="31"/>
        </w:rPr>
        <w:t>元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， 其中：政府采购货物支出 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万元、政府采购工程支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出 </w:t>
      </w:r>
      <w:r>
        <w:rPr>
          <w:rFonts w:ascii="仿宋" w:hAnsi="仿宋" w:eastAsia="仿宋" w:cs="仿宋"/>
          <w:spacing w:val="-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万元、政府采购服务支出 </w:t>
      </w:r>
      <w:r>
        <w:rPr>
          <w:rFonts w:ascii="仿宋" w:hAnsi="仿宋" w:eastAsia="仿宋" w:cs="仿宋"/>
          <w:spacing w:val="-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万元。主要用于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… </w:t>
      </w:r>
      <w:r>
        <w:rPr>
          <w:rFonts w:ascii="仿宋" w:hAnsi="仿宋" w:eastAsia="仿宋" w:cs="仿宋"/>
          <w:spacing w:val="-5"/>
          <w:sz w:val="31"/>
          <w:szCs w:val="31"/>
        </w:rPr>
        <w:t>(具体</w:t>
      </w:r>
      <w:r>
        <w:rPr>
          <w:rFonts w:ascii="仿宋" w:hAnsi="仿宋" w:eastAsia="仿宋" w:cs="仿宋"/>
          <w:spacing w:val="-3"/>
          <w:sz w:val="31"/>
          <w:szCs w:val="31"/>
        </w:rPr>
        <w:t>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作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)。授予中小企业合同金额 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万元，占政府采购支出总额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的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%，其中： 授予小微企业合同金额 </w:t>
      </w:r>
      <w:r>
        <w:rPr>
          <w:rFonts w:ascii="仿宋" w:hAnsi="仿宋" w:eastAsia="仿宋" w:cs="仿宋"/>
          <w:spacing w:val="-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万元， 占政府采购支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出</w:t>
      </w:r>
      <w:r>
        <w:rPr>
          <w:rFonts w:ascii="仿宋" w:hAnsi="仿宋" w:eastAsia="仿宋" w:cs="仿宋"/>
          <w:spacing w:val="-6"/>
          <w:sz w:val="31"/>
          <w:szCs w:val="31"/>
        </w:rPr>
        <w:t>总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额的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>%。</w:t>
      </w:r>
    </w:p>
    <w:p>
      <w:pPr>
        <w:spacing w:before="223" w:line="228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30" w:name="_Toc6872"/>
      <w:bookmarkStart w:id="31" w:name="_Toc10780"/>
      <w:r>
        <w:rPr>
          <w:rFonts w:ascii="仿宋" w:hAnsi="仿宋" w:eastAsia="仿宋" w:cs="仿宋"/>
          <w:spacing w:val="2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三)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国有资产占有使用情况</w:t>
      </w:r>
      <w:bookmarkEnd w:id="30"/>
      <w:bookmarkEnd w:id="31"/>
    </w:p>
    <w:p>
      <w:pPr>
        <w:spacing w:before="219" w:line="360" w:lineRule="auto"/>
        <w:ind w:left="34" w:right="13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截至20</w:t>
      </w:r>
      <w:r>
        <w:rPr>
          <w:rFonts w:ascii="仿宋" w:hAnsi="仿宋" w:eastAsia="仿宋" w:cs="仿宋"/>
          <w:spacing w:val="-3"/>
          <w:sz w:val="31"/>
          <w:szCs w:val="31"/>
        </w:rPr>
        <w:t>20年12月31 日， 自贡市自流井区鸿鹤小学校共有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车辆</w:t>
      </w:r>
      <w:r>
        <w:rPr>
          <w:rFonts w:ascii="仿宋" w:hAnsi="仿宋" w:eastAsia="仿宋" w:cs="仿宋"/>
          <w:spacing w:val="-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辆，其中： 主要领导干部用车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辆、机要通信用车</w:t>
      </w:r>
      <w:r>
        <w:rPr>
          <w:rFonts w:ascii="仿宋" w:hAnsi="仿宋" w:eastAsia="仿宋" w:cs="仿宋"/>
          <w:spacing w:val="-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应急保障用车</w:t>
      </w:r>
      <w:r>
        <w:rPr>
          <w:rFonts w:ascii="仿宋" w:hAnsi="仿宋" w:eastAsia="仿宋" w:cs="仿宋"/>
          <w:spacing w:val="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辆、其他用车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辆。 单价50万元以上通用设备</w:t>
      </w:r>
    </w:p>
    <w:p>
      <w:pPr>
        <w:sectPr>
          <w:footerReference r:id="rId13" w:type="default"/>
          <w:pgSz w:w="11907" w:h="16839"/>
          <w:pgMar w:top="1431" w:right="1785" w:bottom="1377" w:left="1785" w:header="0" w:footer="1214" w:gutter="0"/>
          <w:cols w:space="720" w:num="1"/>
        </w:sectPr>
      </w:pPr>
    </w:p>
    <w:p>
      <w:pPr>
        <w:spacing w:before="216" w:line="221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9"/>
          <w:sz w:val="31"/>
          <w:szCs w:val="31"/>
        </w:rPr>
        <w:t>台(套)，单价100万元以上专用设备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0</w:t>
      </w:r>
      <w:r>
        <w:rPr>
          <w:rFonts w:ascii="仿宋" w:hAnsi="仿宋" w:eastAsia="仿宋" w:cs="仿宋"/>
          <w:spacing w:val="19"/>
          <w:sz w:val="31"/>
          <w:szCs w:val="31"/>
        </w:rPr>
        <w:t>台(套)。</w:t>
      </w:r>
    </w:p>
    <w:p>
      <w:pPr>
        <w:spacing w:before="227" w:line="227" w:lineRule="auto"/>
        <w:ind w:left="682"/>
        <w:outlineLvl w:val="2"/>
        <w:rPr>
          <w:rFonts w:ascii="仿宋" w:hAnsi="仿宋" w:eastAsia="仿宋" w:cs="仿宋"/>
          <w:sz w:val="31"/>
          <w:szCs w:val="31"/>
        </w:rPr>
      </w:pPr>
      <w:bookmarkStart w:id="32" w:name="_Toc3525"/>
      <w:bookmarkStart w:id="33" w:name="_Toc4844"/>
      <w:r>
        <w:rPr>
          <w:rFonts w:ascii="仿宋" w:hAnsi="仿宋" w:eastAsia="仿宋" w:cs="仿宋"/>
          <w:spacing w:val="2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(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四)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10"/>
          </w14:textOutline>
        </w:rPr>
        <w:t>预算绩效管理情况。</w:t>
      </w:r>
      <w:bookmarkEnd w:id="32"/>
      <w:bookmarkEnd w:id="33"/>
    </w:p>
    <w:p>
      <w:pPr>
        <w:spacing w:before="206" w:line="345" w:lineRule="auto"/>
        <w:ind w:left="28" w:right="80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根</w:t>
      </w:r>
      <w:r>
        <w:rPr>
          <w:rFonts w:ascii="仿宋" w:hAnsi="仿宋" w:eastAsia="仿宋" w:cs="仿宋"/>
          <w:spacing w:val="8"/>
          <w:sz w:val="31"/>
          <w:szCs w:val="31"/>
        </w:rPr>
        <w:t>据预算绩效管理要求， 本部门(单位) 在年初预算编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制阶段， 组织对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0 项目(项目名称) 开展了预算事前绩效评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估，对 0 个项目</w:t>
      </w:r>
      <w:r>
        <w:rPr>
          <w:rFonts w:ascii="仿宋" w:hAnsi="仿宋" w:eastAsia="仿宋" w:cs="仿宋"/>
          <w:spacing w:val="-2"/>
          <w:sz w:val="31"/>
          <w:szCs w:val="31"/>
        </w:rPr>
        <w:t>编制了绩效目标， 预算执行过程中，选取 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个项目开展绩效监控， 年终执行完毕后， 对 0 个项目开展</w:t>
      </w:r>
      <w:r>
        <w:rPr>
          <w:rFonts w:ascii="仿宋" w:hAnsi="仿宋" w:eastAsia="仿宋" w:cs="仿宋"/>
          <w:spacing w:val="-4"/>
          <w:sz w:val="31"/>
          <w:szCs w:val="31"/>
        </w:rPr>
        <w:t>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绩</w:t>
      </w:r>
      <w:r>
        <w:rPr>
          <w:rFonts w:ascii="仿宋" w:hAnsi="仿宋" w:eastAsia="仿宋" w:cs="仿宋"/>
          <w:spacing w:val="4"/>
          <w:sz w:val="31"/>
          <w:szCs w:val="31"/>
        </w:rPr>
        <w:t>效</w:t>
      </w:r>
      <w:r>
        <w:rPr>
          <w:rFonts w:ascii="仿宋" w:hAnsi="仿宋" w:eastAsia="仿宋" w:cs="仿宋"/>
          <w:spacing w:val="3"/>
          <w:sz w:val="31"/>
          <w:szCs w:val="31"/>
        </w:rPr>
        <w:t>目标完成情况自评。</w:t>
      </w:r>
    </w:p>
    <w:p>
      <w:pPr>
        <w:spacing w:before="2" w:line="354" w:lineRule="auto"/>
        <w:ind w:left="65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自贡市自流井区鸿</w:t>
      </w:r>
      <w:r>
        <w:rPr>
          <w:rFonts w:ascii="仿宋" w:hAnsi="仿宋" w:eastAsia="仿宋" w:cs="仿宋"/>
          <w:spacing w:val="-3"/>
          <w:sz w:val="31"/>
          <w:szCs w:val="31"/>
        </w:rPr>
        <w:t>鹤</w:t>
      </w:r>
      <w:r>
        <w:rPr>
          <w:rFonts w:ascii="仿宋" w:hAnsi="仿宋" w:eastAsia="仿宋" w:cs="仿宋"/>
          <w:spacing w:val="-2"/>
          <w:sz w:val="31"/>
          <w:szCs w:val="31"/>
        </w:rPr>
        <w:t>小学校 2020 年度无专项预算项目，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bookmarkStart w:id="34" w:name="_bookmark15"/>
      <w:bookmarkEnd w:id="34"/>
      <w:r>
        <w:rPr>
          <w:rFonts w:ascii="仿宋" w:hAnsi="仿宋" w:eastAsia="仿宋" w:cs="仿宋"/>
          <w:spacing w:val="6"/>
          <w:sz w:val="31"/>
          <w:szCs w:val="31"/>
        </w:rPr>
        <w:t>因此未组织开展项目支出绩效评价。</w:t>
      </w:r>
    </w:p>
    <w:p>
      <w:pPr>
        <w:sectPr>
          <w:footerReference r:id="rId14" w:type="default"/>
          <w:pgSz w:w="11907" w:h="16839"/>
          <w:pgMar w:top="1431" w:right="1718" w:bottom="1377" w:left="1785" w:header="0" w:footer="1214" w:gutter="0"/>
          <w:cols w:space="720" w:num="1"/>
        </w:sectPr>
      </w:pPr>
    </w:p>
    <w:p>
      <w:pPr>
        <w:spacing w:before="110" w:line="226" w:lineRule="auto"/>
        <w:ind w:left="2644"/>
        <w:outlineLvl w:val="0"/>
        <w:rPr>
          <w:rFonts w:ascii="黑体" w:hAnsi="黑体" w:eastAsia="黑体" w:cs="黑体"/>
          <w:sz w:val="43"/>
          <w:szCs w:val="43"/>
        </w:rPr>
      </w:pPr>
      <w:bookmarkStart w:id="35" w:name="_Toc4790"/>
      <w:r>
        <w:rPr>
          <w:rFonts w:ascii="黑体" w:hAnsi="黑体" w:eastAsia="黑体" w:cs="黑体"/>
          <w:spacing w:val="10"/>
          <w:sz w:val="43"/>
          <w:szCs w:val="43"/>
        </w:rPr>
        <w:t>第</w:t>
      </w:r>
      <w:r>
        <w:rPr>
          <w:rFonts w:ascii="黑体" w:hAnsi="黑体" w:eastAsia="黑体" w:cs="黑体"/>
          <w:spacing w:val="7"/>
          <w:sz w:val="43"/>
          <w:szCs w:val="43"/>
        </w:rPr>
        <w:t>三部分 名词解释</w:t>
      </w:r>
      <w:bookmarkEnd w:id="35"/>
    </w:p>
    <w:p>
      <w:pPr>
        <w:spacing w:before="122" w:line="372" w:lineRule="auto"/>
        <w:ind w:left="36" w:right="252" w:firstLine="72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1.</w:t>
      </w:r>
      <w:r>
        <w:rPr>
          <w:rFonts w:ascii="仿宋" w:hAnsi="仿宋" w:eastAsia="仿宋" w:cs="仿宋"/>
          <w:spacing w:val="8"/>
          <w:sz w:val="31"/>
          <w:szCs w:val="31"/>
        </w:rPr>
        <w:t>财政拨款收入：指单位从同级财政部门取得的财政</w:t>
      </w:r>
      <w:r>
        <w:rPr>
          <w:rFonts w:ascii="仿宋" w:hAnsi="仿宋" w:eastAsia="仿宋" w:cs="仿宋"/>
          <w:spacing w:val="6"/>
          <w:sz w:val="31"/>
          <w:szCs w:val="31"/>
        </w:rPr>
        <w:t>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算资金。</w:t>
      </w:r>
    </w:p>
    <w:p>
      <w:pPr>
        <w:spacing w:before="2" w:line="371" w:lineRule="auto"/>
        <w:ind w:left="30" w:right="252" w:firstLine="69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3"/>
          <w:sz w:val="31"/>
          <w:szCs w:val="31"/>
        </w:rPr>
        <w:t>事业收入： 指事业单位开展专业业务活动及辅助</w:t>
      </w:r>
      <w:r>
        <w:rPr>
          <w:rFonts w:ascii="仿宋" w:hAnsi="仿宋" w:eastAsia="仿宋" w:cs="仿宋"/>
          <w:spacing w:val="2"/>
          <w:sz w:val="31"/>
          <w:szCs w:val="31"/>
        </w:rPr>
        <w:t>活</w:t>
      </w:r>
      <w:r>
        <w:rPr>
          <w:rFonts w:ascii="仿宋" w:hAnsi="仿宋" w:eastAsia="仿宋" w:cs="仿宋"/>
          <w:sz w:val="31"/>
          <w:szCs w:val="31"/>
        </w:rPr>
        <w:t xml:space="preserve">动 </w:t>
      </w:r>
      <w:r>
        <w:rPr>
          <w:rFonts w:ascii="仿宋" w:hAnsi="仿宋" w:eastAsia="仿宋" w:cs="仿宋"/>
          <w:spacing w:val="12"/>
          <w:sz w:val="31"/>
          <w:szCs w:val="31"/>
        </w:rPr>
        <w:t>取</w:t>
      </w:r>
      <w:r>
        <w:rPr>
          <w:rFonts w:ascii="仿宋" w:hAnsi="仿宋" w:eastAsia="仿宋" w:cs="仿宋"/>
          <w:spacing w:val="9"/>
          <w:sz w:val="31"/>
          <w:szCs w:val="31"/>
        </w:rPr>
        <w:t>得</w:t>
      </w:r>
      <w:r>
        <w:rPr>
          <w:rFonts w:ascii="仿宋" w:hAnsi="仿宋" w:eastAsia="仿宋" w:cs="仿宋"/>
          <w:spacing w:val="6"/>
          <w:sz w:val="31"/>
          <w:szCs w:val="31"/>
        </w:rPr>
        <w:t>的收入。如二级预算单位事业收入情况等。</w:t>
      </w:r>
    </w:p>
    <w:p>
      <w:pPr>
        <w:spacing w:before="2" w:line="370" w:lineRule="auto"/>
        <w:ind w:left="39" w:firstLine="69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3.</w:t>
      </w:r>
      <w:r>
        <w:rPr>
          <w:rFonts w:ascii="仿宋" w:hAnsi="仿宋" w:eastAsia="仿宋" w:cs="仿宋"/>
          <w:spacing w:val="1"/>
          <w:sz w:val="31"/>
          <w:szCs w:val="31"/>
        </w:rPr>
        <w:t>其他收入： 指</w:t>
      </w:r>
      <w:r>
        <w:rPr>
          <w:rFonts w:ascii="仿宋" w:hAnsi="仿宋" w:eastAsia="仿宋" w:cs="仿宋"/>
          <w:sz w:val="31"/>
          <w:szCs w:val="31"/>
        </w:rPr>
        <w:t xml:space="preserve">单位取得的除上述收入以外的各项收入。 </w:t>
      </w:r>
      <w:r>
        <w:rPr>
          <w:rFonts w:ascii="仿宋" w:hAnsi="仿宋" w:eastAsia="仿宋" w:cs="仿宋"/>
          <w:spacing w:val="7"/>
          <w:sz w:val="31"/>
          <w:szCs w:val="31"/>
        </w:rPr>
        <w:t>主要是下属单位疫苗、房租、利息、废品变卖收入等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3" w:line="371" w:lineRule="auto"/>
        <w:ind w:left="23" w:right="250" w:firstLine="70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25"/>
          <w:sz w:val="31"/>
          <w:szCs w:val="31"/>
        </w:rPr>
        <w:t>社会保障和就业(类) 行政事业单位离退休(款)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机</w:t>
      </w:r>
      <w:r>
        <w:rPr>
          <w:rFonts w:ascii="仿宋" w:hAnsi="仿宋" w:eastAsia="仿宋" w:cs="仿宋"/>
          <w:spacing w:val="21"/>
          <w:sz w:val="31"/>
          <w:szCs w:val="31"/>
        </w:rPr>
        <w:t>关事业单位基本养老保险缴费支出(项)：指用于行政事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业</w:t>
      </w:r>
      <w:r>
        <w:rPr>
          <w:rFonts w:ascii="仿宋" w:hAnsi="仿宋" w:eastAsia="仿宋" w:cs="仿宋"/>
          <w:spacing w:val="5"/>
          <w:sz w:val="31"/>
          <w:szCs w:val="31"/>
        </w:rPr>
        <w:t>单位基本养老保险缴费支出。</w:t>
      </w:r>
    </w:p>
    <w:p>
      <w:pPr>
        <w:spacing w:before="3" w:line="371" w:lineRule="auto"/>
        <w:ind w:left="21" w:right="250" w:firstLine="71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25"/>
          <w:sz w:val="31"/>
          <w:szCs w:val="31"/>
        </w:rPr>
        <w:t>社会保障和就业(类) 行政事业单位离退休(款)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机</w:t>
      </w:r>
      <w:r>
        <w:rPr>
          <w:rFonts w:ascii="仿宋" w:hAnsi="仿宋" w:eastAsia="仿宋" w:cs="仿宋"/>
          <w:spacing w:val="21"/>
          <w:sz w:val="31"/>
          <w:szCs w:val="31"/>
        </w:rPr>
        <w:t>关事业单位职业年金缴费支出(项)：指用于行政事业单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位</w:t>
      </w:r>
      <w:r>
        <w:rPr>
          <w:rFonts w:ascii="仿宋" w:hAnsi="仿宋" w:eastAsia="仿宋" w:cs="仿宋"/>
          <w:spacing w:val="6"/>
          <w:sz w:val="31"/>
          <w:szCs w:val="31"/>
        </w:rPr>
        <w:t>职</w:t>
      </w:r>
      <w:r>
        <w:rPr>
          <w:rFonts w:ascii="仿宋" w:hAnsi="仿宋" w:eastAsia="仿宋" w:cs="仿宋"/>
          <w:spacing w:val="4"/>
          <w:sz w:val="31"/>
          <w:szCs w:val="31"/>
        </w:rPr>
        <w:t>业年金缴费支出。</w:t>
      </w:r>
    </w:p>
    <w:p>
      <w:pPr>
        <w:spacing w:before="3" w:line="371" w:lineRule="auto"/>
        <w:ind w:left="36" w:right="251" w:firstLine="69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0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24"/>
          <w:sz w:val="31"/>
          <w:szCs w:val="31"/>
        </w:rPr>
        <w:t>社会保障和就业(类) 抚恤(款) 死亡抚恤：指按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规定</w:t>
      </w:r>
      <w:r>
        <w:rPr>
          <w:rFonts w:ascii="仿宋" w:hAnsi="仿宋" w:eastAsia="仿宋" w:cs="仿宋"/>
          <w:spacing w:val="8"/>
          <w:sz w:val="31"/>
          <w:szCs w:val="31"/>
        </w:rPr>
        <w:t>用于烈士和牺牲、病故人员家属的一次性和定期抚恤金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以及丧葬补助</w:t>
      </w:r>
      <w:r>
        <w:rPr>
          <w:rFonts w:ascii="仿宋" w:hAnsi="仿宋" w:eastAsia="仿宋" w:cs="仿宋"/>
          <w:sz w:val="31"/>
          <w:szCs w:val="31"/>
        </w:rPr>
        <w:t>费。</w:t>
      </w:r>
    </w:p>
    <w:p>
      <w:pPr>
        <w:spacing w:before="2" w:line="374" w:lineRule="auto"/>
        <w:ind w:left="26" w:right="93" w:firstLine="70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>7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3"/>
          <w:sz w:val="31"/>
          <w:szCs w:val="31"/>
        </w:rPr>
        <w:t>社会保障和就业(类)其他社会保障和就业支出(款)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其他社会保障和就业支出(项)：指行政单位除人力资源</w:t>
      </w:r>
      <w:r>
        <w:rPr>
          <w:rFonts w:ascii="仿宋" w:hAnsi="仿宋" w:eastAsia="仿宋" w:cs="仿宋"/>
          <w:spacing w:val="20"/>
          <w:sz w:val="31"/>
          <w:szCs w:val="31"/>
        </w:rPr>
        <w:t>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社会保障管理事务、民政管理事务、补充全</w:t>
      </w:r>
      <w:r>
        <w:rPr>
          <w:rFonts w:ascii="仿宋" w:hAnsi="仿宋" w:eastAsia="仿宋" w:cs="仿宋"/>
          <w:sz w:val="31"/>
          <w:szCs w:val="31"/>
        </w:rPr>
        <w:t xml:space="preserve">国社会保障基金、 </w:t>
      </w:r>
      <w:r>
        <w:rPr>
          <w:rFonts w:ascii="仿宋" w:hAnsi="仿宋" w:eastAsia="仿宋" w:cs="仿宋"/>
          <w:spacing w:val="9"/>
          <w:sz w:val="31"/>
          <w:szCs w:val="31"/>
        </w:rPr>
        <w:t>行政事业单位离退休、企业改革补助、就业补助、抚恤、</w:t>
      </w:r>
      <w:r>
        <w:rPr>
          <w:rFonts w:ascii="仿宋" w:hAnsi="仿宋" w:eastAsia="仿宋" w:cs="仿宋"/>
          <w:spacing w:val="8"/>
          <w:sz w:val="31"/>
          <w:szCs w:val="31"/>
        </w:rPr>
        <w:t>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役安置、社会福利、残疾人事业、自然灾害生活补助、红</w:t>
      </w:r>
      <w:r>
        <w:rPr>
          <w:rFonts w:ascii="仿宋" w:hAnsi="仿宋" w:eastAsia="仿宋" w:cs="仿宋"/>
          <w:spacing w:val="8"/>
          <w:sz w:val="31"/>
          <w:szCs w:val="31"/>
        </w:rPr>
        <w:t>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字事业、最低生活保障、临时救助、特困人员救助供养、</w:t>
      </w:r>
      <w:r>
        <w:rPr>
          <w:rFonts w:ascii="仿宋" w:hAnsi="仿宋" w:eastAsia="仿宋" w:cs="仿宋"/>
          <w:spacing w:val="8"/>
          <w:sz w:val="31"/>
          <w:szCs w:val="31"/>
        </w:rPr>
        <w:t>补</w:t>
      </w:r>
    </w:p>
    <w:p>
      <w:pPr>
        <w:sectPr>
          <w:footerReference r:id="rId15" w:type="default"/>
          <w:pgSz w:w="11907" w:h="16839"/>
          <w:pgMar w:top="1431" w:right="1547" w:bottom="1376" w:left="1785" w:header="0" w:footer="1214" w:gutter="0"/>
          <w:cols w:space="720" w:num="1"/>
        </w:sectPr>
      </w:pPr>
    </w:p>
    <w:p>
      <w:pPr>
        <w:spacing w:before="160" w:line="371" w:lineRule="auto"/>
        <w:ind w:left="26" w:right="242" w:firstLine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充</w:t>
      </w:r>
      <w:r>
        <w:rPr>
          <w:rFonts w:ascii="仿宋" w:hAnsi="仿宋" w:eastAsia="仿宋" w:cs="仿宋"/>
          <w:spacing w:val="15"/>
          <w:sz w:val="31"/>
          <w:szCs w:val="31"/>
        </w:rPr>
        <w:t>道</w:t>
      </w:r>
      <w:r>
        <w:rPr>
          <w:rFonts w:ascii="仿宋" w:hAnsi="仿宋" w:eastAsia="仿宋" w:cs="仿宋"/>
          <w:spacing w:val="8"/>
          <w:sz w:val="31"/>
          <w:szCs w:val="31"/>
        </w:rPr>
        <w:t>路交通事故社会救助基金、其他生活救助、财政对基本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养老保险基金的补助、财政对其他社会保险基金的补助以</w:t>
      </w:r>
      <w:r>
        <w:rPr>
          <w:rFonts w:ascii="仿宋" w:hAnsi="仿宋" w:eastAsia="仿宋" w:cs="仿宋"/>
          <w:spacing w:val="8"/>
          <w:sz w:val="31"/>
          <w:szCs w:val="31"/>
        </w:rPr>
        <w:t>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其</w:t>
      </w:r>
      <w:r>
        <w:rPr>
          <w:rFonts w:ascii="仿宋" w:hAnsi="仿宋" w:eastAsia="仿宋" w:cs="仿宋"/>
          <w:spacing w:val="8"/>
          <w:sz w:val="31"/>
          <w:szCs w:val="31"/>
        </w:rPr>
        <w:t>他</w:t>
      </w:r>
      <w:r>
        <w:rPr>
          <w:rFonts w:ascii="仿宋" w:hAnsi="仿宋" w:eastAsia="仿宋" w:cs="仿宋"/>
          <w:spacing w:val="6"/>
          <w:sz w:val="31"/>
          <w:szCs w:val="31"/>
        </w:rPr>
        <w:t>用于社会保障和就业方面的支出。</w:t>
      </w:r>
    </w:p>
    <w:p>
      <w:pPr>
        <w:spacing w:before="2" w:line="371" w:lineRule="auto"/>
        <w:ind w:left="25" w:right="238" w:firstLine="71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4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38"/>
          <w:sz w:val="31"/>
          <w:szCs w:val="31"/>
        </w:rPr>
        <w:t>.</w:t>
      </w:r>
      <w:r>
        <w:rPr>
          <w:rFonts w:ascii="仿宋" w:hAnsi="仿宋" w:eastAsia="仿宋" w:cs="仿宋"/>
          <w:spacing w:val="38"/>
          <w:sz w:val="31"/>
          <w:szCs w:val="31"/>
        </w:rPr>
        <w:t>教育支出(类)普通教育(款) 学前教育(项)：指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各</w:t>
      </w:r>
      <w:r>
        <w:rPr>
          <w:rFonts w:ascii="仿宋" w:hAnsi="仿宋" w:eastAsia="仿宋" w:cs="仿宋"/>
          <w:spacing w:val="7"/>
          <w:sz w:val="31"/>
          <w:szCs w:val="31"/>
        </w:rPr>
        <w:t>部</w:t>
      </w:r>
      <w:r>
        <w:rPr>
          <w:rFonts w:ascii="仿宋" w:hAnsi="仿宋" w:eastAsia="仿宋" w:cs="仿宋"/>
          <w:spacing w:val="5"/>
          <w:sz w:val="31"/>
          <w:szCs w:val="31"/>
        </w:rPr>
        <w:t>门举办的学前教育支出。</w:t>
      </w:r>
    </w:p>
    <w:p>
      <w:pPr>
        <w:spacing w:before="1" w:line="372" w:lineRule="auto"/>
        <w:ind w:left="21" w:right="238" w:firstLine="71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1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38"/>
          <w:sz w:val="31"/>
          <w:szCs w:val="31"/>
        </w:rPr>
        <w:t>.</w:t>
      </w:r>
      <w:r>
        <w:rPr>
          <w:rFonts w:ascii="仿宋" w:hAnsi="仿宋" w:eastAsia="仿宋" w:cs="仿宋"/>
          <w:spacing w:val="38"/>
          <w:sz w:val="31"/>
          <w:szCs w:val="31"/>
        </w:rPr>
        <w:t>教育支出(类)普通教育(款) 小学教育(项)：指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各</w:t>
      </w:r>
      <w:r>
        <w:rPr>
          <w:rFonts w:ascii="仿宋" w:hAnsi="仿宋" w:eastAsia="仿宋" w:cs="仿宋"/>
          <w:spacing w:val="3"/>
          <w:sz w:val="31"/>
          <w:szCs w:val="31"/>
        </w:rPr>
        <w:t>部门举办的小学教育支出， 政府各部门对社会中介组织等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举办的小学的资助，如各类捐赠、补贴等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1" w:line="371" w:lineRule="auto"/>
        <w:ind w:left="22" w:firstLine="73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0.</w:t>
      </w:r>
      <w:r>
        <w:rPr>
          <w:rFonts w:ascii="仿宋" w:hAnsi="仿宋" w:eastAsia="仿宋" w:cs="仿宋"/>
          <w:spacing w:val="24"/>
          <w:sz w:val="31"/>
          <w:szCs w:val="31"/>
        </w:rPr>
        <w:t>卫生健康支出(类) 行政事业单位医疗(款) 事业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单</w:t>
      </w:r>
      <w:r>
        <w:rPr>
          <w:rFonts w:ascii="仿宋" w:hAnsi="仿宋" w:eastAsia="仿宋" w:cs="仿宋"/>
          <w:spacing w:val="21"/>
          <w:sz w:val="31"/>
          <w:szCs w:val="31"/>
        </w:rPr>
        <w:t>位医疗(项)：指财政部门集中安排的事业单位基本医疗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保</w:t>
      </w:r>
      <w:r>
        <w:rPr>
          <w:rFonts w:ascii="仿宋" w:hAnsi="仿宋" w:eastAsia="仿宋" w:cs="仿宋"/>
          <w:spacing w:val="7"/>
          <w:sz w:val="31"/>
          <w:szCs w:val="31"/>
        </w:rPr>
        <w:t>险</w:t>
      </w:r>
      <w:r>
        <w:rPr>
          <w:rFonts w:ascii="仿宋" w:hAnsi="仿宋" w:eastAsia="仿宋" w:cs="仿宋"/>
          <w:spacing w:val="6"/>
          <w:sz w:val="31"/>
          <w:szCs w:val="31"/>
        </w:rPr>
        <w:t>缴费经费，未参加医疗保险的事业单位的公费医疗经费，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按国</w:t>
      </w:r>
      <w:r>
        <w:rPr>
          <w:rFonts w:ascii="仿宋" w:hAnsi="仿宋" w:eastAsia="仿宋" w:cs="仿宋"/>
          <w:spacing w:val="6"/>
          <w:sz w:val="31"/>
          <w:szCs w:val="31"/>
        </w:rPr>
        <w:t>家规定享受离休人员的医疗经费。</w:t>
      </w:r>
    </w:p>
    <w:p>
      <w:pPr>
        <w:spacing w:before="1" w:line="372" w:lineRule="auto"/>
        <w:ind w:left="26" w:right="158" w:firstLine="73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6"/>
          <w:sz w:val="31"/>
          <w:szCs w:val="31"/>
        </w:rPr>
        <w:t>住房保障(类)住房改革支出(款)住房公积金(项)：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指行政事业单位按人力资源和社会保障部、财政部规定的</w:t>
      </w:r>
      <w:r>
        <w:rPr>
          <w:rFonts w:ascii="仿宋" w:hAnsi="仿宋" w:eastAsia="仿宋" w:cs="仿宋"/>
          <w:spacing w:val="8"/>
          <w:sz w:val="31"/>
          <w:szCs w:val="31"/>
        </w:rPr>
        <w:t>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本</w:t>
      </w:r>
      <w:r>
        <w:rPr>
          <w:rFonts w:ascii="仿宋" w:hAnsi="仿宋" w:eastAsia="仿宋" w:cs="仿宋"/>
          <w:spacing w:val="12"/>
          <w:sz w:val="31"/>
          <w:szCs w:val="31"/>
        </w:rPr>
        <w:t>工资和津贴补贴以及规定比例为职工缴纳的住房公积金。</w:t>
      </w:r>
    </w:p>
    <w:p>
      <w:pPr>
        <w:spacing w:before="2" w:line="371" w:lineRule="auto"/>
        <w:ind w:left="31" w:right="240" w:firstLine="72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基本支出： 指为保障机构正常运转、完成日常工作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任</w:t>
      </w:r>
      <w:r>
        <w:rPr>
          <w:rFonts w:ascii="仿宋" w:hAnsi="仿宋" w:eastAsia="仿宋" w:cs="仿宋"/>
          <w:spacing w:val="8"/>
          <w:sz w:val="31"/>
          <w:szCs w:val="31"/>
        </w:rPr>
        <w:t>务而发生的人员支出和公用支出。</w:t>
      </w:r>
    </w:p>
    <w:p>
      <w:pPr>
        <w:spacing w:before="2" w:line="371" w:lineRule="auto"/>
        <w:ind w:left="34" w:right="240" w:firstLine="72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13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项目支出： 指在基本支出之外为完成特定行政任务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和</w:t>
      </w:r>
      <w:r>
        <w:rPr>
          <w:rFonts w:ascii="仿宋" w:hAnsi="仿宋" w:eastAsia="仿宋" w:cs="仿宋"/>
          <w:spacing w:val="6"/>
          <w:sz w:val="31"/>
          <w:szCs w:val="31"/>
        </w:rPr>
        <w:t>事</w:t>
      </w:r>
      <w:r>
        <w:rPr>
          <w:rFonts w:ascii="仿宋" w:hAnsi="仿宋" w:eastAsia="仿宋" w:cs="仿宋"/>
          <w:spacing w:val="4"/>
          <w:sz w:val="31"/>
          <w:szCs w:val="31"/>
        </w:rPr>
        <w:t>业发展目标所发生的支出。</w:t>
      </w:r>
    </w:p>
    <w:p>
      <w:pPr>
        <w:spacing w:before="1" w:line="376" w:lineRule="auto"/>
        <w:ind w:left="18" w:right="240" w:firstLine="7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14.  </w:t>
      </w:r>
      <w:r>
        <w:rPr>
          <w:rFonts w:ascii="仿宋" w:hAnsi="仿宋" w:eastAsia="仿宋" w:cs="仿宋"/>
          <w:spacing w:val="2"/>
          <w:sz w:val="31"/>
          <w:szCs w:val="31"/>
        </w:rPr>
        <w:t>“三公”经费： 指部门</w:t>
      </w:r>
      <w:r>
        <w:rPr>
          <w:rFonts w:ascii="仿宋" w:hAnsi="仿宋" w:eastAsia="仿宋" w:cs="仿宋"/>
          <w:spacing w:val="1"/>
          <w:sz w:val="31"/>
          <w:szCs w:val="31"/>
        </w:rPr>
        <w:t>用财政拨款安排的因公出国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(</w:t>
      </w:r>
      <w:r>
        <w:rPr>
          <w:rFonts w:ascii="仿宋" w:hAnsi="仿宋" w:eastAsia="仿宋" w:cs="仿宋"/>
          <w:spacing w:val="15"/>
          <w:sz w:val="31"/>
          <w:szCs w:val="31"/>
        </w:rPr>
        <w:t>境</w:t>
      </w:r>
      <w:r>
        <w:rPr>
          <w:rFonts w:ascii="仿宋" w:hAnsi="仿宋" w:eastAsia="仿宋" w:cs="仿宋"/>
          <w:spacing w:val="8"/>
          <w:sz w:val="31"/>
          <w:szCs w:val="31"/>
        </w:rPr>
        <w:t>) 费、公务用车购置及运行费和公务接待费。其中， 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8"/>
          <w:sz w:val="31"/>
          <w:szCs w:val="31"/>
        </w:rPr>
        <w:t>公</w:t>
      </w:r>
      <w:r>
        <w:rPr>
          <w:rFonts w:ascii="仿宋" w:hAnsi="仿宋" w:eastAsia="仿宋" w:cs="仿宋"/>
          <w:spacing w:val="19"/>
          <w:sz w:val="31"/>
          <w:szCs w:val="31"/>
        </w:rPr>
        <w:t>出国(境) 费反映单位公务出国(境) 的国际旅费、国外</w:t>
      </w:r>
    </w:p>
    <w:p>
      <w:pPr>
        <w:sectPr>
          <w:footerReference r:id="rId16" w:type="default"/>
          <w:pgSz w:w="11907" w:h="16839"/>
          <w:pgMar w:top="1431" w:right="1557" w:bottom="1377" w:left="1785" w:header="0" w:footer="1214" w:gutter="0"/>
          <w:cols w:space="720" w:num="1"/>
        </w:sectPr>
      </w:pPr>
    </w:p>
    <w:p>
      <w:pPr>
        <w:spacing w:before="156" w:line="375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城市间交通费、住宿费、伙食费、培训费、公杂费等支出</w:t>
      </w:r>
      <w:r>
        <w:rPr>
          <w:rFonts w:ascii="仿宋" w:hAnsi="仿宋" w:eastAsia="仿宋" w:cs="仿宋"/>
          <w:spacing w:val="8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公</w:t>
      </w:r>
      <w:r>
        <w:rPr>
          <w:rFonts w:ascii="仿宋" w:hAnsi="仿宋" w:eastAsia="仿宋" w:cs="仿宋"/>
          <w:spacing w:val="14"/>
          <w:sz w:val="31"/>
          <w:szCs w:val="31"/>
        </w:rPr>
        <w:t>务用车购置及运行费反映单位公务用车车辆购置支出(含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车辆</w:t>
      </w:r>
      <w:r>
        <w:rPr>
          <w:rFonts w:ascii="仿宋" w:hAnsi="仿宋" w:eastAsia="仿宋" w:cs="仿宋"/>
          <w:spacing w:val="12"/>
          <w:sz w:val="31"/>
          <w:szCs w:val="31"/>
        </w:rPr>
        <w:t>购</w:t>
      </w:r>
      <w:r>
        <w:rPr>
          <w:rFonts w:ascii="仿宋" w:hAnsi="仿宋" w:eastAsia="仿宋" w:cs="仿宋"/>
          <w:spacing w:val="8"/>
          <w:sz w:val="31"/>
          <w:szCs w:val="31"/>
        </w:rPr>
        <w:t>置税) 及租用费、燃料费、维修费、过路过桥费、保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险费等支出； 公务接待费反映单位按规定开支的各类公务接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bookmarkStart w:id="36" w:name="_bookmark16"/>
      <w:bookmarkEnd w:id="36"/>
      <w:r>
        <w:rPr>
          <w:rFonts w:ascii="仿宋" w:hAnsi="仿宋" w:eastAsia="仿宋" w:cs="仿宋"/>
          <w:spacing w:val="17"/>
          <w:sz w:val="31"/>
          <w:szCs w:val="31"/>
        </w:rPr>
        <w:t>待(含外宾接待) 支出。</w:t>
      </w:r>
    </w:p>
    <w:p>
      <w:pPr>
        <w:sectPr>
          <w:footerReference r:id="rId17" w:type="default"/>
          <w:pgSz w:w="11907" w:h="16839"/>
          <w:pgMar w:top="1431" w:right="1728" w:bottom="1377" w:left="1785" w:header="0" w:footer="1214" w:gutter="0"/>
          <w:cols w:space="720" w:num="1"/>
        </w:sectPr>
      </w:pPr>
    </w:p>
    <w:p>
      <w:pPr>
        <w:spacing w:before="110" w:line="226" w:lineRule="auto"/>
        <w:ind w:left="2755"/>
        <w:outlineLvl w:val="0"/>
        <w:rPr>
          <w:rFonts w:ascii="黑体" w:hAnsi="黑体" w:eastAsia="黑体" w:cs="黑体"/>
          <w:sz w:val="43"/>
          <w:szCs w:val="43"/>
        </w:rPr>
      </w:pPr>
      <w:bookmarkStart w:id="37" w:name="_Toc3607"/>
      <w:r>
        <w:rPr>
          <w:rFonts w:ascii="黑体" w:hAnsi="黑体" w:eastAsia="黑体" w:cs="黑体"/>
          <w:spacing w:val="9"/>
          <w:sz w:val="43"/>
          <w:szCs w:val="43"/>
        </w:rPr>
        <w:t>第</w:t>
      </w:r>
      <w:r>
        <w:rPr>
          <w:rFonts w:ascii="黑体" w:hAnsi="黑体" w:eastAsia="黑体" w:cs="黑体"/>
          <w:spacing w:val="8"/>
          <w:sz w:val="43"/>
          <w:szCs w:val="43"/>
        </w:rPr>
        <w:t>四部分 附件</w:t>
      </w:r>
      <w:bookmarkEnd w:id="37"/>
    </w:p>
    <w:p>
      <w:pPr>
        <w:spacing w:before="88" w:line="166" w:lineRule="auto"/>
        <w:ind w:left="397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无</w:t>
      </w:r>
    </w:p>
    <w:p>
      <w:pPr>
        <w:sectPr>
          <w:footerReference r:id="rId18" w:type="default"/>
          <w:pgSz w:w="11907" w:h="16839"/>
          <w:pgMar w:top="1431" w:right="1785" w:bottom="1376" w:left="1785" w:header="0" w:footer="1214" w:gutter="0"/>
          <w:cols w:space="720" w:num="1"/>
        </w:sectPr>
      </w:pPr>
    </w:p>
    <w:p>
      <w:pPr>
        <w:spacing w:before="110" w:line="226" w:lineRule="auto"/>
        <w:ind w:left="2755"/>
        <w:outlineLvl w:val="0"/>
        <w:rPr>
          <w:rFonts w:ascii="黑体" w:hAnsi="黑体" w:eastAsia="黑体" w:cs="黑体"/>
          <w:sz w:val="43"/>
          <w:szCs w:val="43"/>
        </w:rPr>
      </w:pPr>
      <w:bookmarkStart w:id="38" w:name="_bookmark17"/>
      <w:bookmarkEnd w:id="38"/>
      <w:bookmarkStart w:id="39" w:name="_Toc28524"/>
      <w:r>
        <w:rPr>
          <w:rFonts w:ascii="黑体" w:hAnsi="黑体" w:eastAsia="黑体" w:cs="黑体"/>
          <w:spacing w:val="9"/>
          <w:sz w:val="43"/>
          <w:szCs w:val="43"/>
        </w:rPr>
        <w:t>第</w:t>
      </w:r>
      <w:r>
        <w:rPr>
          <w:rFonts w:ascii="黑体" w:hAnsi="黑体" w:eastAsia="黑体" w:cs="黑体"/>
          <w:spacing w:val="8"/>
          <w:sz w:val="43"/>
          <w:szCs w:val="43"/>
        </w:rPr>
        <w:t>五部分 附表</w:t>
      </w:r>
      <w:bookmarkEnd w:id="39"/>
    </w:p>
    <w:p>
      <w:pPr>
        <w:spacing w:before="120" w:line="224" w:lineRule="auto"/>
        <w:ind w:left="46"/>
        <w:outlineLvl w:val="1"/>
        <w:rPr>
          <w:rFonts w:ascii="仿宋" w:hAnsi="仿宋" w:eastAsia="仿宋" w:cs="仿宋"/>
          <w:sz w:val="31"/>
          <w:szCs w:val="31"/>
        </w:rPr>
      </w:pPr>
      <w:bookmarkStart w:id="40" w:name="_Toc17907"/>
      <w:r>
        <w:rPr>
          <w:rFonts w:ascii="仿宋" w:hAnsi="仿宋" w:eastAsia="仿宋" w:cs="仿宋"/>
          <w:spacing w:val="12"/>
          <w:sz w:val="31"/>
          <w:szCs w:val="31"/>
        </w:rPr>
        <w:t>一</w:t>
      </w:r>
      <w:r>
        <w:rPr>
          <w:rFonts w:ascii="仿宋" w:hAnsi="仿宋" w:eastAsia="仿宋" w:cs="仿宋"/>
          <w:spacing w:val="6"/>
          <w:sz w:val="31"/>
          <w:szCs w:val="31"/>
        </w:rPr>
        <w:t>、收入支出决算总表</w:t>
      </w:r>
      <w:bookmarkEnd w:id="40"/>
    </w:p>
    <w:p>
      <w:pPr>
        <w:spacing w:before="251" w:line="222" w:lineRule="auto"/>
        <w:ind w:left="44"/>
        <w:outlineLvl w:val="1"/>
        <w:rPr>
          <w:rFonts w:ascii="仿宋" w:hAnsi="仿宋" w:eastAsia="仿宋" w:cs="仿宋"/>
          <w:sz w:val="31"/>
          <w:szCs w:val="31"/>
        </w:rPr>
      </w:pPr>
      <w:bookmarkStart w:id="41" w:name="_Toc13305"/>
      <w:r>
        <w:rPr>
          <w:rFonts w:ascii="仿宋" w:hAnsi="仿宋" w:eastAsia="仿宋" w:cs="仿宋"/>
          <w:spacing w:val="9"/>
          <w:sz w:val="31"/>
          <w:szCs w:val="31"/>
        </w:rPr>
        <w:t>二</w:t>
      </w:r>
      <w:r>
        <w:rPr>
          <w:rFonts w:ascii="仿宋" w:hAnsi="仿宋" w:eastAsia="仿宋" w:cs="仿宋"/>
          <w:spacing w:val="5"/>
          <w:sz w:val="31"/>
          <w:szCs w:val="31"/>
        </w:rPr>
        <w:t>、收入决算表</w:t>
      </w:r>
      <w:bookmarkEnd w:id="41"/>
    </w:p>
    <w:p>
      <w:pPr>
        <w:spacing w:before="251" w:line="222" w:lineRule="auto"/>
        <w:ind w:left="50"/>
        <w:outlineLvl w:val="1"/>
        <w:rPr>
          <w:rFonts w:ascii="仿宋" w:hAnsi="仿宋" w:eastAsia="仿宋" w:cs="仿宋"/>
          <w:sz w:val="31"/>
          <w:szCs w:val="31"/>
        </w:rPr>
      </w:pPr>
      <w:bookmarkStart w:id="42" w:name="_Toc12675"/>
      <w:r>
        <w:rPr>
          <w:rFonts w:ascii="仿宋" w:hAnsi="仿宋" w:eastAsia="仿宋" w:cs="仿宋"/>
          <w:spacing w:val="8"/>
          <w:sz w:val="31"/>
          <w:szCs w:val="31"/>
        </w:rPr>
        <w:t>三</w:t>
      </w:r>
      <w:r>
        <w:rPr>
          <w:rFonts w:ascii="仿宋" w:hAnsi="仿宋" w:eastAsia="仿宋" w:cs="仿宋"/>
          <w:spacing w:val="5"/>
          <w:sz w:val="31"/>
          <w:szCs w:val="31"/>
        </w:rPr>
        <w:t>、</w:t>
      </w:r>
      <w:r>
        <w:rPr>
          <w:rFonts w:ascii="仿宋" w:hAnsi="仿宋" w:eastAsia="仿宋" w:cs="仿宋"/>
          <w:spacing w:val="4"/>
          <w:sz w:val="31"/>
          <w:szCs w:val="31"/>
        </w:rPr>
        <w:t>支出决算表</w:t>
      </w:r>
      <w:bookmarkEnd w:id="42"/>
    </w:p>
    <w:p>
      <w:pPr>
        <w:spacing w:before="251" w:line="222" w:lineRule="auto"/>
        <w:ind w:left="63"/>
        <w:outlineLvl w:val="1"/>
        <w:rPr>
          <w:rFonts w:ascii="仿宋" w:hAnsi="仿宋" w:eastAsia="仿宋" w:cs="仿宋"/>
          <w:sz w:val="31"/>
          <w:szCs w:val="31"/>
        </w:rPr>
      </w:pPr>
      <w:bookmarkStart w:id="43" w:name="_Toc19651"/>
      <w:r>
        <w:rPr>
          <w:rFonts w:ascii="仿宋" w:hAnsi="仿宋" w:eastAsia="仿宋" w:cs="仿宋"/>
          <w:spacing w:val="10"/>
          <w:sz w:val="31"/>
          <w:szCs w:val="31"/>
        </w:rPr>
        <w:t>四</w:t>
      </w:r>
      <w:r>
        <w:rPr>
          <w:rFonts w:ascii="仿宋" w:hAnsi="仿宋" w:eastAsia="仿宋" w:cs="仿宋"/>
          <w:spacing w:val="6"/>
          <w:sz w:val="31"/>
          <w:szCs w:val="31"/>
        </w:rPr>
        <w:t>、财政拨款收入支出决算总表</w:t>
      </w:r>
      <w:bookmarkEnd w:id="43"/>
    </w:p>
    <w:p>
      <w:pPr>
        <w:spacing w:before="247" w:line="224" w:lineRule="auto"/>
        <w:ind w:left="37"/>
        <w:outlineLvl w:val="1"/>
        <w:rPr>
          <w:rFonts w:ascii="仿宋" w:hAnsi="仿宋" w:eastAsia="仿宋" w:cs="仿宋"/>
          <w:sz w:val="31"/>
          <w:szCs w:val="31"/>
        </w:rPr>
      </w:pPr>
      <w:bookmarkStart w:id="44" w:name="_Toc16215"/>
      <w:r>
        <w:rPr>
          <w:rFonts w:ascii="仿宋" w:hAnsi="仿宋" w:eastAsia="仿宋" w:cs="仿宋"/>
          <w:spacing w:val="9"/>
          <w:sz w:val="31"/>
          <w:szCs w:val="31"/>
        </w:rPr>
        <w:t>五</w:t>
      </w:r>
      <w:r>
        <w:rPr>
          <w:rFonts w:ascii="仿宋" w:hAnsi="仿宋" w:eastAsia="仿宋" w:cs="仿宋"/>
          <w:spacing w:val="8"/>
          <w:sz w:val="31"/>
          <w:szCs w:val="31"/>
        </w:rPr>
        <w:t>、财政拨款支出决算明细表</w:t>
      </w:r>
      <w:bookmarkEnd w:id="44"/>
    </w:p>
    <w:p>
      <w:pPr>
        <w:spacing w:before="248" w:line="224" w:lineRule="auto"/>
        <w:ind w:left="40"/>
        <w:outlineLvl w:val="1"/>
        <w:rPr>
          <w:rFonts w:ascii="仿宋" w:hAnsi="仿宋" w:eastAsia="仿宋" w:cs="仿宋"/>
          <w:sz w:val="31"/>
          <w:szCs w:val="31"/>
        </w:rPr>
      </w:pPr>
      <w:bookmarkStart w:id="45" w:name="_Toc23252"/>
      <w:r>
        <w:rPr>
          <w:rFonts w:ascii="仿宋" w:hAnsi="仿宋" w:eastAsia="仿宋" w:cs="仿宋"/>
          <w:spacing w:val="14"/>
          <w:sz w:val="31"/>
          <w:szCs w:val="31"/>
        </w:rPr>
        <w:t>六</w:t>
      </w:r>
      <w:r>
        <w:rPr>
          <w:rFonts w:ascii="仿宋" w:hAnsi="仿宋" w:eastAsia="仿宋" w:cs="仿宋"/>
          <w:spacing w:val="8"/>
          <w:sz w:val="31"/>
          <w:szCs w:val="31"/>
        </w:rPr>
        <w:t>、一般公共预算财政拨款支出决算表</w:t>
      </w:r>
      <w:bookmarkEnd w:id="45"/>
    </w:p>
    <w:p>
      <w:pPr>
        <w:spacing w:before="248" w:line="224" w:lineRule="auto"/>
        <w:ind w:left="34"/>
        <w:outlineLvl w:val="1"/>
        <w:rPr>
          <w:rFonts w:ascii="仿宋" w:hAnsi="仿宋" w:eastAsia="仿宋" w:cs="仿宋"/>
          <w:sz w:val="31"/>
          <w:szCs w:val="31"/>
        </w:rPr>
      </w:pPr>
      <w:bookmarkStart w:id="46" w:name="_Toc11809"/>
      <w:r>
        <w:rPr>
          <w:rFonts w:ascii="仿宋" w:hAnsi="仿宋" w:eastAsia="仿宋" w:cs="仿宋"/>
          <w:spacing w:val="9"/>
          <w:sz w:val="31"/>
          <w:szCs w:val="31"/>
        </w:rPr>
        <w:t>七、一般公共预算财政拨款支出决算明细</w:t>
      </w:r>
      <w:r>
        <w:rPr>
          <w:rFonts w:ascii="仿宋" w:hAnsi="仿宋" w:eastAsia="仿宋" w:cs="仿宋"/>
          <w:spacing w:val="7"/>
          <w:sz w:val="31"/>
          <w:szCs w:val="31"/>
        </w:rPr>
        <w:t>表</w:t>
      </w:r>
      <w:bookmarkEnd w:id="46"/>
    </w:p>
    <w:p>
      <w:pPr>
        <w:spacing w:before="248" w:line="224" w:lineRule="auto"/>
        <w:ind w:left="32"/>
        <w:outlineLvl w:val="1"/>
        <w:rPr>
          <w:rFonts w:ascii="仿宋" w:hAnsi="仿宋" w:eastAsia="仿宋" w:cs="仿宋"/>
          <w:sz w:val="31"/>
          <w:szCs w:val="31"/>
        </w:rPr>
      </w:pPr>
      <w:bookmarkStart w:id="47" w:name="_Toc1182"/>
      <w:r>
        <w:rPr>
          <w:rFonts w:ascii="仿宋" w:hAnsi="仿宋" w:eastAsia="仿宋" w:cs="仿宋"/>
          <w:spacing w:val="9"/>
          <w:sz w:val="31"/>
          <w:szCs w:val="31"/>
        </w:rPr>
        <w:t>八、一般公共预算财政拨款基本支出决算</w:t>
      </w:r>
      <w:r>
        <w:rPr>
          <w:rFonts w:ascii="仿宋" w:hAnsi="仿宋" w:eastAsia="仿宋" w:cs="仿宋"/>
          <w:spacing w:val="8"/>
          <w:sz w:val="31"/>
          <w:szCs w:val="31"/>
        </w:rPr>
        <w:t>表</w:t>
      </w:r>
      <w:bookmarkEnd w:id="47"/>
    </w:p>
    <w:p>
      <w:pPr>
        <w:spacing w:before="248" w:line="224" w:lineRule="auto"/>
        <w:ind w:left="30"/>
        <w:outlineLvl w:val="1"/>
        <w:rPr>
          <w:rFonts w:ascii="仿宋" w:hAnsi="仿宋" w:eastAsia="仿宋" w:cs="仿宋"/>
          <w:sz w:val="31"/>
          <w:szCs w:val="31"/>
        </w:rPr>
      </w:pPr>
      <w:bookmarkStart w:id="48" w:name="_Toc2801"/>
      <w:r>
        <w:rPr>
          <w:rFonts w:ascii="仿宋" w:hAnsi="仿宋" w:eastAsia="仿宋" w:cs="仿宋"/>
          <w:spacing w:val="10"/>
          <w:sz w:val="31"/>
          <w:szCs w:val="31"/>
        </w:rPr>
        <w:t>九</w:t>
      </w:r>
      <w:r>
        <w:rPr>
          <w:rFonts w:ascii="仿宋" w:hAnsi="仿宋" w:eastAsia="仿宋" w:cs="仿宋"/>
          <w:spacing w:val="9"/>
          <w:sz w:val="31"/>
          <w:szCs w:val="31"/>
        </w:rPr>
        <w:t>、一般公共预算财政拨款项目支出决算表</w:t>
      </w:r>
      <w:bookmarkEnd w:id="48"/>
    </w:p>
    <w:p>
      <w:pPr>
        <w:spacing w:before="248" w:line="297" w:lineRule="auto"/>
        <w:ind w:left="40" w:right="962"/>
        <w:outlineLvl w:val="1"/>
        <w:rPr>
          <w:rFonts w:ascii="仿宋" w:hAnsi="仿宋" w:eastAsia="仿宋" w:cs="仿宋"/>
          <w:sz w:val="31"/>
          <w:szCs w:val="31"/>
        </w:rPr>
      </w:pPr>
      <w:bookmarkStart w:id="49" w:name="_Toc10697"/>
      <w:r>
        <w:rPr>
          <w:rFonts w:ascii="仿宋" w:hAnsi="仿宋" w:eastAsia="仿宋" w:cs="仿宋"/>
          <w:spacing w:val="16"/>
          <w:sz w:val="31"/>
          <w:szCs w:val="31"/>
        </w:rPr>
        <w:t>十、</w:t>
      </w:r>
      <w:r>
        <w:rPr>
          <w:rFonts w:ascii="仿宋" w:hAnsi="仿宋" w:eastAsia="仿宋" w:cs="仿宋"/>
          <w:spacing w:val="10"/>
          <w:sz w:val="31"/>
          <w:szCs w:val="31"/>
        </w:rPr>
        <w:t>一</w:t>
      </w:r>
      <w:r>
        <w:rPr>
          <w:rFonts w:ascii="仿宋" w:hAnsi="仿宋" w:eastAsia="仿宋" w:cs="仿宋"/>
          <w:spacing w:val="8"/>
          <w:sz w:val="31"/>
          <w:szCs w:val="31"/>
        </w:rPr>
        <w:t>般公共预算财政拨款“三公”经费支出决算表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3"/>
          <w:sz w:val="31"/>
          <w:szCs w:val="31"/>
        </w:rPr>
        <w:t>一</w:t>
      </w:r>
      <w:r>
        <w:rPr>
          <w:rFonts w:ascii="仿宋" w:hAnsi="仿宋" w:eastAsia="仿宋" w:cs="仿宋"/>
          <w:spacing w:val="8"/>
          <w:sz w:val="31"/>
          <w:szCs w:val="31"/>
        </w:rPr>
        <w:t>、政府性基金预算财政拨款收入支出决算表</w:t>
      </w:r>
      <w:bookmarkEnd w:id="49"/>
    </w:p>
    <w:p>
      <w:pPr>
        <w:spacing w:before="249" w:line="373" w:lineRule="auto"/>
        <w:ind w:left="40" w:right="323"/>
        <w:outlineLvl w:val="1"/>
        <w:rPr>
          <w:rFonts w:ascii="仿宋" w:hAnsi="仿宋" w:eastAsia="仿宋" w:cs="仿宋"/>
          <w:sz w:val="31"/>
          <w:szCs w:val="31"/>
        </w:rPr>
      </w:pPr>
      <w:bookmarkStart w:id="50" w:name="_Toc2619"/>
      <w:r>
        <w:rPr>
          <w:rFonts w:ascii="仿宋" w:hAnsi="仿宋" w:eastAsia="仿宋" w:cs="仿宋"/>
          <w:spacing w:val="9"/>
          <w:sz w:val="31"/>
          <w:szCs w:val="31"/>
        </w:rPr>
        <w:t>十二、政府性基金预算财政拨款“三公”经费支出决算</w:t>
      </w:r>
      <w:r>
        <w:rPr>
          <w:rFonts w:ascii="仿宋" w:hAnsi="仿宋" w:eastAsia="仿宋" w:cs="仿宋"/>
          <w:spacing w:val="4"/>
          <w:sz w:val="31"/>
          <w:szCs w:val="31"/>
        </w:rPr>
        <w:t>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4"/>
          <w:sz w:val="31"/>
          <w:szCs w:val="31"/>
        </w:rPr>
        <w:t>三</w:t>
      </w:r>
      <w:r>
        <w:rPr>
          <w:rFonts w:ascii="仿宋" w:hAnsi="仿宋" w:eastAsia="仿宋" w:cs="仿宋"/>
          <w:spacing w:val="8"/>
          <w:sz w:val="31"/>
          <w:szCs w:val="31"/>
        </w:rPr>
        <w:t>、国有资本经营预算财政拨款收入支出决算表</w:t>
      </w:r>
      <w:bookmarkEnd w:id="50"/>
    </w:p>
    <w:p>
      <w:pPr>
        <w:spacing w:line="222" w:lineRule="auto"/>
        <w:ind w:left="40"/>
        <w:outlineLvl w:val="1"/>
        <w:rPr>
          <w:rFonts w:ascii="仿宋" w:hAnsi="仿宋" w:eastAsia="仿宋" w:cs="仿宋"/>
          <w:sz w:val="31"/>
          <w:szCs w:val="31"/>
        </w:rPr>
      </w:pPr>
      <w:bookmarkStart w:id="51" w:name="_Toc31398"/>
      <w:r>
        <w:rPr>
          <w:rFonts w:ascii="仿宋" w:hAnsi="仿宋" w:eastAsia="仿宋" w:cs="仿宋"/>
          <w:spacing w:val="16"/>
          <w:sz w:val="31"/>
          <w:szCs w:val="31"/>
        </w:rPr>
        <w:t>十</w:t>
      </w:r>
      <w:r>
        <w:rPr>
          <w:rFonts w:ascii="仿宋" w:hAnsi="仿宋" w:eastAsia="仿宋" w:cs="仿宋"/>
          <w:spacing w:val="12"/>
          <w:sz w:val="31"/>
          <w:szCs w:val="31"/>
        </w:rPr>
        <w:t>四</w:t>
      </w:r>
      <w:r>
        <w:rPr>
          <w:rFonts w:ascii="仿宋" w:hAnsi="仿宋" w:eastAsia="仿宋" w:cs="仿宋"/>
          <w:spacing w:val="8"/>
          <w:sz w:val="31"/>
          <w:szCs w:val="31"/>
        </w:rPr>
        <w:t>、国有资本经营预算财政拨款支出决算表</w:t>
      </w:r>
      <w:bookmarkEnd w:id="51"/>
    </w:p>
    <w:sectPr>
      <w:footerReference r:id="rId19" w:type="default"/>
      <w:pgSz w:w="11907" w:h="16839"/>
      <w:pgMar w:top="1431" w:right="1785" w:bottom="1376" w:left="1785" w:header="0" w:footer="121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w w:val="92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74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right="244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234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63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right="6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right="6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3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233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right="9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right="5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4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right="5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128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right="6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EyZjhjMDljN2ZmZDI4MDM1OTczNmZkYWIwMTM0OGUifQ=="/>
  </w:docVars>
  <w:rsids>
    <w:rsidRoot w:val="00000000"/>
    <w:rsid w:val="1A566C43"/>
    <w:rsid w:val="1FE23A5D"/>
    <w:rsid w:val="3C1539BF"/>
    <w:rsid w:val="7F4943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uiPriority w:val="0"/>
    <w:pPr>
      <w:ind w:left="840" w:leftChars="400"/>
    </w:pPr>
  </w:style>
  <w:style w:type="paragraph" w:styleId="3">
    <w:name w:val="toc 1"/>
    <w:basedOn w:val="1"/>
    <w:next w:val="1"/>
    <w:uiPriority w:val="0"/>
  </w:style>
  <w:style w:type="paragraph" w:styleId="4">
    <w:name w:val="toc 2"/>
    <w:basedOn w:val="1"/>
    <w:next w:val="1"/>
    <w:uiPriority w:val="0"/>
    <w:pPr>
      <w:ind w:left="420" w:leftChars="200"/>
    </w:p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9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10">
    <w:name w:val="WPSOffice手动目录 3"/>
    <w:uiPriority w:val="0"/>
    <w:pPr>
      <w:ind w:leftChars="4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3.png"/><Relationship Id="rId32" Type="http://schemas.openxmlformats.org/officeDocument/2006/relationships/image" Target="media/image12.png"/><Relationship Id="rId31" Type="http://schemas.openxmlformats.org/officeDocument/2006/relationships/image" Target="media/image11.pn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png"/><Relationship Id="rId27" Type="http://schemas.openxmlformats.org/officeDocument/2006/relationships/image" Target="media/image7.jpeg"/><Relationship Id="rId26" Type="http://schemas.openxmlformats.org/officeDocument/2006/relationships/image" Target="media/image6.png"/><Relationship Id="rId25" Type="http://schemas.openxmlformats.org/officeDocument/2006/relationships/image" Target="media/image5.png"/><Relationship Id="rId24" Type="http://schemas.openxmlformats.org/officeDocument/2006/relationships/image" Target="media/image4.png"/><Relationship Id="rId23" Type="http://schemas.openxmlformats.org/officeDocument/2006/relationships/image" Target="media/image3.png"/><Relationship Id="rId22" Type="http://schemas.openxmlformats.org/officeDocument/2006/relationships/image" Target="media/image2.pn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4283</Words>
  <Characters>4566</Characters>
  <TotalTime>1</TotalTime>
  <ScaleCrop>false</ScaleCrop>
  <LinksUpToDate>false</LinksUpToDate>
  <CharactersWithSpaces>7808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2022-04-27T09:40:00Z</dcterms:created>
  <dc:creator>Administrator</dc:creator>
  <cp:lastModifiedBy>Master'霖</cp:lastModifiedBy>
  <dcterms:modified xsi:type="dcterms:W3CDTF">2022-05-30T09:18:04Z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2022-05-30T17:10:44Z</vt:filetime>
  </property>
  <property fmtid="{D5CDD505-2E9C-101B-9397-08002B2CF9AE}" pid="4" name="KSOProductBuildVer">
    <vt:lpwstr>2052-11.1.0.11744</vt:lpwstr>
  </property>
  <property fmtid="{D5CDD505-2E9C-101B-9397-08002B2CF9AE}" pid="5" name="ICV">
    <vt:lpwstr>6E649122E0EB40F9AD0A36C17752D3DF</vt:lpwstr>
  </property>
</Properties>
</file>