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both"/>
        <w:rPr>
          <w:rFonts w:hint="eastAsia" w:ascii="方正小标宋简体" w:eastAsia="方正小标宋简体"/>
          <w:sz w:val="44"/>
          <w:szCs w:val="44"/>
          <w:lang w:val="en-US" w:eastAsia="zh-CN"/>
        </w:rPr>
      </w:pPr>
    </w:p>
    <w:p>
      <w:pPr>
        <w:widowControl/>
        <w:spacing w:line="58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四川省自贡市自流井区供销合作社联合社（本级</w:t>
      </w:r>
      <w:bookmarkStart w:id="124" w:name="_GoBack"/>
      <w:bookmarkEnd w:id="124"/>
      <w:r>
        <w:rPr>
          <w:rFonts w:hint="eastAsia" w:ascii="方正小标宋简体" w:eastAsia="方正小标宋简体"/>
          <w:sz w:val="44"/>
          <w:szCs w:val="44"/>
          <w:lang w:val="en-US" w:eastAsia="zh-CN"/>
        </w:rPr>
        <w:t>）</w:t>
      </w:r>
    </w:p>
    <w:p>
      <w:pPr>
        <w:widowControl/>
        <w:spacing w:line="580" w:lineRule="exact"/>
        <w:jc w:val="center"/>
        <w:rPr>
          <w:rFonts w:ascii="方正小标宋简体" w:eastAsia="方正小标宋简体"/>
          <w:sz w:val="44"/>
          <w:szCs w:val="44"/>
        </w:rPr>
      </w:pPr>
      <w:r>
        <w:rPr>
          <w:rFonts w:hint="eastAsia" w:ascii="方正小标宋简体" w:eastAsia="方正小标宋简体"/>
          <w:sz w:val="44"/>
          <w:szCs w:val="44"/>
          <w:lang w:val="en-US" w:eastAsia="zh-CN"/>
        </w:rPr>
        <w:t>2020</w:t>
      </w:r>
      <w:r>
        <w:rPr>
          <w:rFonts w:hint="eastAsia" w:ascii="方正小标宋简体" w:eastAsia="方正小标宋简体"/>
          <w:sz w:val="44"/>
          <w:szCs w:val="44"/>
        </w:rPr>
        <w:t>年度部门决算编制的说明</w:t>
      </w:r>
    </w:p>
    <w:p>
      <w:pPr>
        <w:widowControl/>
        <w:jc w:val="center"/>
        <w:rPr>
          <w:rFonts w:ascii="仿宋_GB2312"/>
          <w:sz w:val="28"/>
          <w:szCs w:val="28"/>
        </w:rPr>
      </w:pPr>
    </w:p>
    <w:p>
      <w:pPr>
        <w:widowControl/>
        <w:jc w:val="center"/>
        <w:rPr>
          <w:rFonts w:ascii="黑体" w:hAnsi="黑体" w:eastAsia="黑体"/>
          <w:color w:val="000000"/>
          <w:sz w:val="48"/>
          <w:szCs w:val="48"/>
        </w:rPr>
      </w:pPr>
      <w:r>
        <w:rPr>
          <w:rFonts w:hint="eastAsia" w:ascii="黑体" w:hAnsi="黑体" w:eastAsia="黑体"/>
          <w:color w:val="000000"/>
          <w:sz w:val="44"/>
          <w:szCs w:val="44"/>
        </w:rPr>
        <w:t>目</w:t>
      </w:r>
      <w:r>
        <w:rPr>
          <w:rFonts w:hint="eastAsia" w:ascii="黑体" w:hAnsi="黑体" w:eastAsia="黑体"/>
          <w:color w:val="000000"/>
          <w:sz w:val="44"/>
          <w:szCs w:val="44"/>
          <w:lang w:val="en-US" w:eastAsia="zh-CN"/>
        </w:rPr>
        <w:t xml:space="preserve"> </w:t>
      </w:r>
      <w:r>
        <w:rPr>
          <w:rFonts w:hint="eastAsia" w:ascii="黑体" w:hAnsi="黑体" w:eastAsia="黑体"/>
          <w:color w:val="000000"/>
          <w:sz w:val="44"/>
          <w:szCs w:val="44"/>
        </w:rPr>
        <w:t>录</w:t>
      </w:r>
    </w:p>
    <w:sdt>
      <w:sdtPr>
        <w:rPr>
          <w:rFonts w:hint="eastAsia" w:ascii="仿宋_GB2312" w:hAnsi="仿宋_GB2312" w:eastAsia="仿宋_GB2312" w:cs="仿宋_GB2312"/>
          <w:kern w:val="2"/>
          <w:sz w:val="28"/>
          <w:szCs w:val="28"/>
          <w:lang w:val="en-US" w:eastAsia="zh-CN" w:bidi="ar-SA"/>
        </w:rPr>
        <w:id w:val="147479726"/>
        <w15:color w:val="DBDBDB"/>
        <w:docPartObj>
          <w:docPartGallery w:val="Table of Contents"/>
          <w:docPartUnique/>
        </w:docPartObj>
      </w:sdtPr>
      <w:sdtEndPr>
        <w:rPr>
          <w:rFonts w:hint="eastAsia" w:ascii="仿宋_GB2312" w:hAnsi="仿宋" w:eastAsia="仿宋_GB2312" w:cs="Times New Roman"/>
          <w:b/>
          <w:color w:val="FF0000"/>
          <w:kern w:val="2"/>
          <w:sz w:val="32"/>
          <w:szCs w:val="32"/>
          <w:lang w:val="en-US" w:eastAsia="zh-CN" w:bidi="ar-SA"/>
        </w:rPr>
      </w:sdtEndPr>
      <w:sdtContent>
        <w:p>
          <w:pPr>
            <w:spacing w:before="0" w:beforeLines="0" w:after="0" w:afterLines="0" w:line="240" w:lineRule="auto"/>
            <w:ind w:left="0" w:leftChars="0" w:right="0" w:rightChars="0" w:firstLine="0" w:firstLineChars="0"/>
            <w:jc w:val="center"/>
            <w:rPr>
              <w:rFonts w:hint="eastAsia" w:ascii="仿宋_GB2312" w:hAnsi="仿宋_GB2312" w:eastAsia="仿宋_GB2312" w:cs="仿宋_GB2312"/>
              <w:sz w:val="28"/>
              <w:szCs w:val="28"/>
            </w:rPr>
          </w:pPr>
        </w:p>
        <w:p>
          <w:pPr>
            <w:pStyle w:val="20"/>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color w:val="FF0000"/>
              <w:sz w:val="28"/>
              <w:szCs w:val="28"/>
            </w:rPr>
            <w:instrText xml:space="preserve">TOC \o "1-2" \h \u </w:instrText>
          </w:r>
          <w:r>
            <w:rPr>
              <w:rFonts w:hint="eastAsia" w:ascii="仿宋_GB2312" w:hAnsi="仿宋_GB2312" w:eastAsia="仿宋_GB2312" w:cs="仿宋_GB2312"/>
              <w:b w:val="0"/>
              <w:bCs w:val="0"/>
              <w:color w:val="FF0000"/>
              <w:sz w:val="28"/>
              <w:szCs w:val="28"/>
            </w:rPr>
            <w:fldChar w:fldCharType="separate"/>
          </w: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_Toc28776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第一部分 部门概况</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_Toc28776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_Toc25956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一、基本职能及主要工作</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1</w:t>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_Toc25074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二、机构设置</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color w:val="FF0000"/>
              <w:sz w:val="28"/>
              <w:szCs w:val="28"/>
            </w:rPr>
            <w:fldChar w:fldCharType="end"/>
          </w:r>
        </w:p>
        <w:p>
          <w:pPr>
            <w:pStyle w:val="20"/>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_Toc10295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第二部分 2020年度部门决算情况说明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_Toc10295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_Toc30287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一、收入支出决算总体情况说明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_Toc30287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_Toc27456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二、收入决算情况说明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_Toc27456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_Toc26867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三、支出决算情况说明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_Toc26867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6</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_Toc11192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四、财政拨款收入支出决算总体情况说明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_Toc11192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_Toc31610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五、一般公共预算财政拨款支出决算情况说明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_Toc31610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8</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_Toc8429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六、一般公共预算财政拨款基本支出决算情况说明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_Toc8429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10</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_Toc7067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七、“三公”经费财政拨款支出决算情况说明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_Toc7067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10</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_Toc12015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八、政府性基金预算支出决算情况说明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_Toc12015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_Toc23947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九、国有资本经营预算支出决算情况说明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_Toc23947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_Toc32732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十、其他重要事项的情况说明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_Toc32732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13</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0"/>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_Toc5804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第三部分 名词解释</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_Toc5804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21</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0"/>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_Toc98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第四部分 附件</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_Toc98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24</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_Toc636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附件1</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_Toc636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24</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_Toc8556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附件2</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_Toc8556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29</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0"/>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_Toc27670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第五部分 附表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_Toc27670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47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_Toc4116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一、收入支出决算总表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_Toc4116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47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_Toc26837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二、收入决算表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_Toc26837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47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_Toc24147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三、支出决算表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_Toc24147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47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_Toc21705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四、财政拨款收入支出决算总表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_Toc21705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47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_Toc10759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五、财政拨款支出决算明细表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_Toc10759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47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_Toc2082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六、一般公共预算财政拨款支出决算表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_Toc2082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47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_Toc32064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七、一般公共预算财政拨款支出决算明细表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_Toc32064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47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_Toc13511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八、一般公共预算财政拨款基本支出决算表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_Toc13511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47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_Toc14846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九、一般公共预算财政拨款项目支出决算表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_Toc14846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47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_Toc5540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十、一般公共预算财政拨款“三公”经费支出决算表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_Toc5540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47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_Toc13503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十一、政府性基金预算财政拨款收入支出决算表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_Toc13503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47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_Toc9597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十二、政府性基金预算财政拨款“三公”经费支出决算表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_Toc9597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47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_Toc31879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十三、国有资本经营预算财政拨款收入支出决算表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_Toc31879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47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FF0000"/>
              <w:sz w:val="28"/>
              <w:szCs w:val="28"/>
            </w:rPr>
            <w:fldChar w:fldCharType="begin"/>
          </w:r>
          <w:r>
            <w:rPr>
              <w:rFonts w:hint="eastAsia" w:ascii="仿宋_GB2312" w:hAnsi="仿宋_GB2312" w:eastAsia="仿宋_GB2312" w:cs="仿宋_GB2312"/>
              <w:b w:val="0"/>
              <w:bCs w:val="0"/>
              <w:sz w:val="28"/>
              <w:szCs w:val="28"/>
            </w:rPr>
            <w:instrText xml:space="preserve"> HYPERLINK \l _Toc327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十四、国有资本经营预算财政拨款支出决算表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_Toc327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47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color w:val="FF0000"/>
              <w:sz w:val="28"/>
              <w:szCs w:val="28"/>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firstLine="2100" w:firstLineChars="750"/>
            <w:textAlignment w:val="auto"/>
            <w:rPr>
              <w:rFonts w:hint="eastAsia" w:ascii="仿宋_GB2312" w:hAnsi="仿宋"/>
              <w:color w:val="FF0000"/>
              <w:szCs w:val="32"/>
            </w:rPr>
          </w:pPr>
          <w:r>
            <w:rPr>
              <w:rFonts w:hint="eastAsia" w:ascii="仿宋_GB2312" w:hAnsi="仿宋_GB2312" w:eastAsia="仿宋_GB2312" w:cs="仿宋_GB2312"/>
              <w:b w:val="0"/>
              <w:bCs w:val="0"/>
              <w:color w:val="FF0000"/>
              <w:sz w:val="28"/>
              <w:szCs w:val="28"/>
            </w:rPr>
            <w:fldChar w:fldCharType="end"/>
          </w:r>
        </w:p>
      </w:sdtContent>
    </w:sdt>
    <w:p>
      <w:pPr>
        <w:pStyle w:val="4"/>
        <w:jc w:val="center"/>
        <w:outlineLvl w:val="9"/>
        <w:rPr>
          <w:rFonts w:hint="eastAsia" w:ascii="黑体" w:hAnsi="黑体" w:eastAsia="黑体"/>
          <w:b w:val="0"/>
        </w:rPr>
        <w:sectPr>
          <w:pgSz w:w="11906" w:h="16838"/>
          <w:pgMar w:top="1440" w:right="1800" w:bottom="1440" w:left="1800" w:header="851" w:footer="992" w:gutter="0"/>
          <w:pgNumType w:fmt="decimal"/>
          <w:cols w:space="425" w:num="1"/>
          <w:docGrid w:type="lines" w:linePitch="312" w:charSpace="0"/>
        </w:sectPr>
      </w:pPr>
      <w:bookmarkStart w:id="0" w:name="_Toc10567"/>
    </w:p>
    <w:p>
      <w:pPr>
        <w:pStyle w:val="4"/>
        <w:jc w:val="center"/>
        <w:rPr>
          <w:rFonts w:ascii="黑体" w:eastAsia="黑体"/>
          <w:color w:val="000000"/>
          <w:sz w:val="32"/>
          <w:szCs w:val="32"/>
        </w:rPr>
      </w:pPr>
      <w:bookmarkStart w:id="1" w:name="_Toc28776"/>
      <w:r>
        <w:rPr>
          <w:rFonts w:hint="eastAsia" w:ascii="黑体" w:hAnsi="黑体" w:eastAsia="黑体"/>
          <w:b w:val="0"/>
        </w:rPr>
        <w:t>第一部分</w:t>
      </w:r>
      <w:r>
        <w:rPr>
          <w:rFonts w:ascii="黑体" w:hAnsi="黑体" w:eastAsia="黑体"/>
          <w:b w:val="0"/>
        </w:rPr>
        <w:t xml:space="preserve"> </w:t>
      </w:r>
      <w:r>
        <w:rPr>
          <w:rStyle w:val="15"/>
          <w:rFonts w:hint="eastAsia" w:ascii="黑体" w:hAnsi="黑体" w:eastAsia="黑体"/>
          <w:b w:val="0"/>
          <w:bCs w:val="0"/>
        </w:rPr>
        <w:t>部门概况</w:t>
      </w:r>
      <w:bookmarkEnd w:id="0"/>
      <w:bookmarkEnd w:id="1"/>
    </w:p>
    <w:p>
      <w:pPr>
        <w:pStyle w:val="5"/>
        <w:pageBreakBefore w:val="0"/>
        <w:kinsoku/>
        <w:wordWrap/>
        <w:overflowPunct/>
        <w:topLinePunct w:val="0"/>
        <w:autoSpaceDE/>
        <w:autoSpaceDN/>
        <w:bidi w:val="0"/>
        <w:spacing w:before="0" w:after="0" w:line="592" w:lineRule="exact"/>
        <w:ind w:firstLine="640" w:firstLineChars="200"/>
        <w:textAlignment w:val="auto"/>
        <w:rPr>
          <w:rStyle w:val="16"/>
          <w:rFonts w:ascii="仿宋" w:hAnsi="仿宋" w:eastAsia="仿宋"/>
          <w:b w:val="0"/>
          <w:bCs w:val="0"/>
        </w:rPr>
      </w:pPr>
      <w:bookmarkStart w:id="2" w:name="_Toc25956"/>
      <w:bookmarkStart w:id="3" w:name="_Toc21498"/>
      <w:bookmarkStart w:id="4" w:name="_Toc15396600"/>
      <w:bookmarkStart w:id="5" w:name="_Toc15377197"/>
      <w:r>
        <w:rPr>
          <w:rFonts w:hint="eastAsia" w:ascii="黑体" w:hAnsi="黑体" w:eastAsia="黑体"/>
          <w:b w:val="0"/>
          <w:color w:val="000000"/>
        </w:rPr>
        <w:t>一、基</w:t>
      </w:r>
      <w:r>
        <w:rPr>
          <w:rStyle w:val="16"/>
          <w:rFonts w:hint="eastAsia" w:ascii="黑体" w:hAnsi="黑体" w:eastAsia="黑体"/>
          <w:b w:val="0"/>
          <w:bCs w:val="0"/>
        </w:rPr>
        <w:t>本职能及主要工作</w:t>
      </w:r>
      <w:bookmarkEnd w:id="2"/>
      <w:bookmarkEnd w:id="3"/>
      <w:bookmarkEnd w:id="4"/>
      <w:bookmarkEnd w:id="5"/>
    </w:p>
    <w:p>
      <w:pPr>
        <w:pStyle w:val="2"/>
        <w:pageBreakBefore w:val="0"/>
        <w:kinsoku/>
        <w:wordWrap/>
        <w:overflowPunct/>
        <w:topLinePunct w:val="0"/>
        <w:autoSpaceDE/>
        <w:autoSpaceDN/>
        <w:bidi w:val="0"/>
        <w:adjustRightInd w:val="0"/>
        <w:snapToGrid w:val="0"/>
        <w:spacing w:beforeLines="0" w:line="592" w:lineRule="exact"/>
        <w:ind w:firstLine="675" w:firstLineChars="210"/>
        <w:textAlignment w:val="auto"/>
        <w:outlineLvl w:val="2"/>
        <w:rPr>
          <w:rFonts w:hint="eastAsia" w:ascii="楷体_GB2312" w:hAnsi="楷体_GB2312" w:eastAsia="楷体_GB2312" w:cs="楷体_GB2312"/>
          <w:b/>
          <w:bCs w:val="0"/>
          <w:color w:val="000000"/>
          <w:sz w:val="32"/>
          <w:szCs w:val="32"/>
        </w:rPr>
      </w:pPr>
      <w:bookmarkStart w:id="6" w:name="_Toc15377198"/>
      <w:bookmarkStart w:id="7" w:name="_Toc15378445"/>
      <w:r>
        <w:rPr>
          <w:rFonts w:hint="eastAsia" w:ascii="楷体_GB2312" w:hAnsi="楷体_GB2312" w:eastAsia="楷体_GB2312" w:cs="楷体_GB2312"/>
          <w:b/>
          <w:bCs w:val="0"/>
          <w:color w:val="000000"/>
          <w:sz w:val="32"/>
          <w:szCs w:val="32"/>
        </w:rPr>
        <w:t>（一）主要职能</w:t>
      </w:r>
      <w:bookmarkEnd w:id="6"/>
      <w:bookmarkEnd w:id="7"/>
      <w:bookmarkStart w:id="8" w:name="_Toc15378446"/>
      <w:bookmarkStart w:id="9" w:name="_Toc15377199"/>
    </w:p>
    <w:p>
      <w:pPr>
        <w:pStyle w:val="2"/>
        <w:pageBreakBefore w:val="0"/>
        <w:kinsoku/>
        <w:wordWrap/>
        <w:overflowPunct/>
        <w:topLinePunct w:val="0"/>
        <w:autoSpaceDE/>
        <w:autoSpaceDN/>
        <w:bidi w:val="0"/>
        <w:adjustRightInd w:val="0"/>
        <w:snapToGrid w:val="0"/>
        <w:spacing w:beforeLines="0" w:line="592" w:lineRule="exact"/>
        <w:ind w:firstLine="640" w:firstLineChars="200"/>
        <w:textAlignment w:val="auto"/>
        <w:outlineLvl w:val="2"/>
        <w:rPr>
          <w:rFonts w:hint="eastAsia" w:ascii="Times New Roman" w:hAnsi="Times New Roman" w:eastAsia="仿宋_GB2312" w:cs="Times New Roman"/>
          <w:kern w:val="0"/>
          <w:sz w:val="32"/>
          <w:szCs w:val="32"/>
          <w:lang w:val="en-US" w:eastAsia="zh-CN" w:bidi="ar-SA"/>
        </w:rPr>
      </w:pPr>
      <w:r>
        <w:rPr>
          <w:rFonts w:hint="eastAsia" w:ascii="Times New Roman" w:hAnsi="Times New Roman" w:eastAsia="仿宋_GB2312" w:cs="Times New Roman"/>
          <w:kern w:val="0"/>
          <w:sz w:val="32"/>
          <w:szCs w:val="32"/>
          <w:lang w:val="en-US" w:eastAsia="zh-CN" w:bidi="ar-SA"/>
        </w:rPr>
        <w:t>1、宣传贯彻党和政府有关农业、农村经济工作的方针政策。</w:t>
      </w:r>
    </w:p>
    <w:p>
      <w:pPr>
        <w:pStyle w:val="2"/>
        <w:pageBreakBefore w:val="0"/>
        <w:kinsoku/>
        <w:wordWrap/>
        <w:overflowPunct/>
        <w:topLinePunct w:val="0"/>
        <w:autoSpaceDE/>
        <w:autoSpaceDN/>
        <w:bidi w:val="0"/>
        <w:adjustRightInd w:val="0"/>
        <w:snapToGrid w:val="0"/>
        <w:spacing w:beforeLines="0" w:line="592" w:lineRule="exact"/>
        <w:ind w:firstLine="640" w:firstLineChars="200"/>
        <w:textAlignment w:val="auto"/>
        <w:outlineLvl w:val="2"/>
        <w:rPr>
          <w:rFonts w:hint="eastAsia" w:ascii="Times New Roman" w:hAnsi="Times New Roman" w:eastAsia="仿宋_GB2312" w:cs="Times New Roman"/>
          <w:kern w:val="0"/>
          <w:sz w:val="32"/>
          <w:szCs w:val="32"/>
          <w:lang w:val="en-US" w:eastAsia="zh-CN" w:bidi="ar-SA"/>
        </w:rPr>
      </w:pPr>
      <w:r>
        <w:rPr>
          <w:rFonts w:hint="eastAsia" w:ascii="Times New Roman" w:hAnsi="Times New Roman" w:eastAsia="仿宋_GB2312" w:cs="Times New Roman"/>
          <w:kern w:val="0"/>
          <w:sz w:val="32"/>
          <w:szCs w:val="32"/>
          <w:lang w:val="en-US" w:eastAsia="zh-CN" w:bidi="ar-SA"/>
        </w:rPr>
        <w:t>2、研究制定全区农村合作经济的发展战略、发展规划; 指导全区供销合作社的改革和发展,探索社会主义市场经济条件下供销合作经济的多种实现形式。</w:t>
      </w:r>
    </w:p>
    <w:p>
      <w:pPr>
        <w:pStyle w:val="2"/>
        <w:pageBreakBefore w:val="0"/>
        <w:kinsoku/>
        <w:wordWrap/>
        <w:overflowPunct/>
        <w:topLinePunct w:val="0"/>
        <w:autoSpaceDE/>
        <w:autoSpaceDN/>
        <w:bidi w:val="0"/>
        <w:adjustRightInd w:val="0"/>
        <w:snapToGrid w:val="0"/>
        <w:spacing w:beforeLines="0" w:line="592" w:lineRule="exact"/>
        <w:ind w:firstLine="640" w:firstLineChars="200"/>
        <w:textAlignment w:val="auto"/>
        <w:outlineLvl w:val="2"/>
        <w:rPr>
          <w:rFonts w:hint="eastAsia" w:ascii="Times New Roman" w:hAnsi="Times New Roman" w:eastAsia="仿宋_GB2312" w:cs="Times New Roman"/>
          <w:kern w:val="0"/>
          <w:sz w:val="32"/>
          <w:szCs w:val="32"/>
          <w:lang w:val="en-US" w:eastAsia="zh-CN" w:bidi="ar-SA"/>
        </w:rPr>
      </w:pPr>
      <w:r>
        <w:rPr>
          <w:rFonts w:hint="eastAsia" w:ascii="Times New Roman" w:hAnsi="Times New Roman" w:eastAsia="仿宋_GB2312" w:cs="Times New Roman"/>
          <w:kern w:val="0"/>
          <w:sz w:val="32"/>
          <w:szCs w:val="32"/>
          <w:lang w:val="en-US" w:eastAsia="zh-CN" w:bidi="ar-SA"/>
        </w:rPr>
        <w:t>3、按照区政府授权对重要农业生产资料和重要农副产品以及政策性商品经营进行组织、协调和管理。</w:t>
      </w:r>
    </w:p>
    <w:p>
      <w:pPr>
        <w:pStyle w:val="2"/>
        <w:pageBreakBefore w:val="0"/>
        <w:kinsoku/>
        <w:wordWrap/>
        <w:overflowPunct/>
        <w:topLinePunct w:val="0"/>
        <w:autoSpaceDE/>
        <w:autoSpaceDN/>
        <w:bidi w:val="0"/>
        <w:adjustRightInd w:val="0"/>
        <w:snapToGrid w:val="0"/>
        <w:spacing w:beforeLines="0" w:line="592" w:lineRule="exact"/>
        <w:ind w:firstLine="640" w:firstLineChars="200"/>
        <w:textAlignment w:val="auto"/>
        <w:outlineLvl w:val="2"/>
        <w:rPr>
          <w:rFonts w:hint="eastAsia" w:ascii="Times New Roman" w:hAnsi="Times New Roman" w:eastAsia="仿宋_GB2312" w:cs="Times New Roman"/>
          <w:kern w:val="0"/>
          <w:sz w:val="32"/>
          <w:szCs w:val="32"/>
          <w:lang w:val="en-US" w:eastAsia="zh-CN" w:bidi="ar-SA"/>
        </w:rPr>
      </w:pPr>
      <w:r>
        <w:rPr>
          <w:rFonts w:hint="eastAsia" w:ascii="Times New Roman" w:hAnsi="Times New Roman" w:eastAsia="仿宋_GB2312" w:cs="Times New Roman"/>
          <w:kern w:val="0"/>
          <w:sz w:val="32"/>
          <w:szCs w:val="32"/>
          <w:lang w:val="en-US" w:eastAsia="zh-CN" w:bidi="ar-SA"/>
        </w:rPr>
        <w:t>4、研究供销合作经济运行中的重大问题，协调同有关部门、社会组织的关系，提供扶持城乡合作经济发展的政策性建议、维护合作经济组织的合法权益。</w:t>
      </w:r>
    </w:p>
    <w:p>
      <w:pPr>
        <w:pStyle w:val="2"/>
        <w:pageBreakBefore w:val="0"/>
        <w:kinsoku/>
        <w:wordWrap/>
        <w:overflowPunct/>
        <w:topLinePunct w:val="0"/>
        <w:autoSpaceDE/>
        <w:autoSpaceDN/>
        <w:bidi w:val="0"/>
        <w:adjustRightInd w:val="0"/>
        <w:snapToGrid w:val="0"/>
        <w:spacing w:beforeLines="0" w:line="592" w:lineRule="exact"/>
        <w:ind w:firstLine="640" w:firstLineChars="200"/>
        <w:textAlignment w:val="auto"/>
        <w:outlineLvl w:val="2"/>
        <w:rPr>
          <w:rFonts w:hint="eastAsia" w:ascii="Times New Roman" w:hAnsi="Times New Roman" w:eastAsia="仿宋_GB2312" w:cs="Times New Roman"/>
          <w:kern w:val="0"/>
          <w:sz w:val="32"/>
          <w:szCs w:val="32"/>
          <w:lang w:val="en-US" w:eastAsia="zh-CN" w:bidi="ar-SA"/>
        </w:rPr>
      </w:pPr>
      <w:r>
        <w:rPr>
          <w:rFonts w:hint="eastAsia" w:ascii="Times New Roman" w:hAnsi="Times New Roman" w:eastAsia="仿宋_GB2312" w:cs="Times New Roman"/>
          <w:kern w:val="0"/>
          <w:sz w:val="32"/>
          <w:szCs w:val="32"/>
          <w:lang w:val="en-US" w:eastAsia="zh-CN" w:bidi="ar-SA"/>
        </w:rPr>
        <w:t>5、组织全区供销社参与和推进农业产业化经营，培育农产品市场，组织发展专业合作社、消费合作社等中介服务组织，培育产业龙头企业，加强商品供求、市场、信息服务体系建设。</w:t>
      </w:r>
    </w:p>
    <w:p>
      <w:pPr>
        <w:pStyle w:val="2"/>
        <w:pageBreakBefore w:val="0"/>
        <w:kinsoku/>
        <w:wordWrap/>
        <w:overflowPunct/>
        <w:topLinePunct w:val="0"/>
        <w:autoSpaceDE/>
        <w:autoSpaceDN/>
        <w:bidi w:val="0"/>
        <w:adjustRightInd w:val="0"/>
        <w:snapToGrid w:val="0"/>
        <w:spacing w:beforeLines="0" w:line="592" w:lineRule="exact"/>
        <w:ind w:firstLine="640" w:firstLineChars="200"/>
        <w:textAlignment w:val="auto"/>
        <w:outlineLvl w:val="2"/>
        <w:rPr>
          <w:rFonts w:hint="eastAsia" w:ascii="Times New Roman" w:hAnsi="Times New Roman" w:eastAsia="仿宋_GB2312" w:cs="Times New Roman"/>
          <w:kern w:val="0"/>
          <w:sz w:val="32"/>
          <w:szCs w:val="32"/>
          <w:lang w:val="en-US" w:eastAsia="zh-CN" w:bidi="ar-SA"/>
        </w:rPr>
      </w:pPr>
      <w:r>
        <w:rPr>
          <w:rFonts w:hint="eastAsia" w:ascii="Times New Roman" w:hAnsi="Times New Roman" w:eastAsia="仿宋_GB2312" w:cs="Times New Roman"/>
          <w:kern w:val="0"/>
          <w:sz w:val="32"/>
          <w:szCs w:val="32"/>
          <w:lang w:val="en-US" w:eastAsia="zh-CN" w:bidi="ar-SA"/>
        </w:rPr>
        <w:t>6、指导城乡社会化服务体系建设，推进建立现代流通体系和现代营销方式,发展社区性、综合性、便民性社区综合服务社,满足农民生产、生活等社会化服务需求。</w:t>
      </w:r>
    </w:p>
    <w:p>
      <w:pPr>
        <w:pStyle w:val="2"/>
        <w:pageBreakBefore w:val="0"/>
        <w:kinsoku/>
        <w:wordWrap/>
        <w:overflowPunct/>
        <w:topLinePunct w:val="0"/>
        <w:autoSpaceDE/>
        <w:autoSpaceDN/>
        <w:bidi w:val="0"/>
        <w:adjustRightInd w:val="0"/>
        <w:snapToGrid w:val="0"/>
        <w:spacing w:beforeLines="0" w:line="592" w:lineRule="exact"/>
        <w:ind w:firstLine="640" w:firstLineChars="200"/>
        <w:textAlignment w:val="auto"/>
        <w:outlineLvl w:val="2"/>
        <w:rPr>
          <w:rFonts w:hint="eastAsia" w:ascii="Times New Roman" w:hAnsi="Times New Roman" w:eastAsia="仿宋_GB2312" w:cs="Times New Roman"/>
          <w:kern w:val="0"/>
          <w:sz w:val="32"/>
          <w:szCs w:val="32"/>
          <w:lang w:val="en-US" w:eastAsia="zh-CN" w:bidi="ar-SA"/>
        </w:rPr>
      </w:pPr>
      <w:r>
        <w:rPr>
          <w:rFonts w:hint="eastAsia" w:ascii="Times New Roman" w:hAnsi="Times New Roman" w:eastAsia="仿宋_GB2312" w:cs="Times New Roman"/>
          <w:kern w:val="0"/>
          <w:sz w:val="32"/>
          <w:szCs w:val="32"/>
          <w:lang w:val="en-US" w:eastAsia="zh-CN" w:bidi="ar-SA"/>
        </w:rPr>
        <w:t>7、监督和管理社有资产,确保社有资产保值增值、对直属企业行使出资人的权利，依法享有资产受益，重大决策和选择经营管理者等权利，加强对基层供销社的管理，根据区域经济发展状况合理设置基层供销社。</w:t>
      </w:r>
    </w:p>
    <w:p>
      <w:pPr>
        <w:pStyle w:val="2"/>
        <w:pageBreakBefore w:val="0"/>
        <w:kinsoku/>
        <w:wordWrap/>
        <w:overflowPunct/>
        <w:topLinePunct w:val="0"/>
        <w:autoSpaceDE/>
        <w:autoSpaceDN/>
        <w:bidi w:val="0"/>
        <w:adjustRightInd w:val="0"/>
        <w:snapToGrid w:val="0"/>
        <w:spacing w:beforeLines="0" w:line="592" w:lineRule="exact"/>
        <w:ind w:firstLine="672" w:firstLineChars="210"/>
        <w:textAlignment w:val="auto"/>
        <w:outlineLvl w:val="2"/>
        <w:rPr>
          <w:rFonts w:hint="eastAsia" w:ascii="仿宋" w:hAnsi="仿宋" w:eastAsia="仿宋"/>
          <w:bCs/>
          <w:color w:val="000000"/>
          <w:sz w:val="32"/>
          <w:szCs w:val="32"/>
        </w:rPr>
      </w:pPr>
      <w:r>
        <w:rPr>
          <w:rFonts w:hint="eastAsia" w:ascii="Times New Roman" w:hAnsi="Times New Roman" w:eastAsia="仿宋_GB2312" w:cs="Times New Roman"/>
          <w:kern w:val="0"/>
          <w:sz w:val="32"/>
          <w:szCs w:val="32"/>
          <w:lang w:val="en-US" w:eastAsia="zh-CN" w:bidi="ar-SA"/>
        </w:rPr>
        <w:t>8、承办区政府交办的其他事项。</w:t>
      </w:r>
    </w:p>
    <w:p>
      <w:pPr>
        <w:pStyle w:val="2"/>
        <w:pageBreakBefore w:val="0"/>
        <w:kinsoku/>
        <w:wordWrap/>
        <w:overflowPunct/>
        <w:topLinePunct w:val="0"/>
        <w:autoSpaceDE/>
        <w:autoSpaceDN/>
        <w:bidi w:val="0"/>
        <w:adjustRightInd w:val="0"/>
        <w:snapToGrid w:val="0"/>
        <w:spacing w:beforeLines="0" w:line="592" w:lineRule="exact"/>
        <w:ind w:firstLine="675" w:firstLineChars="210"/>
        <w:textAlignment w:val="auto"/>
        <w:outlineLvl w:val="2"/>
        <w:rPr>
          <w:rFonts w:hint="eastAsia" w:ascii="楷体_GB2312" w:hAnsi="楷体_GB2312" w:eastAsia="楷体_GB2312" w:cs="楷体_GB2312"/>
          <w:b/>
          <w:bCs w:val="0"/>
          <w:color w:val="000000"/>
          <w:sz w:val="32"/>
          <w:szCs w:val="32"/>
        </w:rPr>
      </w:pPr>
      <w:r>
        <w:rPr>
          <w:rFonts w:hint="eastAsia" w:ascii="楷体_GB2312" w:hAnsi="楷体_GB2312" w:eastAsia="楷体_GB2312" w:cs="楷体_GB2312"/>
          <w:b/>
          <w:bCs w:val="0"/>
          <w:color w:val="000000"/>
          <w:sz w:val="32"/>
          <w:szCs w:val="32"/>
        </w:rPr>
        <w:t>（二）2020年重点工作完成情况</w:t>
      </w:r>
      <w:bookmarkEnd w:id="8"/>
      <w:bookmarkEnd w:id="9"/>
    </w:p>
    <w:p>
      <w:pPr>
        <w:pStyle w:val="2"/>
        <w:pageBreakBefore w:val="0"/>
        <w:kinsoku/>
        <w:wordWrap/>
        <w:overflowPunct/>
        <w:topLinePunct w:val="0"/>
        <w:autoSpaceDE/>
        <w:autoSpaceDN/>
        <w:bidi w:val="0"/>
        <w:adjustRightInd w:val="0"/>
        <w:snapToGrid w:val="0"/>
        <w:spacing w:beforeLines="0" w:line="592" w:lineRule="exact"/>
        <w:ind w:firstLine="675" w:firstLineChars="210"/>
        <w:textAlignment w:val="auto"/>
        <w:outlineLvl w:val="2"/>
        <w:rPr>
          <w:rFonts w:ascii="仿宋_GB2312" w:eastAsia="仿宋_GB2312"/>
          <w:sz w:val="32"/>
          <w:szCs w:val="32"/>
        </w:rPr>
      </w:pPr>
      <w:r>
        <w:rPr>
          <w:rFonts w:hint="eastAsia" w:eastAsia="仿宋_GB2312"/>
          <w:b/>
          <w:bCs/>
          <w:sz w:val="32"/>
          <w:szCs w:val="32"/>
        </w:rPr>
        <w:t>一是重点工作推进有力。经济指标逐步向好。</w:t>
      </w:r>
      <w:r>
        <w:rPr>
          <w:rFonts w:hint="eastAsia" w:eastAsia="仿宋_GB2312"/>
          <w:kern w:val="0"/>
          <w:sz w:val="32"/>
          <w:szCs w:val="32"/>
        </w:rPr>
        <w:t>社直属企业、基层社，系统农民专业合作社完</w:t>
      </w:r>
      <w:r>
        <w:rPr>
          <w:rFonts w:hint="eastAsia" w:ascii="Times New Roman" w:hAnsi="Times New Roman" w:eastAsia="仿宋_GB2312" w:cs="Times New Roman"/>
          <w:kern w:val="2"/>
          <w:sz w:val="32"/>
          <w:szCs w:val="32"/>
          <w:lang w:val="en-US" w:eastAsia="zh-CN" w:bidi="ar-SA"/>
        </w:rPr>
        <w:t>成销售总额达4.04亿元，其中：消费品零售额约3.15亿元，农业生产资料销售总额约0.52亿元，电商平台销售服务总额约0.37</w:t>
      </w:r>
      <w:r>
        <w:rPr>
          <w:rFonts w:hint="eastAsia" w:eastAsia="仿宋_GB2312"/>
          <w:kern w:val="0"/>
          <w:sz w:val="32"/>
          <w:szCs w:val="32"/>
        </w:rPr>
        <w:t>亿元。</w:t>
      </w:r>
      <w:r>
        <w:rPr>
          <w:rFonts w:hint="eastAsia" w:eastAsia="仿宋_GB2312"/>
          <w:b/>
          <w:bCs/>
          <w:sz w:val="32"/>
          <w:szCs w:val="32"/>
        </w:rPr>
        <w:t>招商引资超额完成。</w:t>
      </w:r>
      <w:r>
        <w:rPr>
          <w:rFonts w:hint="eastAsia" w:eastAsia="仿宋_GB2312"/>
          <w:bCs/>
          <w:sz w:val="32"/>
          <w:szCs w:val="32"/>
        </w:rPr>
        <w:t>荣边柑橘园</w:t>
      </w:r>
      <w:r>
        <w:rPr>
          <w:rFonts w:hint="eastAsia" w:ascii="Times New Roman" w:hAnsi="Times New Roman" w:eastAsia="仿宋_GB2312" w:cs="Times New Roman"/>
          <w:kern w:val="2"/>
          <w:sz w:val="32"/>
          <w:szCs w:val="32"/>
          <w:lang w:val="en-US" w:eastAsia="zh-CN" w:bidi="ar-SA"/>
        </w:rPr>
        <w:t>2期项目成功启动，自贡中农联建设开发有限公司新增投资1.02</w:t>
      </w:r>
      <w:r>
        <w:rPr>
          <w:rFonts w:hint="eastAsia" w:eastAsia="仿宋_GB2312"/>
          <w:bCs/>
          <w:sz w:val="32"/>
          <w:szCs w:val="32"/>
        </w:rPr>
        <w:t>亿元，超额完成招商引资任务。</w:t>
      </w:r>
      <w:r>
        <w:rPr>
          <w:rFonts w:hint="eastAsia" w:eastAsia="仿宋_GB2312"/>
          <w:b/>
          <w:bCs/>
          <w:sz w:val="32"/>
          <w:szCs w:val="32"/>
        </w:rPr>
        <w:t>项目建设圆满收官。</w:t>
      </w:r>
      <w:r>
        <w:rPr>
          <w:rFonts w:hint="eastAsia" w:eastAsia="仿宋_GB2312"/>
          <w:bCs/>
          <w:sz w:val="32"/>
          <w:szCs w:val="32"/>
        </w:rPr>
        <w:t>大黄路项目全线完工，节水灌溉项目完成竣工验收，道生灏停车场项目完工并交付使用。</w:t>
      </w:r>
      <w:r>
        <w:rPr>
          <w:rFonts w:hint="eastAsia" w:eastAsia="仿宋_GB2312"/>
          <w:b/>
          <w:bCs/>
          <w:sz w:val="32"/>
          <w:szCs w:val="32"/>
        </w:rPr>
        <w:t>防</w:t>
      </w:r>
      <w:r>
        <w:rPr>
          <w:rFonts w:hint="eastAsia" w:eastAsia="仿宋_GB2312"/>
          <w:b/>
          <w:bCs/>
          <w:color w:val="000000"/>
          <w:sz w:val="32"/>
          <w:szCs w:val="32"/>
        </w:rPr>
        <w:t>疫助农常态开展。</w:t>
      </w:r>
      <w:r>
        <w:rPr>
          <w:rFonts w:hint="eastAsia" w:eastAsia="仿宋_GB2312"/>
          <w:sz w:val="32"/>
          <w:szCs w:val="32"/>
        </w:rPr>
        <w:t>全力参与区内疫情防控工作，完善常态化防控机制，</w:t>
      </w:r>
      <w:r>
        <w:rPr>
          <w:rFonts w:hint="eastAsia" w:eastAsia="仿宋_GB2312"/>
          <w:color w:val="000000"/>
          <w:sz w:val="32"/>
          <w:szCs w:val="32"/>
        </w:rPr>
        <w:t>组织收购辖区各类农产品约</w:t>
      </w:r>
      <w:r>
        <w:rPr>
          <w:rFonts w:hint="eastAsia" w:ascii="Times New Roman" w:hAnsi="Times New Roman" w:eastAsia="仿宋_GB2312" w:cs="Times New Roman"/>
          <w:kern w:val="2"/>
          <w:sz w:val="32"/>
          <w:szCs w:val="32"/>
          <w:lang w:val="en-US" w:eastAsia="zh-CN" w:bidi="ar-SA"/>
        </w:rPr>
        <w:t>10</w:t>
      </w:r>
      <w:r>
        <w:rPr>
          <w:rFonts w:hint="eastAsia" w:eastAsia="仿宋_GB2312"/>
          <w:color w:val="000000"/>
          <w:sz w:val="32"/>
          <w:szCs w:val="32"/>
        </w:rPr>
        <w:t>万余斤，主要用于支援武汉疫区、慰问援鄂医护人员家属、捐赠特殊群体、平价销售等，有力解决农产品上行困难。</w:t>
      </w:r>
    </w:p>
    <w:p>
      <w:pPr>
        <w:pageBreakBefore w:val="0"/>
        <w:pBdr>
          <w:top w:val="single" w:color="FFFFFF" w:sz="4" w:space="0"/>
          <w:left w:val="single" w:color="FFFFFF" w:sz="4" w:space="31"/>
          <w:bottom w:val="single" w:color="FFFFFF" w:sz="4" w:space="31"/>
          <w:right w:val="single" w:color="FFFFFF" w:sz="4" w:space="0"/>
        </w:pBdr>
        <w:kinsoku/>
        <w:wordWrap/>
        <w:overflowPunct/>
        <w:topLinePunct w:val="0"/>
        <w:autoSpaceDE/>
        <w:autoSpaceDN/>
        <w:bidi w:val="0"/>
        <w:adjustRightInd w:val="0"/>
        <w:snapToGrid w:val="0"/>
        <w:spacing w:line="592" w:lineRule="exact"/>
        <w:ind w:firstLine="643" w:firstLineChars="200"/>
        <w:textAlignment w:val="auto"/>
        <w:rPr>
          <w:rFonts w:ascii="仿宋_GB2312" w:eastAsia="仿宋_GB2312"/>
          <w:sz w:val="32"/>
          <w:szCs w:val="32"/>
        </w:rPr>
      </w:pPr>
      <w:r>
        <w:rPr>
          <w:rFonts w:hint="eastAsia" w:eastAsia="仿宋_GB2312"/>
          <w:b/>
          <w:bCs/>
          <w:sz w:val="32"/>
          <w:szCs w:val="32"/>
        </w:rPr>
        <w:t>二是</w:t>
      </w:r>
      <w:r>
        <w:rPr>
          <w:rFonts w:hint="eastAsia" w:eastAsia="仿宋_GB2312"/>
          <w:b/>
          <w:color w:val="111111"/>
          <w:kern w:val="0"/>
          <w:sz w:val="32"/>
          <w:szCs w:val="32"/>
        </w:rPr>
        <w:t>深化改革步履稳健。</w:t>
      </w:r>
      <w:r>
        <w:rPr>
          <w:rFonts w:hint="eastAsia" w:eastAsia="仿宋_GB2312"/>
          <w:b/>
          <w:sz w:val="32"/>
          <w:szCs w:val="32"/>
        </w:rPr>
        <w:t>治理机制不断完善。</w:t>
      </w:r>
      <w:r>
        <w:rPr>
          <w:rFonts w:hint="eastAsia" w:eastAsia="仿宋_GB2312"/>
          <w:sz w:val="32"/>
          <w:szCs w:val="32"/>
        </w:rPr>
        <w:t>成立第一届理事会、监事会，健全联合社治理机制</w:t>
      </w:r>
      <w:r>
        <w:rPr>
          <w:rFonts w:hint="eastAsia" w:eastAsia="仿宋_GB2312"/>
          <w:kern w:val="0"/>
          <w:sz w:val="32"/>
          <w:szCs w:val="32"/>
        </w:rPr>
        <w:t>。</w:t>
      </w:r>
      <w:r>
        <w:rPr>
          <w:rFonts w:hint="eastAsia" w:eastAsia="仿宋_GB2312"/>
          <w:b/>
          <w:sz w:val="32"/>
          <w:szCs w:val="32"/>
        </w:rPr>
        <w:t>社有资产管理更加规范。</w:t>
      </w:r>
      <w:r>
        <w:rPr>
          <w:rFonts w:hint="eastAsia" w:eastAsia="仿宋_GB2312"/>
          <w:sz w:val="32"/>
          <w:szCs w:val="32"/>
        </w:rPr>
        <w:t>对社有资产进行评估后分类处理，通过调整租金、隐患排查整治及对有利用价值的资产纳入招商引资计划等，有力盘活社有资产。</w:t>
      </w:r>
      <w:r>
        <w:rPr>
          <w:rFonts w:hint="eastAsia" w:eastAsia="仿宋_GB2312"/>
          <w:b/>
          <w:sz w:val="32"/>
          <w:szCs w:val="32"/>
        </w:rPr>
        <w:t>企业</w:t>
      </w:r>
      <w:r>
        <w:rPr>
          <w:rFonts w:hint="eastAsia" w:eastAsia="仿宋_GB2312"/>
          <w:b/>
          <w:color w:val="000000"/>
          <w:sz w:val="32"/>
          <w:szCs w:val="32"/>
        </w:rPr>
        <w:t>经营持续向好。</w:t>
      </w:r>
      <w:r>
        <w:rPr>
          <w:rFonts w:hint="eastAsia" w:eastAsia="仿宋_GB2312"/>
          <w:color w:val="000000"/>
          <w:sz w:val="32"/>
          <w:szCs w:val="32"/>
        </w:rPr>
        <w:t>通过优化公司员工结构，科学布局连锁网点，关停低效门店等推动社有企业经营，</w:t>
      </w:r>
      <w:r>
        <w:rPr>
          <w:rFonts w:hint="eastAsia" w:eastAsia="仿宋_GB2312"/>
          <w:sz w:val="32"/>
          <w:szCs w:val="32"/>
        </w:rPr>
        <w:t>超市经营额突破20</w:t>
      </w:r>
      <w:r>
        <w:rPr>
          <w:rFonts w:eastAsia="仿宋_GB2312"/>
          <w:sz w:val="32"/>
          <w:szCs w:val="32"/>
        </w:rPr>
        <w:t>00</w:t>
      </w:r>
      <w:r>
        <w:rPr>
          <w:rFonts w:hint="eastAsia" w:eastAsia="仿宋_GB2312"/>
          <w:sz w:val="32"/>
          <w:szCs w:val="32"/>
        </w:rPr>
        <w:t>万元，同比增加</w:t>
      </w:r>
      <w:r>
        <w:rPr>
          <w:rFonts w:eastAsia="仿宋_GB2312"/>
          <w:sz w:val="32"/>
          <w:szCs w:val="32"/>
        </w:rPr>
        <w:t>20%</w:t>
      </w:r>
      <w:r>
        <w:rPr>
          <w:rFonts w:hint="eastAsia" w:eastAsia="仿宋_GB2312"/>
          <w:sz w:val="32"/>
          <w:szCs w:val="32"/>
        </w:rPr>
        <w:t>。</w:t>
      </w:r>
      <w:r>
        <w:rPr>
          <w:rFonts w:hint="eastAsia" w:eastAsia="仿宋_GB2312"/>
          <w:b/>
          <w:sz w:val="32"/>
          <w:szCs w:val="32"/>
        </w:rPr>
        <w:t>安全食材配送局面逐步打开。</w:t>
      </w:r>
      <w:r>
        <w:rPr>
          <w:rFonts w:hint="eastAsia" w:eastAsia="仿宋_GB2312"/>
          <w:sz w:val="32"/>
          <w:szCs w:val="32"/>
        </w:rPr>
        <w:t>对辖区</w:t>
      </w:r>
      <w:r>
        <w:rPr>
          <w:rFonts w:eastAsia="仿宋_GB2312"/>
          <w:sz w:val="32"/>
          <w:szCs w:val="32"/>
        </w:rPr>
        <w:t>8</w:t>
      </w:r>
      <w:r>
        <w:rPr>
          <w:rFonts w:hint="eastAsia" w:eastAsia="仿宋_GB2312"/>
          <w:sz w:val="32"/>
          <w:szCs w:val="32"/>
        </w:rPr>
        <w:t>所中小学进行安全食材配送，月均配送营业额突破</w:t>
      </w:r>
      <w:r>
        <w:rPr>
          <w:rFonts w:eastAsia="仿宋_GB2312"/>
          <w:sz w:val="32"/>
          <w:szCs w:val="32"/>
        </w:rPr>
        <w:t>20</w:t>
      </w:r>
      <w:r>
        <w:rPr>
          <w:rFonts w:hint="eastAsia" w:eastAsia="仿宋_GB2312"/>
          <w:sz w:val="32"/>
          <w:szCs w:val="32"/>
        </w:rPr>
        <w:t>万元，累计服务师生</w:t>
      </w:r>
      <w:r>
        <w:rPr>
          <w:rFonts w:eastAsia="仿宋_GB2312"/>
          <w:sz w:val="32"/>
          <w:szCs w:val="32"/>
        </w:rPr>
        <w:t>30</w:t>
      </w:r>
      <w:r>
        <w:rPr>
          <w:rFonts w:hint="eastAsia" w:eastAsia="仿宋_GB2312"/>
          <w:sz w:val="32"/>
          <w:szCs w:val="32"/>
        </w:rPr>
        <w:t>万人次。</w:t>
      </w:r>
      <w:r>
        <w:rPr>
          <w:rFonts w:hint="eastAsia" w:eastAsia="仿宋_GB2312"/>
          <w:b/>
          <w:color w:val="000000"/>
          <w:sz w:val="32"/>
          <w:szCs w:val="32"/>
        </w:rPr>
        <w:t>代理服务能力提升。</w:t>
      </w:r>
      <w:r>
        <w:rPr>
          <w:rFonts w:hint="eastAsia" w:eastAsia="仿宋_GB2312"/>
          <w:color w:val="000000"/>
          <w:sz w:val="32"/>
          <w:szCs w:val="32"/>
        </w:rPr>
        <w:t>争取省社项目建设资金支持</w:t>
      </w:r>
      <w:r>
        <w:rPr>
          <w:rFonts w:eastAsia="仿宋_GB2312"/>
          <w:color w:val="000000"/>
          <w:sz w:val="32"/>
          <w:szCs w:val="32"/>
        </w:rPr>
        <w:t>30</w:t>
      </w:r>
      <w:r>
        <w:rPr>
          <w:rFonts w:hint="eastAsia" w:eastAsia="仿宋_GB2312"/>
          <w:color w:val="000000"/>
          <w:sz w:val="32"/>
          <w:szCs w:val="32"/>
        </w:rPr>
        <w:t>万元，对会计代理服务中心实施提升改造，服务对象承接能力提升</w:t>
      </w:r>
      <w:r>
        <w:rPr>
          <w:rFonts w:eastAsia="仿宋_GB2312"/>
          <w:color w:val="000000"/>
          <w:sz w:val="32"/>
          <w:szCs w:val="32"/>
        </w:rPr>
        <w:t>60%</w:t>
      </w:r>
      <w:r>
        <w:rPr>
          <w:rFonts w:hint="eastAsia" w:eastAsia="仿宋_GB2312"/>
          <w:color w:val="000000"/>
          <w:sz w:val="32"/>
          <w:szCs w:val="32"/>
        </w:rPr>
        <w:t>。</w:t>
      </w:r>
      <w:r>
        <w:rPr>
          <w:rFonts w:hint="eastAsia" w:eastAsia="仿宋_GB2312"/>
          <w:b/>
          <w:color w:val="000000"/>
          <w:sz w:val="32"/>
          <w:szCs w:val="32"/>
        </w:rPr>
        <w:t>生产基地成效初显</w:t>
      </w:r>
      <w:r>
        <w:rPr>
          <w:rFonts w:hint="eastAsia" w:eastAsia="仿宋_GB2312"/>
          <w:kern w:val="0"/>
          <w:sz w:val="32"/>
        </w:rPr>
        <w:t>。</w:t>
      </w:r>
      <w:r>
        <w:rPr>
          <w:rFonts w:hint="eastAsia" w:eastAsia="仿宋_GB2312"/>
          <w:bCs/>
          <w:kern w:val="0"/>
          <w:sz w:val="32"/>
        </w:rPr>
        <w:t>柑橘基地</w:t>
      </w:r>
      <w:r>
        <w:rPr>
          <w:rFonts w:hint="eastAsia" w:eastAsia="仿宋_GB2312"/>
          <w:bCs/>
          <w:sz w:val="32"/>
          <w:szCs w:val="32"/>
        </w:rPr>
        <w:t>项目</w:t>
      </w:r>
      <w:r>
        <w:rPr>
          <w:rFonts w:eastAsia="仿宋_GB2312"/>
          <w:bCs/>
          <w:sz w:val="32"/>
          <w:szCs w:val="32"/>
        </w:rPr>
        <w:t>1</w:t>
      </w:r>
      <w:r>
        <w:rPr>
          <w:rFonts w:hint="eastAsia" w:eastAsia="仿宋_GB2312"/>
          <w:bCs/>
          <w:sz w:val="32"/>
          <w:szCs w:val="32"/>
        </w:rPr>
        <w:t>期</w:t>
      </w:r>
      <w:r>
        <w:rPr>
          <w:rFonts w:eastAsia="仿宋_GB2312"/>
          <w:bCs/>
          <w:sz w:val="32"/>
          <w:szCs w:val="32"/>
        </w:rPr>
        <w:t>1000</w:t>
      </w:r>
      <w:r>
        <w:rPr>
          <w:rFonts w:hint="eastAsia" w:eastAsia="仿宋_GB2312"/>
          <w:bCs/>
          <w:sz w:val="32"/>
          <w:szCs w:val="32"/>
        </w:rPr>
        <w:t>亩优质果树今年挂果约</w:t>
      </w:r>
      <w:r>
        <w:rPr>
          <w:rFonts w:eastAsia="仿宋_GB2312"/>
          <w:bCs/>
          <w:sz w:val="32"/>
          <w:szCs w:val="32"/>
        </w:rPr>
        <w:t>10</w:t>
      </w:r>
      <w:r>
        <w:rPr>
          <w:rFonts w:hint="eastAsia" w:eastAsia="仿宋_GB2312"/>
          <w:bCs/>
          <w:sz w:val="32"/>
          <w:szCs w:val="32"/>
        </w:rPr>
        <w:t>万斤，</w:t>
      </w:r>
      <w:r>
        <w:rPr>
          <w:rFonts w:eastAsia="仿宋_GB2312"/>
          <w:bCs/>
          <w:sz w:val="32"/>
          <w:szCs w:val="32"/>
        </w:rPr>
        <w:t>2</w:t>
      </w:r>
      <w:r>
        <w:rPr>
          <w:rFonts w:hint="eastAsia" w:eastAsia="仿宋_GB2312"/>
          <w:bCs/>
          <w:sz w:val="32"/>
          <w:szCs w:val="32"/>
        </w:rPr>
        <w:t>期扩建项目已经启动。</w:t>
      </w:r>
      <w:r>
        <w:rPr>
          <w:rFonts w:hint="eastAsia" w:eastAsia="仿宋_GB2312"/>
          <w:bCs/>
          <w:color w:val="000000"/>
          <w:sz w:val="32"/>
          <w:szCs w:val="32"/>
        </w:rPr>
        <w:t>蔬菜基地提升改造完成并投产，预计年新增产值</w:t>
      </w:r>
      <w:r>
        <w:rPr>
          <w:rFonts w:eastAsia="仿宋_GB2312"/>
          <w:bCs/>
          <w:color w:val="000000"/>
          <w:sz w:val="32"/>
          <w:szCs w:val="32"/>
        </w:rPr>
        <w:t>10</w:t>
      </w:r>
      <w:r>
        <w:rPr>
          <w:rFonts w:hint="eastAsia" w:eastAsia="仿宋_GB2312"/>
          <w:bCs/>
          <w:color w:val="000000"/>
          <w:sz w:val="32"/>
          <w:szCs w:val="32"/>
        </w:rPr>
        <w:t>万余元。</w:t>
      </w:r>
      <w:r>
        <w:rPr>
          <w:rFonts w:eastAsia="仿宋_GB2312"/>
          <w:b/>
          <w:color w:val="000000"/>
          <w:sz w:val="32"/>
          <w:szCs w:val="32"/>
        </w:rPr>
        <w:t xml:space="preserve"> “</w:t>
      </w:r>
      <w:r>
        <w:rPr>
          <w:rFonts w:hint="eastAsia" w:eastAsia="仿宋_GB2312"/>
          <w:b/>
          <w:color w:val="000000"/>
          <w:sz w:val="32"/>
          <w:szCs w:val="32"/>
        </w:rPr>
        <w:t>三社融合</w:t>
      </w:r>
      <w:r>
        <w:rPr>
          <w:rFonts w:eastAsia="仿宋_GB2312"/>
          <w:b/>
          <w:color w:val="000000"/>
          <w:sz w:val="32"/>
          <w:szCs w:val="32"/>
        </w:rPr>
        <w:t>”</w:t>
      </w:r>
      <w:r>
        <w:rPr>
          <w:rFonts w:hint="eastAsia" w:eastAsia="仿宋_GB2312"/>
          <w:b/>
          <w:color w:val="000000"/>
          <w:sz w:val="32"/>
          <w:szCs w:val="32"/>
        </w:rPr>
        <w:t>试点推进。</w:t>
      </w:r>
      <w:r>
        <w:rPr>
          <w:rFonts w:hint="eastAsia" w:eastAsia="仿宋_GB2312"/>
          <w:color w:val="000000"/>
          <w:sz w:val="32"/>
          <w:szCs w:val="32"/>
        </w:rPr>
        <w:t>通过资金入股、技术支持、渠道融合</w:t>
      </w:r>
      <w:r>
        <w:rPr>
          <w:rFonts w:hint="eastAsia" w:eastAsia="仿宋_GB2312"/>
          <w:bCs/>
          <w:kern w:val="0"/>
          <w:sz w:val="32"/>
          <w:szCs w:val="32"/>
        </w:rPr>
        <w:t>，在荣边镇干塘村建成蔬菜基地</w:t>
      </w:r>
      <w:r>
        <w:rPr>
          <w:rFonts w:eastAsia="仿宋_GB2312"/>
          <w:bCs/>
          <w:kern w:val="0"/>
          <w:sz w:val="32"/>
          <w:szCs w:val="32"/>
        </w:rPr>
        <w:t>33</w:t>
      </w:r>
      <w:r>
        <w:rPr>
          <w:rFonts w:hint="eastAsia" w:eastAsia="仿宋_GB2312"/>
          <w:bCs/>
          <w:kern w:val="0"/>
          <w:sz w:val="32"/>
          <w:szCs w:val="32"/>
        </w:rPr>
        <w:t>亩、水产基地</w:t>
      </w:r>
      <w:r>
        <w:rPr>
          <w:rFonts w:eastAsia="仿宋_GB2312"/>
          <w:bCs/>
          <w:kern w:val="0"/>
          <w:sz w:val="32"/>
          <w:szCs w:val="32"/>
        </w:rPr>
        <w:t>17</w:t>
      </w:r>
      <w:r>
        <w:rPr>
          <w:rFonts w:hint="eastAsia" w:eastAsia="仿宋_GB2312"/>
          <w:bCs/>
          <w:kern w:val="0"/>
          <w:sz w:val="32"/>
          <w:szCs w:val="32"/>
        </w:rPr>
        <w:t>亩、水果基地</w:t>
      </w:r>
      <w:r>
        <w:rPr>
          <w:rFonts w:eastAsia="仿宋_GB2312"/>
          <w:bCs/>
          <w:kern w:val="0"/>
          <w:sz w:val="32"/>
          <w:szCs w:val="32"/>
        </w:rPr>
        <w:t>200</w:t>
      </w:r>
      <w:r>
        <w:rPr>
          <w:rFonts w:hint="eastAsia" w:eastAsia="仿宋_GB2312"/>
          <w:bCs/>
          <w:kern w:val="0"/>
          <w:sz w:val="32"/>
          <w:szCs w:val="32"/>
        </w:rPr>
        <w:t>亩，在飞龙峡镇丁香村发展黄桃基地</w:t>
      </w:r>
      <w:r>
        <w:rPr>
          <w:rFonts w:eastAsia="仿宋_GB2312"/>
          <w:bCs/>
          <w:kern w:val="0"/>
          <w:sz w:val="32"/>
          <w:szCs w:val="32"/>
        </w:rPr>
        <w:t>300</w:t>
      </w:r>
      <w:r>
        <w:rPr>
          <w:rFonts w:hint="eastAsia" w:eastAsia="仿宋_GB2312"/>
          <w:bCs/>
          <w:kern w:val="0"/>
          <w:sz w:val="32"/>
          <w:szCs w:val="32"/>
        </w:rPr>
        <w:t>亩</w:t>
      </w:r>
      <w:r>
        <w:rPr>
          <w:rFonts w:hint="eastAsia" w:eastAsia="仿宋_GB2312"/>
          <w:kern w:val="0"/>
          <w:sz w:val="32"/>
          <w:szCs w:val="32"/>
        </w:rPr>
        <w:t>，建成后可显著帮助农民增收</w:t>
      </w:r>
      <w:r>
        <w:rPr>
          <w:rFonts w:hint="eastAsia" w:eastAsia="仿宋_GB2312"/>
          <w:bCs/>
          <w:sz w:val="32"/>
          <w:szCs w:val="32"/>
        </w:rPr>
        <w:t>。</w:t>
      </w:r>
    </w:p>
    <w:p>
      <w:pPr>
        <w:pageBreakBefore w:val="0"/>
        <w:pBdr>
          <w:top w:val="single" w:color="FFFFFF" w:sz="4" w:space="0"/>
          <w:left w:val="single" w:color="FFFFFF" w:sz="4" w:space="31"/>
          <w:bottom w:val="single" w:color="FFFFFF" w:sz="4" w:space="31"/>
          <w:right w:val="single" w:color="FFFFFF" w:sz="4" w:space="0"/>
        </w:pBdr>
        <w:kinsoku/>
        <w:wordWrap/>
        <w:overflowPunct/>
        <w:topLinePunct w:val="0"/>
        <w:autoSpaceDE/>
        <w:autoSpaceDN/>
        <w:bidi w:val="0"/>
        <w:adjustRightInd w:val="0"/>
        <w:snapToGrid w:val="0"/>
        <w:spacing w:line="592" w:lineRule="exact"/>
        <w:ind w:firstLine="643" w:firstLineChars="200"/>
        <w:textAlignment w:val="auto"/>
        <w:rPr>
          <w:rFonts w:hint="eastAsia" w:eastAsia="仿宋_GB2312"/>
          <w:bCs/>
          <w:sz w:val="32"/>
          <w:szCs w:val="32"/>
        </w:rPr>
      </w:pPr>
      <w:r>
        <w:rPr>
          <w:rFonts w:hint="eastAsia" w:eastAsia="仿宋_GB2312"/>
          <w:b/>
          <w:color w:val="111111"/>
          <w:kern w:val="0"/>
          <w:sz w:val="32"/>
          <w:szCs w:val="32"/>
        </w:rPr>
        <w:t>三是其他工作统筹推进。强化意识形态引领</w:t>
      </w:r>
      <w:r>
        <w:rPr>
          <w:rFonts w:hint="eastAsia" w:eastAsia="仿宋_GB2312"/>
          <w:b/>
          <w:bCs/>
          <w:kern w:val="0"/>
          <w:sz w:val="32"/>
          <w:szCs w:val="32"/>
        </w:rPr>
        <w:t>。</w:t>
      </w:r>
      <w:r>
        <w:rPr>
          <w:rFonts w:hint="eastAsia" w:eastAsia="仿宋_GB2312"/>
          <w:bCs/>
          <w:kern w:val="0"/>
          <w:sz w:val="32"/>
          <w:szCs w:val="32"/>
        </w:rPr>
        <w:t>严格落实意识形态责任制，加强意识形态工作安排部署，专题研究意识形态工作</w:t>
      </w:r>
      <w:r>
        <w:rPr>
          <w:rFonts w:eastAsia="仿宋_GB2312"/>
          <w:bCs/>
          <w:kern w:val="0"/>
          <w:sz w:val="32"/>
          <w:szCs w:val="32"/>
        </w:rPr>
        <w:t>2</w:t>
      </w:r>
      <w:r>
        <w:rPr>
          <w:rFonts w:hint="eastAsia" w:eastAsia="仿宋_GB2312"/>
          <w:bCs/>
          <w:kern w:val="0"/>
          <w:sz w:val="32"/>
          <w:szCs w:val="32"/>
        </w:rPr>
        <w:t>次；强化思想政治建设，通过中心组理论学习、</w:t>
      </w:r>
      <w:r>
        <w:rPr>
          <w:rFonts w:eastAsia="仿宋_GB2312"/>
          <w:bCs/>
          <w:kern w:val="0"/>
          <w:sz w:val="32"/>
          <w:szCs w:val="32"/>
        </w:rPr>
        <w:t>“</w:t>
      </w:r>
      <w:r>
        <w:rPr>
          <w:rFonts w:hint="eastAsia" w:eastAsia="仿宋_GB2312"/>
          <w:bCs/>
          <w:kern w:val="0"/>
          <w:sz w:val="32"/>
          <w:szCs w:val="32"/>
        </w:rPr>
        <w:t>三会一课</w:t>
      </w:r>
      <w:r>
        <w:rPr>
          <w:rFonts w:eastAsia="仿宋_GB2312"/>
          <w:bCs/>
          <w:kern w:val="0"/>
          <w:sz w:val="32"/>
          <w:szCs w:val="32"/>
        </w:rPr>
        <w:t>”</w:t>
      </w:r>
      <w:r>
        <w:rPr>
          <w:rFonts w:hint="eastAsia" w:eastAsia="仿宋_GB2312"/>
          <w:bCs/>
          <w:kern w:val="0"/>
          <w:sz w:val="32"/>
          <w:szCs w:val="32"/>
        </w:rPr>
        <w:t>等</w:t>
      </w:r>
      <w:r>
        <w:rPr>
          <w:rFonts w:hint="eastAsia" w:eastAsia="仿宋_GB2312"/>
          <w:color w:val="000000"/>
          <w:sz w:val="32"/>
          <w:szCs w:val="32"/>
        </w:rPr>
        <w:t>深入学习贯彻习近平新时代中国特色社会主义思想、党的十九大精神等各级会议精神</w:t>
      </w:r>
      <w:r>
        <w:rPr>
          <w:rFonts w:eastAsia="仿宋_GB2312"/>
          <w:color w:val="000000"/>
          <w:sz w:val="32"/>
          <w:szCs w:val="32"/>
        </w:rPr>
        <w:t>19</w:t>
      </w:r>
      <w:r>
        <w:rPr>
          <w:rFonts w:hint="eastAsia" w:eastAsia="仿宋_GB2312"/>
          <w:color w:val="000000"/>
          <w:sz w:val="32"/>
          <w:szCs w:val="32"/>
        </w:rPr>
        <w:t>次。</w:t>
      </w:r>
      <w:r>
        <w:rPr>
          <w:rFonts w:hint="eastAsia" w:eastAsia="仿宋_GB2312"/>
          <w:b/>
          <w:sz w:val="32"/>
          <w:szCs w:val="32"/>
        </w:rPr>
        <w:t>狠抓党风廉政建设。</w:t>
      </w:r>
      <w:r>
        <w:rPr>
          <w:rFonts w:hint="eastAsia" w:eastAsia="仿宋_GB2312"/>
          <w:sz w:val="32"/>
          <w:szCs w:val="32"/>
        </w:rPr>
        <w:t>开展正风肃纪常态化检查督查，加强廉政谈话和警示教育，紧盯重要敏感节点和</w:t>
      </w:r>
      <w:r>
        <w:rPr>
          <w:rFonts w:eastAsia="仿宋_GB2312"/>
          <w:sz w:val="32"/>
          <w:szCs w:val="32"/>
        </w:rPr>
        <w:t>“</w:t>
      </w:r>
      <w:r>
        <w:rPr>
          <w:rFonts w:hint="eastAsia" w:eastAsia="仿宋_GB2312"/>
          <w:sz w:val="32"/>
          <w:szCs w:val="32"/>
        </w:rPr>
        <w:t>四风</w:t>
      </w:r>
      <w:r>
        <w:rPr>
          <w:rFonts w:eastAsia="仿宋_GB2312"/>
          <w:sz w:val="32"/>
          <w:szCs w:val="32"/>
        </w:rPr>
        <w:t>”</w:t>
      </w:r>
      <w:r>
        <w:rPr>
          <w:rFonts w:hint="eastAsia" w:eastAsia="仿宋_GB2312"/>
          <w:sz w:val="32"/>
          <w:szCs w:val="32"/>
        </w:rPr>
        <w:t>问题焦点、难点，深入查纠</w:t>
      </w:r>
      <w:r>
        <w:rPr>
          <w:rFonts w:eastAsia="仿宋_GB2312"/>
          <w:sz w:val="32"/>
          <w:szCs w:val="32"/>
        </w:rPr>
        <w:t>“</w:t>
      </w:r>
      <w:r>
        <w:rPr>
          <w:rFonts w:hint="eastAsia" w:eastAsia="仿宋_GB2312"/>
          <w:sz w:val="32"/>
          <w:szCs w:val="32"/>
        </w:rPr>
        <w:t>四风</w:t>
      </w:r>
      <w:r>
        <w:rPr>
          <w:rFonts w:eastAsia="仿宋_GB2312"/>
          <w:sz w:val="32"/>
          <w:szCs w:val="32"/>
        </w:rPr>
        <w:t>”</w:t>
      </w:r>
      <w:r>
        <w:rPr>
          <w:rFonts w:hint="eastAsia" w:eastAsia="仿宋_GB2312"/>
          <w:sz w:val="32"/>
          <w:szCs w:val="32"/>
        </w:rPr>
        <w:t>问题，筑牢廉政防线。加强</w:t>
      </w:r>
      <w:r>
        <w:rPr>
          <w:rFonts w:hint="eastAsia" w:eastAsia="仿宋_GB2312"/>
          <w:bCs/>
          <w:sz w:val="32"/>
          <w:szCs w:val="32"/>
        </w:rPr>
        <w:t>社会化评价宣传，通过</w:t>
      </w:r>
      <w:r>
        <w:rPr>
          <w:rFonts w:hint="eastAsia" w:eastAsia="仿宋_GB2312"/>
          <w:sz w:val="32"/>
          <w:szCs w:val="32"/>
        </w:rPr>
        <w:t>集中宣传活动发放社会化评价宣传资料</w:t>
      </w:r>
      <w:r>
        <w:rPr>
          <w:rFonts w:eastAsia="仿宋_GB2312"/>
          <w:sz w:val="32"/>
          <w:szCs w:val="32"/>
        </w:rPr>
        <w:t>1000</w:t>
      </w:r>
      <w:r>
        <w:rPr>
          <w:rFonts w:hint="eastAsia" w:eastAsia="仿宋_GB2312"/>
          <w:sz w:val="32"/>
          <w:szCs w:val="32"/>
        </w:rPr>
        <w:t>余份。</w:t>
      </w:r>
      <w:r>
        <w:rPr>
          <w:rFonts w:hint="eastAsia" w:eastAsia="仿宋_GB2312"/>
          <w:b/>
          <w:sz w:val="32"/>
          <w:szCs w:val="32"/>
        </w:rPr>
        <w:t>积极配合</w:t>
      </w:r>
      <w:r>
        <w:rPr>
          <w:rFonts w:hint="eastAsia" w:eastAsia="仿宋_GB2312"/>
          <w:b/>
          <w:bCs/>
          <w:color w:val="000000" w:themeColor="text1"/>
          <w:sz w:val="32"/>
          <w:szCs w:val="32"/>
          <w14:textFill>
            <w14:solidFill>
              <w14:schemeClr w14:val="tx1"/>
            </w14:solidFill>
          </w14:textFill>
        </w:rPr>
        <w:t>巡察工作。</w:t>
      </w:r>
      <w:r>
        <w:rPr>
          <w:rFonts w:hint="eastAsia" w:eastAsia="仿宋_GB2312"/>
          <w:bCs/>
          <w:color w:val="000000" w:themeColor="text1"/>
          <w:sz w:val="32"/>
          <w:szCs w:val="32"/>
          <w14:textFill>
            <w14:solidFill>
              <w14:schemeClr w14:val="tx1"/>
            </w14:solidFill>
          </w14:textFill>
        </w:rPr>
        <w:t>成立巡察整改领导小组，落实主要领导牵头，办公室具体负责、完善整改责任清单、定期督促检查、对单销号的整改机制，有的放矢整改问题。</w:t>
      </w:r>
      <w:r>
        <w:rPr>
          <w:rFonts w:eastAsia="仿宋_GB2312"/>
          <w:b/>
          <w:bCs/>
          <w:sz w:val="32"/>
          <w:szCs w:val="32"/>
        </w:rPr>
        <w:t>“</w:t>
      </w:r>
      <w:r>
        <w:rPr>
          <w:rFonts w:hint="eastAsia" w:eastAsia="仿宋_GB2312"/>
          <w:b/>
          <w:bCs/>
          <w:sz w:val="32"/>
          <w:szCs w:val="32"/>
        </w:rPr>
        <w:t>三级书记抓民生</w:t>
      </w:r>
      <w:r>
        <w:rPr>
          <w:rFonts w:eastAsia="仿宋_GB2312"/>
          <w:b/>
          <w:bCs/>
          <w:sz w:val="32"/>
          <w:szCs w:val="32"/>
        </w:rPr>
        <w:t>”</w:t>
      </w:r>
      <w:r>
        <w:rPr>
          <w:rFonts w:hint="eastAsia" w:eastAsia="仿宋_GB2312"/>
          <w:b/>
          <w:bCs/>
          <w:sz w:val="32"/>
          <w:szCs w:val="32"/>
        </w:rPr>
        <w:t>工作。</w:t>
      </w:r>
      <w:r>
        <w:rPr>
          <w:rFonts w:hint="eastAsia" w:eastAsia="仿宋_GB2312"/>
          <w:bCs/>
          <w:sz w:val="32"/>
          <w:szCs w:val="32"/>
        </w:rPr>
        <w:t>收集群众意见问题</w:t>
      </w:r>
      <w:r>
        <w:rPr>
          <w:rFonts w:eastAsia="仿宋_GB2312"/>
          <w:bCs/>
          <w:sz w:val="32"/>
          <w:szCs w:val="32"/>
        </w:rPr>
        <w:t>1</w:t>
      </w:r>
      <w:r>
        <w:rPr>
          <w:rFonts w:hint="eastAsia"/>
          <w:bCs/>
          <w:sz w:val="32"/>
          <w:szCs w:val="32"/>
          <w:lang w:val="en-US" w:eastAsia="zh-CN"/>
        </w:rPr>
        <w:t>2</w:t>
      </w:r>
      <w:r>
        <w:rPr>
          <w:rFonts w:hint="eastAsia" w:eastAsia="仿宋_GB2312"/>
          <w:bCs/>
          <w:sz w:val="32"/>
          <w:szCs w:val="32"/>
        </w:rPr>
        <w:t>个，回复意见</w:t>
      </w:r>
      <w:r>
        <w:rPr>
          <w:rFonts w:eastAsia="仿宋_GB2312"/>
          <w:bCs/>
          <w:sz w:val="32"/>
          <w:szCs w:val="32"/>
        </w:rPr>
        <w:t>3</w:t>
      </w:r>
      <w:r>
        <w:rPr>
          <w:rFonts w:hint="eastAsia" w:eastAsia="仿宋_GB2312"/>
          <w:bCs/>
          <w:sz w:val="32"/>
          <w:szCs w:val="32"/>
        </w:rPr>
        <w:t>条，解决群众问题</w:t>
      </w:r>
      <w:r>
        <w:rPr>
          <w:rFonts w:hint="eastAsia"/>
          <w:bCs/>
          <w:sz w:val="32"/>
          <w:szCs w:val="32"/>
          <w:lang w:val="en-US" w:eastAsia="zh-CN"/>
        </w:rPr>
        <w:t>9</w:t>
      </w:r>
      <w:r>
        <w:rPr>
          <w:rFonts w:hint="eastAsia" w:eastAsia="仿宋_GB2312"/>
          <w:bCs/>
          <w:sz w:val="32"/>
          <w:szCs w:val="32"/>
        </w:rPr>
        <w:t>个。</w:t>
      </w:r>
      <w:r>
        <w:rPr>
          <w:rFonts w:hint="eastAsia" w:eastAsia="仿宋_GB2312"/>
          <w:b/>
          <w:bCs/>
          <w:sz w:val="32"/>
          <w:szCs w:val="32"/>
        </w:rPr>
        <w:t>脱贫攻坚</w:t>
      </w:r>
      <w:r>
        <w:rPr>
          <w:rFonts w:hint="eastAsia" w:eastAsia="仿宋_GB2312"/>
          <w:b/>
          <w:sz w:val="32"/>
          <w:szCs w:val="32"/>
        </w:rPr>
        <w:t>工作。</w:t>
      </w:r>
      <w:r>
        <w:rPr>
          <w:rFonts w:hint="eastAsia" w:eastAsia="仿宋_GB2312"/>
          <w:bCs/>
          <w:sz w:val="32"/>
          <w:szCs w:val="32"/>
        </w:rPr>
        <w:t>到结对帮扶村开展调研</w:t>
      </w:r>
      <w:r>
        <w:rPr>
          <w:rFonts w:eastAsia="仿宋_GB2312"/>
          <w:bCs/>
          <w:sz w:val="32"/>
          <w:szCs w:val="32"/>
        </w:rPr>
        <w:t>10</w:t>
      </w:r>
      <w:r>
        <w:rPr>
          <w:rFonts w:hint="eastAsia" w:eastAsia="仿宋_GB2312"/>
          <w:bCs/>
          <w:sz w:val="32"/>
          <w:szCs w:val="32"/>
        </w:rPr>
        <w:t>次，到精准扶贫户家中慰问关怀</w:t>
      </w:r>
      <w:r>
        <w:rPr>
          <w:rFonts w:eastAsia="仿宋_GB2312"/>
          <w:bCs/>
          <w:sz w:val="32"/>
          <w:szCs w:val="32"/>
        </w:rPr>
        <w:t>20</w:t>
      </w:r>
      <w:r>
        <w:rPr>
          <w:rFonts w:hint="eastAsia" w:eastAsia="仿宋_GB2312"/>
          <w:bCs/>
          <w:sz w:val="32"/>
          <w:szCs w:val="32"/>
        </w:rPr>
        <w:t>次，采取以购代捐帮助贫困户销售农产品</w:t>
      </w:r>
      <w:r>
        <w:rPr>
          <w:rFonts w:eastAsia="仿宋_GB2312"/>
          <w:bCs/>
          <w:sz w:val="32"/>
          <w:szCs w:val="32"/>
        </w:rPr>
        <w:t>4</w:t>
      </w:r>
      <w:r>
        <w:rPr>
          <w:rFonts w:hint="eastAsia" w:eastAsia="仿宋_GB2312"/>
          <w:bCs/>
          <w:sz w:val="32"/>
          <w:szCs w:val="32"/>
        </w:rPr>
        <w:t>万余元。</w:t>
      </w:r>
      <w:r>
        <w:rPr>
          <w:rFonts w:eastAsia="仿宋_GB2312"/>
          <w:b/>
          <w:sz w:val="32"/>
          <w:szCs w:val="32"/>
        </w:rPr>
        <w:t>“</w:t>
      </w:r>
      <w:r>
        <w:rPr>
          <w:rFonts w:hint="eastAsia" w:eastAsia="仿宋_GB2312"/>
          <w:b/>
          <w:sz w:val="32"/>
          <w:szCs w:val="32"/>
        </w:rPr>
        <w:t>三创联动</w:t>
      </w:r>
      <w:r>
        <w:rPr>
          <w:rFonts w:eastAsia="仿宋_GB2312"/>
          <w:b/>
          <w:sz w:val="32"/>
          <w:szCs w:val="32"/>
        </w:rPr>
        <w:t>”</w:t>
      </w:r>
      <w:r>
        <w:rPr>
          <w:rFonts w:hint="eastAsia" w:eastAsia="仿宋_GB2312"/>
          <w:b/>
          <w:sz w:val="32"/>
          <w:szCs w:val="32"/>
        </w:rPr>
        <w:t>工作。</w:t>
      </w:r>
      <w:r>
        <w:rPr>
          <w:rFonts w:hint="eastAsia" w:eastAsia="仿宋_GB2312"/>
          <w:sz w:val="32"/>
          <w:szCs w:val="32"/>
        </w:rPr>
        <w:t>积极配合包挂社区开展创文创卫活动，助力创文创卫顺利通过国检。</w:t>
      </w:r>
      <w:r>
        <w:rPr>
          <w:rFonts w:hint="eastAsia" w:eastAsia="仿宋_GB2312"/>
          <w:b/>
          <w:sz w:val="32"/>
          <w:szCs w:val="32"/>
        </w:rPr>
        <w:t>安全稳定工作。</w:t>
      </w:r>
      <w:r>
        <w:rPr>
          <w:rFonts w:hint="eastAsia" w:eastAsia="仿宋_GB2312"/>
          <w:sz w:val="32"/>
          <w:szCs w:val="32"/>
        </w:rPr>
        <w:t>加大隐患排查和整治力度，落实专人对资产进行巡查，排险</w:t>
      </w:r>
      <w:r>
        <w:rPr>
          <w:rFonts w:eastAsia="仿宋_GB2312"/>
          <w:sz w:val="32"/>
          <w:szCs w:val="32"/>
        </w:rPr>
        <w:t>1</w:t>
      </w:r>
      <w:r>
        <w:rPr>
          <w:rFonts w:hint="eastAsia" w:eastAsia="仿宋_GB2312"/>
          <w:sz w:val="32"/>
          <w:szCs w:val="32"/>
        </w:rPr>
        <w:t>处、增设安全警示牌</w:t>
      </w:r>
      <w:r>
        <w:rPr>
          <w:rFonts w:eastAsia="仿宋_GB2312"/>
          <w:sz w:val="32"/>
          <w:szCs w:val="32"/>
        </w:rPr>
        <w:t>3</w:t>
      </w:r>
      <w:r>
        <w:rPr>
          <w:rFonts w:hint="eastAsia" w:eastAsia="仿宋_GB2312"/>
          <w:sz w:val="32"/>
          <w:szCs w:val="32"/>
        </w:rPr>
        <w:t>处。</w:t>
      </w:r>
      <w:r>
        <w:rPr>
          <w:rFonts w:hint="eastAsia" w:eastAsia="仿宋_GB2312"/>
          <w:bCs/>
          <w:sz w:val="32"/>
          <w:szCs w:val="32"/>
        </w:rPr>
        <w:t>信访、安全、依法治区等各项工作有序开展。</w:t>
      </w:r>
      <w:bookmarkStart w:id="10" w:name="_Toc6092"/>
      <w:bookmarkStart w:id="11" w:name="_Toc15377200"/>
      <w:bookmarkStart w:id="12" w:name="_Toc15396601"/>
    </w:p>
    <w:p>
      <w:pPr>
        <w:pageBreakBefore w:val="0"/>
        <w:numPr>
          <w:ilvl w:val="0"/>
          <w:numId w:val="1"/>
        </w:numPr>
        <w:pBdr>
          <w:top w:val="single" w:color="FFFFFF" w:sz="4" w:space="0"/>
          <w:left w:val="single" w:color="FFFFFF" w:sz="4" w:space="31"/>
          <w:bottom w:val="single" w:color="FFFFFF" w:sz="4" w:space="31"/>
          <w:right w:val="single" w:color="FFFFFF" w:sz="4" w:space="0"/>
        </w:pBdr>
        <w:kinsoku/>
        <w:wordWrap/>
        <w:overflowPunct/>
        <w:topLinePunct w:val="0"/>
        <w:autoSpaceDE/>
        <w:autoSpaceDN/>
        <w:bidi w:val="0"/>
        <w:adjustRightInd w:val="0"/>
        <w:snapToGrid w:val="0"/>
        <w:spacing w:line="592" w:lineRule="exact"/>
        <w:ind w:firstLine="640" w:firstLineChars="200"/>
        <w:textAlignment w:val="auto"/>
        <w:outlineLvl w:val="1"/>
        <w:rPr>
          <w:rStyle w:val="16"/>
          <w:rFonts w:hint="eastAsia" w:ascii="黑体" w:hAnsi="黑体" w:eastAsia="黑体"/>
          <w:b w:val="0"/>
          <w:bCs w:val="0"/>
        </w:rPr>
      </w:pPr>
      <w:bookmarkStart w:id="13" w:name="_Toc25074"/>
      <w:r>
        <w:rPr>
          <w:rFonts w:hint="eastAsia" w:ascii="黑体" w:hAnsi="黑体" w:eastAsia="黑体"/>
          <w:b w:val="0"/>
          <w:color w:val="000000"/>
        </w:rPr>
        <w:t>机</w:t>
      </w:r>
      <w:r>
        <w:rPr>
          <w:rStyle w:val="16"/>
          <w:rFonts w:hint="eastAsia" w:ascii="黑体" w:hAnsi="黑体" w:eastAsia="黑体"/>
          <w:b w:val="0"/>
          <w:bCs w:val="0"/>
        </w:rPr>
        <w:t>构设置</w:t>
      </w:r>
      <w:bookmarkEnd w:id="10"/>
      <w:bookmarkEnd w:id="11"/>
      <w:bookmarkEnd w:id="12"/>
      <w:bookmarkEnd w:id="13"/>
    </w:p>
    <w:p>
      <w:pPr>
        <w:pageBreakBefore w:val="0"/>
        <w:numPr>
          <w:ilvl w:val="0"/>
          <w:numId w:val="0"/>
        </w:numPr>
        <w:pBdr>
          <w:top w:val="single" w:color="FFFFFF" w:sz="4" w:space="0"/>
          <w:left w:val="single" w:color="FFFFFF" w:sz="4" w:space="31"/>
          <w:bottom w:val="single" w:color="FFFFFF" w:sz="4" w:space="31"/>
          <w:right w:val="single" w:color="FFFFFF" w:sz="4" w:space="0"/>
        </w:pBdr>
        <w:kinsoku/>
        <w:wordWrap/>
        <w:overflowPunct/>
        <w:topLinePunct w:val="0"/>
        <w:autoSpaceDE/>
        <w:autoSpaceDN/>
        <w:bidi w:val="0"/>
        <w:adjustRightInd w:val="0"/>
        <w:snapToGrid w:val="0"/>
        <w:spacing w:line="592" w:lineRule="exact"/>
        <w:ind w:firstLine="643" w:firstLineChars="200"/>
        <w:textAlignment w:val="auto"/>
        <w:rPr>
          <w:rFonts w:hint="eastAsia" w:ascii="Times New Roman" w:hAnsi="仿宋_GB2312" w:cs="仿宋_GB2312"/>
          <w:sz w:val="32"/>
          <w:szCs w:val="32"/>
        </w:rPr>
      </w:pPr>
      <w:r>
        <w:rPr>
          <w:rFonts w:hint="eastAsia" w:ascii="仿宋_GB2312" w:hAnsi="仿宋"/>
          <w:b/>
          <w:bCs/>
          <w:sz w:val="32"/>
          <w:szCs w:val="32"/>
          <w:lang w:eastAsia="zh-CN"/>
        </w:rPr>
        <w:t>一是</w:t>
      </w:r>
      <w:r>
        <w:rPr>
          <w:rFonts w:hint="eastAsia" w:ascii="仿宋_GB2312" w:hAnsi="仿宋" w:eastAsia="仿宋_GB2312"/>
          <w:b/>
          <w:bCs/>
          <w:sz w:val="32"/>
          <w:szCs w:val="32"/>
        </w:rPr>
        <w:t>机构情况，包括当年变动情况及原因。</w:t>
      </w:r>
      <w:r>
        <w:rPr>
          <w:rFonts w:hint="eastAsia" w:ascii="Times New Roman" w:hAnsi="仿宋_GB2312" w:cs="仿宋_GB2312"/>
          <w:sz w:val="32"/>
          <w:szCs w:val="32"/>
          <w:lang w:eastAsia="zh-CN"/>
        </w:rPr>
        <w:t>供销合作社联合社</w:t>
      </w:r>
      <w:r>
        <w:rPr>
          <w:rFonts w:hint="eastAsia" w:ascii="Times New Roman" w:hAnsi="仿宋_GB2312" w:cs="仿宋_GB2312"/>
          <w:sz w:val="32"/>
          <w:szCs w:val="32"/>
        </w:rPr>
        <w:t>（部门单位）下属二级预算单位</w:t>
      </w:r>
      <w:r>
        <w:rPr>
          <w:rFonts w:hint="eastAsia" w:ascii="Times New Roman" w:hAnsi="仿宋_GB2312" w:cs="仿宋_GB2312"/>
          <w:sz w:val="32"/>
          <w:szCs w:val="32"/>
          <w:lang w:val="en-US" w:eastAsia="zh-CN"/>
        </w:rPr>
        <w:t>0</w:t>
      </w:r>
      <w:r>
        <w:rPr>
          <w:rFonts w:hint="eastAsia" w:ascii="Times New Roman" w:hAnsi="仿宋_GB2312" w:cs="仿宋_GB2312"/>
          <w:sz w:val="32"/>
          <w:szCs w:val="32"/>
        </w:rPr>
        <w:t>个</w:t>
      </w:r>
      <w:r>
        <w:rPr>
          <w:rFonts w:hint="eastAsia" w:ascii="Times New Roman" w:hAnsi="仿宋_GB2312" w:cs="仿宋_GB2312"/>
          <w:sz w:val="32"/>
          <w:szCs w:val="32"/>
          <w:lang w:eastAsia="zh-CN"/>
        </w:rPr>
        <w:t>，</w:t>
      </w:r>
      <w:r>
        <w:rPr>
          <w:rFonts w:hint="eastAsia" w:ascii="Times New Roman" w:hAnsi="仿宋_GB2312" w:cs="仿宋_GB2312"/>
          <w:sz w:val="32"/>
          <w:szCs w:val="32"/>
        </w:rPr>
        <w:t>其中行政单位0个，参照公务员法管理的事业单位0个，其他事业单位</w:t>
      </w:r>
      <w:r>
        <w:rPr>
          <w:rFonts w:hint="eastAsia" w:ascii="Times New Roman" w:hAnsi="仿宋_GB2312" w:cs="仿宋_GB2312"/>
          <w:sz w:val="32"/>
          <w:szCs w:val="32"/>
          <w:lang w:val="en-US" w:eastAsia="zh-CN"/>
        </w:rPr>
        <w:t>0</w:t>
      </w:r>
      <w:r>
        <w:rPr>
          <w:rFonts w:hint="eastAsia" w:ascii="Times New Roman" w:hAnsi="仿宋_GB2312" w:cs="仿宋_GB2312"/>
          <w:sz w:val="32"/>
          <w:szCs w:val="32"/>
        </w:rPr>
        <w:t>个。</w:t>
      </w:r>
    </w:p>
    <w:p>
      <w:pPr>
        <w:pageBreakBefore w:val="0"/>
        <w:pBdr>
          <w:top w:val="single" w:color="FFFFFF" w:sz="4" w:space="0"/>
          <w:left w:val="single" w:color="FFFFFF" w:sz="4" w:space="31"/>
          <w:bottom w:val="single" w:color="FFFFFF" w:sz="4" w:space="31"/>
          <w:right w:val="single" w:color="FFFFFF" w:sz="4" w:space="0"/>
        </w:pBdr>
        <w:kinsoku/>
        <w:wordWrap/>
        <w:overflowPunct/>
        <w:topLinePunct w:val="0"/>
        <w:autoSpaceDE/>
        <w:autoSpaceDN/>
        <w:bidi w:val="0"/>
        <w:adjustRightInd w:val="0"/>
        <w:snapToGrid w:val="0"/>
        <w:spacing w:line="592" w:lineRule="exact"/>
        <w:ind w:firstLine="643" w:firstLineChars="200"/>
        <w:textAlignment w:val="auto"/>
        <w:rPr>
          <w:rFonts w:hint="eastAsia" w:ascii="Times New Roman" w:hAnsi="仿宋_GB2312" w:cs="仿宋_GB2312"/>
          <w:sz w:val="32"/>
          <w:szCs w:val="32"/>
        </w:rPr>
      </w:pPr>
      <w:r>
        <w:rPr>
          <w:rFonts w:hint="eastAsia" w:ascii="仿宋_GB2312" w:hAnsi="仿宋"/>
          <w:b/>
          <w:bCs/>
          <w:sz w:val="32"/>
          <w:szCs w:val="32"/>
          <w:lang w:eastAsia="zh-CN"/>
        </w:rPr>
        <w:t>二是</w:t>
      </w:r>
      <w:r>
        <w:rPr>
          <w:rFonts w:hint="eastAsia" w:ascii="仿宋_GB2312" w:hAnsi="仿宋" w:eastAsia="仿宋_GB2312"/>
          <w:b/>
          <w:bCs/>
          <w:sz w:val="32"/>
          <w:szCs w:val="32"/>
        </w:rPr>
        <w:t>人员情况，包括当年变动情况及原因。</w:t>
      </w:r>
      <w:r>
        <w:rPr>
          <w:rFonts w:hint="eastAsia" w:ascii="仿宋_GB2312" w:eastAsia="仿宋_GB2312"/>
          <w:color w:val="auto"/>
          <w:sz w:val="32"/>
          <w:szCs w:val="32"/>
        </w:rPr>
        <w:t>编制</w:t>
      </w:r>
      <w:r>
        <w:rPr>
          <w:rFonts w:hint="eastAsia" w:ascii="Times New Roman" w:hAnsi="仿宋_GB2312" w:cs="仿宋_GB2312"/>
          <w:sz w:val="32"/>
          <w:szCs w:val="32"/>
        </w:rPr>
        <w:t>6名，均属事业编制（参照公务员管理人员）。在职人数</w:t>
      </w:r>
      <w:r>
        <w:rPr>
          <w:rFonts w:hint="eastAsia" w:ascii="Times New Roman" w:hAnsi="仿宋_GB2312" w:cs="仿宋_GB2312"/>
          <w:sz w:val="32"/>
          <w:szCs w:val="32"/>
          <w:lang w:val="en-US" w:eastAsia="zh-CN"/>
        </w:rPr>
        <w:t>5</w:t>
      </w:r>
      <w:r>
        <w:rPr>
          <w:rFonts w:hint="eastAsia" w:ascii="Times New Roman" w:hAnsi="仿宋_GB2312" w:cs="仿宋_GB2312"/>
          <w:sz w:val="32"/>
          <w:szCs w:val="32"/>
        </w:rPr>
        <w:t>人，其中：事业人员（参照公务员管理人员）</w:t>
      </w:r>
      <w:r>
        <w:rPr>
          <w:rFonts w:hint="eastAsia" w:ascii="Times New Roman" w:hAnsi="仿宋_GB2312" w:cs="仿宋_GB2312"/>
          <w:sz w:val="32"/>
          <w:szCs w:val="32"/>
          <w:lang w:val="en-US" w:eastAsia="zh-CN"/>
        </w:rPr>
        <w:t>5</w:t>
      </w:r>
      <w:r>
        <w:rPr>
          <w:rFonts w:hint="eastAsia" w:ascii="Times New Roman" w:hAnsi="仿宋_GB2312" w:cs="仿宋_GB2312"/>
          <w:sz w:val="32"/>
          <w:szCs w:val="32"/>
        </w:rPr>
        <w:t>人。离退休人员2人。</w:t>
      </w:r>
    </w:p>
    <w:p>
      <w:pPr>
        <w:pageBreakBefore w:val="0"/>
        <w:widowControl/>
        <w:tabs>
          <w:tab w:val="left" w:pos="1816"/>
        </w:tabs>
        <w:kinsoku/>
        <w:wordWrap/>
        <w:overflowPunct/>
        <w:topLinePunct w:val="0"/>
        <w:autoSpaceDE/>
        <w:autoSpaceDN/>
        <w:bidi w:val="0"/>
        <w:spacing w:line="592" w:lineRule="exact"/>
        <w:jc w:val="left"/>
        <w:textAlignment w:val="auto"/>
        <w:rPr>
          <w:rFonts w:hint="eastAsia" w:ascii="仿宋" w:hAnsi="仿宋" w:eastAsia="仿宋"/>
          <w:color w:val="000000"/>
          <w:kern w:val="0"/>
          <w:sz w:val="32"/>
          <w:szCs w:val="32"/>
          <w:lang w:eastAsia="zh-CN"/>
        </w:rPr>
      </w:pPr>
      <w:r>
        <w:rPr>
          <w:rFonts w:hint="eastAsia" w:ascii="仿宋" w:hAnsi="仿宋" w:eastAsia="仿宋"/>
          <w:color w:val="000000"/>
          <w:kern w:val="0"/>
          <w:sz w:val="32"/>
          <w:szCs w:val="32"/>
          <w:lang w:eastAsia="zh-CN"/>
        </w:rPr>
        <w:tab/>
      </w:r>
    </w:p>
    <w:p>
      <w:pPr>
        <w:pStyle w:val="2"/>
        <w:rPr>
          <w:rFonts w:hint="eastAsia"/>
          <w:lang w:eastAsia="zh-CN"/>
        </w:rPr>
      </w:pPr>
    </w:p>
    <w:p>
      <w:pPr>
        <w:pStyle w:val="3"/>
        <w:rPr>
          <w:rFonts w:hint="eastAsia"/>
          <w:lang w:eastAsia="zh-CN"/>
        </w:rPr>
      </w:pPr>
    </w:p>
    <w:p>
      <w:pPr>
        <w:pStyle w:val="3"/>
        <w:rPr>
          <w:rFonts w:hint="eastAsia"/>
          <w:lang w:eastAsia="zh-CN"/>
        </w:rPr>
      </w:pPr>
    </w:p>
    <w:p>
      <w:pPr>
        <w:pStyle w:val="3"/>
        <w:rPr>
          <w:rFonts w:hint="eastAsia"/>
          <w:lang w:eastAsia="zh-CN"/>
        </w:rPr>
      </w:pPr>
    </w:p>
    <w:p>
      <w:pPr>
        <w:pStyle w:val="4"/>
        <w:pageBreakBefore w:val="0"/>
        <w:kinsoku/>
        <w:wordWrap/>
        <w:overflowPunct/>
        <w:topLinePunct w:val="0"/>
        <w:autoSpaceDE/>
        <w:autoSpaceDN/>
        <w:bidi w:val="0"/>
        <w:spacing w:before="0" w:after="0" w:line="592" w:lineRule="exact"/>
        <w:ind w:right="440"/>
        <w:jc w:val="right"/>
        <w:textAlignment w:val="auto"/>
        <w:rPr>
          <w:rStyle w:val="15"/>
          <w:rFonts w:ascii="黑体" w:hAnsi="黑体" w:eastAsia="黑体"/>
          <w:b w:val="0"/>
          <w:bCs w:val="0"/>
        </w:rPr>
      </w:pPr>
      <w:bookmarkStart w:id="14" w:name="_Toc15377204"/>
      <w:bookmarkStart w:id="15" w:name="_Toc15396602"/>
      <w:bookmarkStart w:id="16" w:name="_Toc10295"/>
      <w:bookmarkStart w:id="17" w:name="_Toc23109"/>
      <w:r>
        <w:rPr>
          <w:rFonts w:hint="eastAsia" w:ascii="黑体" w:hAnsi="黑体" w:eastAsia="黑体"/>
          <w:b w:val="0"/>
          <w:color w:val="000000"/>
        </w:rPr>
        <w:t>第二部分</w:t>
      </w:r>
      <w:r>
        <w:rPr>
          <w:rFonts w:ascii="黑体" w:hAnsi="黑体" w:eastAsia="黑体"/>
          <w:color w:val="000000"/>
        </w:rPr>
        <w:t xml:space="preserve"> </w:t>
      </w:r>
      <w:r>
        <w:rPr>
          <w:rStyle w:val="15"/>
          <w:rFonts w:ascii="黑体" w:hAnsi="黑体" w:eastAsia="黑体"/>
          <w:b w:val="0"/>
          <w:bCs w:val="0"/>
        </w:rPr>
        <w:t>2020</w:t>
      </w:r>
      <w:r>
        <w:rPr>
          <w:rStyle w:val="15"/>
          <w:rFonts w:hint="eastAsia" w:ascii="黑体" w:hAnsi="黑体" w:eastAsia="黑体"/>
          <w:b w:val="0"/>
          <w:bCs w:val="0"/>
        </w:rPr>
        <w:t>年度部门决算情况说明</w:t>
      </w:r>
      <w:bookmarkEnd w:id="14"/>
      <w:bookmarkEnd w:id="15"/>
      <w:bookmarkEnd w:id="16"/>
      <w:bookmarkEnd w:id="17"/>
    </w:p>
    <w:p>
      <w:pPr>
        <w:pageBreakBefore w:val="0"/>
        <w:kinsoku/>
        <w:wordWrap/>
        <w:overflowPunct/>
        <w:topLinePunct w:val="0"/>
        <w:autoSpaceDE/>
        <w:autoSpaceDN/>
        <w:bidi w:val="0"/>
        <w:spacing w:line="592" w:lineRule="exact"/>
        <w:textAlignment w:val="auto"/>
      </w:pPr>
    </w:p>
    <w:p>
      <w:pPr>
        <w:pStyle w:val="17"/>
        <w:pageBreakBefore w:val="0"/>
        <w:numPr>
          <w:ilvl w:val="0"/>
          <w:numId w:val="2"/>
        </w:numPr>
        <w:kinsoku/>
        <w:wordWrap/>
        <w:overflowPunct/>
        <w:topLinePunct w:val="0"/>
        <w:autoSpaceDE/>
        <w:autoSpaceDN/>
        <w:bidi w:val="0"/>
        <w:spacing w:line="592" w:lineRule="exact"/>
        <w:ind w:firstLineChars="0"/>
        <w:textAlignment w:val="auto"/>
        <w:outlineLvl w:val="1"/>
        <w:rPr>
          <w:rStyle w:val="16"/>
          <w:rFonts w:ascii="黑体" w:hAnsi="黑体" w:eastAsia="黑体"/>
          <w:b w:val="0"/>
        </w:rPr>
      </w:pPr>
      <w:bookmarkStart w:id="18" w:name="_Toc30287"/>
      <w:bookmarkStart w:id="19" w:name="_Toc15377205"/>
      <w:bookmarkStart w:id="20" w:name="_Toc7163"/>
      <w:bookmarkStart w:id="21" w:name="_Toc15396603"/>
      <w:r>
        <w:rPr>
          <w:rFonts w:hint="eastAsia" w:ascii="黑体" w:hAnsi="黑体" w:eastAsia="黑体"/>
          <w:color w:val="000000"/>
          <w:sz w:val="32"/>
          <w:szCs w:val="32"/>
        </w:rPr>
        <w:t>收</w:t>
      </w:r>
      <w:r>
        <w:rPr>
          <w:rStyle w:val="16"/>
          <w:rFonts w:hint="eastAsia" w:ascii="黑体" w:hAnsi="黑体" w:eastAsia="黑体"/>
          <w:b w:val="0"/>
        </w:rPr>
        <w:t>入支出决算总体情况说明</w:t>
      </w:r>
      <w:bookmarkEnd w:id="18"/>
      <w:bookmarkEnd w:id="19"/>
      <w:bookmarkEnd w:id="20"/>
      <w:bookmarkEnd w:id="21"/>
    </w:p>
    <w:p>
      <w:pPr>
        <w:pageBreakBefore w:val="0"/>
        <w:pBdr>
          <w:top w:val="single" w:color="FFFFFF" w:sz="4" w:space="0"/>
          <w:left w:val="single" w:color="FFFFFF" w:sz="4" w:space="31"/>
          <w:bottom w:val="single" w:color="FFFFFF" w:sz="4" w:space="31"/>
          <w:right w:val="single" w:color="FFFFFF" w:sz="4" w:space="0"/>
        </w:pBdr>
        <w:kinsoku/>
        <w:wordWrap/>
        <w:overflowPunct/>
        <w:topLinePunct w:val="0"/>
        <w:autoSpaceDE/>
        <w:autoSpaceDN/>
        <w:bidi w:val="0"/>
        <w:adjustRightInd w:val="0"/>
        <w:snapToGrid w:val="0"/>
        <w:spacing w:line="592" w:lineRule="exact"/>
        <w:ind w:firstLine="640" w:firstLineChars="200"/>
        <w:textAlignment w:val="auto"/>
        <w:rPr>
          <w:rFonts w:hint="eastAsia" w:ascii="仿宋_GB2312" w:hAnsi="仿宋_GB2312" w:eastAsia="仿宋_GB2312" w:cs="仿宋_GB2312"/>
          <w:sz w:val="32"/>
          <w:szCs w:val="32"/>
        </w:rPr>
      </w:pPr>
      <w:r>
        <w:rPr>
          <w:rFonts w:hint="eastAsia" w:eastAsia="仿宋_GB2312"/>
          <w:sz w:val="32"/>
          <w:szCs w:val="32"/>
        </w:rPr>
        <w:t>区供销合作社联合社</w:t>
      </w:r>
      <w:r>
        <w:rPr>
          <w:rFonts w:hint="eastAsia" w:ascii="仿宋_GB2312" w:hAnsi="仿宋"/>
          <w:color w:val="000000"/>
          <w:szCs w:val="32"/>
        </w:rPr>
        <w:t>2020年度收入</w:t>
      </w:r>
      <w:r>
        <w:rPr>
          <w:rFonts w:hint="eastAsia" w:eastAsia="仿宋_GB2312"/>
          <w:sz w:val="32"/>
          <w:szCs w:val="32"/>
        </w:rPr>
        <w:t>139.01</w:t>
      </w:r>
      <w:r>
        <w:rPr>
          <w:rFonts w:hint="eastAsia" w:ascii="仿宋_GB2312" w:hAnsi="仿宋"/>
          <w:color w:val="000000"/>
          <w:szCs w:val="32"/>
        </w:rPr>
        <w:t>万</w:t>
      </w:r>
      <w:r>
        <w:rPr>
          <w:rFonts w:hint="eastAsia" w:eastAsia="仿宋_GB2312"/>
          <w:sz w:val="32"/>
          <w:szCs w:val="32"/>
        </w:rPr>
        <w:t>元</w:t>
      </w:r>
      <w:r>
        <w:rPr>
          <w:rFonts w:hint="eastAsia" w:ascii="仿宋_GB2312" w:hAnsi="仿宋"/>
          <w:color w:val="000000"/>
          <w:szCs w:val="32"/>
        </w:rPr>
        <w:t>，与2019年</w:t>
      </w:r>
      <w:r>
        <w:rPr>
          <w:rFonts w:hint="eastAsia" w:ascii="仿宋_GB2312" w:hAnsi="仿宋"/>
          <w:color w:val="000000"/>
          <w:szCs w:val="32"/>
          <w:lang w:val="en-US" w:eastAsia="zh-CN"/>
        </w:rPr>
        <w:t>121.59</w:t>
      </w:r>
      <w:r>
        <w:rPr>
          <w:rFonts w:hint="eastAsia" w:ascii="仿宋_GB2312" w:hAnsi="仿宋"/>
          <w:color w:val="000000"/>
          <w:szCs w:val="32"/>
        </w:rPr>
        <w:t>万</w:t>
      </w:r>
      <w:r>
        <w:rPr>
          <w:rFonts w:hint="eastAsia" w:ascii="仿宋_GB2312" w:hAnsi="仿宋"/>
          <w:color w:val="000000"/>
          <w:szCs w:val="32"/>
          <w:lang w:eastAsia="zh-CN"/>
        </w:rPr>
        <w:t>元</w:t>
      </w:r>
      <w:r>
        <w:rPr>
          <w:rFonts w:hint="eastAsia" w:ascii="仿宋_GB2312" w:hAnsi="仿宋"/>
          <w:color w:val="000000"/>
          <w:szCs w:val="32"/>
        </w:rPr>
        <w:t>相比</w:t>
      </w:r>
      <w:r>
        <w:rPr>
          <w:rFonts w:hint="eastAsia" w:eastAsia="仿宋_GB2312"/>
          <w:sz w:val="32"/>
          <w:szCs w:val="32"/>
        </w:rPr>
        <w:t>增加了</w:t>
      </w:r>
      <w:r>
        <w:rPr>
          <w:rFonts w:hint="eastAsia"/>
          <w:sz w:val="32"/>
          <w:szCs w:val="32"/>
          <w:lang w:val="en-US" w:eastAsia="zh-CN"/>
        </w:rPr>
        <w:t>17.42</w:t>
      </w:r>
      <w:r>
        <w:rPr>
          <w:rFonts w:hint="eastAsia" w:eastAsia="仿宋_GB2312"/>
          <w:sz w:val="32"/>
          <w:szCs w:val="32"/>
        </w:rPr>
        <w:t>万元</w:t>
      </w:r>
      <w:r>
        <w:rPr>
          <w:rFonts w:hint="eastAsia" w:ascii="仿宋_GB2312" w:hAnsi="仿宋"/>
          <w:color w:val="000000"/>
          <w:szCs w:val="32"/>
        </w:rPr>
        <w:t>，</w:t>
      </w:r>
      <w:r>
        <w:rPr>
          <w:rFonts w:hint="eastAsia" w:eastAsia="仿宋_GB2312"/>
          <w:sz w:val="32"/>
          <w:szCs w:val="32"/>
        </w:rPr>
        <w:t>比去年同期增加了</w:t>
      </w:r>
      <w:r>
        <w:rPr>
          <w:rFonts w:hint="eastAsia"/>
          <w:sz w:val="32"/>
          <w:szCs w:val="32"/>
          <w:lang w:val="en-US" w:eastAsia="zh-CN"/>
        </w:rPr>
        <w:t>14.33</w:t>
      </w:r>
      <w:r>
        <w:rPr>
          <w:rFonts w:hint="eastAsia" w:eastAsia="仿宋_GB2312"/>
          <w:sz w:val="32"/>
          <w:szCs w:val="32"/>
        </w:rPr>
        <w:t>%。主要原因是2019年省级供销综合改革及发展</w:t>
      </w:r>
      <w:r>
        <w:rPr>
          <w:rFonts w:hint="eastAsia" w:eastAsia="仿宋_GB2312"/>
          <w:color w:val="000000"/>
          <w:sz w:val="32"/>
          <w:szCs w:val="32"/>
          <w:lang w:val="en-US" w:eastAsia="zh-CN"/>
        </w:rPr>
        <w:t>“四川供销云服务体系建设项目”</w:t>
      </w:r>
      <w:r>
        <w:rPr>
          <w:rFonts w:hint="eastAsia" w:eastAsia="仿宋_GB2312"/>
          <w:sz w:val="32"/>
          <w:szCs w:val="32"/>
        </w:rPr>
        <w:t>专项资金实现支付。</w:t>
      </w:r>
    </w:p>
    <w:p>
      <w:pPr>
        <w:pageBreakBefore w:val="0"/>
        <w:pBdr>
          <w:top w:val="single" w:color="FFFFFF" w:sz="4" w:space="0"/>
          <w:left w:val="single" w:color="FFFFFF" w:sz="4" w:space="31"/>
          <w:bottom w:val="single" w:color="FFFFFF" w:sz="4" w:space="31"/>
          <w:right w:val="single" w:color="FFFFFF" w:sz="4" w:space="0"/>
        </w:pBdr>
        <w:kinsoku/>
        <w:wordWrap/>
        <w:overflowPunct/>
        <w:topLinePunct w:val="0"/>
        <w:autoSpaceDE/>
        <w:autoSpaceDN/>
        <w:bidi w:val="0"/>
        <w:adjustRightInd w:val="0"/>
        <w:snapToGrid w:val="0"/>
        <w:spacing w:line="592" w:lineRule="exact"/>
        <w:ind w:firstLine="640" w:firstLineChars="200"/>
        <w:textAlignment w:val="auto"/>
        <w:rPr>
          <w:rFonts w:ascii="仿宋_GB2312" w:hAnsi="仿宋"/>
          <w:color w:val="000000"/>
          <w:szCs w:val="32"/>
        </w:rPr>
      </w:pPr>
      <w:r>
        <w:rPr>
          <w:rFonts w:hint="eastAsia" w:eastAsia="仿宋_GB2312"/>
          <w:sz w:val="32"/>
          <w:szCs w:val="32"/>
        </w:rPr>
        <w:t>区供销合作社联合社</w:t>
      </w:r>
      <w:r>
        <w:rPr>
          <w:rFonts w:hint="eastAsia" w:ascii="仿宋_GB2312" w:hAnsi="仿宋"/>
          <w:color w:val="000000"/>
          <w:szCs w:val="32"/>
        </w:rPr>
        <w:t>2020年度支出</w:t>
      </w:r>
      <w:r>
        <w:rPr>
          <w:rFonts w:hint="eastAsia" w:eastAsia="仿宋_GB2312"/>
          <w:sz w:val="32"/>
          <w:szCs w:val="32"/>
        </w:rPr>
        <w:t>139.01</w:t>
      </w:r>
      <w:r>
        <w:rPr>
          <w:rFonts w:hint="eastAsia" w:ascii="仿宋_GB2312" w:hAnsi="仿宋"/>
          <w:color w:val="000000"/>
          <w:szCs w:val="32"/>
        </w:rPr>
        <w:t>万元，与2019年</w:t>
      </w:r>
      <w:r>
        <w:rPr>
          <w:rFonts w:hint="eastAsia" w:ascii="仿宋_GB2312" w:hAnsi="仿宋"/>
          <w:color w:val="000000"/>
          <w:szCs w:val="32"/>
          <w:lang w:val="en-US" w:eastAsia="zh-CN"/>
        </w:rPr>
        <w:t>121.59</w:t>
      </w:r>
      <w:r>
        <w:rPr>
          <w:rFonts w:hint="eastAsia" w:ascii="仿宋_GB2312" w:hAnsi="仿宋"/>
          <w:color w:val="000000"/>
          <w:szCs w:val="32"/>
        </w:rPr>
        <w:t>万</w:t>
      </w:r>
      <w:r>
        <w:rPr>
          <w:rFonts w:hint="eastAsia" w:ascii="仿宋_GB2312" w:hAnsi="仿宋"/>
          <w:color w:val="000000"/>
          <w:szCs w:val="32"/>
          <w:lang w:eastAsia="zh-CN"/>
        </w:rPr>
        <w:t>元</w:t>
      </w:r>
      <w:r>
        <w:rPr>
          <w:rFonts w:hint="eastAsia" w:ascii="仿宋_GB2312" w:hAnsi="仿宋"/>
          <w:color w:val="000000"/>
          <w:szCs w:val="32"/>
        </w:rPr>
        <w:t>相比支出</w:t>
      </w:r>
      <w:r>
        <w:rPr>
          <w:rFonts w:hint="eastAsia" w:eastAsia="仿宋_GB2312"/>
          <w:sz w:val="32"/>
          <w:szCs w:val="32"/>
        </w:rPr>
        <w:t>增加了</w:t>
      </w:r>
      <w:r>
        <w:rPr>
          <w:rFonts w:hint="eastAsia"/>
          <w:sz w:val="32"/>
          <w:szCs w:val="32"/>
          <w:lang w:val="en-US" w:eastAsia="zh-CN"/>
        </w:rPr>
        <w:t>17.42</w:t>
      </w:r>
      <w:r>
        <w:rPr>
          <w:rFonts w:hint="eastAsia" w:eastAsia="仿宋_GB2312"/>
          <w:sz w:val="32"/>
          <w:szCs w:val="32"/>
        </w:rPr>
        <w:t>万元</w:t>
      </w:r>
      <w:r>
        <w:rPr>
          <w:rFonts w:hint="eastAsia" w:ascii="仿宋_GB2312" w:hAnsi="仿宋"/>
          <w:color w:val="000000"/>
          <w:szCs w:val="32"/>
        </w:rPr>
        <w:t>，</w:t>
      </w:r>
      <w:r>
        <w:rPr>
          <w:rFonts w:hint="eastAsia" w:eastAsia="仿宋_GB2312"/>
          <w:sz w:val="32"/>
          <w:szCs w:val="32"/>
        </w:rPr>
        <w:t>比去年同期增加了</w:t>
      </w:r>
      <w:r>
        <w:rPr>
          <w:rFonts w:hint="eastAsia"/>
          <w:sz w:val="32"/>
          <w:szCs w:val="32"/>
          <w:lang w:val="en-US" w:eastAsia="zh-CN"/>
        </w:rPr>
        <w:t>14.33</w:t>
      </w:r>
      <w:r>
        <w:rPr>
          <w:rFonts w:hint="eastAsia" w:eastAsia="仿宋_GB2312"/>
          <w:sz w:val="32"/>
          <w:szCs w:val="32"/>
        </w:rPr>
        <w:t>%。主要原因是2019年省级供销综合改革及发展</w:t>
      </w:r>
      <w:r>
        <w:rPr>
          <w:rFonts w:hint="eastAsia" w:eastAsia="仿宋_GB2312"/>
          <w:color w:val="000000"/>
          <w:sz w:val="32"/>
          <w:szCs w:val="32"/>
          <w:lang w:val="en-US" w:eastAsia="zh-CN"/>
        </w:rPr>
        <w:t>“四川供销云服务体系建设项目”</w:t>
      </w:r>
      <w:r>
        <w:rPr>
          <w:rFonts w:hint="eastAsia" w:eastAsia="仿宋_GB2312"/>
          <w:sz w:val="32"/>
          <w:szCs w:val="32"/>
        </w:rPr>
        <w:t>专项资金实现支付。</w:t>
      </w:r>
    </w:p>
    <w:p>
      <w:pPr>
        <w:keepNext w:val="0"/>
        <w:keepLines w:val="0"/>
        <w:widowControl/>
        <w:suppressLineNumbers w:val="0"/>
        <w:jc w:val="left"/>
      </w:pPr>
      <w:r>
        <w:rPr>
          <w:rFonts w:hint="eastAsia" w:ascii="宋体" w:hAnsi="宋体" w:eastAsia="宋体" w:cs="宋体"/>
          <w:kern w:val="0"/>
          <w:sz w:val="24"/>
          <w:szCs w:val="24"/>
          <w:lang w:val="en-US" w:eastAsia="zh-CN" w:bidi="ar"/>
        </w:rPr>
        <w:t>　　</w:t>
      </w:r>
      <w:r>
        <w:rPr>
          <w:rFonts w:ascii="宋体" w:hAnsi="宋体" w:eastAsia="宋体" w:cs="宋体"/>
          <w:kern w:val="0"/>
          <w:sz w:val="24"/>
          <w:szCs w:val="24"/>
          <w:lang w:val="en-US" w:eastAsia="zh-CN" w:bidi="ar"/>
        </w:rPr>
        <w:drawing>
          <wp:inline distT="0" distB="0" distL="114300" distR="114300">
            <wp:extent cx="4619625" cy="2762250"/>
            <wp:effectExtent l="0" t="0" r="9525" b="0"/>
            <wp:docPr id="10"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descr="IMG_256"/>
                    <pic:cNvPicPr>
                      <a:picLocks noChangeAspect="1"/>
                    </pic:cNvPicPr>
                  </pic:nvPicPr>
                  <pic:blipFill>
                    <a:blip r:embed="rId5"/>
                    <a:stretch>
                      <a:fillRect/>
                    </a:stretch>
                  </pic:blipFill>
                  <pic:spPr>
                    <a:xfrm>
                      <a:off x="0" y="0"/>
                      <a:ext cx="4619625" cy="2762250"/>
                    </a:xfrm>
                    <a:prstGeom prst="rect">
                      <a:avLst/>
                    </a:prstGeom>
                    <a:noFill/>
                    <a:ln w="9525">
                      <a:noFill/>
                    </a:ln>
                  </pic:spPr>
                </pic:pic>
              </a:graphicData>
            </a:graphic>
          </wp:inline>
        </w:drawing>
      </w:r>
    </w:p>
    <w:p>
      <w:pPr>
        <w:pStyle w:val="2"/>
        <w:rPr>
          <w:rFonts w:hint="eastAsia"/>
        </w:rPr>
      </w:pPr>
    </w:p>
    <w:p>
      <w:pPr>
        <w:pStyle w:val="6"/>
        <w:ind w:left="0" w:leftChars="0" w:firstLine="0" w:firstLineChars="0"/>
        <w:rPr>
          <w:rFonts w:ascii="仿宋" w:hAnsi="仿宋" w:eastAsia="仿宋"/>
          <w:color w:val="000000"/>
          <w:sz w:val="32"/>
          <w:szCs w:val="32"/>
        </w:rPr>
      </w:pPr>
      <w:r>
        <w:rPr>
          <w:rFonts w:hint="eastAsia" w:ascii="仿宋" w:hAnsi="仿宋" w:eastAsia="仿宋"/>
          <w:color w:val="000000"/>
          <w:sz w:val="32"/>
          <w:szCs w:val="32"/>
          <w:lang w:eastAsia="zh-CN"/>
        </w:rPr>
        <w:t>　　　</w:t>
      </w:r>
      <w:r>
        <w:rPr>
          <w:rFonts w:hint="eastAsia" w:ascii="仿宋" w:hAnsi="仿宋" w:eastAsia="仿宋"/>
          <w:color w:val="000000"/>
          <w:sz w:val="32"/>
          <w:szCs w:val="32"/>
        </w:rPr>
        <w:t>图</w:t>
      </w:r>
      <w:r>
        <w:rPr>
          <w:rFonts w:ascii="仿宋" w:hAnsi="仿宋" w:eastAsia="仿宋"/>
          <w:color w:val="000000"/>
          <w:sz w:val="32"/>
          <w:szCs w:val="32"/>
        </w:rPr>
        <w:t>1</w:t>
      </w:r>
      <w:r>
        <w:rPr>
          <w:rFonts w:hint="eastAsia" w:ascii="仿宋" w:hAnsi="仿宋" w:eastAsia="仿宋"/>
          <w:color w:val="000000"/>
          <w:sz w:val="32"/>
          <w:szCs w:val="32"/>
        </w:rPr>
        <w:t>：收、支决算总计变动情况图）（柱状图）</w:t>
      </w:r>
    </w:p>
    <w:p>
      <w:pPr>
        <w:pStyle w:val="17"/>
        <w:numPr>
          <w:ilvl w:val="0"/>
          <w:numId w:val="2"/>
        </w:numPr>
        <w:spacing w:line="600" w:lineRule="exact"/>
        <w:ind w:firstLineChars="0"/>
        <w:outlineLvl w:val="1"/>
        <w:rPr>
          <w:rStyle w:val="16"/>
          <w:rFonts w:ascii="黑体" w:hAnsi="黑体" w:eastAsia="黑体"/>
          <w:b w:val="0"/>
        </w:rPr>
      </w:pPr>
      <w:bookmarkStart w:id="22" w:name="_Toc15377206"/>
      <w:bookmarkStart w:id="23" w:name="_Toc27456"/>
      <w:bookmarkStart w:id="24" w:name="_Toc15396604"/>
      <w:bookmarkStart w:id="25" w:name="_Toc25258"/>
      <w:r>
        <w:rPr>
          <w:rFonts w:hint="eastAsia" w:ascii="黑体" w:hAnsi="黑体" w:eastAsia="黑体"/>
          <w:color w:val="000000"/>
          <w:sz w:val="32"/>
          <w:szCs w:val="32"/>
        </w:rPr>
        <w:t>收</w:t>
      </w:r>
      <w:r>
        <w:rPr>
          <w:rStyle w:val="16"/>
          <w:rFonts w:hint="eastAsia" w:ascii="黑体" w:hAnsi="黑体" w:eastAsia="黑体"/>
          <w:b w:val="0"/>
        </w:rPr>
        <w:t>入决算情况说明</w:t>
      </w:r>
      <w:bookmarkEnd w:id="22"/>
      <w:bookmarkEnd w:id="23"/>
      <w:bookmarkEnd w:id="24"/>
      <w:bookmarkEnd w:id="25"/>
    </w:p>
    <w:p>
      <w:pPr>
        <w:spacing w:line="592" w:lineRule="exact"/>
        <w:ind w:firstLine="640" w:firstLineChars="200"/>
        <w:rPr>
          <w:rFonts w:hint="eastAsia" w:ascii="宋体" w:hAnsi="宋体" w:eastAsia="宋体" w:cs="宋体"/>
          <w:kern w:val="0"/>
          <w:sz w:val="24"/>
          <w:szCs w:val="24"/>
          <w:lang w:val="en-US" w:eastAsia="zh-CN" w:bidi="ar"/>
        </w:rPr>
      </w:pPr>
      <w:r>
        <w:rPr>
          <w:rFonts w:hint="eastAsia" w:ascii="Times New Roman" w:hAnsi="Times New Roman" w:eastAsia="仿宋_GB2312" w:cs="Times New Roman"/>
          <w:sz w:val="32"/>
          <w:szCs w:val="32"/>
        </w:rPr>
        <w:t>2020年本年收入合计108.60万元，其中：一般公共预算财政拨款收入108.60万元，占</w:t>
      </w:r>
      <w:r>
        <w:rPr>
          <w:rFonts w:hint="eastAsia" w:ascii="Times New Roman" w:hAnsi="Times New Roman" w:eastAsia="仿宋_GB2312" w:cs="Times New Roman"/>
          <w:sz w:val="32"/>
          <w:szCs w:val="32"/>
          <w:lang w:val="en-US" w:eastAsia="zh-CN"/>
        </w:rPr>
        <w:t>100</w:t>
      </w:r>
      <w:r>
        <w:rPr>
          <w:rFonts w:hint="eastAsia" w:ascii="Times New Roman" w:hAnsi="Times New Roman" w:eastAsia="仿宋_GB2312" w:cs="Times New Roman"/>
          <w:sz w:val="32"/>
          <w:szCs w:val="32"/>
        </w:rPr>
        <w:t>%；政府性基金预算财政拨款收入</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%；上级补助收入</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%；事业收入</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%；经营收入</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%；附属单位上缴收入</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%；其他收入</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w:t>
      </w:r>
    </w:p>
    <w:p>
      <w:pPr>
        <w:keepNext w:val="0"/>
        <w:keepLines w:val="0"/>
        <w:widowControl/>
        <w:suppressLineNumbers w:val="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　　　</w:t>
      </w:r>
    </w:p>
    <w:p>
      <w:pPr>
        <w:keepNext w:val="0"/>
        <w:keepLines w:val="0"/>
        <w:widowControl/>
        <w:suppressLineNumbers w:val="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　　</w:t>
      </w:r>
      <w:r>
        <w:rPr>
          <w:rFonts w:ascii="宋体" w:hAnsi="宋体" w:eastAsia="宋体" w:cs="宋体"/>
          <w:kern w:val="0"/>
          <w:sz w:val="24"/>
          <w:szCs w:val="24"/>
          <w:lang w:val="en-US" w:eastAsia="zh-CN" w:bidi="ar"/>
        </w:rPr>
        <w:drawing>
          <wp:inline distT="0" distB="0" distL="114300" distR="114300">
            <wp:extent cx="4467225" cy="2708275"/>
            <wp:effectExtent l="0" t="0" r="9525" b="15875"/>
            <wp:docPr id="13"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descr="IMG_256"/>
                    <pic:cNvPicPr>
                      <a:picLocks noChangeAspect="1"/>
                    </pic:cNvPicPr>
                  </pic:nvPicPr>
                  <pic:blipFill>
                    <a:blip r:embed="rId6"/>
                    <a:stretch>
                      <a:fillRect/>
                    </a:stretch>
                  </pic:blipFill>
                  <pic:spPr>
                    <a:xfrm>
                      <a:off x="0" y="0"/>
                      <a:ext cx="4467225" cy="2708275"/>
                    </a:xfrm>
                    <a:prstGeom prst="rect">
                      <a:avLst/>
                    </a:prstGeom>
                    <a:noFill/>
                    <a:ln w="9525">
                      <a:noFill/>
                    </a:ln>
                  </pic:spPr>
                </pic:pic>
              </a:graphicData>
            </a:graphic>
          </wp:inline>
        </w:drawing>
      </w:r>
    </w:p>
    <w:p>
      <w:pPr>
        <w:pStyle w:val="3"/>
        <w:ind w:left="0" w:leftChars="0" w:firstLine="0" w:firstLineChars="0"/>
        <w:rPr>
          <w:rFonts w:hint="eastAsia" w:ascii="宋体" w:hAnsi="宋体" w:eastAsia="宋体" w:cs="宋体"/>
          <w:kern w:val="0"/>
          <w:sz w:val="24"/>
          <w:szCs w:val="24"/>
          <w:lang w:val="en-US" w:eastAsia="zh-CN" w:bidi="ar"/>
        </w:rPr>
      </w:pPr>
    </w:p>
    <w:p>
      <w:pPr>
        <w:spacing w:line="600" w:lineRule="exact"/>
        <w:jc w:val="center"/>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2</w:t>
      </w:r>
      <w:r>
        <w:rPr>
          <w:rFonts w:hint="eastAsia" w:ascii="仿宋" w:hAnsi="仿宋" w:eastAsia="仿宋"/>
          <w:color w:val="000000"/>
          <w:sz w:val="32"/>
          <w:szCs w:val="32"/>
        </w:rPr>
        <w:t>：收入决算结构图）（饼状图）</w:t>
      </w:r>
    </w:p>
    <w:p>
      <w:pPr>
        <w:spacing w:line="600" w:lineRule="exact"/>
        <w:ind w:firstLine="640" w:firstLineChars="200"/>
        <w:rPr>
          <w:rFonts w:ascii="仿宋_GB2312" w:eastAsia="仿宋_GB2312"/>
          <w:color w:val="FF0000"/>
          <w:sz w:val="32"/>
          <w:szCs w:val="32"/>
        </w:rPr>
      </w:pPr>
    </w:p>
    <w:p>
      <w:pPr>
        <w:pStyle w:val="17"/>
        <w:numPr>
          <w:ilvl w:val="0"/>
          <w:numId w:val="2"/>
        </w:numPr>
        <w:spacing w:line="600" w:lineRule="exact"/>
        <w:ind w:firstLineChars="0"/>
        <w:outlineLvl w:val="1"/>
        <w:rPr>
          <w:rStyle w:val="16"/>
          <w:rFonts w:ascii="黑体" w:hAnsi="黑体" w:eastAsia="黑体"/>
          <w:b w:val="0"/>
        </w:rPr>
      </w:pPr>
      <w:bookmarkStart w:id="26" w:name="_Toc13725"/>
      <w:bookmarkStart w:id="27" w:name="_Toc15377207"/>
      <w:bookmarkStart w:id="28" w:name="_Toc26867"/>
      <w:bookmarkStart w:id="29" w:name="_Toc15396605"/>
      <w:r>
        <w:rPr>
          <w:rFonts w:hint="eastAsia" w:ascii="黑体" w:hAnsi="黑体" w:eastAsia="黑体"/>
          <w:color w:val="000000"/>
          <w:sz w:val="32"/>
          <w:szCs w:val="32"/>
        </w:rPr>
        <w:t>支</w:t>
      </w:r>
      <w:r>
        <w:rPr>
          <w:rStyle w:val="16"/>
          <w:rFonts w:hint="eastAsia" w:ascii="黑体" w:hAnsi="黑体" w:eastAsia="黑体"/>
          <w:b w:val="0"/>
        </w:rPr>
        <w:t>出决算情况说明</w:t>
      </w:r>
      <w:bookmarkEnd w:id="26"/>
      <w:bookmarkEnd w:id="27"/>
      <w:bookmarkEnd w:id="28"/>
      <w:bookmarkEnd w:id="29"/>
    </w:p>
    <w:p>
      <w:pPr>
        <w:spacing w:line="592"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2020年本年支出合计139.01万元，其中：基本支出</w:t>
      </w:r>
      <w:r>
        <w:rPr>
          <w:rFonts w:hint="eastAsia" w:ascii="Times New Roman" w:hAnsi="Times New Roman" w:eastAsia="仿宋_GB2312" w:cs="Times New Roman"/>
          <w:sz w:val="32"/>
          <w:szCs w:val="32"/>
          <w:lang w:val="en-US" w:eastAsia="zh-CN"/>
        </w:rPr>
        <w:t>72.51</w:t>
      </w:r>
      <w:r>
        <w:rPr>
          <w:rFonts w:hint="eastAsia"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52.16</w:t>
      </w:r>
      <w:r>
        <w:rPr>
          <w:rFonts w:hint="eastAsia" w:ascii="Times New Roman" w:hAnsi="Times New Roman" w:eastAsia="仿宋_GB2312" w:cs="Times New Roman"/>
          <w:sz w:val="32"/>
          <w:szCs w:val="32"/>
        </w:rPr>
        <w:t>%；项目支出</w:t>
      </w:r>
      <w:r>
        <w:rPr>
          <w:rFonts w:hint="eastAsia" w:ascii="Times New Roman" w:hAnsi="Times New Roman" w:eastAsia="仿宋_GB2312" w:cs="Times New Roman"/>
          <w:sz w:val="32"/>
          <w:szCs w:val="32"/>
          <w:lang w:val="en-US" w:eastAsia="zh-CN"/>
        </w:rPr>
        <w:t>66.50</w:t>
      </w:r>
      <w:r>
        <w:rPr>
          <w:rFonts w:hint="eastAsia"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47.84</w:t>
      </w:r>
      <w:r>
        <w:rPr>
          <w:rFonts w:hint="eastAsia" w:ascii="Times New Roman" w:hAnsi="Times New Roman" w:eastAsia="仿宋_GB2312" w:cs="Times New Roman"/>
          <w:sz w:val="32"/>
          <w:szCs w:val="32"/>
        </w:rPr>
        <w:t>%；上缴上级支出</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%；经营支出</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%；对附属单位补助支出</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w:t>
      </w:r>
    </w:p>
    <w:p>
      <w:pPr>
        <w:pStyle w:val="6"/>
        <w:rPr>
          <w:rFonts w:hint="eastAsia" w:ascii="仿宋" w:hAnsi="仿宋" w:eastAsia="仿宋"/>
          <w:b/>
          <w:color w:val="FF0000"/>
          <w:sz w:val="32"/>
          <w:szCs w:val="32"/>
        </w:rPr>
      </w:pPr>
    </w:p>
    <w:p>
      <w:pPr>
        <w:keepNext w:val="0"/>
        <w:keepLines w:val="0"/>
        <w:widowControl/>
        <w:suppressLineNumbers w:val="0"/>
        <w:jc w:val="left"/>
        <w:rPr>
          <w:rFonts w:hint="eastAsia" w:eastAsia="仿宋_GB2312"/>
          <w:lang w:val="en-US" w:eastAsia="zh-CN"/>
        </w:rPr>
      </w:pPr>
      <w:r>
        <w:rPr>
          <w:rFonts w:hint="eastAsia" w:ascii="宋体" w:hAnsi="宋体" w:eastAsia="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4476750" cy="2553335"/>
            <wp:effectExtent l="0" t="0" r="0" b="18415"/>
            <wp:docPr id="14"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descr="IMG_256"/>
                    <pic:cNvPicPr>
                      <a:picLocks noChangeAspect="1"/>
                    </pic:cNvPicPr>
                  </pic:nvPicPr>
                  <pic:blipFill>
                    <a:blip r:embed="rId7"/>
                    <a:stretch>
                      <a:fillRect/>
                    </a:stretch>
                  </pic:blipFill>
                  <pic:spPr>
                    <a:xfrm>
                      <a:off x="0" y="0"/>
                      <a:ext cx="4476750" cy="2553335"/>
                    </a:xfrm>
                    <a:prstGeom prst="rect">
                      <a:avLst/>
                    </a:prstGeom>
                    <a:noFill/>
                    <a:ln w="9525">
                      <a:noFill/>
                    </a:ln>
                  </pic:spPr>
                </pic:pic>
              </a:graphicData>
            </a:graphic>
          </wp:inline>
        </w:drawing>
      </w:r>
    </w:p>
    <w:p>
      <w:pPr>
        <w:spacing w:line="600" w:lineRule="exact"/>
        <w:rPr>
          <w:rFonts w:ascii="仿宋_GB2312" w:eastAsia="仿宋_GB2312"/>
          <w:color w:val="FF0000"/>
          <w:sz w:val="32"/>
          <w:szCs w:val="32"/>
        </w:rPr>
      </w:pPr>
      <w:r>
        <w:rPr>
          <w:rFonts w:hint="eastAsia" w:ascii="仿宋" w:hAnsi="仿宋" w:eastAsia="仿宋"/>
          <w:color w:val="000000"/>
          <w:sz w:val="32"/>
          <w:szCs w:val="32"/>
          <w:lang w:eastAsia="zh-CN"/>
        </w:rPr>
        <w:t>　　　　</w:t>
      </w:r>
      <w:r>
        <w:rPr>
          <w:rFonts w:hint="eastAsia" w:ascii="仿宋" w:hAnsi="仿宋" w:eastAsia="仿宋"/>
          <w:color w:val="000000"/>
          <w:sz w:val="32"/>
          <w:szCs w:val="32"/>
        </w:rPr>
        <w:t>（图</w:t>
      </w:r>
      <w:r>
        <w:rPr>
          <w:rFonts w:ascii="仿宋" w:hAnsi="仿宋" w:eastAsia="仿宋"/>
          <w:color w:val="000000"/>
          <w:sz w:val="32"/>
          <w:szCs w:val="32"/>
        </w:rPr>
        <w:t>3</w:t>
      </w:r>
      <w:r>
        <w:rPr>
          <w:rFonts w:hint="eastAsia" w:ascii="仿宋" w:hAnsi="仿宋" w:eastAsia="仿宋"/>
          <w:color w:val="000000"/>
          <w:sz w:val="32"/>
          <w:szCs w:val="32"/>
        </w:rPr>
        <w:t>：支出决算结构图）（饼状图）</w:t>
      </w:r>
    </w:p>
    <w:p>
      <w:pPr>
        <w:spacing w:line="600" w:lineRule="exact"/>
        <w:ind w:firstLine="640" w:firstLineChars="200"/>
        <w:outlineLvl w:val="1"/>
        <w:rPr>
          <w:rStyle w:val="16"/>
          <w:rFonts w:ascii="黑体" w:hAnsi="黑体" w:eastAsia="黑体"/>
          <w:b w:val="0"/>
        </w:rPr>
      </w:pPr>
      <w:bookmarkStart w:id="30" w:name="_Toc15396606"/>
      <w:bookmarkStart w:id="31" w:name="_Toc15377208"/>
      <w:bookmarkStart w:id="32" w:name="_Toc11192"/>
      <w:bookmarkStart w:id="33" w:name="_Toc10354"/>
      <w:r>
        <w:rPr>
          <w:rFonts w:hint="eastAsia" w:ascii="黑体" w:hAnsi="黑体" w:eastAsia="黑体"/>
          <w:color w:val="000000"/>
          <w:sz w:val="32"/>
          <w:szCs w:val="32"/>
        </w:rPr>
        <w:t>四、财</w:t>
      </w:r>
      <w:r>
        <w:rPr>
          <w:rStyle w:val="16"/>
          <w:rFonts w:hint="eastAsia" w:ascii="黑体" w:hAnsi="黑体" w:eastAsia="黑体"/>
          <w:b w:val="0"/>
        </w:rPr>
        <w:t>政拨款收入支出决算总体情况说明</w:t>
      </w:r>
      <w:bookmarkEnd w:id="30"/>
      <w:bookmarkEnd w:id="31"/>
      <w:bookmarkEnd w:id="32"/>
      <w:bookmarkEnd w:id="33"/>
    </w:p>
    <w:p>
      <w:pPr>
        <w:pageBreakBefore w:val="0"/>
        <w:pBdr>
          <w:top w:val="single" w:color="FFFFFF" w:sz="4" w:space="0"/>
          <w:left w:val="single" w:color="FFFFFF" w:sz="4" w:space="31"/>
          <w:bottom w:val="single" w:color="FFFFFF" w:sz="4" w:space="31"/>
          <w:right w:val="single" w:color="FFFFFF" w:sz="4" w:space="0"/>
        </w:pBdr>
        <w:kinsoku/>
        <w:wordWrap/>
        <w:overflowPunct/>
        <w:topLinePunct w:val="0"/>
        <w:autoSpaceDE/>
        <w:autoSpaceDN/>
        <w:bidi w:val="0"/>
        <w:adjustRightInd w:val="0"/>
        <w:snapToGrid w:val="0"/>
        <w:spacing w:line="592" w:lineRule="exact"/>
        <w:ind w:firstLine="640" w:firstLineChars="200"/>
        <w:textAlignment w:val="auto"/>
        <w:rPr>
          <w:rFonts w:ascii="仿宋_GB2312" w:hAnsi="仿宋"/>
          <w:color w:val="000000"/>
          <w:szCs w:val="32"/>
        </w:rPr>
      </w:pPr>
      <w:r>
        <w:rPr>
          <w:rFonts w:hint="eastAsia" w:eastAsia="仿宋_GB2312"/>
          <w:sz w:val="32"/>
          <w:szCs w:val="32"/>
        </w:rPr>
        <w:t>区供销合作社联合社</w:t>
      </w:r>
      <w:r>
        <w:rPr>
          <w:rFonts w:hint="eastAsia" w:ascii="仿宋_GB2312" w:hAnsi="仿宋"/>
          <w:color w:val="000000"/>
          <w:szCs w:val="32"/>
        </w:rPr>
        <w:t>2020年财政拨款收、支总计</w:t>
      </w:r>
      <w:r>
        <w:rPr>
          <w:rFonts w:hint="eastAsia" w:eastAsia="仿宋_GB2312"/>
          <w:sz w:val="32"/>
          <w:szCs w:val="32"/>
        </w:rPr>
        <w:t>139.01</w:t>
      </w:r>
      <w:r>
        <w:rPr>
          <w:rFonts w:hint="eastAsia" w:ascii="仿宋_GB2312" w:hAnsi="仿宋"/>
          <w:color w:val="000000"/>
          <w:szCs w:val="32"/>
        </w:rPr>
        <w:t>万元。与2019年</w:t>
      </w:r>
      <w:r>
        <w:rPr>
          <w:rFonts w:hint="eastAsia" w:ascii="仿宋_GB2312" w:hAnsi="仿宋"/>
          <w:color w:val="000000"/>
          <w:szCs w:val="32"/>
          <w:lang w:val="en-US" w:eastAsia="zh-CN"/>
        </w:rPr>
        <w:t>121.59</w:t>
      </w:r>
      <w:r>
        <w:rPr>
          <w:rFonts w:hint="eastAsia" w:ascii="仿宋_GB2312" w:hAnsi="仿宋"/>
          <w:color w:val="000000"/>
          <w:szCs w:val="32"/>
        </w:rPr>
        <w:t>万</w:t>
      </w:r>
      <w:r>
        <w:rPr>
          <w:rFonts w:hint="eastAsia" w:ascii="仿宋_GB2312" w:hAnsi="仿宋"/>
          <w:color w:val="000000"/>
          <w:szCs w:val="32"/>
          <w:lang w:eastAsia="zh-CN"/>
        </w:rPr>
        <w:t>元</w:t>
      </w:r>
      <w:r>
        <w:rPr>
          <w:rFonts w:hint="eastAsia" w:ascii="仿宋_GB2312" w:hAnsi="仿宋"/>
          <w:color w:val="000000"/>
          <w:szCs w:val="32"/>
        </w:rPr>
        <w:t>相比</w:t>
      </w:r>
      <w:r>
        <w:rPr>
          <w:rFonts w:hint="eastAsia" w:eastAsia="仿宋_GB2312"/>
          <w:sz w:val="32"/>
          <w:szCs w:val="32"/>
        </w:rPr>
        <w:t>增加了</w:t>
      </w:r>
      <w:r>
        <w:rPr>
          <w:rFonts w:hint="eastAsia"/>
          <w:sz w:val="32"/>
          <w:szCs w:val="32"/>
          <w:lang w:val="en-US" w:eastAsia="zh-CN"/>
        </w:rPr>
        <w:t>17.42</w:t>
      </w:r>
      <w:r>
        <w:rPr>
          <w:rFonts w:hint="eastAsia" w:eastAsia="仿宋_GB2312"/>
          <w:sz w:val="32"/>
          <w:szCs w:val="32"/>
        </w:rPr>
        <w:t>万元</w:t>
      </w:r>
      <w:r>
        <w:rPr>
          <w:rFonts w:hint="eastAsia" w:ascii="仿宋_GB2312" w:hAnsi="仿宋"/>
          <w:color w:val="000000"/>
          <w:szCs w:val="32"/>
        </w:rPr>
        <w:t>，</w:t>
      </w:r>
      <w:r>
        <w:rPr>
          <w:rFonts w:hint="eastAsia" w:eastAsia="仿宋_GB2312"/>
          <w:sz w:val="32"/>
          <w:szCs w:val="32"/>
        </w:rPr>
        <w:t>比去年同期增加了</w:t>
      </w:r>
      <w:r>
        <w:rPr>
          <w:rFonts w:hint="eastAsia"/>
          <w:sz w:val="32"/>
          <w:szCs w:val="32"/>
          <w:lang w:val="en-US" w:eastAsia="zh-CN"/>
        </w:rPr>
        <w:t>14.33</w:t>
      </w:r>
      <w:r>
        <w:rPr>
          <w:rFonts w:hint="eastAsia" w:eastAsia="仿宋_GB2312"/>
          <w:sz w:val="32"/>
          <w:szCs w:val="32"/>
        </w:rPr>
        <w:t>%。主要原因是2019年省级供销综合改革及发展</w:t>
      </w:r>
      <w:r>
        <w:rPr>
          <w:rFonts w:hint="eastAsia" w:eastAsia="仿宋_GB2312"/>
          <w:color w:val="000000"/>
          <w:sz w:val="32"/>
          <w:szCs w:val="32"/>
          <w:lang w:val="en-US" w:eastAsia="zh-CN"/>
        </w:rPr>
        <w:t>“四川供销云服务体系建设项目”</w:t>
      </w:r>
      <w:r>
        <w:rPr>
          <w:rFonts w:hint="eastAsia" w:eastAsia="仿宋_GB2312"/>
          <w:sz w:val="32"/>
          <w:szCs w:val="32"/>
        </w:rPr>
        <w:t>专项资金实现支付。</w:t>
      </w:r>
    </w:p>
    <w:p>
      <w:pPr>
        <w:keepNext w:val="0"/>
        <w:keepLines w:val="0"/>
        <w:widowControl/>
        <w:suppressLineNumbers w:val="0"/>
        <w:jc w:val="left"/>
      </w:pPr>
      <w:r>
        <w:rPr>
          <w:rFonts w:hint="eastAsia" w:ascii="宋体" w:hAnsi="宋体" w:eastAsia="宋体" w:cs="宋体"/>
          <w:kern w:val="0"/>
          <w:sz w:val="24"/>
          <w:szCs w:val="24"/>
          <w:lang w:val="en-US" w:eastAsia="zh-CN" w:bidi="ar"/>
        </w:rPr>
        <w:t>　   　</w:t>
      </w:r>
      <w:r>
        <w:rPr>
          <w:rFonts w:ascii="宋体" w:hAnsi="宋体" w:eastAsia="宋体" w:cs="宋体"/>
          <w:kern w:val="0"/>
          <w:sz w:val="24"/>
          <w:szCs w:val="24"/>
          <w:lang w:val="en-US" w:eastAsia="zh-CN" w:bidi="ar"/>
        </w:rPr>
        <w:drawing>
          <wp:inline distT="0" distB="0" distL="114300" distR="114300">
            <wp:extent cx="3972560" cy="2404745"/>
            <wp:effectExtent l="0" t="0" r="8890" b="14605"/>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8"/>
                    <a:stretch>
                      <a:fillRect/>
                    </a:stretch>
                  </pic:blipFill>
                  <pic:spPr>
                    <a:xfrm>
                      <a:off x="0" y="0"/>
                      <a:ext cx="3972560" cy="2404745"/>
                    </a:xfrm>
                    <a:prstGeom prst="rect">
                      <a:avLst/>
                    </a:prstGeom>
                    <a:noFill/>
                    <a:ln w="9525">
                      <a:noFill/>
                    </a:ln>
                  </pic:spPr>
                </pic:pic>
              </a:graphicData>
            </a:graphic>
          </wp:inline>
        </w:drawing>
      </w:r>
    </w:p>
    <w:p>
      <w:pPr>
        <w:spacing w:line="600" w:lineRule="exact"/>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4</w:t>
      </w:r>
      <w:r>
        <w:rPr>
          <w:rFonts w:hint="eastAsia" w:ascii="仿宋" w:hAnsi="仿宋" w:eastAsia="仿宋"/>
          <w:color w:val="000000"/>
          <w:sz w:val="32"/>
          <w:szCs w:val="32"/>
        </w:rPr>
        <w:t>：财政拨款收、支决算总计变动情况）（柱状图）</w:t>
      </w:r>
    </w:p>
    <w:p>
      <w:pPr>
        <w:spacing w:line="600" w:lineRule="exact"/>
        <w:ind w:firstLine="640"/>
        <w:rPr>
          <w:rFonts w:ascii="仿宋" w:hAnsi="仿宋" w:eastAsia="仿宋"/>
          <w:b/>
          <w:color w:val="00B050"/>
          <w:sz w:val="32"/>
          <w:szCs w:val="32"/>
        </w:rPr>
      </w:pPr>
    </w:p>
    <w:p>
      <w:pPr>
        <w:spacing w:line="600" w:lineRule="exact"/>
        <w:ind w:firstLine="640" w:firstLineChars="200"/>
        <w:outlineLvl w:val="1"/>
        <w:rPr>
          <w:rStyle w:val="16"/>
          <w:rFonts w:ascii="黑体" w:hAnsi="黑体" w:eastAsia="黑体"/>
          <w:b w:val="0"/>
        </w:rPr>
      </w:pPr>
      <w:bookmarkStart w:id="34" w:name="_Toc10967"/>
      <w:bookmarkStart w:id="35" w:name="_Toc31610"/>
      <w:bookmarkStart w:id="36" w:name="_Toc15377209"/>
      <w:bookmarkStart w:id="37" w:name="_Toc15396607"/>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16"/>
          <w:rFonts w:hint="eastAsia" w:ascii="黑体" w:hAnsi="黑体" w:eastAsia="黑体"/>
          <w:b w:val="0"/>
        </w:rPr>
        <w:t>般公共预算财政拨款支出决算情况说明</w:t>
      </w:r>
      <w:bookmarkEnd w:id="34"/>
      <w:bookmarkEnd w:id="35"/>
      <w:bookmarkEnd w:id="36"/>
      <w:bookmarkEnd w:id="37"/>
    </w:p>
    <w:p>
      <w:pPr>
        <w:spacing w:line="600" w:lineRule="exact"/>
        <w:ind w:firstLine="643" w:firstLineChars="200"/>
        <w:outlineLvl w:val="2"/>
        <w:rPr>
          <w:rFonts w:hint="eastAsia" w:ascii="楷体_GB2312" w:hAnsi="楷体_GB2312" w:eastAsia="楷体_GB2312" w:cs="楷体_GB2312"/>
          <w:b/>
          <w:color w:val="000000"/>
          <w:sz w:val="32"/>
          <w:szCs w:val="32"/>
        </w:rPr>
      </w:pPr>
      <w:bookmarkStart w:id="38" w:name="_Toc15377210"/>
      <w:r>
        <w:rPr>
          <w:rFonts w:hint="eastAsia" w:ascii="楷体_GB2312" w:hAnsi="楷体_GB2312" w:eastAsia="楷体_GB2312" w:cs="楷体_GB2312"/>
          <w:b/>
          <w:color w:val="000000"/>
          <w:sz w:val="32"/>
          <w:szCs w:val="32"/>
        </w:rPr>
        <w:t>（一）一般公共预算财政拨款支出决算总体情况</w:t>
      </w:r>
      <w:bookmarkEnd w:id="38"/>
    </w:p>
    <w:p>
      <w:pPr>
        <w:pageBreakBefore w:val="0"/>
        <w:pBdr>
          <w:top w:val="single" w:color="FFFFFF" w:sz="4" w:space="0"/>
          <w:left w:val="single" w:color="FFFFFF" w:sz="4" w:space="31"/>
          <w:bottom w:val="single" w:color="FFFFFF" w:sz="4" w:space="31"/>
          <w:right w:val="single" w:color="FFFFFF" w:sz="4" w:space="0"/>
        </w:pBdr>
        <w:kinsoku/>
        <w:wordWrap/>
        <w:overflowPunct/>
        <w:topLinePunct w:val="0"/>
        <w:autoSpaceDE/>
        <w:autoSpaceDN/>
        <w:bidi w:val="0"/>
        <w:adjustRightInd w:val="0"/>
        <w:snapToGrid w:val="0"/>
        <w:spacing w:line="592" w:lineRule="exact"/>
        <w:ind w:firstLine="640" w:firstLineChars="200"/>
        <w:textAlignment w:val="auto"/>
        <w:rPr>
          <w:rFonts w:ascii="仿宋_GB2312" w:hAnsi="仿宋"/>
          <w:color w:val="000000"/>
          <w:szCs w:val="32"/>
        </w:rPr>
      </w:pPr>
      <w:r>
        <w:rPr>
          <w:rFonts w:hint="eastAsia" w:ascii="Times New Roman" w:hAnsi="Times New Roman" w:eastAsia="仿宋_GB2312" w:cs="Times New Roman"/>
          <w:kern w:val="2"/>
          <w:sz w:val="32"/>
          <w:szCs w:val="32"/>
          <w:lang w:val="en-US" w:eastAsia="zh-CN" w:bidi="ar-SA"/>
        </w:rPr>
        <w:t>2020年一般公共预算财政拨款支出139.01万元，占本年支出合计的100%。比2019年财政拨款收支总预算增长</w:t>
      </w:r>
      <w:r>
        <w:rPr>
          <w:rFonts w:hint="eastAsia" w:cs="Times New Roman"/>
          <w:kern w:val="2"/>
          <w:sz w:val="32"/>
          <w:szCs w:val="32"/>
          <w:lang w:val="en-US" w:eastAsia="zh-CN" w:bidi="ar-SA"/>
        </w:rPr>
        <w:t>17.42</w:t>
      </w:r>
      <w:r>
        <w:rPr>
          <w:rFonts w:hint="eastAsia" w:ascii="Times New Roman" w:hAnsi="Times New Roman" w:eastAsia="仿宋_GB2312" w:cs="Times New Roman"/>
          <w:kern w:val="2"/>
          <w:sz w:val="32"/>
          <w:szCs w:val="32"/>
          <w:lang w:val="en-US" w:eastAsia="zh-CN" w:bidi="ar-SA"/>
        </w:rPr>
        <w:t>万元，比去年同期增加了</w:t>
      </w:r>
      <w:r>
        <w:rPr>
          <w:rFonts w:hint="eastAsia" w:cs="Times New Roman"/>
          <w:kern w:val="2"/>
          <w:sz w:val="32"/>
          <w:szCs w:val="32"/>
          <w:lang w:val="en-US" w:eastAsia="zh-CN" w:bidi="ar-SA"/>
        </w:rPr>
        <w:t>14.33</w:t>
      </w:r>
      <w:r>
        <w:rPr>
          <w:rFonts w:hint="eastAsia" w:ascii="Times New Roman" w:hAnsi="Times New Roman" w:eastAsia="仿宋_GB2312" w:cs="Times New Roman"/>
          <w:kern w:val="2"/>
          <w:sz w:val="32"/>
          <w:szCs w:val="32"/>
          <w:lang w:val="en-US" w:eastAsia="zh-CN" w:bidi="ar-SA"/>
        </w:rPr>
        <w:t>%。</w:t>
      </w:r>
      <w:r>
        <w:rPr>
          <w:rFonts w:hint="eastAsia" w:eastAsia="仿宋_GB2312"/>
          <w:sz w:val="32"/>
          <w:szCs w:val="32"/>
        </w:rPr>
        <w:t>主要原因是2019年省级供销综合改革及发展</w:t>
      </w:r>
      <w:r>
        <w:rPr>
          <w:rFonts w:hint="eastAsia" w:eastAsia="仿宋_GB2312"/>
          <w:color w:val="000000"/>
          <w:sz w:val="32"/>
          <w:szCs w:val="32"/>
          <w:lang w:val="en-US" w:eastAsia="zh-CN"/>
        </w:rPr>
        <w:t>“四川供销云服务体系建设项目”</w:t>
      </w:r>
      <w:r>
        <w:rPr>
          <w:rFonts w:hint="eastAsia" w:eastAsia="仿宋_GB2312"/>
          <w:sz w:val="32"/>
          <w:szCs w:val="32"/>
        </w:rPr>
        <w:t>专项资金实现支付。</w:t>
      </w:r>
    </w:p>
    <w:p>
      <w:pPr>
        <w:keepNext w:val="0"/>
        <w:keepLines w:val="0"/>
        <w:widowControl/>
        <w:suppressLineNumbers w:val="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4243070" cy="2572385"/>
            <wp:effectExtent l="0" t="0" r="5080" b="18415"/>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9"/>
                    <a:stretch>
                      <a:fillRect/>
                    </a:stretch>
                  </pic:blipFill>
                  <pic:spPr>
                    <a:xfrm>
                      <a:off x="0" y="0"/>
                      <a:ext cx="4243070" cy="2572385"/>
                    </a:xfrm>
                    <a:prstGeom prst="rect">
                      <a:avLst/>
                    </a:prstGeom>
                    <a:noFill/>
                    <a:ln w="9525">
                      <a:noFill/>
                    </a:ln>
                  </pic:spPr>
                </pic:pic>
              </a:graphicData>
            </a:graphic>
          </wp:inline>
        </w:drawing>
      </w:r>
    </w:p>
    <w:p>
      <w:pPr>
        <w:keepNext w:val="0"/>
        <w:keepLines w:val="0"/>
        <w:widowControl/>
        <w:suppressLineNumbers w:val="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　</w:t>
      </w:r>
    </w:p>
    <w:p>
      <w:pPr>
        <w:spacing w:line="600" w:lineRule="exact"/>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5</w:t>
      </w:r>
      <w:r>
        <w:rPr>
          <w:rFonts w:hint="eastAsia" w:ascii="仿宋" w:hAnsi="仿宋" w:eastAsia="仿宋"/>
          <w:color w:val="000000"/>
          <w:sz w:val="32"/>
          <w:szCs w:val="32"/>
        </w:rPr>
        <w:t>：一般公共预算财政拨款支出决算变动情况）（柱状图）</w:t>
      </w:r>
    </w:p>
    <w:p>
      <w:pPr>
        <w:numPr>
          <w:ilvl w:val="0"/>
          <w:numId w:val="3"/>
        </w:numPr>
        <w:spacing w:line="600" w:lineRule="exact"/>
        <w:ind w:firstLine="643" w:firstLineChars="200"/>
        <w:outlineLvl w:val="2"/>
        <w:rPr>
          <w:rFonts w:hint="eastAsia" w:ascii="楷体_GB2312" w:hAnsi="楷体_GB2312" w:eastAsia="楷体_GB2312" w:cs="楷体_GB2312"/>
          <w:b/>
          <w:color w:val="000000"/>
          <w:sz w:val="32"/>
          <w:szCs w:val="32"/>
        </w:rPr>
      </w:pPr>
      <w:bookmarkStart w:id="39" w:name="_Toc15377211"/>
      <w:r>
        <w:rPr>
          <w:rFonts w:hint="eastAsia" w:ascii="楷体_GB2312" w:hAnsi="楷体_GB2312" w:eastAsia="楷体_GB2312" w:cs="楷体_GB2312"/>
          <w:b/>
          <w:color w:val="000000"/>
          <w:sz w:val="32"/>
          <w:szCs w:val="32"/>
        </w:rPr>
        <w:t>一般公共预算财政拨款支出决算结构情况</w:t>
      </w:r>
      <w:bookmarkEnd w:id="39"/>
    </w:p>
    <w:p>
      <w:pPr>
        <w:spacing w:line="600" w:lineRule="exact"/>
        <w:ind w:firstLine="640" w:firstLineChars="200"/>
        <w:rPr>
          <w:rFonts w:hint="eastAsia" w:eastAsia="仿宋_GB2312"/>
          <w:color w:val="000000"/>
          <w:sz w:val="32"/>
          <w:szCs w:val="32"/>
        </w:rPr>
      </w:pPr>
      <w:r>
        <w:rPr>
          <w:rFonts w:eastAsia="仿宋_GB2312"/>
          <w:color w:val="000000"/>
          <w:sz w:val="32"/>
          <w:szCs w:val="32"/>
        </w:rPr>
        <w:t>20</w:t>
      </w:r>
      <w:r>
        <w:rPr>
          <w:rFonts w:hint="eastAsia"/>
          <w:color w:val="000000"/>
          <w:sz w:val="32"/>
          <w:szCs w:val="32"/>
          <w:lang w:val="en-US" w:eastAsia="zh-CN"/>
        </w:rPr>
        <w:t>20</w:t>
      </w:r>
      <w:r>
        <w:rPr>
          <w:rFonts w:eastAsia="仿宋_GB2312"/>
          <w:color w:val="000000"/>
          <w:sz w:val="32"/>
          <w:szCs w:val="32"/>
        </w:rPr>
        <w:t>年一般公共预算财政拨款支出</w:t>
      </w:r>
      <w:r>
        <w:rPr>
          <w:rFonts w:hint="eastAsia"/>
          <w:color w:val="000000"/>
          <w:sz w:val="32"/>
          <w:szCs w:val="32"/>
          <w:lang w:val="en-US" w:eastAsia="zh-CN"/>
        </w:rPr>
        <w:t>139.01</w:t>
      </w:r>
      <w:r>
        <w:rPr>
          <w:rFonts w:eastAsia="仿宋_GB2312"/>
          <w:color w:val="000000"/>
          <w:sz w:val="32"/>
          <w:szCs w:val="32"/>
        </w:rPr>
        <w:t>万元，主要用于以下方面:一般公共服务（类）支出</w:t>
      </w:r>
      <w:r>
        <w:rPr>
          <w:rFonts w:hint="eastAsia"/>
          <w:color w:val="000000"/>
          <w:sz w:val="32"/>
          <w:szCs w:val="32"/>
          <w:lang w:val="en-US" w:eastAsia="zh-CN"/>
        </w:rPr>
        <w:t>14.01</w:t>
      </w:r>
      <w:r>
        <w:rPr>
          <w:rFonts w:eastAsia="仿宋_GB2312"/>
          <w:color w:val="000000"/>
          <w:sz w:val="32"/>
          <w:szCs w:val="32"/>
        </w:rPr>
        <w:t>万元，占</w:t>
      </w:r>
      <w:r>
        <w:rPr>
          <w:rFonts w:hint="eastAsia"/>
          <w:color w:val="000000"/>
          <w:sz w:val="32"/>
          <w:szCs w:val="32"/>
          <w:lang w:val="en-US" w:eastAsia="zh-CN"/>
        </w:rPr>
        <w:t>10.08</w:t>
      </w:r>
      <w:r>
        <w:rPr>
          <w:rFonts w:eastAsia="仿宋_GB2312"/>
          <w:color w:val="000000"/>
          <w:sz w:val="32"/>
          <w:szCs w:val="32"/>
        </w:rPr>
        <w:t>%；</w:t>
      </w:r>
      <w:r>
        <w:rPr>
          <w:rFonts w:hint="eastAsia" w:ascii="Times New Roman" w:hAnsi="Times New Roman" w:eastAsia="仿宋_GB2312" w:cs="Times New Roman"/>
          <w:kern w:val="2"/>
          <w:sz w:val="32"/>
          <w:szCs w:val="32"/>
          <w:lang w:val="en-US" w:eastAsia="zh-CN" w:bidi="ar-SA"/>
        </w:rPr>
        <w:t>商业服务业等（类）支出112.55万元，占80.97%；</w:t>
      </w:r>
      <w:r>
        <w:rPr>
          <w:rFonts w:eastAsia="仿宋_GB2312"/>
          <w:color w:val="000000"/>
          <w:sz w:val="32"/>
          <w:szCs w:val="32"/>
        </w:rPr>
        <w:t>教育支出（类）0万元，占0%；科学技术（类）支出0万元，占0%；</w:t>
      </w:r>
      <w:r>
        <w:rPr>
          <w:rFonts w:hint="eastAsia" w:ascii="Times New Roman" w:hAnsi="Times New Roman" w:eastAsia="仿宋_GB2312" w:cs="Times New Roman"/>
          <w:kern w:val="2"/>
          <w:sz w:val="32"/>
          <w:szCs w:val="32"/>
          <w:lang w:val="en-US" w:eastAsia="zh-CN" w:bidi="ar-SA"/>
        </w:rPr>
        <w:t>文化旅游体育与传媒（类）支出0万元，占0%；</w:t>
      </w:r>
      <w:r>
        <w:rPr>
          <w:rFonts w:eastAsia="仿宋_GB2312"/>
          <w:color w:val="000000"/>
          <w:sz w:val="32"/>
          <w:szCs w:val="32"/>
        </w:rPr>
        <w:t>社会保障和就业（类）支出</w:t>
      </w:r>
      <w:r>
        <w:rPr>
          <w:rFonts w:hint="eastAsia"/>
          <w:color w:val="000000"/>
          <w:sz w:val="32"/>
          <w:szCs w:val="32"/>
          <w:lang w:val="en-US" w:eastAsia="zh-CN"/>
        </w:rPr>
        <w:t>6.25</w:t>
      </w:r>
      <w:r>
        <w:rPr>
          <w:rFonts w:eastAsia="仿宋_GB2312"/>
          <w:color w:val="000000"/>
          <w:sz w:val="32"/>
          <w:szCs w:val="32"/>
        </w:rPr>
        <w:t>万元，占</w:t>
      </w:r>
      <w:r>
        <w:rPr>
          <w:rFonts w:hint="eastAsia"/>
          <w:color w:val="000000"/>
          <w:sz w:val="32"/>
          <w:szCs w:val="32"/>
          <w:lang w:val="en-US" w:eastAsia="zh-CN"/>
        </w:rPr>
        <w:t>4.50</w:t>
      </w:r>
      <w:r>
        <w:rPr>
          <w:rFonts w:eastAsia="仿宋_GB2312"/>
          <w:color w:val="000000"/>
          <w:sz w:val="32"/>
          <w:szCs w:val="32"/>
        </w:rPr>
        <w:t>%；卫生</w:t>
      </w:r>
      <w:r>
        <w:rPr>
          <w:rFonts w:hint="eastAsia"/>
          <w:color w:val="000000"/>
          <w:sz w:val="32"/>
          <w:szCs w:val="32"/>
          <w:lang w:eastAsia="zh-CN"/>
        </w:rPr>
        <w:t>健康</w:t>
      </w:r>
      <w:r>
        <w:rPr>
          <w:rFonts w:eastAsia="仿宋_GB2312"/>
          <w:color w:val="000000"/>
          <w:sz w:val="32"/>
          <w:szCs w:val="32"/>
        </w:rPr>
        <w:t>支出</w:t>
      </w:r>
      <w:r>
        <w:rPr>
          <w:rFonts w:hint="eastAsia"/>
          <w:color w:val="000000"/>
          <w:sz w:val="32"/>
          <w:szCs w:val="32"/>
          <w:lang w:val="en-US" w:eastAsia="zh-CN"/>
        </w:rPr>
        <w:t>2.50</w:t>
      </w:r>
      <w:r>
        <w:rPr>
          <w:rFonts w:eastAsia="仿宋_GB2312"/>
          <w:color w:val="000000"/>
          <w:sz w:val="32"/>
          <w:szCs w:val="32"/>
        </w:rPr>
        <w:t>万元，占</w:t>
      </w:r>
      <w:r>
        <w:rPr>
          <w:rFonts w:hint="eastAsia"/>
          <w:color w:val="000000"/>
          <w:sz w:val="32"/>
          <w:szCs w:val="32"/>
          <w:lang w:val="en-US" w:eastAsia="zh-CN"/>
        </w:rPr>
        <w:t>1.80</w:t>
      </w:r>
      <w:r>
        <w:rPr>
          <w:rFonts w:eastAsia="仿宋_GB2312"/>
          <w:color w:val="000000"/>
          <w:sz w:val="32"/>
          <w:szCs w:val="32"/>
        </w:rPr>
        <w:t>%；</w:t>
      </w:r>
      <w:r>
        <w:rPr>
          <w:rFonts w:hint="eastAsia"/>
          <w:color w:val="000000"/>
          <w:sz w:val="32"/>
          <w:szCs w:val="32"/>
          <w:lang w:eastAsia="zh-CN"/>
        </w:rPr>
        <w:t>节能环保支出</w:t>
      </w:r>
      <w:r>
        <w:rPr>
          <w:rFonts w:hint="eastAsia"/>
          <w:color w:val="000000"/>
          <w:sz w:val="32"/>
          <w:szCs w:val="32"/>
          <w:lang w:val="en-US" w:eastAsia="zh-CN"/>
        </w:rPr>
        <w:t>0万元，</w:t>
      </w:r>
      <w:r>
        <w:rPr>
          <w:rFonts w:eastAsia="仿宋_GB2312"/>
          <w:color w:val="000000"/>
          <w:sz w:val="32"/>
          <w:szCs w:val="32"/>
        </w:rPr>
        <w:t>占</w:t>
      </w:r>
      <w:r>
        <w:rPr>
          <w:rFonts w:hint="eastAsia"/>
          <w:color w:val="000000"/>
          <w:sz w:val="32"/>
          <w:szCs w:val="32"/>
          <w:lang w:val="en-US" w:eastAsia="zh-CN"/>
        </w:rPr>
        <w:t xml:space="preserve">0 </w:t>
      </w:r>
      <w:r>
        <w:rPr>
          <w:rFonts w:eastAsia="仿宋_GB2312"/>
          <w:color w:val="000000"/>
          <w:sz w:val="32"/>
          <w:szCs w:val="32"/>
        </w:rPr>
        <w:t>%；</w:t>
      </w:r>
      <w:r>
        <w:rPr>
          <w:rFonts w:hint="eastAsia"/>
          <w:color w:val="000000"/>
          <w:sz w:val="32"/>
          <w:szCs w:val="32"/>
          <w:lang w:eastAsia="zh-CN"/>
        </w:rPr>
        <w:t>农林水支出</w:t>
      </w:r>
      <w:r>
        <w:rPr>
          <w:rFonts w:hint="eastAsia"/>
          <w:color w:val="000000"/>
          <w:sz w:val="32"/>
          <w:szCs w:val="32"/>
          <w:lang w:val="en-US" w:eastAsia="zh-CN"/>
        </w:rPr>
        <w:t>0万元，</w:t>
      </w:r>
      <w:r>
        <w:rPr>
          <w:rFonts w:eastAsia="仿宋_GB2312"/>
          <w:color w:val="000000"/>
          <w:sz w:val="32"/>
          <w:szCs w:val="32"/>
        </w:rPr>
        <w:t>占</w:t>
      </w:r>
      <w:r>
        <w:rPr>
          <w:rFonts w:hint="eastAsia"/>
          <w:color w:val="000000"/>
          <w:sz w:val="32"/>
          <w:szCs w:val="32"/>
          <w:lang w:val="en-US" w:eastAsia="zh-CN"/>
        </w:rPr>
        <w:t xml:space="preserve"> 0</w:t>
      </w:r>
      <w:r>
        <w:rPr>
          <w:rFonts w:eastAsia="仿宋_GB2312"/>
          <w:color w:val="000000"/>
          <w:sz w:val="32"/>
          <w:szCs w:val="32"/>
        </w:rPr>
        <w:t>%；住房保障支出</w:t>
      </w:r>
      <w:r>
        <w:rPr>
          <w:rFonts w:hint="eastAsia"/>
          <w:color w:val="000000"/>
          <w:sz w:val="32"/>
          <w:szCs w:val="32"/>
          <w:lang w:val="en-US" w:eastAsia="zh-CN"/>
        </w:rPr>
        <w:t>3.70</w:t>
      </w:r>
      <w:r>
        <w:rPr>
          <w:rFonts w:eastAsia="仿宋_GB2312"/>
          <w:color w:val="000000"/>
          <w:sz w:val="32"/>
          <w:szCs w:val="32"/>
        </w:rPr>
        <w:t>万元，占</w:t>
      </w:r>
      <w:r>
        <w:rPr>
          <w:rFonts w:hint="eastAsia"/>
          <w:color w:val="000000"/>
          <w:sz w:val="32"/>
          <w:szCs w:val="32"/>
          <w:lang w:val="en-US" w:eastAsia="zh-CN"/>
        </w:rPr>
        <w:t>2.66</w:t>
      </w:r>
      <w:r>
        <w:rPr>
          <w:rFonts w:eastAsia="仿宋_GB2312"/>
          <w:color w:val="000000"/>
          <w:sz w:val="32"/>
          <w:szCs w:val="32"/>
        </w:rPr>
        <w:t>%。</w:t>
      </w:r>
    </w:p>
    <w:p>
      <w:pPr>
        <w:pStyle w:val="2"/>
        <w:numPr>
          <w:ilvl w:val="0"/>
          <w:numId w:val="0"/>
        </w:numPr>
        <w:rPr>
          <w:rFonts w:hint="eastAsia"/>
        </w:rPr>
      </w:pPr>
    </w:p>
    <w:p>
      <w:pPr>
        <w:keepNext w:val="0"/>
        <w:keepLines w:val="0"/>
        <w:widowControl/>
        <w:suppressLineNumbers w:val="0"/>
        <w:jc w:val="left"/>
      </w:pPr>
      <w:r>
        <w:rPr>
          <w:rFonts w:hint="eastAsia" w:ascii="宋体" w:hAnsi="宋体" w:eastAsia="宋体" w:cs="宋体"/>
          <w:kern w:val="0"/>
          <w:sz w:val="24"/>
          <w:szCs w:val="24"/>
          <w:lang w:val="en-US" w:eastAsia="zh-CN" w:bidi="ar"/>
        </w:rPr>
        <w:t>　　　</w:t>
      </w:r>
      <w:r>
        <w:rPr>
          <w:rFonts w:ascii="宋体" w:hAnsi="宋体" w:eastAsia="宋体" w:cs="宋体"/>
          <w:kern w:val="0"/>
          <w:sz w:val="24"/>
          <w:szCs w:val="24"/>
          <w:lang w:val="en-US" w:eastAsia="zh-CN" w:bidi="ar"/>
        </w:rPr>
        <w:drawing>
          <wp:inline distT="0" distB="0" distL="114300" distR="114300">
            <wp:extent cx="4103370" cy="2409825"/>
            <wp:effectExtent l="0" t="0" r="11430" b="9525"/>
            <wp:docPr id="18"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7" descr="IMG_256"/>
                    <pic:cNvPicPr>
                      <a:picLocks noChangeAspect="1"/>
                    </pic:cNvPicPr>
                  </pic:nvPicPr>
                  <pic:blipFill>
                    <a:blip r:embed="rId10"/>
                    <a:stretch>
                      <a:fillRect/>
                    </a:stretch>
                  </pic:blipFill>
                  <pic:spPr>
                    <a:xfrm>
                      <a:off x="0" y="0"/>
                      <a:ext cx="4103370" cy="2409825"/>
                    </a:xfrm>
                    <a:prstGeom prst="rect">
                      <a:avLst/>
                    </a:prstGeom>
                    <a:noFill/>
                    <a:ln w="9525">
                      <a:noFill/>
                    </a:ln>
                  </pic:spPr>
                </pic:pic>
              </a:graphicData>
            </a:graphic>
          </wp:inline>
        </w:drawing>
      </w:r>
      <w:r>
        <w:rPr>
          <w:rFonts w:hint="eastAsia" w:ascii="宋体" w:hAnsi="宋体" w:eastAsia="宋体" w:cs="宋体"/>
          <w:kern w:val="0"/>
          <w:sz w:val="24"/>
          <w:szCs w:val="24"/>
          <w:lang w:val="en-US" w:eastAsia="zh-CN" w:bidi="ar"/>
        </w:rPr>
        <w:t xml:space="preserve">  </w:t>
      </w:r>
    </w:p>
    <w:p>
      <w:pPr>
        <w:spacing w:line="600" w:lineRule="exact"/>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6</w:t>
      </w:r>
      <w:r>
        <w:rPr>
          <w:rFonts w:hint="eastAsia" w:ascii="仿宋" w:hAnsi="仿宋" w:eastAsia="仿宋"/>
          <w:color w:val="000000"/>
          <w:sz w:val="32"/>
          <w:szCs w:val="32"/>
        </w:rPr>
        <w:t>：一般公共预算财政拨款支出决算结构）（饼状图）</w:t>
      </w:r>
    </w:p>
    <w:p>
      <w:pPr>
        <w:spacing w:line="600" w:lineRule="exact"/>
        <w:ind w:firstLine="640" w:firstLineChars="200"/>
        <w:rPr>
          <w:rFonts w:ascii="仿宋" w:hAnsi="仿宋" w:eastAsia="仿宋"/>
          <w:color w:val="000000"/>
          <w:sz w:val="32"/>
          <w:szCs w:val="32"/>
        </w:rPr>
      </w:pPr>
    </w:p>
    <w:p>
      <w:pPr>
        <w:spacing w:line="600" w:lineRule="exact"/>
        <w:ind w:firstLine="643" w:firstLineChars="200"/>
        <w:outlineLvl w:val="2"/>
        <w:rPr>
          <w:rFonts w:hint="eastAsia" w:ascii="楷体_GB2312" w:hAnsi="楷体_GB2312" w:eastAsia="楷体_GB2312" w:cs="楷体_GB2312"/>
          <w:b/>
          <w:color w:val="000000"/>
          <w:sz w:val="32"/>
          <w:szCs w:val="32"/>
        </w:rPr>
      </w:pPr>
      <w:bookmarkStart w:id="40" w:name="_Toc15377212"/>
      <w:r>
        <w:rPr>
          <w:rFonts w:hint="eastAsia" w:ascii="楷体_GB2312" w:hAnsi="楷体_GB2312" w:eastAsia="楷体_GB2312" w:cs="楷体_GB2312"/>
          <w:b/>
          <w:color w:val="000000"/>
          <w:sz w:val="32"/>
          <w:szCs w:val="32"/>
        </w:rPr>
        <w:t>（三）一般公共预算财政拨款支出决算具体情况</w:t>
      </w:r>
      <w:bookmarkEnd w:id="40"/>
    </w:p>
    <w:p>
      <w:pPr>
        <w:adjustRightInd w:val="0"/>
        <w:snapToGrid w:val="0"/>
        <w:spacing w:line="580" w:lineRule="exact"/>
        <w:ind w:firstLine="640" w:firstLineChars="200"/>
        <w:rPr>
          <w:rFonts w:hint="eastAsia" w:ascii="Times New Roman" w:hAnsi="Times New Roman" w:eastAsia="仿宋_GB2312" w:cs="Times New Roman"/>
          <w:color w:val="000000"/>
          <w:sz w:val="32"/>
          <w:szCs w:val="32"/>
        </w:rPr>
      </w:pPr>
      <w:bookmarkStart w:id="41" w:name="_Toc15377444"/>
      <w:bookmarkStart w:id="42" w:name="_Toc15378460"/>
      <w:bookmarkStart w:id="43" w:name="_Toc15377213"/>
      <w:r>
        <w:rPr>
          <w:rFonts w:hint="eastAsia" w:ascii="Times New Roman" w:hAnsi="Times New Roman" w:eastAsia="仿宋_GB2312" w:cs="Times New Roman"/>
          <w:color w:val="000000"/>
          <w:sz w:val="32"/>
          <w:szCs w:val="32"/>
        </w:rPr>
        <w:t>2020年一般公共预算支出决算数为139.01</w:t>
      </w:r>
      <w:r>
        <w:rPr>
          <w:rFonts w:hint="eastAsia" w:cs="Times New Roman"/>
          <w:color w:val="000000"/>
          <w:sz w:val="32"/>
          <w:szCs w:val="32"/>
          <w:lang w:eastAsia="zh-CN"/>
        </w:rPr>
        <w:t>万元</w:t>
      </w:r>
      <w:r>
        <w:rPr>
          <w:rFonts w:hint="eastAsia" w:ascii="Times New Roman" w:hAnsi="Times New Roman" w:eastAsia="仿宋_GB2312" w:cs="Times New Roman"/>
          <w:color w:val="000000"/>
          <w:sz w:val="32"/>
          <w:szCs w:val="32"/>
        </w:rPr>
        <w:t>，完成预算</w:t>
      </w:r>
      <w:r>
        <w:rPr>
          <w:rFonts w:hint="eastAsia" w:ascii="Times New Roman" w:hAnsi="Times New Roman" w:eastAsia="仿宋_GB2312" w:cs="Times New Roman"/>
          <w:color w:val="000000"/>
          <w:sz w:val="32"/>
          <w:szCs w:val="32"/>
          <w:lang w:val="en-US" w:eastAsia="zh-CN"/>
        </w:rPr>
        <w:t>100</w:t>
      </w:r>
      <w:r>
        <w:rPr>
          <w:rFonts w:hint="eastAsia" w:ascii="Times New Roman" w:hAnsi="Times New Roman" w:eastAsia="仿宋_GB2312" w:cs="Times New Roman"/>
          <w:color w:val="000000"/>
          <w:sz w:val="32"/>
          <w:szCs w:val="32"/>
        </w:rPr>
        <w:t>%。其中：</w:t>
      </w:r>
      <w:bookmarkEnd w:id="41"/>
      <w:bookmarkEnd w:id="42"/>
      <w:bookmarkEnd w:id="43"/>
    </w:p>
    <w:p>
      <w:pPr>
        <w:adjustRightInd w:val="0"/>
        <w:snapToGrid w:val="0"/>
        <w:spacing w:line="58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1.一般公共服务（类）</w:t>
      </w:r>
      <w:r>
        <w:rPr>
          <w:rFonts w:hint="eastAsia" w:ascii="Times New Roman" w:hAnsi="Times New Roman" w:eastAsia="仿宋_GB2312" w:cs="Times New Roman"/>
          <w:color w:val="000000"/>
          <w:sz w:val="32"/>
          <w:szCs w:val="32"/>
          <w:lang w:eastAsia="zh-CN"/>
        </w:rPr>
        <w:t>政府办公厅及相关机构事务</w:t>
      </w:r>
      <w:r>
        <w:rPr>
          <w:rFonts w:hint="eastAsia" w:ascii="Times New Roman" w:hAnsi="Times New Roman" w:eastAsia="仿宋_GB2312" w:cs="Times New Roman"/>
          <w:color w:val="000000"/>
          <w:sz w:val="32"/>
          <w:szCs w:val="32"/>
        </w:rPr>
        <w:t>（款）</w:t>
      </w:r>
      <w:r>
        <w:rPr>
          <w:rFonts w:hint="eastAsia" w:ascii="Times New Roman" w:hAnsi="Times New Roman" w:eastAsia="仿宋_GB2312" w:cs="Times New Roman"/>
          <w:color w:val="000000"/>
          <w:sz w:val="32"/>
          <w:szCs w:val="32"/>
          <w:lang w:eastAsia="zh-CN"/>
        </w:rPr>
        <w:t>其他政府办公厅及相关机构事务支出</w:t>
      </w:r>
      <w:r>
        <w:rPr>
          <w:rFonts w:hint="eastAsia" w:ascii="Times New Roman" w:hAnsi="Times New Roman" w:eastAsia="仿宋_GB2312" w:cs="Times New Roman"/>
          <w:color w:val="000000"/>
          <w:sz w:val="32"/>
          <w:szCs w:val="32"/>
        </w:rPr>
        <w:t>（项）: 支出决算为</w:t>
      </w:r>
      <w:r>
        <w:rPr>
          <w:rFonts w:hint="eastAsia" w:ascii="Times New Roman" w:hAnsi="Times New Roman" w:eastAsia="仿宋_GB2312" w:cs="Times New Roman"/>
          <w:color w:val="000000"/>
          <w:sz w:val="32"/>
          <w:szCs w:val="32"/>
          <w:lang w:val="en-US" w:eastAsia="zh-CN"/>
        </w:rPr>
        <w:t>14.01</w:t>
      </w:r>
      <w:r>
        <w:rPr>
          <w:rFonts w:hint="eastAsia" w:ascii="Times New Roman" w:hAnsi="Times New Roman" w:eastAsia="仿宋_GB2312" w:cs="Times New Roman"/>
          <w:color w:val="000000"/>
          <w:sz w:val="32"/>
          <w:szCs w:val="32"/>
        </w:rPr>
        <w:t>万元，完成预算</w:t>
      </w:r>
      <w:r>
        <w:rPr>
          <w:rFonts w:hint="eastAsia" w:ascii="Times New Roman" w:hAnsi="Times New Roman" w:eastAsia="仿宋_GB2312" w:cs="Times New Roman"/>
          <w:color w:val="000000"/>
          <w:sz w:val="32"/>
          <w:szCs w:val="32"/>
          <w:lang w:val="en-US" w:eastAsia="zh-CN"/>
        </w:rPr>
        <w:t>100</w:t>
      </w:r>
      <w:r>
        <w:rPr>
          <w:rFonts w:hint="eastAsia" w:ascii="Times New Roman" w:hAnsi="Times New Roman" w:eastAsia="仿宋_GB2312" w:cs="Times New Roman"/>
          <w:color w:val="000000"/>
          <w:sz w:val="32"/>
          <w:szCs w:val="32"/>
        </w:rPr>
        <w:t>%。</w:t>
      </w:r>
    </w:p>
    <w:p>
      <w:pPr>
        <w:adjustRightInd w:val="0"/>
        <w:snapToGrid w:val="0"/>
        <w:spacing w:line="580" w:lineRule="exact"/>
        <w:ind w:firstLine="640" w:firstLineChars="200"/>
        <w:rPr>
          <w:rFonts w:eastAsia="仿宋_GB2312"/>
          <w:color w:val="000000"/>
          <w:sz w:val="32"/>
          <w:szCs w:val="32"/>
        </w:rPr>
      </w:pPr>
      <w:r>
        <w:rPr>
          <w:rFonts w:hint="eastAsia" w:ascii="Times New Roman" w:hAnsi="Times New Roman" w:cs="Times New Roman"/>
          <w:color w:val="000000"/>
          <w:sz w:val="32"/>
          <w:szCs w:val="32"/>
          <w:lang w:val="en-US" w:eastAsia="zh-CN"/>
        </w:rPr>
        <w:t>2</w:t>
      </w:r>
      <w:r>
        <w:rPr>
          <w:rFonts w:hint="eastAsia" w:ascii="Times New Roman" w:hAnsi="Times New Roman" w:eastAsia="仿宋_GB2312" w:cs="Times New Roman"/>
          <w:color w:val="000000"/>
          <w:sz w:val="32"/>
          <w:szCs w:val="32"/>
        </w:rPr>
        <w:t>.商业服务业（类）商业流通事</w:t>
      </w:r>
      <w:r>
        <w:rPr>
          <w:rFonts w:hint="eastAsia" w:eastAsia="仿宋_GB2312"/>
          <w:color w:val="000000"/>
          <w:sz w:val="32"/>
          <w:szCs w:val="32"/>
        </w:rPr>
        <w:t>务（款）行政运行（项）: 支出决算为</w:t>
      </w:r>
      <w:r>
        <w:rPr>
          <w:rFonts w:hint="eastAsia"/>
          <w:color w:val="000000"/>
          <w:sz w:val="32"/>
          <w:szCs w:val="32"/>
          <w:lang w:val="en-US" w:eastAsia="zh-CN"/>
        </w:rPr>
        <w:t>112.55</w:t>
      </w:r>
      <w:r>
        <w:rPr>
          <w:rFonts w:hint="eastAsia" w:eastAsia="仿宋_GB2312"/>
          <w:color w:val="000000"/>
          <w:sz w:val="32"/>
          <w:szCs w:val="32"/>
        </w:rPr>
        <w:t>万元，完成预算100%。</w:t>
      </w:r>
    </w:p>
    <w:p>
      <w:pPr>
        <w:adjustRightInd w:val="0"/>
        <w:snapToGrid w:val="0"/>
        <w:spacing w:line="580" w:lineRule="exact"/>
        <w:ind w:firstLine="640" w:firstLineChars="200"/>
        <w:rPr>
          <w:rFonts w:eastAsia="仿宋_GB2312"/>
          <w:color w:val="000000"/>
          <w:sz w:val="32"/>
          <w:szCs w:val="32"/>
        </w:rPr>
      </w:pPr>
      <w:r>
        <w:rPr>
          <w:rFonts w:hint="eastAsia"/>
          <w:color w:val="000000"/>
          <w:sz w:val="32"/>
          <w:szCs w:val="32"/>
          <w:lang w:val="en-US" w:eastAsia="zh-CN"/>
        </w:rPr>
        <w:t>3</w:t>
      </w:r>
      <w:r>
        <w:rPr>
          <w:rFonts w:hint="eastAsia" w:eastAsia="仿宋_GB2312"/>
          <w:color w:val="000000"/>
          <w:sz w:val="32"/>
          <w:szCs w:val="32"/>
        </w:rPr>
        <w:t>.社会保障和就业（类）行政单位离退休（款）归口管理的行政单位离退休及机关事业单位基本养老保险缴费支出（项）: 支出决算为</w:t>
      </w:r>
      <w:r>
        <w:rPr>
          <w:rFonts w:hint="eastAsia"/>
          <w:color w:val="000000"/>
          <w:sz w:val="32"/>
          <w:szCs w:val="32"/>
          <w:lang w:val="en-US" w:eastAsia="zh-CN"/>
        </w:rPr>
        <w:t>6.25</w:t>
      </w:r>
      <w:r>
        <w:rPr>
          <w:rFonts w:hint="eastAsia" w:eastAsia="仿宋_GB2312"/>
          <w:color w:val="000000"/>
          <w:sz w:val="32"/>
          <w:szCs w:val="32"/>
        </w:rPr>
        <w:t>万元，完成预算100%。</w:t>
      </w:r>
    </w:p>
    <w:p>
      <w:pPr>
        <w:adjustRightInd w:val="0"/>
        <w:snapToGrid w:val="0"/>
        <w:spacing w:line="580" w:lineRule="exact"/>
        <w:ind w:firstLine="640" w:firstLineChars="200"/>
        <w:rPr>
          <w:rFonts w:eastAsia="仿宋_GB2312"/>
          <w:color w:val="000000"/>
          <w:sz w:val="32"/>
          <w:szCs w:val="32"/>
        </w:rPr>
      </w:pPr>
      <w:r>
        <w:rPr>
          <w:rFonts w:hint="eastAsia"/>
          <w:color w:val="000000"/>
          <w:sz w:val="32"/>
          <w:szCs w:val="32"/>
          <w:lang w:val="en-US" w:eastAsia="zh-CN"/>
        </w:rPr>
        <w:t>4</w:t>
      </w:r>
      <w:r>
        <w:rPr>
          <w:rFonts w:hint="eastAsia" w:eastAsia="仿宋_GB2312"/>
          <w:color w:val="000000"/>
          <w:sz w:val="32"/>
          <w:szCs w:val="32"/>
        </w:rPr>
        <w:t>.卫生健康（类）行政事业单位医疗（款）行政单位医疗（项）:支出决算为</w:t>
      </w:r>
      <w:r>
        <w:rPr>
          <w:rFonts w:hint="eastAsia"/>
          <w:color w:val="000000"/>
          <w:sz w:val="32"/>
          <w:szCs w:val="32"/>
          <w:lang w:val="en-US" w:eastAsia="zh-CN"/>
        </w:rPr>
        <w:t>2.50</w:t>
      </w:r>
      <w:r>
        <w:rPr>
          <w:rFonts w:hint="eastAsia" w:eastAsia="仿宋_GB2312"/>
          <w:color w:val="000000"/>
          <w:sz w:val="32"/>
          <w:szCs w:val="32"/>
        </w:rPr>
        <w:t>万元，完成预算100%。</w:t>
      </w:r>
    </w:p>
    <w:p>
      <w:pPr>
        <w:adjustRightInd w:val="0"/>
        <w:snapToGrid w:val="0"/>
        <w:spacing w:line="580" w:lineRule="exact"/>
        <w:ind w:firstLine="640" w:firstLineChars="200"/>
        <w:rPr>
          <w:rFonts w:eastAsia="仿宋_GB2312"/>
          <w:color w:val="000000"/>
          <w:sz w:val="32"/>
          <w:szCs w:val="32"/>
        </w:rPr>
      </w:pPr>
      <w:r>
        <w:rPr>
          <w:rFonts w:hint="eastAsia" w:eastAsia="仿宋_GB2312"/>
          <w:color w:val="000000"/>
          <w:sz w:val="32"/>
          <w:szCs w:val="32"/>
        </w:rPr>
        <w:t>5.住房保障（类）住房改革支出（款）住房公积金（项）：支出决算3.</w:t>
      </w:r>
      <w:r>
        <w:rPr>
          <w:rFonts w:hint="eastAsia"/>
          <w:color w:val="000000"/>
          <w:sz w:val="32"/>
          <w:szCs w:val="32"/>
          <w:lang w:val="en-US" w:eastAsia="zh-CN"/>
        </w:rPr>
        <w:t>70</w:t>
      </w:r>
      <w:r>
        <w:rPr>
          <w:rFonts w:hint="eastAsia" w:eastAsia="仿宋_GB2312"/>
          <w:color w:val="000000"/>
          <w:sz w:val="32"/>
          <w:szCs w:val="32"/>
        </w:rPr>
        <w:t>万元，完成预算100%。</w:t>
      </w:r>
    </w:p>
    <w:p>
      <w:pPr>
        <w:tabs>
          <w:tab w:val="right" w:pos="8306"/>
        </w:tabs>
        <w:spacing w:line="600" w:lineRule="exact"/>
        <w:ind w:firstLine="640"/>
        <w:outlineLvl w:val="1"/>
        <w:rPr>
          <w:rStyle w:val="16"/>
        </w:rPr>
      </w:pPr>
      <w:bookmarkStart w:id="44" w:name="_Toc15396608"/>
      <w:bookmarkStart w:id="45" w:name="_Toc31021"/>
      <w:bookmarkStart w:id="46" w:name="_Toc15377214"/>
      <w:bookmarkStart w:id="47" w:name="_Toc8429"/>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16"/>
          <w:rFonts w:hint="eastAsia" w:ascii="黑体" w:hAnsi="黑体" w:eastAsia="黑体"/>
          <w:b w:val="0"/>
        </w:rPr>
        <w:t>般公共预算财政拨款基本支出决算情况说明</w:t>
      </w:r>
      <w:bookmarkEnd w:id="44"/>
      <w:bookmarkEnd w:id="45"/>
      <w:bookmarkEnd w:id="46"/>
      <w:bookmarkEnd w:id="47"/>
      <w:r>
        <w:rPr>
          <w:rStyle w:val="16"/>
          <w:rFonts w:ascii="黑体" w:hAnsi="黑体" w:eastAsia="黑体"/>
          <w:b w:val="0"/>
        </w:rPr>
        <w:tab/>
      </w:r>
    </w:p>
    <w:p>
      <w:pPr>
        <w:adjustRightInd w:val="0"/>
        <w:snapToGrid w:val="0"/>
        <w:spacing w:line="58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2020年一般公共预算财政拨款基本支出</w:t>
      </w:r>
      <w:r>
        <w:rPr>
          <w:rFonts w:hint="eastAsia" w:ascii="Times New Roman" w:hAnsi="Times New Roman" w:eastAsia="仿宋_GB2312" w:cs="Times New Roman"/>
          <w:color w:val="000000"/>
          <w:sz w:val="32"/>
          <w:szCs w:val="32"/>
          <w:lang w:val="en-US" w:eastAsia="zh-CN"/>
        </w:rPr>
        <w:t>72.51</w:t>
      </w:r>
      <w:r>
        <w:rPr>
          <w:rFonts w:hint="eastAsia" w:ascii="Times New Roman" w:hAnsi="Times New Roman" w:eastAsia="仿宋_GB2312" w:cs="Times New Roman"/>
          <w:color w:val="000000"/>
          <w:sz w:val="32"/>
          <w:szCs w:val="32"/>
        </w:rPr>
        <w:t>万元，其中：</w:t>
      </w:r>
    </w:p>
    <w:p>
      <w:pPr>
        <w:adjustRightInd w:val="0"/>
        <w:snapToGrid w:val="0"/>
        <w:spacing w:line="580" w:lineRule="exact"/>
        <w:ind w:firstLine="640" w:firstLineChars="200"/>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rPr>
        <w:t>人员经费</w:t>
      </w:r>
      <w:r>
        <w:rPr>
          <w:rFonts w:hint="eastAsia" w:ascii="Times New Roman" w:hAnsi="Times New Roman" w:eastAsia="仿宋_GB2312" w:cs="Times New Roman"/>
          <w:color w:val="000000"/>
          <w:sz w:val="32"/>
          <w:szCs w:val="32"/>
          <w:lang w:val="en-US" w:eastAsia="zh-CN"/>
        </w:rPr>
        <w:t>62.11</w:t>
      </w:r>
      <w:r>
        <w:rPr>
          <w:rFonts w:hint="eastAsia" w:ascii="Times New Roman" w:hAnsi="Times New Roman" w:eastAsia="仿宋_GB2312" w:cs="Times New Roman"/>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p>
    <w:p>
      <w:pPr>
        <w:adjustRightInd w:val="0"/>
        <w:snapToGrid w:val="0"/>
        <w:spacing w:line="580" w:lineRule="exact"/>
        <w:ind w:firstLine="640" w:firstLineChars="200"/>
        <w:rPr>
          <w:rFonts w:ascii="仿宋" w:hAnsi="仿宋" w:eastAsia="仿宋"/>
          <w:color w:val="000000"/>
          <w:sz w:val="32"/>
          <w:szCs w:val="32"/>
        </w:rPr>
      </w:pPr>
      <w:r>
        <w:rPr>
          <w:rFonts w:hint="eastAsia" w:ascii="Times New Roman" w:hAnsi="Times New Roman" w:eastAsia="仿宋_GB2312" w:cs="Times New Roman"/>
          <w:color w:val="000000"/>
          <w:sz w:val="32"/>
          <w:szCs w:val="32"/>
        </w:rPr>
        <w:t>日常公用经费</w:t>
      </w:r>
      <w:r>
        <w:rPr>
          <w:rFonts w:hint="eastAsia" w:ascii="Times New Roman" w:hAnsi="Times New Roman" w:eastAsia="仿宋_GB2312" w:cs="Times New Roman"/>
          <w:color w:val="000000"/>
          <w:sz w:val="32"/>
          <w:szCs w:val="32"/>
          <w:lang w:val="en-US" w:eastAsia="zh-CN"/>
        </w:rPr>
        <w:t>10.40</w:t>
      </w:r>
      <w:r>
        <w:rPr>
          <w:rFonts w:hint="eastAsia" w:ascii="Times New Roman" w:hAnsi="Times New Roman" w:eastAsia="仿宋_GB2312" w:cs="Times New Roman"/>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0"/>
        <w:outlineLvl w:val="1"/>
        <w:rPr>
          <w:rStyle w:val="16"/>
          <w:rFonts w:ascii="黑体" w:hAnsi="黑体" w:eastAsia="黑体"/>
          <w:b w:val="0"/>
        </w:rPr>
      </w:pPr>
      <w:bookmarkStart w:id="48" w:name="_Toc15396609"/>
      <w:bookmarkStart w:id="49" w:name="_Toc15377215"/>
      <w:bookmarkStart w:id="50" w:name="_Toc7067"/>
      <w:bookmarkStart w:id="51" w:name="_Toc6926"/>
      <w:r>
        <w:rPr>
          <w:rFonts w:hint="eastAsia" w:ascii="黑体" w:eastAsia="黑体"/>
          <w:color w:val="000000"/>
          <w:sz w:val="32"/>
          <w:szCs w:val="32"/>
        </w:rPr>
        <w:t>七、</w:t>
      </w:r>
      <w:r>
        <w:rPr>
          <w:rStyle w:val="16"/>
          <w:rFonts w:hint="eastAsia" w:ascii="黑体" w:hAnsi="黑体" w:eastAsia="黑体"/>
        </w:rPr>
        <w:t>“</w:t>
      </w:r>
      <w:r>
        <w:rPr>
          <w:rStyle w:val="16"/>
          <w:rFonts w:hint="eastAsia" w:ascii="黑体" w:hAnsi="黑体" w:eastAsia="黑体"/>
          <w:b w:val="0"/>
        </w:rPr>
        <w:t>三公”经费财政拨款支出决算情况说明</w:t>
      </w:r>
      <w:bookmarkEnd w:id="48"/>
      <w:bookmarkEnd w:id="49"/>
      <w:bookmarkEnd w:id="50"/>
      <w:bookmarkEnd w:id="51"/>
    </w:p>
    <w:p>
      <w:pPr>
        <w:spacing w:line="600" w:lineRule="exact"/>
        <w:ind w:firstLine="640"/>
        <w:outlineLvl w:val="2"/>
        <w:rPr>
          <w:rFonts w:hint="eastAsia" w:ascii="楷体_GB2312" w:hAnsi="楷体_GB2312" w:eastAsia="楷体_GB2312" w:cs="楷体_GB2312"/>
          <w:b/>
          <w:color w:val="000000"/>
          <w:sz w:val="32"/>
          <w:szCs w:val="32"/>
        </w:rPr>
      </w:pPr>
      <w:bookmarkStart w:id="52" w:name="_Toc15377216"/>
      <w:r>
        <w:rPr>
          <w:rFonts w:hint="eastAsia" w:ascii="楷体_GB2312" w:hAnsi="楷体_GB2312" w:eastAsia="楷体_GB2312" w:cs="楷体_GB2312"/>
          <w:b/>
          <w:color w:val="000000"/>
          <w:sz w:val="32"/>
          <w:szCs w:val="32"/>
        </w:rPr>
        <w:t>（一）“三公”经费财政拨款支出决算总体情况说明</w:t>
      </w:r>
      <w:bookmarkEnd w:id="52"/>
    </w:p>
    <w:p>
      <w:pPr>
        <w:adjustRightInd w:val="0"/>
        <w:snapToGrid w:val="0"/>
        <w:spacing w:line="580" w:lineRule="exact"/>
        <w:ind w:firstLine="640" w:firstLineChars="200"/>
        <w:rPr>
          <w:rFonts w:hint="eastAsia" w:eastAsia="仿宋_GB2312"/>
          <w:color w:val="000000"/>
          <w:sz w:val="32"/>
          <w:szCs w:val="32"/>
        </w:rPr>
      </w:pPr>
      <w:r>
        <w:rPr>
          <w:rFonts w:hint="eastAsia" w:eastAsia="仿宋_GB2312"/>
          <w:color w:val="000000"/>
          <w:sz w:val="32"/>
          <w:szCs w:val="32"/>
        </w:rPr>
        <w:t>20</w:t>
      </w:r>
      <w:r>
        <w:rPr>
          <w:rFonts w:hint="eastAsia"/>
          <w:color w:val="000000"/>
          <w:sz w:val="32"/>
          <w:szCs w:val="32"/>
          <w:lang w:val="en-US" w:eastAsia="zh-CN"/>
        </w:rPr>
        <w:t>20</w:t>
      </w:r>
      <w:r>
        <w:rPr>
          <w:rFonts w:hint="eastAsia" w:eastAsia="仿宋_GB2312"/>
          <w:color w:val="000000"/>
          <w:sz w:val="32"/>
          <w:szCs w:val="32"/>
        </w:rPr>
        <w:t>年“三公”经费财政拨款支出决算为0.</w:t>
      </w:r>
      <w:r>
        <w:rPr>
          <w:rFonts w:hint="eastAsia"/>
          <w:color w:val="000000"/>
          <w:sz w:val="32"/>
          <w:szCs w:val="32"/>
          <w:lang w:val="en-US" w:eastAsia="zh-CN"/>
        </w:rPr>
        <w:t>10</w:t>
      </w:r>
      <w:r>
        <w:rPr>
          <w:rFonts w:hint="eastAsia" w:eastAsia="仿宋_GB2312"/>
          <w:color w:val="000000"/>
          <w:sz w:val="32"/>
          <w:szCs w:val="32"/>
        </w:rPr>
        <w:t>万元，完成预算</w:t>
      </w:r>
      <w:r>
        <w:rPr>
          <w:rFonts w:hint="eastAsia"/>
          <w:color w:val="000000"/>
          <w:sz w:val="32"/>
          <w:szCs w:val="32"/>
          <w:lang w:val="en-US" w:eastAsia="zh-CN"/>
        </w:rPr>
        <w:t>25.98</w:t>
      </w:r>
      <w:r>
        <w:rPr>
          <w:rFonts w:hint="eastAsia" w:eastAsia="仿宋_GB2312"/>
          <w:color w:val="000000"/>
          <w:sz w:val="32"/>
          <w:szCs w:val="32"/>
        </w:rPr>
        <w:t>%，决算数小于预算数的主要原因由于疫情原因202</w:t>
      </w:r>
      <w:r>
        <w:rPr>
          <w:rFonts w:hint="eastAsia"/>
          <w:color w:val="000000"/>
          <w:sz w:val="32"/>
          <w:szCs w:val="32"/>
          <w:lang w:val="en-US" w:eastAsia="zh-CN"/>
        </w:rPr>
        <w:t>0</w:t>
      </w:r>
      <w:r>
        <w:rPr>
          <w:rFonts w:hint="eastAsia" w:eastAsia="仿宋_GB2312"/>
          <w:color w:val="000000"/>
          <w:sz w:val="32"/>
          <w:szCs w:val="32"/>
        </w:rPr>
        <w:t>年减少了接待。</w:t>
      </w:r>
    </w:p>
    <w:p>
      <w:pPr>
        <w:spacing w:line="600" w:lineRule="exact"/>
        <w:ind w:firstLine="640"/>
        <w:outlineLvl w:val="2"/>
        <w:rPr>
          <w:rFonts w:hint="eastAsia" w:ascii="楷体_GB2312" w:hAnsi="楷体_GB2312" w:eastAsia="楷体_GB2312" w:cs="楷体_GB2312"/>
        </w:rPr>
      </w:pPr>
      <w:bookmarkStart w:id="53" w:name="_Toc15377217"/>
      <w:r>
        <w:rPr>
          <w:rFonts w:hint="eastAsia" w:ascii="楷体_GB2312" w:hAnsi="楷体_GB2312" w:eastAsia="楷体_GB2312" w:cs="楷体_GB2312"/>
          <w:b/>
          <w:color w:val="000000"/>
          <w:sz w:val="32"/>
          <w:szCs w:val="32"/>
        </w:rPr>
        <w:t>（二）“三公”经费财政拨款支出决算具体情况说明</w:t>
      </w:r>
      <w:bookmarkEnd w:id="53"/>
    </w:p>
    <w:p>
      <w:pPr>
        <w:adjustRightInd w:val="0"/>
        <w:snapToGrid w:val="0"/>
        <w:spacing w:line="580" w:lineRule="exact"/>
        <w:ind w:firstLine="640" w:firstLineChars="200"/>
      </w:pPr>
      <w:r>
        <w:rPr>
          <w:rFonts w:hint="eastAsia" w:eastAsia="仿宋_GB2312"/>
          <w:color w:val="000000"/>
          <w:sz w:val="32"/>
          <w:szCs w:val="32"/>
        </w:rPr>
        <w:t>20</w:t>
      </w:r>
      <w:r>
        <w:rPr>
          <w:rFonts w:hint="eastAsia"/>
          <w:color w:val="000000"/>
          <w:sz w:val="32"/>
          <w:szCs w:val="32"/>
          <w:lang w:val="en-US" w:eastAsia="zh-CN"/>
        </w:rPr>
        <w:t>20</w:t>
      </w:r>
      <w:r>
        <w:rPr>
          <w:rFonts w:hint="eastAsia" w:eastAsia="仿宋_GB2312"/>
          <w:color w:val="000000"/>
          <w:sz w:val="32"/>
          <w:szCs w:val="32"/>
        </w:rPr>
        <w:t>年“三公”经费财政拨款支出决算中，因公出国（境）费支出决算0万元，占0%；公务用车购置及运行维护费支出决算0万元，占0%；公务接待费支出决算0.</w:t>
      </w:r>
      <w:r>
        <w:rPr>
          <w:rFonts w:hint="eastAsia"/>
          <w:color w:val="000000"/>
          <w:sz w:val="32"/>
          <w:szCs w:val="32"/>
          <w:lang w:val="en-US" w:eastAsia="zh-CN"/>
        </w:rPr>
        <w:t>10</w:t>
      </w:r>
      <w:r>
        <w:rPr>
          <w:rFonts w:hint="eastAsia" w:eastAsia="仿宋_GB2312"/>
          <w:color w:val="000000"/>
          <w:sz w:val="32"/>
          <w:szCs w:val="32"/>
        </w:rPr>
        <w:t>万元，占100%。具体情况如下：</w:t>
      </w:r>
    </w:p>
    <w:p>
      <w:pPr>
        <w:pStyle w:val="6"/>
        <w:ind w:left="0" w:leftChars="0" w:firstLine="0" w:firstLineChars="0"/>
      </w:pPr>
    </w:p>
    <w:p>
      <w:pPr>
        <w:keepNext w:val="0"/>
        <w:keepLines w:val="0"/>
        <w:widowControl/>
        <w:suppressLineNumbers w:val="0"/>
        <w:jc w:val="left"/>
        <w:rPr>
          <w:rFonts w:hint="eastAsia" w:ascii="仿宋" w:hAnsi="仿宋" w:eastAsia="仿宋"/>
          <w:color w:val="000000"/>
          <w:sz w:val="32"/>
          <w:szCs w:val="32"/>
        </w:rPr>
      </w:pPr>
      <w:r>
        <w:rPr>
          <w:rFonts w:ascii="宋体" w:hAnsi="宋体" w:eastAsia="宋体" w:cs="宋体"/>
          <w:kern w:val="0"/>
          <w:sz w:val="24"/>
          <w:szCs w:val="24"/>
          <w:lang w:val="en-US" w:eastAsia="zh-CN" w:bidi="ar"/>
        </w:rPr>
        <w:drawing>
          <wp:inline distT="0" distB="0" distL="114300" distR="114300">
            <wp:extent cx="304800" cy="304800"/>
            <wp:effectExtent l="0" t="0" r="0" b="0"/>
            <wp:docPr id="20"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9" descr="IMG_256"/>
                    <pic:cNvPicPr>
                      <a:picLocks noChangeAspect="1"/>
                    </pic:cNvPicPr>
                  </pic:nvPicPr>
                  <pic:blipFill>
                    <a:blip r:embed="rId11"/>
                    <a:stretch>
                      <a:fillRect/>
                    </a:stretch>
                  </pic:blipFill>
                  <pic:spPr>
                    <a:xfrm>
                      <a:off x="0" y="0"/>
                      <a:ext cx="304800" cy="30480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4486275" cy="2562225"/>
            <wp:effectExtent l="0" t="0" r="9525" b="9525"/>
            <wp:docPr id="21"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 descr="IMG_256"/>
                    <pic:cNvPicPr>
                      <a:picLocks noChangeAspect="1"/>
                    </pic:cNvPicPr>
                  </pic:nvPicPr>
                  <pic:blipFill>
                    <a:blip r:embed="rId12"/>
                    <a:stretch>
                      <a:fillRect/>
                    </a:stretch>
                  </pic:blipFill>
                  <pic:spPr>
                    <a:xfrm>
                      <a:off x="0" y="0"/>
                      <a:ext cx="4486275" cy="2562225"/>
                    </a:xfrm>
                    <a:prstGeom prst="rect">
                      <a:avLst/>
                    </a:prstGeom>
                    <a:noFill/>
                    <a:ln w="9525">
                      <a:noFill/>
                    </a:ln>
                  </pic:spPr>
                </pic:pic>
              </a:graphicData>
            </a:graphic>
          </wp:inline>
        </w:drawing>
      </w:r>
    </w:p>
    <w:p>
      <w:pPr>
        <w:spacing w:line="600" w:lineRule="exact"/>
        <w:ind w:firstLine="640"/>
        <w:rPr>
          <w:rFonts w:hint="eastAsia" w:ascii="仿宋" w:hAnsi="仿宋" w:eastAsia="仿宋"/>
          <w:color w:val="000000"/>
          <w:sz w:val="32"/>
          <w:szCs w:val="32"/>
        </w:rPr>
      </w:pPr>
    </w:p>
    <w:p>
      <w:pPr>
        <w:spacing w:line="600" w:lineRule="exact"/>
        <w:ind w:firstLine="64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7</w:t>
      </w:r>
      <w:r>
        <w:rPr>
          <w:rFonts w:hint="eastAsia" w:ascii="仿宋" w:hAnsi="仿宋" w:eastAsia="仿宋"/>
          <w:color w:val="000000"/>
          <w:sz w:val="32"/>
          <w:szCs w:val="32"/>
        </w:rPr>
        <w:t>：“三公”经费财政拨款支出结构）（饼状图）</w:t>
      </w:r>
    </w:p>
    <w:p>
      <w:pPr>
        <w:adjustRightInd w:val="0"/>
        <w:snapToGrid w:val="0"/>
        <w:spacing w:line="580" w:lineRule="exact"/>
        <w:ind w:firstLine="643" w:firstLineChars="200"/>
        <w:rPr>
          <w:rFonts w:hint="eastAsia" w:eastAsia="仿宋_GB2312"/>
          <w:color w:val="000000"/>
          <w:sz w:val="32"/>
          <w:szCs w:val="32"/>
        </w:rPr>
      </w:pPr>
      <w:r>
        <w:rPr>
          <w:rFonts w:hint="eastAsia" w:ascii="仿宋_GB2312" w:eastAsia="仿宋_GB2312"/>
          <w:b/>
          <w:color w:val="000000"/>
          <w:sz w:val="32"/>
          <w:szCs w:val="32"/>
        </w:rPr>
        <w:t>1.因公出国（境）经费支出0万元，完成预算0%。</w:t>
      </w:r>
      <w:r>
        <w:rPr>
          <w:rFonts w:hint="eastAsia" w:eastAsia="仿宋_GB2312"/>
          <w:color w:val="000000"/>
          <w:sz w:val="32"/>
          <w:szCs w:val="32"/>
        </w:rPr>
        <w:t>全年安排因公出国（境）团组0次，出国（境）0人</w:t>
      </w:r>
      <w:r>
        <w:rPr>
          <w:rFonts w:hint="eastAsia" w:ascii="仿宋_GB2312" w:eastAsia="仿宋_GB2312"/>
          <w:color w:val="000000"/>
          <w:sz w:val="32"/>
          <w:szCs w:val="32"/>
        </w:rPr>
        <w:t>。因公出国（境）支出决算</w:t>
      </w:r>
      <w:r>
        <w:rPr>
          <w:rFonts w:hint="eastAsia" w:eastAsia="仿宋_GB2312"/>
          <w:color w:val="000000"/>
          <w:sz w:val="32"/>
          <w:szCs w:val="32"/>
        </w:rPr>
        <w:t>比201</w:t>
      </w:r>
      <w:r>
        <w:rPr>
          <w:rFonts w:hint="eastAsia" w:eastAsia="仿宋_GB2312"/>
          <w:color w:val="000000"/>
          <w:sz w:val="32"/>
          <w:szCs w:val="32"/>
          <w:lang w:val="en-US" w:eastAsia="zh-CN"/>
        </w:rPr>
        <w:t>9</w:t>
      </w:r>
      <w:r>
        <w:rPr>
          <w:rFonts w:hint="eastAsia" w:eastAsia="仿宋_GB2312"/>
          <w:color w:val="000000"/>
          <w:sz w:val="32"/>
          <w:szCs w:val="32"/>
        </w:rPr>
        <w:t>年增加/减少0万元，增长/下降0%。主要原因是元。</w:t>
      </w:r>
    </w:p>
    <w:p>
      <w:pPr>
        <w:adjustRightInd w:val="0"/>
        <w:snapToGrid w:val="0"/>
        <w:spacing w:line="580" w:lineRule="exact"/>
        <w:ind w:firstLine="640"/>
        <w:rPr>
          <w:rFonts w:hint="eastAsia" w:eastAsia="仿宋_GB2312"/>
          <w:color w:val="000000"/>
          <w:sz w:val="32"/>
          <w:szCs w:val="32"/>
        </w:rPr>
      </w:pPr>
      <w:r>
        <w:rPr>
          <w:rFonts w:ascii="仿宋_GB2312" w:eastAsia="仿宋_GB2312"/>
          <w:b/>
          <w:color w:val="000000"/>
          <w:sz w:val="32"/>
          <w:szCs w:val="32"/>
        </w:rPr>
        <w:t>2.</w:t>
      </w:r>
      <w:r>
        <w:rPr>
          <w:rFonts w:hint="eastAsia" w:ascii="仿宋_GB2312" w:eastAsia="仿宋_GB2312"/>
          <w:b/>
          <w:color w:val="000000"/>
          <w:sz w:val="32"/>
          <w:szCs w:val="32"/>
        </w:rPr>
        <w:t>公务用车购置及运行维护费支出0</w:t>
      </w:r>
      <w:r>
        <w:rPr>
          <w:rFonts w:hint="eastAsia" w:ascii="仿宋_GB2312" w:eastAsia="仿宋_GB2312"/>
          <w:color w:val="000000"/>
          <w:sz w:val="32"/>
          <w:szCs w:val="32"/>
        </w:rPr>
        <w:t>万元,</w:t>
      </w:r>
      <w:r>
        <w:rPr>
          <w:rStyle w:val="13"/>
          <w:rFonts w:hint="eastAsia" w:ascii="仿宋" w:hAnsi="仿宋" w:eastAsia="仿宋"/>
          <w:b w:val="0"/>
          <w:bCs/>
          <w:color w:val="000000"/>
          <w:sz w:val="32"/>
          <w:szCs w:val="32"/>
        </w:rPr>
        <w:t>完成预算0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w:t>
      </w:r>
      <w:r>
        <w:rPr>
          <w:rFonts w:hint="eastAsia" w:ascii="仿宋_GB2312" w:eastAsia="仿宋_GB2312"/>
          <w:color w:val="000000"/>
          <w:sz w:val="32"/>
          <w:szCs w:val="32"/>
        </w:rPr>
        <w:t>公务用车购置及</w:t>
      </w:r>
      <w:r>
        <w:rPr>
          <w:rFonts w:hint="eastAsia" w:eastAsia="仿宋_GB2312"/>
          <w:color w:val="000000"/>
          <w:sz w:val="32"/>
          <w:szCs w:val="32"/>
        </w:rPr>
        <w:t>运行维护费支出决算比2018年增加/减少0万元，增长/下降0%。主要原因是无。</w:t>
      </w:r>
    </w:p>
    <w:p>
      <w:pPr>
        <w:adjustRightInd w:val="0"/>
        <w:snapToGrid w:val="0"/>
        <w:spacing w:line="580" w:lineRule="exact"/>
        <w:ind w:firstLine="640" w:firstLineChars="200"/>
        <w:rPr>
          <w:rFonts w:hint="eastAsia" w:eastAsia="仿宋_GB2312"/>
          <w:color w:val="000000"/>
          <w:sz w:val="32"/>
          <w:szCs w:val="32"/>
        </w:rPr>
      </w:pPr>
      <w:r>
        <w:rPr>
          <w:rFonts w:hint="eastAsia" w:ascii="仿宋_GB2312" w:eastAsia="仿宋_GB2312"/>
          <w:color w:val="000000"/>
          <w:sz w:val="32"/>
          <w:szCs w:val="32"/>
        </w:rPr>
        <w:t>其中：</w:t>
      </w:r>
      <w:r>
        <w:rPr>
          <w:rFonts w:hint="eastAsia" w:ascii="仿宋_GB2312" w:eastAsia="仿宋_GB2312"/>
          <w:b/>
          <w:color w:val="000000"/>
          <w:sz w:val="32"/>
          <w:szCs w:val="32"/>
        </w:rPr>
        <w:t>公务用车购置支出0</w:t>
      </w:r>
      <w:r>
        <w:rPr>
          <w:rFonts w:hint="eastAsia" w:ascii="仿宋_GB2312" w:eastAsia="仿宋_GB2312"/>
          <w:color w:val="000000"/>
          <w:sz w:val="32"/>
          <w:szCs w:val="32"/>
        </w:rPr>
        <w:t>万元。全年按规定更新购置公务用</w:t>
      </w:r>
      <w:r>
        <w:rPr>
          <w:rFonts w:hint="eastAsia" w:eastAsia="仿宋_GB2312"/>
          <w:color w:val="000000"/>
          <w:sz w:val="32"/>
          <w:szCs w:val="32"/>
        </w:rPr>
        <w:t>车0辆，金额0元。截至20</w:t>
      </w:r>
      <w:r>
        <w:rPr>
          <w:rFonts w:hint="eastAsia" w:eastAsia="仿宋_GB2312"/>
          <w:color w:val="000000"/>
          <w:sz w:val="32"/>
          <w:szCs w:val="32"/>
          <w:lang w:val="en-US" w:eastAsia="zh-CN"/>
        </w:rPr>
        <w:t>20</w:t>
      </w:r>
      <w:r>
        <w:rPr>
          <w:rFonts w:hint="eastAsia" w:eastAsia="仿宋_GB2312"/>
          <w:color w:val="000000"/>
          <w:sz w:val="32"/>
          <w:szCs w:val="32"/>
        </w:rPr>
        <w:t>年12月底，单位共有公务用车0辆，其中：主要领导干部用车0辆、机要通信用车0辆、应急保障用车0辆、 执法执勤用车0辆。</w:t>
      </w:r>
    </w:p>
    <w:p>
      <w:pPr>
        <w:adjustRightInd w:val="0"/>
        <w:snapToGrid w:val="0"/>
        <w:spacing w:line="580" w:lineRule="exact"/>
        <w:ind w:firstLine="643" w:firstLineChars="200"/>
        <w:rPr>
          <w:rFonts w:hint="eastAsia" w:eastAsia="仿宋_GB2312"/>
          <w:color w:val="000000"/>
          <w:sz w:val="32"/>
          <w:szCs w:val="32"/>
        </w:rPr>
      </w:pPr>
      <w:r>
        <w:rPr>
          <w:rFonts w:hint="eastAsia" w:ascii="仿宋_GB2312" w:eastAsia="仿宋_GB2312"/>
          <w:b/>
          <w:color w:val="000000"/>
          <w:sz w:val="32"/>
          <w:szCs w:val="32"/>
        </w:rPr>
        <w:t>公务用车运行维护费支出</w:t>
      </w:r>
      <w:r>
        <w:rPr>
          <w:rFonts w:hint="eastAsia" w:eastAsia="仿宋_GB2312"/>
          <w:color w:val="000000"/>
          <w:sz w:val="32"/>
          <w:szCs w:val="32"/>
        </w:rPr>
        <w:t>0万元。主要用于（具体工作）等所需的公务用车燃料费、维修费、过路过桥费、保险费等支出。</w:t>
      </w:r>
    </w:p>
    <w:p>
      <w:pPr>
        <w:adjustRightInd w:val="0"/>
        <w:snapToGrid w:val="0"/>
        <w:spacing w:line="580" w:lineRule="exact"/>
        <w:ind w:firstLine="640" w:firstLineChars="200"/>
        <w:rPr>
          <w:rFonts w:hint="eastAsia" w:eastAsia="仿宋_GB2312"/>
          <w:color w:val="000000"/>
          <w:sz w:val="32"/>
          <w:szCs w:val="32"/>
        </w:rPr>
      </w:pPr>
      <w:r>
        <w:rPr>
          <w:rFonts w:hint="eastAsia" w:eastAsia="仿宋_GB2312"/>
          <w:color w:val="000000"/>
          <w:sz w:val="32"/>
          <w:szCs w:val="32"/>
        </w:rPr>
        <w:t>3.20</w:t>
      </w:r>
      <w:r>
        <w:rPr>
          <w:rFonts w:hint="eastAsia" w:eastAsia="仿宋_GB2312"/>
          <w:color w:val="000000"/>
          <w:sz w:val="32"/>
          <w:szCs w:val="32"/>
          <w:lang w:val="en-US" w:eastAsia="zh-CN"/>
        </w:rPr>
        <w:t>20</w:t>
      </w:r>
      <w:r>
        <w:rPr>
          <w:rFonts w:hint="eastAsia" w:eastAsia="仿宋_GB2312"/>
          <w:color w:val="000000"/>
          <w:sz w:val="32"/>
          <w:szCs w:val="32"/>
        </w:rPr>
        <w:t>年“三公”经费财政拨款支出决算为0.</w:t>
      </w:r>
      <w:r>
        <w:rPr>
          <w:rFonts w:hint="eastAsia" w:eastAsia="仿宋_GB2312"/>
          <w:color w:val="000000"/>
          <w:sz w:val="32"/>
          <w:szCs w:val="32"/>
          <w:lang w:val="en-US" w:eastAsia="zh-CN"/>
        </w:rPr>
        <w:t>10</w:t>
      </w:r>
      <w:r>
        <w:rPr>
          <w:rFonts w:hint="eastAsia" w:eastAsia="仿宋_GB2312"/>
          <w:color w:val="000000"/>
          <w:sz w:val="32"/>
          <w:szCs w:val="32"/>
        </w:rPr>
        <w:t>万元，完成预算</w:t>
      </w:r>
      <w:r>
        <w:rPr>
          <w:rFonts w:hint="eastAsia" w:eastAsia="仿宋_GB2312"/>
          <w:color w:val="000000"/>
          <w:sz w:val="32"/>
          <w:szCs w:val="32"/>
          <w:lang w:val="en-US" w:eastAsia="zh-CN"/>
        </w:rPr>
        <w:t>25.98</w:t>
      </w:r>
      <w:r>
        <w:rPr>
          <w:rFonts w:hint="eastAsia" w:eastAsia="仿宋_GB2312"/>
          <w:color w:val="000000"/>
          <w:sz w:val="32"/>
          <w:szCs w:val="32"/>
        </w:rPr>
        <w:t>%，决算数小于预算数的主要原因由于疫情原因202</w:t>
      </w:r>
      <w:r>
        <w:rPr>
          <w:rFonts w:hint="eastAsia" w:eastAsia="仿宋_GB2312"/>
          <w:color w:val="000000"/>
          <w:sz w:val="32"/>
          <w:szCs w:val="32"/>
          <w:lang w:val="en-US" w:eastAsia="zh-CN"/>
        </w:rPr>
        <w:t>0</w:t>
      </w:r>
      <w:r>
        <w:rPr>
          <w:rFonts w:hint="eastAsia" w:eastAsia="仿宋_GB2312"/>
          <w:color w:val="000000"/>
          <w:sz w:val="32"/>
          <w:szCs w:val="32"/>
        </w:rPr>
        <w:t>年减少了接待。</w:t>
      </w:r>
    </w:p>
    <w:p>
      <w:pPr>
        <w:adjustRightInd w:val="0"/>
        <w:snapToGrid w:val="0"/>
        <w:spacing w:line="580" w:lineRule="exact"/>
        <w:ind w:firstLine="640" w:firstLineChars="200"/>
        <w:rPr>
          <w:rFonts w:hint="eastAsia"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国内公务接待支出0.</w:t>
      </w:r>
      <w:r>
        <w:rPr>
          <w:rFonts w:hint="eastAsia" w:eastAsia="仿宋_GB2312"/>
          <w:color w:val="000000" w:themeColor="text1"/>
          <w:sz w:val="32"/>
          <w:szCs w:val="32"/>
          <w:lang w:val="en-US" w:eastAsia="zh-CN"/>
          <w14:textFill>
            <w14:solidFill>
              <w14:schemeClr w14:val="tx1"/>
            </w14:solidFill>
          </w14:textFill>
        </w:rPr>
        <w:t>10</w:t>
      </w:r>
      <w:r>
        <w:rPr>
          <w:rFonts w:hint="eastAsia"/>
          <w:color w:val="000000" w:themeColor="text1"/>
          <w:sz w:val="32"/>
          <w:szCs w:val="32"/>
          <w:lang w:val="en-US" w:eastAsia="zh-CN"/>
          <w14:textFill>
            <w14:solidFill>
              <w14:schemeClr w14:val="tx1"/>
            </w14:solidFill>
          </w14:textFill>
        </w:rPr>
        <w:t>08</w:t>
      </w:r>
      <w:r>
        <w:rPr>
          <w:rFonts w:hint="eastAsia" w:eastAsia="仿宋_GB2312"/>
          <w:color w:val="000000" w:themeColor="text1"/>
          <w:sz w:val="32"/>
          <w:szCs w:val="32"/>
          <w14:textFill>
            <w14:solidFill>
              <w14:schemeClr w14:val="tx1"/>
            </w14:solidFill>
          </w14:textFill>
        </w:rPr>
        <w:t>万元，主要用于(执行公务、开展业务活动开支的交通费、住宿费、用餐费等)。国内公务接待</w:t>
      </w:r>
      <w:r>
        <w:rPr>
          <w:rFonts w:hint="eastAsia"/>
          <w:color w:val="000000" w:themeColor="text1"/>
          <w:sz w:val="32"/>
          <w:szCs w:val="32"/>
          <w:lang w:val="en-US" w:eastAsia="zh-CN"/>
          <w14:textFill>
            <w14:solidFill>
              <w14:schemeClr w14:val="tx1"/>
            </w14:solidFill>
          </w14:textFill>
        </w:rPr>
        <w:t>1</w:t>
      </w:r>
      <w:r>
        <w:rPr>
          <w:rFonts w:hint="eastAsia" w:eastAsia="仿宋_GB2312"/>
          <w:color w:val="000000" w:themeColor="text1"/>
          <w:sz w:val="32"/>
          <w:szCs w:val="32"/>
          <w14:textFill>
            <w14:solidFill>
              <w14:schemeClr w14:val="tx1"/>
            </w14:solidFill>
          </w14:textFill>
        </w:rPr>
        <w:t>批次，</w:t>
      </w:r>
      <w:r>
        <w:rPr>
          <w:rFonts w:hint="eastAsia"/>
          <w:color w:val="000000" w:themeColor="text1"/>
          <w:sz w:val="32"/>
          <w:szCs w:val="32"/>
          <w:lang w:val="en-US" w:eastAsia="zh-CN"/>
          <w14:textFill>
            <w14:solidFill>
              <w14:schemeClr w14:val="tx1"/>
            </w14:solidFill>
          </w14:textFill>
        </w:rPr>
        <w:t>15</w:t>
      </w:r>
      <w:r>
        <w:rPr>
          <w:rFonts w:hint="eastAsia" w:eastAsia="仿宋_GB2312"/>
          <w:color w:val="000000" w:themeColor="text1"/>
          <w:sz w:val="32"/>
          <w:szCs w:val="32"/>
          <w14:textFill>
            <w14:solidFill>
              <w14:schemeClr w14:val="tx1"/>
            </w14:solidFill>
          </w14:textFill>
        </w:rPr>
        <w:t>人次（不包括陪同人员），共计支出0.</w:t>
      </w:r>
      <w:r>
        <w:rPr>
          <w:rFonts w:hint="eastAsia" w:eastAsia="仿宋_GB2312"/>
          <w:color w:val="000000" w:themeColor="text1"/>
          <w:sz w:val="32"/>
          <w:szCs w:val="32"/>
          <w:lang w:val="en-US" w:eastAsia="zh-CN"/>
          <w14:textFill>
            <w14:solidFill>
              <w14:schemeClr w14:val="tx1"/>
            </w14:solidFill>
          </w14:textFill>
        </w:rPr>
        <w:t>10</w:t>
      </w:r>
      <w:r>
        <w:rPr>
          <w:rFonts w:hint="eastAsia"/>
          <w:color w:val="000000" w:themeColor="text1"/>
          <w:sz w:val="32"/>
          <w:szCs w:val="32"/>
          <w:lang w:val="en-US" w:eastAsia="zh-CN"/>
          <w14:textFill>
            <w14:solidFill>
              <w14:schemeClr w14:val="tx1"/>
            </w14:solidFill>
          </w14:textFill>
        </w:rPr>
        <w:t>08</w:t>
      </w:r>
      <w:r>
        <w:rPr>
          <w:rFonts w:hint="eastAsia" w:eastAsia="仿宋_GB2312"/>
          <w:color w:val="000000" w:themeColor="text1"/>
          <w:sz w:val="32"/>
          <w:szCs w:val="32"/>
          <w14:textFill>
            <w14:solidFill>
              <w14:schemeClr w14:val="tx1"/>
            </w14:solidFill>
          </w14:textFill>
        </w:rPr>
        <w:t>万元，具体内容包括：餐费0.</w:t>
      </w:r>
      <w:r>
        <w:rPr>
          <w:rFonts w:hint="eastAsia" w:eastAsia="仿宋_GB2312"/>
          <w:color w:val="000000" w:themeColor="text1"/>
          <w:sz w:val="32"/>
          <w:szCs w:val="32"/>
          <w:lang w:val="en-US" w:eastAsia="zh-CN"/>
          <w14:textFill>
            <w14:solidFill>
              <w14:schemeClr w14:val="tx1"/>
            </w14:solidFill>
          </w14:textFill>
        </w:rPr>
        <w:t>10</w:t>
      </w:r>
      <w:r>
        <w:rPr>
          <w:rFonts w:hint="eastAsia"/>
          <w:color w:val="000000" w:themeColor="text1"/>
          <w:sz w:val="32"/>
          <w:szCs w:val="32"/>
          <w:lang w:val="en-US" w:eastAsia="zh-CN"/>
          <w14:textFill>
            <w14:solidFill>
              <w14:schemeClr w14:val="tx1"/>
            </w14:solidFill>
          </w14:textFill>
        </w:rPr>
        <w:t>08</w:t>
      </w:r>
      <w:r>
        <w:rPr>
          <w:rFonts w:hint="eastAsia" w:eastAsia="仿宋_GB2312"/>
          <w:color w:val="000000" w:themeColor="text1"/>
          <w:sz w:val="32"/>
          <w:szCs w:val="32"/>
          <w14:textFill>
            <w14:solidFill>
              <w14:schemeClr w14:val="tx1"/>
            </w14:solidFill>
          </w14:textFill>
        </w:rPr>
        <w:t>万元。</w:t>
      </w:r>
    </w:p>
    <w:p>
      <w:pPr>
        <w:adjustRightInd w:val="0"/>
        <w:snapToGrid w:val="0"/>
        <w:spacing w:line="580" w:lineRule="exact"/>
        <w:ind w:firstLine="640" w:firstLineChars="200"/>
        <w:rPr>
          <w:rFonts w:hint="eastAsia" w:eastAsia="仿宋_GB2312"/>
          <w:color w:val="000000"/>
          <w:sz w:val="32"/>
          <w:szCs w:val="32"/>
        </w:rPr>
      </w:pPr>
      <w:r>
        <w:rPr>
          <w:rFonts w:hint="eastAsia" w:eastAsia="仿宋_GB2312"/>
          <w:color w:val="000000"/>
          <w:sz w:val="32"/>
          <w:szCs w:val="32"/>
        </w:rPr>
        <w:t>外事接待支出</w:t>
      </w:r>
      <w:r>
        <w:rPr>
          <w:rFonts w:hint="eastAsia" w:eastAsia="仿宋_GB2312"/>
          <w:color w:val="000000"/>
          <w:sz w:val="32"/>
          <w:szCs w:val="32"/>
          <w:lang w:val="en-US" w:eastAsia="zh-CN"/>
        </w:rPr>
        <w:t>0</w:t>
      </w:r>
      <w:r>
        <w:rPr>
          <w:rFonts w:hint="eastAsia" w:eastAsia="仿宋_GB2312"/>
          <w:color w:val="000000"/>
          <w:sz w:val="32"/>
          <w:szCs w:val="32"/>
        </w:rPr>
        <w:t>万元，外事接待</w:t>
      </w:r>
      <w:r>
        <w:rPr>
          <w:rFonts w:hint="eastAsia" w:eastAsia="仿宋_GB2312"/>
          <w:color w:val="000000"/>
          <w:sz w:val="32"/>
          <w:szCs w:val="32"/>
          <w:lang w:val="en-US" w:eastAsia="zh-CN"/>
        </w:rPr>
        <w:t>0</w:t>
      </w:r>
      <w:r>
        <w:rPr>
          <w:rFonts w:hint="eastAsia" w:eastAsia="仿宋_GB2312"/>
          <w:color w:val="000000"/>
          <w:sz w:val="32"/>
          <w:szCs w:val="32"/>
        </w:rPr>
        <w:t>批次，</w:t>
      </w:r>
      <w:r>
        <w:rPr>
          <w:rFonts w:hint="eastAsia" w:eastAsia="仿宋_GB2312"/>
          <w:color w:val="000000"/>
          <w:sz w:val="32"/>
          <w:szCs w:val="32"/>
          <w:lang w:val="en-US" w:eastAsia="zh-CN"/>
        </w:rPr>
        <w:t>0</w:t>
      </w:r>
      <w:r>
        <w:rPr>
          <w:rFonts w:hint="eastAsia" w:eastAsia="仿宋_GB2312"/>
          <w:color w:val="000000"/>
          <w:sz w:val="32"/>
          <w:szCs w:val="32"/>
        </w:rPr>
        <w:t>人，共计支出</w:t>
      </w:r>
      <w:r>
        <w:rPr>
          <w:rFonts w:hint="eastAsia" w:eastAsia="仿宋_GB2312"/>
          <w:color w:val="000000"/>
          <w:sz w:val="32"/>
          <w:szCs w:val="32"/>
          <w:lang w:val="en-US" w:eastAsia="zh-CN"/>
        </w:rPr>
        <w:t>0</w:t>
      </w:r>
      <w:r>
        <w:rPr>
          <w:rFonts w:hint="eastAsia" w:eastAsia="仿宋_GB2312"/>
          <w:color w:val="000000"/>
          <w:sz w:val="32"/>
          <w:szCs w:val="32"/>
        </w:rPr>
        <w:t>万元。</w:t>
      </w:r>
      <w:bookmarkStart w:id="54" w:name="_Toc15396610"/>
      <w:bookmarkStart w:id="55" w:name="_Toc15377218"/>
      <w:bookmarkStart w:id="56" w:name="_Toc9843"/>
    </w:p>
    <w:p>
      <w:pPr>
        <w:spacing w:line="600" w:lineRule="exact"/>
        <w:ind w:firstLine="640"/>
        <w:outlineLvl w:val="1"/>
        <w:rPr>
          <w:rStyle w:val="16"/>
          <w:rFonts w:ascii="黑体" w:hAnsi="黑体" w:eastAsia="黑体"/>
        </w:rPr>
      </w:pPr>
      <w:bookmarkStart w:id="57" w:name="_Toc12015"/>
      <w:r>
        <w:rPr>
          <w:rFonts w:hint="eastAsia" w:ascii="黑体" w:eastAsia="黑体"/>
          <w:color w:val="000000"/>
          <w:sz w:val="32"/>
          <w:szCs w:val="32"/>
        </w:rPr>
        <w:t>八、</w:t>
      </w:r>
      <w:r>
        <w:rPr>
          <w:rStyle w:val="16"/>
          <w:rFonts w:hint="eastAsia" w:ascii="黑体" w:hAnsi="黑体" w:eastAsia="黑体"/>
          <w:b w:val="0"/>
        </w:rPr>
        <w:t>政府性基金预算支出决算情况说明</w:t>
      </w:r>
      <w:bookmarkEnd w:id="54"/>
      <w:bookmarkEnd w:id="55"/>
      <w:bookmarkEnd w:id="56"/>
      <w:bookmarkEnd w:id="57"/>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年政府性基金预算拨款支</w:t>
      </w:r>
      <w:r>
        <w:rPr>
          <w:rFonts w:hint="eastAsia" w:ascii="仿宋_GB2312"/>
          <w:color w:val="000000"/>
          <w:sz w:val="32"/>
          <w:szCs w:val="32"/>
          <w:lang w:val="en-US" w:eastAsia="zh-CN"/>
        </w:rPr>
        <w:t>0</w:t>
      </w:r>
      <w:r>
        <w:rPr>
          <w:rFonts w:hint="eastAsia" w:ascii="仿宋_GB2312" w:eastAsia="仿宋_GB2312"/>
          <w:color w:val="000000"/>
          <w:sz w:val="32"/>
          <w:szCs w:val="32"/>
        </w:rPr>
        <w:t>万元。</w:t>
      </w:r>
    </w:p>
    <w:p>
      <w:pPr>
        <w:spacing w:line="600" w:lineRule="exact"/>
        <w:ind w:firstLine="640"/>
        <w:rPr>
          <w:rFonts w:ascii="仿宋_GB2312" w:eastAsia="仿宋_GB2312"/>
          <w:color w:val="000000"/>
          <w:sz w:val="32"/>
          <w:szCs w:val="32"/>
        </w:rPr>
      </w:pPr>
    </w:p>
    <w:p>
      <w:pPr>
        <w:numPr>
          <w:ilvl w:val="0"/>
          <w:numId w:val="4"/>
        </w:numPr>
        <w:spacing w:line="600" w:lineRule="exact"/>
        <w:ind w:firstLine="640"/>
        <w:outlineLvl w:val="1"/>
        <w:rPr>
          <w:rStyle w:val="16"/>
          <w:rFonts w:ascii="黑体" w:hAnsi="黑体" w:eastAsia="黑体"/>
          <w:b w:val="0"/>
        </w:rPr>
      </w:pPr>
      <w:bookmarkStart w:id="58" w:name="_Toc15377219"/>
      <w:bookmarkStart w:id="59" w:name="_Toc15396611"/>
      <w:bookmarkStart w:id="60" w:name="_Toc10775"/>
      <w:bookmarkStart w:id="61" w:name="_Toc23947"/>
      <w:r>
        <w:rPr>
          <w:rStyle w:val="16"/>
          <w:rFonts w:hint="eastAsia" w:ascii="黑体" w:hAnsi="黑体" w:eastAsia="黑体"/>
          <w:b w:val="0"/>
        </w:rPr>
        <w:t>国有资本经营预算支出决算情况说明</w:t>
      </w:r>
      <w:bookmarkEnd w:id="58"/>
      <w:bookmarkEnd w:id="59"/>
      <w:bookmarkEnd w:id="60"/>
      <w:bookmarkEnd w:id="61"/>
    </w:p>
    <w:p>
      <w:pPr>
        <w:spacing w:line="600" w:lineRule="exact"/>
        <w:ind w:firstLine="640"/>
        <w:rPr>
          <w:rFonts w:hint="eastAsia" w:ascii="方正小标宋简体" w:hAnsi="方正小标宋简体" w:eastAsia="方正小标宋简体" w:cs="方正小标宋简体"/>
          <w:sz w:val="44"/>
          <w:szCs w:val="44"/>
          <w:lang w:eastAsia="zh-CN"/>
        </w:rPr>
      </w:pPr>
      <w:r>
        <w:rPr>
          <w:rFonts w:hint="eastAsia" w:eastAsia="仿宋_GB2312"/>
          <w:color w:val="000000"/>
          <w:sz w:val="32"/>
          <w:szCs w:val="32"/>
          <w:lang w:val="en-US" w:eastAsia="zh-CN"/>
        </w:rPr>
        <w:t>2020年国有资本经营预算拨款支出0万元。</w:t>
      </w:r>
    </w:p>
    <w:p>
      <w:pPr>
        <w:spacing w:line="600" w:lineRule="exact"/>
        <w:ind w:firstLine="800" w:firstLineChars="250"/>
        <w:outlineLvl w:val="1"/>
        <w:rPr>
          <w:rStyle w:val="16"/>
          <w:rFonts w:ascii="黑体" w:hAnsi="黑体" w:eastAsia="黑体"/>
        </w:rPr>
      </w:pPr>
      <w:bookmarkStart w:id="62" w:name="_Toc738"/>
      <w:bookmarkStart w:id="63" w:name="_Toc15377221"/>
      <w:bookmarkStart w:id="64" w:name="_Toc15396612"/>
      <w:bookmarkStart w:id="65" w:name="_Toc32732"/>
      <w:r>
        <w:rPr>
          <w:rFonts w:hint="eastAsia" w:ascii="黑体" w:hAnsi="黑体" w:eastAsia="黑体"/>
          <w:color w:val="000000"/>
          <w:sz w:val="32"/>
          <w:szCs w:val="32"/>
        </w:rPr>
        <w:t>十</w:t>
      </w:r>
      <w:r>
        <w:rPr>
          <w:rStyle w:val="16"/>
          <w:rFonts w:hint="eastAsia" w:ascii="黑体" w:hAnsi="黑体" w:eastAsia="黑体"/>
        </w:rPr>
        <w:t>、</w:t>
      </w:r>
      <w:r>
        <w:rPr>
          <w:rStyle w:val="16"/>
          <w:rFonts w:hint="eastAsia" w:ascii="黑体" w:hAnsi="黑体" w:eastAsia="黑体"/>
          <w:b w:val="0"/>
        </w:rPr>
        <w:t>其他重要事项的情况说明</w:t>
      </w:r>
      <w:bookmarkEnd w:id="62"/>
      <w:bookmarkEnd w:id="63"/>
      <w:bookmarkEnd w:id="64"/>
      <w:bookmarkEnd w:id="65"/>
    </w:p>
    <w:p>
      <w:pPr>
        <w:spacing w:line="600" w:lineRule="exact"/>
        <w:ind w:firstLine="643" w:firstLineChars="200"/>
        <w:outlineLvl w:val="2"/>
        <w:rPr>
          <w:rFonts w:hint="eastAsia" w:ascii="楷体_GB2312" w:hAnsi="楷体_GB2312" w:eastAsia="楷体_GB2312" w:cs="楷体_GB2312"/>
          <w:color w:val="000000"/>
          <w:sz w:val="32"/>
          <w:szCs w:val="32"/>
        </w:rPr>
      </w:pPr>
      <w:bookmarkStart w:id="66" w:name="_Toc15377222"/>
      <w:r>
        <w:rPr>
          <w:rFonts w:hint="eastAsia" w:ascii="楷体_GB2312" w:hAnsi="楷体_GB2312" w:eastAsia="楷体_GB2312" w:cs="楷体_GB2312"/>
          <w:b/>
          <w:color w:val="000000"/>
          <w:sz w:val="32"/>
          <w:szCs w:val="32"/>
        </w:rPr>
        <w:t>（一）机关运行经费支出情况</w:t>
      </w:r>
      <w:bookmarkEnd w:id="66"/>
    </w:p>
    <w:p>
      <w:pPr>
        <w:spacing w:line="600" w:lineRule="exact"/>
        <w:ind w:firstLine="640"/>
        <w:rPr>
          <w:rFonts w:hint="eastAsia" w:eastAsia="仿宋_GB2312"/>
          <w:color w:val="000000"/>
          <w:sz w:val="32"/>
          <w:szCs w:val="32"/>
          <w:lang w:val="en-US" w:eastAsia="zh-CN"/>
        </w:rPr>
      </w:pPr>
      <w:r>
        <w:rPr>
          <w:rFonts w:hint="eastAsia" w:eastAsia="仿宋_GB2312"/>
          <w:color w:val="000000"/>
          <w:sz w:val="32"/>
          <w:szCs w:val="32"/>
          <w:lang w:val="en-US" w:eastAsia="zh-CN"/>
        </w:rPr>
        <w:t>2020年，供销社机关运行经费支出10.39万元，比2019年增加了5.08万元，主要原因是新调入公务员一名，增加了疫情值班经费。</w:t>
      </w:r>
    </w:p>
    <w:p>
      <w:pPr>
        <w:autoSpaceDE w:val="0"/>
        <w:autoSpaceDN w:val="0"/>
        <w:adjustRightInd w:val="0"/>
        <w:spacing w:line="600" w:lineRule="exact"/>
        <w:ind w:firstLine="643" w:firstLineChars="200"/>
        <w:jc w:val="left"/>
        <w:outlineLvl w:val="2"/>
        <w:rPr>
          <w:rFonts w:hint="eastAsia" w:ascii="楷体_GB2312" w:hAnsi="楷体_GB2312" w:eastAsia="楷体_GB2312" w:cs="楷体_GB2312"/>
          <w:b/>
          <w:color w:val="000000"/>
          <w:sz w:val="32"/>
          <w:szCs w:val="32"/>
        </w:rPr>
      </w:pPr>
      <w:bookmarkStart w:id="67" w:name="_Toc15377223"/>
      <w:r>
        <w:rPr>
          <w:rFonts w:hint="eastAsia" w:ascii="楷体_GB2312" w:hAnsi="楷体_GB2312" w:eastAsia="楷体_GB2312" w:cs="楷体_GB2312"/>
          <w:b/>
          <w:color w:val="000000"/>
          <w:sz w:val="32"/>
          <w:szCs w:val="32"/>
        </w:rPr>
        <w:t>（二）政府采购支出情况</w:t>
      </w:r>
      <w:bookmarkEnd w:id="67"/>
    </w:p>
    <w:p>
      <w:pPr>
        <w:spacing w:line="600" w:lineRule="exact"/>
        <w:ind w:firstLine="640"/>
        <w:rPr>
          <w:rFonts w:hint="eastAsia" w:eastAsia="仿宋_GB2312"/>
          <w:color w:val="000000"/>
          <w:sz w:val="32"/>
          <w:szCs w:val="32"/>
          <w:lang w:val="en-US" w:eastAsia="zh-CN"/>
        </w:rPr>
      </w:pPr>
      <w:r>
        <w:rPr>
          <w:rFonts w:hint="eastAsia" w:eastAsia="仿宋_GB2312"/>
          <w:color w:val="000000"/>
          <w:sz w:val="32"/>
          <w:szCs w:val="32"/>
          <w:lang w:val="en-US" w:eastAsia="zh-CN"/>
        </w:rPr>
        <w:t>2020年，供销社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autoSpaceDE w:val="0"/>
        <w:autoSpaceDN w:val="0"/>
        <w:adjustRightInd w:val="0"/>
        <w:spacing w:line="600" w:lineRule="exact"/>
        <w:ind w:firstLine="643" w:firstLineChars="200"/>
        <w:jc w:val="left"/>
        <w:outlineLvl w:val="2"/>
        <w:rPr>
          <w:rFonts w:hint="eastAsia" w:ascii="楷体_GB2312" w:hAnsi="楷体_GB2312" w:eastAsia="楷体_GB2312" w:cs="楷体_GB2312"/>
          <w:b/>
          <w:color w:val="000000"/>
          <w:sz w:val="32"/>
          <w:szCs w:val="32"/>
        </w:rPr>
      </w:pPr>
      <w:bookmarkStart w:id="68" w:name="_Toc15377224"/>
      <w:r>
        <w:rPr>
          <w:rFonts w:hint="eastAsia" w:ascii="楷体_GB2312" w:hAnsi="楷体_GB2312" w:eastAsia="楷体_GB2312" w:cs="楷体_GB2312"/>
          <w:b/>
          <w:color w:val="000000"/>
          <w:sz w:val="32"/>
          <w:szCs w:val="32"/>
        </w:rPr>
        <w:t>（三）国有资产占有使用情况</w:t>
      </w:r>
      <w:bookmarkEnd w:id="68"/>
    </w:p>
    <w:p>
      <w:pPr>
        <w:spacing w:line="600" w:lineRule="exact"/>
        <w:ind w:firstLine="640"/>
        <w:rPr>
          <w:rFonts w:hint="eastAsia" w:eastAsia="仿宋_GB2312"/>
          <w:color w:val="000000"/>
          <w:sz w:val="32"/>
          <w:szCs w:val="32"/>
          <w:lang w:val="en-US" w:eastAsia="zh-CN"/>
        </w:rPr>
      </w:pPr>
      <w:r>
        <w:rPr>
          <w:rFonts w:hint="eastAsia" w:eastAsia="仿宋_GB2312"/>
          <w:color w:val="000000"/>
          <w:sz w:val="32"/>
          <w:szCs w:val="32"/>
          <w:lang w:val="en-US" w:eastAsia="zh-CN"/>
        </w:rPr>
        <w:t>截至2020年12月31日，共有车辆0辆，其中：主要领导干部用车0 辆、机要通信用车0 辆、应急保障用车0 辆、其他用车0 辆、其他用车主要是用于元，单价50万元以上通用设备0 台（套），单价100万元以上专用设备0 台（套）。</w:t>
      </w:r>
    </w:p>
    <w:p>
      <w:pPr>
        <w:autoSpaceDE w:val="0"/>
        <w:autoSpaceDN w:val="0"/>
        <w:adjustRightInd w:val="0"/>
        <w:spacing w:line="600" w:lineRule="exact"/>
        <w:ind w:firstLine="643" w:firstLineChars="200"/>
        <w:jc w:val="left"/>
        <w:outlineLvl w:val="2"/>
        <w:rPr>
          <w:rFonts w:hint="eastAsia" w:ascii="楷体_GB2312" w:hAnsi="楷体_GB2312" w:eastAsia="楷体_GB2312" w:cs="楷体_GB2312"/>
          <w:b/>
          <w:color w:val="000000"/>
          <w:sz w:val="32"/>
          <w:szCs w:val="32"/>
        </w:rPr>
      </w:pPr>
      <w:r>
        <w:rPr>
          <w:rFonts w:hint="eastAsia" w:ascii="楷体_GB2312" w:hAnsi="楷体_GB2312" w:eastAsia="楷体_GB2312" w:cs="楷体_GB2312"/>
          <w:b/>
          <w:color w:val="000000"/>
          <w:sz w:val="32"/>
          <w:szCs w:val="32"/>
        </w:rPr>
        <w:t>（四）预算绩效管理情况</w:t>
      </w:r>
    </w:p>
    <w:p>
      <w:pPr>
        <w:spacing w:line="600" w:lineRule="exact"/>
        <w:ind w:firstLine="640"/>
        <w:rPr>
          <w:rFonts w:hint="eastAsia" w:eastAsia="仿宋_GB2312"/>
          <w:color w:val="000000"/>
          <w:sz w:val="32"/>
          <w:szCs w:val="32"/>
          <w:lang w:val="en-US" w:eastAsia="zh-CN"/>
        </w:rPr>
      </w:pPr>
      <w:r>
        <w:rPr>
          <w:rFonts w:hint="eastAsia" w:eastAsia="仿宋_GB2312"/>
          <w:color w:val="000000"/>
          <w:sz w:val="32"/>
          <w:szCs w:val="32"/>
          <w:lang w:val="en-US" w:eastAsia="zh-CN"/>
        </w:rPr>
        <w:t>根据预算绩效管理要求，区供销合作社联合社在年初预算编制阶段，组织对3个项目开展了预算事前绩效评估，对3个项目编制了绩效目标，预算执行过程中，选取3个项目开展绩效监控，年终执行完毕后，对3个项目开展了绩效目标完成情况自评。</w:t>
      </w:r>
    </w:p>
    <w:p>
      <w:pPr>
        <w:spacing w:line="600" w:lineRule="exact"/>
        <w:ind w:firstLine="640"/>
        <w:rPr>
          <w:rFonts w:hint="eastAsia" w:ascii="仿宋_GB2312" w:hAnsi="Times New Roman" w:eastAsia="仿宋_GB2312" w:cs="Times New Roman"/>
          <w:color w:val="000000"/>
          <w:sz w:val="32"/>
          <w:szCs w:val="32"/>
        </w:rPr>
      </w:pPr>
      <w:r>
        <w:rPr>
          <w:rFonts w:hint="eastAsia" w:eastAsia="仿宋_GB2312"/>
          <w:color w:val="000000"/>
          <w:sz w:val="32"/>
          <w:szCs w:val="32"/>
          <w:lang w:val="en-US" w:eastAsia="zh-CN"/>
        </w:rPr>
        <w:t>本部门按要求2020年部门决算中反映“综合体制改革经费项目”“供销经营服务体系建设农村组织会计代理服务中心标准化建设项目”“四川供销云服务”体系建设项目”整体支出开展绩效自评，从绩效评价整体结果来看，我单位在2020年的绩效评价能合理、合规的进行预算编制和执行。</w:t>
      </w:r>
    </w:p>
    <w:p>
      <w:pPr>
        <w:autoSpaceDE w:val="0"/>
        <w:autoSpaceDN w:val="0"/>
        <w:adjustRightInd w:val="0"/>
        <w:spacing w:line="600" w:lineRule="exact"/>
        <w:ind w:firstLine="643" w:firstLineChars="200"/>
        <w:jc w:val="left"/>
        <w:rPr>
          <w:rFonts w:hint="eastAsia" w:eastAsia="仿宋_GB2312"/>
          <w:color w:val="000000"/>
          <w:sz w:val="32"/>
          <w:szCs w:val="32"/>
          <w:lang w:val="en-US" w:eastAsia="zh-CN"/>
        </w:rPr>
      </w:pPr>
      <w:r>
        <w:rPr>
          <w:rFonts w:hint="eastAsia" w:ascii="仿宋_GB2312" w:hAnsi="Times New Roman" w:eastAsia="仿宋_GB2312" w:cs="Times New Roman"/>
          <w:b/>
          <w:bCs/>
          <w:color w:val="000000"/>
          <w:sz w:val="32"/>
          <w:szCs w:val="32"/>
        </w:rPr>
        <w:t>项目绩效目标完成情况。</w:t>
      </w:r>
      <w:r>
        <w:rPr>
          <w:rFonts w:hint="eastAsia" w:eastAsia="仿宋_GB2312"/>
          <w:color w:val="000000"/>
          <w:sz w:val="32"/>
          <w:szCs w:val="32"/>
          <w:lang w:val="en-US" w:eastAsia="zh-CN"/>
        </w:rPr>
        <w:t>本部门按要求2020年部门决算中反映“综合体制改革经费项目”“供销经营服务体系建设农村组织会计代理服务中心标准化建设项目”“四川供销云服务”体系建设项目”。</w:t>
      </w:r>
    </w:p>
    <w:p>
      <w:pPr>
        <w:spacing w:line="600" w:lineRule="exact"/>
        <w:ind w:firstLine="640"/>
        <w:rPr>
          <w:rFonts w:hint="eastAsia" w:eastAsia="仿宋_GB2312"/>
          <w:color w:val="000000"/>
          <w:sz w:val="32"/>
          <w:szCs w:val="32"/>
          <w:lang w:val="en-US" w:eastAsia="zh-CN"/>
        </w:rPr>
      </w:pPr>
      <w:r>
        <w:rPr>
          <w:rFonts w:hint="eastAsia" w:eastAsia="仿宋_GB2312"/>
          <w:color w:val="000000"/>
          <w:sz w:val="32"/>
          <w:szCs w:val="32"/>
          <w:lang w:val="en-US" w:eastAsia="zh-CN"/>
        </w:rPr>
        <w:t>综合体制改革经费项目全年预算数12.50万元，执行数12.50万元，完成预算的100%。通过项目实施，成立第一届理事会、监事会；对社有资产进行评估后分类处理，通过调整租金、隐患排查整治及对有利用价值的资产纳入招商引资计划等，有力盘活社有资产；优化公司员工结构，科学布局连锁网点，关停低效门店等推动社有企业经营，超市经营额突破2000万元，同比增加20%；对辖区8所中小学进行安全食材配送，月均配送营业额突破20万元，累计服务师生30万人次；柑橘基地项目1期1000亩优质果树今年挂果约10万斤，2期扩建项目已经启动。蔬菜基地提升改造完成并投产，预计年新增产值10万余元；通过资金入股、技术支持、渠道融合，在荣边镇干塘村建成蔬菜基地33亩、水产基地17亩、水果基地200亩，在飞龙峡镇丁香村发展黄桃基地300亩。</w:t>
      </w:r>
    </w:p>
    <w:p>
      <w:pPr>
        <w:spacing w:line="600" w:lineRule="exact"/>
        <w:ind w:firstLine="640"/>
        <w:rPr>
          <w:rFonts w:hint="eastAsia" w:eastAsia="仿宋_GB2312"/>
          <w:color w:val="000000"/>
          <w:sz w:val="32"/>
          <w:szCs w:val="32"/>
          <w:lang w:val="en-US" w:eastAsia="zh-CN"/>
        </w:rPr>
      </w:pPr>
      <w:r>
        <w:rPr>
          <w:rFonts w:hint="eastAsia" w:eastAsia="仿宋_GB2312"/>
          <w:color w:val="000000"/>
          <w:sz w:val="32"/>
          <w:szCs w:val="32"/>
          <w:lang w:val="en-US" w:eastAsia="zh-CN"/>
        </w:rPr>
        <w:t>供销经营服务体系农村组织会计代理服务中心标准化建设项目绩效目标完成情况综述。项目全年预算数24</w:t>
      </w:r>
      <w:r>
        <w:rPr>
          <w:rFonts w:hint="eastAsia"/>
          <w:color w:val="000000"/>
          <w:sz w:val="32"/>
          <w:szCs w:val="32"/>
          <w:lang w:val="en-US" w:eastAsia="zh-CN"/>
        </w:rPr>
        <w:t>.00</w:t>
      </w:r>
      <w:r>
        <w:rPr>
          <w:rFonts w:hint="eastAsia" w:eastAsia="仿宋_GB2312"/>
          <w:color w:val="000000"/>
          <w:sz w:val="32"/>
          <w:szCs w:val="32"/>
          <w:lang w:val="en-US" w:eastAsia="zh-CN"/>
        </w:rPr>
        <w:t>万元，执行数为24</w:t>
      </w:r>
      <w:r>
        <w:rPr>
          <w:rFonts w:hint="eastAsia"/>
          <w:color w:val="000000"/>
          <w:sz w:val="32"/>
          <w:szCs w:val="32"/>
          <w:lang w:val="en-US" w:eastAsia="zh-CN"/>
        </w:rPr>
        <w:t>.00</w:t>
      </w:r>
      <w:r>
        <w:rPr>
          <w:rFonts w:hint="eastAsia" w:eastAsia="仿宋_GB2312"/>
          <w:color w:val="000000"/>
          <w:sz w:val="32"/>
          <w:szCs w:val="32"/>
          <w:lang w:val="en-US" w:eastAsia="zh-CN"/>
        </w:rPr>
        <w:t>万元，完成预算的100%。通过不断加强标准化建设，使会计核算更为规范、财务数据更为真实，为代理服务工作推进更好提供了良好的基础保障，极大提高了会计代理服务的工作效率，服务质量不断提升。让48个服务对象对会计代理服务工作发生了积极转变，从最初的不理解到现在村财工作中所遇到问题首先向会计服务中心进行咨询，代理服务中心赢得了农村组织的信任，代理服务工作得到了服务对象广泛好评，有力推进农村组织财务管理更加规范，对农村社会治理提供极大助力。</w:t>
      </w:r>
    </w:p>
    <w:p>
      <w:pPr>
        <w:spacing w:line="600" w:lineRule="exact"/>
        <w:ind w:firstLine="640"/>
        <w:rPr>
          <w:rFonts w:hint="eastAsia" w:eastAsia="仿宋_GB2312"/>
          <w:color w:val="000000"/>
          <w:sz w:val="32"/>
          <w:szCs w:val="32"/>
          <w:lang w:val="en-US" w:eastAsia="zh-CN"/>
        </w:rPr>
      </w:pPr>
      <w:r>
        <w:rPr>
          <w:rFonts w:hint="eastAsia" w:eastAsia="仿宋_GB2312"/>
          <w:color w:val="000000"/>
          <w:sz w:val="32"/>
          <w:szCs w:val="32"/>
          <w:lang w:val="en-US" w:eastAsia="zh-CN"/>
        </w:rPr>
        <w:t>“四川供销云服务”体系建设项目绩效目标完成情况综述。项目全年预算数30</w:t>
      </w:r>
      <w:r>
        <w:rPr>
          <w:rFonts w:hint="eastAsia"/>
          <w:color w:val="000000"/>
          <w:sz w:val="32"/>
          <w:szCs w:val="32"/>
          <w:lang w:val="en-US" w:eastAsia="zh-CN"/>
        </w:rPr>
        <w:t>.00</w:t>
      </w:r>
      <w:r>
        <w:rPr>
          <w:rFonts w:hint="eastAsia" w:eastAsia="仿宋_GB2312"/>
          <w:color w:val="000000"/>
          <w:sz w:val="32"/>
          <w:szCs w:val="32"/>
          <w:lang w:val="en-US" w:eastAsia="zh-CN"/>
        </w:rPr>
        <w:t>万元，执行数为30</w:t>
      </w:r>
      <w:r>
        <w:rPr>
          <w:rFonts w:hint="eastAsia"/>
          <w:color w:val="000000"/>
          <w:sz w:val="32"/>
          <w:szCs w:val="32"/>
          <w:lang w:val="en-US" w:eastAsia="zh-CN"/>
        </w:rPr>
        <w:t>.00</w:t>
      </w:r>
      <w:r>
        <w:rPr>
          <w:rFonts w:hint="eastAsia" w:eastAsia="仿宋_GB2312"/>
          <w:color w:val="000000"/>
          <w:sz w:val="32"/>
          <w:szCs w:val="32"/>
          <w:lang w:val="en-US" w:eastAsia="zh-CN"/>
        </w:rPr>
        <w:t>万元，完成预算的100%。通过项目实施，完成会计服务中心提升改造并顺利通过省级验收。通过项目实施，“供销云服务”体系项目利用互联网技术可以开展大规模代理记账服务，具有广阔的市场前景；该体系可以跨区域及组织进行数据的采集分析，有利于相关部门适时掌握数据，为相关部门提供决策分析数据，具有资源整合效益。自流井区会计服务中心在运用供销云服务体系服务村集体财务工作中，利用系统强大处理数据及分析统计功能力及时发现各村社在财务工作中所暴露出的问题，并及时予以纠正。减少了各种不合规的开支，标准化体系的建立使得会计核算更为规范、财务数据更为真实，极大提高了村财工作效率。对各村进行政策宣讲及财务知识的培训解提高了各村对财务工作的思想意识，从最初的不理解到表现为各村在村财工作中所遇到问题首先向会计服务中心进行咨询，会计服务中心赢得了各村的信任及广泛好评。下一步区会计服务中心将拓展为农民专业合作社、农业产业企业、家庭农场、基层供销社、社区综合服务社等市场主体提供会计、咨询等各项服务，解决基层农业主体各项问题，“供销云服务”体系的建立具有良好的社会效益。</w:t>
      </w:r>
    </w:p>
    <w:p>
      <w:pPr>
        <w:pBdr>
          <w:top w:val="single" w:color="FFFFFF" w:sz="4" w:space="0"/>
          <w:left w:val="single" w:color="FFFFFF" w:sz="4" w:space="31"/>
          <w:bottom w:val="single" w:color="FFFFFF" w:sz="4" w:space="31"/>
          <w:right w:val="single" w:color="FFFFFF" w:sz="4" w:space="0"/>
        </w:pBdr>
        <w:adjustRightInd w:val="0"/>
        <w:snapToGrid w:val="0"/>
        <w:spacing w:line="592" w:lineRule="exact"/>
        <w:ind w:firstLine="640" w:firstLineChars="200"/>
        <w:rPr>
          <w:rFonts w:hint="eastAsia" w:ascii="仿宋_GB2312" w:hAnsi="仿宋_GB2312" w:eastAsia="仿宋_GB2312" w:cs="仿宋_GB2312"/>
          <w:color w:val="FF0000"/>
          <w:sz w:val="32"/>
          <w:szCs w:val="32"/>
          <w:lang w:eastAsia="zh-CN"/>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pStyle w:val="3"/>
        <w:rPr>
          <w:rFonts w:ascii="仿宋_GB2312" w:hAnsi="仿宋_GB2312" w:eastAsia="仿宋_GB2312" w:cs="仿宋_GB2312"/>
          <w:sz w:val="32"/>
          <w:szCs w:val="32"/>
        </w:rPr>
      </w:pPr>
    </w:p>
    <w:p>
      <w:pPr>
        <w:pStyle w:val="3"/>
        <w:rPr>
          <w:rFonts w:ascii="仿宋_GB2312" w:hAnsi="仿宋_GB2312" w:eastAsia="仿宋_GB2312" w:cs="仿宋_GB2312"/>
          <w:sz w:val="32"/>
          <w:szCs w:val="32"/>
        </w:rPr>
      </w:pPr>
    </w:p>
    <w:p>
      <w:pPr>
        <w:pStyle w:val="3"/>
        <w:rPr>
          <w:rFonts w:ascii="仿宋_GB2312" w:hAnsi="仿宋_GB2312" w:eastAsia="仿宋_GB2312" w:cs="仿宋_GB2312"/>
          <w:sz w:val="32"/>
          <w:szCs w:val="32"/>
        </w:rPr>
      </w:pPr>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eastAsia="zh-CN" w:bidi="ar"/>
              </w:rPr>
              <w:t>供销社</w:t>
            </w:r>
            <w:r>
              <w:rPr>
                <w:rFonts w:hint="eastAsia" w:ascii="宋体" w:hAnsi="宋体" w:cs="宋体"/>
                <w:b/>
                <w:bCs/>
                <w:color w:val="000000"/>
                <w:kern w:val="0"/>
                <w:sz w:val="36"/>
                <w:szCs w:val="36"/>
                <w:lang w:bidi="ar"/>
              </w:rPr>
              <w:t>综合体制改革经费项绩效目标完成情况表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综合体制改革经费项目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自贡市自流井区供销合作社联合社</w:t>
            </w:r>
          </w:p>
          <w:p>
            <w:pPr>
              <w:widowControl/>
              <w:jc w:val="center"/>
              <w:textAlignment w:val="center"/>
              <w:rPr>
                <w:rFonts w:hint="eastAsia" w:ascii="宋体" w:hAnsi="宋体" w:cs="宋体"/>
                <w:color w:val="000000"/>
                <w:kern w:val="0"/>
                <w:sz w:val="24"/>
                <w:lang w:bidi="ar"/>
              </w:rPr>
            </w:pPr>
          </w:p>
        </w:tc>
      </w:tr>
      <w:tr>
        <w:tblPrEx>
          <w:tblCellMar>
            <w:top w:w="0" w:type="dxa"/>
            <w:left w:w="0" w:type="dxa"/>
            <w:bottom w:w="0" w:type="dxa"/>
            <w:right w:w="0" w:type="dxa"/>
          </w:tblCellMar>
        </w:tblPrEx>
        <w:trPr>
          <w:trHeight w:val="257"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12.50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12.50</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12.50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12.50</w:t>
            </w:r>
          </w:p>
        </w:tc>
      </w:tr>
      <w:tr>
        <w:tblPrEx>
          <w:tblCellMar>
            <w:top w:w="0" w:type="dxa"/>
            <w:left w:w="0" w:type="dxa"/>
            <w:bottom w:w="0" w:type="dxa"/>
            <w:right w:w="0" w:type="dxa"/>
          </w:tblCellMar>
        </w:tblPrEx>
        <w:trPr>
          <w:trHeight w:val="1857"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顺利实施供销社综合改革</w:t>
            </w:r>
          </w:p>
          <w:p>
            <w:pPr>
              <w:widowControl/>
              <w:jc w:val="left"/>
              <w:textAlignment w:val="center"/>
              <w:rPr>
                <w:rFonts w:hint="eastAsia" w:ascii="宋体" w:hAnsi="宋体" w:cs="宋体"/>
                <w:color w:val="000000"/>
                <w:kern w:val="0"/>
                <w:sz w:val="24"/>
                <w:lang w:bidi="ar"/>
              </w:rPr>
            </w:pP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顺利实施供销社综合改革</w:t>
            </w:r>
          </w:p>
          <w:p>
            <w:pPr>
              <w:widowControl/>
              <w:jc w:val="left"/>
              <w:textAlignment w:val="center"/>
              <w:rPr>
                <w:rFonts w:hint="eastAsia" w:ascii="宋体" w:hAnsi="宋体" w:cs="宋体"/>
                <w:color w:val="000000"/>
                <w:kern w:val="0"/>
                <w:sz w:val="24"/>
                <w:lang w:bidi="ar"/>
              </w:rPr>
            </w:pP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总体目标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深化供销改革，提高群众满意率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深化供销改革，提高群众满意率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深化供销改革，提高群众满意率</w:t>
            </w:r>
          </w:p>
        </w:tc>
      </w:tr>
      <w:tr>
        <w:tblPrEx>
          <w:tblCellMar>
            <w:top w:w="0" w:type="dxa"/>
            <w:left w:w="0" w:type="dxa"/>
            <w:bottom w:w="0" w:type="dxa"/>
            <w:right w:w="0" w:type="dxa"/>
          </w:tblCellMar>
        </w:tblPrEx>
        <w:trPr>
          <w:trHeight w:val="90"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规范发展农民专合组织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1个</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1个</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eastAsia="宋体" w:cs="宋体"/>
                <w:i w:val="0"/>
                <w:color w:val="000000"/>
                <w:kern w:val="0"/>
                <w:sz w:val="20"/>
                <w:szCs w:val="20"/>
                <w:u w:val="none"/>
                <w:lang w:val="en-US" w:eastAsia="zh-CN" w:bidi="ar"/>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val="en-US" w:eastAsia="zh-CN"/>
              </w:rPr>
            </w:pPr>
            <w:r>
              <w:rPr>
                <w:rFonts w:hint="eastAsia" w:ascii="宋体" w:cs="宋体"/>
                <w:color w:val="000000"/>
                <w:sz w:val="24"/>
                <w:lang w:val="en-US" w:eastAsia="zh-CN"/>
              </w:rPr>
              <w:t>组织党员活动</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val="en-US" w:eastAsia="zh-CN"/>
              </w:rPr>
            </w:pPr>
            <w:r>
              <w:rPr>
                <w:rFonts w:hint="eastAsia" w:ascii="宋体" w:cs="宋体"/>
                <w:color w:val="000000"/>
                <w:sz w:val="24"/>
                <w:lang w:val="en-US" w:eastAsia="zh-CN"/>
              </w:rPr>
              <w:t>2次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val="en-US" w:eastAsia="zh-CN"/>
              </w:rPr>
            </w:pPr>
            <w:r>
              <w:rPr>
                <w:rFonts w:hint="eastAsia" w:ascii="宋体" w:cs="宋体"/>
                <w:color w:val="000000"/>
                <w:sz w:val="24"/>
                <w:lang w:val="en-US" w:eastAsia="zh-CN"/>
              </w:rPr>
              <w:t>2次</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lang w:bidi="ar"/>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eastAsia="宋体" w:cs="宋体"/>
                <w:i w:val="0"/>
                <w:color w:val="000000"/>
                <w:kern w:val="0"/>
                <w:sz w:val="20"/>
                <w:szCs w:val="20"/>
                <w:u w:val="none"/>
                <w:lang w:val="en-US" w:eastAsia="zh-CN" w:bidi="ar"/>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带动经济增长，改变乡村面貌率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99%</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99%</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带动村社发展，提高满意度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99%</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Times New Roman" w:eastAsia="仿宋_GB2312" w:cs="宋体"/>
                <w:color w:val="000000"/>
                <w:kern w:val="2"/>
                <w:sz w:val="24"/>
                <w:szCs w:val="24"/>
                <w:lang w:val="en-US" w:eastAsia="zh-CN" w:bidi="ar-SA"/>
              </w:rPr>
            </w:pPr>
            <w:r>
              <w:rPr>
                <w:rFonts w:hint="eastAsia" w:ascii="宋体" w:cs="宋体"/>
                <w:color w:val="000000"/>
                <w:sz w:val="24"/>
                <w:lang w:val="en-US" w:eastAsia="zh-CN"/>
              </w:rPr>
              <w:t>99%</w:t>
            </w:r>
          </w:p>
        </w:tc>
      </w:tr>
    </w:tbl>
    <w:p>
      <w:pPr>
        <w:spacing w:line="580" w:lineRule="exact"/>
        <w:rPr>
          <w:rFonts w:ascii="仿宋_GB2312" w:hAnsi="仿宋_GB2312" w:eastAsia="仿宋_GB2312" w:cs="仿宋_GB2312"/>
          <w:sz w:val="32"/>
          <w:szCs w:val="32"/>
        </w:rPr>
      </w:pPr>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338"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both"/>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“四川供销云服务”体系建设项目绩效目标完成情况表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val="en-US" w:eastAsia="zh-CN" w:bidi="ar"/>
              </w:rPr>
              <w:t>“四川供销云服务”体系建设项目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both"/>
              <w:textAlignment w:val="center"/>
              <w:rPr>
                <w:rFonts w:hint="eastAsia" w:ascii="宋体" w:hAnsi="宋体" w:cs="宋体"/>
                <w:color w:val="000000"/>
                <w:kern w:val="0"/>
                <w:sz w:val="24"/>
                <w:lang w:bidi="ar"/>
              </w:rPr>
            </w:pPr>
            <w:r>
              <w:rPr>
                <w:rFonts w:hint="eastAsia" w:ascii="宋体" w:hAnsi="宋体" w:cs="宋体"/>
                <w:color w:val="000000"/>
                <w:kern w:val="0"/>
                <w:sz w:val="24"/>
                <w:lang w:val="en-US" w:eastAsia="zh-CN" w:bidi="ar"/>
              </w:rPr>
              <w:t>自贡市自流井区供销合作社联合社</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30.00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30.00</w:t>
            </w:r>
          </w:p>
        </w:tc>
      </w:tr>
      <w:tr>
        <w:tblPrEx>
          <w:tblCellMar>
            <w:top w:w="0" w:type="dxa"/>
            <w:left w:w="0" w:type="dxa"/>
            <w:bottom w:w="0" w:type="dxa"/>
            <w:right w:w="0" w:type="dxa"/>
          </w:tblCellMar>
        </w:tblPrEx>
        <w:trPr>
          <w:trHeight w:val="287"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exact"/>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30.00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30.00</w:t>
            </w:r>
          </w:p>
        </w:tc>
      </w:tr>
      <w:tr>
        <w:tblPrEx>
          <w:tblCellMar>
            <w:top w:w="0" w:type="dxa"/>
            <w:left w:w="0" w:type="dxa"/>
            <w:bottom w:w="0" w:type="dxa"/>
            <w:right w:w="0" w:type="dxa"/>
          </w:tblCellMar>
        </w:tblPrEx>
        <w:trPr>
          <w:trHeight w:val="1332"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exact"/>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504"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顺利通过省级验收</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顺利通过省级验收</w:t>
            </w:r>
          </w:p>
        </w:tc>
      </w:tr>
      <w:tr>
        <w:tblPrEx>
          <w:tblCellMar>
            <w:top w:w="0" w:type="dxa"/>
            <w:left w:w="0" w:type="dxa"/>
            <w:bottom w:w="0" w:type="dxa"/>
            <w:right w:w="0" w:type="dxa"/>
          </w:tblCellMar>
        </w:tblPrEx>
        <w:trPr>
          <w:trHeight w:val="90"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pacing w:val="-20"/>
                <w:sz w:val="24"/>
              </w:rPr>
            </w:pPr>
            <w:r>
              <w:rPr>
                <w:rFonts w:hint="eastAsia" w:ascii="宋体" w:hAnsi="宋体" w:cs="宋体"/>
                <w:color w:val="000000"/>
                <w:spacing w:val="-2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79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pacing w:val="-20"/>
                <w:sz w:val="24"/>
              </w:rPr>
            </w:pPr>
            <w:r>
              <w:rPr>
                <w:rFonts w:hint="eastAsia" w:ascii="宋体" w:hAnsi="宋体" w:cs="宋体"/>
                <w:color w:val="000000"/>
                <w:spacing w:val="-2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总体目标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val="en-US" w:eastAsia="zh-CN"/>
              </w:rPr>
              <w:t>开展大规模代理记账服务</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val="en-US" w:eastAsia="zh-CN"/>
              </w:rPr>
              <w:t>开展大规模代理记账服务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开展大规模代理记账服务</w:t>
            </w:r>
          </w:p>
        </w:tc>
      </w:tr>
      <w:tr>
        <w:tblPrEx>
          <w:tblCellMar>
            <w:top w:w="0" w:type="dxa"/>
            <w:left w:w="0" w:type="dxa"/>
            <w:bottom w:w="0" w:type="dxa"/>
            <w:right w:w="0" w:type="dxa"/>
          </w:tblCellMar>
        </w:tblPrEx>
        <w:trPr>
          <w:trHeight w:val="840"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pacing w:val="-20"/>
                <w:sz w:val="24"/>
                <w:lang w:eastAsia="zh-CN"/>
              </w:rPr>
            </w:pPr>
            <w:r>
              <w:rPr>
                <w:rFonts w:hint="eastAsia" w:ascii="宋体" w:cs="宋体"/>
                <w:color w:val="000000"/>
                <w:spacing w:val="-20"/>
                <w:sz w:val="24"/>
                <w:lang w:eastAsia="zh-CN"/>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val="en-US" w:eastAsia="zh-CN"/>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47个村级组织会计代理服务</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47个村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47个村</w:t>
            </w:r>
          </w:p>
        </w:tc>
      </w:tr>
      <w:tr>
        <w:tblPrEx>
          <w:tblCellMar>
            <w:top w:w="0" w:type="dxa"/>
            <w:left w:w="0" w:type="dxa"/>
            <w:bottom w:w="0" w:type="dxa"/>
            <w:right w:w="0" w:type="dxa"/>
          </w:tblCellMar>
        </w:tblPrEx>
        <w:trPr>
          <w:trHeight w:val="676"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pacing w:val="-20"/>
                <w:sz w:val="24"/>
                <w:lang w:eastAsia="zh-CN"/>
              </w:rPr>
            </w:pPr>
            <w:r>
              <w:rPr>
                <w:rFonts w:hint="eastAsia" w:ascii="宋体" w:cs="宋体"/>
                <w:color w:val="000000"/>
                <w:spacing w:val="-20"/>
                <w:sz w:val="24"/>
                <w:lang w:eastAsia="zh-CN"/>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val="en-US" w:eastAsia="zh-CN"/>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引进专业人员2人</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Times New Roman" w:eastAsia="仿宋_GB2312" w:cs="宋体"/>
                <w:color w:val="000000"/>
                <w:kern w:val="2"/>
                <w:sz w:val="24"/>
                <w:szCs w:val="24"/>
                <w:lang w:val="en-US" w:eastAsia="zh-CN" w:bidi="ar-SA"/>
              </w:rPr>
            </w:pPr>
            <w:r>
              <w:rPr>
                <w:rFonts w:hint="eastAsia" w:ascii="宋体" w:cs="宋体"/>
                <w:color w:val="000000"/>
                <w:sz w:val="24"/>
                <w:lang w:eastAsia="zh-CN"/>
              </w:rPr>
              <w:t>引进专业人员2人</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Times New Roman" w:eastAsia="仿宋_GB2312" w:cs="宋体"/>
                <w:color w:val="000000"/>
                <w:kern w:val="2"/>
                <w:sz w:val="24"/>
                <w:szCs w:val="24"/>
                <w:lang w:val="en-US" w:eastAsia="zh-CN" w:bidi="ar-SA"/>
              </w:rPr>
            </w:pPr>
            <w:r>
              <w:rPr>
                <w:rFonts w:hint="eastAsia" w:ascii="宋体" w:cs="宋体"/>
                <w:color w:val="000000"/>
                <w:sz w:val="24"/>
                <w:lang w:eastAsia="zh-CN"/>
              </w:rPr>
              <w:t>引进专业人员2人</w:t>
            </w:r>
          </w:p>
        </w:tc>
      </w:tr>
      <w:tr>
        <w:tblPrEx>
          <w:tblCellMar>
            <w:top w:w="0" w:type="dxa"/>
            <w:left w:w="0" w:type="dxa"/>
            <w:bottom w:w="0" w:type="dxa"/>
            <w:right w:w="0" w:type="dxa"/>
          </w:tblCellMar>
        </w:tblPrEx>
        <w:trPr>
          <w:trHeight w:val="871"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pacing w:val="-20"/>
                <w:sz w:val="24"/>
                <w:lang w:eastAsia="zh-CN"/>
              </w:rPr>
            </w:pPr>
            <w:r>
              <w:rPr>
                <w:rFonts w:hint="eastAsia" w:ascii="宋体" w:cs="宋体"/>
                <w:color w:val="000000"/>
                <w:spacing w:val="-20"/>
                <w:sz w:val="24"/>
                <w:lang w:eastAsia="zh-CN"/>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val="en-US" w:eastAsia="zh-CN"/>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开展技术培训8次，培训人员100余人次</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Times New Roman" w:eastAsia="仿宋_GB2312" w:cs="宋体"/>
                <w:color w:val="000000"/>
                <w:kern w:val="2"/>
                <w:sz w:val="24"/>
                <w:szCs w:val="24"/>
                <w:lang w:val="en-US" w:eastAsia="zh-CN" w:bidi="ar-SA"/>
              </w:rPr>
            </w:pPr>
            <w:r>
              <w:rPr>
                <w:rFonts w:hint="eastAsia" w:ascii="宋体" w:cs="宋体"/>
                <w:color w:val="000000"/>
                <w:sz w:val="24"/>
                <w:lang w:eastAsia="zh-CN"/>
              </w:rPr>
              <w:t>开展技术培训8次，培训人员100余人次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Times New Roman" w:eastAsia="仿宋_GB2312" w:cs="宋体"/>
                <w:color w:val="000000"/>
                <w:kern w:val="2"/>
                <w:sz w:val="24"/>
                <w:szCs w:val="24"/>
                <w:lang w:val="en-US" w:eastAsia="zh-CN" w:bidi="ar-SA"/>
              </w:rPr>
            </w:pPr>
            <w:r>
              <w:rPr>
                <w:rFonts w:hint="eastAsia" w:ascii="宋体" w:cs="宋体"/>
                <w:color w:val="000000"/>
                <w:sz w:val="24"/>
                <w:lang w:eastAsia="zh-CN"/>
              </w:rPr>
              <w:t>开展技术培训8次，培训人员100余人次</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pacing w:val="-20"/>
                <w:sz w:val="24"/>
                <w:lang w:eastAsia="zh-CN"/>
              </w:rPr>
            </w:pPr>
            <w:r>
              <w:rPr>
                <w:rFonts w:hint="eastAsia" w:ascii="宋体" w:cs="宋体"/>
                <w:color w:val="000000"/>
                <w:spacing w:val="-20"/>
                <w:sz w:val="24"/>
                <w:lang w:eastAsia="zh-CN"/>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效益指标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解决基层农业主体各项问题，“供销云服务”体系的建立具有良好的社会效益</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Times New Roman" w:eastAsia="仿宋_GB2312" w:cs="宋体"/>
                <w:color w:val="000000"/>
                <w:kern w:val="2"/>
                <w:sz w:val="24"/>
                <w:szCs w:val="24"/>
                <w:lang w:val="en-US" w:eastAsia="zh-CN" w:bidi="ar-SA"/>
              </w:rPr>
            </w:pPr>
            <w:r>
              <w:rPr>
                <w:rFonts w:hint="eastAsia" w:ascii="宋体" w:cs="宋体"/>
                <w:color w:val="000000"/>
                <w:sz w:val="24"/>
                <w:lang w:eastAsia="zh-CN"/>
              </w:rPr>
              <w:t>解决基层农业主体各项问题，“供销云服务”体系的建立具有良好的社会效益</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Times New Roman" w:eastAsia="仿宋_GB2312" w:cs="宋体"/>
                <w:color w:val="000000"/>
                <w:kern w:val="2"/>
                <w:sz w:val="24"/>
                <w:szCs w:val="24"/>
                <w:lang w:val="en-US" w:eastAsia="zh-CN" w:bidi="ar-SA"/>
              </w:rPr>
            </w:pPr>
            <w:r>
              <w:rPr>
                <w:rFonts w:hint="eastAsia" w:ascii="宋体" w:cs="宋体"/>
                <w:color w:val="000000"/>
                <w:sz w:val="24"/>
                <w:lang w:eastAsia="zh-CN"/>
              </w:rPr>
              <w:t>解决基层农业主体各项问题，“供销云服务”体系的建立具有良好的社会效益</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pacing w:val="-20"/>
                <w:sz w:val="24"/>
                <w:lang w:eastAsia="zh-CN"/>
              </w:rPr>
            </w:pPr>
            <w:r>
              <w:rPr>
                <w:rFonts w:hint="eastAsia" w:ascii="宋体" w:cs="宋体"/>
                <w:color w:val="000000"/>
                <w:spacing w:val="-20"/>
                <w:sz w:val="24"/>
                <w:lang w:eastAsia="zh-CN"/>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val="en-US" w:eastAsia="zh-CN"/>
              </w:rPr>
            </w:pPr>
            <w:r>
              <w:rPr>
                <w:rFonts w:hint="eastAsia" w:ascii="宋体" w:cs="宋体"/>
                <w:color w:val="000000"/>
                <w:sz w:val="24"/>
                <w:lang w:eastAsia="zh-CN"/>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val="en-US" w:eastAsia="zh-CN"/>
              </w:rPr>
            </w:pPr>
            <w:r>
              <w:rPr>
                <w:rFonts w:hint="eastAsia" w:ascii="宋体" w:cs="宋体"/>
                <w:color w:val="000000"/>
                <w:sz w:val="24"/>
                <w:lang w:eastAsia="zh-CN"/>
              </w:rPr>
              <w:t>会计服务中心赢得了各村的信任及广泛好评</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val="en-US" w:eastAsia="zh-CN"/>
              </w:rPr>
            </w:pPr>
            <w:r>
              <w:rPr>
                <w:rFonts w:hint="eastAsia" w:ascii="宋体" w:cs="宋体"/>
                <w:color w:val="000000"/>
                <w:sz w:val="24"/>
                <w:lang w:eastAsia="zh-CN"/>
              </w:rPr>
              <w:t>会计服务中心赢得了各村的信任及广泛好评</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val="en-US" w:eastAsia="zh-CN"/>
              </w:rPr>
            </w:pPr>
            <w:r>
              <w:rPr>
                <w:rFonts w:hint="eastAsia" w:ascii="宋体" w:cs="宋体"/>
                <w:color w:val="000000"/>
                <w:sz w:val="24"/>
                <w:lang w:eastAsia="zh-CN"/>
              </w:rPr>
              <w:t>会计服务中心赢得了各村的信任及广泛好评</w:t>
            </w:r>
          </w:p>
        </w:tc>
      </w:tr>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cs="宋体"/>
                <w:b/>
                <w:bCs/>
                <w:color w:val="000000"/>
                <w:kern w:val="0"/>
                <w:sz w:val="36"/>
                <w:szCs w:val="36"/>
                <w:lang w:eastAsia="zh-CN" w:bidi="ar"/>
              </w:rPr>
            </w:pPr>
            <w:r>
              <w:rPr>
                <w:rFonts w:hint="eastAsia" w:ascii="宋体" w:hAnsi="宋体" w:cs="宋体"/>
                <w:b/>
                <w:bCs/>
                <w:color w:val="000000"/>
                <w:kern w:val="0"/>
                <w:sz w:val="36"/>
                <w:szCs w:val="36"/>
                <w:lang w:bidi="ar"/>
              </w:rPr>
              <w:t>供销经营服务体系农村组织会计代理服务中心标准化建设项目绩效目标完成情况表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both"/>
              <w:textAlignment w:val="center"/>
              <w:rPr>
                <w:rFonts w:ascii="宋体" w:cs="宋体"/>
                <w:color w:val="000000"/>
                <w:sz w:val="24"/>
              </w:rPr>
            </w:pPr>
            <w:r>
              <w:rPr>
                <w:rFonts w:hint="eastAsia" w:ascii="宋体" w:hAnsi="宋体" w:cs="宋体"/>
                <w:color w:val="000000"/>
                <w:kern w:val="0"/>
                <w:sz w:val="24"/>
                <w:lang w:bidi="ar"/>
              </w:rPr>
              <w:t>供销经营服务体系农村组织会计代理服务中心标准化建设项目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both"/>
              <w:textAlignment w:val="center"/>
              <w:rPr>
                <w:rFonts w:hint="eastAsia" w:ascii="宋体" w:hAnsi="宋体" w:cs="宋体"/>
                <w:color w:val="000000"/>
                <w:kern w:val="0"/>
                <w:sz w:val="24"/>
                <w:lang w:bidi="ar"/>
              </w:rPr>
            </w:pPr>
            <w:r>
              <w:rPr>
                <w:rFonts w:hint="eastAsia" w:ascii="宋体" w:hAnsi="宋体" w:cs="宋体"/>
                <w:color w:val="000000"/>
                <w:kern w:val="0"/>
                <w:sz w:val="24"/>
                <w:lang w:val="en-US" w:eastAsia="zh-CN" w:bidi="ar"/>
              </w:rPr>
              <w:t>自贡市自流井区供销合作社联合社</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24.00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24.00</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24.00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24.00</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p>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进一步提升农村组织会计代理服务质量，规范农民专业合作社、村级组织和村集体经济主体财务行为，服务能力提升</w:t>
            </w:r>
            <w:r>
              <w:rPr>
                <w:rFonts w:hint="eastAsia" w:ascii="宋体" w:cs="宋体"/>
                <w:color w:val="000000"/>
                <w:sz w:val="24"/>
                <w:lang w:val="en-US" w:eastAsia="zh-CN"/>
              </w:rPr>
              <w:t>50%以</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p>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进一步提升农村组织会计代理服务质量，规范农民专业合作社、村级组织和村集体经济主体财务行为，服务能力提升</w:t>
            </w:r>
            <w:r>
              <w:rPr>
                <w:rFonts w:hint="eastAsia" w:ascii="宋体" w:cs="宋体"/>
                <w:color w:val="000000"/>
                <w:sz w:val="24"/>
                <w:lang w:val="en-US" w:eastAsia="zh-CN"/>
              </w:rPr>
              <w:t>50%以</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实际完成指标值(包含数字及文字描述)</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总体目标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p>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顺利完成全区47个村（社区）代理记账业务</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p>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顺利完成全区47个村（社区）代理记账业务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p>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顺利完成全区47个村（社区）代理记账业务</w:t>
            </w:r>
          </w:p>
        </w:tc>
      </w:tr>
      <w:tr>
        <w:tblPrEx>
          <w:tblCellMar>
            <w:top w:w="0" w:type="dxa"/>
            <w:left w:w="0" w:type="dxa"/>
            <w:bottom w:w="0" w:type="dxa"/>
            <w:right w:w="0" w:type="dxa"/>
          </w:tblCellMar>
        </w:tblPrEx>
        <w:trPr>
          <w:trHeight w:val="122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val="en-US" w:eastAsia="zh-CN"/>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both"/>
              <w:textAlignment w:val="center"/>
              <w:rPr>
                <w:rFonts w:hint="eastAsia" w:ascii="宋体" w:cs="宋体"/>
                <w:color w:val="000000"/>
                <w:sz w:val="24"/>
                <w:lang w:eastAsia="zh-CN"/>
              </w:rPr>
            </w:pPr>
            <w:r>
              <w:rPr>
                <w:rFonts w:hint="eastAsia" w:ascii="宋体" w:cs="宋体"/>
                <w:color w:val="000000"/>
                <w:sz w:val="24"/>
                <w:lang w:eastAsia="zh-CN"/>
              </w:rPr>
              <w:t>省供销社“供销云”平台，建立了自流井区农村集体经济组织会计核算标准体系。</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val="en-US" w:eastAsia="zh-CN"/>
              </w:rPr>
            </w:pPr>
            <w:r>
              <w:rPr>
                <w:rFonts w:hint="eastAsia" w:ascii="宋体" w:cs="宋体"/>
                <w:color w:val="000000"/>
                <w:sz w:val="24"/>
                <w:lang w:val="en-US" w:eastAsia="zh-CN"/>
              </w:rPr>
              <w:t>1个</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val="en-US" w:eastAsia="zh-CN"/>
              </w:rPr>
            </w:pPr>
            <w:r>
              <w:rPr>
                <w:rFonts w:hint="eastAsia" w:ascii="宋体" w:cs="宋体"/>
                <w:color w:val="000000"/>
                <w:sz w:val="24"/>
                <w:lang w:val="en-US" w:eastAsia="zh-CN"/>
              </w:rPr>
              <w:t>1个</w:t>
            </w:r>
          </w:p>
        </w:tc>
      </w:tr>
      <w:tr>
        <w:tblPrEx>
          <w:tblCellMar>
            <w:top w:w="0" w:type="dxa"/>
            <w:left w:w="0" w:type="dxa"/>
            <w:bottom w:w="0" w:type="dxa"/>
            <w:right w:w="0" w:type="dxa"/>
          </w:tblCellMar>
        </w:tblPrEx>
        <w:trPr>
          <w:trHeight w:val="875"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val="en-US" w:eastAsia="zh-CN"/>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val="en-US" w:eastAsia="zh-CN"/>
              </w:rPr>
            </w:pPr>
            <w:r>
              <w:rPr>
                <w:rFonts w:hint="eastAsia" w:ascii="宋体" w:cs="宋体"/>
                <w:color w:val="000000"/>
                <w:sz w:val="24"/>
                <w:lang w:eastAsia="zh-CN"/>
              </w:rPr>
              <w:t>开展技术培训8次，培训人员100余人次</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val="en-US" w:eastAsia="zh-CN"/>
              </w:rPr>
            </w:pPr>
            <w:r>
              <w:rPr>
                <w:rFonts w:hint="eastAsia" w:ascii="宋体" w:cs="宋体"/>
                <w:color w:val="000000"/>
                <w:sz w:val="24"/>
                <w:lang w:eastAsia="zh-CN"/>
              </w:rPr>
              <w:t>开展技术培训8次，培训人员100余人次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val="en-US" w:eastAsia="zh-CN"/>
              </w:rPr>
            </w:pPr>
            <w:r>
              <w:rPr>
                <w:rFonts w:hint="eastAsia" w:ascii="宋体" w:cs="宋体"/>
                <w:color w:val="000000"/>
                <w:sz w:val="24"/>
                <w:lang w:eastAsia="zh-CN"/>
              </w:rPr>
              <w:t>开展技术培训8次，培训人员100余人次</w:t>
            </w:r>
          </w:p>
        </w:tc>
      </w:tr>
      <w:tr>
        <w:tblPrEx>
          <w:tblCellMar>
            <w:top w:w="0" w:type="dxa"/>
            <w:left w:w="0" w:type="dxa"/>
            <w:bottom w:w="0" w:type="dxa"/>
            <w:right w:w="0" w:type="dxa"/>
          </w:tblCellMar>
        </w:tblPrEx>
        <w:trPr>
          <w:trHeight w:val="76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val="en-US" w:eastAsia="zh-CN"/>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val="en-US" w:eastAsia="zh-CN"/>
              </w:rPr>
            </w:pPr>
            <w:r>
              <w:rPr>
                <w:rFonts w:hint="eastAsia" w:ascii="宋体" w:cs="宋体"/>
                <w:color w:val="000000"/>
                <w:sz w:val="24"/>
                <w:lang w:eastAsia="zh-CN"/>
              </w:rPr>
              <w:t>代理记账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cs="宋体"/>
                <w:color w:val="000000"/>
                <w:sz w:val="24"/>
                <w:lang w:val="en-US" w:eastAsia="zh-CN"/>
              </w:rPr>
            </w:pPr>
            <w:r>
              <w:rPr>
                <w:rFonts w:hint="eastAsia" w:ascii="宋体" w:cs="宋体"/>
                <w:color w:val="000000"/>
                <w:sz w:val="24"/>
                <w:lang w:val="en-US" w:eastAsia="zh-CN"/>
              </w:rPr>
              <w:t>47个村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val="en-US" w:eastAsia="zh-CN"/>
              </w:rPr>
            </w:pPr>
            <w:r>
              <w:rPr>
                <w:rFonts w:hint="eastAsia" w:ascii="宋体" w:cs="宋体"/>
                <w:color w:val="000000"/>
                <w:sz w:val="24"/>
                <w:lang w:val="en-US" w:eastAsia="zh-CN"/>
              </w:rPr>
              <w:t>47个村</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代理服务中心赢得了农村组织的信任，代理服务工作得到了服务对象广泛好评</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代理服务中心赢得了农村组织的信任，代理服务工作得到了服务对象广泛好评</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lang w:eastAsia="zh-CN"/>
              </w:rPr>
            </w:pPr>
            <w:r>
              <w:rPr>
                <w:rFonts w:hint="eastAsia" w:ascii="宋体" w:cs="宋体"/>
                <w:color w:val="000000"/>
                <w:sz w:val="24"/>
                <w:lang w:eastAsia="zh-CN"/>
              </w:rPr>
              <w:t>代理服务中心赢得了农村组织的信任，代理服务工作得到了服务对象广泛好评</w:t>
            </w:r>
          </w:p>
        </w:tc>
      </w:tr>
    </w:tbl>
    <w:p>
      <w:pPr>
        <w:widowControl/>
        <w:jc w:val="center"/>
        <w:textAlignment w:val="center"/>
        <w:rPr>
          <w:rFonts w:hint="eastAsia" w:ascii="宋体" w:cs="宋体"/>
          <w:color w:val="000000"/>
          <w:sz w:val="24"/>
          <w:lang w:eastAsia="zh-CN"/>
        </w:rPr>
      </w:pPr>
    </w:p>
    <w:p>
      <w:pPr>
        <w:spacing w:line="580" w:lineRule="exact"/>
        <w:ind w:left="630"/>
        <w:rPr>
          <w:rFonts w:ascii="仿宋_GB2312" w:hAnsi="仿宋_GB2312" w:eastAsia="仿宋_GB2312" w:cs="仿宋_GB2312"/>
          <w:sz w:val="32"/>
          <w:szCs w:val="32"/>
        </w:rPr>
      </w:pPr>
      <w:r>
        <w:rPr>
          <w:rFonts w:ascii="楷体_GB2312" w:hAnsi="楷体_GB2312" w:eastAsia="楷体_GB2312" w:cs="楷体_GB2312"/>
          <w:sz w:val="32"/>
          <w:szCs w:val="32"/>
        </w:rPr>
        <w:t>2.</w:t>
      </w:r>
      <w:r>
        <w:rPr>
          <w:rFonts w:hint="eastAsia" w:ascii="楷体_GB2312" w:hAnsi="楷体_GB2312" w:eastAsia="楷体_GB2312" w:cs="楷体_GB2312"/>
          <w:sz w:val="32"/>
          <w:szCs w:val="32"/>
        </w:rPr>
        <w:t>部门绩效评价结果。</w:t>
      </w:r>
    </w:p>
    <w:p>
      <w:pPr>
        <w:adjustRightInd w:val="0"/>
        <w:snapToGrid w:val="0"/>
        <w:spacing w:line="580" w:lineRule="exact"/>
        <w:ind w:firstLine="640" w:firstLineChars="200"/>
        <w:rPr>
          <w:rFonts w:eastAsia="仿宋_GB2312"/>
          <w:sz w:val="32"/>
          <w:szCs w:val="32"/>
        </w:rPr>
      </w:pPr>
      <w:r>
        <w:rPr>
          <w:rFonts w:eastAsia="仿宋_GB2312"/>
          <w:sz w:val="32"/>
          <w:szCs w:val="32"/>
        </w:rPr>
        <w:t>本部门按要求对20</w:t>
      </w:r>
      <w:r>
        <w:rPr>
          <w:rFonts w:hint="eastAsia"/>
          <w:sz w:val="32"/>
          <w:szCs w:val="32"/>
          <w:lang w:val="en-US" w:eastAsia="zh-CN"/>
        </w:rPr>
        <w:t>20</w:t>
      </w:r>
      <w:r>
        <w:rPr>
          <w:rFonts w:eastAsia="仿宋_GB2312"/>
          <w:sz w:val="32"/>
          <w:szCs w:val="32"/>
        </w:rPr>
        <w:t>年部门整体支出绩效评价情况开展自评，《</w:t>
      </w:r>
      <w:r>
        <w:rPr>
          <w:rFonts w:hint="eastAsia" w:ascii="仿宋_GB2312" w:eastAsia="仿宋_GB2312"/>
          <w:color w:val="000000"/>
          <w:sz w:val="32"/>
          <w:szCs w:val="32"/>
        </w:rPr>
        <w:t>供销社</w:t>
      </w:r>
      <w:r>
        <w:rPr>
          <w:rFonts w:eastAsia="仿宋_GB2312"/>
          <w:sz w:val="32"/>
          <w:szCs w:val="32"/>
        </w:rPr>
        <w:t>部门20</w:t>
      </w:r>
      <w:r>
        <w:rPr>
          <w:rFonts w:hint="eastAsia"/>
          <w:sz w:val="32"/>
          <w:szCs w:val="32"/>
          <w:lang w:val="en-US" w:eastAsia="zh-CN"/>
        </w:rPr>
        <w:t>20</w:t>
      </w:r>
      <w:r>
        <w:rPr>
          <w:rFonts w:eastAsia="仿宋_GB2312"/>
          <w:sz w:val="32"/>
          <w:szCs w:val="32"/>
        </w:rPr>
        <w:t>年部门整体支出绩效评价报告》见附件</w:t>
      </w:r>
      <w:r>
        <w:rPr>
          <w:rFonts w:hint="eastAsia" w:eastAsia="仿宋_GB2312"/>
          <w:sz w:val="32"/>
          <w:szCs w:val="32"/>
        </w:rPr>
        <w:t>1</w:t>
      </w:r>
      <w:r>
        <w:rPr>
          <w:rFonts w:eastAsia="仿宋_GB2312"/>
          <w:sz w:val="32"/>
          <w:szCs w:val="32"/>
        </w:rPr>
        <w:t>。</w:t>
      </w:r>
    </w:p>
    <w:p>
      <w:pPr>
        <w:adjustRightInd w:val="0"/>
        <w:snapToGrid w:val="0"/>
        <w:spacing w:line="580" w:lineRule="exact"/>
        <w:ind w:firstLine="640" w:firstLineChars="200"/>
        <w:rPr>
          <w:rFonts w:eastAsia="仿宋_GB2312"/>
          <w:sz w:val="32"/>
          <w:szCs w:val="32"/>
        </w:rPr>
      </w:pPr>
      <w:r>
        <w:rPr>
          <w:rFonts w:eastAsia="仿宋_GB2312"/>
          <w:sz w:val="32"/>
          <w:szCs w:val="32"/>
        </w:rPr>
        <w:t>本部门自行组织对项目开展了绩效评价，《</w:t>
      </w:r>
      <w:r>
        <w:rPr>
          <w:rFonts w:hint="eastAsia" w:eastAsia="仿宋_GB2312"/>
          <w:color w:val="0D0D0D" w:themeColor="text1" w:themeTint="F2"/>
          <w:sz w:val="32"/>
          <w:szCs w:val="32"/>
          <w14:textFill>
            <w14:solidFill>
              <w14:schemeClr w14:val="tx1">
                <w14:lumMod w14:val="95000"/>
                <w14:lumOff w14:val="5000"/>
              </w14:schemeClr>
            </w14:solidFill>
          </w14:textFill>
        </w:rPr>
        <w:t>综合体制改革经费</w:t>
      </w:r>
      <w:r>
        <w:rPr>
          <w:rFonts w:hint="eastAsia" w:ascii="仿宋_GB2312" w:hAnsi="仿宋_GB2312" w:eastAsia="仿宋_GB2312" w:cs="仿宋_GB2312"/>
          <w:sz w:val="32"/>
          <w:szCs w:val="32"/>
        </w:rPr>
        <w:t>项目</w:t>
      </w:r>
      <w:r>
        <w:rPr>
          <w:rFonts w:hint="eastAsia" w:ascii="仿宋_GB2312" w:hAnsi="仿宋_GB2312" w:cs="仿宋_GB2312"/>
          <w:sz w:val="32"/>
          <w:szCs w:val="32"/>
          <w:lang w:eastAsia="zh-CN"/>
        </w:rPr>
        <w:t>、</w:t>
      </w:r>
      <w:r>
        <w:rPr>
          <w:rFonts w:hint="eastAsia" w:ascii="Times New Roman" w:hAnsi="Times New Roman" w:eastAsia="仿宋_GB2312" w:cs="Times New Roman"/>
          <w:color w:val="0D0D0D" w:themeColor="text1" w:themeTint="F2"/>
          <w:sz w:val="32"/>
          <w:szCs w:val="32"/>
          <w14:textFill>
            <w14:solidFill>
              <w14:schemeClr w14:val="tx1">
                <w14:lumMod w14:val="95000"/>
                <w14:lumOff w14:val="5000"/>
              </w14:schemeClr>
            </w14:solidFill>
          </w14:textFill>
        </w:rPr>
        <w:t>供销经营服务体</w:t>
      </w:r>
      <w:r>
        <w:rPr>
          <w:rFonts w:hint="eastAsia" w:eastAsia="仿宋_GB2312"/>
          <w:color w:val="0D0D0D" w:themeColor="text1" w:themeTint="F2"/>
          <w:sz w:val="32"/>
          <w:szCs w:val="32"/>
          <w14:textFill>
            <w14:solidFill>
              <w14:schemeClr w14:val="tx1">
                <w14:lumMod w14:val="95000"/>
                <w14:lumOff w14:val="5000"/>
              </w14:schemeClr>
            </w14:solidFill>
          </w14:textFill>
        </w:rPr>
        <w:t>系</w:t>
      </w:r>
      <w:r>
        <w:rPr>
          <w:rFonts w:hint="eastAsia" w:ascii="Times New Roman" w:hAnsi="Times New Roman" w:eastAsia="仿宋_GB2312" w:cs="Times New Roman"/>
          <w:color w:val="0D0D0D" w:themeColor="text1" w:themeTint="F2"/>
          <w:sz w:val="32"/>
          <w:szCs w:val="32"/>
          <w14:textFill>
            <w14:solidFill>
              <w14:schemeClr w14:val="tx1">
                <w14:lumMod w14:val="95000"/>
                <w14:lumOff w14:val="5000"/>
              </w14:schemeClr>
            </w14:solidFill>
          </w14:textFill>
        </w:rPr>
        <w:t>农村组织会计代理服务中心标准化建设</w:t>
      </w:r>
      <w:r>
        <w:rPr>
          <w:rFonts w:hint="eastAsia" w:eastAsia="仿宋_GB2312"/>
          <w:color w:val="0D0D0D" w:themeColor="text1" w:themeTint="F2"/>
          <w:sz w:val="32"/>
          <w:szCs w:val="32"/>
          <w14:textFill>
            <w14:solidFill>
              <w14:schemeClr w14:val="tx1">
                <w14:lumMod w14:val="95000"/>
                <w14:lumOff w14:val="5000"/>
              </w14:schemeClr>
            </w14:solidFill>
          </w14:textFill>
        </w:rPr>
        <w:t>项目</w:t>
      </w:r>
      <w:r>
        <w:rPr>
          <w:rFonts w:hint="eastAsia"/>
          <w:color w:val="0D0D0D" w:themeColor="text1" w:themeTint="F2"/>
          <w:sz w:val="32"/>
          <w:szCs w:val="32"/>
          <w:lang w:eastAsia="zh-CN"/>
          <w14:textFill>
            <w14:solidFill>
              <w14:schemeClr w14:val="tx1">
                <w14:lumMod w14:val="95000"/>
                <w14:lumOff w14:val="5000"/>
              </w14:schemeClr>
            </w14:solidFill>
          </w14:textFill>
        </w:rPr>
        <w:t>、</w:t>
      </w:r>
      <w:r>
        <w:rPr>
          <w:rFonts w:ascii="Times New Roman" w:hAnsi="Times New Roman" w:eastAsia="仿宋_GB2312"/>
          <w:sz w:val="32"/>
          <w:szCs w:val="32"/>
        </w:rPr>
        <w:t>“</w:t>
      </w:r>
      <w:r>
        <w:rPr>
          <w:rFonts w:hint="eastAsia" w:ascii="Times New Roman" w:hAnsi="Times New Roman" w:eastAsia="仿宋_GB2312" w:cs="Times New Roman"/>
          <w:color w:val="0D0D0D" w:themeColor="text1" w:themeTint="F2"/>
          <w:sz w:val="32"/>
          <w:szCs w:val="32"/>
          <w14:textFill>
            <w14:solidFill>
              <w14:schemeClr w14:val="tx1">
                <w14:lumMod w14:val="95000"/>
                <w14:lumOff w14:val="5000"/>
              </w14:schemeClr>
            </w14:solidFill>
          </w14:textFill>
        </w:rPr>
        <w:t>四川供销云服务”体系建设项目</w:t>
      </w:r>
      <w:r>
        <w:rPr>
          <w:rFonts w:eastAsia="仿宋_GB2312"/>
          <w:sz w:val="32"/>
          <w:szCs w:val="32"/>
        </w:rPr>
        <w:t>20</w:t>
      </w:r>
      <w:r>
        <w:rPr>
          <w:rFonts w:hint="eastAsia"/>
          <w:sz w:val="32"/>
          <w:szCs w:val="32"/>
          <w:lang w:val="en-US" w:eastAsia="zh-CN"/>
        </w:rPr>
        <w:t>20</w:t>
      </w:r>
      <w:r>
        <w:rPr>
          <w:rFonts w:eastAsia="仿宋_GB2312"/>
          <w:sz w:val="32"/>
          <w:szCs w:val="32"/>
        </w:rPr>
        <w:t>年绩效评价报告》见附件</w:t>
      </w:r>
      <w:r>
        <w:rPr>
          <w:rFonts w:hint="eastAsia" w:eastAsia="仿宋_GB2312"/>
          <w:sz w:val="32"/>
          <w:szCs w:val="32"/>
        </w:rPr>
        <w:t>2</w:t>
      </w:r>
      <w:r>
        <w:rPr>
          <w:rFonts w:eastAsia="仿宋_GB2312"/>
          <w:sz w:val="32"/>
          <w:szCs w:val="32"/>
        </w:rPr>
        <w:t>。</w:t>
      </w:r>
    </w:p>
    <w:p>
      <w:pPr>
        <w:widowControl/>
        <w:jc w:val="left"/>
        <w:rPr>
          <w:rFonts w:ascii="仿宋_GB2312" w:eastAsia="仿宋_GB2312"/>
          <w:b/>
          <w:color w:val="000000"/>
          <w:sz w:val="32"/>
          <w:szCs w:val="32"/>
        </w:rPr>
      </w:pPr>
      <w:r>
        <w:rPr>
          <w:rFonts w:ascii="仿宋_GB2312" w:eastAsia="仿宋_GB2312"/>
          <w:b/>
          <w:color w:val="000000"/>
          <w:sz w:val="32"/>
          <w:szCs w:val="32"/>
        </w:rPr>
        <w:br w:type="page"/>
      </w:r>
    </w:p>
    <w:p>
      <w:pPr>
        <w:numPr>
          <w:ilvl w:val="0"/>
          <w:numId w:val="5"/>
        </w:numPr>
        <w:spacing w:line="600" w:lineRule="exact"/>
        <w:ind w:firstLine="660" w:firstLineChars="150"/>
        <w:jc w:val="center"/>
        <w:outlineLvl w:val="0"/>
        <w:rPr>
          <w:rStyle w:val="15"/>
          <w:rFonts w:ascii="黑体" w:hAnsi="黑体" w:eastAsia="黑体"/>
          <w:b w:val="0"/>
        </w:rPr>
      </w:pPr>
      <w:bookmarkStart w:id="69" w:name="_Toc15396613"/>
      <w:bookmarkStart w:id="70" w:name="_Toc3536"/>
      <w:bookmarkStart w:id="71" w:name="_Toc5804"/>
      <w:bookmarkStart w:id="72" w:name="_Toc15377225"/>
      <w:r>
        <w:rPr>
          <w:rFonts w:hint="eastAsia" w:ascii="黑体" w:hAnsi="黑体" w:eastAsia="黑体"/>
          <w:color w:val="000000"/>
          <w:sz w:val="44"/>
          <w:szCs w:val="44"/>
        </w:rPr>
        <w:t>名</w:t>
      </w:r>
      <w:r>
        <w:rPr>
          <w:rStyle w:val="15"/>
          <w:rFonts w:hint="eastAsia" w:ascii="黑体" w:hAnsi="黑体" w:eastAsia="黑体"/>
          <w:b w:val="0"/>
        </w:rPr>
        <w:t>词解释</w:t>
      </w:r>
      <w:bookmarkEnd w:id="69"/>
      <w:bookmarkEnd w:id="70"/>
      <w:bookmarkEnd w:id="71"/>
      <w:bookmarkEnd w:id="72"/>
    </w:p>
    <w:p>
      <w:pPr>
        <w:spacing w:line="600" w:lineRule="exact"/>
        <w:jc w:val="left"/>
        <w:rPr>
          <w:rFonts w:ascii="宋体"/>
          <w:b/>
          <w:color w:val="000000"/>
          <w:sz w:val="44"/>
          <w:szCs w:val="44"/>
        </w:rPr>
      </w:pPr>
    </w:p>
    <w:p>
      <w:pPr>
        <w:pStyle w:val="18"/>
        <w:snapToGrid w:val="0"/>
        <w:spacing w:line="58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18"/>
        <w:snapToGrid w:val="0"/>
        <w:spacing w:line="580" w:lineRule="exact"/>
        <w:ind w:firstLine="640" w:firstLineChars="200"/>
        <w:rPr>
          <w:rFonts w:hint="eastAsia"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w:t>
      </w:r>
    </w:p>
    <w:p>
      <w:pPr>
        <w:pStyle w:val="18"/>
        <w:snapToGrid w:val="0"/>
        <w:spacing w:line="580" w:lineRule="exact"/>
        <w:ind w:firstLine="640" w:firstLineChars="200"/>
        <w:rPr>
          <w:rFonts w:hint="eastAsia"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经营收入：指事业单位在专业业务活动及其辅助活动之外开展非独立核算经营活动取得的收入。</w:t>
      </w:r>
    </w:p>
    <w:p>
      <w:pPr>
        <w:pStyle w:val="18"/>
        <w:snapToGrid w:val="0"/>
        <w:spacing w:line="58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其他收入：指单位取得的除上述收入以外的各项收入。</w:t>
      </w:r>
    </w:p>
    <w:p>
      <w:pPr>
        <w:pStyle w:val="18"/>
        <w:snapToGrid w:val="0"/>
        <w:spacing w:line="58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18"/>
        <w:snapToGrid w:val="0"/>
        <w:spacing w:line="58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年初结转和结余：指以前年度尚未完成、结转到本年按有关规定继续使用的资金。</w:t>
      </w:r>
    </w:p>
    <w:p>
      <w:pPr>
        <w:pStyle w:val="18"/>
        <w:snapToGrid w:val="0"/>
        <w:spacing w:line="58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结余分配：指事业单位按照事业单位会计制度的规定从非财政补助结余中分配的事业基金和职工福利基金等。</w:t>
      </w:r>
    </w:p>
    <w:p>
      <w:pPr>
        <w:pStyle w:val="18"/>
        <w:snapToGrid w:val="0"/>
        <w:spacing w:line="580" w:lineRule="exact"/>
        <w:ind w:firstLine="640" w:firstLineChars="200"/>
        <w:rPr>
          <w:rFonts w:hint="eastAsia" w:ascii="仿宋_GB2312" w:eastAsia="仿宋_GB2312"/>
          <w:sz w:val="32"/>
          <w:szCs w:val="32"/>
        </w:rPr>
      </w:pPr>
      <w:r>
        <w:rPr>
          <w:rFonts w:ascii="仿宋_GB2312" w:eastAsia="仿宋_GB2312"/>
          <w:sz w:val="32"/>
          <w:szCs w:val="32"/>
        </w:rPr>
        <w:t>8</w:t>
      </w:r>
      <w:r>
        <w:rPr>
          <w:rFonts w:hint="eastAsia" w:ascii="仿宋_GB2312" w:eastAsia="仿宋_GB2312"/>
          <w:sz w:val="32"/>
          <w:szCs w:val="32"/>
        </w:rPr>
        <w:t>、年末结转和结余：指单位按有关规定结转到下年或以后年度继续使用的资金。</w:t>
      </w:r>
    </w:p>
    <w:p>
      <w:pPr>
        <w:adjustRightInd w:val="0"/>
        <w:snapToGrid w:val="0"/>
        <w:spacing w:line="580" w:lineRule="exact"/>
        <w:ind w:firstLine="645"/>
        <w:rPr>
          <w:rFonts w:hint="eastAsia" w:ascii="仿宋_GB2312" w:eastAsia="仿宋_GB2312"/>
          <w:sz w:val="32"/>
          <w:szCs w:val="32"/>
        </w:rPr>
      </w:pPr>
      <w:r>
        <w:rPr>
          <w:rFonts w:hint="eastAsia" w:ascii="仿宋_GB2312"/>
          <w:sz w:val="32"/>
          <w:szCs w:val="32"/>
          <w:lang w:val="en-US" w:eastAsia="zh-CN"/>
        </w:rPr>
        <w:t>9.</w:t>
      </w:r>
      <w:r>
        <w:rPr>
          <w:rFonts w:hint="eastAsia" w:ascii="仿宋_GB2312" w:eastAsia="仿宋_GB2312"/>
          <w:sz w:val="32"/>
          <w:szCs w:val="32"/>
        </w:rPr>
        <w:t>一般公共服务</w:t>
      </w:r>
      <w:r>
        <w:rPr>
          <w:rFonts w:hint="eastAsia" w:ascii="仿宋_GB2312"/>
          <w:sz w:val="32"/>
          <w:szCs w:val="32"/>
          <w:lang w:eastAsia="zh-CN"/>
        </w:rPr>
        <w:t>支出</w:t>
      </w:r>
      <w:r>
        <w:rPr>
          <w:rFonts w:hint="eastAsia" w:ascii="仿宋_GB2312" w:eastAsia="仿宋_GB2312"/>
          <w:sz w:val="32"/>
          <w:szCs w:val="32"/>
        </w:rPr>
        <w:t>（类）</w:t>
      </w:r>
      <w:r>
        <w:rPr>
          <w:rFonts w:hint="eastAsia" w:ascii="仿宋_GB2312"/>
          <w:sz w:val="32"/>
          <w:szCs w:val="32"/>
          <w:lang w:val="en-US" w:eastAsia="zh-CN"/>
        </w:rPr>
        <w:t>201</w:t>
      </w:r>
      <w:r>
        <w:rPr>
          <w:rFonts w:hint="eastAsia" w:ascii="仿宋_GB2312"/>
          <w:sz w:val="32"/>
          <w:szCs w:val="32"/>
          <w:lang w:eastAsia="zh-CN"/>
        </w:rPr>
        <w:t>政府办公厅及相关事务</w:t>
      </w:r>
      <w:r>
        <w:rPr>
          <w:rFonts w:hint="eastAsia" w:ascii="仿宋_GB2312" w:eastAsia="仿宋_GB2312"/>
          <w:sz w:val="32"/>
          <w:szCs w:val="32"/>
        </w:rPr>
        <w:t>（款）0</w:t>
      </w:r>
      <w:r>
        <w:rPr>
          <w:rFonts w:hint="eastAsia" w:ascii="仿宋_GB2312"/>
          <w:sz w:val="32"/>
          <w:szCs w:val="32"/>
          <w:lang w:val="en-US" w:eastAsia="zh-CN"/>
        </w:rPr>
        <w:t>3其他政府办公厅及相关机构支出</w:t>
      </w:r>
      <w:r>
        <w:rPr>
          <w:rFonts w:hint="eastAsia" w:ascii="仿宋_GB2312" w:eastAsia="仿宋_GB2312"/>
          <w:sz w:val="32"/>
          <w:szCs w:val="32"/>
        </w:rPr>
        <w:t>（项）01：指</w:t>
      </w:r>
      <w:r>
        <w:rPr>
          <w:rFonts w:hint="eastAsia" w:ascii="仿宋_GB2312" w:hAnsi="仿宋_GB2312" w:eastAsia="仿宋_GB2312" w:cs="仿宋_GB2312"/>
          <w:sz w:val="32"/>
          <w:szCs w:val="32"/>
        </w:rPr>
        <w:t>供销合作社联合社</w:t>
      </w:r>
      <w:r>
        <w:rPr>
          <w:rFonts w:hint="eastAsia" w:ascii="仿宋_GB2312" w:eastAsia="仿宋_GB2312"/>
          <w:sz w:val="32"/>
          <w:szCs w:val="32"/>
        </w:rPr>
        <w:t>（部门单位）行政单位及参照公务员法管理的事业单位用于保障机构正常运行、开展工作的</w:t>
      </w:r>
      <w:r>
        <w:rPr>
          <w:rFonts w:hint="eastAsia" w:ascii="仿宋_GB2312"/>
          <w:sz w:val="32"/>
          <w:szCs w:val="32"/>
          <w:lang w:eastAsia="zh-CN"/>
        </w:rPr>
        <w:t>项目</w:t>
      </w:r>
      <w:r>
        <w:rPr>
          <w:rFonts w:hint="eastAsia" w:ascii="仿宋_GB2312" w:eastAsia="仿宋_GB2312"/>
          <w:sz w:val="32"/>
          <w:szCs w:val="32"/>
        </w:rPr>
        <w:t>支出。</w:t>
      </w:r>
    </w:p>
    <w:p>
      <w:pPr>
        <w:adjustRightInd w:val="0"/>
        <w:snapToGrid w:val="0"/>
        <w:spacing w:line="580" w:lineRule="exact"/>
        <w:ind w:firstLine="645"/>
        <w:rPr>
          <w:rFonts w:ascii="仿宋_GB2312" w:hAnsi="仿宋_GB2312" w:eastAsia="仿宋_GB2312" w:cs="仿宋_GB2312"/>
          <w:sz w:val="32"/>
          <w:szCs w:val="32"/>
        </w:rPr>
      </w:pPr>
      <w:r>
        <w:rPr>
          <w:rFonts w:hint="eastAsia" w:ascii="仿宋_GB2312"/>
          <w:color w:val="000000"/>
          <w:sz w:val="32"/>
          <w:szCs w:val="32"/>
          <w:lang w:val="en-US" w:eastAsia="zh-CN"/>
        </w:rPr>
        <w:t>10</w:t>
      </w:r>
      <w:r>
        <w:rPr>
          <w:rFonts w:ascii="仿宋_GB2312" w:eastAsia="仿宋_GB2312"/>
          <w:color w:val="000000"/>
          <w:sz w:val="32"/>
          <w:szCs w:val="32"/>
        </w:rPr>
        <w:t>.</w:t>
      </w:r>
      <w:r>
        <w:rPr>
          <w:rFonts w:hint="eastAsia" w:ascii="仿宋_GB2312" w:eastAsia="仿宋_GB2312"/>
          <w:sz w:val="32"/>
          <w:szCs w:val="32"/>
        </w:rPr>
        <w:t xml:space="preserve"> 社会保障和就业（类）</w:t>
      </w:r>
      <w:r>
        <w:rPr>
          <w:rFonts w:hint="eastAsia" w:eastAsia="仿宋_GB2312"/>
          <w:sz w:val="32"/>
          <w:szCs w:val="32"/>
        </w:rPr>
        <w:t>行政事业单位离退休（款）机关事业单位基本养老保险缴费</w:t>
      </w:r>
      <w:r>
        <w:rPr>
          <w:rFonts w:hint="eastAsia" w:ascii="仿宋_GB2312" w:eastAsia="仿宋_GB2312"/>
          <w:sz w:val="32"/>
          <w:szCs w:val="32"/>
        </w:rPr>
        <w:t>（项）：指</w:t>
      </w:r>
      <w:r>
        <w:rPr>
          <w:rFonts w:hint="eastAsia" w:ascii="仿宋_GB2312" w:hAnsi="仿宋_GB2312" w:eastAsia="仿宋_GB2312" w:cs="仿宋_GB2312"/>
          <w:sz w:val="32"/>
          <w:szCs w:val="32"/>
        </w:rPr>
        <w:t>供销合作社联合社主要用于：保障机关在职人员养老保险费支出。</w:t>
      </w:r>
    </w:p>
    <w:p>
      <w:pPr>
        <w:pStyle w:val="6"/>
        <w:adjustRightInd w:val="0"/>
        <w:snapToGrid w:val="0"/>
        <w:spacing w:line="580" w:lineRule="exact"/>
        <w:ind w:left="0" w:leftChars="0" w:firstLine="640" w:firstLineChars="200"/>
        <w:rPr>
          <w:rFonts w:eastAsia="仿宋_GB2312"/>
        </w:rPr>
      </w:pPr>
      <w:r>
        <w:rPr>
          <w:rFonts w:hint="eastAsia" w:ascii="仿宋_GB2312" w:hAnsi="仿宋_GB2312" w:eastAsia="仿宋_GB2312" w:cs="仿宋_GB2312"/>
          <w:sz w:val="32"/>
          <w:szCs w:val="32"/>
        </w:rPr>
        <w:t>1</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rPr>
        <w:t>.卫生健康（类）210行政事业单位医疗（款）11行政单位医疗（项）01：</w:t>
      </w:r>
      <w:r>
        <w:rPr>
          <w:rFonts w:hint="eastAsia" w:ascii="仿宋_GB2312" w:eastAsia="仿宋_GB2312"/>
          <w:sz w:val="32"/>
          <w:szCs w:val="32"/>
        </w:rPr>
        <w:t>指</w:t>
      </w:r>
      <w:r>
        <w:rPr>
          <w:rFonts w:hint="eastAsia" w:ascii="仿宋_GB2312" w:hAnsi="仿宋_GB2312" w:eastAsia="仿宋_GB2312" w:cs="仿宋_GB2312"/>
          <w:sz w:val="32"/>
          <w:szCs w:val="32"/>
        </w:rPr>
        <w:t>供销合作社联合社主要用于：机关及事业单位基本医疗保险缴费支出。</w:t>
      </w:r>
    </w:p>
    <w:p>
      <w:pPr>
        <w:adjustRightInd w:val="0"/>
        <w:snapToGrid w:val="0"/>
        <w:spacing w:line="580" w:lineRule="exact"/>
        <w:ind w:firstLine="645"/>
        <w:rPr>
          <w:rFonts w:ascii="仿宋_GB2312" w:eastAsia="仿宋_GB2312"/>
          <w:color w:val="000000"/>
          <w:sz w:val="32"/>
          <w:szCs w:val="32"/>
        </w:rPr>
      </w:pPr>
      <w:r>
        <w:rPr>
          <w:rFonts w:hint="eastAsia" w:ascii="仿宋_GB2312" w:eastAsia="仿宋_GB2312"/>
          <w:color w:val="000000"/>
          <w:sz w:val="32"/>
          <w:szCs w:val="32"/>
        </w:rPr>
        <w:t>1</w:t>
      </w:r>
      <w:r>
        <w:rPr>
          <w:rFonts w:hint="eastAsia" w:ascii="仿宋_GB2312"/>
          <w:color w:val="000000"/>
          <w:sz w:val="32"/>
          <w:szCs w:val="32"/>
          <w:lang w:val="en-US" w:eastAsia="zh-CN"/>
        </w:rPr>
        <w:t>2</w:t>
      </w:r>
      <w:r>
        <w:rPr>
          <w:rFonts w:hint="eastAsia" w:ascii="仿宋_GB2312" w:eastAsia="仿宋_GB2312"/>
          <w:color w:val="000000"/>
          <w:sz w:val="32"/>
          <w:szCs w:val="32"/>
        </w:rPr>
        <w:t>.</w:t>
      </w:r>
      <w:r>
        <w:rPr>
          <w:rFonts w:hint="eastAsia" w:ascii="仿宋_GB2312"/>
          <w:color w:val="000000"/>
          <w:sz w:val="32"/>
          <w:szCs w:val="32"/>
          <w:lang w:eastAsia="zh-CN"/>
        </w:rPr>
        <w:t>商业服务业</w:t>
      </w:r>
      <w:r>
        <w:rPr>
          <w:rFonts w:hint="eastAsia" w:ascii="仿宋_GB2312" w:eastAsia="仿宋_GB2312"/>
          <w:sz w:val="32"/>
          <w:szCs w:val="32"/>
        </w:rPr>
        <w:t>（类）216</w:t>
      </w:r>
      <w:r>
        <w:rPr>
          <w:rFonts w:hint="eastAsia" w:ascii="仿宋_GB2312"/>
          <w:sz w:val="32"/>
          <w:szCs w:val="32"/>
          <w:lang w:eastAsia="zh-CN"/>
        </w:rPr>
        <w:t>商业流通事务</w:t>
      </w:r>
      <w:r>
        <w:rPr>
          <w:rFonts w:hint="eastAsia" w:ascii="仿宋_GB2312" w:eastAsia="仿宋_GB2312"/>
          <w:sz w:val="32"/>
          <w:szCs w:val="32"/>
        </w:rPr>
        <w:t>（款）02行政运行（项）01：指</w:t>
      </w:r>
      <w:r>
        <w:rPr>
          <w:rFonts w:hint="eastAsia" w:ascii="仿宋_GB2312" w:hAnsi="仿宋_GB2312" w:eastAsia="仿宋_GB2312" w:cs="仿宋_GB2312"/>
          <w:sz w:val="32"/>
          <w:szCs w:val="32"/>
        </w:rPr>
        <w:t>供销合作社联合社</w:t>
      </w:r>
      <w:r>
        <w:rPr>
          <w:rFonts w:hint="eastAsia" w:ascii="仿宋_GB2312" w:eastAsia="仿宋_GB2312"/>
          <w:sz w:val="32"/>
          <w:szCs w:val="32"/>
        </w:rPr>
        <w:t>（部门单位）行政单位及参照公务员法管理的事业单位用于保障机构正常运行、开展日常工作的基本支出。</w:t>
      </w:r>
    </w:p>
    <w:p>
      <w:pPr>
        <w:adjustRightInd w:val="0"/>
        <w:snapToGrid w:val="0"/>
        <w:spacing w:line="580" w:lineRule="exact"/>
        <w:ind w:firstLine="640" w:firstLineChars="200"/>
        <w:jc w:val="left"/>
        <w:rPr>
          <w:rFonts w:eastAsia="仿宋_GB2312"/>
        </w:rPr>
      </w:pPr>
      <w:r>
        <w:rPr>
          <w:rFonts w:hint="eastAsia" w:ascii="仿宋_GB2312" w:eastAsia="仿宋_GB2312"/>
          <w:color w:val="000000"/>
          <w:sz w:val="32"/>
          <w:szCs w:val="32"/>
        </w:rPr>
        <w:t>13</w:t>
      </w:r>
      <w:r>
        <w:rPr>
          <w:rFonts w:ascii="仿宋_GB2312" w:eastAsia="仿宋_GB2312"/>
          <w:color w:val="000000"/>
          <w:sz w:val="32"/>
          <w:szCs w:val="32"/>
        </w:rPr>
        <w:t>.</w:t>
      </w:r>
      <w:r>
        <w:rPr>
          <w:rFonts w:hint="eastAsia" w:ascii="仿宋_GB2312" w:hAnsi="仿宋_GB2312" w:eastAsia="仿宋_GB2312" w:cs="仿宋_GB2312"/>
          <w:sz w:val="32"/>
          <w:szCs w:val="32"/>
        </w:rPr>
        <w:t>住房保障（类）221住房改革支出（款）02住房公积金（项）01：</w:t>
      </w:r>
      <w:r>
        <w:rPr>
          <w:rFonts w:hint="eastAsia" w:ascii="仿宋_GB2312" w:eastAsia="仿宋_GB2312"/>
          <w:sz w:val="32"/>
          <w:szCs w:val="32"/>
        </w:rPr>
        <w:t>指</w:t>
      </w:r>
      <w:r>
        <w:rPr>
          <w:rFonts w:hint="eastAsia" w:ascii="仿宋_GB2312" w:hAnsi="仿宋_GB2312" w:eastAsia="仿宋_GB2312" w:cs="仿宋_GB2312"/>
          <w:sz w:val="32"/>
          <w:szCs w:val="32"/>
        </w:rPr>
        <w:t>供销合作社联合社主要用于：部门按人力资源和社会保障部、财政部规定的基本工资和津贴补贴以及规定比例为职工缴纳的住房公积金支出。</w:t>
      </w:r>
    </w:p>
    <w:p>
      <w:pPr>
        <w:adjustRightInd w:val="0"/>
        <w:snapToGrid w:val="0"/>
        <w:spacing w:line="58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14</w:t>
      </w:r>
      <w:r>
        <w:rPr>
          <w:rFonts w:ascii="仿宋_GB2312" w:eastAsia="仿宋_GB2312"/>
          <w:color w:val="000000"/>
          <w:sz w:val="32"/>
          <w:szCs w:val="32"/>
        </w:rPr>
        <w:t>.</w:t>
      </w:r>
      <w:r>
        <w:rPr>
          <w:rFonts w:hint="eastAsia" w:ascii="仿宋_GB2312" w:eastAsia="仿宋_GB2312"/>
          <w:color w:val="000000"/>
          <w:sz w:val="32"/>
          <w:szCs w:val="32"/>
        </w:rPr>
        <w:t>基本支出：指为保障机构正常运转、完成日常工作任务而发生的人员支出和公用支出。</w:t>
      </w:r>
    </w:p>
    <w:p>
      <w:pPr>
        <w:adjustRightInd w:val="0"/>
        <w:snapToGrid w:val="0"/>
        <w:spacing w:line="58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15</w:t>
      </w:r>
      <w:r>
        <w:rPr>
          <w:rFonts w:ascii="仿宋_GB2312" w:eastAsia="仿宋_GB2312"/>
          <w:color w:val="000000"/>
          <w:sz w:val="32"/>
          <w:szCs w:val="32"/>
        </w:rPr>
        <w:t>.</w:t>
      </w:r>
      <w:r>
        <w:rPr>
          <w:rFonts w:hint="eastAsia" w:ascii="仿宋_GB2312" w:eastAsia="仿宋_GB2312"/>
          <w:color w:val="000000"/>
          <w:sz w:val="32"/>
          <w:szCs w:val="32"/>
        </w:rPr>
        <w:t>项目支出：指在基本支出之外为完成特定行政任务和事业发展目标所发生的支出。</w:t>
      </w:r>
    </w:p>
    <w:p>
      <w:pPr>
        <w:adjustRightInd w:val="0"/>
        <w:snapToGrid w:val="0"/>
        <w:spacing w:line="58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16</w:t>
      </w:r>
      <w:r>
        <w:rPr>
          <w:rFonts w:ascii="仿宋_GB2312" w:eastAsia="仿宋_GB2312"/>
          <w:color w:val="000000"/>
          <w:sz w:val="32"/>
          <w:szCs w:val="32"/>
        </w:rPr>
        <w:t>.</w:t>
      </w:r>
      <w:r>
        <w:rPr>
          <w:rFonts w:hint="eastAsia" w:ascii="仿宋_GB2312" w:eastAsia="仿宋_GB2312"/>
          <w:color w:val="000000"/>
          <w:sz w:val="32"/>
          <w:szCs w:val="32"/>
        </w:rPr>
        <w:t>经营支出：指事业单位在专业业务活动及其辅助活动之外开展非独立核算经营活动发生的支出。</w:t>
      </w:r>
    </w:p>
    <w:p>
      <w:pPr>
        <w:pStyle w:val="18"/>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17</w:t>
      </w:r>
      <w:r>
        <w:rPr>
          <w:rFonts w:ascii="仿宋_GB2312" w:eastAsia="仿宋_GB2312"/>
          <w:sz w:val="32"/>
          <w:szCs w:val="32"/>
        </w:rPr>
        <w:t>.</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18"/>
        <w:snapToGrid w:val="0"/>
        <w:spacing w:line="580" w:lineRule="exact"/>
        <w:ind w:firstLine="640" w:firstLineChars="200"/>
        <w:rPr>
          <w:rFonts w:ascii="仿宋_GB2312" w:eastAsia="仿宋_GB2312"/>
          <w:sz w:val="32"/>
          <w:szCs w:val="32"/>
        </w:rPr>
      </w:pPr>
      <w:r>
        <w:rPr>
          <w:rFonts w:hint="eastAsia" w:ascii="仿宋_GB2312" w:eastAsia="仿宋_GB2312"/>
          <w:sz w:val="32"/>
          <w:szCs w:val="32"/>
        </w:rPr>
        <w:t>18</w:t>
      </w:r>
      <w:r>
        <w:rPr>
          <w:rFonts w:ascii="仿宋_GB2312" w:eastAsia="仿宋_GB2312"/>
          <w:sz w:val="32"/>
          <w:szCs w:val="32"/>
        </w:rPr>
        <w:t>.</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jc w:val="center"/>
        <w:outlineLvl w:val="9"/>
        <w:rPr>
          <w:rFonts w:hint="eastAsia" w:ascii="黑体" w:hAnsi="黑体" w:eastAsia="黑体"/>
          <w:color w:val="000000"/>
          <w:sz w:val="44"/>
          <w:szCs w:val="44"/>
        </w:rPr>
      </w:pPr>
      <w:bookmarkStart w:id="73" w:name="_Toc15396614"/>
      <w:bookmarkStart w:id="74" w:name="_Toc11207"/>
      <w:bookmarkStart w:id="75" w:name="_Toc15377226"/>
    </w:p>
    <w:p>
      <w:pPr>
        <w:spacing w:line="600" w:lineRule="exact"/>
        <w:jc w:val="center"/>
        <w:outlineLvl w:val="9"/>
        <w:rPr>
          <w:rFonts w:hint="eastAsia" w:ascii="黑体" w:hAnsi="黑体" w:eastAsia="黑体"/>
          <w:color w:val="000000"/>
          <w:sz w:val="44"/>
          <w:szCs w:val="44"/>
        </w:rPr>
      </w:pPr>
    </w:p>
    <w:p>
      <w:pPr>
        <w:spacing w:line="600" w:lineRule="exact"/>
        <w:jc w:val="center"/>
        <w:outlineLvl w:val="9"/>
        <w:rPr>
          <w:rFonts w:hint="eastAsia" w:ascii="黑体" w:hAnsi="黑体" w:eastAsia="黑体"/>
          <w:color w:val="000000"/>
          <w:sz w:val="44"/>
          <w:szCs w:val="44"/>
        </w:rPr>
      </w:pPr>
    </w:p>
    <w:p>
      <w:pPr>
        <w:spacing w:line="600" w:lineRule="exact"/>
        <w:jc w:val="center"/>
        <w:outlineLvl w:val="9"/>
        <w:rPr>
          <w:rFonts w:hint="eastAsia" w:ascii="黑体" w:hAnsi="黑体" w:eastAsia="黑体"/>
          <w:color w:val="000000"/>
          <w:sz w:val="44"/>
          <w:szCs w:val="44"/>
        </w:rPr>
      </w:pPr>
    </w:p>
    <w:p>
      <w:pPr>
        <w:spacing w:line="600" w:lineRule="exact"/>
        <w:jc w:val="center"/>
        <w:outlineLvl w:val="9"/>
        <w:rPr>
          <w:rFonts w:hint="eastAsia" w:ascii="黑体" w:hAnsi="黑体" w:eastAsia="黑体"/>
          <w:color w:val="000000"/>
          <w:sz w:val="44"/>
          <w:szCs w:val="44"/>
        </w:rPr>
      </w:pPr>
    </w:p>
    <w:p>
      <w:pPr>
        <w:spacing w:line="600" w:lineRule="exact"/>
        <w:jc w:val="center"/>
        <w:outlineLvl w:val="9"/>
        <w:rPr>
          <w:rFonts w:hint="eastAsia" w:ascii="黑体" w:hAnsi="黑体" w:eastAsia="黑体"/>
          <w:color w:val="000000"/>
          <w:sz w:val="44"/>
          <w:szCs w:val="44"/>
        </w:rPr>
      </w:pPr>
    </w:p>
    <w:p>
      <w:pPr>
        <w:spacing w:line="600" w:lineRule="exact"/>
        <w:jc w:val="center"/>
        <w:outlineLvl w:val="9"/>
        <w:rPr>
          <w:rFonts w:hint="eastAsia" w:ascii="黑体" w:hAnsi="黑体" w:eastAsia="黑体"/>
          <w:color w:val="000000"/>
          <w:sz w:val="44"/>
          <w:szCs w:val="44"/>
        </w:rPr>
      </w:pPr>
    </w:p>
    <w:p>
      <w:pPr>
        <w:spacing w:line="600" w:lineRule="exact"/>
        <w:jc w:val="center"/>
        <w:outlineLvl w:val="9"/>
        <w:rPr>
          <w:rFonts w:hint="eastAsia" w:ascii="黑体" w:hAnsi="黑体" w:eastAsia="黑体"/>
          <w:color w:val="000000"/>
          <w:sz w:val="44"/>
          <w:szCs w:val="44"/>
        </w:rPr>
      </w:pPr>
    </w:p>
    <w:p>
      <w:pPr>
        <w:spacing w:line="600" w:lineRule="exact"/>
        <w:jc w:val="center"/>
        <w:outlineLvl w:val="9"/>
        <w:rPr>
          <w:rFonts w:hint="eastAsia" w:ascii="黑体" w:hAnsi="黑体" w:eastAsia="黑体"/>
          <w:color w:val="000000"/>
          <w:sz w:val="44"/>
          <w:szCs w:val="44"/>
        </w:rPr>
      </w:pPr>
    </w:p>
    <w:p>
      <w:pPr>
        <w:spacing w:line="600" w:lineRule="exact"/>
        <w:jc w:val="both"/>
        <w:outlineLvl w:val="9"/>
        <w:rPr>
          <w:rFonts w:hint="eastAsia" w:ascii="黑体" w:hAnsi="黑体" w:eastAsia="黑体"/>
          <w:color w:val="000000"/>
          <w:sz w:val="44"/>
          <w:szCs w:val="44"/>
        </w:rPr>
      </w:pPr>
    </w:p>
    <w:p>
      <w:pPr>
        <w:pStyle w:val="2"/>
        <w:rPr>
          <w:rFonts w:hint="eastAsia"/>
        </w:rPr>
      </w:pPr>
    </w:p>
    <w:p>
      <w:pPr>
        <w:spacing w:line="600" w:lineRule="exact"/>
        <w:jc w:val="center"/>
        <w:outlineLvl w:val="0"/>
        <w:rPr>
          <w:rStyle w:val="15"/>
          <w:rFonts w:ascii="黑体" w:hAnsi="黑体" w:eastAsia="黑体"/>
          <w:b w:val="0"/>
        </w:rPr>
      </w:pPr>
      <w:bookmarkStart w:id="76" w:name="_Toc98"/>
      <w:r>
        <w:rPr>
          <w:rFonts w:hint="eastAsia" w:ascii="黑体" w:hAnsi="黑体" w:eastAsia="黑体"/>
          <w:color w:val="000000"/>
          <w:sz w:val="44"/>
          <w:szCs w:val="44"/>
        </w:rPr>
        <w:t>第</w:t>
      </w:r>
      <w:r>
        <w:rPr>
          <w:rStyle w:val="15"/>
          <w:rFonts w:hint="eastAsia" w:ascii="黑体" w:hAnsi="黑体" w:eastAsia="黑体"/>
          <w:b w:val="0"/>
        </w:rPr>
        <w:t>四部分</w:t>
      </w:r>
      <w:r>
        <w:rPr>
          <w:rStyle w:val="15"/>
          <w:rFonts w:ascii="黑体" w:hAnsi="黑体" w:eastAsia="黑体"/>
          <w:b w:val="0"/>
        </w:rPr>
        <w:t xml:space="preserve"> </w:t>
      </w:r>
      <w:r>
        <w:rPr>
          <w:rStyle w:val="15"/>
          <w:rFonts w:hint="eastAsia" w:ascii="黑体" w:hAnsi="黑体" w:eastAsia="黑体"/>
          <w:b w:val="0"/>
        </w:rPr>
        <w:t>附件</w:t>
      </w:r>
      <w:bookmarkEnd w:id="73"/>
      <w:bookmarkEnd w:id="74"/>
      <w:bookmarkEnd w:id="76"/>
    </w:p>
    <w:p>
      <w:pPr>
        <w:spacing w:line="600" w:lineRule="exact"/>
        <w:jc w:val="left"/>
        <w:outlineLvl w:val="1"/>
        <w:rPr>
          <w:rFonts w:ascii="方正小标宋简体" w:hAnsi="方正小标宋简体" w:eastAsia="方正小标宋简体" w:cs="方正小标宋简体"/>
          <w:sz w:val="32"/>
          <w:szCs w:val="32"/>
        </w:rPr>
      </w:pPr>
      <w:bookmarkStart w:id="77" w:name="_Toc22930"/>
      <w:bookmarkStart w:id="78" w:name="_Toc636"/>
      <w:r>
        <w:rPr>
          <w:rFonts w:hint="eastAsia" w:ascii="黑体" w:hAnsi="黑体" w:eastAsia="黑体" w:cs="黑体"/>
          <w:sz w:val="32"/>
          <w:szCs w:val="32"/>
        </w:rPr>
        <w:t>附件</w:t>
      </w:r>
      <w:r>
        <w:rPr>
          <w:rFonts w:ascii="黑体" w:hAnsi="黑体" w:eastAsia="黑体" w:cs="黑体"/>
          <w:sz w:val="32"/>
          <w:szCs w:val="32"/>
        </w:rPr>
        <w:t>1</w:t>
      </w:r>
      <w:bookmarkEnd w:id="77"/>
      <w:bookmarkEnd w:id="78"/>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ascii="方正小标宋简体" w:hAnsi="宋体" w:eastAsia="方正小标宋简体"/>
          <w:color w:val="000000" w:themeColor="text1"/>
          <w:kern w:val="0"/>
          <w:sz w:val="40"/>
          <w:szCs w:val="44"/>
          <w14:textFill>
            <w14:solidFill>
              <w14:schemeClr w14:val="tx1"/>
            </w14:solidFill>
          </w14:textFill>
        </w:rPr>
      </w:pPr>
      <w:r>
        <w:rPr>
          <w:rFonts w:hint="eastAsia" w:ascii="方正小标宋简体" w:hAnsi="宋体" w:eastAsia="方正小标宋简体"/>
          <w:color w:val="000000" w:themeColor="text1"/>
          <w:kern w:val="0"/>
          <w:sz w:val="40"/>
          <w:szCs w:val="44"/>
          <w14:textFill>
            <w14:solidFill>
              <w14:schemeClr w14:val="tx1"/>
            </w14:solidFill>
          </w14:textFill>
        </w:rPr>
        <w:t>自贡市自流井区供销合作社联合社</w:t>
      </w:r>
    </w:p>
    <w:p>
      <w:pPr>
        <w:spacing w:line="600" w:lineRule="exact"/>
        <w:jc w:val="center"/>
        <w:rPr>
          <w:rFonts w:ascii="方正小标宋简体" w:hAnsi="宋体" w:eastAsia="方正小标宋简体"/>
          <w:color w:val="000000" w:themeColor="text1"/>
          <w:kern w:val="0"/>
          <w:sz w:val="40"/>
          <w:szCs w:val="44"/>
          <w:lang w:val="zh-CN"/>
          <w14:textFill>
            <w14:solidFill>
              <w14:schemeClr w14:val="tx1"/>
            </w14:solidFill>
          </w14:textFill>
        </w:rPr>
      </w:pPr>
      <w:r>
        <w:rPr>
          <w:rFonts w:ascii="方正小标宋简体" w:hAnsi="宋体" w:eastAsia="方正小标宋简体"/>
          <w:color w:val="000000" w:themeColor="text1"/>
          <w:kern w:val="0"/>
          <w:sz w:val="40"/>
          <w:szCs w:val="44"/>
          <w14:textFill>
            <w14:solidFill>
              <w14:schemeClr w14:val="tx1"/>
            </w14:solidFill>
          </w14:textFill>
        </w:rPr>
        <w:t>20</w:t>
      </w:r>
      <w:r>
        <w:rPr>
          <w:rFonts w:hint="eastAsia" w:ascii="方正小标宋简体" w:hAnsi="宋体" w:eastAsia="方正小标宋简体"/>
          <w:color w:val="000000" w:themeColor="text1"/>
          <w:kern w:val="0"/>
          <w:sz w:val="40"/>
          <w:szCs w:val="44"/>
          <w:lang w:val="en-US" w:eastAsia="zh-CN"/>
          <w14:textFill>
            <w14:solidFill>
              <w14:schemeClr w14:val="tx1"/>
            </w14:solidFill>
          </w14:textFill>
        </w:rPr>
        <w:t>20</w:t>
      </w:r>
      <w:r>
        <w:rPr>
          <w:rFonts w:ascii="方正小标宋简体" w:hAnsi="宋体" w:eastAsia="方正小标宋简体"/>
          <w:color w:val="000000" w:themeColor="text1"/>
          <w:kern w:val="0"/>
          <w:sz w:val="40"/>
          <w:szCs w:val="44"/>
          <w14:textFill>
            <w14:solidFill>
              <w14:schemeClr w14:val="tx1"/>
            </w14:solidFill>
          </w14:textFill>
        </w:rPr>
        <w:t>年部门</w:t>
      </w:r>
      <w:r>
        <w:rPr>
          <w:rFonts w:hint="eastAsia" w:ascii="方正小标宋简体" w:hAnsi="宋体" w:eastAsia="方正小标宋简体"/>
          <w:color w:val="000000" w:themeColor="text1"/>
          <w:kern w:val="0"/>
          <w:sz w:val="40"/>
          <w:szCs w:val="44"/>
          <w:lang w:val="zh-CN"/>
          <w14:textFill>
            <w14:solidFill>
              <w14:schemeClr w14:val="tx1"/>
            </w14:solidFill>
          </w14:textFill>
        </w:rPr>
        <w:t>整体支出绩效评价报告</w:t>
      </w:r>
    </w:p>
    <w:p>
      <w:pPr>
        <w:widowControl/>
        <w:adjustRightInd w:val="0"/>
        <w:snapToGrid w:val="0"/>
        <w:spacing w:line="580" w:lineRule="exact"/>
        <w:ind w:firstLine="480" w:firstLineChars="200"/>
        <w:contextualSpacing/>
        <w:jc w:val="left"/>
        <w:rPr>
          <w:rFonts w:ascii="黑体" w:hAnsi="宋体" w:eastAsia="黑体" w:cs="宋体"/>
          <w:color w:val="000000"/>
          <w:kern w:val="0"/>
          <w:sz w:val="24"/>
          <w:szCs w:val="32"/>
          <w:shd w:val="clear" w:color="auto" w:fill="FFFFFF"/>
        </w:rPr>
      </w:pP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lang w:val="zh-CN"/>
        </w:rPr>
      </w:pPr>
      <w:r>
        <w:rPr>
          <w:rFonts w:hint="eastAsia" w:ascii="黑体" w:hAnsi="宋体" w:eastAsia="黑体" w:cs="宋体"/>
          <w:color w:val="000000"/>
          <w:kern w:val="0"/>
          <w:sz w:val="32"/>
          <w:szCs w:val="32"/>
          <w:shd w:val="clear" w:color="auto" w:fill="FFFFFF"/>
        </w:rPr>
        <w:t>一、</w:t>
      </w:r>
      <w:r>
        <w:rPr>
          <w:rFonts w:hint="eastAsia" w:ascii="黑体" w:hAnsi="宋体" w:eastAsia="黑体" w:cs="宋体"/>
          <w:color w:val="000000"/>
          <w:kern w:val="0"/>
          <w:sz w:val="32"/>
          <w:szCs w:val="32"/>
          <w:shd w:val="clear" w:color="auto" w:fill="FFFFFF"/>
          <w:lang w:val="zh-CN"/>
        </w:rPr>
        <w:t>部门（单位）概况</w:t>
      </w:r>
    </w:p>
    <w:p>
      <w:pPr>
        <w:widowControl/>
        <w:adjustRightInd w:val="0"/>
        <w:snapToGrid w:val="0"/>
        <w:spacing w:line="580" w:lineRule="exact"/>
        <w:ind w:firstLine="643" w:firstLineChars="200"/>
        <w:contextualSpacing/>
        <w:jc w:val="left"/>
        <w:rPr>
          <w:rFonts w:hint="eastAsia" w:ascii="楷体_GB2312" w:hAnsi="楷体_GB2312" w:eastAsia="楷体_GB2312" w:cs="楷体_GB2312"/>
          <w:b/>
          <w:bCs/>
          <w:sz w:val="32"/>
          <w:szCs w:val="32"/>
        </w:rPr>
      </w:pPr>
      <w:r>
        <w:rPr>
          <w:rFonts w:hint="eastAsia" w:ascii="楷体_GB2312" w:hAnsi="楷体_GB2312" w:eastAsia="楷体_GB2312" w:cs="楷体_GB2312"/>
          <w:b/>
          <w:bCs/>
          <w:color w:val="000000"/>
          <w:kern w:val="0"/>
          <w:sz w:val="32"/>
          <w:szCs w:val="32"/>
          <w:shd w:val="clear" w:color="auto" w:fill="FFFFFF"/>
          <w:lang w:val="zh-CN"/>
        </w:rPr>
        <w:t>（一）机构组成</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Times New Roman" w:hAnsi="仿宋_GB2312" w:cs="仿宋_GB2312"/>
          <w:sz w:val="32"/>
          <w:szCs w:val="32"/>
          <w:lang w:eastAsia="zh-CN"/>
        </w:rPr>
        <w:t>供销合作社联合社</w:t>
      </w:r>
      <w:r>
        <w:rPr>
          <w:rFonts w:hint="eastAsia" w:ascii="Times New Roman" w:hAnsi="仿宋_GB2312" w:cs="仿宋_GB2312"/>
          <w:sz w:val="32"/>
          <w:szCs w:val="32"/>
        </w:rPr>
        <w:t>（部门单位）下属二级预算单位</w:t>
      </w:r>
      <w:r>
        <w:rPr>
          <w:rFonts w:hint="eastAsia" w:ascii="Times New Roman" w:hAnsi="仿宋_GB2312" w:cs="仿宋_GB2312"/>
          <w:sz w:val="32"/>
          <w:szCs w:val="32"/>
          <w:lang w:val="en-US" w:eastAsia="zh-CN"/>
        </w:rPr>
        <w:t>0</w:t>
      </w:r>
      <w:r>
        <w:rPr>
          <w:rFonts w:hint="eastAsia" w:ascii="Times New Roman" w:hAnsi="仿宋_GB2312" w:cs="仿宋_GB2312"/>
          <w:sz w:val="32"/>
          <w:szCs w:val="32"/>
        </w:rPr>
        <w:t>个</w:t>
      </w:r>
      <w:r>
        <w:rPr>
          <w:rFonts w:hint="eastAsia" w:ascii="Times New Roman" w:hAnsi="仿宋_GB2312" w:cs="仿宋_GB2312"/>
          <w:sz w:val="32"/>
          <w:szCs w:val="32"/>
          <w:lang w:eastAsia="zh-CN"/>
        </w:rPr>
        <w:t>，</w:t>
      </w:r>
      <w:r>
        <w:rPr>
          <w:rFonts w:hint="eastAsia" w:ascii="Times New Roman" w:hAnsi="仿宋_GB2312" w:cs="仿宋_GB2312"/>
          <w:sz w:val="32"/>
          <w:szCs w:val="32"/>
        </w:rPr>
        <w:t>其中行政单位0个，参照公务员法管理的事业单位0个，其他事业单位</w:t>
      </w:r>
      <w:r>
        <w:rPr>
          <w:rFonts w:hint="eastAsia" w:ascii="Times New Roman" w:hAnsi="仿宋_GB2312" w:cs="仿宋_GB2312"/>
          <w:sz w:val="32"/>
          <w:szCs w:val="32"/>
          <w:lang w:val="en-US" w:eastAsia="zh-CN"/>
        </w:rPr>
        <w:t>0</w:t>
      </w:r>
      <w:r>
        <w:rPr>
          <w:rFonts w:hint="eastAsia" w:ascii="Times New Roman" w:hAnsi="仿宋_GB2312" w:cs="仿宋_GB2312"/>
          <w:sz w:val="32"/>
          <w:szCs w:val="32"/>
        </w:rPr>
        <w:t>个。</w:t>
      </w:r>
    </w:p>
    <w:p>
      <w:pPr>
        <w:widowControl/>
        <w:adjustRightInd w:val="0"/>
        <w:snapToGrid w:val="0"/>
        <w:spacing w:line="580" w:lineRule="exact"/>
        <w:ind w:firstLine="643" w:firstLineChars="200"/>
        <w:contextualSpacing/>
        <w:jc w:val="left"/>
        <w:rPr>
          <w:rFonts w:hint="eastAsia" w:ascii="楷体_GB2312" w:hAnsi="楷体_GB2312" w:eastAsia="楷体_GB2312" w:cs="楷体_GB2312"/>
          <w:b/>
          <w:bCs/>
          <w:color w:val="000000"/>
          <w:kern w:val="0"/>
          <w:sz w:val="32"/>
          <w:szCs w:val="32"/>
          <w:shd w:val="clear" w:color="auto" w:fill="FFFFFF"/>
          <w:lang w:val="zh-CN" w:eastAsia="zh-CN"/>
        </w:rPr>
      </w:pPr>
      <w:r>
        <w:rPr>
          <w:rFonts w:hint="eastAsia" w:ascii="楷体_GB2312" w:hAnsi="楷体_GB2312" w:eastAsia="楷体_GB2312" w:cs="楷体_GB2312"/>
          <w:b/>
          <w:bCs/>
          <w:color w:val="000000"/>
          <w:kern w:val="0"/>
          <w:sz w:val="32"/>
          <w:szCs w:val="32"/>
          <w:shd w:val="clear" w:color="auto" w:fill="FFFFFF"/>
          <w:lang w:val="zh-CN"/>
        </w:rPr>
        <w:t>（</w:t>
      </w:r>
      <w:r>
        <w:rPr>
          <w:rFonts w:hint="eastAsia" w:ascii="楷体_GB2312" w:hAnsi="楷体_GB2312" w:eastAsia="楷体_GB2312" w:cs="楷体_GB2312"/>
          <w:b/>
          <w:bCs/>
          <w:color w:val="000000"/>
          <w:kern w:val="0"/>
          <w:sz w:val="32"/>
          <w:szCs w:val="32"/>
          <w:shd w:val="clear" w:color="auto" w:fill="FFFFFF"/>
          <w:lang w:val="zh-CN" w:eastAsia="zh-CN"/>
        </w:rPr>
        <w:t>二</w:t>
      </w:r>
      <w:r>
        <w:rPr>
          <w:rFonts w:hint="eastAsia" w:ascii="楷体_GB2312" w:hAnsi="楷体_GB2312" w:eastAsia="楷体_GB2312" w:cs="楷体_GB2312"/>
          <w:b/>
          <w:bCs/>
          <w:color w:val="000000"/>
          <w:kern w:val="0"/>
          <w:sz w:val="32"/>
          <w:szCs w:val="32"/>
          <w:shd w:val="clear" w:color="auto" w:fill="FFFFFF"/>
          <w:lang w:val="zh-CN"/>
        </w:rPr>
        <w:t>）</w:t>
      </w:r>
      <w:r>
        <w:rPr>
          <w:rFonts w:hint="eastAsia" w:ascii="楷体_GB2312" w:hAnsi="楷体_GB2312" w:eastAsia="楷体_GB2312" w:cs="楷体_GB2312"/>
          <w:b/>
          <w:bCs/>
          <w:color w:val="000000"/>
          <w:kern w:val="0"/>
          <w:sz w:val="32"/>
          <w:szCs w:val="32"/>
          <w:shd w:val="clear" w:color="auto" w:fill="FFFFFF"/>
          <w:lang w:val="zh-CN" w:eastAsia="zh-CN"/>
        </w:rPr>
        <w:t>机构职能</w:t>
      </w:r>
    </w:p>
    <w:p>
      <w:pPr>
        <w:widowControl/>
        <w:adjustRightInd w:val="0"/>
        <w:snapToGrid w:val="0"/>
        <w:spacing w:line="580" w:lineRule="exact"/>
        <w:ind w:firstLine="640" w:firstLineChars="200"/>
        <w:contextualSpacing/>
        <w:jc w:val="left"/>
        <w:rPr>
          <w:rFonts w:hint="eastAsia" w:ascii="Times New Roman" w:hAnsi="仿宋_GB2312" w:cs="仿宋_GB2312"/>
          <w:sz w:val="32"/>
          <w:szCs w:val="32"/>
          <w:lang w:eastAsia="zh-CN"/>
        </w:rPr>
      </w:pPr>
      <w:r>
        <w:rPr>
          <w:rFonts w:hint="eastAsia" w:ascii="Times New Roman" w:hAnsi="仿宋_GB2312" w:cs="仿宋_GB2312"/>
          <w:sz w:val="32"/>
          <w:szCs w:val="32"/>
          <w:lang w:eastAsia="zh-CN"/>
        </w:rPr>
        <w:t>1、宣传贯彻党和政府有关农业、农村经济工作的方针政策。</w:t>
      </w:r>
    </w:p>
    <w:p>
      <w:pPr>
        <w:widowControl/>
        <w:adjustRightInd w:val="0"/>
        <w:snapToGrid w:val="0"/>
        <w:spacing w:line="580" w:lineRule="exact"/>
        <w:ind w:firstLine="640" w:firstLineChars="200"/>
        <w:contextualSpacing/>
        <w:jc w:val="left"/>
        <w:rPr>
          <w:rFonts w:hint="eastAsia" w:ascii="Times New Roman" w:hAnsi="仿宋_GB2312" w:cs="仿宋_GB2312"/>
          <w:sz w:val="32"/>
          <w:szCs w:val="32"/>
          <w:lang w:eastAsia="zh-CN"/>
        </w:rPr>
      </w:pPr>
      <w:r>
        <w:rPr>
          <w:rFonts w:hint="eastAsia" w:ascii="Times New Roman" w:hAnsi="仿宋_GB2312" w:cs="仿宋_GB2312"/>
          <w:sz w:val="32"/>
          <w:szCs w:val="32"/>
          <w:lang w:eastAsia="zh-CN"/>
        </w:rPr>
        <w:t>2、研究制定全区农村合作经济的发展战略、发展规划; 指导全区供销合作社的改革和发展,探索社会主义市场经济条件下供销合作经济的多种实现形式。</w:t>
      </w:r>
    </w:p>
    <w:p>
      <w:pPr>
        <w:widowControl/>
        <w:adjustRightInd w:val="0"/>
        <w:snapToGrid w:val="0"/>
        <w:spacing w:line="580" w:lineRule="exact"/>
        <w:ind w:firstLine="640" w:firstLineChars="200"/>
        <w:contextualSpacing/>
        <w:jc w:val="left"/>
        <w:rPr>
          <w:rFonts w:hint="eastAsia" w:ascii="Times New Roman" w:hAnsi="仿宋_GB2312" w:cs="仿宋_GB2312"/>
          <w:sz w:val="32"/>
          <w:szCs w:val="32"/>
          <w:lang w:eastAsia="zh-CN"/>
        </w:rPr>
      </w:pPr>
      <w:r>
        <w:rPr>
          <w:rFonts w:hint="eastAsia" w:ascii="Times New Roman" w:hAnsi="仿宋_GB2312" w:cs="仿宋_GB2312"/>
          <w:sz w:val="32"/>
          <w:szCs w:val="32"/>
          <w:lang w:eastAsia="zh-CN"/>
        </w:rPr>
        <w:t>3、按照区政府授权对重要农业生产资料和重要农副产品以及政策性商品经营进行组织、协调和管理。</w:t>
      </w:r>
    </w:p>
    <w:p>
      <w:pPr>
        <w:widowControl/>
        <w:adjustRightInd w:val="0"/>
        <w:snapToGrid w:val="0"/>
        <w:spacing w:line="580" w:lineRule="exact"/>
        <w:ind w:firstLine="640" w:firstLineChars="200"/>
        <w:contextualSpacing/>
        <w:jc w:val="left"/>
        <w:rPr>
          <w:rFonts w:hint="eastAsia" w:ascii="Times New Roman" w:hAnsi="仿宋_GB2312" w:cs="仿宋_GB2312"/>
          <w:sz w:val="32"/>
          <w:szCs w:val="32"/>
          <w:lang w:eastAsia="zh-CN"/>
        </w:rPr>
      </w:pPr>
      <w:r>
        <w:rPr>
          <w:rFonts w:hint="eastAsia" w:ascii="Times New Roman" w:hAnsi="仿宋_GB2312" w:cs="仿宋_GB2312"/>
          <w:sz w:val="32"/>
          <w:szCs w:val="32"/>
          <w:lang w:eastAsia="zh-CN"/>
        </w:rPr>
        <w:t>4、研究供销合作经济运行中的重大问题，协调同有关部门、社会组织的关系，提供扶持城乡合作经济发展的政策性建议、维护合作经济组织的合法权益。</w:t>
      </w:r>
    </w:p>
    <w:p>
      <w:pPr>
        <w:widowControl/>
        <w:adjustRightInd w:val="0"/>
        <w:snapToGrid w:val="0"/>
        <w:spacing w:line="580" w:lineRule="exact"/>
        <w:ind w:firstLine="640" w:firstLineChars="200"/>
        <w:contextualSpacing/>
        <w:jc w:val="left"/>
        <w:rPr>
          <w:rFonts w:hint="eastAsia" w:ascii="Times New Roman" w:hAnsi="仿宋_GB2312" w:cs="仿宋_GB2312"/>
          <w:sz w:val="32"/>
          <w:szCs w:val="32"/>
          <w:lang w:eastAsia="zh-CN"/>
        </w:rPr>
      </w:pPr>
      <w:r>
        <w:rPr>
          <w:rFonts w:hint="eastAsia" w:ascii="Times New Roman" w:hAnsi="仿宋_GB2312" w:cs="仿宋_GB2312"/>
          <w:sz w:val="32"/>
          <w:szCs w:val="32"/>
          <w:lang w:eastAsia="zh-CN"/>
        </w:rPr>
        <w:t>5、组织全区供销社参与和推进农业产业化经营，培育农产品市场，组织发展专业合作社、消费合作社等中介服务组织，培育产业龙头企业，加强商品供求、市场、信息服务体系建设。</w:t>
      </w:r>
    </w:p>
    <w:p>
      <w:pPr>
        <w:widowControl/>
        <w:adjustRightInd w:val="0"/>
        <w:snapToGrid w:val="0"/>
        <w:spacing w:line="580" w:lineRule="exact"/>
        <w:ind w:firstLine="640" w:firstLineChars="200"/>
        <w:contextualSpacing/>
        <w:jc w:val="left"/>
        <w:rPr>
          <w:rFonts w:hint="eastAsia" w:ascii="Times New Roman" w:hAnsi="仿宋_GB2312" w:cs="仿宋_GB2312"/>
          <w:sz w:val="32"/>
          <w:szCs w:val="32"/>
          <w:lang w:eastAsia="zh-CN"/>
        </w:rPr>
      </w:pPr>
      <w:r>
        <w:rPr>
          <w:rFonts w:hint="eastAsia" w:ascii="Times New Roman" w:hAnsi="仿宋_GB2312" w:cs="仿宋_GB2312"/>
          <w:sz w:val="32"/>
          <w:szCs w:val="32"/>
          <w:lang w:eastAsia="zh-CN"/>
        </w:rPr>
        <w:t>6、指导城乡社会化服务体系建设，推进建立现代流通体系和现代营销方式,发展社区性、综合性、便民性社区综合服务社,满足农民生产、生活等社会化服务需求。</w:t>
      </w:r>
    </w:p>
    <w:p>
      <w:pPr>
        <w:widowControl/>
        <w:adjustRightInd w:val="0"/>
        <w:snapToGrid w:val="0"/>
        <w:spacing w:line="580" w:lineRule="exact"/>
        <w:ind w:firstLine="640" w:firstLineChars="200"/>
        <w:contextualSpacing/>
        <w:jc w:val="left"/>
        <w:rPr>
          <w:rFonts w:hint="eastAsia" w:ascii="Times New Roman" w:hAnsi="仿宋_GB2312" w:cs="仿宋_GB2312"/>
          <w:sz w:val="32"/>
          <w:szCs w:val="32"/>
          <w:lang w:eastAsia="zh-CN"/>
        </w:rPr>
      </w:pPr>
      <w:r>
        <w:rPr>
          <w:rFonts w:hint="eastAsia" w:ascii="Times New Roman" w:hAnsi="仿宋_GB2312" w:cs="仿宋_GB2312"/>
          <w:sz w:val="32"/>
          <w:szCs w:val="32"/>
          <w:lang w:eastAsia="zh-CN"/>
        </w:rPr>
        <w:t>7、监督和管理社有资产,确保社有资产保值增值、对直属企业行使出资人的权利，依法享有资产受益，重大决策和选择经营管理者等权利，加强对基层供销社的管理，根据区域经济发展状况合理设置基层供销社。</w:t>
      </w:r>
    </w:p>
    <w:p>
      <w:pPr>
        <w:widowControl/>
        <w:adjustRightInd w:val="0"/>
        <w:snapToGrid w:val="0"/>
        <w:spacing w:line="580" w:lineRule="exact"/>
        <w:ind w:firstLine="640" w:firstLineChars="200"/>
        <w:contextualSpacing/>
        <w:jc w:val="left"/>
        <w:rPr>
          <w:rFonts w:hint="eastAsia" w:ascii="Times New Roman" w:hAnsi="仿宋_GB2312" w:cs="仿宋_GB2312"/>
          <w:sz w:val="32"/>
          <w:szCs w:val="32"/>
          <w:lang w:val="zh-CN" w:eastAsia="zh-CN"/>
        </w:rPr>
      </w:pPr>
      <w:r>
        <w:rPr>
          <w:rFonts w:hint="eastAsia" w:ascii="Times New Roman" w:hAnsi="仿宋_GB2312" w:cs="仿宋_GB2312"/>
          <w:sz w:val="32"/>
          <w:szCs w:val="32"/>
          <w:lang w:eastAsia="zh-CN"/>
        </w:rPr>
        <w:t>8、承办区政府交办的其他事项。</w:t>
      </w:r>
    </w:p>
    <w:p>
      <w:pPr>
        <w:widowControl/>
        <w:adjustRightInd w:val="0"/>
        <w:snapToGrid w:val="0"/>
        <w:spacing w:line="580" w:lineRule="exact"/>
        <w:ind w:firstLine="643" w:firstLineChars="200"/>
        <w:contextualSpacing/>
        <w:jc w:val="left"/>
        <w:rPr>
          <w:rFonts w:hint="eastAsia" w:ascii="楷体_GB2312" w:hAnsi="楷体_GB2312" w:eastAsia="楷体_GB2312" w:cs="楷体_GB2312"/>
          <w:b/>
          <w:bCs/>
          <w:sz w:val="32"/>
          <w:szCs w:val="32"/>
          <w:lang w:val="zh-CN" w:eastAsia="zh-CN"/>
        </w:rPr>
      </w:pPr>
      <w:r>
        <w:rPr>
          <w:rFonts w:hint="eastAsia" w:ascii="楷体_GB2312" w:hAnsi="楷体_GB2312" w:eastAsia="楷体_GB2312" w:cs="楷体_GB2312"/>
          <w:b/>
          <w:bCs/>
          <w:sz w:val="32"/>
          <w:szCs w:val="32"/>
          <w:lang w:val="zh-CN" w:eastAsia="zh-CN"/>
        </w:rPr>
        <w:t>（三）人员概况</w:t>
      </w:r>
    </w:p>
    <w:p>
      <w:pPr>
        <w:keepNext w:val="0"/>
        <w:keepLines w:val="0"/>
        <w:pageBreakBefore w:val="0"/>
        <w:widowControl w:val="0"/>
        <w:pBdr>
          <w:top w:val="single" w:color="FFFFFF" w:sz="4" w:space="0"/>
          <w:left w:val="single" w:color="FFFFFF" w:sz="4" w:space="31"/>
          <w:bottom w:val="single" w:color="FFFFFF" w:sz="4" w:space="31"/>
          <w:right w:val="single" w:color="FFFFFF" w:sz="4" w:space="0"/>
        </w:pBdr>
        <w:kinsoku/>
        <w:wordWrap/>
        <w:overflowPunct/>
        <w:topLinePunct w:val="0"/>
        <w:autoSpaceDE/>
        <w:autoSpaceDN/>
        <w:bidi w:val="0"/>
        <w:adjustRightInd w:val="0"/>
        <w:snapToGrid w:val="0"/>
        <w:spacing w:line="592" w:lineRule="exact"/>
        <w:ind w:firstLine="640" w:firstLineChars="200"/>
        <w:textAlignment w:val="auto"/>
        <w:rPr>
          <w:rFonts w:hint="eastAsia" w:eastAsia="仿宋_GB2312"/>
          <w:lang w:eastAsia="zh-CN"/>
        </w:rPr>
      </w:pPr>
      <w:r>
        <w:rPr>
          <w:rFonts w:hint="eastAsia" w:ascii="仿宋_GB2312" w:eastAsia="仿宋_GB2312"/>
          <w:color w:val="auto"/>
          <w:sz w:val="32"/>
          <w:szCs w:val="32"/>
        </w:rPr>
        <w:t>编制6名，均属事业编制（参照公务员管理人员）。在职人数</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人，其中：事业人员（参照公务员管理人员）</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人。离退休人员2人</w:t>
      </w:r>
      <w:r>
        <w:rPr>
          <w:rFonts w:hint="eastAsia" w:ascii="仿宋_GB2312"/>
          <w:color w:val="auto"/>
          <w:sz w:val="32"/>
          <w:szCs w:val="32"/>
          <w:lang w:eastAsia="zh-CN"/>
        </w:rPr>
        <w:t>。</w:t>
      </w:r>
    </w:p>
    <w:p>
      <w:pPr>
        <w:keepNext w:val="0"/>
        <w:keepLines w:val="0"/>
        <w:pageBreakBefore w:val="0"/>
        <w:widowControl w:val="0"/>
        <w:numPr>
          <w:ilvl w:val="0"/>
          <w:numId w:val="0"/>
        </w:numPr>
        <w:pBdr>
          <w:top w:val="single" w:color="FFFFFF" w:sz="4" w:space="0"/>
          <w:left w:val="single" w:color="FFFFFF" w:sz="4" w:space="31"/>
          <w:bottom w:val="single" w:color="FFFFFF" w:sz="4" w:space="31"/>
          <w:right w:val="single" w:color="FFFFFF" w:sz="4" w:space="0"/>
        </w:pBdr>
        <w:kinsoku/>
        <w:wordWrap/>
        <w:overflowPunct/>
        <w:topLinePunct w:val="0"/>
        <w:autoSpaceDE/>
        <w:autoSpaceDN/>
        <w:bidi w:val="0"/>
        <w:adjustRightInd w:val="0"/>
        <w:snapToGrid w:val="0"/>
        <w:spacing w:line="592" w:lineRule="exact"/>
        <w:ind w:firstLine="640" w:firstLineChars="200"/>
        <w:textAlignment w:val="auto"/>
        <w:rPr>
          <w:rFonts w:hint="eastAsia"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lang w:eastAsia="zh-CN"/>
        </w:rPr>
        <w:t>二、</w:t>
      </w:r>
      <w:r>
        <w:rPr>
          <w:rFonts w:hint="eastAsia" w:ascii="黑体" w:hAnsi="宋体" w:eastAsia="黑体" w:cs="宋体"/>
          <w:color w:val="000000"/>
          <w:kern w:val="0"/>
          <w:sz w:val="32"/>
          <w:szCs w:val="32"/>
          <w:shd w:val="clear" w:color="auto" w:fill="FFFFFF"/>
        </w:rPr>
        <w:t>部门财政资金收支情况</w:t>
      </w:r>
    </w:p>
    <w:p>
      <w:pPr>
        <w:keepNext w:val="0"/>
        <w:keepLines w:val="0"/>
        <w:pageBreakBefore w:val="0"/>
        <w:widowControl w:val="0"/>
        <w:numPr>
          <w:ilvl w:val="0"/>
          <w:numId w:val="6"/>
        </w:numPr>
        <w:pBdr>
          <w:top w:val="single" w:color="FFFFFF" w:sz="4" w:space="0"/>
          <w:left w:val="single" w:color="FFFFFF" w:sz="4" w:space="31"/>
          <w:bottom w:val="single" w:color="FFFFFF" w:sz="4" w:space="31"/>
          <w:right w:val="single" w:color="FFFFFF" w:sz="4" w:space="0"/>
        </w:pBdr>
        <w:kinsoku/>
        <w:wordWrap/>
        <w:overflowPunct/>
        <w:topLinePunct w:val="0"/>
        <w:autoSpaceDE/>
        <w:autoSpaceDN/>
        <w:bidi w:val="0"/>
        <w:adjustRightInd w:val="0"/>
        <w:snapToGrid w:val="0"/>
        <w:spacing w:line="592" w:lineRule="exact"/>
        <w:ind w:firstLine="643" w:firstLineChars="200"/>
        <w:textAlignment w:val="auto"/>
        <w:rPr>
          <w:rFonts w:hint="eastAsia" w:ascii="楷体_GB2312" w:hAnsi="楷体_GB2312" w:eastAsia="楷体_GB2312" w:cs="楷体_GB2312"/>
          <w:b/>
          <w:bCs/>
          <w:color w:val="000000"/>
          <w:kern w:val="0"/>
          <w:sz w:val="32"/>
          <w:szCs w:val="32"/>
          <w:shd w:val="clear" w:color="auto" w:fill="FFFFFF"/>
          <w:lang w:val="zh-CN"/>
        </w:rPr>
      </w:pPr>
      <w:r>
        <w:rPr>
          <w:rFonts w:hint="eastAsia" w:ascii="楷体_GB2312" w:hAnsi="楷体_GB2312" w:eastAsia="楷体_GB2312" w:cs="楷体_GB2312"/>
          <w:b/>
          <w:bCs/>
          <w:color w:val="000000"/>
          <w:kern w:val="0"/>
          <w:sz w:val="32"/>
          <w:szCs w:val="32"/>
          <w:shd w:val="clear" w:color="auto" w:fill="FFFFFF"/>
          <w:lang w:val="zh-CN"/>
        </w:rPr>
        <w:t>部门财政资金收入情况</w:t>
      </w:r>
    </w:p>
    <w:p>
      <w:pPr>
        <w:keepNext w:val="0"/>
        <w:keepLines w:val="0"/>
        <w:pageBreakBefore w:val="0"/>
        <w:widowControl w:val="0"/>
        <w:numPr>
          <w:ilvl w:val="0"/>
          <w:numId w:val="0"/>
        </w:numPr>
        <w:pBdr>
          <w:top w:val="single" w:color="FFFFFF" w:sz="4" w:space="0"/>
          <w:left w:val="single" w:color="FFFFFF" w:sz="4" w:space="31"/>
          <w:bottom w:val="single" w:color="FFFFFF" w:sz="4" w:space="31"/>
          <w:right w:val="single" w:color="FFFFFF" w:sz="4" w:space="0"/>
        </w:pBdr>
        <w:kinsoku/>
        <w:wordWrap/>
        <w:overflowPunct/>
        <w:topLinePunct w:val="0"/>
        <w:autoSpaceDE/>
        <w:autoSpaceDN/>
        <w:bidi w:val="0"/>
        <w:adjustRightInd w:val="0"/>
        <w:snapToGrid w:val="0"/>
        <w:spacing w:line="592" w:lineRule="exact"/>
        <w:ind w:firstLine="640" w:firstLineChars="200"/>
        <w:textAlignment w:val="auto"/>
        <w:rPr>
          <w:rFonts w:hint="default" w:ascii="仿宋_GB2312" w:hAnsi="仿宋_GB2312" w:eastAsia="仿宋_GB2312" w:cs="仿宋_GB2312"/>
          <w:sz w:val="32"/>
          <w:szCs w:val="32"/>
          <w:lang w:val="en-US" w:eastAsia="zh-CN"/>
        </w:rPr>
      </w:pPr>
      <w:r>
        <w:rPr>
          <w:rFonts w:hint="eastAsia" w:eastAsia="仿宋_GB2312"/>
          <w:sz w:val="32"/>
          <w:szCs w:val="32"/>
        </w:rPr>
        <w:t>区供销合作社联合社2020年财政拨款收入总</w:t>
      </w:r>
      <w:r>
        <w:rPr>
          <w:rFonts w:hint="eastAsia"/>
          <w:sz w:val="32"/>
          <w:szCs w:val="32"/>
          <w:lang w:eastAsia="zh-CN"/>
        </w:rPr>
        <w:t>计</w:t>
      </w:r>
      <w:r>
        <w:rPr>
          <w:rFonts w:hint="eastAsia" w:eastAsia="仿宋_GB2312"/>
          <w:sz w:val="32"/>
          <w:szCs w:val="32"/>
        </w:rPr>
        <w:t>108.60万元，</w:t>
      </w:r>
      <w:r>
        <w:rPr>
          <w:rFonts w:hint="eastAsia"/>
          <w:sz w:val="32"/>
          <w:szCs w:val="32"/>
          <w:lang w:eastAsia="zh-CN"/>
        </w:rPr>
        <w:t>其中一般公共预算拨款</w:t>
      </w:r>
      <w:r>
        <w:rPr>
          <w:rFonts w:hint="eastAsia"/>
          <w:sz w:val="32"/>
          <w:szCs w:val="32"/>
          <w:lang w:val="en-US" w:eastAsia="zh-CN"/>
        </w:rPr>
        <w:t>108.60万元。</w:t>
      </w:r>
    </w:p>
    <w:p>
      <w:pPr>
        <w:numPr>
          <w:ilvl w:val="0"/>
          <w:numId w:val="6"/>
        </w:numPr>
        <w:pBdr>
          <w:top w:val="single" w:color="FFFFFF" w:sz="4" w:space="0"/>
          <w:left w:val="single" w:color="FFFFFF" w:sz="4" w:space="31"/>
          <w:bottom w:val="single" w:color="FFFFFF" w:sz="4" w:space="31"/>
          <w:right w:val="single" w:color="FFFFFF" w:sz="4" w:space="0"/>
        </w:pBdr>
        <w:adjustRightInd w:val="0"/>
        <w:snapToGrid w:val="0"/>
        <w:spacing w:line="592" w:lineRule="exact"/>
        <w:ind w:left="0" w:leftChars="0" w:firstLine="643" w:firstLineChars="200"/>
        <w:rPr>
          <w:rFonts w:hint="eastAsia" w:ascii="楷体_GB2312" w:hAnsi="楷体_GB2312" w:eastAsia="楷体_GB2312" w:cs="楷体_GB2312"/>
          <w:b/>
          <w:bCs/>
          <w:color w:val="000000"/>
          <w:kern w:val="0"/>
          <w:sz w:val="32"/>
          <w:szCs w:val="32"/>
          <w:shd w:val="clear" w:color="auto" w:fill="FFFFFF"/>
          <w:lang w:val="zh-CN"/>
        </w:rPr>
      </w:pPr>
      <w:r>
        <w:rPr>
          <w:rFonts w:hint="eastAsia" w:ascii="楷体_GB2312" w:hAnsi="楷体_GB2312" w:eastAsia="楷体_GB2312" w:cs="楷体_GB2312"/>
          <w:b/>
          <w:bCs/>
          <w:color w:val="000000"/>
          <w:kern w:val="0"/>
          <w:sz w:val="32"/>
          <w:szCs w:val="32"/>
          <w:shd w:val="clear" w:color="auto" w:fill="FFFFFF"/>
          <w:lang w:val="zh-CN"/>
        </w:rPr>
        <w:t>部门财政资金支出情况</w:t>
      </w:r>
    </w:p>
    <w:p>
      <w:pPr>
        <w:numPr>
          <w:ilvl w:val="0"/>
          <w:numId w:val="0"/>
        </w:numPr>
        <w:pBdr>
          <w:top w:val="single" w:color="FFFFFF" w:sz="4" w:space="0"/>
          <w:left w:val="single" w:color="FFFFFF" w:sz="4" w:space="31"/>
          <w:bottom w:val="single" w:color="FFFFFF" w:sz="4" w:space="31"/>
          <w:right w:val="single" w:color="FFFFFF" w:sz="4" w:space="0"/>
        </w:pBdr>
        <w:adjustRightInd w:val="0"/>
        <w:snapToGrid w:val="0"/>
        <w:spacing w:line="592" w:lineRule="exact"/>
        <w:ind w:firstLine="640" w:firstLineChars="200"/>
        <w:rPr>
          <w:rFonts w:hint="eastAsia"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2020年一般公共预算财政拨款支出139.01万元，主要用于以下方面:一般公共服务（类）支出14.01万元，占10.08%；商业服务业等（类）支出112.55万元，占80.97%；教育支出（类）0万元，占0%；科学技术（类）支出0*万元，占0%；文化旅游体育与传媒（类）支出0万元，占0%；社会保障和就业（类）支出6.25万元，占4.50%；卫生健康支出2.50万元，占1.80%；住房保障支出3.70万元，占2.66%。</w:t>
      </w:r>
      <w:r>
        <w:rPr>
          <w:rFonts w:hint="eastAsia" w:cs="Times New Roman"/>
          <w:kern w:val="2"/>
          <w:sz w:val="32"/>
          <w:szCs w:val="32"/>
          <w:lang w:val="en-US" w:eastAsia="zh-CN" w:bidi="ar-SA"/>
        </w:rPr>
        <w:t xml:space="preserve">   </w:t>
      </w:r>
    </w:p>
    <w:p>
      <w:pPr>
        <w:numPr>
          <w:ilvl w:val="0"/>
          <w:numId w:val="0"/>
        </w:numPr>
        <w:pBdr>
          <w:top w:val="single" w:color="FFFFFF" w:sz="4" w:space="0"/>
          <w:left w:val="single" w:color="FFFFFF" w:sz="4" w:space="31"/>
          <w:bottom w:val="single" w:color="FFFFFF" w:sz="4" w:space="31"/>
          <w:right w:val="single" w:color="FFFFFF" w:sz="4" w:space="0"/>
        </w:pBdr>
        <w:adjustRightInd w:val="0"/>
        <w:snapToGrid w:val="0"/>
        <w:spacing w:line="592" w:lineRule="exact"/>
        <w:ind w:firstLine="640" w:firstLineChars="200"/>
        <w:rPr>
          <w:rFonts w:hint="eastAsia" w:ascii="黑体" w:hAnsi="宋体" w:eastAsia="黑体" w:cs="宋体"/>
          <w:color w:val="000000"/>
          <w:kern w:val="0"/>
          <w:sz w:val="32"/>
          <w:szCs w:val="32"/>
          <w:shd w:val="clear" w:color="auto" w:fill="FFFFFF"/>
        </w:rPr>
      </w:pPr>
      <w:r>
        <w:rPr>
          <w:rFonts w:hint="eastAsia" w:ascii="黑体" w:hAnsi="黑体" w:eastAsia="黑体" w:cs="黑体"/>
          <w:kern w:val="2"/>
          <w:sz w:val="32"/>
          <w:szCs w:val="32"/>
          <w:lang w:val="en-US" w:eastAsia="zh-CN" w:bidi="ar-SA"/>
        </w:rPr>
        <w:t>三、</w:t>
      </w:r>
      <w:r>
        <w:rPr>
          <w:rFonts w:hint="eastAsia" w:ascii="黑体" w:hAnsi="宋体" w:eastAsia="黑体" w:cs="宋体"/>
          <w:color w:val="000000"/>
          <w:kern w:val="0"/>
          <w:sz w:val="32"/>
          <w:szCs w:val="32"/>
          <w:shd w:val="clear" w:color="auto" w:fill="FFFFFF"/>
        </w:rPr>
        <w:t>部门整体预算绩效管理情况</w:t>
      </w:r>
    </w:p>
    <w:p>
      <w:pPr>
        <w:numPr>
          <w:ilvl w:val="0"/>
          <w:numId w:val="7"/>
        </w:numPr>
        <w:pBdr>
          <w:top w:val="single" w:color="FFFFFF" w:sz="4" w:space="0"/>
          <w:left w:val="single" w:color="FFFFFF" w:sz="4" w:space="31"/>
          <w:bottom w:val="single" w:color="FFFFFF" w:sz="4" w:space="31"/>
          <w:right w:val="single" w:color="FFFFFF" w:sz="4" w:space="0"/>
        </w:pBdr>
        <w:adjustRightInd w:val="0"/>
        <w:snapToGrid w:val="0"/>
        <w:spacing w:line="592" w:lineRule="exact"/>
        <w:ind w:firstLine="643" w:firstLineChars="200"/>
        <w:rPr>
          <w:rFonts w:hint="eastAsia" w:ascii="楷体_GB2312" w:hAnsi="楷体_GB2312" w:eastAsia="楷体_GB2312" w:cs="楷体_GB2312"/>
          <w:b/>
          <w:bCs/>
          <w:color w:val="000000"/>
          <w:kern w:val="0"/>
          <w:sz w:val="32"/>
          <w:szCs w:val="32"/>
          <w:shd w:val="clear" w:color="auto" w:fill="FFFFFF"/>
          <w:lang w:val="zh-CN"/>
        </w:rPr>
      </w:pPr>
      <w:r>
        <w:rPr>
          <w:rFonts w:hint="eastAsia" w:ascii="楷体_GB2312" w:hAnsi="楷体_GB2312" w:eastAsia="楷体_GB2312" w:cs="楷体_GB2312"/>
          <w:b/>
          <w:bCs/>
          <w:color w:val="000000"/>
          <w:kern w:val="0"/>
          <w:sz w:val="32"/>
          <w:szCs w:val="32"/>
          <w:shd w:val="clear" w:color="auto" w:fill="FFFFFF"/>
          <w:lang w:val="zh-CN"/>
        </w:rPr>
        <w:t>部门预算管理</w:t>
      </w:r>
    </w:p>
    <w:p>
      <w:pPr>
        <w:numPr>
          <w:ilvl w:val="0"/>
          <w:numId w:val="0"/>
        </w:numPr>
        <w:pBdr>
          <w:top w:val="single" w:color="FFFFFF" w:sz="4" w:space="0"/>
          <w:left w:val="single" w:color="FFFFFF" w:sz="4" w:space="31"/>
          <w:bottom w:val="single" w:color="FFFFFF" w:sz="4" w:space="31"/>
          <w:right w:val="single" w:color="FFFFFF" w:sz="4" w:space="0"/>
        </w:pBdr>
        <w:adjustRightInd w:val="0"/>
        <w:snapToGrid w:val="0"/>
        <w:spacing w:line="592" w:lineRule="exact"/>
        <w:ind w:firstLine="640" w:firstLineChars="200"/>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pP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严格按照预算管理的相关规定和</w:t>
      </w:r>
      <w:r>
        <w:rPr>
          <w:rFonts w:hint="eastAsia" w:ascii="仿宋_GB2312" w:hAnsi="宋体" w:eastAsia="仿宋_GB2312" w:cs="宋体"/>
          <w:color w:val="000000" w:themeColor="text1"/>
          <w:kern w:val="0"/>
          <w:sz w:val="32"/>
          <w:szCs w:val="32"/>
          <w:shd w:val="clear" w:color="auto" w:fill="FFFFFF"/>
          <w14:textFill>
            <w14:solidFill>
              <w14:schemeClr w14:val="tx1"/>
            </w14:solidFill>
          </w14:textFill>
        </w:rPr>
        <w:t>区</w:t>
      </w: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级部门预算编制要求, 科学合理编制次年项目预算,按时完成了20</w:t>
      </w:r>
      <w:r>
        <w:rPr>
          <w:rFonts w:hint="eastAsia" w:ascii="仿宋_GB2312" w:hAnsi="宋体" w:cs="宋体"/>
          <w:color w:val="000000" w:themeColor="text1"/>
          <w:kern w:val="0"/>
          <w:sz w:val="32"/>
          <w:szCs w:val="32"/>
          <w:shd w:val="clear" w:color="auto" w:fill="FFFFFF"/>
          <w:lang w:val="en-US" w:eastAsia="zh-CN"/>
          <w14:textFill>
            <w14:solidFill>
              <w14:schemeClr w14:val="tx1"/>
            </w14:solidFill>
          </w14:textFill>
        </w:rPr>
        <w:t>20</w:t>
      </w: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年预算编制工作。20</w:t>
      </w:r>
      <w:r>
        <w:rPr>
          <w:rFonts w:hint="eastAsia" w:ascii="仿宋_GB2312" w:hAnsi="宋体" w:cs="宋体"/>
          <w:color w:val="000000" w:themeColor="text1"/>
          <w:kern w:val="0"/>
          <w:sz w:val="32"/>
          <w:szCs w:val="32"/>
          <w:shd w:val="clear" w:color="auto" w:fill="FFFFFF"/>
          <w:lang w:val="en-US" w:eastAsia="zh-CN"/>
          <w14:textFill>
            <w14:solidFill>
              <w14:schemeClr w14:val="tx1"/>
            </w14:solidFill>
          </w14:textFill>
        </w:rPr>
        <w:t>20</w:t>
      </w: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年一般公共预算拨款收入预算</w:t>
      </w:r>
      <w:r>
        <w:rPr>
          <w:rFonts w:hint="eastAsia" w:ascii="仿宋_GB2312" w:hAnsi="宋体" w:cs="宋体"/>
          <w:color w:val="000000" w:themeColor="text1"/>
          <w:kern w:val="0"/>
          <w:sz w:val="32"/>
          <w:szCs w:val="32"/>
          <w:shd w:val="clear" w:color="auto" w:fill="FFFFFF"/>
          <w:lang w:val="en-US" w:eastAsia="zh-CN"/>
          <w14:textFill>
            <w14:solidFill>
              <w14:schemeClr w14:val="tx1"/>
            </w14:solidFill>
          </w14:textFill>
        </w:rPr>
        <w:t>108.60</w:t>
      </w: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万元，其中：一般公共预算拨款收入</w:t>
      </w:r>
      <w:r>
        <w:rPr>
          <w:rFonts w:hint="eastAsia" w:ascii="仿宋_GB2312" w:hAnsi="宋体" w:cs="宋体"/>
          <w:color w:val="000000" w:themeColor="text1"/>
          <w:kern w:val="0"/>
          <w:sz w:val="32"/>
          <w:szCs w:val="32"/>
          <w:shd w:val="clear" w:color="auto" w:fill="FFFFFF"/>
          <w:lang w:val="en-US" w:eastAsia="zh-CN"/>
          <w14:textFill>
            <w14:solidFill>
              <w14:schemeClr w14:val="tx1"/>
            </w14:solidFill>
          </w14:textFill>
        </w:rPr>
        <w:t>108.60</w:t>
      </w: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万元，占100%。相应安排支出</w:t>
      </w:r>
      <w:r>
        <w:rPr>
          <w:rFonts w:hint="eastAsia" w:ascii="仿宋_GB2312" w:hAnsi="宋体" w:eastAsia="仿宋_GB2312" w:cs="宋体"/>
          <w:color w:val="000000" w:themeColor="text1"/>
          <w:kern w:val="0"/>
          <w:sz w:val="32"/>
          <w:szCs w:val="32"/>
          <w:shd w:val="clear" w:color="auto" w:fill="FFFFFF"/>
          <w14:textFill>
            <w14:solidFill>
              <w14:schemeClr w14:val="tx1"/>
            </w14:solidFill>
          </w14:textFill>
        </w:rPr>
        <w:t>预算</w:t>
      </w: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20</w:t>
      </w:r>
      <w:r>
        <w:rPr>
          <w:rFonts w:hint="eastAsia" w:ascii="仿宋_GB2312" w:hAnsi="宋体" w:cs="宋体"/>
          <w:color w:val="000000" w:themeColor="text1"/>
          <w:kern w:val="0"/>
          <w:sz w:val="32"/>
          <w:szCs w:val="32"/>
          <w:shd w:val="clear" w:color="auto" w:fill="FFFFFF"/>
          <w:lang w:val="en-US" w:eastAsia="zh-CN"/>
          <w14:textFill>
            <w14:solidFill>
              <w14:schemeClr w14:val="tx1"/>
            </w14:solidFill>
          </w14:textFill>
        </w:rPr>
        <w:t>20</w:t>
      </w: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年一般公共预算支出预算</w:t>
      </w:r>
      <w:r>
        <w:rPr>
          <w:rFonts w:hint="eastAsia" w:ascii="仿宋_GB2312" w:hAnsi="宋体" w:cs="宋体"/>
          <w:color w:val="000000" w:themeColor="text1"/>
          <w:kern w:val="0"/>
          <w:sz w:val="32"/>
          <w:szCs w:val="32"/>
          <w:shd w:val="clear" w:color="auto" w:fill="FFFFFF"/>
          <w:lang w:val="en-US" w:eastAsia="zh-CN"/>
          <w14:textFill>
            <w14:solidFill>
              <w14:schemeClr w14:val="tx1"/>
            </w14:solidFill>
          </w14:textFill>
        </w:rPr>
        <w:t>139.01</w:t>
      </w: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万元，其中：基本支出</w:t>
      </w:r>
      <w:r>
        <w:rPr>
          <w:rFonts w:hint="eastAsia" w:ascii="仿宋_GB2312" w:hAnsi="宋体" w:cs="宋体"/>
          <w:color w:val="000000" w:themeColor="text1"/>
          <w:kern w:val="0"/>
          <w:sz w:val="32"/>
          <w:szCs w:val="32"/>
          <w:shd w:val="clear" w:color="auto" w:fill="FFFFFF"/>
          <w:lang w:val="en-US" w:eastAsia="zh-CN"/>
          <w14:textFill>
            <w14:solidFill>
              <w14:schemeClr w14:val="tx1"/>
            </w14:solidFill>
          </w14:textFill>
        </w:rPr>
        <w:t>72.51</w:t>
      </w: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万元，占</w:t>
      </w:r>
      <w:r>
        <w:rPr>
          <w:rFonts w:hint="eastAsia" w:ascii="仿宋_GB2312" w:hAnsi="宋体" w:cs="宋体"/>
          <w:color w:val="000000" w:themeColor="text1"/>
          <w:kern w:val="0"/>
          <w:sz w:val="32"/>
          <w:szCs w:val="32"/>
          <w:shd w:val="clear" w:color="auto" w:fill="FFFFFF"/>
          <w:lang w:val="en-US" w:eastAsia="zh-CN"/>
          <w14:textFill>
            <w14:solidFill>
              <w14:schemeClr w14:val="tx1"/>
            </w14:solidFill>
          </w14:textFill>
        </w:rPr>
        <w:t>52.16</w:t>
      </w: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%；项目支出</w:t>
      </w:r>
      <w:r>
        <w:rPr>
          <w:rFonts w:hint="eastAsia" w:ascii="仿宋_GB2312" w:hAnsi="宋体" w:cs="宋体"/>
          <w:color w:val="000000" w:themeColor="text1"/>
          <w:kern w:val="0"/>
          <w:sz w:val="32"/>
          <w:szCs w:val="32"/>
          <w:shd w:val="clear" w:color="auto" w:fill="FFFFFF"/>
          <w:lang w:val="en-US" w:eastAsia="zh-CN"/>
          <w14:textFill>
            <w14:solidFill>
              <w14:schemeClr w14:val="tx1"/>
            </w14:solidFill>
          </w14:textFill>
        </w:rPr>
        <w:t>66.50</w:t>
      </w: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万元，占</w:t>
      </w:r>
      <w:r>
        <w:rPr>
          <w:rFonts w:hint="eastAsia" w:ascii="仿宋_GB2312" w:hAnsi="宋体" w:cs="宋体"/>
          <w:color w:val="000000" w:themeColor="text1"/>
          <w:kern w:val="0"/>
          <w:sz w:val="32"/>
          <w:szCs w:val="32"/>
          <w:shd w:val="clear" w:color="auto" w:fill="FFFFFF"/>
          <w:lang w:val="en-US" w:eastAsia="zh-CN"/>
          <w14:textFill>
            <w14:solidFill>
              <w14:schemeClr w14:val="tx1"/>
            </w14:solidFill>
          </w14:textFill>
        </w:rPr>
        <w:t>47.84</w:t>
      </w: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w:t>
      </w:r>
    </w:p>
    <w:p>
      <w:pPr>
        <w:numPr>
          <w:ilvl w:val="0"/>
          <w:numId w:val="0"/>
        </w:numPr>
        <w:pBdr>
          <w:top w:val="single" w:color="FFFFFF" w:sz="4" w:space="0"/>
          <w:left w:val="single" w:color="FFFFFF" w:sz="4" w:space="31"/>
          <w:bottom w:val="single" w:color="FFFFFF" w:sz="4" w:space="31"/>
          <w:right w:val="single" w:color="FFFFFF" w:sz="4" w:space="0"/>
        </w:pBdr>
        <w:adjustRightInd w:val="0"/>
        <w:snapToGrid w:val="0"/>
        <w:spacing w:line="592" w:lineRule="exact"/>
        <w:ind w:firstLine="640" w:firstLineChars="200"/>
        <w:rPr>
          <w:rFonts w:ascii="仿宋_GB2312" w:hAnsi="宋体" w:eastAsia="仿宋_GB2312" w:cs="宋体"/>
          <w:color w:val="000000" w:themeColor="text1"/>
          <w:kern w:val="0"/>
          <w:sz w:val="32"/>
          <w:szCs w:val="32"/>
          <w:shd w:val="clear" w:color="auto" w:fill="FFFFFF"/>
          <w:lang w:val="zh-CN"/>
          <w14:textFill>
            <w14:solidFill>
              <w14:schemeClr w14:val="tx1"/>
            </w14:solidFill>
          </w14:textFill>
        </w:rPr>
      </w:pPr>
      <w:r>
        <w:rPr>
          <w:rFonts w:hint="eastAsia" w:ascii="仿宋_GB2312" w:hAnsi="宋体" w:eastAsia="仿宋_GB2312" w:cs="宋体"/>
          <w:color w:val="000000" w:themeColor="text1"/>
          <w:kern w:val="0"/>
          <w:sz w:val="32"/>
          <w:szCs w:val="32"/>
          <w:shd w:val="clear" w:color="auto" w:fill="FFFFFF"/>
          <w14:textFill>
            <w14:solidFill>
              <w14:schemeClr w14:val="tx1"/>
            </w14:solidFill>
          </w14:textFill>
        </w:rPr>
        <w:t>我社严格按照年初预算安排,严格执行中央八项规定和省、市十项规定,厉行节约规范使用预算资金。收入上，严格执行 "收支两条线"管理制度，按规定使用非税票据并直接缴入国库，无隐瞒收入和其他违反国家收费管理规定的行为。在支出管理中, 认真执行国库集中支付、政府采购、公务卡报销、重点工作和大额支付上会集体决策等相关财务管理制度。认真做好每月与银行、财政国库科的对账工作，加强动态监控，保障机关各项工作顺利开展，无</w:t>
      </w: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违规记录。</w:t>
      </w:r>
    </w:p>
    <w:p>
      <w:pPr>
        <w:widowControl/>
        <w:adjustRightInd w:val="0"/>
        <w:snapToGrid w:val="0"/>
        <w:spacing w:line="580" w:lineRule="exact"/>
        <w:ind w:firstLine="643" w:firstLineChars="200"/>
        <w:contextualSpacing/>
        <w:jc w:val="left"/>
        <w:rPr>
          <w:rFonts w:hint="eastAsia" w:ascii="楷体_GB2312" w:hAnsi="楷体_GB2312" w:eastAsia="楷体_GB2312" w:cs="楷体_GB2312"/>
          <w:b/>
          <w:bCs/>
          <w:color w:val="000000"/>
          <w:kern w:val="0"/>
          <w:sz w:val="32"/>
          <w:szCs w:val="32"/>
          <w:shd w:val="clear" w:color="auto" w:fill="FFFFFF"/>
          <w:lang w:val="zh-CN"/>
        </w:rPr>
      </w:pPr>
      <w:r>
        <w:rPr>
          <w:rFonts w:hint="eastAsia" w:ascii="楷体_GB2312" w:hAnsi="楷体_GB2312" w:eastAsia="楷体_GB2312" w:cs="楷体_GB2312"/>
          <w:b/>
          <w:bCs/>
          <w:color w:val="000000"/>
          <w:kern w:val="0"/>
          <w:sz w:val="32"/>
          <w:szCs w:val="32"/>
          <w:shd w:val="clear" w:color="auto" w:fill="FFFFFF"/>
          <w:lang w:val="zh-CN"/>
        </w:rPr>
        <w:t>（二）结果应用情况</w:t>
      </w:r>
    </w:p>
    <w:p>
      <w:pPr>
        <w:widowControl/>
        <w:adjustRightInd w:val="0"/>
        <w:snapToGrid w:val="0"/>
        <w:spacing w:line="580" w:lineRule="exact"/>
        <w:ind w:firstLine="640" w:firstLineChars="200"/>
        <w:contextualSpacing/>
        <w:jc w:val="left"/>
        <w:rPr>
          <w:rFonts w:ascii="仿宋_GB2312" w:hAnsi="宋体" w:eastAsia="仿宋_GB2312" w:cs="宋体"/>
          <w:color w:val="000000" w:themeColor="text1"/>
          <w:kern w:val="0"/>
          <w:sz w:val="32"/>
          <w:szCs w:val="32"/>
          <w:shd w:val="clear" w:color="auto" w:fill="FFFFFF"/>
          <w:lang w:val="zh-CN"/>
          <w14:textFill>
            <w14:solidFill>
              <w14:schemeClr w14:val="tx1"/>
            </w14:solidFill>
          </w14:textFill>
        </w:rPr>
      </w:pPr>
      <w:r>
        <w:rPr>
          <w:rFonts w:hint="eastAsia" w:ascii="仿宋_GB2312" w:hAnsi="宋体" w:eastAsia="仿宋_GB2312" w:cs="宋体"/>
          <w:color w:val="000000" w:themeColor="text1"/>
          <w:kern w:val="0"/>
          <w:sz w:val="32"/>
          <w:szCs w:val="32"/>
          <w:shd w:val="clear" w:color="auto" w:fill="FFFFFF"/>
          <w14:textFill>
            <w14:solidFill>
              <w14:schemeClr w14:val="tx1"/>
            </w14:solidFill>
          </w14:textFill>
        </w:rPr>
        <w:t>从绩效评价整体结果来看，我单位在20</w:t>
      </w:r>
      <w:r>
        <w:rPr>
          <w:rFonts w:hint="eastAsia" w:ascii="仿宋_GB2312" w:hAnsi="宋体" w:cs="宋体"/>
          <w:color w:val="000000" w:themeColor="text1"/>
          <w:kern w:val="0"/>
          <w:sz w:val="32"/>
          <w:szCs w:val="32"/>
          <w:shd w:val="clear" w:color="auto" w:fill="FFFFFF"/>
          <w:lang w:val="en-US" w:eastAsia="zh-CN"/>
          <w14:textFill>
            <w14:solidFill>
              <w14:schemeClr w14:val="tx1"/>
            </w14:solidFill>
          </w14:textFill>
        </w:rPr>
        <w:t>20</w:t>
      </w:r>
      <w:r>
        <w:rPr>
          <w:rFonts w:hint="eastAsia" w:ascii="仿宋_GB2312" w:hAnsi="宋体" w:eastAsia="仿宋_GB2312" w:cs="宋体"/>
          <w:color w:val="000000" w:themeColor="text1"/>
          <w:kern w:val="0"/>
          <w:sz w:val="32"/>
          <w:szCs w:val="32"/>
          <w:shd w:val="clear" w:color="auto" w:fill="FFFFFF"/>
          <w14:textFill>
            <w14:solidFill>
              <w14:schemeClr w14:val="tx1"/>
            </w14:solidFill>
          </w14:textFill>
        </w:rPr>
        <w:t>年的绩效评价根据《部门整体支出绩效评价指标》评分，得分9</w:t>
      </w:r>
      <w:r>
        <w:rPr>
          <w:rFonts w:hint="eastAsia" w:ascii="仿宋_GB2312" w:hAnsi="宋体" w:cs="宋体"/>
          <w:color w:val="000000" w:themeColor="text1"/>
          <w:kern w:val="0"/>
          <w:sz w:val="32"/>
          <w:szCs w:val="32"/>
          <w:shd w:val="clear" w:color="auto" w:fill="FFFFFF"/>
          <w:lang w:val="en-US" w:eastAsia="zh-CN"/>
          <w14:textFill>
            <w14:solidFill>
              <w14:schemeClr w14:val="tx1"/>
            </w14:solidFill>
          </w14:textFill>
        </w:rPr>
        <w:t>3</w:t>
      </w:r>
      <w:r>
        <w:rPr>
          <w:rFonts w:hint="eastAsia" w:ascii="仿宋_GB2312" w:hAnsi="宋体" w:eastAsia="仿宋_GB2312" w:cs="宋体"/>
          <w:color w:val="000000" w:themeColor="text1"/>
          <w:kern w:val="0"/>
          <w:sz w:val="32"/>
          <w:szCs w:val="32"/>
          <w:shd w:val="clear" w:color="auto" w:fill="FFFFFF"/>
          <w14:textFill>
            <w14:solidFill>
              <w14:schemeClr w14:val="tx1"/>
            </w14:solidFill>
          </w14:textFill>
        </w:rPr>
        <w:t>.26分。能合理、合规的进行预算编制和执行，三公经费预算支出较去年也有所减少，项目支出管理也合乎规范，绩效达到预期。</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四、评价结论及建议</w:t>
      </w:r>
    </w:p>
    <w:p>
      <w:pPr>
        <w:widowControl/>
        <w:adjustRightInd w:val="0"/>
        <w:snapToGrid w:val="0"/>
        <w:spacing w:line="580" w:lineRule="exact"/>
        <w:ind w:firstLine="643" w:firstLineChars="200"/>
        <w:contextualSpacing/>
        <w:jc w:val="left"/>
        <w:rPr>
          <w:rFonts w:hint="eastAsia" w:ascii="楷体_GB2312" w:hAnsi="楷体_GB2312" w:eastAsia="楷体_GB2312" w:cs="楷体_GB2312"/>
          <w:b/>
          <w:bCs/>
          <w:color w:val="000000"/>
          <w:kern w:val="0"/>
          <w:sz w:val="32"/>
          <w:szCs w:val="32"/>
          <w:shd w:val="clear" w:color="auto" w:fill="FFFFFF"/>
          <w:lang w:val="zh-CN"/>
        </w:rPr>
      </w:pPr>
      <w:r>
        <w:rPr>
          <w:rFonts w:hint="eastAsia" w:ascii="楷体_GB2312" w:hAnsi="楷体_GB2312" w:eastAsia="楷体_GB2312" w:cs="楷体_GB2312"/>
          <w:b/>
          <w:bCs/>
          <w:color w:val="000000"/>
          <w:kern w:val="0"/>
          <w:sz w:val="32"/>
          <w:szCs w:val="32"/>
          <w:shd w:val="clear" w:color="auto" w:fill="FFFFFF"/>
          <w:lang w:val="zh-CN"/>
        </w:rPr>
        <w:t>（一）评价结论</w:t>
      </w:r>
    </w:p>
    <w:p>
      <w:pPr>
        <w:widowControl/>
        <w:adjustRightInd w:val="0"/>
        <w:snapToGrid w:val="0"/>
        <w:spacing w:line="580" w:lineRule="exact"/>
        <w:ind w:firstLine="640" w:firstLineChars="200"/>
        <w:contextualSpacing/>
        <w:jc w:val="left"/>
        <w:rPr>
          <w:lang w:val="zh-CN"/>
        </w:rPr>
      </w:pPr>
      <w:r>
        <w:rPr>
          <w:rFonts w:hint="eastAsia" w:ascii="仿宋_GB2312" w:hAnsi="宋体" w:eastAsia="仿宋_GB2312" w:cs="宋体"/>
          <w:color w:val="000000" w:themeColor="text1"/>
          <w:kern w:val="0"/>
          <w:sz w:val="32"/>
          <w:szCs w:val="32"/>
          <w:shd w:val="clear" w:color="auto" w:fill="FFFFFF"/>
          <w14:textFill>
            <w14:solidFill>
              <w14:schemeClr w14:val="tx1"/>
            </w14:solidFill>
          </w14:textFill>
        </w:rPr>
        <w:t>我社20</w:t>
      </w:r>
      <w:r>
        <w:rPr>
          <w:rFonts w:hint="eastAsia" w:ascii="仿宋_GB2312" w:hAnsi="宋体" w:cs="宋体"/>
          <w:color w:val="000000" w:themeColor="text1"/>
          <w:kern w:val="0"/>
          <w:sz w:val="32"/>
          <w:szCs w:val="32"/>
          <w:shd w:val="clear" w:color="auto" w:fill="FFFFFF"/>
          <w:lang w:val="en-US" w:eastAsia="zh-CN"/>
          <w14:textFill>
            <w14:solidFill>
              <w14:schemeClr w14:val="tx1"/>
            </w14:solidFill>
          </w14:textFill>
        </w:rPr>
        <w:t>20</w:t>
      </w:r>
      <w:r>
        <w:rPr>
          <w:rFonts w:hint="eastAsia" w:ascii="仿宋_GB2312" w:hAnsi="宋体" w:eastAsia="仿宋_GB2312" w:cs="宋体"/>
          <w:color w:val="000000" w:themeColor="text1"/>
          <w:kern w:val="0"/>
          <w:sz w:val="32"/>
          <w:szCs w:val="32"/>
          <w:shd w:val="clear" w:color="auto" w:fill="FFFFFF"/>
          <w14:textFill>
            <w14:solidFill>
              <w14:schemeClr w14:val="tx1"/>
            </w14:solidFill>
          </w14:textFill>
        </w:rPr>
        <w:t>年部门整体支出绩效评价结论为优。</w:t>
      </w:r>
    </w:p>
    <w:p>
      <w:pPr>
        <w:widowControl/>
        <w:numPr>
          <w:ilvl w:val="0"/>
          <w:numId w:val="8"/>
        </w:numPr>
        <w:adjustRightInd w:val="0"/>
        <w:snapToGrid w:val="0"/>
        <w:spacing w:line="580" w:lineRule="exact"/>
        <w:ind w:firstLine="643" w:firstLineChars="200"/>
        <w:contextualSpacing/>
        <w:jc w:val="left"/>
        <w:rPr>
          <w:rFonts w:hint="eastAsia" w:ascii="楷体_GB2312" w:hAnsi="楷体_GB2312" w:eastAsia="楷体_GB2312" w:cs="楷体_GB2312"/>
          <w:b/>
          <w:bCs/>
          <w:lang w:val="zh-CN"/>
        </w:rPr>
      </w:pPr>
      <w:r>
        <w:rPr>
          <w:rFonts w:hint="eastAsia" w:ascii="楷体_GB2312" w:hAnsi="楷体_GB2312" w:eastAsia="楷体_GB2312" w:cs="楷体_GB2312"/>
          <w:b/>
          <w:bCs/>
          <w:color w:val="000000"/>
          <w:kern w:val="0"/>
          <w:sz w:val="32"/>
          <w:szCs w:val="32"/>
          <w:shd w:val="clear" w:color="auto" w:fill="FFFFFF"/>
          <w:lang w:val="zh-CN"/>
        </w:rPr>
        <w:t>存在问题</w:t>
      </w:r>
    </w:p>
    <w:p>
      <w:pPr>
        <w:widowControl/>
        <w:adjustRightInd w:val="0"/>
        <w:snapToGrid w:val="0"/>
        <w:spacing w:line="580" w:lineRule="exact"/>
        <w:ind w:firstLine="640" w:firstLineChars="200"/>
        <w:contextualSpacing/>
        <w:jc w:val="left"/>
        <w:rPr>
          <w:rFonts w:ascii="仿宋_GB2312" w:hAnsi="宋体"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宋体" w:eastAsia="仿宋_GB2312" w:cs="宋体"/>
          <w:color w:val="000000" w:themeColor="text1"/>
          <w:kern w:val="0"/>
          <w:sz w:val="32"/>
          <w:szCs w:val="32"/>
          <w:shd w:val="clear" w:color="auto" w:fill="FFFFFF"/>
          <w14:textFill>
            <w14:solidFill>
              <w14:schemeClr w14:val="tx1"/>
            </w14:solidFill>
          </w14:textFill>
        </w:rPr>
        <w:t xml:space="preserve">1.预算执行存在偏差 </w:t>
      </w:r>
    </w:p>
    <w:p>
      <w:pPr>
        <w:widowControl/>
        <w:adjustRightInd w:val="0"/>
        <w:snapToGrid w:val="0"/>
        <w:spacing w:line="580" w:lineRule="exact"/>
        <w:ind w:firstLine="640" w:firstLineChars="200"/>
        <w:contextualSpacing/>
        <w:jc w:val="left"/>
        <w:rPr>
          <w:rFonts w:ascii="仿宋_GB2312" w:hAnsi="宋体"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宋体" w:eastAsia="仿宋_GB2312" w:cs="宋体"/>
          <w:color w:val="000000" w:themeColor="text1"/>
          <w:kern w:val="0"/>
          <w:sz w:val="32"/>
          <w:szCs w:val="32"/>
          <w:shd w:val="clear" w:color="auto" w:fill="FFFFFF"/>
          <w14:textFill>
            <w14:solidFill>
              <w14:schemeClr w14:val="tx1"/>
            </w14:solidFill>
          </w14:textFill>
        </w:rPr>
        <w:t>从公共预算财政拨款决算数与全年指标对比情况看，存在预算子项调剂现象。</w:t>
      </w:r>
    </w:p>
    <w:p>
      <w:pPr>
        <w:widowControl/>
        <w:adjustRightInd w:val="0"/>
        <w:snapToGrid w:val="0"/>
        <w:spacing w:line="580" w:lineRule="exact"/>
        <w:ind w:firstLine="640" w:firstLineChars="200"/>
        <w:contextualSpacing/>
        <w:jc w:val="left"/>
        <w:rPr>
          <w:rFonts w:ascii="仿宋_GB2312" w:hAnsi="宋体" w:eastAsia="仿宋_GB2312" w:cs="宋体"/>
          <w:color w:val="000000" w:themeColor="text1"/>
          <w:kern w:val="0"/>
          <w:sz w:val="32"/>
          <w:szCs w:val="32"/>
          <w:shd w:val="clear" w:color="auto" w:fill="FFFFFF"/>
          <w14:textFill>
            <w14:solidFill>
              <w14:schemeClr w14:val="tx1"/>
            </w14:solidFill>
          </w14:textFill>
        </w:rPr>
      </w:pPr>
      <w:r>
        <w:rPr>
          <w:rFonts w:hint="eastAsia" w:ascii="仿宋_GB2312" w:hAnsi="宋体" w:eastAsia="仿宋_GB2312" w:cs="宋体"/>
          <w:color w:val="000000" w:themeColor="text1"/>
          <w:kern w:val="0"/>
          <w:sz w:val="32"/>
          <w:szCs w:val="32"/>
          <w:shd w:val="clear" w:color="auto" w:fill="FFFFFF"/>
          <w14:textFill>
            <w14:solidFill>
              <w14:schemeClr w14:val="tx1"/>
            </w14:solidFill>
          </w14:textFill>
        </w:rPr>
        <w:t>2.固定资产核算欠规范、管理水平有待提高</w:t>
      </w:r>
    </w:p>
    <w:p>
      <w:pPr>
        <w:widowControl/>
        <w:adjustRightInd w:val="0"/>
        <w:snapToGrid w:val="0"/>
        <w:spacing w:line="580" w:lineRule="exact"/>
        <w:ind w:firstLine="640" w:firstLineChars="200"/>
        <w:contextualSpacing/>
        <w:jc w:val="left"/>
        <w:rPr>
          <w:lang w:val="zh-CN"/>
        </w:rPr>
      </w:pPr>
      <w:r>
        <w:rPr>
          <w:rFonts w:hint="eastAsia" w:ascii="仿宋_GB2312" w:hAnsi="宋体" w:eastAsia="仿宋_GB2312" w:cs="宋体"/>
          <w:color w:val="000000" w:themeColor="text1"/>
          <w:kern w:val="0"/>
          <w:sz w:val="32"/>
          <w:szCs w:val="32"/>
          <w:shd w:val="clear" w:color="auto" w:fill="FFFFFF"/>
          <w14:textFill>
            <w14:solidFill>
              <w14:schemeClr w14:val="tx1"/>
            </w14:solidFill>
          </w14:textFill>
        </w:rPr>
        <w:t>部分固定资产未及时更新、修改，导致有些数据不符，固定资产管理有待加强。</w:t>
      </w:r>
    </w:p>
    <w:p>
      <w:pPr>
        <w:widowControl/>
        <w:adjustRightInd w:val="0"/>
        <w:snapToGrid w:val="0"/>
        <w:spacing w:line="580" w:lineRule="exact"/>
        <w:ind w:firstLine="643" w:firstLineChars="200"/>
        <w:contextualSpacing/>
        <w:jc w:val="left"/>
        <w:rPr>
          <w:rFonts w:hint="eastAsia" w:ascii="楷体_GB2312" w:hAnsi="楷体_GB2312" w:eastAsia="楷体_GB2312" w:cs="楷体_GB2312"/>
          <w:b/>
          <w:bCs/>
          <w:color w:val="000000"/>
          <w:kern w:val="0"/>
          <w:sz w:val="32"/>
          <w:szCs w:val="32"/>
          <w:shd w:val="clear" w:color="auto" w:fill="FFFFFF"/>
          <w:lang w:val="zh-CN"/>
        </w:rPr>
      </w:pPr>
      <w:r>
        <w:rPr>
          <w:rFonts w:hint="eastAsia" w:ascii="楷体_GB2312" w:hAnsi="楷体_GB2312" w:eastAsia="楷体_GB2312" w:cs="楷体_GB2312"/>
          <w:b/>
          <w:bCs/>
          <w:color w:val="000000"/>
          <w:kern w:val="0"/>
          <w:sz w:val="32"/>
          <w:szCs w:val="32"/>
          <w:shd w:val="clear" w:color="auto" w:fill="FFFFFF"/>
          <w:lang w:val="zh-CN"/>
        </w:rPr>
        <w:t>（三）改进建议</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1.进一步加强单位内部机构各股室的预算管理意识，严格按照预算编制的相关制度和要求进行预算编制，加强内部预算编制的审核和预算控制指标的下达。</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2.加强单位财务管理，健全单位财务管理制度体系，规范单位财务行为，杜绝超支现象的发生。</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3.严格控制“三公”经费的规模和比例，把关“三公”经费支出的审核、审批，杜绝挪用和挤占其他预算资金行为；进一步细化“三公”经费的管理，合理压缩“三公”经费支出。</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4.加强对相关人员加强培训，特别是针对《预算法》《行政事业单位会计制度》等学习培训。</w:t>
      </w: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p>
      <w:pPr>
        <w:spacing w:line="580" w:lineRule="exact"/>
        <w:outlineLvl w:val="9"/>
        <w:rPr>
          <w:rFonts w:hint="eastAsia" w:ascii="黑体" w:hAnsi="黑体" w:eastAsia="黑体" w:cs="黑体"/>
          <w:sz w:val="32"/>
          <w:szCs w:val="32"/>
        </w:rPr>
      </w:pPr>
      <w:bookmarkStart w:id="79" w:name="_Toc11602"/>
    </w:p>
    <w:p>
      <w:pPr>
        <w:spacing w:line="580" w:lineRule="exact"/>
        <w:outlineLvl w:val="9"/>
        <w:rPr>
          <w:rFonts w:hint="eastAsia" w:ascii="黑体" w:hAnsi="黑体" w:eastAsia="黑体" w:cs="黑体"/>
          <w:sz w:val="32"/>
          <w:szCs w:val="32"/>
        </w:rPr>
      </w:pPr>
    </w:p>
    <w:p>
      <w:pPr>
        <w:spacing w:line="580" w:lineRule="exact"/>
        <w:outlineLvl w:val="9"/>
        <w:rPr>
          <w:rFonts w:hint="eastAsia" w:ascii="黑体" w:hAnsi="黑体" w:eastAsia="黑体" w:cs="黑体"/>
          <w:sz w:val="32"/>
          <w:szCs w:val="32"/>
        </w:rPr>
      </w:pPr>
    </w:p>
    <w:p>
      <w:pPr>
        <w:spacing w:line="580" w:lineRule="exact"/>
        <w:outlineLvl w:val="9"/>
        <w:rPr>
          <w:rFonts w:hint="eastAsia" w:ascii="黑体" w:hAnsi="黑体" w:eastAsia="黑体" w:cs="黑体"/>
          <w:sz w:val="32"/>
          <w:szCs w:val="32"/>
        </w:rPr>
      </w:pPr>
    </w:p>
    <w:p>
      <w:pPr>
        <w:spacing w:line="580" w:lineRule="exact"/>
        <w:outlineLvl w:val="9"/>
        <w:rPr>
          <w:rFonts w:hint="eastAsia" w:ascii="黑体" w:hAnsi="黑体" w:eastAsia="黑体" w:cs="黑体"/>
          <w:sz w:val="32"/>
          <w:szCs w:val="32"/>
        </w:rPr>
      </w:pPr>
    </w:p>
    <w:p>
      <w:pPr>
        <w:spacing w:line="580" w:lineRule="exact"/>
        <w:outlineLvl w:val="9"/>
        <w:rPr>
          <w:rFonts w:hint="eastAsia" w:ascii="黑体" w:hAnsi="黑体" w:eastAsia="黑体" w:cs="黑体"/>
          <w:sz w:val="32"/>
          <w:szCs w:val="32"/>
        </w:rPr>
      </w:pPr>
    </w:p>
    <w:p>
      <w:pPr>
        <w:spacing w:line="580" w:lineRule="exact"/>
        <w:outlineLvl w:val="9"/>
        <w:rPr>
          <w:rFonts w:hint="eastAsia" w:ascii="黑体" w:hAnsi="黑体" w:eastAsia="黑体" w:cs="黑体"/>
          <w:sz w:val="32"/>
          <w:szCs w:val="32"/>
        </w:rPr>
      </w:pPr>
    </w:p>
    <w:p>
      <w:pPr>
        <w:spacing w:line="580" w:lineRule="exact"/>
        <w:outlineLvl w:val="9"/>
        <w:rPr>
          <w:rFonts w:hint="eastAsia" w:ascii="黑体" w:hAnsi="黑体" w:eastAsia="黑体" w:cs="黑体"/>
          <w:sz w:val="32"/>
          <w:szCs w:val="32"/>
        </w:rPr>
      </w:pPr>
    </w:p>
    <w:p>
      <w:pPr>
        <w:spacing w:line="580" w:lineRule="exact"/>
        <w:outlineLvl w:val="9"/>
        <w:rPr>
          <w:rFonts w:hint="eastAsia" w:ascii="黑体" w:hAnsi="黑体" w:eastAsia="黑体" w:cs="黑体"/>
          <w:sz w:val="32"/>
          <w:szCs w:val="32"/>
        </w:rPr>
      </w:pPr>
    </w:p>
    <w:p>
      <w:pPr>
        <w:spacing w:line="580" w:lineRule="exact"/>
        <w:outlineLvl w:val="9"/>
        <w:rPr>
          <w:rFonts w:hint="eastAsia" w:ascii="黑体" w:hAnsi="黑体" w:eastAsia="黑体" w:cs="黑体"/>
          <w:sz w:val="32"/>
          <w:szCs w:val="32"/>
        </w:rPr>
      </w:pPr>
    </w:p>
    <w:p>
      <w:pPr>
        <w:spacing w:line="580" w:lineRule="exact"/>
        <w:outlineLvl w:val="9"/>
        <w:rPr>
          <w:rFonts w:hint="eastAsia" w:ascii="黑体" w:hAnsi="黑体" w:eastAsia="黑体" w:cs="黑体"/>
          <w:sz w:val="32"/>
          <w:szCs w:val="32"/>
        </w:rPr>
      </w:pPr>
    </w:p>
    <w:p>
      <w:pPr>
        <w:spacing w:line="580" w:lineRule="exact"/>
        <w:outlineLvl w:val="9"/>
        <w:rPr>
          <w:rFonts w:hint="eastAsia" w:ascii="黑体" w:hAnsi="黑体" w:eastAsia="黑体" w:cs="黑体"/>
          <w:sz w:val="32"/>
          <w:szCs w:val="32"/>
        </w:rPr>
      </w:pPr>
    </w:p>
    <w:p>
      <w:pPr>
        <w:pStyle w:val="2"/>
        <w:rPr>
          <w:rFonts w:hint="eastAsia" w:ascii="黑体" w:hAnsi="黑体" w:eastAsia="黑体" w:cs="黑体"/>
          <w:sz w:val="32"/>
          <w:szCs w:val="32"/>
        </w:rPr>
      </w:pPr>
    </w:p>
    <w:p>
      <w:pPr>
        <w:pStyle w:val="3"/>
        <w:rPr>
          <w:rFonts w:hint="eastAsia" w:ascii="黑体" w:hAnsi="黑体" w:eastAsia="黑体" w:cs="黑体"/>
          <w:sz w:val="32"/>
          <w:szCs w:val="32"/>
        </w:rPr>
      </w:pPr>
    </w:p>
    <w:p>
      <w:pPr>
        <w:pStyle w:val="3"/>
        <w:rPr>
          <w:rFonts w:hint="eastAsia" w:ascii="黑体" w:hAnsi="黑体" w:eastAsia="黑体" w:cs="黑体"/>
          <w:sz w:val="32"/>
          <w:szCs w:val="32"/>
        </w:rPr>
      </w:pPr>
    </w:p>
    <w:p>
      <w:pPr>
        <w:pStyle w:val="3"/>
        <w:rPr>
          <w:rFonts w:hint="eastAsia" w:ascii="黑体" w:hAnsi="黑体" w:eastAsia="黑体" w:cs="黑体"/>
          <w:sz w:val="32"/>
          <w:szCs w:val="32"/>
        </w:rPr>
      </w:pPr>
    </w:p>
    <w:p>
      <w:pPr>
        <w:spacing w:line="580" w:lineRule="exact"/>
        <w:outlineLvl w:val="9"/>
        <w:rPr>
          <w:rFonts w:hint="eastAsia" w:ascii="黑体" w:hAnsi="黑体" w:eastAsia="黑体" w:cs="黑体"/>
          <w:sz w:val="32"/>
          <w:szCs w:val="32"/>
        </w:rPr>
      </w:pPr>
    </w:p>
    <w:p>
      <w:pPr>
        <w:pStyle w:val="2"/>
        <w:rPr>
          <w:rFonts w:hint="eastAsia"/>
        </w:rPr>
      </w:pPr>
    </w:p>
    <w:p>
      <w:pPr>
        <w:spacing w:line="580" w:lineRule="exact"/>
        <w:outlineLvl w:val="1"/>
        <w:rPr>
          <w:rFonts w:ascii="仿宋_GB2312" w:hAnsi="仿宋_GB2312" w:eastAsia="仿宋_GB2312" w:cs="仿宋_GB2312"/>
          <w:sz w:val="32"/>
          <w:szCs w:val="32"/>
        </w:rPr>
      </w:pPr>
      <w:bookmarkStart w:id="80" w:name="_Toc8556"/>
      <w:r>
        <w:rPr>
          <w:rFonts w:hint="eastAsia" w:ascii="黑体" w:hAnsi="黑体" w:eastAsia="黑体" w:cs="黑体"/>
          <w:sz w:val="32"/>
          <w:szCs w:val="32"/>
        </w:rPr>
        <w:t>附件</w:t>
      </w:r>
      <w:r>
        <w:rPr>
          <w:rFonts w:ascii="黑体" w:hAnsi="黑体" w:eastAsia="黑体" w:cs="黑体"/>
          <w:sz w:val="32"/>
          <w:szCs w:val="32"/>
        </w:rPr>
        <w:t>2</w:t>
      </w:r>
      <w:bookmarkEnd w:id="79"/>
      <w:bookmarkEnd w:id="80"/>
    </w:p>
    <w:p>
      <w:pPr>
        <w:spacing w:line="600" w:lineRule="exact"/>
        <w:jc w:val="center"/>
        <w:outlineLvl w:val="9"/>
        <w:rPr>
          <w:rFonts w:hint="eastAsia" w:ascii="黑体" w:hAnsi="黑体" w:eastAsia="黑体"/>
          <w:color w:val="auto"/>
          <w:sz w:val="44"/>
          <w:szCs w:val="44"/>
        </w:rPr>
      </w:pPr>
      <w:bookmarkStart w:id="81" w:name="_Toc15396618"/>
      <w:bookmarkStart w:id="82" w:name="_Toc32283"/>
    </w:p>
    <w:p>
      <w:pPr>
        <w:adjustRightInd w:val="0"/>
        <w:snapToGrid w:val="0"/>
        <w:spacing w:line="580" w:lineRule="exact"/>
        <w:jc w:val="center"/>
        <w:rPr>
          <w:rFonts w:ascii="方正小标宋简体" w:hAnsi="宋体" w:eastAsia="方正小标宋简体"/>
          <w:color w:val="auto"/>
          <w:kern w:val="0"/>
          <w:sz w:val="44"/>
          <w:szCs w:val="44"/>
        </w:rPr>
      </w:pPr>
      <w:r>
        <w:rPr>
          <w:rFonts w:hint="eastAsia" w:ascii="方正小标宋简体" w:hAnsi="宋体" w:eastAsia="方正小标宋简体"/>
          <w:color w:val="auto"/>
          <w:kern w:val="0"/>
          <w:sz w:val="44"/>
          <w:szCs w:val="44"/>
        </w:rPr>
        <w:t>自流井区供销社综合体制改革项目</w:t>
      </w:r>
    </w:p>
    <w:p>
      <w:pPr>
        <w:adjustRightInd w:val="0"/>
        <w:snapToGrid w:val="0"/>
        <w:spacing w:line="580" w:lineRule="exact"/>
        <w:jc w:val="center"/>
        <w:rPr>
          <w:rFonts w:ascii="方正小标宋简体" w:hAnsi="宋体" w:eastAsia="方正小标宋简体"/>
          <w:color w:val="auto"/>
          <w:kern w:val="0"/>
          <w:sz w:val="44"/>
          <w:szCs w:val="44"/>
          <w:lang w:val="zh-CN"/>
        </w:rPr>
      </w:pPr>
      <w:r>
        <w:rPr>
          <w:rFonts w:hint="eastAsia" w:ascii="方正小标宋简体" w:hAnsi="宋体" w:eastAsia="方正小标宋简体"/>
          <w:color w:val="auto"/>
          <w:kern w:val="0"/>
          <w:sz w:val="44"/>
          <w:szCs w:val="44"/>
        </w:rPr>
        <w:t>20</w:t>
      </w:r>
      <w:r>
        <w:rPr>
          <w:rFonts w:hint="eastAsia" w:ascii="方正小标宋简体" w:hAnsi="宋体" w:eastAsia="方正小标宋简体"/>
          <w:color w:val="auto"/>
          <w:kern w:val="0"/>
          <w:sz w:val="44"/>
          <w:szCs w:val="44"/>
          <w:lang w:val="en-US" w:eastAsia="zh-CN"/>
        </w:rPr>
        <w:t>20</w:t>
      </w:r>
      <w:r>
        <w:rPr>
          <w:rFonts w:hint="eastAsia" w:ascii="方正小标宋简体" w:hAnsi="宋体" w:eastAsia="方正小标宋简体"/>
          <w:color w:val="auto"/>
          <w:kern w:val="0"/>
          <w:sz w:val="44"/>
          <w:szCs w:val="44"/>
        </w:rPr>
        <w:t>年</w:t>
      </w:r>
      <w:r>
        <w:rPr>
          <w:rFonts w:hint="eastAsia" w:ascii="方正小标宋简体" w:hAnsi="宋体" w:eastAsia="方正小标宋简体"/>
          <w:color w:val="auto"/>
          <w:kern w:val="0"/>
          <w:sz w:val="44"/>
          <w:szCs w:val="44"/>
          <w:lang w:val="zh-CN"/>
        </w:rPr>
        <w:t>绩效评价报告</w:t>
      </w:r>
    </w:p>
    <w:p>
      <w:pPr>
        <w:adjustRightInd w:val="0"/>
        <w:snapToGrid w:val="0"/>
        <w:spacing w:line="580" w:lineRule="exact"/>
        <w:rPr>
          <w:rFonts w:ascii="宋体" w:hAnsi="宋体"/>
          <w:color w:val="auto"/>
          <w:sz w:val="32"/>
          <w:szCs w:val="32"/>
          <w:lang w:val="zh-CN"/>
        </w:rPr>
      </w:pPr>
    </w:p>
    <w:p>
      <w:pPr>
        <w:adjustRightInd w:val="0"/>
        <w:snapToGrid w:val="0"/>
        <w:spacing w:line="580" w:lineRule="exact"/>
        <w:ind w:firstLine="720"/>
        <w:rPr>
          <w:rFonts w:ascii="黑体" w:hAnsi="宋体" w:eastAsia="黑体"/>
          <w:color w:val="auto"/>
          <w:sz w:val="32"/>
          <w:szCs w:val="32"/>
          <w:lang w:val="zh-CN"/>
        </w:rPr>
      </w:pPr>
      <w:r>
        <w:rPr>
          <w:rFonts w:hint="eastAsia" w:ascii="黑体" w:hAnsi="宋体" w:eastAsia="黑体"/>
          <w:color w:val="auto"/>
          <w:sz w:val="32"/>
          <w:szCs w:val="32"/>
        </w:rPr>
        <w:t>一、</w:t>
      </w:r>
      <w:r>
        <w:rPr>
          <w:rFonts w:hint="eastAsia" w:ascii="黑体" w:hAnsi="宋体" w:eastAsia="黑体"/>
          <w:color w:val="auto"/>
          <w:sz w:val="32"/>
          <w:szCs w:val="32"/>
          <w:lang w:val="zh-CN"/>
        </w:rPr>
        <w:t>项目概况</w:t>
      </w:r>
    </w:p>
    <w:p>
      <w:pPr>
        <w:adjustRightInd w:val="0"/>
        <w:snapToGrid w:val="0"/>
        <w:spacing w:line="58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（一）项目基本情况</w:t>
      </w:r>
    </w:p>
    <w:p>
      <w:pPr>
        <w:adjustRightInd w:val="0"/>
        <w:snapToGrid w:val="0"/>
        <w:spacing w:line="580" w:lineRule="exact"/>
        <w:ind w:firstLine="720"/>
        <w:rPr>
          <w:rFonts w:ascii="仿宋_GB2312" w:eastAsia="仿宋_GB2312" w:cs="仿宋" w:hAnsiTheme="majorEastAsia"/>
          <w:color w:val="auto"/>
          <w:sz w:val="32"/>
          <w:szCs w:val="32"/>
        </w:rPr>
      </w:pPr>
      <w:r>
        <w:rPr>
          <w:rFonts w:hint="eastAsia" w:ascii="仿宋_GB2312" w:eastAsia="仿宋_GB2312" w:cs="仿宋" w:hAnsiTheme="majorEastAsia"/>
          <w:color w:val="auto"/>
          <w:sz w:val="32"/>
          <w:szCs w:val="32"/>
        </w:rPr>
        <w:t>1.项目主管部门(单位)在该项目管理中的职能</w:t>
      </w:r>
    </w:p>
    <w:p>
      <w:pPr>
        <w:spacing w:line="592" w:lineRule="exact"/>
        <w:ind w:firstLine="635"/>
        <w:rPr>
          <w:rFonts w:ascii="仿宋" w:hAnsi="仿宋" w:eastAsia="仿宋" w:cs="黑体"/>
          <w:bCs/>
          <w:color w:val="auto"/>
          <w:sz w:val="32"/>
          <w:szCs w:val="32"/>
        </w:rPr>
      </w:pPr>
      <w:r>
        <w:rPr>
          <w:rFonts w:hint="eastAsia" w:ascii="仿宋_GB2312" w:eastAsia="仿宋_GB2312" w:cs="仿宋" w:hAnsiTheme="majorEastAsia"/>
          <w:color w:val="auto"/>
          <w:sz w:val="32"/>
          <w:szCs w:val="32"/>
        </w:rPr>
        <w:t>自流井区供销社立足起步晚、基础弱实际情况，探索实施“党建引领˙村社共建”工程，深化供销社综合改革，以完善行业指导体系，夯实发展基础，构建经营服务体系，做强供销企业，打造新型服务平台，提升服务能力，系统内农民专业合作社健康发展，成员稳步增收，社有企业经营业务覆盖冷链、新型农贸市场、农业种植、超市、配送等多个领域</w:t>
      </w:r>
      <w:r>
        <w:rPr>
          <w:rFonts w:hint="eastAsia" w:ascii="仿宋_GB2312" w:hAnsi="宋体" w:eastAsia="仿宋_GB2312" w:cs="宋体"/>
          <w:color w:val="auto"/>
          <w:sz w:val="32"/>
          <w:szCs w:val="32"/>
        </w:rPr>
        <w:t>。</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2．项目立项、资金申报的依据</w:t>
      </w:r>
    </w:p>
    <w:p>
      <w:pPr>
        <w:adjustRightInd w:val="0"/>
        <w:snapToGrid w:val="0"/>
        <w:spacing w:line="580" w:lineRule="exact"/>
        <w:ind w:firstLine="720"/>
        <w:rPr>
          <w:rFonts w:ascii="仿宋_GB2312" w:eastAsia="仿宋_GB2312" w:cs="仿宋" w:hAnsiTheme="majorEastAsia"/>
          <w:color w:val="auto"/>
          <w:sz w:val="32"/>
          <w:szCs w:val="32"/>
        </w:rPr>
      </w:pPr>
      <w:r>
        <w:rPr>
          <w:rFonts w:ascii="仿宋_GB2312" w:eastAsia="仿宋_GB2312" w:cs="仿宋" w:hAnsiTheme="majorEastAsia"/>
          <w:color w:val="auto"/>
          <w:sz w:val="32"/>
          <w:szCs w:val="32"/>
        </w:rPr>
        <w:t>根据《</w:t>
      </w:r>
      <w:r>
        <w:rPr>
          <w:rFonts w:hint="eastAsia" w:ascii="仿宋_GB2312" w:eastAsia="仿宋_GB2312" w:cs="仿宋" w:hAnsiTheme="majorEastAsia"/>
          <w:color w:val="auto"/>
          <w:sz w:val="32"/>
          <w:szCs w:val="32"/>
        </w:rPr>
        <w:t>中共中央国务院关于深化供销合作社综合改革的决定</w:t>
      </w:r>
      <w:r>
        <w:rPr>
          <w:rFonts w:ascii="仿宋_GB2312" w:eastAsia="仿宋_GB2312" w:cs="仿宋" w:hAnsiTheme="majorEastAsia"/>
          <w:color w:val="auto"/>
          <w:sz w:val="32"/>
          <w:szCs w:val="32"/>
        </w:rPr>
        <w:t>》（</w:t>
      </w:r>
      <w:r>
        <w:rPr>
          <w:rFonts w:hint="eastAsia" w:ascii="仿宋_GB2312" w:eastAsia="仿宋_GB2312" w:cs="仿宋" w:hAnsiTheme="majorEastAsia"/>
          <w:color w:val="auto"/>
          <w:sz w:val="32"/>
          <w:szCs w:val="32"/>
        </w:rPr>
        <w:t>中发〔2015〕11号</w:t>
      </w:r>
      <w:r>
        <w:rPr>
          <w:rFonts w:ascii="仿宋_GB2312" w:eastAsia="仿宋_GB2312" w:cs="仿宋" w:hAnsiTheme="majorEastAsia"/>
          <w:color w:val="auto"/>
          <w:sz w:val="32"/>
          <w:szCs w:val="32"/>
        </w:rPr>
        <w:t>）、</w:t>
      </w:r>
      <w:r>
        <w:rPr>
          <w:rFonts w:hint="eastAsia" w:ascii="仿宋_GB2312" w:eastAsia="仿宋_GB2312" w:cs="仿宋" w:hAnsiTheme="majorEastAsia"/>
          <w:color w:val="auto"/>
          <w:sz w:val="32"/>
          <w:szCs w:val="32"/>
        </w:rPr>
        <w:t>《中共四川省委四川省人民政府关于深化供销合作社综合改革的意见》、《自贡市深化供销合作社综合改革实施方案》、《自贡市自流井区“党建引领</w:t>
      </w:r>
      <w:r>
        <w:rPr>
          <w:rFonts w:hint="eastAsia" w:ascii="宋体" w:hAnsi="宋体" w:cs="宋体"/>
          <w:color w:val="auto"/>
          <w:sz w:val="32"/>
          <w:szCs w:val="32"/>
        </w:rPr>
        <w:t>•</w:t>
      </w:r>
      <w:r>
        <w:rPr>
          <w:rFonts w:hint="eastAsia" w:ascii="仿宋_GB2312" w:hAnsi="仿宋_GB2312" w:eastAsia="仿宋_GB2312" w:cs="仿宋_GB2312"/>
          <w:color w:val="auto"/>
          <w:sz w:val="32"/>
          <w:szCs w:val="32"/>
        </w:rPr>
        <w:t>村社共建”工程实施方</w:t>
      </w:r>
      <w:r>
        <w:rPr>
          <w:rFonts w:hint="eastAsia" w:ascii="仿宋_GB2312" w:eastAsia="仿宋_GB2312" w:cs="仿宋" w:hAnsiTheme="majorEastAsia"/>
          <w:color w:val="auto"/>
          <w:sz w:val="32"/>
          <w:szCs w:val="32"/>
        </w:rPr>
        <w:t>案》。</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3．资金管理办法制定情况，资金支持具体项目的条件、范围与支持方式概况</w:t>
      </w:r>
    </w:p>
    <w:p>
      <w:pPr>
        <w:adjustRightInd w:val="0"/>
        <w:snapToGrid w:val="0"/>
        <w:spacing w:line="580" w:lineRule="exact"/>
        <w:ind w:firstLine="72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已经按照相关要求制定资金管理办法，本项目建设资金全部用于</w:t>
      </w:r>
      <w:r>
        <w:rPr>
          <w:rFonts w:hint="eastAsia" w:ascii="仿宋_GB2312" w:hAnsi="仿宋_GB2312" w:eastAsia="仿宋_GB2312" w:cs="仿宋_GB2312"/>
          <w:color w:val="auto"/>
          <w:sz w:val="32"/>
          <w:szCs w:val="32"/>
        </w:rPr>
        <w:t>供销社综合体制改革项目建设</w:t>
      </w:r>
      <w:r>
        <w:rPr>
          <w:rFonts w:ascii="仿宋_GB2312" w:hAnsi="仿宋_GB2312" w:eastAsia="仿宋_GB2312" w:cs="仿宋_GB2312"/>
          <w:color w:val="auto"/>
          <w:sz w:val="32"/>
          <w:szCs w:val="32"/>
        </w:rPr>
        <w:t>。</w:t>
      </w:r>
    </w:p>
    <w:p>
      <w:pPr>
        <w:adjustRightInd w:val="0"/>
        <w:snapToGrid w:val="0"/>
        <w:spacing w:line="58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（二）项目绩效目标</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1．项目主要内容</w:t>
      </w:r>
    </w:p>
    <w:p>
      <w:pPr>
        <w:adjustRightInd w:val="0"/>
        <w:snapToGrid w:val="0"/>
        <w:spacing w:line="580" w:lineRule="exact"/>
        <w:ind w:firstLine="720"/>
        <w:rPr>
          <w:rFonts w:ascii="仿宋_GB2312" w:hAnsi="宋体" w:eastAsia="仿宋_GB2312"/>
          <w:color w:val="auto"/>
          <w:sz w:val="32"/>
          <w:szCs w:val="32"/>
          <w:lang w:val="zh-CN"/>
        </w:rPr>
      </w:pPr>
      <w:r>
        <w:rPr>
          <w:rFonts w:ascii="仿宋_GB2312" w:hAnsi="仿宋_GB2312" w:eastAsia="仿宋_GB2312" w:cs="仿宋_GB2312"/>
          <w:color w:val="auto"/>
          <w:sz w:val="32"/>
          <w:szCs w:val="32"/>
        </w:rPr>
        <w:t>项目资金全部用于</w:t>
      </w:r>
      <w:r>
        <w:rPr>
          <w:rFonts w:hint="eastAsia" w:ascii="仿宋_GB2312" w:hAnsi="仿宋_GB2312" w:eastAsia="仿宋_GB2312" w:cs="仿宋_GB2312"/>
          <w:color w:val="auto"/>
          <w:sz w:val="32"/>
          <w:szCs w:val="32"/>
        </w:rPr>
        <w:t>供销社综合体制改革项目</w:t>
      </w:r>
      <w:r>
        <w:rPr>
          <w:rFonts w:ascii="仿宋_GB2312" w:hAnsi="仿宋_GB2312" w:eastAsia="仿宋_GB2312" w:cs="仿宋_GB2312"/>
          <w:color w:val="auto"/>
          <w:sz w:val="32"/>
          <w:szCs w:val="32"/>
        </w:rPr>
        <w:t>建设。</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2．项目应实现的具体绩效目标</w:t>
      </w:r>
    </w:p>
    <w:p>
      <w:pPr>
        <w:adjustRightInd w:val="0"/>
        <w:snapToGrid w:val="0"/>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通过项目实施，</w:t>
      </w:r>
      <w:r>
        <w:rPr>
          <w:rFonts w:hint="eastAsia" w:eastAsia="仿宋_GB2312"/>
          <w:color w:val="auto"/>
          <w:sz w:val="32"/>
          <w:szCs w:val="32"/>
        </w:rPr>
        <w:t>成立第一届理事会、监事会；对社有资产进行评估后分类处理，通过调整租金、隐患排查整治及对有利用价值的资产纳入招商引资计划等，有力盘活社有资产；优化公司员工结构，科学布局连锁网点，关停低效门店等推动社有企业经营，超市经营额突破20</w:t>
      </w:r>
      <w:r>
        <w:rPr>
          <w:rFonts w:eastAsia="仿宋_GB2312"/>
          <w:color w:val="auto"/>
          <w:sz w:val="32"/>
          <w:szCs w:val="32"/>
        </w:rPr>
        <w:t>00</w:t>
      </w:r>
      <w:r>
        <w:rPr>
          <w:rFonts w:hint="eastAsia" w:eastAsia="仿宋_GB2312"/>
          <w:color w:val="auto"/>
          <w:sz w:val="32"/>
          <w:szCs w:val="32"/>
        </w:rPr>
        <w:t>万元，同比增加</w:t>
      </w:r>
      <w:r>
        <w:rPr>
          <w:rFonts w:eastAsia="仿宋_GB2312"/>
          <w:color w:val="auto"/>
          <w:sz w:val="32"/>
          <w:szCs w:val="32"/>
        </w:rPr>
        <w:t>20%</w:t>
      </w:r>
      <w:r>
        <w:rPr>
          <w:rFonts w:hint="eastAsia" w:eastAsia="仿宋_GB2312"/>
          <w:color w:val="auto"/>
          <w:sz w:val="32"/>
          <w:szCs w:val="32"/>
        </w:rPr>
        <w:t>；对辖区</w:t>
      </w:r>
      <w:r>
        <w:rPr>
          <w:rFonts w:eastAsia="仿宋_GB2312"/>
          <w:color w:val="auto"/>
          <w:sz w:val="32"/>
          <w:szCs w:val="32"/>
        </w:rPr>
        <w:t>8</w:t>
      </w:r>
      <w:r>
        <w:rPr>
          <w:rFonts w:hint="eastAsia" w:eastAsia="仿宋_GB2312"/>
          <w:color w:val="auto"/>
          <w:sz w:val="32"/>
          <w:szCs w:val="32"/>
        </w:rPr>
        <w:t>所中小学进行安全食材配送，月均配送营业额突破</w:t>
      </w:r>
      <w:r>
        <w:rPr>
          <w:rFonts w:eastAsia="仿宋_GB2312"/>
          <w:color w:val="auto"/>
          <w:sz w:val="32"/>
          <w:szCs w:val="32"/>
        </w:rPr>
        <w:t>20</w:t>
      </w:r>
      <w:r>
        <w:rPr>
          <w:rFonts w:hint="eastAsia" w:eastAsia="仿宋_GB2312"/>
          <w:color w:val="auto"/>
          <w:sz w:val="32"/>
          <w:szCs w:val="32"/>
        </w:rPr>
        <w:t>万元，累计服务师生</w:t>
      </w:r>
      <w:r>
        <w:rPr>
          <w:rFonts w:eastAsia="仿宋_GB2312"/>
          <w:color w:val="auto"/>
          <w:sz w:val="32"/>
          <w:szCs w:val="32"/>
        </w:rPr>
        <w:t>30</w:t>
      </w:r>
      <w:r>
        <w:rPr>
          <w:rFonts w:hint="eastAsia" w:eastAsia="仿宋_GB2312"/>
          <w:color w:val="auto"/>
          <w:sz w:val="32"/>
          <w:szCs w:val="32"/>
        </w:rPr>
        <w:t>万人次；</w:t>
      </w:r>
      <w:r>
        <w:rPr>
          <w:rFonts w:hint="eastAsia" w:eastAsia="仿宋_GB2312"/>
          <w:bCs/>
          <w:color w:val="auto"/>
          <w:kern w:val="0"/>
          <w:sz w:val="32"/>
        </w:rPr>
        <w:t>柑橘基地</w:t>
      </w:r>
      <w:r>
        <w:rPr>
          <w:rFonts w:hint="eastAsia" w:eastAsia="仿宋_GB2312"/>
          <w:bCs/>
          <w:color w:val="auto"/>
          <w:sz w:val="32"/>
          <w:szCs w:val="32"/>
        </w:rPr>
        <w:t>项目</w:t>
      </w:r>
      <w:r>
        <w:rPr>
          <w:rFonts w:eastAsia="仿宋_GB2312"/>
          <w:bCs/>
          <w:color w:val="auto"/>
          <w:sz w:val="32"/>
          <w:szCs w:val="32"/>
        </w:rPr>
        <w:t>1</w:t>
      </w:r>
      <w:r>
        <w:rPr>
          <w:rFonts w:hint="eastAsia" w:eastAsia="仿宋_GB2312"/>
          <w:bCs/>
          <w:color w:val="auto"/>
          <w:sz w:val="32"/>
          <w:szCs w:val="32"/>
        </w:rPr>
        <w:t>期</w:t>
      </w:r>
      <w:r>
        <w:rPr>
          <w:rFonts w:eastAsia="仿宋_GB2312"/>
          <w:bCs/>
          <w:color w:val="auto"/>
          <w:sz w:val="32"/>
          <w:szCs w:val="32"/>
        </w:rPr>
        <w:t>1000</w:t>
      </w:r>
      <w:r>
        <w:rPr>
          <w:rFonts w:hint="eastAsia" w:eastAsia="仿宋_GB2312"/>
          <w:bCs/>
          <w:color w:val="auto"/>
          <w:sz w:val="32"/>
          <w:szCs w:val="32"/>
        </w:rPr>
        <w:t>亩优质果树今年挂果约</w:t>
      </w:r>
      <w:r>
        <w:rPr>
          <w:rFonts w:eastAsia="仿宋_GB2312"/>
          <w:bCs/>
          <w:color w:val="auto"/>
          <w:sz w:val="32"/>
          <w:szCs w:val="32"/>
        </w:rPr>
        <w:t>10</w:t>
      </w:r>
      <w:r>
        <w:rPr>
          <w:rFonts w:hint="eastAsia" w:eastAsia="仿宋_GB2312"/>
          <w:bCs/>
          <w:color w:val="auto"/>
          <w:sz w:val="32"/>
          <w:szCs w:val="32"/>
        </w:rPr>
        <w:t>万斤，</w:t>
      </w:r>
      <w:r>
        <w:rPr>
          <w:rFonts w:eastAsia="仿宋_GB2312"/>
          <w:bCs/>
          <w:color w:val="auto"/>
          <w:sz w:val="32"/>
          <w:szCs w:val="32"/>
        </w:rPr>
        <w:t>2</w:t>
      </w:r>
      <w:r>
        <w:rPr>
          <w:rFonts w:hint="eastAsia" w:eastAsia="仿宋_GB2312"/>
          <w:bCs/>
          <w:color w:val="auto"/>
          <w:sz w:val="32"/>
          <w:szCs w:val="32"/>
        </w:rPr>
        <w:t>期扩建项目已经启动。蔬菜基地提升改造完成并投产，预计年新增产值</w:t>
      </w:r>
      <w:r>
        <w:rPr>
          <w:rFonts w:eastAsia="仿宋_GB2312"/>
          <w:bCs/>
          <w:color w:val="auto"/>
          <w:sz w:val="32"/>
          <w:szCs w:val="32"/>
        </w:rPr>
        <w:t>10</w:t>
      </w:r>
      <w:r>
        <w:rPr>
          <w:rFonts w:hint="eastAsia" w:eastAsia="仿宋_GB2312"/>
          <w:bCs/>
          <w:color w:val="auto"/>
          <w:sz w:val="32"/>
          <w:szCs w:val="32"/>
        </w:rPr>
        <w:t>万余元；</w:t>
      </w:r>
      <w:r>
        <w:rPr>
          <w:rFonts w:hint="eastAsia" w:eastAsia="仿宋_GB2312"/>
          <w:color w:val="auto"/>
          <w:sz w:val="32"/>
          <w:szCs w:val="32"/>
        </w:rPr>
        <w:t>通过资金入股、技术支持、渠道融合</w:t>
      </w:r>
      <w:r>
        <w:rPr>
          <w:rFonts w:hint="eastAsia" w:eastAsia="仿宋_GB2312"/>
          <w:bCs/>
          <w:color w:val="auto"/>
          <w:kern w:val="0"/>
          <w:sz w:val="32"/>
          <w:szCs w:val="32"/>
        </w:rPr>
        <w:t>，在荣边镇干塘村建成蔬菜基地</w:t>
      </w:r>
      <w:r>
        <w:rPr>
          <w:rFonts w:eastAsia="仿宋_GB2312"/>
          <w:bCs/>
          <w:color w:val="auto"/>
          <w:kern w:val="0"/>
          <w:sz w:val="32"/>
          <w:szCs w:val="32"/>
        </w:rPr>
        <w:t>33</w:t>
      </w:r>
      <w:r>
        <w:rPr>
          <w:rFonts w:hint="eastAsia" w:eastAsia="仿宋_GB2312"/>
          <w:bCs/>
          <w:color w:val="auto"/>
          <w:kern w:val="0"/>
          <w:sz w:val="32"/>
          <w:szCs w:val="32"/>
        </w:rPr>
        <w:t>亩、水产基地</w:t>
      </w:r>
      <w:r>
        <w:rPr>
          <w:rFonts w:eastAsia="仿宋_GB2312"/>
          <w:bCs/>
          <w:color w:val="auto"/>
          <w:kern w:val="0"/>
          <w:sz w:val="32"/>
          <w:szCs w:val="32"/>
        </w:rPr>
        <w:t>17</w:t>
      </w:r>
      <w:r>
        <w:rPr>
          <w:rFonts w:hint="eastAsia" w:eastAsia="仿宋_GB2312"/>
          <w:bCs/>
          <w:color w:val="auto"/>
          <w:kern w:val="0"/>
          <w:sz w:val="32"/>
          <w:szCs w:val="32"/>
        </w:rPr>
        <w:t>亩、水果基地</w:t>
      </w:r>
      <w:r>
        <w:rPr>
          <w:rFonts w:eastAsia="仿宋_GB2312"/>
          <w:bCs/>
          <w:color w:val="auto"/>
          <w:kern w:val="0"/>
          <w:sz w:val="32"/>
          <w:szCs w:val="32"/>
        </w:rPr>
        <w:t>200</w:t>
      </w:r>
      <w:r>
        <w:rPr>
          <w:rFonts w:hint="eastAsia" w:eastAsia="仿宋_GB2312"/>
          <w:bCs/>
          <w:color w:val="auto"/>
          <w:kern w:val="0"/>
          <w:sz w:val="32"/>
          <w:szCs w:val="32"/>
        </w:rPr>
        <w:t>亩，在飞龙峡镇丁香村发展黄桃基地</w:t>
      </w:r>
      <w:r>
        <w:rPr>
          <w:rFonts w:eastAsia="仿宋_GB2312"/>
          <w:bCs/>
          <w:color w:val="auto"/>
          <w:kern w:val="0"/>
          <w:sz w:val="32"/>
          <w:szCs w:val="32"/>
        </w:rPr>
        <w:t>300</w:t>
      </w:r>
      <w:r>
        <w:rPr>
          <w:rFonts w:hint="eastAsia" w:eastAsia="仿宋_GB2312"/>
          <w:bCs/>
          <w:color w:val="auto"/>
          <w:kern w:val="0"/>
          <w:sz w:val="32"/>
          <w:szCs w:val="32"/>
        </w:rPr>
        <w:t>亩。</w:t>
      </w:r>
      <w:r>
        <w:rPr>
          <w:rFonts w:hint="eastAsia" w:ascii="仿宋_GB2312" w:hAnsi="仿宋_GB2312" w:eastAsia="仿宋_GB2312" w:cs="仿宋_GB2312"/>
          <w:color w:val="auto"/>
          <w:sz w:val="32"/>
          <w:szCs w:val="32"/>
        </w:rPr>
        <w:t>。</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3．</w:t>
      </w:r>
      <w:r>
        <w:rPr>
          <w:rFonts w:hint="eastAsia" w:ascii="仿宋_GB2312" w:hAnsi="仿宋_GB2312" w:eastAsia="仿宋_GB2312" w:cs="仿宋_GB2312"/>
          <w:color w:val="auto"/>
          <w:sz w:val="32"/>
          <w:szCs w:val="32"/>
        </w:rPr>
        <w:t>供销社综合体制改革项目符合区供销社工作实际,申报目标合理可行</w:t>
      </w:r>
      <w:r>
        <w:rPr>
          <w:rFonts w:hint="eastAsia" w:ascii="仿宋_GB2312" w:hAnsi="宋体" w:eastAsia="仿宋_GB2312"/>
          <w:color w:val="auto"/>
          <w:sz w:val="32"/>
          <w:szCs w:val="32"/>
          <w:lang w:val="zh-CN"/>
        </w:rPr>
        <w:t>。</w:t>
      </w:r>
    </w:p>
    <w:p>
      <w:pPr>
        <w:adjustRightInd w:val="0"/>
        <w:snapToGrid w:val="0"/>
        <w:spacing w:line="58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（三）项目自评步骤及方法</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组织各部门通过数量质量指标、社会效益指标、受援群众满意度等各方面进行综合分析自评。</w:t>
      </w:r>
    </w:p>
    <w:p>
      <w:pPr>
        <w:adjustRightInd w:val="0"/>
        <w:snapToGrid w:val="0"/>
        <w:spacing w:line="580" w:lineRule="exact"/>
        <w:ind w:firstLine="720"/>
        <w:rPr>
          <w:rFonts w:ascii="黑体" w:hAnsi="宋体" w:eastAsia="黑体"/>
          <w:color w:val="auto"/>
          <w:sz w:val="32"/>
          <w:szCs w:val="32"/>
        </w:rPr>
      </w:pPr>
      <w:r>
        <w:rPr>
          <w:rFonts w:hint="eastAsia" w:ascii="黑体" w:hAnsi="宋体" w:eastAsia="黑体"/>
          <w:color w:val="auto"/>
          <w:sz w:val="32"/>
          <w:szCs w:val="32"/>
        </w:rPr>
        <w:t>二、项目资金申报及使用情况</w:t>
      </w:r>
    </w:p>
    <w:p>
      <w:pPr>
        <w:adjustRightInd w:val="0"/>
        <w:snapToGrid w:val="0"/>
        <w:spacing w:line="58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（一）项目资金申报及批复情况</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仿宋_GB2312" w:eastAsia="仿宋_GB2312" w:cs="仿宋_GB2312"/>
          <w:color w:val="auto"/>
          <w:sz w:val="32"/>
          <w:szCs w:val="32"/>
        </w:rPr>
        <w:t>供销社综合体制改革项目</w:t>
      </w:r>
      <w:r>
        <w:rPr>
          <w:rFonts w:hint="eastAsia" w:ascii="仿宋_GB2312" w:hAnsi="宋体" w:eastAsia="仿宋_GB2312"/>
          <w:color w:val="auto"/>
          <w:sz w:val="32"/>
          <w:szCs w:val="32"/>
          <w:lang w:val="zh-CN"/>
        </w:rPr>
        <w:t>资金,经单位按照相关文件依据申报,区财政局审核批复,预算下达给单位执行。</w:t>
      </w:r>
    </w:p>
    <w:p>
      <w:pPr>
        <w:adjustRightInd w:val="0"/>
        <w:snapToGrid w:val="0"/>
        <w:spacing w:line="580" w:lineRule="exact"/>
        <w:ind w:firstLine="720"/>
        <w:rPr>
          <w:rFonts w:ascii="仿宋_GB2312" w:hAnsi="宋体" w:eastAsia="仿宋_GB2312"/>
          <w:color w:val="auto"/>
          <w:sz w:val="32"/>
          <w:szCs w:val="32"/>
          <w:lang w:val="zh-CN"/>
        </w:rPr>
      </w:pPr>
      <w:r>
        <w:rPr>
          <w:rFonts w:hint="eastAsia" w:ascii="楷体_GB2312" w:hAnsi="宋体" w:eastAsia="楷体_GB2312"/>
          <w:b/>
          <w:color w:val="auto"/>
          <w:sz w:val="32"/>
          <w:szCs w:val="32"/>
          <w:lang w:val="zh-CN"/>
        </w:rPr>
        <w:t>（二）资金计划、到位及使用情况（可用表格形式反映）</w:t>
      </w:r>
    </w:p>
    <w:p>
      <w:pPr>
        <w:adjustRightInd w:val="0"/>
        <w:snapToGrid w:val="0"/>
        <w:spacing w:line="580" w:lineRule="exact"/>
        <w:ind w:firstLine="72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1.资金计划。20</w:t>
      </w:r>
      <w:r>
        <w:rPr>
          <w:rFonts w:hint="eastAsia" w:ascii="仿宋_GB2312" w:hAnsi="仿宋_GB2312" w:cs="仿宋_GB2312"/>
          <w:color w:val="auto"/>
          <w:sz w:val="32"/>
          <w:szCs w:val="32"/>
          <w:lang w:val="en-US" w:eastAsia="zh-CN"/>
        </w:rPr>
        <w:t>20</w:t>
      </w:r>
      <w:r>
        <w:rPr>
          <w:rFonts w:hint="eastAsia" w:ascii="仿宋_GB2312" w:hAnsi="仿宋_GB2312" w:eastAsia="仿宋_GB2312" w:cs="仿宋_GB2312"/>
          <w:color w:val="auto"/>
          <w:sz w:val="32"/>
          <w:szCs w:val="32"/>
        </w:rPr>
        <w:t>年度供销社综合体制改革项目资金计划1</w:t>
      </w:r>
      <w:r>
        <w:rPr>
          <w:rFonts w:hint="eastAsia" w:ascii="仿宋_GB2312" w:hAnsi="仿宋_GB2312" w:cs="仿宋_GB2312"/>
          <w:color w:val="auto"/>
          <w:sz w:val="32"/>
          <w:szCs w:val="32"/>
          <w:lang w:val="en-US" w:eastAsia="zh-CN"/>
        </w:rPr>
        <w:t>2.50</w:t>
      </w:r>
      <w:r>
        <w:rPr>
          <w:rFonts w:hint="eastAsia" w:ascii="仿宋_GB2312" w:hAnsi="仿宋_GB2312" w:eastAsia="仿宋_GB2312" w:cs="仿宋_GB2312"/>
          <w:color w:val="auto"/>
          <w:sz w:val="32"/>
          <w:szCs w:val="32"/>
        </w:rPr>
        <w:t>万元。</w:t>
      </w:r>
    </w:p>
    <w:p>
      <w:pPr>
        <w:adjustRightInd w:val="0"/>
        <w:snapToGrid w:val="0"/>
        <w:spacing w:line="580" w:lineRule="exact"/>
        <w:ind w:firstLine="72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2.资金到位。20</w:t>
      </w:r>
      <w:r>
        <w:rPr>
          <w:rFonts w:hint="eastAsia" w:ascii="仿宋_GB2312" w:hAnsi="仿宋_GB2312" w:cs="仿宋_GB2312"/>
          <w:color w:val="auto"/>
          <w:sz w:val="32"/>
          <w:szCs w:val="32"/>
          <w:lang w:val="en-US" w:eastAsia="zh-CN"/>
        </w:rPr>
        <w:t>20</w:t>
      </w:r>
      <w:r>
        <w:rPr>
          <w:rFonts w:hint="eastAsia" w:ascii="仿宋_GB2312" w:hAnsi="仿宋_GB2312" w:eastAsia="仿宋_GB2312" w:cs="仿宋_GB2312"/>
          <w:color w:val="auto"/>
          <w:sz w:val="32"/>
          <w:szCs w:val="32"/>
        </w:rPr>
        <w:t>年度供销社综合体制改革项目资金到位1</w:t>
      </w:r>
      <w:r>
        <w:rPr>
          <w:rFonts w:hint="eastAsia" w:ascii="仿宋_GB2312" w:hAnsi="仿宋_GB2312" w:cs="仿宋_GB2312"/>
          <w:color w:val="auto"/>
          <w:sz w:val="32"/>
          <w:szCs w:val="32"/>
          <w:lang w:val="en-US" w:eastAsia="zh-CN"/>
        </w:rPr>
        <w:t>2.50</w:t>
      </w:r>
      <w:r>
        <w:rPr>
          <w:rFonts w:hint="eastAsia" w:ascii="仿宋_GB2312" w:hAnsi="仿宋_GB2312" w:eastAsia="仿宋_GB2312" w:cs="仿宋_GB2312"/>
          <w:color w:val="auto"/>
          <w:sz w:val="32"/>
          <w:szCs w:val="32"/>
        </w:rPr>
        <w:t>万元。</w:t>
      </w:r>
    </w:p>
    <w:p>
      <w:pPr>
        <w:adjustRightInd w:val="0"/>
        <w:snapToGrid w:val="0"/>
        <w:spacing w:line="580" w:lineRule="exact"/>
        <w:ind w:firstLine="72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3.资金使用。供销社综合体制改革项目资金支出合计1</w:t>
      </w:r>
      <w:r>
        <w:rPr>
          <w:rFonts w:hint="eastAsia" w:ascii="仿宋_GB2312" w:hAnsi="仿宋_GB2312" w:cs="仿宋_GB2312"/>
          <w:color w:val="auto"/>
          <w:sz w:val="32"/>
          <w:szCs w:val="32"/>
          <w:lang w:val="en-US" w:eastAsia="zh-CN"/>
        </w:rPr>
        <w:t>2.50</w:t>
      </w:r>
      <w:r>
        <w:rPr>
          <w:rFonts w:hint="eastAsia" w:ascii="仿宋_GB2312" w:hAnsi="仿宋_GB2312" w:eastAsia="仿宋_GB2312" w:cs="仿宋_GB2312"/>
          <w:color w:val="auto"/>
          <w:sz w:val="32"/>
          <w:szCs w:val="32"/>
        </w:rPr>
        <w:t>万元。所有开支均按照我单位财务管理制度执行,资金的使用严格把关,业务开展严格工作作风,严肃工作纪律。</w:t>
      </w:r>
    </w:p>
    <w:p>
      <w:pPr>
        <w:adjustRightInd w:val="0"/>
        <w:snapToGrid w:val="0"/>
        <w:spacing w:line="58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（三）项目财务管理情况</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项目实施主体自贡市自流井区供销合作社联合社财务管理制度健全,严格执行财务管理制度,账务处理及时,会计核算规范。</w:t>
      </w:r>
    </w:p>
    <w:p>
      <w:pPr>
        <w:adjustRightInd w:val="0"/>
        <w:snapToGrid w:val="0"/>
        <w:spacing w:line="580" w:lineRule="exact"/>
        <w:ind w:firstLine="720"/>
        <w:rPr>
          <w:rFonts w:ascii="黑体" w:hAnsi="宋体" w:eastAsia="黑体"/>
          <w:color w:val="auto"/>
          <w:sz w:val="32"/>
          <w:szCs w:val="32"/>
        </w:rPr>
      </w:pPr>
      <w:r>
        <w:rPr>
          <w:rFonts w:hint="eastAsia" w:ascii="黑体" w:hAnsi="宋体" w:eastAsia="黑体"/>
          <w:color w:val="auto"/>
          <w:sz w:val="32"/>
          <w:szCs w:val="32"/>
        </w:rPr>
        <w:t>三、项目实施及管理情况</w:t>
      </w:r>
    </w:p>
    <w:p>
      <w:pPr>
        <w:adjustRightInd w:val="0"/>
        <w:snapToGrid w:val="0"/>
        <w:spacing w:line="580" w:lineRule="exact"/>
        <w:ind w:firstLine="720"/>
        <w:rPr>
          <w:rFonts w:hint="eastAsia" w:ascii="楷体_GB2312" w:hAnsi="楷体_GB2312" w:eastAsia="楷体_GB2312" w:cs="楷体_GB2312"/>
          <w:b/>
          <w:bCs/>
          <w:color w:val="auto"/>
          <w:sz w:val="32"/>
          <w:szCs w:val="32"/>
          <w:lang w:val="zh-CN"/>
        </w:rPr>
      </w:pPr>
      <w:r>
        <w:rPr>
          <w:rFonts w:hint="eastAsia" w:ascii="楷体_GB2312" w:hAnsi="楷体_GB2312" w:eastAsia="楷体_GB2312" w:cs="楷体_GB2312"/>
          <w:b/>
          <w:bCs/>
          <w:color w:val="auto"/>
          <w:sz w:val="32"/>
          <w:szCs w:val="32"/>
          <w:lang w:val="zh-CN"/>
        </w:rPr>
        <w:t>（一）项目组织架构及实施流程</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落实分管领导和工作人员负责项目组织实施,制定计划,明确任务,将每一项工作落到实处。</w:t>
      </w:r>
    </w:p>
    <w:p>
      <w:pPr>
        <w:adjustRightInd w:val="0"/>
        <w:snapToGrid w:val="0"/>
        <w:spacing w:line="580" w:lineRule="exact"/>
        <w:ind w:firstLine="720"/>
        <w:rPr>
          <w:rFonts w:hint="eastAsia" w:ascii="楷体_GB2312" w:hAnsi="楷体_GB2312" w:eastAsia="楷体_GB2312" w:cs="楷体_GB2312"/>
          <w:b/>
          <w:bCs/>
          <w:color w:val="auto"/>
          <w:sz w:val="32"/>
          <w:szCs w:val="32"/>
          <w:lang w:val="zh-CN"/>
        </w:rPr>
      </w:pPr>
      <w:r>
        <w:rPr>
          <w:rFonts w:hint="eastAsia" w:ascii="楷体_GB2312" w:hAnsi="楷体_GB2312" w:eastAsia="楷体_GB2312" w:cs="楷体_GB2312"/>
          <w:b/>
          <w:bCs/>
          <w:color w:val="auto"/>
          <w:sz w:val="32"/>
          <w:szCs w:val="32"/>
          <w:lang w:val="zh-CN"/>
        </w:rPr>
        <w:t>（二）项目管理情况</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认真组织实施,加强项目经费管理,确保各项目标任务完成。</w:t>
      </w:r>
    </w:p>
    <w:p>
      <w:pPr>
        <w:adjustRightInd w:val="0"/>
        <w:snapToGrid w:val="0"/>
        <w:spacing w:line="580" w:lineRule="exact"/>
        <w:ind w:firstLine="720"/>
        <w:rPr>
          <w:rFonts w:hint="eastAsia" w:ascii="楷体_GB2312" w:hAnsi="楷体_GB2312" w:eastAsia="楷体_GB2312" w:cs="楷体_GB2312"/>
          <w:b/>
          <w:bCs/>
          <w:color w:val="auto"/>
          <w:sz w:val="32"/>
          <w:szCs w:val="32"/>
          <w:lang w:val="zh-CN"/>
        </w:rPr>
      </w:pPr>
      <w:r>
        <w:rPr>
          <w:rFonts w:hint="eastAsia" w:ascii="楷体_GB2312" w:hAnsi="楷体_GB2312" w:eastAsia="楷体_GB2312" w:cs="楷体_GB2312"/>
          <w:b/>
          <w:bCs/>
          <w:color w:val="auto"/>
          <w:sz w:val="32"/>
          <w:szCs w:val="32"/>
          <w:lang w:val="zh-CN"/>
        </w:rPr>
        <w:t>（三）项目监管情况</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加强对项目监督管理,按季度检查通报任务完成情况,对存在问题及时进行整改,确保目标任务完成。</w:t>
      </w:r>
    </w:p>
    <w:p>
      <w:pPr>
        <w:adjustRightInd w:val="0"/>
        <w:snapToGrid w:val="0"/>
        <w:spacing w:line="580" w:lineRule="exact"/>
        <w:ind w:firstLine="720"/>
        <w:rPr>
          <w:rFonts w:ascii="仿宋_GB2312" w:hAnsi="宋体" w:eastAsia="仿宋_GB2312"/>
          <w:color w:val="auto"/>
          <w:sz w:val="32"/>
          <w:szCs w:val="32"/>
          <w:lang w:val="zh-CN"/>
        </w:rPr>
      </w:pPr>
      <w:r>
        <w:rPr>
          <w:rFonts w:hint="eastAsia" w:ascii="黑体" w:hAnsi="宋体" w:eastAsia="黑体"/>
          <w:color w:val="auto"/>
          <w:sz w:val="32"/>
          <w:szCs w:val="32"/>
        </w:rPr>
        <w:t>四、项目绩效情况</w:t>
      </w:r>
      <w:r>
        <w:rPr>
          <w:rFonts w:hint="eastAsia" w:ascii="仿宋_GB2312" w:hAnsi="宋体" w:eastAsia="仿宋_GB2312"/>
          <w:color w:val="auto"/>
          <w:sz w:val="32"/>
          <w:szCs w:val="32"/>
          <w:lang w:val="zh-CN"/>
        </w:rPr>
        <w:tab/>
      </w:r>
    </w:p>
    <w:p>
      <w:pPr>
        <w:adjustRightInd w:val="0"/>
        <w:snapToGrid w:val="0"/>
        <w:spacing w:line="58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（一）项目完成情况</w:t>
      </w:r>
    </w:p>
    <w:p>
      <w:pPr>
        <w:adjustRightInd w:val="0"/>
        <w:snapToGrid w:val="0"/>
        <w:spacing w:line="580" w:lineRule="exact"/>
        <w:ind w:firstLine="640" w:firstLineChars="200"/>
        <w:rPr>
          <w:rFonts w:ascii="仿宋_GB2312" w:hAnsi="仿宋_GB2312" w:eastAsia="仿宋_GB2312" w:cs="仿宋_GB2312"/>
          <w:color w:val="auto"/>
          <w:sz w:val="32"/>
          <w:szCs w:val="32"/>
        </w:rPr>
      </w:pPr>
      <w:r>
        <w:rPr>
          <w:rFonts w:hint="eastAsia" w:eastAsia="仿宋_GB2312"/>
          <w:color w:val="auto"/>
          <w:sz w:val="32"/>
          <w:szCs w:val="32"/>
        </w:rPr>
        <w:t>成立第一届理事会、监事会；对社有资产进行评估后分类处理，通过调整租金、隐患排查整治及对有利用价值的资产纳入招商引资计划等，有力盘活社有资产；优化公司员工结构，科学布局连锁网点，关停低效门店等推动社有企业经营，超市经营额突破20</w:t>
      </w:r>
      <w:r>
        <w:rPr>
          <w:rFonts w:eastAsia="仿宋_GB2312"/>
          <w:color w:val="auto"/>
          <w:sz w:val="32"/>
          <w:szCs w:val="32"/>
        </w:rPr>
        <w:t>00</w:t>
      </w:r>
      <w:r>
        <w:rPr>
          <w:rFonts w:hint="eastAsia" w:eastAsia="仿宋_GB2312"/>
          <w:color w:val="auto"/>
          <w:sz w:val="32"/>
          <w:szCs w:val="32"/>
        </w:rPr>
        <w:t>万元，同比增加</w:t>
      </w:r>
      <w:r>
        <w:rPr>
          <w:rFonts w:eastAsia="仿宋_GB2312"/>
          <w:color w:val="auto"/>
          <w:sz w:val="32"/>
          <w:szCs w:val="32"/>
        </w:rPr>
        <w:t>20%</w:t>
      </w:r>
      <w:r>
        <w:rPr>
          <w:rFonts w:hint="eastAsia" w:eastAsia="仿宋_GB2312"/>
          <w:color w:val="auto"/>
          <w:sz w:val="32"/>
          <w:szCs w:val="32"/>
        </w:rPr>
        <w:t>；对辖区</w:t>
      </w:r>
      <w:r>
        <w:rPr>
          <w:rFonts w:eastAsia="仿宋_GB2312"/>
          <w:color w:val="auto"/>
          <w:sz w:val="32"/>
          <w:szCs w:val="32"/>
        </w:rPr>
        <w:t>8</w:t>
      </w:r>
      <w:r>
        <w:rPr>
          <w:rFonts w:hint="eastAsia" w:eastAsia="仿宋_GB2312"/>
          <w:color w:val="auto"/>
          <w:sz w:val="32"/>
          <w:szCs w:val="32"/>
        </w:rPr>
        <w:t>所中小学进行安全食材配送，月均配送营业额突破</w:t>
      </w:r>
      <w:r>
        <w:rPr>
          <w:rFonts w:eastAsia="仿宋_GB2312"/>
          <w:color w:val="auto"/>
          <w:sz w:val="32"/>
          <w:szCs w:val="32"/>
        </w:rPr>
        <w:t>20</w:t>
      </w:r>
      <w:r>
        <w:rPr>
          <w:rFonts w:hint="eastAsia" w:eastAsia="仿宋_GB2312"/>
          <w:color w:val="auto"/>
          <w:sz w:val="32"/>
          <w:szCs w:val="32"/>
        </w:rPr>
        <w:t>万元，累计服务师生</w:t>
      </w:r>
      <w:r>
        <w:rPr>
          <w:rFonts w:eastAsia="仿宋_GB2312"/>
          <w:color w:val="auto"/>
          <w:sz w:val="32"/>
          <w:szCs w:val="32"/>
        </w:rPr>
        <w:t>30</w:t>
      </w:r>
      <w:r>
        <w:rPr>
          <w:rFonts w:hint="eastAsia" w:eastAsia="仿宋_GB2312"/>
          <w:color w:val="auto"/>
          <w:sz w:val="32"/>
          <w:szCs w:val="32"/>
        </w:rPr>
        <w:t>万人次；</w:t>
      </w:r>
      <w:r>
        <w:rPr>
          <w:rFonts w:hint="eastAsia" w:eastAsia="仿宋_GB2312"/>
          <w:bCs/>
          <w:color w:val="auto"/>
          <w:kern w:val="0"/>
          <w:sz w:val="32"/>
        </w:rPr>
        <w:t>柑橘基地</w:t>
      </w:r>
      <w:r>
        <w:rPr>
          <w:rFonts w:hint="eastAsia" w:eastAsia="仿宋_GB2312"/>
          <w:bCs/>
          <w:color w:val="auto"/>
          <w:sz w:val="32"/>
          <w:szCs w:val="32"/>
        </w:rPr>
        <w:t>项目</w:t>
      </w:r>
      <w:r>
        <w:rPr>
          <w:rFonts w:eastAsia="仿宋_GB2312"/>
          <w:bCs/>
          <w:color w:val="auto"/>
          <w:sz w:val="32"/>
          <w:szCs w:val="32"/>
        </w:rPr>
        <w:t>1</w:t>
      </w:r>
      <w:r>
        <w:rPr>
          <w:rFonts w:hint="eastAsia" w:eastAsia="仿宋_GB2312"/>
          <w:bCs/>
          <w:color w:val="auto"/>
          <w:sz w:val="32"/>
          <w:szCs w:val="32"/>
        </w:rPr>
        <w:t>期</w:t>
      </w:r>
      <w:r>
        <w:rPr>
          <w:rFonts w:eastAsia="仿宋_GB2312"/>
          <w:bCs/>
          <w:color w:val="auto"/>
          <w:sz w:val="32"/>
          <w:szCs w:val="32"/>
        </w:rPr>
        <w:t>1000</w:t>
      </w:r>
      <w:r>
        <w:rPr>
          <w:rFonts w:hint="eastAsia" w:eastAsia="仿宋_GB2312"/>
          <w:bCs/>
          <w:color w:val="auto"/>
          <w:sz w:val="32"/>
          <w:szCs w:val="32"/>
        </w:rPr>
        <w:t>亩优质果树今年挂果约</w:t>
      </w:r>
      <w:r>
        <w:rPr>
          <w:rFonts w:eastAsia="仿宋_GB2312"/>
          <w:bCs/>
          <w:color w:val="auto"/>
          <w:sz w:val="32"/>
          <w:szCs w:val="32"/>
        </w:rPr>
        <w:t>10</w:t>
      </w:r>
      <w:r>
        <w:rPr>
          <w:rFonts w:hint="eastAsia" w:eastAsia="仿宋_GB2312"/>
          <w:bCs/>
          <w:color w:val="auto"/>
          <w:sz w:val="32"/>
          <w:szCs w:val="32"/>
        </w:rPr>
        <w:t>万斤，</w:t>
      </w:r>
      <w:r>
        <w:rPr>
          <w:rFonts w:eastAsia="仿宋_GB2312"/>
          <w:bCs/>
          <w:color w:val="auto"/>
          <w:sz w:val="32"/>
          <w:szCs w:val="32"/>
        </w:rPr>
        <w:t>2</w:t>
      </w:r>
      <w:r>
        <w:rPr>
          <w:rFonts w:hint="eastAsia" w:eastAsia="仿宋_GB2312"/>
          <w:bCs/>
          <w:color w:val="auto"/>
          <w:sz w:val="32"/>
          <w:szCs w:val="32"/>
        </w:rPr>
        <w:t>期扩建项目已经启动。蔬菜基地提升改造完成并投产，预计年新增产值</w:t>
      </w:r>
      <w:r>
        <w:rPr>
          <w:rFonts w:eastAsia="仿宋_GB2312"/>
          <w:bCs/>
          <w:color w:val="auto"/>
          <w:sz w:val="32"/>
          <w:szCs w:val="32"/>
        </w:rPr>
        <w:t>10</w:t>
      </w:r>
      <w:r>
        <w:rPr>
          <w:rFonts w:hint="eastAsia" w:eastAsia="仿宋_GB2312"/>
          <w:bCs/>
          <w:color w:val="auto"/>
          <w:sz w:val="32"/>
          <w:szCs w:val="32"/>
        </w:rPr>
        <w:t>万余元；</w:t>
      </w:r>
      <w:r>
        <w:rPr>
          <w:rFonts w:hint="eastAsia" w:eastAsia="仿宋_GB2312"/>
          <w:color w:val="auto"/>
          <w:sz w:val="32"/>
          <w:szCs w:val="32"/>
        </w:rPr>
        <w:t>通过资金入股、技术支持、渠道融合</w:t>
      </w:r>
      <w:r>
        <w:rPr>
          <w:rFonts w:hint="eastAsia" w:eastAsia="仿宋_GB2312"/>
          <w:bCs/>
          <w:color w:val="auto"/>
          <w:kern w:val="0"/>
          <w:sz w:val="32"/>
          <w:szCs w:val="32"/>
        </w:rPr>
        <w:t>，在荣边镇干塘村建成蔬菜基地</w:t>
      </w:r>
      <w:r>
        <w:rPr>
          <w:rFonts w:eastAsia="仿宋_GB2312"/>
          <w:bCs/>
          <w:color w:val="auto"/>
          <w:kern w:val="0"/>
          <w:sz w:val="32"/>
          <w:szCs w:val="32"/>
        </w:rPr>
        <w:t>33</w:t>
      </w:r>
      <w:r>
        <w:rPr>
          <w:rFonts w:hint="eastAsia" w:eastAsia="仿宋_GB2312"/>
          <w:bCs/>
          <w:color w:val="auto"/>
          <w:kern w:val="0"/>
          <w:sz w:val="32"/>
          <w:szCs w:val="32"/>
        </w:rPr>
        <w:t>亩、水产基地</w:t>
      </w:r>
      <w:r>
        <w:rPr>
          <w:rFonts w:eastAsia="仿宋_GB2312"/>
          <w:bCs/>
          <w:color w:val="auto"/>
          <w:kern w:val="0"/>
          <w:sz w:val="32"/>
          <w:szCs w:val="32"/>
        </w:rPr>
        <w:t>17</w:t>
      </w:r>
      <w:r>
        <w:rPr>
          <w:rFonts w:hint="eastAsia" w:eastAsia="仿宋_GB2312"/>
          <w:bCs/>
          <w:color w:val="auto"/>
          <w:kern w:val="0"/>
          <w:sz w:val="32"/>
          <w:szCs w:val="32"/>
        </w:rPr>
        <w:t>亩、水果基地</w:t>
      </w:r>
      <w:r>
        <w:rPr>
          <w:rFonts w:eastAsia="仿宋_GB2312"/>
          <w:bCs/>
          <w:color w:val="auto"/>
          <w:kern w:val="0"/>
          <w:sz w:val="32"/>
          <w:szCs w:val="32"/>
        </w:rPr>
        <w:t>200</w:t>
      </w:r>
      <w:r>
        <w:rPr>
          <w:rFonts w:hint="eastAsia" w:eastAsia="仿宋_GB2312"/>
          <w:bCs/>
          <w:color w:val="auto"/>
          <w:kern w:val="0"/>
          <w:sz w:val="32"/>
          <w:szCs w:val="32"/>
        </w:rPr>
        <w:t>亩，在飞龙峡镇丁香村发展黄桃基地</w:t>
      </w:r>
      <w:r>
        <w:rPr>
          <w:rFonts w:eastAsia="仿宋_GB2312"/>
          <w:bCs/>
          <w:color w:val="auto"/>
          <w:kern w:val="0"/>
          <w:sz w:val="32"/>
          <w:szCs w:val="32"/>
        </w:rPr>
        <w:t>300</w:t>
      </w:r>
      <w:r>
        <w:rPr>
          <w:rFonts w:hint="eastAsia" w:eastAsia="仿宋_GB2312"/>
          <w:bCs/>
          <w:color w:val="auto"/>
          <w:kern w:val="0"/>
          <w:sz w:val="32"/>
          <w:szCs w:val="32"/>
        </w:rPr>
        <w:t>亩。</w:t>
      </w:r>
    </w:p>
    <w:p>
      <w:pPr>
        <w:adjustRightInd w:val="0"/>
        <w:snapToGrid w:val="0"/>
        <w:spacing w:line="58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（二）项目效益情况</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通过本项目的建设，</w:t>
      </w:r>
      <w:r>
        <w:rPr>
          <w:rFonts w:hint="eastAsia" w:ascii="仿宋" w:hAnsi="仿宋" w:eastAsia="仿宋" w:cs="黑体"/>
          <w:bCs/>
          <w:color w:val="auto"/>
          <w:sz w:val="32"/>
          <w:szCs w:val="32"/>
        </w:rPr>
        <w:t>完善行业指导体系，夯实发展基础，构建经营服务体系，做强供销企业，打造新型服务平台，提升服务能力，系统内农民专业合作社健康发展，成员稳步增收。</w:t>
      </w:r>
    </w:p>
    <w:p>
      <w:pPr>
        <w:adjustRightInd w:val="0"/>
        <w:snapToGrid w:val="0"/>
        <w:spacing w:line="580" w:lineRule="exact"/>
        <w:ind w:firstLine="720"/>
        <w:rPr>
          <w:rFonts w:ascii="黑体" w:hAnsi="宋体" w:eastAsia="黑体"/>
          <w:color w:val="auto"/>
          <w:sz w:val="32"/>
          <w:szCs w:val="32"/>
        </w:rPr>
      </w:pPr>
      <w:r>
        <w:rPr>
          <w:rFonts w:hint="eastAsia" w:ascii="黑体" w:hAnsi="宋体" w:eastAsia="黑体"/>
          <w:color w:val="auto"/>
          <w:sz w:val="32"/>
          <w:szCs w:val="32"/>
        </w:rPr>
        <w:t>五、评价结论及建议</w:t>
      </w:r>
    </w:p>
    <w:p>
      <w:pPr>
        <w:adjustRightInd w:val="0"/>
        <w:snapToGrid w:val="0"/>
        <w:spacing w:line="58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（一）评价结论</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通过本项目的建设，基本实现了项目预期。</w:t>
      </w:r>
    </w:p>
    <w:p>
      <w:pPr>
        <w:adjustRightInd w:val="0"/>
        <w:snapToGrid w:val="0"/>
        <w:spacing w:line="58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（二）存在的问题</w:t>
      </w:r>
    </w:p>
    <w:p>
      <w:pPr>
        <w:adjustRightInd w:val="0"/>
        <w:snapToGrid w:val="0"/>
        <w:spacing w:line="580" w:lineRule="exact"/>
        <w:ind w:firstLine="640" w:firstLineChars="200"/>
        <w:rPr>
          <w:rFonts w:ascii="仿宋_GB2312" w:hAnsi="仿宋" w:eastAsia="仿宋_GB2312" w:cs="宋体"/>
          <w:color w:val="auto"/>
          <w:kern w:val="0"/>
          <w:sz w:val="32"/>
          <w:szCs w:val="32"/>
        </w:rPr>
      </w:pPr>
      <w:r>
        <w:rPr>
          <w:rFonts w:hint="eastAsia" w:ascii="仿宋_GB2312" w:hAnsi="宋体" w:eastAsia="仿宋_GB2312"/>
          <w:color w:val="auto"/>
          <w:sz w:val="32"/>
          <w:szCs w:val="32"/>
          <w:lang w:val="zh-CN"/>
        </w:rPr>
        <w:t>农业专业技术人员不足，</w:t>
      </w:r>
      <w:r>
        <w:rPr>
          <w:rFonts w:hint="eastAsia" w:ascii="仿宋_GB2312" w:hAnsi="仿宋" w:eastAsia="仿宋_GB2312" w:cs="宋体"/>
          <w:color w:val="auto"/>
          <w:kern w:val="0"/>
          <w:sz w:val="32"/>
          <w:szCs w:val="32"/>
        </w:rPr>
        <w:t>在对供销综合改革的农业政策支持、农业生产信息支持、农业技术培训、农技服务等方面还有存在差距。</w:t>
      </w:r>
    </w:p>
    <w:p>
      <w:pPr>
        <w:adjustRightInd w:val="0"/>
        <w:snapToGrid w:val="0"/>
        <w:spacing w:line="580" w:lineRule="exact"/>
        <w:ind w:firstLine="643" w:firstLineChars="20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（三）相关建议</w:t>
      </w:r>
    </w:p>
    <w:p>
      <w:pPr>
        <w:pBdr>
          <w:top w:val="single" w:color="FFFFFF" w:sz="4" w:space="0"/>
          <w:left w:val="single" w:color="FFFFFF" w:sz="4" w:space="31"/>
          <w:bottom w:val="single" w:color="FFFFFF" w:sz="4" w:space="31"/>
          <w:right w:val="single" w:color="FFFFFF" w:sz="4" w:space="0"/>
        </w:pBdr>
        <w:adjustRightInd w:val="0"/>
        <w:snapToGrid w:val="0"/>
        <w:spacing w:line="570" w:lineRule="exact"/>
        <w:ind w:firstLine="643" w:firstLineChars="200"/>
        <w:rPr>
          <w:rFonts w:ascii="仿宋_GB2312" w:hAnsi="仿宋" w:eastAsia="仿宋_GB2312" w:cs="宋体"/>
          <w:color w:val="auto"/>
          <w:kern w:val="0"/>
          <w:sz w:val="32"/>
          <w:szCs w:val="32"/>
        </w:rPr>
      </w:pPr>
      <w:r>
        <w:rPr>
          <w:rFonts w:hint="eastAsia" w:ascii="仿宋_GB2312" w:hAnsi="仿宋" w:eastAsia="仿宋_GB2312" w:cs="宋体"/>
          <w:b/>
          <w:color w:val="auto"/>
          <w:kern w:val="0"/>
          <w:sz w:val="32"/>
          <w:szCs w:val="32"/>
        </w:rPr>
        <w:t>一是坚定不移推进发展。</w:t>
      </w:r>
      <w:r>
        <w:rPr>
          <w:rFonts w:hint="eastAsia" w:ascii="仿宋_GB2312" w:hAnsi="仿宋" w:eastAsia="仿宋_GB2312" w:cs="宋体"/>
          <w:color w:val="auto"/>
          <w:kern w:val="0"/>
          <w:sz w:val="32"/>
          <w:szCs w:val="32"/>
        </w:rPr>
        <w:t>加大对专合社的指导和支持和政策宣传，提高经济指标入统工作完成质量；抓好自供连锁超市牛鼻子，发展商品经营、食材配送、生鲜供应等，发展蔬菜基地，带动盘活基层社等，提高系统经济成效。</w:t>
      </w:r>
    </w:p>
    <w:p>
      <w:pPr>
        <w:pBdr>
          <w:top w:val="single" w:color="FFFFFF" w:sz="4" w:space="0"/>
          <w:left w:val="single" w:color="FFFFFF" w:sz="4" w:space="31"/>
          <w:bottom w:val="single" w:color="FFFFFF" w:sz="4" w:space="31"/>
          <w:right w:val="single" w:color="FFFFFF" w:sz="4" w:space="0"/>
        </w:pBdr>
        <w:adjustRightInd w:val="0"/>
        <w:snapToGrid w:val="0"/>
        <w:spacing w:line="570" w:lineRule="exact"/>
        <w:ind w:firstLine="643" w:firstLineChars="200"/>
        <w:rPr>
          <w:rStyle w:val="19"/>
          <w:rFonts w:ascii="仿宋_GB2312" w:hAnsi="仿宋" w:eastAsia="仿宋_GB2312" w:cs="宋体"/>
          <w:b w:val="0"/>
          <w:bCs w:val="0"/>
          <w:color w:val="auto"/>
          <w:kern w:val="0"/>
          <w:sz w:val="32"/>
          <w:szCs w:val="32"/>
        </w:rPr>
      </w:pPr>
      <w:r>
        <w:rPr>
          <w:rFonts w:hint="eastAsia" w:ascii="仿宋_GB2312" w:hAnsi="仿宋" w:eastAsia="仿宋_GB2312" w:cs="宋体"/>
          <w:b/>
          <w:color w:val="auto"/>
          <w:kern w:val="0"/>
          <w:sz w:val="32"/>
          <w:szCs w:val="32"/>
        </w:rPr>
        <w:t>二是实施“三社融合”。</w:t>
      </w:r>
      <w:r>
        <w:rPr>
          <w:rFonts w:hint="eastAsia" w:ascii="仿宋_GB2312" w:hAnsi="仿宋" w:eastAsia="仿宋_GB2312" w:cs="宋体"/>
          <w:color w:val="auto"/>
          <w:kern w:val="0"/>
          <w:sz w:val="32"/>
          <w:szCs w:val="32"/>
        </w:rPr>
        <w:t>在飞龙峡镇开展“三社融合”试点，通过劳动合作、资本合作、土地合作等途径，组织各类新型农业经营主体及小农户参与联合组建村级供销社，实现“三社”组织融合；通过挖掘村集体资源，盘活存量集体资产，开展土地托管服务，建立产供销经营体系，实现“三社”经济融合。</w:t>
      </w:r>
    </w:p>
    <w:p>
      <w:pPr>
        <w:adjustRightInd w:val="0"/>
        <w:snapToGrid w:val="0"/>
        <w:spacing w:line="580" w:lineRule="exact"/>
        <w:jc w:val="center"/>
        <w:outlineLvl w:val="9"/>
        <w:rPr>
          <w:rStyle w:val="19"/>
          <w:rFonts w:ascii="黑体" w:hAnsi="黑体" w:eastAsia="黑体"/>
          <w:b w:val="0"/>
          <w:color w:val="auto"/>
        </w:rPr>
      </w:pPr>
    </w:p>
    <w:p>
      <w:pPr>
        <w:pStyle w:val="6"/>
        <w:rPr>
          <w:rFonts w:hint="eastAsia" w:ascii="黑体" w:hAnsi="黑体" w:eastAsia="黑体"/>
          <w:color w:val="auto"/>
          <w:sz w:val="44"/>
          <w:szCs w:val="44"/>
        </w:rPr>
      </w:pPr>
    </w:p>
    <w:p>
      <w:pPr>
        <w:rPr>
          <w:rFonts w:hint="eastAsia"/>
          <w:color w:val="auto"/>
        </w:rPr>
      </w:pPr>
    </w:p>
    <w:p>
      <w:pPr>
        <w:spacing w:line="600" w:lineRule="exact"/>
        <w:jc w:val="center"/>
        <w:outlineLvl w:val="9"/>
        <w:rPr>
          <w:rFonts w:hint="eastAsia" w:ascii="黑体" w:hAnsi="黑体" w:eastAsia="黑体"/>
          <w:color w:val="auto"/>
          <w:sz w:val="44"/>
          <w:szCs w:val="44"/>
        </w:rPr>
      </w:pPr>
    </w:p>
    <w:p>
      <w:pPr>
        <w:adjustRightInd w:val="0"/>
        <w:snapToGrid w:val="0"/>
        <w:spacing w:line="580" w:lineRule="exact"/>
        <w:jc w:val="center"/>
        <w:rPr>
          <w:rFonts w:hint="eastAsia" w:ascii="方正小标宋简体" w:hAnsi="宋体" w:eastAsia="方正小标宋简体"/>
          <w:color w:val="auto"/>
          <w:kern w:val="0"/>
          <w:sz w:val="44"/>
          <w:szCs w:val="44"/>
        </w:rPr>
      </w:pPr>
    </w:p>
    <w:p>
      <w:pPr>
        <w:adjustRightInd w:val="0"/>
        <w:snapToGrid w:val="0"/>
        <w:spacing w:line="580" w:lineRule="exact"/>
        <w:jc w:val="center"/>
        <w:rPr>
          <w:rFonts w:hint="eastAsia" w:ascii="方正小标宋简体" w:hAnsi="宋体" w:eastAsia="方正小标宋简体"/>
          <w:color w:val="auto"/>
          <w:kern w:val="0"/>
          <w:sz w:val="44"/>
          <w:szCs w:val="44"/>
        </w:rPr>
      </w:pPr>
    </w:p>
    <w:p>
      <w:pPr>
        <w:spacing w:line="600" w:lineRule="exact"/>
        <w:jc w:val="center"/>
        <w:rPr>
          <w:rFonts w:ascii="Times New Roman" w:hAnsi="Times New Roman" w:eastAsia="方正小标宋简体"/>
          <w:sz w:val="44"/>
          <w:szCs w:val="44"/>
        </w:rPr>
      </w:pPr>
    </w:p>
    <w:p>
      <w:pPr>
        <w:spacing w:line="600" w:lineRule="exact"/>
        <w:jc w:val="both"/>
        <w:rPr>
          <w:rFonts w:ascii="Times New Roman" w:hAnsi="Times New Roman" w:eastAsia="方正小标宋简体"/>
          <w:sz w:val="44"/>
          <w:szCs w:val="44"/>
        </w:rPr>
      </w:pPr>
    </w:p>
    <w:p>
      <w:pPr>
        <w:spacing w:line="600" w:lineRule="exact"/>
        <w:jc w:val="center"/>
        <w:rPr>
          <w:rFonts w:ascii="Times New Roman" w:hAnsi="Times New Roman" w:eastAsia="方正小标宋简体"/>
          <w:sz w:val="44"/>
          <w:szCs w:val="44"/>
        </w:rPr>
      </w:pPr>
      <w:r>
        <w:rPr>
          <w:rFonts w:ascii="Times New Roman" w:hAnsi="Times New Roman" w:eastAsia="方正小标宋简体"/>
          <w:sz w:val="44"/>
          <w:szCs w:val="44"/>
        </w:rPr>
        <w:t>自贡市自流井区新形供销合作社管理有限公司</w:t>
      </w:r>
      <w:r>
        <w:rPr>
          <w:rFonts w:ascii="Times New Roman" w:hAnsi="Times New Roman" w:eastAsia="方正小标宋简体"/>
          <w:spacing w:val="-10"/>
          <w:sz w:val="44"/>
          <w:szCs w:val="44"/>
        </w:rPr>
        <w:t>农村组织会计代理服务中心标准化建设项目绩效</w:t>
      </w:r>
      <w:r>
        <w:rPr>
          <w:rFonts w:ascii="Times New Roman" w:hAnsi="Times New Roman" w:eastAsia="方正小标宋简体"/>
          <w:spacing w:val="-20"/>
          <w:sz w:val="44"/>
          <w:szCs w:val="44"/>
        </w:rPr>
        <w:t>自评</w:t>
      </w:r>
      <w:r>
        <w:rPr>
          <w:rFonts w:ascii="Times New Roman" w:hAnsi="Times New Roman" w:eastAsia="方正小标宋简体"/>
          <w:sz w:val="44"/>
          <w:szCs w:val="44"/>
        </w:rPr>
        <w:t>报告</w:t>
      </w:r>
    </w:p>
    <w:p>
      <w:pPr>
        <w:spacing w:line="592" w:lineRule="exact"/>
        <w:jc w:val="center"/>
        <w:rPr>
          <w:rFonts w:ascii="Times New Roman" w:hAnsi="Times New Roman" w:eastAsia="方正小标宋简体"/>
          <w:spacing w:val="-24"/>
          <w:sz w:val="44"/>
          <w:szCs w:val="44"/>
        </w:rPr>
      </w:pPr>
    </w:p>
    <w:p>
      <w:pPr>
        <w:numPr>
          <w:ilvl w:val="0"/>
          <w:numId w:val="9"/>
        </w:numPr>
        <w:spacing w:line="592" w:lineRule="exact"/>
        <w:ind w:firstLine="640" w:firstLineChars="200"/>
        <w:jc w:val="left"/>
        <w:rPr>
          <w:rFonts w:ascii="Times New Roman" w:hAnsi="Times New Roman" w:eastAsia="黑体"/>
          <w:sz w:val="32"/>
          <w:szCs w:val="32"/>
        </w:rPr>
      </w:pPr>
      <w:r>
        <w:rPr>
          <w:rFonts w:ascii="Times New Roman" w:hAnsi="Times New Roman" w:eastAsia="黑体"/>
          <w:sz w:val="32"/>
          <w:szCs w:val="32"/>
        </w:rPr>
        <w:t>项目概况</w:t>
      </w:r>
    </w:p>
    <w:p>
      <w:pPr>
        <w:spacing w:line="592" w:lineRule="exact"/>
        <w:ind w:firstLine="640" w:firstLineChars="200"/>
        <w:jc w:val="left"/>
        <w:rPr>
          <w:rFonts w:ascii="Times New Roman" w:hAnsi="Times New Roman" w:eastAsia="仿宋_GB2312"/>
          <w:sz w:val="32"/>
          <w:szCs w:val="32"/>
        </w:rPr>
      </w:pPr>
      <w:r>
        <w:rPr>
          <w:rFonts w:ascii="Times New Roman" w:hAnsi="Times New Roman" w:eastAsia="仿宋_GB2312"/>
          <w:sz w:val="32"/>
          <w:szCs w:val="32"/>
        </w:rPr>
        <w:t>自贡市自流井区新形供销合作社管理有限公司农村组织会计代理服务中心于2018年3月开始挂牌运行，主要服务对象主要为自流井区下辖47家村社单位。2019年1月起会计服务中心实施标准化建设，项目基本情况如下：</w:t>
      </w:r>
    </w:p>
    <w:p>
      <w:pPr>
        <w:spacing w:line="592" w:lineRule="exact"/>
        <w:ind w:firstLine="643" w:firstLineChars="200"/>
        <w:jc w:val="left"/>
        <w:rPr>
          <w:rFonts w:ascii="Times New Roman" w:hAnsi="Times New Roman" w:eastAsia="楷体_GB2312"/>
          <w:b/>
          <w:sz w:val="32"/>
          <w:szCs w:val="32"/>
        </w:rPr>
      </w:pPr>
      <w:r>
        <w:rPr>
          <w:rFonts w:ascii="Times New Roman" w:hAnsi="Times New Roman" w:eastAsia="楷体_GB2312"/>
          <w:b/>
          <w:sz w:val="32"/>
          <w:szCs w:val="32"/>
        </w:rPr>
        <w:t>（一）项目</w:t>
      </w:r>
      <w:r>
        <w:rPr>
          <w:rFonts w:hint="eastAsia" w:ascii="Times New Roman" w:hAnsi="Times New Roman" w:eastAsia="楷体_GB2312"/>
          <w:b/>
          <w:sz w:val="32"/>
          <w:szCs w:val="32"/>
          <w:lang w:eastAsia="zh-CN"/>
        </w:rPr>
        <w:t>资金申报及批复</w:t>
      </w:r>
      <w:r>
        <w:rPr>
          <w:rFonts w:ascii="Times New Roman" w:hAnsi="Times New Roman" w:eastAsia="楷体_GB2312"/>
          <w:b/>
          <w:sz w:val="32"/>
          <w:szCs w:val="32"/>
        </w:rPr>
        <w:t>申情况</w:t>
      </w:r>
    </w:p>
    <w:p>
      <w:pPr>
        <w:spacing w:line="570" w:lineRule="exact"/>
        <w:ind w:firstLine="640" w:firstLineChars="200"/>
        <w:rPr>
          <w:rFonts w:eastAsia="仿宋_GB2312"/>
          <w:sz w:val="32"/>
          <w:szCs w:val="32"/>
        </w:rPr>
      </w:pPr>
      <w:r>
        <w:rPr>
          <w:rFonts w:hint="eastAsia" w:ascii="Times New Roman" w:hAnsi="Times New Roman" w:eastAsia="仿宋_GB2312"/>
          <w:sz w:val="32"/>
          <w:szCs w:val="32"/>
          <w:lang w:val="en-US" w:eastAsia="zh-CN"/>
        </w:rPr>
        <w:t>2019年1月4日，自流井区供销社制定《</w:t>
      </w:r>
      <w:r>
        <w:rPr>
          <w:rFonts w:ascii="Times New Roman" w:hAnsi="Times New Roman" w:eastAsia="仿宋_GB2312"/>
          <w:sz w:val="32"/>
          <w:szCs w:val="32"/>
        </w:rPr>
        <w:t>农村组织会计代理服务中心标准化建设项目实施方案</w:t>
      </w:r>
      <w:r>
        <w:rPr>
          <w:rFonts w:hint="eastAsia" w:ascii="Times New Roman" w:hAnsi="Times New Roman" w:eastAsia="仿宋_GB2312"/>
          <w:sz w:val="32"/>
          <w:szCs w:val="32"/>
          <w:lang w:eastAsia="zh-CN"/>
        </w:rPr>
        <w:t>》上报市供销社备案，</w:t>
      </w:r>
      <w:r>
        <w:rPr>
          <w:rFonts w:eastAsia="仿宋_GB2312"/>
          <w:color w:val="000000"/>
          <w:kern w:val="0"/>
          <w:sz w:val="32"/>
          <w:szCs w:val="32"/>
        </w:rPr>
        <w:t>在实施过程中指导下属企业</w:t>
      </w:r>
      <w:r>
        <w:rPr>
          <w:rFonts w:eastAsia="仿宋_GB2312"/>
          <w:sz w:val="32"/>
          <w:szCs w:val="32"/>
        </w:rPr>
        <w:t>自贡市自流井区新形供销合作社管理有限公司（下称新形供销公司）实施项目建设。</w:t>
      </w:r>
    </w:p>
    <w:p>
      <w:pPr>
        <w:spacing w:line="592" w:lineRule="exact"/>
        <w:ind w:firstLine="643" w:firstLineChars="200"/>
        <w:jc w:val="left"/>
        <w:rPr>
          <w:rFonts w:hint="eastAsia" w:ascii="Times New Roman" w:hAnsi="Times New Roman" w:eastAsia="楷体_GB2312"/>
          <w:b/>
          <w:sz w:val="32"/>
          <w:szCs w:val="32"/>
          <w:lang w:eastAsia="zh-CN"/>
        </w:rPr>
      </w:pPr>
      <w:r>
        <w:rPr>
          <w:rFonts w:ascii="Times New Roman" w:hAnsi="Times New Roman" w:eastAsia="楷体_GB2312"/>
          <w:b/>
          <w:sz w:val="32"/>
          <w:szCs w:val="32"/>
        </w:rPr>
        <w:t>（二）项目</w:t>
      </w:r>
      <w:r>
        <w:rPr>
          <w:rFonts w:hint="eastAsia" w:ascii="Times New Roman" w:hAnsi="Times New Roman" w:eastAsia="楷体_GB2312"/>
          <w:b/>
          <w:sz w:val="32"/>
          <w:szCs w:val="32"/>
          <w:lang w:eastAsia="zh-CN"/>
        </w:rPr>
        <w:t>绩效目标</w:t>
      </w:r>
    </w:p>
    <w:p>
      <w:pPr>
        <w:spacing w:line="592" w:lineRule="exact"/>
        <w:ind w:firstLine="640" w:firstLineChars="200"/>
        <w:jc w:val="left"/>
        <w:rPr>
          <w:rFonts w:ascii="Times New Roman" w:hAnsi="Times New Roman" w:eastAsia="仿宋_GB2312"/>
          <w:sz w:val="32"/>
          <w:szCs w:val="32"/>
        </w:rPr>
      </w:pPr>
      <w:r>
        <w:rPr>
          <w:rFonts w:ascii="Times New Roman" w:hAnsi="Times New Roman" w:eastAsia="仿宋_GB2312"/>
          <w:sz w:val="32"/>
          <w:szCs w:val="32"/>
        </w:rPr>
        <w:t>项目建设计划起止时间为2019年1月至2019年12月，主要建设内容为：</w:t>
      </w:r>
    </w:p>
    <w:p>
      <w:pPr>
        <w:tabs>
          <w:tab w:val="center" w:pos="4153"/>
        </w:tabs>
        <w:spacing w:line="570" w:lineRule="exact"/>
        <w:ind w:firstLine="600"/>
        <w:rPr>
          <w:rFonts w:ascii="Times New Roman" w:hAnsi="Times New Roman" w:eastAsia="仿宋_GB2312"/>
          <w:sz w:val="32"/>
          <w:szCs w:val="32"/>
        </w:rPr>
      </w:pPr>
      <w:r>
        <w:rPr>
          <w:rFonts w:ascii="Times New Roman" w:eastAsia="仿宋_GB2312"/>
          <w:sz w:val="32"/>
          <w:szCs w:val="32"/>
        </w:rPr>
        <w:t>基础设施方面：建成</w:t>
      </w:r>
      <w:r>
        <w:rPr>
          <w:rFonts w:ascii="Times New Roman" w:hAnsi="Times New Roman" w:eastAsia="仿宋_GB2312"/>
          <w:sz w:val="32"/>
          <w:szCs w:val="32"/>
        </w:rPr>
        <w:t>1</w:t>
      </w:r>
      <w:r>
        <w:rPr>
          <w:rFonts w:ascii="Times New Roman" w:eastAsia="仿宋_GB2312"/>
          <w:sz w:val="32"/>
          <w:szCs w:val="32"/>
        </w:rPr>
        <w:t>个</w:t>
      </w:r>
      <w:r>
        <w:rPr>
          <w:rFonts w:ascii="Times New Roman" w:hAnsi="Times New Roman" w:eastAsia="仿宋_GB2312"/>
          <w:sz w:val="32"/>
          <w:szCs w:val="32"/>
        </w:rPr>
        <w:t>80</w:t>
      </w:r>
      <w:r>
        <w:rPr>
          <w:rFonts w:ascii="Times New Roman" w:eastAsia="仿宋_GB2312"/>
          <w:sz w:val="32"/>
          <w:szCs w:val="32"/>
        </w:rPr>
        <w:t>平米的专业、统一、规范的服务场所，配备专用电脑</w:t>
      </w:r>
      <w:r>
        <w:rPr>
          <w:rFonts w:ascii="Times New Roman" w:hAnsi="Times New Roman" w:eastAsia="仿宋_GB2312"/>
          <w:sz w:val="32"/>
          <w:szCs w:val="32"/>
        </w:rPr>
        <w:t>3</w:t>
      </w:r>
      <w:r>
        <w:rPr>
          <w:rFonts w:ascii="Times New Roman" w:eastAsia="仿宋_GB2312"/>
          <w:sz w:val="32"/>
          <w:szCs w:val="32"/>
        </w:rPr>
        <w:t>台，建设乡镇服务网点</w:t>
      </w:r>
      <w:r>
        <w:rPr>
          <w:rFonts w:ascii="Times New Roman" w:hAnsi="Times New Roman" w:eastAsia="仿宋_GB2312"/>
          <w:sz w:val="32"/>
          <w:szCs w:val="32"/>
        </w:rPr>
        <w:t>4</w:t>
      </w:r>
      <w:r>
        <w:rPr>
          <w:rFonts w:ascii="Times New Roman" w:eastAsia="仿宋_GB2312"/>
          <w:sz w:val="32"/>
          <w:szCs w:val="32"/>
        </w:rPr>
        <w:t>个，提供</w:t>
      </w:r>
      <w:r>
        <w:rPr>
          <w:rFonts w:ascii="Times New Roman" w:hAnsi="Times New Roman" w:eastAsia="仿宋_GB2312"/>
          <w:sz w:val="32"/>
          <w:szCs w:val="32"/>
        </w:rPr>
        <w:t>“</w:t>
      </w:r>
      <w:r>
        <w:rPr>
          <w:rFonts w:ascii="Times New Roman" w:eastAsia="仿宋_GB2312"/>
          <w:sz w:val="32"/>
          <w:szCs w:val="32"/>
        </w:rPr>
        <w:t>便民化</w:t>
      </w:r>
      <w:r>
        <w:rPr>
          <w:rFonts w:ascii="Times New Roman" w:hAnsi="Times New Roman" w:eastAsia="仿宋_GB2312"/>
          <w:sz w:val="32"/>
          <w:szCs w:val="32"/>
        </w:rPr>
        <w:t>”</w:t>
      </w:r>
      <w:r>
        <w:rPr>
          <w:rFonts w:ascii="Times New Roman" w:eastAsia="仿宋_GB2312"/>
          <w:sz w:val="32"/>
          <w:szCs w:val="32"/>
        </w:rPr>
        <w:t>服务。</w:t>
      </w:r>
    </w:p>
    <w:p>
      <w:pPr>
        <w:tabs>
          <w:tab w:val="center" w:pos="4153"/>
        </w:tabs>
        <w:spacing w:line="570" w:lineRule="exact"/>
        <w:ind w:firstLine="600"/>
        <w:rPr>
          <w:rFonts w:ascii="Times New Roman" w:hAnsi="Times New Roman" w:eastAsia="仿宋_GB2312"/>
          <w:sz w:val="32"/>
          <w:szCs w:val="32"/>
        </w:rPr>
      </w:pPr>
      <w:r>
        <w:rPr>
          <w:rFonts w:ascii="Times New Roman" w:eastAsia="仿宋_GB2312"/>
          <w:sz w:val="32"/>
          <w:szCs w:val="32"/>
        </w:rPr>
        <w:t>软件设施方面：使用省供销社</w:t>
      </w:r>
      <w:r>
        <w:rPr>
          <w:rFonts w:ascii="Times New Roman" w:hAnsi="Times New Roman" w:eastAsia="仿宋_GB2312"/>
          <w:sz w:val="32"/>
          <w:szCs w:val="32"/>
        </w:rPr>
        <w:t>“</w:t>
      </w:r>
      <w:r>
        <w:rPr>
          <w:rFonts w:ascii="Times New Roman" w:eastAsia="仿宋_GB2312"/>
          <w:sz w:val="32"/>
          <w:szCs w:val="32"/>
        </w:rPr>
        <w:t>供销云</w:t>
      </w:r>
      <w:r>
        <w:rPr>
          <w:rFonts w:ascii="Times New Roman" w:hAnsi="Times New Roman" w:eastAsia="仿宋_GB2312"/>
          <w:sz w:val="32"/>
          <w:szCs w:val="32"/>
        </w:rPr>
        <w:t>”</w:t>
      </w:r>
      <w:r>
        <w:rPr>
          <w:rFonts w:ascii="Times New Roman" w:eastAsia="仿宋_GB2312"/>
          <w:sz w:val="32"/>
          <w:szCs w:val="32"/>
        </w:rPr>
        <w:t>平台，建立了自流井区农村集体经济组织会计核算标准体系。</w:t>
      </w:r>
    </w:p>
    <w:p>
      <w:pPr>
        <w:tabs>
          <w:tab w:val="center" w:pos="4153"/>
        </w:tabs>
        <w:spacing w:line="570" w:lineRule="exact"/>
        <w:ind w:firstLine="600"/>
        <w:rPr>
          <w:rFonts w:ascii="Times New Roman" w:hAnsi="Times New Roman" w:eastAsia="仿宋_GB2312"/>
          <w:sz w:val="32"/>
          <w:szCs w:val="32"/>
        </w:rPr>
      </w:pPr>
      <w:r>
        <w:rPr>
          <w:rFonts w:ascii="Times New Roman" w:eastAsia="仿宋_GB2312"/>
          <w:sz w:val="32"/>
          <w:szCs w:val="32"/>
        </w:rPr>
        <w:t>人才保障方面：引进中级职称以上专业人员</w:t>
      </w:r>
      <w:r>
        <w:rPr>
          <w:rFonts w:ascii="Times New Roman" w:hAnsi="Times New Roman" w:eastAsia="仿宋_GB2312"/>
          <w:sz w:val="32"/>
          <w:szCs w:val="32"/>
        </w:rPr>
        <w:t>1</w:t>
      </w:r>
      <w:r>
        <w:rPr>
          <w:rFonts w:ascii="Times New Roman" w:eastAsia="仿宋_GB2312"/>
          <w:sz w:val="32"/>
          <w:szCs w:val="32"/>
        </w:rPr>
        <w:t>人。</w:t>
      </w:r>
    </w:p>
    <w:p>
      <w:pPr>
        <w:tabs>
          <w:tab w:val="center" w:pos="4153"/>
        </w:tabs>
        <w:spacing w:line="570" w:lineRule="exact"/>
        <w:ind w:firstLine="600"/>
        <w:rPr>
          <w:rFonts w:ascii="Times New Roman" w:hAnsi="Times New Roman" w:eastAsia="仿宋_GB2312"/>
          <w:sz w:val="32"/>
          <w:szCs w:val="32"/>
        </w:rPr>
      </w:pPr>
      <w:r>
        <w:rPr>
          <w:rFonts w:ascii="Times New Roman" w:eastAsia="仿宋_GB2312"/>
          <w:sz w:val="32"/>
          <w:szCs w:val="32"/>
        </w:rPr>
        <w:t>业务培训方面：开展技术培训，对乡镇、村（社区）财务人员开展培训，提升服务对象规范财务工作水平。</w:t>
      </w:r>
    </w:p>
    <w:p>
      <w:pPr>
        <w:tabs>
          <w:tab w:val="center" w:pos="4153"/>
        </w:tabs>
        <w:spacing w:line="570" w:lineRule="exact"/>
        <w:ind w:firstLine="600"/>
        <w:rPr>
          <w:rFonts w:ascii="Times New Roman" w:eastAsia="仿宋_GB2312"/>
          <w:sz w:val="32"/>
          <w:szCs w:val="32"/>
        </w:rPr>
      </w:pPr>
      <w:r>
        <w:rPr>
          <w:rFonts w:ascii="Times New Roman" w:eastAsia="仿宋_GB2312"/>
          <w:sz w:val="32"/>
          <w:szCs w:val="32"/>
        </w:rPr>
        <w:t>制度建设方面：建立和完善代理记账管理制度、岗位职责、工作流程制度并上墙，合理制定了代理服务价格并公示，完善档案管理和制度。</w:t>
      </w:r>
    </w:p>
    <w:p>
      <w:pPr>
        <w:tabs>
          <w:tab w:val="center" w:pos="4153"/>
        </w:tabs>
        <w:spacing w:line="570" w:lineRule="exact"/>
        <w:ind w:firstLine="600"/>
        <w:rPr>
          <w:rFonts w:hint="eastAsia" w:ascii="仿宋_GB2312" w:hAnsi="宋体" w:eastAsia="仿宋_GB2312" w:cs="宋体"/>
          <w:color w:val="000000"/>
          <w:kern w:val="0"/>
          <w:sz w:val="32"/>
          <w:szCs w:val="32"/>
          <w:lang w:val="en-US" w:eastAsia="zh-CN"/>
        </w:rPr>
      </w:pPr>
      <w:r>
        <w:rPr>
          <w:rFonts w:hint="eastAsia" w:ascii="Times New Roman" w:eastAsia="仿宋_GB2312"/>
          <w:sz w:val="32"/>
          <w:szCs w:val="32"/>
          <w:lang w:eastAsia="zh-CN"/>
        </w:rPr>
        <w:t>具体绩效目标：</w:t>
      </w:r>
      <w:r>
        <w:rPr>
          <w:rFonts w:eastAsia="仿宋_GB2312"/>
          <w:sz w:val="32"/>
          <w:szCs w:val="32"/>
        </w:rPr>
        <w:t>进一步提升农村组织会计代理服务</w:t>
      </w:r>
      <w:r>
        <w:rPr>
          <w:rFonts w:hint="eastAsia" w:eastAsia="仿宋_GB2312"/>
          <w:sz w:val="32"/>
          <w:szCs w:val="32"/>
        </w:rPr>
        <w:t>质量</w:t>
      </w:r>
      <w:r>
        <w:rPr>
          <w:rFonts w:eastAsia="仿宋_GB2312"/>
          <w:sz w:val="32"/>
          <w:szCs w:val="32"/>
        </w:rPr>
        <w:t>，</w:t>
      </w:r>
      <w:r>
        <w:rPr>
          <w:rFonts w:hint="eastAsia" w:ascii="仿宋_GB2312" w:hAnsi="宋体" w:eastAsia="仿宋_GB2312" w:cs="宋体"/>
          <w:color w:val="000000"/>
          <w:kern w:val="0"/>
          <w:sz w:val="32"/>
          <w:szCs w:val="32"/>
        </w:rPr>
        <w:t>规范农民专业合作社、村级组织和村集体经济主体财务行为，</w:t>
      </w:r>
      <w:r>
        <w:rPr>
          <w:rFonts w:hint="eastAsia" w:ascii="仿宋_GB2312" w:hAnsi="宋体" w:eastAsia="仿宋_GB2312" w:cs="宋体"/>
          <w:color w:val="000000"/>
          <w:kern w:val="0"/>
          <w:sz w:val="32"/>
          <w:szCs w:val="32"/>
          <w:lang w:eastAsia="zh-CN"/>
        </w:rPr>
        <w:t>服务能力提升</w:t>
      </w:r>
      <w:r>
        <w:rPr>
          <w:rFonts w:hint="eastAsia" w:ascii="仿宋_GB2312" w:hAnsi="宋体" w:eastAsia="仿宋_GB2312" w:cs="宋体"/>
          <w:color w:val="000000"/>
          <w:kern w:val="0"/>
          <w:sz w:val="32"/>
          <w:szCs w:val="32"/>
          <w:lang w:val="en-US" w:eastAsia="zh-CN"/>
        </w:rPr>
        <w:t>50%以上。</w:t>
      </w:r>
    </w:p>
    <w:p>
      <w:pPr>
        <w:numPr>
          <w:ilvl w:val="0"/>
          <w:numId w:val="10"/>
        </w:numPr>
        <w:tabs>
          <w:tab w:val="center" w:pos="4153"/>
        </w:tabs>
        <w:spacing w:line="570" w:lineRule="exact"/>
        <w:ind w:firstLine="600"/>
        <w:rPr>
          <w:rFonts w:hint="eastAsia" w:ascii="楷体_GB2312" w:hAnsi="楷体_GB2312" w:eastAsia="楷体_GB2312" w:cs="楷体_GB2312"/>
          <w:b/>
          <w:bCs/>
          <w:color w:val="000000"/>
          <w:kern w:val="0"/>
          <w:sz w:val="32"/>
          <w:szCs w:val="32"/>
          <w:lang w:val="en-US" w:eastAsia="zh-CN"/>
        </w:rPr>
      </w:pPr>
      <w:r>
        <w:rPr>
          <w:rFonts w:hint="eastAsia" w:ascii="楷体_GB2312" w:hAnsi="楷体_GB2312" w:eastAsia="楷体_GB2312" w:cs="楷体_GB2312"/>
          <w:b/>
          <w:bCs/>
          <w:color w:val="000000"/>
          <w:kern w:val="0"/>
          <w:sz w:val="32"/>
          <w:szCs w:val="32"/>
          <w:lang w:val="en-US" w:eastAsia="zh-CN"/>
        </w:rPr>
        <w:t>项目资金申报相符性。</w:t>
      </w:r>
    </w:p>
    <w:p>
      <w:pPr>
        <w:spacing w:line="592" w:lineRule="exact"/>
        <w:ind w:firstLine="640" w:firstLineChars="200"/>
        <w:jc w:val="left"/>
        <w:rPr>
          <w:rFonts w:hint="default" w:ascii="仿宋_GB2312" w:hAnsi="宋体" w:eastAsia="仿宋_GB2312" w:cs="宋体"/>
          <w:color w:val="000000"/>
          <w:kern w:val="0"/>
          <w:sz w:val="32"/>
          <w:szCs w:val="32"/>
          <w:lang w:val="en-US" w:eastAsia="zh-CN"/>
        </w:rPr>
      </w:pPr>
      <w:r>
        <w:rPr>
          <w:rFonts w:ascii="Times New Roman" w:hAnsi="Times New Roman" w:eastAsia="仿宋_GB2312"/>
          <w:sz w:val="32"/>
          <w:szCs w:val="32"/>
        </w:rPr>
        <w:t>项目的申请符合《省级供销综合改革及发展专项资金管理办法》（川财建</w:t>
      </w:r>
      <w:r>
        <w:rPr>
          <w:rFonts w:hint="eastAsia" w:ascii="仿宋_GB2312" w:hAnsi="仿宋_GB2312" w:eastAsia="仿宋_GB2312" w:cs="仿宋_GB2312"/>
          <w:sz w:val="32"/>
          <w:szCs w:val="32"/>
        </w:rPr>
        <w:t>〔</w:t>
      </w:r>
      <w:r>
        <w:rPr>
          <w:rFonts w:ascii="Times New Roman" w:hAnsi="Times New Roman" w:eastAsia="仿宋_GB2312"/>
          <w:sz w:val="32"/>
          <w:szCs w:val="32"/>
        </w:rPr>
        <w:t>2020</w:t>
      </w:r>
      <w:r>
        <w:rPr>
          <w:rFonts w:hint="eastAsia" w:ascii="仿宋_GB2312" w:hAnsi="仿宋_GB2312" w:eastAsia="仿宋_GB2312" w:cs="仿宋_GB2312"/>
          <w:sz w:val="32"/>
          <w:szCs w:val="32"/>
        </w:rPr>
        <w:t>〕</w:t>
      </w:r>
      <w:r>
        <w:rPr>
          <w:rFonts w:ascii="Times New Roman" w:hAnsi="Times New Roman" w:eastAsia="仿宋_GB2312"/>
          <w:sz w:val="32"/>
          <w:szCs w:val="32"/>
        </w:rPr>
        <w:t>408号）以及《关于做好2020年省级供销综合改革及发展专项资金使用的通知》（川供财</w:t>
      </w:r>
      <w:r>
        <w:rPr>
          <w:rFonts w:hint="eastAsia" w:ascii="仿宋_GB2312" w:hAnsi="仿宋_GB2312" w:eastAsia="仿宋_GB2312" w:cs="仿宋_GB2312"/>
          <w:sz w:val="32"/>
          <w:szCs w:val="32"/>
        </w:rPr>
        <w:t>〔</w:t>
      </w:r>
      <w:r>
        <w:rPr>
          <w:rFonts w:ascii="Times New Roman" w:hAnsi="Times New Roman" w:eastAsia="仿宋_GB2312"/>
          <w:sz w:val="32"/>
          <w:szCs w:val="32"/>
        </w:rPr>
        <w:t>2020</w:t>
      </w:r>
      <w:r>
        <w:rPr>
          <w:rFonts w:hint="eastAsia" w:ascii="仿宋_GB2312" w:hAnsi="仿宋_GB2312" w:eastAsia="仿宋_GB2312" w:cs="仿宋_GB2312"/>
          <w:sz w:val="32"/>
          <w:szCs w:val="32"/>
        </w:rPr>
        <w:t>〕</w:t>
      </w:r>
      <w:r>
        <w:rPr>
          <w:rFonts w:ascii="Times New Roman" w:hAnsi="Times New Roman" w:eastAsia="仿宋_GB2312"/>
          <w:sz w:val="32"/>
          <w:szCs w:val="32"/>
        </w:rPr>
        <w:t>244号）。即</w:t>
      </w:r>
      <w:r>
        <w:rPr>
          <w:rFonts w:ascii="Times New Roman" w:hAnsi="仿宋_GB2312" w:eastAsia="仿宋_GB2312"/>
          <w:bCs/>
          <w:sz w:val="32"/>
          <w:szCs w:val="32"/>
        </w:rPr>
        <w:t>从事代理记账等社会服务的供销社企业、开展行业管理服务，承担基层供销社和社有企业财务核算管理、基层供销社资产监管</w:t>
      </w:r>
      <w:r>
        <w:rPr>
          <w:rFonts w:ascii="Times New Roman" w:hAnsi="Times New Roman" w:eastAsia="仿宋_GB2312"/>
          <w:sz w:val="32"/>
          <w:szCs w:val="32"/>
        </w:rPr>
        <w:t>。</w:t>
      </w:r>
    </w:p>
    <w:p>
      <w:pPr>
        <w:numPr>
          <w:ilvl w:val="0"/>
          <w:numId w:val="9"/>
        </w:numPr>
        <w:spacing w:line="592" w:lineRule="exact"/>
        <w:ind w:firstLine="640" w:firstLineChars="200"/>
        <w:jc w:val="left"/>
        <w:rPr>
          <w:rFonts w:ascii="Times New Roman" w:hAnsi="Times New Roman" w:eastAsia="黑体"/>
          <w:sz w:val="32"/>
          <w:szCs w:val="32"/>
        </w:rPr>
      </w:pPr>
      <w:r>
        <w:rPr>
          <w:rFonts w:ascii="Times New Roman" w:hAnsi="Times New Roman" w:eastAsia="黑体"/>
          <w:sz w:val="32"/>
          <w:szCs w:val="32"/>
        </w:rPr>
        <w:t>项目</w:t>
      </w:r>
      <w:r>
        <w:rPr>
          <w:rFonts w:hint="eastAsia" w:ascii="Times New Roman" w:hAnsi="Times New Roman" w:eastAsia="黑体"/>
          <w:sz w:val="32"/>
          <w:szCs w:val="32"/>
          <w:lang w:eastAsia="zh-CN"/>
        </w:rPr>
        <w:t>实施及管理</w:t>
      </w:r>
      <w:r>
        <w:rPr>
          <w:rFonts w:ascii="Times New Roman" w:hAnsi="Times New Roman" w:eastAsia="黑体"/>
          <w:sz w:val="32"/>
          <w:szCs w:val="32"/>
        </w:rPr>
        <w:t>情况</w:t>
      </w:r>
    </w:p>
    <w:p>
      <w:pPr>
        <w:spacing w:line="592" w:lineRule="exact"/>
        <w:ind w:firstLine="643" w:firstLineChars="200"/>
        <w:jc w:val="left"/>
        <w:rPr>
          <w:rFonts w:ascii="Times New Roman" w:hAnsi="Times New Roman" w:eastAsia="楷体_GB2312"/>
          <w:b/>
          <w:sz w:val="32"/>
          <w:szCs w:val="32"/>
        </w:rPr>
      </w:pPr>
      <w:r>
        <w:rPr>
          <w:rFonts w:ascii="Times New Roman" w:hAnsi="Times New Roman" w:eastAsia="楷体_GB2312"/>
          <w:b/>
          <w:sz w:val="32"/>
          <w:szCs w:val="32"/>
        </w:rPr>
        <w:t>（</w:t>
      </w:r>
      <w:r>
        <w:rPr>
          <w:rFonts w:hint="eastAsia" w:ascii="Times New Roman" w:hAnsi="Times New Roman" w:eastAsia="楷体_GB2312"/>
          <w:b/>
          <w:sz w:val="32"/>
          <w:szCs w:val="32"/>
          <w:lang w:eastAsia="zh-CN"/>
        </w:rPr>
        <w:t>一</w:t>
      </w:r>
      <w:r>
        <w:rPr>
          <w:rFonts w:ascii="Times New Roman" w:hAnsi="Times New Roman" w:eastAsia="楷体_GB2312"/>
          <w:b/>
          <w:sz w:val="32"/>
          <w:szCs w:val="32"/>
        </w:rPr>
        <w:t>）资金</w:t>
      </w:r>
      <w:r>
        <w:rPr>
          <w:rFonts w:hint="eastAsia" w:ascii="Times New Roman" w:hAnsi="Times New Roman" w:eastAsia="楷体_GB2312"/>
          <w:b/>
          <w:sz w:val="32"/>
          <w:szCs w:val="32"/>
          <w:lang w:eastAsia="zh-CN"/>
        </w:rPr>
        <w:t>计划、到位及</w:t>
      </w:r>
      <w:r>
        <w:rPr>
          <w:rFonts w:ascii="Times New Roman" w:hAnsi="Times New Roman" w:eastAsia="楷体_GB2312"/>
          <w:b/>
          <w:sz w:val="32"/>
          <w:szCs w:val="32"/>
        </w:rPr>
        <w:t>使用情况</w:t>
      </w:r>
    </w:p>
    <w:p>
      <w:pPr>
        <w:adjustRightInd w:val="0"/>
        <w:snapToGrid w:val="0"/>
        <w:spacing w:line="570" w:lineRule="exact"/>
        <w:ind w:firstLine="643" w:firstLineChars="200"/>
        <w:jc w:val="left"/>
        <w:rPr>
          <w:rFonts w:hint="eastAsia" w:ascii="Times New Roman" w:hAnsi="Times New Roman" w:eastAsia="仿宋_GB2312"/>
          <w:color w:val="000000"/>
          <w:sz w:val="32"/>
          <w:szCs w:val="32"/>
          <w:lang w:val="en-US" w:eastAsia="zh-CN"/>
        </w:rPr>
      </w:pPr>
      <w:r>
        <w:rPr>
          <w:rFonts w:hint="eastAsia" w:ascii="Times New Roman" w:hAnsi="Times New Roman" w:eastAsia="仿宋_GB2312"/>
          <w:b/>
          <w:bCs/>
          <w:color w:val="000000"/>
          <w:sz w:val="32"/>
          <w:szCs w:val="32"/>
          <w:lang w:val="en-US" w:eastAsia="zh-CN"/>
        </w:rPr>
        <w:t>1.资金计划及到位。</w:t>
      </w:r>
      <w:r>
        <w:rPr>
          <w:rFonts w:hint="eastAsia" w:ascii="Times New Roman" w:hAnsi="Times New Roman" w:eastAsia="仿宋_GB2312"/>
          <w:color w:val="000000"/>
          <w:sz w:val="32"/>
          <w:szCs w:val="32"/>
          <w:lang w:val="en-US" w:eastAsia="zh-CN"/>
        </w:rPr>
        <w:t>项目计划使用资金11.8万元，由项目单位自筹，验收后申报省社奖补资金10万元。截至目前，项目单位自筹资金已全部到位，到位率100%，到位及时。上级奖补资金计划指标已下达，正在办理申请划拨程序。</w:t>
      </w:r>
    </w:p>
    <w:p>
      <w:pPr>
        <w:adjustRightInd w:val="0"/>
        <w:snapToGrid w:val="0"/>
        <w:spacing w:line="570" w:lineRule="exact"/>
        <w:ind w:firstLine="643" w:firstLineChars="200"/>
        <w:jc w:val="left"/>
        <w:rPr>
          <w:rFonts w:ascii="Times New Roman" w:hAnsi="Times New Roman" w:eastAsia="仿宋_GB2312"/>
          <w:color w:val="000000"/>
          <w:sz w:val="32"/>
          <w:szCs w:val="32"/>
        </w:rPr>
      </w:pPr>
      <w:r>
        <w:rPr>
          <w:rFonts w:hint="eastAsia" w:ascii="Times New Roman" w:hAnsi="Times New Roman" w:eastAsia="仿宋_GB2312"/>
          <w:b/>
          <w:bCs/>
          <w:color w:val="000000"/>
          <w:sz w:val="32"/>
          <w:szCs w:val="32"/>
          <w:lang w:val="en-US" w:eastAsia="zh-CN"/>
        </w:rPr>
        <w:t>2.</w:t>
      </w:r>
      <w:r>
        <w:rPr>
          <w:rFonts w:hint="eastAsia" w:ascii="Times New Roman" w:hAnsi="Times New Roman" w:eastAsia="仿宋_GB2312"/>
          <w:b/>
          <w:bCs/>
          <w:color w:val="000000"/>
          <w:sz w:val="32"/>
          <w:szCs w:val="32"/>
        </w:rPr>
        <w:t>资金</w:t>
      </w:r>
      <w:r>
        <w:rPr>
          <w:rFonts w:hint="eastAsia" w:ascii="Times New Roman" w:hAnsi="Times New Roman" w:eastAsia="仿宋_GB2312"/>
          <w:b/>
          <w:bCs/>
          <w:color w:val="000000"/>
          <w:sz w:val="32"/>
          <w:szCs w:val="32"/>
          <w:lang w:eastAsia="zh-CN"/>
        </w:rPr>
        <w:t>使用。</w:t>
      </w:r>
      <w:r>
        <w:rPr>
          <w:rFonts w:hint="eastAsia" w:ascii="Times New Roman" w:hAnsi="Times New Roman" w:eastAsia="仿宋_GB2312"/>
          <w:color w:val="000000"/>
          <w:sz w:val="32"/>
          <w:szCs w:val="32"/>
        </w:rPr>
        <w:t>新形公司自</w:t>
      </w:r>
      <w:r>
        <w:rPr>
          <w:rFonts w:ascii="Times New Roman" w:hAnsi="Times New Roman" w:eastAsia="仿宋_GB2312"/>
          <w:color w:val="000000"/>
          <w:sz w:val="32"/>
          <w:szCs w:val="32"/>
        </w:rPr>
        <w:t>2019</w:t>
      </w:r>
      <w:r>
        <w:rPr>
          <w:rFonts w:hint="eastAsia" w:ascii="Times New Roman" w:hAnsi="Times New Roman" w:eastAsia="仿宋_GB2312"/>
          <w:color w:val="000000"/>
          <w:sz w:val="32"/>
          <w:szCs w:val="32"/>
        </w:rPr>
        <w:t>年</w:t>
      </w:r>
      <w:r>
        <w:rPr>
          <w:rFonts w:ascii="Times New Roman" w:hAnsi="Times New Roman" w:eastAsia="仿宋_GB2312"/>
          <w:color w:val="000000"/>
          <w:sz w:val="32"/>
          <w:szCs w:val="32"/>
        </w:rPr>
        <w:t>1</w:t>
      </w:r>
      <w:r>
        <w:rPr>
          <w:rFonts w:hint="eastAsia" w:ascii="Times New Roman" w:hAnsi="Times New Roman" w:eastAsia="仿宋_GB2312"/>
          <w:color w:val="000000"/>
          <w:sz w:val="32"/>
          <w:szCs w:val="32"/>
        </w:rPr>
        <w:t>月项目建设起至</w:t>
      </w:r>
      <w:r>
        <w:rPr>
          <w:rFonts w:ascii="Times New Roman" w:hAnsi="Times New Roman" w:eastAsia="仿宋_GB2312"/>
          <w:color w:val="000000"/>
          <w:sz w:val="32"/>
          <w:szCs w:val="32"/>
        </w:rPr>
        <w:t>2019</w:t>
      </w:r>
      <w:r>
        <w:rPr>
          <w:rFonts w:hint="eastAsia" w:ascii="Times New Roman" w:hAnsi="Times New Roman" w:eastAsia="仿宋_GB2312"/>
          <w:color w:val="000000"/>
          <w:sz w:val="32"/>
          <w:szCs w:val="32"/>
        </w:rPr>
        <w:t>年</w:t>
      </w:r>
      <w:r>
        <w:rPr>
          <w:rFonts w:ascii="Times New Roman" w:hAnsi="Times New Roman" w:eastAsia="仿宋_GB2312"/>
          <w:color w:val="000000"/>
          <w:sz w:val="32"/>
          <w:szCs w:val="32"/>
        </w:rPr>
        <w:t>12</w:t>
      </w:r>
      <w:r>
        <w:rPr>
          <w:rFonts w:hint="eastAsia" w:ascii="Times New Roman" w:hAnsi="Times New Roman" w:eastAsia="仿宋_GB2312"/>
          <w:color w:val="000000"/>
          <w:sz w:val="32"/>
          <w:szCs w:val="32"/>
        </w:rPr>
        <w:t>月完成会计中心标准化建设，共支出项目建设资金</w:t>
      </w:r>
      <w:r>
        <w:rPr>
          <w:rFonts w:ascii="Times New Roman" w:hAnsi="Times New Roman" w:eastAsia="仿宋_GB2312"/>
          <w:color w:val="000000"/>
          <w:sz w:val="32"/>
          <w:szCs w:val="32"/>
        </w:rPr>
        <w:t>118159.60</w:t>
      </w:r>
      <w:r>
        <w:rPr>
          <w:rFonts w:hint="eastAsia" w:ascii="Times New Roman" w:hAnsi="Times New Roman" w:eastAsia="仿宋_GB2312"/>
          <w:color w:val="000000"/>
          <w:sz w:val="32"/>
          <w:szCs w:val="32"/>
        </w:rPr>
        <w:t>元，其中人才引进及保障支出</w:t>
      </w:r>
      <w:r>
        <w:rPr>
          <w:rFonts w:ascii="Times New Roman" w:hAnsi="Times New Roman" w:eastAsia="仿宋_GB2312"/>
          <w:color w:val="000000"/>
          <w:sz w:val="32"/>
          <w:szCs w:val="32"/>
        </w:rPr>
        <w:t>103307.2</w:t>
      </w:r>
      <w:r>
        <w:rPr>
          <w:rFonts w:hint="eastAsia" w:ascii="Times New Roman" w:hAnsi="Times New Roman" w:eastAsia="仿宋_GB2312"/>
          <w:color w:val="000000"/>
          <w:sz w:val="32"/>
          <w:szCs w:val="32"/>
        </w:rPr>
        <w:t>元、培训费</w:t>
      </w:r>
      <w:r>
        <w:rPr>
          <w:rFonts w:ascii="Times New Roman" w:hAnsi="Times New Roman" w:eastAsia="仿宋_GB2312"/>
          <w:color w:val="000000"/>
          <w:sz w:val="32"/>
          <w:szCs w:val="32"/>
        </w:rPr>
        <w:t>4800</w:t>
      </w:r>
      <w:r>
        <w:rPr>
          <w:rFonts w:hint="eastAsia" w:ascii="Times New Roman" w:hAnsi="Times New Roman" w:eastAsia="仿宋_GB2312"/>
          <w:color w:val="000000"/>
          <w:sz w:val="32"/>
          <w:szCs w:val="32"/>
        </w:rPr>
        <w:t>元、办公耗材</w:t>
      </w:r>
      <w:r>
        <w:rPr>
          <w:rFonts w:ascii="Times New Roman" w:hAnsi="Times New Roman" w:eastAsia="仿宋_GB2312"/>
          <w:color w:val="000000"/>
          <w:sz w:val="32"/>
          <w:szCs w:val="32"/>
        </w:rPr>
        <w:t>10052.40</w:t>
      </w:r>
      <w:r>
        <w:rPr>
          <w:rFonts w:hint="eastAsia" w:ascii="Times New Roman" w:hAnsi="Times New Roman" w:eastAsia="仿宋_GB2312"/>
          <w:color w:val="000000"/>
          <w:sz w:val="32"/>
          <w:szCs w:val="32"/>
        </w:rPr>
        <w:t>元，</w:t>
      </w:r>
      <w:r>
        <w:rPr>
          <w:rFonts w:ascii="Times New Roman" w:hAnsi="Times New Roman" w:eastAsia="仿宋_GB2312"/>
          <w:color w:val="000000"/>
          <w:sz w:val="32"/>
          <w:szCs w:val="32"/>
        </w:rPr>
        <w:t>2019</w:t>
      </w:r>
      <w:r>
        <w:rPr>
          <w:rFonts w:hint="eastAsia" w:ascii="Times New Roman" w:hAnsi="Times New Roman" w:eastAsia="仿宋_GB2312"/>
          <w:color w:val="000000"/>
          <w:sz w:val="32"/>
          <w:szCs w:val="32"/>
        </w:rPr>
        <w:t>使用供销云软件服务系统为免费使用。</w:t>
      </w:r>
      <w:r>
        <w:rPr>
          <w:rFonts w:ascii="Times New Roman" w:hAnsi="Times New Roman" w:eastAsia="仿宋_GB2312"/>
          <w:sz w:val="32"/>
          <w:szCs w:val="32"/>
        </w:rPr>
        <w:t>项目建设及开支合规合法。</w:t>
      </w:r>
    </w:p>
    <w:p>
      <w:pPr>
        <w:spacing w:line="592" w:lineRule="exact"/>
        <w:ind w:left="640"/>
        <w:jc w:val="left"/>
        <w:rPr>
          <w:rFonts w:ascii="Times New Roman" w:hAnsi="Times New Roman" w:eastAsia="黑体"/>
          <w:b/>
          <w:sz w:val="32"/>
          <w:szCs w:val="32"/>
        </w:rPr>
      </w:pPr>
      <w:r>
        <w:rPr>
          <w:rFonts w:ascii="Times New Roman" w:hAnsi="Times New Roman" w:eastAsia="楷体_GB2312"/>
          <w:b/>
          <w:sz w:val="32"/>
          <w:szCs w:val="32"/>
        </w:rPr>
        <w:t>（</w:t>
      </w:r>
      <w:r>
        <w:rPr>
          <w:rFonts w:hint="eastAsia" w:ascii="Times New Roman" w:hAnsi="Times New Roman" w:eastAsia="楷体_GB2312"/>
          <w:b/>
          <w:sz w:val="32"/>
          <w:szCs w:val="32"/>
          <w:lang w:eastAsia="zh-CN"/>
        </w:rPr>
        <w:t>二</w:t>
      </w:r>
      <w:r>
        <w:rPr>
          <w:rFonts w:ascii="Times New Roman" w:hAnsi="Times New Roman" w:eastAsia="楷体_GB2312"/>
          <w:b/>
          <w:sz w:val="32"/>
          <w:szCs w:val="32"/>
        </w:rPr>
        <w:t>）项目</w:t>
      </w:r>
      <w:r>
        <w:rPr>
          <w:rFonts w:hint="eastAsia" w:ascii="Times New Roman" w:hAnsi="Times New Roman" w:eastAsia="楷体_GB2312"/>
          <w:b/>
          <w:sz w:val="32"/>
          <w:szCs w:val="32"/>
          <w:lang w:eastAsia="zh-CN"/>
        </w:rPr>
        <w:t>财务管理</w:t>
      </w:r>
      <w:r>
        <w:rPr>
          <w:rFonts w:ascii="Times New Roman" w:hAnsi="Times New Roman" w:eastAsia="楷体_GB2312"/>
          <w:b/>
          <w:sz w:val="32"/>
          <w:szCs w:val="32"/>
        </w:rPr>
        <w:t>情况</w:t>
      </w:r>
    </w:p>
    <w:p>
      <w:pPr>
        <w:spacing w:line="592" w:lineRule="exact"/>
        <w:ind w:firstLine="640" w:firstLineChars="200"/>
        <w:jc w:val="left"/>
        <w:rPr>
          <w:rFonts w:ascii="Times New Roman" w:hAnsi="Times New Roman" w:eastAsia="楷体_GB2312"/>
          <w:sz w:val="32"/>
          <w:szCs w:val="32"/>
        </w:rPr>
      </w:pPr>
      <w:r>
        <w:rPr>
          <w:rFonts w:ascii="Times New Roman" w:hAnsi="Times New Roman" w:eastAsia="仿宋_GB2312"/>
          <w:sz w:val="32"/>
          <w:szCs w:val="32"/>
        </w:rPr>
        <w:t>会计服务中心依照项目资金使用管理办法负责项目的具体实施，财务室负责对项目资金使用情况进行监督。对项目资金实行专门核算，财务处理及时规范。</w:t>
      </w:r>
    </w:p>
    <w:p>
      <w:pPr>
        <w:spacing w:line="592" w:lineRule="exact"/>
        <w:ind w:firstLine="643" w:firstLineChars="200"/>
        <w:jc w:val="left"/>
        <w:rPr>
          <w:rFonts w:ascii="Times New Roman" w:hAnsi="Times New Roman" w:eastAsia="楷体_GB2312"/>
          <w:b/>
          <w:sz w:val="32"/>
          <w:szCs w:val="32"/>
        </w:rPr>
      </w:pPr>
      <w:r>
        <w:rPr>
          <w:rFonts w:ascii="Times New Roman" w:hAnsi="Times New Roman" w:eastAsia="楷体_GB2312"/>
          <w:b/>
          <w:sz w:val="32"/>
          <w:szCs w:val="32"/>
        </w:rPr>
        <w:t>（三）项目</w:t>
      </w:r>
      <w:r>
        <w:rPr>
          <w:rFonts w:hint="eastAsia" w:ascii="Times New Roman" w:hAnsi="Times New Roman" w:eastAsia="楷体_GB2312"/>
          <w:b/>
          <w:sz w:val="32"/>
          <w:szCs w:val="32"/>
          <w:lang w:eastAsia="zh-CN"/>
        </w:rPr>
        <w:t>组织实施</w:t>
      </w:r>
      <w:r>
        <w:rPr>
          <w:rFonts w:ascii="Times New Roman" w:hAnsi="Times New Roman" w:eastAsia="楷体_GB2312"/>
          <w:b/>
          <w:sz w:val="32"/>
          <w:szCs w:val="32"/>
        </w:rPr>
        <w:t>情况</w:t>
      </w:r>
    </w:p>
    <w:p>
      <w:pPr>
        <w:spacing w:line="592" w:lineRule="exact"/>
        <w:ind w:firstLine="640" w:firstLineChars="200"/>
        <w:jc w:val="left"/>
        <w:rPr>
          <w:rFonts w:hint="eastAsia" w:ascii="Times New Roman" w:hAnsi="Times New Roman" w:eastAsia="仿宋_GB2312"/>
          <w:sz w:val="32"/>
          <w:szCs w:val="32"/>
          <w:lang w:eastAsia="zh-CN"/>
        </w:rPr>
      </w:pPr>
      <w:r>
        <w:rPr>
          <w:rFonts w:ascii="Times New Roman" w:hAnsi="Times New Roman" w:eastAsia="仿宋_GB2312"/>
          <w:sz w:val="32"/>
          <w:szCs w:val="32"/>
        </w:rPr>
        <w:t>成立以自流井区新形供销合作社管理有限公司总经理为项目负责人，财务负责人为项目监督人的项目实施领导小组，</w:t>
      </w:r>
      <w:r>
        <w:rPr>
          <w:rFonts w:hint="eastAsia" w:ascii="Times New Roman" w:hAnsi="Times New Roman" w:eastAsia="仿宋_GB2312"/>
          <w:sz w:val="32"/>
          <w:szCs w:val="32"/>
          <w:lang w:eastAsia="zh-CN"/>
        </w:rPr>
        <w:t>在项目实施中严格执行财务管理制度、会计核算制度、</w:t>
      </w:r>
      <w:r>
        <w:rPr>
          <w:rFonts w:ascii="Times New Roman" w:hAnsi="Times New Roman" w:eastAsia="仿宋_GB2312"/>
          <w:color w:val="000000"/>
          <w:sz w:val="32"/>
          <w:szCs w:val="32"/>
        </w:rPr>
        <w:t>代账记账管理制度</w:t>
      </w:r>
      <w:r>
        <w:rPr>
          <w:rFonts w:hint="eastAsia" w:ascii="Times New Roman" w:hAnsi="Times New Roman" w:eastAsia="仿宋_GB2312"/>
          <w:sz w:val="32"/>
          <w:szCs w:val="32"/>
          <w:lang w:eastAsia="zh-CN"/>
        </w:rPr>
        <w:t>，代理服务农村组织会计工作规范。</w:t>
      </w:r>
    </w:p>
    <w:p>
      <w:pPr>
        <w:spacing w:line="592" w:lineRule="exact"/>
        <w:ind w:firstLine="640" w:firstLineChars="200"/>
        <w:jc w:val="left"/>
        <w:rPr>
          <w:rFonts w:hint="eastAsia" w:ascii="黑体" w:hAnsi="黑体" w:eastAsia="黑体" w:cs="黑体"/>
          <w:sz w:val="32"/>
          <w:szCs w:val="32"/>
          <w:lang w:eastAsia="zh-CN"/>
        </w:rPr>
      </w:pPr>
      <w:r>
        <w:rPr>
          <w:rFonts w:hint="eastAsia" w:ascii="黑体" w:hAnsi="黑体" w:eastAsia="黑体" w:cs="黑体"/>
          <w:sz w:val="32"/>
          <w:szCs w:val="32"/>
          <w:lang w:eastAsia="zh-CN"/>
        </w:rPr>
        <w:t>三、项目绩效情况</w:t>
      </w:r>
    </w:p>
    <w:p>
      <w:pPr>
        <w:spacing w:line="592" w:lineRule="exact"/>
        <w:ind w:firstLine="643" w:firstLineChars="200"/>
        <w:jc w:val="left"/>
        <w:rPr>
          <w:rFonts w:ascii="Times New Roman" w:hAnsi="Times New Roman" w:eastAsia="楷体_GB2312"/>
          <w:b/>
          <w:sz w:val="32"/>
          <w:szCs w:val="32"/>
        </w:rPr>
      </w:pPr>
      <w:r>
        <w:rPr>
          <w:rFonts w:ascii="Times New Roman" w:hAnsi="Times New Roman" w:eastAsia="楷体_GB2312"/>
          <w:b/>
          <w:sz w:val="32"/>
          <w:szCs w:val="32"/>
        </w:rPr>
        <w:t>（</w:t>
      </w:r>
      <w:r>
        <w:rPr>
          <w:rFonts w:hint="eastAsia" w:ascii="Times New Roman" w:hAnsi="Times New Roman" w:eastAsia="楷体_GB2312"/>
          <w:b/>
          <w:sz w:val="32"/>
          <w:szCs w:val="32"/>
          <w:lang w:eastAsia="zh-CN"/>
        </w:rPr>
        <w:t>一</w:t>
      </w:r>
      <w:r>
        <w:rPr>
          <w:rFonts w:ascii="Times New Roman" w:hAnsi="Times New Roman" w:eastAsia="楷体_GB2312"/>
          <w:b/>
          <w:sz w:val="32"/>
          <w:szCs w:val="32"/>
        </w:rPr>
        <w:t>）项目</w:t>
      </w:r>
      <w:r>
        <w:rPr>
          <w:rFonts w:hint="eastAsia" w:ascii="Times New Roman" w:hAnsi="Times New Roman" w:eastAsia="楷体_GB2312"/>
          <w:b/>
          <w:sz w:val="32"/>
          <w:szCs w:val="32"/>
          <w:lang w:eastAsia="zh-CN"/>
        </w:rPr>
        <w:t>完成</w:t>
      </w:r>
      <w:r>
        <w:rPr>
          <w:rFonts w:ascii="Times New Roman" w:hAnsi="Times New Roman" w:eastAsia="楷体_GB2312"/>
          <w:b/>
          <w:sz w:val="32"/>
          <w:szCs w:val="32"/>
        </w:rPr>
        <w:t>情况</w:t>
      </w:r>
    </w:p>
    <w:p>
      <w:pPr>
        <w:spacing w:line="592" w:lineRule="exact"/>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lang w:eastAsia="zh-CN"/>
        </w:rPr>
        <w:t>项目</w:t>
      </w:r>
      <w:r>
        <w:rPr>
          <w:rFonts w:ascii="Times New Roman" w:hAnsi="Times New Roman" w:eastAsia="仿宋_GB2312"/>
          <w:sz w:val="32"/>
          <w:szCs w:val="32"/>
        </w:rPr>
        <w:t>于2019年1月开始建设，2019年12月建设完成，已建设完成内容：</w:t>
      </w:r>
    </w:p>
    <w:p>
      <w:pPr>
        <w:spacing w:line="592" w:lineRule="exact"/>
        <w:ind w:firstLine="640" w:firstLineChars="200"/>
        <w:jc w:val="left"/>
        <w:rPr>
          <w:rFonts w:ascii="Times New Roman" w:hAnsi="Times New Roman" w:eastAsia="仿宋_GB2312"/>
          <w:sz w:val="32"/>
          <w:szCs w:val="32"/>
        </w:rPr>
      </w:pPr>
      <w:r>
        <w:rPr>
          <w:rFonts w:ascii="Times New Roman" w:eastAsia="仿宋_GB2312"/>
          <w:sz w:val="32"/>
          <w:szCs w:val="32"/>
        </w:rPr>
        <w:t>基础设施方面：已建成</w:t>
      </w:r>
      <w:r>
        <w:rPr>
          <w:rFonts w:ascii="Times New Roman" w:hAnsi="Times New Roman" w:eastAsia="仿宋_GB2312"/>
          <w:sz w:val="32"/>
          <w:szCs w:val="32"/>
        </w:rPr>
        <w:t>1</w:t>
      </w:r>
      <w:r>
        <w:rPr>
          <w:rFonts w:ascii="Times New Roman" w:eastAsia="仿宋_GB2312"/>
          <w:sz w:val="32"/>
          <w:szCs w:val="32"/>
        </w:rPr>
        <w:t>个</w:t>
      </w:r>
      <w:r>
        <w:rPr>
          <w:rFonts w:ascii="Times New Roman" w:hAnsi="Times New Roman" w:eastAsia="仿宋_GB2312"/>
          <w:sz w:val="32"/>
          <w:szCs w:val="32"/>
        </w:rPr>
        <w:t>80</w:t>
      </w:r>
      <w:r>
        <w:rPr>
          <w:rFonts w:ascii="Times New Roman" w:eastAsia="仿宋_GB2312"/>
          <w:sz w:val="32"/>
          <w:szCs w:val="32"/>
        </w:rPr>
        <w:t>平米的专业、统一、规范的服务场所，</w:t>
      </w:r>
      <w:r>
        <w:rPr>
          <w:rFonts w:ascii="Times New Roman" w:hAnsi="Times New Roman" w:eastAsia="仿宋_GB2312"/>
          <w:sz w:val="32"/>
          <w:szCs w:val="32"/>
        </w:rPr>
        <w:t>在经营场所内悬挂带有“中国供销合作社”、“四川供销云服务”等标识牌，配备专用电脑设备3台。</w:t>
      </w:r>
      <w:r>
        <w:rPr>
          <w:rFonts w:ascii="Times New Roman" w:eastAsia="仿宋_GB2312"/>
          <w:sz w:val="32"/>
          <w:szCs w:val="32"/>
        </w:rPr>
        <w:t>建设乡镇服务网点</w:t>
      </w:r>
      <w:r>
        <w:rPr>
          <w:rFonts w:ascii="Times New Roman" w:hAnsi="Times New Roman" w:eastAsia="仿宋_GB2312"/>
          <w:sz w:val="32"/>
          <w:szCs w:val="32"/>
        </w:rPr>
        <w:t>4</w:t>
      </w:r>
      <w:r>
        <w:rPr>
          <w:rFonts w:ascii="Times New Roman" w:eastAsia="仿宋_GB2312"/>
          <w:sz w:val="32"/>
          <w:szCs w:val="32"/>
        </w:rPr>
        <w:t>个，</w:t>
      </w:r>
      <w:r>
        <w:rPr>
          <w:rFonts w:ascii="Times New Roman" w:hAnsi="Times New Roman" w:eastAsia="仿宋_GB2312"/>
          <w:color w:val="000000"/>
          <w:sz w:val="32"/>
          <w:szCs w:val="32"/>
        </w:rPr>
        <w:t>在舒坪、仲权、荣边建设乡镇业务网点4个，提供“便民化”服务,拉近与各类新型经营主体的距离,靠前服务、贴地</w:t>
      </w:r>
      <w:r>
        <w:rPr>
          <w:rFonts w:ascii="Times New Roman" w:hAnsi="Times New Roman" w:eastAsia="仿宋_GB2312"/>
          <w:sz w:val="32"/>
          <w:szCs w:val="32"/>
        </w:rPr>
        <w:t xml:space="preserve"> “</w:t>
      </w:r>
      <w:r>
        <w:rPr>
          <w:rFonts w:ascii="Times New Roman" w:eastAsia="仿宋_GB2312"/>
          <w:sz w:val="32"/>
          <w:szCs w:val="32"/>
        </w:rPr>
        <w:t>便民化</w:t>
      </w:r>
      <w:r>
        <w:rPr>
          <w:rFonts w:ascii="Times New Roman" w:hAnsi="Times New Roman" w:eastAsia="仿宋_GB2312"/>
          <w:sz w:val="32"/>
          <w:szCs w:val="32"/>
        </w:rPr>
        <w:t>”</w:t>
      </w:r>
      <w:r>
        <w:rPr>
          <w:rFonts w:ascii="Times New Roman" w:eastAsia="仿宋_GB2312"/>
          <w:sz w:val="32"/>
          <w:szCs w:val="32"/>
        </w:rPr>
        <w:t>服务。</w:t>
      </w:r>
    </w:p>
    <w:p>
      <w:pPr>
        <w:spacing w:line="592" w:lineRule="exact"/>
        <w:ind w:firstLine="640" w:firstLineChars="200"/>
        <w:jc w:val="left"/>
        <w:rPr>
          <w:rFonts w:ascii="Times New Roman" w:hAnsi="Times New Roman" w:eastAsia="仿宋_GB2312"/>
          <w:sz w:val="32"/>
          <w:szCs w:val="32"/>
        </w:rPr>
      </w:pPr>
      <w:r>
        <w:rPr>
          <w:rFonts w:ascii="Times New Roman" w:eastAsia="仿宋_GB2312"/>
          <w:sz w:val="32"/>
          <w:szCs w:val="32"/>
        </w:rPr>
        <w:t>软件设施方面：已使用省供销社</w:t>
      </w:r>
      <w:r>
        <w:rPr>
          <w:rFonts w:ascii="Times New Roman" w:hAnsi="Times New Roman" w:eastAsia="仿宋_GB2312"/>
          <w:sz w:val="32"/>
          <w:szCs w:val="32"/>
        </w:rPr>
        <w:t>“</w:t>
      </w:r>
      <w:r>
        <w:rPr>
          <w:rFonts w:ascii="Times New Roman" w:eastAsia="仿宋_GB2312"/>
          <w:sz w:val="32"/>
          <w:szCs w:val="32"/>
        </w:rPr>
        <w:t>供销云</w:t>
      </w:r>
      <w:r>
        <w:rPr>
          <w:rFonts w:ascii="Times New Roman" w:hAnsi="Times New Roman" w:eastAsia="仿宋_GB2312"/>
          <w:sz w:val="32"/>
          <w:szCs w:val="32"/>
        </w:rPr>
        <w:t>”</w:t>
      </w:r>
      <w:r>
        <w:rPr>
          <w:rFonts w:ascii="Times New Roman" w:eastAsia="仿宋_GB2312"/>
          <w:sz w:val="32"/>
          <w:szCs w:val="32"/>
        </w:rPr>
        <w:t>平台，建立了自流井区农村集体经济组织会计核算标准体系。</w:t>
      </w:r>
      <w:r>
        <w:rPr>
          <w:rFonts w:ascii="Times New Roman" w:hAnsi="Times New Roman" w:eastAsia="仿宋_GB2312"/>
          <w:sz w:val="32"/>
          <w:szCs w:val="32"/>
        </w:rPr>
        <w:t>目前已为流井区47家村（社区）集体经济组织账务及1家专业合作社代理财务服务，运行情况良好。</w:t>
      </w:r>
    </w:p>
    <w:p>
      <w:pPr>
        <w:tabs>
          <w:tab w:val="center" w:pos="4153"/>
        </w:tabs>
        <w:spacing w:line="570" w:lineRule="exact"/>
        <w:ind w:firstLine="600"/>
        <w:rPr>
          <w:rFonts w:ascii="Times New Roman" w:hAnsi="Times New Roman" w:eastAsia="仿宋_GB2312"/>
          <w:sz w:val="32"/>
          <w:szCs w:val="32"/>
        </w:rPr>
      </w:pPr>
      <w:r>
        <w:rPr>
          <w:rFonts w:ascii="Times New Roman" w:eastAsia="仿宋_GB2312"/>
          <w:sz w:val="32"/>
          <w:szCs w:val="32"/>
        </w:rPr>
        <w:t>人才保障方面：成功引进中级职称以上专业人员</w:t>
      </w:r>
      <w:r>
        <w:rPr>
          <w:rFonts w:ascii="Times New Roman" w:hAnsi="Times New Roman" w:eastAsia="仿宋_GB2312"/>
          <w:sz w:val="32"/>
          <w:szCs w:val="32"/>
        </w:rPr>
        <w:t>1</w:t>
      </w:r>
      <w:r>
        <w:rPr>
          <w:rFonts w:ascii="Times New Roman" w:eastAsia="仿宋_GB2312"/>
          <w:sz w:val="32"/>
          <w:szCs w:val="32"/>
        </w:rPr>
        <w:t>人。</w:t>
      </w:r>
    </w:p>
    <w:p>
      <w:pPr>
        <w:tabs>
          <w:tab w:val="center" w:pos="4153"/>
        </w:tabs>
        <w:spacing w:line="570" w:lineRule="exact"/>
        <w:ind w:firstLine="600"/>
        <w:rPr>
          <w:rFonts w:ascii="Times New Roman" w:hAnsi="Times New Roman" w:eastAsia="仿宋_GB2312"/>
          <w:sz w:val="32"/>
          <w:szCs w:val="32"/>
        </w:rPr>
      </w:pPr>
      <w:r>
        <w:rPr>
          <w:rFonts w:ascii="Times New Roman" w:eastAsia="仿宋_GB2312"/>
          <w:sz w:val="32"/>
          <w:szCs w:val="32"/>
        </w:rPr>
        <w:t>业务培训方面：开展技术培训，对乡镇、村（社区）财务人员开展培训，</w:t>
      </w:r>
      <w:r>
        <w:rPr>
          <w:rFonts w:ascii="Times New Roman" w:hAnsi="Times New Roman" w:eastAsia="仿宋_GB2312"/>
          <w:color w:val="000000"/>
          <w:sz w:val="32"/>
          <w:szCs w:val="32"/>
        </w:rPr>
        <w:t>开展技术培训8次，培训人员100余人次，强化服务对象使用信息化工具的能力和水平,为服务便捷化提供支持。</w:t>
      </w:r>
    </w:p>
    <w:p>
      <w:pPr>
        <w:tabs>
          <w:tab w:val="center" w:pos="4153"/>
        </w:tabs>
        <w:spacing w:line="570" w:lineRule="exact"/>
        <w:ind w:firstLine="600"/>
        <w:rPr>
          <w:rFonts w:ascii="Times New Roman" w:hAnsi="Times New Roman" w:eastAsia="仿宋_GB2312"/>
          <w:color w:val="000000"/>
          <w:sz w:val="32"/>
          <w:szCs w:val="32"/>
        </w:rPr>
      </w:pPr>
      <w:r>
        <w:rPr>
          <w:rFonts w:ascii="Times New Roman" w:eastAsia="仿宋_GB2312"/>
          <w:sz w:val="32"/>
          <w:szCs w:val="32"/>
        </w:rPr>
        <w:t>制度建设方面：</w:t>
      </w:r>
      <w:r>
        <w:rPr>
          <w:rFonts w:ascii="Times New Roman" w:hAnsi="Times New Roman" w:eastAsia="仿宋_GB2312"/>
          <w:color w:val="000000"/>
          <w:sz w:val="32"/>
          <w:szCs w:val="32"/>
        </w:rPr>
        <w:t>建立代账记账管理制度、岗位职责和业务流程，完善相关制度，并已制作悬挂上墙。在现有档案保管制度的基础上，汲取其他地方先进经验，进一步完善档案保管制度，确保档案保存安全、规范。</w:t>
      </w:r>
    </w:p>
    <w:p>
      <w:pPr>
        <w:tabs>
          <w:tab w:val="center" w:pos="4153"/>
        </w:tabs>
        <w:spacing w:line="570" w:lineRule="exact"/>
        <w:ind w:firstLine="600"/>
        <w:rPr>
          <w:rFonts w:hint="eastAsia" w:ascii="Times New Roman" w:hAnsi="Times New Roman" w:eastAsia="仿宋_GB2312"/>
          <w:color w:val="000000"/>
          <w:sz w:val="32"/>
          <w:szCs w:val="32"/>
          <w:lang w:eastAsia="zh-CN"/>
        </w:rPr>
      </w:pPr>
      <w:r>
        <w:rPr>
          <w:rFonts w:hint="eastAsia" w:ascii="Times New Roman" w:hAnsi="Times New Roman" w:eastAsia="仿宋_GB2312"/>
          <w:color w:val="000000"/>
          <w:sz w:val="32"/>
          <w:szCs w:val="32"/>
          <w:lang w:eastAsia="zh-CN"/>
        </w:rPr>
        <w:t>截至评价试点建设任务已全部完成，质量达标、符合计划、成本控制到位。</w:t>
      </w:r>
    </w:p>
    <w:p>
      <w:pPr>
        <w:spacing w:line="592" w:lineRule="exact"/>
        <w:ind w:firstLine="643" w:firstLineChars="200"/>
        <w:jc w:val="left"/>
        <w:rPr>
          <w:rFonts w:ascii="Times New Roman" w:hAnsi="Times New Roman" w:eastAsia="楷体_GB2312"/>
          <w:b/>
          <w:sz w:val="32"/>
          <w:szCs w:val="32"/>
        </w:rPr>
      </w:pPr>
      <w:r>
        <w:rPr>
          <w:rFonts w:ascii="Times New Roman" w:hAnsi="Times New Roman" w:eastAsia="楷体_GB2312"/>
          <w:b/>
          <w:sz w:val="32"/>
          <w:szCs w:val="32"/>
        </w:rPr>
        <w:t>（</w:t>
      </w:r>
      <w:r>
        <w:rPr>
          <w:rFonts w:hint="eastAsia" w:ascii="Times New Roman" w:hAnsi="Times New Roman" w:eastAsia="楷体_GB2312"/>
          <w:b/>
          <w:sz w:val="32"/>
          <w:szCs w:val="32"/>
          <w:lang w:eastAsia="zh-CN"/>
        </w:rPr>
        <w:t>二</w:t>
      </w:r>
      <w:r>
        <w:rPr>
          <w:rFonts w:ascii="Times New Roman" w:hAnsi="Times New Roman" w:eastAsia="楷体_GB2312"/>
          <w:b/>
          <w:sz w:val="32"/>
          <w:szCs w:val="32"/>
        </w:rPr>
        <w:t>）项目</w:t>
      </w:r>
      <w:r>
        <w:rPr>
          <w:rFonts w:hint="eastAsia" w:ascii="Times New Roman" w:hAnsi="Times New Roman" w:eastAsia="楷体_GB2312"/>
          <w:b/>
          <w:sz w:val="32"/>
          <w:szCs w:val="32"/>
          <w:lang w:eastAsia="zh-CN"/>
        </w:rPr>
        <w:t>效益</w:t>
      </w:r>
      <w:r>
        <w:rPr>
          <w:rFonts w:ascii="Times New Roman" w:hAnsi="Times New Roman" w:eastAsia="楷体_GB2312"/>
          <w:b/>
          <w:sz w:val="32"/>
          <w:szCs w:val="32"/>
        </w:rPr>
        <w:t>情况</w:t>
      </w:r>
    </w:p>
    <w:p>
      <w:pPr>
        <w:spacing w:line="240" w:lineRule="auto"/>
        <w:ind w:firstLine="640" w:firstLineChars="200"/>
        <w:jc w:val="both"/>
      </w:pPr>
      <w:r>
        <w:rPr>
          <w:rFonts w:ascii="Times New Roman" w:hAnsi="Times New Roman" w:eastAsia="仿宋_GB2312" w:cs="Times New Roman"/>
          <w:sz w:val="32"/>
          <w:szCs w:val="32"/>
        </w:rPr>
        <w:t>农村组织会计代理服务中心</w:t>
      </w:r>
      <w:r>
        <w:rPr>
          <w:rFonts w:ascii="Times New Roman" w:hAnsi="Times New Roman" w:eastAsia="仿宋_GB2312"/>
          <w:sz w:val="32"/>
          <w:szCs w:val="32"/>
        </w:rPr>
        <w:t>配备了专业的人才及会计代理服务平台系统，在服务村农村组织会计代理服务中，专业人员能很好地使用供销云服务体系，借助系统强大处理数据及分析统计功能力及时发现各村社在财务工作中所暴露出的问题，并及时予以纠正，减少了各种不合规的开支。</w:t>
      </w:r>
      <w:r>
        <w:rPr>
          <w:rFonts w:hint="eastAsia" w:ascii="Times New Roman" w:hAnsi="Times New Roman" w:eastAsia="仿宋_GB2312"/>
          <w:sz w:val="32"/>
          <w:szCs w:val="32"/>
          <w:lang w:eastAsia="zh-CN"/>
        </w:rPr>
        <w:t>同时，通过不断加强标准化建设，使</w:t>
      </w:r>
      <w:r>
        <w:rPr>
          <w:rFonts w:ascii="Times New Roman" w:hAnsi="Times New Roman" w:eastAsia="仿宋_GB2312"/>
          <w:sz w:val="32"/>
          <w:szCs w:val="32"/>
        </w:rPr>
        <w:t>会计核算更为规范、财务数据更为真实</w:t>
      </w:r>
      <w:r>
        <w:rPr>
          <w:rFonts w:hint="eastAsia" w:ascii="Times New Roman" w:hAnsi="Times New Roman" w:eastAsia="仿宋_GB2312"/>
          <w:sz w:val="32"/>
          <w:szCs w:val="32"/>
          <w:lang w:eastAsia="zh-CN"/>
        </w:rPr>
        <w:t>，为</w:t>
      </w:r>
      <w:r>
        <w:rPr>
          <w:rFonts w:ascii="Times New Roman" w:hAnsi="Times New Roman" w:eastAsia="仿宋_GB2312"/>
          <w:sz w:val="32"/>
          <w:szCs w:val="32"/>
        </w:rPr>
        <w:t>代理服务工作推进更好提供了良好的基础保障，极大提高了</w:t>
      </w:r>
      <w:r>
        <w:rPr>
          <w:rFonts w:hint="eastAsia" w:ascii="Times New Roman" w:hAnsi="Times New Roman" w:eastAsia="仿宋_GB2312"/>
          <w:sz w:val="32"/>
          <w:szCs w:val="32"/>
          <w:lang w:eastAsia="zh-CN"/>
        </w:rPr>
        <w:t>为</w:t>
      </w:r>
      <w:r>
        <w:rPr>
          <w:rFonts w:hint="eastAsia" w:ascii="仿宋_GB2312" w:hAnsi="仿宋_GB2312" w:eastAsia="仿宋_GB2312" w:cs="仿宋_GB2312"/>
          <w:sz w:val="32"/>
          <w:szCs w:val="32"/>
          <w:lang w:val="en-US" w:eastAsia="zh-CN"/>
        </w:rPr>
        <w:t>47家村社单位和1家专业合作社提供的会计代理服务的</w:t>
      </w:r>
      <w:r>
        <w:rPr>
          <w:rFonts w:ascii="Times New Roman" w:hAnsi="Times New Roman" w:eastAsia="仿宋_GB2312"/>
          <w:sz w:val="32"/>
          <w:szCs w:val="32"/>
        </w:rPr>
        <w:t>工作效率</w:t>
      </w:r>
      <w:r>
        <w:rPr>
          <w:rFonts w:hint="eastAsia" w:ascii="Times New Roman" w:hAnsi="Times New Roman" w:eastAsia="仿宋_GB2312"/>
          <w:sz w:val="32"/>
          <w:szCs w:val="32"/>
          <w:lang w:eastAsia="zh-CN"/>
        </w:rPr>
        <w:t>，</w:t>
      </w:r>
      <w:r>
        <w:rPr>
          <w:rFonts w:ascii="Times New Roman" w:hAnsi="Times New Roman" w:eastAsia="仿宋_GB2312"/>
          <w:sz w:val="32"/>
          <w:szCs w:val="32"/>
        </w:rPr>
        <w:t>服务质量不断提升</w:t>
      </w:r>
      <w:r>
        <w:rPr>
          <w:rFonts w:hint="eastAsia" w:ascii="Times New Roman" w:hAnsi="Times New Roman" w:eastAsia="仿宋_GB2312"/>
          <w:sz w:val="32"/>
          <w:szCs w:val="32"/>
          <w:lang w:eastAsia="zh-CN"/>
        </w:rPr>
        <w:t>。</w:t>
      </w:r>
      <w:r>
        <w:rPr>
          <w:rFonts w:ascii="Times New Roman" w:hAnsi="Times New Roman" w:eastAsia="仿宋_GB2312"/>
          <w:sz w:val="32"/>
          <w:szCs w:val="32"/>
        </w:rPr>
        <w:t>让</w:t>
      </w:r>
      <w:r>
        <w:rPr>
          <w:rFonts w:hint="eastAsia" w:ascii="Times New Roman" w:hAnsi="Times New Roman" w:eastAsia="仿宋_GB2312"/>
          <w:sz w:val="32"/>
          <w:szCs w:val="32"/>
          <w:lang w:val="en-US" w:eastAsia="zh-CN"/>
        </w:rPr>
        <w:t>48个</w:t>
      </w:r>
      <w:r>
        <w:rPr>
          <w:rFonts w:ascii="Times New Roman" w:hAnsi="Times New Roman" w:eastAsia="仿宋_GB2312"/>
          <w:sz w:val="32"/>
          <w:szCs w:val="32"/>
        </w:rPr>
        <w:t>服务对象对会计代理服务工作发生了积极转变，从最初的不理解到现在村财工作中所遇到问题首先向会计服务中心进行咨询，代理服务中心赢得了农村组织的信任，代理服务工作得到了服务对象广泛好评，有力推进农村组织财务管理更加规范，对农村社会治理提供极大助力。</w:t>
      </w:r>
    </w:p>
    <w:p>
      <w:pPr>
        <w:numPr>
          <w:ilvl w:val="0"/>
          <w:numId w:val="0"/>
        </w:numPr>
        <w:spacing w:line="570" w:lineRule="exact"/>
        <w:ind w:firstLine="640" w:firstLineChars="200"/>
        <w:jc w:val="left"/>
        <w:rPr>
          <w:rFonts w:hint="eastAsia" w:ascii="黑体" w:hAnsi="黑体" w:eastAsia="黑体" w:cs="黑体"/>
          <w:sz w:val="32"/>
          <w:szCs w:val="32"/>
          <w:lang w:eastAsia="zh-CN"/>
        </w:rPr>
      </w:pPr>
      <w:r>
        <w:rPr>
          <w:rFonts w:hint="eastAsia" w:ascii="黑体" w:hAnsi="黑体" w:eastAsia="黑体" w:cs="黑体"/>
          <w:sz w:val="32"/>
          <w:szCs w:val="32"/>
          <w:lang w:eastAsia="zh-CN"/>
        </w:rPr>
        <w:t>四、问题及建议</w:t>
      </w:r>
    </w:p>
    <w:p>
      <w:pPr>
        <w:numPr>
          <w:ilvl w:val="0"/>
          <w:numId w:val="0"/>
        </w:numPr>
        <w:spacing w:line="570" w:lineRule="exact"/>
        <w:ind w:left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无。</w:t>
      </w:r>
    </w:p>
    <w:p>
      <w:pPr>
        <w:numPr>
          <w:ilvl w:val="0"/>
          <w:numId w:val="0"/>
        </w:numPr>
        <w:spacing w:line="570" w:lineRule="exact"/>
        <w:ind w:leftChars="200"/>
        <w:jc w:val="left"/>
        <w:rPr>
          <w:rFonts w:hint="default" w:ascii="黑体" w:hAnsi="黑体" w:eastAsia="黑体" w:cs="黑体"/>
          <w:sz w:val="32"/>
          <w:szCs w:val="32"/>
          <w:lang w:val="en-US" w:eastAsia="zh-CN"/>
        </w:rPr>
      </w:pPr>
    </w:p>
    <w:p>
      <w:pPr>
        <w:spacing w:line="592" w:lineRule="exact"/>
        <w:jc w:val="left"/>
        <w:rPr>
          <w:rFonts w:hint="eastAsia" w:ascii="Times New Roman" w:hAnsi="Times New Roman" w:eastAsia="仿宋_GB2312"/>
          <w:sz w:val="32"/>
          <w:szCs w:val="32"/>
        </w:rPr>
      </w:pPr>
    </w:p>
    <w:p>
      <w:pPr>
        <w:adjustRightInd w:val="0"/>
        <w:snapToGrid w:val="0"/>
        <w:spacing w:line="580" w:lineRule="exact"/>
        <w:jc w:val="center"/>
        <w:rPr>
          <w:rFonts w:hint="eastAsia" w:ascii="方正小标宋简体" w:hAnsi="宋体" w:eastAsia="方正小标宋简体"/>
          <w:color w:val="000000" w:themeColor="text1"/>
          <w:kern w:val="0"/>
          <w:sz w:val="44"/>
          <w:szCs w:val="44"/>
          <w14:textFill>
            <w14:solidFill>
              <w14:schemeClr w14:val="tx1"/>
            </w14:solidFill>
          </w14:textFill>
        </w:rPr>
      </w:pPr>
    </w:p>
    <w:p>
      <w:pPr>
        <w:pStyle w:val="2"/>
        <w:rPr>
          <w:rFonts w:hint="eastAsia" w:ascii="方正小标宋简体" w:hAnsi="宋体" w:eastAsia="方正小标宋简体"/>
          <w:color w:val="000000" w:themeColor="text1"/>
          <w:kern w:val="0"/>
          <w:sz w:val="44"/>
          <w:szCs w:val="44"/>
          <w14:textFill>
            <w14:solidFill>
              <w14:schemeClr w14:val="tx1"/>
            </w14:solidFill>
          </w14:textFill>
        </w:rPr>
      </w:pPr>
    </w:p>
    <w:p>
      <w:pPr>
        <w:pStyle w:val="3"/>
        <w:rPr>
          <w:rFonts w:hint="eastAsia" w:ascii="方正小标宋简体" w:hAnsi="宋体" w:eastAsia="方正小标宋简体"/>
          <w:color w:val="000000" w:themeColor="text1"/>
          <w:kern w:val="0"/>
          <w:sz w:val="44"/>
          <w:szCs w:val="44"/>
          <w14:textFill>
            <w14:solidFill>
              <w14:schemeClr w14:val="tx1"/>
            </w14:solidFill>
          </w14:textFill>
        </w:rPr>
      </w:pPr>
    </w:p>
    <w:p>
      <w:pPr>
        <w:pStyle w:val="3"/>
        <w:rPr>
          <w:rFonts w:hint="eastAsia" w:ascii="方正小标宋简体" w:hAnsi="宋体" w:eastAsia="方正小标宋简体"/>
          <w:color w:val="000000" w:themeColor="text1"/>
          <w:kern w:val="0"/>
          <w:sz w:val="44"/>
          <w:szCs w:val="44"/>
          <w14:textFill>
            <w14:solidFill>
              <w14:schemeClr w14:val="tx1"/>
            </w14:solidFill>
          </w14:textFill>
        </w:rPr>
      </w:pPr>
    </w:p>
    <w:p>
      <w:pPr>
        <w:pStyle w:val="3"/>
        <w:rPr>
          <w:rFonts w:hint="eastAsia" w:ascii="方正小标宋简体" w:hAnsi="宋体" w:eastAsia="方正小标宋简体"/>
          <w:color w:val="000000" w:themeColor="text1"/>
          <w:kern w:val="0"/>
          <w:sz w:val="44"/>
          <w:szCs w:val="44"/>
          <w14:textFill>
            <w14:solidFill>
              <w14:schemeClr w14:val="tx1"/>
            </w14:solidFill>
          </w14:textFill>
        </w:rPr>
      </w:pPr>
    </w:p>
    <w:p>
      <w:pPr>
        <w:pStyle w:val="3"/>
        <w:rPr>
          <w:rFonts w:hint="eastAsia" w:ascii="方正小标宋简体" w:hAnsi="宋体" w:eastAsia="方正小标宋简体"/>
          <w:color w:val="000000" w:themeColor="text1"/>
          <w:kern w:val="0"/>
          <w:sz w:val="44"/>
          <w:szCs w:val="44"/>
          <w14:textFill>
            <w14:solidFill>
              <w14:schemeClr w14:val="tx1"/>
            </w14:solidFill>
          </w14:textFill>
        </w:rPr>
      </w:pPr>
    </w:p>
    <w:p>
      <w:pPr>
        <w:pStyle w:val="3"/>
        <w:rPr>
          <w:rFonts w:hint="eastAsia" w:ascii="方正小标宋简体" w:hAnsi="宋体" w:eastAsia="方正小标宋简体"/>
          <w:color w:val="000000" w:themeColor="text1"/>
          <w:kern w:val="0"/>
          <w:sz w:val="44"/>
          <w:szCs w:val="44"/>
          <w14:textFill>
            <w14:solidFill>
              <w14:schemeClr w14:val="tx1"/>
            </w14:solidFill>
          </w14:textFill>
        </w:rPr>
      </w:pPr>
    </w:p>
    <w:p>
      <w:pPr>
        <w:pStyle w:val="3"/>
        <w:rPr>
          <w:rFonts w:hint="eastAsia" w:ascii="方正小标宋简体" w:hAnsi="宋体" w:eastAsia="方正小标宋简体"/>
          <w:color w:val="000000" w:themeColor="text1"/>
          <w:kern w:val="0"/>
          <w:sz w:val="44"/>
          <w:szCs w:val="44"/>
          <w14:textFill>
            <w14:solidFill>
              <w14:schemeClr w14:val="tx1"/>
            </w14:solidFill>
          </w14:textFill>
        </w:rPr>
      </w:pPr>
    </w:p>
    <w:p>
      <w:pPr>
        <w:adjustRightInd w:val="0"/>
        <w:snapToGrid w:val="0"/>
        <w:spacing w:line="580" w:lineRule="exact"/>
        <w:jc w:val="both"/>
        <w:rPr>
          <w:rFonts w:ascii="Times New Roman" w:hAnsi="Times New Roman" w:eastAsia="方正小标宋简体"/>
          <w:spacing w:val="-17"/>
          <w:sz w:val="44"/>
          <w:szCs w:val="44"/>
        </w:rPr>
      </w:pPr>
    </w:p>
    <w:p>
      <w:pPr>
        <w:adjustRightInd w:val="0"/>
        <w:snapToGrid w:val="0"/>
        <w:spacing w:line="580" w:lineRule="exact"/>
        <w:jc w:val="center"/>
        <w:rPr>
          <w:rFonts w:ascii="Times New Roman" w:hAnsi="Times New Roman" w:eastAsia="方正小标宋简体"/>
          <w:sz w:val="44"/>
          <w:szCs w:val="44"/>
        </w:rPr>
      </w:pPr>
      <w:r>
        <w:rPr>
          <w:rFonts w:ascii="Times New Roman" w:hAnsi="Times New Roman" w:eastAsia="方正小标宋简体"/>
          <w:spacing w:val="-17"/>
          <w:sz w:val="44"/>
          <w:szCs w:val="44"/>
        </w:rPr>
        <w:t>自贡市自流井区新形供销合作社管理有限公司</w:t>
      </w:r>
      <w:r>
        <w:rPr>
          <w:rFonts w:hint="eastAsia" w:eastAsia="方正小标宋简体"/>
          <w:sz w:val="44"/>
          <w:szCs w:val="44"/>
          <w:lang w:eastAsia="zh-CN"/>
        </w:rPr>
        <w:t>“</w:t>
      </w:r>
      <w:r>
        <w:rPr>
          <w:rFonts w:ascii="Times New Roman" w:hAnsi="Times New Roman" w:eastAsia="方正小标宋简体"/>
          <w:sz w:val="44"/>
          <w:szCs w:val="44"/>
        </w:rPr>
        <w:t>四川供销云服务</w:t>
      </w:r>
      <w:r>
        <w:rPr>
          <w:rFonts w:hint="eastAsia" w:eastAsia="方正小标宋简体"/>
          <w:sz w:val="44"/>
          <w:szCs w:val="44"/>
          <w:lang w:eastAsia="zh-CN"/>
        </w:rPr>
        <w:t>”</w:t>
      </w:r>
      <w:r>
        <w:rPr>
          <w:rFonts w:ascii="Times New Roman" w:hAnsi="Times New Roman" w:eastAsia="方正小标宋简体"/>
          <w:sz w:val="44"/>
          <w:szCs w:val="44"/>
        </w:rPr>
        <w:t>体系建设项目绩效</w:t>
      </w:r>
    </w:p>
    <w:p>
      <w:pPr>
        <w:adjustRightInd w:val="0"/>
        <w:snapToGrid w:val="0"/>
        <w:spacing w:line="580" w:lineRule="exact"/>
        <w:jc w:val="center"/>
        <w:rPr>
          <w:rFonts w:hint="eastAsia" w:ascii="宋体" w:hAnsi="宋体" w:eastAsia="方正小标宋简体"/>
          <w:color w:val="000000" w:themeColor="text1"/>
          <w:sz w:val="32"/>
          <w:szCs w:val="32"/>
          <w:lang w:val="zh-CN" w:eastAsia="zh-CN"/>
          <w14:textFill>
            <w14:solidFill>
              <w14:schemeClr w14:val="tx1"/>
            </w14:solidFill>
          </w14:textFill>
        </w:rPr>
      </w:pPr>
      <w:r>
        <w:rPr>
          <w:rFonts w:hint="eastAsia" w:eastAsia="方正小标宋简体"/>
          <w:sz w:val="44"/>
          <w:szCs w:val="44"/>
          <w:lang w:eastAsia="zh-CN"/>
        </w:rPr>
        <w:t>自评报告</w:t>
      </w:r>
    </w:p>
    <w:p>
      <w:pPr>
        <w:adjustRightInd w:val="0"/>
        <w:snapToGrid w:val="0"/>
        <w:spacing w:line="580" w:lineRule="exact"/>
        <w:ind w:firstLine="720"/>
        <w:rPr>
          <w:rFonts w:hint="eastAsia" w:ascii="黑体" w:hAnsi="宋体" w:eastAsia="黑体"/>
          <w:color w:val="000000" w:themeColor="text1"/>
          <w:sz w:val="32"/>
          <w:szCs w:val="32"/>
          <w14:textFill>
            <w14:solidFill>
              <w14:schemeClr w14:val="tx1"/>
            </w14:solidFill>
          </w14:textFill>
        </w:rPr>
      </w:pPr>
    </w:p>
    <w:p>
      <w:pPr>
        <w:adjustRightInd w:val="0"/>
        <w:snapToGrid w:val="0"/>
        <w:spacing w:line="580" w:lineRule="exact"/>
        <w:ind w:firstLine="720"/>
        <w:rPr>
          <w:rFonts w:ascii="黑体" w:hAnsi="宋体" w:eastAsia="黑体"/>
          <w:color w:val="000000" w:themeColor="text1"/>
          <w:sz w:val="32"/>
          <w:szCs w:val="32"/>
          <w:lang w:val="zh-CN"/>
          <w14:textFill>
            <w14:solidFill>
              <w14:schemeClr w14:val="tx1"/>
            </w14:solidFill>
          </w14:textFill>
        </w:rPr>
      </w:pPr>
      <w:r>
        <w:rPr>
          <w:rFonts w:hint="eastAsia" w:ascii="黑体" w:hAnsi="宋体" w:eastAsia="黑体"/>
          <w:color w:val="000000" w:themeColor="text1"/>
          <w:sz w:val="32"/>
          <w:szCs w:val="32"/>
          <w14:textFill>
            <w14:solidFill>
              <w14:schemeClr w14:val="tx1"/>
            </w14:solidFill>
          </w14:textFill>
        </w:rPr>
        <w:t>一、</w:t>
      </w:r>
      <w:r>
        <w:rPr>
          <w:rFonts w:hint="eastAsia" w:ascii="黑体" w:hAnsi="宋体" w:eastAsia="黑体"/>
          <w:color w:val="000000" w:themeColor="text1"/>
          <w:sz w:val="32"/>
          <w:szCs w:val="32"/>
          <w:lang w:val="zh-CN"/>
          <w14:textFill>
            <w14:solidFill>
              <w14:schemeClr w14:val="tx1"/>
            </w14:solidFill>
          </w14:textFill>
        </w:rPr>
        <w:t>项目概况</w:t>
      </w:r>
    </w:p>
    <w:p>
      <w:pPr>
        <w:adjustRightInd w:val="0"/>
        <w:snapToGrid w:val="0"/>
        <w:spacing w:line="58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（一）项目基本情况</w:t>
      </w:r>
    </w:p>
    <w:p>
      <w:pPr>
        <w:adjustRightInd w:val="0"/>
        <w:snapToGrid w:val="0"/>
        <w:spacing w:line="580" w:lineRule="exact"/>
        <w:ind w:firstLine="720"/>
        <w:rPr>
          <w:rFonts w:ascii="仿宋" w:hAnsi="仿宋" w:eastAsia="仿宋" w:cs="黑体"/>
          <w:bCs/>
          <w:color w:val="auto"/>
          <w:sz w:val="32"/>
          <w:szCs w:val="32"/>
        </w:rPr>
      </w:pPr>
      <w:r>
        <w:rPr>
          <w:rFonts w:hint="eastAsia" w:ascii="仿宋_GB2312" w:eastAsia="仿宋_GB2312" w:cs="仿宋" w:hAnsiTheme="majorEastAsia"/>
          <w:color w:val="auto"/>
          <w:sz w:val="32"/>
          <w:szCs w:val="32"/>
        </w:rPr>
        <w:t>1.项目主管部门(单位)在该项目管理中的职能</w:t>
      </w:r>
    </w:p>
    <w:p>
      <w:pPr>
        <w:adjustRightInd w:val="0"/>
        <w:snapToGrid w:val="0"/>
        <w:spacing w:line="580" w:lineRule="exact"/>
        <w:ind w:firstLine="720"/>
        <w:rPr>
          <w:rFonts w:hint="eastAsia" w:eastAsia="仿宋_GB2312"/>
          <w:color w:val="auto"/>
          <w:sz w:val="32"/>
          <w:szCs w:val="32"/>
          <w:lang w:val="en-US" w:eastAsia="zh-CN"/>
        </w:rPr>
      </w:pPr>
      <w:r>
        <w:rPr>
          <w:rFonts w:hint="eastAsia" w:ascii="Times New Roman" w:hAnsi="Times New Roman" w:eastAsia="仿宋_GB2312"/>
          <w:color w:val="auto"/>
          <w:sz w:val="32"/>
          <w:szCs w:val="32"/>
          <w:lang w:val="en-US" w:eastAsia="zh-CN"/>
        </w:rPr>
        <w:t>2019年6月30日，自流井</w:t>
      </w:r>
      <w:r>
        <w:rPr>
          <w:rFonts w:hint="eastAsia" w:ascii="Times New Roman" w:hAnsi="Times New Roman" w:eastAsia="仿宋_GB2312" w:cs="Times New Roman"/>
          <w:color w:val="auto"/>
          <w:sz w:val="32"/>
          <w:szCs w:val="32"/>
          <w:lang w:val="en-US" w:eastAsia="zh-CN"/>
        </w:rPr>
        <w:t>区供销社制定《关于“四川供销云服务”体系建设实施方案</w:t>
      </w:r>
      <w:r>
        <w:rPr>
          <w:rFonts w:hint="eastAsia" w:ascii="Times New Roman" w:hAnsi="Times New Roman" w:eastAsia="仿宋_GB2312"/>
          <w:color w:val="auto"/>
          <w:sz w:val="32"/>
          <w:szCs w:val="32"/>
          <w:lang w:eastAsia="zh-CN"/>
        </w:rPr>
        <w:t>》上报省、市供销社备案，</w:t>
      </w:r>
      <w:r>
        <w:rPr>
          <w:rFonts w:eastAsia="仿宋_GB2312"/>
          <w:color w:val="auto"/>
          <w:kern w:val="0"/>
          <w:sz w:val="32"/>
          <w:szCs w:val="32"/>
        </w:rPr>
        <w:t>在实施过程中指导下属企业</w:t>
      </w:r>
      <w:r>
        <w:rPr>
          <w:rFonts w:eastAsia="仿宋_GB2312"/>
          <w:color w:val="auto"/>
          <w:sz w:val="32"/>
          <w:szCs w:val="32"/>
        </w:rPr>
        <w:t>自贡市自流井区新形供销合作社管理有限公司（下称新形供销公司）实施项目建设。</w:t>
      </w:r>
      <w:r>
        <w:rPr>
          <w:rFonts w:hint="eastAsia" w:eastAsia="仿宋_GB2312"/>
          <w:color w:val="auto"/>
          <w:sz w:val="32"/>
          <w:szCs w:val="32"/>
          <w:lang w:eastAsia="zh-CN"/>
        </w:rPr>
        <w:t>省供销社后下达项目建设资金</w:t>
      </w:r>
      <w:r>
        <w:rPr>
          <w:rFonts w:hint="eastAsia" w:eastAsia="仿宋_GB2312"/>
          <w:color w:val="auto"/>
          <w:sz w:val="32"/>
          <w:szCs w:val="32"/>
          <w:lang w:val="en-US" w:eastAsia="zh-CN"/>
        </w:rPr>
        <w:t>30万元</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2．项目立项、资金申报的依据</w:t>
      </w:r>
    </w:p>
    <w:p>
      <w:pPr>
        <w:numPr>
          <w:ilvl w:val="0"/>
          <w:numId w:val="0"/>
        </w:numPr>
        <w:ind w:firstLine="640" w:firstLineChars="200"/>
        <w:jc w:val="left"/>
        <w:rPr>
          <w:rFonts w:hint="eastAsia" w:ascii="仿宋_GB2312" w:hAnsi="宋体" w:eastAsia="仿宋_GB2312"/>
          <w:color w:val="FF0000"/>
          <w:sz w:val="32"/>
          <w:szCs w:val="32"/>
          <w:lang w:val="zh-CN"/>
        </w:rPr>
      </w:pPr>
      <w:r>
        <w:rPr>
          <w:rFonts w:hint="eastAsia" w:ascii="仿宋_GB2312" w:hAnsi="仿宋_GB2312" w:eastAsia="仿宋_GB2312" w:cs="仿宋_GB2312"/>
          <w:color w:val="auto"/>
          <w:sz w:val="32"/>
          <w:szCs w:val="32"/>
        </w:rPr>
        <w:t>项目的申请符合（川财建[2019]354</w:t>
      </w:r>
      <w:r>
        <w:rPr>
          <w:rFonts w:hint="eastAsia" w:ascii="仿宋_GB2312" w:hAnsi="仿宋_GB2312" w:eastAsia="仿宋_GB2312" w:cs="仿宋_GB2312"/>
          <w:sz w:val="32"/>
          <w:szCs w:val="32"/>
        </w:rPr>
        <w:t>号）《四川省财政厅、四川省供销合作联合社关于印发&lt;省级供销综合改革及发展专项资金管理办法&gt;的通知》以及川供财[2019]91号《关于做好2019年省级供销综合改革及发展专项资金使用管理办法的通知》。即使用互联网信息技术为地方政府及部门提供“三资”监管、会计监督、项目资金管理、经济数据统计分析等服务。</w:t>
      </w:r>
    </w:p>
    <w:p>
      <w:pPr>
        <w:adjustRightInd w:val="0"/>
        <w:snapToGrid w:val="0"/>
        <w:spacing w:line="580" w:lineRule="exact"/>
        <w:ind w:firstLine="720"/>
        <w:rPr>
          <w:rFonts w:ascii="仿宋_GB2312" w:hAnsi="宋体" w:eastAsia="仿宋_GB2312"/>
          <w:color w:val="000000" w:themeColor="text1"/>
          <w:sz w:val="32"/>
          <w:szCs w:val="32"/>
          <w:lang w:val="zh-CN"/>
          <w14:textFill>
            <w14:solidFill>
              <w14:schemeClr w14:val="tx1"/>
            </w14:solidFill>
          </w14:textFill>
        </w:rPr>
      </w:pPr>
      <w:r>
        <w:rPr>
          <w:rFonts w:hint="eastAsia" w:ascii="仿宋_GB2312" w:hAnsi="宋体" w:eastAsia="仿宋_GB2312"/>
          <w:color w:val="000000" w:themeColor="text1"/>
          <w:sz w:val="32"/>
          <w:szCs w:val="32"/>
          <w:lang w:val="zh-CN"/>
          <w14:textFill>
            <w14:solidFill>
              <w14:schemeClr w14:val="tx1"/>
            </w14:solidFill>
          </w14:textFill>
        </w:rPr>
        <w:t>3．资金管理办法制定情况，资金支持具体项目的条件、范围与支持方式概况</w:t>
      </w:r>
    </w:p>
    <w:p>
      <w:pPr>
        <w:widowControl/>
        <w:shd w:val="clear" w:color="auto" w:fill="FFFFFF"/>
        <w:adjustRightInd w:val="0"/>
        <w:snapToGrid w:val="0"/>
        <w:spacing w:line="570" w:lineRule="exact"/>
        <w:ind w:firstLine="640" w:firstLineChars="200"/>
        <w:jc w:val="left"/>
        <w:rPr>
          <w:rFonts w:ascii="Times New Roman" w:hAnsi="Times New Roman" w:eastAsia="楷体_GB2312"/>
          <w:sz w:val="32"/>
          <w:szCs w:val="32"/>
        </w:rPr>
      </w:pPr>
      <w:r>
        <w:rPr>
          <w:rFonts w:hint="eastAsia" w:ascii="Times New Roman" w:hAnsi="Times New Roman" w:eastAsia="仿宋_GB2312"/>
          <w:sz w:val="32"/>
          <w:szCs w:val="32"/>
          <w:lang w:eastAsia="zh-CN"/>
        </w:rPr>
        <w:t>“供销云服务”体系建设项目</w:t>
      </w:r>
      <w:r>
        <w:rPr>
          <w:rFonts w:eastAsia="仿宋_GB2312"/>
          <w:color w:val="000000"/>
          <w:sz w:val="32"/>
          <w:szCs w:val="32"/>
        </w:rPr>
        <w:t>建立了“四川供销云服务”体系建设项目资金使用管理办法。成立了项目资金使用管理部门。项目资金实行了专账核算，财务处理及时规范。</w:t>
      </w:r>
    </w:p>
    <w:p>
      <w:pPr>
        <w:adjustRightInd w:val="0"/>
        <w:snapToGrid w:val="0"/>
        <w:spacing w:line="580" w:lineRule="exact"/>
        <w:ind w:firstLine="720"/>
        <w:rPr>
          <w:rFonts w:ascii="楷体_GB2312" w:hAnsi="宋体" w:eastAsia="楷体_GB2312"/>
          <w:b/>
          <w:color w:val="000000" w:themeColor="text1"/>
          <w:sz w:val="32"/>
          <w:szCs w:val="32"/>
          <w:lang w:val="zh-CN"/>
          <w14:textFill>
            <w14:solidFill>
              <w14:schemeClr w14:val="tx1"/>
            </w14:solidFill>
          </w14:textFill>
        </w:rPr>
      </w:pPr>
      <w:r>
        <w:rPr>
          <w:rFonts w:hint="eastAsia" w:ascii="楷体_GB2312" w:hAnsi="宋体" w:eastAsia="楷体_GB2312"/>
          <w:b/>
          <w:color w:val="000000" w:themeColor="text1"/>
          <w:sz w:val="32"/>
          <w:szCs w:val="32"/>
          <w:lang w:val="zh-CN"/>
          <w14:textFill>
            <w14:solidFill>
              <w14:schemeClr w14:val="tx1"/>
            </w14:solidFill>
          </w14:textFill>
        </w:rPr>
        <w:t>（二）项目绩效目标</w:t>
      </w:r>
    </w:p>
    <w:p>
      <w:pPr>
        <w:adjustRightInd w:val="0"/>
        <w:snapToGrid w:val="0"/>
        <w:spacing w:line="580" w:lineRule="exact"/>
        <w:ind w:firstLine="720"/>
        <w:rPr>
          <w:rFonts w:hint="eastAsia" w:ascii="仿宋_GB2312" w:hAnsi="宋体" w:eastAsia="仿宋_GB2312"/>
          <w:color w:val="000000" w:themeColor="text1"/>
          <w:sz w:val="32"/>
          <w:szCs w:val="32"/>
          <w:lang w:val="zh-CN"/>
          <w14:textFill>
            <w14:solidFill>
              <w14:schemeClr w14:val="tx1"/>
            </w14:solidFill>
          </w14:textFill>
        </w:rPr>
      </w:pPr>
      <w:r>
        <w:rPr>
          <w:rFonts w:hint="eastAsia" w:ascii="仿宋_GB2312" w:hAnsi="宋体" w:eastAsia="仿宋_GB2312"/>
          <w:color w:val="000000" w:themeColor="text1"/>
          <w:sz w:val="32"/>
          <w:szCs w:val="32"/>
          <w:lang w:val="zh-CN"/>
          <w14:textFill>
            <w14:solidFill>
              <w14:schemeClr w14:val="tx1"/>
            </w14:solidFill>
          </w14:textFill>
        </w:rPr>
        <w:t>1．项目主要内容</w:t>
      </w:r>
    </w:p>
    <w:p>
      <w:pPr>
        <w:spacing w:line="592" w:lineRule="exact"/>
        <w:ind w:firstLine="640" w:firstLineChars="200"/>
        <w:jc w:val="left"/>
        <w:rPr>
          <w:rFonts w:ascii="Times New Roman" w:hAnsi="Times New Roman" w:eastAsia="仿宋_GB2312"/>
          <w:sz w:val="32"/>
          <w:szCs w:val="32"/>
        </w:rPr>
      </w:pPr>
      <w:r>
        <w:rPr>
          <w:rFonts w:ascii="Times New Roman" w:hAnsi="Times New Roman" w:eastAsia="仿宋_GB2312"/>
          <w:sz w:val="32"/>
          <w:szCs w:val="32"/>
        </w:rPr>
        <w:t>项目建设计划起止时间为201</w:t>
      </w:r>
      <w:r>
        <w:rPr>
          <w:rFonts w:hint="eastAsia" w:ascii="Times New Roman" w:hAnsi="Times New Roman" w:eastAsia="仿宋_GB2312"/>
          <w:sz w:val="32"/>
          <w:szCs w:val="32"/>
          <w:lang w:val="en-US" w:eastAsia="zh-CN"/>
        </w:rPr>
        <w:t>9</w:t>
      </w:r>
      <w:r>
        <w:rPr>
          <w:rFonts w:ascii="Times New Roman" w:hAnsi="Times New Roman" w:eastAsia="仿宋_GB2312"/>
          <w:sz w:val="32"/>
          <w:szCs w:val="32"/>
        </w:rPr>
        <w:t>年</w:t>
      </w:r>
      <w:r>
        <w:rPr>
          <w:rFonts w:hint="eastAsia" w:ascii="Times New Roman" w:hAnsi="Times New Roman" w:eastAsia="仿宋_GB2312"/>
          <w:sz w:val="32"/>
          <w:szCs w:val="32"/>
          <w:lang w:val="en-US" w:eastAsia="zh-CN"/>
        </w:rPr>
        <w:t>3</w:t>
      </w:r>
      <w:r>
        <w:rPr>
          <w:rFonts w:ascii="Times New Roman" w:hAnsi="Times New Roman" w:eastAsia="仿宋_GB2312"/>
          <w:sz w:val="32"/>
          <w:szCs w:val="32"/>
        </w:rPr>
        <w:t>月至20</w:t>
      </w:r>
      <w:r>
        <w:rPr>
          <w:rFonts w:hint="eastAsia" w:ascii="Times New Roman" w:hAnsi="Times New Roman" w:eastAsia="仿宋_GB2312"/>
          <w:sz w:val="32"/>
          <w:szCs w:val="32"/>
          <w:lang w:val="en-US" w:eastAsia="zh-CN"/>
        </w:rPr>
        <w:t>20</w:t>
      </w:r>
      <w:r>
        <w:rPr>
          <w:rFonts w:ascii="Times New Roman" w:hAnsi="Times New Roman" w:eastAsia="仿宋_GB2312"/>
          <w:sz w:val="32"/>
          <w:szCs w:val="32"/>
        </w:rPr>
        <w:t>年</w:t>
      </w:r>
      <w:r>
        <w:rPr>
          <w:rFonts w:hint="eastAsia" w:ascii="Times New Roman" w:hAnsi="Times New Roman" w:eastAsia="仿宋_GB2312"/>
          <w:sz w:val="32"/>
          <w:szCs w:val="32"/>
          <w:lang w:val="en-US" w:eastAsia="zh-CN"/>
        </w:rPr>
        <w:t>3</w:t>
      </w:r>
      <w:r>
        <w:rPr>
          <w:rFonts w:ascii="Times New Roman" w:hAnsi="Times New Roman" w:eastAsia="仿宋_GB2312"/>
          <w:sz w:val="32"/>
          <w:szCs w:val="32"/>
        </w:rPr>
        <w:t>月，主要建设内容为：</w:t>
      </w:r>
    </w:p>
    <w:p>
      <w:pPr>
        <w:widowControl/>
        <w:shd w:val="clear" w:color="auto" w:fill="FFFFFF"/>
        <w:spacing w:line="592" w:lineRule="exact"/>
        <w:ind w:firstLine="643" w:firstLineChars="200"/>
        <w:jc w:val="left"/>
        <w:rPr>
          <w:rFonts w:hint="eastAsia" w:ascii="仿宋_GB2312" w:eastAsia="仿宋_GB2312"/>
          <w:color w:val="000000"/>
          <w:sz w:val="32"/>
          <w:szCs w:val="32"/>
        </w:rPr>
      </w:pPr>
      <w:r>
        <w:rPr>
          <w:rFonts w:hint="eastAsia" w:ascii="仿宋_GB2312" w:eastAsia="仿宋_GB2312"/>
          <w:b/>
          <w:color w:val="000000"/>
          <w:sz w:val="32"/>
          <w:szCs w:val="32"/>
        </w:rPr>
        <w:t>1、提升改造现有代理服务中心。</w:t>
      </w:r>
      <w:r>
        <w:rPr>
          <w:rFonts w:hint="eastAsia" w:ascii="仿宋_GB2312" w:eastAsia="仿宋_GB2312"/>
          <w:color w:val="000000"/>
          <w:sz w:val="32"/>
          <w:szCs w:val="32"/>
        </w:rPr>
        <w:t>在现有的服务中心的基础上，整合新形供销公司房屋资源，实施改造扩建最终形成不低于60平米的专业、统一、规范的服务场所，完善内部规章制度。建立和完善代账记账管理制度、岗位职责和业务流程等相关制度，并制作悬挂上墙，在经营场所内外悬挂和使用“中国供销合作社”、“四川供销云服务”等标识标牌，统一服务中心形象,树立服务中心品牌。</w:t>
      </w:r>
    </w:p>
    <w:p>
      <w:pPr>
        <w:widowControl/>
        <w:shd w:val="clear" w:color="auto" w:fill="FFFFFF"/>
        <w:spacing w:line="592" w:lineRule="exact"/>
        <w:ind w:firstLine="643" w:firstLineChars="200"/>
        <w:jc w:val="left"/>
        <w:rPr>
          <w:rFonts w:hint="eastAsia" w:ascii="仿宋_GB2312" w:eastAsia="仿宋_GB2312"/>
          <w:color w:val="000000"/>
          <w:sz w:val="32"/>
          <w:szCs w:val="32"/>
        </w:rPr>
      </w:pPr>
      <w:r>
        <w:rPr>
          <w:rFonts w:hint="eastAsia" w:ascii="仿宋_GB2312" w:eastAsia="仿宋_GB2312"/>
          <w:b/>
          <w:color w:val="000000"/>
          <w:sz w:val="32"/>
          <w:szCs w:val="32"/>
        </w:rPr>
        <w:t>2、改造基础设施。</w:t>
      </w:r>
      <w:r>
        <w:rPr>
          <w:rFonts w:hint="eastAsia" w:ascii="仿宋_GB2312" w:eastAsia="仿宋_GB2312"/>
          <w:color w:val="000000"/>
          <w:sz w:val="32"/>
          <w:szCs w:val="32"/>
        </w:rPr>
        <w:t>根据需求，配备和升级服务设施,搭建现代化、信息化服务平台, 与四川供销云科技有限责任公司积极对接签订合作协议，使用其提供的统一的业务平台，专业会计服务软件及设备，建设区域性服务资源数据库。配备会计代理服务所需电脑4台，保障工作运行。</w:t>
      </w:r>
    </w:p>
    <w:p>
      <w:pPr>
        <w:widowControl/>
        <w:shd w:val="clear" w:color="auto" w:fill="FFFFFF"/>
        <w:spacing w:line="592" w:lineRule="exact"/>
        <w:ind w:firstLine="643" w:firstLineChars="200"/>
        <w:jc w:val="left"/>
        <w:rPr>
          <w:rFonts w:hint="eastAsia" w:ascii="仿宋_GB2312" w:eastAsia="仿宋_GB2312"/>
          <w:color w:val="000000"/>
          <w:sz w:val="32"/>
          <w:szCs w:val="32"/>
        </w:rPr>
      </w:pPr>
      <w:r>
        <w:rPr>
          <w:rFonts w:hint="eastAsia" w:ascii="仿宋_GB2312" w:eastAsia="仿宋_GB2312"/>
          <w:b/>
          <w:color w:val="000000"/>
          <w:sz w:val="32"/>
          <w:szCs w:val="32"/>
        </w:rPr>
        <w:t>3、引进人才，加大培训。</w:t>
      </w:r>
      <w:r>
        <w:rPr>
          <w:rFonts w:hint="eastAsia" w:ascii="仿宋_GB2312" w:eastAsia="仿宋_GB2312"/>
          <w:color w:val="000000"/>
          <w:sz w:val="32"/>
          <w:szCs w:val="32"/>
        </w:rPr>
        <w:t>在现有人员基础上，新增引进2名专业人才拓展代理记账服务及其他业务，确保代理服务中心具有中级及以上职称从业人员1人以上，同时加大对服务中心人员的培训力度,每半年不低于1次/人的频次组织代理服务中心人员参加专业技术培训，提升服务所需的入力资源素质,为拓展服务功能提供支撑。</w:t>
      </w:r>
    </w:p>
    <w:p>
      <w:pPr>
        <w:widowControl/>
        <w:shd w:val="clear" w:color="auto" w:fill="FFFFFF"/>
        <w:spacing w:line="592" w:lineRule="exact"/>
        <w:ind w:firstLine="643" w:firstLineChars="200"/>
        <w:jc w:val="left"/>
        <w:rPr>
          <w:rFonts w:hint="eastAsia" w:ascii="仿宋_GB2312" w:eastAsia="仿宋_GB2312"/>
          <w:color w:val="000000"/>
          <w:sz w:val="32"/>
          <w:szCs w:val="32"/>
        </w:rPr>
      </w:pPr>
      <w:r>
        <w:rPr>
          <w:rFonts w:hint="eastAsia" w:ascii="仿宋_GB2312" w:eastAsia="仿宋_GB2312"/>
          <w:b/>
          <w:color w:val="000000"/>
          <w:sz w:val="32"/>
          <w:szCs w:val="32"/>
        </w:rPr>
        <w:t>4、建设乡镇业务网点。</w:t>
      </w:r>
      <w:r>
        <w:rPr>
          <w:rFonts w:hint="eastAsia" w:ascii="仿宋_GB2312" w:eastAsia="仿宋_GB2312"/>
          <w:color w:val="000000"/>
          <w:sz w:val="32"/>
          <w:szCs w:val="32"/>
        </w:rPr>
        <w:t>依托供销社乡镇分公司，在区内各乡镇建设乡镇业务网点5个，实现与乡镇分公司合署办公，拉近与各类新型经营主体的距离,靠前服务、贴地服务,使用移动办公等信息化工具采集服务数据,推动服务的及时性和实时化。</w:t>
      </w:r>
    </w:p>
    <w:p>
      <w:pPr>
        <w:adjustRightInd w:val="0"/>
        <w:snapToGrid w:val="0"/>
        <w:spacing w:line="580" w:lineRule="exact"/>
        <w:ind w:firstLine="720"/>
        <w:rPr>
          <w:rFonts w:ascii="仿宋_GB2312" w:hAnsi="宋体" w:eastAsia="仿宋_GB2312"/>
          <w:color w:val="FF0000"/>
          <w:sz w:val="32"/>
          <w:szCs w:val="32"/>
          <w:lang w:val="zh-CN"/>
        </w:rPr>
      </w:pPr>
      <w:r>
        <w:rPr>
          <w:rFonts w:hint="eastAsia" w:ascii="仿宋_GB2312" w:hAnsi="宋体" w:eastAsia="仿宋_GB2312"/>
          <w:color w:val="auto"/>
          <w:sz w:val="32"/>
          <w:szCs w:val="32"/>
          <w:lang w:val="zh-CN"/>
        </w:rPr>
        <w:t>2．项目应实现的具体绩效目标</w:t>
      </w:r>
    </w:p>
    <w:p>
      <w:pPr>
        <w:widowControl/>
        <w:shd w:val="clear" w:color="auto" w:fill="FFFFFF"/>
        <w:spacing w:line="592" w:lineRule="exact"/>
        <w:ind w:firstLine="640" w:firstLineChars="200"/>
        <w:jc w:val="left"/>
        <w:rPr>
          <w:rFonts w:hint="eastAsia"/>
          <w:lang w:val="en-US" w:eastAsia="zh-CN"/>
        </w:rPr>
      </w:pPr>
      <w:r>
        <w:rPr>
          <w:rFonts w:hint="eastAsia" w:ascii="仿宋_GB2312" w:eastAsia="仿宋_GB2312"/>
          <w:color w:val="000000"/>
          <w:sz w:val="32"/>
          <w:szCs w:val="32"/>
        </w:rPr>
        <w:t>积极承接区内47个村级组织会计代理服务，拓展农村集体经济组织、农民专合社、家庭农场等新型经营主体代理服务50户以上，积极使用“供销云财务服务”系统为客户提供会计核算服务，同时延伸业务培训、项目咨询、工商税务代办等综合性业务。在辖区内选取5个试点村集体经济组织、专合社或家庭农场开展财政项目专项资金核算服务试点，提供财政项目专项资金核算服务，核算总量不低于100万元。</w:t>
      </w:r>
    </w:p>
    <w:p>
      <w:pPr>
        <w:numPr>
          <w:ilvl w:val="0"/>
          <w:numId w:val="0"/>
        </w:numPr>
        <w:ind w:firstLine="640" w:firstLineChars="200"/>
        <w:jc w:val="left"/>
        <w:rPr>
          <w:rFonts w:hint="eastAsia" w:ascii="仿宋_GB2312" w:hAnsi="仿宋_GB2312" w:eastAsia="仿宋_GB2312" w:cs="仿宋_GB2312"/>
          <w:sz w:val="32"/>
          <w:szCs w:val="32"/>
        </w:rPr>
      </w:pPr>
      <w:r>
        <w:rPr>
          <w:rFonts w:hint="eastAsia" w:ascii="仿宋_GB2312" w:hAnsi="宋体" w:eastAsia="仿宋_GB2312"/>
          <w:color w:val="000000" w:themeColor="text1"/>
          <w:sz w:val="32"/>
          <w:szCs w:val="32"/>
          <w:lang w:val="zh-CN"/>
          <w14:textFill>
            <w14:solidFill>
              <w14:schemeClr w14:val="tx1"/>
            </w14:solidFill>
          </w14:textFill>
        </w:rPr>
        <w:t>3．</w:t>
      </w:r>
      <w:r>
        <w:rPr>
          <w:rFonts w:hint="eastAsia" w:ascii="仿宋_GB2312" w:hAnsi="仿宋_GB2312" w:eastAsia="仿宋_GB2312" w:cs="仿宋_GB2312"/>
          <w:sz w:val="32"/>
          <w:szCs w:val="32"/>
        </w:rPr>
        <w:t>项目的申请符合（川财建[2019]354号）《四川省财政厅、四川省供销合作联合社关于印发&lt;省级供销综合改革及发展专项资金管理办法&gt;的通知》以及川供财[2019]91号《关于做好2019年省级供销综合改革及发展专项资金使用管理办法的通知》。即使用互联网信息技术为地方政府及部门提供“三资”监管、会计监督、项目资金管理、经济数据统计分析等服务。</w:t>
      </w:r>
    </w:p>
    <w:p>
      <w:pPr>
        <w:adjustRightInd w:val="0"/>
        <w:snapToGrid w:val="0"/>
        <w:spacing w:line="580" w:lineRule="exact"/>
        <w:ind w:firstLine="720"/>
        <w:rPr>
          <w:rFonts w:ascii="楷体_GB2312" w:hAnsi="宋体" w:eastAsia="楷体_GB2312"/>
          <w:b/>
          <w:color w:val="000000" w:themeColor="text1"/>
          <w:sz w:val="32"/>
          <w:szCs w:val="32"/>
          <w:lang w:val="zh-CN"/>
          <w14:textFill>
            <w14:solidFill>
              <w14:schemeClr w14:val="tx1"/>
            </w14:solidFill>
          </w14:textFill>
        </w:rPr>
      </w:pPr>
      <w:r>
        <w:rPr>
          <w:rFonts w:hint="eastAsia" w:ascii="楷体_GB2312" w:hAnsi="宋体" w:eastAsia="楷体_GB2312"/>
          <w:b/>
          <w:color w:val="000000" w:themeColor="text1"/>
          <w:sz w:val="32"/>
          <w:szCs w:val="32"/>
          <w:lang w:val="zh-CN"/>
          <w14:textFill>
            <w14:solidFill>
              <w14:schemeClr w14:val="tx1"/>
            </w14:solidFill>
          </w14:textFill>
        </w:rPr>
        <w:t>（三）项目自评步骤及方法</w:t>
      </w:r>
    </w:p>
    <w:p>
      <w:pPr>
        <w:adjustRightInd w:val="0"/>
        <w:snapToGrid w:val="0"/>
        <w:spacing w:line="580" w:lineRule="exact"/>
        <w:ind w:firstLine="720"/>
        <w:rPr>
          <w:rFonts w:ascii="仿宋_GB2312" w:hAnsi="宋体" w:eastAsia="仿宋_GB2312"/>
          <w:color w:val="000000" w:themeColor="text1"/>
          <w:sz w:val="32"/>
          <w:szCs w:val="32"/>
          <w:lang w:val="zh-CN"/>
          <w14:textFill>
            <w14:solidFill>
              <w14:schemeClr w14:val="tx1"/>
            </w14:solidFill>
          </w14:textFill>
        </w:rPr>
      </w:pPr>
      <w:r>
        <w:rPr>
          <w:rFonts w:hint="eastAsia" w:ascii="仿宋_GB2312" w:hAnsi="宋体" w:eastAsia="仿宋_GB2312"/>
          <w:color w:val="000000" w:themeColor="text1"/>
          <w:sz w:val="32"/>
          <w:szCs w:val="32"/>
          <w:lang w:val="zh-CN"/>
          <w14:textFill>
            <w14:solidFill>
              <w14:schemeClr w14:val="tx1"/>
            </w14:solidFill>
          </w14:textFill>
        </w:rPr>
        <w:t>组织各部门通过数量质量指标、社会效益指标、受援群众满意度等各方面进行综合分析自评。</w:t>
      </w:r>
    </w:p>
    <w:p>
      <w:pPr>
        <w:adjustRightInd w:val="0"/>
        <w:snapToGrid w:val="0"/>
        <w:spacing w:line="580" w:lineRule="exact"/>
        <w:ind w:firstLine="720"/>
        <w:rPr>
          <w:rFonts w:ascii="黑体" w:hAnsi="宋体" w:eastAsia="黑体"/>
          <w:color w:val="000000" w:themeColor="text1"/>
          <w:sz w:val="32"/>
          <w:szCs w:val="32"/>
          <w14:textFill>
            <w14:solidFill>
              <w14:schemeClr w14:val="tx1"/>
            </w14:solidFill>
          </w14:textFill>
        </w:rPr>
      </w:pPr>
      <w:r>
        <w:rPr>
          <w:rFonts w:hint="eastAsia" w:ascii="黑体" w:hAnsi="宋体" w:eastAsia="黑体"/>
          <w:color w:val="000000" w:themeColor="text1"/>
          <w:sz w:val="32"/>
          <w:szCs w:val="32"/>
          <w14:textFill>
            <w14:solidFill>
              <w14:schemeClr w14:val="tx1"/>
            </w14:solidFill>
          </w14:textFill>
        </w:rPr>
        <w:t>二、项目资金申报及使用情况</w:t>
      </w:r>
    </w:p>
    <w:p>
      <w:pPr>
        <w:adjustRightInd w:val="0"/>
        <w:snapToGrid w:val="0"/>
        <w:spacing w:line="580" w:lineRule="exact"/>
        <w:ind w:firstLine="720"/>
        <w:rPr>
          <w:rFonts w:ascii="楷体_GB2312" w:hAnsi="宋体" w:eastAsia="楷体_GB2312"/>
          <w:b/>
          <w:color w:val="000000" w:themeColor="text1"/>
          <w:sz w:val="32"/>
          <w:szCs w:val="32"/>
          <w:lang w:val="zh-CN"/>
          <w14:textFill>
            <w14:solidFill>
              <w14:schemeClr w14:val="tx1"/>
            </w14:solidFill>
          </w14:textFill>
        </w:rPr>
      </w:pPr>
      <w:r>
        <w:rPr>
          <w:rFonts w:hint="eastAsia" w:ascii="楷体_GB2312" w:hAnsi="宋体" w:eastAsia="楷体_GB2312"/>
          <w:b/>
          <w:color w:val="000000" w:themeColor="text1"/>
          <w:sz w:val="32"/>
          <w:szCs w:val="32"/>
          <w:lang w:val="zh-CN"/>
          <w14:textFill>
            <w14:solidFill>
              <w14:schemeClr w14:val="tx1"/>
            </w14:solidFill>
          </w14:textFill>
        </w:rPr>
        <w:t>（一）项目资金申报及批复情况</w:t>
      </w:r>
    </w:p>
    <w:p>
      <w:pPr>
        <w:ind w:firstLine="640" w:firstLineChars="200"/>
        <w:jc w:val="left"/>
        <w:rPr>
          <w:rFonts w:hint="eastAsia" w:ascii="Times New Roman" w:hAnsi="Times New Roman" w:eastAsia="仿宋_GB2312"/>
          <w:sz w:val="32"/>
          <w:szCs w:val="32"/>
          <w:lang w:eastAsia="zh-CN"/>
        </w:rPr>
      </w:pPr>
      <w:r>
        <w:rPr>
          <w:rFonts w:ascii="Times New Roman" w:hAnsi="Times New Roman" w:eastAsia="仿宋_GB2312"/>
          <w:sz w:val="32"/>
          <w:szCs w:val="32"/>
        </w:rPr>
        <w:t>本项目采取先建后补形式，截至项目建设完成，</w:t>
      </w:r>
      <w:r>
        <w:rPr>
          <w:rFonts w:hint="eastAsia" w:ascii="Times New Roman" w:hAnsi="Times New Roman" w:eastAsia="仿宋_GB2312"/>
          <w:sz w:val="32"/>
          <w:szCs w:val="32"/>
        </w:rPr>
        <w:t>计划使用资金</w:t>
      </w:r>
      <w:r>
        <w:rPr>
          <w:rFonts w:hint="eastAsia" w:ascii="Times New Roman" w:hAnsi="Times New Roman" w:eastAsia="仿宋_GB2312" w:cs="Times New Roman"/>
          <w:sz w:val="32"/>
          <w:szCs w:val="32"/>
        </w:rPr>
        <w:t>352200</w:t>
      </w:r>
      <w:r>
        <w:rPr>
          <w:rFonts w:hint="eastAsia" w:ascii="Times New Roman" w:hAnsi="Times New Roman" w:eastAsia="仿宋_GB2312"/>
          <w:sz w:val="32"/>
          <w:szCs w:val="32"/>
        </w:rPr>
        <w:t>元，</w:t>
      </w:r>
      <w:r>
        <w:rPr>
          <w:rFonts w:hint="eastAsia" w:ascii="Times New Roman" w:hAnsi="Times New Roman" w:eastAsia="仿宋_GB2312"/>
          <w:sz w:val="32"/>
          <w:szCs w:val="32"/>
          <w:lang w:eastAsia="zh-CN"/>
        </w:rPr>
        <w:t>省下支持资金</w:t>
      </w:r>
      <w:r>
        <w:rPr>
          <w:rFonts w:hint="eastAsia" w:ascii="Times New Roman" w:hAnsi="Times New Roman" w:eastAsia="仿宋_GB2312"/>
          <w:sz w:val="32"/>
          <w:szCs w:val="32"/>
          <w:lang w:val="en-US" w:eastAsia="zh-CN"/>
        </w:rPr>
        <w:t>30万元</w:t>
      </w:r>
      <w:r>
        <w:rPr>
          <w:rFonts w:hint="eastAsia" w:ascii="Times New Roman" w:hAnsi="Times New Roman" w:eastAsia="仿宋_GB2312"/>
          <w:sz w:val="32"/>
          <w:szCs w:val="32"/>
          <w:lang w:eastAsia="zh-CN"/>
        </w:rPr>
        <w:t>已全部到位并用于“供销云服务”体系建设。</w:t>
      </w:r>
    </w:p>
    <w:p>
      <w:pPr>
        <w:adjustRightInd w:val="0"/>
        <w:snapToGrid w:val="0"/>
        <w:spacing w:line="580" w:lineRule="exact"/>
        <w:ind w:firstLine="720"/>
        <w:rPr>
          <w:rFonts w:ascii="仿宋_GB2312" w:hAnsi="宋体" w:eastAsia="仿宋_GB2312"/>
          <w:color w:val="000000" w:themeColor="text1"/>
          <w:sz w:val="32"/>
          <w:szCs w:val="32"/>
          <w:lang w:val="zh-CN"/>
          <w14:textFill>
            <w14:solidFill>
              <w14:schemeClr w14:val="tx1"/>
            </w14:solidFill>
          </w14:textFill>
        </w:rPr>
      </w:pPr>
      <w:r>
        <w:rPr>
          <w:rFonts w:hint="eastAsia" w:ascii="楷体_GB2312" w:hAnsi="宋体" w:eastAsia="楷体_GB2312"/>
          <w:b/>
          <w:color w:val="000000" w:themeColor="text1"/>
          <w:sz w:val="32"/>
          <w:szCs w:val="32"/>
          <w:lang w:val="zh-CN"/>
          <w14:textFill>
            <w14:solidFill>
              <w14:schemeClr w14:val="tx1"/>
            </w14:solidFill>
          </w14:textFill>
        </w:rPr>
        <w:t>（二）资金计划、到位及使用情况（可用表格形式反映）</w:t>
      </w:r>
    </w:p>
    <w:p>
      <w:pPr>
        <w:ind w:firstLine="640" w:firstLineChars="200"/>
        <w:jc w:val="left"/>
        <w:rPr>
          <w:rFonts w:hint="eastAsia" w:ascii="Times New Roman" w:hAnsi="Times New Roman" w:eastAsia="仿宋_GB2312"/>
          <w:sz w:val="32"/>
          <w:szCs w:val="32"/>
          <w:lang w:eastAsia="zh-CN"/>
        </w:rPr>
      </w:pPr>
      <w:r>
        <w:rPr>
          <w:rFonts w:hint="eastAsia" w:ascii="仿宋_GB2312" w:hAnsi="仿宋_GB2312" w:eastAsia="仿宋_GB2312" w:cs="仿宋_GB2312"/>
          <w:color w:val="000000" w:themeColor="text1"/>
          <w:sz w:val="32"/>
          <w:szCs w:val="32"/>
          <w14:textFill>
            <w14:solidFill>
              <w14:schemeClr w14:val="tx1"/>
            </w14:solidFill>
          </w14:textFill>
        </w:rPr>
        <w:t>1.资金计划。20</w:t>
      </w:r>
      <w:r>
        <w:rPr>
          <w:rFonts w:hint="eastAsia" w:ascii="仿宋_GB2312" w:hAnsi="仿宋_GB2312" w:cs="仿宋_GB2312"/>
          <w:color w:val="000000" w:themeColor="text1"/>
          <w:sz w:val="32"/>
          <w:szCs w:val="32"/>
          <w:lang w:val="en-US" w:eastAsia="zh-CN"/>
          <w14:textFill>
            <w14:solidFill>
              <w14:schemeClr w14:val="tx1"/>
            </w14:solidFill>
          </w14:textFill>
        </w:rPr>
        <w:t>20</w:t>
      </w:r>
      <w:r>
        <w:rPr>
          <w:rFonts w:hint="eastAsia" w:ascii="仿宋_GB2312" w:hAnsi="仿宋_GB2312" w:eastAsia="仿宋_GB2312" w:cs="仿宋_GB2312"/>
          <w:color w:val="000000" w:themeColor="text1"/>
          <w:sz w:val="32"/>
          <w:szCs w:val="32"/>
          <w14:textFill>
            <w14:solidFill>
              <w14:schemeClr w14:val="tx1"/>
            </w14:solidFill>
          </w14:textFill>
        </w:rPr>
        <w:t>年度</w:t>
      </w:r>
      <w:r>
        <w:rPr>
          <w:rFonts w:ascii="Times New Roman" w:hAnsi="Times New Roman" w:eastAsia="仿宋_GB2312"/>
          <w:sz w:val="32"/>
          <w:szCs w:val="32"/>
        </w:rPr>
        <w:t>本项目采取先建后补形式，截至项目建设完成，</w:t>
      </w:r>
      <w:r>
        <w:rPr>
          <w:rFonts w:hint="eastAsia" w:ascii="Times New Roman" w:hAnsi="Times New Roman" w:eastAsia="仿宋_GB2312"/>
          <w:sz w:val="32"/>
          <w:szCs w:val="32"/>
        </w:rPr>
        <w:t>计划使用资金</w:t>
      </w:r>
      <w:r>
        <w:rPr>
          <w:rFonts w:hint="eastAsia" w:ascii="Times New Roman" w:hAnsi="Times New Roman" w:eastAsia="仿宋_GB2312" w:cs="Times New Roman"/>
          <w:sz w:val="32"/>
          <w:szCs w:val="32"/>
        </w:rPr>
        <w:t>352200</w:t>
      </w:r>
      <w:r>
        <w:rPr>
          <w:rFonts w:hint="eastAsia" w:ascii="Times New Roman" w:hAnsi="Times New Roman" w:eastAsia="仿宋_GB2312"/>
          <w:sz w:val="32"/>
          <w:szCs w:val="32"/>
        </w:rPr>
        <w:t>元，</w:t>
      </w:r>
      <w:r>
        <w:rPr>
          <w:rFonts w:hint="eastAsia" w:ascii="Times New Roman" w:hAnsi="Times New Roman" w:eastAsia="仿宋_GB2312"/>
          <w:sz w:val="32"/>
          <w:szCs w:val="32"/>
          <w:lang w:eastAsia="zh-CN"/>
        </w:rPr>
        <w:t>省下支持资金</w:t>
      </w:r>
      <w:r>
        <w:rPr>
          <w:rFonts w:hint="eastAsia" w:ascii="Times New Roman" w:hAnsi="Times New Roman" w:eastAsia="仿宋_GB2312"/>
          <w:sz w:val="32"/>
          <w:szCs w:val="32"/>
          <w:lang w:val="en-US" w:eastAsia="zh-CN"/>
        </w:rPr>
        <w:t>30万元</w:t>
      </w:r>
      <w:r>
        <w:rPr>
          <w:rFonts w:hint="eastAsia" w:ascii="Times New Roman" w:hAnsi="Times New Roman" w:eastAsia="仿宋_GB2312"/>
          <w:sz w:val="32"/>
          <w:szCs w:val="32"/>
          <w:lang w:eastAsia="zh-CN"/>
        </w:rPr>
        <w:t>已全部到位并用于“供销云服务”体系建设。</w:t>
      </w:r>
    </w:p>
    <w:p>
      <w:pPr>
        <w:adjustRightInd w:val="0"/>
        <w:snapToGrid w:val="0"/>
        <w:spacing w:line="580" w:lineRule="exact"/>
        <w:ind w:firstLine="72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2.资金到位。20</w:t>
      </w:r>
      <w:r>
        <w:rPr>
          <w:rFonts w:hint="eastAsia" w:ascii="仿宋_GB2312" w:hAnsi="仿宋_GB2312" w:cs="仿宋_GB2312"/>
          <w:color w:val="000000" w:themeColor="text1"/>
          <w:sz w:val="32"/>
          <w:szCs w:val="32"/>
          <w:lang w:val="en-US" w:eastAsia="zh-CN"/>
          <w14:textFill>
            <w14:solidFill>
              <w14:schemeClr w14:val="tx1"/>
            </w14:solidFill>
          </w14:textFill>
        </w:rPr>
        <w:t>20</w:t>
      </w:r>
      <w:r>
        <w:rPr>
          <w:rFonts w:hint="eastAsia" w:ascii="仿宋_GB2312" w:hAnsi="仿宋_GB2312" w:eastAsia="仿宋_GB2312" w:cs="仿宋_GB2312"/>
          <w:color w:val="000000" w:themeColor="text1"/>
          <w:sz w:val="32"/>
          <w:szCs w:val="32"/>
          <w14:textFill>
            <w14:solidFill>
              <w14:schemeClr w14:val="tx1"/>
            </w14:solidFill>
          </w14:textFill>
        </w:rPr>
        <w:t>年度供销社综合体制改革项目</w:t>
      </w:r>
      <w:r>
        <w:rPr>
          <w:rFonts w:hint="eastAsia" w:ascii="Times New Roman" w:hAnsi="Times New Roman" w:eastAsia="仿宋_GB2312"/>
          <w:sz w:val="32"/>
          <w:szCs w:val="32"/>
          <w:lang w:eastAsia="zh-CN"/>
        </w:rPr>
        <w:t>“供销云服务”体系建设</w:t>
      </w:r>
      <w:r>
        <w:rPr>
          <w:rFonts w:hint="eastAsia" w:ascii="仿宋_GB2312" w:hAnsi="仿宋_GB2312" w:eastAsia="仿宋_GB2312" w:cs="仿宋_GB2312"/>
          <w:color w:val="000000" w:themeColor="text1"/>
          <w:sz w:val="32"/>
          <w:szCs w:val="32"/>
          <w14:textFill>
            <w14:solidFill>
              <w14:schemeClr w14:val="tx1"/>
            </w14:solidFill>
          </w14:textFill>
        </w:rPr>
        <w:t>资金到位</w:t>
      </w:r>
      <w:r>
        <w:rPr>
          <w:rFonts w:hint="eastAsia" w:ascii="仿宋_GB2312" w:hAnsi="仿宋_GB2312" w:cs="仿宋_GB2312"/>
          <w:color w:val="000000" w:themeColor="text1"/>
          <w:sz w:val="32"/>
          <w:szCs w:val="32"/>
          <w:lang w:val="en-US" w:eastAsia="zh-CN"/>
          <w14:textFill>
            <w14:solidFill>
              <w14:schemeClr w14:val="tx1"/>
            </w14:solidFill>
          </w14:textFill>
        </w:rPr>
        <w:t>30</w:t>
      </w:r>
      <w:r>
        <w:rPr>
          <w:rFonts w:hint="eastAsia" w:ascii="仿宋_GB2312" w:hAnsi="仿宋_GB2312" w:eastAsia="仿宋_GB2312" w:cs="仿宋_GB2312"/>
          <w:color w:val="000000" w:themeColor="text1"/>
          <w:sz w:val="32"/>
          <w:szCs w:val="32"/>
          <w14:textFill>
            <w14:solidFill>
              <w14:schemeClr w14:val="tx1"/>
            </w14:solidFill>
          </w14:textFill>
        </w:rPr>
        <w:t>万元。</w:t>
      </w:r>
    </w:p>
    <w:p>
      <w:pPr>
        <w:adjustRightInd w:val="0"/>
        <w:snapToGrid w:val="0"/>
        <w:spacing w:line="570" w:lineRule="exact"/>
        <w:ind w:firstLine="640" w:firstLineChars="200"/>
        <w:jc w:val="both"/>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3.资金使用。</w:t>
      </w:r>
      <w:r>
        <w:rPr>
          <w:rFonts w:hint="eastAsia" w:ascii="Times New Roman" w:hAnsi="Times New Roman" w:eastAsia="仿宋_GB2312" w:cs="Times New Roman"/>
          <w:sz w:val="32"/>
          <w:szCs w:val="32"/>
        </w:rPr>
        <w:t>2019年3月至2020年3月项目资金共支出333580.06元，其中人才引进及保障支出243924.49元、培训费4800元、设备及耗材27917.20元、办公经费6938.37元。资金开支全部用于会计中心“供销云服务”项目建设且开支合规合法。资金支付与预算支出基本相符，项目预算资金费用为352200元，实际支付283580.06元，加上供销云系统服务费50000元，合计支出333580.06元。</w:t>
      </w:r>
      <w:r>
        <w:rPr>
          <w:rFonts w:ascii="Times New Roman" w:hAnsi="Times New Roman" w:eastAsia="仿宋_GB2312"/>
          <w:sz w:val="32"/>
          <w:szCs w:val="32"/>
        </w:rPr>
        <w:t>资金开支全部用于会计中心“供销云服务”项目建设且开支合规合法。资金支付与预算支出基本相符。</w:t>
      </w:r>
    </w:p>
    <w:p>
      <w:pPr>
        <w:adjustRightInd w:val="0"/>
        <w:snapToGrid w:val="0"/>
        <w:spacing w:line="580" w:lineRule="exact"/>
        <w:ind w:firstLine="720"/>
        <w:rPr>
          <w:rFonts w:ascii="楷体_GB2312" w:hAnsi="宋体" w:eastAsia="楷体_GB2312"/>
          <w:b/>
          <w:color w:val="000000" w:themeColor="text1"/>
          <w:sz w:val="32"/>
          <w:szCs w:val="32"/>
          <w:lang w:val="zh-CN"/>
          <w14:textFill>
            <w14:solidFill>
              <w14:schemeClr w14:val="tx1"/>
            </w14:solidFill>
          </w14:textFill>
        </w:rPr>
      </w:pPr>
      <w:r>
        <w:rPr>
          <w:rFonts w:hint="eastAsia" w:ascii="楷体_GB2312" w:hAnsi="宋体" w:eastAsia="楷体_GB2312"/>
          <w:b/>
          <w:color w:val="000000" w:themeColor="text1"/>
          <w:sz w:val="32"/>
          <w:szCs w:val="32"/>
          <w:lang w:val="zh-CN"/>
          <w14:textFill>
            <w14:solidFill>
              <w14:schemeClr w14:val="tx1"/>
            </w14:solidFill>
          </w14:textFill>
        </w:rPr>
        <w:t>（三）项目财务管理情况</w:t>
      </w:r>
    </w:p>
    <w:p>
      <w:pPr>
        <w:widowControl/>
        <w:shd w:val="clear" w:color="auto" w:fill="FFFFFF"/>
        <w:adjustRightInd w:val="0"/>
        <w:snapToGrid w:val="0"/>
        <w:spacing w:line="570" w:lineRule="exact"/>
        <w:ind w:firstLine="640" w:firstLineChars="200"/>
        <w:jc w:val="left"/>
        <w:rPr>
          <w:rFonts w:ascii="Times New Roman" w:hAnsi="Times New Roman" w:eastAsia="楷体_GB2312"/>
          <w:sz w:val="32"/>
          <w:szCs w:val="32"/>
        </w:rPr>
      </w:pPr>
      <w:r>
        <w:rPr>
          <w:rFonts w:hint="eastAsia" w:ascii="Times New Roman" w:hAnsi="Times New Roman" w:eastAsia="仿宋_GB2312"/>
          <w:sz w:val="32"/>
          <w:szCs w:val="32"/>
          <w:lang w:eastAsia="zh-CN"/>
        </w:rPr>
        <w:t>“供销云服务”体系建设项目</w:t>
      </w:r>
      <w:r>
        <w:rPr>
          <w:rFonts w:eastAsia="仿宋_GB2312"/>
          <w:color w:val="000000"/>
          <w:sz w:val="32"/>
          <w:szCs w:val="32"/>
        </w:rPr>
        <w:t>建立了“四川供销云服务”体系建设项目资金使用管理办法。成立了项目资金使用管理部门。项目资金实行了专账核算，财务处理及时规范。</w:t>
      </w:r>
    </w:p>
    <w:p>
      <w:pPr>
        <w:adjustRightInd w:val="0"/>
        <w:snapToGrid w:val="0"/>
        <w:spacing w:line="580" w:lineRule="exact"/>
        <w:ind w:firstLine="720"/>
        <w:rPr>
          <w:rFonts w:ascii="黑体" w:hAnsi="宋体" w:eastAsia="黑体"/>
          <w:color w:val="000000" w:themeColor="text1"/>
          <w:sz w:val="32"/>
          <w:szCs w:val="32"/>
          <w14:textFill>
            <w14:solidFill>
              <w14:schemeClr w14:val="tx1"/>
            </w14:solidFill>
          </w14:textFill>
        </w:rPr>
      </w:pPr>
      <w:r>
        <w:rPr>
          <w:rFonts w:hint="eastAsia" w:ascii="黑体" w:hAnsi="宋体" w:eastAsia="黑体"/>
          <w:color w:val="000000" w:themeColor="text1"/>
          <w:sz w:val="32"/>
          <w:szCs w:val="32"/>
          <w14:textFill>
            <w14:solidFill>
              <w14:schemeClr w14:val="tx1"/>
            </w14:solidFill>
          </w14:textFill>
        </w:rPr>
        <w:t>三、项目实施及管理情况</w:t>
      </w:r>
    </w:p>
    <w:p>
      <w:pPr>
        <w:ind w:firstLine="640" w:firstLineChars="200"/>
        <w:jc w:val="left"/>
        <w:rPr>
          <w:rFonts w:ascii="Times New Roman" w:hAnsi="Times New Roman" w:eastAsia="楷体_GB2312"/>
          <w:sz w:val="32"/>
          <w:szCs w:val="32"/>
        </w:rPr>
      </w:pPr>
      <w:r>
        <w:rPr>
          <w:rFonts w:ascii="Times New Roman" w:hAnsi="Times New Roman" w:eastAsia="仿宋_GB2312"/>
          <w:sz w:val="32"/>
          <w:szCs w:val="32"/>
        </w:rPr>
        <w:t>建立“四川供销云服务”体系建设项目资金使用管理办法。成立以自流井区新形供销合作社管理有限公司总经理为项目负责人，财务负责人为项目监督人的项目实施领导小组，会计服务中心依照项目资金使用管理办法负责项目的具体实施，财务室负责对项目资金使用情况进行监督。对项目资金实行专账核算，财务处理及时规范。</w:t>
      </w:r>
    </w:p>
    <w:p>
      <w:pPr>
        <w:adjustRightInd w:val="0"/>
        <w:snapToGrid w:val="0"/>
        <w:spacing w:line="580" w:lineRule="exact"/>
        <w:ind w:firstLine="720"/>
        <w:rPr>
          <w:rFonts w:ascii="仿宋_GB2312" w:hAnsi="宋体" w:eastAsia="仿宋_GB2312"/>
          <w:color w:val="000000" w:themeColor="text1"/>
          <w:sz w:val="32"/>
          <w:szCs w:val="32"/>
          <w:lang w:val="zh-CN"/>
          <w14:textFill>
            <w14:solidFill>
              <w14:schemeClr w14:val="tx1"/>
            </w14:solidFill>
          </w14:textFill>
        </w:rPr>
      </w:pPr>
      <w:r>
        <w:rPr>
          <w:rFonts w:hint="eastAsia" w:ascii="黑体" w:hAnsi="宋体" w:eastAsia="黑体"/>
          <w:color w:val="000000" w:themeColor="text1"/>
          <w:sz w:val="32"/>
          <w:szCs w:val="32"/>
          <w14:textFill>
            <w14:solidFill>
              <w14:schemeClr w14:val="tx1"/>
            </w14:solidFill>
          </w14:textFill>
        </w:rPr>
        <w:t>四、项目绩效情况</w:t>
      </w:r>
      <w:r>
        <w:rPr>
          <w:rFonts w:hint="eastAsia" w:ascii="仿宋_GB2312" w:hAnsi="宋体" w:eastAsia="仿宋_GB2312"/>
          <w:color w:val="000000" w:themeColor="text1"/>
          <w:sz w:val="32"/>
          <w:szCs w:val="32"/>
          <w:lang w:val="zh-CN"/>
          <w14:textFill>
            <w14:solidFill>
              <w14:schemeClr w14:val="tx1"/>
            </w14:solidFill>
          </w14:textFill>
        </w:rPr>
        <w:tab/>
      </w:r>
    </w:p>
    <w:p>
      <w:pPr>
        <w:adjustRightInd w:val="0"/>
        <w:snapToGrid w:val="0"/>
        <w:spacing w:line="580" w:lineRule="exact"/>
        <w:ind w:firstLine="720"/>
        <w:rPr>
          <w:rFonts w:ascii="楷体_GB2312" w:hAnsi="宋体" w:eastAsia="楷体_GB2312"/>
          <w:b/>
          <w:color w:val="000000" w:themeColor="text1"/>
          <w:sz w:val="32"/>
          <w:szCs w:val="32"/>
          <w:lang w:val="zh-CN"/>
          <w14:textFill>
            <w14:solidFill>
              <w14:schemeClr w14:val="tx1"/>
            </w14:solidFill>
          </w14:textFill>
        </w:rPr>
      </w:pPr>
      <w:r>
        <w:rPr>
          <w:rFonts w:hint="eastAsia" w:ascii="楷体_GB2312" w:hAnsi="宋体" w:eastAsia="楷体_GB2312"/>
          <w:b/>
          <w:color w:val="000000" w:themeColor="text1"/>
          <w:sz w:val="32"/>
          <w:szCs w:val="32"/>
          <w:lang w:val="zh-CN"/>
          <w14:textFill>
            <w14:solidFill>
              <w14:schemeClr w14:val="tx1"/>
            </w14:solidFill>
          </w14:textFill>
        </w:rPr>
        <w:t>（一）项目完成情况</w:t>
      </w:r>
    </w:p>
    <w:p>
      <w:pPr>
        <w:numPr>
          <w:ilvl w:val="0"/>
          <w:numId w:val="0"/>
        </w:numPr>
        <w:ind w:firstLine="640" w:firstLineChars="200"/>
        <w:jc w:val="left"/>
        <w:rPr>
          <w:rFonts w:ascii="Times New Roman" w:hAnsi="Times New Roman" w:eastAsia="仿宋_GB2312"/>
          <w:sz w:val="32"/>
          <w:szCs w:val="32"/>
        </w:rPr>
      </w:pPr>
      <w:r>
        <w:rPr>
          <w:rFonts w:ascii="Times New Roman" w:hAnsi="Times New Roman" w:eastAsia="仿宋_GB2312"/>
          <w:sz w:val="32"/>
          <w:szCs w:val="32"/>
        </w:rPr>
        <w:t>项目建设计划起止时间为2019年3月至2020年3月，主要建设内容为：</w:t>
      </w:r>
    </w:p>
    <w:p>
      <w:pPr>
        <w:adjustRightInd w:val="0"/>
        <w:snapToGrid w:val="0"/>
        <w:spacing w:line="570" w:lineRule="exact"/>
        <w:ind w:left="640"/>
        <w:jc w:val="left"/>
        <w:rPr>
          <w:rFonts w:eastAsia="仿宋_GB2312"/>
          <w:sz w:val="32"/>
          <w:szCs w:val="32"/>
        </w:rPr>
      </w:pPr>
      <w:r>
        <w:rPr>
          <w:rFonts w:eastAsia="仿宋_GB2312"/>
          <w:sz w:val="32"/>
          <w:szCs w:val="32"/>
        </w:rPr>
        <w:t>1.已建成一个80平米的专业、统一、规范的服务场所，</w:t>
      </w:r>
    </w:p>
    <w:p>
      <w:pPr>
        <w:adjustRightInd w:val="0"/>
        <w:snapToGrid w:val="0"/>
        <w:spacing w:line="570" w:lineRule="exact"/>
        <w:jc w:val="left"/>
        <w:rPr>
          <w:rFonts w:eastAsia="仿宋_GB2312"/>
          <w:sz w:val="32"/>
          <w:szCs w:val="32"/>
        </w:rPr>
      </w:pPr>
      <w:r>
        <w:rPr>
          <w:rFonts w:eastAsia="仿宋_GB2312"/>
          <w:sz w:val="32"/>
          <w:szCs w:val="32"/>
        </w:rPr>
        <w:t>在经营场所内悬挂带有“中国供销合作社”、“四川供销云服务”标志牌一个，配备专用电脑设备3台。</w:t>
      </w:r>
    </w:p>
    <w:p>
      <w:pPr>
        <w:adjustRightInd w:val="0"/>
        <w:snapToGrid w:val="0"/>
        <w:spacing w:line="570" w:lineRule="exact"/>
        <w:ind w:left="640"/>
        <w:jc w:val="left"/>
        <w:rPr>
          <w:rFonts w:eastAsia="仿宋_GB2312"/>
          <w:sz w:val="32"/>
          <w:szCs w:val="32"/>
        </w:rPr>
      </w:pPr>
      <w:r>
        <w:rPr>
          <w:rFonts w:eastAsia="仿宋_GB2312"/>
          <w:sz w:val="32"/>
          <w:szCs w:val="32"/>
        </w:rPr>
        <w:t>2.依托四川供销云科技有限责任公司“供销云服务”</w:t>
      </w:r>
    </w:p>
    <w:p>
      <w:pPr>
        <w:adjustRightInd w:val="0"/>
        <w:snapToGrid w:val="0"/>
        <w:spacing w:line="570" w:lineRule="exact"/>
        <w:jc w:val="left"/>
        <w:rPr>
          <w:rFonts w:eastAsia="仿宋_GB2312"/>
          <w:sz w:val="32"/>
          <w:szCs w:val="32"/>
        </w:rPr>
      </w:pPr>
      <w:r>
        <w:rPr>
          <w:rFonts w:eastAsia="仿宋_GB2312"/>
          <w:sz w:val="32"/>
          <w:szCs w:val="32"/>
        </w:rPr>
        <w:t>体系建立了自流井区农村集体组织会计核算标准体系，该体系于2020年1月正式启用。目前已将自流井区47家村社集体经济组织账务纳入“供销云服务”体系进行核算，运行情况良好。</w:t>
      </w:r>
    </w:p>
    <w:p>
      <w:pPr>
        <w:adjustRightInd w:val="0"/>
        <w:snapToGrid w:val="0"/>
        <w:spacing w:line="570" w:lineRule="exact"/>
        <w:ind w:firstLine="640" w:firstLineChars="200"/>
        <w:jc w:val="left"/>
        <w:rPr>
          <w:rFonts w:eastAsia="仿宋_GB2312"/>
          <w:sz w:val="32"/>
          <w:szCs w:val="32"/>
        </w:rPr>
      </w:pPr>
      <w:r>
        <w:rPr>
          <w:rFonts w:eastAsia="仿宋_GB2312"/>
          <w:sz w:val="32"/>
          <w:szCs w:val="32"/>
        </w:rPr>
        <w:t>3.引进专业人员2人，并已经参加“供销云服务”体系业务培训，已能熟练使用供销云系统工具。</w:t>
      </w:r>
    </w:p>
    <w:p>
      <w:pPr>
        <w:widowControl/>
        <w:shd w:val="clear" w:color="auto" w:fill="FFFFFF"/>
        <w:adjustRightInd w:val="0"/>
        <w:snapToGrid w:val="0"/>
        <w:spacing w:line="570" w:lineRule="exact"/>
        <w:ind w:firstLine="640" w:firstLineChars="200"/>
        <w:jc w:val="left"/>
        <w:rPr>
          <w:rFonts w:eastAsia="仿宋_GB2312"/>
          <w:color w:val="000000"/>
          <w:sz w:val="32"/>
          <w:szCs w:val="32"/>
        </w:rPr>
      </w:pPr>
      <w:r>
        <w:rPr>
          <w:rFonts w:eastAsia="仿宋_GB2312"/>
          <w:color w:val="000000"/>
          <w:sz w:val="32"/>
          <w:szCs w:val="32"/>
        </w:rPr>
        <w:t>4.建设乡镇业务网点4个。在舒坪</w:t>
      </w:r>
      <w:r>
        <w:rPr>
          <w:rFonts w:hint="eastAsia" w:eastAsia="仿宋_GB2312"/>
          <w:color w:val="000000"/>
          <w:sz w:val="32"/>
          <w:szCs w:val="32"/>
        </w:rPr>
        <w:t>街道</w:t>
      </w:r>
      <w:r>
        <w:rPr>
          <w:rFonts w:eastAsia="仿宋_GB2312"/>
          <w:color w:val="000000"/>
          <w:sz w:val="32"/>
          <w:szCs w:val="32"/>
        </w:rPr>
        <w:t>、仲权</w:t>
      </w:r>
      <w:r>
        <w:rPr>
          <w:rFonts w:hint="eastAsia" w:eastAsia="仿宋_GB2312"/>
          <w:color w:val="000000"/>
          <w:sz w:val="32"/>
          <w:szCs w:val="32"/>
        </w:rPr>
        <w:t>镇</w:t>
      </w:r>
      <w:r>
        <w:rPr>
          <w:rFonts w:eastAsia="仿宋_GB2312"/>
          <w:color w:val="000000"/>
          <w:sz w:val="32"/>
          <w:szCs w:val="32"/>
        </w:rPr>
        <w:t>、荣边</w:t>
      </w:r>
      <w:r>
        <w:rPr>
          <w:rFonts w:hint="eastAsia" w:eastAsia="仿宋_GB2312"/>
          <w:color w:val="000000"/>
          <w:sz w:val="32"/>
          <w:szCs w:val="32"/>
        </w:rPr>
        <w:t>镇、飞龙峡镇</w:t>
      </w:r>
      <w:r>
        <w:rPr>
          <w:rFonts w:eastAsia="仿宋_GB2312"/>
          <w:color w:val="000000"/>
          <w:sz w:val="32"/>
          <w:szCs w:val="32"/>
        </w:rPr>
        <w:t>建设乡镇业务网点4个，提供“便民化”服务,拉近与各类新型经营主体的距离,靠前服务、贴地服务。</w:t>
      </w:r>
    </w:p>
    <w:p>
      <w:pPr>
        <w:widowControl/>
        <w:shd w:val="clear" w:color="auto" w:fill="FFFFFF"/>
        <w:adjustRightInd w:val="0"/>
        <w:snapToGrid w:val="0"/>
        <w:spacing w:line="570" w:lineRule="exact"/>
        <w:ind w:firstLine="640" w:firstLineChars="200"/>
        <w:jc w:val="left"/>
        <w:rPr>
          <w:rFonts w:eastAsia="仿宋_GB2312"/>
          <w:color w:val="000000"/>
          <w:sz w:val="32"/>
          <w:szCs w:val="32"/>
        </w:rPr>
      </w:pPr>
      <w:r>
        <w:rPr>
          <w:rFonts w:eastAsia="仿宋_GB2312"/>
          <w:color w:val="000000"/>
          <w:sz w:val="32"/>
          <w:szCs w:val="32"/>
        </w:rPr>
        <w:t>5.积极开展技术培训。开展技术培训8次，培训人员100余人次，强化服务对象使用信息化工具的能力和水平,为服务便捷化提供支持。</w:t>
      </w:r>
    </w:p>
    <w:p>
      <w:pPr>
        <w:widowControl/>
        <w:shd w:val="clear" w:color="auto" w:fill="FFFFFF"/>
        <w:adjustRightInd w:val="0"/>
        <w:snapToGrid w:val="0"/>
        <w:spacing w:line="570" w:lineRule="exact"/>
        <w:ind w:firstLine="640" w:firstLineChars="200"/>
        <w:jc w:val="left"/>
        <w:rPr>
          <w:rFonts w:eastAsia="仿宋_GB2312"/>
          <w:color w:val="000000"/>
          <w:sz w:val="32"/>
          <w:szCs w:val="32"/>
        </w:rPr>
      </w:pPr>
      <w:r>
        <w:rPr>
          <w:rFonts w:eastAsia="仿宋_GB2312"/>
          <w:color w:val="000000"/>
          <w:sz w:val="32"/>
          <w:szCs w:val="32"/>
        </w:rPr>
        <w:t>6.完善内部规章制度。建立代账记账管理制度、岗位职责和业务流程，完善相关制度，并已制作悬挂上墙。</w:t>
      </w:r>
    </w:p>
    <w:p>
      <w:pPr>
        <w:widowControl/>
        <w:shd w:val="clear" w:color="auto" w:fill="FFFFFF"/>
        <w:adjustRightInd w:val="0"/>
        <w:snapToGrid w:val="0"/>
        <w:spacing w:line="570" w:lineRule="exact"/>
        <w:ind w:firstLine="640" w:firstLineChars="200"/>
        <w:jc w:val="left"/>
        <w:rPr>
          <w:rFonts w:eastAsia="仿宋_GB2312"/>
          <w:color w:val="000000"/>
          <w:sz w:val="32"/>
          <w:szCs w:val="32"/>
        </w:rPr>
      </w:pPr>
      <w:r>
        <w:rPr>
          <w:rFonts w:eastAsia="仿宋_GB2312"/>
          <w:color w:val="000000"/>
          <w:sz w:val="32"/>
          <w:szCs w:val="32"/>
        </w:rPr>
        <w:t>7.合理确定服务价格。听取服务对象意见建议，根据实际情况，仔细研讨，已经确定各项服务价格，确保服务价格低于市场平均价格，明码标价，公开公示。</w:t>
      </w:r>
    </w:p>
    <w:p>
      <w:pPr>
        <w:widowControl/>
        <w:shd w:val="clear" w:color="auto" w:fill="FFFFFF"/>
        <w:adjustRightInd w:val="0"/>
        <w:snapToGrid w:val="0"/>
        <w:spacing w:line="570" w:lineRule="exact"/>
        <w:ind w:firstLine="640" w:firstLineChars="200"/>
        <w:jc w:val="left"/>
        <w:rPr>
          <w:rFonts w:hint="default"/>
          <w:lang w:val="en-US" w:eastAsia="zh-CN"/>
        </w:rPr>
      </w:pPr>
      <w:r>
        <w:rPr>
          <w:rFonts w:eastAsia="仿宋_GB2312"/>
          <w:color w:val="000000"/>
          <w:sz w:val="32"/>
          <w:szCs w:val="32"/>
        </w:rPr>
        <w:t>8.完善档案保管制度。在现有档案保管制度的基础上，汲取其他地方先进经验，进一步完善档案保管制度，确保档案保存安全、规范。</w:t>
      </w:r>
    </w:p>
    <w:p>
      <w:pPr>
        <w:adjustRightInd w:val="0"/>
        <w:snapToGrid w:val="0"/>
        <w:spacing w:line="580" w:lineRule="exact"/>
        <w:ind w:firstLine="720"/>
        <w:rPr>
          <w:rFonts w:ascii="楷体_GB2312" w:hAnsi="宋体" w:eastAsia="楷体_GB2312"/>
          <w:b/>
          <w:color w:val="000000" w:themeColor="text1"/>
          <w:sz w:val="32"/>
          <w:szCs w:val="32"/>
          <w:lang w:val="zh-CN"/>
          <w14:textFill>
            <w14:solidFill>
              <w14:schemeClr w14:val="tx1"/>
            </w14:solidFill>
          </w14:textFill>
        </w:rPr>
      </w:pPr>
      <w:r>
        <w:rPr>
          <w:rFonts w:hint="eastAsia" w:ascii="楷体_GB2312" w:hAnsi="宋体" w:eastAsia="楷体_GB2312"/>
          <w:b/>
          <w:color w:val="000000" w:themeColor="text1"/>
          <w:sz w:val="32"/>
          <w:szCs w:val="32"/>
          <w:lang w:val="zh-CN"/>
          <w14:textFill>
            <w14:solidFill>
              <w14:schemeClr w14:val="tx1"/>
            </w14:solidFill>
          </w14:textFill>
        </w:rPr>
        <w:t>（二）项目效益情况</w:t>
      </w:r>
    </w:p>
    <w:p>
      <w:pPr>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lang w:eastAsia="zh-CN"/>
        </w:rPr>
        <w:t>社会效益。</w:t>
      </w:r>
      <w:r>
        <w:rPr>
          <w:rFonts w:ascii="Times New Roman" w:hAnsi="Times New Roman" w:eastAsia="仿宋_GB2312"/>
          <w:sz w:val="32"/>
          <w:szCs w:val="32"/>
        </w:rPr>
        <w:t>“供销云服务”体系项目利用互联网技术可以开展大规模代理记账服务，具有广阔的市场前景；该体系可以跨区域及组织进行数据的采集分析，有利于相关部门适时掌握数据，为相关部门提供决策分析数据，具有资源整合效益。自流井区会计服务中心在运用供销云服务体系服务村集体财务工作中，利用系统强大处理数据及分析统计功能力及时发现各村社在财务工作中所暴露出的问题，并及时予以纠正。减少了各种不合规的开支，标准化体系的建立使得会计核算更为规范、财务数据更为真实，极大提高了村财工作效率。对各村进行政策宣讲及财务知识的培训解提高了各村对财务工作的思想意识，从最初的不理解到表现为各村在村财工作中所遇到问题首先向会计服务中心进行咨询，会计服务中心赢得了各村的信任及广泛好评。下一步区会计服务中心将拓展为</w:t>
      </w:r>
      <w:r>
        <w:rPr>
          <w:rFonts w:ascii="Times New Roman" w:hAnsi="Times New Roman" w:eastAsia="仿宋_GB2312"/>
          <w:color w:val="000000"/>
          <w:sz w:val="32"/>
          <w:szCs w:val="32"/>
        </w:rPr>
        <w:t>农民专业合作社、农业产业企业、家庭农场、基层供销社、社区综合服务社等市场主体提供会计、咨询等各项服务，解决基层农业主体各项问题，</w:t>
      </w:r>
      <w:r>
        <w:rPr>
          <w:rFonts w:ascii="Times New Roman" w:hAnsi="Times New Roman" w:eastAsia="仿宋_GB2312"/>
          <w:sz w:val="32"/>
          <w:szCs w:val="32"/>
        </w:rPr>
        <w:t>“供销云服务”体系的建立具有良好的社会效益。</w:t>
      </w:r>
    </w:p>
    <w:p>
      <w:pPr>
        <w:ind w:firstLine="640" w:firstLineChars="200"/>
        <w:jc w:val="left"/>
        <w:rPr>
          <w:rFonts w:ascii="Times New Roman" w:hAnsi="Times New Roman" w:eastAsia="仿宋_GB2312"/>
          <w:sz w:val="32"/>
          <w:szCs w:val="32"/>
        </w:rPr>
      </w:pPr>
      <w:r>
        <w:rPr>
          <w:rFonts w:hint="eastAsia" w:ascii="仿宋_GB2312" w:hAnsi="仿宋_GB2312" w:eastAsia="仿宋_GB2312" w:cs="仿宋_GB2312"/>
          <w:sz w:val="32"/>
          <w:szCs w:val="32"/>
          <w:lang w:eastAsia="zh-CN"/>
        </w:rPr>
        <w:t>经济效益。</w:t>
      </w:r>
      <w:r>
        <w:rPr>
          <w:rFonts w:ascii="Times New Roman" w:hAnsi="Times New Roman" w:eastAsia="仿宋_GB2312"/>
          <w:sz w:val="32"/>
          <w:szCs w:val="32"/>
        </w:rPr>
        <w:t>项目建设完成，实现经济收入20万元/年。</w:t>
      </w:r>
    </w:p>
    <w:p>
      <w:pPr>
        <w:adjustRightInd w:val="0"/>
        <w:snapToGrid w:val="0"/>
        <w:spacing w:line="580" w:lineRule="exact"/>
        <w:ind w:firstLine="720"/>
        <w:rPr>
          <w:rFonts w:ascii="黑体" w:hAnsi="宋体" w:eastAsia="黑体"/>
          <w:color w:val="000000" w:themeColor="text1"/>
          <w:sz w:val="32"/>
          <w:szCs w:val="32"/>
          <w14:textFill>
            <w14:solidFill>
              <w14:schemeClr w14:val="tx1"/>
            </w14:solidFill>
          </w14:textFill>
        </w:rPr>
      </w:pPr>
      <w:r>
        <w:rPr>
          <w:rFonts w:hint="eastAsia" w:ascii="黑体" w:hAnsi="宋体" w:eastAsia="黑体"/>
          <w:color w:val="000000" w:themeColor="text1"/>
          <w:sz w:val="32"/>
          <w:szCs w:val="32"/>
          <w14:textFill>
            <w14:solidFill>
              <w14:schemeClr w14:val="tx1"/>
            </w14:solidFill>
          </w14:textFill>
        </w:rPr>
        <w:t>五、评价结论及建议</w:t>
      </w:r>
    </w:p>
    <w:p>
      <w:pPr>
        <w:adjustRightInd w:val="0"/>
        <w:snapToGrid w:val="0"/>
        <w:spacing w:line="580" w:lineRule="exact"/>
        <w:ind w:firstLine="720"/>
        <w:rPr>
          <w:rFonts w:ascii="楷体_GB2312" w:hAnsi="宋体" w:eastAsia="楷体_GB2312"/>
          <w:b/>
          <w:color w:val="000000" w:themeColor="text1"/>
          <w:sz w:val="32"/>
          <w:szCs w:val="32"/>
          <w:lang w:val="zh-CN"/>
          <w14:textFill>
            <w14:solidFill>
              <w14:schemeClr w14:val="tx1"/>
            </w14:solidFill>
          </w14:textFill>
        </w:rPr>
      </w:pPr>
      <w:r>
        <w:rPr>
          <w:rFonts w:hint="eastAsia" w:ascii="楷体_GB2312" w:hAnsi="宋体" w:eastAsia="楷体_GB2312"/>
          <w:b/>
          <w:color w:val="000000" w:themeColor="text1"/>
          <w:sz w:val="32"/>
          <w:szCs w:val="32"/>
          <w:lang w:val="zh-CN"/>
          <w14:textFill>
            <w14:solidFill>
              <w14:schemeClr w14:val="tx1"/>
            </w14:solidFill>
          </w14:textFill>
        </w:rPr>
        <w:t>（一）评价结论</w:t>
      </w:r>
    </w:p>
    <w:p>
      <w:pPr>
        <w:ind w:firstLine="643" w:firstLineChars="200"/>
        <w:jc w:val="left"/>
        <w:rPr>
          <w:rFonts w:ascii="Times New Roman" w:hAnsi="Times New Roman" w:eastAsia="仿宋_GB2312"/>
          <w:sz w:val="32"/>
          <w:szCs w:val="32"/>
        </w:rPr>
      </w:pPr>
      <w:r>
        <w:rPr>
          <w:rFonts w:ascii="Times New Roman" w:hAnsi="Times New Roman" w:eastAsia="仿宋_GB2312"/>
          <w:b/>
          <w:bCs/>
          <w:sz w:val="32"/>
          <w:szCs w:val="32"/>
        </w:rPr>
        <w:t>一是业务人才还需引进。</w:t>
      </w:r>
      <w:r>
        <w:rPr>
          <w:rFonts w:ascii="Times New Roman" w:hAnsi="Times New Roman" w:eastAsia="仿宋_GB2312"/>
          <w:sz w:val="32"/>
          <w:szCs w:val="32"/>
        </w:rPr>
        <w:t>虽然已经引进了一批优秀业务人才，但任然满足不了服务中心所有业务需要，下一步将继续加强对专业业务人才的引进与培养。</w:t>
      </w:r>
    </w:p>
    <w:p>
      <w:pPr>
        <w:ind w:firstLine="643" w:firstLineChars="200"/>
        <w:jc w:val="left"/>
        <w:rPr>
          <w:rFonts w:ascii="Times New Roman" w:hAnsi="Times New Roman" w:eastAsia="仿宋_GB2312"/>
          <w:sz w:val="32"/>
          <w:szCs w:val="32"/>
        </w:rPr>
      </w:pPr>
      <w:r>
        <w:rPr>
          <w:rFonts w:hint="eastAsia" w:ascii="仿宋_GB2312" w:hAnsi="仿宋_GB2312" w:eastAsia="仿宋_GB2312" w:cs="仿宋_GB2312"/>
          <w:b/>
          <w:bCs/>
          <w:sz w:val="32"/>
          <w:szCs w:val="32"/>
        </w:rPr>
        <w:t>二是“供销云服务”体系还需完善。</w:t>
      </w:r>
      <w:r>
        <w:rPr>
          <w:rFonts w:ascii="Times New Roman" w:hAnsi="Times New Roman" w:eastAsia="仿宋_GB2312"/>
          <w:sz w:val="32"/>
          <w:szCs w:val="32"/>
        </w:rPr>
        <w:t>“供销云服务”体系涉及到村集体组织会计核算科目余额表部分存在不能快捷显示到核算项目一级明细科目问题，使得实际财务核算工作中不能快速直观的发现核算中存在的问题，此缺陷影响会计核算工作效率，建议四川供销云科技有限责任公司与相关公司联系不断优化系统使之更友好便捷。</w:t>
      </w:r>
    </w:p>
    <w:p>
      <w:pPr>
        <w:pStyle w:val="2"/>
        <w:numPr>
          <w:ilvl w:val="0"/>
          <w:numId w:val="0"/>
        </w:numPr>
        <w:ind w:leftChars="200"/>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（二）建议</w:t>
      </w:r>
    </w:p>
    <w:p>
      <w:pPr>
        <w:pStyle w:val="3"/>
        <w:numPr>
          <w:ilvl w:val="0"/>
          <w:numId w:val="0"/>
        </w:numPr>
        <w:ind w:leftChars="200"/>
        <w:rPr>
          <w:rFonts w:hint="default"/>
          <w:sz w:val="32"/>
          <w:szCs w:val="32"/>
          <w:lang w:val="en-US" w:eastAsia="zh-CN"/>
        </w:rPr>
      </w:pPr>
      <w:r>
        <w:rPr>
          <w:rFonts w:hint="eastAsia"/>
          <w:sz w:val="32"/>
          <w:szCs w:val="32"/>
          <w:lang w:val="en-US" w:eastAsia="zh-CN"/>
        </w:rPr>
        <w:t>无。</w:t>
      </w:r>
    </w:p>
    <w:p>
      <w:pPr>
        <w:pStyle w:val="6"/>
        <w:ind w:left="0" w:leftChars="0" w:firstLine="0" w:firstLineChars="0"/>
      </w:pPr>
    </w:p>
    <w:p>
      <w:pPr>
        <w:adjustRightInd w:val="0"/>
        <w:snapToGrid w:val="0"/>
        <w:spacing w:line="580" w:lineRule="exact"/>
        <w:jc w:val="center"/>
        <w:outlineLvl w:val="9"/>
        <w:rPr>
          <w:rStyle w:val="19"/>
          <w:rFonts w:ascii="黑体" w:hAnsi="黑体" w:eastAsia="黑体"/>
          <w:b w:val="0"/>
        </w:rPr>
      </w:pPr>
    </w:p>
    <w:p>
      <w:pPr>
        <w:spacing w:line="600" w:lineRule="exact"/>
        <w:jc w:val="center"/>
        <w:outlineLvl w:val="9"/>
        <w:rPr>
          <w:rFonts w:hint="eastAsia" w:ascii="黑体" w:hAnsi="黑体" w:eastAsia="黑体"/>
          <w:color w:val="000000"/>
          <w:sz w:val="44"/>
          <w:szCs w:val="44"/>
        </w:rPr>
      </w:pPr>
    </w:p>
    <w:p>
      <w:pPr>
        <w:pStyle w:val="6"/>
        <w:rPr>
          <w:rFonts w:hint="eastAsia" w:ascii="黑体" w:hAnsi="黑体" w:eastAsia="黑体"/>
          <w:color w:val="000000"/>
          <w:sz w:val="44"/>
          <w:szCs w:val="44"/>
        </w:rPr>
      </w:pPr>
    </w:p>
    <w:p>
      <w:pPr>
        <w:rPr>
          <w:rFonts w:hint="eastAsia" w:ascii="黑体" w:hAnsi="黑体" w:eastAsia="黑体"/>
          <w:color w:val="000000"/>
          <w:sz w:val="44"/>
          <w:szCs w:val="44"/>
        </w:rPr>
      </w:pPr>
    </w:p>
    <w:p>
      <w:pPr>
        <w:pStyle w:val="6"/>
        <w:rPr>
          <w:rFonts w:hint="eastAsia" w:ascii="黑体" w:hAnsi="黑体" w:eastAsia="黑体"/>
          <w:color w:val="000000"/>
          <w:sz w:val="44"/>
          <w:szCs w:val="44"/>
        </w:rPr>
      </w:pPr>
    </w:p>
    <w:p>
      <w:pPr>
        <w:rPr>
          <w:rFonts w:hint="eastAsia" w:ascii="黑体" w:hAnsi="黑体" w:eastAsia="黑体"/>
          <w:color w:val="000000"/>
          <w:sz w:val="44"/>
          <w:szCs w:val="44"/>
        </w:rPr>
      </w:pPr>
    </w:p>
    <w:p>
      <w:pPr>
        <w:pStyle w:val="6"/>
        <w:rPr>
          <w:rFonts w:hint="eastAsia" w:ascii="黑体" w:hAnsi="黑体" w:eastAsia="黑体"/>
          <w:color w:val="000000"/>
          <w:sz w:val="44"/>
          <w:szCs w:val="44"/>
        </w:rPr>
      </w:pPr>
    </w:p>
    <w:p>
      <w:pPr>
        <w:rPr>
          <w:rFonts w:hint="eastAsia" w:ascii="黑体" w:hAnsi="黑体" w:eastAsia="黑体"/>
          <w:color w:val="000000"/>
          <w:sz w:val="44"/>
          <w:szCs w:val="44"/>
        </w:rPr>
      </w:pPr>
    </w:p>
    <w:p>
      <w:pPr>
        <w:pStyle w:val="6"/>
        <w:rPr>
          <w:rFonts w:hint="eastAsia" w:ascii="黑体" w:hAnsi="黑体" w:eastAsia="黑体"/>
          <w:color w:val="000000"/>
          <w:sz w:val="44"/>
          <w:szCs w:val="44"/>
        </w:rPr>
      </w:pPr>
    </w:p>
    <w:p>
      <w:pPr>
        <w:rPr>
          <w:rFonts w:hint="eastAsia"/>
        </w:rPr>
      </w:pPr>
    </w:p>
    <w:p>
      <w:pPr>
        <w:rPr>
          <w:rFonts w:hint="eastAsia"/>
        </w:rPr>
      </w:pPr>
    </w:p>
    <w:p>
      <w:pPr>
        <w:pStyle w:val="6"/>
        <w:rPr>
          <w:rFonts w:hint="eastAsia"/>
        </w:rPr>
      </w:pPr>
    </w:p>
    <w:p>
      <w:pPr>
        <w:rPr>
          <w:rFonts w:hint="eastAsia"/>
        </w:rPr>
      </w:pPr>
    </w:p>
    <w:p>
      <w:pPr>
        <w:pStyle w:val="6"/>
        <w:rPr>
          <w:rFonts w:hint="eastAsia"/>
        </w:rPr>
      </w:pPr>
    </w:p>
    <w:p>
      <w:pPr>
        <w:rPr>
          <w:rFonts w:hint="eastAsia"/>
        </w:rPr>
      </w:pPr>
    </w:p>
    <w:p>
      <w:pPr>
        <w:pStyle w:val="6"/>
        <w:rPr>
          <w:rFonts w:hint="eastAsia"/>
        </w:rPr>
      </w:pPr>
    </w:p>
    <w:p>
      <w:pPr>
        <w:rPr>
          <w:rFonts w:hint="eastAsia"/>
        </w:rPr>
      </w:pPr>
    </w:p>
    <w:p>
      <w:pPr>
        <w:pStyle w:val="2"/>
        <w:rPr>
          <w:rFonts w:hint="eastAsia"/>
        </w:rPr>
      </w:pPr>
    </w:p>
    <w:p>
      <w:pPr>
        <w:pStyle w:val="3"/>
        <w:rPr>
          <w:rFonts w:hint="eastAsia"/>
        </w:rPr>
      </w:pPr>
    </w:p>
    <w:p>
      <w:pPr>
        <w:pStyle w:val="3"/>
        <w:rPr>
          <w:rFonts w:hint="eastAsia"/>
        </w:rPr>
      </w:pPr>
    </w:p>
    <w:p>
      <w:pPr>
        <w:pStyle w:val="3"/>
        <w:rPr>
          <w:rFonts w:hint="eastAsia"/>
        </w:rPr>
      </w:pPr>
    </w:p>
    <w:p>
      <w:pPr>
        <w:pStyle w:val="3"/>
        <w:rPr>
          <w:rFonts w:hint="eastAsia"/>
        </w:rPr>
      </w:pPr>
    </w:p>
    <w:p>
      <w:pPr>
        <w:pStyle w:val="3"/>
        <w:rPr>
          <w:rFonts w:hint="eastAsia"/>
        </w:rPr>
      </w:pPr>
    </w:p>
    <w:p>
      <w:pPr>
        <w:pStyle w:val="3"/>
        <w:rPr>
          <w:rFonts w:hint="eastAsia"/>
        </w:rPr>
      </w:pPr>
    </w:p>
    <w:p>
      <w:pPr>
        <w:spacing w:line="600" w:lineRule="exact"/>
        <w:jc w:val="both"/>
        <w:outlineLvl w:val="9"/>
        <w:rPr>
          <w:rFonts w:hint="eastAsia" w:ascii="黑体" w:hAnsi="黑体" w:eastAsia="黑体"/>
          <w:color w:val="000000"/>
          <w:sz w:val="44"/>
          <w:szCs w:val="44"/>
        </w:rPr>
      </w:pPr>
    </w:p>
    <w:p>
      <w:pPr>
        <w:spacing w:line="600" w:lineRule="exact"/>
        <w:jc w:val="center"/>
        <w:outlineLvl w:val="0"/>
        <w:rPr>
          <w:rStyle w:val="15"/>
          <w:rFonts w:ascii="黑体" w:hAnsi="黑体" w:eastAsia="黑体"/>
          <w:b w:val="0"/>
        </w:rPr>
      </w:pPr>
      <w:bookmarkStart w:id="83" w:name="_Toc27670"/>
      <w:r>
        <w:rPr>
          <w:rFonts w:hint="eastAsia" w:ascii="黑体" w:hAnsi="黑体" w:eastAsia="黑体"/>
          <w:color w:val="000000"/>
          <w:sz w:val="44"/>
          <w:szCs w:val="44"/>
        </w:rPr>
        <w:t>第</w:t>
      </w:r>
      <w:r>
        <w:rPr>
          <w:rStyle w:val="15"/>
          <w:rFonts w:hint="eastAsia" w:ascii="黑体" w:hAnsi="黑体" w:eastAsia="黑体"/>
          <w:b w:val="0"/>
        </w:rPr>
        <w:t>五部分</w:t>
      </w:r>
      <w:r>
        <w:rPr>
          <w:rStyle w:val="15"/>
          <w:rFonts w:ascii="黑体" w:hAnsi="黑体" w:eastAsia="黑体"/>
          <w:b w:val="0"/>
        </w:rPr>
        <w:t xml:space="preserve"> </w:t>
      </w:r>
      <w:r>
        <w:rPr>
          <w:rStyle w:val="15"/>
          <w:rFonts w:hint="eastAsia" w:ascii="黑体" w:hAnsi="黑体" w:eastAsia="黑体"/>
          <w:b w:val="0"/>
        </w:rPr>
        <w:t>附表</w:t>
      </w:r>
      <w:bookmarkEnd w:id="75"/>
      <w:bookmarkEnd w:id="81"/>
      <w:bookmarkEnd w:id="82"/>
      <w:bookmarkEnd w:id="83"/>
    </w:p>
    <w:p>
      <w:pPr>
        <w:spacing w:line="600" w:lineRule="exact"/>
        <w:jc w:val="center"/>
        <w:outlineLvl w:val="9"/>
        <w:rPr>
          <w:rFonts w:ascii="仿宋" w:hAnsi="仿宋" w:eastAsia="仿宋"/>
          <w:b/>
          <w:color w:val="000000"/>
          <w:sz w:val="44"/>
          <w:szCs w:val="44"/>
        </w:rPr>
      </w:pPr>
    </w:p>
    <w:p>
      <w:pPr>
        <w:pStyle w:val="5"/>
        <w:rPr>
          <w:rFonts w:ascii="仿宋" w:hAnsi="仿宋" w:eastAsia="仿宋"/>
          <w:color w:val="000000"/>
        </w:rPr>
      </w:pPr>
      <w:bookmarkStart w:id="84" w:name="_Toc15699"/>
      <w:bookmarkStart w:id="85" w:name="_Toc15396619"/>
      <w:bookmarkStart w:id="86" w:name="_Toc4116"/>
      <w:r>
        <w:rPr>
          <w:rFonts w:hint="eastAsia" w:ascii="仿宋" w:hAnsi="仿宋" w:eastAsia="仿宋"/>
          <w:b w:val="0"/>
          <w:color w:val="000000"/>
        </w:rPr>
        <w:t>一、收</w:t>
      </w:r>
      <w:r>
        <w:rPr>
          <w:rStyle w:val="16"/>
          <w:rFonts w:hint="eastAsia" w:ascii="仿宋" w:hAnsi="仿宋" w:eastAsia="仿宋"/>
          <w:b w:val="0"/>
          <w:bCs w:val="0"/>
        </w:rPr>
        <w:t>入支出决算总表</w:t>
      </w:r>
      <w:bookmarkEnd w:id="84"/>
      <w:bookmarkEnd w:id="85"/>
      <w:bookmarkEnd w:id="86"/>
    </w:p>
    <w:p>
      <w:pPr>
        <w:pStyle w:val="5"/>
        <w:rPr>
          <w:rFonts w:ascii="仿宋" w:hAnsi="仿宋" w:eastAsia="仿宋"/>
          <w:color w:val="000000"/>
        </w:rPr>
      </w:pPr>
      <w:bookmarkStart w:id="87" w:name="_Toc26837"/>
      <w:bookmarkStart w:id="88" w:name="_Toc27106"/>
      <w:bookmarkStart w:id="89" w:name="_Toc15396620"/>
      <w:r>
        <w:rPr>
          <w:rFonts w:hint="eastAsia" w:ascii="仿宋" w:hAnsi="仿宋" w:eastAsia="仿宋"/>
          <w:b w:val="0"/>
          <w:color w:val="000000"/>
        </w:rPr>
        <w:t>二、收</w:t>
      </w:r>
      <w:r>
        <w:rPr>
          <w:rStyle w:val="16"/>
          <w:rFonts w:hint="eastAsia" w:ascii="仿宋" w:hAnsi="仿宋" w:eastAsia="仿宋"/>
          <w:b w:val="0"/>
          <w:bCs w:val="0"/>
        </w:rPr>
        <w:t>入决算表</w:t>
      </w:r>
      <w:bookmarkEnd w:id="87"/>
      <w:bookmarkEnd w:id="88"/>
      <w:bookmarkEnd w:id="89"/>
    </w:p>
    <w:p>
      <w:pPr>
        <w:pStyle w:val="5"/>
        <w:rPr>
          <w:rFonts w:ascii="仿宋" w:hAnsi="仿宋" w:eastAsia="仿宋"/>
          <w:color w:val="000000"/>
        </w:rPr>
      </w:pPr>
      <w:bookmarkStart w:id="90" w:name="_Toc15396621"/>
      <w:bookmarkStart w:id="91" w:name="_Toc26817"/>
      <w:bookmarkStart w:id="92" w:name="_Toc24147"/>
      <w:r>
        <w:rPr>
          <w:rStyle w:val="16"/>
          <w:rFonts w:hint="eastAsia" w:ascii="仿宋" w:hAnsi="仿宋" w:eastAsia="仿宋"/>
          <w:b w:val="0"/>
          <w:bCs w:val="0"/>
        </w:rPr>
        <w:t>三、</w:t>
      </w:r>
      <w:r>
        <w:rPr>
          <w:rFonts w:hint="eastAsia" w:ascii="仿宋" w:hAnsi="仿宋" w:eastAsia="仿宋"/>
          <w:b w:val="0"/>
          <w:color w:val="000000"/>
        </w:rPr>
        <w:t>支</w:t>
      </w:r>
      <w:r>
        <w:rPr>
          <w:rStyle w:val="16"/>
          <w:rFonts w:hint="eastAsia" w:ascii="仿宋" w:hAnsi="仿宋" w:eastAsia="仿宋"/>
          <w:b w:val="0"/>
          <w:bCs w:val="0"/>
        </w:rPr>
        <w:t>出决算表</w:t>
      </w:r>
      <w:bookmarkEnd w:id="90"/>
      <w:bookmarkEnd w:id="91"/>
      <w:bookmarkEnd w:id="92"/>
    </w:p>
    <w:p>
      <w:pPr>
        <w:pStyle w:val="5"/>
        <w:rPr>
          <w:rFonts w:ascii="仿宋" w:hAnsi="仿宋" w:eastAsia="仿宋"/>
          <w:b w:val="0"/>
          <w:color w:val="000000"/>
        </w:rPr>
      </w:pPr>
      <w:bookmarkStart w:id="93" w:name="_Toc15396622"/>
      <w:bookmarkStart w:id="94" w:name="_Toc21747"/>
      <w:bookmarkStart w:id="95" w:name="_Toc21705"/>
      <w:r>
        <w:rPr>
          <w:rStyle w:val="16"/>
          <w:rFonts w:hint="eastAsia" w:ascii="仿宋" w:hAnsi="仿宋" w:eastAsia="仿宋"/>
          <w:b w:val="0"/>
          <w:bCs w:val="0"/>
        </w:rPr>
        <w:t>四、</w:t>
      </w:r>
      <w:r>
        <w:rPr>
          <w:rFonts w:hint="eastAsia" w:ascii="仿宋" w:hAnsi="仿宋" w:eastAsia="仿宋"/>
          <w:b w:val="0"/>
          <w:color w:val="000000"/>
        </w:rPr>
        <w:t>财</w:t>
      </w:r>
      <w:r>
        <w:rPr>
          <w:rStyle w:val="16"/>
          <w:rFonts w:hint="eastAsia" w:ascii="仿宋" w:hAnsi="仿宋" w:eastAsia="仿宋"/>
          <w:b w:val="0"/>
          <w:bCs w:val="0"/>
        </w:rPr>
        <w:t>政拨款收入支出决算总表</w:t>
      </w:r>
      <w:bookmarkEnd w:id="93"/>
      <w:bookmarkEnd w:id="94"/>
      <w:bookmarkEnd w:id="95"/>
    </w:p>
    <w:p>
      <w:pPr>
        <w:pStyle w:val="5"/>
        <w:rPr>
          <w:rStyle w:val="16"/>
          <w:rFonts w:ascii="仿宋" w:hAnsi="仿宋" w:eastAsia="仿宋"/>
          <w:b w:val="0"/>
          <w:bCs w:val="0"/>
        </w:rPr>
      </w:pPr>
      <w:bookmarkStart w:id="96" w:name="_Toc15396623"/>
      <w:bookmarkStart w:id="97" w:name="_Toc12959"/>
      <w:bookmarkStart w:id="98" w:name="_Toc10759"/>
      <w:r>
        <w:rPr>
          <w:rStyle w:val="16"/>
          <w:rFonts w:hint="eastAsia" w:ascii="仿宋" w:hAnsi="仿宋" w:eastAsia="仿宋"/>
          <w:b w:val="0"/>
          <w:bCs w:val="0"/>
        </w:rPr>
        <w:t>五、</w:t>
      </w:r>
      <w:r>
        <w:rPr>
          <w:rFonts w:hint="eastAsia" w:ascii="仿宋" w:hAnsi="仿宋" w:eastAsia="仿宋"/>
          <w:b w:val="0"/>
          <w:color w:val="000000"/>
        </w:rPr>
        <w:t>财</w:t>
      </w:r>
      <w:r>
        <w:rPr>
          <w:rStyle w:val="16"/>
          <w:rFonts w:hint="eastAsia" w:ascii="仿宋" w:hAnsi="仿宋" w:eastAsia="仿宋"/>
          <w:b w:val="0"/>
          <w:bCs w:val="0"/>
        </w:rPr>
        <w:t>政拨款支出决算明细表</w:t>
      </w:r>
      <w:bookmarkEnd w:id="96"/>
      <w:bookmarkEnd w:id="97"/>
      <w:bookmarkEnd w:id="98"/>
      <w:bookmarkStart w:id="99" w:name="_Toc15396624"/>
    </w:p>
    <w:p>
      <w:pPr>
        <w:pStyle w:val="5"/>
        <w:rPr>
          <w:rFonts w:ascii="仿宋" w:hAnsi="仿宋" w:eastAsia="仿宋"/>
          <w:color w:val="000000"/>
        </w:rPr>
      </w:pPr>
      <w:bookmarkStart w:id="100" w:name="_Toc23749"/>
      <w:bookmarkStart w:id="101" w:name="_Toc2082"/>
      <w:r>
        <w:rPr>
          <w:rStyle w:val="16"/>
          <w:rFonts w:hint="eastAsia" w:ascii="仿宋" w:hAnsi="仿宋" w:eastAsia="仿宋"/>
          <w:b w:val="0"/>
          <w:bCs w:val="0"/>
        </w:rPr>
        <w:t>六、</w:t>
      </w:r>
      <w:r>
        <w:rPr>
          <w:rFonts w:hint="eastAsia" w:ascii="仿宋" w:hAnsi="仿宋" w:eastAsia="仿宋"/>
          <w:b w:val="0"/>
          <w:color w:val="000000"/>
        </w:rPr>
        <w:t>一</w:t>
      </w:r>
      <w:r>
        <w:rPr>
          <w:rStyle w:val="16"/>
          <w:rFonts w:hint="eastAsia" w:ascii="仿宋" w:hAnsi="仿宋" w:eastAsia="仿宋"/>
          <w:b w:val="0"/>
          <w:bCs w:val="0"/>
        </w:rPr>
        <w:t>般公共预算财政拨款支出决算表</w:t>
      </w:r>
      <w:bookmarkEnd w:id="99"/>
      <w:bookmarkEnd w:id="100"/>
      <w:bookmarkEnd w:id="101"/>
    </w:p>
    <w:p>
      <w:pPr>
        <w:pStyle w:val="5"/>
        <w:rPr>
          <w:rFonts w:ascii="仿宋" w:hAnsi="仿宋" w:eastAsia="仿宋"/>
          <w:color w:val="000000"/>
        </w:rPr>
      </w:pPr>
      <w:bookmarkStart w:id="102" w:name="_Toc15396625"/>
      <w:bookmarkStart w:id="103" w:name="_Toc22275"/>
      <w:bookmarkStart w:id="104" w:name="_Toc32064"/>
      <w:r>
        <w:rPr>
          <w:rStyle w:val="16"/>
          <w:rFonts w:hint="eastAsia" w:ascii="仿宋" w:hAnsi="仿宋" w:eastAsia="仿宋"/>
          <w:b w:val="0"/>
          <w:bCs w:val="0"/>
        </w:rPr>
        <w:t>七、</w:t>
      </w:r>
      <w:r>
        <w:rPr>
          <w:rFonts w:hint="eastAsia" w:ascii="仿宋" w:hAnsi="仿宋" w:eastAsia="仿宋"/>
          <w:b w:val="0"/>
          <w:color w:val="000000"/>
        </w:rPr>
        <w:t>一</w:t>
      </w:r>
      <w:r>
        <w:rPr>
          <w:rStyle w:val="16"/>
          <w:rFonts w:hint="eastAsia" w:ascii="仿宋" w:hAnsi="仿宋" w:eastAsia="仿宋"/>
          <w:b w:val="0"/>
          <w:bCs w:val="0"/>
        </w:rPr>
        <w:t>般公共预算财政拨款支出决算明细表</w:t>
      </w:r>
      <w:bookmarkEnd w:id="102"/>
      <w:bookmarkEnd w:id="103"/>
      <w:bookmarkEnd w:id="104"/>
    </w:p>
    <w:p>
      <w:pPr>
        <w:pStyle w:val="5"/>
        <w:rPr>
          <w:rFonts w:ascii="仿宋" w:hAnsi="仿宋" w:eastAsia="仿宋"/>
          <w:color w:val="000000"/>
        </w:rPr>
      </w:pPr>
      <w:bookmarkStart w:id="105" w:name="_Toc13511"/>
      <w:bookmarkStart w:id="106" w:name="_Toc15396626"/>
      <w:bookmarkStart w:id="107" w:name="_Toc30634"/>
      <w:r>
        <w:rPr>
          <w:rStyle w:val="16"/>
          <w:rFonts w:hint="eastAsia" w:ascii="仿宋" w:hAnsi="仿宋" w:eastAsia="仿宋"/>
          <w:b w:val="0"/>
          <w:bCs w:val="0"/>
        </w:rPr>
        <w:t>八、</w:t>
      </w:r>
      <w:r>
        <w:rPr>
          <w:rFonts w:hint="eastAsia" w:ascii="仿宋" w:hAnsi="仿宋" w:eastAsia="仿宋"/>
          <w:b w:val="0"/>
          <w:color w:val="000000"/>
        </w:rPr>
        <w:t>一</w:t>
      </w:r>
      <w:r>
        <w:rPr>
          <w:rStyle w:val="16"/>
          <w:rFonts w:hint="eastAsia" w:ascii="仿宋" w:hAnsi="仿宋" w:eastAsia="仿宋"/>
          <w:b w:val="0"/>
          <w:bCs w:val="0"/>
        </w:rPr>
        <w:t>般公共预算财政拨款基本支出决算表</w:t>
      </w:r>
      <w:bookmarkEnd w:id="105"/>
      <w:bookmarkEnd w:id="106"/>
      <w:bookmarkEnd w:id="107"/>
    </w:p>
    <w:p>
      <w:pPr>
        <w:pStyle w:val="5"/>
        <w:rPr>
          <w:rFonts w:ascii="仿宋" w:hAnsi="仿宋" w:eastAsia="仿宋"/>
          <w:color w:val="000000"/>
        </w:rPr>
      </w:pPr>
      <w:bookmarkStart w:id="108" w:name="_Toc15396627"/>
      <w:bookmarkStart w:id="109" w:name="_Toc15170"/>
      <w:bookmarkStart w:id="110" w:name="_Toc14846"/>
      <w:r>
        <w:rPr>
          <w:rStyle w:val="16"/>
          <w:rFonts w:hint="eastAsia" w:ascii="仿宋" w:hAnsi="仿宋" w:eastAsia="仿宋"/>
          <w:b w:val="0"/>
          <w:bCs w:val="0"/>
        </w:rPr>
        <w:t>九、</w:t>
      </w:r>
      <w:r>
        <w:rPr>
          <w:rFonts w:hint="eastAsia" w:ascii="仿宋" w:hAnsi="仿宋" w:eastAsia="仿宋"/>
          <w:b w:val="0"/>
          <w:color w:val="000000"/>
        </w:rPr>
        <w:t>一</w:t>
      </w:r>
      <w:r>
        <w:rPr>
          <w:rStyle w:val="16"/>
          <w:rFonts w:hint="eastAsia" w:ascii="仿宋" w:hAnsi="仿宋" w:eastAsia="仿宋"/>
          <w:b w:val="0"/>
          <w:bCs w:val="0"/>
        </w:rPr>
        <w:t>般公共预算财政拨款项目支出决算表</w:t>
      </w:r>
      <w:bookmarkEnd w:id="108"/>
      <w:bookmarkEnd w:id="109"/>
      <w:bookmarkEnd w:id="110"/>
    </w:p>
    <w:p>
      <w:pPr>
        <w:pStyle w:val="5"/>
        <w:spacing w:line="360" w:lineRule="auto"/>
        <w:rPr>
          <w:rFonts w:ascii="仿宋" w:hAnsi="仿宋" w:eastAsia="仿宋"/>
          <w:color w:val="000000"/>
        </w:rPr>
      </w:pPr>
      <w:bookmarkStart w:id="111" w:name="_Toc15396628"/>
      <w:bookmarkStart w:id="112" w:name="_Toc17603"/>
      <w:bookmarkStart w:id="113" w:name="_Toc5540"/>
      <w:r>
        <w:rPr>
          <w:rStyle w:val="16"/>
          <w:rFonts w:hint="eastAsia" w:ascii="仿宋" w:hAnsi="仿宋" w:eastAsia="仿宋"/>
          <w:b w:val="0"/>
          <w:bCs w:val="0"/>
        </w:rPr>
        <w:t>十、</w:t>
      </w:r>
      <w:r>
        <w:rPr>
          <w:rFonts w:hint="eastAsia" w:ascii="仿宋" w:hAnsi="仿宋" w:eastAsia="仿宋"/>
          <w:b w:val="0"/>
          <w:color w:val="000000"/>
        </w:rPr>
        <w:t>一</w:t>
      </w:r>
      <w:r>
        <w:rPr>
          <w:rStyle w:val="16"/>
          <w:rFonts w:hint="eastAsia" w:ascii="仿宋" w:hAnsi="仿宋" w:eastAsia="仿宋"/>
          <w:b w:val="0"/>
          <w:bCs w:val="0"/>
        </w:rPr>
        <w:t>般公共预算财政拨款“三公”经费支出决算表</w:t>
      </w:r>
      <w:bookmarkEnd w:id="111"/>
      <w:bookmarkEnd w:id="112"/>
      <w:bookmarkEnd w:id="113"/>
    </w:p>
    <w:p>
      <w:pPr>
        <w:pStyle w:val="5"/>
        <w:spacing w:line="360" w:lineRule="auto"/>
        <w:rPr>
          <w:rFonts w:ascii="仿宋" w:hAnsi="仿宋" w:eastAsia="仿宋"/>
          <w:color w:val="000000"/>
        </w:rPr>
      </w:pPr>
      <w:bookmarkStart w:id="114" w:name="_Toc13503"/>
      <w:bookmarkStart w:id="115" w:name="_Toc15396629"/>
      <w:bookmarkStart w:id="116" w:name="_Toc7313"/>
      <w:r>
        <w:rPr>
          <w:rStyle w:val="16"/>
          <w:rFonts w:hint="eastAsia" w:ascii="仿宋" w:hAnsi="仿宋" w:eastAsia="仿宋"/>
          <w:b w:val="0"/>
          <w:bCs w:val="0"/>
        </w:rPr>
        <w:t>十一、</w:t>
      </w:r>
      <w:r>
        <w:rPr>
          <w:rFonts w:hint="eastAsia" w:ascii="仿宋" w:hAnsi="仿宋" w:eastAsia="仿宋"/>
          <w:b w:val="0"/>
          <w:color w:val="000000"/>
        </w:rPr>
        <w:t>政</w:t>
      </w:r>
      <w:r>
        <w:rPr>
          <w:rStyle w:val="16"/>
          <w:rFonts w:hint="eastAsia" w:ascii="仿宋" w:hAnsi="仿宋" w:eastAsia="仿宋"/>
          <w:b w:val="0"/>
          <w:bCs w:val="0"/>
        </w:rPr>
        <w:t>府性基金预算财政拨款收入支出决算表</w:t>
      </w:r>
      <w:bookmarkEnd w:id="114"/>
      <w:bookmarkEnd w:id="115"/>
      <w:bookmarkEnd w:id="116"/>
    </w:p>
    <w:p>
      <w:pPr>
        <w:pStyle w:val="5"/>
        <w:rPr>
          <w:rFonts w:hint="eastAsia" w:ascii="仿宋" w:hAnsi="仿宋" w:eastAsia="仿宋"/>
          <w:b w:val="0"/>
          <w:color w:val="000000"/>
        </w:rPr>
      </w:pPr>
      <w:bookmarkStart w:id="117" w:name="_Toc15396630"/>
      <w:bookmarkStart w:id="118" w:name="_Toc9382"/>
      <w:bookmarkStart w:id="119" w:name="_Toc9597"/>
      <w:r>
        <w:rPr>
          <w:rFonts w:hint="eastAsia" w:ascii="仿宋" w:hAnsi="仿宋" w:eastAsia="仿宋"/>
          <w:b w:val="0"/>
          <w:color w:val="000000"/>
        </w:rPr>
        <w:t>十二、政府性基金预算财政拨款“三公”经费支出决算表</w:t>
      </w:r>
      <w:bookmarkEnd w:id="117"/>
      <w:bookmarkEnd w:id="118"/>
      <w:bookmarkEnd w:id="119"/>
    </w:p>
    <w:p>
      <w:pPr>
        <w:pStyle w:val="5"/>
        <w:rPr>
          <w:rFonts w:hint="eastAsia" w:ascii="仿宋" w:hAnsi="仿宋" w:eastAsia="仿宋"/>
          <w:b w:val="0"/>
          <w:color w:val="000000"/>
        </w:rPr>
      </w:pPr>
      <w:bookmarkStart w:id="120" w:name="_Toc31879"/>
      <w:bookmarkStart w:id="121" w:name="_Toc22683"/>
      <w:r>
        <w:rPr>
          <w:rFonts w:hint="eastAsia" w:ascii="仿宋" w:hAnsi="仿宋" w:eastAsia="仿宋"/>
          <w:b w:val="0"/>
          <w:color w:val="000000"/>
        </w:rPr>
        <w:t>十三、国有资本经营预算财政拨款收入支出决算表</w:t>
      </w:r>
      <w:bookmarkEnd w:id="120"/>
      <w:bookmarkEnd w:id="121"/>
    </w:p>
    <w:p>
      <w:pPr>
        <w:pStyle w:val="5"/>
        <w:rPr>
          <w:rFonts w:hint="eastAsia" w:ascii="仿宋" w:hAnsi="仿宋" w:eastAsia="仿宋"/>
          <w:b w:val="0"/>
          <w:color w:val="000000"/>
        </w:rPr>
      </w:pPr>
      <w:bookmarkStart w:id="122" w:name="_Toc10257"/>
      <w:bookmarkStart w:id="123" w:name="_Toc327"/>
      <w:r>
        <w:rPr>
          <w:rFonts w:hint="eastAsia" w:ascii="仿宋" w:hAnsi="仿宋" w:eastAsia="仿宋"/>
          <w:b w:val="0"/>
          <w:color w:val="000000"/>
        </w:rPr>
        <w:t>十四、国有资本经营预算财政拨款支出决算表</w:t>
      </w:r>
      <w:bookmarkEnd w:id="122"/>
      <w:bookmarkEnd w:id="123"/>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EFF2FB"/>
    <w:multiLevelType w:val="singleLevel"/>
    <w:tmpl w:val="95EFF2FB"/>
    <w:lvl w:ilvl="0" w:tentative="0">
      <w:start w:val="2"/>
      <w:numFmt w:val="chineseCounting"/>
      <w:suff w:val="nothing"/>
      <w:lvlText w:val="%1、"/>
      <w:lvlJc w:val="left"/>
      <w:rPr>
        <w:rFonts w:hint="eastAsia"/>
      </w:rPr>
    </w:lvl>
  </w:abstractNum>
  <w:abstractNum w:abstractNumId="1">
    <w:nsid w:val="9F44FCC8"/>
    <w:multiLevelType w:val="singleLevel"/>
    <w:tmpl w:val="9F44FCC8"/>
    <w:lvl w:ilvl="0" w:tentative="0">
      <w:start w:val="1"/>
      <w:numFmt w:val="chineseCounting"/>
      <w:suff w:val="nothing"/>
      <w:lvlText w:val="（%1）"/>
      <w:lvlJc w:val="left"/>
      <w:rPr>
        <w:rFonts w:hint="eastAsia"/>
      </w:rPr>
    </w:lvl>
  </w:abstractNum>
  <w:abstractNum w:abstractNumId="2">
    <w:nsid w:val="A35235AF"/>
    <w:multiLevelType w:val="singleLevel"/>
    <w:tmpl w:val="A35235AF"/>
    <w:lvl w:ilvl="0" w:tentative="0">
      <w:start w:val="1"/>
      <w:numFmt w:val="chineseCounting"/>
      <w:suff w:val="nothing"/>
      <w:lvlText w:val="%1、"/>
      <w:lvlJc w:val="left"/>
      <w:rPr>
        <w:rFonts w:hint="eastAsia"/>
        <w:lang w:val="en-US"/>
      </w:rPr>
    </w:lvl>
  </w:abstractNum>
  <w:abstractNum w:abstractNumId="3">
    <w:nsid w:val="AFBF783E"/>
    <w:multiLevelType w:val="singleLevel"/>
    <w:tmpl w:val="AFBF783E"/>
    <w:lvl w:ilvl="0" w:tentative="0">
      <w:start w:val="2"/>
      <w:numFmt w:val="chineseCounting"/>
      <w:suff w:val="nothing"/>
      <w:lvlText w:val="（%1）"/>
      <w:lvlJc w:val="left"/>
      <w:rPr>
        <w:rFonts w:hint="eastAsia"/>
      </w:rPr>
    </w:lvl>
  </w:abstractNum>
  <w:abstractNum w:abstractNumId="4">
    <w:nsid w:val="B6722BC5"/>
    <w:multiLevelType w:val="singleLevel"/>
    <w:tmpl w:val="B6722BC5"/>
    <w:lvl w:ilvl="0" w:tentative="0">
      <w:start w:val="2"/>
      <w:numFmt w:val="chineseCounting"/>
      <w:suff w:val="nothing"/>
      <w:lvlText w:val="（%1）"/>
      <w:lvlJc w:val="left"/>
      <w:rPr>
        <w:rFonts w:hint="eastAsia"/>
      </w:rPr>
    </w:lvl>
  </w:abstractNum>
  <w:abstractNum w:abstractNumId="5">
    <w:nsid w:val="CF652CEC"/>
    <w:multiLevelType w:val="singleLevel"/>
    <w:tmpl w:val="CF652CEC"/>
    <w:lvl w:ilvl="0" w:tentative="0">
      <w:start w:val="9"/>
      <w:numFmt w:val="chineseCounting"/>
      <w:suff w:val="nothing"/>
      <w:lvlText w:val="%1、"/>
      <w:lvlJc w:val="left"/>
      <w:rPr>
        <w:rFonts w:hint="eastAsia" w:cs="Times New Roman"/>
      </w:rPr>
    </w:lvl>
  </w:abstractNum>
  <w:abstractNum w:abstractNumId="6">
    <w:nsid w:val="E2FA047D"/>
    <w:multiLevelType w:val="singleLevel"/>
    <w:tmpl w:val="E2FA047D"/>
    <w:lvl w:ilvl="0" w:tentative="0">
      <w:start w:val="3"/>
      <w:numFmt w:val="chineseCounting"/>
      <w:suff w:val="space"/>
      <w:lvlText w:val="第%1部分"/>
      <w:lvlJc w:val="left"/>
      <w:rPr>
        <w:rFonts w:hint="eastAsia" w:cs="Times New Roman"/>
      </w:rPr>
    </w:lvl>
  </w:abstractNum>
  <w:abstractNum w:abstractNumId="7">
    <w:nsid w:val="1272550B"/>
    <w:multiLevelType w:val="multilevel"/>
    <w:tmpl w:val="1272550B"/>
    <w:lvl w:ilvl="0" w:tentative="0">
      <w:start w:val="1"/>
      <w:numFmt w:val="japaneseCounting"/>
      <w:lvlText w:val="%1、"/>
      <w:lvlJc w:val="left"/>
      <w:pPr>
        <w:ind w:left="1360" w:hanging="720"/>
      </w:pPr>
      <w:rPr>
        <w:rFonts w:hint="default" w:cs="Times New Roman"/>
        <w:b w:val="0"/>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8">
    <w:nsid w:val="28E8A16A"/>
    <w:multiLevelType w:val="singleLevel"/>
    <w:tmpl w:val="28E8A16A"/>
    <w:lvl w:ilvl="0" w:tentative="0">
      <w:start w:val="3"/>
      <w:numFmt w:val="chineseCounting"/>
      <w:suff w:val="nothing"/>
      <w:lvlText w:val="（%1）"/>
      <w:lvlJc w:val="left"/>
      <w:rPr>
        <w:rFonts w:hint="eastAsia"/>
      </w:rPr>
    </w:lvl>
  </w:abstractNum>
  <w:abstractNum w:abstractNumId="9">
    <w:nsid w:val="4F47DD6F"/>
    <w:multiLevelType w:val="singleLevel"/>
    <w:tmpl w:val="4F47DD6F"/>
    <w:lvl w:ilvl="0" w:tentative="0">
      <w:start w:val="1"/>
      <w:numFmt w:val="chineseCounting"/>
      <w:suff w:val="nothing"/>
      <w:lvlText w:val="（%1）"/>
      <w:lvlJc w:val="left"/>
      <w:rPr>
        <w:rFonts w:hint="eastAsia"/>
      </w:rPr>
    </w:lvl>
  </w:abstractNum>
  <w:num w:numId="1">
    <w:abstractNumId w:val="0"/>
  </w:num>
  <w:num w:numId="2">
    <w:abstractNumId w:val="7"/>
  </w:num>
  <w:num w:numId="3">
    <w:abstractNumId w:val="4"/>
  </w:num>
  <w:num w:numId="4">
    <w:abstractNumId w:val="5"/>
  </w:num>
  <w:num w:numId="5">
    <w:abstractNumId w:val="6"/>
  </w:num>
  <w:num w:numId="6">
    <w:abstractNumId w:val="9"/>
  </w:num>
  <w:num w:numId="7">
    <w:abstractNumId w:val="1"/>
  </w:num>
  <w:num w:numId="8">
    <w:abstractNumId w:val="3"/>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yZjhjMDljN2ZmZDI4MDM1OTczNmZkYWIwMTM0OGUifQ=="/>
  </w:docVars>
  <w:rsids>
    <w:rsidRoot w:val="6504078C"/>
    <w:rsid w:val="00F240D9"/>
    <w:rsid w:val="025578B5"/>
    <w:rsid w:val="0287166A"/>
    <w:rsid w:val="02AE0CF9"/>
    <w:rsid w:val="032C35A2"/>
    <w:rsid w:val="03380AE5"/>
    <w:rsid w:val="03DC4BD8"/>
    <w:rsid w:val="04C73186"/>
    <w:rsid w:val="05656ABD"/>
    <w:rsid w:val="05CE3457"/>
    <w:rsid w:val="05D92C7E"/>
    <w:rsid w:val="0632319E"/>
    <w:rsid w:val="06D96529"/>
    <w:rsid w:val="0751716C"/>
    <w:rsid w:val="098229CB"/>
    <w:rsid w:val="0A2A0DE2"/>
    <w:rsid w:val="0A3C0F0E"/>
    <w:rsid w:val="0C266350"/>
    <w:rsid w:val="0DD33553"/>
    <w:rsid w:val="0DEE7392"/>
    <w:rsid w:val="0DF356B1"/>
    <w:rsid w:val="0ED5141E"/>
    <w:rsid w:val="123939A4"/>
    <w:rsid w:val="123D1281"/>
    <w:rsid w:val="128F1315"/>
    <w:rsid w:val="13652CCC"/>
    <w:rsid w:val="150003AF"/>
    <w:rsid w:val="15B3135E"/>
    <w:rsid w:val="16502EF3"/>
    <w:rsid w:val="16FB51A1"/>
    <w:rsid w:val="17371229"/>
    <w:rsid w:val="192060E4"/>
    <w:rsid w:val="1933187D"/>
    <w:rsid w:val="19DE5A96"/>
    <w:rsid w:val="1BA43E62"/>
    <w:rsid w:val="1D5C0C6A"/>
    <w:rsid w:val="1D622426"/>
    <w:rsid w:val="1E6A4E79"/>
    <w:rsid w:val="1F395DA7"/>
    <w:rsid w:val="1FAE6578"/>
    <w:rsid w:val="21C1371F"/>
    <w:rsid w:val="21FA71F7"/>
    <w:rsid w:val="23E70E97"/>
    <w:rsid w:val="24684830"/>
    <w:rsid w:val="28517C18"/>
    <w:rsid w:val="28553C7F"/>
    <w:rsid w:val="28BD5AED"/>
    <w:rsid w:val="28C97F61"/>
    <w:rsid w:val="2A2A0ADD"/>
    <w:rsid w:val="2AC65C17"/>
    <w:rsid w:val="2BA116F9"/>
    <w:rsid w:val="2C7C257E"/>
    <w:rsid w:val="2D900863"/>
    <w:rsid w:val="2DEB65D4"/>
    <w:rsid w:val="2EB13F6F"/>
    <w:rsid w:val="30376369"/>
    <w:rsid w:val="317F0E47"/>
    <w:rsid w:val="319E3E6B"/>
    <w:rsid w:val="31DC174C"/>
    <w:rsid w:val="32C562FC"/>
    <w:rsid w:val="33B15739"/>
    <w:rsid w:val="33C05CA1"/>
    <w:rsid w:val="33DF4D54"/>
    <w:rsid w:val="34B70575"/>
    <w:rsid w:val="34C72C7F"/>
    <w:rsid w:val="3648438B"/>
    <w:rsid w:val="367D0BA5"/>
    <w:rsid w:val="36C605D5"/>
    <w:rsid w:val="37103712"/>
    <w:rsid w:val="37474E0A"/>
    <w:rsid w:val="378045F7"/>
    <w:rsid w:val="379423FA"/>
    <w:rsid w:val="38DA0086"/>
    <w:rsid w:val="38F734BE"/>
    <w:rsid w:val="39427529"/>
    <w:rsid w:val="39541158"/>
    <w:rsid w:val="3A14737F"/>
    <w:rsid w:val="3A5F019F"/>
    <w:rsid w:val="3B76332A"/>
    <w:rsid w:val="3B841EC8"/>
    <w:rsid w:val="3C7245AC"/>
    <w:rsid w:val="3CA12E15"/>
    <w:rsid w:val="3CC10F6B"/>
    <w:rsid w:val="3D304C77"/>
    <w:rsid w:val="3E283574"/>
    <w:rsid w:val="3E4169FF"/>
    <w:rsid w:val="3E511D76"/>
    <w:rsid w:val="3ECC4B43"/>
    <w:rsid w:val="3F425788"/>
    <w:rsid w:val="3FEE0371"/>
    <w:rsid w:val="41597D4E"/>
    <w:rsid w:val="421B0684"/>
    <w:rsid w:val="43344E0D"/>
    <w:rsid w:val="444F493D"/>
    <w:rsid w:val="44885E6A"/>
    <w:rsid w:val="44A3041D"/>
    <w:rsid w:val="44C53031"/>
    <w:rsid w:val="455241D2"/>
    <w:rsid w:val="47182F3B"/>
    <w:rsid w:val="495E08AA"/>
    <w:rsid w:val="49B42503"/>
    <w:rsid w:val="49DF04F6"/>
    <w:rsid w:val="4B5C1FD0"/>
    <w:rsid w:val="4BF97392"/>
    <w:rsid w:val="4C394DED"/>
    <w:rsid w:val="4D224BD6"/>
    <w:rsid w:val="4E3A4862"/>
    <w:rsid w:val="4E7F0C55"/>
    <w:rsid w:val="4EEF2699"/>
    <w:rsid w:val="4F3C5430"/>
    <w:rsid w:val="4FCB2ED5"/>
    <w:rsid w:val="548E5E5F"/>
    <w:rsid w:val="54C437C7"/>
    <w:rsid w:val="54FB2C83"/>
    <w:rsid w:val="57C36330"/>
    <w:rsid w:val="586D3BCB"/>
    <w:rsid w:val="58A629E9"/>
    <w:rsid w:val="59493673"/>
    <w:rsid w:val="5BC84699"/>
    <w:rsid w:val="5BD37765"/>
    <w:rsid w:val="5D3E75DF"/>
    <w:rsid w:val="5D513AA9"/>
    <w:rsid w:val="609728DA"/>
    <w:rsid w:val="620B16B9"/>
    <w:rsid w:val="62354F54"/>
    <w:rsid w:val="62A4771E"/>
    <w:rsid w:val="638A1F52"/>
    <w:rsid w:val="64650A43"/>
    <w:rsid w:val="648015BF"/>
    <w:rsid w:val="64955B82"/>
    <w:rsid w:val="6504078C"/>
    <w:rsid w:val="652E2AF4"/>
    <w:rsid w:val="65AA4F35"/>
    <w:rsid w:val="65C12E9B"/>
    <w:rsid w:val="65F75CDD"/>
    <w:rsid w:val="66692740"/>
    <w:rsid w:val="69020490"/>
    <w:rsid w:val="695535AB"/>
    <w:rsid w:val="6B7356A3"/>
    <w:rsid w:val="6B88246A"/>
    <w:rsid w:val="6B902DBF"/>
    <w:rsid w:val="6B95746B"/>
    <w:rsid w:val="6C6D7320"/>
    <w:rsid w:val="6D24434F"/>
    <w:rsid w:val="6D6C2077"/>
    <w:rsid w:val="6D9E2843"/>
    <w:rsid w:val="6FA52BA0"/>
    <w:rsid w:val="70162C0F"/>
    <w:rsid w:val="701B3247"/>
    <w:rsid w:val="71B96A9B"/>
    <w:rsid w:val="71DF6E39"/>
    <w:rsid w:val="726E3979"/>
    <w:rsid w:val="73243300"/>
    <w:rsid w:val="735E30EF"/>
    <w:rsid w:val="73772D42"/>
    <w:rsid w:val="74353174"/>
    <w:rsid w:val="759624C0"/>
    <w:rsid w:val="764C7952"/>
    <w:rsid w:val="76BD39CE"/>
    <w:rsid w:val="78234488"/>
    <w:rsid w:val="79194706"/>
    <w:rsid w:val="79596E87"/>
    <w:rsid w:val="79E524C4"/>
    <w:rsid w:val="7B2A1776"/>
    <w:rsid w:val="7BF02FAB"/>
    <w:rsid w:val="7DBA39F6"/>
    <w:rsid w:val="7EAA3B0A"/>
    <w:rsid w:val="7FED6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qFormat="1"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4">
    <w:name w:val="heading 1"/>
    <w:basedOn w:val="1"/>
    <w:next w:val="1"/>
    <w:link w:val="19"/>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16"/>
    <w:unhideWhenUsed/>
    <w:qFormat/>
    <w:uiPriority w:val="9"/>
    <w:pPr>
      <w:keepNext/>
      <w:keepLines/>
      <w:spacing w:before="260" w:after="260" w:line="416" w:lineRule="auto"/>
      <w:outlineLvl w:val="1"/>
    </w:pPr>
    <w:rPr>
      <w:rFonts w:ascii="Cambria" w:hAnsi="Cambria"/>
      <w:b/>
      <w:bCs/>
      <w:sz w:val="32"/>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pPr>
      <w:spacing w:beforeLines="30"/>
    </w:pPr>
    <w:rPr>
      <w:rFonts w:ascii="仿宋_GB2312" w:eastAsia="仿宋_GB2312"/>
      <w:kern w:val="0"/>
      <w:sz w:val="24"/>
      <w:szCs w:val="20"/>
    </w:rPr>
  </w:style>
  <w:style w:type="paragraph" w:styleId="3">
    <w:name w:val="Body Text First Indent"/>
    <w:basedOn w:val="2"/>
    <w:unhideWhenUsed/>
    <w:qFormat/>
    <w:uiPriority w:val="99"/>
    <w:pPr>
      <w:ind w:firstLine="420" w:firstLineChars="100"/>
    </w:pPr>
  </w:style>
  <w:style w:type="paragraph" w:styleId="6">
    <w:name w:val="toc 5"/>
    <w:basedOn w:val="1"/>
    <w:next w:val="1"/>
    <w:unhideWhenUsed/>
    <w:qFormat/>
    <w:uiPriority w:val="39"/>
    <w:pPr>
      <w:ind w:left="1680" w:leftChars="800"/>
    </w:pPr>
  </w:style>
  <w:style w:type="paragraph" w:styleId="7">
    <w:name w:val="footer"/>
    <w:basedOn w:val="1"/>
    <w:qFormat/>
    <w:uiPriority w:val="99"/>
    <w:pPr>
      <w:tabs>
        <w:tab w:val="center" w:pos="4153"/>
        <w:tab w:val="right" w:pos="8306"/>
      </w:tabs>
      <w:snapToGrid w:val="0"/>
      <w:jc w:val="left"/>
    </w:pPr>
    <w:rPr>
      <w:rFonts w:ascii="Calibri" w:hAnsi="Calibri"/>
      <w:kern w:val="0"/>
      <w:sz w:val="18"/>
      <w:szCs w:val="20"/>
    </w:rPr>
  </w:style>
  <w:style w:type="paragraph" w:styleId="8">
    <w:name w:val="header"/>
    <w:basedOn w:val="1"/>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9">
    <w:name w:val="toc 1"/>
    <w:basedOn w:val="1"/>
    <w:next w:val="1"/>
    <w:unhideWhenUsed/>
    <w:qFormat/>
    <w:uiPriority w:val="39"/>
    <w:pPr>
      <w:spacing w:before="120"/>
      <w:jc w:val="left"/>
    </w:pPr>
    <w:rPr>
      <w:rFonts w:ascii="等线" w:eastAsia="等线"/>
      <w:b/>
      <w:bCs/>
      <w:i/>
      <w:iCs/>
      <w:sz w:val="24"/>
    </w:rPr>
  </w:style>
  <w:style w:type="paragraph" w:styleId="10">
    <w:name w:val="toc 2"/>
    <w:basedOn w:val="1"/>
    <w:next w:val="1"/>
    <w:unhideWhenUsed/>
    <w:qFormat/>
    <w:uiPriority w:val="39"/>
    <w:pPr>
      <w:spacing w:before="120"/>
      <w:ind w:left="300"/>
      <w:jc w:val="left"/>
    </w:pPr>
    <w:rPr>
      <w:rFonts w:ascii="等线" w:eastAsia="等线"/>
      <w:b/>
      <w:bCs/>
      <w:sz w:val="22"/>
      <w:szCs w:val="22"/>
    </w:rPr>
  </w:style>
  <w:style w:type="character" w:styleId="13">
    <w:name w:val="Strong"/>
    <w:basedOn w:val="12"/>
    <w:qFormat/>
    <w:uiPriority w:val="99"/>
    <w:rPr>
      <w:rFonts w:cs="Times New Roman"/>
      <w:b/>
    </w:rPr>
  </w:style>
  <w:style w:type="character" w:styleId="14">
    <w:name w:val="Hyperlink"/>
    <w:unhideWhenUsed/>
    <w:qFormat/>
    <w:uiPriority w:val="99"/>
    <w:rPr>
      <w:color w:val="0000FF"/>
      <w:u w:val="single"/>
    </w:rPr>
  </w:style>
  <w:style w:type="character" w:customStyle="1" w:styleId="15">
    <w:name w:val=" Char Char6"/>
    <w:basedOn w:val="12"/>
    <w:link w:val="4"/>
    <w:qFormat/>
    <w:locked/>
    <w:uiPriority w:val="9"/>
    <w:rPr>
      <w:b/>
      <w:bCs/>
      <w:kern w:val="44"/>
      <w:sz w:val="44"/>
      <w:szCs w:val="44"/>
    </w:rPr>
  </w:style>
  <w:style w:type="character" w:customStyle="1" w:styleId="16">
    <w:name w:val=" Char Char5"/>
    <w:basedOn w:val="12"/>
    <w:link w:val="5"/>
    <w:qFormat/>
    <w:locked/>
    <w:uiPriority w:val="9"/>
    <w:rPr>
      <w:rFonts w:ascii="Cambria" w:hAnsi="Cambria"/>
      <w:b/>
      <w:bCs/>
      <w:sz w:val="32"/>
      <w:szCs w:val="32"/>
    </w:rPr>
  </w:style>
  <w:style w:type="paragraph" w:customStyle="1" w:styleId="17">
    <w:name w:val="List Paragraph"/>
    <w:basedOn w:val="1"/>
    <w:qFormat/>
    <w:uiPriority w:val="34"/>
    <w:pPr>
      <w:ind w:firstLine="420" w:firstLineChars="200"/>
    </w:pPr>
  </w:style>
  <w:style w:type="paragraph" w:customStyle="1" w:styleId="18">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character" w:customStyle="1" w:styleId="19">
    <w:name w:val="标题 1 Char"/>
    <w:basedOn w:val="12"/>
    <w:link w:val="4"/>
    <w:qFormat/>
    <w:uiPriority w:val="9"/>
    <w:rPr>
      <w:rFonts w:ascii="Times New Roman" w:hAnsi="Times New Roman"/>
      <w:b/>
      <w:bCs/>
      <w:kern w:val="44"/>
      <w:sz w:val="44"/>
      <w:szCs w:val="44"/>
    </w:rPr>
  </w:style>
  <w:style w:type="paragraph" w:customStyle="1" w:styleId="20">
    <w:name w:val="WPSOffice手动目录 1"/>
    <w:qFormat/>
    <w:uiPriority w:val="0"/>
    <w:pPr>
      <w:ind w:leftChars="0"/>
    </w:pPr>
    <w:rPr>
      <w:rFonts w:ascii="Times New Roman" w:hAnsi="Times New Roman" w:eastAsia="宋体" w:cs="Times New Roman"/>
      <w:sz w:val="20"/>
      <w:szCs w:val="20"/>
    </w:rPr>
  </w:style>
  <w:style w:type="paragraph" w:customStyle="1" w:styleId="21">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NULL"/><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49</Pages>
  <Words>18910</Words>
  <Characters>20021</Characters>
  <Lines>0</Lines>
  <Paragraphs>0</Paragraphs>
  <TotalTime>1</TotalTime>
  <ScaleCrop>false</ScaleCrop>
  <LinksUpToDate>false</LinksUpToDate>
  <CharactersWithSpaces>20194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2021-09-08T03:29:00Z</dcterms:created>
  <dc:creator>Administrator</dc:creator>
  <cp:lastModifiedBy>Master'霖</cp:lastModifiedBy>
  <cp:lastPrinted>2021-10-20T01:22:00Z</cp:lastPrinted>
  <dcterms:modified xsi:type="dcterms:W3CDTF">2022-05-31T07:09:34Z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0FC8D2ABD066463DA57C888C27EB0CAA</vt:lpwstr>
  </property>
</Properties>
</file>