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cs="仿宋_GB2312"/>
          <w:b/>
          <w:bCs/>
          <w:caps w:val="0"/>
          <w:sz w:val="112"/>
          <w:szCs w:val="112"/>
          <w:lang w:val="en-US" w:eastAsia="zh-CN"/>
        </w:rPr>
      </w:pPr>
    </w:p>
    <w:p>
      <w:pPr>
        <w:keepNext w:val="0"/>
        <w:keepLines w:val="0"/>
        <w:pageBreakBefore w:val="0"/>
        <w:widowControl w:val="0"/>
        <w:kinsoku/>
        <w:wordWrap/>
        <w:overflowPunct/>
        <w:topLinePunct w:val="0"/>
        <w:autoSpaceDE/>
        <w:autoSpaceDN/>
        <w:bidi w:val="0"/>
        <w:adjustRightInd/>
        <w:snapToGrid/>
        <w:spacing w:line="1600" w:lineRule="exact"/>
        <w:jc w:val="center"/>
        <w:textAlignment w:val="auto"/>
        <w:rPr>
          <w:rFonts w:hint="eastAsia" w:cs="仿宋_GB2312"/>
          <w:b/>
          <w:bCs/>
          <w:caps w:val="0"/>
          <w:sz w:val="96"/>
          <w:szCs w:val="96"/>
          <w:lang w:val="en-US" w:eastAsia="zh-CN"/>
        </w:rPr>
      </w:pPr>
      <w:r>
        <w:rPr>
          <w:rFonts w:hint="eastAsia" w:cs="仿宋_GB2312"/>
          <w:b/>
          <w:bCs/>
          <w:caps w:val="0"/>
          <w:sz w:val="96"/>
          <w:szCs w:val="96"/>
          <w:lang w:val="en-US" w:eastAsia="zh-CN"/>
        </w:rPr>
        <w:t>2020年度</w:t>
      </w:r>
    </w:p>
    <w:p>
      <w:pPr>
        <w:keepNext w:val="0"/>
        <w:keepLines w:val="0"/>
        <w:pageBreakBefore w:val="0"/>
        <w:widowControl w:val="0"/>
        <w:kinsoku/>
        <w:wordWrap/>
        <w:overflowPunct/>
        <w:topLinePunct w:val="0"/>
        <w:autoSpaceDE/>
        <w:autoSpaceDN/>
        <w:bidi w:val="0"/>
        <w:adjustRightInd/>
        <w:snapToGrid/>
        <w:spacing w:line="1600" w:lineRule="exact"/>
        <w:jc w:val="center"/>
        <w:textAlignment w:val="auto"/>
        <w:rPr>
          <w:rFonts w:hint="eastAsia" w:cs="仿宋_GB2312"/>
          <w:b/>
          <w:bCs/>
          <w:caps w:val="0"/>
          <w:sz w:val="96"/>
          <w:szCs w:val="96"/>
          <w:lang w:val="en-US" w:eastAsia="zh-CN"/>
        </w:rPr>
      </w:pPr>
      <w:r>
        <w:rPr>
          <w:rFonts w:hint="eastAsia" w:cs="仿宋_GB2312"/>
          <w:b/>
          <w:bCs/>
          <w:caps w:val="0"/>
          <w:sz w:val="96"/>
          <w:szCs w:val="96"/>
          <w:lang w:val="en-US" w:eastAsia="zh-CN"/>
        </w:rPr>
        <w:t>四川省自贡市自流井区飞龙峡镇人民</w:t>
      </w:r>
    </w:p>
    <w:p>
      <w:pPr>
        <w:keepNext w:val="0"/>
        <w:keepLines w:val="0"/>
        <w:pageBreakBefore w:val="0"/>
        <w:widowControl w:val="0"/>
        <w:kinsoku/>
        <w:wordWrap/>
        <w:overflowPunct/>
        <w:topLinePunct w:val="0"/>
        <w:autoSpaceDE/>
        <w:autoSpaceDN/>
        <w:bidi w:val="0"/>
        <w:adjustRightInd/>
        <w:snapToGrid/>
        <w:spacing w:line="1600" w:lineRule="exact"/>
        <w:jc w:val="center"/>
        <w:textAlignment w:val="auto"/>
        <w:rPr>
          <w:rFonts w:hint="default"/>
          <w:b/>
          <w:bCs/>
          <w:sz w:val="28"/>
          <w:szCs w:val="22"/>
          <w:lang w:val="en-US" w:eastAsia="zh-CN"/>
        </w:rPr>
        <w:sectPr>
          <w:pgSz w:w="11906" w:h="16838"/>
          <w:pgMar w:top="2098" w:right="1474" w:bottom="1984" w:left="1587" w:header="851" w:footer="992" w:gutter="0"/>
          <w:cols w:space="425" w:num="1"/>
          <w:docGrid w:type="lines" w:linePitch="312" w:charSpace="0"/>
        </w:sectPr>
      </w:pPr>
      <w:r>
        <w:rPr>
          <w:rFonts w:hint="eastAsia" w:cs="仿宋_GB2312"/>
          <w:b/>
          <w:bCs/>
          <w:caps w:val="0"/>
          <w:sz w:val="96"/>
          <w:szCs w:val="96"/>
          <w:lang w:val="en-US" w:eastAsia="zh-CN"/>
        </w:rPr>
        <w:t>政府决算</w:t>
      </w:r>
    </w:p>
    <w:p>
      <w:pPr>
        <w:widowControl/>
        <w:jc w:val="center"/>
        <w:rPr>
          <w:rFonts w:hint="eastAsia" w:ascii="Times New Roman" w:hAnsi="Times New Roman" w:eastAsia="黑体"/>
          <w:caps w:val="0"/>
          <w:color w:val="000000"/>
          <w:sz w:val="44"/>
          <w:szCs w:val="44"/>
        </w:rPr>
      </w:pPr>
      <w:r>
        <w:rPr>
          <w:rFonts w:hint="eastAsia" w:ascii="Times New Roman" w:hAnsi="Times New Roman" w:eastAsia="黑体"/>
          <w:caps w:val="0"/>
          <w:color w:val="000000"/>
          <w:sz w:val="44"/>
          <w:szCs w:val="44"/>
        </w:rPr>
        <w:t>目</w:t>
      </w:r>
      <w:r>
        <w:rPr>
          <w:rFonts w:ascii="Times New Roman" w:hAnsi="Times New Roman" w:eastAsia="黑体"/>
          <w:caps w:val="0"/>
          <w:color w:val="000000"/>
          <w:sz w:val="44"/>
          <w:szCs w:val="44"/>
        </w:rPr>
        <w:t xml:space="preserve"> </w:t>
      </w:r>
      <w:r>
        <w:rPr>
          <w:rFonts w:hint="eastAsia" w:ascii="Times New Roman" w:hAnsi="Times New Roman" w:eastAsia="黑体"/>
          <w:caps w:val="0"/>
          <w:color w:val="000000"/>
          <w:sz w:val="44"/>
          <w:szCs w:val="44"/>
        </w:rPr>
        <w:t>录</w:t>
      </w:r>
    </w:p>
    <w:sdt>
      <w:sdtPr>
        <w:rPr>
          <w:rFonts w:ascii="宋体" w:hAnsi="宋体" w:eastAsia="宋体" w:cs="Times New Roman"/>
          <w:kern w:val="2"/>
          <w:sz w:val="21"/>
          <w:szCs w:val="24"/>
          <w:lang w:val="en-US" w:eastAsia="zh-CN" w:bidi="ar-SA"/>
        </w:rPr>
        <w:id w:val="147457628"/>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left"/>
          </w:pPr>
          <w:bookmarkStart w:id="123" w:name="_GoBack"/>
          <w:bookmarkEnd w:id="123"/>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fldChar w:fldCharType="begin"/>
          </w:r>
          <w:r>
            <w:instrText xml:space="preserve">TOC \o "1-3" \h \u </w:instrText>
          </w:r>
          <w:r>
            <w:fldChar w:fldCharType="separate"/>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_Toc23781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第一部分 部门概况</w:t>
          </w:r>
          <w:r>
            <w:rPr>
              <w:rFonts w:hint="eastAsia" w:ascii="Times New Roman" w:hAnsi="Times New Roman" w:eastAsia="仿宋_GB2312" w:cs="Times New Roman"/>
              <w:b w:val="0"/>
              <w:bCs w:val="0"/>
              <w:i w:val="0"/>
              <w:iCs w:val="0"/>
              <w:sz w:val="32"/>
              <w:szCs w:val="32"/>
            </w:rPr>
            <w:tab/>
          </w:r>
          <w:r>
            <w:rPr>
              <w:rFonts w:hint="eastAsia" w:ascii="Times New Roman" w:eastAsia="仿宋_GB2312" w:cs="Times New Roman"/>
              <w:b w:val="0"/>
              <w:bCs w:val="0"/>
              <w:i w:val="0"/>
              <w:iCs w:val="0"/>
              <w:sz w:val="32"/>
              <w:szCs w:val="32"/>
              <w:lang w:val="en-US" w:eastAsia="zh-CN"/>
            </w:rPr>
            <w:t>1</w:t>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_Toc29349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一、基本职能及主要工作</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_Toc29349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_Toc26761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（一）主要职能</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_Toc26761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_Toc5605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（二）2020年重点工作完成情况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_Toc5605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_Toc31849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二、 机构设置</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_Toc31849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3</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_Toc22076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第二部分 2020年度部门决算情况说明</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_Toc22076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4</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_Toc2525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一、收入支出决算总体情况说明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_Toc2525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4</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_Toc5666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二、收入决算情况说明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_Toc5666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_Toc31880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三、支出决算情况说明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_Toc31880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_Toc26018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四、财政拨款收入支出决算总体情况说明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_Toc26018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6</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_Toc23458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五、一般公共预算财政拨款支出决算情况说明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_Toc23458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7</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_Toc4907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（一）一般公共预算财政拨款支出决算总体情况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_Toc4907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7</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_Toc22435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（二）一般公共预算财政拨款支出决算结构情况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_Toc22435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8</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_Toc25077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（三）一般公共预算财政拨款支出决算具体情况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_Toc25077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9</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_Toc12542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六、一般公共预算财政拨款基本支出决算情况说明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_Toc12542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13</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_Toc23129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七、“三公”经费财政拨款支出决算情况说明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_Toc23129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13</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_Toc14736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（一）“三公”经费财政拨款支出决算总体情况说明</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_Toc14736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13</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_Toc28164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（二）“三公”经费财政拨款支出决算具体情况说明</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_Toc28164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14</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_Toc28304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八、政府性基金预算支出决算情况说明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_Toc28304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_Toc5791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九、国有资本经营预算支出决算情况说明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_Toc5791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_Toc22285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十、其他重要事项的情况说明</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_Toc22285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15</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_Toc2787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（一）机关运行经费支出情况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_Toc2787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15</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_Toc29492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（二）政府采购支出情况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_Toc29492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16</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_Toc17719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（三）国有资产占有使用情况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_Toc17719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16</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_Toc11001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（四）预算绩效管理情况</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_Toc11001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16</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_Toc12357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lang w:val="en-US" w:eastAsia="zh-CN"/>
            </w:rPr>
            <w:t>第三部分  名词解释</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_Toc12357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24</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rPr>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_Toc24279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第四部分 附件</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_Toc24279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29</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_Toc12587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附件1</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_Toc12587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29</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rPr>
              <w:rFonts w:hint="eastAsia" w:ascii="Times New Roman" w:hAnsi="Times New Roman" w:eastAsia="仿宋_GB2312" w:cs="Times New Roman"/>
              <w:b w:val="0"/>
              <w:bCs w:val="0"/>
              <w:i w:val="0"/>
              <w:iCs w:val="0"/>
              <w:sz w:val="32"/>
              <w:szCs w:val="32"/>
              <w:lang w:val="en-US" w:eastAsia="zh-CN"/>
            </w:rPr>
          </w:pP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HYPERLINK \l _Toc5060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附件2</w:t>
          </w:r>
          <w:r>
            <w:rPr>
              <w:rFonts w:hint="eastAsia" w:ascii="Times New Roman" w:hAnsi="Times New Roman" w:eastAsia="仿宋_GB2312" w:cs="Times New Roman"/>
              <w:b w:val="0"/>
              <w:bCs w:val="0"/>
              <w:i w:val="0"/>
              <w:iCs w:val="0"/>
              <w:sz w:val="32"/>
              <w:szCs w:val="32"/>
              <w:lang w:val="en-US" w:eastAsia="zh-CN"/>
            </w:rPr>
            <w:tab/>
          </w:r>
          <w:r>
            <w:rPr>
              <w:rFonts w:hint="eastAsia" w:ascii="Times New Roman" w:hAnsi="Times New Roman" w:eastAsia="仿宋_GB2312" w:cs="Times New Roman"/>
              <w:b w:val="0"/>
              <w:bCs w:val="0"/>
              <w:i w:val="0"/>
              <w:iCs w:val="0"/>
              <w:sz w:val="32"/>
              <w:szCs w:val="32"/>
              <w:lang w:val="en-US" w:eastAsia="zh-CN"/>
            </w:rPr>
            <w:fldChar w:fldCharType="begin"/>
          </w:r>
          <w:r>
            <w:rPr>
              <w:rFonts w:hint="eastAsia" w:ascii="Times New Roman" w:hAnsi="Times New Roman" w:eastAsia="仿宋_GB2312" w:cs="Times New Roman"/>
              <w:b w:val="0"/>
              <w:bCs w:val="0"/>
              <w:i w:val="0"/>
              <w:iCs w:val="0"/>
              <w:sz w:val="32"/>
              <w:szCs w:val="32"/>
              <w:lang w:val="en-US" w:eastAsia="zh-CN"/>
            </w:rPr>
            <w:instrText xml:space="preserve"> PAGEREF _Toc5060 \h </w:instrText>
          </w:r>
          <w:r>
            <w:rPr>
              <w:rFonts w:hint="eastAsia" w:ascii="Times New Roman" w:hAnsi="Times New Roman" w:eastAsia="仿宋_GB2312" w:cs="Times New Roman"/>
              <w:b w:val="0"/>
              <w:bCs w:val="0"/>
              <w:i w:val="0"/>
              <w:iCs w:val="0"/>
              <w:sz w:val="32"/>
              <w:szCs w:val="32"/>
              <w:lang w:val="en-US" w:eastAsia="zh-CN"/>
            </w:rPr>
            <w:fldChar w:fldCharType="separate"/>
          </w:r>
          <w:r>
            <w:rPr>
              <w:rFonts w:hint="eastAsia" w:ascii="Times New Roman" w:hAnsi="Times New Roman" w:eastAsia="仿宋_GB2312" w:cs="Times New Roman"/>
              <w:b w:val="0"/>
              <w:bCs w:val="0"/>
              <w:i w:val="0"/>
              <w:iCs w:val="0"/>
              <w:sz w:val="32"/>
              <w:szCs w:val="32"/>
              <w:lang w:val="en-US" w:eastAsia="zh-CN"/>
            </w:rPr>
            <w:t>32</w:t>
          </w:r>
          <w:r>
            <w:rPr>
              <w:rFonts w:hint="eastAsia" w:ascii="Times New Roman" w:hAnsi="Times New Roman" w:eastAsia="仿宋_GB2312" w:cs="Times New Roman"/>
              <w:b w:val="0"/>
              <w:bCs w:val="0"/>
              <w:i w:val="0"/>
              <w:iCs w:val="0"/>
              <w:sz w:val="32"/>
              <w:szCs w:val="32"/>
              <w:lang w:val="en-US" w:eastAsia="zh-CN"/>
            </w:rPr>
            <w:fldChar w:fldCharType="end"/>
          </w:r>
          <w:r>
            <w:rPr>
              <w:rFonts w:hint="eastAsia" w:ascii="Times New Roman" w:hAnsi="Times New Roman" w:eastAsia="仿宋_GB2312" w:cs="Times New Roman"/>
              <w:b w:val="0"/>
              <w:bCs w:val="0"/>
              <w:i w:val="0"/>
              <w:iCs w:val="0"/>
              <w:sz w:val="32"/>
              <w:szCs w:val="32"/>
              <w:lang w:val="en-US" w:eastAsia="zh-CN"/>
            </w:rPr>
            <w:fldChar w:fldCharType="end"/>
          </w:r>
        </w:p>
        <w:p>
          <w:pPr>
            <w:pStyle w:val="10"/>
            <w:keepNext w:val="0"/>
            <w:keepLines w:val="0"/>
            <w:pageBreakBefore w:val="0"/>
            <w:tabs>
              <w:tab w:val="right" w:leader="dot" w:pos="8296"/>
            </w:tabs>
            <w:kinsoku/>
            <w:wordWrap/>
            <w:overflowPunct/>
            <w:topLinePunct w:val="0"/>
            <w:bidi w:val="0"/>
            <w:spacing w:line="560" w:lineRule="exact"/>
            <w:textAlignment w:val="auto"/>
          </w:pP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HYPERLINK \l _Toc17453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第五部分 附表</w:t>
          </w:r>
          <w:r>
            <w:rPr>
              <w:rFonts w:hint="eastAsia" w:ascii="Times New Roman" w:hAnsi="Times New Roman" w:eastAsia="仿宋_GB2312" w:cs="Times New Roman"/>
              <w:b w:val="0"/>
              <w:bCs w:val="0"/>
              <w:i w:val="0"/>
              <w:iCs w:val="0"/>
              <w:sz w:val="32"/>
              <w:szCs w:val="32"/>
            </w:rPr>
            <w:tab/>
          </w:r>
          <w:r>
            <w:rPr>
              <w:rFonts w:hint="eastAsia" w:ascii="Times New Roman" w:hAnsi="Times New Roman" w:eastAsia="仿宋_GB2312" w:cs="Times New Roman"/>
              <w:b w:val="0"/>
              <w:bCs w:val="0"/>
              <w:i w:val="0"/>
              <w:iCs w:val="0"/>
              <w:sz w:val="32"/>
              <w:szCs w:val="32"/>
            </w:rPr>
            <w:fldChar w:fldCharType="begin"/>
          </w:r>
          <w:r>
            <w:rPr>
              <w:rFonts w:hint="eastAsia" w:ascii="Times New Roman" w:hAnsi="Times New Roman" w:eastAsia="仿宋_GB2312" w:cs="Times New Roman"/>
              <w:b w:val="0"/>
              <w:bCs w:val="0"/>
              <w:i w:val="0"/>
              <w:iCs w:val="0"/>
              <w:sz w:val="32"/>
              <w:szCs w:val="32"/>
            </w:rPr>
            <w:instrText xml:space="preserve"> PAGEREF _Toc17453 \h </w:instrText>
          </w:r>
          <w:r>
            <w:rPr>
              <w:rFonts w:hint="eastAsia" w:ascii="Times New Roman" w:hAnsi="Times New Roman" w:eastAsia="仿宋_GB2312" w:cs="Times New Roman"/>
              <w:b w:val="0"/>
              <w:bCs w:val="0"/>
              <w:i w:val="0"/>
              <w:iCs w:val="0"/>
              <w:sz w:val="32"/>
              <w:szCs w:val="32"/>
            </w:rPr>
            <w:fldChar w:fldCharType="separate"/>
          </w:r>
          <w:r>
            <w:rPr>
              <w:rFonts w:hint="eastAsia" w:ascii="Times New Roman" w:hAnsi="Times New Roman" w:eastAsia="仿宋_GB2312" w:cs="Times New Roman"/>
              <w:b w:val="0"/>
              <w:bCs w:val="0"/>
              <w:i w:val="0"/>
              <w:iCs w:val="0"/>
              <w:sz w:val="32"/>
              <w:szCs w:val="32"/>
            </w:rPr>
            <w:t>37</w:t>
          </w:r>
          <w:r>
            <w:rPr>
              <w:rFonts w:hint="eastAsia" w:ascii="Times New Roman" w:hAnsi="Times New Roman" w:eastAsia="仿宋_GB2312" w:cs="Times New Roman"/>
              <w:b w:val="0"/>
              <w:bCs w:val="0"/>
              <w:i w:val="0"/>
              <w:iCs w:val="0"/>
              <w:sz w:val="32"/>
              <w:szCs w:val="32"/>
            </w:rPr>
            <w:fldChar w:fldCharType="end"/>
          </w:r>
          <w:r>
            <w:rPr>
              <w:rFonts w:hint="eastAsia" w:ascii="Times New Roman" w:hAnsi="Times New Roman" w:eastAsia="仿宋_GB2312" w:cs="Times New Roman"/>
              <w:b w:val="0"/>
              <w:bCs w:val="0"/>
              <w:i w:val="0"/>
              <w:iCs w:val="0"/>
              <w:sz w:val="32"/>
              <w:szCs w:val="32"/>
            </w:rPr>
            <w:fldChar w:fldCharType="end"/>
          </w:r>
        </w:p>
        <w:p>
          <w:r>
            <w:fldChar w:fldCharType="end"/>
          </w:r>
          <w:bookmarkStart w:id="0" w:name="_Toc23781"/>
        </w:p>
      </w:sdtContent>
    </w:sdt>
    <w:p>
      <w:pPr>
        <w:jc w:val="center"/>
        <w:rPr>
          <w:rFonts w:hint="eastAsia" w:eastAsia="方正小标宋_GBK" w:cs="Times New Roman"/>
          <w:b w:val="0"/>
          <w:bCs/>
          <w:caps w:val="0"/>
          <w:color w:val="000000" w:themeColor="text1"/>
          <w:kern w:val="2"/>
          <w:sz w:val="44"/>
          <w:szCs w:val="44"/>
          <w:lang w:val="en-US" w:eastAsia="zh-CN" w:bidi="ar-SA"/>
          <w14:textFill>
            <w14:solidFill>
              <w14:schemeClr w14:val="tx1"/>
            </w14:solidFill>
          </w14:textFill>
        </w:rPr>
        <w:sectPr>
          <w:footerReference r:id="rId3" w:type="default"/>
          <w:pgSz w:w="11906" w:h="16838"/>
          <w:pgMar w:top="2098" w:right="1474" w:bottom="1984" w:left="1587" w:header="851" w:footer="992" w:gutter="0"/>
          <w:pgNumType w:fmt="decimal" w:start="1"/>
          <w:cols w:space="425" w:num="1"/>
          <w:docGrid w:type="lines" w:linePitch="312" w:charSpace="0"/>
        </w:sectPr>
      </w:pPr>
    </w:p>
    <w:p>
      <w:pPr>
        <w:jc w:val="center"/>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pPr>
      <w:r>
        <w:rPr>
          <w:rFonts w:hint="eastAsia" w:eastAsia="方正小标宋_GBK" w:cs="Times New Roman"/>
          <w:b w:val="0"/>
          <w:bCs/>
          <w:caps w:val="0"/>
          <w:color w:val="000000" w:themeColor="text1"/>
          <w:kern w:val="2"/>
          <w:sz w:val="44"/>
          <w:szCs w:val="44"/>
          <w:lang w:val="en-US" w:eastAsia="zh-CN" w:bidi="ar-SA"/>
          <w14:textFill>
            <w14:solidFill>
              <w14:schemeClr w14:val="tx1"/>
            </w14:solidFill>
          </w14:textFill>
        </w:rPr>
        <w:t xml:space="preserve">第一部分 </w:t>
      </w:r>
      <w:r>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t>部门概况</w:t>
      </w:r>
      <w:bookmarkEnd w:id="0"/>
    </w:p>
    <w:p>
      <w:pPr>
        <w:numPr>
          <w:ilvl w:val="0"/>
          <w:numId w:val="0"/>
        </w:numPr>
        <w:rPr>
          <w:rFonts w:ascii="Times New Roman" w:hAnsi="Times New Roman"/>
          <w:caps w:val="0"/>
        </w:rPr>
      </w:pPr>
    </w:p>
    <w:p>
      <w:pPr>
        <w:pStyle w:val="4"/>
        <w:pageBreakBefore w:val="0"/>
        <w:kinsoku/>
        <w:wordWrap/>
        <w:overflowPunct/>
        <w:topLinePunct w:val="0"/>
        <w:bidi w:val="0"/>
        <w:spacing w:line="588" w:lineRule="exact"/>
        <w:textAlignment w:val="auto"/>
        <w:rPr>
          <w:rStyle w:val="18"/>
          <w:rFonts w:ascii="Times New Roman" w:hAnsi="Times New Roman" w:eastAsia="仿宋"/>
          <w:b w:val="0"/>
          <w:bCs w:val="0"/>
          <w:caps w:val="0"/>
          <w:color w:val="000000" w:themeColor="text1"/>
          <w14:textFill>
            <w14:solidFill>
              <w14:schemeClr w14:val="tx1"/>
            </w14:solidFill>
          </w14:textFill>
        </w:rPr>
      </w:pPr>
      <w:bookmarkStart w:id="1" w:name="_Toc15377197"/>
      <w:bookmarkStart w:id="2" w:name="_Toc29349"/>
      <w:bookmarkStart w:id="3" w:name="_Toc21498"/>
      <w:bookmarkStart w:id="4" w:name="_Toc15396600"/>
      <w:r>
        <w:rPr>
          <w:rFonts w:hint="eastAsia" w:ascii="Times New Roman" w:hAnsi="Times New Roman" w:eastAsia="黑体"/>
          <w:b w:val="0"/>
          <w:caps w:val="0"/>
          <w:color w:val="000000" w:themeColor="text1"/>
          <w14:textFill>
            <w14:solidFill>
              <w14:schemeClr w14:val="tx1"/>
            </w14:solidFill>
          </w14:textFill>
        </w:rPr>
        <w:t>一、基</w:t>
      </w:r>
      <w:r>
        <w:rPr>
          <w:rStyle w:val="18"/>
          <w:rFonts w:hint="eastAsia" w:ascii="Times New Roman" w:hAnsi="Times New Roman" w:eastAsia="黑体"/>
          <w:b w:val="0"/>
          <w:bCs w:val="0"/>
          <w:caps w:val="0"/>
          <w:color w:val="000000" w:themeColor="text1"/>
          <w14:textFill>
            <w14:solidFill>
              <w14:schemeClr w14:val="tx1"/>
            </w14:solidFill>
          </w14:textFill>
        </w:rPr>
        <w:t>本职能及主要工作</w:t>
      </w:r>
      <w:bookmarkEnd w:id="1"/>
      <w:bookmarkEnd w:id="2"/>
      <w:bookmarkEnd w:id="3"/>
      <w:bookmarkEnd w:id="4"/>
    </w:p>
    <w:p>
      <w:pPr>
        <w:pStyle w:val="5"/>
        <w:bidi w:val="0"/>
        <w:ind w:firstLine="640" w:firstLineChars="200"/>
        <w:rPr>
          <w:rFonts w:hint="eastAsia" w:ascii="Times New Roman" w:hAnsi="Times New Roman" w:eastAsia="仿宋" w:cs="Times New Roman"/>
          <w:b w:val="0"/>
          <w:bCs/>
          <w:caps w:val="0"/>
          <w:color w:val="000000" w:themeColor="text1"/>
          <w:kern w:val="2"/>
          <w:sz w:val="32"/>
          <w:szCs w:val="32"/>
          <w:lang w:val="en-US" w:eastAsia="zh-CN" w:bidi="ar-SA"/>
          <w14:textFill>
            <w14:solidFill>
              <w14:schemeClr w14:val="tx1"/>
            </w14:solidFill>
          </w14:textFill>
        </w:rPr>
      </w:pPr>
      <w:bookmarkStart w:id="5" w:name="_Toc15378445"/>
      <w:bookmarkStart w:id="6" w:name="_Toc26761"/>
      <w:bookmarkStart w:id="7" w:name="_Toc15377198"/>
      <w:r>
        <w:rPr>
          <w:rFonts w:hint="eastAsia" w:ascii="Times New Roman" w:hAnsi="Times New Roman" w:eastAsia="仿宋" w:cs="Times New Roman"/>
          <w:b w:val="0"/>
          <w:bCs/>
          <w:caps w:val="0"/>
          <w:color w:val="000000" w:themeColor="text1"/>
          <w:kern w:val="2"/>
          <w:sz w:val="32"/>
          <w:szCs w:val="32"/>
          <w:lang w:val="en-US" w:eastAsia="zh-CN" w:bidi="ar-SA"/>
          <w14:textFill>
            <w14:solidFill>
              <w14:schemeClr w14:val="tx1"/>
            </w14:solidFill>
          </w14:textFill>
        </w:rPr>
        <w:t>（一）主要职能</w:t>
      </w:r>
      <w:bookmarkEnd w:id="5"/>
      <w:bookmarkEnd w:id="6"/>
      <w:bookmarkEnd w:id="7"/>
    </w:p>
    <w:p>
      <w:pPr>
        <w:pageBreakBefore w:val="0"/>
        <w:kinsoku/>
        <w:wordWrap/>
        <w:overflowPunct/>
        <w:topLinePunct w:val="0"/>
        <w:bidi w:val="0"/>
        <w:spacing w:line="588" w:lineRule="exact"/>
        <w:ind w:firstLine="640" w:firstLineChars="200"/>
        <w:textAlignment w:val="auto"/>
        <w:rPr>
          <w:rFonts w:ascii="Times New Roman" w:hAnsi="Times New Roman"/>
          <w:bCs/>
          <w:caps w:val="0"/>
          <w:color w:val="000000" w:themeColor="text1"/>
          <w:szCs w:val="32"/>
          <w14:textFill>
            <w14:solidFill>
              <w14:schemeClr w14:val="tx1"/>
            </w14:solidFill>
          </w14:textFill>
        </w:rPr>
      </w:pPr>
      <w:r>
        <w:rPr>
          <w:rFonts w:hint="eastAsia" w:ascii="Times New Roman" w:hAnsi="Times New Roman"/>
          <w:caps w:val="0"/>
          <w:color w:val="000000" w:themeColor="text1"/>
          <w14:textFill>
            <w14:solidFill>
              <w14:schemeClr w14:val="tx1"/>
            </w14:solidFill>
          </w14:textFill>
        </w:rPr>
        <w:t>自流井区飞龙峡镇人民政府贯彻执行上级国家行政机关的决定、命令和国家制定的法令、法规，接受同级党委的领导，执行本级人民代表大会的各项决议，并报告执行决议、决定和命令的情况。并落实本行政区域的经济计划和措施，促进产业结构调整及其他经济保持平衡协调发展，全面提高人民群众的生活水平和生活质量。</w:t>
      </w:r>
    </w:p>
    <w:p>
      <w:pPr>
        <w:pStyle w:val="5"/>
        <w:bidi w:val="0"/>
        <w:ind w:firstLine="640" w:firstLineChars="200"/>
        <w:rPr>
          <w:rFonts w:hint="eastAsia" w:ascii="仿宋" w:hAnsi="仿宋" w:eastAsia="仿宋" w:cs="仿宋"/>
          <w:b w:val="0"/>
          <w:bCs/>
        </w:rPr>
      </w:pPr>
      <w:bookmarkStart w:id="8" w:name="_Toc5605"/>
      <w:bookmarkStart w:id="9" w:name="_Toc15378446"/>
      <w:bookmarkStart w:id="10" w:name="_Toc15377199"/>
      <w:r>
        <w:rPr>
          <w:rFonts w:hint="eastAsia" w:ascii="仿宋" w:hAnsi="仿宋" w:eastAsia="仿宋" w:cs="仿宋"/>
          <w:b w:val="0"/>
          <w:bCs/>
        </w:rPr>
        <w:t>（二）2020年重点工作完成情况</w:t>
      </w:r>
      <w:bookmarkEnd w:id="8"/>
      <w:bookmarkEnd w:id="9"/>
      <w:bookmarkEnd w:id="10"/>
    </w:p>
    <w:p>
      <w:pPr>
        <w:pStyle w:val="2"/>
        <w:keepNext w:val="0"/>
        <w:keepLines w:val="0"/>
        <w:pageBreakBefore w:val="0"/>
        <w:widowControl w:val="0"/>
        <w:kinsoku/>
        <w:wordWrap/>
        <w:overflowPunct/>
        <w:topLinePunct w:val="0"/>
        <w:autoSpaceDE/>
        <w:autoSpaceDN/>
        <w:bidi w:val="0"/>
        <w:adjustRightInd w:val="0"/>
        <w:snapToGrid w:val="0"/>
        <w:spacing w:before="93" w:line="580" w:lineRule="exact"/>
        <w:ind w:firstLine="672" w:firstLineChars="210"/>
        <w:textAlignment w:val="auto"/>
        <w:outlineLvl w:val="2"/>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bookmarkStart w:id="11" w:name="_Toc871"/>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打赢疫情阻击战。临危受命、不惧风险，与病毒抢时间拼速度，连夜奋战增设全区医学集中观察点4个、床位160个，3天内完成全镇11个防控检查点布防，彻底切断传播风险，筑牢防控的铜墙铁壁。</w:t>
      </w:r>
      <w:bookmarkEnd w:id="11"/>
    </w:p>
    <w:p>
      <w:pPr>
        <w:pStyle w:val="2"/>
        <w:keepNext w:val="0"/>
        <w:keepLines w:val="0"/>
        <w:pageBreakBefore w:val="0"/>
        <w:widowControl w:val="0"/>
        <w:kinsoku/>
        <w:wordWrap/>
        <w:overflowPunct/>
        <w:topLinePunct w:val="0"/>
        <w:autoSpaceDE/>
        <w:autoSpaceDN/>
        <w:bidi w:val="0"/>
        <w:adjustRightInd w:val="0"/>
        <w:snapToGrid w:val="0"/>
        <w:spacing w:before="93" w:line="580" w:lineRule="exact"/>
        <w:ind w:firstLine="672" w:firstLineChars="210"/>
        <w:textAlignment w:val="auto"/>
        <w:outlineLvl w:val="2"/>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bookmarkStart w:id="12" w:name="_Toc12816"/>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着力推动重大项目。强化项目要素保障，上报</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蜀南水乡、养心谷项目</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440</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亩规划调整方案；</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获批项目建设用地34.8亩，新国田园综合体特色风情街地块39.4亩实现出让；安置房地块征地拆迁全面完成，蜀南水乡新签约拆迁协议10户；</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全域城乡建设用地增减</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挂钩试点项目一期复垦还耕438.7亩，结余建设用地指标391亩；国际养老社区天心窝酒店主体竣工。</w:t>
      </w:r>
      <w:bookmarkEnd w:id="12"/>
    </w:p>
    <w:p>
      <w:pPr>
        <w:pStyle w:val="2"/>
        <w:keepNext w:val="0"/>
        <w:keepLines w:val="0"/>
        <w:pageBreakBefore w:val="0"/>
        <w:widowControl w:val="0"/>
        <w:kinsoku/>
        <w:wordWrap/>
        <w:overflowPunct/>
        <w:topLinePunct w:val="0"/>
        <w:autoSpaceDE/>
        <w:autoSpaceDN/>
        <w:bidi w:val="0"/>
        <w:adjustRightInd w:val="0"/>
        <w:snapToGrid w:val="0"/>
        <w:spacing w:before="93" w:line="580" w:lineRule="exact"/>
        <w:ind w:firstLine="672" w:firstLineChars="210"/>
        <w:textAlignment w:val="auto"/>
        <w:outlineLvl w:val="2"/>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bookmarkStart w:id="13" w:name="_Toc30901"/>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加快特色农业产业化步伐，</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做优做强特色</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品牌，超2000亩的黄桃、脆李、柑橘等特色产业日益壮大，建设标准化养殖场2个，逐步形成产村共融的集体经济新模式。</w:t>
      </w:r>
      <w:bookmarkEnd w:id="13"/>
    </w:p>
    <w:p>
      <w:pPr>
        <w:pStyle w:val="2"/>
        <w:keepNext w:val="0"/>
        <w:keepLines w:val="0"/>
        <w:pageBreakBefore w:val="0"/>
        <w:widowControl w:val="0"/>
        <w:kinsoku/>
        <w:wordWrap/>
        <w:overflowPunct/>
        <w:topLinePunct w:val="0"/>
        <w:autoSpaceDE/>
        <w:autoSpaceDN/>
        <w:bidi w:val="0"/>
        <w:adjustRightInd w:val="0"/>
        <w:snapToGrid w:val="0"/>
        <w:spacing w:before="93" w:line="580" w:lineRule="exact"/>
        <w:ind w:firstLine="672" w:firstLineChars="210"/>
        <w:textAlignment w:val="auto"/>
        <w:outlineLvl w:val="2"/>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bookmarkStart w:id="14" w:name="_Toc17495"/>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基础设施完善提升。飞龙峡旅游快速通道实现通车，绕农团场镇道路启动桥梁建设，新改建村组道路6.9公里；投入1400万元提升改造漆树水厂、农团片区管网延伸，上万名群众期盼多年的饮水安全问题得到根本解决；顺利交付星星村、丁香村4个建新区283栋新房，宜居品质明显提高；建立完善“户分类、村收集、镇转运”垃圾处理体系。</w:t>
      </w:r>
      <w:bookmarkEnd w:id="14"/>
    </w:p>
    <w:p>
      <w:pPr>
        <w:keepNext w:val="0"/>
        <w:keepLines w:val="0"/>
        <w:pageBreakBefore w:val="0"/>
        <w:widowControl w:val="0"/>
        <w:kinsoku/>
        <w:wordWrap/>
        <w:overflowPunct/>
        <w:topLinePunct w:val="0"/>
        <w:autoSpaceDE/>
        <w:autoSpaceDN/>
        <w:bidi w:val="0"/>
        <w:spacing w:line="580" w:lineRule="exact"/>
        <w:ind w:firstLine="642"/>
        <w:textAlignment w:val="auto"/>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生态环境治理见效。全面推进小流域治理，河道清淤清障、植绿补绿1.2公里。完成</w:t>
      </w:r>
      <w:r>
        <w:rPr>
          <w:rFonts w:hint="eastAsia" w:ascii="Times New Roman" w:hAnsi="Times New Roman" w:eastAsia="仿宋_GB2312" w:cs="Times New Roman"/>
          <w:caps w:val="0"/>
          <w:color w:val="000000" w:themeColor="text1"/>
          <w:kern w:val="2"/>
          <w:sz w:val="32"/>
          <w:szCs w:val="24"/>
          <w:lang w:val="zh-CN" w:eastAsia="zh-CN" w:bidi="ar-SA"/>
          <w14:textFill>
            <w14:solidFill>
              <w14:schemeClr w14:val="tx1"/>
            </w14:solidFill>
          </w14:textFill>
        </w:rPr>
        <w:t>陡沟子水库</w:t>
      </w: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饮用水源地“划、立、治”重点任务；投入400万元除治松材线虫病树木2.6万株，死亡数较上年下降50%。建立四级网格联动巡查和无人机动态监查机制，全面推广秸秆粉碎还田，基本实现“零火点”全域禁烧目标。农业面源污染管控向精准化、规范化过渡，落实农药、化肥用量监测户60户。</w:t>
      </w:r>
      <w:bookmarkStart w:id="15" w:name="_Toc15396601"/>
      <w:bookmarkStart w:id="16" w:name="_Toc6092"/>
      <w:bookmarkStart w:id="17" w:name="_Toc15377200"/>
    </w:p>
    <w:p>
      <w:pPr>
        <w:keepNext w:val="0"/>
        <w:keepLines w:val="0"/>
        <w:pageBreakBefore w:val="0"/>
        <w:widowControl w:val="0"/>
        <w:kinsoku/>
        <w:wordWrap/>
        <w:overflowPunct/>
        <w:topLinePunct w:val="0"/>
        <w:autoSpaceDE/>
        <w:autoSpaceDN/>
        <w:bidi w:val="0"/>
        <w:spacing w:line="580" w:lineRule="exact"/>
        <w:ind w:firstLine="642"/>
        <w:textAlignment w:val="auto"/>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pP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创新“四治融合”乡村治理模式。新建丁香村、新国村“1+6”多功能党群服务中心，村级服务、自治能力显著提升。新国村被评为2020年四川省乡村治理示范村。</w:t>
      </w:r>
    </w:p>
    <w:p>
      <w:pPr>
        <w:numPr>
          <w:ilvl w:val="0"/>
          <w:numId w:val="1"/>
        </w:numPr>
        <w:spacing w:line="560" w:lineRule="exact"/>
        <w:ind w:firstLine="642"/>
        <w:outlineLvl w:val="1"/>
        <w:rPr>
          <w:rFonts w:hint="eastAsia" w:ascii="Times New Roman" w:hAnsi="Times New Roman" w:eastAsia="黑体"/>
          <w:b w:val="0"/>
          <w:caps w:val="0"/>
          <w:color w:val="000000" w:themeColor="text1"/>
          <w14:textFill>
            <w14:solidFill>
              <w14:schemeClr w14:val="tx1"/>
            </w14:solidFill>
          </w14:textFill>
        </w:rPr>
      </w:pPr>
      <w:bookmarkStart w:id="18" w:name="_Toc31849"/>
      <w:r>
        <w:rPr>
          <w:rFonts w:hint="eastAsia" w:ascii="Times New Roman" w:hAnsi="Times New Roman" w:eastAsia="黑体"/>
          <w:b w:val="0"/>
          <w:caps w:val="0"/>
          <w:color w:val="000000" w:themeColor="text1"/>
          <w14:textFill>
            <w14:solidFill>
              <w14:schemeClr w14:val="tx1"/>
            </w14:solidFill>
          </w14:textFill>
        </w:rPr>
        <w:t>机构设置</w:t>
      </w:r>
      <w:bookmarkEnd w:id="15"/>
      <w:bookmarkEnd w:id="16"/>
      <w:bookmarkEnd w:id="17"/>
      <w:bookmarkEnd w:id="18"/>
    </w:p>
    <w:p>
      <w:pPr>
        <w:pageBreakBefore w:val="0"/>
        <w:kinsoku/>
        <w:wordWrap/>
        <w:overflowPunct/>
        <w:topLinePunct w:val="0"/>
        <w:bidi w:val="0"/>
        <w:spacing w:line="588" w:lineRule="exact"/>
        <w:ind w:firstLine="640" w:firstLineChars="200"/>
        <w:textAlignment w:val="auto"/>
        <w:rPr>
          <w:rFonts w:hint="eastAsia" w:ascii="Times New Roman" w:hAnsi="Times New Roman"/>
          <w:caps w:val="0"/>
          <w:color w:val="000000" w:themeColor="text1"/>
          <w:lang w:val="en-US" w:eastAsia="zh-CN"/>
          <w14:textFill>
            <w14:solidFill>
              <w14:schemeClr w14:val="tx1"/>
            </w14:solidFill>
          </w14:textFill>
        </w:rPr>
        <w:sectPr>
          <w:footerReference r:id="rId4" w:type="default"/>
          <w:pgSz w:w="11906" w:h="16838"/>
          <w:pgMar w:top="2098" w:right="1474" w:bottom="1984" w:left="1587" w:header="851" w:footer="992" w:gutter="0"/>
          <w:pgNumType w:fmt="decimal" w:start="1"/>
          <w:cols w:space="425" w:num="1"/>
          <w:docGrid w:type="lines" w:linePitch="312" w:charSpace="0"/>
        </w:sectPr>
      </w:pPr>
      <w:r>
        <w:rPr>
          <w:rFonts w:hint="eastAsia" w:ascii="Times New Roman" w:hAnsi="Times New Roman"/>
          <w:caps w:val="0"/>
          <w:color w:val="000000" w:themeColor="text1"/>
          <w:lang w:val="en-US" w:eastAsia="zh-CN"/>
          <w14:textFill>
            <w14:solidFill>
              <w14:schemeClr w14:val="tx1"/>
            </w14:solidFill>
          </w14:textFill>
        </w:rPr>
        <w:t>飞龙峡镇人民政府，行政单位1个，核定行政编制数20人，在编在岗20人（含借调3人）；下属事业单位4个，核定事业编制数21人，在编在岗18人（含借调人员2人）。事业单位主要包括：便民服务中心、农业综合服务中心、村镇建设综合服务中心、文化旅游服务中心。</w:t>
      </w:r>
    </w:p>
    <w:p>
      <w:pPr>
        <w:pStyle w:val="3"/>
        <w:pageBreakBefore w:val="0"/>
        <w:kinsoku/>
        <w:wordWrap/>
        <w:overflowPunct/>
        <w:topLinePunct w:val="0"/>
        <w:bidi w:val="0"/>
        <w:spacing w:line="588" w:lineRule="exact"/>
        <w:jc w:val="center"/>
        <w:textAlignment w:val="auto"/>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pPr>
      <w:bookmarkStart w:id="19" w:name="_Toc15396602"/>
      <w:bookmarkStart w:id="20" w:name="_Toc15377204"/>
      <w:bookmarkStart w:id="21" w:name="_Toc22076"/>
      <w:bookmarkStart w:id="22" w:name="_Toc23109"/>
      <w:r>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t>第二部分</w:t>
      </w:r>
      <w:r>
        <w:rPr>
          <w:rFonts w:hint="eastAsia" w:eastAsia="方正小标宋_GBK" w:cs="Times New Roman"/>
          <w:b w:val="0"/>
          <w:bCs/>
          <w:caps w:val="0"/>
          <w:color w:val="000000" w:themeColor="text1"/>
          <w:kern w:val="2"/>
          <w:sz w:val="44"/>
          <w:szCs w:val="44"/>
          <w:lang w:val="en-US" w:eastAsia="zh-CN" w:bidi="ar-SA"/>
          <w14:textFill>
            <w14:solidFill>
              <w14:schemeClr w14:val="tx1"/>
            </w14:solidFill>
          </w14:textFill>
        </w:rPr>
        <w:t xml:space="preserve"> </w:t>
      </w:r>
      <w:r>
        <w:rPr>
          <w:rFonts w:hint="eastAsia" w:ascii="Times New Roman" w:hAnsi="Times New Roman" w:eastAsia="方正小标宋_GBK" w:cs="Times New Roman"/>
          <w:b w:val="0"/>
          <w:bCs/>
          <w:caps w:val="0"/>
          <w:color w:val="000000" w:themeColor="text1"/>
          <w:kern w:val="2"/>
          <w:sz w:val="44"/>
          <w:szCs w:val="44"/>
          <w:lang w:val="en-US" w:eastAsia="zh-CN" w:bidi="ar-SA"/>
          <w14:textFill>
            <w14:solidFill>
              <w14:schemeClr w14:val="tx1"/>
            </w14:solidFill>
          </w14:textFill>
        </w:rPr>
        <w:t>2020年度部门决算情况说明</w:t>
      </w:r>
      <w:bookmarkEnd w:id="19"/>
      <w:bookmarkEnd w:id="20"/>
      <w:bookmarkEnd w:id="21"/>
      <w:bookmarkEnd w:id="22"/>
      <w:bookmarkStart w:id="23" w:name="_Toc7163"/>
      <w:bookmarkStart w:id="24" w:name="_Toc15377205"/>
      <w:bookmarkStart w:id="25" w:name="_Toc15396603"/>
    </w:p>
    <w:p>
      <w:pPr>
        <w:rPr>
          <w:rFonts w:hint="eastAsia"/>
          <w:lang w:val="en-US" w:eastAsia="zh-CN"/>
        </w:rPr>
      </w:pPr>
    </w:p>
    <w:p>
      <w:pPr>
        <w:pStyle w:val="4"/>
        <w:pageBreakBefore w:val="0"/>
        <w:kinsoku/>
        <w:wordWrap/>
        <w:overflowPunct/>
        <w:topLinePunct w:val="0"/>
        <w:bidi w:val="0"/>
        <w:spacing w:line="588" w:lineRule="exact"/>
        <w:textAlignment w:val="auto"/>
        <w:rPr>
          <w:rFonts w:hint="eastAsia" w:ascii="Times New Roman" w:hAnsi="Times New Roman" w:eastAsia="黑体"/>
          <w:b w:val="0"/>
          <w:caps w:val="0"/>
          <w:color w:val="000000" w:themeColor="text1"/>
          <w:lang w:val="en-US" w:eastAsia="zh-CN"/>
          <w14:textFill>
            <w14:solidFill>
              <w14:schemeClr w14:val="tx1"/>
            </w14:solidFill>
          </w14:textFill>
        </w:rPr>
      </w:pPr>
      <w:bookmarkStart w:id="26" w:name="_Toc2525"/>
      <w:r>
        <w:rPr>
          <w:rFonts w:hint="eastAsia" w:ascii="Times New Roman" w:hAnsi="Times New Roman" w:eastAsia="黑体"/>
          <w:b w:val="0"/>
          <w:caps w:val="0"/>
          <w:color w:val="000000" w:themeColor="text1"/>
          <w:lang w:val="en-US" w:eastAsia="zh-CN"/>
          <w14:textFill>
            <w14:solidFill>
              <w14:schemeClr w14:val="tx1"/>
            </w14:solidFill>
          </w14:textFill>
        </w:rPr>
        <w:t>一、收入支出决算总体情况说明</w:t>
      </w:r>
      <w:bookmarkEnd w:id="23"/>
      <w:bookmarkEnd w:id="24"/>
      <w:bookmarkEnd w:id="25"/>
      <w:bookmarkEnd w:id="26"/>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lang w:val="en-US" w:eastAsia="zh-CN"/>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年度收、支总计</w:t>
      </w:r>
      <w:r>
        <w:rPr>
          <w:rFonts w:ascii="Times New Roman" w:hAnsi="Times New Roman" w:eastAsia="仿宋"/>
          <w:caps w:val="0"/>
          <w:color w:val="000000" w:themeColor="text1"/>
          <w:szCs w:val="32"/>
          <w14:textFill>
            <w14:solidFill>
              <w14:schemeClr w14:val="tx1"/>
            </w14:solidFill>
          </w14:textFill>
        </w:rPr>
        <w:t>1920.85</w:t>
      </w:r>
      <w:r>
        <w:rPr>
          <w:rFonts w:hint="eastAsia" w:ascii="Times New Roman" w:hAnsi="Times New Roman" w:eastAsia="仿宋"/>
          <w:caps w:val="0"/>
          <w:color w:val="000000" w:themeColor="text1"/>
          <w:szCs w:val="32"/>
          <w14:textFill>
            <w14:solidFill>
              <w14:schemeClr w14:val="tx1"/>
            </w14:solidFill>
          </w14:textFill>
        </w:rPr>
        <w:t>万元。与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年相比，收、支总计各增加</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减少</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万元，增长</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下降</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。主要变动我镇是由原农团乡和原漆树乡于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w:t>
      </w:r>
      <w:r>
        <w:rPr>
          <w:rFonts w:ascii="Times New Roman" w:hAnsi="Times New Roman" w:eastAsia="仿宋"/>
          <w:caps w:val="0"/>
          <w:color w:val="000000" w:themeColor="text1"/>
          <w:szCs w:val="32"/>
          <w14:textFill>
            <w14:solidFill>
              <w14:schemeClr w14:val="tx1"/>
            </w14:solidFill>
          </w14:textFill>
        </w:rPr>
        <w:t>9</w:t>
      </w:r>
      <w:r>
        <w:rPr>
          <w:rFonts w:hint="eastAsia" w:ascii="Times New Roman" w:hAnsi="Times New Roman" w:eastAsia="仿宋"/>
          <w:caps w:val="0"/>
          <w:color w:val="000000" w:themeColor="text1"/>
          <w:szCs w:val="32"/>
          <w14:textFill>
            <w14:solidFill>
              <w14:schemeClr w14:val="tx1"/>
            </w14:solidFill>
          </w14:textFill>
        </w:rPr>
        <w:t>月合并新成立，故不与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年做比</w:t>
      </w:r>
      <w:r>
        <w:rPr>
          <w:rFonts w:hint="eastAsia" w:ascii="Times New Roman" w:hAnsi="Times New Roman" w:eastAsia="仿宋"/>
          <w:caps w:val="0"/>
          <w:color w:val="000000" w:themeColor="text1"/>
          <w:szCs w:val="32"/>
          <w:lang w:val="en-US" w:eastAsia="zh-CN"/>
          <w14:textFill>
            <w14:solidFill>
              <w14:schemeClr w14:val="tx1"/>
            </w14:solidFill>
          </w14:textFill>
        </w:rPr>
        <w:t>较。</w:t>
      </w:r>
    </w:p>
    <w:p>
      <w:pPr>
        <w:pageBreakBefore w:val="0"/>
        <w:kinsoku/>
        <w:wordWrap/>
        <w:overflowPunct/>
        <w:topLinePunct w:val="0"/>
        <w:bidi w:val="0"/>
        <w:spacing w:line="588" w:lineRule="exact"/>
        <w:jc w:val="center"/>
        <w:textAlignment w:val="auto"/>
        <w:rPr>
          <w:rFonts w:hint="eastAsia"/>
          <w:lang w:val="en-US" w:eastAsia="zh-CN"/>
        </w:rPr>
      </w:pPr>
      <w:r>
        <w:rPr>
          <w:rFonts w:hint="eastAsia"/>
          <w:lang w:val="en-US" w:eastAsia="zh-CN"/>
        </w:rPr>
        <w:drawing>
          <wp:anchor distT="0" distB="0" distL="114300" distR="114300" simplePos="0" relativeHeight="251660288" behindDoc="0" locked="0" layoutInCell="1" allowOverlap="1">
            <wp:simplePos x="0" y="0"/>
            <wp:positionH relativeFrom="column">
              <wp:posOffset>348615</wp:posOffset>
            </wp:positionH>
            <wp:positionV relativeFrom="page">
              <wp:posOffset>4763770</wp:posOffset>
            </wp:positionV>
            <wp:extent cx="5080000" cy="3926840"/>
            <wp:effectExtent l="4445" t="4445" r="20955" b="12065"/>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Times New Roman" w:hAnsi="Times New Roman" w:eastAsia="仿宋"/>
          <w:caps w:val="0"/>
          <w:color w:val="000000" w:themeColor="text1"/>
          <w:szCs w:val="32"/>
          <w14:textFill>
            <w14:solidFill>
              <w14:schemeClr w14:val="tx1"/>
            </w14:solidFill>
          </w14:textFill>
        </w:rPr>
        <w:t>图1：收、支决算总计变动情况图</w:t>
      </w:r>
    </w:p>
    <w:p>
      <w:pPr>
        <w:pStyle w:val="23"/>
        <w:pageBreakBefore w:val="0"/>
        <w:numPr>
          <w:ilvl w:val="0"/>
          <w:numId w:val="0"/>
        </w:numPr>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27" w:name="_Toc15377206"/>
      <w:bookmarkStart w:id="28" w:name="_Toc25258"/>
      <w:bookmarkStart w:id="29" w:name="_Toc5666"/>
      <w:bookmarkStart w:id="30" w:name="_Toc15396604"/>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二、收入决算情况说明</w:t>
      </w:r>
      <w:bookmarkEnd w:id="27"/>
      <w:bookmarkEnd w:id="28"/>
      <w:bookmarkEnd w:id="29"/>
      <w:bookmarkEnd w:id="30"/>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年本年收入合计</w:t>
      </w:r>
      <w:r>
        <w:rPr>
          <w:rFonts w:ascii="Times New Roman" w:hAnsi="Times New Roman" w:eastAsia="仿宋"/>
          <w:caps w:val="0"/>
          <w:color w:val="000000" w:themeColor="text1"/>
          <w:szCs w:val="32"/>
          <w14:textFill>
            <w14:solidFill>
              <w14:schemeClr w14:val="tx1"/>
            </w14:solidFill>
          </w14:textFill>
        </w:rPr>
        <w:t>1920.85</w:t>
      </w:r>
      <w:r>
        <w:rPr>
          <w:rFonts w:hint="eastAsia" w:ascii="Times New Roman" w:hAnsi="Times New Roman" w:eastAsia="仿宋"/>
          <w:caps w:val="0"/>
          <w:color w:val="000000" w:themeColor="text1"/>
          <w:szCs w:val="32"/>
          <w14:textFill>
            <w14:solidFill>
              <w14:schemeClr w14:val="tx1"/>
            </w14:solidFill>
          </w14:textFill>
        </w:rPr>
        <w:t>万元，其中：一般公共预算财政拨款收入</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96.08%</w:t>
      </w:r>
      <w:r>
        <w:rPr>
          <w:rFonts w:hint="eastAsia" w:ascii="Times New Roman" w:hAnsi="Times New Roman" w:eastAsia="仿宋"/>
          <w:caps w:val="0"/>
          <w:color w:val="000000" w:themeColor="text1"/>
          <w:szCs w:val="32"/>
          <w14:textFill>
            <w14:solidFill>
              <w14:schemeClr w14:val="tx1"/>
            </w14:solidFill>
          </w14:textFill>
        </w:rPr>
        <w:t>；政府性基金预算财政拨款收入</w:t>
      </w:r>
      <w:r>
        <w:rPr>
          <w:rFonts w:ascii="Times New Roman" w:hAnsi="Times New Roman" w:eastAsia="仿宋"/>
          <w:caps w:val="0"/>
          <w:color w:val="000000" w:themeColor="text1"/>
          <w:szCs w:val="32"/>
          <w14:textFill>
            <w14:solidFill>
              <w14:schemeClr w14:val="tx1"/>
            </w14:solidFill>
          </w14:textFill>
        </w:rPr>
        <w:t>75.34</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3.92%</w:t>
      </w:r>
      <w:r>
        <w:rPr>
          <w:rFonts w:hint="eastAsia" w:ascii="Times New Roman" w:hAnsi="Times New Roman" w:eastAsia="仿宋"/>
          <w:caps w:val="0"/>
          <w:color w:val="000000" w:themeColor="text1"/>
          <w:szCs w:val="32"/>
          <w14:textFill>
            <w14:solidFill>
              <w14:schemeClr w14:val="tx1"/>
            </w14:solidFill>
          </w14:textFill>
        </w:rPr>
        <w:t>。</w:t>
      </w: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eastAsia="仿宋_GB2312"/>
          <w:lang w:eastAsia="zh-CN"/>
        </w:rPr>
      </w:pPr>
      <w:r>
        <w:rPr>
          <w:rFonts w:hint="eastAsia" w:ascii="Times New Roman" w:hAnsi="Times New Roman" w:eastAsia="仿宋"/>
          <w:caps w:val="0"/>
          <w:color w:val="000000" w:themeColor="text1"/>
          <w:szCs w:val="32"/>
          <w14:textFill>
            <w14:solidFill>
              <w14:schemeClr w14:val="tx1"/>
            </w14:solidFill>
          </w14:textFill>
        </w:rPr>
        <w:t>图2：收入决算结构图</w:t>
      </w:r>
      <w:r>
        <w:rPr>
          <w:rFonts w:hint="eastAsia" w:eastAsia="仿宋_GB2312"/>
          <w:lang w:eastAsia="zh-CN"/>
        </w:rPr>
        <w:drawing>
          <wp:anchor distT="0" distB="0" distL="114300" distR="114300" simplePos="0" relativeHeight="251661312" behindDoc="0" locked="0" layoutInCell="1" allowOverlap="1">
            <wp:simplePos x="0" y="0"/>
            <wp:positionH relativeFrom="column">
              <wp:posOffset>232410</wp:posOffset>
            </wp:positionH>
            <wp:positionV relativeFrom="page">
              <wp:posOffset>3277870</wp:posOffset>
            </wp:positionV>
            <wp:extent cx="5080000" cy="3810000"/>
            <wp:effectExtent l="4445" t="4445" r="20955" b="1460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3"/>
        <w:pageBreakBefore w:val="0"/>
        <w:numPr>
          <w:ilvl w:val="0"/>
          <w:numId w:val="0"/>
        </w:numPr>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31" w:name="_Toc31880"/>
      <w:bookmarkStart w:id="32" w:name="_Toc13725"/>
      <w:bookmarkStart w:id="33" w:name="_Toc15396605"/>
      <w:bookmarkStart w:id="34" w:name="_Toc15377207"/>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三、支出决算情况说明</w:t>
      </w:r>
      <w:bookmarkEnd w:id="31"/>
      <w:bookmarkEnd w:id="32"/>
      <w:bookmarkEnd w:id="33"/>
      <w:bookmarkEnd w:id="34"/>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年本年支出合计</w:t>
      </w:r>
      <w:r>
        <w:rPr>
          <w:rFonts w:ascii="Times New Roman" w:hAnsi="Times New Roman" w:eastAsia="仿宋"/>
          <w:caps w:val="0"/>
          <w:color w:val="000000" w:themeColor="text1"/>
          <w:szCs w:val="32"/>
          <w14:textFill>
            <w14:solidFill>
              <w14:schemeClr w14:val="tx1"/>
            </w14:solidFill>
          </w14:textFill>
        </w:rPr>
        <w:t>1920.84</w:t>
      </w:r>
      <w:r>
        <w:rPr>
          <w:rFonts w:hint="eastAsia" w:ascii="Times New Roman" w:hAnsi="Times New Roman" w:eastAsia="仿宋"/>
          <w:caps w:val="0"/>
          <w:color w:val="000000" w:themeColor="text1"/>
          <w:szCs w:val="32"/>
          <w14:textFill>
            <w14:solidFill>
              <w14:schemeClr w14:val="tx1"/>
            </w14:solidFill>
          </w14:textFill>
        </w:rPr>
        <w:t>万元，其中</w:t>
      </w:r>
      <w:r>
        <w:rPr>
          <w:rFonts w:hint="eastAsia" w:eastAsia="仿宋"/>
          <w:caps w:val="0"/>
          <w:color w:val="000000" w:themeColor="text1"/>
          <w:szCs w:val="32"/>
          <w:lang w:eastAsia="zh-CN"/>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基本支出</w:t>
      </w:r>
      <w:r>
        <w:rPr>
          <w:rFonts w:ascii="Times New Roman" w:hAnsi="Times New Roman" w:eastAsia="仿宋"/>
          <w:caps w:val="0"/>
          <w:color w:val="000000" w:themeColor="text1"/>
          <w:szCs w:val="32"/>
          <w14:textFill>
            <w14:solidFill>
              <w14:schemeClr w14:val="tx1"/>
            </w14:solidFill>
          </w14:textFill>
        </w:rPr>
        <w:t>1015.39</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52.86%</w:t>
      </w:r>
      <w:r>
        <w:rPr>
          <w:rFonts w:hint="eastAsia" w:ascii="Times New Roman" w:hAnsi="Times New Roman" w:eastAsia="仿宋"/>
          <w:caps w:val="0"/>
          <w:color w:val="000000" w:themeColor="text1"/>
          <w:szCs w:val="32"/>
          <w14:textFill>
            <w14:solidFill>
              <w14:schemeClr w14:val="tx1"/>
            </w14:solidFill>
          </w14:textFill>
        </w:rPr>
        <w:t>；项目支出</w:t>
      </w:r>
      <w:r>
        <w:rPr>
          <w:rFonts w:ascii="Times New Roman" w:hAnsi="Times New Roman" w:eastAsia="仿宋"/>
          <w:caps w:val="0"/>
          <w:color w:val="000000" w:themeColor="text1"/>
          <w:szCs w:val="32"/>
          <w14:textFill>
            <w14:solidFill>
              <w14:schemeClr w14:val="tx1"/>
            </w14:solidFill>
          </w14:textFill>
        </w:rPr>
        <w:t>905.45</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47.14%</w:t>
      </w:r>
      <w:r>
        <w:rPr>
          <w:rFonts w:hint="eastAsia" w:ascii="Times New Roman" w:hAnsi="Times New Roman" w:eastAsia="仿宋"/>
          <w:caps w:val="0"/>
          <w:color w:val="000000" w:themeColor="text1"/>
          <w:szCs w:val="32"/>
          <w14:textFill>
            <w14:solidFill>
              <w14:schemeClr w14:val="tx1"/>
            </w14:solidFill>
          </w14:textFill>
        </w:rPr>
        <w:t>。</w:t>
      </w: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eastAsia="仿宋_GB2312"/>
          <w:lang w:eastAsia="zh-CN"/>
        </w:rPr>
      </w:pPr>
      <w:r>
        <w:rPr>
          <w:rFonts w:hint="eastAsia" w:ascii="Times New Roman" w:hAnsi="Times New Roman" w:eastAsia="仿宋"/>
          <w:caps w:val="0"/>
          <w:color w:val="000000" w:themeColor="text1"/>
          <w:szCs w:val="32"/>
          <w14:textFill>
            <w14:solidFill>
              <w14:schemeClr w14:val="tx1"/>
            </w14:solidFill>
          </w14:textFill>
        </w:rPr>
        <w:t>图3：支出决算结构图</w:t>
      </w:r>
      <w:r>
        <w:rPr>
          <w:rFonts w:hint="eastAsia" w:eastAsia="仿宋_GB2312"/>
          <w:lang w:eastAsia="zh-CN"/>
        </w:rPr>
        <w:drawing>
          <wp:anchor distT="0" distB="0" distL="114300" distR="114300" simplePos="0" relativeHeight="251659264" behindDoc="0" locked="0" layoutInCell="1" allowOverlap="1">
            <wp:simplePos x="0" y="0"/>
            <wp:positionH relativeFrom="column">
              <wp:posOffset>266700</wp:posOffset>
            </wp:positionH>
            <wp:positionV relativeFrom="page">
              <wp:posOffset>1560830</wp:posOffset>
            </wp:positionV>
            <wp:extent cx="5080000" cy="3810000"/>
            <wp:effectExtent l="4445" t="4445" r="20955" b="1460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35" w:name="_Toc15396606"/>
      <w:bookmarkStart w:id="36" w:name="_Toc15377208"/>
      <w:bookmarkStart w:id="37" w:name="_Toc10354"/>
      <w:bookmarkStart w:id="38" w:name="_Toc26018"/>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四、财政拨款收入支出决算总体情况说明</w:t>
      </w:r>
      <w:bookmarkEnd w:id="35"/>
      <w:bookmarkEnd w:id="36"/>
      <w:bookmarkEnd w:id="37"/>
      <w:bookmarkEnd w:id="38"/>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年财政拨款收、支总计</w:t>
      </w:r>
      <w:r>
        <w:rPr>
          <w:rFonts w:ascii="Times New Roman" w:hAnsi="Times New Roman" w:eastAsia="仿宋"/>
          <w:caps w:val="0"/>
          <w:color w:val="000000" w:themeColor="text1"/>
          <w:szCs w:val="32"/>
          <w14:textFill>
            <w14:solidFill>
              <w14:schemeClr w14:val="tx1"/>
            </w14:solidFill>
          </w14:textFill>
        </w:rPr>
        <w:t>1920.84</w:t>
      </w:r>
      <w:r>
        <w:rPr>
          <w:rFonts w:hint="eastAsia" w:ascii="Times New Roman" w:hAnsi="Times New Roman" w:eastAsia="仿宋"/>
          <w:caps w:val="0"/>
          <w:color w:val="000000" w:themeColor="text1"/>
          <w:szCs w:val="32"/>
          <w14:textFill>
            <w14:solidFill>
              <w14:schemeClr w14:val="tx1"/>
            </w14:solidFill>
          </w14:textFill>
        </w:rPr>
        <w:t>万元。与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年相比，财政拨款收、支总计各增加</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减少</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万元，增长</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下降</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。主要变动原因是我镇是由原农团乡和原漆树乡于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w:t>
      </w:r>
      <w:r>
        <w:rPr>
          <w:rFonts w:ascii="Times New Roman" w:hAnsi="Times New Roman" w:eastAsia="仿宋"/>
          <w:caps w:val="0"/>
          <w:color w:val="000000" w:themeColor="text1"/>
          <w:szCs w:val="32"/>
          <w14:textFill>
            <w14:solidFill>
              <w14:schemeClr w14:val="tx1"/>
            </w14:solidFill>
          </w14:textFill>
        </w:rPr>
        <w:t>9</w:t>
      </w:r>
      <w:r>
        <w:rPr>
          <w:rFonts w:hint="eastAsia" w:ascii="Times New Roman" w:hAnsi="Times New Roman" w:eastAsia="仿宋"/>
          <w:caps w:val="0"/>
          <w:color w:val="000000" w:themeColor="text1"/>
          <w:szCs w:val="32"/>
          <w14:textFill>
            <w14:solidFill>
              <w14:schemeClr w14:val="tx1"/>
            </w14:solidFill>
          </w14:textFill>
        </w:rPr>
        <w:t>月合并新成立，故不与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年做比较。</w:t>
      </w: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ascii="Times New Roman" w:hAnsi="Times New Roman" w:eastAsia="仿宋"/>
          <w:caps w:val="0"/>
          <w:color w:val="000000" w:themeColor="text1"/>
          <w:szCs w:val="32"/>
          <w14:textFill>
            <w14:solidFill>
              <w14:schemeClr w14:val="tx1"/>
            </w14:solidFill>
          </w14:textFill>
        </w:rPr>
      </w:pPr>
    </w:p>
    <w:p>
      <w:pPr>
        <w:pageBreakBefore w:val="0"/>
        <w:kinsoku/>
        <w:wordWrap/>
        <w:overflowPunct/>
        <w:topLinePunct w:val="0"/>
        <w:bidi w:val="0"/>
        <w:spacing w:line="588" w:lineRule="exact"/>
        <w:jc w:val="center"/>
        <w:textAlignment w:val="auto"/>
        <w:rPr>
          <w:rFonts w:hint="eastAsia" w:eastAsia="仿宋_GB2312"/>
          <w:lang w:eastAsia="zh-CN"/>
        </w:rPr>
      </w:pPr>
      <w:r>
        <w:rPr>
          <w:rFonts w:hint="eastAsia" w:ascii="Times New Roman" w:hAnsi="Times New Roman" w:eastAsia="仿宋"/>
          <w:caps w:val="0"/>
          <w:color w:val="000000" w:themeColor="text1"/>
          <w:szCs w:val="32"/>
          <w14:textFill>
            <w14:solidFill>
              <w14:schemeClr w14:val="tx1"/>
            </w14:solidFill>
          </w14:textFill>
        </w:rPr>
        <w:t>图4：财政拨款收、支决算总计变动情况</w:t>
      </w:r>
      <w:r>
        <w:rPr>
          <w:rFonts w:hint="eastAsia" w:eastAsia="仿宋_GB2312"/>
          <w:lang w:eastAsia="zh-CN"/>
        </w:rPr>
        <w:drawing>
          <wp:anchor distT="0" distB="0" distL="114300" distR="114300" simplePos="0" relativeHeight="251662336" behindDoc="0" locked="0" layoutInCell="1" allowOverlap="1">
            <wp:simplePos x="0" y="0"/>
            <wp:positionH relativeFrom="column">
              <wp:posOffset>435610</wp:posOffset>
            </wp:positionH>
            <wp:positionV relativeFrom="page">
              <wp:posOffset>1506855</wp:posOffset>
            </wp:positionV>
            <wp:extent cx="5080000" cy="3810000"/>
            <wp:effectExtent l="4445" t="4445" r="20955" b="1460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39" w:name="_Toc10967"/>
      <w:bookmarkStart w:id="40" w:name="_Toc15377209"/>
      <w:bookmarkStart w:id="41" w:name="_Toc15396607"/>
      <w:bookmarkStart w:id="42" w:name="_Toc23458"/>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五、一般公共预算财政拨款支出决算情况说明</w:t>
      </w:r>
      <w:bookmarkEnd w:id="39"/>
      <w:bookmarkEnd w:id="40"/>
      <w:bookmarkEnd w:id="41"/>
      <w:bookmarkEnd w:id="42"/>
    </w:p>
    <w:p>
      <w:pPr>
        <w:pageBreakBefore w:val="0"/>
        <w:kinsoku/>
        <w:wordWrap/>
        <w:overflowPunct/>
        <w:topLinePunct w:val="0"/>
        <w:bidi w:val="0"/>
        <w:spacing w:line="588" w:lineRule="exact"/>
        <w:ind w:firstLine="643" w:firstLineChars="20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43" w:name="_Toc4907"/>
      <w:bookmarkStart w:id="44" w:name="_Toc15377210"/>
      <w:r>
        <w:rPr>
          <w:rFonts w:hint="eastAsia" w:ascii="Times New Roman" w:hAnsi="Times New Roman" w:eastAsia="仿宋"/>
          <w:b/>
          <w:caps w:val="0"/>
          <w:color w:val="000000" w:themeColor="text1"/>
          <w:szCs w:val="32"/>
          <w14:textFill>
            <w14:solidFill>
              <w14:schemeClr w14:val="tx1"/>
            </w14:solidFill>
          </w14:textFill>
        </w:rPr>
        <w:t>（一）一般公共预算财政拨款支出决算总体情况</w:t>
      </w:r>
      <w:bookmarkEnd w:id="43"/>
      <w:bookmarkEnd w:id="44"/>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年一般公共预算财政拨款支出</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万元，占本年支出合计的</w:t>
      </w:r>
      <w:r>
        <w:rPr>
          <w:rFonts w:ascii="Times New Roman" w:hAnsi="Times New Roman" w:eastAsia="仿宋"/>
          <w:caps w:val="0"/>
          <w:color w:val="000000" w:themeColor="text1"/>
          <w:szCs w:val="32"/>
          <w14:textFill>
            <w14:solidFill>
              <w14:schemeClr w14:val="tx1"/>
            </w14:solidFill>
          </w14:textFill>
        </w:rPr>
        <w:t>96.08%</w:t>
      </w:r>
      <w:r>
        <w:rPr>
          <w:rFonts w:hint="eastAsia" w:ascii="Times New Roman" w:hAnsi="Times New Roman" w:eastAsia="仿宋"/>
          <w:caps w:val="0"/>
          <w:color w:val="000000" w:themeColor="text1"/>
          <w:szCs w:val="32"/>
          <w14:textFill>
            <w14:solidFill>
              <w14:schemeClr w14:val="tx1"/>
            </w14:solidFill>
          </w14:textFill>
        </w:rPr>
        <w:t>。与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年相比，一般公共预算财政拨款增加</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减少</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万元，增长</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下降</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。主要变动原因是</w:t>
      </w:r>
      <w:bookmarkStart w:id="45" w:name="_Toc15377211"/>
      <w:r>
        <w:rPr>
          <w:rFonts w:hint="eastAsia" w:ascii="Times New Roman" w:hAnsi="Times New Roman" w:eastAsia="仿宋"/>
          <w:caps w:val="0"/>
          <w:color w:val="000000" w:themeColor="text1"/>
          <w:szCs w:val="32"/>
          <w14:textFill>
            <w14:solidFill>
              <w14:schemeClr w14:val="tx1"/>
            </w14:solidFill>
          </w14:textFill>
        </w:rPr>
        <w:t>我镇是由原农团乡和原漆树乡于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w:t>
      </w:r>
      <w:r>
        <w:rPr>
          <w:rFonts w:ascii="Times New Roman" w:hAnsi="Times New Roman" w:eastAsia="仿宋"/>
          <w:caps w:val="0"/>
          <w:color w:val="000000" w:themeColor="text1"/>
          <w:szCs w:val="32"/>
          <w14:textFill>
            <w14:solidFill>
              <w14:schemeClr w14:val="tx1"/>
            </w14:solidFill>
          </w14:textFill>
        </w:rPr>
        <w:t>9</w:t>
      </w:r>
      <w:r>
        <w:rPr>
          <w:rFonts w:hint="eastAsia" w:ascii="Times New Roman" w:hAnsi="Times New Roman" w:eastAsia="仿宋"/>
          <w:caps w:val="0"/>
          <w:color w:val="000000" w:themeColor="text1"/>
          <w:szCs w:val="32"/>
          <w14:textFill>
            <w14:solidFill>
              <w14:schemeClr w14:val="tx1"/>
            </w14:solidFill>
          </w14:textFill>
        </w:rPr>
        <w:t>月合并新成立，故不与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年做比较。</w:t>
      </w:r>
    </w:p>
    <w:p>
      <w:pPr>
        <w:spacing w:line="600" w:lineRule="exact"/>
        <w:jc w:val="center"/>
        <w:rPr>
          <w:rStyle w:val="14"/>
          <w:rFonts w:hint="eastAsia" w:ascii="Times New Roman" w:hAnsi="Times New Roman" w:eastAsia="仿宋"/>
          <w:b w:val="0"/>
          <w:bCs/>
          <w:caps w:val="0"/>
          <w:color w:val="000000" w:themeColor="text1"/>
          <w:szCs w:val="32"/>
          <w14:textFill>
            <w14:solidFill>
              <w14:schemeClr w14:val="tx1"/>
            </w14:solidFill>
          </w14:textFill>
        </w:rPr>
      </w:pPr>
    </w:p>
    <w:p>
      <w:pPr>
        <w:spacing w:line="600" w:lineRule="exact"/>
        <w:jc w:val="center"/>
        <w:rPr>
          <w:rStyle w:val="14"/>
          <w:rFonts w:hint="eastAsia" w:ascii="Times New Roman" w:hAnsi="Times New Roman" w:eastAsia="仿宋"/>
          <w:b w:val="0"/>
          <w:bCs/>
          <w:caps w:val="0"/>
          <w:color w:val="000000" w:themeColor="text1"/>
          <w:szCs w:val="32"/>
          <w14:textFill>
            <w14:solidFill>
              <w14:schemeClr w14:val="tx1"/>
            </w14:solidFill>
          </w14:textFill>
        </w:rPr>
      </w:pPr>
    </w:p>
    <w:p>
      <w:pPr>
        <w:spacing w:line="600" w:lineRule="exact"/>
        <w:jc w:val="center"/>
        <w:rPr>
          <w:rStyle w:val="14"/>
          <w:rFonts w:hint="eastAsia" w:ascii="Times New Roman" w:hAnsi="Times New Roman" w:eastAsia="仿宋"/>
          <w:b w:val="0"/>
          <w:bCs/>
          <w:caps w:val="0"/>
          <w:color w:val="000000" w:themeColor="text1"/>
          <w:szCs w:val="32"/>
          <w14:textFill>
            <w14:solidFill>
              <w14:schemeClr w14:val="tx1"/>
            </w14:solidFill>
          </w14:textFill>
        </w:rPr>
      </w:pPr>
    </w:p>
    <w:p>
      <w:pPr>
        <w:spacing w:line="600" w:lineRule="exact"/>
        <w:jc w:val="center"/>
      </w:pPr>
      <w:r>
        <w:rPr>
          <w:rStyle w:val="14"/>
          <w:rFonts w:hint="eastAsia" w:ascii="Times New Roman" w:hAnsi="Times New Roman" w:eastAsia="仿宋"/>
          <w:b w:val="0"/>
          <w:bCs/>
          <w:caps w:val="0"/>
          <w:color w:val="000000" w:themeColor="text1"/>
          <w:szCs w:val="32"/>
          <w14:textFill>
            <w14:solidFill>
              <w14:schemeClr w14:val="tx1"/>
            </w14:solidFill>
          </w14:textFill>
        </w:rPr>
        <w:t>图5：一般公共预算财政拨款支出决算变动情况</w:t>
      </w:r>
      <w:r>
        <w:rPr>
          <w:rFonts w:hint="eastAsia" w:eastAsia="仿宋_GB2312"/>
          <w:lang w:eastAsia="zh-CN"/>
        </w:rPr>
        <w:drawing>
          <wp:anchor distT="0" distB="0" distL="114300" distR="114300" simplePos="0" relativeHeight="251663360" behindDoc="0" locked="0" layoutInCell="1" allowOverlap="1">
            <wp:simplePos x="0" y="0"/>
            <wp:positionH relativeFrom="column">
              <wp:posOffset>221615</wp:posOffset>
            </wp:positionH>
            <wp:positionV relativeFrom="page">
              <wp:posOffset>1403350</wp:posOffset>
            </wp:positionV>
            <wp:extent cx="5080000" cy="3810000"/>
            <wp:effectExtent l="4445" t="4445" r="20955" b="14605"/>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ageBreakBefore w:val="0"/>
        <w:kinsoku/>
        <w:wordWrap/>
        <w:overflowPunct/>
        <w:topLinePunct w:val="0"/>
        <w:bidi w:val="0"/>
        <w:spacing w:line="588" w:lineRule="exact"/>
        <w:ind w:firstLine="643" w:firstLineChars="20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46" w:name="_Toc22435"/>
      <w:r>
        <w:rPr>
          <w:rFonts w:hint="eastAsia" w:ascii="Times New Roman" w:hAnsi="Times New Roman" w:eastAsia="仿宋"/>
          <w:b/>
          <w:caps w:val="0"/>
          <w:color w:val="000000" w:themeColor="text1"/>
          <w:szCs w:val="32"/>
          <w14:textFill>
            <w14:solidFill>
              <w14:schemeClr w14:val="tx1"/>
            </w14:solidFill>
          </w14:textFill>
        </w:rPr>
        <w:t>（二）一般公共预算财政拨款支出决算结构情况</w:t>
      </w:r>
      <w:bookmarkEnd w:id="45"/>
      <w:bookmarkEnd w:id="46"/>
    </w:p>
    <w:p>
      <w:pPr>
        <w:pageBreakBefore w:val="0"/>
        <w:kinsoku/>
        <w:wordWrap/>
        <w:overflowPunct/>
        <w:topLinePunct w:val="0"/>
        <w:bidi w:val="0"/>
        <w:spacing w:line="588" w:lineRule="exact"/>
        <w:ind w:firstLine="640"/>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年一般公共预算财政拨款支出</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万元，主要用于以下方面</w:t>
      </w:r>
      <w:r>
        <w:rPr>
          <w:rFonts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caps w:val="0"/>
          <w:color w:val="000000" w:themeColor="text1"/>
          <w:szCs w:val="32"/>
          <w14:textFill>
            <w14:solidFill>
              <w14:schemeClr w14:val="tx1"/>
            </w14:solidFill>
          </w14:textFill>
        </w:rPr>
        <w:t>一般公共服务（类）</w:t>
      </w:r>
      <w:r>
        <w:rPr>
          <w:rFonts w:hint="eastAsia" w:ascii="Times New Roman" w:hAnsi="Times New Roman" w:eastAsia="仿宋"/>
          <w:caps w:val="0"/>
          <w:color w:val="000000" w:themeColor="text1"/>
          <w:szCs w:val="32"/>
          <w14:textFill>
            <w14:solidFill>
              <w14:schemeClr w14:val="tx1"/>
            </w14:solidFill>
          </w14:textFill>
        </w:rPr>
        <w:t>支出</w:t>
      </w:r>
      <w:r>
        <w:rPr>
          <w:rFonts w:ascii="Times New Roman" w:hAnsi="Times New Roman" w:eastAsia="仿宋"/>
          <w:caps w:val="0"/>
          <w:color w:val="000000" w:themeColor="text1"/>
          <w:szCs w:val="32"/>
          <w14:textFill>
            <w14:solidFill>
              <w14:schemeClr w14:val="tx1"/>
            </w14:solidFill>
          </w14:textFill>
        </w:rPr>
        <w:t>405.26</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21.1%</w:t>
      </w:r>
      <w:r>
        <w:rPr>
          <w:rFonts w:hint="eastAsia"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caps w:val="0"/>
          <w:color w:val="000000" w:themeColor="text1"/>
          <w:szCs w:val="32"/>
          <w14:textFill>
            <w14:solidFill>
              <w14:schemeClr w14:val="tx1"/>
            </w14:solidFill>
          </w14:textFill>
        </w:rPr>
        <w:t>国防（类）支出</w:t>
      </w:r>
      <w:r>
        <w:rPr>
          <w:rFonts w:ascii="Times New Roman" w:hAnsi="Times New Roman" w:eastAsia="仿宋"/>
          <w:caps w:val="0"/>
          <w:color w:val="000000" w:themeColor="text1"/>
          <w:szCs w:val="32"/>
          <w14:textFill>
            <w14:solidFill>
              <w14:schemeClr w14:val="tx1"/>
            </w14:solidFill>
          </w14:textFill>
        </w:rPr>
        <w:t>2</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0.1%</w:t>
      </w:r>
      <w:r>
        <w:rPr>
          <w:rFonts w:hint="eastAsia"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caps w:val="0"/>
          <w:color w:val="000000" w:themeColor="text1"/>
          <w:szCs w:val="32"/>
          <w14:textFill>
            <w14:solidFill>
              <w14:schemeClr w14:val="tx1"/>
            </w14:solidFill>
          </w14:textFill>
        </w:rPr>
        <w:t>社会保障和就业（类）</w:t>
      </w:r>
      <w:r>
        <w:rPr>
          <w:rFonts w:hint="eastAsia" w:ascii="Times New Roman" w:hAnsi="Times New Roman" w:eastAsia="仿宋"/>
          <w:caps w:val="0"/>
          <w:color w:val="000000" w:themeColor="text1"/>
          <w:szCs w:val="32"/>
          <w14:textFill>
            <w14:solidFill>
              <w14:schemeClr w14:val="tx1"/>
            </w14:solidFill>
          </w14:textFill>
        </w:rPr>
        <w:t>支出</w:t>
      </w:r>
      <w:r>
        <w:rPr>
          <w:rFonts w:ascii="Times New Roman" w:hAnsi="Times New Roman" w:eastAsia="仿宋"/>
          <w:caps w:val="0"/>
          <w:color w:val="000000" w:themeColor="text1"/>
          <w:szCs w:val="32"/>
          <w14:textFill>
            <w14:solidFill>
              <w14:schemeClr w14:val="tx1"/>
            </w14:solidFill>
          </w14:textFill>
        </w:rPr>
        <w:t>166.62</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8.67%</w:t>
      </w:r>
      <w:r>
        <w:rPr>
          <w:rFonts w:hint="eastAsia"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卫生健康支出</w:t>
      </w:r>
      <w:r>
        <w:rPr>
          <w:rFonts w:ascii="Times New Roman" w:hAnsi="Times New Roman" w:eastAsia="仿宋"/>
          <w:caps w:val="0"/>
          <w:color w:val="000000" w:themeColor="text1"/>
          <w:szCs w:val="32"/>
          <w14:textFill>
            <w14:solidFill>
              <w14:schemeClr w14:val="tx1"/>
            </w14:solidFill>
          </w14:textFill>
        </w:rPr>
        <w:t>21.97</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1.14%</w:t>
      </w:r>
      <w:r>
        <w:rPr>
          <w:rFonts w:hint="eastAsia" w:ascii="Times New Roman" w:hAnsi="Times New Roman" w:eastAsia="仿宋"/>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节能环保支出</w:t>
      </w:r>
      <w:r>
        <w:rPr>
          <w:rFonts w:ascii="Times New Roman" w:hAnsi="Times New Roman" w:eastAsia="仿宋"/>
          <w:caps w:val="0"/>
          <w:color w:val="000000" w:themeColor="text1"/>
          <w:szCs w:val="32"/>
          <w14:textFill>
            <w14:solidFill>
              <w14:schemeClr w14:val="tx1"/>
            </w14:solidFill>
          </w14:textFill>
        </w:rPr>
        <w:t>487.5</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25.38%</w:t>
      </w:r>
      <w:r>
        <w:rPr>
          <w:rFonts w:hint="eastAsia" w:ascii="Times New Roman" w:hAnsi="Times New Roman" w:eastAsia="仿宋"/>
          <w:caps w:val="0"/>
          <w:color w:val="000000" w:themeColor="text1"/>
          <w:szCs w:val="32"/>
          <w14:textFill>
            <w14:solidFill>
              <w14:schemeClr w14:val="tx1"/>
            </w14:solidFill>
          </w14:textFill>
        </w:rPr>
        <w:t>；城乡社区支出</w:t>
      </w:r>
      <w:r>
        <w:rPr>
          <w:rFonts w:ascii="Times New Roman" w:hAnsi="Times New Roman" w:eastAsia="仿宋"/>
          <w:caps w:val="0"/>
          <w:color w:val="000000" w:themeColor="text1"/>
          <w:szCs w:val="32"/>
          <w14:textFill>
            <w14:solidFill>
              <w14:schemeClr w14:val="tx1"/>
            </w14:solidFill>
          </w14:textFill>
        </w:rPr>
        <w:t>29.54</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5.46%</w:t>
      </w:r>
      <w:r>
        <w:rPr>
          <w:rFonts w:hint="eastAsia" w:ascii="Times New Roman" w:hAnsi="Times New Roman" w:eastAsia="仿宋"/>
          <w:caps w:val="0"/>
          <w:color w:val="000000" w:themeColor="text1"/>
          <w:szCs w:val="32"/>
          <w14:textFill>
            <w14:solidFill>
              <w14:schemeClr w14:val="tx1"/>
            </w14:solidFill>
          </w14:textFill>
        </w:rPr>
        <w:t>；农林水支出</w:t>
      </w:r>
      <w:r>
        <w:rPr>
          <w:rFonts w:ascii="Times New Roman" w:hAnsi="Times New Roman" w:eastAsia="仿宋"/>
          <w:caps w:val="0"/>
          <w:color w:val="000000" w:themeColor="text1"/>
          <w:szCs w:val="32"/>
          <w14:textFill>
            <w14:solidFill>
              <w14:schemeClr w14:val="tx1"/>
            </w14:solidFill>
          </w14:textFill>
        </w:rPr>
        <w:t>697.71</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36.32%</w:t>
      </w:r>
      <w:r>
        <w:rPr>
          <w:rFonts w:hint="eastAsia" w:ascii="Times New Roman" w:hAnsi="Times New Roman" w:eastAsia="仿宋"/>
          <w:caps w:val="0"/>
          <w:color w:val="000000" w:themeColor="text1"/>
          <w:szCs w:val="32"/>
          <w14:textFill>
            <w14:solidFill>
              <w14:schemeClr w14:val="tx1"/>
            </w14:solidFill>
          </w14:textFill>
        </w:rPr>
        <w:t>；交通运输支出</w:t>
      </w:r>
      <w:r>
        <w:rPr>
          <w:rFonts w:ascii="Times New Roman" w:hAnsi="Times New Roman" w:eastAsia="仿宋"/>
          <w:caps w:val="0"/>
          <w:color w:val="000000" w:themeColor="text1"/>
          <w:szCs w:val="32"/>
          <w14:textFill>
            <w14:solidFill>
              <w14:schemeClr w14:val="tx1"/>
            </w14:solidFill>
          </w14:textFill>
        </w:rPr>
        <w:t>3.11</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0.16%</w:t>
      </w:r>
      <w:r>
        <w:rPr>
          <w:rFonts w:hint="eastAsia" w:ascii="Times New Roman" w:hAnsi="Times New Roman" w:eastAsia="仿宋"/>
          <w:caps w:val="0"/>
          <w:color w:val="000000" w:themeColor="text1"/>
          <w:szCs w:val="32"/>
          <w14:textFill>
            <w14:solidFill>
              <w14:schemeClr w14:val="tx1"/>
            </w14:solidFill>
          </w14:textFill>
        </w:rPr>
        <w:t>；住房保障支出</w:t>
      </w:r>
      <w:r>
        <w:rPr>
          <w:rFonts w:ascii="Times New Roman" w:hAnsi="Times New Roman" w:eastAsia="仿宋"/>
          <w:caps w:val="0"/>
          <w:color w:val="000000" w:themeColor="text1"/>
          <w:szCs w:val="32"/>
          <w14:textFill>
            <w14:solidFill>
              <w14:schemeClr w14:val="tx1"/>
            </w14:solidFill>
          </w14:textFill>
        </w:rPr>
        <w:t>31.79</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1.66%</w:t>
      </w:r>
      <w:r>
        <w:rPr>
          <w:rFonts w:hint="eastAsia" w:ascii="Times New Roman" w:hAnsi="Times New Roman" w:eastAsia="仿宋"/>
          <w:caps w:val="0"/>
          <w:color w:val="000000" w:themeColor="text1"/>
          <w:szCs w:val="32"/>
          <w14:textFill>
            <w14:solidFill>
              <w14:schemeClr w14:val="tx1"/>
            </w14:solidFill>
          </w14:textFill>
        </w:rPr>
        <w:t>。</w:t>
      </w:r>
    </w:p>
    <w:p>
      <w:pPr>
        <w:pStyle w:val="16"/>
        <w:rPr>
          <w:rFonts w:hint="eastAsia" w:ascii="Times New Roman" w:hAnsi="Times New Roman" w:eastAsia="仿宋"/>
          <w:caps w:val="0"/>
          <w:color w:val="000000" w:themeColor="text1"/>
          <w:szCs w:val="32"/>
          <w14:textFill>
            <w14:solidFill>
              <w14:schemeClr w14:val="tx1"/>
            </w14:solidFill>
          </w14:textFill>
        </w:rPr>
      </w:pPr>
    </w:p>
    <w:p>
      <w:pPr>
        <w:rPr>
          <w:rFonts w:hint="eastAsia"/>
        </w:rPr>
      </w:pPr>
    </w:p>
    <w:p>
      <w:pPr>
        <w:spacing w:line="600" w:lineRule="exact"/>
        <w:jc w:val="center"/>
        <w:rPr>
          <w:rFonts w:hint="eastAsia"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 w:val="0"/>
          <w:bCs/>
          <w:caps w:val="0"/>
          <w:color w:val="000000" w:themeColor="text1"/>
          <w:szCs w:val="32"/>
          <w14:textFill>
            <w14:solidFill>
              <w14:schemeClr w14:val="tx1"/>
            </w14:solidFill>
          </w14:textFill>
        </w:rPr>
        <w:t>图6：一般公共预算财政拨款支出决算结构</w:t>
      </w:r>
      <w:bookmarkStart w:id="47" w:name="_Toc15377212"/>
      <w:r>
        <w:rPr>
          <w:rFonts w:hint="eastAsia" w:ascii="Times New Roman" w:hAnsi="Times New Roman" w:eastAsia="仿宋"/>
          <w:b/>
          <w:caps w:val="0"/>
          <w:color w:val="000000" w:themeColor="text1"/>
          <w:szCs w:val="32"/>
          <w:lang w:eastAsia="zh-CN"/>
          <w14:textFill>
            <w14:solidFill>
              <w14:schemeClr w14:val="tx1"/>
            </w14:solidFill>
          </w14:textFill>
        </w:rPr>
        <w:drawing>
          <wp:anchor distT="0" distB="0" distL="114300" distR="114300" simplePos="0" relativeHeight="251664384" behindDoc="0" locked="0" layoutInCell="1" allowOverlap="1">
            <wp:simplePos x="0" y="0"/>
            <wp:positionH relativeFrom="column">
              <wp:posOffset>347980</wp:posOffset>
            </wp:positionH>
            <wp:positionV relativeFrom="page">
              <wp:posOffset>1453515</wp:posOffset>
            </wp:positionV>
            <wp:extent cx="5080000" cy="3810000"/>
            <wp:effectExtent l="4445" t="4445" r="20955" b="14605"/>
            <wp:wrapTopAndBottom/>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ageBreakBefore w:val="0"/>
        <w:kinsoku/>
        <w:wordWrap/>
        <w:overflowPunct/>
        <w:topLinePunct w:val="0"/>
        <w:bidi w:val="0"/>
        <w:spacing w:line="588" w:lineRule="exact"/>
        <w:ind w:firstLine="643" w:firstLineChars="20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48" w:name="_Toc25077"/>
      <w:r>
        <w:rPr>
          <w:rFonts w:hint="eastAsia" w:ascii="Times New Roman" w:hAnsi="Times New Roman" w:eastAsia="仿宋"/>
          <w:b/>
          <w:caps w:val="0"/>
          <w:color w:val="000000" w:themeColor="text1"/>
          <w:szCs w:val="32"/>
          <w14:textFill>
            <w14:solidFill>
              <w14:schemeClr w14:val="tx1"/>
            </w14:solidFill>
          </w14:textFill>
        </w:rPr>
        <w:t>（三）一般公共预算财政拨款支出决算具体情况</w:t>
      </w:r>
      <w:bookmarkEnd w:id="47"/>
      <w:bookmarkEnd w:id="48"/>
    </w:p>
    <w:p>
      <w:pPr>
        <w:pageBreakBefore w:val="0"/>
        <w:kinsoku/>
        <w:wordWrap/>
        <w:overflowPunct/>
        <w:topLinePunct w:val="0"/>
        <w:bidi w:val="0"/>
        <w:spacing w:line="588" w:lineRule="exact"/>
        <w:ind w:firstLine="643" w:firstLineChars="200"/>
        <w:textAlignment w:val="auto"/>
        <w:rPr>
          <w:rFonts w:ascii="Times New Roman" w:hAnsi="Times New Roman" w:eastAsia="仿宋"/>
          <w:caps w:val="0"/>
          <w:color w:val="000000" w:themeColor="text1"/>
          <w:szCs w:val="32"/>
          <w14:textFill>
            <w14:solidFill>
              <w14:schemeClr w14:val="tx1"/>
            </w14:solidFill>
          </w14:textFill>
        </w:rPr>
      </w:pPr>
      <w:bookmarkStart w:id="49" w:name="_Toc15378460"/>
      <w:bookmarkStart w:id="50" w:name="_Toc15377444"/>
      <w:bookmarkStart w:id="51" w:name="_Toc15377213"/>
      <w:r>
        <w:rPr>
          <w:rFonts w:ascii="Times New Roman" w:hAnsi="Times New Roman" w:eastAsia="仿宋"/>
          <w:b/>
          <w:caps w:val="0"/>
          <w:color w:val="000000" w:themeColor="text1"/>
          <w:szCs w:val="32"/>
          <w14:textFill>
            <w14:solidFill>
              <w14:schemeClr w14:val="tx1"/>
            </w14:solidFill>
          </w14:textFill>
        </w:rPr>
        <w:t>2020</w:t>
      </w:r>
      <w:r>
        <w:rPr>
          <w:rFonts w:hint="eastAsia" w:ascii="Times New Roman" w:hAnsi="Times New Roman" w:eastAsia="仿宋"/>
          <w:b/>
          <w:caps w:val="0"/>
          <w:color w:val="000000" w:themeColor="text1"/>
          <w:szCs w:val="32"/>
          <w14:textFill>
            <w14:solidFill>
              <w14:schemeClr w14:val="tx1"/>
            </w14:solidFill>
          </w14:textFill>
        </w:rPr>
        <w:t>年一般公共预算支出决算数为</w:t>
      </w:r>
      <w:r>
        <w:rPr>
          <w:rFonts w:ascii="Times New Roman" w:hAnsi="Times New Roman" w:eastAsia="仿宋"/>
          <w:b/>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完成预算</w:t>
      </w:r>
      <w:r>
        <w:rPr>
          <w:rStyle w:val="14"/>
          <w:rFonts w:ascii="Times New Roman" w:hAnsi="Times New Roman" w:eastAsia="仿宋"/>
          <w:bCs/>
          <w:caps w:val="0"/>
          <w:color w:val="000000" w:themeColor="text1"/>
          <w:szCs w:val="32"/>
          <w14:textFill>
            <w14:solidFill>
              <w14:schemeClr w14:val="tx1"/>
            </w14:solidFill>
          </w14:textFill>
        </w:rPr>
        <w:t>100%</w:t>
      </w:r>
      <w:r>
        <w:rPr>
          <w:rStyle w:val="14"/>
          <w:rFonts w:hint="eastAsia" w:ascii="Times New Roman" w:hAnsi="Times New Roman" w:eastAsia="仿宋"/>
          <w:bCs/>
          <w:caps w:val="0"/>
          <w:color w:val="000000" w:themeColor="text1"/>
          <w:szCs w:val="32"/>
          <w14:textFill>
            <w14:solidFill>
              <w14:schemeClr w14:val="tx1"/>
            </w14:solidFill>
          </w14:textFill>
        </w:rPr>
        <w:t>。其中：</w:t>
      </w:r>
      <w:bookmarkEnd w:id="49"/>
      <w:bookmarkEnd w:id="50"/>
      <w:bookmarkEnd w:id="51"/>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ascii="Times New Roman" w:hAnsi="Times New Roman" w:eastAsia="仿宋"/>
          <w:bCs/>
          <w:caps w:val="0"/>
          <w:color w:val="000000" w:themeColor="text1"/>
          <w:szCs w:val="32"/>
          <w14:textFill>
            <w14:solidFill>
              <w14:schemeClr w14:val="tx1"/>
            </w14:solidFill>
          </w14:textFill>
        </w:rPr>
        <w:t>1.</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2010104</w:t>
      </w:r>
      <w:r>
        <w:rPr>
          <w:rStyle w:val="14"/>
          <w:rFonts w:hint="eastAsia" w:ascii="Times New Roman" w:hAnsi="Times New Roman" w:eastAsia="仿宋"/>
          <w:bCs/>
          <w:caps w:val="0"/>
          <w:color w:val="000000" w:themeColor="text1"/>
          <w:szCs w:val="32"/>
          <w14:textFill>
            <w14:solidFill>
              <w14:schemeClr w14:val="tx1"/>
            </w14:solidFill>
          </w14:textFill>
        </w:rPr>
        <w:t>（人大会议）</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0.16%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2010301</w:t>
      </w:r>
      <w:r>
        <w:rPr>
          <w:rStyle w:val="14"/>
          <w:rFonts w:hint="eastAsia" w:ascii="Times New Roman" w:hAnsi="Times New Roman" w:eastAsia="仿宋"/>
          <w:bCs/>
          <w:caps w:val="0"/>
          <w:color w:val="000000" w:themeColor="text1"/>
          <w:szCs w:val="32"/>
          <w14:textFill>
            <w14:solidFill>
              <w14:schemeClr w14:val="tx1"/>
            </w14:solidFill>
          </w14:textFill>
        </w:rPr>
        <w:t>（行政运行）</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317.34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16.52%</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3</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2010308</w:t>
      </w:r>
      <w:r>
        <w:rPr>
          <w:rStyle w:val="14"/>
          <w:rFonts w:hint="eastAsia" w:ascii="Times New Roman" w:hAnsi="Times New Roman" w:eastAsia="仿宋"/>
          <w:bCs/>
          <w:caps w:val="0"/>
          <w:color w:val="000000" w:themeColor="text1"/>
          <w:szCs w:val="32"/>
          <w14:textFill>
            <w14:solidFill>
              <w14:schemeClr w14:val="tx1"/>
            </w14:solidFill>
          </w14:textFill>
        </w:rPr>
        <w:t>（信访事务）</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0.33</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0.02%</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4</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2010350</w:t>
      </w:r>
      <w:r>
        <w:rPr>
          <w:rStyle w:val="14"/>
          <w:rFonts w:hint="eastAsia" w:ascii="Times New Roman" w:hAnsi="Times New Roman" w:eastAsia="仿宋"/>
          <w:bCs/>
          <w:caps w:val="0"/>
          <w:color w:val="000000" w:themeColor="text1"/>
          <w:szCs w:val="32"/>
          <w14:textFill>
            <w14:solidFill>
              <w14:schemeClr w14:val="tx1"/>
            </w14:solidFill>
          </w14:textFill>
        </w:rPr>
        <w:t>（事业运行）</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54.33</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2.83%</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5</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一般公共服务支出</w:t>
      </w:r>
      <w:r>
        <w:rPr>
          <w:rStyle w:val="14"/>
          <w:rFonts w:ascii="Times New Roman" w:hAnsi="Times New Roman" w:eastAsia="仿宋"/>
          <w:bCs/>
          <w:caps w:val="0"/>
          <w:color w:val="000000" w:themeColor="text1"/>
          <w:szCs w:val="32"/>
          <w14:textFill>
            <w14:solidFill>
              <w14:schemeClr w14:val="tx1"/>
            </w14:solidFill>
          </w14:textFill>
        </w:rPr>
        <w:t>2010399</w:t>
      </w:r>
      <w:r>
        <w:rPr>
          <w:rStyle w:val="14"/>
          <w:rFonts w:hint="eastAsia" w:ascii="Times New Roman" w:hAnsi="Times New Roman" w:eastAsia="仿宋"/>
          <w:bCs/>
          <w:caps w:val="0"/>
          <w:color w:val="000000" w:themeColor="text1"/>
          <w:szCs w:val="32"/>
          <w14:textFill>
            <w14:solidFill>
              <w14:schemeClr w14:val="tx1"/>
            </w14:solidFill>
          </w14:textFill>
        </w:rPr>
        <w:t>（其他政府办公厅（室）及相关机构事务支出）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30.26</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1.58%</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6</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国防类支出</w:t>
      </w:r>
      <w:r>
        <w:rPr>
          <w:rStyle w:val="14"/>
          <w:rFonts w:ascii="Times New Roman" w:hAnsi="Times New Roman" w:eastAsia="仿宋"/>
          <w:bCs/>
          <w:caps w:val="0"/>
          <w:color w:val="000000" w:themeColor="text1"/>
          <w:szCs w:val="32"/>
          <w14:textFill>
            <w14:solidFill>
              <w14:schemeClr w14:val="tx1"/>
            </w14:solidFill>
          </w14:textFill>
        </w:rPr>
        <w:t>2030607</w:t>
      </w:r>
      <w:r>
        <w:rPr>
          <w:rStyle w:val="14"/>
          <w:rFonts w:hint="eastAsia" w:ascii="Times New Roman" w:hAnsi="Times New Roman" w:eastAsia="仿宋"/>
          <w:bCs/>
          <w:caps w:val="0"/>
          <w:color w:val="000000" w:themeColor="text1"/>
          <w:szCs w:val="32"/>
          <w14:textFill>
            <w14:solidFill>
              <w14:schemeClr w14:val="tx1"/>
            </w14:solidFill>
          </w14:textFill>
        </w:rPr>
        <w:t>（民兵）</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0.1%</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7</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2080208</w:t>
      </w:r>
      <w:r>
        <w:rPr>
          <w:rStyle w:val="14"/>
          <w:rFonts w:hint="eastAsia" w:ascii="Times New Roman" w:hAnsi="Times New Roman" w:eastAsia="仿宋"/>
          <w:bCs/>
          <w:caps w:val="0"/>
          <w:color w:val="000000" w:themeColor="text1"/>
          <w:szCs w:val="32"/>
          <w14:textFill>
            <w14:solidFill>
              <w14:schemeClr w14:val="tx1"/>
            </w14:solidFill>
          </w14:textFill>
        </w:rPr>
        <w:t>（基层政权建设和社区治理）</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93.14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4.85%</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8</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2080299</w:t>
      </w:r>
      <w:r>
        <w:rPr>
          <w:rStyle w:val="14"/>
          <w:rFonts w:hint="eastAsia" w:ascii="Times New Roman" w:hAnsi="Times New Roman" w:eastAsia="仿宋"/>
          <w:bCs/>
          <w:caps w:val="0"/>
          <w:color w:val="000000" w:themeColor="text1"/>
          <w:szCs w:val="32"/>
          <w14:textFill>
            <w14:solidFill>
              <w14:schemeClr w14:val="tx1"/>
            </w14:solidFill>
          </w14:textFill>
        </w:rPr>
        <w:t>（其他民政管理事务支出）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0.83</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0.04%</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9</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2080501</w:t>
      </w:r>
      <w:r>
        <w:rPr>
          <w:rStyle w:val="14"/>
          <w:rFonts w:hint="eastAsia" w:ascii="Times New Roman" w:hAnsi="Times New Roman" w:eastAsia="仿宋"/>
          <w:bCs/>
          <w:caps w:val="0"/>
          <w:color w:val="000000" w:themeColor="text1"/>
          <w:szCs w:val="32"/>
          <w14:textFill>
            <w14:solidFill>
              <w14:schemeClr w14:val="tx1"/>
            </w14:solidFill>
          </w14:textFill>
        </w:rPr>
        <w:t>（行政单位离退休）</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21.62</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1.13%</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10</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2080502</w:t>
      </w:r>
      <w:r>
        <w:rPr>
          <w:rStyle w:val="14"/>
          <w:rFonts w:hint="eastAsia" w:ascii="Times New Roman" w:hAnsi="Times New Roman" w:eastAsia="仿宋"/>
          <w:bCs/>
          <w:caps w:val="0"/>
          <w:color w:val="000000" w:themeColor="text1"/>
          <w:szCs w:val="32"/>
          <w14:textFill>
            <w14:solidFill>
              <w14:schemeClr w14:val="tx1"/>
            </w14:solidFill>
          </w14:textFill>
        </w:rPr>
        <w:t>（事业单位离退休）</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6</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0.31%</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11</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2080505</w:t>
      </w:r>
      <w:r>
        <w:rPr>
          <w:rStyle w:val="14"/>
          <w:rFonts w:hint="eastAsia" w:ascii="Times New Roman" w:hAnsi="Times New Roman" w:eastAsia="仿宋"/>
          <w:bCs/>
          <w:caps w:val="0"/>
          <w:color w:val="000000" w:themeColor="text1"/>
          <w:szCs w:val="32"/>
          <w14:textFill>
            <w14:solidFill>
              <w14:schemeClr w14:val="tx1"/>
            </w14:solidFill>
          </w14:textFill>
        </w:rPr>
        <w:t>（机关事业单位基本养老保险缴费支出）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42.59</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2.22%</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12</w:t>
      </w:r>
      <w:r>
        <w:rPr>
          <w:rStyle w:val="14"/>
          <w:rFonts w:ascii="Times New Roman" w:hAnsi="Times New Roman" w:eastAsia="仿宋"/>
          <w:bCs/>
          <w:caps w:val="0"/>
          <w:color w:val="000000" w:themeColor="text1"/>
          <w:szCs w:val="32"/>
          <w14:textFill>
            <w14:solidFill>
              <w14:schemeClr w14:val="tx1"/>
            </w14:solidFill>
          </w14:textFill>
        </w:rPr>
        <w:t>.</w:t>
      </w:r>
      <w:r>
        <w:rPr>
          <w:rStyle w:val="14"/>
          <w:rFonts w:hint="eastAsia" w:ascii="Times New Roman" w:hAnsi="Times New Roman" w:eastAsia="仿宋"/>
          <w:bCs/>
          <w:caps w:val="0"/>
          <w:color w:val="000000" w:themeColor="text1"/>
          <w:szCs w:val="32"/>
          <w14:textFill>
            <w14:solidFill>
              <w14:schemeClr w14:val="tx1"/>
            </w14:solidFill>
          </w14:textFill>
        </w:rPr>
        <w:t>社会保障和就业支出</w:t>
      </w:r>
      <w:r>
        <w:rPr>
          <w:rStyle w:val="14"/>
          <w:rFonts w:ascii="Times New Roman" w:hAnsi="Times New Roman" w:eastAsia="仿宋"/>
          <w:bCs/>
          <w:caps w:val="0"/>
          <w:color w:val="000000" w:themeColor="text1"/>
          <w:szCs w:val="32"/>
          <w14:textFill>
            <w14:solidFill>
              <w14:schemeClr w14:val="tx1"/>
            </w14:solidFill>
          </w14:textFill>
        </w:rPr>
        <w:t>2089901</w:t>
      </w:r>
      <w:r>
        <w:rPr>
          <w:rStyle w:val="14"/>
          <w:rFonts w:hint="eastAsia" w:ascii="Times New Roman" w:hAnsi="Times New Roman" w:eastAsia="仿宋"/>
          <w:bCs/>
          <w:caps w:val="0"/>
          <w:color w:val="000000" w:themeColor="text1"/>
          <w:szCs w:val="32"/>
          <w14:textFill>
            <w14:solidFill>
              <w14:schemeClr w14:val="tx1"/>
            </w14:solidFill>
          </w14:textFill>
        </w:rPr>
        <w:t>（其他社会保障和就业支出）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2.44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0.13%</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13</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卫生健康支出</w:t>
      </w:r>
      <w:r>
        <w:rPr>
          <w:rFonts w:ascii="Times New Roman" w:hAnsi="Times New Roman" w:eastAsia="仿宋"/>
          <w:b/>
          <w:bCs/>
          <w:caps w:val="0"/>
          <w:color w:val="000000" w:themeColor="text1"/>
          <w:szCs w:val="32"/>
          <w14:textFill>
            <w14:solidFill>
              <w14:schemeClr w14:val="tx1"/>
            </w14:solidFill>
          </w14:textFill>
        </w:rPr>
        <w:t>2101101</w:t>
      </w:r>
      <w:r>
        <w:rPr>
          <w:rStyle w:val="14"/>
          <w:rFonts w:hint="eastAsia" w:ascii="Times New Roman" w:hAnsi="Times New Roman" w:eastAsia="仿宋"/>
          <w:bCs/>
          <w:caps w:val="0"/>
          <w:color w:val="000000" w:themeColor="text1"/>
          <w:szCs w:val="32"/>
          <w14:textFill>
            <w14:solidFill>
              <w14:schemeClr w14:val="tx1"/>
            </w14:solidFill>
          </w14:textFill>
        </w:rPr>
        <w:t>（行政单位医疗）</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21.97</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1.14%</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14</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节能环保支出</w:t>
      </w:r>
      <w:r>
        <w:rPr>
          <w:rStyle w:val="14"/>
          <w:rFonts w:ascii="Times New Roman" w:hAnsi="Times New Roman" w:eastAsia="仿宋"/>
          <w:bCs/>
          <w:caps w:val="0"/>
          <w:color w:val="000000" w:themeColor="text1"/>
          <w:szCs w:val="32"/>
          <w14:textFill>
            <w14:solidFill>
              <w14:schemeClr w14:val="tx1"/>
            </w14:solidFill>
          </w14:textFill>
        </w:rPr>
        <w:t>2110302</w:t>
      </w:r>
      <w:r>
        <w:rPr>
          <w:rStyle w:val="14"/>
          <w:rFonts w:hint="eastAsia" w:ascii="Times New Roman" w:hAnsi="Times New Roman" w:eastAsia="仿宋"/>
          <w:bCs/>
          <w:caps w:val="0"/>
          <w:color w:val="000000" w:themeColor="text1"/>
          <w:szCs w:val="32"/>
          <w14:textFill>
            <w14:solidFill>
              <w14:schemeClr w14:val="tx1"/>
            </w14:solidFill>
          </w14:textFill>
        </w:rPr>
        <w:t>（水体）</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487.5</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25.38%</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15</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城乡社区支出</w:t>
      </w:r>
      <w:r>
        <w:rPr>
          <w:rFonts w:ascii="Times New Roman" w:hAnsi="Times New Roman" w:eastAsia="仿宋"/>
          <w:b/>
          <w:bCs/>
          <w:caps w:val="0"/>
          <w:color w:val="000000" w:themeColor="text1"/>
          <w:szCs w:val="32"/>
          <w14:textFill>
            <w14:solidFill>
              <w14:schemeClr w14:val="tx1"/>
            </w14:solidFill>
          </w14:textFill>
        </w:rPr>
        <w:t>2120101</w:t>
      </w:r>
      <w:r>
        <w:rPr>
          <w:rStyle w:val="14"/>
          <w:rFonts w:hint="eastAsia" w:ascii="Times New Roman" w:hAnsi="Times New Roman" w:eastAsia="仿宋"/>
          <w:bCs/>
          <w:caps w:val="0"/>
          <w:color w:val="000000" w:themeColor="text1"/>
          <w:szCs w:val="32"/>
          <w14:textFill>
            <w14:solidFill>
              <w14:schemeClr w14:val="tx1"/>
            </w14:solidFill>
          </w14:textFill>
        </w:rPr>
        <w:t>（行政运行）</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28.44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1.48%</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w:t>
      </w:r>
      <w:r>
        <w:rPr>
          <w:rStyle w:val="14"/>
          <w:rFonts w:ascii="Times New Roman" w:hAnsi="Times New Roman" w:eastAsia="仿宋"/>
          <w:bCs/>
          <w:caps w:val="0"/>
          <w:color w:val="000000" w:themeColor="text1"/>
          <w:szCs w:val="32"/>
          <w14:textFill>
            <w14:solidFill>
              <w14:schemeClr w14:val="tx1"/>
            </w14:solidFill>
          </w14:textFill>
        </w:rPr>
        <w:t>6.</w:t>
      </w:r>
      <w:r>
        <w:rPr>
          <w:rFonts w:hint="eastAsia" w:ascii="Times New Roman" w:hAnsi="Times New Roman" w:eastAsia="仿宋"/>
          <w:b/>
          <w:bCs/>
          <w:caps w:val="0"/>
          <w:color w:val="000000" w:themeColor="text1"/>
          <w:szCs w:val="32"/>
          <w14:textFill>
            <w14:solidFill>
              <w14:schemeClr w14:val="tx1"/>
            </w14:solidFill>
          </w14:textFill>
        </w:rPr>
        <w:t>城乡社区支出</w:t>
      </w:r>
      <w:r>
        <w:rPr>
          <w:rFonts w:ascii="Times New Roman" w:hAnsi="Times New Roman" w:eastAsia="仿宋"/>
          <w:b/>
          <w:bCs/>
          <w:caps w:val="0"/>
          <w:color w:val="000000" w:themeColor="text1"/>
          <w:szCs w:val="32"/>
          <w14:textFill>
            <w14:solidFill>
              <w14:schemeClr w14:val="tx1"/>
            </w14:solidFill>
          </w14:textFill>
        </w:rPr>
        <w:t>2120501</w:t>
      </w:r>
      <w:r>
        <w:rPr>
          <w:rStyle w:val="14"/>
          <w:rFonts w:hint="eastAsia" w:ascii="Times New Roman" w:hAnsi="Times New Roman" w:eastAsia="仿宋"/>
          <w:bCs/>
          <w:caps w:val="0"/>
          <w:color w:val="000000" w:themeColor="text1"/>
          <w:szCs w:val="32"/>
          <w14:textFill>
            <w14:solidFill>
              <w14:schemeClr w14:val="tx1"/>
            </w14:solidFill>
          </w14:textFill>
        </w:rPr>
        <w:t>（城乡社区环境卫生）</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1.1</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0.06%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17</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2130104</w:t>
      </w:r>
      <w:r>
        <w:rPr>
          <w:rStyle w:val="14"/>
          <w:rFonts w:hint="eastAsia" w:ascii="Times New Roman" w:hAnsi="Times New Roman" w:eastAsia="仿宋"/>
          <w:bCs/>
          <w:caps w:val="0"/>
          <w:color w:val="000000" w:themeColor="text1"/>
          <w:szCs w:val="32"/>
          <w14:textFill>
            <w14:solidFill>
              <w14:schemeClr w14:val="tx1"/>
            </w14:solidFill>
          </w14:textFill>
        </w:rPr>
        <w:t>（事业运行）</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143.28</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7.46%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18</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2130135</w:t>
      </w:r>
      <w:r>
        <w:rPr>
          <w:rStyle w:val="14"/>
          <w:rFonts w:hint="eastAsia" w:ascii="Times New Roman" w:hAnsi="Times New Roman" w:eastAsia="仿宋"/>
          <w:bCs/>
          <w:caps w:val="0"/>
          <w:color w:val="000000" w:themeColor="text1"/>
          <w:szCs w:val="32"/>
          <w14:textFill>
            <w14:solidFill>
              <w14:schemeClr w14:val="tx1"/>
            </w14:solidFill>
          </w14:textFill>
        </w:rPr>
        <w:t>（农业资源保护修复与利用）</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107</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5.57%</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19</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2130199</w:t>
      </w:r>
      <w:r>
        <w:rPr>
          <w:rStyle w:val="14"/>
          <w:rFonts w:hint="eastAsia" w:ascii="Times New Roman" w:hAnsi="Times New Roman" w:eastAsia="仿宋"/>
          <w:bCs/>
          <w:caps w:val="0"/>
          <w:color w:val="000000" w:themeColor="text1"/>
          <w:szCs w:val="32"/>
          <w14:textFill>
            <w14:solidFill>
              <w14:schemeClr w14:val="tx1"/>
            </w14:solidFill>
          </w14:textFill>
        </w:rPr>
        <w:t>（其他农业农村支出）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28</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1.46%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20</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2130599</w:t>
      </w:r>
      <w:r>
        <w:rPr>
          <w:rStyle w:val="14"/>
          <w:rFonts w:hint="eastAsia" w:ascii="Times New Roman" w:hAnsi="Times New Roman" w:eastAsia="仿宋"/>
          <w:bCs/>
          <w:caps w:val="0"/>
          <w:color w:val="000000" w:themeColor="text1"/>
          <w:szCs w:val="32"/>
          <w14:textFill>
            <w14:solidFill>
              <w14:schemeClr w14:val="tx1"/>
            </w14:solidFill>
          </w14:textFill>
        </w:rPr>
        <w:t>（其他扶贫支出）</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75.79</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3.95%</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Style w:val="14"/>
          <w:rFonts w:ascii="Times New Roman" w:hAnsi="Times New Roman" w:eastAsia="仿宋"/>
          <w:b w:val="0"/>
          <w:bCs/>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21</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2130701</w:t>
      </w:r>
      <w:r>
        <w:rPr>
          <w:rStyle w:val="14"/>
          <w:rFonts w:hint="eastAsia" w:ascii="Times New Roman" w:hAnsi="Times New Roman" w:eastAsia="仿宋"/>
          <w:bCs/>
          <w:caps w:val="0"/>
          <w:color w:val="000000" w:themeColor="text1"/>
          <w:szCs w:val="32"/>
          <w14:textFill>
            <w14:solidFill>
              <w14:schemeClr w14:val="tx1"/>
            </w14:solidFill>
          </w14:textFill>
        </w:rPr>
        <w:t>（对村级一事一议的补助）</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32</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1.67%</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22</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2130705</w:t>
      </w:r>
      <w:r>
        <w:rPr>
          <w:rStyle w:val="14"/>
          <w:rFonts w:hint="eastAsia" w:ascii="Times New Roman" w:hAnsi="Times New Roman" w:eastAsia="仿宋"/>
          <w:bCs/>
          <w:caps w:val="0"/>
          <w:color w:val="000000" w:themeColor="text1"/>
          <w:szCs w:val="32"/>
          <w14:textFill>
            <w14:solidFill>
              <w14:schemeClr w14:val="tx1"/>
            </w14:solidFill>
          </w14:textFill>
        </w:rPr>
        <w:t>（对村民委员会和村党支部的补助）</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234.64</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12.22%</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23</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农林水支出</w:t>
      </w:r>
      <w:r>
        <w:rPr>
          <w:rFonts w:ascii="Times New Roman" w:hAnsi="Times New Roman" w:eastAsia="仿宋"/>
          <w:b/>
          <w:bCs/>
          <w:caps w:val="0"/>
          <w:color w:val="000000" w:themeColor="text1"/>
          <w:szCs w:val="32"/>
          <w14:textFill>
            <w14:solidFill>
              <w14:schemeClr w14:val="tx1"/>
            </w14:solidFill>
          </w14:textFill>
        </w:rPr>
        <w:t>2130706</w:t>
      </w:r>
      <w:r>
        <w:rPr>
          <w:rStyle w:val="14"/>
          <w:rFonts w:hint="eastAsia" w:ascii="Times New Roman" w:hAnsi="Times New Roman" w:eastAsia="仿宋"/>
          <w:bCs/>
          <w:caps w:val="0"/>
          <w:color w:val="000000" w:themeColor="text1"/>
          <w:szCs w:val="32"/>
          <w14:textFill>
            <w14:solidFill>
              <w14:schemeClr w14:val="tx1"/>
            </w14:solidFill>
          </w14:textFill>
        </w:rPr>
        <w:t>（对村集体经济组织的补助）</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77</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4.01%</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24</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交通运输支出</w:t>
      </w:r>
      <w:r>
        <w:rPr>
          <w:rStyle w:val="14"/>
          <w:rFonts w:ascii="Times New Roman" w:hAnsi="Times New Roman" w:eastAsia="仿宋"/>
          <w:bCs/>
          <w:caps w:val="0"/>
          <w:color w:val="000000" w:themeColor="text1"/>
          <w:szCs w:val="32"/>
          <w14:textFill>
            <w14:solidFill>
              <w14:schemeClr w14:val="tx1"/>
            </w14:solidFill>
          </w14:textFill>
        </w:rPr>
        <w:t>2140110</w:t>
      </w:r>
      <w:r>
        <w:rPr>
          <w:rStyle w:val="14"/>
          <w:rFonts w:hint="eastAsia" w:ascii="Times New Roman" w:hAnsi="Times New Roman" w:eastAsia="仿宋"/>
          <w:bCs/>
          <w:caps w:val="0"/>
          <w:color w:val="000000" w:themeColor="text1"/>
          <w:szCs w:val="32"/>
          <w14:textFill>
            <w14:solidFill>
              <w14:schemeClr w14:val="tx1"/>
            </w14:solidFill>
          </w14:textFill>
        </w:rPr>
        <w:t>（公路和运输安全）</w:t>
      </w:r>
      <w:r>
        <w:rPr>
          <w:rStyle w:val="14"/>
          <w:rFonts w:hint="eastAsia" w:eastAsia="仿宋"/>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3.11</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0.16%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kinsoku/>
        <w:wordWrap/>
        <w:overflowPunct/>
        <w:topLinePunct w:val="0"/>
        <w:bidi w:val="0"/>
        <w:spacing w:line="588" w:lineRule="exact"/>
        <w:ind w:firstLine="643" w:firstLineChars="200"/>
        <w:textAlignment w:val="auto"/>
        <w:rPr>
          <w:rFonts w:ascii="Times New Roman" w:hAnsi="Times New Roman" w:eastAsia="仿宋"/>
          <w:b/>
          <w:caps w:val="0"/>
          <w:color w:val="000000" w:themeColor="text1"/>
          <w:szCs w:val="32"/>
          <w14:textFill>
            <w14:solidFill>
              <w14:schemeClr w14:val="tx1"/>
            </w14:solidFill>
          </w14:textFill>
        </w:rPr>
      </w:pPr>
      <w:r>
        <w:rPr>
          <w:rStyle w:val="14"/>
          <w:rFonts w:hint="eastAsia" w:ascii="Times New Roman" w:hAnsi="Times New Roman" w:eastAsia="仿宋"/>
          <w:bCs/>
          <w:caps w:val="0"/>
          <w:color w:val="000000" w:themeColor="text1"/>
          <w:szCs w:val="32"/>
          <w:lang w:val="en-US" w:eastAsia="zh-CN"/>
          <w14:textFill>
            <w14:solidFill>
              <w14:schemeClr w14:val="tx1"/>
            </w14:solidFill>
          </w14:textFill>
        </w:rPr>
        <w:t>25</w:t>
      </w:r>
      <w:r>
        <w:rPr>
          <w:rStyle w:val="14"/>
          <w:rFonts w:ascii="Times New Roman" w:hAnsi="Times New Roman" w:eastAsia="仿宋"/>
          <w:bCs/>
          <w:caps w:val="0"/>
          <w:color w:val="000000" w:themeColor="text1"/>
          <w:szCs w:val="32"/>
          <w14:textFill>
            <w14:solidFill>
              <w14:schemeClr w14:val="tx1"/>
            </w14:solidFill>
          </w14:textFill>
        </w:rPr>
        <w:t>.</w:t>
      </w:r>
      <w:r>
        <w:rPr>
          <w:rFonts w:hint="eastAsia" w:ascii="Times New Roman" w:hAnsi="Times New Roman" w:eastAsia="仿宋"/>
          <w:b/>
          <w:bCs/>
          <w:caps w:val="0"/>
          <w:color w:val="000000" w:themeColor="text1"/>
          <w:szCs w:val="32"/>
          <w14:textFill>
            <w14:solidFill>
              <w14:schemeClr w14:val="tx1"/>
            </w14:solidFill>
          </w14:textFill>
        </w:rPr>
        <w:t>住房保障支出</w:t>
      </w:r>
      <w:r>
        <w:rPr>
          <w:rFonts w:ascii="Times New Roman" w:hAnsi="Times New Roman" w:eastAsia="仿宋"/>
          <w:b/>
          <w:bCs/>
          <w:caps w:val="0"/>
          <w:color w:val="000000" w:themeColor="text1"/>
          <w:szCs w:val="32"/>
          <w14:textFill>
            <w14:solidFill>
              <w14:schemeClr w14:val="tx1"/>
            </w14:solidFill>
          </w14:textFill>
        </w:rPr>
        <w:t>2210201</w:t>
      </w:r>
      <w:r>
        <w:rPr>
          <w:rFonts w:hint="eastAsia" w:ascii="Times New Roman" w:hAnsi="Times New Roman" w:eastAsia="仿宋"/>
          <w:b/>
          <w:bCs/>
          <w:caps w:val="0"/>
          <w:color w:val="000000" w:themeColor="text1"/>
          <w:szCs w:val="32"/>
          <w14:textFill>
            <w14:solidFill>
              <w14:schemeClr w14:val="tx1"/>
            </w14:solidFill>
          </w14:textFill>
        </w:rPr>
        <w:t>（住房公积金）</w:t>
      </w:r>
      <w:r>
        <w:rPr>
          <w:rFonts w:hint="eastAsia" w:eastAsia="仿宋"/>
          <w:b/>
          <w:bCs/>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支出决算为</w:t>
      </w:r>
      <w:r>
        <w:rPr>
          <w:rStyle w:val="14"/>
          <w:rFonts w:ascii="Times New Roman" w:hAnsi="Times New Roman" w:eastAsia="仿宋"/>
          <w:b w:val="0"/>
          <w:bCs/>
          <w:caps w:val="0"/>
          <w:color w:val="000000" w:themeColor="text1"/>
          <w:szCs w:val="32"/>
          <w14:textFill>
            <w14:solidFill>
              <w14:schemeClr w14:val="tx1"/>
            </w14:solidFill>
          </w14:textFill>
        </w:rPr>
        <w:t>31.79</w:t>
      </w:r>
      <w:r>
        <w:rPr>
          <w:rStyle w:val="14"/>
          <w:rFonts w:hint="eastAsia" w:ascii="Times New Roman" w:hAnsi="Times New Roman" w:eastAsia="仿宋"/>
          <w:b w:val="0"/>
          <w:bCs/>
          <w:caps w:val="0"/>
          <w:color w:val="000000" w:themeColor="text1"/>
          <w:szCs w:val="32"/>
          <w14:textFill>
            <w14:solidFill>
              <w14:schemeClr w14:val="tx1"/>
            </w14:solidFill>
          </w14:textFill>
        </w:rPr>
        <w:t>万元，完成预算</w:t>
      </w:r>
      <w:r>
        <w:rPr>
          <w:rStyle w:val="14"/>
          <w:rFonts w:ascii="Times New Roman" w:hAnsi="Times New Roman" w:eastAsia="仿宋"/>
          <w:b w:val="0"/>
          <w:bCs/>
          <w:caps w:val="0"/>
          <w:color w:val="000000" w:themeColor="text1"/>
          <w:szCs w:val="32"/>
          <w14:textFill>
            <w14:solidFill>
              <w14:schemeClr w14:val="tx1"/>
            </w14:solidFill>
          </w14:textFill>
        </w:rPr>
        <w:t>1.66%</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p>
    <w:p>
      <w:pPr>
        <w:pageBreakBefore w:val="0"/>
        <w:tabs>
          <w:tab w:val="right" w:pos="8306"/>
        </w:tabs>
        <w:kinsoku/>
        <w:wordWrap/>
        <w:overflowPunct/>
        <w:topLinePunct w:val="0"/>
        <w:bidi w:val="0"/>
        <w:spacing w:line="588" w:lineRule="exact"/>
        <w:textAlignment w:val="auto"/>
        <w:outlineLvl w:val="1"/>
        <w:rPr>
          <w:rStyle w:val="18"/>
          <w:rFonts w:ascii="Times New Roman" w:hAnsi="Times New Roman"/>
          <w:caps w:val="0"/>
          <w:color w:val="000000" w:themeColor="text1"/>
          <w14:textFill>
            <w14:solidFill>
              <w14:schemeClr w14:val="tx1"/>
            </w14:solidFill>
          </w14:textFill>
        </w:rPr>
      </w:pPr>
      <w:bookmarkStart w:id="52" w:name="_Toc15396608"/>
      <w:bookmarkStart w:id="53" w:name="_Toc12542"/>
      <w:bookmarkStart w:id="54" w:name="_Toc15377214"/>
      <w:bookmarkStart w:id="55" w:name="_Toc31021"/>
      <w:r>
        <w:rPr>
          <w:rFonts w:hint="eastAsia" w:ascii="Times New Roman" w:hAnsi="Times New Roman" w:eastAsia="黑体"/>
          <w:b/>
          <w:caps w:val="0"/>
          <w:color w:val="000000" w:themeColor="text1"/>
          <w:szCs w:val="32"/>
          <w:lang w:eastAsia="zh-CN"/>
          <w14:textFill>
            <w14:solidFill>
              <w14:schemeClr w14:val="tx1"/>
            </w14:solidFill>
          </w14:textFill>
        </w:rPr>
        <w:t>六</w:t>
      </w:r>
      <w:r>
        <w:rPr>
          <w:rFonts w:hint="eastAsia" w:ascii="Times New Roman" w:hAnsi="Times New Roman" w:eastAsia="黑体"/>
          <w:b/>
          <w:caps w:val="0"/>
          <w:color w:val="000000" w:themeColor="text1"/>
          <w:szCs w:val="32"/>
          <w14:textFill>
            <w14:solidFill>
              <w14:schemeClr w14:val="tx1"/>
            </w14:solidFill>
          </w14:textFill>
        </w:rPr>
        <w:t>、一</w:t>
      </w:r>
      <w:r>
        <w:rPr>
          <w:rStyle w:val="18"/>
          <w:rFonts w:hint="eastAsia" w:ascii="Times New Roman" w:hAnsi="Times New Roman" w:eastAsia="黑体"/>
          <w:b w:val="0"/>
          <w:caps w:val="0"/>
          <w:color w:val="000000" w:themeColor="text1"/>
          <w14:textFill>
            <w14:solidFill>
              <w14:schemeClr w14:val="tx1"/>
            </w14:solidFill>
          </w14:textFill>
        </w:rPr>
        <w:t>般公共预算财政拨款基本支出决算情况说明</w:t>
      </w:r>
      <w:bookmarkEnd w:id="52"/>
      <w:bookmarkEnd w:id="53"/>
      <w:bookmarkEnd w:id="54"/>
      <w:bookmarkEnd w:id="55"/>
      <w:r>
        <w:rPr>
          <w:rStyle w:val="18"/>
          <w:rFonts w:ascii="Times New Roman" w:hAnsi="Times New Roman" w:eastAsia="黑体"/>
          <w:b w:val="0"/>
          <w:caps w:val="0"/>
          <w:color w:val="000000" w:themeColor="text1"/>
          <w14:textFill>
            <w14:solidFill>
              <w14:schemeClr w14:val="tx1"/>
            </w14:solidFill>
          </w14:textFill>
        </w:rPr>
        <w:tab/>
      </w:r>
    </w:p>
    <w:p>
      <w:pPr>
        <w:pageBreakBefore w:val="0"/>
        <w:kinsoku/>
        <w:wordWrap/>
        <w:overflowPunct/>
        <w:topLinePunct w:val="0"/>
        <w:bidi w:val="0"/>
        <w:spacing w:line="588" w:lineRule="exact"/>
        <w:ind w:firstLine="645"/>
        <w:textAlignment w:val="auto"/>
        <w:rPr>
          <w:rFonts w:hint="eastAsia"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年一般公共预算财政拨款基本支出</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万元，其中</w:t>
      </w:r>
      <w:r>
        <w:rPr>
          <w:rFonts w:hint="eastAsia" w:eastAsia="仿宋"/>
          <w:caps w:val="0"/>
          <w:color w:val="000000" w:themeColor="text1"/>
          <w:szCs w:val="32"/>
          <w:lang w:eastAsia="zh-CN"/>
          <w14:textFill>
            <w14:solidFill>
              <w14:schemeClr w14:val="tx1"/>
            </w14:solidFill>
          </w14:textFill>
        </w:rPr>
        <w:t>：</w:t>
      </w:r>
    </w:p>
    <w:p>
      <w:pPr>
        <w:pageBreakBefore w:val="0"/>
        <w:kinsoku/>
        <w:wordWrap/>
        <w:overflowPunct/>
        <w:topLinePunct w:val="0"/>
        <w:bidi w:val="0"/>
        <w:spacing w:line="588" w:lineRule="exact"/>
        <w:ind w:firstLine="640" w:firstLineChars="200"/>
        <w:textAlignment w:val="auto"/>
        <w:rPr>
          <w:rFonts w:hint="eastAsia" w:ascii="Times New Roman" w:hAnsi="Times New Roman" w:eastAsia="仿宋"/>
          <w:caps w:val="0"/>
          <w:color w:val="000000" w:themeColor="text1"/>
          <w:szCs w:val="32"/>
          <w:lang w:eastAsia="zh-CN"/>
          <w14:textFill>
            <w14:solidFill>
              <w14:schemeClr w14:val="tx1"/>
            </w14:solidFill>
          </w14:textFill>
        </w:rPr>
      </w:pPr>
      <w:r>
        <w:rPr>
          <w:rFonts w:hint="eastAsia" w:ascii="Times New Roman" w:hAnsi="Times New Roman" w:eastAsia="仿宋"/>
          <w:caps w:val="0"/>
          <w:color w:val="000000" w:themeColor="text1"/>
          <w:szCs w:val="32"/>
          <w14:textFill>
            <w14:solidFill>
              <w14:schemeClr w14:val="tx1"/>
            </w14:solidFill>
          </w14:textFill>
        </w:rPr>
        <w:t>人员经费</w:t>
      </w:r>
      <w:r>
        <w:rPr>
          <w:rFonts w:ascii="Times New Roman" w:hAnsi="Times New Roman" w:eastAsia="仿宋"/>
          <w:caps w:val="0"/>
          <w:color w:val="000000" w:themeColor="text1"/>
          <w:szCs w:val="32"/>
          <w14:textFill>
            <w14:solidFill>
              <w14:schemeClr w14:val="tx1"/>
            </w14:solidFill>
          </w14:textFill>
        </w:rPr>
        <w:t>521.27</w:t>
      </w:r>
      <w:r>
        <w:rPr>
          <w:rFonts w:hint="eastAsia" w:ascii="Times New Roman" w:hAnsi="Times New Roman" w:eastAsia="仿宋"/>
          <w:caps w:val="0"/>
          <w:color w:val="000000" w:themeColor="text1"/>
          <w:szCs w:val="32"/>
          <w14:textFill>
            <w14:solidFill>
              <w14:schemeClr w14:val="tx1"/>
            </w14:solidFill>
          </w14:textFill>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pageBreakBefore w:val="0"/>
        <w:kinsoku/>
        <w:wordWrap/>
        <w:overflowPunct/>
        <w:topLinePunct w:val="0"/>
        <w:bidi w:val="0"/>
        <w:spacing w:line="588" w:lineRule="exact"/>
        <w:ind w:firstLine="640" w:firstLineChars="200"/>
        <w:textAlignment w:val="auto"/>
        <w:rPr>
          <w:rFonts w:ascii="Times New Roman" w:hAnsi="Times New Roman" w:eastAsia="仿宋"/>
          <w:caps w:val="0"/>
          <w:color w:val="000000" w:themeColor="text1"/>
          <w:szCs w:val="32"/>
          <w14:textFill>
            <w14:solidFill>
              <w14:schemeClr w14:val="tx1"/>
            </w14:solidFill>
          </w14:textFill>
        </w:rPr>
      </w:pPr>
      <w:r>
        <w:rPr>
          <w:rFonts w:hint="eastAsia" w:ascii="Times New Roman" w:hAnsi="Times New Roman" w:eastAsia="仿宋"/>
          <w:caps w:val="0"/>
          <w:color w:val="000000" w:themeColor="text1"/>
          <w:szCs w:val="32"/>
          <w14:textFill>
            <w14:solidFill>
              <w14:schemeClr w14:val="tx1"/>
            </w14:solidFill>
          </w14:textFill>
        </w:rPr>
        <w:t>日常公用经费</w:t>
      </w:r>
      <w:r>
        <w:rPr>
          <w:rFonts w:ascii="Times New Roman" w:hAnsi="Times New Roman" w:eastAsia="仿宋"/>
          <w:caps w:val="0"/>
          <w:color w:val="000000" w:themeColor="text1"/>
          <w:szCs w:val="32"/>
          <w14:textFill>
            <w14:solidFill>
              <w14:schemeClr w14:val="tx1"/>
            </w14:solidFill>
          </w14:textFill>
        </w:rPr>
        <w:t>225.57</w:t>
      </w:r>
      <w:r>
        <w:rPr>
          <w:rFonts w:hint="eastAsia" w:ascii="Times New Roman" w:hAnsi="Times New Roman" w:eastAsia="仿宋"/>
          <w:caps w:val="0"/>
          <w:color w:val="000000" w:themeColor="text1"/>
          <w:szCs w:val="32"/>
          <w14:textFill>
            <w14:solidFill>
              <w14:schemeClr w14:val="tx1"/>
            </w14:solidFill>
          </w14:textFill>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56" w:name="_Toc6926"/>
      <w:bookmarkStart w:id="57" w:name="_Toc15377215"/>
      <w:bookmarkStart w:id="58" w:name="_Toc15396609"/>
      <w:bookmarkStart w:id="59" w:name="_Toc23129"/>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七、“三公”经费财政拨款支出决算情况说明</w:t>
      </w:r>
      <w:bookmarkEnd w:id="56"/>
      <w:bookmarkEnd w:id="57"/>
      <w:bookmarkEnd w:id="58"/>
      <w:bookmarkEnd w:id="59"/>
    </w:p>
    <w:p>
      <w:pPr>
        <w:pageBreakBefore w:val="0"/>
        <w:kinsoku/>
        <w:wordWrap/>
        <w:overflowPunct/>
        <w:topLinePunct w:val="0"/>
        <w:bidi w:val="0"/>
        <w:spacing w:line="588" w:lineRule="exact"/>
        <w:ind w:firstLine="64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60" w:name="_Toc15377216"/>
      <w:bookmarkStart w:id="61" w:name="_Toc14736"/>
      <w:r>
        <w:rPr>
          <w:rFonts w:hint="eastAsia" w:ascii="Times New Roman" w:hAnsi="Times New Roman" w:eastAsia="仿宋"/>
          <w:b/>
          <w:caps w:val="0"/>
          <w:color w:val="000000" w:themeColor="text1"/>
          <w:szCs w:val="32"/>
          <w14:textFill>
            <w14:solidFill>
              <w14:schemeClr w14:val="tx1"/>
            </w14:solidFill>
          </w14:textFill>
        </w:rPr>
        <w:t>（一）“三公”经费财政拨款支出决算总体情况说明</w:t>
      </w:r>
      <w:bookmarkEnd w:id="60"/>
      <w:bookmarkEnd w:id="61"/>
    </w:p>
    <w:p>
      <w:pPr>
        <w:pageBreakBefore w:val="0"/>
        <w:kinsoku/>
        <w:wordWrap/>
        <w:overflowPunct/>
        <w:topLinePunct w:val="0"/>
        <w:bidi w:val="0"/>
        <w:spacing w:line="588" w:lineRule="exact"/>
        <w:ind w:firstLine="640"/>
        <w:textAlignment w:val="auto"/>
        <w:rPr>
          <w:rFonts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年“三公”经费财政拨款支出决算为</w:t>
      </w:r>
      <w:r>
        <w:rPr>
          <w:rFonts w:ascii="Times New Roman" w:hAnsi="Times New Roman" w:eastAsia="仿宋"/>
          <w:caps w:val="0"/>
          <w:color w:val="000000" w:themeColor="text1"/>
          <w:szCs w:val="32"/>
          <w14:textFill>
            <w14:solidFill>
              <w14:schemeClr w14:val="tx1"/>
            </w14:solidFill>
          </w14:textFill>
        </w:rPr>
        <w:t>5.24</w:t>
      </w:r>
      <w:r>
        <w:rPr>
          <w:rFonts w:hint="eastAsia" w:ascii="Times New Roman" w:hAnsi="Times New Roman" w:eastAsia="仿宋"/>
          <w:caps w:val="0"/>
          <w:color w:val="000000" w:themeColor="text1"/>
          <w:szCs w:val="32"/>
          <w14:textFill>
            <w14:solidFill>
              <w14:schemeClr w14:val="tx1"/>
            </w14:solidFill>
          </w14:textFill>
        </w:rPr>
        <w:t>万元，完成预算</w:t>
      </w:r>
      <w:r>
        <w:rPr>
          <w:rFonts w:ascii="Times New Roman" w:hAnsi="Times New Roman" w:eastAsia="仿宋"/>
          <w:caps w:val="0"/>
          <w:color w:val="000000" w:themeColor="text1"/>
          <w:szCs w:val="32"/>
          <w14:textFill>
            <w14:solidFill>
              <w14:schemeClr w14:val="tx1"/>
            </w14:solidFill>
          </w14:textFill>
        </w:rPr>
        <w:t>100%</w:t>
      </w:r>
      <w:r>
        <w:rPr>
          <w:rFonts w:hint="eastAsia" w:ascii="Times New Roman" w:hAnsi="Times New Roman" w:eastAsia="仿宋"/>
          <w:caps w:val="0"/>
          <w:color w:val="000000" w:themeColor="text1"/>
          <w:szCs w:val="32"/>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决算数等于预算数的主要原因是我镇支出严格按预算执行</w:t>
      </w:r>
      <w:r>
        <w:rPr>
          <w:rFonts w:hint="eastAsia" w:ascii="Times New Roman" w:hAnsi="Times New Roman" w:eastAsia="仿宋"/>
          <w:caps w:val="0"/>
          <w:color w:val="000000" w:themeColor="text1"/>
          <w:szCs w:val="32"/>
          <w14:textFill>
            <w14:solidFill>
              <w14:schemeClr w14:val="tx1"/>
            </w14:solidFill>
          </w14:textFill>
        </w:rPr>
        <w:t>。</w:t>
      </w:r>
    </w:p>
    <w:p>
      <w:pPr>
        <w:pageBreakBefore w:val="0"/>
        <w:kinsoku/>
        <w:wordWrap/>
        <w:overflowPunct/>
        <w:topLinePunct w:val="0"/>
        <w:bidi w:val="0"/>
        <w:spacing w:line="588" w:lineRule="exact"/>
        <w:ind w:firstLine="64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62" w:name="_Toc28164"/>
      <w:bookmarkStart w:id="63" w:name="_Toc15377217"/>
      <w:r>
        <w:rPr>
          <w:rFonts w:hint="eastAsia" w:ascii="Times New Roman" w:hAnsi="Times New Roman" w:eastAsia="仿宋"/>
          <w:b/>
          <w:caps w:val="0"/>
          <w:color w:val="000000" w:themeColor="text1"/>
          <w:szCs w:val="32"/>
          <w14:textFill>
            <w14:solidFill>
              <w14:schemeClr w14:val="tx1"/>
            </w14:solidFill>
          </w14:textFill>
        </w:rPr>
        <w:t>（二）“三公”经费财政拨款支出决算具体情况说明</w:t>
      </w:r>
      <w:bookmarkEnd w:id="62"/>
      <w:bookmarkEnd w:id="63"/>
    </w:p>
    <w:p>
      <w:pPr>
        <w:pageBreakBefore w:val="0"/>
        <w:kinsoku/>
        <w:wordWrap/>
        <w:overflowPunct/>
        <w:topLinePunct w:val="0"/>
        <w:bidi w:val="0"/>
        <w:spacing w:line="588" w:lineRule="exact"/>
        <w:ind w:firstLine="640"/>
        <w:textAlignment w:val="auto"/>
        <w:rPr>
          <w:rFonts w:ascii="Times New Roman" w:hAnsi="Times New Roman" w:eastAsia="仿宋"/>
          <w:caps w:val="0"/>
          <w:color w:val="000000" w:themeColor="text1"/>
          <w:szCs w:val="32"/>
          <w14:textFill>
            <w14:solidFill>
              <w14:schemeClr w14:val="tx1"/>
            </w14:solidFill>
          </w14:textFill>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年“三公”经费财政拨款支出决算中，因公出国（境）费支出决算</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eastAsia="仿宋"/>
          <w:caps w:val="0"/>
          <w:color w:val="000000" w:themeColor="text1"/>
          <w:szCs w:val="32"/>
          <w14:textFill>
            <w14:solidFill>
              <w14:schemeClr w14:val="tx1"/>
            </w14:solidFill>
          </w14:textFill>
        </w:rPr>
        <w:t>；公务用车购置及运行维护费支出决算</w:t>
      </w:r>
      <w:r>
        <w:rPr>
          <w:rFonts w:ascii="Times New Roman" w:hAnsi="Times New Roman" w:eastAsia="仿宋"/>
          <w:caps w:val="0"/>
          <w:color w:val="000000" w:themeColor="text1"/>
          <w:szCs w:val="32"/>
          <w14:textFill>
            <w14:solidFill>
              <w14:schemeClr w14:val="tx1"/>
            </w14:solidFill>
          </w14:textFill>
        </w:rPr>
        <w:t>5.05</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96.37%</w:t>
      </w:r>
      <w:r>
        <w:rPr>
          <w:rFonts w:hint="eastAsia" w:ascii="Times New Roman" w:hAnsi="Times New Roman" w:eastAsia="仿宋"/>
          <w:caps w:val="0"/>
          <w:color w:val="000000" w:themeColor="text1"/>
          <w:szCs w:val="32"/>
          <w14:textFill>
            <w14:solidFill>
              <w14:schemeClr w14:val="tx1"/>
            </w14:solidFill>
          </w14:textFill>
        </w:rPr>
        <w:t>；公务接待费支出决算</w:t>
      </w:r>
      <w:r>
        <w:rPr>
          <w:rFonts w:ascii="Times New Roman" w:hAnsi="Times New Roman" w:eastAsia="仿宋"/>
          <w:caps w:val="0"/>
          <w:color w:val="000000" w:themeColor="text1"/>
          <w:szCs w:val="32"/>
          <w14:textFill>
            <w14:solidFill>
              <w14:schemeClr w14:val="tx1"/>
            </w14:solidFill>
          </w14:textFill>
        </w:rPr>
        <w:t>0.19</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3.63%</w:t>
      </w:r>
      <w:r>
        <w:rPr>
          <w:rFonts w:hint="eastAsia" w:ascii="Times New Roman" w:hAnsi="Times New Roman" w:eastAsia="仿宋"/>
          <w:caps w:val="0"/>
          <w:color w:val="000000" w:themeColor="text1"/>
          <w:szCs w:val="32"/>
          <w14:textFill>
            <w14:solidFill>
              <w14:schemeClr w14:val="tx1"/>
            </w14:solidFill>
          </w14:textFill>
        </w:rPr>
        <w:t>。具体情况如下：</w:t>
      </w:r>
    </w:p>
    <w:p>
      <w:pPr>
        <w:pageBreakBefore w:val="0"/>
        <w:kinsoku/>
        <w:wordWrap/>
        <w:overflowPunct/>
        <w:topLinePunct w:val="0"/>
        <w:bidi w:val="0"/>
        <w:spacing w:line="588" w:lineRule="exact"/>
        <w:ind w:firstLine="640"/>
        <w:textAlignment w:val="auto"/>
        <w:rPr>
          <w:rFonts w:ascii="Times New Roman" w:hAnsi="Times New Roman"/>
          <w:b/>
          <w:caps w:val="0"/>
          <w:color w:val="000000" w:themeColor="text1"/>
          <w:szCs w:val="32"/>
          <w14:textFill>
            <w14:solidFill>
              <w14:schemeClr w14:val="tx1"/>
            </w14:solidFill>
          </w14:textFill>
        </w:rPr>
      </w:pPr>
      <w:r>
        <w:rPr>
          <w:rFonts w:ascii="Times New Roman" w:hAnsi="Times New Roman"/>
          <w:b/>
          <w:caps w:val="0"/>
          <w:color w:val="000000" w:themeColor="text1"/>
          <w:szCs w:val="32"/>
          <w14:textFill>
            <w14:solidFill>
              <w14:schemeClr w14:val="tx1"/>
            </w14:solidFill>
          </w14:textFill>
        </w:rPr>
        <w:t>1.</w:t>
      </w:r>
      <w:r>
        <w:rPr>
          <w:rFonts w:hint="eastAsia" w:ascii="Times New Roman" w:hAnsi="Times New Roman"/>
          <w:b/>
          <w:caps w:val="0"/>
          <w:color w:val="000000" w:themeColor="text1"/>
          <w:szCs w:val="32"/>
          <w14:textFill>
            <w14:solidFill>
              <w14:schemeClr w14:val="tx1"/>
            </w14:solidFill>
          </w14:textFill>
        </w:rPr>
        <w:t>因公出国（境）经费支出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w:t>
      </w:r>
      <w:r>
        <w:rPr>
          <w:rStyle w:val="14"/>
          <w:rFonts w:hint="eastAsia" w:ascii="Times New Roman" w:hAnsi="Times New Roman" w:eastAsia="仿宋"/>
          <w:b w:val="0"/>
          <w:bCs/>
          <w:caps w:val="0"/>
          <w:color w:val="000000" w:themeColor="text1"/>
          <w:szCs w:val="32"/>
          <w14:textFill>
            <w14:solidFill>
              <w14:schemeClr w14:val="tx1"/>
            </w14:solidFill>
          </w14:textFill>
        </w:rPr>
        <w:t>完成预算</w:t>
      </w:r>
      <w:r>
        <w:rPr>
          <w:rStyle w:val="14"/>
          <w:rFonts w:ascii="Times New Roman" w:hAnsi="Times New Roman" w:eastAsia="仿宋"/>
          <w:b w:val="0"/>
          <w:bCs/>
          <w:caps w:val="0"/>
          <w:color w:val="000000" w:themeColor="text1"/>
          <w:szCs w:val="32"/>
          <w14:textFill>
            <w14:solidFill>
              <w14:schemeClr w14:val="tx1"/>
            </w14:solidFill>
          </w14:textFill>
        </w:rPr>
        <w:t>0%</w:t>
      </w:r>
      <w:r>
        <w:rPr>
          <w:rStyle w:val="14"/>
          <w:rFonts w:hint="eastAsia" w:ascii="Times New Roman" w:hAnsi="Times New Roman" w:eastAsia="仿宋"/>
          <w:b w:val="0"/>
          <w:bCs/>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全年安排因公出国（境）团组</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次，出国（境）</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人。因公出国（境）支出决算比</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年增加</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减少</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万元，增长</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下降</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。主要原因是我镇无因公因公出国（境）。</w:t>
      </w:r>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caps w:val="0"/>
          <w:color w:val="000000" w:themeColor="text1"/>
          <w:szCs w:val="32"/>
          <w14:textFill>
            <w14:solidFill>
              <w14:schemeClr w14:val="tx1"/>
            </w14:solidFill>
          </w14:textFill>
        </w:rPr>
        <w:t>开支内容包括：无。</w:t>
      </w:r>
    </w:p>
    <w:p>
      <w:pPr>
        <w:pageBreakBefore w:val="0"/>
        <w:kinsoku/>
        <w:wordWrap/>
        <w:overflowPunct/>
        <w:topLinePunct w:val="0"/>
        <w:bidi w:val="0"/>
        <w:spacing w:line="588" w:lineRule="exact"/>
        <w:ind w:firstLine="640"/>
        <w:textAlignment w:val="auto"/>
        <w:rPr>
          <w:rFonts w:ascii="Times New Roman" w:hAnsi="Times New Roman"/>
          <w:b/>
          <w:caps w:val="0"/>
          <w:color w:val="000000" w:themeColor="text1"/>
          <w:szCs w:val="32"/>
          <w14:textFill>
            <w14:solidFill>
              <w14:schemeClr w14:val="tx1"/>
            </w14:solidFill>
          </w14:textFill>
        </w:rPr>
      </w:pPr>
      <w:r>
        <w:rPr>
          <w:rFonts w:ascii="Times New Roman" w:hAnsi="Times New Roman"/>
          <w:b/>
          <w:caps w:val="0"/>
          <w:color w:val="000000" w:themeColor="text1"/>
          <w:szCs w:val="32"/>
          <w14:textFill>
            <w14:solidFill>
              <w14:schemeClr w14:val="tx1"/>
            </w14:solidFill>
          </w14:textFill>
        </w:rPr>
        <w:t>2.</w:t>
      </w:r>
      <w:r>
        <w:rPr>
          <w:rFonts w:hint="eastAsia" w:ascii="Times New Roman" w:hAnsi="Times New Roman"/>
          <w:b/>
          <w:caps w:val="0"/>
          <w:color w:val="000000" w:themeColor="text1"/>
          <w:szCs w:val="32"/>
          <w14:textFill>
            <w14:solidFill>
              <w14:schemeClr w14:val="tx1"/>
            </w14:solidFill>
          </w14:textFill>
        </w:rPr>
        <w:t>公务用车购置及运行维护费支出</w:t>
      </w:r>
      <w:r>
        <w:rPr>
          <w:rFonts w:ascii="Times New Roman" w:hAnsi="Times New Roman"/>
          <w:caps w:val="0"/>
          <w:color w:val="000000" w:themeColor="text1"/>
          <w:szCs w:val="32"/>
          <w14:textFill>
            <w14:solidFill>
              <w14:schemeClr w14:val="tx1"/>
            </w14:solidFill>
          </w14:textFill>
        </w:rPr>
        <w:t>5.05</w:t>
      </w:r>
      <w:r>
        <w:rPr>
          <w:rFonts w:hint="eastAsia" w:ascii="Times New Roman" w:hAnsi="Times New Roman"/>
          <w:caps w:val="0"/>
          <w:color w:val="000000" w:themeColor="text1"/>
          <w:szCs w:val="32"/>
          <w14:textFill>
            <w14:solidFill>
              <w14:schemeClr w14:val="tx1"/>
            </w14:solidFill>
          </w14:textFill>
        </w:rPr>
        <w:t>万元</w:t>
      </w:r>
      <w:r>
        <w:rPr>
          <w:rFonts w:hint="eastAsia"/>
          <w:caps w:val="0"/>
          <w:color w:val="000000" w:themeColor="text1"/>
          <w:szCs w:val="32"/>
          <w:lang w:eastAsia="zh-CN"/>
          <w14:textFill>
            <w14:solidFill>
              <w14:schemeClr w14:val="tx1"/>
            </w14:solidFill>
          </w14:textFill>
        </w:rPr>
        <w:t>，</w:t>
      </w:r>
      <w:r>
        <w:rPr>
          <w:rStyle w:val="14"/>
          <w:rFonts w:hint="eastAsia" w:ascii="Times New Roman" w:hAnsi="Times New Roman" w:eastAsia="仿宋"/>
          <w:b w:val="0"/>
          <w:bCs/>
          <w:caps w:val="0"/>
          <w:color w:val="000000" w:themeColor="text1"/>
          <w:szCs w:val="32"/>
          <w14:textFill>
            <w14:solidFill>
              <w14:schemeClr w14:val="tx1"/>
            </w14:solidFill>
          </w14:textFill>
        </w:rPr>
        <w:t>完成预算</w:t>
      </w:r>
      <w:r>
        <w:rPr>
          <w:rStyle w:val="14"/>
          <w:rFonts w:ascii="Times New Roman" w:hAnsi="Times New Roman" w:eastAsia="仿宋"/>
          <w:b w:val="0"/>
          <w:bCs/>
          <w:caps w:val="0"/>
          <w:color w:val="000000" w:themeColor="text1"/>
          <w:szCs w:val="32"/>
          <w14:textFill>
            <w14:solidFill>
              <w14:schemeClr w14:val="tx1"/>
            </w14:solidFill>
          </w14:textFill>
        </w:rPr>
        <w:t>100%</w:t>
      </w:r>
      <w:r>
        <w:rPr>
          <w:rStyle w:val="14"/>
          <w:rFonts w:hint="eastAsia" w:eastAsia="仿宋"/>
          <w:b w:val="0"/>
          <w:bCs/>
          <w:caps w:val="0"/>
          <w:color w:val="000000" w:themeColor="text1"/>
          <w:szCs w:val="32"/>
          <w:lang w:eastAsia="zh-CN"/>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公务用车购置及运行维护费支出决算比</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年增加</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减少</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万元，增长</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下降</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。主要原因是我镇是由原农团乡和原漆树乡于</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w:t>
      </w:r>
      <w:r>
        <w:rPr>
          <w:rFonts w:ascii="Times New Roman" w:hAnsi="Times New Roman"/>
          <w:caps w:val="0"/>
          <w:color w:val="000000" w:themeColor="text1"/>
          <w:szCs w:val="32"/>
          <w14:textFill>
            <w14:solidFill>
              <w14:schemeClr w14:val="tx1"/>
            </w14:solidFill>
          </w14:textFill>
        </w:rPr>
        <w:t>9</w:t>
      </w:r>
      <w:r>
        <w:rPr>
          <w:rFonts w:hint="eastAsia" w:ascii="Times New Roman" w:hAnsi="Times New Roman"/>
          <w:caps w:val="0"/>
          <w:color w:val="000000" w:themeColor="text1"/>
          <w:szCs w:val="32"/>
          <w14:textFill>
            <w14:solidFill>
              <w14:schemeClr w14:val="tx1"/>
            </w14:solidFill>
          </w14:textFill>
        </w:rPr>
        <w:t>月合并新成立，故不与</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年做比较。</w:t>
      </w:r>
    </w:p>
    <w:p>
      <w:pPr>
        <w:pageBreakBefore w:val="0"/>
        <w:kinsoku/>
        <w:wordWrap/>
        <w:overflowPunct/>
        <w:topLinePunct w:val="0"/>
        <w:bidi w:val="0"/>
        <w:spacing w:line="588" w:lineRule="exact"/>
        <w:ind w:firstLine="640" w:firstLineChars="200"/>
        <w:textAlignment w:val="auto"/>
        <w:rPr>
          <w:rFonts w:ascii="Times New Roman" w:hAnsi="Times New Roman"/>
          <w:b/>
          <w:caps w:val="0"/>
          <w:color w:val="000000" w:themeColor="text1"/>
          <w:szCs w:val="32"/>
          <w14:textFill>
            <w14:solidFill>
              <w14:schemeClr w14:val="tx1"/>
            </w14:solidFill>
          </w14:textFill>
        </w:rPr>
      </w:pPr>
      <w:r>
        <w:rPr>
          <w:rFonts w:hint="eastAsia" w:ascii="Times New Roman" w:hAnsi="Times New Roman"/>
          <w:caps w:val="0"/>
          <w:color w:val="000000" w:themeColor="text1"/>
          <w:szCs w:val="32"/>
          <w14:textFill>
            <w14:solidFill>
              <w14:schemeClr w14:val="tx1"/>
            </w14:solidFill>
          </w14:textFill>
        </w:rPr>
        <w:t>其中：</w:t>
      </w:r>
      <w:r>
        <w:rPr>
          <w:rFonts w:hint="eastAsia" w:ascii="Times New Roman" w:hAnsi="Times New Roman"/>
          <w:b/>
          <w:caps w:val="0"/>
          <w:color w:val="000000" w:themeColor="text1"/>
          <w:szCs w:val="32"/>
          <w14:textFill>
            <w14:solidFill>
              <w14:schemeClr w14:val="tx1"/>
            </w14:solidFill>
          </w14:textFill>
        </w:rPr>
        <w:t>公务用车购置支出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万元。全年按规定更新购置公务用车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辆，其中：轿车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辆、金额</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万元，越野车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辆、金额</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万元，载客汽车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辆、金额</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万元，主要用于无。截至</w:t>
      </w: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w:t>
      </w:r>
      <w:r>
        <w:rPr>
          <w:rFonts w:ascii="Times New Roman" w:hAnsi="Times New Roman"/>
          <w:caps w:val="0"/>
          <w:color w:val="000000" w:themeColor="text1"/>
          <w:szCs w:val="32"/>
          <w14:textFill>
            <w14:solidFill>
              <w14:schemeClr w14:val="tx1"/>
            </w14:solidFill>
          </w14:textFill>
        </w:rPr>
        <w:t>12</w:t>
      </w:r>
      <w:r>
        <w:rPr>
          <w:rFonts w:hint="eastAsia" w:ascii="Times New Roman" w:hAnsi="Times New Roman"/>
          <w:caps w:val="0"/>
          <w:color w:val="000000" w:themeColor="text1"/>
          <w:szCs w:val="32"/>
          <w14:textFill>
            <w14:solidFill>
              <w14:schemeClr w14:val="tx1"/>
            </w14:solidFill>
          </w14:textFill>
        </w:rPr>
        <w:t>月底，单位共有公务用车</w:t>
      </w:r>
      <w:r>
        <w:rPr>
          <w:rFonts w:ascii="Times New Roman" w:hAnsi="Times New Roman"/>
          <w:caps w:val="0"/>
          <w:color w:val="000000" w:themeColor="text1"/>
          <w:szCs w:val="32"/>
          <w14:textFill>
            <w14:solidFill>
              <w14:schemeClr w14:val="tx1"/>
            </w14:solidFill>
          </w14:textFill>
        </w:rPr>
        <w:t>2</w:t>
      </w:r>
      <w:r>
        <w:rPr>
          <w:rFonts w:hint="eastAsia" w:ascii="Times New Roman" w:hAnsi="Times New Roman"/>
          <w:caps w:val="0"/>
          <w:color w:val="000000" w:themeColor="text1"/>
          <w:szCs w:val="32"/>
          <w14:textFill>
            <w14:solidFill>
              <w14:schemeClr w14:val="tx1"/>
            </w14:solidFill>
          </w14:textFill>
        </w:rPr>
        <w:t>辆，其中：轿车</w:t>
      </w:r>
      <w:r>
        <w:rPr>
          <w:rFonts w:ascii="Times New Roman" w:hAnsi="Times New Roman"/>
          <w:caps w:val="0"/>
          <w:color w:val="000000" w:themeColor="text1"/>
          <w:szCs w:val="32"/>
          <w14:textFill>
            <w14:solidFill>
              <w14:schemeClr w14:val="tx1"/>
            </w14:solidFill>
          </w14:textFill>
        </w:rPr>
        <w:t>1</w:t>
      </w:r>
      <w:r>
        <w:rPr>
          <w:rFonts w:hint="eastAsia" w:ascii="Times New Roman" w:hAnsi="Times New Roman"/>
          <w:caps w:val="0"/>
          <w:color w:val="000000" w:themeColor="text1"/>
          <w:szCs w:val="32"/>
          <w14:textFill>
            <w14:solidFill>
              <w14:schemeClr w14:val="tx1"/>
            </w14:solidFill>
          </w14:textFill>
        </w:rPr>
        <w:t>辆、越野车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辆、载客汽车</w:t>
      </w:r>
      <w:r>
        <w:rPr>
          <w:rFonts w:ascii="Times New Roman" w:hAnsi="Times New Roman"/>
          <w:caps w:val="0"/>
          <w:color w:val="000000" w:themeColor="text1"/>
          <w:szCs w:val="32"/>
          <w14:textFill>
            <w14:solidFill>
              <w14:schemeClr w14:val="tx1"/>
            </w14:solidFill>
          </w14:textFill>
        </w:rPr>
        <w:t>1</w:t>
      </w:r>
      <w:r>
        <w:rPr>
          <w:rFonts w:hint="eastAsia" w:ascii="Times New Roman" w:hAnsi="Times New Roman"/>
          <w:caps w:val="0"/>
          <w:color w:val="000000" w:themeColor="text1"/>
          <w:szCs w:val="32"/>
          <w14:textFill>
            <w14:solidFill>
              <w14:schemeClr w14:val="tx1"/>
            </w14:solidFill>
          </w14:textFill>
        </w:rPr>
        <w:t>辆。</w:t>
      </w:r>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b/>
          <w:caps w:val="0"/>
          <w:color w:val="000000" w:themeColor="text1"/>
          <w:szCs w:val="32"/>
          <w:lang w:val="en-US" w:eastAsia="zh-CN"/>
          <w14:textFill>
            <w14:solidFill>
              <w14:schemeClr w14:val="tx1"/>
            </w14:solidFill>
          </w14:textFill>
        </w:rPr>
        <w:t>3.</w:t>
      </w:r>
      <w:r>
        <w:rPr>
          <w:rFonts w:hint="eastAsia" w:ascii="Times New Roman" w:hAnsi="Times New Roman"/>
          <w:b/>
          <w:caps w:val="0"/>
          <w:color w:val="000000" w:themeColor="text1"/>
          <w:szCs w:val="32"/>
          <w14:textFill>
            <w14:solidFill>
              <w14:schemeClr w14:val="tx1"/>
            </w14:solidFill>
          </w14:textFill>
        </w:rPr>
        <w:t>公务用车运行维护费支出</w:t>
      </w:r>
      <w:r>
        <w:rPr>
          <w:rFonts w:ascii="Times New Roman" w:hAnsi="Times New Roman"/>
          <w:caps w:val="0"/>
          <w:color w:val="000000" w:themeColor="text1"/>
          <w:szCs w:val="32"/>
          <w14:textFill>
            <w14:solidFill>
              <w14:schemeClr w14:val="tx1"/>
            </w14:solidFill>
          </w14:textFill>
        </w:rPr>
        <w:t>5.05</w:t>
      </w:r>
      <w:r>
        <w:rPr>
          <w:rFonts w:hint="eastAsia" w:ascii="Times New Roman" w:hAnsi="Times New Roman"/>
          <w:caps w:val="0"/>
          <w:color w:val="000000" w:themeColor="text1"/>
          <w:szCs w:val="32"/>
          <w14:textFill>
            <w14:solidFill>
              <w14:schemeClr w14:val="tx1"/>
            </w14:solidFill>
          </w14:textFill>
        </w:rPr>
        <w:t>万元。主要用于调研、紧急事件等所需的公务用车燃料费、维修费、过路过桥费、保险费等支出。</w:t>
      </w:r>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b/>
          <w:caps w:val="0"/>
          <w:color w:val="000000" w:themeColor="text1"/>
          <w:szCs w:val="32"/>
          <w:lang w:val="en-US" w:eastAsia="zh-CN"/>
          <w14:textFill>
            <w14:solidFill>
              <w14:schemeClr w14:val="tx1"/>
            </w14:solidFill>
          </w14:textFill>
        </w:rPr>
        <w:t>4</w:t>
      </w:r>
      <w:r>
        <w:rPr>
          <w:rFonts w:ascii="Times New Roman" w:hAnsi="Times New Roman"/>
          <w:b/>
          <w:caps w:val="0"/>
          <w:color w:val="000000" w:themeColor="text1"/>
          <w:szCs w:val="32"/>
          <w14:textFill>
            <w14:solidFill>
              <w14:schemeClr w14:val="tx1"/>
            </w14:solidFill>
          </w14:textFill>
        </w:rPr>
        <w:t>.</w:t>
      </w:r>
      <w:r>
        <w:rPr>
          <w:rFonts w:hint="eastAsia" w:ascii="Times New Roman" w:hAnsi="Times New Roman"/>
          <w:b/>
          <w:caps w:val="0"/>
          <w:color w:val="000000" w:themeColor="text1"/>
          <w:szCs w:val="32"/>
          <w14:textFill>
            <w14:solidFill>
              <w14:schemeClr w14:val="tx1"/>
            </w14:solidFill>
          </w14:textFill>
        </w:rPr>
        <w:t>公务接待费支出</w:t>
      </w:r>
      <w:r>
        <w:rPr>
          <w:rFonts w:ascii="Times New Roman" w:hAnsi="Times New Roman"/>
          <w:caps w:val="0"/>
          <w:color w:val="000000" w:themeColor="text1"/>
          <w:szCs w:val="32"/>
          <w14:textFill>
            <w14:solidFill>
              <w14:schemeClr w14:val="tx1"/>
            </w14:solidFill>
          </w14:textFill>
        </w:rPr>
        <w:t>0.19</w:t>
      </w:r>
      <w:r>
        <w:rPr>
          <w:rFonts w:hint="eastAsia" w:ascii="Times New Roman" w:hAnsi="Times New Roman"/>
          <w:caps w:val="0"/>
          <w:color w:val="000000" w:themeColor="text1"/>
          <w:szCs w:val="32"/>
          <w14:textFill>
            <w14:solidFill>
              <w14:schemeClr w14:val="tx1"/>
            </w14:solidFill>
          </w14:textFill>
        </w:rPr>
        <w:t>万元，</w:t>
      </w:r>
      <w:r>
        <w:rPr>
          <w:rStyle w:val="14"/>
          <w:rFonts w:hint="eastAsia" w:ascii="Times New Roman" w:hAnsi="Times New Roman" w:eastAsia="仿宋"/>
          <w:b w:val="0"/>
          <w:bCs/>
          <w:caps w:val="0"/>
          <w:color w:val="000000" w:themeColor="text1"/>
          <w:szCs w:val="32"/>
          <w14:textFill>
            <w14:solidFill>
              <w14:schemeClr w14:val="tx1"/>
            </w14:solidFill>
          </w14:textFill>
        </w:rPr>
        <w:t>完成预算</w:t>
      </w:r>
      <w:r>
        <w:rPr>
          <w:rStyle w:val="14"/>
          <w:rFonts w:ascii="Times New Roman" w:hAnsi="Times New Roman" w:eastAsia="仿宋"/>
          <w:b w:val="0"/>
          <w:bCs/>
          <w:caps w:val="0"/>
          <w:color w:val="000000" w:themeColor="text1"/>
          <w:szCs w:val="32"/>
          <w14:textFill>
            <w14:solidFill>
              <w14:schemeClr w14:val="tx1"/>
            </w14:solidFill>
          </w14:textFill>
        </w:rPr>
        <w:t>100%</w:t>
      </w:r>
      <w:r>
        <w:rPr>
          <w:rStyle w:val="14"/>
          <w:rFonts w:hint="eastAsia" w:ascii="Times New Roman" w:hAnsi="Times New Roman" w:eastAsia="仿宋"/>
          <w:b w:val="0"/>
          <w:bCs/>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公务接待费支出决算比</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年增加</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减少</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万元，增长</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下降</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。主要原因是我镇是由原农团乡和原漆树乡于</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w:t>
      </w:r>
      <w:r>
        <w:rPr>
          <w:rFonts w:ascii="Times New Roman" w:hAnsi="Times New Roman"/>
          <w:caps w:val="0"/>
          <w:color w:val="000000" w:themeColor="text1"/>
          <w:szCs w:val="32"/>
          <w14:textFill>
            <w14:solidFill>
              <w14:schemeClr w14:val="tx1"/>
            </w14:solidFill>
          </w14:textFill>
        </w:rPr>
        <w:t>9</w:t>
      </w:r>
      <w:r>
        <w:rPr>
          <w:rFonts w:hint="eastAsia" w:ascii="Times New Roman" w:hAnsi="Times New Roman"/>
          <w:caps w:val="0"/>
          <w:color w:val="000000" w:themeColor="text1"/>
          <w:szCs w:val="32"/>
          <w14:textFill>
            <w14:solidFill>
              <w14:schemeClr w14:val="tx1"/>
            </w14:solidFill>
          </w14:textFill>
        </w:rPr>
        <w:t>月合并新成立，故不与</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年做比较。</w:t>
      </w:r>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eastAsia="仿宋"/>
          <w:b/>
          <w:caps w:val="0"/>
          <w:color w:val="000000" w:themeColor="text1"/>
          <w:szCs w:val="32"/>
          <w:lang w:val="en-US" w:eastAsia="zh-CN"/>
          <w14:textFill>
            <w14:solidFill>
              <w14:schemeClr w14:val="tx1"/>
            </w14:solidFill>
          </w14:textFill>
        </w:rPr>
        <w:t>5.</w:t>
      </w:r>
      <w:r>
        <w:rPr>
          <w:rFonts w:hint="eastAsia" w:ascii="Times New Roman" w:hAnsi="Times New Roman" w:eastAsia="仿宋"/>
          <w:b/>
          <w:caps w:val="0"/>
          <w:color w:val="000000" w:themeColor="text1"/>
          <w:szCs w:val="32"/>
          <w14:textFill>
            <w14:solidFill>
              <w14:schemeClr w14:val="tx1"/>
            </w14:solidFill>
          </w14:textFill>
        </w:rPr>
        <w:t>国内公务接待支出</w:t>
      </w:r>
      <w:r>
        <w:rPr>
          <w:rFonts w:ascii="Times New Roman" w:hAnsi="Times New Roman" w:eastAsia="仿宋"/>
          <w:caps w:val="0"/>
          <w:color w:val="000000" w:themeColor="text1"/>
          <w:szCs w:val="32"/>
          <w14:textFill>
            <w14:solidFill>
              <w14:schemeClr w14:val="tx1"/>
            </w14:solidFill>
          </w14:textFill>
        </w:rPr>
        <w:t>0.19</w:t>
      </w:r>
      <w:r>
        <w:rPr>
          <w:rFonts w:hint="eastAsia" w:ascii="Times New Roman" w:hAnsi="Times New Roman"/>
          <w:caps w:val="0"/>
          <w:color w:val="000000" w:themeColor="text1"/>
          <w:szCs w:val="32"/>
          <w14:textFill>
            <w14:solidFill>
              <w14:schemeClr w14:val="tx1"/>
            </w14:solidFill>
          </w14:textFill>
        </w:rPr>
        <w:t>万元，主要用于迎检工作、招商引资等用餐费用。国内公务接待</w:t>
      </w:r>
      <w:r>
        <w:rPr>
          <w:rFonts w:ascii="Times New Roman" w:hAnsi="Times New Roman"/>
          <w:caps w:val="0"/>
          <w:color w:val="000000" w:themeColor="text1"/>
          <w:szCs w:val="32"/>
          <w14:textFill>
            <w14:solidFill>
              <w14:schemeClr w14:val="tx1"/>
            </w14:solidFill>
          </w14:textFill>
        </w:rPr>
        <w:t>2</w:t>
      </w:r>
      <w:r>
        <w:rPr>
          <w:rFonts w:hint="eastAsia" w:ascii="Times New Roman" w:hAnsi="Times New Roman"/>
          <w:caps w:val="0"/>
          <w:color w:val="000000" w:themeColor="text1"/>
          <w:szCs w:val="32"/>
          <w14:textFill>
            <w14:solidFill>
              <w14:schemeClr w14:val="tx1"/>
            </w14:solidFill>
          </w14:textFill>
        </w:rPr>
        <w:t>批次，</w:t>
      </w:r>
      <w:r>
        <w:rPr>
          <w:rFonts w:ascii="Times New Roman" w:hAnsi="Times New Roman"/>
          <w:caps w:val="0"/>
          <w:color w:val="000000" w:themeColor="text1"/>
          <w:szCs w:val="32"/>
          <w14:textFill>
            <w14:solidFill>
              <w14:schemeClr w14:val="tx1"/>
            </w14:solidFill>
          </w14:textFill>
        </w:rPr>
        <w:t>40</w:t>
      </w:r>
      <w:r>
        <w:rPr>
          <w:rFonts w:hint="eastAsia" w:ascii="Times New Roman" w:hAnsi="Times New Roman"/>
          <w:caps w:val="0"/>
          <w:color w:val="000000" w:themeColor="text1"/>
          <w:szCs w:val="32"/>
          <w14:textFill>
            <w14:solidFill>
              <w14:schemeClr w14:val="tx1"/>
            </w14:solidFill>
          </w14:textFill>
        </w:rPr>
        <w:t>人次，共计支出</w:t>
      </w:r>
      <w:r>
        <w:rPr>
          <w:rFonts w:ascii="Times New Roman" w:hAnsi="Times New Roman"/>
          <w:caps w:val="0"/>
          <w:color w:val="000000" w:themeColor="text1"/>
          <w:szCs w:val="32"/>
          <w14:textFill>
            <w14:solidFill>
              <w14:schemeClr w14:val="tx1"/>
            </w14:solidFill>
          </w14:textFill>
        </w:rPr>
        <w:t>0.19</w:t>
      </w:r>
      <w:r>
        <w:rPr>
          <w:rFonts w:hint="eastAsia" w:ascii="Times New Roman" w:hAnsi="Times New Roman"/>
          <w:caps w:val="0"/>
          <w:color w:val="000000" w:themeColor="text1"/>
          <w:szCs w:val="32"/>
          <w14:textFill>
            <w14:solidFill>
              <w14:schemeClr w14:val="tx1"/>
            </w14:solidFill>
          </w14:textFill>
        </w:rPr>
        <w:t>万元，具体内容包括：接待省林业监测中心</w:t>
      </w:r>
      <w:r>
        <w:rPr>
          <w:rFonts w:ascii="Times New Roman" w:hAnsi="Times New Roman"/>
          <w:caps w:val="0"/>
          <w:color w:val="000000" w:themeColor="text1"/>
          <w:szCs w:val="32"/>
          <w14:textFill>
            <w14:solidFill>
              <w14:schemeClr w14:val="tx1"/>
            </w14:solidFill>
          </w14:textFill>
        </w:rPr>
        <w:t>1345</w:t>
      </w:r>
      <w:r>
        <w:rPr>
          <w:rFonts w:hint="eastAsia" w:ascii="Times New Roman" w:hAnsi="Times New Roman"/>
          <w:caps w:val="0"/>
          <w:color w:val="000000" w:themeColor="text1"/>
          <w:szCs w:val="32"/>
          <w14:textFill>
            <w14:solidFill>
              <w14:schemeClr w14:val="tx1"/>
            </w14:solidFill>
          </w14:textFill>
        </w:rPr>
        <w:t>元，接待招商引资</w:t>
      </w:r>
      <w:r>
        <w:rPr>
          <w:rFonts w:ascii="Times New Roman" w:hAnsi="Times New Roman"/>
          <w:caps w:val="0"/>
          <w:color w:val="000000" w:themeColor="text1"/>
          <w:szCs w:val="32"/>
          <w14:textFill>
            <w14:solidFill>
              <w14:schemeClr w14:val="tx1"/>
            </w14:solidFill>
          </w14:textFill>
        </w:rPr>
        <w:t>570</w:t>
      </w:r>
      <w:r>
        <w:rPr>
          <w:rFonts w:hint="eastAsia" w:ascii="Times New Roman" w:hAnsi="Times New Roman"/>
          <w:caps w:val="0"/>
          <w:color w:val="000000" w:themeColor="text1"/>
          <w:szCs w:val="32"/>
          <w14:textFill>
            <w14:solidFill>
              <w14:schemeClr w14:val="tx1"/>
            </w14:solidFill>
          </w14:textFill>
        </w:rPr>
        <w:t>元。</w:t>
      </w:r>
    </w:p>
    <w:p>
      <w:pPr>
        <w:pageBreakBefore w:val="0"/>
        <w:kinsoku/>
        <w:wordWrap/>
        <w:overflowPunct/>
        <w:topLinePunct w:val="0"/>
        <w:bidi w:val="0"/>
        <w:spacing w:line="588" w:lineRule="exact"/>
        <w:ind w:firstLine="643" w:firstLineChars="200"/>
        <w:textAlignment w:val="auto"/>
        <w:rPr>
          <w:rFonts w:ascii="Times New Roman" w:hAnsi="Times New Roman"/>
          <w:caps w:val="0"/>
          <w:color w:val="000000" w:themeColor="text1"/>
          <w:szCs w:val="32"/>
          <w14:textFill>
            <w14:solidFill>
              <w14:schemeClr w14:val="tx1"/>
            </w14:solidFill>
          </w14:textFill>
        </w:rPr>
      </w:pPr>
      <w:r>
        <w:rPr>
          <w:rFonts w:hint="eastAsia" w:ascii="Times New Roman" w:hAnsi="Times New Roman" w:eastAsia="仿宋"/>
          <w:b/>
          <w:caps w:val="0"/>
          <w:color w:val="000000" w:themeColor="text1"/>
          <w:szCs w:val="32"/>
          <w:lang w:val="en-US" w:eastAsia="zh-CN"/>
          <w14:textFill>
            <w14:solidFill>
              <w14:schemeClr w14:val="tx1"/>
            </w14:solidFill>
          </w14:textFill>
        </w:rPr>
        <w:t>6.</w:t>
      </w:r>
      <w:r>
        <w:rPr>
          <w:rFonts w:hint="eastAsia" w:ascii="Times New Roman" w:hAnsi="Times New Roman" w:eastAsia="仿宋"/>
          <w:b/>
          <w:caps w:val="0"/>
          <w:color w:val="000000" w:themeColor="text1"/>
          <w:szCs w:val="32"/>
          <w14:textFill>
            <w14:solidFill>
              <w14:schemeClr w14:val="tx1"/>
            </w14:solidFill>
          </w14:textFill>
        </w:rPr>
        <w:t>外事接待支出</w:t>
      </w:r>
      <w:r>
        <w:rPr>
          <w:rFonts w:ascii="Times New Roman" w:hAnsi="Times New Roman" w:eastAsia="仿宋"/>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万元，外事接待</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批次，</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人，共计支出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w:t>
      </w:r>
      <w:bookmarkStart w:id="64" w:name="_Toc15396610"/>
      <w:bookmarkStart w:id="65" w:name="_Toc15377218"/>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66" w:name="_Toc28304"/>
      <w:bookmarkStart w:id="67" w:name="_Toc9843"/>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八、政府性基金预算支出决算情况说明</w:t>
      </w:r>
      <w:bookmarkEnd w:id="64"/>
      <w:bookmarkEnd w:id="65"/>
      <w:bookmarkEnd w:id="66"/>
      <w:bookmarkEnd w:id="67"/>
    </w:p>
    <w:p>
      <w:pPr>
        <w:pageBreakBefore w:val="0"/>
        <w:kinsoku/>
        <w:wordWrap/>
        <w:overflowPunct/>
        <w:topLinePunct w:val="0"/>
        <w:bidi w:val="0"/>
        <w:spacing w:line="588" w:lineRule="exact"/>
        <w:ind w:firstLine="640"/>
        <w:textAlignment w:val="auto"/>
        <w:rPr>
          <w:rFonts w:hint="eastAsia" w:ascii="Times New Roman" w:hAnsi="Times New Roman"/>
          <w:caps w:val="0"/>
          <w:color w:val="000000" w:themeColor="text1"/>
          <w:szCs w:val="32"/>
          <w14:textFill>
            <w14:solidFill>
              <w14:schemeClr w14:val="tx1"/>
            </w14:solidFill>
          </w14:textFill>
        </w:rPr>
      </w:pP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年政府性基金预算拨款支出</w:t>
      </w:r>
      <w:r>
        <w:rPr>
          <w:rFonts w:ascii="Times New Roman" w:hAnsi="Times New Roman"/>
          <w:caps w:val="0"/>
          <w:color w:val="000000" w:themeColor="text1"/>
          <w:szCs w:val="32"/>
          <w14:textFill>
            <w14:solidFill>
              <w14:schemeClr w14:val="tx1"/>
            </w14:solidFill>
          </w14:textFill>
        </w:rPr>
        <w:t>75.34</w:t>
      </w:r>
      <w:r>
        <w:rPr>
          <w:rFonts w:hint="eastAsia" w:ascii="Times New Roman" w:hAnsi="Times New Roman"/>
          <w:caps w:val="0"/>
          <w:color w:val="000000" w:themeColor="text1"/>
          <w:szCs w:val="32"/>
          <w14:textFill>
            <w14:solidFill>
              <w14:schemeClr w14:val="tx1"/>
            </w14:solidFill>
          </w14:textFill>
        </w:rPr>
        <w:t>万元。</w:t>
      </w:r>
      <w:bookmarkStart w:id="68" w:name="_Toc10775"/>
      <w:bookmarkStart w:id="69" w:name="_Toc15377219"/>
      <w:bookmarkStart w:id="70" w:name="_Toc15396611"/>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71" w:name="_Toc5791"/>
      <w:r>
        <w:rPr>
          <w:rFonts w:hint="eastAsia" w:ascii="Times New Roman" w:hAnsi="Times New Roman" w:eastAsia="黑体"/>
          <w:caps w:val="0"/>
          <w:color w:val="000000" w:themeColor="text1"/>
          <w:szCs w:val="32"/>
          <w:lang w:eastAsia="zh-CN"/>
          <w14:textFill>
            <w14:solidFill>
              <w14:schemeClr w14:val="tx1"/>
            </w14:solidFill>
          </w14:textFill>
        </w:rPr>
        <w:t>九、</w:t>
      </w:r>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国有资本经营预算支出决算情况说明</w:t>
      </w:r>
      <w:bookmarkEnd w:id="68"/>
      <w:bookmarkEnd w:id="69"/>
      <w:bookmarkEnd w:id="70"/>
      <w:bookmarkEnd w:id="71"/>
    </w:p>
    <w:p>
      <w:pPr>
        <w:pageBreakBefore w:val="0"/>
        <w:kinsoku/>
        <w:wordWrap/>
        <w:overflowPunct/>
        <w:topLinePunct w:val="0"/>
        <w:bidi w:val="0"/>
        <w:spacing w:line="588" w:lineRule="exact"/>
        <w:ind w:firstLine="640"/>
        <w:textAlignment w:val="auto"/>
        <w:rPr>
          <w:rFonts w:ascii="Times New Roman" w:hAnsi="Times New Roman"/>
          <w:caps w:val="0"/>
          <w:color w:val="000000" w:themeColor="text1"/>
          <w:szCs w:val="32"/>
          <w14:textFill>
            <w14:solidFill>
              <w14:schemeClr w14:val="tx1"/>
            </w14:solidFill>
          </w14:textFill>
        </w:rPr>
      </w:pP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年国有资本经营预算拨款支出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w:t>
      </w:r>
    </w:p>
    <w:p>
      <w:pPr>
        <w:pageBreakBefore w:val="0"/>
        <w:kinsoku/>
        <w:wordWrap/>
        <w:overflowPunct/>
        <w:topLinePunct w:val="0"/>
        <w:bidi w:val="0"/>
        <w:spacing w:line="588" w:lineRule="exact"/>
        <w:textAlignment w:val="auto"/>
        <w:outlineLvl w:val="1"/>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72" w:name="_Toc15396612"/>
      <w:bookmarkStart w:id="73" w:name="_Toc22285"/>
      <w:bookmarkStart w:id="74" w:name="_Toc738"/>
      <w:bookmarkStart w:id="75" w:name="_Toc15377221"/>
      <w:r>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t>十、其他重要事项的情况说明</w:t>
      </w:r>
      <w:bookmarkEnd w:id="72"/>
      <w:bookmarkEnd w:id="73"/>
      <w:bookmarkEnd w:id="74"/>
      <w:bookmarkEnd w:id="75"/>
    </w:p>
    <w:p>
      <w:pPr>
        <w:pageBreakBefore w:val="0"/>
        <w:kinsoku/>
        <w:wordWrap/>
        <w:overflowPunct/>
        <w:topLinePunct w:val="0"/>
        <w:bidi w:val="0"/>
        <w:spacing w:line="588" w:lineRule="exact"/>
        <w:ind w:firstLine="643" w:firstLineChars="200"/>
        <w:textAlignment w:val="auto"/>
        <w:outlineLvl w:val="2"/>
        <w:rPr>
          <w:rFonts w:hint="eastAsia" w:ascii="Times New Roman" w:hAnsi="Times New Roman" w:eastAsia="黑体" w:cs="Times New Roman"/>
          <w:b w:val="0"/>
          <w:bCs/>
          <w:caps w:val="0"/>
          <w:color w:val="000000" w:themeColor="text1"/>
          <w:kern w:val="2"/>
          <w:sz w:val="32"/>
          <w:szCs w:val="32"/>
          <w:lang w:val="en-US" w:eastAsia="zh-CN" w:bidi="ar-SA"/>
          <w14:textFill>
            <w14:solidFill>
              <w14:schemeClr w14:val="tx1"/>
            </w14:solidFill>
          </w14:textFill>
        </w:rPr>
      </w:pPr>
      <w:bookmarkStart w:id="76" w:name="_Toc2787"/>
      <w:bookmarkStart w:id="77" w:name="_Toc15377222"/>
      <w:r>
        <w:rPr>
          <w:rFonts w:hint="eastAsia" w:ascii="Times New Roman" w:hAnsi="Times New Roman" w:eastAsia="仿宋"/>
          <w:b/>
          <w:caps w:val="0"/>
          <w:color w:val="000000" w:themeColor="text1"/>
          <w:szCs w:val="32"/>
          <w14:textFill>
            <w14:solidFill>
              <w14:schemeClr w14:val="tx1"/>
            </w14:solidFill>
          </w14:textFill>
        </w:rPr>
        <w:t>（一）机关运行经费支出情况</w:t>
      </w:r>
      <w:bookmarkEnd w:id="76"/>
      <w:bookmarkEnd w:id="77"/>
    </w:p>
    <w:p>
      <w:pPr>
        <w:pageBreakBefore w:val="0"/>
        <w:kinsoku/>
        <w:wordWrap/>
        <w:overflowPunct/>
        <w:topLinePunct w:val="0"/>
        <w:bidi w:val="0"/>
        <w:spacing w:line="588" w:lineRule="exact"/>
        <w:ind w:firstLine="640" w:firstLineChars="200"/>
        <w:textAlignment w:val="auto"/>
        <w:rPr>
          <w:rFonts w:ascii="Times New Roman" w:hAnsi="Times New Roman" w:eastAsia="仿宋"/>
          <w:caps w:val="0"/>
          <w:color w:val="000000" w:themeColor="text1"/>
          <w:szCs w:val="32"/>
          <w14:textFill>
            <w14:solidFill>
              <w14:schemeClr w14:val="tx1"/>
            </w14:solidFill>
          </w14:textFill>
        </w:rPr>
      </w:pP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年，自贡市自流井区飞龙峡镇人民政府机关运行经费支出</w:t>
      </w:r>
      <w:r>
        <w:rPr>
          <w:rFonts w:ascii="Times New Roman" w:hAnsi="Times New Roman"/>
          <w:caps w:val="0"/>
          <w:color w:val="000000" w:themeColor="text1"/>
          <w:szCs w:val="32"/>
          <w14:textFill>
            <w14:solidFill>
              <w14:schemeClr w14:val="tx1"/>
            </w14:solidFill>
          </w14:textFill>
        </w:rPr>
        <w:t>225.57</w:t>
      </w:r>
      <w:r>
        <w:rPr>
          <w:rFonts w:hint="eastAsia" w:ascii="Times New Roman" w:hAnsi="Times New Roman"/>
          <w:caps w:val="0"/>
          <w:color w:val="000000" w:themeColor="text1"/>
          <w:szCs w:val="32"/>
          <w14:textFill>
            <w14:solidFill>
              <w14:schemeClr w14:val="tx1"/>
            </w14:solidFill>
          </w14:textFill>
        </w:rPr>
        <w:t>万元，比</w:t>
      </w:r>
      <w:r>
        <w:rPr>
          <w:rFonts w:ascii="Times New Roman" w:hAnsi="Times New Roman"/>
          <w:caps w:val="0"/>
          <w:color w:val="000000" w:themeColor="text1"/>
          <w:szCs w:val="32"/>
          <w14:textFill>
            <w14:solidFill>
              <w14:schemeClr w14:val="tx1"/>
            </w14:solidFill>
          </w14:textFill>
        </w:rPr>
        <w:t>2019</w:t>
      </w:r>
      <w:r>
        <w:rPr>
          <w:rFonts w:hint="eastAsia" w:ascii="Times New Roman" w:hAnsi="Times New Roman"/>
          <w:caps w:val="0"/>
          <w:color w:val="000000" w:themeColor="text1"/>
          <w:szCs w:val="32"/>
          <w14:textFill>
            <w14:solidFill>
              <w14:schemeClr w14:val="tx1"/>
            </w14:solidFill>
          </w14:textFill>
        </w:rPr>
        <w:t>年增加</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减少</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万元，增长</w:t>
      </w:r>
      <w:r>
        <w:rPr>
          <w:rFonts w:ascii="Times New Roman" w:hAnsi="Times New Roman"/>
          <w:caps w:val="0"/>
          <w:color w:val="000000" w:themeColor="text1"/>
          <w:szCs w:val="32"/>
          <w14:textFill>
            <w14:solidFill>
              <w14:schemeClr w14:val="tx1"/>
            </w14:solidFill>
          </w14:textFill>
        </w:rPr>
        <w:t>/</w:t>
      </w:r>
      <w:r>
        <w:rPr>
          <w:rFonts w:hint="eastAsia" w:ascii="Times New Roman" w:hAnsi="Times New Roman"/>
          <w:caps w:val="0"/>
          <w:color w:val="000000" w:themeColor="text1"/>
          <w:szCs w:val="32"/>
          <w14:textFill>
            <w14:solidFill>
              <w14:schemeClr w14:val="tx1"/>
            </w14:solidFill>
          </w14:textFill>
        </w:rPr>
        <w:t>下降</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。主要原因是</w:t>
      </w:r>
      <w:bookmarkStart w:id="78" w:name="_Toc15377223"/>
      <w:r>
        <w:rPr>
          <w:rFonts w:hint="eastAsia" w:ascii="Times New Roman" w:hAnsi="Times New Roman" w:eastAsia="仿宋"/>
          <w:caps w:val="0"/>
          <w:color w:val="000000" w:themeColor="text1"/>
          <w:szCs w:val="32"/>
          <w14:textFill>
            <w14:solidFill>
              <w14:schemeClr w14:val="tx1"/>
            </w14:solidFill>
          </w14:textFill>
        </w:rPr>
        <w:t>我镇是由原农团乡和原漆树乡于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w:t>
      </w:r>
      <w:r>
        <w:rPr>
          <w:rFonts w:ascii="Times New Roman" w:hAnsi="Times New Roman" w:eastAsia="仿宋"/>
          <w:caps w:val="0"/>
          <w:color w:val="000000" w:themeColor="text1"/>
          <w:szCs w:val="32"/>
          <w14:textFill>
            <w14:solidFill>
              <w14:schemeClr w14:val="tx1"/>
            </w14:solidFill>
          </w14:textFill>
        </w:rPr>
        <w:t>9</w:t>
      </w:r>
      <w:r>
        <w:rPr>
          <w:rFonts w:hint="eastAsia" w:ascii="Times New Roman" w:hAnsi="Times New Roman" w:eastAsia="仿宋"/>
          <w:caps w:val="0"/>
          <w:color w:val="000000" w:themeColor="text1"/>
          <w:szCs w:val="32"/>
          <w14:textFill>
            <w14:solidFill>
              <w14:schemeClr w14:val="tx1"/>
            </w14:solidFill>
          </w14:textFill>
        </w:rPr>
        <w:t>月合并新成立，故不与</w:t>
      </w:r>
      <w:r>
        <w:rPr>
          <w:rFonts w:ascii="Times New Roman" w:hAnsi="Times New Roman" w:eastAsia="仿宋"/>
          <w:caps w:val="0"/>
          <w:color w:val="000000" w:themeColor="text1"/>
          <w:szCs w:val="32"/>
          <w14:textFill>
            <w14:solidFill>
              <w14:schemeClr w14:val="tx1"/>
            </w14:solidFill>
          </w14:textFill>
        </w:rPr>
        <w:t>2019</w:t>
      </w:r>
      <w:r>
        <w:rPr>
          <w:rFonts w:hint="eastAsia" w:ascii="Times New Roman" w:hAnsi="Times New Roman" w:eastAsia="仿宋"/>
          <w:caps w:val="0"/>
          <w:color w:val="000000" w:themeColor="text1"/>
          <w:szCs w:val="32"/>
          <w14:textFill>
            <w14:solidFill>
              <w14:schemeClr w14:val="tx1"/>
            </w14:solidFill>
          </w14:textFill>
        </w:rPr>
        <w:t>年做比较。</w:t>
      </w:r>
    </w:p>
    <w:p>
      <w:pPr>
        <w:pageBreakBefore w:val="0"/>
        <w:kinsoku/>
        <w:wordWrap/>
        <w:overflowPunct/>
        <w:topLinePunct w:val="0"/>
        <w:bidi w:val="0"/>
        <w:spacing w:line="588" w:lineRule="exact"/>
        <w:ind w:firstLine="643" w:firstLineChars="200"/>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79" w:name="_Toc29492"/>
      <w:r>
        <w:rPr>
          <w:rFonts w:hint="eastAsia" w:ascii="Times New Roman" w:hAnsi="Times New Roman" w:eastAsia="仿宋"/>
          <w:b/>
          <w:caps w:val="0"/>
          <w:color w:val="000000" w:themeColor="text1"/>
          <w:szCs w:val="32"/>
          <w14:textFill>
            <w14:solidFill>
              <w14:schemeClr w14:val="tx1"/>
            </w14:solidFill>
          </w14:textFill>
        </w:rPr>
        <w:t>（二）政府采购支出情况</w:t>
      </w:r>
      <w:bookmarkEnd w:id="78"/>
      <w:bookmarkEnd w:id="79"/>
    </w:p>
    <w:p>
      <w:pPr>
        <w:pageBreakBefore w:val="0"/>
        <w:kinsoku/>
        <w:wordWrap/>
        <w:overflowPunct/>
        <w:topLinePunct w:val="0"/>
        <w:bidi w:val="0"/>
        <w:spacing w:line="588" w:lineRule="exact"/>
        <w:ind w:firstLine="640" w:firstLineChars="200"/>
        <w:textAlignment w:val="auto"/>
        <w:rPr>
          <w:rFonts w:ascii="Times New Roman" w:hAnsi="Times New Roman"/>
          <w:caps w:val="0"/>
          <w:color w:val="000000" w:themeColor="text1"/>
          <w:szCs w:val="32"/>
          <w14:textFill>
            <w14:solidFill>
              <w14:schemeClr w14:val="tx1"/>
            </w14:solidFill>
          </w14:textFill>
        </w:rPr>
      </w:pP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年，自贡市自流井区飞龙峡镇人民政府采购支出总额</w:t>
      </w:r>
      <w:r>
        <w:rPr>
          <w:rFonts w:ascii="Times New Roman" w:hAnsi="Times New Roman"/>
          <w:caps w:val="0"/>
          <w:color w:val="000000" w:themeColor="text1"/>
          <w:szCs w:val="32"/>
          <w14:textFill>
            <w14:solidFill>
              <w14:schemeClr w14:val="tx1"/>
            </w14:solidFill>
          </w14:textFill>
        </w:rPr>
        <w:t>1.6</w:t>
      </w:r>
      <w:r>
        <w:rPr>
          <w:rFonts w:hint="eastAsia" w:ascii="Times New Roman" w:hAnsi="Times New Roman"/>
          <w:caps w:val="0"/>
          <w:color w:val="000000" w:themeColor="text1"/>
          <w:szCs w:val="32"/>
          <w14:textFill>
            <w14:solidFill>
              <w14:schemeClr w14:val="tx1"/>
            </w14:solidFill>
          </w14:textFill>
        </w:rPr>
        <w:t>万元，其中：政府采购货物支出</w:t>
      </w:r>
      <w:r>
        <w:rPr>
          <w:rFonts w:ascii="Times New Roman" w:hAnsi="Times New Roman"/>
          <w:caps w:val="0"/>
          <w:color w:val="000000" w:themeColor="text1"/>
          <w:szCs w:val="32"/>
          <w14:textFill>
            <w14:solidFill>
              <w14:schemeClr w14:val="tx1"/>
            </w14:solidFill>
          </w14:textFill>
        </w:rPr>
        <w:t>1.6</w:t>
      </w:r>
      <w:r>
        <w:rPr>
          <w:rFonts w:hint="eastAsia" w:ascii="Times New Roman" w:hAnsi="Times New Roman"/>
          <w:caps w:val="0"/>
          <w:color w:val="000000" w:themeColor="text1"/>
          <w:szCs w:val="32"/>
          <w14:textFill>
            <w14:solidFill>
              <w14:schemeClr w14:val="tx1"/>
            </w14:solidFill>
          </w14:textFill>
        </w:rPr>
        <w:t>万元、政府采购工程支出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万元、政府采购服务支出</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万元。主要用于采购打印机等。授予中小企业合同金额</w:t>
      </w:r>
      <w:r>
        <w:rPr>
          <w:rFonts w:ascii="Times New Roman" w:hAnsi="Times New Roman"/>
          <w:caps w:val="0"/>
          <w:color w:val="000000" w:themeColor="text1"/>
          <w:szCs w:val="32"/>
          <w14:textFill>
            <w14:solidFill>
              <w14:schemeClr w14:val="tx1"/>
            </w14:solidFill>
          </w14:textFill>
        </w:rPr>
        <w:t>1.6</w:t>
      </w:r>
      <w:r>
        <w:rPr>
          <w:rFonts w:hint="eastAsia" w:ascii="Times New Roman" w:hAnsi="Times New Roman"/>
          <w:caps w:val="0"/>
          <w:color w:val="000000" w:themeColor="text1"/>
          <w:szCs w:val="32"/>
          <w14:textFill>
            <w14:solidFill>
              <w14:schemeClr w14:val="tx1"/>
            </w14:solidFill>
          </w14:textFill>
        </w:rPr>
        <w:t>万元，占政府采购支出总额的</w:t>
      </w:r>
      <w:r>
        <w:rPr>
          <w:rFonts w:ascii="Times New Roman" w:hAnsi="Times New Roman"/>
          <w:caps w:val="0"/>
          <w:color w:val="000000" w:themeColor="text1"/>
          <w:szCs w:val="32"/>
          <w14:textFill>
            <w14:solidFill>
              <w14:schemeClr w14:val="tx1"/>
            </w14:solidFill>
          </w14:textFill>
        </w:rPr>
        <w:t>100%</w:t>
      </w:r>
      <w:r>
        <w:rPr>
          <w:rFonts w:hint="eastAsia" w:ascii="Times New Roman" w:hAnsi="Times New Roman"/>
          <w:caps w:val="0"/>
          <w:color w:val="000000" w:themeColor="text1"/>
          <w:szCs w:val="32"/>
          <w14:textFill>
            <w14:solidFill>
              <w14:schemeClr w14:val="tx1"/>
            </w14:solidFill>
          </w14:textFill>
        </w:rPr>
        <w:t>，其中：授予小微企业合同金额</w:t>
      </w:r>
      <w:r>
        <w:rPr>
          <w:rFonts w:ascii="Times New Roman" w:hAnsi="Times New Roman"/>
          <w:caps w:val="0"/>
          <w:color w:val="000000" w:themeColor="text1"/>
          <w:szCs w:val="32"/>
          <w14:textFill>
            <w14:solidFill>
              <w14:schemeClr w14:val="tx1"/>
            </w14:solidFill>
          </w14:textFill>
        </w:rPr>
        <w:t>1.6</w:t>
      </w:r>
      <w:r>
        <w:rPr>
          <w:rFonts w:hint="eastAsia" w:ascii="Times New Roman" w:hAnsi="Times New Roman"/>
          <w:caps w:val="0"/>
          <w:color w:val="000000" w:themeColor="text1"/>
          <w:szCs w:val="32"/>
          <w14:textFill>
            <w14:solidFill>
              <w14:schemeClr w14:val="tx1"/>
            </w14:solidFill>
          </w14:textFill>
        </w:rPr>
        <w:t>万元，占政府采购支出总额的</w:t>
      </w:r>
      <w:r>
        <w:rPr>
          <w:rFonts w:ascii="Times New Roman" w:hAnsi="Times New Roman"/>
          <w:caps w:val="0"/>
          <w:color w:val="000000" w:themeColor="text1"/>
          <w:szCs w:val="32"/>
          <w14:textFill>
            <w14:solidFill>
              <w14:schemeClr w14:val="tx1"/>
            </w14:solidFill>
          </w14:textFill>
        </w:rPr>
        <w:t>100%</w:t>
      </w:r>
      <w:r>
        <w:rPr>
          <w:rFonts w:hint="eastAsia" w:ascii="Times New Roman" w:hAnsi="Times New Roman"/>
          <w:caps w:val="0"/>
          <w:color w:val="000000" w:themeColor="text1"/>
          <w:szCs w:val="32"/>
          <w14:textFill>
            <w14:solidFill>
              <w14:schemeClr w14:val="tx1"/>
            </w14:solidFill>
          </w14:textFill>
        </w:rPr>
        <w:t>。</w:t>
      </w:r>
    </w:p>
    <w:p>
      <w:pPr>
        <w:pageBreakBefore w:val="0"/>
        <w:kinsoku/>
        <w:wordWrap/>
        <w:overflowPunct/>
        <w:topLinePunct w:val="0"/>
        <w:autoSpaceDE w:val="0"/>
        <w:autoSpaceDN w:val="0"/>
        <w:bidi w:val="0"/>
        <w:adjustRightInd w:val="0"/>
        <w:spacing w:line="588" w:lineRule="exact"/>
        <w:ind w:firstLine="643" w:firstLineChars="200"/>
        <w:jc w:val="left"/>
        <w:textAlignment w:val="auto"/>
        <w:outlineLvl w:val="2"/>
        <w:rPr>
          <w:rFonts w:ascii="Times New Roman" w:hAnsi="Times New Roman" w:eastAsia="仿宋"/>
          <w:b/>
          <w:caps w:val="0"/>
          <w:color w:val="000000" w:themeColor="text1"/>
          <w:szCs w:val="32"/>
          <w14:textFill>
            <w14:solidFill>
              <w14:schemeClr w14:val="tx1"/>
            </w14:solidFill>
          </w14:textFill>
        </w:rPr>
      </w:pPr>
      <w:bookmarkStart w:id="80" w:name="_Toc17719"/>
      <w:bookmarkStart w:id="81" w:name="_Toc15377224"/>
      <w:r>
        <w:rPr>
          <w:rFonts w:hint="eastAsia" w:ascii="Times New Roman" w:hAnsi="Times New Roman" w:eastAsia="仿宋"/>
          <w:b/>
          <w:caps w:val="0"/>
          <w:color w:val="000000" w:themeColor="text1"/>
          <w:szCs w:val="32"/>
          <w14:textFill>
            <w14:solidFill>
              <w14:schemeClr w14:val="tx1"/>
            </w14:solidFill>
          </w14:textFill>
        </w:rPr>
        <w:t>（三）国有资产占有使用情况</w:t>
      </w:r>
      <w:bookmarkEnd w:id="80"/>
      <w:bookmarkEnd w:id="81"/>
    </w:p>
    <w:p>
      <w:pPr>
        <w:pageBreakBefore w:val="0"/>
        <w:kinsoku/>
        <w:wordWrap/>
        <w:overflowPunct/>
        <w:topLinePunct w:val="0"/>
        <w:autoSpaceDE w:val="0"/>
        <w:autoSpaceDN w:val="0"/>
        <w:bidi w:val="0"/>
        <w:adjustRightInd w:val="0"/>
        <w:spacing w:line="588" w:lineRule="exact"/>
        <w:ind w:firstLine="640" w:firstLineChars="200"/>
        <w:jc w:val="left"/>
        <w:textAlignment w:val="auto"/>
        <w:rPr>
          <w:rFonts w:ascii="Times New Roman" w:hAnsi="Times New Roman" w:eastAsia="仿宋"/>
          <w:b/>
          <w:caps w:val="0"/>
          <w:color w:val="000000" w:themeColor="text1"/>
          <w:szCs w:val="32"/>
          <w14:textFill>
            <w14:solidFill>
              <w14:schemeClr w14:val="tx1"/>
            </w14:solidFill>
          </w14:textFill>
        </w:rPr>
      </w:pPr>
      <w:r>
        <w:rPr>
          <w:rFonts w:hint="eastAsia" w:ascii="Times New Roman" w:hAnsi="Times New Roman"/>
          <w:caps w:val="0"/>
          <w:color w:val="000000" w:themeColor="text1"/>
          <w:szCs w:val="32"/>
          <w14:textFill>
            <w14:solidFill>
              <w14:schemeClr w14:val="tx1"/>
            </w14:solidFill>
          </w14:textFill>
        </w:rPr>
        <w:t>截至</w:t>
      </w:r>
      <w:r>
        <w:rPr>
          <w:rFonts w:ascii="Times New Roman" w:hAnsi="Times New Roman"/>
          <w:caps w:val="0"/>
          <w:color w:val="000000" w:themeColor="text1"/>
          <w:szCs w:val="32"/>
          <w14:textFill>
            <w14:solidFill>
              <w14:schemeClr w14:val="tx1"/>
            </w14:solidFill>
          </w14:textFill>
        </w:rPr>
        <w:t>2020</w:t>
      </w:r>
      <w:r>
        <w:rPr>
          <w:rFonts w:hint="eastAsia" w:ascii="Times New Roman" w:hAnsi="Times New Roman"/>
          <w:caps w:val="0"/>
          <w:color w:val="000000" w:themeColor="text1"/>
          <w:szCs w:val="32"/>
          <w14:textFill>
            <w14:solidFill>
              <w14:schemeClr w14:val="tx1"/>
            </w14:solidFill>
          </w14:textFill>
        </w:rPr>
        <w:t>年</w:t>
      </w:r>
      <w:r>
        <w:rPr>
          <w:rFonts w:ascii="Times New Roman" w:hAnsi="Times New Roman"/>
          <w:caps w:val="0"/>
          <w:color w:val="000000" w:themeColor="text1"/>
          <w:szCs w:val="32"/>
          <w14:textFill>
            <w14:solidFill>
              <w14:schemeClr w14:val="tx1"/>
            </w14:solidFill>
          </w14:textFill>
        </w:rPr>
        <w:t>12</w:t>
      </w:r>
      <w:r>
        <w:rPr>
          <w:rFonts w:hint="eastAsia" w:ascii="Times New Roman" w:hAnsi="Times New Roman"/>
          <w:caps w:val="0"/>
          <w:color w:val="000000" w:themeColor="text1"/>
          <w:szCs w:val="32"/>
          <w14:textFill>
            <w14:solidFill>
              <w14:schemeClr w14:val="tx1"/>
            </w14:solidFill>
          </w14:textFill>
        </w:rPr>
        <w:t>月</w:t>
      </w:r>
      <w:r>
        <w:rPr>
          <w:rFonts w:ascii="Times New Roman" w:hAnsi="Times New Roman"/>
          <w:caps w:val="0"/>
          <w:color w:val="000000" w:themeColor="text1"/>
          <w:szCs w:val="32"/>
          <w14:textFill>
            <w14:solidFill>
              <w14:schemeClr w14:val="tx1"/>
            </w14:solidFill>
          </w14:textFill>
        </w:rPr>
        <w:t>31</w:t>
      </w:r>
      <w:r>
        <w:rPr>
          <w:rFonts w:hint="eastAsia" w:ascii="Times New Roman" w:hAnsi="Times New Roman"/>
          <w:caps w:val="0"/>
          <w:color w:val="000000" w:themeColor="text1"/>
          <w:szCs w:val="32"/>
          <w14:textFill>
            <w14:solidFill>
              <w14:schemeClr w14:val="tx1"/>
            </w14:solidFill>
          </w14:textFill>
        </w:rPr>
        <w:t>日，自贡市自流井区飞龙峡镇人民政府共有车辆</w:t>
      </w:r>
      <w:r>
        <w:rPr>
          <w:rFonts w:ascii="Times New Roman" w:hAnsi="Times New Roman"/>
          <w:caps w:val="0"/>
          <w:color w:val="000000" w:themeColor="text1"/>
          <w:szCs w:val="32"/>
          <w14:textFill>
            <w14:solidFill>
              <w14:schemeClr w14:val="tx1"/>
            </w14:solidFill>
          </w14:textFill>
        </w:rPr>
        <w:t>2</w:t>
      </w:r>
      <w:r>
        <w:rPr>
          <w:rFonts w:hint="eastAsia" w:ascii="Times New Roman" w:hAnsi="Times New Roman"/>
          <w:caps w:val="0"/>
          <w:color w:val="000000" w:themeColor="text1"/>
          <w:szCs w:val="32"/>
          <w14:textFill>
            <w14:solidFill>
              <w14:schemeClr w14:val="tx1"/>
            </w14:solidFill>
          </w14:textFill>
        </w:rPr>
        <w:t>辆，其中：主要领导干部用车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辆、机要通信用车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辆、应急保障用车</w:t>
      </w:r>
      <w:r>
        <w:rPr>
          <w:rFonts w:ascii="Times New Roman" w:hAnsi="Times New Roman"/>
          <w:caps w:val="0"/>
          <w:color w:val="000000" w:themeColor="text1"/>
          <w:szCs w:val="32"/>
          <w14:textFill>
            <w14:solidFill>
              <w14:schemeClr w14:val="tx1"/>
            </w14:solidFill>
          </w14:textFill>
        </w:rPr>
        <w:t>2</w:t>
      </w:r>
      <w:r>
        <w:rPr>
          <w:rFonts w:hint="eastAsia" w:ascii="Times New Roman" w:hAnsi="Times New Roman"/>
          <w:caps w:val="0"/>
          <w:color w:val="000000" w:themeColor="text1"/>
          <w:szCs w:val="32"/>
          <w14:textFill>
            <w14:solidFill>
              <w14:schemeClr w14:val="tx1"/>
            </w14:solidFill>
          </w14:textFill>
        </w:rPr>
        <w:t>辆、其他用车</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辆，其他用车主要是用于无；单价</w:t>
      </w:r>
      <w:r>
        <w:rPr>
          <w:rFonts w:ascii="Times New Roman" w:hAnsi="Times New Roman"/>
          <w:caps w:val="0"/>
          <w:color w:val="000000" w:themeColor="text1"/>
          <w:szCs w:val="32"/>
          <w14:textFill>
            <w14:solidFill>
              <w14:schemeClr w14:val="tx1"/>
            </w14:solidFill>
          </w14:textFill>
        </w:rPr>
        <w:t>50</w:t>
      </w:r>
      <w:r>
        <w:rPr>
          <w:rFonts w:hint="eastAsia" w:ascii="Times New Roman" w:hAnsi="Times New Roman"/>
          <w:caps w:val="0"/>
          <w:color w:val="000000" w:themeColor="text1"/>
          <w:szCs w:val="32"/>
          <w14:textFill>
            <w14:solidFill>
              <w14:schemeClr w14:val="tx1"/>
            </w14:solidFill>
          </w14:textFill>
        </w:rPr>
        <w:t>万元以上通用设备</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台（套），单价</w:t>
      </w:r>
      <w:r>
        <w:rPr>
          <w:rFonts w:ascii="Times New Roman" w:hAnsi="Times New Roman"/>
          <w:caps w:val="0"/>
          <w:color w:val="000000" w:themeColor="text1"/>
          <w:szCs w:val="32"/>
          <w14:textFill>
            <w14:solidFill>
              <w14:schemeClr w14:val="tx1"/>
            </w14:solidFill>
          </w14:textFill>
        </w:rPr>
        <w:t>100</w:t>
      </w:r>
      <w:r>
        <w:rPr>
          <w:rFonts w:hint="eastAsia" w:ascii="Times New Roman" w:hAnsi="Times New Roman"/>
          <w:caps w:val="0"/>
          <w:color w:val="000000" w:themeColor="text1"/>
          <w:szCs w:val="32"/>
          <w14:textFill>
            <w14:solidFill>
              <w14:schemeClr w14:val="tx1"/>
            </w14:solidFill>
          </w14:textFill>
        </w:rPr>
        <w:t>万元以上专用设备</w:t>
      </w:r>
      <w:r>
        <w:rPr>
          <w:rFonts w:ascii="Times New Roman" w:hAnsi="Times New Roman"/>
          <w:caps w:val="0"/>
          <w:color w:val="000000" w:themeColor="text1"/>
          <w:szCs w:val="32"/>
          <w14:textFill>
            <w14:solidFill>
              <w14:schemeClr w14:val="tx1"/>
            </w14:solidFill>
          </w14:textFill>
        </w:rPr>
        <w:t>0</w:t>
      </w:r>
      <w:r>
        <w:rPr>
          <w:rFonts w:hint="eastAsia" w:ascii="Times New Roman" w:hAnsi="Times New Roman"/>
          <w:caps w:val="0"/>
          <w:color w:val="000000" w:themeColor="text1"/>
          <w:szCs w:val="32"/>
          <w14:textFill>
            <w14:solidFill>
              <w14:schemeClr w14:val="tx1"/>
            </w14:solidFill>
          </w14:textFill>
        </w:rPr>
        <w:t>台（套）。</w:t>
      </w:r>
    </w:p>
    <w:p>
      <w:pPr>
        <w:pageBreakBefore w:val="0"/>
        <w:numPr>
          <w:ilvl w:val="0"/>
          <w:numId w:val="2"/>
        </w:numPr>
        <w:kinsoku/>
        <w:wordWrap/>
        <w:overflowPunct/>
        <w:topLinePunct w:val="0"/>
        <w:autoSpaceDE w:val="0"/>
        <w:autoSpaceDN w:val="0"/>
        <w:bidi w:val="0"/>
        <w:adjustRightInd w:val="0"/>
        <w:spacing w:line="588" w:lineRule="exact"/>
        <w:ind w:firstLine="643" w:firstLineChars="200"/>
        <w:jc w:val="left"/>
        <w:textAlignment w:val="auto"/>
        <w:outlineLvl w:val="2"/>
        <w:rPr>
          <w:rFonts w:hint="eastAsia" w:ascii="Times New Roman" w:hAnsi="Times New Roman" w:eastAsia="仿宋"/>
          <w:b/>
          <w:caps w:val="0"/>
          <w:color w:val="000000" w:themeColor="text1"/>
          <w:szCs w:val="32"/>
          <w14:textFill>
            <w14:solidFill>
              <w14:schemeClr w14:val="tx1"/>
            </w14:solidFill>
          </w14:textFill>
        </w:rPr>
      </w:pPr>
      <w:bookmarkStart w:id="82" w:name="_Toc11001"/>
      <w:r>
        <w:rPr>
          <w:rFonts w:hint="eastAsia" w:ascii="Times New Roman" w:hAnsi="Times New Roman" w:eastAsia="仿宋"/>
          <w:b/>
          <w:caps w:val="0"/>
          <w:color w:val="000000" w:themeColor="text1"/>
          <w:szCs w:val="32"/>
          <w14:textFill>
            <w14:solidFill>
              <w14:schemeClr w14:val="tx1"/>
            </w14:solidFill>
          </w14:textFill>
        </w:rPr>
        <w:t>预算绩效管理情况</w:t>
      </w:r>
      <w:bookmarkEnd w:id="82"/>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根据预算绩效管理要求，本部门在年初预算编制阶段，组织对污水处理建设工程项目开展了预算事前绩效评估，对</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个项目开展绩效监控，年终执行完毕后，对</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rPr>
        <w:t>个项目开展了绩效目标完成情况自评。</w:t>
      </w:r>
    </w:p>
    <w:p>
      <w:pPr>
        <w:keepNext w:val="0"/>
        <w:keepLines w:val="0"/>
        <w:pageBreakBefore w:val="0"/>
        <w:widowControl/>
        <w:kinsoku/>
        <w:wordWrap/>
        <w:overflowPunct/>
        <w:topLinePunct w:val="0"/>
        <w:autoSpaceDE/>
        <w:autoSpaceDN/>
        <w:bidi w:val="0"/>
        <w:adjustRightInd w:val="0"/>
        <w:snapToGrid w:val="0"/>
        <w:spacing w:line="550" w:lineRule="exact"/>
        <w:ind w:firstLine="640" w:firstLineChars="200"/>
        <w:contextualSpacing/>
        <w:jc w:val="left"/>
        <w:textAlignment w:val="auto"/>
        <w:rPr>
          <w:rFonts w:hint="default" w:eastAsia="仿宋_GB2312"/>
          <w:lang w:val="en-US" w:eastAsia="zh-CN"/>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年部门整体支出开展绩效自评，从评价情况来看</w:t>
      </w:r>
      <w:r>
        <w:rPr>
          <w:rFonts w:ascii="仿宋_GB2312" w:hAnsi="宋体" w:eastAsia="仿宋_GB2312" w:cs="仿宋_GB2312"/>
          <w:i w:val="0"/>
          <w:iCs w:val="0"/>
          <w:caps w:val="0"/>
          <w:color w:val="000000"/>
          <w:spacing w:val="0"/>
          <w:sz w:val="32"/>
          <w:szCs w:val="32"/>
          <w:shd w:val="clear" w:fill="FFFFFF"/>
        </w:rPr>
        <w:t>20</w:t>
      </w:r>
      <w:r>
        <w:rPr>
          <w:rFonts w:hint="eastAsia" w:ascii="仿宋_GB2312" w:hAnsi="宋体" w:eastAsia="仿宋_GB2312" w:cs="仿宋_GB2312"/>
          <w:i w:val="0"/>
          <w:iCs w:val="0"/>
          <w:caps w:val="0"/>
          <w:color w:val="000000"/>
          <w:spacing w:val="0"/>
          <w:sz w:val="32"/>
          <w:szCs w:val="32"/>
          <w:shd w:val="clear" w:fill="FFFFFF"/>
          <w:lang w:val="en-US" w:eastAsia="zh-CN"/>
        </w:rPr>
        <w:t>20</w:t>
      </w:r>
      <w:r>
        <w:rPr>
          <w:rFonts w:hint="default" w:ascii="仿宋_GB2312" w:hAnsi="宋体" w:eastAsia="仿宋_GB2312" w:cs="仿宋_GB2312"/>
          <w:i w:val="0"/>
          <w:iCs w:val="0"/>
          <w:caps w:val="0"/>
          <w:color w:val="000000"/>
          <w:spacing w:val="0"/>
          <w:sz w:val="32"/>
          <w:szCs w:val="32"/>
          <w:shd w:val="clear" w:fill="FFFFFF"/>
        </w:rPr>
        <w:t>年，我</w:t>
      </w:r>
      <w:r>
        <w:rPr>
          <w:rFonts w:hint="eastAsia" w:ascii="仿宋_GB2312" w:hAnsi="宋体" w:eastAsia="仿宋_GB2312" w:cs="仿宋_GB2312"/>
          <w:i w:val="0"/>
          <w:iCs w:val="0"/>
          <w:caps w:val="0"/>
          <w:color w:val="000000"/>
          <w:spacing w:val="0"/>
          <w:sz w:val="32"/>
          <w:szCs w:val="32"/>
          <w:shd w:val="clear" w:fill="FFFFFF"/>
          <w:lang w:eastAsia="zh-CN"/>
        </w:rPr>
        <w:t>镇</w:t>
      </w:r>
      <w:r>
        <w:rPr>
          <w:rFonts w:hint="default" w:ascii="仿宋_GB2312" w:hAnsi="宋体" w:eastAsia="仿宋_GB2312" w:cs="仿宋_GB2312"/>
          <w:i w:val="0"/>
          <w:iCs w:val="0"/>
          <w:caps w:val="0"/>
          <w:color w:val="000000"/>
          <w:spacing w:val="0"/>
          <w:sz w:val="32"/>
          <w:szCs w:val="32"/>
          <w:shd w:val="clear" w:fill="FFFFFF"/>
        </w:rPr>
        <w:t>严格按照年初预算批复认真组织实</w:t>
      </w:r>
      <w:r>
        <w:rPr>
          <w:rFonts w:hint="default" w:ascii="仿宋_GB2312" w:hAnsi="宋体" w:eastAsia="仿宋_GB2312" w:cs="仿宋_GB2312"/>
          <w:i w:val="0"/>
          <w:iCs w:val="0"/>
          <w:caps w:val="0"/>
          <w:color w:val="auto"/>
          <w:spacing w:val="0"/>
          <w:sz w:val="32"/>
          <w:szCs w:val="32"/>
          <w:shd w:val="clear" w:fill="FFFFFF"/>
        </w:rPr>
        <w:t>施</w:t>
      </w:r>
      <w:r>
        <w:rPr>
          <w:rFonts w:hint="eastAsia" w:ascii="仿宋_GB2312" w:hAnsi="宋体" w:eastAsia="仿宋_GB2312" w:cs="仿宋_GB2312"/>
          <w:i w:val="0"/>
          <w:iCs w:val="0"/>
          <w:caps w:val="0"/>
          <w:color w:val="auto"/>
          <w:spacing w:val="0"/>
          <w:sz w:val="32"/>
          <w:szCs w:val="32"/>
          <w:shd w:val="clear" w:fill="FFFFFF"/>
          <w:lang w:eastAsia="zh-CN"/>
        </w:rPr>
        <w:t>，</w:t>
      </w:r>
      <w:r>
        <w:rPr>
          <w:rFonts w:hint="default" w:ascii="仿宋_GB2312" w:hAnsi="宋体" w:eastAsia="仿宋_GB2312" w:cs="仿宋_GB2312"/>
          <w:i w:val="0"/>
          <w:iCs w:val="0"/>
          <w:caps w:val="0"/>
          <w:color w:val="auto"/>
          <w:spacing w:val="0"/>
          <w:sz w:val="32"/>
          <w:szCs w:val="32"/>
          <w:shd w:val="clear" w:fill="FFFFFF"/>
        </w:rPr>
        <w:t>严格执行财经纪律相关管理规定，做到各项收支安排使用符合事业发展计划和财政政策的要求，确保了单位正常运行和重大项目的实施，较好地完成了20</w:t>
      </w:r>
      <w:r>
        <w:rPr>
          <w:rFonts w:hint="eastAsia" w:ascii="仿宋_GB2312" w:hAnsi="宋体" w:eastAsia="仿宋_GB2312" w:cs="仿宋_GB2312"/>
          <w:i w:val="0"/>
          <w:iCs w:val="0"/>
          <w:caps w:val="0"/>
          <w:color w:val="auto"/>
          <w:spacing w:val="0"/>
          <w:sz w:val="32"/>
          <w:szCs w:val="32"/>
          <w:shd w:val="clear" w:fill="FFFFFF"/>
          <w:lang w:val="en-US" w:eastAsia="zh-CN"/>
        </w:rPr>
        <w:t>20</w:t>
      </w:r>
      <w:r>
        <w:rPr>
          <w:rFonts w:hint="default" w:ascii="仿宋_GB2312" w:hAnsi="宋体" w:eastAsia="仿宋_GB2312" w:cs="仿宋_GB2312"/>
          <w:i w:val="0"/>
          <w:iCs w:val="0"/>
          <w:caps w:val="0"/>
          <w:color w:val="auto"/>
          <w:spacing w:val="0"/>
          <w:sz w:val="32"/>
          <w:szCs w:val="32"/>
          <w:shd w:val="clear" w:fill="FFFFFF"/>
        </w:rPr>
        <w:t>年部门预算编制和决算汇总工作, 20</w:t>
      </w:r>
      <w:r>
        <w:rPr>
          <w:rFonts w:hint="eastAsia" w:ascii="仿宋_GB2312" w:hAnsi="宋体" w:eastAsia="仿宋_GB2312" w:cs="仿宋_GB2312"/>
          <w:i w:val="0"/>
          <w:iCs w:val="0"/>
          <w:caps w:val="0"/>
          <w:color w:val="auto"/>
          <w:spacing w:val="0"/>
          <w:sz w:val="32"/>
          <w:szCs w:val="32"/>
          <w:shd w:val="clear" w:fill="FFFFFF"/>
          <w:lang w:val="en-US" w:eastAsia="zh-CN"/>
        </w:rPr>
        <w:t>20</w:t>
      </w:r>
      <w:r>
        <w:rPr>
          <w:rFonts w:hint="default" w:ascii="仿宋_GB2312" w:hAnsi="宋体" w:eastAsia="仿宋_GB2312" w:cs="仿宋_GB2312"/>
          <w:i w:val="0"/>
          <w:iCs w:val="0"/>
          <w:caps w:val="0"/>
          <w:color w:val="auto"/>
          <w:spacing w:val="0"/>
          <w:sz w:val="32"/>
          <w:szCs w:val="32"/>
          <w:shd w:val="clear" w:fill="FFFFFF"/>
        </w:rPr>
        <w:t>年目标任务基本完成，预算执行情况较好</w:t>
      </w:r>
      <w:r>
        <w:rPr>
          <w:rFonts w:hint="eastAsia" w:ascii="仿宋_GB2312" w:hAnsi="仿宋_GB2312" w:eastAsia="仿宋_GB2312" w:cs="仿宋_GB2312"/>
          <w:color w:val="auto"/>
          <w:sz w:val="32"/>
          <w:szCs w:val="32"/>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楷体_GB2312" w:cs="楷体_GB2312"/>
          <w:caps w:val="0"/>
          <w:color w:val="000000" w:themeColor="text1"/>
          <w:szCs w:val="32"/>
          <w14:textFill>
            <w14:solidFill>
              <w14:schemeClr w14:val="tx1"/>
            </w14:solidFill>
          </w14:textFill>
        </w:rPr>
      </w:pPr>
      <w:r>
        <w:rPr>
          <w:rFonts w:hint="eastAsia" w:ascii="Times New Roman" w:hAnsi="Times New Roman" w:eastAsia="楷体_GB2312" w:cs="楷体_GB2312"/>
          <w:caps w:val="0"/>
          <w:color w:val="000000" w:themeColor="text1"/>
          <w:szCs w:val="32"/>
          <w14:textFill>
            <w14:solidFill>
              <w14:schemeClr w14:val="tx1"/>
            </w14:solidFill>
          </w14:textFill>
        </w:rPr>
        <w:t>项目绩效目标完成情况。</w:t>
      </w:r>
    </w:p>
    <w:p>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本部门在</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年度部门决算中反映“村公共运行维护项目</w:t>
      </w:r>
      <w:r>
        <w:rPr>
          <w:rFonts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“污水处理建设工程</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“原农团乡政府旁公厕工程项目”</w:t>
      </w:r>
      <w:r>
        <w:rPr>
          <w:rFonts w:hint="eastAsia" w:ascii="仿宋_GB2312" w:hAnsi="仿宋_GB2312" w:cs="仿宋_GB2312"/>
          <w:color w:val="auto"/>
          <w:sz w:val="32"/>
          <w:szCs w:val="32"/>
          <w:lang w:eastAsia="zh-CN"/>
        </w:rPr>
        <w:t>“村级公益事业一事一议财政奖补项目”</w:t>
      </w:r>
      <w:r>
        <w:rPr>
          <w:rFonts w:hint="eastAsia" w:ascii="仿宋_GB2312" w:hAnsi="仿宋_GB2312" w:eastAsia="仿宋_GB2312" w:cs="仿宋_GB2312"/>
          <w:color w:val="auto"/>
          <w:sz w:val="32"/>
          <w:szCs w:val="32"/>
        </w:rPr>
        <w:t>等</w:t>
      </w:r>
      <w:r>
        <w:rPr>
          <w:rFonts w:hint="eastAsia" w:ascii="仿宋_GB2312" w:hAnsi="仿宋_GB2312" w:cs="仿宋_GB2312"/>
          <w:color w:val="auto"/>
          <w:sz w:val="32"/>
          <w:szCs w:val="32"/>
          <w:lang w:val="en-US" w:eastAsia="zh-CN"/>
        </w:rPr>
        <w:t>4</w:t>
      </w:r>
      <w:r>
        <w:rPr>
          <w:rFonts w:hint="eastAsia" w:ascii="仿宋_GB2312" w:hAnsi="仿宋_GB2312" w:eastAsia="仿宋_GB2312" w:cs="仿宋_GB2312"/>
          <w:color w:val="auto"/>
          <w:sz w:val="32"/>
          <w:szCs w:val="32"/>
        </w:rPr>
        <w:t>个项目绩效目标实际完成情况。</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eastAsia="仿宋_GB2312" w:cs="仿宋_GB2312"/>
          <w:color w:val="auto"/>
          <w:sz w:val="32"/>
          <w:szCs w:val="32"/>
        </w:rPr>
        <w:t>村公共运行维护项目绩效目标完成情况综述。项目全年预算数</w:t>
      </w:r>
      <w:r>
        <w:rPr>
          <w:rFonts w:hint="eastAsia" w:ascii="仿宋_GB2312" w:hAnsi="仿宋_GB2312" w:cs="仿宋_GB2312"/>
          <w:color w:val="auto"/>
          <w:sz w:val="32"/>
          <w:szCs w:val="32"/>
          <w:lang w:val="en-US" w:eastAsia="zh-CN"/>
        </w:rPr>
        <w:t>38.6</w:t>
      </w:r>
      <w:r>
        <w:rPr>
          <w:rFonts w:hint="eastAsia" w:ascii="仿宋_GB2312" w:hAnsi="仿宋_GB2312" w:eastAsia="仿宋_GB2312" w:cs="仿宋_GB2312"/>
          <w:color w:val="auto"/>
          <w:sz w:val="32"/>
          <w:szCs w:val="32"/>
        </w:rPr>
        <w:t>万元，执行数为</w:t>
      </w:r>
      <w:r>
        <w:rPr>
          <w:rFonts w:hint="eastAsia" w:ascii="仿宋_GB2312" w:hAnsi="仿宋_GB2312" w:cs="仿宋_GB2312"/>
          <w:color w:val="auto"/>
          <w:sz w:val="32"/>
          <w:szCs w:val="32"/>
          <w:lang w:val="en-US" w:eastAsia="zh-CN"/>
        </w:rPr>
        <w:t>38.6</w:t>
      </w:r>
      <w:r>
        <w:rPr>
          <w:rFonts w:hint="eastAsia" w:ascii="仿宋_GB2312" w:hAnsi="仿宋_GB2312" w:eastAsia="仿宋_GB2312" w:cs="仿宋_GB2312"/>
          <w:color w:val="auto"/>
          <w:sz w:val="32"/>
          <w:szCs w:val="32"/>
        </w:rPr>
        <w:t>万元，完成预算的</w:t>
      </w:r>
      <w:r>
        <w:rPr>
          <w:rFonts w:hint="eastAsia" w:ascii="仿宋_GB2312" w:hAnsi="仿宋_GB2312" w:cs="仿宋_GB2312"/>
          <w:color w:val="auto"/>
          <w:sz w:val="32"/>
          <w:szCs w:val="32"/>
          <w:lang w:val="en-US" w:eastAsia="zh-CN"/>
        </w:rPr>
        <w:t>100</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。通过项目实施，</w:t>
      </w:r>
      <w:r>
        <w:rPr>
          <w:rFonts w:hint="eastAsia" w:ascii="仿宋_GB2312" w:hAnsi="仿宋_GB2312" w:cs="仿宋_GB2312"/>
          <w:color w:val="auto"/>
          <w:sz w:val="32"/>
          <w:szCs w:val="32"/>
          <w:lang w:eastAsia="zh-CN"/>
        </w:rPr>
        <w:t>更好的</w:t>
      </w:r>
      <w:r>
        <w:rPr>
          <w:rFonts w:hint="eastAsia" w:ascii="仿宋_GB2312" w:hAnsi="仿宋_GB2312" w:eastAsia="仿宋_GB2312" w:cs="仿宋_GB2312"/>
          <w:color w:val="auto"/>
          <w:sz w:val="32"/>
          <w:szCs w:val="32"/>
        </w:rPr>
        <w:t>维护各村日常运行，更好为群众办事，提高服务质量</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发现的主要问题：</w:t>
      </w:r>
      <w:r>
        <w:rPr>
          <w:rFonts w:hint="eastAsia" w:ascii="仿宋_GB2312" w:hAnsi="仿宋_GB2312" w:cs="仿宋_GB2312"/>
          <w:color w:val="auto"/>
          <w:sz w:val="32"/>
          <w:szCs w:val="32"/>
          <w:lang w:eastAsia="zh-CN"/>
        </w:rPr>
        <w:t>无</w:t>
      </w:r>
      <w:r>
        <w:rPr>
          <w:rFonts w:hint="eastAsia" w:ascii="仿宋_GB2312" w:hAnsi="仿宋_GB2312" w:eastAsia="仿宋_GB2312" w:cs="仿宋_GB2312"/>
          <w:color w:val="auto"/>
          <w:sz w:val="32"/>
          <w:szCs w:val="32"/>
        </w:rPr>
        <w:t>。下一步改进措施：</w:t>
      </w:r>
      <w:r>
        <w:rPr>
          <w:rFonts w:hint="eastAsia" w:ascii="仿宋_GB2312" w:hAnsi="仿宋_GB2312" w:cs="仿宋_GB2312"/>
          <w:color w:val="auto"/>
          <w:sz w:val="32"/>
          <w:szCs w:val="32"/>
          <w:lang w:eastAsia="zh-CN"/>
        </w:rPr>
        <w:t>无。</w:t>
      </w:r>
    </w:p>
    <w:p>
      <w:pPr>
        <w:numPr>
          <w:ilvl w:val="0"/>
          <w:numId w:val="0"/>
        </w:numPr>
        <w:spacing w:line="60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污水处理建设工程</w:t>
      </w:r>
      <w:r>
        <w:rPr>
          <w:rFonts w:hint="eastAsia" w:ascii="仿宋_GB2312" w:hAnsi="仿宋_GB2312" w:eastAsia="仿宋_GB2312" w:cs="仿宋_GB2312"/>
          <w:color w:val="auto"/>
          <w:sz w:val="32"/>
          <w:szCs w:val="32"/>
        </w:rPr>
        <w:t>项目绩效目标完成情况综述。项目全年预算数</w:t>
      </w:r>
      <w:r>
        <w:rPr>
          <w:rFonts w:hint="eastAsia" w:ascii="仿宋_GB2312" w:hAnsi="仿宋_GB2312" w:cs="仿宋_GB2312"/>
          <w:color w:val="auto"/>
          <w:sz w:val="32"/>
          <w:szCs w:val="32"/>
          <w:lang w:val="en-US" w:eastAsia="zh-CN"/>
        </w:rPr>
        <w:t>487.5</w:t>
      </w:r>
      <w:r>
        <w:rPr>
          <w:rFonts w:hint="eastAsia" w:ascii="仿宋_GB2312" w:hAnsi="仿宋_GB2312" w:eastAsia="仿宋_GB2312" w:cs="仿宋_GB2312"/>
          <w:color w:val="auto"/>
          <w:sz w:val="32"/>
          <w:szCs w:val="32"/>
        </w:rPr>
        <w:t>万元，执行数为</w:t>
      </w:r>
      <w:r>
        <w:rPr>
          <w:rFonts w:hint="eastAsia" w:ascii="仿宋_GB2312" w:hAnsi="仿宋_GB2312" w:cs="仿宋_GB2312"/>
          <w:color w:val="auto"/>
          <w:sz w:val="32"/>
          <w:szCs w:val="32"/>
          <w:lang w:val="en-US" w:eastAsia="zh-CN"/>
        </w:rPr>
        <w:t>101.22</w:t>
      </w:r>
      <w:r>
        <w:rPr>
          <w:rFonts w:hint="eastAsia" w:ascii="仿宋_GB2312" w:hAnsi="仿宋_GB2312" w:eastAsia="仿宋_GB2312" w:cs="仿宋_GB2312"/>
          <w:color w:val="auto"/>
          <w:sz w:val="32"/>
          <w:szCs w:val="32"/>
        </w:rPr>
        <w:t>万元，完成预算的</w:t>
      </w:r>
      <w:r>
        <w:rPr>
          <w:rFonts w:hint="eastAsia" w:ascii="仿宋_GB2312" w:hAnsi="仿宋_GB2312" w:cs="仿宋_GB2312"/>
          <w:color w:val="auto"/>
          <w:sz w:val="32"/>
          <w:szCs w:val="32"/>
          <w:lang w:val="en-US" w:eastAsia="zh-CN"/>
        </w:rPr>
        <w:t>20.76</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。通过项目实施，建设污水处理一体化设施，完成 3 个农村居民聚居点污水处理设施建</w:t>
      </w:r>
      <w:r>
        <w:rPr>
          <w:rFonts w:hint="eastAsia" w:ascii="仿宋_GB2312" w:hAnsi="仿宋_GB2312" w:cs="仿宋_GB2312"/>
          <w:color w:val="auto"/>
          <w:sz w:val="32"/>
          <w:szCs w:val="32"/>
          <w:lang w:eastAsia="zh-CN"/>
        </w:rPr>
        <w:t>设，</w:t>
      </w:r>
      <w:r>
        <w:rPr>
          <w:rFonts w:hint="eastAsia" w:ascii="仿宋_GB2312" w:hAnsi="仿宋_GB2312" w:eastAsia="仿宋_GB2312" w:cs="仿宋_GB2312"/>
          <w:color w:val="auto"/>
          <w:sz w:val="32"/>
          <w:szCs w:val="32"/>
        </w:rPr>
        <w:t>切实改善农村水生态环境质量和人居环境质量，推动民生福祉持续提升。发现的主要问题：目前项目资金支付仅完成预算的20.76%。因工程实施跨年度，并且需试运行3月后进行项目验收，故支付进度较慢。下一步改进措施：</w:t>
      </w:r>
      <w:r>
        <w:rPr>
          <w:rFonts w:hint="eastAsia" w:ascii="仿宋_GB2312" w:hAnsi="楷体_GB2312" w:cs="楷体_GB2312"/>
          <w:color w:val="auto"/>
          <w:spacing w:val="-2"/>
          <w:sz w:val="32"/>
          <w:szCs w:val="32"/>
          <w:lang w:eastAsia="zh-CN"/>
        </w:rPr>
        <w:t>工程建设完成验收，及后续资金到位后，将按期进行资金支付。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）原农团乡政府旁公厕工程项目绩效目标完成情况综述。项目全年预算数1.0995万元，执行数为1.0995万元，完成预算的</w:t>
      </w:r>
      <w:r>
        <w:rPr>
          <w:rFonts w:hint="eastAsia" w:ascii="仿宋_GB2312" w:hAnsi="仿宋_GB2312" w:cs="仿宋_GB2312"/>
          <w:color w:val="auto"/>
          <w:sz w:val="32"/>
          <w:szCs w:val="32"/>
          <w:lang w:val="en-US" w:eastAsia="zh-CN"/>
        </w:rPr>
        <w:t>100</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。通过项目实施，完善城乡基础设施建设，修建公厕方便群众生活，收到较好效果</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rPr>
        <w:t>发现的主要问题：</w:t>
      </w:r>
      <w:r>
        <w:rPr>
          <w:rFonts w:hint="eastAsia" w:ascii="仿宋_GB2312" w:hAnsi="仿宋_GB2312" w:cs="仿宋_GB2312"/>
          <w:color w:val="auto"/>
          <w:sz w:val="32"/>
          <w:szCs w:val="32"/>
          <w:lang w:eastAsia="zh-CN"/>
        </w:rPr>
        <w:t>无</w:t>
      </w:r>
      <w:r>
        <w:rPr>
          <w:rFonts w:hint="eastAsia" w:ascii="仿宋_GB2312" w:hAnsi="仿宋_GB2312" w:eastAsia="仿宋_GB2312" w:cs="仿宋_GB2312"/>
          <w:color w:val="auto"/>
          <w:sz w:val="32"/>
          <w:szCs w:val="32"/>
        </w:rPr>
        <w:t>。下一步改进措施：</w:t>
      </w:r>
      <w:r>
        <w:rPr>
          <w:rFonts w:hint="eastAsia" w:ascii="仿宋_GB2312" w:hAnsi="仿宋_GB2312" w:cs="仿宋_GB2312"/>
          <w:color w:val="auto"/>
          <w:sz w:val="32"/>
          <w:szCs w:val="32"/>
          <w:lang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lang w:eastAsia="zh-CN"/>
        </w:rPr>
      </w:pP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村级公益事业一事一议财政奖补项目</w:t>
      </w:r>
      <w:r>
        <w:rPr>
          <w:rFonts w:hint="eastAsia" w:ascii="仿宋_GB2312" w:hAnsi="仿宋_GB2312" w:eastAsia="仿宋_GB2312" w:cs="仿宋_GB2312"/>
          <w:color w:val="auto"/>
          <w:sz w:val="32"/>
          <w:szCs w:val="32"/>
        </w:rPr>
        <w:t>绩效目标完成情况综述。项目全年预算数</w:t>
      </w:r>
      <w:r>
        <w:rPr>
          <w:rFonts w:hint="eastAsia" w:ascii="仿宋_GB2312" w:hAnsi="仿宋_GB2312" w:cs="仿宋_GB2312"/>
          <w:color w:val="auto"/>
          <w:sz w:val="32"/>
          <w:szCs w:val="32"/>
          <w:lang w:val="en-US" w:eastAsia="zh-CN"/>
        </w:rPr>
        <w:t>32</w:t>
      </w:r>
      <w:r>
        <w:rPr>
          <w:rFonts w:hint="eastAsia" w:ascii="仿宋_GB2312" w:hAnsi="仿宋_GB2312" w:eastAsia="仿宋_GB2312" w:cs="仿宋_GB2312"/>
          <w:color w:val="auto"/>
          <w:sz w:val="32"/>
          <w:szCs w:val="32"/>
        </w:rPr>
        <w:t>万元，执行数为</w:t>
      </w:r>
      <w:r>
        <w:rPr>
          <w:rFonts w:hint="eastAsia" w:ascii="仿宋_GB2312" w:hAnsi="仿宋_GB2312" w:cs="仿宋_GB2312"/>
          <w:color w:val="auto"/>
          <w:sz w:val="32"/>
          <w:szCs w:val="32"/>
          <w:lang w:val="en-US" w:eastAsia="zh-CN"/>
        </w:rPr>
        <w:t>32</w:t>
      </w:r>
      <w:r>
        <w:rPr>
          <w:rFonts w:hint="eastAsia" w:ascii="仿宋_GB2312" w:hAnsi="仿宋_GB2312" w:eastAsia="仿宋_GB2312" w:cs="仿宋_GB2312"/>
          <w:color w:val="auto"/>
          <w:sz w:val="32"/>
          <w:szCs w:val="32"/>
        </w:rPr>
        <w:t>万元，完成预算的</w:t>
      </w:r>
      <w:r>
        <w:rPr>
          <w:rFonts w:hint="eastAsia" w:ascii="仿宋_GB2312" w:hAnsi="仿宋_GB2312" w:cs="仿宋_GB2312"/>
          <w:color w:val="auto"/>
          <w:sz w:val="32"/>
          <w:szCs w:val="32"/>
          <w:lang w:val="en-US" w:eastAsia="zh-CN"/>
        </w:rPr>
        <w:t>100</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。通过项目实施，</w:t>
      </w:r>
      <w:r>
        <w:rPr>
          <w:rFonts w:hint="eastAsia" w:ascii="仿宋_GB2312" w:hAnsi="仿宋_GB2312" w:cs="仿宋_GB2312"/>
          <w:color w:val="auto"/>
          <w:sz w:val="32"/>
          <w:szCs w:val="32"/>
          <w:lang w:eastAsia="zh-CN"/>
        </w:rPr>
        <w:t>顺利完成</w:t>
      </w:r>
      <w:r>
        <w:rPr>
          <w:rFonts w:hint="eastAsia" w:ascii="仿宋_GB2312" w:hAnsi="仿宋_GB2312" w:eastAsia="仿宋_GB2312" w:cs="仿宋_GB2312"/>
          <w:color w:val="auto"/>
          <w:sz w:val="32"/>
          <w:szCs w:val="32"/>
        </w:rPr>
        <w:t>杨柳村1组入院道路硬化、东升村3组鸡场至草堂村7组道路整治、东风村村道加宽工程、星星村10组芦篙冲山坪塘整治。发现的主要问题：</w:t>
      </w:r>
      <w:r>
        <w:rPr>
          <w:rFonts w:hint="eastAsia" w:ascii="仿宋_GB2312" w:hAnsi="仿宋_GB2312" w:cs="仿宋_GB2312"/>
          <w:color w:val="auto"/>
          <w:sz w:val="32"/>
          <w:szCs w:val="32"/>
          <w:lang w:eastAsia="zh-CN"/>
        </w:rPr>
        <w:t>无</w:t>
      </w:r>
      <w:r>
        <w:rPr>
          <w:rFonts w:hint="eastAsia" w:ascii="仿宋_GB2312" w:hAnsi="仿宋_GB2312" w:eastAsia="仿宋_GB2312" w:cs="仿宋_GB2312"/>
          <w:color w:val="auto"/>
          <w:sz w:val="32"/>
          <w:szCs w:val="32"/>
        </w:rPr>
        <w:t>。下一步改进措施：</w:t>
      </w:r>
      <w:r>
        <w:rPr>
          <w:rFonts w:hint="eastAsia" w:ascii="仿宋_GB2312" w:hAnsi="仿宋_GB2312" w:cs="仿宋_GB2312"/>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cs="仿宋_GB2312"/>
          <w:caps w:val="0"/>
          <w:szCs w:val="32"/>
        </w:rPr>
      </w:pPr>
    </w:p>
    <w:p>
      <w:pPr>
        <w:pStyle w:val="2"/>
        <w:sectPr>
          <w:pgSz w:w="11906" w:h="16838"/>
          <w:pgMar w:top="2098" w:right="1474" w:bottom="1984" w:left="1587" w:header="851" w:footer="992" w:gutter="0"/>
          <w:pgNumType w:fmt="decimal"/>
          <w:cols w:space="425" w:num="1"/>
          <w:docGrid w:type="lines" w:linePitch="312" w:charSpace="0"/>
        </w:sectPr>
      </w:pPr>
    </w:p>
    <w:tbl>
      <w:tblPr>
        <w:tblStyle w:val="12"/>
        <w:tblpPr w:leftFromText="180" w:rightFromText="180" w:vertAnchor="text" w:horzAnchor="page" w:tblpX="1184" w:tblpY="258"/>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Times New Roman" w:hAnsi="Times New Roman" w:eastAsia="仿宋_GB2312" w:cs="宋体"/>
                <w:b/>
                <w:bCs/>
                <w:caps w:val="0"/>
                <w:color w:val="000000"/>
                <w:kern w:val="0"/>
                <w:sz w:val="36"/>
                <w:szCs w:val="36"/>
                <w:lang w:eastAsia="zh-CN"/>
              </w:rPr>
            </w:pPr>
            <w:r>
              <w:rPr>
                <w:rFonts w:hint="eastAsia" w:ascii="Times New Roman" w:hAnsi="Times New Roman" w:cs="宋体"/>
                <w:b/>
                <w:bCs/>
                <w:caps w:val="0"/>
                <w:color w:val="000000"/>
                <w:kern w:val="0"/>
                <w:sz w:val="36"/>
                <w:szCs w:val="36"/>
              </w:rPr>
              <w:t>项目绩效目标完成情况表</w:t>
            </w:r>
          </w:p>
          <w:p>
            <w:pPr>
              <w:widowControl/>
              <w:jc w:val="center"/>
              <w:textAlignment w:val="center"/>
              <w:rPr>
                <w:rFonts w:ascii="Times New Roman" w:hAnsi="Times New Roman" w:cs="宋体"/>
                <w:caps w:val="0"/>
                <w:color w:val="000000"/>
                <w:sz w:val="36"/>
                <w:szCs w:val="36"/>
              </w:rPr>
            </w:pPr>
            <w:r>
              <w:rPr>
                <w:rFonts w:ascii="Times New Roman" w:hAnsi="Times New Roman" w:cs="宋体"/>
                <w:caps w:val="0"/>
                <w:color w:val="000000"/>
                <w:kern w:val="0"/>
                <w:sz w:val="36"/>
                <w:szCs w:val="36"/>
              </w:rPr>
              <w:t>(2020</w:t>
            </w:r>
            <w:r>
              <w:rPr>
                <w:rFonts w:hint="eastAsia" w:ascii="Times New Roman" w:hAnsi="Times New Roman" w:cs="宋体"/>
                <w:caps w:val="0"/>
                <w:color w:val="000000"/>
                <w:kern w:val="0"/>
                <w:sz w:val="36"/>
                <w:szCs w:val="36"/>
              </w:rPr>
              <w:t>年度</w:t>
            </w:r>
            <w:r>
              <w:rPr>
                <w:rFonts w:ascii="Times New Roman" w:hAnsi="Times New Roman" w:cs="宋体"/>
                <w:caps w:val="0"/>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val="en-US" w:eastAsia="zh-CN"/>
              </w:rPr>
            </w:pPr>
            <w:r>
              <w:rPr>
                <w:rFonts w:hint="eastAsia" w:cs="宋体"/>
                <w:caps w:val="0"/>
                <w:color w:val="000000"/>
                <w:sz w:val="24"/>
                <w:lang w:val="en-US" w:eastAsia="zh-CN"/>
              </w:rPr>
              <w:t>村公共运行维护项目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自贡市自流井区飞龙峡镇人民政府</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预算执行情况</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万元</w:t>
            </w:r>
            <w:r>
              <w:rPr>
                <w:rFonts w:ascii="Times New Roman" w:hAnsi="Times New Roman" w:cs="宋体"/>
                <w:caps w:val="0"/>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38.6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执行数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38.6</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38.6</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38.6</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用于各村维护日常运行，更好为群众办事，提高服务质量</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高质量保证各村日常运转，群众评价满意度高</w:t>
            </w:r>
          </w:p>
        </w:tc>
      </w:tr>
      <w:tr>
        <w:tblPrEx>
          <w:tblCellMar>
            <w:top w:w="0" w:type="dxa"/>
            <w:left w:w="0" w:type="dxa"/>
            <w:bottom w:w="0" w:type="dxa"/>
            <w:right w:w="0" w:type="dxa"/>
          </w:tblCellMar>
        </w:tblPrEx>
        <w:trPr>
          <w:trHeight w:val="90"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r>
      <w:tr>
        <w:tblPrEx>
          <w:tblCellMar>
            <w:top w:w="0" w:type="dxa"/>
            <w:left w:w="0" w:type="dxa"/>
            <w:bottom w:w="0" w:type="dxa"/>
            <w:right w:w="0" w:type="dxa"/>
          </w:tblCellMar>
        </w:tblPrEx>
        <w:trPr>
          <w:trHeight w:val="90"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hAnsi="宋体" w:cs="宋体"/>
                <w:color w:val="000000"/>
                <w:kern w:val="0"/>
                <w:sz w:val="24"/>
                <w:lang w:eastAsia="zh-CN" w:bidi="ar"/>
              </w:rPr>
              <w:t>产出</w:t>
            </w:r>
            <w:r>
              <w:rPr>
                <w:rFonts w:hint="eastAsia" w:ascii="宋体" w:hAnsi="宋体" w:cs="宋体"/>
                <w:color w:val="000000"/>
                <w:kern w:val="0"/>
                <w:sz w:val="24"/>
                <w:lang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质量指标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cs="宋体"/>
                <w:caps w:val="0"/>
                <w:color w:val="000000"/>
                <w:sz w:val="24"/>
                <w:lang w:eastAsia="zh-CN"/>
              </w:rPr>
              <w:t>更好为群众办事，提高服务质量</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cs="宋体"/>
                <w:caps w:val="0"/>
                <w:color w:val="000000"/>
                <w:sz w:val="24"/>
                <w:lang w:eastAsia="zh-CN"/>
              </w:rPr>
              <w:t>高质量保证各村日常运转，服务质量明显提高</w:t>
            </w:r>
          </w:p>
        </w:tc>
      </w:tr>
      <w:tr>
        <w:tblPrEx>
          <w:tblCellMar>
            <w:top w:w="0" w:type="dxa"/>
            <w:left w:w="0" w:type="dxa"/>
            <w:bottom w:w="0" w:type="dxa"/>
            <w:right w:w="0" w:type="dxa"/>
          </w:tblCellMar>
        </w:tblPrEx>
        <w:trPr>
          <w:trHeight w:val="965"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hAnsi="宋体" w:cs="宋体"/>
                <w:color w:val="000000"/>
                <w:kern w:val="0"/>
                <w:sz w:val="24"/>
                <w:lang w:eastAsia="zh-CN" w:bidi="ar"/>
              </w:rPr>
              <w:t>产出</w:t>
            </w:r>
            <w:r>
              <w:rPr>
                <w:rFonts w:hint="eastAsia" w:ascii="宋体" w:hAnsi="宋体" w:cs="宋体"/>
                <w:color w:val="000000"/>
                <w:kern w:val="0"/>
                <w:sz w:val="24"/>
                <w:lang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对五个村进行资金支付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kern w:val="2"/>
                <w:sz w:val="24"/>
                <w:szCs w:val="24"/>
                <w:lang w:val="en-US" w:eastAsia="zh-CN" w:bidi="ar-SA"/>
              </w:rPr>
              <w:t>五个村共收到公共运行维护费38.6万</w:t>
            </w:r>
          </w:p>
        </w:tc>
      </w:tr>
      <w:tr>
        <w:tblPrEx>
          <w:tblCellMar>
            <w:top w:w="0" w:type="dxa"/>
            <w:left w:w="0" w:type="dxa"/>
            <w:bottom w:w="0" w:type="dxa"/>
            <w:right w:w="0" w:type="dxa"/>
          </w:tblCellMar>
        </w:tblPrEx>
        <w:trPr>
          <w:trHeight w:val="729"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hAnsi="宋体" w:cs="宋体"/>
                <w:color w:val="000000"/>
                <w:kern w:val="0"/>
                <w:sz w:val="24"/>
                <w:lang w:eastAsia="zh-CN" w:bidi="ar"/>
              </w:rPr>
              <w:t>产出</w:t>
            </w:r>
            <w:r>
              <w:rPr>
                <w:rFonts w:hint="eastAsia" w:ascii="宋体" w:hAnsi="宋体" w:cs="宋体"/>
                <w:color w:val="000000"/>
                <w:kern w:val="0"/>
                <w:sz w:val="24"/>
                <w:lang w:bidi="ar"/>
              </w:rPr>
              <w:t>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成本指标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val="en-US" w:eastAsia="zh-CN"/>
              </w:rPr>
              <w:t>预期成本不高于预算支出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val="en-US" w:eastAsia="zh-CN"/>
              </w:rPr>
              <w:t>工程完工资金等于预算资金</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社会评价及影响良好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社会评价高</w:t>
            </w:r>
          </w:p>
        </w:tc>
      </w:tr>
      <w:tr>
        <w:tblPrEx>
          <w:tblCellMar>
            <w:top w:w="0" w:type="dxa"/>
            <w:left w:w="0" w:type="dxa"/>
            <w:bottom w:w="0" w:type="dxa"/>
            <w:right w:w="0" w:type="dxa"/>
          </w:tblCellMar>
        </w:tblPrEx>
        <w:trPr>
          <w:trHeight w:val="896"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服务对象满意度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辖区内村民的满意度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w:t>
            </w:r>
            <w:r>
              <w:rPr>
                <w:rFonts w:hint="eastAsia" w:ascii="宋体" w:cs="宋体"/>
                <w:color w:val="000000"/>
                <w:sz w:val="24"/>
                <w:lang w:val="en-US" w:eastAsia="zh-CN"/>
              </w:rPr>
              <w:t>95％</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达到目标</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Times New Roman" w:hAnsi="Times New Roman" w:eastAsia="仿宋_GB2312" w:cs="宋体"/>
                <w:b/>
                <w:bCs/>
                <w:caps w:val="0"/>
                <w:color w:val="000000"/>
                <w:kern w:val="0"/>
                <w:sz w:val="36"/>
                <w:szCs w:val="36"/>
                <w:lang w:eastAsia="zh-CN"/>
              </w:rPr>
            </w:pPr>
            <w:r>
              <w:rPr>
                <w:rFonts w:hint="eastAsia" w:ascii="Times New Roman" w:hAnsi="Times New Roman" w:cs="宋体"/>
                <w:b/>
                <w:bCs/>
                <w:caps w:val="0"/>
                <w:color w:val="000000"/>
                <w:kern w:val="0"/>
                <w:sz w:val="36"/>
                <w:szCs w:val="36"/>
              </w:rPr>
              <w:t>项目绩效目标完成情况表</w:t>
            </w:r>
          </w:p>
          <w:p>
            <w:pPr>
              <w:widowControl/>
              <w:jc w:val="center"/>
              <w:textAlignment w:val="center"/>
              <w:rPr>
                <w:rFonts w:ascii="Times New Roman" w:hAnsi="Times New Roman" w:cs="宋体"/>
                <w:caps w:val="0"/>
                <w:color w:val="000000"/>
                <w:sz w:val="36"/>
                <w:szCs w:val="36"/>
              </w:rPr>
            </w:pPr>
            <w:r>
              <w:rPr>
                <w:rFonts w:ascii="Times New Roman" w:hAnsi="Times New Roman" w:cs="宋体"/>
                <w:caps w:val="0"/>
                <w:color w:val="000000"/>
                <w:kern w:val="0"/>
                <w:sz w:val="36"/>
                <w:szCs w:val="36"/>
              </w:rPr>
              <w:t>(2020</w:t>
            </w:r>
            <w:r>
              <w:rPr>
                <w:rFonts w:hint="eastAsia" w:ascii="Times New Roman" w:hAnsi="Times New Roman" w:cs="宋体"/>
                <w:caps w:val="0"/>
                <w:color w:val="000000"/>
                <w:kern w:val="0"/>
                <w:sz w:val="36"/>
                <w:szCs w:val="36"/>
              </w:rPr>
              <w:t>年度</w:t>
            </w:r>
            <w:r>
              <w:rPr>
                <w:rFonts w:ascii="Times New Roman" w:hAnsi="Times New Roman" w:cs="宋体"/>
                <w:caps w:val="0"/>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污水处理建设工程</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自贡市自流井区飞龙峡镇人民政府</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预算执行情况</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万元</w:t>
            </w:r>
            <w:r>
              <w:rPr>
                <w:rFonts w:ascii="Times New Roman" w:hAnsi="Times New Roman" w:cs="宋体"/>
                <w:caps w:val="0"/>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487.5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执行数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101.22</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default" w:ascii="Times New Roman" w:hAnsi="Times New Roman" w:eastAsia="仿宋_GB2312" w:cs="宋体"/>
                <w:caps w:val="0"/>
                <w:color w:val="000000"/>
                <w:sz w:val="24"/>
                <w:lang w:val="en-US" w:eastAsia="zh-CN"/>
              </w:rPr>
              <w:t>101.22</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ascii="Times New Roman" w:hAnsi="Times New Roman" w:cs="宋体"/>
                <w:caps w:val="0"/>
                <w:color w:val="000000"/>
                <w:sz w:val="24"/>
                <w:lang w:val="en-US" w:eastAsia="zh-CN"/>
              </w:rPr>
              <w:t>101.22</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val="en-US" w:eastAsia="zh-CN"/>
              </w:rPr>
              <w:t>采用污水处理一体化设施建设，完成 3 个农村居民聚居点污水处理设施建设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达到预期目标</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r>
      <w:tr>
        <w:tblPrEx>
          <w:tblCellMar>
            <w:top w:w="0" w:type="dxa"/>
            <w:left w:w="0" w:type="dxa"/>
            <w:bottom w:w="0" w:type="dxa"/>
            <w:right w:w="0" w:type="dxa"/>
          </w:tblCellMar>
        </w:tblPrEx>
        <w:trPr>
          <w:trHeight w:val="90"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成本指标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val="en-US" w:eastAsia="zh-CN"/>
              </w:rPr>
              <w:t>预期成本不高于预算支出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val="en-US" w:eastAsia="zh-CN"/>
              </w:rPr>
              <w:t>工程完工资金等于预算资金</w:t>
            </w:r>
          </w:p>
        </w:tc>
      </w:tr>
      <w:tr>
        <w:tblPrEx>
          <w:tblCellMar>
            <w:top w:w="0" w:type="dxa"/>
            <w:left w:w="0" w:type="dxa"/>
            <w:bottom w:w="0" w:type="dxa"/>
            <w:right w:w="0" w:type="dxa"/>
          </w:tblCellMar>
        </w:tblPrEx>
        <w:trPr>
          <w:trHeight w:val="94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val="en-US" w:eastAsia="zh-CN"/>
              </w:rPr>
            </w:pPr>
            <w:r>
              <w:rPr>
                <w:rFonts w:hint="eastAsia" w:cs="宋体"/>
                <w:caps w:val="0"/>
                <w:color w:val="000000"/>
                <w:sz w:val="24"/>
                <w:lang w:val="en-US" w:eastAsia="zh-CN"/>
              </w:rPr>
              <w:t>完成 3 个农村居民聚居点污水处理设施建设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顺利完成 3 个农村居民聚居点污水处理设施建设</w:t>
            </w:r>
          </w:p>
        </w:tc>
      </w:tr>
      <w:tr>
        <w:tblPrEx>
          <w:tblCellMar>
            <w:top w:w="0" w:type="dxa"/>
            <w:left w:w="0" w:type="dxa"/>
            <w:bottom w:w="0" w:type="dxa"/>
            <w:right w:w="0" w:type="dxa"/>
          </w:tblCellMar>
        </w:tblPrEx>
        <w:trPr>
          <w:trHeight w:val="82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质量指标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工程完成质量</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质量达到验收标准</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社会评价及影响良好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社会评价高</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val="en-US" w:eastAsia="zh-CN"/>
              </w:rPr>
              <w:t>提高群众满意度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群众满意度达</w:t>
            </w:r>
            <w:r>
              <w:rPr>
                <w:rFonts w:hint="eastAsia" w:ascii="宋体" w:cs="宋体"/>
                <w:color w:val="000000"/>
                <w:sz w:val="24"/>
                <w:lang w:val="en-US" w:eastAsia="zh-CN"/>
              </w:rPr>
              <w:t>95％</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Times New Roman" w:hAnsi="Times New Roman" w:eastAsia="仿宋_GB2312" w:cs="宋体"/>
                <w:b/>
                <w:bCs/>
                <w:caps w:val="0"/>
                <w:color w:val="000000"/>
                <w:kern w:val="0"/>
                <w:sz w:val="36"/>
                <w:szCs w:val="36"/>
                <w:lang w:eastAsia="zh-CN"/>
              </w:rPr>
            </w:pPr>
            <w:r>
              <w:rPr>
                <w:rFonts w:hint="eastAsia" w:ascii="Times New Roman" w:hAnsi="Times New Roman" w:cs="宋体"/>
                <w:b/>
                <w:bCs/>
                <w:caps w:val="0"/>
                <w:color w:val="000000"/>
                <w:kern w:val="0"/>
                <w:sz w:val="36"/>
                <w:szCs w:val="36"/>
              </w:rPr>
              <w:t>项目绩效目标完成情况表</w:t>
            </w:r>
          </w:p>
          <w:p>
            <w:pPr>
              <w:widowControl/>
              <w:jc w:val="center"/>
              <w:textAlignment w:val="center"/>
              <w:rPr>
                <w:rFonts w:ascii="Times New Roman" w:hAnsi="Times New Roman" w:cs="宋体"/>
                <w:caps w:val="0"/>
                <w:color w:val="000000"/>
                <w:sz w:val="36"/>
                <w:szCs w:val="36"/>
              </w:rPr>
            </w:pPr>
            <w:r>
              <w:rPr>
                <w:rFonts w:ascii="Times New Roman" w:hAnsi="Times New Roman" w:cs="宋体"/>
                <w:caps w:val="0"/>
                <w:color w:val="000000"/>
                <w:kern w:val="0"/>
                <w:sz w:val="36"/>
                <w:szCs w:val="36"/>
              </w:rPr>
              <w:t>(2020</w:t>
            </w:r>
            <w:r>
              <w:rPr>
                <w:rFonts w:hint="eastAsia" w:ascii="Times New Roman" w:hAnsi="Times New Roman" w:cs="宋体"/>
                <w:caps w:val="0"/>
                <w:color w:val="000000"/>
                <w:kern w:val="0"/>
                <w:sz w:val="36"/>
                <w:szCs w:val="36"/>
              </w:rPr>
              <w:t>年度</w:t>
            </w:r>
            <w:r>
              <w:rPr>
                <w:rFonts w:ascii="Times New Roman" w:hAnsi="Times New Roman" w:cs="宋体"/>
                <w:caps w:val="0"/>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原农团乡政府旁公厕工程项目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自贡市自流井区飞龙峡镇人民政府</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预算执行情况</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万元</w:t>
            </w:r>
            <w:r>
              <w:rPr>
                <w:rFonts w:ascii="Times New Roman" w:hAnsi="Times New Roman" w:cs="宋体"/>
                <w:caps w:val="0"/>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1.0995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执行数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1.0995</w:t>
            </w:r>
          </w:p>
        </w:tc>
      </w:tr>
      <w:tr>
        <w:tblPrEx>
          <w:tblCellMar>
            <w:top w:w="0" w:type="dxa"/>
            <w:left w:w="0" w:type="dxa"/>
            <w:bottom w:w="0" w:type="dxa"/>
            <w:right w:w="0" w:type="dxa"/>
          </w:tblCellMar>
        </w:tblPrEx>
        <w:trPr>
          <w:trHeight w:val="90"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1.0995</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1.0995</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both"/>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完善城乡基础设施建设，修建公厕方便群众生活，支付本项目尾款。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全面完成本项目工程修建，并按时结清项目尾款。</w:t>
            </w:r>
          </w:p>
        </w:tc>
      </w:tr>
      <w:tr>
        <w:tblPrEx>
          <w:tblCellMar>
            <w:top w:w="0" w:type="dxa"/>
            <w:left w:w="0" w:type="dxa"/>
            <w:bottom w:w="0" w:type="dxa"/>
            <w:right w:w="0" w:type="dxa"/>
          </w:tblCellMar>
        </w:tblPrEx>
        <w:trPr>
          <w:trHeight w:val="90"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成本指标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val="en-US" w:eastAsia="zh-CN"/>
              </w:rPr>
              <w:t>预期成本不高于预算支出</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val="en-US" w:eastAsia="zh-CN"/>
              </w:rPr>
              <w:t>工程完工资金等于预算资金</w:t>
            </w:r>
          </w:p>
        </w:tc>
      </w:tr>
      <w:tr>
        <w:tblPrEx>
          <w:tblCellMar>
            <w:top w:w="0" w:type="dxa"/>
            <w:left w:w="0" w:type="dxa"/>
            <w:bottom w:w="0" w:type="dxa"/>
            <w:right w:w="0" w:type="dxa"/>
          </w:tblCellMar>
        </w:tblPrEx>
        <w:trPr>
          <w:trHeight w:val="1134"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结清</w:t>
            </w:r>
            <w:r>
              <w:rPr>
                <w:rFonts w:hint="eastAsia" w:cs="宋体"/>
                <w:caps w:val="0"/>
                <w:color w:val="000000"/>
                <w:sz w:val="24"/>
                <w:lang w:eastAsia="zh-CN"/>
              </w:rPr>
              <w:t>原农团乡政府旁公厕工程尾款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结清尾款</w:t>
            </w:r>
            <w:r>
              <w:rPr>
                <w:rFonts w:hint="eastAsia" w:cs="宋体"/>
                <w:caps w:val="0"/>
                <w:color w:val="000000"/>
                <w:sz w:val="24"/>
                <w:lang w:val="en-US" w:eastAsia="zh-CN"/>
              </w:rPr>
              <w:t>1.0995元</w:t>
            </w:r>
          </w:p>
        </w:tc>
      </w:tr>
      <w:tr>
        <w:tblPrEx>
          <w:tblCellMar>
            <w:top w:w="0" w:type="dxa"/>
            <w:left w:w="0" w:type="dxa"/>
            <w:bottom w:w="0" w:type="dxa"/>
            <w:right w:w="0" w:type="dxa"/>
          </w:tblCellMar>
        </w:tblPrEx>
        <w:trPr>
          <w:trHeight w:val="785"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质量指标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val="en-US" w:eastAsia="zh-CN"/>
              </w:rPr>
              <w:t>工程完成质量</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质量达到验收标准</w:t>
            </w:r>
          </w:p>
        </w:tc>
      </w:tr>
      <w:tr>
        <w:tblPrEx>
          <w:tblCellMar>
            <w:top w:w="0" w:type="dxa"/>
            <w:left w:w="0" w:type="dxa"/>
            <w:bottom w:w="0" w:type="dxa"/>
            <w:right w:w="0" w:type="dxa"/>
          </w:tblCellMar>
        </w:tblPrEx>
        <w:trPr>
          <w:trHeight w:val="954"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kern w:val="0"/>
                <w:sz w:val="24"/>
              </w:rPr>
            </w:pPr>
            <w:r>
              <w:rPr>
                <w:rFonts w:hint="eastAsia" w:ascii="Times New Roman" w:hAnsi="Times New Roman" w:cs="宋体"/>
                <w:caps w:val="0"/>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社会效益指标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社会评价及影响良好</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完善城乡基础设施建设，修建公厕方便群众生活</w:t>
            </w:r>
          </w:p>
        </w:tc>
      </w:tr>
      <w:tr>
        <w:tblPrEx>
          <w:tblCellMar>
            <w:top w:w="0" w:type="dxa"/>
            <w:left w:w="0" w:type="dxa"/>
            <w:bottom w:w="0" w:type="dxa"/>
            <w:right w:w="0" w:type="dxa"/>
          </w:tblCellMar>
        </w:tblPrEx>
        <w:trPr>
          <w:trHeight w:val="1060"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服务对象满意度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val="en-US" w:eastAsia="zh-CN"/>
              </w:rPr>
              <w:t>提高</w:t>
            </w:r>
            <w:r>
              <w:rPr>
                <w:rFonts w:hint="eastAsia" w:ascii="宋体" w:cs="宋体"/>
                <w:color w:val="000000"/>
                <w:sz w:val="24"/>
                <w:lang w:eastAsia="zh-CN"/>
              </w:rPr>
              <w:t>服务对象</w:t>
            </w:r>
            <w:r>
              <w:rPr>
                <w:rFonts w:hint="eastAsia" w:ascii="宋体" w:cs="宋体"/>
                <w:color w:val="000000"/>
                <w:sz w:val="24"/>
                <w:lang w:val="en-US" w:eastAsia="zh-CN"/>
              </w:rPr>
              <w:t>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服务对象满意度达</w:t>
            </w:r>
            <w:r>
              <w:rPr>
                <w:rFonts w:hint="eastAsia" w:ascii="宋体" w:cs="宋体"/>
                <w:color w:val="000000"/>
                <w:sz w:val="24"/>
                <w:lang w:val="en-US" w:eastAsia="zh-CN"/>
              </w:rPr>
              <w:t>95％</w:t>
            </w:r>
          </w:p>
        </w:tc>
      </w:tr>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Times New Roman" w:hAnsi="Times New Roman" w:eastAsia="仿宋_GB2312" w:cs="宋体"/>
                <w:b/>
                <w:bCs/>
                <w:caps w:val="0"/>
                <w:color w:val="000000"/>
                <w:kern w:val="0"/>
                <w:sz w:val="36"/>
                <w:szCs w:val="36"/>
                <w:lang w:eastAsia="zh-CN"/>
              </w:rPr>
            </w:pPr>
            <w:r>
              <w:rPr>
                <w:rFonts w:hint="eastAsia" w:ascii="Times New Roman" w:hAnsi="Times New Roman" w:cs="宋体"/>
                <w:b/>
                <w:bCs/>
                <w:caps w:val="0"/>
                <w:color w:val="000000"/>
                <w:kern w:val="0"/>
                <w:sz w:val="36"/>
                <w:szCs w:val="36"/>
              </w:rPr>
              <w:t>项目绩效目标完成情况表</w:t>
            </w:r>
          </w:p>
          <w:p>
            <w:pPr>
              <w:widowControl/>
              <w:jc w:val="center"/>
              <w:textAlignment w:val="center"/>
              <w:rPr>
                <w:rFonts w:ascii="Times New Roman" w:hAnsi="Times New Roman" w:cs="宋体"/>
                <w:caps w:val="0"/>
                <w:color w:val="000000"/>
                <w:sz w:val="36"/>
                <w:szCs w:val="36"/>
              </w:rPr>
            </w:pPr>
            <w:r>
              <w:rPr>
                <w:rFonts w:ascii="Times New Roman" w:hAnsi="Times New Roman" w:cs="宋体"/>
                <w:caps w:val="0"/>
                <w:color w:val="000000"/>
                <w:kern w:val="0"/>
                <w:sz w:val="36"/>
                <w:szCs w:val="36"/>
              </w:rPr>
              <w:t>(2020</w:t>
            </w:r>
            <w:r>
              <w:rPr>
                <w:rFonts w:hint="eastAsia" w:ascii="Times New Roman" w:hAnsi="Times New Roman" w:cs="宋体"/>
                <w:caps w:val="0"/>
                <w:color w:val="000000"/>
                <w:kern w:val="0"/>
                <w:sz w:val="36"/>
                <w:szCs w:val="36"/>
              </w:rPr>
              <w:t>年度</w:t>
            </w:r>
            <w:r>
              <w:rPr>
                <w:rFonts w:ascii="Times New Roman" w:hAnsi="Times New Roman" w:cs="宋体"/>
                <w:caps w:val="0"/>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ascii="Times New Roman" w:hAnsi="Times New Roman" w:eastAsia="仿宋_GB2312" w:cs="宋体"/>
                <w:caps w:val="0"/>
                <w:color w:val="000000"/>
                <w:sz w:val="24"/>
                <w:lang w:eastAsia="zh-CN"/>
              </w:rPr>
              <w:t>村级公益事业一事一议财政奖补项目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cs="宋体"/>
                <w:caps w:val="0"/>
                <w:color w:val="000000"/>
                <w:sz w:val="24"/>
                <w:lang w:eastAsia="zh-CN"/>
              </w:rPr>
              <w:t>自贡市自流井区飞龙峡镇人民政府</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预算执行情况</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万元</w:t>
            </w:r>
            <w:r>
              <w:rPr>
                <w:rFonts w:ascii="Times New Roman" w:hAnsi="Times New Roman" w:cs="宋体"/>
                <w:caps w:val="0"/>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预算数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32</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执行数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cs="宋体"/>
                <w:caps w:val="0"/>
                <w:color w:val="000000"/>
                <w:sz w:val="24"/>
                <w:lang w:val="en-US"/>
              </w:rPr>
            </w:pPr>
            <w:r>
              <w:rPr>
                <w:rFonts w:hint="eastAsia" w:cs="宋体"/>
                <w:caps w:val="0"/>
                <w:color w:val="000000"/>
                <w:sz w:val="24"/>
                <w:lang w:val="en-US" w:eastAsia="zh-CN"/>
              </w:rPr>
              <w:t>32</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cs="宋体"/>
                <w:caps w:val="0"/>
                <w:color w:val="000000"/>
                <w:sz w:val="24"/>
                <w:lang w:val="en-US"/>
              </w:rPr>
            </w:pPr>
            <w:r>
              <w:rPr>
                <w:rFonts w:hint="eastAsia" w:cs="宋体"/>
                <w:caps w:val="0"/>
                <w:color w:val="000000"/>
                <w:sz w:val="24"/>
                <w:lang w:val="en-US" w:eastAsia="zh-CN"/>
              </w:rPr>
              <w:t>32</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其中</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财政拨款</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cs="宋体"/>
                <w:caps w:val="0"/>
                <w:color w:val="000000"/>
                <w:sz w:val="24"/>
                <w:lang w:val="en-US"/>
              </w:rPr>
            </w:pPr>
            <w:r>
              <w:rPr>
                <w:rFonts w:hint="eastAsia" w:cs="宋体"/>
                <w:caps w:val="0"/>
                <w:color w:val="000000"/>
                <w:sz w:val="24"/>
                <w:lang w:val="en-US" w:eastAsia="zh-CN"/>
              </w:rPr>
              <w:t>32</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其它资金</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Times New Roman" w:hAnsi="Times New Roman" w:cs="宋体"/>
                <w:caps w:val="0"/>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完成</w:t>
            </w:r>
            <w:r>
              <w:rPr>
                <w:rFonts w:hint="eastAsia" w:cs="宋体"/>
                <w:caps w:val="0"/>
                <w:color w:val="000000"/>
                <w:sz w:val="24"/>
                <w:lang w:val="en-US" w:eastAsia="zh-CN"/>
              </w:rPr>
              <w:t>3条道路硬化及路面整治、星星村10组芦篙冲山坪塘整治。</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default" w:cs="宋体"/>
                <w:caps w:val="0"/>
                <w:color w:val="000000"/>
                <w:sz w:val="24"/>
                <w:lang w:val="en-US" w:eastAsia="zh-CN"/>
              </w:rPr>
              <w:t>杨柳村1组入院道路硬化</w:t>
            </w:r>
            <w:r>
              <w:rPr>
                <w:rFonts w:hint="eastAsia" w:cs="宋体"/>
                <w:caps w:val="0"/>
                <w:color w:val="000000"/>
                <w:sz w:val="24"/>
                <w:lang w:val="en-US" w:eastAsia="zh-CN"/>
              </w:rPr>
              <w:t>、</w:t>
            </w:r>
            <w:r>
              <w:rPr>
                <w:rFonts w:hint="default" w:cs="宋体"/>
                <w:caps w:val="0"/>
                <w:color w:val="000000"/>
                <w:sz w:val="24"/>
                <w:lang w:val="en-US" w:eastAsia="zh-CN"/>
              </w:rPr>
              <w:t>东升村3组鸡场至草堂村7组道路整治</w:t>
            </w:r>
            <w:r>
              <w:rPr>
                <w:rFonts w:hint="eastAsia" w:cs="宋体"/>
                <w:caps w:val="0"/>
                <w:color w:val="000000"/>
                <w:sz w:val="24"/>
                <w:lang w:val="en-US" w:eastAsia="zh-CN"/>
              </w:rPr>
              <w:t>、</w:t>
            </w:r>
            <w:r>
              <w:rPr>
                <w:rFonts w:hint="default" w:cs="宋体"/>
                <w:caps w:val="0"/>
                <w:color w:val="000000"/>
                <w:sz w:val="24"/>
                <w:lang w:val="en-US" w:eastAsia="zh-CN"/>
              </w:rPr>
              <w:t>东风村村道加宽工程</w:t>
            </w:r>
            <w:r>
              <w:rPr>
                <w:rFonts w:hint="eastAsia" w:cs="宋体"/>
                <w:caps w:val="0"/>
                <w:color w:val="000000"/>
                <w:sz w:val="24"/>
                <w:lang w:val="en-US" w:eastAsia="zh-CN"/>
              </w:rPr>
              <w:t>、星星村10组芦篙冲山坪塘整治。</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预期指标值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实际完成指标值</w:t>
            </w:r>
            <w:r>
              <w:rPr>
                <w:rFonts w:ascii="Times New Roman" w:hAnsi="Times New Roman" w:cs="宋体"/>
                <w:caps w:val="0"/>
                <w:color w:val="000000"/>
                <w:kern w:val="0"/>
                <w:sz w:val="24"/>
              </w:rPr>
              <w:t>(</w:t>
            </w:r>
            <w:r>
              <w:rPr>
                <w:rFonts w:hint="eastAsia" w:ascii="Times New Roman" w:hAnsi="Times New Roman" w:cs="宋体"/>
                <w:caps w:val="0"/>
                <w:color w:val="000000"/>
                <w:kern w:val="0"/>
                <w:sz w:val="24"/>
              </w:rPr>
              <w:t>包含数字及文字描述</w:t>
            </w:r>
            <w:r>
              <w:rPr>
                <w:rFonts w:ascii="Times New Roman" w:hAnsi="Times New Roman" w:cs="宋体"/>
                <w:caps w:val="0"/>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数量指标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预期完成</w:t>
            </w:r>
            <w:r>
              <w:rPr>
                <w:rFonts w:hint="eastAsia" w:cs="宋体"/>
                <w:caps w:val="0"/>
                <w:color w:val="000000"/>
                <w:sz w:val="24"/>
                <w:lang w:val="en-US" w:eastAsia="zh-CN"/>
              </w:rPr>
              <w:t>4个工程投入</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default" w:cs="宋体"/>
                <w:caps w:val="0"/>
                <w:color w:val="000000"/>
                <w:sz w:val="24"/>
                <w:lang w:val="en-US" w:eastAsia="zh-CN"/>
              </w:rPr>
              <w:t>杨柳村1组入院道路硬化</w:t>
            </w:r>
            <w:r>
              <w:rPr>
                <w:rFonts w:hint="eastAsia" w:cs="宋体"/>
                <w:caps w:val="0"/>
                <w:color w:val="000000"/>
                <w:sz w:val="24"/>
                <w:lang w:val="en-US" w:eastAsia="zh-CN"/>
              </w:rPr>
              <w:t>、</w:t>
            </w:r>
            <w:r>
              <w:rPr>
                <w:rFonts w:hint="default" w:cs="宋体"/>
                <w:caps w:val="0"/>
                <w:color w:val="000000"/>
                <w:sz w:val="24"/>
                <w:lang w:val="en-US" w:eastAsia="zh-CN"/>
              </w:rPr>
              <w:t>东升村3组鸡场至草堂村7组道路整治</w:t>
            </w:r>
            <w:r>
              <w:rPr>
                <w:rFonts w:hint="eastAsia" w:cs="宋体"/>
                <w:caps w:val="0"/>
                <w:color w:val="000000"/>
                <w:sz w:val="24"/>
                <w:lang w:val="en-US" w:eastAsia="zh-CN"/>
              </w:rPr>
              <w:t>、</w:t>
            </w:r>
            <w:r>
              <w:rPr>
                <w:rFonts w:hint="default" w:cs="宋体"/>
                <w:caps w:val="0"/>
                <w:color w:val="000000"/>
                <w:sz w:val="24"/>
                <w:lang w:val="en-US" w:eastAsia="zh-CN"/>
              </w:rPr>
              <w:t>东风村村道加宽工程</w:t>
            </w:r>
            <w:r>
              <w:rPr>
                <w:rFonts w:hint="eastAsia" w:cs="宋体"/>
                <w:caps w:val="0"/>
                <w:color w:val="000000"/>
                <w:sz w:val="24"/>
                <w:lang w:val="en-US" w:eastAsia="zh-CN"/>
              </w:rPr>
              <w:t>、星星村10组芦篙冲山坪塘整治</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成本指标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预算金额投入</w:t>
            </w:r>
            <w:r>
              <w:rPr>
                <w:rFonts w:hint="eastAsia" w:cs="宋体"/>
                <w:caps w:val="0"/>
                <w:color w:val="000000"/>
                <w:sz w:val="24"/>
                <w:lang w:val="en-US" w:eastAsia="zh-CN"/>
              </w:rPr>
              <w:t>32万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eastAsia="zh-CN"/>
              </w:rPr>
              <w:t>实际支付</w:t>
            </w:r>
            <w:r>
              <w:rPr>
                <w:rFonts w:hint="eastAsia" w:cs="宋体"/>
                <w:caps w:val="0"/>
                <w:color w:val="000000"/>
                <w:sz w:val="24"/>
                <w:lang w:val="en-US" w:eastAsia="zh-CN"/>
              </w:rPr>
              <w:t>32万</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产出指标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kern w:val="2"/>
                <w:sz w:val="24"/>
                <w:szCs w:val="24"/>
                <w:lang w:val="en-US" w:eastAsia="zh-CN" w:bidi="ar-SA"/>
              </w:rPr>
            </w:pPr>
            <w:r>
              <w:rPr>
                <w:rFonts w:hint="eastAsia" w:cs="宋体"/>
                <w:caps w:val="0"/>
                <w:color w:val="000000"/>
                <w:sz w:val="24"/>
                <w:lang w:eastAsia="zh-CN"/>
              </w:rPr>
              <w:t>质量指标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高质量完成一事一议项目计划</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Times New Roman" w:hAnsi="Times New Roman" w:eastAsia="仿宋_GB2312" w:cs="宋体"/>
                <w:caps w:val="0"/>
                <w:color w:val="000000"/>
                <w:sz w:val="24"/>
                <w:lang w:val="en-US" w:eastAsia="zh-CN"/>
              </w:rPr>
            </w:pPr>
            <w:r>
              <w:rPr>
                <w:rFonts w:hint="eastAsia" w:cs="宋体"/>
                <w:caps w:val="0"/>
                <w:color w:val="000000"/>
                <w:sz w:val="24"/>
                <w:lang w:val="en-US" w:eastAsia="zh-CN"/>
              </w:rPr>
              <w:t>项目完成质量达到验收标准，并投入日常使用</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社会效益指标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方便周边群众出行，便利群众生活</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Times New Roman" w:hAnsi="Times New Roman" w:eastAsia="仿宋_GB2312" w:cs="宋体"/>
                <w:caps w:val="0"/>
                <w:color w:val="000000"/>
                <w:sz w:val="24"/>
                <w:lang w:eastAsia="zh-CN"/>
              </w:rPr>
            </w:pPr>
            <w:r>
              <w:rPr>
                <w:rFonts w:hint="eastAsia" w:cs="宋体"/>
                <w:caps w:val="0"/>
                <w:color w:val="000000"/>
                <w:sz w:val="24"/>
                <w:lang w:eastAsia="zh-CN"/>
              </w:rPr>
              <w:t>社会评价高，得到群众广泛肯定</w:t>
            </w: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Times New Roman" w:hAnsi="Times New Roman" w:cs="宋体"/>
                <w:caps w:val="0"/>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eastAsia="仿宋_GB2312" w:cs="宋体"/>
                <w:caps w:val="0"/>
                <w:color w:val="000000"/>
                <w:kern w:val="2"/>
                <w:sz w:val="24"/>
                <w:szCs w:val="24"/>
                <w:lang w:val="en-US" w:eastAsia="zh-CN" w:bidi="ar-SA"/>
              </w:rPr>
            </w:pPr>
            <w:r>
              <w:rPr>
                <w:rFonts w:hint="eastAsia" w:ascii="宋体" w:cs="宋体"/>
                <w:color w:val="000000"/>
                <w:sz w:val="24"/>
                <w:lang w:eastAsia="zh-CN"/>
              </w:rPr>
              <w:t>服务对象满意度指标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Times New Roman" w:eastAsia="仿宋_GB2312" w:cs="宋体"/>
                <w:color w:val="000000"/>
                <w:kern w:val="2"/>
                <w:sz w:val="24"/>
                <w:szCs w:val="24"/>
                <w:lang w:val="en-US" w:eastAsia="zh-CN" w:bidi="ar-SA"/>
              </w:rPr>
            </w:pPr>
            <w:r>
              <w:rPr>
                <w:rFonts w:hint="eastAsia" w:ascii="宋体" w:cs="宋体"/>
                <w:color w:val="000000"/>
                <w:sz w:val="24"/>
                <w:lang w:eastAsia="zh-CN"/>
              </w:rPr>
              <w:t>群众满意度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val="en-US" w:eastAsia="zh-CN"/>
              </w:rPr>
              <w:t>提高群众满意度</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Times New Roman" w:hAnsi="Times New Roman" w:cs="宋体"/>
                <w:caps w:val="0"/>
                <w:color w:val="000000"/>
                <w:sz w:val="24"/>
              </w:rPr>
            </w:pPr>
            <w:r>
              <w:rPr>
                <w:rFonts w:hint="eastAsia" w:ascii="宋体" w:cs="宋体"/>
                <w:color w:val="000000"/>
                <w:sz w:val="24"/>
                <w:lang w:eastAsia="zh-CN"/>
              </w:rPr>
              <w:t>群众满意度达</w:t>
            </w:r>
            <w:r>
              <w:rPr>
                <w:rFonts w:hint="eastAsia" w:ascii="宋体" w:cs="宋体"/>
                <w:color w:val="000000"/>
                <w:sz w:val="24"/>
                <w:lang w:val="en-US" w:eastAsia="zh-CN"/>
              </w:rPr>
              <w:t>95％</w:t>
            </w:r>
          </w:p>
        </w:tc>
      </w:tr>
    </w:tbl>
    <w:p>
      <w:pPr>
        <w:spacing w:line="580" w:lineRule="exact"/>
        <w:rPr>
          <w:rFonts w:ascii="Times New Roman" w:hAnsi="Times New Roman" w:cs="仿宋_GB2312"/>
          <w:caps w:val="0"/>
          <w:szCs w:val="32"/>
        </w:rPr>
      </w:pPr>
    </w:p>
    <w:p>
      <w:pPr>
        <w:keepNext w:val="0"/>
        <w:keepLines w:val="0"/>
        <w:pageBreakBefore w:val="0"/>
        <w:widowControl w:val="0"/>
        <w:kinsoku/>
        <w:wordWrap/>
        <w:overflowPunct/>
        <w:topLinePunct w:val="0"/>
        <w:autoSpaceDE/>
        <w:autoSpaceDN/>
        <w:bidi w:val="0"/>
        <w:adjustRightInd/>
        <w:snapToGrid/>
        <w:spacing w:line="588" w:lineRule="exact"/>
        <w:ind w:firstLine="640" w:firstLineChars="200"/>
        <w:textAlignment w:val="auto"/>
        <w:rPr>
          <w:rFonts w:ascii="Times New Roman" w:hAnsi="Times New Roman" w:cs="仿宋_GB2312"/>
          <w:caps w:val="0"/>
          <w:szCs w:val="32"/>
        </w:rPr>
      </w:pPr>
      <w:r>
        <w:rPr>
          <w:rFonts w:ascii="Times New Roman" w:hAnsi="Times New Roman" w:eastAsia="楷体_GB2312" w:cs="楷体_GB2312"/>
          <w:caps w:val="0"/>
          <w:szCs w:val="32"/>
        </w:rPr>
        <w:t>2.</w:t>
      </w:r>
      <w:r>
        <w:rPr>
          <w:rFonts w:hint="eastAsia" w:ascii="Times New Roman" w:hAnsi="Times New Roman" w:eastAsia="楷体_GB2312" w:cs="楷体_GB2312"/>
          <w:caps w:val="0"/>
          <w:szCs w:val="32"/>
        </w:rPr>
        <w:t>部门绩效评价结果。</w:t>
      </w:r>
    </w:p>
    <w:p>
      <w:pPr>
        <w:pageBreakBefore w:val="0"/>
        <w:kinsoku/>
        <w:wordWrap/>
        <w:overflowPunct/>
        <w:topLinePunct w:val="0"/>
        <w:autoSpaceDE w:val="0"/>
        <w:autoSpaceDN w:val="0"/>
        <w:bidi w:val="0"/>
        <w:adjustRightInd w:val="0"/>
        <w:spacing w:line="588" w:lineRule="exact"/>
        <w:ind w:firstLine="640" w:firstLineChars="200"/>
        <w:jc w:val="left"/>
        <w:textAlignment w:val="auto"/>
        <w:rPr>
          <w:rFonts w:hint="eastAsia" w:ascii="Times New Roman" w:hAnsi="Times New Roman"/>
          <w:caps w:val="0"/>
          <w:color w:val="000000" w:themeColor="text1"/>
          <w:szCs w:val="32"/>
          <w:lang w:eastAsia="zh-CN"/>
          <w14:textFill>
            <w14:solidFill>
              <w14:schemeClr w14:val="tx1"/>
            </w14:solidFill>
          </w14:textFill>
        </w:rPr>
      </w:pPr>
      <w:r>
        <w:rPr>
          <w:rFonts w:hint="eastAsia" w:ascii="Times New Roman" w:hAnsi="Times New Roman"/>
          <w:caps w:val="0"/>
          <w:color w:val="000000" w:themeColor="text1"/>
          <w:szCs w:val="32"/>
          <w:lang w:eastAsia="zh-CN"/>
          <w14:textFill>
            <w14:solidFill>
              <w14:schemeClr w14:val="tx1"/>
            </w14:solidFill>
          </w14:textFill>
        </w:rPr>
        <w:t>本</w:t>
      </w:r>
      <w:r>
        <w:rPr>
          <w:rFonts w:hint="eastAsia" w:ascii="Times New Roman" w:hAnsi="Times New Roman"/>
          <w:caps w:val="0"/>
          <w:color w:val="000000" w:themeColor="text1"/>
          <w:szCs w:val="32"/>
          <w14:textFill>
            <w14:solidFill>
              <w14:schemeClr w14:val="tx1"/>
            </w14:solidFill>
          </w14:textFill>
        </w:rPr>
        <w:t>部门按要求对2020年部门整体支出绩效评价情况开展自评，《自流井区</w:t>
      </w:r>
      <w:r>
        <w:rPr>
          <w:rFonts w:hint="eastAsia" w:ascii="Times New Roman" w:hAnsi="Times New Roman"/>
          <w:caps w:val="0"/>
          <w:color w:val="000000" w:themeColor="text1"/>
          <w:szCs w:val="32"/>
          <w:lang w:eastAsia="zh-CN"/>
          <w14:textFill>
            <w14:solidFill>
              <w14:schemeClr w14:val="tx1"/>
            </w14:solidFill>
          </w14:textFill>
        </w:rPr>
        <w:t>飞龙峡</w:t>
      </w:r>
      <w:r>
        <w:rPr>
          <w:rFonts w:hint="eastAsia" w:ascii="Times New Roman" w:hAnsi="Times New Roman"/>
          <w:caps w:val="0"/>
          <w:color w:val="000000" w:themeColor="text1"/>
          <w:szCs w:val="32"/>
          <w14:textFill>
            <w14:solidFill>
              <w14:schemeClr w14:val="tx1"/>
            </w14:solidFill>
          </w14:textFill>
        </w:rPr>
        <w:t>镇2020年部门整体支出绩效评价报告》见附件（附件1）。</w:t>
      </w:r>
    </w:p>
    <w:p>
      <w:pPr>
        <w:pageBreakBefore w:val="0"/>
        <w:kinsoku/>
        <w:wordWrap/>
        <w:overflowPunct/>
        <w:topLinePunct w:val="0"/>
        <w:autoSpaceDE w:val="0"/>
        <w:autoSpaceDN w:val="0"/>
        <w:bidi w:val="0"/>
        <w:adjustRightInd w:val="0"/>
        <w:spacing w:line="588" w:lineRule="exact"/>
        <w:ind w:firstLine="640" w:firstLineChars="200"/>
        <w:jc w:val="left"/>
        <w:textAlignment w:val="auto"/>
        <w:rPr>
          <w:rFonts w:hint="eastAsia" w:ascii="Times New Roman" w:hAnsi="Times New Roman"/>
          <w:caps w:val="0"/>
          <w:color w:val="000000" w:themeColor="text1"/>
          <w:szCs w:val="32"/>
          <w14:textFill>
            <w14:solidFill>
              <w14:schemeClr w14:val="tx1"/>
            </w14:solidFill>
          </w14:textFill>
        </w:rPr>
      </w:pPr>
      <w:r>
        <w:rPr>
          <w:rFonts w:hint="eastAsia" w:ascii="Times New Roman" w:hAnsi="Times New Roman"/>
          <w:caps w:val="0"/>
          <w:color w:val="000000" w:themeColor="text1"/>
          <w:szCs w:val="32"/>
          <w14:textFill>
            <w14:solidFill>
              <w14:schemeClr w14:val="tx1"/>
            </w14:solidFill>
          </w14:textFill>
        </w:rPr>
        <w:t> </w:t>
      </w:r>
      <w:bookmarkStart w:id="83" w:name="_Toc15377225"/>
      <w:bookmarkStart w:id="84" w:name="_Toc15396613"/>
      <w:bookmarkStart w:id="85" w:name="_Toc15377226"/>
      <w:r>
        <w:rPr>
          <w:rFonts w:hint="eastAsia" w:ascii="Times New Roman" w:hAnsi="Times New Roman"/>
          <w:caps w:val="0"/>
          <w:color w:val="000000" w:themeColor="text1"/>
          <w:szCs w:val="32"/>
          <w14:textFill>
            <w14:solidFill>
              <w14:schemeClr w14:val="tx1"/>
            </w14:solidFill>
          </w14:textFill>
        </w:rPr>
        <w:t>本部门自行组织对</w:t>
      </w:r>
      <w:r>
        <w:rPr>
          <w:rFonts w:hint="eastAsia" w:ascii="Times New Roman" w:hAnsi="Times New Roman"/>
          <w:caps w:val="0"/>
          <w:color w:val="000000" w:themeColor="text1"/>
          <w:szCs w:val="32"/>
          <w:lang w:eastAsia="zh-CN"/>
          <w14:textFill>
            <w14:solidFill>
              <w14:schemeClr w14:val="tx1"/>
            </w14:solidFill>
          </w14:textFill>
        </w:rPr>
        <w:t>污水处理建设工程</w:t>
      </w:r>
      <w:r>
        <w:rPr>
          <w:rFonts w:hint="eastAsia"/>
          <w:caps w:val="0"/>
          <w:color w:val="000000" w:themeColor="text1"/>
          <w:szCs w:val="32"/>
          <w:lang w:eastAsia="zh-CN"/>
          <w14:textFill>
            <w14:solidFill>
              <w14:schemeClr w14:val="tx1"/>
            </w14:solidFill>
          </w14:textFill>
        </w:rPr>
        <w:t>项目</w:t>
      </w:r>
      <w:r>
        <w:rPr>
          <w:rFonts w:hint="eastAsia" w:ascii="Times New Roman" w:hAnsi="Times New Roman"/>
          <w:caps w:val="0"/>
          <w:color w:val="000000" w:themeColor="text1"/>
          <w:szCs w:val="32"/>
          <w14:textFill>
            <w14:solidFill>
              <w14:schemeClr w14:val="tx1"/>
            </w14:solidFill>
          </w14:textFill>
        </w:rPr>
        <w:t>开展了绩效评价</w:t>
      </w:r>
      <w:r>
        <w:rPr>
          <w:rFonts w:hint="eastAsia"/>
          <w:caps w:val="0"/>
          <w:color w:val="000000" w:themeColor="text1"/>
          <w:szCs w:val="32"/>
          <w:lang w:val="en-US" w:eastAsia="zh-CN"/>
          <w14:textFill>
            <w14:solidFill>
              <w14:schemeClr w14:val="tx1"/>
            </w14:solidFill>
          </w14:textFill>
        </w:rPr>
        <w:t>,</w:t>
      </w:r>
      <w:r>
        <w:rPr>
          <w:rFonts w:hint="eastAsia" w:ascii="Times New Roman" w:hAnsi="Times New Roman"/>
          <w:caps w:val="0"/>
          <w:color w:val="000000" w:themeColor="text1"/>
          <w:szCs w:val="32"/>
          <w:lang w:eastAsia="zh-CN"/>
          <w14:textFill>
            <w14:solidFill>
              <w14:schemeClr w14:val="tx1"/>
            </w14:solidFill>
          </w14:textFill>
        </w:rPr>
        <w:t>《飞龙峡镇污水处理建设工程项目</w:t>
      </w:r>
      <w:r>
        <w:rPr>
          <w:rFonts w:hint="eastAsia" w:ascii="Times New Roman" w:hAnsi="Times New Roman"/>
          <w:caps w:val="0"/>
          <w:color w:val="000000" w:themeColor="text1"/>
          <w:szCs w:val="32"/>
          <w14:textFill>
            <w14:solidFill>
              <w14:schemeClr w14:val="tx1"/>
            </w14:solidFill>
          </w14:textFill>
        </w:rPr>
        <w:t>2020年绩效评价报告》见附件（附件2）。</w:t>
      </w:r>
    </w:p>
    <w:p>
      <w:pPr>
        <w:rPr>
          <w:rFonts w:hint="eastAsia" w:ascii="Times New Roman" w:hAnsi="Times New Roman" w:eastAsia="楷体_GB2312" w:cs="楷体_GB2312"/>
          <w:caps w:val="0"/>
          <w:szCs w:val="32"/>
        </w:rPr>
      </w:pPr>
      <w:r>
        <w:rPr>
          <w:rFonts w:hint="eastAsia" w:ascii="Times New Roman" w:hAnsi="Times New Roman" w:eastAsia="楷体_GB2312" w:cs="楷体_GB2312"/>
          <w:caps w:val="0"/>
          <w:szCs w:val="32"/>
        </w:rPr>
        <w:br w:type="page"/>
      </w:r>
    </w:p>
    <w:p>
      <w:pPr>
        <w:widowControl/>
        <w:ind w:firstLine="880" w:firstLineChars="200"/>
        <w:jc w:val="center"/>
        <w:outlineLvl w:val="0"/>
        <w:rPr>
          <w:rFonts w:hint="eastAsia" w:ascii="Times New Roman" w:hAnsi="Times New Roman" w:eastAsia="方正小标宋_GBK" w:cs="Times New Roman"/>
          <w:b w:val="0"/>
          <w:bCs/>
          <w:caps w:val="0"/>
          <w:kern w:val="2"/>
          <w:sz w:val="44"/>
          <w:szCs w:val="44"/>
          <w:lang w:val="en-US" w:eastAsia="zh-CN" w:bidi="ar-SA"/>
        </w:rPr>
      </w:pPr>
      <w:bookmarkStart w:id="86" w:name="_Toc12357"/>
      <w:r>
        <w:rPr>
          <w:rFonts w:hint="eastAsia" w:ascii="Times New Roman" w:hAnsi="Times New Roman" w:eastAsia="方正小标宋_GBK" w:cs="Times New Roman"/>
          <w:bCs/>
          <w:caps w:val="0"/>
          <w:sz w:val="44"/>
          <w:szCs w:val="44"/>
          <w:lang w:val="en-US" w:eastAsia="zh-CN"/>
        </w:rPr>
        <w:t>第三部分  名词解释</w:t>
      </w:r>
      <w:bookmarkEnd w:id="83"/>
      <w:bookmarkEnd w:id="84"/>
      <w:bookmarkEnd w:id="86"/>
    </w:p>
    <w:p>
      <w:pPr>
        <w:spacing w:line="600" w:lineRule="exact"/>
        <w:jc w:val="left"/>
        <w:rPr>
          <w:rFonts w:ascii="Times New Roman" w:hAnsi="Times New Roman"/>
          <w:b/>
          <w:caps w:val="0"/>
          <w:color w:val="000000"/>
          <w:sz w:val="44"/>
          <w:szCs w:val="44"/>
        </w:rPr>
      </w:pP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1.</w:t>
      </w:r>
      <w:r>
        <w:rPr>
          <w:rFonts w:hint="eastAsia" w:ascii="Times New Roman" w:hAnsi="Times New Roman" w:eastAsia="仿宋_GB2312" w:cs="仿宋_GB2312"/>
          <w:caps w:val="0"/>
          <w:sz w:val="32"/>
          <w:szCs w:val="32"/>
        </w:rPr>
        <w:t>财政拨款收入：指单位从同级财政部门取得的财政预算资金。</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2.</w:t>
      </w:r>
      <w:r>
        <w:rPr>
          <w:rFonts w:hint="eastAsia" w:ascii="Times New Roman" w:hAnsi="Times New Roman" w:eastAsia="仿宋_GB2312" w:cs="仿宋_GB2312"/>
          <w:caps w:val="0"/>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3.</w:t>
      </w:r>
      <w:r>
        <w:rPr>
          <w:rFonts w:hint="eastAsia" w:ascii="Times New Roman" w:hAnsi="Times New Roman" w:eastAsia="仿宋_GB2312" w:cs="仿宋_GB2312"/>
          <w:caps w:val="0"/>
          <w:sz w:val="32"/>
          <w:szCs w:val="32"/>
        </w:rPr>
        <w:t>年初结转和结余：指以前年度尚未完成、结转到本年按有关规定继续使用的资金。</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4.</w:t>
      </w:r>
      <w:r>
        <w:rPr>
          <w:rFonts w:hint="eastAsia" w:ascii="Times New Roman" w:hAnsi="Times New Roman" w:eastAsia="仿宋_GB2312" w:cs="仿宋_GB2312"/>
          <w:caps w:val="0"/>
          <w:sz w:val="32"/>
          <w:szCs w:val="32"/>
        </w:rPr>
        <w:t>结余分配：指事业单位按照事业单位会计制度的规定从非财政补助结余中分配的事业基金和职工福利基金等。</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5</w:t>
      </w:r>
      <w:r>
        <w:rPr>
          <w:rFonts w:hint="eastAsia" w:ascii="Times New Roman" w:hAnsi="Times New Roman" w:eastAsia="仿宋_GB2312" w:cs="仿宋_GB2312"/>
          <w:caps w:val="0"/>
          <w:sz w:val="32"/>
          <w:szCs w:val="32"/>
        </w:rPr>
        <w:t>、年末结转和结余：指单位按有关规定结转到下年或以后年度继续使用的资金。</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Cs/>
          <w:caps w:val="0"/>
          <w:color w:val="000000"/>
          <w:szCs w:val="32"/>
        </w:rPr>
      </w:pPr>
      <w:r>
        <w:rPr>
          <w:rFonts w:ascii="Times New Roman" w:hAnsi="Times New Roman" w:cs="仿宋_GB2312"/>
          <w:caps w:val="0"/>
          <w:color w:val="000000"/>
          <w:szCs w:val="32"/>
        </w:rPr>
        <w:t>6.</w:t>
      </w:r>
      <w:r>
        <w:rPr>
          <w:rStyle w:val="14"/>
          <w:rFonts w:ascii="Times New Roman" w:hAnsi="Times New Roman" w:cs="仿宋_GB2312"/>
          <w:b w:val="0"/>
          <w:bCs/>
          <w:caps w:val="0"/>
          <w:color w:val="000000"/>
          <w:szCs w:val="32"/>
        </w:rPr>
        <w:t xml:space="preserve"> </w:t>
      </w:r>
      <w:r>
        <w:rPr>
          <w:rStyle w:val="14"/>
          <w:rFonts w:hint="eastAsia" w:ascii="Times New Roman" w:hAnsi="Times New Roman" w:cs="仿宋_GB2312"/>
          <w:b w:val="0"/>
          <w:bCs/>
          <w:caps w:val="0"/>
          <w:color w:val="000000"/>
          <w:szCs w:val="32"/>
        </w:rPr>
        <w:t>一般公共服务（类）人大事务（款）行政运行（项）：指行政单位（包括实行公务员管理的事业单位）的基本支出。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7</w:t>
      </w:r>
      <w:r>
        <w:rPr>
          <w:rStyle w:val="14"/>
          <w:rFonts w:ascii="Times New Roman" w:hAnsi="Times New Roman" w:cs="仿宋_GB2312"/>
          <w:bCs/>
          <w:caps w:val="0"/>
          <w:color w:val="000000"/>
          <w:szCs w:val="32"/>
        </w:rPr>
        <w:t>.</w:t>
      </w:r>
      <w:r>
        <w:rPr>
          <w:rStyle w:val="14"/>
          <w:rFonts w:hint="eastAsia" w:ascii="Times New Roman" w:hAnsi="Times New Roman" w:cs="仿宋_GB2312"/>
          <w:b w:val="0"/>
          <w:bCs/>
          <w:caps w:val="0"/>
          <w:color w:val="000000"/>
          <w:szCs w:val="32"/>
        </w:rPr>
        <w:t>一般公共服务（类）人大事务（款）一般行政管理事务（项）</w:t>
      </w:r>
      <w:r>
        <w:rPr>
          <w:rStyle w:val="14"/>
          <w:rFonts w:ascii="Times New Roman" w:hAnsi="Times New Roman" w:cs="仿宋_GB2312"/>
          <w:b w:val="0"/>
          <w:bCs/>
          <w:caps w:val="0"/>
          <w:color w:val="000000"/>
          <w:szCs w:val="32"/>
        </w:rPr>
        <w:t>:</w:t>
      </w:r>
      <w:r>
        <w:rPr>
          <w:rStyle w:val="14"/>
          <w:rFonts w:hint="eastAsia" w:ascii="Times New Roman" w:hAnsi="Times New Roman" w:cs="仿宋_GB2312"/>
          <w:b w:val="0"/>
          <w:bCs/>
          <w:caps w:val="0"/>
          <w:color w:val="000000"/>
          <w:szCs w:val="32"/>
        </w:rPr>
        <w:t>指反映行政单位（包括实行公务员管理的事业单位）未单独设置项级科目的其他项目支出。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8.</w:t>
      </w:r>
      <w:r>
        <w:rPr>
          <w:rStyle w:val="14"/>
          <w:rFonts w:hint="eastAsia" w:ascii="Times New Roman" w:hAnsi="Times New Roman" w:cs="仿宋_GB2312"/>
          <w:b w:val="0"/>
          <w:bCs/>
          <w:caps w:val="0"/>
          <w:color w:val="000000"/>
          <w:szCs w:val="32"/>
        </w:rPr>
        <w:t>一般公共服务（类）政府办公厅（室）及相关机构事务（款）行政运行（项）：指行政单位（包括实行公务员管理的事业单位）的基本支出。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9.</w:t>
      </w:r>
      <w:r>
        <w:rPr>
          <w:rStyle w:val="14"/>
          <w:rFonts w:hint="eastAsia" w:ascii="Times New Roman" w:hAnsi="Times New Roman" w:cs="仿宋_GB2312"/>
          <w:b w:val="0"/>
          <w:bCs/>
          <w:caps w:val="0"/>
          <w:color w:val="000000"/>
          <w:szCs w:val="32"/>
        </w:rPr>
        <w:t>一般公共服务（类）政府办公厅（室）及相关机构事务（款）一般行政管理事务（项）：指反映行政单位（包括实行公务员管理的事业单位）未单独设置项级科目的其他项目支出。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10.</w:t>
      </w:r>
      <w:r>
        <w:rPr>
          <w:rStyle w:val="14"/>
          <w:rFonts w:hint="eastAsia" w:ascii="Times New Roman" w:hAnsi="Times New Roman" w:cs="仿宋_GB2312"/>
          <w:b w:val="0"/>
          <w:bCs/>
          <w:caps w:val="0"/>
          <w:color w:val="000000"/>
          <w:szCs w:val="32"/>
        </w:rPr>
        <w:t>公共安全支出（类）公安（款）道路交通管理（项）：指反映各级公安机关开展各类道路交通管理工作的支出。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11.</w:t>
      </w:r>
      <w:r>
        <w:rPr>
          <w:rStyle w:val="14"/>
          <w:rFonts w:hint="eastAsia" w:ascii="Times New Roman" w:hAnsi="Times New Roman" w:cs="仿宋_GB2312"/>
          <w:b w:val="0"/>
          <w:bCs/>
          <w:caps w:val="0"/>
          <w:color w:val="000000"/>
          <w:szCs w:val="32"/>
        </w:rPr>
        <w:t>社会保障和就业支出（类）民政管理事务（款）基层政权和社区建设（项）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指反映开展村民自治、村务公开等基层政权和社区建设工作的支出。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12.</w:t>
      </w:r>
      <w:r>
        <w:rPr>
          <w:rStyle w:val="14"/>
          <w:rFonts w:hint="eastAsia" w:ascii="Times New Roman" w:hAnsi="Times New Roman" w:cs="仿宋_GB2312"/>
          <w:b w:val="0"/>
          <w:bCs/>
          <w:caps w:val="0"/>
          <w:color w:val="000000"/>
          <w:szCs w:val="32"/>
        </w:rPr>
        <w:t>社会保障和就业支出（类）民政管理事务（款）其他民政管理事务支出（项）：指反映民政部门接待来访、法制建设、政策宣传方面的支出，以及开展优抚安置工作、救灾减灾、社会救助、社会福利、婚姻登记、社会事务、信息化建设等专项业务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13.</w:t>
      </w:r>
      <w:r>
        <w:rPr>
          <w:rStyle w:val="14"/>
          <w:rFonts w:hint="eastAsia" w:ascii="Times New Roman" w:hAnsi="Times New Roman" w:cs="仿宋_GB2312"/>
          <w:b w:val="0"/>
          <w:bCs/>
          <w:caps w:val="0"/>
          <w:color w:val="000000"/>
          <w:szCs w:val="32"/>
        </w:rPr>
        <w:t>社会保障和就业支出（类）行政事业单位离退休（款）归口管理的行政单位离退休（项）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指实行归口管理的行政单位（包括实行公务员管理的事业单位）开支的离退休经费。</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14.</w:t>
      </w:r>
      <w:r>
        <w:rPr>
          <w:rStyle w:val="14"/>
          <w:rFonts w:hint="eastAsia" w:ascii="Times New Roman" w:hAnsi="Times New Roman" w:cs="仿宋_GB2312"/>
          <w:b w:val="0"/>
          <w:bCs/>
          <w:caps w:val="0"/>
          <w:color w:val="000000"/>
          <w:szCs w:val="32"/>
        </w:rPr>
        <w:t>社会保障和就业支出（类）行政事业单位离退休（款）事业单位离退休（项）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反映实行归口管理的事业单位开支的离退休经费。</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15.</w:t>
      </w:r>
      <w:r>
        <w:rPr>
          <w:rStyle w:val="14"/>
          <w:rFonts w:hint="eastAsia" w:ascii="Times New Roman" w:hAnsi="Times New Roman" w:cs="仿宋_GB2312"/>
          <w:b w:val="0"/>
          <w:bCs/>
          <w:caps w:val="0"/>
          <w:color w:val="000000"/>
          <w:szCs w:val="32"/>
        </w:rPr>
        <w:t>社会保障和就业支出（类）行政事业单位离退休（款）机关事业单位基本养老保险缴费支出★（项）：指部门实施养老保险制度由单位缴纳的养老保险费的支出。</w:t>
      </w:r>
    </w:p>
    <w:p>
      <w:pPr>
        <w:pageBreakBefore w:val="0"/>
        <w:kinsoku/>
        <w:wordWrap/>
        <w:overflowPunct/>
        <w:topLinePunct w:val="0"/>
        <w:bidi w:val="0"/>
        <w:spacing w:line="588" w:lineRule="exact"/>
        <w:ind w:firstLine="640" w:firstLineChars="200"/>
        <w:textAlignment w:val="auto"/>
        <w:rPr>
          <w:rStyle w:val="14"/>
          <w:rFonts w:hint="eastAsia" w:ascii="Times New Roman" w:hAnsi="Times New Roman" w:eastAsia="仿宋_GB2312" w:cs="仿宋_GB2312"/>
          <w:b w:val="0"/>
          <w:bCs/>
          <w:caps w:val="0"/>
          <w:color w:val="000000"/>
          <w:szCs w:val="32"/>
          <w:lang w:eastAsia="zh-CN"/>
        </w:rPr>
      </w:pPr>
      <w:r>
        <w:rPr>
          <w:rStyle w:val="14"/>
          <w:rFonts w:ascii="Times New Roman" w:hAnsi="Times New Roman" w:cs="仿宋_GB2312"/>
          <w:b w:val="0"/>
          <w:bCs/>
          <w:caps w:val="0"/>
          <w:color w:val="000000"/>
          <w:szCs w:val="32"/>
        </w:rPr>
        <w:t>16.</w:t>
      </w:r>
      <w:r>
        <w:rPr>
          <w:rStyle w:val="14"/>
          <w:rFonts w:hint="eastAsia" w:ascii="Times New Roman" w:hAnsi="Times New Roman" w:cs="仿宋_GB2312"/>
          <w:b w:val="0"/>
          <w:bCs/>
          <w:caps w:val="0"/>
          <w:color w:val="000000"/>
          <w:szCs w:val="32"/>
        </w:rPr>
        <w:t>卫生健康（类）行政事业单位医疗（款）行政单位医疗（项）：指机关及参公管理事业单位用于缴纳单位基本医疗保险支出。</w:t>
      </w:r>
    </w:p>
    <w:p>
      <w:pPr>
        <w:pageBreakBefore w:val="0"/>
        <w:kinsoku/>
        <w:wordWrap/>
        <w:overflowPunct/>
        <w:topLinePunct w:val="0"/>
        <w:bidi w:val="0"/>
        <w:spacing w:line="588" w:lineRule="exact"/>
        <w:ind w:firstLine="640" w:firstLineChars="200"/>
        <w:textAlignment w:val="auto"/>
        <w:rPr>
          <w:rStyle w:val="14"/>
          <w:rFonts w:hint="eastAsia"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17.</w:t>
      </w:r>
      <w:r>
        <w:rPr>
          <w:rStyle w:val="14"/>
          <w:rFonts w:hint="eastAsia" w:ascii="Times New Roman" w:hAnsi="Times New Roman" w:cs="仿宋_GB2312"/>
          <w:b w:val="0"/>
          <w:bCs/>
          <w:caps w:val="0"/>
          <w:color w:val="000000"/>
          <w:szCs w:val="32"/>
        </w:rPr>
        <w:t>卫生健康（类）行政事业单位医疗（款）事业单位医疗（项）：指事业单位用于缴纳单位基本医疗保险支出。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18.</w:t>
      </w:r>
      <w:r>
        <w:rPr>
          <w:rStyle w:val="14"/>
          <w:rFonts w:hint="eastAsia" w:ascii="Times New Roman" w:hAnsi="Times New Roman" w:cs="仿宋_GB2312"/>
          <w:b w:val="0"/>
          <w:bCs/>
          <w:caps w:val="0"/>
          <w:color w:val="000000"/>
          <w:szCs w:val="32"/>
        </w:rPr>
        <w:t>节能环保支出（类）污染防治（款）大气（项）</w:t>
      </w:r>
      <w:r>
        <w:rPr>
          <w:rStyle w:val="14"/>
          <w:rFonts w:ascii="Times New Roman" w:hAnsi="Times New Roman" w:cs="仿宋_GB2312"/>
          <w:b w:val="0"/>
          <w:bCs/>
          <w:caps w:val="0"/>
          <w:color w:val="000000"/>
          <w:szCs w:val="32"/>
        </w:rPr>
        <w:t xml:space="preserve">: </w:t>
      </w:r>
      <w:r>
        <w:rPr>
          <w:rStyle w:val="14"/>
          <w:rFonts w:hint="eastAsia" w:ascii="Times New Roman" w:hAnsi="Times New Roman" w:cs="仿宋_GB2312"/>
          <w:b w:val="0"/>
          <w:bCs/>
          <w:caps w:val="0"/>
          <w:color w:val="000000"/>
          <w:szCs w:val="32"/>
        </w:rPr>
        <w:t>反映政府在治理空气污染、汽车尾气、酸雨、二氧化硫、沙尘暴等方面的支出。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19.</w:t>
      </w:r>
      <w:r>
        <w:rPr>
          <w:rStyle w:val="14"/>
          <w:rFonts w:hint="eastAsia" w:ascii="Times New Roman" w:hAnsi="Times New Roman" w:cs="仿宋_GB2312"/>
          <w:b w:val="0"/>
          <w:bCs/>
          <w:caps w:val="0"/>
          <w:color w:val="000000"/>
          <w:szCs w:val="32"/>
        </w:rPr>
        <w:t>城乡社区支出（类）城乡社区环境卫生（款）城乡社区环境卫生（项）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反映城乡社区道路清扫、垃圾清运与处理、公厕建设与维护、园林绿化等方面的支出。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20.</w:t>
      </w:r>
      <w:r>
        <w:rPr>
          <w:rStyle w:val="14"/>
          <w:rFonts w:hint="eastAsia" w:ascii="Times New Roman" w:hAnsi="Times New Roman" w:cs="仿宋_GB2312"/>
          <w:b w:val="0"/>
          <w:bCs/>
          <w:caps w:val="0"/>
          <w:color w:val="000000"/>
          <w:szCs w:val="32"/>
        </w:rPr>
        <w:t>农林水支出（类）农业（款）事业运行（项）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反映用于农业事业单位基本支出、事业单位设施、系统运行与资产维护等方面的支出。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21.</w:t>
      </w:r>
      <w:r>
        <w:rPr>
          <w:rStyle w:val="14"/>
          <w:rFonts w:hint="eastAsia" w:ascii="Times New Roman" w:hAnsi="Times New Roman" w:cs="仿宋_GB2312"/>
          <w:b w:val="0"/>
          <w:bCs/>
          <w:caps w:val="0"/>
          <w:color w:val="000000"/>
          <w:szCs w:val="32"/>
        </w:rPr>
        <w:t>农林水支出（类）农村综合改革（款）对村级一事一议的补助（项）</w:t>
      </w:r>
      <w:r>
        <w:rPr>
          <w:rStyle w:val="14"/>
          <w:rFonts w:hint="eastAsia" w:cs="仿宋_GB2312"/>
          <w:b w:val="0"/>
          <w:bCs/>
          <w:caps w:val="0"/>
          <w:color w:val="000000"/>
          <w:szCs w:val="32"/>
          <w:lang w:eastAsia="zh-CN"/>
        </w:rPr>
        <w:t>：</w:t>
      </w:r>
      <w:r>
        <w:rPr>
          <w:rStyle w:val="14"/>
          <w:rFonts w:hint="eastAsia" w:ascii="Times New Roman" w:hAnsi="Times New Roman" w:cs="仿宋_GB2312"/>
          <w:b w:val="0"/>
          <w:bCs/>
          <w:caps w:val="0"/>
          <w:color w:val="000000"/>
          <w:szCs w:val="32"/>
        </w:rPr>
        <w:t>反映农村税费改革后对村级公益事业建设一事一议的补助支出。</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bCs/>
          <w:caps w:val="0"/>
          <w:color w:val="000000"/>
          <w:szCs w:val="32"/>
        </w:rPr>
      </w:pPr>
      <w:r>
        <w:rPr>
          <w:rStyle w:val="14"/>
          <w:rFonts w:ascii="Times New Roman" w:hAnsi="Times New Roman" w:cs="仿宋_GB2312"/>
          <w:b w:val="0"/>
          <w:bCs/>
          <w:caps w:val="0"/>
          <w:color w:val="000000"/>
          <w:szCs w:val="32"/>
        </w:rPr>
        <w:t>22.</w:t>
      </w:r>
      <w:r>
        <w:rPr>
          <w:rStyle w:val="14"/>
          <w:rFonts w:hint="eastAsia" w:ascii="Times New Roman" w:hAnsi="Times New Roman" w:cs="仿宋_GB2312"/>
          <w:b w:val="0"/>
          <w:bCs/>
          <w:caps w:val="0"/>
          <w:color w:val="000000"/>
          <w:szCs w:val="32"/>
        </w:rPr>
        <w:t>农林水支出（类）农村综合改革（款）对村民委员会和村党支部的补助（项）</w:t>
      </w:r>
      <w:r>
        <w:rPr>
          <w:rStyle w:val="14"/>
          <w:rFonts w:ascii="Times New Roman" w:hAnsi="Times New Roman" w:cs="仿宋_GB2312"/>
          <w:b w:val="0"/>
          <w:bCs/>
          <w:caps w:val="0"/>
          <w:color w:val="000000"/>
          <w:szCs w:val="32"/>
        </w:rPr>
        <w:t>:</w:t>
      </w:r>
      <w:r>
        <w:rPr>
          <w:rStyle w:val="14"/>
          <w:rFonts w:hint="eastAsia" w:ascii="Times New Roman" w:hAnsi="Times New Roman" w:cs="仿宋_GB2312"/>
          <w:b w:val="0"/>
          <w:bCs/>
          <w:caps w:val="0"/>
          <w:color w:val="000000"/>
          <w:szCs w:val="32"/>
        </w:rPr>
        <w:t>反映各级财政对村民委员会和村党支部的补助支出，以及支持建立县级基本财力保障机制安排的村级组织运转奖补资金。</w:t>
      </w:r>
    </w:p>
    <w:p>
      <w:pPr>
        <w:pageBreakBefore w:val="0"/>
        <w:kinsoku/>
        <w:wordWrap/>
        <w:overflowPunct/>
        <w:topLinePunct w:val="0"/>
        <w:bidi w:val="0"/>
        <w:spacing w:line="588" w:lineRule="exact"/>
        <w:ind w:firstLine="640" w:firstLineChars="200"/>
        <w:textAlignment w:val="auto"/>
        <w:rPr>
          <w:rStyle w:val="14"/>
          <w:rFonts w:ascii="Times New Roman" w:hAnsi="Times New Roman" w:cs="仿宋_GB2312"/>
          <w:b w:val="0"/>
          <w:caps w:val="0"/>
          <w:szCs w:val="32"/>
        </w:rPr>
      </w:pPr>
      <w:r>
        <w:rPr>
          <w:rStyle w:val="14"/>
          <w:rFonts w:ascii="Times New Roman" w:hAnsi="Times New Roman" w:cs="仿宋_GB2312"/>
          <w:b w:val="0"/>
          <w:bCs/>
          <w:caps w:val="0"/>
          <w:color w:val="000000"/>
          <w:szCs w:val="32"/>
        </w:rPr>
        <w:t>23.</w:t>
      </w:r>
      <w:r>
        <w:rPr>
          <w:rStyle w:val="14"/>
          <w:rFonts w:hint="eastAsia" w:ascii="Times New Roman" w:hAnsi="Times New Roman" w:cs="仿宋_GB2312"/>
          <w:b w:val="0"/>
          <w:bCs/>
          <w:caps w:val="0"/>
          <w:color w:val="000000"/>
          <w:szCs w:val="32"/>
        </w:rPr>
        <w:t>住房保障（类）住房改革支出（款）住房公积金（项）：指按照《住房公积金管理条例》的规定，由单位及其在职职工缴存的长期住房储金。</w:t>
      </w:r>
    </w:p>
    <w:p>
      <w:pPr>
        <w:pageBreakBefore w:val="0"/>
        <w:kinsoku/>
        <w:wordWrap/>
        <w:overflowPunct/>
        <w:topLinePunct w:val="0"/>
        <w:bidi w:val="0"/>
        <w:spacing w:line="588" w:lineRule="exact"/>
        <w:ind w:firstLine="640" w:firstLineChars="200"/>
        <w:textAlignment w:val="auto"/>
        <w:rPr>
          <w:rFonts w:ascii="Times New Roman" w:hAnsi="Times New Roman" w:cs="仿宋_GB2312"/>
          <w:caps w:val="0"/>
          <w:color w:val="000000"/>
          <w:szCs w:val="32"/>
        </w:rPr>
      </w:pPr>
      <w:r>
        <w:rPr>
          <w:rFonts w:ascii="Times New Roman" w:hAnsi="Times New Roman" w:cs="仿宋_GB2312"/>
          <w:caps w:val="0"/>
          <w:color w:val="000000"/>
          <w:szCs w:val="32"/>
        </w:rPr>
        <w:t>24.</w:t>
      </w:r>
      <w:r>
        <w:rPr>
          <w:rFonts w:hint="eastAsia" w:ascii="Times New Roman" w:hAnsi="Times New Roman" w:cs="仿宋_GB2312"/>
          <w:caps w:val="0"/>
          <w:color w:val="000000"/>
          <w:szCs w:val="32"/>
        </w:rPr>
        <w:t>基本支出：指为保障机构正常运转、完成日常工作任务而发生的人员支出和公用支出。</w:t>
      </w:r>
    </w:p>
    <w:p>
      <w:pPr>
        <w:pageBreakBefore w:val="0"/>
        <w:kinsoku/>
        <w:wordWrap/>
        <w:overflowPunct/>
        <w:topLinePunct w:val="0"/>
        <w:bidi w:val="0"/>
        <w:spacing w:line="588" w:lineRule="exact"/>
        <w:ind w:firstLine="640" w:firstLineChars="200"/>
        <w:textAlignment w:val="auto"/>
        <w:rPr>
          <w:rFonts w:ascii="Times New Roman" w:hAnsi="Times New Roman" w:cs="仿宋_GB2312"/>
          <w:caps w:val="0"/>
          <w:color w:val="000000"/>
          <w:szCs w:val="32"/>
        </w:rPr>
      </w:pPr>
      <w:r>
        <w:rPr>
          <w:rFonts w:ascii="Times New Roman" w:hAnsi="Times New Roman" w:cs="仿宋_GB2312"/>
          <w:caps w:val="0"/>
          <w:color w:val="000000"/>
          <w:szCs w:val="32"/>
        </w:rPr>
        <w:t>25.</w:t>
      </w:r>
      <w:r>
        <w:rPr>
          <w:rFonts w:hint="eastAsia" w:ascii="Times New Roman" w:hAnsi="Times New Roman" w:cs="仿宋_GB2312"/>
          <w:caps w:val="0"/>
          <w:color w:val="000000"/>
          <w:szCs w:val="32"/>
        </w:rPr>
        <w:t>项目支出：指在基本支出之外为完成特定行政任务和事业发展目标所发生的支出。</w:t>
      </w:r>
    </w:p>
    <w:p>
      <w:pPr>
        <w:pageBreakBefore w:val="0"/>
        <w:kinsoku/>
        <w:wordWrap/>
        <w:overflowPunct/>
        <w:topLinePunct w:val="0"/>
        <w:bidi w:val="0"/>
        <w:spacing w:line="588" w:lineRule="exact"/>
        <w:ind w:firstLine="640" w:firstLineChars="200"/>
        <w:textAlignment w:val="auto"/>
        <w:rPr>
          <w:rFonts w:ascii="Times New Roman" w:hAnsi="Times New Roman" w:cs="仿宋_GB2312"/>
          <w:caps w:val="0"/>
          <w:color w:val="000000"/>
          <w:szCs w:val="32"/>
        </w:rPr>
      </w:pPr>
      <w:r>
        <w:rPr>
          <w:rFonts w:ascii="Times New Roman" w:hAnsi="Times New Roman" w:cs="仿宋_GB2312"/>
          <w:caps w:val="0"/>
          <w:color w:val="000000"/>
          <w:szCs w:val="32"/>
        </w:rPr>
        <w:t>26.</w:t>
      </w:r>
      <w:r>
        <w:rPr>
          <w:rFonts w:hint="eastAsia" w:ascii="Times New Roman" w:hAnsi="Times New Roman" w:cs="仿宋_GB2312"/>
          <w:caps w:val="0"/>
          <w:color w:val="000000"/>
          <w:szCs w:val="32"/>
        </w:rPr>
        <w:t>经营支出：指事业单位在专业业务活动及其辅助活动之外开展非独立核算经营活动发生的支出。</w:t>
      </w:r>
    </w:p>
    <w:p>
      <w:pPr>
        <w:pStyle w:val="24"/>
        <w:pageBreakBefore w:val="0"/>
        <w:kinsoku/>
        <w:wordWrap/>
        <w:overflowPunct/>
        <w:topLinePunct w:val="0"/>
        <w:bidi w:val="0"/>
        <w:spacing w:line="588" w:lineRule="exact"/>
        <w:ind w:firstLine="640" w:firstLineChars="200"/>
        <w:textAlignment w:val="auto"/>
        <w:rPr>
          <w:rFonts w:ascii="Times New Roman" w:hAnsi="Times New Roman" w:eastAsia="仿宋_GB2312" w:cs="仿宋_GB2312"/>
          <w:caps w:val="0"/>
          <w:sz w:val="32"/>
          <w:szCs w:val="32"/>
        </w:rPr>
      </w:pPr>
      <w:r>
        <w:rPr>
          <w:rFonts w:ascii="Times New Roman" w:hAnsi="Times New Roman" w:eastAsia="仿宋_GB2312" w:cs="仿宋_GB2312"/>
          <w:caps w:val="0"/>
          <w:sz w:val="32"/>
          <w:szCs w:val="32"/>
        </w:rPr>
        <w:t>27.</w:t>
      </w:r>
      <w:r>
        <w:rPr>
          <w:rFonts w:hint="eastAsia" w:ascii="Times New Roman" w:hAnsi="Times New Roman" w:eastAsia="仿宋_GB2312" w:cs="仿宋_GB2312"/>
          <w:caps w:val="0"/>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kinsoku/>
        <w:wordWrap/>
        <w:overflowPunct/>
        <w:topLinePunct w:val="0"/>
        <w:bidi w:val="0"/>
        <w:spacing w:line="588" w:lineRule="exact"/>
        <w:ind w:firstLine="640" w:firstLineChars="200"/>
        <w:textAlignment w:val="auto"/>
        <w:rPr>
          <w:rFonts w:ascii="Times New Roman" w:hAnsi="Times New Roman" w:cs="仿宋_GB2312"/>
          <w:caps w:val="0"/>
          <w:szCs w:val="32"/>
        </w:rPr>
      </w:pPr>
      <w:r>
        <w:rPr>
          <w:rFonts w:ascii="Times New Roman" w:hAnsi="Times New Roman" w:cs="仿宋_GB2312"/>
          <w:caps w:val="0"/>
          <w:szCs w:val="32"/>
        </w:rPr>
        <w:t>28.</w:t>
      </w:r>
      <w:r>
        <w:rPr>
          <w:rFonts w:hint="eastAsia" w:ascii="Times New Roman" w:hAnsi="Times New Roman" w:cs="仿宋_GB2312"/>
          <w:caps w:val="0"/>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spacing w:line="588" w:lineRule="exact"/>
        <w:jc w:val="center"/>
        <w:textAlignment w:val="auto"/>
        <w:outlineLvl w:val="0"/>
        <w:rPr>
          <w:rStyle w:val="17"/>
          <w:rFonts w:ascii="Times New Roman" w:hAnsi="Times New Roman" w:eastAsia="黑体"/>
          <w:b w:val="0"/>
          <w:caps w:val="0"/>
        </w:rPr>
      </w:pPr>
      <w:r>
        <w:rPr>
          <w:rFonts w:ascii="Times New Roman" w:hAnsi="Times New Roman"/>
          <w:b/>
          <w:caps w:val="0"/>
          <w:color w:val="000000"/>
          <w:sz w:val="44"/>
          <w:szCs w:val="44"/>
        </w:rPr>
        <w:br w:type="page"/>
      </w:r>
      <w:bookmarkStart w:id="87" w:name="_Toc11207"/>
      <w:bookmarkStart w:id="88" w:name="_Toc24279"/>
      <w:bookmarkStart w:id="89" w:name="_Toc15396614"/>
      <w:r>
        <w:rPr>
          <w:rFonts w:hint="eastAsia" w:ascii="Times New Roman" w:hAnsi="Times New Roman" w:eastAsia="方正小标宋_GBK" w:cs="Times New Roman"/>
          <w:bCs/>
          <w:caps w:val="0"/>
          <w:sz w:val="44"/>
          <w:szCs w:val="44"/>
        </w:rPr>
        <w:t>第四部分 附件</w:t>
      </w:r>
      <w:bookmarkEnd w:id="87"/>
      <w:bookmarkEnd w:id="88"/>
      <w:bookmarkEnd w:id="89"/>
    </w:p>
    <w:p>
      <w:pPr>
        <w:pageBreakBefore w:val="0"/>
        <w:kinsoku/>
        <w:wordWrap/>
        <w:overflowPunct/>
        <w:topLinePunct w:val="0"/>
        <w:bidi w:val="0"/>
        <w:spacing w:line="588" w:lineRule="exact"/>
        <w:jc w:val="left"/>
        <w:textAlignment w:val="auto"/>
        <w:outlineLvl w:val="1"/>
        <w:rPr>
          <w:rFonts w:ascii="Times New Roman" w:hAnsi="Times New Roman" w:eastAsia="方正小标宋简体" w:cs="方正小标宋简体"/>
          <w:caps w:val="0"/>
          <w:szCs w:val="32"/>
        </w:rPr>
      </w:pPr>
      <w:bookmarkStart w:id="90" w:name="_Toc22930"/>
      <w:bookmarkStart w:id="91" w:name="_Toc12587"/>
      <w:r>
        <w:rPr>
          <w:rFonts w:hint="eastAsia" w:ascii="Times New Roman" w:hAnsi="Times New Roman" w:eastAsia="黑体" w:cs="黑体"/>
          <w:caps w:val="0"/>
          <w:szCs w:val="32"/>
        </w:rPr>
        <w:t>附件</w:t>
      </w:r>
      <w:r>
        <w:rPr>
          <w:rFonts w:ascii="Times New Roman" w:hAnsi="Times New Roman" w:eastAsia="黑体" w:cs="黑体"/>
          <w:caps w:val="0"/>
          <w:szCs w:val="32"/>
        </w:rPr>
        <w:t>1</w:t>
      </w:r>
      <w:bookmarkEnd w:id="90"/>
      <w:bookmarkEnd w:id="91"/>
    </w:p>
    <w:p>
      <w:pPr>
        <w:pageBreakBefore w:val="0"/>
        <w:kinsoku/>
        <w:wordWrap/>
        <w:overflowPunct/>
        <w:topLinePunct w:val="0"/>
        <w:bidi w:val="0"/>
        <w:spacing w:line="588" w:lineRule="exact"/>
        <w:jc w:val="center"/>
        <w:textAlignment w:val="auto"/>
        <w:rPr>
          <w:rFonts w:ascii="Times New Roman" w:hAnsi="Times New Roman" w:eastAsia="方正小标宋简体" w:cs="方正小标宋简体"/>
          <w:caps w:val="0"/>
          <w:sz w:val="44"/>
          <w:szCs w:val="44"/>
        </w:rPr>
      </w:pPr>
    </w:p>
    <w:p>
      <w:pPr>
        <w:pageBreakBefore w:val="0"/>
        <w:kinsoku/>
        <w:wordWrap/>
        <w:overflowPunct/>
        <w:topLinePunct w:val="0"/>
        <w:bidi w:val="0"/>
        <w:spacing w:line="588" w:lineRule="exact"/>
        <w:jc w:val="center"/>
        <w:textAlignment w:val="auto"/>
        <w:rPr>
          <w:rFonts w:hint="eastAsia" w:ascii="Times New Roman" w:hAnsi="Times New Roman" w:eastAsia="方正小标宋简体"/>
          <w:caps w:val="0"/>
          <w:color w:val="000000"/>
          <w:kern w:val="0"/>
          <w:sz w:val="40"/>
          <w:szCs w:val="44"/>
          <w:lang w:val="zh-CN"/>
        </w:rPr>
      </w:pPr>
      <w:r>
        <w:rPr>
          <w:rFonts w:hint="eastAsia" w:ascii="Times New Roman" w:hAnsi="Times New Roman" w:eastAsia="方正小标宋简体"/>
          <w:caps w:val="0"/>
          <w:color w:val="000000"/>
          <w:kern w:val="0"/>
          <w:sz w:val="40"/>
          <w:szCs w:val="44"/>
          <w:lang w:eastAsia="zh-CN"/>
        </w:rPr>
        <w:t>飞龙峡镇人民政府</w:t>
      </w:r>
      <w:r>
        <w:rPr>
          <w:rFonts w:ascii="Times New Roman" w:hAnsi="Times New Roman" w:eastAsia="方正小标宋简体"/>
          <w:caps w:val="0"/>
          <w:color w:val="000000"/>
          <w:kern w:val="0"/>
          <w:sz w:val="40"/>
          <w:szCs w:val="44"/>
        </w:rPr>
        <w:t>2020</w:t>
      </w:r>
      <w:r>
        <w:rPr>
          <w:rFonts w:hint="eastAsia" w:ascii="Times New Roman" w:hAnsi="Times New Roman" w:eastAsia="方正小标宋简体"/>
          <w:caps w:val="0"/>
          <w:color w:val="000000"/>
          <w:kern w:val="0"/>
          <w:sz w:val="40"/>
          <w:szCs w:val="44"/>
        </w:rPr>
        <w:t>年部门</w:t>
      </w:r>
      <w:r>
        <w:rPr>
          <w:rFonts w:hint="eastAsia" w:ascii="Times New Roman" w:hAnsi="Times New Roman" w:eastAsia="方正小标宋简体"/>
          <w:caps w:val="0"/>
          <w:color w:val="000000"/>
          <w:kern w:val="0"/>
          <w:sz w:val="40"/>
          <w:szCs w:val="44"/>
          <w:lang w:val="zh-CN"/>
        </w:rPr>
        <w:t>整体支出</w:t>
      </w:r>
    </w:p>
    <w:p>
      <w:pPr>
        <w:pageBreakBefore w:val="0"/>
        <w:kinsoku/>
        <w:wordWrap/>
        <w:overflowPunct/>
        <w:topLinePunct w:val="0"/>
        <w:bidi w:val="0"/>
        <w:spacing w:line="588" w:lineRule="exact"/>
        <w:jc w:val="center"/>
        <w:textAlignment w:val="auto"/>
        <w:rPr>
          <w:rFonts w:ascii="Times New Roman" w:hAnsi="Times New Roman" w:eastAsia="方正小标宋简体"/>
          <w:caps w:val="0"/>
          <w:color w:val="000000"/>
          <w:kern w:val="0"/>
          <w:sz w:val="40"/>
          <w:szCs w:val="44"/>
          <w:lang w:val="zh-CN"/>
        </w:rPr>
      </w:pPr>
      <w:r>
        <w:rPr>
          <w:rFonts w:hint="eastAsia" w:ascii="Times New Roman" w:hAnsi="Times New Roman" w:eastAsia="方正小标宋简体"/>
          <w:caps w:val="0"/>
          <w:color w:val="000000"/>
          <w:kern w:val="0"/>
          <w:sz w:val="40"/>
          <w:szCs w:val="44"/>
          <w:lang w:val="zh-CN"/>
        </w:rPr>
        <w:t>绩效评价报告</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center"/>
        <w:textAlignment w:val="auto"/>
        <w:rPr>
          <w:rFonts w:ascii="Times New Roman" w:hAnsi="Times New Roman" w:eastAsia="黑体" w:cs="宋体"/>
          <w:caps w:val="0"/>
          <w:color w:val="000000"/>
          <w:kern w:val="0"/>
          <w:sz w:val="24"/>
          <w:szCs w:val="32"/>
          <w:shd w:val="clear" w:color="auto" w:fill="FFFFFF"/>
        </w:rPr>
      </w:pPr>
      <w:r>
        <w:rPr>
          <w:rFonts w:hint="eastAsia" w:ascii="Times New Roman" w:hAnsi="Times New Roman" w:cs="宋体"/>
          <w:caps w:val="0"/>
          <w:color w:val="000000"/>
          <w:kern w:val="0"/>
          <w:szCs w:val="32"/>
          <w:shd w:val="clear" w:color="auto" w:fill="FFFFFF"/>
          <w:lang w:val="zh-CN"/>
        </w:rPr>
        <w:t>（报告范围包括机关和下属单位）</w:t>
      </w:r>
    </w:p>
    <w:p>
      <w:pPr>
        <w:pageBreakBefore w:val="0"/>
        <w:widowControl/>
        <w:kinsoku/>
        <w:wordWrap/>
        <w:overflowPunct/>
        <w:topLinePunct w:val="0"/>
        <w:bidi w:val="0"/>
        <w:adjustRightInd w:val="0"/>
        <w:snapToGrid w:val="0"/>
        <w:spacing w:line="588" w:lineRule="exact"/>
        <w:ind w:firstLine="640" w:firstLineChars="200"/>
        <w:contextualSpacing/>
        <w:jc w:val="left"/>
        <w:textAlignment w:val="auto"/>
        <w:rPr>
          <w:rFonts w:ascii="Times New Roman" w:hAnsi="Times New Roman" w:eastAsia="黑体" w:cs="宋体"/>
          <w:caps w:val="0"/>
          <w:color w:val="000000"/>
          <w:kern w:val="0"/>
          <w:szCs w:val="32"/>
          <w:shd w:val="clear" w:color="auto" w:fill="FFFFFF"/>
          <w:lang w:val="zh-CN"/>
        </w:rPr>
      </w:pPr>
      <w:r>
        <w:rPr>
          <w:rFonts w:hint="eastAsia" w:ascii="Times New Roman" w:hAnsi="Times New Roman" w:eastAsia="黑体" w:cs="宋体"/>
          <w:caps w:val="0"/>
          <w:color w:val="000000"/>
          <w:kern w:val="0"/>
          <w:szCs w:val="32"/>
          <w:shd w:val="clear" w:color="auto" w:fill="FFFFFF"/>
        </w:rPr>
        <w:t>一、</w:t>
      </w:r>
      <w:r>
        <w:rPr>
          <w:rFonts w:hint="eastAsia" w:ascii="Times New Roman" w:hAnsi="Times New Roman" w:eastAsia="黑体" w:cs="宋体"/>
          <w:caps w:val="0"/>
          <w:color w:val="000000"/>
          <w:kern w:val="0"/>
          <w:szCs w:val="32"/>
          <w:shd w:val="clear" w:color="auto" w:fill="FFFFFF"/>
          <w:lang w:val="zh-CN"/>
        </w:rPr>
        <w:t>部门（单位）概况</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（一）机构组成</w:t>
      </w:r>
    </w:p>
    <w:p>
      <w:pPr>
        <w:keepNext/>
        <w:keepLines w:val="0"/>
        <w:pageBreakBefore w:val="0"/>
        <w:widowControl w:val="0"/>
        <w:kinsoku/>
        <w:wordWrap/>
        <w:overflowPunct/>
        <w:topLinePunct w:val="0"/>
        <w:autoSpaceDE/>
        <w:autoSpaceDN/>
        <w:bidi w:val="0"/>
        <w:adjustRightInd w:val="0"/>
        <w:snapToGrid w:val="0"/>
        <w:spacing w:line="592" w:lineRule="exact"/>
        <w:ind w:firstLine="640" w:firstLineChars="200"/>
        <w:contextualSpacing/>
        <w:jc w:val="left"/>
        <w:textAlignment w:val="auto"/>
        <w:rPr>
          <w:rFonts w:hint="eastAsia" w:ascii="Times New Roman" w:hAnsi="Times New Roman"/>
          <w:caps w:val="0"/>
          <w:color w:val="000000" w:themeColor="text1"/>
          <w:lang w:val="en-US" w:eastAsia="zh-CN"/>
          <w14:textFill>
            <w14:solidFill>
              <w14:schemeClr w14:val="tx1"/>
            </w14:solidFill>
          </w14:textFill>
        </w:rPr>
      </w:pPr>
      <w:r>
        <w:rPr>
          <w:rFonts w:hint="eastAsia" w:ascii="Times New Roman" w:hAnsi="Times New Roman"/>
          <w:caps w:val="0"/>
          <w:color w:val="000000" w:themeColor="text1"/>
          <w:lang w:val="en-US" w:eastAsia="zh-CN"/>
          <w14:textFill>
            <w14:solidFill>
              <w14:schemeClr w14:val="tx1"/>
            </w14:solidFill>
          </w14:textFill>
        </w:rPr>
        <w:t>飞龙峡镇人民政府，行政单位1个，下属事业单位4个，主要包括：便民服务中心、农业综合服务中心、村镇建设综合服务中心、文化旅游服务中心</w:t>
      </w:r>
      <w:r>
        <w:rPr>
          <w:rFonts w:hint="eastAsia"/>
          <w:caps w:val="0"/>
          <w:color w:val="000000" w:themeColor="text1"/>
          <w:lang w:val="en-US" w:eastAsia="zh-CN"/>
          <w14:textFill>
            <w14:solidFill>
              <w14:schemeClr w14:val="tx1"/>
            </w14:solidFill>
          </w14:textFill>
        </w:rPr>
        <w:t>。</w:t>
      </w:r>
      <w:r>
        <w:rPr>
          <w:rFonts w:hint="eastAsia" w:ascii="Times New Roman" w:hAnsi="Times New Roman"/>
          <w:caps w:val="0"/>
          <w:color w:val="000000" w:themeColor="text1"/>
          <w:lang w:val="en-US" w:eastAsia="zh-CN"/>
          <w14:textFill>
            <w14:solidFill>
              <w14:schemeClr w14:val="tx1"/>
            </w14:solidFill>
          </w14:textFill>
        </w:rPr>
        <w:t>内设机构为：党政办公室（党建办公室）、 财政所</w:t>
      </w:r>
      <w:r>
        <w:rPr>
          <w:rFonts w:hint="eastAsia"/>
          <w:caps w:val="0"/>
          <w:color w:val="000000" w:themeColor="text1"/>
          <w:lang w:val="en-US" w:eastAsia="zh-CN"/>
          <w14:textFill>
            <w14:solidFill>
              <w14:schemeClr w14:val="tx1"/>
            </w14:solidFill>
          </w14:textFill>
        </w:rPr>
        <w:t>、</w:t>
      </w:r>
      <w:r>
        <w:rPr>
          <w:rFonts w:hint="eastAsia" w:ascii="Times New Roman" w:hAnsi="Times New Roman"/>
          <w:caps w:val="0"/>
          <w:color w:val="000000" w:themeColor="text1"/>
          <w:lang w:val="en-US" w:eastAsia="zh-CN"/>
          <w14:textFill>
            <w14:solidFill>
              <w14:schemeClr w14:val="tx1"/>
            </w14:solidFill>
          </w14:textFill>
        </w:rPr>
        <w:t>综合行政执法办公室 、社会事务管理办公室 、经济发展办公室、社会治理办公室 （应急管理办公室）</w:t>
      </w:r>
    </w:p>
    <w:p>
      <w:pPr>
        <w:keepNext/>
        <w:keepLines w:val="0"/>
        <w:pageBreakBefore w:val="0"/>
        <w:widowControl w:val="0"/>
        <w:kinsoku/>
        <w:wordWrap/>
        <w:overflowPunct/>
        <w:topLinePunct w:val="0"/>
        <w:autoSpaceDE/>
        <w:autoSpaceDN/>
        <w:bidi w:val="0"/>
        <w:adjustRightInd w:val="0"/>
        <w:snapToGrid w:val="0"/>
        <w:spacing w:line="592"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cs="宋体"/>
          <w:caps w:val="0"/>
          <w:color w:val="000000"/>
          <w:kern w:val="0"/>
          <w:szCs w:val="32"/>
          <w:shd w:val="clear" w:color="auto" w:fill="FFFFFF"/>
          <w:lang w:val="zh-CN"/>
        </w:rPr>
        <w:t>（二）</w:t>
      </w:r>
      <w:r>
        <w:rPr>
          <w:rFonts w:hint="eastAsia" w:ascii="Times New Roman" w:hAnsi="Times New Roman" w:cs="宋体"/>
          <w:caps w:val="0"/>
          <w:color w:val="000000"/>
          <w:kern w:val="0"/>
          <w:szCs w:val="32"/>
          <w:shd w:val="clear" w:color="auto" w:fill="FFFFFF"/>
          <w:lang w:val="zh-CN"/>
        </w:rPr>
        <w:t>机构职能</w:t>
      </w:r>
    </w:p>
    <w:p>
      <w:pPr>
        <w:keepNext w:val="0"/>
        <w:keepLines/>
        <w:pageBreakBefore w:val="0"/>
        <w:widowControl w:val="0"/>
        <w:kinsoku/>
        <w:wordWrap/>
        <w:overflowPunct/>
        <w:topLinePunct w:val="0"/>
        <w:autoSpaceDE/>
        <w:autoSpaceDN/>
        <w:bidi w:val="0"/>
        <w:adjustRightInd/>
        <w:snapToGrid/>
        <w:spacing w:line="592" w:lineRule="exact"/>
        <w:ind w:firstLine="640" w:firstLineChars="200"/>
        <w:textAlignment w:val="auto"/>
        <w:rPr>
          <w:lang w:val="zh-CN"/>
        </w:rPr>
      </w:pPr>
      <w:r>
        <w:rPr>
          <w:rFonts w:hint="eastAsia" w:ascii="Times New Roman" w:hAnsi="Times New Roman"/>
          <w:caps w:val="0"/>
          <w:color w:val="000000" w:themeColor="text1"/>
          <w14:textFill>
            <w14:solidFill>
              <w14:schemeClr w14:val="tx1"/>
            </w14:solidFill>
          </w14:textFill>
        </w:rPr>
        <w:t>自流井区飞龙峡镇人民政府贯彻执行上级国家行政机关的决定、命令和国家制定的法令、法规，接受同级党委的领导，执行本级人民代表大会的各项决议，并报告执行决议、决定和命令的情况。并落实本行政区域的经济计划和措施，促进产业结构调整及其他经济保持平衡协调发展，全面提高人民群众的生活水平和生活质量。</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cs="宋体"/>
          <w:caps w:val="0"/>
          <w:color w:val="000000"/>
          <w:kern w:val="0"/>
          <w:szCs w:val="32"/>
          <w:shd w:val="clear" w:color="auto" w:fill="FFFFFF"/>
          <w:lang w:val="zh-CN"/>
        </w:rPr>
        <w:t>（三）</w:t>
      </w:r>
      <w:r>
        <w:rPr>
          <w:rFonts w:hint="eastAsia" w:ascii="Times New Roman" w:hAnsi="Times New Roman" w:cs="宋体"/>
          <w:caps w:val="0"/>
          <w:color w:val="000000"/>
          <w:kern w:val="0"/>
          <w:szCs w:val="32"/>
          <w:shd w:val="clear" w:color="auto" w:fill="FFFFFF"/>
          <w:lang w:val="zh-CN"/>
        </w:rPr>
        <w:t>人员概况</w:t>
      </w:r>
    </w:p>
    <w:p>
      <w:pPr>
        <w:pStyle w:val="16"/>
        <w:numPr>
          <w:ilvl w:val="0"/>
          <w:numId w:val="0"/>
        </w:numPr>
        <w:ind w:firstLine="640" w:firstLineChars="200"/>
        <w:rPr>
          <w:lang w:val="zh-CN"/>
        </w:rPr>
      </w:pPr>
      <w:r>
        <w:rPr>
          <w:rFonts w:hint="eastAsia" w:ascii="Times New Roman" w:hAnsi="Times New Roman" w:eastAsia="仿宋_GB2312" w:cs="Times New Roman"/>
          <w:caps w:val="0"/>
          <w:color w:val="000000" w:themeColor="text1"/>
          <w:kern w:val="2"/>
          <w:sz w:val="32"/>
          <w:szCs w:val="24"/>
          <w:lang w:val="en-US" w:eastAsia="zh-CN" w:bidi="ar-SA"/>
          <w14:textFill>
            <w14:solidFill>
              <w14:schemeClr w14:val="tx1"/>
            </w14:solidFill>
          </w14:textFill>
        </w:rPr>
        <w:t>飞龙峡镇人民政府，行政单位1个，核定行政编制数20人，在编在岗20人（含借调3人）；下属事业单位4个，核定事业编制数21人，在编在岗18人（含借调人员2人）。</w:t>
      </w:r>
    </w:p>
    <w:p>
      <w:pPr>
        <w:pageBreakBefore w:val="0"/>
        <w:widowControl/>
        <w:kinsoku/>
        <w:wordWrap/>
        <w:overflowPunct/>
        <w:topLinePunct w:val="0"/>
        <w:bidi w:val="0"/>
        <w:adjustRightInd w:val="0"/>
        <w:snapToGrid w:val="0"/>
        <w:spacing w:line="588" w:lineRule="exact"/>
        <w:ind w:firstLine="640" w:firstLineChars="200"/>
        <w:contextualSpacing/>
        <w:jc w:val="left"/>
        <w:textAlignment w:val="auto"/>
        <w:rPr>
          <w:rFonts w:ascii="Times New Roman" w:hAnsi="Times New Roman" w:eastAsia="黑体" w:cs="宋体"/>
          <w:caps w:val="0"/>
          <w:color w:val="000000"/>
          <w:kern w:val="0"/>
          <w:szCs w:val="32"/>
          <w:shd w:val="clear" w:color="auto" w:fill="FFFFFF"/>
        </w:rPr>
      </w:pPr>
      <w:r>
        <w:rPr>
          <w:rFonts w:hint="eastAsia" w:ascii="Times New Roman" w:hAnsi="Times New Roman" w:eastAsia="黑体" w:cs="宋体"/>
          <w:caps w:val="0"/>
          <w:color w:val="000000"/>
          <w:kern w:val="0"/>
          <w:szCs w:val="32"/>
          <w:shd w:val="clear" w:color="auto" w:fill="FFFFFF"/>
        </w:rPr>
        <w:t>二、部门财政资金收支情况</w:t>
      </w:r>
    </w:p>
    <w:p>
      <w:pPr>
        <w:pageBreakBefore w:val="0"/>
        <w:kinsoku/>
        <w:wordWrap/>
        <w:overflowPunct/>
        <w:topLinePunct w:val="0"/>
        <w:bidi w:val="0"/>
        <w:spacing w:line="588" w:lineRule="exact"/>
        <w:ind w:firstLine="640" w:firstLineChars="200"/>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（一）部门财政资金收入情况。</w:t>
      </w:r>
    </w:p>
    <w:p>
      <w:pPr>
        <w:pageBreakBefore w:val="0"/>
        <w:kinsoku/>
        <w:wordWrap/>
        <w:overflowPunct/>
        <w:topLinePunct w:val="0"/>
        <w:bidi w:val="0"/>
        <w:spacing w:line="588" w:lineRule="exact"/>
        <w:ind w:firstLine="640" w:firstLineChars="200"/>
        <w:textAlignment w:val="auto"/>
        <w:rPr>
          <w:rFonts w:hint="eastAsia" w:ascii="Times New Roman" w:hAnsi="Times New Roman" w:cs="宋体"/>
          <w:caps w:val="0"/>
          <w:color w:val="000000"/>
          <w:kern w:val="0"/>
          <w:szCs w:val="32"/>
          <w:shd w:val="clear" w:color="auto" w:fill="FFFFFF"/>
          <w:lang w:val="zh-CN"/>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年本年收入合计</w:t>
      </w:r>
      <w:r>
        <w:rPr>
          <w:rFonts w:ascii="Times New Roman" w:hAnsi="Times New Roman" w:eastAsia="仿宋"/>
          <w:caps w:val="0"/>
          <w:color w:val="000000" w:themeColor="text1"/>
          <w:szCs w:val="32"/>
          <w14:textFill>
            <w14:solidFill>
              <w14:schemeClr w14:val="tx1"/>
            </w14:solidFill>
          </w14:textFill>
        </w:rPr>
        <w:t>1920.85</w:t>
      </w:r>
      <w:r>
        <w:rPr>
          <w:rFonts w:hint="eastAsia" w:ascii="Times New Roman" w:hAnsi="Times New Roman" w:eastAsia="仿宋"/>
          <w:caps w:val="0"/>
          <w:color w:val="000000" w:themeColor="text1"/>
          <w:szCs w:val="32"/>
          <w14:textFill>
            <w14:solidFill>
              <w14:schemeClr w14:val="tx1"/>
            </w14:solidFill>
          </w14:textFill>
        </w:rPr>
        <w:t>万元，其中：一般公共预算财政拨款收入</w:t>
      </w:r>
      <w:r>
        <w:rPr>
          <w:rFonts w:ascii="Times New Roman" w:hAnsi="Times New Roman" w:eastAsia="仿宋"/>
          <w:caps w:val="0"/>
          <w:color w:val="000000" w:themeColor="text1"/>
          <w:szCs w:val="32"/>
          <w14:textFill>
            <w14:solidFill>
              <w14:schemeClr w14:val="tx1"/>
            </w14:solidFill>
          </w14:textFill>
        </w:rPr>
        <w:t>1845.51</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96.08%</w:t>
      </w:r>
      <w:r>
        <w:rPr>
          <w:rFonts w:hint="eastAsia" w:ascii="Times New Roman" w:hAnsi="Times New Roman" w:eastAsia="仿宋"/>
          <w:caps w:val="0"/>
          <w:color w:val="000000" w:themeColor="text1"/>
          <w:szCs w:val="32"/>
          <w14:textFill>
            <w14:solidFill>
              <w14:schemeClr w14:val="tx1"/>
            </w14:solidFill>
          </w14:textFill>
        </w:rPr>
        <w:t>；政府性基金预算财政拨款收入</w:t>
      </w:r>
      <w:r>
        <w:rPr>
          <w:rFonts w:ascii="Times New Roman" w:hAnsi="Times New Roman" w:eastAsia="仿宋"/>
          <w:caps w:val="0"/>
          <w:color w:val="000000" w:themeColor="text1"/>
          <w:szCs w:val="32"/>
          <w14:textFill>
            <w14:solidFill>
              <w14:schemeClr w14:val="tx1"/>
            </w14:solidFill>
          </w14:textFill>
        </w:rPr>
        <w:t>75.34</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3.92%</w:t>
      </w:r>
      <w:r>
        <w:rPr>
          <w:rFonts w:hint="eastAsia" w:ascii="Times New Roman" w:hAnsi="Times New Roman" w:eastAsia="仿宋"/>
          <w:caps w:val="0"/>
          <w:color w:val="000000" w:themeColor="text1"/>
          <w:szCs w:val="32"/>
          <w14:textFill>
            <w14:solidFill>
              <w14:schemeClr w14:val="tx1"/>
            </w14:solidFill>
          </w14:textFill>
        </w:rPr>
        <w:t>。</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（二）部门财政资金支出情况。</w:t>
      </w:r>
    </w:p>
    <w:p>
      <w:pPr>
        <w:pageBreakBefore w:val="0"/>
        <w:kinsoku/>
        <w:wordWrap/>
        <w:overflowPunct/>
        <w:topLinePunct w:val="0"/>
        <w:bidi w:val="0"/>
        <w:spacing w:line="588" w:lineRule="exact"/>
        <w:ind w:firstLine="640" w:firstLineChars="200"/>
        <w:textAlignment w:val="auto"/>
        <w:rPr>
          <w:rFonts w:hint="eastAsia"/>
          <w:lang w:val="zh-CN"/>
        </w:rPr>
      </w:pPr>
      <w:r>
        <w:rPr>
          <w:rFonts w:ascii="Times New Roman" w:hAnsi="Times New Roman" w:eastAsia="仿宋"/>
          <w:caps w:val="0"/>
          <w:color w:val="000000" w:themeColor="text1"/>
          <w:szCs w:val="32"/>
          <w14:textFill>
            <w14:solidFill>
              <w14:schemeClr w14:val="tx1"/>
            </w14:solidFill>
          </w14:textFill>
        </w:rPr>
        <w:t>2020</w:t>
      </w:r>
      <w:r>
        <w:rPr>
          <w:rFonts w:hint="eastAsia" w:ascii="Times New Roman" w:hAnsi="Times New Roman" w:eastAsia="仿宋"/>
          <w:caps w:val="0"/>
          <w:color w:val="000000" w:themeColor="text1"/>
          <w:szCs w:val="32"/>
          <w14:textFill>
            <w14:solidFill>
              <w14:schemeClr w14:val="tx1"/>
            </w14:solidFill>
          </w14:textFill>
        </w:rPr>
        <w:t>年本年支出合计</w:t>
      </w:r>
      <w:r>
        <w:rPr>
          <w:rFonts w:ascii="Times New Roman" w:hAnsi="Times New Roman" w:eastAsia="仿宋"/>
          <w:caps w:val="0"/>
          <w:color w:val="000000" w:themeColor="text1"/>
          <w:szCs w:val="32"/>
          <w14:textFill>
            <w14:solidFill>
              <w14:schemeClr w14:val="tx1"/>
            </w14:solidFill>
          </w14:textFill>
        </w:rPr>
        <w:t>1920.84</w:t>
      </w:r>
      <w:r>
        <w:rPr>
          <w:rFonts w:hint="eastAsia" w:ascii="Times New Roman" w:hAnsi="Times New Roman" w:eastAsia="仿宋"/>
          <w:caps w:val="0"/>
          <w:color w:val="000000" w:themeColor="text1"/>
          <w:szCs w:val="32"/>
          <w14:textFill>
            <w14:solidFill>
              <w14:schemeClr w14:val="tx1"/>
            </w14:solidFill>
          </w14:textFill>
        </w:rPr>
        <w:t>万元，其中</w:t>
      </w:r>
      <w:r>
        <w:rPr>
          <w:rFonts w:hint="eastAsia" w:eastAsia="仿宋"/>
          <w:caps w:val="0"/>
          <w:color w:val="000000" w:themeColor="text1"/>
          <w:szCs w:val="32"/>
          <w:lang w:eastAsia="zh-CN"/>
          <w14:textFill>
            <w14:solidFill>
              <w14:schemeClr w14:val="tx1"/>
            </w14:solidFill>
          </w14:textFill>
        </w:rPr>
        <w:t>：</w:t>
      </w:r>
      <w:r>
        <w:rPr>
          <w:rFonts w:hint="eastAsia" w:ascii="Times New Roman" w:hAnsi="Times New Roman" w:eastAsia="仿宋"/>
          <w:caps w:val="0"/>
          <w:color w:val="000000" w:themeColor="text1"/>
          <w:szCs w:val="32"/>
          <w14:textFill>
            <w14:solidFill>
              <w14:schemeClr w14:val="tx1"/>
            </w14:solidFill>
          </w14:textFill>
        </w:rPr>
        <w:t>基本支出</w:t>
      </w:r>
      <w:r>
        <w:rPr>
          <w:rFonts w:ascii="Times New Roman" w:hAnsi="Times New Roman" w:eastAsia="仿宋"/>
          <w:caps w:val="0"/>
          <w:color w:val="000000" w:themeColor="text1"/>
          <w:szCs w:val="32"/>
          <w14:textFill>
            <w14:solidFill>
              <w14:schemeClr w14:val="tx1"/>
            </w14:solidFill>
          </w14:textFill>
        </w:rPr>
        <w:t>1015.39</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52.86%</w:t>
      </w:r>
      <w:r>
        <w:rPr>
          <w:rFonts w:hint="eastAsia" w:ascii="Times New Roman" w:hAnsi="Times New Roman" w:eastAsia="仿宋"/>
          <w:caps w:val="0"/>
          <w:color w:val="000000" w:themeColor="text1"/>
          <w:szCs w:val="32"/>
          <w14:textFill>
            <w14:solidFill>
              <w14:schemeClr w14:val="tx1"/>
            </w14:solidFill>
          </w14:textFill>
        </w:rPr>
        <w:t>；项目支出</w:t>
      </w:r>
      <w:r>
        <w:rPr>
          <w:rFonts w:ascii="Times New Roman" w:hAnsi="Times New Roman" w:eastAsia="仿宋"/>
          <w:caps w:val="0"/>
          <w:color w:val="000000" w:themeColor="text1"/>
          <w:szCs w:val="32"/>
          <w14:textFill>
            <w14:solidFill>
              <w14:schemeClr w14:val="tx1"/>
            </w14:solidFill>
          </w14:textFill>
        </w:rPr>
        <w:t>905.45</w:t>
      </w:r>
      <w:r>
        <w:rPr>
          <w:rFonts w:hint="eastAsia" w:ascii="Times New Roman" w:hAnsi="Times New Roman" w:eastAsia="仿宋"/>
          <w:caps w:val="0"/>
          <w:color w:val="000000" w:themeColor="text1"/>
          <w:szCs w:val="32"/>
          <w14:textFill>
            <w14:solidFill>
              <w14:schemeClr w14:val="tx1"/>
            </w14:solidFill>
          </w14:textFill>
        </w:rPr>
        <w:t>万元，占</w:t>
      </w:r>
      <w:r>
        <w:rPr>
          <w:rFonts w:ascii="Times New Roman" w:hAnsi="Times New Roman" w:eastAsia="仿宋"/>
          <w:caps w:val="0"/>
          <w:color w:val="000000" w:themeColor="text1"/>
          <w:szCs w:val="32"/>
          <w14:textFill>
            <w14:solidFill>
              <w14:schemeClr w14:val="tx1"/>
            </w14:solidFill>
          </w14:textFill>
        </w:rPr>
        <w:t>47.14%</w:t>
      </w:r>
      <w:r>
        <w:rPr>
          <w:rFonts w:hint="eastAsia" w:ascii="Times New Roman" w:hAnsi="Times New Roman" w:eastAsia="仿宋"/>
          <w:caps w:val="0"/>
          <w:color w:val="000000" w:themeColor="text1"/>
          <w:szCs w:val="32"/>
          <w14:textFill>
            <w14:solidFill>
              <w14:schemeClr w14:val="tx1"/>
            </w14:solidFill>
          </w14:textFill>
        </w:rPr>
        <w:t>。</w:t>
      </w:r>
    </w:p>
    <w:p>
      <w:pPr>
        <w:pageBreakBefore w:val="0"/>
        <w:widowControl/>
        <w:kinsoku/>
        <w:wordWrap/>
        <w:overflowPunct/>
        <w:topLinePunct w:val="0"/>
        <w:bidi w:val="0"/>
        <w:adjustRightInd w:val="0"/>
        <w:snapToGrid w:val="0"/>
        <w:spacing w:line="588" w:lineRule="exact"/>
        <w:ind w:firstLine="640" w:firstLineChars="200"/>
        <w:contextualSpacing/>
        <w:jc w:val="left"/>
        <w:textAlignment w:val="auto"/>
        <w:rPr>
          <w:rFonts w:ascii="Times New Roman" w:hAnsi="Times New Roman" w:eastAsia="黑体" w:cs="宋体"/>
          <w:caps w:val="0"/>
          <w:color w:val="000000"/>
          <w:kern w:val="0"/>
          <w:szCs w:val="32"/>
          <w:shd w:val="clear" w:color="auto" w:fill="FFFFFF"/>
        </w:rPr>
      </w:pPr>
      <w:r>
        <w:rPr>
          <w:rFonts w:hint="eastAsia" w:ascii="Times New Roman" w:hAnsi="Times New Roman" w:eastAsia="黑体" w:cs="宋体"/>
          <w:caps w:val="0"/>
          <w:color w:val="000000"/>
          <w:kern w:val="0"/>
          <w:szCs w:val="32"/>
          <w:shd w:val="clear" w:color="auto" w:fill="FFFFFF"/>
        </w:rPr>
        <w:t>三、部门整体预算绩效管理情况</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（一）部门预算管理。</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 2020 年，我单位坚持以习近平新时代中国特色社会主义思想为指导，立足于区委、区政府关于全区进一步深化预算绩效管理工作，强化事中绩效监控，加快项目和资金执行进度，提高财政资金使用效益要求，根据职能职责积极谋划，以预算绩效管理事前评估、事中监控、事后评价、结果应用以及工作考核为抓手，扎实推进我单位预算绩效管理工作稳步开展。并根据我单位实际支出情况对预算资金进行调剂使用，调整支出结构，保障重点支出。</w:t>
      </w:r>
    </w:p>
    <w:p>
      <w:pPr>
        <w:pageBreakBefore w:val="0"/>
        <w:widowControl/>
        <w:kinsoku/>
        <w:wordWrap/>
        <w:overflowPunct/>
        <w:topLinePunct w:val="0"/>
        <w:bidi w:val="0"/>
        <w:adjustRightInd w:val="0"/>
        <w:snapToGrid w:val="0"/>
        <w:spacing w:line="588" w:lineRule="exact"/>
        <w:ind w:firstLine="640" w:firstLineChars="200"/>
        <w:contextualSpacing/>
        <w:jc w:val="left"/>
        <w:textAlignment w:val="auto"/>
        <w:rPr>
          <w:rFonts w:ascii="Times New Roman" w:hAnsi="Times New Roman" w:eastAsia="黑体" w:cs="宋体"/>
          <w:caps w:val="0"/>
          <w:color w:val="000000"/>
          <w:kern w:val="0"/>
          <w:szCs w:val="32"/>
          <w:shd w:val="clear" w:color="auto" w:fill="FFFFFF"/>
        </w:rPr>
      </w:pPr>
      <w:r>
        <w:rPr>
          <w:rFonts w:hint="eastAsia" w:ascii="Times New Roman" w:hAnsi="Times New Roman" w:eastAsia="黑体" w:cs="宋体"/>
          <w:caps w:val="0"/>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cs="宋体"/>
          <w:caps w:val="0"/>
          <w:color w:val="000000"/>
          <w:kern w:val="0"/>
          <w:szCs w:val="32"/>
          <w:shd w:val="clear" w:color="auto" w:fill="FFFFFF"/>
          <w:lang w:val="zh-CN"/>
        </w:rPr>
      </w:pPr>
      <w:r>
        <w:rPr>
          <w:rFonts w:hint="eastAsia" w:ascii="Times New Roman" w:hAnsi="Times New Roman" w:cs="宋体"/>
          <w:caps w:val="0"/>
          <w:color w:val="000000"/>
          <w:kern w:val="0"/>
          <w:szCs w:val="32"/>
          <w:shd w:val="clear" w:color="auto" w:fill="FFFFFF"/>
          <w:lang w:val="zh-CN"/>
        </w:rPr>
        <w:t>（一）评价结论</w:t>
      </w:r>
      <w:r>
        <w:rPr>
          <w:rFonts w:hint="eastAsia" w:cs="宋体"/>
          <w:caps w:val="0"/>
          <w:color w:val="000000"/>
          <w:kern w:val="0"/>
          <w:szCs w:val="32"/>
          <w:shd w:val="clear" w:color="auto" w:fill="FFFFFF"/>
          <w:lang w:val="zh-CN"/>
        </w:rPr>
        <w:t>：</w:t>
      </w:r>
    </w:p>
    <w:p>
      <w:pPr>
        <w:keepNext w:val="0"/>
        <w:keepLines w:val="0"/>
        <w:pageBreakBefore w:val="0"/>
        <w:widowControl/>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eastAsia="仿宋_GB2312" w:cs="宋体"/>
          <w:caps w:val="0"/>
          <w:color w:val="000000"/>
          <w:kern w:val="0"/>
          <w:sz w:val="32"/>
          <w:szCs w:val="32"/>
          <w:shd w:val="clear" w:color="auto" w:fill="FFFFFF"/>
          <w:lang w:val="zh-CN" w:eastAsia="zh-CN" w:bidi="ar-SA"/>
        </w:rPr>
        <w:t>2020 年我单位整体支出绩效自查自评结果良好，全年基本支出保证了单位的正常运转，项目支出保障了重点工作的开展。</w:t>
      </w:r>
    </w:p>
    <w:p>
      <w:pPr>
        <w:keepNext w:val="0"/>
        <w:keepLines w:val="0"/>
        <w:pageBreakBefore w:val="0"/>
        <w:widowControl/>
        <w:numPr>
          <w:ilvl w:val="0"/>
          <w:numId w:val="5"/>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pPr>
      <w:r>
        <w:rPr>
          <w:rFonts w:hint="eastAsia" w:ascii="Times New Roman" w:hAnsi="Times New Roman" w:cs="宋体"/>
          <w:caps w:val="0"/>
          <w:color w:val="000000"/>
          <w:kern w:val="0"/>
          <w:szCs w:val="32"/>
          <w:shd w:val="clear" w:color="auto" w:fill="FFFFFF"/>
          <w:lang w:val="zh-CN"/>
        </w:rPr>
        <w:t>存在问题</w:t>
      </w:r>
      <w:r>
        <w:rPr>
          <w:rFonts w:hint="eastAsia" w:cs="宋体"/>
          <w:caps w:val="0"/>
          <w:color w:val="000000"/>
          <w:kern w:val="0"/>
          <w:szCs w:val="32"/>
          <w:shd w:val="clear" w:color="auto" w:fill="FFFFFF"/>
          <w:lang w:val="zh-CN"/>
        </w:rPr>
        <w:t>：</w:t>
      </w:r>
      <w:r>
        <w:rPr>
          <w:rFonts w:hint="eastAsia" w:ascii="Times New Roman" w:hAnsi="Times New Roman" w:eastAsia="仿宋_GB2312" w:cs="宋体"/>
          <w:caps w:val="0"/>
          <w:color w:val="000000"/>
          <w:kern w:val="0"/>
          <w:sz w:val="32"/>
          <w:szCs w:val="32"/>
          <w:shd w:val="clear" w:color="auto" w:fill="FFFFFF"/>
          <w:lang w:val="zh-CN" w:eastAsia="zh-CN" w:bidi="ar-SA"/>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pPr>
      <w:r>
        <w:rPr>
          <w:rFonts w:hint="eastAsia" w:ascii="Times New Roman" w:hAnsi="Times New Roman" w:eastAsia="仿宋_GB2312" w:cs="宋体"/>
          <w:caps w:val="0"/>
          <w:color w:val="000000"/>
          <w:kern w:val="0"/>
          <w:sz w:val="32"/>
          <w:szCs w:val="32"/>
          <w:shd w:val="clear" w:color="auto" w:fill="FFFFFF"/>
          <w:lang w:val="zh-CN" w:eastAsia="zh-CN" w:bidi="ar-SA"/>
        </w:rPr>
        <w:t>一是预算编制准确性需提高。</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cs="宋体"/>
          <w:caps w:val="0"/>
          <w:color w:val="000000"/>
          <w:kern w:val="0"/>
          <w:szCs w:val="32"/>
          <w:shd w:val="clear" w:color="auto" w:fill="FFFFFF"/>
          <w:lang w:val="zh-CN"/>
        </w:rPr>
      </w:pPr>
      <w:r>
        <w:rPr>
          <w:rFonts w:hint="eastAsia" w:ascii="Times New Roman" w:hAnsi="Times New Roman" w:eastAsia="仿宋_GB2312" w:cs="宋体"/>
          <w:caps w:val="0"/>
          <w:color w:val="000000"/>
          <w:kern w:val="0"/>
          <w:sz w:val="32"/>
          <w:szCs w:val="32"/>
          <w:shd w:val="clear" w:color="auto" w:fill="FFFFFF"/>
          <w:lang w:val="zh-CN" w:eastAsia="zh-CN" w:bidi="ar-SA"/>
        </w:rPr>
        <w:t>二是部门预算执行进度需加快。</w:t>
      </w:r>
    </w:p>
    <w:p>
      <w:pPr>
        <w:keepNext w:val="0"/>
        <w:keepLines w:val="0"/>
        <w:pageBreakBefore w:val="0"/>
        <w:widowControl/>
        <w:numPr>
          <w:ilvl w:val="0"/>
          <w:numId w:val="5"/>
        </w:numPr>
        <w:kinsoku/>
        <w:wordWrap/>
        <w:overflowPunct/>
        <w:topLinePunct w:val="0"/>
        <w:autoSpaceDE/>
        <w:autoSpaceDN/>
        <w:bidi w:val="0"/>
        <w:adjustRightInd w:val="0"/>
        <w:snapToGrid w:val="0"/>
        <w:spacing w:line="540" w:lineRule="exact"/>
        <w:ind w:left="0" w:leftChars="0"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pPr>
      <w:r>
        <w:rPr>
          <w:rFonts w:hint="eastAsia" w:ascii="Times New Roman" w:hAnsi="Times New Roman" w:cs="宋体"/>
          <w:caps w:val="0"/>
          <w:color w:val="000000"/>
          <w:kern w:val="0"/>
          <w:szCs w:val="32"/>
          <w:shd w:val="clear" w:color="auto" w:fill="FFFFFF"/>
          <w:lang w:val="zh-CN"/>
        </w:rPr>
        <w:t>改进建议</w:t>
      </w:r>
      <w:r>
        <w:rPr>
          <w:rFonts w:hint="eastAsia" w:cs="宋体"/>
          <w:caps w:val="0"/>
          <w:color w:val="000000"/>
          <w:kern w:val="0"/>
          <w:szCs w:val="32"/>
          <w:shd w:val="clear" w:color="auto" w:fill="FFFFFF"/>
          <w:lang w:val="zh-CN"/>
        </w:rPr>
        <w:t>：</w:t>
      </w:r>
      <w:r>
        <w:rPr>
          <w:rFonts w:hint="eastAsia" w:ascii="Times New Roman" w:hAnsi="Times New Roman" w:eastAsia="仿宋_GB2312" w:cs="宋体"/>
          <w:caps w:val="0"/>
          <w:color w:val="000000"/>
          <w:kern w:val="0"/>
          <w:sz w:val="32"/>
          <w:szCs w:val="32"/>
          <w:shd w:val="clear" w:color="auto" w:fill="FFFFFF"/>
          <w:lang w:val="zh-CN" w:eastAsia="zh-CN" w:bidi="ar-SA"/>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pPr>
      <w:r>
        <w:rPr>
          <w:rFonts w:hint="eastAsia" w:ascii="Times New Roman" w:hAnsi="Times New Roman" w:eastAsia="仿宋_GB2312" w:cs="宋体"/>
          <w:caps w:val="0"/>
          <w:color w:val="000000"/>
          <w:kern w:val="0"/>
          <w:sz w:val="32"/>
          <w:szCs w:val="32"/>
          <w:shd w:val="clear" w:color="auto" w:fill="FFFFFF"/>
          <w:lang w:val="zh-CN" w:eastAsia="zh-CN" w:bidi="ar-SA"/>
        </w:rPr>
        <w:t>做好绩效运行监控，加强项目实施过程控制，及时了解预算执行差异，相应进行警示纠偏、督促进度、对预计当年项目支出无法执行、绩效目标无法实现的资金，及时进行预算调整，切实加快项目预算执行进度，减少结余注销资金量，提高财政资金的使用效益。</w:t>
      </w:r>
      <w:bookmarkStart w:id="92" w:name="_Toc11602"/>
    </w:p>
    <w:p>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contextualSpacing/>
        <w:jc w:val="left"/>
        <w:textAlignment w:val="auto"/>
        <w:rPr>
          <w:rFonts w:hint="eastAsia" w:ascii="Times New Roman" w:hAnsi="Times New Roman" w:eastAsia="仿宋_GB2312" w:cs="宋体"/>
          <w:caps w:val="0"/>
          <w:color w:val="000000"/>
          <w:kern w:val="0"/>
          <w:sz w:val="32"/>
          <w:szCs w:val="32"/>
          <w:shd w:val="clear" w:color="auto" w:fill="FFFFFF"/>
          <w:lang w:val="zh-CN" w:eastAsia="zh-CN" w:bidi="ar-SA"/>
        </w:rPr>
        <w:sectPr>
          <w:footerReference r:id="rId5" w:type="default"/>
          <w:pgSz w:w="11906" w:h="16838"/>
          <w:pgMar w:top="2098" w:right="1474" w:bottom="1984" w:left="1587" w:header="851" w:footer="992" w:gutter="0"/>
          <w:pgNumType w:fmt="decimal"/>
          <w:cols w:space="425" w:num="1"/>
          <w:docGrid w:type="lines" w:linePitch="312" w:charSpace="0"/>
        </w:sectPr>
      </w:pPr>
      <w:r>
        <w:rPr>
          <w:rFonts w:hint="eastAsia" w:ascii="Times New Roman" w:hAnsi="Times New Roman" w:eastAsia="仿宋_GB2312" w:cs="宋体"/>
          <w:caps w:val="0"/>
          <w:color w:val="000000"/>
          <w:kern w:val="0"/>
          <w:sz w:val="32"/>
          <w:szCs w:val="32"/>
          <w:shd w:val="clear" w:color="auto" w:fill="FFFFFF"/>
          <w:lang w:val="zh-CN" w:eastAsia="zh-CN" w:bidi="ar-SA"/>
        </w:rPr>
        <w:t>       </w:t>
      </w:r>
    </w:p>
    <w:p>
      <w:pPr>
        <w:pageBreakBefore w:val="0"/>
        <w:kinsoku/>
        <w:wordWrap/>
        <w:overflowPunct/>
        <w:topLinePunct w:val="0"/>
        <w:bidi w:val="0"/>
        <w:spacing w:line="588" w:lineRule="exact"/>
        <w:textAlignment w:val="auto"/>
        <w:outlineLvl w:val="1"/>
        <w:rPr>
          <w:rFonts w:ascii="Times New Roman" w:hAnsi="Times New Roman" w:cs="仿宋_GB2312"/>
          <w:caps w:val="0"/>
          <w:szCs w:val="32"/>
        </w:rPr>
      </w:pPr>
      <w:bookmarkStart w:id="93" w:name="_Toc5060"/>
      <w:r>
        <w:rPr>
          <w:rFonts w:hint="eastAsia" w:ascii="Times New Roman" w:hAnsi="Times New Roman" w:eastAsia="黑体" w:cs="黑体"/>
          <w:caps w:val="0"/>
          <w:szCs w:val="32"/>
        </w:rPr>
        <w:t>附件</w:t>
      </w:r>
      <w:r>
        <w:rPr>
          <w:rFonts w:ascii="Times New Roman" w:hAnsi="Times New Roman" w:eastAsia="黑体" w:cs="黑体"/>
          <w:caps w:val="0"/>
          <w:szCs w:val="32"/>
        </w:rPr>
        <w:t>2</w:t>
      </w:r>
      <w:bookmarkEnd w:id="92"/>
      <w:bookmarkEnd w:id="93"/>
    </w:p>
    <w:p>
      <w:pPr>
        <w:pageBreakBefore w:val="0"/>
        <w:kinsoku/>
        <w:wordWrap/>
        <w:overflowPunct/>
        <w:topLinePunct w:val="0"/>
        <w:bidi w:val="0"/>
        <w:spacing w:line="588" w:lineRule="exact"/>
        <w:jc w:val="center"/>
        <w:textAlignment w:val="auto"/>
        <w:rPr>
          <w:rFonts w:hint="eastAsia" w:ascii="Times New Roman" w:hAnsi="Times New Roman" w:eastAsia="方正小标宋_GBK" w:cs="Times New Roman"/>
          <w:bCs/>
          <w:caps w:val="0"/>
          <w:sz w:val="44"/>
          <w:szCs w:val="44"/>
          <w:lang w:val="zh-CN" w:eastAsia="zh-CN"/>
        </w:rPr>
      </w:pPr>
      <w:r>
        <w:rPr>
          <w:rFonts w:hint="eastAsia" w:ascii="Times New Roman" w:hAnsi="Times New Roman" w:eastAsia="方正小标宋_GBK" w:cs="Times New Roman"/>
          <w:bCs/>
          <w:caps w:val="0"/>
          <w:sz w:val="44"/>
          <w:szCs w:val="44"/>
          <w:lang w:val="zh-CN" w:eastAsia="zh-CN"/>
        </w:rPr>
        <w:t>飞龙峡镇污水处理建设工程项目</w:t>
      </w:r>
    </w:p>
    <w:p>
      <w:pPr>
        <w:pageBreakBefore w:val="0"/>
        <w:kinsoku/>
        <w:wordWrap/>
        <w:overflowPunct/>
        <w:topLinePunct w:val="0"/>
        <w:bidi w:val="0"/>
        <w:spacing w:line="588" w:lineRule="exact"/>
        <w:jc w:val="center"/>
        <w:textAlignment w:val="auto"/>
        <w:rPr>
          <w:rFonts w:hint="eastAsia" w:ascii="Times New Roman" w:hAnsi="Times New Roman" w:eastAsia="方正小标宋_GBK" w:cs="Times New Roman"/>
          <w:bCs/>
          <w:caps w:val="0"/>
          <w:sz w:val="44"/>
          <w:szCs w:val="44"/>
          <w:lang w:val="zh-CN"/>
        </w:rPr>
      </w:pPr>
      <w:r>
        <w:rPr>
          <w:rFonts w:hint="eastAsia" w:ascii="Times New Roman" w:hAnsi="Times New Roman" w:eastAsia="方正小标宋_GBK" w:cs="Times New Roman"/>
          <w:bCs/>
          <w:caps w:val="0"/>
          <w:sz w:val="44"/>
          <w:szCs w:val="44"/>
          <w:lang w:val="zh-CN"/>
        </w:rPr>
        <w:t>2020年绩效评价报告</w:t>
      </w:r>
    </w:p>
    <w:p>
      <w:pPr>
        <w:pStyle w:val="2"/>
        <w:rPr>
          <w:rFonts w:hint="eastAsia"/>
          <w:lang w:val="zh-CN"/>
        </w:rPr>
      </w:pPr>
    </w:p>
    <w:p>
      <w:pPr>
        <w:adjustRightInd w:val="0"/>
        <w:snapToGrid w:val="0"/>
        <w:spacing w:line="600" w:lineRule="exact"/>
        <w:ind w:firstLine="720"/>
        <w:rPr>
          <w:rFonts w:hint="eastAsia"/>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．说明项目主管部门（单位）在该项目管理中的职能。</w:t>
      </w:r>
    </w:p>
    <w:p>
      <w:pPr>
        <w:pStyle w:val="2"/>
        <w:numPr>
          <w:ilvl w:val="0"/>
          <w:numId w:val="0"/>
        </w:numPr>
        <w:ind w:firstLine="640" w:firstLineChars="200"/>
        <w:rPr>
          <w:rFonts w:hint="eastAsia" w:ascii="仿宋_GB2312" w:hAnsi="仿宋_GB2312" w:eastAsia="仿宋_GB2312" w:cs="仿宋_GB2312"/>
          <w:kern w:val="2"/>
          <w:sz w:val="32"/>
          <w:szCs w:val="32"/>
          <w:lang w:val="zh-CN" w:eastAsia="zh-CN" w:bidi="ar-SA"/>
        </w:rPr>
      </w:pPr>
      <w:r>
        <w:rPr>
          <w:rFonts w:hint="eastAsia" w:hAnsi="仿宋_GB2312" w:cs="仿宋_GB2312"/>
          <w:kern w:val="2"/>
          <w:sz w:val="32"/>
          <w:szCs w:val="32"/>
          <w:lang w:val="zh-CN" w:eastAsia="zh-CN" w:bidi="ar-SA"/>
        </w:rPr>
        <w:t>项目业主：</w:t>
      </w:r>
      <w:r>
        <w:rPr>
          <w:rFonts w:hint="eastAsia" w:ascii="仿宋_GB2312" w:hAnsi="仿宋_GB2312" w:eastAsia="仿宋_GB2312" w:cs="仿宋_GB2312"/>
          <w:kern w:val="2"/>
          <w:sz w:val="32"/>
          <w:szCs w:val="32"/>
          <w:lang w:val="zh-CN" w:eastAsia="zh-CN" w:bidi="ar-SA"/>
        </w:rPr>
        <w:t>自贡市自流井区飞龙峡镇人民政府</w:t>
      </w:r>
      <w:r>
        <w:rPr>
          <w:rFonts w:hint="eastAsia" w:hAnsi="仿宋_GB2312" w:cs="仿宋_GB2312"/>
          <w:kern w:val="2"/>
          <w:sz w:val="32"/>
          <w:szCs w:val="32"/>
          <w:lang w:val="zh-CN" w:eastAsia="zh-CN" w:bidi="ar-SA"/>
        </w:rPr>
        <w:t>。</w:t>
      </w:r>
      <w:r>
        <w:rPr>
          <w:rFonts w:hint="eastAsia" w:ascii="仿宋_GB2312" w:hAnsi="仿宋_GB2312" w:eastAsia="仿宋_GB2312" w:cs="仿宋_GB2312"/>
          <w:kern w:val="2"/>
          <w:sz w:val="32"/>
          <w:szCs w:val="32"/>
          <w:lang w:val="zh-CN" w:eastAsia="zh-CN" w:bidi="ar-SA"/>
        </w:rPr>
        <w:t>2019年9月，四川省人民政府批准自流井区撤销撤销农团乡和漆树乡，设立飞龙峡镇，以原农团乡和原漆树乡所属行政区域为飞龙峡镇的行政区域。自贡市自流井区飞龙峡镇人民政府正式成立。</w:t>
      </w:r>
    </w:p>
    <w:p>
      <w:pPr>
        <w:pStyle w:val="2"/>
        <w:numPr>
          <w:ilvl w:val="0"/>
          <w:numId w:val="0"/>
        </w:numPr>
        <w:ind w:firstLine="640" w:firstLineChars="200"/>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飞龙峡镇辖原漆树乡辖俞冲社区、星火村、杨柳村、星星村、丁香村，原农团乡观音阁社区、红岩村、东升村、东风村、草堂村、新国村，共2社区9村。</w:t>
      </w:r>
    </w:p>
    <w:p>
      <w:pPr>
        <w:numPr>
          <w:ilvl w:val="0"/>
          <w:numId w:val="6"/>
        </w:num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项目立项、资金申报的依据。</w:t>
      </w:r>
    </w:p>
    <w:p>
      <w:pPr>
        <w:pStyle w:val="2"/>
        <w:numPr>
          <w:ilvl w:val="0"/>
          <w:numId w:val="0"/>
        </w:numPr>
        <w:ind w:firstLine="640" w:firstLineChars="200"/>
        <w:rPr>
          <w:rFonts w:hint="eastAsia" w:ascii="仿宋_GB2312" w:hAnsi="仿宋_GB2312" w:eastAsia="仿宋_GB2312" w:cs="仿宋_GB2312"/>
          <w:kern w:val="2"/>
          <w:sz w:val="32"/>
          <w:szCs w:val="32"/>
          <w:lang w:val="zh-CN" w:eastAsia="zh-CN" w:bidi="ar-SA"/>
        </w:rPr>
      </w:pPr>
      <w:r>
        <w:rPr>
          <w:rFonts w:hint="eastAsia" w:ascii="仿宋_GB2312" w:hAnsi="仿宋_GB2312" w:eastAsia="仿宋_GB2312" w:cs="仿宋_GB2312"/>
          <w:kern w:val="2"/>
          <w:sz w:val="32"/>
          <w:szCs w:val="32"/>
          <w:lang w:val="zh-CN" w:eastAsia="zh-CN" w:bidi="ar-SA"/>
        </w:rPr>
        <w:t>根据《预算法》在年初编制预算资金，按照项目内容，根据项目开展情况，合理安排资金。</w:t>
      </w:r>
    </w:p>
    <w:p>
      <w:pPr>
        <w:numPr>
          <w:ilvl w:val="0"/>
          <w:numId w:val="6"/>
        </w:numPr>
        <w:adjustRightInd w:val="0"/>
        <w:snapToGrid w:val="0"/>
        <w:spacing w:line="600" w:lineRule="exact"/>
        <w:ind w:left="0" w:leftChars="0"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资金管理办法制定情况，资金支持具体项目的条件、范围与支持方式概况。</w:t>
      </w:r>
    </w:p>
    <w:p>
      <w:pPr>
        <w:keepNext w:val="0"/>
        <w:keepLines w:val="0"/>
        <w:pageBreakBefore w:val="0"/>
        <w:kinsoku/>
        <w:wordWrap/>
        <w:overflowPunct/>
        <w:topLinePunct w:val="0"/>
        <w:autoSpaceDE/>
        <w:autoSpaceDN/>
        <w:bidi w:val="0"/>
        <w:spacing w:line="592" w:lineRule="exact"/>
        <w:ind w:firstLine="640" w:firstLineChars="200"/>
        <w:textAlignment w:val="auto"/>
        <w:rPr>
          <w:lang w:val="zh-CN"/>
        </w:rPr>
      </w:pPr>
      <w:r>
        <w:rPr>
          <w:rFonts w:hint="eastAsia" w:ascii="仿宋_GB2312" w:hAnsi="仿宋_GB2312" w:eastAsia="仿宋_GB2312" w:cs="仿宋_GB2312"/>
          <w:sz w:val="32"/>
          <w:szCs w:val="32"/>
        </w:rPr>
        <w:t>此款专款专用，</w:t>
      </w:r>
      <w:r>
        <w:rPr>
          <w:rFonts w:hint="eastAsia" w:ascii="仿宋_GB2312" w:hAnsi="仿宋_GB2312" w:cs="仿宋_GB2312"/>
          <w:sz w:val="32"/>
          <w:szCs w:val="32"/>
          <w:lang w:eastAsia="zh-CN"/>
        </w:rPr>
        <w:t>专门用于污水处理建设工程项目</w:t>
      </w:r>
      <w:r>
        <w:rPr>
          <w:rFonts w:hint="eastAsia" w:ascii="仿宋_GB2312" w:hAnsi="仿宋_GB2312" w:eastAsia="仿宋_GB2312" w:cs="仿宋_GB2312"/>
          <w:sz w:val="32"/>
          <w:szCs w:val="32"/>
        </w:rPr>
        <w:t>。</w:t>
      </w:r>
    </w:p>
    <w:p>
      <w:pPr>
        <w:numPr>
          <w:ilvl w:val="0"/>
          <w:numId w:val="6"/>
        </w:numPr>
        <w:adjustRightInd w:val="0"/>
        <w:snapToGrid w:val="0"/>
        <w:spacing w:line="600" w:lineRule="exact"/>
        <w:ind w:left="0" w:leftChars="0" w:firstLine="720" w:firstLineChars="0"/>
        <w:rPr>
          <w:rFonts w:hint="eastAsia" w:ascii="仿宋_GB2312" w:hAnsi="宋体" w:eastAsia="仿宋_GB2312"/>
          <w:sz w:val="32"/>
          <w:szCs w:val="32"/>
          <w:lang w:val="zh-CN"/>
        </w:rPr>
      </w:pPr>
      <w:r>
        <w:rPr>
          <w:rFonts w:hint="eastAsia" w:ascii="仿宋_GB2312" w:hAnsi="宋体" w:eastAsia="仿宋_GB2312"/>
          <w:sz w:val="32"/>
          <w:szCs w:val="32"/>
          <w:lang w:val="zh-CN"/>
        </w:rPr>
        <w:t>资金分配的原则及考虑因素。</w:t>
      </w:r>
    </w:p>
    <w:p>
      <w:pPr>
        <w:keepNext w:val="0"/>
        <w:keepLines w:val="0"/>
        <w:pageBreakBefore w:val="0"/>
        <w:kinsoku/>
        <w:wordWrap/>
        <w:overflowPunct/>
        <w:topLinePunct w:val="0"/>
        <w:autoSpaceDE/>
        <w:autoSpaceDN/>
        <w:bidi w:val="0"/>
        <w:spacing w:line="592" w:lineRule="exact"/>
        <w:ind w:firstLine="640" w:firstLineChars="200"/>
        <w:textAlignment w:val="auto"/>
        <w:rPr>
          <w:lang w:val="zh-CN"/>
        </w:rPr>
      </w:pPr>
      <w:r>
        <w:rPr>
          <w:rFonts w:hint="eastAsia" w:ascii="仿宋_GB2312" w:hAnsi="宋体"/>
          <w:sz w:val="32"/>
          <w:szCs w:val="32"/>
          <w:lang w:val="zh-CN"/>
        </w:rPr>
        <w:t>根据《预算法》在年初编制预算资金</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2020年</w:t>
      </w:r>
      <w:r>
        <w:rPr>
          <w:rFonts w:hint="eastAsia" w:ascii="仿宋_GB2312" w:hAnsi="仿宋_GB2312" w:cs="仿宋_GB2312"/>
          <w:sz w:val="32"/>
          <w:szCs w:val="32"/>
          <w:lang w:eastAsia="zh-CN"/>
        </w:rPr>
        <w:t>污水处理建设工程487.5</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hint="eastAsia" w:ascii="仿宋_GB2312" w:hAnsi="宋体" w:eastAsia="仿宋_GB2312"/>
          <w:sz w:val="32"/>
          <w:szCs w:val="32"/>
          <w:lang w:val="zh-CN"/>
        </w:rPr>
      </w:pPr>
      <w:r>
        <w:rPr>
          <w:rFonts w:ascii="仿宋_GB2312" w:hAnsi="宋体" w:eastAsia="仿宋_GB2312"/>
          <w:sz w:val="32"/>
          <w:szCs w:val="32"/>
          <w:lang w:val="zh-CN"/>
        </w:rPr>
        <w:t>1</w:t>
      </w:r>
      <w:r>
        <w:rPr>
          <w:rFonts w:hint="eastAsia" w:ascii="仿宋_GB2312" w:hAnsi="宋体" w:eastAsia="仿宋_GB2312"/>
          <w:sz w:val="32"/>
          <w:szCs w:val="32"/>
          <w:lang w:val="zh-CN"/>
        </w:rPr>
        <w:t>．项目主要内容。</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完善</w:t>
      </w:r>
      <w:r>
        <w:rPr>
          <w:rFonts w:hint="eastAsia" w:ascii="仿宋_GB2312" w:hAnsi="宋体" w:eastAsia="仿宋_GB2312"/>
          <w:sz w:val="32"/>
          <w:szCs w:val="32"/>
          <w:lang w:val="zh-CN" w:eastAsia="zh-CN"/>
        </w:rPr>
        <w:t>自贡市自流井区飞龙峡镇丁香村、星星村、杨柳村和俞冲场镇</w:t>
      </w:r>
      <w:r>
        <w:rPr>
          <w:rFonts w:hint="eastAsia" w:ascii="仿宋_GB2312" w:hAnsi="宋体" w:eastAsia="仿宋_GB2312"/>
          <w:sz w:val="32"/>
          <w:szCs w:val="32"/>
          <w:lang w:val="zh-CN"/>
        </w:rPr>
        <w:t>3个农村居民聚居点污水处理设施，防止污水散排或者经零星收集的污水就近排入自然水体，致使水体严重污染；解决卫生条件恶化，形象和投资环境受损的问题，为树立文明、整洁、现代化的场镇形象打下良好的基础。</w:t>
      </w:r>
    </w:p>
    <w:p>
      <w:pPr>
        <w:numPr>
          <w:ilvl w:val="0"/>
          <w:numId w:val="7"/>
        </w:numPr>
        <w:adjustRightInd w:val="0"/>
        <w:snapToGrid w:val="0"/>
        <w:spacing w:line="600" w:lineRule="exact"/>
        <w:ind w:firstLine="720"/>
        <w:rPr>
          <w:rFonts w:hint="default" w:eastAsia="仿宋_GB2312"/>
          <w:lang w:val="en-US" w:eastAsia="zh-CN"/>
        </w:rPr>
      </w:pPr>
      <w:r>
        <w:rPr>
          <w:rFonts w:hint="eastAsia" w:ascii="仿宋_GB2312" w:hAnsi="宋体" w:eastAsia="仿宋_GB2312"/>
          <w:sz w:val="32"/>
          <w:szCs w:val="32"/>
          <w:lang w:val="zh-CN"/>
        </w:rPr>
        <w:t>项目应实现的具体绩效目标，包括目标的量化、细化情况以及项目实施进度计划等。</w:t>
      </w:r>
    </w:p>
    <w:p>
      <w:pPr>
        <w:pStyle w:val="2"/>
        <w:ind w:firstLine="640" w:firstLineChars="200"/>
        <w:rPr>
          <w:rFonts w:hint="default"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对</w:t>
      </w:r>
      <w:r>
        <w:rPr>
          <w:rFonts w:hint="eastAsia" w:hAnsi="宋体" w:cs="Times New Roman"/>
          <w:kern w:val="2"/>
          <w:sz w:val="32"/>
          <w:szCs w:val="32"/>
          <w:lang w:val="en-US" w:eastAsia="zh-CN" w:bidi="ar-SA"/>
        </w:rPr>
        <w:t>照工程实施计划，对</w:t>
      </w:r>
      <w:r>
        <w:rPr>
          <w:rFonts w:hint="eastAsia" w:ascii="仿宋_GB2312" w:hAnsi="宋体" w:eastAsia="仿宋_GB2312" w:cs="Times New Roman"/>
          <w:kern w:val="2"/>
          <w:sz w:val="32"/>
          <w:szCs w:val="32"/>
          <w:lang w:val="en-US" w:eastAsia="zh-CN" w:bidi="ar-SA"/>
        </w:rPr>
        <w:t>工程项目</w:t>
      </w:r>
      <w:r>
        <w:rPr>
          <w:rFonts w:hint="eastAsia" w:hAnsi="宋体" w:cs="Times New Roman"/>
          <w:kern w:val="2"/>
          <w:sz w:val="32"/>
          <w:szCs w:val="32"/>
          <w:lang w:val="en-US" w:eastAsia="zh-CN" w:bidi="ar-SA"/>
        </w:rPr>
        <w:t>施工</w:t>
      </w:r>
      <w:r>
        <w:rPr>
          <w:rFonts w:hint="eastAsia" w:ascii="仿宋_GB2312" w:hAnsi="宋体" w:eastAsia="仿宋_GB2312" w:cs="Times New Roman"/>
          <w:kern w:val="2"/>
          <w:sz w:val="32"/>
          <w:szCs w:val="32"/>
          <w:lang w:val="en-US" w:eastAsia="zh-CN" w:bidi="ar-SA"/>
        </w:rPr>
        <w:t>进度定期检查，对工程完工质量进行验收。</w:t>
      </w:r>
    </w:p>
    <w:p>
      <w:pPr>
        <w:numPr>
          <w:ilvl w:val="0"/>
          <w:numId w:val="7"/>
        </w:numPr>
        <w:adjustRightInd w:val="0"/>
        <w:snapToGrid w:val="0"/>
        <w:spacing w:line="600" w:lineRule="exact"/>
        <w:ind w:left="0" w:leftChars="0" w:firstLine="720" w:firstLineChars="0"/>
        <w:rPr>
          <w:lang w:val="zh-CN"/>
        </w:rPr>
      </w:pPr>
      <w:r>
        <w:rPr>
          <w:rFonts w:hint="eastAsia" w:ascii="仿宋_GB2312" w:hAnsi="宋体" w:eastAsia="仿宋_GB2312"/>
          <w:sz w:val="32"/>
          <w:szCs w:val="32"/>
          <w:lang w:val="zh-CN"/>
        </w:rPr>
        <w:t>分析评价申报内容是否与实际相符，申报目标是否合理可行。</w:t>
      </w:r>
    </w:p>
    <w:p>
      <w:pPr>
        <w:numPr>
          <w:ilvl w:val="0"/>
          <w:numId w:val="0"/>
        </w:numPr>
        <w:adjustRightInd w:val="0"/>
        <w:snapToGrid w:val="0"/>
        <w:spacing w:line="600" w:lineRule="exact"/>
        <w:ind w:left="720" w:leftChars="0"/>
        <w:rPr>
          <w:lang w:val="zh-CN"/>
        </w:rPr>
      </w:pPr>
      <w:r>
        <w:rPr>
          <w:rFonts w:hint="eastAsia" w:ascii="仿宋_GB2312" w:hAnsi="宋体" w:eastAsia="仿宋_GB2312"/>
          <w:sz w:val="32"/>
          <w:szCs w:val="32"/>
          <w:lang w:val="zh-CN"/>
        </w:rPr>
        <w:t>分析评价申报内容与实际相符，申报目标合理可行。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eastAsia="仿宋_GB2312"/>
          <w:sz w:val="32"/>
          <w:szCs w:val="32"/>
          <w:lang w:val="zh-CN"/>
        </w:rPr>
        <w:t>说明项目绩效自评采用的组织实施步骤及方法。</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zh-CN"/>
        </w:rPr>
        <w:t>组织各部门通过数量指标、质量指标、成本指标、社会效益指标、群众满意度指标等各方面进行综合分析自评。</w:t>
      </w:r>
    </w:p>
    <w:p>
      <w:pPr>
        <w:numPr>
          <w:ilvl w:val="0"/>
          <w:numId w:val="8"/>
        </w:num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自评的前期准备工作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sz w:val="32"/>
          <w:szCs w:val="32"/>
          <w:lang w:val="en-US" w:eastAsia="zh-CN"/>
        </w:rPr>
      </w:pPr>
      <w:r>
        <w:rPr>
          <w:rFonts w:hint="eastAsia" w:ascii="仿宋_GB2312" w:hAnsi="宋体"/>
          <w:sz w:val="32"/>
          <w:szCs w:val="32"/>
          <w:lang w:val="en-US" w:eastAsia="zh-CN"/>
        </w:rPr>
        <w:t>制定下发自评通知，组织承担该项目的专业人员组成督导考核组，按照项目考核细则，对该项目工作进行督导考核。</w:t>
      </w:r>
    </w:p>
    <w:p>
      <w:pPr>
        <w:keepNext w:val="0"/>
        <w:keepLines w:val="0"/>
        <w:pageBreakBefore w:val="0"/>
        <w:widowControl w:val="0"/>
        <w:numPr>
          <w:ilvl w:val="0"/>
          <w:numId w:val="8"/>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仿宋_GB2312" w:hAnsi="宋体"/>
          <w:sz w:val="32"/>
          <w:szCs w:val="32"/>
          <w:lang w:val="en-US" w:eastAsia="zh-CN"/>
        </w:rPr>
      </w:pPr>
      <w:r>
        <w:rPr>
          <w:rFonts w:hint="eastAsia" w:ascii="仿宋_GB2312" w:hAnsi="宋体"/>
          <w:sz w:val="32"/>
          <w:szCs w:val="32"/>
          <w:lang w:val="en-US" w:eastAsia="zh-CN"/>
        </w:rPr>
        <w:t>自评组织过程</w:t>
      </w:r>
    </w:p>
    <w:p>
      <w:p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成立自评小组，在镇领导的指导下开展工作，主要通过查看资料、核对台账、现场考察等方式，了解掌握项目运行情况，并根据项目运行情况进行现场指导，形成自评报告。</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keepNext w:val="0"/>
        <w:keepLines w:val="0"/>
        <w:pageBreakBefore w:val="0"/>
        <w:kinsoku/>
        <w:wordWrap/>
        <w:overflowPunct/>
        <w:topLinePunct w:val="0"/>
        <w:autoSpaceDE/>
        <w:autoSpaceDN/>
        <w:bidi w:val="0"/>
        <w:spacing w:line="592" w:lineRule="exact"/>
        <w:ind w:firstLine="640" w:firstLineChars="200"/>
        <w:textAlignment w:val="auto"/>
        <w:rPr>
          <w:lang w:val="zh-CN"/>
        </w:rPr>
      </w:pPr>
      <w:r>
        <w:rPr>
          <w:rFonts w:hint="eastAsia" w:hAnsi="宋体"/>
          <w:sz w:val="32"/>
          <w:szCs w:val="32"/>
          <w:lang w:val="zh-CN"/>
        </w:rPr>
        <w:t>飞龙峡镇</w:t>
      </w:r>
      <w:r>
        <w:rPr>
          <w:rFonts w:hint="eastAsia" w:ascii="仿宋_GB2312" w:hAnsi="仿宋_GB2312" w:cs="仿宋_GB2312"/>
          <w:sz w:val="32"/>
          <w:szCs w:val="32"/>
          <w:lang w:eastAsia="zh-CN"/>
        </w:rPr>
        <w:t>污水处理建设工程</w:t>
      </w:r>
      <w:r>
        <w:rPr>
          <w:rFonts w:hint="eastAsia" w:ascii="仿宋_GB2312" w:hAnsi="宋体"/>
          <w:sz w:val="32"/>
          <w:szCs w:val="32"/>
          <w:lang w:val="zh-CN"/>
        </w:rPr>
        <w:t>年初申报</w:t>
      </w:r>
      <w:r>
        <w:rPr>
          <w:rFonts w:hint="eastAsia" w:ascii="仿宋_GB2312" w:hAnsi="仿宋_GB2312" w:cs="仿宋_GB2312"/>
          <w:sz w:val="32"/>
          <w:szCs w:val="32"/>
          <w:lang w:eastAsia="zh-CN"/>
        </w:rPr>
        <w:t>487.5</w:t>
      </w:r>
      <w:r>
        <w:rPr>
          <w:rFonts w:hint="eastAsia" w:ascii="仿宋_GB2312" w:hAnsi="仿宋_GB2312" w:eastAsia="仿宋_GB2312" w:cs="仿宋_GB2312"/>
          <w:sz w:val="32"/>
          <w:szCs w:val="32"/>
          <w:lang w:val="en-US" w:eastAsia="zh-CN"/>
        </w:rPr>
        <w:t>万元</w:t>
      </w:r>
      <w:r>
        <w:rPr>
          <w:rFonts w:hint="eastAsia" w:ascii="仿宋_GB2312" w:hAnsi="宋体"/>
          <w:sz w:val="32"/>
          <w:szCs w:val="32"/>
          <w:lang w:val="en-US" w:eastAsia="zh-CN"/>
        </w:rPr>
        <w:t>，</w:t>
      </w:r>
      <w:r>
        <w:rPr>
          <w:rFonts w:hint="eastAsia" w:ascii="仿宋_GB2312" w:hAnsi="仿宋_GB2312" w:cs="仿宋_GB2312"/>
          <w:sz w:val="32"/>
          <w:szCs w:val="32"/>
          <w:lang w:val="en-US" w:eastAsia="zh-CN"/>
        </w:rPr>
        <w:t>资金使用</w:t>
      </w:r>
      <w:r>
        <w:rPr>
          <w:rFonts w:hint="eastAsia" w:ascii="仿宋_GB2312" w:hAnsi="楷体_GB2312" w:eastAsia="仿宋_GB2312" w:cs="仿宋_GB2312"/>
          <w:spacing w:val="-2"/>
          <w:sz w:val="32"/>
          <w:szCs w:val="32"/>
        </w:rPr>
        <w:t>符合资金管理办法及相关规定。</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hint="eastAsia" w:ascii="楷体_GB2312" w:hAnsi="宋体" w:eastAsia="楷体_GB2312"/>
          <w:sz w:val="32"/>
          <w:szCs w:val="32"/>
          <w:lang w:val="zh-CN"/>
        </w:rPr>
      </w:pPr>
      <w:r>
        <w:rPr>
          <w:rFonts w:ascii="楷体_GB2312" w:hAnsi="宋体" w:eastAsia="楷体_GB2312"/>
          <w:sz w:val="32"/>
          <w:szCs w:val="32"/>
          <w:lang w:val="zh-CN"/>
        </w:rPr>
        <w:t>1</w:t>
      </w:r>
      <w:r>
        <w:rPr>
          <w:rFonts w:hint="eastAsia" w:ascii="楷体_GB2312" w:hAnsi="宋体" w:eastAsia="楷体_GB2312"/>
          <w:sz w:val="32"/>
          <w:szCs w:val="32"/>
          <w:lang w:val="zh-CN"/>
        </w:rPr>
        <w:t>．资金计划。</w:t>
      </w:r>
    </w:p>
    <w:p>
      <w:pPr>
        <w:adjustRightInd w:val="0"/>
        <w:snapToGrid w:val="0"/>
        <w:spacing w:line="600" w:lineRule="exact"/>
        <w:ind w:firstLine="720"/>
        <w:rPr>
          <w:rFonts w:hint="eastAsia" w:ascii="仿宋_GB2312" w:hAnsi="宋体" w:eastAsia="仿宋_GB2312"/>
          <w:sz w:val="32"/>
          <w:szCs w:val="32"/>
          <w:lang w:val="zh-CN"/>
        </w:rPr>
      </w:pPr>
      <w:r>
        <w:rPr>
          <w:rFonts w:hint="eastAsia" w:ascii="仿宋_GB2312" w:hAnsi="宋体"/>
          <w:sz w:val="32"/>
          <w:szCs w:val="32"/>
          <w:lang w:val="en-US" w:eastAsia="zh-CN"/>
        </w:rPr>
        <w:t>2020年度飞龙峡镇</w:t>
      </w:r>
      <w:r>
        <w:rPr>
          <w:rFonts w:hint="eastAsia" w:ascii="仿宋_GB2312" w:hAnsi="楷体_GB2312" w:cs="宋体"/>
          <w:spacing w:val="-2"/>
          <w:sz w:val="32"/>
          <w:szCs w:val="32"/>
          <w:lang w:eastAsia="zh-CN"/>
        </w:rPr>
        <w:t>污水处理建设工程项目</w:t>
      </w:r>
      <w:r>
        <w:rPr>
          <w:rFonts w:hint="eastAsia" w:ascii="仿宋_GB2312" w:hAnsi="宋体"/>
          <w:sz w:val="32"/>
          <w:szCs w:val="32"/>
          <w:lang w:val="en-US" w:eastAsia="zh-CN"/>
        </w:rPr>
        <w:t>全年预算数487.5万元。</w:t>
      </w:r>
    </w:p>
    <w:p>
      <w:pPr>
        <w:numPr>
          <w:ilvl w:val="0"/>
          <w:numId w:val="9"/>
        </w:numPr>
        <w:spacing w:line="600" w:lineRule="exact"/>
        <w:ind w:firstLine="640" w:firstLineChars="200"/>
        <w:rPr>
          <w:rFonts w:hint="eastAsia" w:ascii="楷体_GB2312" w:hAnsi="宋体" w:eastAsia="楷体_GB2312"/>
          <w:sz w:val="32"/>
          <w:szCs w:val="32"/>
          <w:lang w:val="zh-CN"/>
        </w:rPr>
      </w:pPr>
      <w:r>
        <w:rPr>
          <w:rFonts w:hint="eastAsia" w:ascii="楷体_GB2312" w:hAnsi="宋体" w:eastAsia="楷体_GB2312"/>
          <w:sz w:val="32"/>
          <w:szCs w:val="32"/>
          <w:lang w:val="zh-CN"/>
        </w:rPr>
        <w:t>资金到位。</w:t>
      </w:r>
    </w:p>
    <w:p>
      <w:pPr>
        <w:numPr>
          <w:ilvl w:val="0"/>
          <w:numId w:val="0"/>
        </w:numPr>
        <w:spacing w:line="600" w:lineRule="exact"/>
        <w:ind w:firstLine="640" w:firstLineChars="200"/>
        <w:rPr>
          <w:rFonts w:hint="eastAsia" w:ascii="仿宋_GB2312" w:hAnsi="宋体" w:eastAsia="仿宋_GB2312"/>
          <w:sz w:val="32"/>
          <w:szCs w:val="32"/>
          <w:lang w:val="zh-CN"/>
        </w:rPr>
      </w:pPr>
      <w:r>
        <w:rPr>
          <w:rFonts w:hint="eastAsia" w:ascii="仿宋_GB2312" w:hAnsi="宋体"/>
          <w:sz w:val="32"/>
          <w:szCs w:val="32"/>
          <w:lang w:val="en-US" w:eastAsia="zh-CN"/>
        </w:rPr>
        <w:t>2020年度飞龙峡镇</w:t>
      </w:r>
      <w:r>
        <w:rPr>
          <w:rFonts w:hint="eastAsia" w:ascii="仿宋_GB2312" w:hAnsi="楷体_GB2312" w:cs="宋体"/>
          <w:spacing w:val="-2"/>
          <w:sz w:val="32"/>
          <w:szCs w:val="32"/>
          <w:lang w:eastAsia="zh-CN"/>
        </w:rPr>
        <w:t>污水处理建设工程项目</w:t>
      </w:r>
      <w:r>
        <w:rPr>
          <w:rFonts w:hint="eastAsia" w:ascii="仿宋_GB2312" w:hAnsi="宋体"/>
          <w:sz w:val="32"/>
          <w:szCs w:val="32"/>
          <w:lang w:val="en-US" w:eastAsia="zh-CN"/>
        </w:rPr>
        <w:t>执行数</w:t>
      </w:r>
      <w:r>
        <w:rPr>
          <w:rFonts w:hint="eastAsia" w:ascii="仿宋_GB2312" w:hAnsi="楷体_GB2312" w:cs="宋体"/>
          <w:spacing w:val="-2"/>
          <w:sz w:val="32"/>
          <w:szCs w:val="32"/>
          <w:lang w:val="en-US" w:eastAsia="zh-CN"/>
        </w:rPr>
        <w:t>3.5万元，</w:t>
      </w:r>
      <w:r>
        <w:rPr>
          <w:rFonts w:hint="eastAsia" w:ascii="仿宋_GB2312" w:hAnsi="楷体_GB2312" w:eastAsia="仿宋_GB2312" w:cs="Courier New"/>
          <w:color w:val="auto"/>
          <w:spacing w:val="-2"/>
          <w:sz w:val="32"/>
          <w:szCs w:val="32"/>
        </w:rPr>
        <w:t>完成支付</w:t>
      </w:r>
      <w:r>
        <w:rPr>
          <w:rFonts w:hint="eastAsia" w:ascii="仿宋_GB2312" w:hAnsi="宋体"/>
          <w:sz w:val="32"/>
          <w:szCs w:val="32"/>
          <w:lang w:val="en-US" w:eastAsia="zh-CN"/>
        </w:rPr>
        <w:t>3.5万元</w:t>
      </w:r>
      <w:r>
        <w:rPr>
          <w:rFonts w:hint="eastAsia" w:ascii="仿宋_GB2312" w:hAnsi="楷体_GB2312" w:eastAsia="仿宋_GB2312" w:cs="Courier New"/>
          <w:color w:val="auto"/>
          <w:spacing w:val="-2"/>
          <w:sz w:val="32"/>
          <w:szCs w:val="32"/>
        </w:rPr>
        <w:t>。</w:t>
      </w:r>
      <w:r>
        <w:rPr>
          <w:rFonts w:hint="eastAsia" w:ascii="仿宋_GB2312" w:hAnsi="宋体"/>
          <w:sz w:val="32"/>
          <w:szCs w:val="32"/>
          <w:lang w:val="en-US" w:eastAsia="zh-CN"/>
        </w:rPr>
        <w:t>2021年度飞龙峡镇</w:t>
      </w:r>
      <w:r>
        <w:rPr>
          <w:rFonts w:hint="eastAsia" w:ascii="仿宋_GB2312" w:hAnsi="楷体_GB2312" w:cs="宋体"/>
          <w:spacing w:val="-2"/>
          <w:sz w:val="32"/>
          <w:szCs w:val="32"/>
          <w:lang w:eastAsia="zh-CN"/>
        </w:rPr>
        <w:t>污水处理建设工程项目</w:t>
      </w:r>
      <w:r>
        <w:rPr>
          <w:rFonts w:hint="eastAsia" w:ascii="仿宋_GB2312" w:hAnsi="宋体"/>
          <w:sz w:val="32"/>
          <w:szCs w:val="32"/>
          <w:lang w:val="en-US" w:eastAsia="zh-CN"/>
        </w:rPr>
        <w:t>执行数97.72万元，</w:t>
      </w:r>
      <w:r>
        <w:rPr>
          <w:rFonts w:hint="eastAsia" w:ascii="仿宋_GB2312" w:hAnsi="楷体_GB2312" w:eastAsia="仿宋_GB2312" w:cs="Courier New"/>
          <w:color w:val="auto"/>
          <w:spacing w:val="-2"/>
          <w:sz w:val="32"/>
          <w:szCs w:val="32"/>
        </w:rPr>
        <w:t>完成支付</w:t>
      </w:r>
      <w:r>
        <w:rPr>
          <w:rFonts w:hint="eastAsia" w:ascii="仿宋_GB2312" w:hAnsi="宋体"/>
          <w:sz w:val="32"/>
          <w:szCs w:val="32"/>
          <w:lang w:val="en-US" w:eastAsia="zh-CN"/>
        </w:rPr>
        <w:t>97.72万元</w:t>
      </w:r>
      <w:r>
        <w:rPr>
          <w:rFonts w:hint="eastAsia" w:ascii="仿宋_GB2312" w:hAnsi="楷体_GB2312" w:eastAsia="仿宋_GB2312" w:cs="Courier New"/>
          <w:color w:val="auto"/>
          <w:spacing w:val="-2"/>
          <w:sz w:val="32"/>
          <w:szCs w:val="32"/>
        </w:rPr>
        <w:t>。</w:t>
      </w:r>
      <w:r>
        <w:rPr>
          <w:rFonts w:hint="eastAsia" w:ascii="Times New Roman" w:hAnsi="Times New Roman" w:eastAsia="仿宋_GB2312" w:cs="仿宋_GB2312"/>
          <w:color w:val="auto"/>
          <w:kern w:val="2"/>
          <w:sz w:val="32"/>
          <w:szCs w:val="24"/>
          <w:lang w:val="zh-CN" w:eastAsia="zh-CN" w:bidi="ar"/>
        </w:rPr>
        <w:t>支付依据合规合法，</w:t>
      </w:r>
      <w:r>
        <w:rPr>
          <w:rFonts w:hint="eastAsia" w:ascii="仿宋_GB2312" w:hAnsi="楷体_GB2312" w:eastAsia="仿宋_GB2312" w:cs="楷体_GB2312"/>
          <w:color w:val="auto"/>
          <w:spacing w:val="-2"/>
          <w:sz w:val="32"/>
          <w:szCs w:val="32"/>
        </w:rPr>
        <w:t>完成</w:t>
      </w:r>
      <w:r>
        <w:rPr>
          <w:rFonts w:hint="eastAsia" w:ascii="仿宋_GB2312" w:hAnsi="楷体_GB2312" w:cs="楷体_GB2312"/>
          <w:color w:val="auto"/>
          <w:spacing w:val="-2"/>
          <w:sz w:val="32"/>
          <w:szCs w:val="32"/>
          <w:lang w:eastAsia="zh-CN"/>
        </w:rPr>
        <w:t>预算</w:t>
      </w:r>
      <w:r>
        <w:rPr>
          <w:rFonts w:hint="eastAsia" w:ascii="仿宋_GB2312" w:hAnsi="楷体_GB2312" w:eastAsia="仿宋_GB2312" w:cs="楷体_GB2312"/>
          <w:color w:val="auto"/>
          <w:spacing w:val="-2"/>
          <w:sz w:val="32"/>
          <w:szCs w:val="32"/>
        </w:rPr>
        <w:t>的</w:t>
      </w:r>
      <w:r>
        <w:rPr>
          <w:rFonts w:hint="eastAsia" w:ascii="仿宋_GB2312" w:hAnsi="楷体_GB2312" w:cs="楷体_GB2312"/>
          <w:color w:val="auto"/>
          <w:spacing w:val="-2"/>
          <w:sz w:val="32"/>
          <w:szCs w:val="32"/>
          <w:lang w:val="en-US" w:eastAsia="zh-CN"/>
        </w:rPr>
        <w:t>20.76</w:t>
      </w:r>
      <w:r>
        <w:rPr>
          <w:rFonts w:hint="eastAsia" w:ascii="仿宋_GB2312" w:hAnsi="楷体_GB2312" w:eastAsia="仿宋_GB2312" w:cs="楷体_GB2312"/>
          <w:color w:val="auto"/>
          <w:spacing w:val="-2"/>
          <w:sz w:val="32"/>
          <w:szCs w:val="32"/>
        </w:rPr>
        <w:t>%。</w:t>
      </w:r>
    </w:p>
    <w:p>
      <w:pPr>
        <w:adjustRightInd w:val="0"/>
        <w:snapToGrid w:val="0"/>
        <w:spacing w:line="600" w:lineRule="exact"/>
        <w:ind w:firstLine="720"/>
        <w:rPr>
          <w:rFonts w:hint="eastAsia" w:ascii="楷体_GB2312" w:hAnsi="宋体" w:eastAsia="楷体_GB2312"/>
          <w:sz w:val="32"/>
          <w:szCs w:val="32"/>
          <w:lang w:val="zh-CN"/>
        </w:rPr>
      </w:pPr>
      <w:r>
        <w:rPr>
          <w:rFonts w:ascii="楷体_GB2312" w:hAnsi="宋体" w:eastAsia="楷体_GB2312"/>
          <w:sz w:val="32"/>
          <w:szCs w:val="32"/>
          <w:lang w:val="zh-CN"/>
        </w:rPr>
        <w:t>3</w:t>
      </w:r>
      <w:r>
        <w:rPr>
          <w:rFonts w:hint="eastAsia" w:ascii="楷体_GB2312" w:hAnsi="宋体" w:eastAsia="楷体_GB2312"/>
          <w:sz w:val="32"/>
          <w:szCs w:val="32"/>
          <w:lang w:val="zh-CN"/>
        </w:rPr>
        <w:t>．资金使用。按预算进行支付。</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spacing w:line="600" w:lineRule="exact"/>
        <w:ind w:firstLine="632" w:firstLineChars="200"/>
        <w:rPr>
          <w:rFonts w:ascii="仿宋_GB2312" w:hAnsi="楷体_GB2312" w:eastAsia="仿宋_GB2312" w:cs="宋体"/>
          <w:spacing w:val="-2"/>
          <w:sz w:val="32"/>
          <w:szCs w:val="32"/>
        </w:rPr>
      </w:pPr>
      <w:r>
        <w:rPr>
          <w:rFonts w:hint="eastAsia" w:ascii="仿宋_GB2312" w:hAnsi="楷体_GB2312" w:eastAsia="仿宋_GB2312" w:cs="宋体"/>
          <w:spacing w:val="-2"/>
          <w:sz w:val="32"/>
          <w:szCs w:val="32"/>
        </w:rPr>
        <w:t>此款专款专用，</w:t>
      </w:r>
      <w:r>
        <w:rPr>
          <w:rFonts w:hint="eastAsia" w:ascii="仿宋_GB2312" w:hAnsi="楷体_GB2312" w:cs="宋体"/>
          <w:spacing w:val="-2"/>
          <w:sz w:val="32"/>
          <w:szCs w:val="32"/>
          <w:lang w:eastAsia="zh-CN"/>
        </w:rPr>
        <w:t>用于污水处理建设工程项目，</w:t>
      </w:r>
      <w:r>
        <w:rPr>
          <w:rFonts w:hint="eastAsia" w:ascii="仿宋_GB2312" w:hAnsi="楷体_GB2312" w:eastAsia="仿宋_GB2312" w:cs="宋体"/>
          <w:spacing w:val="-2"/>
          <w:sz w:val="32"/>
          <w:szCs w:val="32"/>
        </w:rPr>
        <w:t>资金开支有发票，有经办人签字</w:t>
      </w:r>
      <w:r>
        <w:rPr>
          <w:rFonts w:hint="eastAsia" w:ascii="仿宋_GB2312" w:hAnsi="楷体_GB2312" w:cs="宋体"/>
          <w:spacing w:val="-2"/>
          <w:sz w:val="32"/>
          <w:szCs w:val="32"/>
          <w:lang w:eastAsia="zh-CN"/>
        </w:rPr>
        <w:t>，严格按照财务制度执行并及时进行会计核算。</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hint="eastAsia" w:ascii="仿宋_GB2312" w:hAnsi="楷体_GB2312" w:eastAsia="仿宋_GB2312" w:cs="仿宋_GB2312"/>
          <w:spacing w:val="-2"/>
          <w:sz w:val="32"/>
          <w:szCs w:val="32"/>
        </w:rPr>
      </w:pPr>
      <w:r>
        <w:rPr>
          <w:rFonts w:hint="eastAsia" w:ascii="仿宋_GB2312" w:hAnsi="楷体_GB2312" w:eastAsia="仿宋_GB2312" w:cs="仿宋_GB2312"/>
          <w:spacing w:val="-2"/>
          <w:sz w:val="32"/>
          <w:szCs w:val="32"/>
        </w:rPr>
        <w:t>实施项目严格按照计划项目进行实施。实施内容、目标具有合理可行性。</w:t>
      </w:r>
    </w:p>
    <w:p>
      <w:pPr>
        <w:numPr>
          <w:ilvl w:val="0"/>
          <w:numId w:val="10"/>
        </w:numPr>
        <w:adjustRightInd w:val="0"/>
        <w:snapToGrid w:val="0"/>
        <w:spacing w:line="600" w:lineRule="exact"/>
        <w:ind w:firstLine="720"/>
        <w:rPr>
          <w:rFonts w:hint="eastAsia" w:ascii="楷体_GB2312" w:hAnsi="宋体" w:eastAsia="楷体_GB2312"/>
          <w:b/>
          <w:sz w:val="32"/>
          <w:szCs w:val="32"/>
          <w:lang w:val="zh-CN"/>
        </w:rPr>
      </w:pPr>
      <w:r>
        <w:rPr>
          <w:rFonts w:hint="eastAsia" w:ascii="楷体_GB2312" w:hAnsi="宋体" w:eastAsia="楷体_GB2312"/>
          <w:b/>
          <w:sz w:val="32"/>
          <w:szCs w:val="32"/>
          <w:lang w:val="zh-CN"/>
        </w:rPr>
        <w:t>项目组织架构及实施流程。</w:t>
      </w:r>
    </w:p>
    <w:p>
      <w:pPr>
        <w:numPr>
          <w:ilvl w:val="0"/>
          <w:numId w:val="0"/>
        </w:numPr>
        <w:adjustRightInd w:val="0"/>
        <w:snapToGrid w:val="0"/>
        <w:spacing w:line="600" w:lineRule="exact"/>
        <w:ind w:firstLine="640" w:firstLineChars="200"/>
        <w:rPr>
          <w:rFonts w:ascii="楷体_GB2312" w:hAnsi="宋体" w:eastAsia="楷体_GB2312"/>
          <w:b/>
          <w:sz w:val="32"/>
          <w:szCs w:val="32"/>
          <w:lang w:val="zh-CN"/>
        </w:rPr>
      </w:pPr>
      <w:r>
        <w:rPr>
          <w:rFonts w:hint="eastAsia" w:ascii="仿宋_GB2312" w:hAnsi="宋体" w:eastAsia="仿宋_GB2312"/>
          <w:sz w:val="32"/>
          <w:szCs w:val="32"/>
          <w:lang w:val="zh-CN"/>
        </w:rPr>
        <w:t>项目主要由</w:t>
      </w:r>
      <w:r>
        <w:rPr>
          <w:rFonts w:hint="eastAsia" w:ascii="仿宋_GB2312" w:hAnsi="楷体_GB2312" w:cs="宋体"/>
          <w:spacing w:val="-2"/>
          <w:sz w:val="32"/>
          <w:szCs w:val="32"/>
          <w:lang w:eastAsia="zh-CN"/>
        </w:rPr>
        <w:t>污水处理建设工程项目专</w:t>
      </w:r>
      <w:r>
        <w:rPr>
          <w:rFonts w:hint="eastAsia" w:ascii="仿宋_GB2312" w:hAnsi="宋体"/>
          <w:sz w:val="32"/>
          <w:szCs w:val="32"/>
          <w:lang w:val="zh-CN"/>
        </w:rPr>
        <w:t>款支出</w:t>
      </w:r>
      <w:r>
        <w:rPr>
          <w:rFonts w:hint="eastAsia" w:ascii="仿宋_GB2312" w:hAnsi="宋体" w:eastAsia="仿宋_GB2312"/>
          <w:sz w:val="32"/>
          <w:szCs w:val="32"/>
          <w:lang w:val="zh-CN"/>
        </w:rPr>
        <w:t>，采取实际发生—凭票报销—领导审核方式实现支出。</w:t>
      </w:r>
    </w:p>
    <w:p>
      <w:pPr>
        <w:numPr>
          <w:ilvl w:val="0"/>
          <w:numId w:val="10"/>
        </w:numPr>
        <w:adjustRightInd w:val="0"/>
        <w:snapToGrid w:val="0"/>
        <w:spacing w:line="600" w:lineRule="exact"/>
        <w:ind w:left="0" w:leftChars="0" w:firstLine="720" w:firstLineChars="0"/>
        <w:rPr>
          <w:rFonts w:hint="eastAsia" w:ascii="楷体_GB2312" w:hAnsi="宋体" w:eastAsia="楷体_GB2312"/>
          <w:b/>
          <w:sz w:val="32"/>
          <w:szCs w:val="32"/>
          <w:lang w:val="zh-CN"/>
        </w:rPr>
      </w:pPr>
      <w:r>
        <w:rPr>
          <w:rFonts w:hint="eastAsia" w:ascii="楷体_GB2312" w:hAnsi="宋体" w:eastAsia="楷体_GB2312"/>
          <w:b/>
          <w:sz w:val="32"/>
          <w:szCs w:val="32"/>
          <w:lang w:val="zh-CN"/>
        </w:rPr>
        <w:t>项目管理情况。</w:t>
      </w:r>
    </w:p>
    <w:p>
      <w:pPr>
        <w:numPr>
          <w:ilvl w:val="0"/>
          <w:numId w:val="0"/>
        </w:numPr>
        <w:adjustRightInd w:val="0"/>
        <w:snapToGrid w:val="0"/>
        <w:spacing w:line="600" w:lineRule="exact"/>
        <w:ind w:left="720" w:leftChars="0"/>
        <w:rPr>
          <w:rFonts w:ascii="仿宋_GB2312" w:hAnsi="宋体" w:eastAsia="仿宋_GB2312"/>
          <w:sz w:val="32"/>
          <w:szCs w:val="32"/>
          <w:lang w:val="zh-CN"/>
        </w:rPr>
      </w:pPr>
      <w:r>
        <w:rPr>
          <w:rFonts w:hint="eastAsia" w:ascii="仿宋_GB2312" w:hAnsi="宋体" w:eastAsia="仿宋_GB2312"/>
          <w:sz w:val="32"/>
          <w:szCs w:val="32"/>
          <w:lang w:val="zh-CN"/>
        </w:rPr>
        <w:t>严格按照</w:t>
      </w:r>
      <w:r>
        <w:rPr>
          <w:rFonts w:hint="eastAsia" w:ascii="仿宋_GB2312" w:hAnsi="宋体"/>
          <w:sz w:val="32"/>
          <w:szCs w:val="32"/>
          <w:lang w:val="zh-CN"/>
        </w:rPr>
        <w:t>项目资金管理办法</w:t>
      </w:r>
      <w:r>
        <w:rPr>
          <w:rFonts w:hint="eastAsia" w:ascii="仿宋_GB2312" w:hAnsi="宋体" w:eastAsia="仿宋_GB2312"/>
          <w:sz w:val="32"/>
          <w:szCs w:val="32"/>
          <w:lang w:val="zh-CN"/>
        </w:rPr>
        <w:t>实施管理。</w:t>
      </w:r>
    </w:p>
    <w:p>
      <w:pPr>
        <w:numPr>
          <w:ilvl w:val="0"/>
          <w:numId w:val="10"/>
        </w:numPr>
        <w:adjustRightInd w:val="0"/>
        <w:snapToGrid w:val="0"/>
        <w:spacing w:line="600" w:lineRule="exact"/>
        <w:ind w:left="0" w:leftChars="0" w:firstLine="720" w:firstLineChars="0"/>
        <w:rPr>
          <w:rFonts w:hint="eastAsia" w:ascii="楷体_GB2312" w:hAnsi="宋体" w:eastAsia="楷体_GB2312"/>
          <w:b/>
          <w:sz w:val="32"/>
          <w:szCs w:val="32"/>
          <w:lang w:val="zh-CN"/>
        </w:rPr>
      </w:pPr>
      <w:r>
        <w:rPr>
          <w:rFonts w:hint="eastAsia" w:ascii="楷体_GB2312" w:hAnsi="宋体" w:eastAsia="楷体_GB2312"/>
          <w:b/>
          <w:sz w:val="32"/>
          <w:szCs w:val="32"/>
          <w:lang w:val="zh-CN"/>
        </w:rPr>
        <w:t>项目监管情况。</w:t>
      </w:r>
    </w:p>
    <w:p>
      <w:pPr>
        <w:numPr>
          <w:ilvl w:val="0"/>
          <w:numId w:val="0"/>
        </w:numPr>
        <w:adjustRightInd w:val="0"/>
        <w:snapToGrid w:val="0"/>
        <w:spacing w:line="600" w:lineRule="exact"/>
        <w:ind w:left="720" w:leftChars="0"/>
        <w:rPr>
          <w:rFonts w:ascii="仿宋_GB2312" w:hAnsi="宋体" w:eastAsia="仿宋_GB2312"/>
          <w:sz w:val="32"/>
          <w:szCs w:val="32"/>
          <w:lang w:val="zh-CN"/>
        </w:rPr>
      </w:pPr>
      <w:r>
        <w:rPr>
          <w:rFonts w:hint="eastAsia" w:ascii="仿宋_GB2312" w:hAnsi="宋体"/>
          <w:sz w:val="32"/>
          <w:szCs w:val="32"/>
          <w:lang w:val="zh-CN"/>
        </w:rPr>
        <w:t>加强对项目管理及项目资金支付的监督</w:t>
      </w:r>
      <w:r>
        <w:rPr>
          <w:rFonts w:hint="eastAsia" w:ascii="仿宋_GB2312" w:hAnsi="宋体" w:eastAsia="仿宋_GB2312"/>
          <w:sz w:val="32"/>
          <w:szCs w:val="32"/>
          <w:lang w:val="zh-CN"/>
        </w:rPr>
        <w:t>。</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hint="eastAsia" w:ascii="仿宋_GB2312" w:hAnsi="宋体"/>
          <w:sz w:val="32"/>
          <w:szCs w:val="32"/>
          <w:lang w:val="zh-CN" w:eastAsia="zh-CN"/>
        </w:rPr>
      </w:pPr>
      <w:r>
        <w:rPr>
          <w:rFonts w:hint="eastAsia" w:hAnsi="宋体"/>
          <w:sz w:val="32"/>
          <w:szCs w:val="32"/>
          <w:lang w:val="zh-CN"/>
        </w:rPr>
        <w:t>飞龙峡镇</w:t>
      </w:r>
      <w:r>
        <w:rPr>
          <w:rFonts w:hint="eastAsia" w:ascii="仿宋_GB2312" w:hAnsi="仿宋_GB2312" w:cs="仿宋_GB2312"/>
          <w:sz w:val="32"/>
          <w:szCs w:val="32"/>
          <w:lang w:eastAsia="zh-CN"/>
        </w:rPr>
        <w:t>污水处理建设工程</w:t>
      </w:r>
      <w:r>
        <w:rPr>
          <w:rFonts w:hint="eastAsia" w:ascii="仿宋_GB2312" w:hAnsi="宋体"/>
          <w:sz w:val="32"/>
          <w:szCs w:val="32"/>
          <w:lang w:val="zh-CN"/>
        </w:rPr>
        <w:t>项目</w:t>
      </w:r>
      <w:r>
        <w:rPr>
          <w:rFonts w:hint="eastAsia" w:ascii="仿宋_GB2312" w:hAnsi="宋体" w:eastAsia="仿宋_GB2312"/>
          <w:sz w:val="32"/>
          <w:szCs w:val="32"/>
          <w:lang w:val="zh-CN"/>
        </w:rPr>
        <w:t>全年预算数</w:t>
      </w:r>
      <w:r>
        <w:rPr>
          <w:rFonts w:hint="eastAsia" w:ascii="仿宋_GB2312" w:hAnsi="宋体"/>
          <w:sz w:val="32"/>
          <w:szCs w:val="32"/>
          <w:lang w:val="en-US" w:eastAsia="zh-CN"/>
        </w:rPr>
        <w:t>487.5</w:t>
      </w:r>
      <w:r>
        <w:rPr>
          <w:rFonts w:hint="eastAsia" w:ascii="仿宋_GB2312" w:hAnsi="宋体" w:eastAsia="仿宋_GB2312"/>
          <w:sz w:val="32"/>
          <w:szCs w:val="32"/>
          <w:lang w:val="zh-CN"/>
        </w:rPr>
        <w:t>万元，执行数为</w:t>
      </w:r>
      <w:r>
        <w:rPr>
          <w:rFonts w:hint="eastAsia" w:ascii="仿宋_GB2312" w:hAnsi="宋体"/>
          <w:sz w:val="32"/>
          <w:szCs w:val="32"/>
          <w:lang w:val="en-US" w:eastAsia="zh-CN"/>
        </w:rPr>
        <w:t>101.22万元</w:t>
      </w:r>
      <w:r>
        <w:rPr>
          <w:rFonts w:hint="eastAsia" w:ascii="仿宋_GB2312" w:hAnsi="宋体" w:eastAsia="仿宋_GB2312"/>
          <w:sz w:val="32"/>
          <w:szCs w:val="32"/>
          <w:lang w:val="zh-CN"/>
        </w:rPr>
        <w:t>，完成预算的</w:t>
      </w:r>
      <w:r>
        <w:rPr>
          <w:rFonts w:hint="eastAsia" w:ascii="仿宋_GB2312" w:hAnsi="宋体"/>
          <w:sz w:val="32"/>
          <w:szCs w:val="32"/>
          <w:lang w:val="en-US" w:eastAsia="zh-CN"/>
        </w:rPr>
        <w:t>20.76</w:t>
      </w:r>
      <w:r>
        <w:rPr>
          <w:rFonts w:hint="eastAsia" w:ascii="仿宋_GB2312" w:hAnsi="宋体" w:eastAsia="仿宋_GB2312"/>
          <w:sz w:val="32"/>
          <w:szCs w:val="32"/>
          <w:lang w:val="zh-CN"/>
        </w:rPr>
        <w:t>%。通过项目实施，</w:t>
      </w:r>
      <w:r>
        <w:rPr>
          <w:rFonts w:hint="eastAsia" w:ascii="仿宋_GB2312" w:hAnsi="宋体"/>
          <w:sz w:val="32"/>
          <w:szCs w:val="32"/>
          <w:lang w:val="zh-CN" w:eastAsia="zh-CN"/>
        </w:rPr>
        <w:t>定期检查工程项目实施进度，有效保障项目实施，确保无重大安全事故发生。</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zh-CN"/>
        </w:rPr>
        <w:t>实施污水处理建设工程，是完善项目区污水管网配套，实现污水集中收集处理，改善生态环境和提高群众生活质量的需要，也是人民群众的期盼所在。这项工作对于促进经济发展、保护环境、改善民生都具有积极作用，能够取得政治效益、社会效益、经济效益和环境效益等多重效益，意义重大。</w:t>
      </w:r>
    </w:p>
    <w:p>
      <w:pPr>
        <w:adjustRightInd w:val="0"/>
        <w:snapToGrid w:val="0"/>
        <w:spacing w:line="600" w:lineRule="exact"/>
        <w:ind w:firstLine="720"/>
        <w:rPr>
          <w:rFonts w:hint="eastAsia" w:ascii="黑体" w:hAnsi="宋体" w:eastAsia="黑体"/>
          <w:sz w:val="32"/>
          <w:szCs w:val="32"/>
          <w:lang w:val="zh-CN"/>
        </w:rPr>
      </w:pPr>
      <w:r>
        <w:rPr>
          <w:rFonts w:hint="eastAsia" w:ascii="黑体" w:hAnsi="宋体" w:eastAsia="黑体"/>
          <w:sz w:val="32"/>
          <w:szCs w:val="32"/>
          <w:lang w:val="zh-CN"/>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720"/>
        <w:rPr>
          <w:rFonts w:hint="eastAsia" w:ascii="仿宋_GB2312" w:hAnsi="宋体"/>
          <w:sz w:val="32"/>
          <w:szCs w:val="32"/>
          <w:lang w:val="zh-CN"/>
        </w:rPr>
      </w:pPr>
      <w:r>
        <w:rPr>
          <w:rFonts w:hint="eastAsia" w:ascii="仿宋_GB2312" w:hAnsi="宋体"/>
          <w:sz w:val="32"/>
          <w:szCs w:val="32"/>
          <w:lang w:val="zh-CN"/>
        </w:rPr>
        <w:t>通过本项目的实施，基本实现了项目预期目标。</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numPr>
          <w:ilvl w:val="0"/>
          <w:numId w:val="0"/>
        </w:numPr>
        <w:spacing w:line="600" w:lineRule="exact"/>
        <w:ind w:firstLine="640" w:firstLineChars="200"/>
        <w:rPr>
          <w:rFonts w:ascii="仿宋_GB2312" w:hAnsi="宋体" w:eastAsia="仿宋_GB2312"/>
          <w:sz w:val="32"/>
          <w:szCs w:val="32"/>
          <w:lang w:val="zh-CN"/>
        </w:rPr>
      </w:pPr>
      <w:r>
        <w:rPr>
          <w:rFonts w:hint="eastAsia" w:ascii="仿宋_GB2312" w:hAnsi="宋体"/>
          <w:sz w:val="32"/>
          <w:szCs w:val="32"/>
          <w:lang w:val="zh-CN"/>
        </w:rPr>
        <w:t>目前项目资金支付仅</w:t>
      </w:r>
      <w:r>
        <w:rPr>
          <w:rFonts w:hint="eastAsia" w:ascii="仿宋_GB2312" w:hAnsi="楷体_GB2312" w:eastAsia="仿宋_GB2312" w:cs="楷体_GB2312"/>
          <w:color w:val="auto"/>
          <w:spacing w:val="-2"/>
          <w:sz w:val="32"/>
          <w:szCs w:val="32"/>
        </w:rPr>
        <w:t>完成</w:t>
      </w:r>
      <w:r>
        <w:rPr>
          <w:rFonts w:hint="eastAsia" w:ascii="仿宋_GB2312" w:hAnsi="楷体_GB2312" w:cs="楷体_GB2312"/>
          <w:color w:val="auto"/>
          <w:spacing w:val="-2"/>
          <w:sz w:val="32"/>
          <w:szCs w:val="32"/>
          <w:lang w:eastAsia="zh-CN"/>
        </w:rPr>
        <w:t>预算</w:t>
      </w:r>
      <w:r>
        <w:rPr>
          <w:rFonts w:hint="eastAsia" w:ascii="仿宋_GB2312" w:hAnsi="楷体_GB2312" w:eastAsia="仿宋_GB2312" w:cs="楷体_GB2312"/>
          <w:color w:val="auto"/>
          <w:spacing w:val="-2"/>
          <w:sz w:val="32"/>
          <w:szCs w:val="32"/>
        </w:rPr>
        <w:t>的</w:t>
      </w:r>
      <w:r>
        <w:rPr>
          <w:rFonts w:hint="eastAsia" w:ascii="仿宋_GB2312" w:hAnsi="楷体_GB2312" w:cs="楷体_GB2312"/>
          <w:color w:val="auto"/>
          <w:spacing w:val="-2"/>
          <w:sz w:val="32"/>
          <w:szCs w:val="32"/>
          <w:lang w:val="en-US" w:eastAsia="zh-CN"/>
        </w:rPr>
        <w:t>20.76</w:t>
      </w:r>
      <w:r>
        <w:rPr>
          <w:rFonts w:hint="eastAsia" w:ascii="仿宋_GB2312" w:hAnsi="楷体_GB2312" w:eastAsia="仿宋_GB2312" w:cs="楷体_GB2312"/>
          <w:color w:val="auto"/>
          <w:spacing w:val="-2"/>
          <w:sz w:val="32"/>
          <w:szCs w:val="32"/>
        </w:rPr>
        <w:t>%。</w:t>
      </w:r>
      <w:r>
        <w:rPr>
          <w:rFonts w:hint="eastAsia" w:ascii="仿宋_GB2312" w:hAnsi="楷体_GB2312" w:cs="楷体_GB2312"/>
          <w:color w:val="auto"/>
          <w:spacing w:val="-2"/>
          <w:sz w:val="32"/>
          <w:szCs w:val="32"/>
          <w:lang w:eastAsia="zh-CN"/>
        </w:rPr>
        <w:t>因工程实施跨年度，并且需试运行</w:t>
      </w:r>
      <w:r>
        <w:rPr>
          <w:rFonts w:hint="eastAsia" w:ascii="仿宋_GB2312" w:hAnsi="楷体_GB2312" w:cs="楷体_GB2312"/>
          <w:color w:val="auto"/>
          <w:spacing w:val="-2"/>
          <w:sz w:val="32"/>
          <w:szCs w:val="32"/>
          <w:lang w:val="en-US" w:eastAsia="zh-CN"/>
        </w:rPr>
        <w:t>3月后进行项目验收，故支付进度较慢。</w:t>
      </w:r>
      <w:r>
        <w:rPr>
          <w:rFonts w:hint="eastAsia" w:ascii="仿宋_GB2312" w:hAnsi="楷体_GB2312" w:cs="楷体_GB2312"/>
          <w:color w:val="auto"/>
          <w:spacing w:val="-2"/>
          <w:sz w:val="32"/>
          <w:szCs w:val="32"/>
          <w:lang w:eastAsia="zh-CN"/>
        </w:rPr>
        <w:t>工程建设完成验收，及后续资金到位后，将按期进行资金支付。</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spacing w:line="600" w:lineRule="exact"/>
        <w:ind w:firstLine="632" w:firstLineChars="200"/>
        <w:rPr>
          <w:rFonts w:ascii="Times New Roman" w:hAnsi="Times New Roman" w:cs="仿宋_GB2312"/>
          <w:caps w:val="0"/>
          <w:szCs w:val="32"/>
        </w:rPr>
      </w:pPr>
      <w:r>
        <w:rPr>
          <w:rFonts w:hint="eastAsia" w:ascii="仿宋_GB2312" w:hAnsi="楷体_GB2312" w:eastAsia="仿宋_GB2312" w:cs="Times New Roman"/>
          <w:spacing w:val="-2"/>
          <w:sz w:val="32"/>
          <w:szCs w:val="32"/>
          <w:lang w:val="zh-CN" w:eastAsia="zh-CN"/>
        </w:rPr>
        <w:t>为</w:t>
      </w:r>
      <w:r>
        <w:rPr>
          <w:rFonts w:hint="eastAsia" w:ascii="仿宋_GB2312" w:hAnsi="楷体_GB2312" w:eastAsia="仿宋_GB2312" w:cs="Times New Roman"/>
          <w:spacing w:val="-2"/>
          <w:sz w:val="32"/>
          <w:szCs w:val="32"/>
        </w:rPr>
        <w:t>确</w:t>
      </w:r>
      <w:r>
        <w:rPr>
          <w:rFonts w:hint="eastAsia" w:ascii="仿宋_GB2312" w:hAnsi="楷体_GB2312" w:eastAsia="仿宋_GB2312"/>
          <w:spacing w:val="-2"/>
          <w:sz w:val="32"/>
          <w:szCs w:val="32"/>
        </w:rPr>
        <w:t>保</w:t>
      </w:r>
      <w:r>
        <w:rPr>
          <w:rFonts w:hint="eastAsia" w:ascii="仿宋_GB2312" w:hAnsi="楷体_GB2312"/>
          <w:spacing w:val="-2"/>
          <w:sz w:val="32"/>
          <w:szCs w:val="32"/>
          <w:lang w:eastAsia="zh-CN"/>
        </w:rPr>
        <w:t>改污水处理工程项目正常运行，将污水工程设备运行维护费</w:t>
      </w:r>
      <w:r>
        <w:rPr>
          <w:rFonts w:eastAsia="仿宋_GB2312"/>
          <w:sz w:val="32"/>
          <w:szCs w:val="32"/>
        </w:rPr>
        <w:t>纳入每年财政预算</w:t>
      </w:r>
      <w:r>
        <w:rPr>
          <w:rFonts w:hint="eastAsia"/>
          <w:sz w:val="32"/>
          <w:szCs w:val="32"/>
          <w:lang w:eastAsia="zh-CN"/>
        </w:rPr>
        <w:t>。</w:t>
      </w:r>
    </w:p>
    <w:p>
      <w:pPr>
        <w:pageBreakBefore w:val="0"/>
        <w:widowControl/>
        <w:kinsoku/>
        <w:wordWrap/>
        <w:overflowPunct/>
        <w:topLinePunct w:val="0"/>
        <w:bidi w:val="0"/>
        <w:spacing w:line="588" w:lineRule="exact"/>
        <w:jc w:val="left"/>
        <w:textAlignment w:val="auto"/>
        <w:rPr>
          <w:rStyle w:val="17"/>
          <w:rFonts w:ascii="Times New Roman" w:hAnsi="Times New Roman" w:eastAsia="黑体"/>
          <w:b w:val="0"/>
          <w:caps w:val="0"/>
        </w:rPr>
      </w:pPr>
    </w:p>
    <w:p>
      <w:pPr>
        <w:pageBreakBefore w:val="0"/>
        <w:widowControl/>
        <w:kinsoku/>
        <w:wordWrap/>
        <w:overflowPunct/>
        <w:topLinePunct w:val="0"/>
        <w:bidi w:val="0"/>
        <w:spacing w:line="588" w:lineRule="exact"/>
        <w:jc w:val="left"/>
        <w:textAlignment w:val="auto"/>
        <w:rPr>
          <w:rStyle w:val="17"/>
          <w:rFonts w:ascii="Times New Roman" w:hAnsi="Times New Roman" w:eastAsia="黑体"/>
          <w:b w:val="0"/>
          <w:caps w:val="0"/>
        </w:rPr>
      </w:pPr>
      <w:r>
        <w:rPr>
          <w:rStyle w:val="17"/>
          <w:rFonts w:ascii="Times New Roman" w:hAnsi="Times New Roman" w:eastAsia="黑体"/>
          <w:b w:val="0"/>
          <w:caps w:val="0"/>
        </w:rPr>
        <w:br w:type="page"/>
      </w:r>
    </w:p>
    <w:p>
      <w:pPr>
        <w:pageBreakBefore w:val="0"/>
        <w:numPr>
          <w:ilvl w:val="0"/>
          <w:numId w:val="11"/>
        </w:numPr>
        <w:kinsoku/>
        <w:wordWrap/>
        <w:overflowPunct/>
        <w:topLinePunct w:val="0"/>
        <w:bidi w:val="0"/>
        <w:spacing w:line="588" w:lineRule="exact"/>
        <w:jc w:val="center"/>
        <w:textAlignment w:val="auto"/>
        <w:outlineLvl w:val="0"/>
        <w:rPr>
          <w:rFonts w:hint="eastAsia" w:ascii="Times New Roman" w:hAnsi="Times New Roman" w:eastAsia="方正小标宋_GBK" w:cs="Times New Roman"/>
          <w:bCs/>
          <w:caps w:val="0"/>
          <w:sz w:val="44"/>
          <w:szCs w:val="44"/>
        </w:rPr>
      </w:pPr>
      <w:bookmarkStart w:id="94" w:name="_Toc17453"/>
      <w:bookmarkStart w:id="95" w:name="_Toc32283"/>
      <w:bookmarkStart w:id="96" w:name="_Toc15396618"/>
      <w:r>
        <w:rPr>
          <w:rFonts w:hint="eastAsia" w:ascii="Times New Roman" w:hAnsi="Times New Roman" w:eastAsia="方正小标宋_GBK" w:cs="Times New Roman"/>
          <w:bCs/>
          <w:caps w:val="0"/>
          <w:sz w:val="44"/>
          <w:szCs w:val="44"/>
        </w:rPr>
        <w:t>附表</w:t>
      </w:r>
      <w:bookmarkEnd w:id="85"/>
      <w:bookmarkEnd w:id="94"/>
      <w:bookmarkEnd w:id="95"/>
      <w:bookmarkEnd w:id="96"/>
    </w:p>
    <w:p>
      <w:pPr>
        <w:pageBreakBefore w:val="0"/>
        <w:numPr>
          <w:ilvl w:val="0"/>
          <w:numId w:val="0"/>
        </w:numPr>
        <w:kinsoku/>
        <w:wordWrap/>
        <w:overflowPunct/>
        <w:topLinePunct w:val="0"/>
        <w:bidi w:val="0"/>
        <w:spacing w:line="588" w:lineRule="exact"/>
        <w:jc w:val="both"/>
        <w:textAlignment w:val="auto"/>
        <w:rPr>
          <w:rFonts w:hint="eastAsia" w:ascii="Times New Roman" w:hAnsi="Times New Roman" w:eastAsia="方正小标宋_GBK" w:cs="Times New Roman"/>
          <w:bCs/>
          <w:caps w:val="0"/>
          <w:sz w:val="44"/>
          <w:szCs w:val="44"/>
        </w:rPr>
      </w:pPr>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bookmarkStart w:id="97" w:name="_Toc15699"/>
      <w:bookmarkStart w:id="98" w:name="_Toc15396619"/>
      <w:bookmarkStart w:id="99" w:name="_Toc27106"/>
      <w:bookmarkStart w:id="100" w:name="_Toc15396620"/>
      <w:r>
        <w:rPr>
          <w:rFonts w:hint="eastAsia" w:ascii="Times New Roman" w:hAnsi="Times New Roman"/>
          <w:caps w:val="0"/>
          <w:szCs w:val="32"/>
          <w:lang w:val="zh-CN"/>
        </w:rPr>
        <w:t>一、收入支出决算总表</w:t>
      </w:r>
      <w:bookmarkEnd w:id="97"/>
      <w:bookmarkEnd w:id="98"/>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二、收入决算表</w:t>
      </w:r>
      <w:bookmarkEnd w:id="99"/>
      <w:bookmarkEnd w:id="100"/>
      <w:bookmarkStart w:id="101" w:name="_Toc26817"/>
      <w:bookmarkStart w:id="102" w:name="_Toc15396621"/>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三、支出决算表</w:t>
      </w:r>
      <w:bookmarkEnd w:id="101"/>
      <w:bookmarkEnd w:id="102"/>
      <w:bookmarkStart w:id="103" w:name="_Toc21747"/>
      <w:bookmarkStart w:id="104" w:name="_Toc15396622"/>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四、财政拨款收入支出决算总表</w:t>
      </w:r>
      <w:bookmarkEnd w:id="103"/>
      <w:bookmarkEnd w:id="104"/>
      <w:bookmarkStart w:id="105" w:name="_Toc15396623"/>
      <w:bookmarkStart w:id="106" w:name="_Toc12959"/>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五、财政拨款支出决算明细表</w:t>
      </w:r>
      <w:bookmarkEnd w:id="105"/>
      <w:bookmarkEnd w:id="106"/>
      <w:bookmarkStart w:id="107" w:name="_Toc23749"/>
      <w:bookmarkStart w:id="108" w:name="_Toc15396624"/>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六、一般公共预算财政拨款支出决算表</w:t>
      </w:r>
      <w:bookmarkEnd w:id="107"/>
      <w:bookmarkEnd w:id="108"/>
      <w:bookmarkStart w:id="109" w:name="_Toc15396625"/>
      <w:bookmarkStart w:id="110" w:name="_Toc22275"/>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七、一般公共预算财政拨款支出决算明细表</w:t>
      </w:r>
      <w:bookmarkEnd w:id="109"/>
      <w:bookmarkEnd w:id="110"/>
      <w:bookmarkStart w:id="111" w:name="_Toc15396626"/>
      <w:bookmarkStart w:id="112" w:name="_Toc30634"/>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八、一般公共预算财政拨款基本支出决算表</w:t>
      </w:r>
      <w:bookmarkEnd w:id="111"/>
      <w:bookmarkEnd w:id="112"/>
      <w:bookmarkStart w:id="113" w:name="_Toc15396627"/>
      <w:bookmarkStart w:id="114" w:name="_Toc15170"/>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九、一般公共预算财政拨款项目支出决算表</w:t>
      </w:r>
      <w:bookmarkEnd w:id="113"/>
      <w:bookmarkEnd w:id="114"/>
      <w:bookmarkStart w:id="115" w:name="_Toc17603"/>
      <w:bookmarkStart w:id="116" w:name="_Toc15396628"/>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十、一般公共预算财政拨款“三公”经费支出决算表</w:t>
      </w:r>
      <w:bookmarkEnd w:id="115"/>
      <w:bookmarkEnd w:id="116"/>
      <w:bookmarkStart w:id="117" w:name="_Toc15396629"/>
      <w:bookmarkStart w:id="118" w:name="_Toc7313"/>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十一、政府性基金预算财政拨款收入支出决算表</w:t>
      </w:r>
      <w:bookmarkEnd w:id="117"/>
      <w:bookmarkEnd w:id="118"/>
      <w:bookmarkStart w:id="119" w:name="_Toc15396630"/>
      <w:bookmarkStart w:id="120" w:name="_Toc9382"/>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十二、政府性基金预算财政拨款“三公”经费支出决算表</w:t>
      </w:r>
      <w:bookmarkEnd w:id="119"/>
      <w:bookmarkEnd w:id="120"/>
      <w:bookmarkStart w:id="121" w:name="_Toc22683"/>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十三、国有资本经营预算财政拨款收入支出决算表</w:t>
      </w:r>
      <w:bookmarkEnd w:id="121"/>
      <w:bookmarkStart w:id="122" w:name="_Toc10257"/>
    </w:p>
    <w:p>
      <w:pPr>
        <w:pageBreakBefore w:val="0"/>
        <w:kinsoku/>
        <w:wordWrap/>
        <w:overflowPunct/>
        <w:topLinePunct w:val="0"/>
        <w:bidi w:val="0"/>
        <w:adjustRightInd w:val="0"/>
        <w:snapToGrid w:val="0"/>
        <w:spacing w:line="588" w:lineRule="exact"/>
        <w:ind w:firstLine="720"/>
        <w:textAlignment w:val="auto"/>
        <w:rPr>
          <w:rFonts w:hint="eastAsia" w:ascii="Times New Roman" w:hAnsi="Times New Roman"/>
          <w:caps w:val="0"/>
          <w:szCs w:val="32"/>
          <w:lang w:val="zh-CN"/>
        </w:rPr>
      </w:pPr>
      <w:r>
        <w:rPr>
          <w:rFonts w:hint="eastAsia" w:ascii="Times New Roman" w:hAnsi="Times New Roman"/>
          <w:caps w:val="0"/>
          <w:szCs w:val="32"/>
          <w:lang w:val="zh-CN"/>
        </w:rPr>
        <w:t>十四、国有资本经营预算财政拨款支出决算表</w:t>
      </w:r>
      <w:bookmarkEnd w:id="122"/>
    </w:p>
    <w:sectPr>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2336" behindDoc="0" locked="0" layoutInCell="1" allowOverlap="1">
              <wp:simplePos x="0" y="0"/>
              <wp:positionH relativeFrom="margin">
                <wp:posOffset>2493645</wp:posOffset>
              </wp:positionH>
              <wp:positionV relativeFrom="paragraph">
                <wp:posOffset>-182880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96.35pt;margin-top:-14.4pt;height:144pt;width:144pt;mso-position-horizontal-relative:margin;mso-wrap-style:none;z-index:251662336;mso-width-relative:page;mso-height-relative:page;" filled="f" stroked="f" coordsize="21600,21600" o:gfxdata="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IWBgnYAAAACwEAAA8AAAAAAAAAAQAgAAAAIgAAAGRycy9kb3ducmV2Lnht&#10;bFBLAQIUABQAAAAIAIdO4kC6jDgrMgIAAGEEAAAOAAAAAAAAAAEAIAAAACcBAABkcnMvZTJvRG9j&#10;LnhtbFBLBQYAAAAABgAGAFkBAADL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17</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8"/>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17</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C345A9"/>
    <w:multiLevelType w:val="singleLevel"/>
    <w:tmpl w:val="AAC345A9"/>
    <w:lvl w:ilvl="0" w:tentative="0">
      <w:start w:val="1"/>
      <w:numFmt w:val="chineseCounting"/>
      <w:suff w:val="nothing"/>
      <w:lvlText w:val="（%1）"/>
      <w:lvlJc w:val="left"/>
      <w:rPr>
        <w:rFonts w:hint="eastAsia"/>
      </w:rPr>
    </w:lvl>
  </w:abstractNum>
  <w:abstractNum w:abstractNumId="1">
    <w:nsid w:val="AD82D410"/>
    <w:multiLevelType w:val="singleLevel"/>
    <w:tmpl w:val="AD82D410"/>
    <w:lvl w:ilvl="0" w:tentative="0">
      <w:start w:val="2"/>
      <w:numFmt w:val="decimal"/>
      <w:suff w:val="nothing"/>
      <w:lvlText w:val="%1．"/>
      <w:lvlJc w:val="left"/>
    </w:lvl>
  </w:abstractNum>
  <w:abstractNum w:abstractNumId="2">
    <w:nsid w:val="C0827DB3"/>
    <w:multiLevelType w:val="singleLevel"/>
    <w:tmpl w:val="C0827DB3"/>
    <w:lvl w:ilvl="0" w:tentative="0">
      <w:start w:val="4"/>
      <w:numFmt w:val="chineseCounting"/>
      <w:suff w:val="nothing"/>
      <w:lvlText w:val="（%1）"/>
      <w:lvlJc w:val="left"/>
      <w:rPr>
        <w:rFonts w:hint="eastAsia"/>
      </w:rPr>
    </w:lvl>
  </w:abstractNum>
  <w:abstractNum w:abstractNumId="3">
    <w:nsid w:val="CFBA69B7"/>
    <w:multiLevelType w:val="singleLevel"/>
    <w:tmpl w:val="CFBA69B7"/>
    <w:lvl w:ilvl="0" w:tentative="0">
      <w:start w:val="2"/>
      <w:numFmt w:val="chineseCounting"/>
      <w:suff w:val="nothing"/>
      <w:lvlText w:val="（%1）"/>
      <w:lvlJc w:val="left"/>
      <w:rPr>
        <w:rFonts w:hint="eastAsia"/>
      </w:rPr>
    </w:lvl>
  </w:abstractNum>
  <w:abstractNum w:abstractNumId="4">
    <w:nsid w:val="F2326C19"/>
    <w:multiLevelType w:val="singleLevel"/>
    <w:tmpl w:val="F2326C19"/>
    <w:lvl w:ilvl="0" w:tentative="0">
      <w:start w:val="2"/>
      <w:numFmt w:val="decimal"/>
      <w:suff w:val="nothing"/>
      <w:lvlText w:val="%1．"/>
      <w:lvlJc w:val="left"/>
    </w:lvl>
  </w:abstractNum>
  <w:abstractNum w:abstractNumId="5">
    <w:nsid w:val="F3A26668"/>
    <w:multiLevelType w:val="singleLevel"/>
    <w:tmpl w:val="F3A26668"/>
    <w:lvl w:ilvl="0" w:tentative="0">
      <w:start w:val="1"/>
      <w:numFmt w:val="decimal"/>
      <w:lvlText w:val="%1."/>
      <w:lvlJc w:val="left"/>
      <w:pPr>
        <w:tabs>
          <w:tab w:val="left" w:pos="312"/>
        </w:tabs>
      </w:pPr>
    </w:lvl>
  </w:abstractNum>
  <w:abstractNum w:abstractNumId="6">
    <w:nsid w:val="27C07277"/>
    <w:multiLevelType w:val="singleLevel"/>
    <w:tmpl w:val="27C07277"/>
    <w:lvl w:ilvl="0" w:tentative="0">
      <w:start w:val="2"/>
      <w:numFmt w:val="chineseCounting"/>
      <w:suff w:val="nothing"/>
      <w:lvlText w:val="%1、"/>
      <w:lvlJc w:val="left"/>
      <w:rPr>
        <w:rFonts w:hint="eastAsia"/>
      </w:rPr>
    </w:lvl>
  </w:abstractNum>
  <w:abstractNum w:abstractNumId="7">
    <w:nsid w:val="3183F7CD"/>
    <w:multiLevelType w:val="singleLevel"/>
    <w:tmpl w:val="3183F7CD"/>
    <w:lvl w:ilvl="0" w:tentative="0">
      <w:start w:val="1"/>
      <w:numFmt w:val="decimal"/>
      <w:suff w:val="nothing"/>
      <w:lvlText w:val="%1、"/>
      <w:lvlJc w:val="left"/>
    </w:lvl>
  </w:abstractNum>
  <w:abstractNum w:abstractNumId="8">
    <w:nsid w:val="426F86EB"/>
    <w:multiLevelType w:val="singleLevel"/>
    <w:tmpl w:val="426F86EB"/>
    <w:lvl w:ilvl="0" w:tentative="0">
      <w:start w:val="2"/>
      <w:numFmt w:val="decimal"/>
      <w:suff w:val="nothing"/>
      <w:lvlText w:val="%1．"/>
      <w:lvlJc w:val="left"/>
    </w:lvl>
  </w:abstractNum>
  <w:abstractNum w:abstractNumId="9">
    <w:nsid w:val="6EC8F235"/>
    <w:multiLevelType w:val="singleLevel"/>
    <w:tmpl w:val="6EC8F235"/>
    <w:lvl w:ilvl="0" w:tentative="0">
      <w:start w:val="1"/>
      <w:numFmt w:val="decimal"/>
      <w:suff w:val="nothing"/>
      <w:lvlText w:val="（%1）"/>
      <w:lvlJc w:val="left"/>
    </w:lvl>
  </w:abstractNum>
  <w:abstractNum w:abstractNumId="10">
    <w:nsid w:val="761F2BCB"/>
    <w:multiLevelType w:val="singleLevel"/>
    <w:tmpl w:val="761F2BCB"/>
    <w:lvl w:ilvl="0" w:tentative="0">
      <w:start w:val="5"/>
      <w:numFmt w:val="chineseCounting"/>
      <w:suff w:val="space"/>
      <w:lvlText w:val="第%1部分"/>
      <w:lvlJc w:val="left"/>
      <w:rPr>
        <w:rFonts w:hint="eastAsia"/>
      </w:rPr>
    </w:lvl>
  </w:abstractNum>
  <w:num w:numId="1">
    <w:abstractNumId w:val="6"/>
  </w:num>
  <w:num w:numId="2">
    <w:abstractNumId w:val="2"/>
  </w:num>
  <w:num w:numId="3">
    <w:abstractNumId w:val="5"/>
  </w:num>
  <w:num w:numId="4">
    <w:abstractNumId w:val="9"/>
  </w:num>
  <w:num w:numId="5">
    <w:abstractNumId w:val="3"/>
  </w:num>
  <w:num w:numId="6">
    <w:abstractNumId w:val="4"/>
  </w:num>
  <w:num w:numId="7">
    <w:abstractNumId w:val="8"/>
  </w:num>
  <w:num w:numId="8">
    <w:abstractNumId w:val="7"/>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004B73"/>
    <w:rsid w:val="00041597"/>
    <w:rsid w:val="000D3302"/>
    <w:rsid w:val="00175B5B"/>
    <w:rsid w:val="001943E7"/>
    <w:rsid w:val="001C7B47"/>
    <w:rsid w:val="001D46EF"/>
    <w:rsid w:val="001D504D"/>
    <w:rsid w:val="0021787B"/>
    <w:rsid w:val="002D1B8D"/>
    <w:rsid w:val="002E2606"/>
    <w:rsid w:val="00303C1C"/>
    <w:rsid w:val="003344B3"/>
    <w:rsid w:val="00367240"/>
    <w:rsid w:val="003E7F2D"/>
    <w:rsid w:val="003F1C66"/>
    <w:rsid w:val="00404063"/>
    <w:rsid w:val="0044661F"/>
    <w:rsid w:val="004509CE"/>
    <w:rsid w:val="004A2EC9"/>
    <w:rsid w:val="004B751C"/>
    <w:rsid w:val="005477C8"/>
    <w:rsid w:val="00585868"/>
    <w:rsid w:val="005A53B9"/>
    <w:rsid w:val="005B4E60"/>
    <w:rsid w:val="00647080"/>
    <w:rsid w:val="00686AC4"/>
    <w:rsid w:val="006B3DE5"/>
    <w:rsid w:val="006C3958"/>
    <w:rsid w:val="006F794E"/>
    <w:rsid w:val="007218B9"/>
    <w:rsid w:val="00731DB8"/>
    <w:rsid w:val="007431A7"/>
    <w:rsid w:val="00777B2B"/>
    <w:rsid w:val="007B09EE"/>
    <w:rsid w:val="007B465C"/>
    <w:rsid w:val="007E029D"/>
    <w:rsid w:val="007E129A"/>
    <w:rsid w:val="0080719B"/>
    <w:rsid w:val="00850960"/>
    <w:rsid w:val="00860B8F"/>
    <w:rsid w:val="008B04A6"/>
    <w:rsid w:val="008C04A6"/>
    <w:rsid w:val="008F3B1A"/>
    <w:rsid w:val="009159A4"/>
    <w:rsid w:val="009231E7"/>
    <w:rsid w:val="00946041"/>
    <w:rsid w:val="00994714"/>
    <w:rsid w:val="009A7A8A"/>
    <w:rsid w:val="009B27F7"/>
    <w:rsid w:val="009C5611"/>
    <w:rsid w:val="00A21006"/>
    <w:rsid w:val="00A758EF"/>
    <w:rsid w:val="00A851A8"/>
    <w:rsid w:val="00B47B50"/>
    <w:rsid w:val="00B62C19"/>
    <w:rsid w:val="00B931A8"/>
    <w:rsid w:val="00BB7823"/>
    <w:rsid w:val="00CF03BA"/>
    <w:rsid w:val="00D160BC"/>
    <w:rsid w:val="00D3609A"/>
    <w:rsid w:val="00D579CC"/>
    <w:rsid w:val="00D97A94"/>
    <w:rsid w:val="00DA0BD9"/>
    <w:rsid w:val="00DD6F69"/>
    <w:rsid w:val="00DF7A34"/>
    <w:rsid w:val="00E0002F"/>
    <w:rsid w:val="00E05197"/>
    <w:rsid w:val="00E71BE6"/>
    <w:rsid w:val="00EB1841"/>
    <w:rsid w:val="00EB2353"/>
    <w:rsid w:val="00EB2AD4"/>
    <w:rsid w:val="00ED06CB"/>
    <w:rsid w:val="00EF6A3B"/>
    <w:rsid w:val="00F011F0"/>
    <w:rsid w:val="00F2113A"/>
    <w:rsid w:val="00F21E8E"/>
    <w:rsid w:val="00FA3FE4"/>
    <w:rsid w:val="00FE7996"/>
    <w:rsid w:val="00FF0740"/>
    <w:rsid w:val="01B511C3"/>
    <w:rsid w:val="021633CD"/>
    <w:rsid w:val="03C05D13"/>
    <w:rsid w:val="03F27306"/>
    <w:rsid w:val="049E02BC"/>
    <w:rsid w:val="06D96529"/>
    <w:rsid w:val="073A569E"/>
    <w:rsid w:val="07A13021"/>
    <w:rsid w:val="0A01322B"/>
    <w:rsid w:val="0B6759C0"/>
    <w:rsid w:val="0BC420BB"/>
    <w:rsid w:val="0EDC3017"/>
    <w:rsid w:val="10701176"/>
    <w:rsid w:val="10BB584F"/>
    <w:rsid w:val="110E0111"/>
    <w:rsid w:val="119C5ADC"/>
    <w:rsid w:val="13141823"/>
    <w:rsid w:val="13233F21"/>
    <w:rsid w:val="150951C7"/>
    <w:rsid w:val="18E01A5E"/>
    <w:rsid w:val="18F84583"/>
    <w:rsid w:val="1B1C4B54"/>
    <w:rsid w:val="1C755E94"/>
    <w:rsid w:val="1CCA7385"/>
    <w:rsid w:val="21D84D5F"/>
    <w:rsid w:val="244545A8"/>
    <w:rsid w:val="2461667D"/>
    <w:rsid w:val="259875DF"/>
    <w:rsid w:val="274E0825"/>
    <w:rsid w:val="279B0D58"/>
    <w:rsid w:val="2854138B"/>
    <w:rsid w:val="2A7F3893"/>
    <w:rsid w:val="2AC65C17"/>
    <w:rsid w:val="2ACD4412"/>
    <w:rsid w:val="2BA57009"/>
    <w:rsid w:val="2C2A19AC"/>
    <w:rsid w:val="2E63640C"/>
    <w:rsid w:val="2E8D5D39"/>
    <w:rsid w:val="310500C6"/>
    <w:rsid w:val="32825A4D"/>
    <w:rsid w:val="334270C7"/>
    <w:rsid w:val="355377A7"/>
    <w:rsid w:val="37160652"/>
    <w:rsid w:val="37B4449A"/>
    <w:rsid w:val="37E650E8"/>
    <w:rsid w:val="3B3A1AB6"/>
    <w:rsid w:val="3D035E76"/>
    <w:rsid w:val="3E4169FF"/>
    <w:rsid w:val="3FC73ABF"/>
    <w:rsid w:val="432A5A5C"/>
    <w:rsid w:val="44E147E6"/>
    <w:rsid w:val="44F7782D"/>
    <w:rsid w:val="46C752B8"/>
    <w:rsid w:val="4E3A4862"/>
    <w:rsid w:val="4FE1784C"/>
    <w:rsid w:val="5080583D"/>
    <w:rsid w:val="53DC003D"/>
    <w:rsid w:val="55670321"/>
    <w:rsid w:val="56AB6C7A"/>
    <w:rsid w:val="5A1D1FAE"/>
    <w:rsid w:val="5A2E32C9"/>
    <w:rsid w:val="5AC54609"/>
    <w:rsid w:val="5BCB24B7"/>
    <w:rsid w:val="5D3E75DF"/>
    <w:rsid w:val="63933832"/>
    <w:rsid w:val="6504078C"/>
    <w:rsid w:val="67976F80"/>
    <w:rsid w:val="67AC3B2E"/>
    <w:rsid w:val="695535AB"/>
    <w:rsid w:val="69AA5F20"/>
    <w:rsid w:val="6A054799"/>
    <w:rsid w:val="6ACD4007"/>
    <w:rsid w:val="6ADE63F1"/>
    <w:rsid w:val="6DB855A9"/>
    <w:rsid w:val="6DCB0470"/>
    <w:rsid w:val="6F6F28E4"/>
    <w:rsid w:val="726E3979"/>
    <w:rsid w:val="72AB38E1"/>
    <w:rsid w:val="753B6A2C"/>
    <w:rsid w:val="77890BA7"/>
    <w:rsid w:val="78402D33"/>
    <w:rsid w:val="78F548AE"/>
    <w:rsid w:val="7A756C90"/>
    <w:rsid w:val="7CAB259C"/>
    <w:rsid w:val="7CBE0749"/>
    <w:rsid w:val="7D86773A"/>
    <w:rsid w:val="7F446F9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7"/>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99"/>
    <w:pPr>
      <w:keepNext/>
      <w:keepLines/>
      <w:spacing w:before="260" w:after="260" w:line="416" w:lineRule="auto"/>
      <w:outlineLvl w:val="1"/>
    </w:pPr>
    <w:rPr>
      <w:rFonts w:ascii="Cambria" w:hAnsi="Cambria"/>
      <w:b/>
      <w:bCs/>
      <w:szCs w:val="32"/>
    </w:rPr>
  </w:style>
  <w:style w:type="paragraph" w:styleId="5">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99"/>
    <w:pPr>
      <w:spacing w:beforeLines="30"/>
    </w:pPr>
    <w:rPr>
      <w:rFonts w:ascii="仿宋_GB2312"/>
      <w:kern w:val="0"/>
      <w:sz w:val="24"/>
      <w:szCs w:val="20"/>
    </w:rPr>
  </w:style>
  <w:style w:type="paragraph" w:styleId="6">
    <w:name w:val="toc 3"/>
    <w:basedOn w:val="1"/>
    <w:next w:val="1"/>
    <w:qFormat/>
    <w:locked/>
    <w:uiPriority w:val="0"/>
    <w:pPr>
      <w:ind w:left="840" w:leftChars="400"/>
    </w:pPr>
  </w:style>
  <w:style w:type="paragraph" w:styleId="7">
    <w:name w:val="Balloon Text"/>
    <w:basedOn w:val="1"/>
    <w:link w:val="20"/>
    <w:semiHidden/>
    <w:qFormat/>
    <w:uiPriority w:val="99"/>
    <w:rPr>
      <w:sz w:val="18"/>
      <w:szCs w:val="18"/>
    </w:rPr>
  </w:style>
  <w:style w:type="paragraph" w:styleId="8">
    <w:name w:val="footer"/>
    <w:basedOn w:val="1"/>
    <w:link w:val="21"/>
    <w:qFormat/>
    <w:uiPriority w:val="99"/>
    <w:pPr>
      <w:tabs>
        <w:tab w:val="center" w:pos="4153"/>
        <w:tab w:val="right" w:pos="8306"/>
      </w:tabs>
      <w:snapToGrid w:val="0"/>
      <w:jc w:val="left"/>
    </w:pPr>
    <w:rPr>
      <w:rFonts w:ascii="Calibri" w:hAnsi="Calibri"/>
      <w:kern w:val="0"/>
      <w:sz w:val="18"/>
      <w:szCs w:val="20"/>
    </w:rPr>
  </w:style>
  <w:style w:type="paragraph" w:styleId="9">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10">
    <w:name w:val="toc 1"/>
    <w:basedOn w:val="1"/>
    <w:next w:val="1"/>
    <w:qFormat/>
    <w:uiPriority w:val="99"/>
    <w:pPr>
      <w:spacing w:before="120"/>
      <w:jc w:val="left"/>
    </w:pPr>
    <w:rPr>
      <w:rFonts w:ascii="等线" w:eastAsia="等线"/>
      <w:b/>
      <w:bCs/>
      <w:i/>
      <w:iCs/>
      <w:sz w:val="24"/>
    </w:rPr>
  </w:style>
  <w:style w:type="paragraph" w:styleId="11">
    <w:name w:val="toc 2"/>
    <w:basedOn w:val="1"/>
    <w:next w:val="1"/>
    <w:qFormat/>
    <w:uiPriority w:val="99"/>
    <w:pPr>
      <w:spacing w:before="120"/>
      <w:ind w:left="300"/>
      <w:jc w:val="left"/>
    </w:pPr>
    <w:rPr>
      <w:rFonts w:ascii="等线" w:eastAsia="等线"/>
      <w:b/>
      <w:bCs/>
      <w:sz w:val="22"/>
      <w:szCs w:val="22"/>
    </w:rPr>
  </w:style>
  <w:style w:type="character" w:styleId="14">
    <w:name w:val="Strong"/>
    <w:basedOn w:val="13"/>
    <w:qFormat/>
    <w:uiPriority w:val="99"/>
    <w:rPr>
      <w:rFonts w:cs="Times New Roman"/>
      <w:b/>
    </w:rPr>
  </w:style>
  <w:style w:type="character" w:styleId="15">
    <w:name w:val="Hyperlink"/>
    <w:basedOn w:val="13"/>
    <w:qFormat/>
    <w:uiPriority w:val="99"/>
    <w:rPr>
      <w:rFonts w:cs="Times New Roman"/>
      <w:color w:val="0000FF"/>
      <w:u w:val="single"/>
    </w:rPr>
  </w:style>
  <w:style w:type="paragraph" w:customStyle="1" w:styleId="16">
    <w:name w:val="索引 51"/>
    <w:basedOn w:val="1"/>
    <w:next w:val="1"/>
    <w:qFormat/>
    <w:uiPriority w:val="0"/>
    <w:pPr>
      <w:ind w:left="800" w:leftChars="800"/>
    </w:pPr>
  </w:style>
  <w:style w:type="character" w:customStyle="1" w:styleId="17">
    <w:name w:val="Heading 1 Char"/>
    <w:basedOn w:val="13"/>
    <w:link w:val="3"/>
    <w:qFormat/>
    <w:locked/>
    <w:uiPriority w:val="99"/>
    <w:rPr>
      <w:rFonts w:cs="Times New Roman"/>
      <w:b/>
      <w:bCs/>
      <w:kern w:val="44"/>
      <w:sz w:val="44"/>
      <w:szCs w:val="44"/>
    </w:rPr>
  </w:style>
  <w:style w:type="character" w:customStyle="1" w:styleId="18">
    <w:name w:val="Heading 2 Char"/>
    <w:basedOn w:val="13"/>
    <w:link w:val="4"/>
    <w:qFormat/>
    <w:locked/>
    <w:uiPriority w:val="99"/>
    <w:rPr>
      <w:rFonts w:ascii="Cambria" w:hAnsi="Cambria" w:cs="Times New Roman"/>
      <w:b/>
      <w:bCs/>
      <w:sz w:val="32"/>
      <w:szCs w:val="32"/>
    </w:rPr>
  </w:style>
  <w:style w:type="character" w:customStyle="1" w:styleId="19">
    <w:name w:val="Body Text Char"/>
    <w:basedOn w:val="13"/>
    <w:link w:val="2"/>
    <w:semiHidden/>
    <w:qFormat/>
    <w:locked/>
    <w:uiPriority w:val="99"/>
    <w:rPr>
      <w:rFonts w:ascii="Times New Roman" w:hAnsi="Times New Roman" w:eastAsia="仿宋_GB2312" w:cs="Times New Roman"/>
      <w:sz w:val="24"/>
      <w:szCs w:val="24"/>
    </w:rPr>
  </w:style>
  <w:style w:type="character" w:customStyle="1" w:styleId="20">
    <w:name w:val="Balloon Text Char"/>
    <w:basedOn w:val="13"/>
    <w:link w:val="7"/>
    <w:semiHidden/>
    <w:qFormat/>
    <w:locked/>
    <w:uiPriority w:val="99"/>
    <w:rPr>
      <w:rFonts w:ascii="Times New Roman" w:hAnsi="Times New Roman" w:eastAsia="仿宋_GB2312" w:cs="Times New Roman"/>
      <w:sz w:val="2"/>
    </w:rPr>
  </w:style>
  <w:style w:type="character" w:customStyle="1" w:styleId="21">
    <w:name w:val="Footer Char"/>
    <w:basedOn w:val="13"/>
    <w:link w:val="8"/>
    <w:semiHidden/>
    <w:qFormat/>
    <w:locked/>
    <w:uiPriority w:val="99"/>
    <w:rPr>
      <w:rFonts w:ascii="Times New Roman" w:hAnsi="Times New Roman" w:eastAsia="仿宋_GB2312" w:cs="Times New Roman"/>
      <w:sz w:val="18"/>
      <w:szCs w:val="18"/>
    </w:rPr>
  </w:style>
  <w:style w:type="character" w:customStyle="1" w:styleId="22">
    <w:name w:val="Header Char"/>
    <w:basedOn w:val="13"/>
    <w:link w:val="9"/>
    <w:semiHidden/>
    <w:qFormat/>
    <w:locked/>
    <w:uiPriority w:val="99"/>
    <w:rPr>
      <w:rFonts w:ascii="Times New Roman" w:hAnsi="Times New Roman" w:eastAsia="仿宋_GB2312" w:cs="Times New Roman"/>
      <w:sz w:val="18"/>
      <w:szCs w:val="18"/>
    </w:rPr>
  </w:style>
  <w:style w:type="paragraph" w:customStyle="1" w:styleId="23">
    <w:name w:val="List Paragraph1"/>
    <w:basedOn w:val="1"/>
    <w:qFormat/>
    <w:uiPriority w:val="99"/>
    <w:pPr>
      <w:ind w:firstLine="420" w:firstLineChars="200"/>
    </w:pPr>
  </w:style>
  <w:style w:type="paragraph" w:customStyle="1" w:styleId="24">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 w:type="paragraph" w:customStyle="1" w:styleId="27">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725"/>
          <c:y val="0.0493208279430789"/>
          <c:w val="0.8865"/>
          <c:h val="0.79980595084088"/>
        </c:manualLayout>
      </c:layout>
      <c:barChart>
        <c:barDir val="col"/>
        <c:grouping val="clustered"/>
        <c:varyColors val="0"/>
        <c:ser>
          <c:idx val="0"/>
          <c:order val="0"/>
          <c:tx>
            <c:strRef>
              <c:f>Sheet1!$B$1</c:f>
              <c:strCache>
                <c:ptCount val="1"/>
                <c:pt idx="0">
                  <c:v>2019年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收、支总计（万元）</c:v>
                </c:pt>
              </c:strCache>
            </c:strRef>
          </c:cat>
          <c:val>
            <c:numRef>
              <c:f>Sheet1!$B$2</c:f>
              <c:numCache>
                <c:formatCode>General</c:formatCode>
                <c:ptCount val="1"/>
                <c:pt idx="0">
                  <c:v>0</c:v>
                </c:pt>
              </c:numCache>
            </c:numRef>
          </c:val>
        </c:ser>
        <c:ser>
          <c:idx val="1"/>
          <c:order val="1"/>
          <c:tx>
            <c:strRef>
              <c:f>Sheet1!$C$1</c:f>
              <c:strCache>
                <c:ptCount val="1"/>
                <c:pt idx="0">
                  <c:v>2020年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收、支总计（万元）</c:v>
                </c:pt>
              </c:strCache>
            </c:strRef>
          </c:cat>
          <c:val>
            <c:numRef>
              <c:f>Sheet1!$C$2</c:f>
              <c:numCache>
                <c:formatCode>General</c:formatCode>
                <c:ptCount val="1"/>
                <c:pt idx="0">
                  <c:v>1920.85</c:v>
                </c:pt>
              </c:numCache>
            </c:numRef>
          </c:val>
        </c:ser>
        <c:dLbls>
          <c:showLegendKey val="0"/>
          <c:showVal val="1"/>
          <c:showCatName val="0"/>
          <c:showSerName val="0"/>
          <c:showPercent val="0"/>
          <c:showBubbleSize val="0"/>
        </c:dLbls>
        <c:gapWidth val="219"/>
        <c:overlap val="-27"/>
        <c:axId val="492149439"/>
        <c:axId val="771888684"/>
      </c:barChart>
      <c:catAx>
        <c:axId val="4921494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771888684"/>
        <c:crosses val="autoZero"/>
        <c:auto val="1"/>
        <c:lblAlgn val="ctr"/>
        <c:lblOffset val="100"/>
        <c:noMultiLvlLbl val="0"/>
      </c:catAx>
      <c:valAx>
        <c:axId val="7718886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492149439"/>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收入合计</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一般公共预算财政拨款收入（万元）</c:v>
                </c:pt>
                <c:pt idx="1">
                  <c:v>政府性基金预算财政拨款收入（万元）</c:v>
                </c:pt>
              </c:strCache>
            </c:strRef>
          </c:cat>
          <c:val>
            <c:numRef>
              <c:f>Sheet1!$B$2:$B$3</c:f>
              <c:numCache>
                <c:formatCode>General</c:formatCode>
                <c:ptCount val="2"/>
                <c:pt idx="0">
                  <c:v>1845.51</c:v>
                </c:pt>
                <c:pt idx="1">
                  <c:v>75.34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基本支出（万元）</c:v>
                </c:pt>
                <c:pt idx="1">
                  <c:v>项目支出（万元）</c:v>
                </c:pt>
              </c:strCache>
            </c:strRef>
          </c:cat>
          <c:val>
            <c:numRef>
              <c:f>Sheet1!$B$2:$B$3</c:f>
              <c:numCache>
                <c:formatCode>General</c:formatCode>
                <c:ptCount val="2"/>
                <c:pt idx="0">
                  <c:v>1015.39</c:v>
                </c:pt>
                <c:pt idx="1">
                  <c:v>905.45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46575"/>
          <c:y val="0.127"/>
          <c:w val="0.927925"/>
          <c:h val="0.716566666666667"/>
        </c:manualLayout>
      </c:layout>
      <c:barChart>
        <c:barDir val="col"/>
        <c:grouping val="clustered"/>
        <c:varyColors val="0"/>
        <c:ser>
          <c:idx val="0"/>
          <c:order val="0"/>
          <c:tx>
            <c:strRef>
              <c:f>Sheet1!$B$1</c:f>
              <c:strCache>
                <c:ptCount val="1"/>
                <c:pt idx="0">
                  <c:v>2020年财政拨款收、支（万元）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0</c:v>
                </c:pt>
                <c:pt idx="1">
                  <c:v>1920.84</c:v>
                </c:pt>
              </c:numCache>
            </c:numRef>
          </c:val>
        </c:ser>
        <c:dLbls>
          <c:showLegendKey val="0"/>
          <c:showVal val="0"/>
          <c:showCatName val="0"/>
          <c:showSerName val="0"/>
          <c:showPercent val="0"/>
          <c:showBubbleSize val="0"/>
        </c:dLbls>
        <c:gapWidth val="219"/>
        <c:overlap val="-27"/>
        <c:axId val="815846414"/>
        <c:axId val="557255111"/>
      </c:barChart>
      <c:catAx>
        <c:axId val="81584641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557255111"/>
        <c:crosses val="autoZero"/>
        <c:auto val="1"/>
        <c:lblAlgn val="ctr"/>
        <c:lblOffset val="100"/>
        <c:noMultiLvlLbl val="0"/>
      </c:catAx>
      <c:valAx>
        <c:axId val="5572551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81584641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一般公共预算财政拨款支出（万元）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2019年</c:v>
                </c:pt>
                <c:pt idx="1">
                  <c:v>2020年</c:v>
                </c:pt>
              </c:strCache>
            </c:strRef>
          </c:cat>
          <c:val>
            <c:numRef>
              <c:f>Sheet1!$B$2:$B$3</c:f>
              <c:numCache>
                <c:formatCode>General</c:formatCode>
                <c:ptCount val="2"/>
                <c:pt idx="0">
                  <c:v>0</c:v>
                </c:pt>
                <c:pt idx="1">
                  <c:v>1845.51</c:v>
                </c:pt>
              </c:numCache>
            </c:numRef>
          </c:val>
        </c:ser>
        <c:dLbls>
          <c:showLegendKey val="0"/>
          <c:showVal val="1"/>
          <c:showCatName val="0"/>
          <c:showSerName val="0"/>
          <c:showPercent val="0"/>
          <c:showBubbleSize val="0"/>
        </c:dLbls>
        <c:gapWidth val="219"/>
        <c:overlap val="-27"/>
        <c:axId val="829817424"/>
        <c:axId val="691733843"/>
      </c:barChart>
      <c:catAx>
        <c:axId val="82981742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691733843"/>
        <c:crosses val="autoZero"/>
        <c:auto val="1"/>
        <c:lblAlgn val="ctr"/>
        <c:lblOffset val="100"/>
        <c:noMultiLvlLbl val="0"/>
      </c:catAx>
      <c:valAx>
        <c:axId val="69173384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crossAx val="82981742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301625"/>
          <c:y val="0.921833333333333"/>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chemeClr val="accent3">
                  <a:lumMod val="60000"/>
                </a:schemeClr>
              </a:solidFill>
              <a:ln w="19050">
                <a:solidFill>
                  <a:schemeClr val="lt1"/>
                </a:solidFill>
              </a:ln>
              <a:effectLst/>
            </c:spPr>
          </c:dPt>
          <c:dLbls>
            <c:dLbl>
              <c:idx val="6"/>
              <c:layout>
                <c:manualLayout>
                  <c:x val="0.047875"/>
                  <c:y val="-0.069666666666666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6025"/>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07075"/>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2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Sheet1!$A$2:$A$10</c:f>
              <c:strCache>
                <c:ptCount val="9"/>
                <c:pt idx="0">
                  <c:v>一般公共服务（类）支出(万元）</c:v>
                </c:pt>
                <c:pt idx="1">
                  <c:v>国防（类）支出(万元）</c:v>
                </c:pt>
                <c:pt idx="2">
                  <c:v>社会保障和就业（类）支出(万元）</c:v>
                </c:pt>
                <c:pt idx="3">
                  <c:v>卫生健康支出(万元）</c:v>
                </c:pt>
                <c:pt idx="4">
                  <c:v>节能环保支出(万元）</c:v>
                </c:pt>
                <c:pt idx="5">
                  <c:v>城乡社区支出(万元）</c:v>
                </c:pt>
                <c:pt idx="6">
                  <c:v>农林水支出(万元）</c:v>
                </c:pt>
                <c:pt idx="7">
                  <c:v>交通运输支出(万元）</c:v>
                </c:pt>
                <c:pt idx="8">
                  <c:v>住房保障支出(万元）</c:v>
                </c:pt>
              </c:strCache>
            </c:strRef>
          </c:cat>
          <c:val>
            <c:numRef>
              <c:f>Sheet1!$B$2:$B$10</c:f>
              <c:numCache>
                <c:formatCode>General</c:formatCode>
                <c:ptCount val="9"/>
                <c:pt idx="0">
                  <c:v>405.26</c:v>
                </c:pt>
                <c:pt idx="1">
                  <c:v>2</c:v>
                </c:pt>
                <c:pt idx="2">
                  <c:v>166.62</c:v>
                </c:pt>
                <c:pt idx="3">
                  <c:v>21.97</c:v>
                </c:pt>
                <c:pt idx="4">
                  <c:v>487.5</c:v>
                </c:pt>
                <c:pt idx="5">
                  <c:v>29.54</c:v>
                </c:pt>
                <c:pt idx="6">
                  <c:v>697.71</c:v>
                </c:pt>
                <c:pt idx="7">
                  <c:v>3.11</c:v>
                </c:pt>
                <c:pt idx="8">
                  <c:v>31.79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l"/>
      <c:legendEntry>
        <c:idx val="0"/>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4"/>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5"/>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6"/>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7"/>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8"/>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015"/>
          <c:y val="0.105166666666667"/>
          <c:w val="0.27575"/>
          <c:h val="0.829833333333333"/>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1000"/>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40</Pages>
  <Words>12963</Words>
  <Characters>14129</Characters>
  <Lines>0</Lines>
  <Paragraphs>0</Paragraphs>
  <TotalTime>3</TotalTime>
  <ScaleCrop>false</ScaleCrop>
  <LinksUpToDate>false</LinksUpToDate>
  <CharactersWithSpaces>14262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cp:lastPrinted>2022-05-16T01:54:00Z</cp:lastPrinted>
  <dcterms:modified xsi:type="dcterms:W3CDTF">2022-06-06T08:34:19Z</dcterms:modified>
  <dc:title>自贡市自流井区飞龙峡镇人民政府2020年度部门决算编制说明</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4ABBB244A9244D12BC22CD71256BCD21</vt:lpwstr>
  </property>
  <property fmtid="{D5CDD505-2E9C-101B-9397-08002B2CF9AE}" pid="4" name="commondata">
    <vt:lpwstr>eyJoZGlkIjoiYzRlZjYzZTc0NjZmZGQwNWY3ZWY5YjQ1NDc1ODI0MTkifQ==</vt:lpwstr>
  </property>
</Properties>
</file>